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94C" w:rsidRDefault="00D02965" w:rsidP="00D02965">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CF17653A-61FC-4083-BCAD-5A6D9B85FCD6" style="width:455.25pt;height:383.25pt">
            <v:imagedata r:id="rId11" o:title=""/>
          </v:shape>
        </w:pict>
      </w:r>
    </w:p>
    <w:p w:rsidR="00ED4DFF" w:rsidRPr="00ED4DFF" w:rsidRDefault="00ED4DFF" w:rsidP="00ED4DFF">
      <w:pPr>
        <w:pStyle w:val="Pagedecouverture"/>
        <w:rPr>
          <w:noProof/>
        </w:rPr>
        <w:sectPr w:rsidR="00ED4DFF" w:rsidRPr="00ED4DFF" w:rsidSect="00D02965">
          <w:footerReference w:type="even" r:id="rId12"/>
          <w:footerReference w:type="default" r:id="rId13"/>
          <w:pgSz w:w="11907" w:h="16839"/>
          <w:pgMar w:top="1134" w:right="1417" w:bottom="1134" w:left="1417" w:header="709" w:footer="709" w:gutter="0"/>
          <w:pgNumType w:start="0"/>
          <w:cols w:space="720"/>
          <w:docGrid w:linePitch="360"/>
        </w:sectPr>
      </w:pPr>
    </w:p>
    <w:p w:rsidR="005F1085" w:rsidRPr="00ED4DFF" w:rsidRDefault="005F1085">
      <w:pPr>
        <w:pStyle w:val="Exposdesmotifstitre"/>
        <w:rPr>
          <w:noProof/>
        </w:rPr>
      </w:pPr>
      <w:bookmarkStart w:id="0" w:name="_GoBack"/>
      <w:bookmarkEnd w:id="0"/>
      <w:r w:rsidRPr="00ED4DFF">
        <w:rPr>
          <w:noProof/>
        </w:rPr>
        <w:lastRenderedPageBreak/>
        <w:t>ΑΙΤΙΟΛΟΓΙΚΗ ΕΚΘΕΣΗ</w:t>
      </w:r>
    </w:p>
    <w:p w:rsidR="00BE0D22" w:rsidRPr="00ED4DFF" w:rsidRDefault="00BE0D22" w:rsidP="00BE0D22">
      <w:pPr>
        <w:pStyle w:val="ManualHeading1"/>
        <w:rPr>
          <w:noProof/>
        </w:rPr>
      </w:pPr>
      <w:r w:rsidRPr="00ED4DFF">
        <w:rPr>
          <w:noProof/>
        </w:rPr>
        <w:t>1.</w:t>
      </w:r>
      <w:r w:rsidRPr="00ED4DFF">
        <w:rPr>
          <w:noProof/>
        </w:rPr>
        <w:tab/>
        <w:t>ΠΛΑΙΣΙΟ ΤΗΣ ΠΡΟΤΑΣΗΣ</w:t>
      </w:r>
    </w:p>
    <w:p w:rsidR="00BE0D22" w:rsidRPr="00ED4DFF" w:rsidRDefault="00BE0D22" w:rsidP="000C779E">
      <w:pPr>
        <w:pStyle w:val="Bullet0"/>
        <w:numPr>
          <w:ilvl w:val="0"/>
          <w:numId w:val="3"/>
        </w:numPr>
        <w:rPr>
          <w:b/>
          <w:bCs/>
          <w:noProof/>
        </w:rPr>
      </w:pPr>
      <w:r w:rsidRPr="00ED4DFF">
        <w:rPr>
          <w:b/>
          <w:noProof/>
        </w:rPr>
        <w:t>Αιτιολόγηση της πρότασης</w:t>
      </w:r>
    </w:p>
    <w:p w:rsidR="00BE0D22" w:rsidRPr="00ED4DFF" w:rsidRDefault="6A105A5B" w:rsidP="39812AB3">
      <w:pPr>
        <w:pBdr>
          <w:bar w:val="nil"/>
        </w:pBdr>
        <w:spacing w:before="0" w:after="240"/>
        <w:rPr>
          <w:rFonts w:eastAsia="Times New Roman"/>
          <w:noProof/>
        </w:rPr>
      </w:pPr>
      <w:r w:rsidRPr="00ED4DFF">
        <w:rPr>
          <w:noProof/>
        </w:rPr>
        <w:t>Το σύστημα εισόδου/εξόδου (ΣΕΕ), το οποίο θεσπίζεται με τον κανονισμό (EE) 2017/2226</w:t>
      </w:r>
      <w:r w:rsidRPr="00ED4DFF">
        <w:rPr>
          <w:rStyle w:val="FootnoteReference"/>
          <w:rFonts w:eastAsia="Times New Roman"/>
          <w:noProof/>
        </w:rPr>
        <w:footnoteReference w:id="2"/>
      </w:r>
      <w:r w:rsidRPr="00ED4DFF">
        <w:rPr>
          <w:noProof/>
        </w:rPr>
        <w:t xml:space="preserve"> (στο εξής: κανονισμός ΣΕΕ), αποτελεί κρίσιμη συνιστώσα της διαχείρισης των συνόρων του χώρου Σένγκεν. Ως κεντρική βάση δεδομένων, το ΣΕΕ καταχωρίζει τις εισόδους, τις εξόδους και τις αρνήσεις εισόδου υπηκόων τρίτων χωρών που διέρχονται τα εξωτερικά σύνορα των 29 κρατών μελών Σένγκεν για βραχεία παραμονή. Το ΣΕΕ αποτελεί σημαντικό ορόσημο στις προσπάθειες της ΕΕ να ενισχύσει την ασφάλεια και την αποδοτικότητα στα εξωτερικά της σύνορα. Για πρώτη φορά, ένα σύστημα θα συλλέγει βιομετρικά δεδομένα, όπως εικόνες προσώπου και δακτυλικά αποτυπώματα υπηκόων τρίτων χωρών που διέρχονται τα εξωτερικά σύνορα. Το ΣΕΕ θα παρέχει στα κράτη μέλη Σένγκεν πρόσβαση σε πραγματικό χρόνο στα δεδομένα προσωπικού χαρακτήρα και στο ταξιδιωτικό ιστορικό υπηκόων τρίτων χωρών, καθώς και πληροφορίες σχετικά με τη συμμόρφωσή τους ή μη με τη διάρκεια επιτρεπόμενης βραχείας παραμονής στον χώρο Σένγκεν. Ως εκ τούτου, το ΣΕΕ θα μειώσει σημαντικά την πιθανότητα υποκλοπής ταυτότητας και υπέρβασης της επιτρεπόμενης διάρκειας παραμονής, ενισχύοντας τελικά την ασφάλεια του χώρου Σένγκεν. </w:t>
      </w:r>
    </w:p>
    <w:p w:rsidR="00BE0D22" w:rsidRPr="00ED4DFF" w:rsidRDefault="4C41296D" w:rsidP="5418986D">
      <w:pPr>
        <w:spacing w:before="0" w:after="240"/>
        <w:rPr>
          <w:rFonts w:eastAsia="Times New Roman"/>
          <w:noProof/>
        </w:rPr>
      </w:pPr>
      <w:r w:rsidRPr="00ED4DFF">
        <w:rPr>
          <w:noProof/>
        </w:rPr>
        <w:t>Παρά τις σημαντικές προσπάθειες των κρατών μελών, του Οργανισμού της Ευρωπαϊκής Ένωσης για τη λειτουργική διαχείριση συστημάτων ΤΠ μεγάλης κλίμακας στον χώρο ελευθερίας, ασφάλειας και δικαιοσύνης (eu-LISA), και της Επιτροπής, δεν είναι δυνατή η έναρξη λειτουργίας του ΣΕΕ το τέταρτο τρίμηνο του 2024, όπως εγκρίθηκε από το Συμβούλιο «Δικαιοσύνη και Εσωτερικές Υποθέσεις» τον Οκτώβριο του 2023</w:t>
      </w:r>
      <w:r w:rsidRPr="00ED4DFF">
        <w:rPr>
          <w:rStyle w:val="FootnoteReference"/>
          <w:rFonts w:eastAsia="Times New Roman"/>
          <w:noProof/>
        </w:rPr>
        <w:footnoteReference w:id="3"/>
      </w:r>
      <w:r w:rsidRPr="00ED4DFF">
        <w:rPr>
          <w:noProof/>
        </w:rPr>
        <w:t xml:space="preserve">. Η Επιτροπή δεν έχει λάβει όλες τις κοινοποιήσεις από τα κράτη μέλη σύμφωνα με το άρθρο 66 παράγραφος 1 στοιχείο γ) του κανονισμού ΣΕΕ, κάτι που αποτελεί νόμιμη προϋπόθεση για την έναρξη λειτουργίας του ΣΕΕ. Ενώ πολλά κράτη μέλη κοινοποίησαν την ετοιμότητά τους στην Επιτροπή, ορισμένα κράτη μέλη δήλωσαν ότι δεν είναι σε θέση να το πράξουν. Ταυτόχρονα, η πλήρης έναρξη λειτουργίας από τη μια μέρα στην άλλη αποτελεί παράγοντα κινδύνου για την ανθεκτικότητα ενός πολύπλοκου συστήματος ΤΠ, όπως είναι το κεντρικό σύστημα του ΣΕΕ. </w:t>
      </w:r>
    </w:p>
    <w:p w:rsidR="00BE0D22" w:rsidRPr="00ED4DFF" w:rsidRDefault="00BE0D22" w:rsidP="00BE0D22">
      <w:pPr>
        <w:pBdr>
          <w:top w:val="nil"/>
          <w:left w:val="nil"/>
          <w:bottom w:val="nil"/>
          <w:right w:val="nil"/>
          <w:between w:val="nil"/>
          <w:bar w:val="nil"/>
        </w:pBdr>
        <w:spacing w:before="0" w:after="240"/>
        <w:rPr>
          <w:rFonts w:eastAsia="Times New Roman"/>
          <w:noProof/>
        </w:rPr>
      </w:pPr>
      <w:r w:rsidRPr="00ED4DFF">
        <w:rPr>
          <w:noProof/>
        </w:rPr>
        <w:t xml:space="preserve">Υπό το πρίσμα των ανωτέρω, τα ενδιαφερόμενα μέρη που συμμετέχουν στη λειτουργία του ΣΕΕ έχουν καταστήσει σαφές ότι προτιμούν να προηγείται της εισαγωγής νέων διαδικασιών στα εξωτερικά σύνορα περίοδος προσαρμογής για τις εθνικές αρχές και τους ταξιδιώτες, ώστε να εξασφαλίζεται μεγαλύτερος βαθμός βεβαιότητας. Η πλήρης θέση σε λειτουργία ενός νέου συστήματος ΤΠ μεγάλης κλίμακας σε όλα τα συνοριακά σημεία διέλευσης, όταν απαιτούνται τεχνικές προσαρμογές σε πραγματικό χρόνο, θα μπορούσε να δημιουργήσει κινδύνους για την ασφαλή και ομαλή μετακίνηση, ιδίως σε περιοχές όπου οι υφιστάμενες υποδομές, η έλλειψη χώρου ή άλλοι περιορισμοί ήδη δημιουργούν προκλήσεις. Οι προκλήσεις αυτές επιδεινώνονται από τις διαφορές μεταξύ των κρατών μελών όσον αφορά τον τρόπο εφαρμογής του ΣΕΕ, λόγω της ποικιλομορφίας των συνοριακών σημείων διέλευσης και των διαφορετικών προσεγγίσεων όσον αφορά την αυτοματοποίηση και την έναρξη εφαρμογής νέων τεχνολογιών. </w:t>
      </w:r>
    </w:p>
    <w:p w:rsidR="00BE0D22" w:rsidRPr="00ED4DFF" w:rsidRDefault="00BE0D22" w:rsidP="00BE0D22">
      <w:pPr>
        <w:pBdr>
          <w:top w:val="nil"/>
          <w:left w:val="nil"/>
          <w:bottom w:val="nil"/>
          <w:right w:val="nil"/>
          <w:between w:val="nil"/>
          <w:bar w:val="nil"/>
        </w:pBdr>
        <w:spacing w:before="0" w:after="240"/>
        <w:rPr>
          <w:rFonts w:eastAsia="Times New Roman"/>
          <w:noProof/>
        </w:rPr>
      </w:pPr>
      <w:r w:rsidRPr="00ED4DFF">
        <w:rPr>
          <w:noProof/>
        </w:rPr>
        <w:t>Ωστόσο, ο κανονισμός ΣΕΕ επιτρέπει μόνο την πλήρη έναρξη λειτουργίας, απαιτώντας από όλα τα κράτη μέλη να αρχίσουν να χρησιμοποιούν πλήρως και ταυτόχρονα το ΣΕΕ για όλους τους ταξιδιώτες που υπόκεινται σε καταχώριση στο ΣΕΕ σε όλα τα σημεία διέλευσης των εξωτερικών συνόρων τους. Δεν προβλέπει επιλογή περιόδου προσαρμογής.</w:t>
      </w:r>
    </w:p>
    <w:p w:rsidR="00BE0D22" w:rsidRPr="00ED4DFF" w:rsidRDefault="00BE0D22" w:rsidP="00BE0D22">
      <w:pPr>
        <w:pBdr>
          <w:bar w:val="nil"/>
        </w:pBdr>
        <w:spacing w:before="0" w:after="240"/>
        <w:rPr>
          <w:rFonts w:eastAsia="Times New Roman"/>
          <w:noProof/>
        </w:rPr>
      </w:pPr>
      <w:r w:rsidRPr="00ED4DFF">
        <w:rPr>
          <w:noProof/>
        </w:rPr>
        <w:t>Λαμβανομένων υπόψη των ανωτέρω, φαίνεται ότι οι στόχοι του ΣΕΕ μπορούν να επιτευχθούν αποτελεσματικότερα και με μεγαλύτερη ασφάλεια εάν εισαχθεί κάποιος βαθμός ευελιξίας κατά την έναρξη της λειτουργίας του συστήματος. Προς τον σκοπό αυτόν, κρίνεται αναγκαίος ένας κανονισμός που θα επιτρέπει τη σταδιακή έναρξη λειτουργίας για περιορισμένο χρονικό διάστημα. Ο παρών προτεινόμενος κανονισμός παρεκκλίνει από τον κανονισμό ΣΕΕ στον βαθμό που απαιτείται για να καταστεί δυνατή η σταδιακή έναρξη λειτουργίας. Με τον τρόπο αυτό θα παραμείνουν αμείωτες οι προσπάθειες που καταβάλλουν τόσο ο eu-LISA όσο και τα κράτη μέλη, ενώ παράλληλα θα επιτευχθούν οι στόχοι του ΣΕΕ για τον εκσυγχρονισμό της διαχείρισης των εξωτερικών συνόρων και τη συμβολή στην εσωτερική ασφάλεια της Ευρωπαϊκής Ένωσης.</w:t>
      </w:r>
    </w:p>
    <w:p w:rsidR="00BE0D22" w:rsidRPr="00ED4DFF" w:rsidRDefault="00BE0D22" w:rsidP="00BE0D22">
      <w:pPr>
        <w:pBdr>
          <w:bar w:val="nil"/>
        </w:pBdr>
        <w:rPr>
          <w:rFonts w:eastAsia="Times New Roman"/>
          <w:noProof/>
        </w:rPr>
      </w:pPr>
      <w:r w:rsidRPr="00ED4DFF">
        <w:rPr>
          <w:noProof/>
        </w:rPr>
        <w:t xml:space="preserve">Επιπλέον, ο προτεινόμενος κανονισμός προσφέρει μια ευέλικτη προσέγγιση που ανταποκρίνεται στις διαφορετικές ανάγκες των κρατών μελών. Δίνει τη δυνατότητα σε όσα κράτη μέλη το επιθυμούν να τον εφαρμόσουν σταδιακά, επιτρέποντας παράλληλα σε άλλα να ξεκινήσουν την πλήρη λειτουργία του ΣΕΕ από την πρώτη ημέρα. Θα πρέπει, ωστόσο, να σημειωθεί ότι τα πλήρη οφέλη του ΣΕΕ θα παραχθούν μόνον όταν όλα τα κράτη μέλη το εφαρμόσουν πλήρως. </w:t>
      </w:r>
    </w:p>
    <w:p w:rsidR="00BE0D22" w:rsidRPr="00ED4DFF" w:rsidRDefault="00BE0D22" w:rsidP="00BE0D22">
      <w:pPr>
        <w:pBdr>
          <w:bar w:val="nil"/>
        </w:pBdr>
        <w:spacing w:before="0" w:after="240"/>
        <w:rPr>
          <w:rFonts w:eastAsia="Times New Roman"/>
          <w:noProof/>
        </w:rPr>
      </w:pPr>
      <w:r w:rsidRPr="00ED4DFF">
        <w:rPr>
          <w:noProof/>
        </w:rPr>
        <w:t>Η παρούσα πρόταση εισάγει επίσης μέτρα που επιτρέπουν στα κράτη μέλη να διαχειρίζονται αποτελεσματικά εξαιρετικές περιστάσεις, όπως τεχνικά προβλήματα ή περιόδους ταξιδιωτικής αιχμής. Για τον μετριασμό των κινδύνων αυτών, τα κράτη μέλη μπορούν να αναστείλουν τη χρήση του συστήματος, εν όλω ή εν μέρει, για σύντομο χρονικό διάστημα κατά τη διάρκεια της περιόδου σταδιακής έναρξης λειτουργίας. Ο μηχανισμός αυτός θα διατηρηθεί επίσης για περιορισμένο χρονικό διάστημα μετά την πλήρη έναρξη λειτουργίας.</w:t>
      </w:r>
    </w:p>
    <w:p w:rsidR="00BE0D22" w:rsidRPr="00ED4DFF" w:rsidRDefault="006108EE" w:rsidP="00BE0D22">
      <w:pPr>
        <w:spacing w:line="259" w:lineRule="auto"/>
        <w:rPr>
          <w:rFonts w:eastAsia="Times New Roman"/>
          <w:noProof/>
        </w:rPr>
      </w:pPr>
      <w:r w:rsidRPr="00ED4DFF">
        <w:rPr>
          <w:noProof/>
        </w:rPr>
        <w:t xml:space="preserve">Στις ανταλλαγές σε επίπεδο εμπειρογνωμόνων και σε τεχνικό επίπεδο, καθώς και στο διοικητικό συμβούλιο του eu-LISA, τα περισσότερα κράτη μέλη εξέφρασαν την υποστήριξή τους για τη σταδιακή έναρξη λειτουργίας και αναγνώρισαν ότι θα επιτρέψει την καλύτερη εφαρμογή των νέων κανόνων του ΣΕΕ στα εξωτερικά σύνορα. Η σταδιακή προσέγγιση επικροτήθηκε επίσης από τους περισσότερους μεταφορείς και φορείς εκμετάλλευσης υποδομών που φιλοξενούν συνοριακά σημεία διέλευσης κατά τη διάρκεια ειδικής συνάντησης με τα εν λόγω ενδιαφερόμενα μέρη. Τα κράτη μέλη θα πρέπει να διασφαλίζουν τον κατάλληλο συντονισμό με τους φορείς εκμετάλλευσης υποδομών των συνοριακών σημείων διέλευσης στα οποία το ΣΕΕ αρχίζει να εφαρμόζεται.  Τα κράτη μέλη θα πρέπει να διασφαλίζουν τη διαφάνεια όσον αφορά την έναρξη εφαρμογής του ΣΕΕ στα σημεία διέλευσης των εξωτερικών συνόρων τους και να διασφαλίζουν ότι τα μέτρα κοινοποιούνται αποτελεσματικά τόσο στους μεταφορείς όσο και στους ταξιδιώτες. </w:t>
      </w:r>
    </w:p>
    <w:p w:rsidR="00BE0D22" w:rsidRPr="00ED4DFF" w:rsidRDefault="00BE0D22" w:rsidP="006F5F3B">
      <w:pPr>
        <w:pStyle w:val="Bullet0"/>
        <w:rPr>
          <w:b/>
          <w:bCs/>
          <w:noProof/>
          <w:bdr w:val="nil"/>
        </w:rPr>
      </w:pPr>
      <w:r w:rsidRPr="00ED4DFF">
        <w:rPr>
          <w:b/>
          <w:noProof/>
          <w:bdr w:val="nil"/>
        </w:rPr>
        <w:t>Στόχοι της πρότασης</w:t>
      </w:r>
    </w:p>
    <w:p w:rsidR="00BE0D22" w:rsidRPr="00ED4DFF" w:rsidRDefault="00BE0D22" w:rsidP="00BE0D22">
      <w:pPr>
        <w:rPr>
          <w:noProof/>
        </w:rPr>
      </w:pPr>
      <w:r w:rsidRPr="00ED4DFF">
        <w:rPr>
          <w:noProof/>
        </w:rPr>
        <w:t>Οι γενικοί στόχοι της παρούσας πρότασης απορρέουν από τους στόχους που καθορίζονται στη Συνθήκη για περαιτέρω βελτίωση της διαχείρισης των εξωτερικών συνόρων του χώρου Σένγκεν με την έναρξη εφαρμογής, το συντομότερο δυνατόν, των εναρμονισμένων κανόνων του ΣΕΕ για τη διασυνοριακή κυκλοφορία και, ως εκ τούτου, για συμβολή στην εσωτερική ασφάλεια της Ευρωπαϊκής Ένωσης.</w:t>
      </w:r>
    </w:p>
    <w:p w:rsidR="00BE0D22" w:rsidRPr="00ED4DFF" w:rsidRDefault="00BE0D22" w:rsidP="00BE0D22">
      <w:pPr>
        <w:rPr>
          <w:noProof/>
        </w:rPr>
      </w:pPr>
      <w:r w:rsidRPr="00ED4DFF">
        <w:rPr>
          <w:noProof/>
        </w:rPr>
        <w:t>Η παρούσα πρωτοβουλία θέτει τις βάσεις για τη σταδιακή έναρξη λειτουργίας του ΣΕΕ, κατά προσωρινή παρέκκλιση από ορισμένες διατάξεις του κανονισμού ΣΕΕ και του κανονισμού (ΕΕ) 2016/399 (στο εξής: κώδικας συνόρων του Σένγκεν</w:t>
      </w:r>
      <w:r w:rsidRPr="00ED4DFF">
        <w:rPr>
          <w:rStyle w:val="FootnoteReference"/>
          <w:noProof/>
        </w:rPr>
        <w:footnoteReference w:id="4"/>
      </w:r>
      <w:r w:rsidRPr="00ED4DFF">
        <w:rPr>
          <w:noProof/>
        </w:rPr>
        <w:t xml:space="preserve">) που απαιτούν από τα κράτη μέλη να χρησιμοποιούν πλήρως το σύστημα. </w:t>
      </w:r>
    </w:p>
    <w:p w:rsidR="00BE0D22" w:rsidRPr="00ED4DFF" w:rsidRDefault="00BE0D22" w:rsidP="00BE0D22">
      <w:pPr>
        <w:rPr>
          <w:noProof/>
        </w:rPr>
      </w:pPr>
      <w:r w:rsidRPr="00ED4DFF">
        <w:rPr>
          <w:noProof/>
        </w:rPr>
        <w:t>Γενικός στόχος της πρότασης είναι να διευκολυνθεί η επιχειρησιακή εφαρμογή του κανονισμού ΣΕΕ, ώστε να μπορέσουν τα κράτη μέλη να επιτύχουν τους στόχους του συστήματος που τάσσονται στον κανονισμό ΣΕΕ έγκαιρα και αποτελεσματικά.</w:t>
      </w:r>
    </w:p>
    <w:p w:rsidR="00BE0D22" w:rsidRPr="00ED4DFF" w:rsidRDefault="00BE0D22" w:rsidP="00BE0D22">
      <w:pPr>
        <w:spacing w:line="259" w:lineRule="auto"/>
        <w:rPr>
          <w:noProof/>
        </w:rPr>
      </w:pPr>
      <w:r w:rsidRPr="00ED4DFF">
        <w:rPr>
          <w:noProof/>
        </w:rPr>
        <w:t>Οι ειδικοί στόχοι της πρότασης είναι οι εξής:</w:t>
      </w:r>
    </w:p>
    <w:p w:rsidR="00BE0D22" w:rsidRPr="00ED4DFF" w:rsidRDefault="00906A71" w:rsidP="00906A71">
      <w:pPr>
        <w:pStyle w:val="ManualNumPar1"/>
        <w:rPr>
          <w:noProof/>
        </w:rPr>
      </w:pPr>
      <w:r w:rsidRPr="00906A71">
        <w:rPr>
          <w:noProof/>
        </w:rPr>
        <w:t>1.</w:t>
      </w:r>
      <w:r w:rsidRPr="00906A71">
        <w:rPr>
          <w:noProof/>
        </w:rPr>
        <w:tab/>
      </w:r>
      <w:r w:rsidR="006D5356" w:rsidRPr="00ED4DFF">
        <w:rPr>
          <w:noProof/>
        </w:rPr>
        <w:t>η παροχή ευελιξίας στα κράτη μέλη ώστε να αρχίσουν να χρησιμοποιούν το ΣΕΕ ανάλογα με το επίπεδο ετοιμότητάς τους σύμφωνα με τα υψηλά πρότυπα του ΣΕΕ για τη χρήση τεχνολογικά προηγμένου εξοπλισμού για τη συλλογή δεδομένων·</w:t>
      </w:r>
    </w:p>
    <w:p w:rsidR="00BE0D22" w:rsidRPr="00ED4DFF" w:rsidRDefault="00906A71" w:rsidP="00906A71">
      <w:pPr>
        <w:pStyle w:val="ManualNumPar1"/>
        <w:rPr>
          <w:noProof/>
        </w:rPr>
      </w:pPr>
      <w:r w:rsidRPr="00906A71">
        <w:rPr>
          <w:noProof/>
        </w:rPr>
        <w:t>1.</w:t>
      </w:r>
      <w:r w:rsidRPr="00906A71">
        <w:rPr>
          <w:noProof/>
        </w:rPr>
        <w:tab/>
      </w:r>
      <w:r w:rsidR="006D5356" w:rsidRPr="00ED4DFF">
        <w:rPr>
          <w:noProof/>
        </w:rPr>
        <w:t xml:space="preserve">η διευκόλυνση τεχνικών και επιχειρησιακών προσαρμογών κατά την πρώτη περίοδο λειτουργίας του ΣΕΕ, μέσω της δυνατότητας σταδιακής θέσης σε λειτουργία του συστήματος·  </w:t>
      </w:r>
    </w:p>
    <w:p w:rsidR="00BE0D22" w:rsidRPr="00ED4DFF" w:rsidRDefault="00906A71" w:rsidP="00906A71">
      <w:pPr>
        <w:pStyle w:val="ManualNumPar1"/>
        <w:rPr>
          <w:noProof/>
        </w:rPr>
      </w:pPr>
      <w:r w:rsidRPr="00906A71">
        <w:rPr>
          <w:noProof/>
        </w:rPr>
        <w:t>2.</w:t>
      </w:r>
      <w:r w:rsidRPr="00906A71">
        <w:rPr>
          <w:noProof/>
        </w:rPr>
        <w:tab/>
      </w:r>
      <w:r w:rsidR="006D5356" w:rsidRPr="00ED4DFF">
        <w:rPr>
          <w:noProof/>
        </w:rPr>
        <w:t>η καλύτερη διαχείριση και η αποφυγή πιθανών μεγάλων χρόνων αναμονής στα εξωτερικά σύνορα·</w:t>
      </w:r>
    </w:p>
    <w:p w:rsidR="00BE0D22" w:rsidRPr="00ED4DFF" w:rsidRDefault="00906A71" w:rsidP="00906A71">
      <w:pPr>
        <w:pStyle w:val="ManualNumPar1"/>
        <w:rPr>
          <w:noProof/>
        </w:rPr>
      </w:pPr>
      <w:r w:rsidRPr="00906A71">
        <w:rPr>
          <w:noProof/>
        </w:rPr>
        <w:t>3.</w:t>
      </w:r>
      <w:r w:rsidRPr="00906A71">
        <w:rPr>
          <w:noProof/>
        </w:rPr>
        <w:tab/>
      </w:r>
      <w:r w:rsidR="006D5356" w:rsidRPr="00ED4DFF">
        <w:rPr>
          <w:noProof/>
        </w:rPr>
        <w:t>η βελτίωση της τρέχουσας κατάστασης μέσω της διασφάλισης της πρόσβασης των τελικών χρηστών, όπως οι συνοριοφύλακες, οι υπάλληλοι μετανάστευσης, οι αρχές θεώρησης και οι υπάλληλοι επιβολής του νόμου, στις πλέον επικαιροποιημένες πληροφορίες σχετικά με την ταυτότητα των ταξιδιωτών, ακόμη και αν τα δεδομένα που έχουν καταχωριστεί στο σύστημα είναι ελλιπή λόγω της σταδιακής έναρξης εφαρμογής του ΣΕΕ·</w:t>
      </w:r>
    </w:p>
    <w:p w:rsidR="00BE0D22" w:rsidRPr="00ED4DFF" w:rsidRDefault="00906A71" w:rsidP="00906A71">
      <w:pPr>
        <w:pStyle w:val="ManualNumPar1"/>
        <w:rPr>
          <w:noProof/>
        </w:rPr>
      </w:pPr>
      <w:r w:rsidRPr="00906A71">
        <w:rPr>
          <w:noProof/>
        </w:rPr>
        <w:t>4.</w:t>
      </w:r>
      <w:r w:rsidRPr="00906A71">
        <w:rPr>
          <w:noProof/>
        </w:rPr>
        <w:tab/>
      </w:r>
      <w:r w:rsidR="006D5356" w:rsidRPr="00ED4DFF">
        <w:rPr>
          <w:noProof/>
        </w:rPr>
        <w:t xml:space="preserve">η διασφάλιση της θέσπισης λύσεων ώστε τα κράτη μέλη να αντιμετωπίζουν απρόβλεπτες καταστάσεις που ενδέχεται να προκύψουν μετά την έναρξη λειτουργίας του ΣΕΕ, ώστε να αποφεύγονται διαταραχές στα εξωτερικά σύνορα και μεγάλοι χρόνοι αναμονής· </w:t>
      </w:r>
    </w:p>
    <w:p w:rsidR="00BE0D22" w:rsidRPr="00ED4DFF" w:rsidRDefault="00906A71" w:rsidP="00906A71">
      <w:pPr>
        <w:pStyle w:val="ManualNumPar1"/>
        <w:rPr>
          <w:noProof/>
        </w:rPr>
      </w:pPr>
      <w:r w:rsidRPr="00906A71">
        <w:rPr>
          <w:noProof/>
        </w:rPr>
        <w:t>5.</w:t>
      </w:r>
      <w:r w:rsidRPr="00906A71">
        <w:rPr>
          <w:noProof/>
        </w:rPr>
        <w:tab/>
      </w:r>
      <w:r w:rsidR="006D5356" w:rsidRPr="00ED4DFF">
        <w:rPr>
          <w:noProof/>
        </w:rPr>
        <w:t>η παροχή της δυνατότητας στις εθνικές αρχές, στους ταξιδιώτες και στους μεταφορείς να προσαρμοστούν στις νέες διαδικασίες και τεχνολογίες διαχείρισης των συνόρων·</w:t>
      </w:r>
    </w:p>
    <w:p w:rsidR="00BE0D22" w:rsidRPr="00ED4DFF" w:rsidRDefault="00906A71" w:rsidP="00906A71">
      <w:pPr>
        <w:pStyle w:val="ManualNumPar1"/>
        <w:rPr>
          <w:noProof/>
        </w:rPr>
      </w:pPr>
      <w:r w:rsidRPr="00906A71">
        <w:rPr>
          <w:noProof/>
        </w:rPr>
        <w:t>6.</w:t>
      </w:r>
      <w:r w:rsidRPr="00906A71">
        <w:rPr>
          <w:noProof/>
        </w:rPr>
        <w:tab/>
      </w:r>
      <w:r w:rsidR="006D5356" w:rsidRPr="00ED4DFF">
        <w:rPr>
          <w:noProof/>
        </w:rPr>
        <w:t xml:space="preserve">η διατήρηση σημαντικών επενδύσεων που πραγματοποιήθηκαν, ιδίως όσον αφορά τις υποδομές, τον εξοπλισμό και τους ανθρώπινους πόρους, ενόψει της έναρξης λειτουργίας του ΣΕΕ. </w:t>
      </w:r>
    </w:p>
    <w:p w:rsidR="00BE0D22" w:rsidRPr="00ED4DFF" w:rsidRDefault="00BE0D22" w:rsidP="00BE0D22">
      <w:pPr>
        <w:pStyle w:val="ManualHeading2"/>
        <w:rPr>
          <w:rFonts w:eastAsia="Arial Unicode MS"/>
          <w:noProof/>
          <w:color w:val="000000"/>
          <w:bdr w:val="nil"/>
        </w:rPr>
      </w:pPr>
      <w:r w:rsidRPr="00ED4DFF">
        <w:rPr>
          <w:noProof/>
          <w:color w:val="000000"/>
          <w:bdr w:val="nil"/>
        </w:rPr>
        <w:t>•</w:t>
      </w:r>
      <w:r w:rsidRPr="00ED4DFF">
        <w:rPr>
          <w:noProof/>
        </w:rPr>
        <w:tab/>
        <w:t>Συνέπεια με τις ισχύουσες διατάξεις στον τομέα πολιτικής</w:t>
      </w:r>
    </w:p>
    <w:p w:rsidR="00BE0D22" w:rsidRPr="00ED4DFF" w:rsidRDefault="00BE0D22" w:rsidP="00BE0D22">
      <w:pPr>
        <w:pBdr>
          <w:top w:val="nil"/>
          <w:left w:val="nil"/>
          <w:bottom w:val="nil"/>
          <w:right w:val="nil"/>
          <w:between w:val="nil"/>
          <w:bar w:val="nil"/>
        </w:pBdr>
        <w:spacing w:before="0" w:after="240"/>
        <w:rPr>
          <w:rFonts w:eastAsia="Arial Unicode MS"/>
          <w:noProof/>
        </w:rPr>
      </w:pPr>
      <w:r w:rsidRPr="00ED4DFF">
        <w:rPr>
          <w:noProof/>
        </w:rPr>
        <w:t>Το ισχύον νομικό πλαίσιο της ΕΕ στον τομέα αυτόν αποτελείται από την ενωσιακή νομοθεσία σχετικά με τους ελέγχους στα εξωτερικά σύνορα. Η προτεινόμενη νομοθεσία συμβάλλει επίσης στην επίτευξη των στόχων που τάσσονται στον κώδικα συνόρων του Σένγκεν και στη σύμβαση εφαρμογής της συμφωνίας του Σένγκεν</w:t>
      </w:r>
      <w:r w:rsidRPr="00ED4DFF">
        <w:rPr>
          <w:rStyle w:val="FootnoteReference"/>
          <w:rFonts w:eastAsia="Arial Unicode MS"/>
          <w:noProof/>
        </w:rPr>
        <w:footnoteReference w:id="5"/>
      </w:r>
      <w:r w:rsidRPr="00ED4DFF">
        <w:rPr>
          <w:noProof/>
        </w:rPr>
        <w:t>.</w:t>
      </w:r>
    </w:p>
    <w:p w:rsidR="00BE0D22" w:rsidRPr="00ED4DFF" w:rsidRDefault="6A105A5B" w:rsidP="39812AB3">
      <w:pPr>
        <w:pBdr>
          <w:top w:val="nil"/>
          <w:left w:val="nil"/>
          <w:bottom w:val="nil"/>
          <w:right w:val="nil"/>
          <w:between w:val="nil"/>
          <w:bar w:val="nil"/>
        </w:pBdr>
        <w:spacing w:before="0" w:after="240"/>
        <w:rPr>
          <w:rFonts w:eastAsia="Arial Unicode MS"/>
          <w:noProof/>
        </w:rPr>
      </w:pPr>
      <w:r w:rsidRPr="00ED4DFF">
        <w:rPr>
          <w:noProof/>
        </w:rPr>
        <w:t>Η πρόταση συνάδει με τους κανόνες που θεσπίζονται στον Γενικό Κανονισμό για την Προστασία Δεδομένων</w:t>
      </w:r>
      <w:r w:rsidRPr="00ED4DFF">
        <w:rPr>
          <w:rStyle w:val="FootnoteReference"/>
          <w:rFonts w:eastAsia="Arial Unicode MS"/>
          <w:noProof/>
        </w:rPr>
        <w:footnoteReference w:id="6"/>
      </w:r>
      <w:r w:rsidRPr="00ED4DFF">
        <w:rPr>
          <w:noProof/>
        </w:rPr>
        <w:t xml:space="preserve">. </w:t>
      </w:r>
    </w:p>
    <w:p w:rsidR="00BE0D22" w:rsidRPr="00ED4DFF" w:rsidRDefault="00BE0D22" w:rsidP="00BE0D22">
      <w:pPr>
        <w:rPr>
          <w:rFonts w:eastAsia="Times New Roman"/>
          <w:noProof/>
        </w:rPr>
      </w:pPr>
      <w:r w:rsidRPr="00ED4DFF">
        <w:rPr>
          <w:noProof/>
        </w:rPr>
        <w:t xml:space="preserve">Ο κανονισμός συνάδει πλήρως με το υφιστάμενο νομικό πλαίσιο για την προστασία των δεδομένων. Προβλέπει στοχευμένες προσωρινές παρεκκλίσεις από τον κανονισμό ΣΕΕ και τον κώδικα συνόρων του Σένγκεν, οι οποίες είναι αναγκαίες για να καταστεί δυνατή η σταδιακή έναρξη λειτουργίας του ΣΕΕ. </w:t>
      </w:r>
    </w:p>
    <w:p w:rsidR="00BE0D22" w:rsidRPr="00ED4DFF" w:rsidRDefault="00BE0D22" w:rsidP="00BE0D22">
      <w:pPr>
        <w:pStyle w:val="ManualHeading2"/>
        <w:rPr>
          <w:rFonts w:eastAsia="Arial Unicode MS"/>
          <w:noProof/>
        </w:rPr>
      </w:pPr>
      <w:r w:rsidRPr="00ED4DFF">
        <w:rPr>
          <w:noProof/>
          <w:color w:val="000000"/>
          <w:bdr w:val="nil"/>
        </w:rPr>
        <w:t>•</w:t>
      </w:r>
      <w:r w:rsidRPr="00ED4DFF">
        <w:rPr>
          <w:noProof/>
        </w:rPr>
        <w:tab/>
        <w:t>Συνέπεια με άλλες πολιτικές της ΕΕ</w:t>
      </w:r>
    </w:p>
    <w:p w:rsidR="00BE0D22" w:rsidRPr="00ED4DFF" w:rsidRDefault="6772D326" w:rsidP="00BE0D22">
      <w:pPr>
        <w:pStyle w:val="Text1"/>
        <w:ind w:left="0"/>
        <w:rPr>
          <w:noProof/>
        </w:rPr>
      </w:pPr>
      <w:r w:rsidRPr="00ED4DFF">
        <w:rPr>
          <w:noProof/>
        </w:rPr>
        <w:t>Η σταδιακή έναρξη λειτουργίας του ΣΕΕ θα συνάδει με την εφαρμογή του Συστήματος Πληροφοριών για τις Θεωρήσεις (VIS) και του μελλοντικού Ευρωπαϊκού Συστήματος Πληροφοριών και Αδειοδότησης Ταξιδιού (ETIAS), καθώς και με τα μελλοντικά στοιχεία διαλειτουργικότητας που αναπτύσσονται από τον eu-LISA, δηλαδή την ευρωπαϊκή πύλη αναζήτησης, την κοινή υπηρεσία αντιστοίχισης βιομετρικών δεδομένων, το κοινό αποθετήριο δεδομένων ταυτότητας και τον ανιχνευτή πολλαπλών ταυτοτήτων</w:t>
      </w:r>
      <w:r w:rsidRPr="00ED4DFF">
        <w:rPr>
          <w:rStyle w:val="FootnoteReference"/>
          <w:noProof/>
        </w:rPr>
        <w:footnoteReference w:id="7"/>
      </w:r>
      <w:r w:rsidRPr="00ED4DFF">
        <w:rPr>
          <w:noProof/>
        </w:rPr>
        <w:t>. Ο αναθεωρημένος ολοκληρωμένος σχεδιασμός του ETIAS, καθώς και όλων των στοιχείων διαλειτουργικότητας, θα συζητηθεί και θα συμφωνηθεί μεταξύ της Επιτροπής, των κρατών μελών και του eu-LISA υπό το πρίσμα της αναμενόμενης έναρξης λειτουργίας του ΣΕΕ.</w:t>
      </w:r>
    </w:p>
    <w:p w:rsidR="00BE0D22" w:rsidRPr="00ED4DFF" w:rsidRDefault="00BE0D22" w:rsidP="00BE0D22">
      <w:pPr>
        <w:pStyle w:val="ManualHeading1"/>
        <w:rPr>
          <w:noProof/>
        </w:rPr>
      </w:pPr>
      <w:r w:rsidRPr="00ED4DFF">
        <w:rPr>
          <w:noProof/>
        </w:rPr>
        <w:t>2.</w:t>
      </w:r>
      <w:r w:rsidRPr="00ED4DFF">
        <w:rPr>
          <w:noProof/>
        </w:rPr>
        <w:tab/>
        <w:t>ΝΟΜΙΚΗ ΒΑΣΗ, ΕΠΙΚΟΥΡΙΚΟΤΗΤΑ ΚΑΙ ΑΝΑΛΟΓΙΚΟΤΗΤΑ</w:t>
      </w:r>
    </w:p>
    <w:p w:rsidR="00BE0D22" w:rsidRPr="00ED4DFF" w:rsidRDefault="00BE0D22" w:rsidP="00BE0D22">
      <w:pPr>
        <w:pStyle w:val="ManualHeading2"/>
        <w:rPr>
          <w:rFonts w:eastAsia="Arial Unicode MS"/>
          <w:noProof/>
          <w:bdr w:val="nil"/>
        </w:rPr>
      </w:pPr>
      <w:r w:rsidRPr="00ED4DFF">
        <w:rPr>
          <w:noProof/>
          <w:bdr w:val="nil"/>
        </w:rPr>
        <w:t>•</w:t>
      </w:r>
      <w:r w:rsidRPr="00ED4DFF">
        <w:rPr>
          <w:noProof/>
        </w:rPr>
        <w:tab/>
      </w:r>
      <w:r w:rsidRPr="00ED4DFF">
        <w:rPr>
          <w:noProof/>
          <w:bdr w:val="nil"/>
        </w:rPr>
        <w:t>Νομική βάση</w:t>
      </w:r>
    </w:p>
    <w:p w:rsidR="00BE0D22" w:rsidRPr="00ED4DFF" w:rsidRDefault="00E02147" w:rsidP="00BE0D22">
      <w:pPr>
        <w:pBdr>
          <w:top w:val="nil"/>
          <w:left w:val="nil"/>
          <w:bottom w:val="nil"/>
          <w:right w:val="nil"/>
          <w:between w:val="nil"/>
          <w:bar w:val="nil"/>
        </w:pBdr>
        <w:spacing w:before="0" w:after="240"/>
        <w:rPr>
          <w:noProof/>
        </w:rPr>
      </w:pPr>
      <w:r w:rsidRPr="00ED4DFF">
        <w:rPr>
          <w:noProof/>
        </w:rPr>
        <w:t xml:space="preserve">Ο παρών κανονισμός προβλέπει προσωρινή παρέκκλιση από ορισμένες διατάξεις του κανονισμού ΣΕΕ και του κώδικα συνόρων του Σένγκεν, οι οποίες εγκρίθηκαν βάσει του άρθρου 77 παράγραφος 2 στοιχεία β) και δ) της Συνθήκης για τη λειτουργία της Ευρωπαϊκής Ένωσης (ΣΛΕΕ) και του άρθρου 87 παράγραφος 2 στοιχείο α) της ΣΛΕΕ, καθώς και του άρθρου 77 παράγραφος 2 στοιχεία β) και ε) της ΣΛΕΕ, αντίστοιχα. Ενδείκνυται να εγκριθεί ο παρών προτεινόμενος κανονισμός με βάση τις ίδιες διατάξεις της ΣΛΕΕ με εκείνες στις οποίες βασίστηκε ο κανονισμός ΣΕΕ. </w:t>
      </w:r>
    </w:p>
    <w:p w:rsidR="00BE0D22" w:rsidRPr="00ED4DFF" w:rsidRDefault="00BE0D22" w:rsidP="00BE0D22">
      <w:pPr>
        <w:pStyle w:val="ManualHeading2"/>
        <w:rPr>
          <w:rFonts w:eastAsia="Arial Unicode MS"/>
          <w:noProof/>
          <w:u w:color="000000"/>
          <w:bdr w:val="nil"/>
        </w:rPr>
      </w:pPr>
      <w:r w:rsidRPr="00ED4DFF">
        <w:rPr>
          <w:noProof/>
          <w:u w:color="000000"/>
          <w:bdr w:val="nil"/>
        </w:rPr>
        <w:t>•</w:t>
      </w:r>
      <w:r w:rsidRPr="00ED4DFF">
        <w:rPr>
          <w:noProof/>
        </w:rPr>
        <w:tab/>
      </w:r>
      <w:r w:rsidRPr="00ED4DFF">
        <w:rPr>
          <w:noProof/>
          <w:u w:color="000000"/>
          <w:bdr w:val="nil"/>
        </w:rPr>
        <w:t xml:space="preserve">Επικουρικότητα (σε περίπτωση μη αποκλειστικής αρμοδιότητας) </w:t>
      </w:r>
    </w:p>
    <w:p w:rsidR="00BE0D22" w:rsidRPr="00ED4DFF" w:rsidRDefault="00BE0D22" w:rsidP="00BE0D22">
      <w:pPr>
        <w:pBdr>
          <w:top w:val="nil"/>
          <w:left w:val="nil"/>
          <w:bottom w:val="nil"/>
          <w:right w:val="nil"/>
          <w:between w:val="nil"/>
          <w:bar w:val="nil"/>
        </w:pBdr>
        <w:spacing w:before="0" w:after="240"/>
        <w:rPr>
          <w:rFonts w:eastAsia="Arial Unicode MS"/>
          <w:noProof/>
          <w:color w:val="000000"/>
          <w:szCs w:val="24"/>
          <w:u w:color="000000"/>
          <w:bdr w:val="nil"/>
        </w:rPr>
      </w:pPr>
      <w:r w:rsidRPr="00ED4DFF">
        <w:rPr>
          <w:noProof/>
          <w:color w:val="000000"/>
          <w:u w:color="000000"/>
          <w:bdr w:val="nil"/>
        </w:rPr>
        <w:t xml:space="preserve">Σύμφωνα με την αρχή της επικουρικότητας, η ΕΕ δύναται να αναλάβει δράση μόνον όταν είναι αδύνατον να επιτευχθούν οι επιδιωκόμενοι στόχοι από μόνα τα κράτη μέλη. </w:t>
      </w:r>
    </w:p>
    <w:p w:rsidR="00BE0D22" w:rsidRPr="00ED4DFF" w:rsidRDefault="00BE0D22" w:rsidP="00BE0D22">
      <w:pPr>
        <w:pBdr>
          <w:top w:val="nil"/>
          <w:left w:val="nil"/>
          <w:bottom w:val="nil"/>
          <w:right w:val="nil"/>
          <w:between w:val="nil"/>
          <w:bar w:val="nil"/>
        </w:pBdr>
        <w:spacing w:before="0" w:after="240"/>
        <w:rPr>
          <w:rFonts w:eastAsia="Arial Unicode MS"/>
          <w:noProof/>
        </w:rPr>
      </w:pPr>
      <w:r w:rsidRPr="00ED4DFF">
        <w:rPr>
          <w:noProof/>
          <w:color w:val="000000"/>
          <w:bdr w:val="nil"/>
        </w:rPr>
        <w:t>Στόχος του προτεινόμενου κανονισμού είναι να καταστεί δυνατή η εφαρμογή των κανόνων που θεσπίζονται</w:t>
      </w:r>
      <w:r w:rsidRPr="00ED4DFF">
        <w:rPr>
          <w:noProof/>
        </w:rPr>
        <w:t xml:space="preserve"> </w:t>
      </w:r>
      <w:r w:rsidRPr="00ED4DFF">
        <w:rPr>
          <w:noProof/>
          <w:color w:val="000000" w:themeColor="text1"/>
        </w:rPr>
        <w:t>στον</w:t>
      </w:r>
      <w:r w:rsidRPr="00ED4DFF">
        <w:rPr>
          <w:noProof/>
        </w:rPr>
        <w:t xml:space="preserve"> </w:t>
      </w:r>
      <w:r w:rsidRPr="00ED4DFF">
        <w:rPr>
          <w:noProof/>
          <w:color w:val="000000"/>
          <w:bdr w:val="nil"/>
        </w:rPr>
        <w:t>κανονισμό ΣΕΕ</w:t>
      </w:r>
      <w:r w:rsidRPr="00ED4DFF">
        <w:rPr>
          <w:noProof/>
          <w:color w:val="000000" w:themeColor="text1"/>
        </w:rPr>
        <w:t xml:space="preserve">. </w:t>
      </w:r>
      <w:r w:rsidRPr="00ED4DFF">
        <w:rPr>
          <w:noProof/>
        </w:rPr>
        <w:t xml:space="preserve">Η σταδιακή έναρξη λειτουργίας ενός κοινού συστήματος πληροφοριών με εναρμονισμένους κανόνες και χρονοδιαγράμματα δεν μπορεί να επιτευχθεί επαρκώς από μόνα τα κράτη μέλη. </w:t>
      </w:r>
      <w:r w:rsidRPr="00ED4DFF">
        <w:rPr>
          <w:noProof/>
          <w:color w:val="000000"/>
          <w:u w:color="000000"/>
          <w:bdr w:val="nil"/>
        </w:rPr>
        <w:t>Απαιτείται ενωσιακή δράση για να εξασφαλιστεί η σταδιακή έναρξη λειτουργίας του ΣΕΕ.</w:t>
      </w:r>
    </w:p>
    <w:p w:rsidR="00BE0D22" w:rsidRPr="00ED4DFF" w:rsidRDefault="00BE0D22" w:rsidP="00BE0D22">
      <w:pPr>
        <w:pStyle w:val="ManualHeading2"/>
        <w:rPr>
          <w:rFonts w:eastAsia="Arial Unicode MS"/>
          <w:noProof/>
          <w:u w:color="000000"/>
          <w:bdr w:val="nil"/>
        </w:rPr>
      </w:pPr>
      <w:r w:rsidRPr="00ED4DFF">
        <w:rPr>
          <w:noProof/>
          <w:u w:color="000000"/>
          <w:bdr w:val="nil"/>
        </w:rPr>
        <w:t>•</w:t>
      </w:r>
      <w:r w:rsidRPr="00ED4DFF">
        <w:rPr>
          <w:noProof/>
        </w:rPr>
        <w:tab/>
      </w:r>
      <w:r w:rsidRPr="00ED4DFF">
        <w:rPr>
          <w:noProof/>
          <w:u w:color="000000"/>
          <w:bdr w:val="nil"/>
        </w:rPr>
        <w:t>Αναλογικότητα</w:t>
      </w:r>
    </w:p>
    <w:p w:rsidR="00BE0D22" w:rsidRPr="00ED4DFF" w:rsidRDefault="00BE0D22" w:rsidP="00BE0D22">
      <w:pPr>
        <w:pBdr>
          <w:top w:val="nil"/>
          <w:left w:val="nil"/>
          <w:bottom w:val="nil"/>
          <w:right w:val="nil"/>
          <w:between w:val="nil"/>
          <w:bar w:val="nil"/>
        </w:pBdr>
        <w:spacing w:before="0" w:after="240"/>
        <w:rPr>
          <w:rFonts w:eastAsia="Arial Unicode MS"/>
          <w:noProof/>
          <w:color w:val="000000"/>
          <w:szCs w:val="24"/>
          <w:u w:color="000000"/>
          <w:bdr w:val="nil"/>
        </w:rPr>
      </w:pPr>
      <w:r w:rsidRPr="00ED4DFF">
        <w:rPr>
          <w:noProof/>
          <w:color w:val="000000"/>
          <w:u w:color="000000"/>
          <w:bdr w:val="nil"/>
        </w:rPr>
        <w:t xml:space="preserve">Η πρόταση είναι σύμφωνη με την αρχή της αναλογικότητας, όπως διατυπώνεται στο άρθρο 5 της Συνθήκης για την Ευρωπαϊκή Ένωση, διότι δεν θα υπερβαίνει τα αναγκαία για την επίτευξη των καθορισμένων στόχων. </w:t>
      </w:r>
    </w:p>
    <w:p w:rsidR="00BE0D22" w:rsidRPr="00ED4DFF" w:rsidRDefault="00BE0D22" w:rsidP="00BE0D22">
      <w:pPr>
        <w:pBdr>
          <w:top w:val="nil"/>
          <w:left w:val="nil"/>
          <w:bottom w:val="nil"/>
          <w:right w:val="nil"/>
          <w:between w:val="nil"/>
          <w:bar w:val="nil"/>
        </w:pBdr>
        <w:spacing w:before="0" w:after="240"/>
        <w:rPr>
          <w:rFonts w:eastAsia="Arial Unicode MS"/>
          <w:noProof/>
          <w:color w:val="000000"/>
          <w:bdr w:val="nil"/>
        </w:rPr>
      </w:pPr>
      <w:r w:rsidRPr="00ED4DFF">
        <w:rPr>
          <w:noProof/>
          <w:color w:val="000000"/>
          <w:bdr w:val="nil"/>
        </w:rPr>
        <w:t>Ειδικότερα, ο προτεινόμενος κανονισμός δημιουργεί περιορισμένη παρέκκλιση από τον κανονισμό ΣΕΕ και τον κώδικα συνόρων του Σένγκεν, με στόχο</w:t>
      </w:r>
      <w:r w:rsidRPr="00ED4DFF">
        <w:rPr>
          <w:noProof/>
          <w:color w:val="000000" w:themeColor="text1"/>
        </w:rPr>
        <w:t xml:space="preserve"> να καταστεί δυνατή</w:t>
      </w:r>
      <w:r w:rsidRPr="00ED4DFF">
        <w:rPr>
          <w:noProof/>
        </w:rPr>
        <w:t xml:space="preserve"> </w:t>
      </w:r>
      <w:r w:rsidRPr="00ED4DFF">
        <w:rPr>
          <w:noProof/>
          <w:color w:val="000000"/>
          <w:bdr w:val="nil"/>
        </w:rPr>
        <w:t>η σταδιακή έναρξη λειτουργίας του</w:t>
      </w:r>
      <w:r w:rsidRPr="00ED4DFF">
        <w:rPr>
          <w:noProof/>
        </w:rPr>
        <w:t xml:space="preserve"> </w:t>
      </w:r>
      <w:r w:rsidRPr="00ED4DFF">
        <w:rPr>
          <w:noProof/>
          <w:color w:val="000000" w:themeColor="text1"/>
        </w:rPr>
        <w:t>ΣΕΕ</w:t>
      </w:r>
      <w:r w:rsidRPr="00ED4DFF">
        <w:rPr>
          <w:noProof/>
        </w:rPr>
        <w:t>.</w:t>
      </w:r>
    </w:p>
    <w:p w:rsidR="00BE0D22" w:rsidRPr="00ED4DFF" w:rsidRDefault="00BE0D22" w:rsidP="00BE0D22">
      <w:pPr>
        <w:pStyle w:val="ManualHeading2"/>
        <w:rPr>
          <w:rFonts w:eastAsia="Arial Unicode MS"/>
          <w:noProof/>
          <w:u w:color="000000"/>
          <w:bdr w:val="nil"/>
        </w:rPr>
      </w:pPr>
      <w:r w:rsidRPr="00ED4DFF">
        <w:rPr>
          <w:noProof/>
          <w:u w:color="000000"/>
          <w:bdr w:val="nil"/>
        </w:rPr>
        <w:t>•</w:t>
      </w:r>
      <w:r w:rsidRPr="00ED4DFF">
        <w:rPr>
          <w:noProof/>
        </w:rPr>
        <w:tab/>
      </w:r>
      <w:r w:rsidRPr="00ED4DFF">
        <w:rPr>
          <w:noProof/>
          <w:u w:color="000000"/>
          <w:bdr w:val="nil"/>
        </w:rPr>
        <w:t>Επιλογή της νομικής πράξης</w:t>
      </w:r>
    </w:p>
    <w:p w:rsidR="00BE0D22" w:rsidRPr="00ED4DFF" w:rsidRDefault="00BE0D22" w:rsidP="00BE0D22">
      <w:pPr>
        <w:pBdr>
          <w:top w:val="nil"/>
          <w:left w:val="nil"/>
          <w:bottom w:val="nil"/>
          <w:right w:val="nil"/>
          <w:between w:val="nil"/>
          <w:bar w:val="nil"/>
        </w:pBdr>
        <w:spacing w:before="0" w:after="240"/>
        <w:rPr>
          <w:rFonts w:eastAsia="Arial Unicode MS"/>
          <w:noProof/>
          <w:color w:val="000000"/>
          <w:szCs w:val="24"/>
          <w:u w:color="000000"/>
          <w:bdr w:val="nil"/>
        </w:rPr>
      </w:pPr>
      <w:r w:rsidRPr="00ED4DFF">
        <w:rPr>
          <w:noProof/>
          <w:color w:val="000000"/>
          <w:u w:color="000000"/>
          <w:bdr w:val="nil"/>
        </w:rPr>
        <w:t xml:space="preserve">Οι στόχοι της πρότασης μπορούν να επιτευχθούν με τον καλύτερο τρόπο μέσω ενός κανονισμού. Ο κανονισμός θα διασφαλίσει άμεση εφαρμογή των διατάξεων, καθώς και ενιαία και συνεκτική προσέγγιση σε ολόκληρο τον χώρο Σένγκεν. Αυτό έχει ιδιαίτερη σημασία, δεδομένου ότι ο προτεινόμενος κανονισμός παρεκκλίνει από τον κανονισμό ΣΕΕ, ο οποίος θεσπίζει ένα κεντρικό σύστημα μέσω του οποίου τα κράτη μέλη συνεργάζονται, και θεσπίζει κανόνες για τους συνοριακούς ελέγχους, καθώς και από τον κώδικα συνόρων του Σένγκεν. Δεδομένου ότι ο προτεινόμενος κανονισμός αποσκοπεί στη θέσπιση ενιαίων υποχρεώσεων για τα κράτη μέλη και τους μεταφορείς, το κατάλληλο μέσο για την επίτευξη των στόχων της παρούσας πρωτοβουλίας είναι ο κανονισμός. </w:t>
      </w:r>
    </w:p>
    <w:p w:rsidR="00BE0D22" w:rsidRPr="00ED4DFF" w:rsidRDefault="00BE0D22" w:rsidP="00BE0D22">
      <w:pPr>
        <w:pStyle w:val="ManualHeading1"/>
        <w:rPr>
          <w:noProof/>
        </w:rPr>
      </w:pPr>
      <w:r w:rsidRPr="00ED4DFF">
        <w:rPr>
          <w:noProof/>
        </w:rPr>
        <w:t>3.</w:t>
      </w:r>
      <w:r w:rsidRPr="00ED4DFF">
        <w:rPr>
          <w:noProof/>
        </w:rPr>
        <w:tab/>
        <w:t>ΑΠΟΤΕΛΕΣΜΑΤΑ ΤΩΝ ΕΚ ΤΩΝ ΥΣΤΕΡΩΝ ΑΞΙΟΛΟΓΗΣΕΩΝ, ΤΩΝ ΔΙΑΒΟΥΛΕΥΣΕΩΝ ΜΕ ΤΑ ΕΝΔΙΑΦΕΡΟΜΕΝΑ ΜΕΡΗ ΚΑΙ ΤΩΝ ΕΚΤΙΜΗΣΕΩΝ ΕΠΙΠΤΩΣΕΩΝ</w:t>
      </w:r>
    </w:p>
    <w:p w:rsidR="00BE0D22" w:rsidRPr="00ED4DFF" w:rsidRDefault="00BE0D22" w:rsidP="00BE0D22">
      <w:pPr>
        <w:pStyle w:val="ManualHeading2"/>
        <w:rPr>
          <w:rFonts w:eastAsia="Arial Unicode MS"/>
          <w:noProof/>
          <w:u w:color="000000"/>
          <w:bdr w:val="nil"/>
        </w:rPr>
      </w:pPr>
      <w:r w:rsidRPr="00ED4DFF">
        <w:rPr>
          <w:noProof/>
          <w:u w:color="000000"/>
          <w:bdr w:val="nil"/>
        </w:rPr>
        <w:t>•</w:t>
      </w:r>
      <w:r w:rsidRPr="00ED4DFF">
        <w:rPr>
          <w:noProof/>
        </w:rPr>
        <w:tab/>
      </w:r>
      <w:r w:rsidRPr="00ED4DFF">
        <w:rPr>
          <w:noProof/>
          <w:u w:color="000000"/>
          <w:bdr w:val="nil"/>
        </w:rPr>
        <w:t>Εκ των υστέρων αξιολογήσεις / έλεγχοι καταλληλότητας της ισχύουσας νομοθεσίας</w:t>
      </w:r>
    </w:p>
    <w:p w:rsidR="00BE0D22" w:rsidRPr="00ED4DFF" w:rsidRDefault="00BE0D22" w:rsidP="00BE0D22">
      <w:pPr>
        <w:pBdr>
          <w:top w:val="nil"/>
          <w:left w:val="nil"/>
          <w:bottom w:val="nil"/>
          <w:right w:val="nil"/>
          <w:between w:val="nil"/>
          <w:bar w:val="nil"/>
        </w:pBdr>
        <w:spacing w:after="240"/>
        <w:rPr>
          <w:rFonts w:eastAsia="Arial Unicode MS"/>
          <w:noProof/>
          <w:color w:val="000000"/>
          <w:szCs w:val="24"/>
          <w:u w:color="000000"/>
          <w:bdr w:val="nil"/>
        </w:rPr>
      </w:pPr>
      <w:r w:rsidRPr="00ED4DFF">
        <w:rPr>
          <w:noProof/>
          <w:color w:val="000000"/>
          <w:u w:color="000000"/>
          <w:bdr w:val="nil"/>
        </w:rPr>
        <w:t>Άνευ αντικειμένου.</w:t>
      </w:r>
    </w:p>
    <w:p w:rsidR="00BE0D22" w:rsidRPr="00ED4DFF" w:rsidRDefault="00BE0D22" w:rsidP="00BE0D22">
      <w:pPr>
        <w:pStyle w:val="ManualHeading2"/>
        <w:rPr>
          <w:rFonts w:eastAsia="Arial Unicode MS"/>
          <w:noProof/>
          <w:u w:color="000000"/>
          <w:bdr w:val="nil"/>
        </w:rPr>
      </w:pPr>
      <w:r w:rsidRPr="00ED4DFF">
        <w:rPr>
          <w:noProof/>
          <w:u w:color="000000"/>
          <w:bdr w:val="nil"/>
        </w:rPr>
        <w:t>•</w:t>
      </w:r>
      <w:r w:rsidRPr="00ED4DFF">
        <w:rPr>
          <w:noProof/>
        </w:rPr>
        <w:tab/>
      </w:r>
      <w:r w:rsidRPr="00ED4DFF">
        <w:rPr>
          <w:noProof/>
          <w:u w:color="000000"/>
          <w:bdr w:val="nil"/>
        </w:rPr>
        <w:t>Διαβουλεύσεις με τα ενδιαφερόμενα μέρη</w:t>
      </w:r>
    </w:p>
    <w:p w:rsidR="00BE0D22" w:rsidRPr="00ED4DFF" w:rsidRDefault="00BE0D22" w:rsidP="00BE0D22">
      <w:pPr>
        <w:pBdr>
          <w:top w:val="nil"/>
          <w:left w:val="nil"/>
          <w:bottom w:val="nil"/>
          <w:right w:val="nil"/>
          <w:between w:val="nil"/>
          <w:bar w:val="nil"/>
        </w:pBdr>
        <w:spacing w:after="240"/>
        <w:rPr>
          <w:rFonts w:eastAsia="Arial Unicode MS"/>
          <w:noProof/>
          <w:color w:val="000000"/>
          <w:szCs w:val="24"/>
          <w:u w:color="000000"/>
          <w:bdr w:val="nil"/>
        </w:rPr>
      </w:pPr>
      <w:r w:rsidRPr="00ED4DFF">
        <w:rPr>
          <w:noProof/>
          <w:color w:val="000000"/>
          <w:u w:color="000000"/>
          <w:bdr w:val="nil"/>
        </w:rPr>
        <w:t>Άνευ αντικειμένου.</w:t>
      </w:r>
    </w:p>
    <w:p w:rsidR="00BE0D22" w:rsidRPr="00ED4DFF" w:rsidRDefault="00BE0D22" w:rsidP="00BE0D22">
      <w:pPr>
        <w:pStyle w:val="ManualHeading2"/>
        <w:rPr>
          <w:rFonts w:eastAsia="Arial Unicode MS"/>
          <w:noProof/>
          <w:bdr w:val="nil"/>
        </w:rPr>
      </w:pPr>
      <w:r w:rsidRPr="00ED4DFF">
        <w:rPr>
          <w:noProof/>
          <w:bdr w:val="nil"/>
        </w:rPr>
        <w:t>•</w:t>
      </w:r>
      <w:r w:rsidRPr="00ED4DFF">
        <w:rPr>
          <w:noProof/>
        </w:rPr>
        <w:tab/>
      </w:r>
      <w:r w:rsidRPr="00ED4DFF">
        <w:rPr>
          <w:noProof/>
          <w:bdr w:val="nil"/>
        </w:rPr>
        <w:t>Συλλογή και χρήση εμπειρογνωσίας</w:t>
      </w:r>
    </w:p>
    <w:p w:rsidR="00BE0D22" w:rsidRPr="00ED4DFF" w:rsidRDefault="6A105A5B" w:rsidP="39812AB3">
      <w:pPr>
        <w:pBdr>
          <w:top w:val="nil"/>
          <w:left w:val="nil"/>
          <w:bottom w:val="nil"/>
          <w:right w:val="nil"/>
          <w:between w:val="nil"/>
          <w:bar w:val="nil"/>
        </w:pBdr>
        <w:spacing w:after="240"/>
        <w:rPr>
          <w:rFonts w:eastAsia="Times New Roman"/>
          <w:noProof/>
        </w:rPr>
      </w:pPr>
      <w:r w:rsidRPr="00ED4DFF">
        <w:rPr>
          <w:noProof/>
        </w:rPr>
        <w:t xml:space="preserve">Η πρόταση έλαβε δεόντως υπόψη τα αποτελέσματα ολοκληρωμένης διαδικασίας διαβούλευσης κατά τον σχεδιασμό και την ανάπτυξη του ΣΕΕ. Η διαδικασία αυτή περιέλαβε συζητήσεις με εμπειρογνώμονες ΤΠ, εμπειρογνώμονες σε θέματα πολιτικής, επιχειρησιακούς και νομικούς εμπειρογνώμονες από τα κράτη μέλη και τον eu-LISA στο πλαίσιο της συμβουλευτικής ομάδας του eu-LISA, το συμβούλιο διαχείρισης προγράμματος του eu-LISA, το διοικητικό συμβούλιο του eu-LISA και την Επιτροπή Έξυπνων Συνόρων. Πραγματοποιήθηκαν επίσης ανταλλαγές απόψεων με τα ενδιαφερόμενα μέρη και συζητήσεις στο Συμβούλιο. </w:t>
      </w:r>
    </w:p>
    <w:p w:rsidR="00BE0D22" w:rsidRPr="00ED4DFF" w:rsidRDefault="00BE0D22" w:rsidP="00BE0D22">
      <w:pPr>
        <w:pStyle w:val="ManualHeading2"/>
        <w:pBdr>
          <w:top w:val="nil"/>
          <w:left w:val="nil"/>
          <w:bottom w:val="nil"/>
          <w:right w:val="nil"/>
          <w:between w:val="nil"/>
        </w:pBdr>
        <w:spacing w:after="240"/>
        <w:rPr>
          <w:rFonts w:eastAsia="Arial Unicode MS"/>
          <w:noProof/>
          <w:bdr w:val="nil"/>
        </w:rPr>
      </w:pPr>
      <w:r w:rsidRPr="00ED4DFF">
        <w:rPr>
          <w:noProof/>
          <w:bdr w:val="nil"/>
        </w:rPr>
        <w:t>•</w:t>
      </w:r>
      <w:r w:rsidRPr="00ED4DFF">
        <w:rPr>
          <w:noProof/>
        </w:rPr>
        <w:tab/>
      </w:r>
      <w:r w:rsidRPr="00ED4DFF">
        <w:rPr>
          <w:noProof/>
          <w:bdr w:val="nil"/>
        </w:rPr>
        <w:t>Εκτίμηση επιπτώσεων</w:t>
      </w:r>
    </w:p>
    <w:p w:rsidR="00BE0D22" w:rsidRPr="00ED4DFF" w:rsidRDefault="00BE0D22" w:rsidP="00BE0D22">
      <w:pPr>
        <w:pBdr>
          <w:top w:val="nil"/>
          <w:left w:val="nil"/>
          <w:bottom w:val="nil"/>
          <w:right w:val="nil"/>
          <w:between w:val="nil"/>
          <w:bar w:val="nil"/>
        </w:pBdr>
        <w:spacing w:before="0" w:after="240"/>
        <w:rPr>
          <w:noProof/>
        </w:rPr>
      </w:pPr>
      <w:r w:rsidRPr="00ED4DFF">
        <w:rPr>
          <w:noProof/>
        </w:rPr>
        <w:t xml:space="preserve">Η πρόταση αποσκοπεί στη θέσπιση περιορισμένης παρέκκλισης από τον κανονισμό ΣΕΕ και τον κώδικα συνόρων του Σένγκεν, ώστε να διασφαλιστεί η σταδιακή έναρξη λειτουργίας του ΣΕΕ. Δεδομένου του στόχου πολιτικής, δεν υπάρχουν άλλες διαθέσιμες επιλογές πολιτικής. Ως εκ τούτου, δεν συνιστάται ούτε απαιτείται εκτίμηση επιπτώσεων. </w:t>
      </w:r>
    </w:p>
    <w:p w:rsidR="00BE0D22" w:rsidRPr="00ED4DFF" w:rsidRDefault="00BE0D22" w:rsidP="00BE0D22">
      <w:pPr>
        <w:pBdr>
          <w:bar w:val="nil"/>
        </w:pBdr>
        <w:spacing w:before="0" w:after="240"/>
        <w:rPr>
          <w:noProof/>
        </w:rPr>
      </w:pPr>
      <w:r w:rsidRPr="00ED4DFF">
        <w:rPr>
          <w:noProof/>
        </w:rPr>
        <w:t>Οι εκτιμήσεις επιπτώσεων για το ΣΕΕ διενεργήθηκαν από το 2008 και, μαζί με τη διαβούλευση με τα ενδιαφερόμενα μέρη και τις συζητήσεις στο Συμβούλιο και το Ευρωπαϊκό Κοινοβούλιο, αποτέλεσαν τη βάση για λεπτομερή εκτίμηση επιπτώσεων που εκπόνησε η Επιτροπή και συνόδευε την πρόταση κανονισμού ΣΕΕ</w:t>
      </w:r>
      <w:r w:rsidRPr="00ED4DFF">
        <w:rPr>
          <w:rStyle w:val="FootnoteReference"/>
          <w:noProof/>
        </w:rPr>
        <w:footnoteReference w:id="8"/>
      </w:r>
      <w:r w:rsidRPr="00ED4DFF">
        <w:rPr>
          <w:noProof/>
        </w:rPr>
        <w:t xml:space="preserve">. Η εκτίμηση επιπτώσεων επικεντρώθηκε στις κρίσιμες ανάγκες για τη διαχείριση των συνόρων που πρέπει να αντιμετωπιστούν με τη θέσπιση του ΣΕΕ. Οι βασικές δεσμεύσεις που πρέπει να αναληφθούν είναι οι εξής: i) βελτίωση της ποιότητας των συνοριακών ελέγχων· ii) διασφάλιση της αξιόπιστης ταυτοποίησης των ατόμων· και iii) ενίσχυση της εσωτερικής ασφάλειας και της καταπολέμησης της τρομοκρατίας και του σοβαρού εγκλήματος. Οι ανάγκες αυτές θα ικανοποιηθούν μόνο με την έναρξη λειτουργίας του ΣΕΕ. </w:t>
      </w:r>
    </w:p>
    <w:p w:rsidR="00BE0D22" w:rsidRPr="00ED4DFF" w:rsidRDefault="00BE0D22" w:rsidP="00BE0D22">
      <w:pPr>
        <w:pStyle w:val="ManualHeading2"/>
        <w:rPr>
          <w:rFonts w:eastAsia="Arial Unicode MS"/>
          <w:noProof/>
          <w:bdr w:val="nil"/>
        </w:rPr>
      </w:pPr>
      <w:r w:rsidRPr="00ED4DFF">
        <w:rPr>
          <w:noProof/>
          <w:bdr w:val="nil"/>
        </w:rPr>
        <w:t>•</w:t>
      </w:r>
      <w:r w:rsidRPr="00ED4DFF">
        <w:rPr>
          <w:noProof/>
        </w:rPr>
        <w:tab/>
      </w:r>
      <w:r w:rsidRPr="00ED4DFF">
        <w:rPr>
          <w:noProof/>
          <w:bdr w:val="nil"/>
        </w:rPr>
        <w:t>Καταλληλότητα και απλούστευση του κανονιστικού πλαισίου</w:t>
      </w:r>
    </w:p>
    <w:p w:rsidR="00BE0D22" w:rsidRPr="00ED4DFF" w:rsidRDefault="00BE0D22" w:rsidP="00BE0D22">
      <w:pPr>
        <w:pBdr>
          <w:top w:val="nil"/>
          <w:left w:val="nil"/>
          <w:bottom w:val="nil"/>
          <w:right w:val="nil"/>
          <w:between w:val="nil"/>
          <w:bar w:val="nil"/>
        </w:pBdr>
        <w:spacing w:after="240"/>
        <w:rPr>
          <w:noProof/>
        </w:rPr>
      </w:pPr>
      <w:r w:rsidRPr="00ED4DFF">
        <w:rPr>
          <w:noProof/>
          <w:color w:val="000000"/>
          <w:u w:color="000000"/>
          <w:bdr w:val="nil"/>
        </w:rPr>
        <w:t>Άνευ αντικειμένου.</w:t>
      </w:r>
    </w:p>
    <w:p w:rsidR="00BE0D22" w:rsidRPr="00ED4DFF" w:rsidRDefault="00BE0D22" w:rsidP="00BE0D22">
      <w:pPr>
        <w:pStyle w:val="ManualHeading2"/>
        <w:rPr>
          <w:rFonts w:eastAsia="Arial Unicode MS"/>
          <w:noProof/>
          <w:bdr w:val="nil"/>
        </w:rPr>
      </w:pPr>
      <w:r w:rsidRPr="00ED4DFF">
        <w:rPr>
          <w:noProof/>
          <w:bdr w:val="nil"/>
        </w:rPr>
        <w:t>•</w:t>
      </w:r>
      <w:r w:rsidRPr="00ED4DFF">
        <w:rPr>
          <w:noProof/>
        </w:rPr>
        <w:tab/>
      </w:r>
      <w:r w:rsidRPr="00ED4DFF">
        <w:rPr>
          <w:noProof/>
          <w:bdr w:val="nil"/>
        </w:rPr>
        <w:t>Θεμελιώδη δικαιώματα</w:t>
      </w:r>
    </w:p>
    <w:p w:rsidR="00BE0D22" w:rsidRPr="00ED4DFF" w:rsidRDefault="00BE0D22" w:rsidP="00BE0D22">
      <w:pPr>
        <w:pBdr>
          <w:top w:val="nil"/>
          <w:left w:val="nil"/>
          <w:bottom w:val="nil"/>
          <w:right w:val="nil"/>
          <w:between w:val="nil"/>
          <w:bar w:val="nil"/>
        </w:pBdr>
        <w:spacing w:before="0" w:after="240"/>
        <w:rPr>
          <w:noProof/>
        </w:rPr>
      </w:pPr>
      <w:r w:rsidRPr="00ED4DFF">
        <w:rPr>
          <w:noProof/>
        </w:rPr>
        <w:t>Στην πρόταση λαμβάνονται πλήρως υπόψη τα θεμελιώδη δικαιώματα και οι αρχές που αναγνωρίζονται από τον Χάρτη των Θεμελιωδών Δικαιωμάτων της Ευρωπαϊκής Ένωσης. Ειδικότερα, τα προτεινόμενα μέτρα λαμβάνουν υπόψη το άρθρο 6 του Χάρτη, το οποίο προστατεύει το θεμελιώδες δικαίωμα στην ελευθερία και την ασφάλεια, το άρθρο 7 του Χάρτη που προστατεύει το θεμελιώδες δικαίωμα κάθε προσώπου στον σεβασμό της ιδιωτικής και οικογενειακής ζωής του και το άρθρο 8 σχετικά με το θεμελιώδες δικαίωμα στην προστασία των δεδομένων προσωπικού χαρακτήρα. Τα προτεινόμενα μέτρα συνάδουν επίσης με το άρθρο 16 της ΣΛΕΕ, το οποίο εγγυάται σε κάθε πρόσωπο το δικαίωμα στην προστασία των δεδομένων του προσωπικού χαρακτήρα.</w:t>
      </w:r>
    </w:p>
    <w:p w:rsidR="00BE0D22" w:rsidRPr="00ED4DFF" w:rsidRDefault="1744AB68" w:rsidP="371983FE">
      <w:pPr>
        <w:pBdr>
          <w:top w:val="nil"/>
          <w:left w:val="nil"/>
          <w:bottom w:val="nil"/>
          <w:right w:val="nil"/>
          <w:between w:val="nil"/>
          <w:bar w:val="nil"/>
        </w:pBdr>
        <w:spacing w:before="0" w:after="240"/>
        <w:rPr>
          <w:b/>
          <w:bCs/>
          <w:smallCaps/>
          <w:noProof/>
        </w:rPr>
      </w:pPr>
      <w:r w:rsidRPr="00ED4DFF">
        <w:rPr>
          <w:noProof/>
        </w:rPr>
        <w:t>Η πρόταση δεν τροποποιεί τους αυστηρούς κανόνες πρόσβασης στο ΣΕΕ και τις αναγκαίες διασφαλίσεις που θεσπίζονται στον κανονισμό ΣΕΕ, όπως ο σεβασμός των δεδομένων προσωπικού χαρακτήρα ως θεμελιώδες δικαίωμα και το δικαίωμα στην πληροφόρηση.</w:t>
      </w:r>
      <w:r w:rsidRPr="00ED4DFF">
        <w:rPr>
          <w:b/>
          <w:smallCaps/>
          <w:noProof/>
          <w:shd w:val="clear" w:color="auto" w:fill="FFFFFF"/>
        </w:rPr>
        <w:t xml:space="preserve"> </w:t>
      </w:r>
    </w:p>
    <w:p w:rsidR="00BE0D22" w:rsidRPr="00ED4DFF" w:rsidRDefault="00BE0D22" w:rsidP="00BE0D22">
      <w:pPr>
        <w:pStyle w:val="ManualHeading1"/>
        <w:rPr>
          <w:noProof/>
        </w:rPr>
      </w:pPr>
      <w:r w:rsidRPr="00ED4DFF">
        <w:rPr>
          <w:noProof/>
        </w:rPr>
        <w:t>4.</w:t>
      </w:r>
      <w:r w:rsidRPr="00ED4DFF">
        <w:rPr>
          <w:noProof/>
        </w:rPr>
        <w:tab/>
        <w:t>ΔΗΜΟΣΙΟΝΟΜΙΚΕΣ ΕΠΙΠΤΩΣΕΙΣ</w:t>
      </w:r>
    </w:p>
    <w:p w:rsidR="00BE0D22" w:rsidRPr="00ED4DFF" w:rsidRDefault="00BE0D22" w:rsidP="00BE0D22">
      <w:pPr>
        <w:pBdr>
          <w:top w:val="nil"/>
          <w:left w:val="nil"/>
          <w:bottom w:val="nil"/>
          <w:right w:val="nil"/>
          <w:between w:val="nil"/>
          <w:bar w:val="nil"/>
        </w:pBdr>
        <w:spacing w:before="0" w:after="240"/>
        <w:rPr>
          <w:noProof/>
        </w:rPr>
      </w:pPr>
      <w:r w:rsidRPr="00ED4DFF">
        <w:rPr>
          <w:noProof/>
        </w:rPr>
        <w:t>Η παρούσα πρόταση δεν έχει επιπτώσεις στον προϋπολογισμό της ΕΕ.</w:t>
      </w:r>
    </w:p>
    <w:p w:rsidR="00BE0D22" w:rsidRPr="00ED4DFF" w:rsidRDefault="00BE0D22" w:rsidP="00BE0D22">
      <w:pPr>
        <w:pStyle w:val="ManualHeading1"/>
        <w:rPr>
          <w:noProof/>
        </w:rPr>
      </w:pPr>
      <w:r w:rsidRPr="00ED4DFF">
        <w:rPr>
          <w:noProof/>
        </w:rPr>
        <w:t>5.</w:t>
      </w:r>
      <w:r w:rsidRPr="00ED4DFF">
        <w:rPr>
          <w:noProof/>
        </w:rPr>
        <w:tab/>
        <w:t>ΛΟΙΠΑ ΣΤΟΙΧΕΙΑ</w:t>
      </w:r>
    </w:p>
    <w:p w:rsidR="00BE0D22" w:rsidRPr="00ED4DFF" w:rsidRDefault="00BE0D22" w:rsidP="00BE0D22">
      <w:pPr>
        <w:pStyle w:val="ManualHeading2"/>
        <w:rPr>
          <w:rFonts w:eastAsia="Arial Unicode MS"/>
          <w:noProof/>
          <w:bdr w:val="nil"/>
        </w:rPr>
      </w:pPr>
      <w:r w:rsidRPr="00ED4DFF">
        <w:rPr>
          <w:noProof/>
          <w:bdr w:val="nil"/>
        </w:rPr>
        <w:t>•</w:t>
      </w:r>
      <w:r w:rsidRPr="00ED4DFF">
        <w:rPr>
          <w:noProof/>
        </w:rPr>
        <w:tab/>
      </w:r>
      <w:r w:rsidRPr="00ED4DFF">
        <w:rPr>
          <w:noProof/>
          <w:bdr w:val="nil"/>
        </w:rPr>
        <w:t>Σχέδια εφαρμογής και ρυθμίσεις παρακολούθησης, αξιολόγησης και υποβολής εκθέσεων</w:t>
      </w:r>
    </w:p>
    <w:p w:rsidR="00BE0D22" w:rsidRPr="00ED4DFF" w:rsidRDefault="00BE0D22" w:rsidP="00BE0D22">
      <w:pPr>
        <w:pBdr>
          <w:top w:val="nil"/>
          <w:left w:val="nil"/>
          <w:bottom w:val="nil"/>
          <w:right w:val="nil"/>
          <w:between w:val="nil"/>
          <w:bar w:val="nil"/>
        </w:pBdr>
        <w:spacing w:before="0" w:after="240"/>
        <w:rPr>
          <w:noProof/>
        </w:rPr>
      </w:pPr>
      <w:r w:rsidRPr="00ED4DFF">
        <w:rPr>
          <w:noProof/>
        </w:rPr>
        <w:t>Το πρόγραμμα παρακολούθησης των αποτελεσμάτων και των επιπτώσεων του προτεινόμενου κανονισμού ακολουθεί το πρόγραμμα του άρθρου 72 του κανονισμού ΣΕΕ.</w:t>
      </w:r>
    </w:p>
    <w:p w:rsidR="00BE0D22" w:rsidRPr="00ED4DFF" w:rsidRDefault="00BE0D22" w:rsidP="00BE0D22">
      <w:pPr>
        <w:pBdr>
          <w:top w:val="nil"/>
          <w:left w:val="nil"/>
          <w:bottom w:val="nil"/>
          <w:right w:val="nil"/>
          <w:between w:val="nil"/>
          <w:bar w:val="nil"/>
        </w:pBdr>
        <w:spacing w:before="0" w:after="240"/>
        <w:rPr>
          <w:noProof/>
        </w:rPr>
      </w:pPr>
      <w:r w:rsidRPr="00ED4DFF">
        <w:rPr>
          <w:noProof/>
        </w:rPr>
        <w:t>Επιπλέον, ένας συνεκτικός μηχανισμός που βασίζεται σε σχέδια σταδιακής εφαρμογής και υποχρεώσεις υποβολής εκθέσεων επιτρέπει τη λήψη αποφάσεων και τη συνολική παρακολούθηση πριν και κατά τη διάρκεια της σταδιακής έναρξης λειτουργίας. Τα σχέδια σταδιακής εφαρμογής που αναπτύσσονται σε κεντρικό και εθνικό επίπεδο είναι αποτέλεσμα της στενής συνεργασίας μεταξύ των κρατών μελών, του eu-LISA και της Επιτροπής.</w:t>
      </w:r>
    </w:p>
    <w:p w:rsidR="00BE0D22" w:rsidRPr="00ED4DFF" w:rsidRDefault="00BE0D22" w:rsidP="00BE0D22">
      <w:pPr>
        <w:pStyle w:val="ManualHeading2"/>
        <w:rPr>
          <w:rFonts w:eastAsia="Arial Unicode MS"/>
          <w:noProof/>
          <w:bdr w:val="nil"/>
        </w:rPr>
      </w:pPr>
      <w:r w:rsidRPr="00ED4DFF">
        <w:rPr>
          <w:noProof/>
          <w:bdr w:val="nil"/>
        </w:rPr>
        <w:t>•</w:t>
      </w:r>
      <w:r w:rsidRPr="00ED4DFF">
        <w:rPr>
          <w:noProof/>
        </w:rPr>
        <w:tab/>
      </w:r>
      <w:r w:rsidRPr="00ED4DFF">
        <w:rPr>
          <w:noProof/>
          <w:bdr w:val="nil"/>
        </w:rPr>
        <w:t>Αναλυτική επεξήγηση των επιμέρους διατάξεων της πρότασης</w:t>
      </w:r>
    </w:p>
    <w:p w:rsidR="00BE0D22" w:rsidRPr="00ED4DFF" w:rsidRDefault="00BE0D22" w:rsidP="00BE0D22">
      <w:pPr>
        <w:rPr>
          <w:noProof/>
        </w:rPr>
      </w:pPr>
      <w:r w:rsidRPr="00ED4DFF">
        <w:rPr>
          <w:noProof/>
        </w:rPr>
        <w:t>Η πρόταση αποτελείται από τις ενότητες που περιγράφονται κατωτέρω.</w:t>
      </w:r>
    </w:p>
    <w:p w:rsidR="00BE0D22" w:rsidRPr="00ED4DFF" w:rsidRDefault="6A105A5B" w:rsidP="000C779E">
      <w:pPr>
        <w:pStyle w:val="Tiret0"/>
        <w:numPr>
          <w:ilvl w:val="0"/>
          <w:numId w:val="16"/>
        </w:numPr>
        <w:rPr>
          <w:i/>
          <w:iCs/>
          <w:noProof/>
        </w:rPr>
      </w:pPr>
      <w:r w:rsidRPr="00ED4DFF">
        <w:rPr>
          <w:b/>
          <w:noProof/>
        </w:rPr>
        <w:t>Σταδιακή έναρξη εφαρμογής (άρθρα 1, 2 και 4)</w:t>
      </w:r>
      <w:r w:rsidRPr="00ED4DFF">
        <w:rPr>
          <w:noProof/>
        </w:rPr>
        <w:t xml:space="preserve">: Τα κράτη μέλη θα ξεκινήσουν σταδιακά τη λειτουργία του ΣΕΕ, αρχικά με την καταχώριση τουλάχιστον του 10 % των εκτιμώμενων διελεύσεων των συνόρων και επιτυγχάνοντας πλήρη καταχώριση όλων των ατόμων έως το τέλος της περιόδου σταδιακής έναρξης λειτουργίας. Οι αρνήσεις εισόδου θα καταχωρίζονται στα συνοριακά σημεία διέλευσης στα οποία λειτουργεί το ΣΕΕ. Τα κράτη μέλη θα έχουν τη δυνατότητα να επιταχύνουν την εφαρμογή σε εθνικό επίπεδο ή να θέσουν σε πλήρη λειτουργία το ΣΕΕ. Η Ευρωπόλ θα αρχίσει επίσης να χρησιμοποιεί το ΣΕΕ από την πρώτη ημέρα της σταδιακής έναρξης λειτουργίας του. </w:t>
      </w:r>
    </w:p>
    <w:p w:rsidR="00BE0D22" w:rsidRPr="00ED4DFF" w:rsidRDefault="4BC05AE3" w:rsidP="00BE0D22">
      <w:pPr>
        <w:pStyle w:val="Tiret0"/>
        <w:rPr>
          <w:noProof/>
        </w:rPr>
      </w:pPr>
      <w:r w:rsidRPr="00ED4DFF">
        <w:rPr>
          <w:b/>
          <w:noProof/>
        </w:rPr>
        <w:t>Σχέδια σταδιακής εφαρμογής, παρακολούθηση και υποβολή εκθέσεων (άρθρο 3)</w:t>
      </w:r>
      <w:r w:rsidRPr="00ED4DFF">
        <w:rPr>
          <w:noProof/>
        </w:rPr>
        <w:t>: Οι λεπτομέρειες της σταδιακής έναρξης λειτουργίας σε κεντρικό και εθνικό επίπεδο θα καθοριστούν στα σχέδια σταδιακής εφαρμογής του eu-LISA και των κρατών μελών, κατόπιν διαβούλευσης με την Επιτροπή. Τα κράτη μέλη θα υποβάλλουν μηνιαίες εκθέσεις προόδου στην Επιτροπή και στον eu-LISA. Σε περίπτωση που κράτος μέλος αποφασίσει να ξεκινήσει την πλήρη λειτουργία του ΣΕΕ, το σχέδιο σταδιακής εφαρμογής θα εξηγεί μόνο την επιλογή αυτή.</w:t>
      </w:r>
    </w:p>
    <w:p w:rsidR="00BE0D22" w:rsidRPr="00ED4DFF" w:rsidRDefault="31CE0F4E" w:rsidP="00D72D7C">
      <w:pPr>
        <w:pStyle w:val="Tiret0"/>
        <w:rPr>
          <w:noProof/>
        </w:rPr>
      </w:pPr>
      <w:r w:rsidRPr="00ED4DFF">
        <w:rPr>
          <w:b/>
          <w:noProof/>
        </w:rPr>
        <w:t>Προσωρινοί κανόνες που παρεκκλίνουν από τον κανονισμό ΣΕΕ και τον κώδικα συνόρων του Σένγκεν (άρθρο 5)</w:t>
      </w:r>
      <w:r w:rsidRPr="00ED4DFF">
        <w:rPr>
          <w:noProof/>
        </w:rPr>
        <w:t>: Η υποχρεωτική σφράγιση των ταξιδιωτικών εγγράφων για όλα τα πρόσωπα που εμπίπτουν στο πεδίο εφαρμογής του ΣΕΕ θα παραμείνει σε ισχύ έως το τέλος της περιόδου σταδιακής έναρξης λειτουργίας. Όταν αρχίσει να εφαρμόζεται το ΣΕΕ, τα κράτη μέλη θα καταχωρίζουν τα δεδομένα των ταξιδιωτών από τα ταξιδιωτικά τους έγγραφα. Τα κράτη μέλη μπορούν να καταχωρίζουν βιομετρικά δεδομένα σταδιακά. Οι αρχές που έχουν πρόσβαση στα δεδομένα που έχουν καταχωριστεί στο ΣΕΕ κατά την περίοδο της σταδιακής έναρξης λειτουργίας του θα θεωρούν ότι οι σφραγίδες υπερισχύουν των δεδομένων που έχουν καταχωριστεί στο ΣΕΕ. Η διαλειτουργικότητα μεταξύ του ΣΕΕ και του VIS θα αξιοποιείται στα συνοριακά σημεία διέλευσης στα οποία λειτουργεί το ΣΕΕ. Οι πιθανές συνέπειες των πληροφοριών σχετικά με τη μέγιστη υπολειπόμενη διάρκεια επιτρεπόμενης παραμονής που παρέχονται από τον αυτοματοποιημένο υπολογιστή δεν λαμβάνονται υπόψη. Η επαλήθευση ταυτότητας και η προηγούμενη καταχώριση υπηκόων τρίτων χωρών θα πραγματοποιούνται μόνο στα συνοριακά σημεία διέλευσης στα οποία λειτουργεί το ΣΕΕ με βιομετρικές λειτουργικές δυνατότητες. Ο ιστότοπος, η ενημερωτική εκστρατεία και το υπόδειγμα που θα δοθεί στους ταξιδιώτες θα προσαρμοστούν ώστε να αποτυπώνουν τη σταδιακή έναρξη λειτουργίας. Για να διασφαλιστεί η συνοχή μεταξύ των νομικών πράξεων της ΕΕ και η σαφής εφαρμογή των κανόνων, ορισμένες διατάξεις του κανονισμού ΣΕΕ και του κώδικα συνόρων του Σένγκεν θα ανασταλούν κατά τη σταδιακή έναρξη λειτουργίας του ΣΕΕ.</w:t>
      </w:r>
    </w:p>
    <w:p w:rsidR="00BE0D22" w:rsidRPr="00ED4DFF" w:rsidRDefault="0B850AC7" w:rsidP="5418986D">
      <w:pPr>
        <w:pStyle w:val="Tiret0"/>
        <w:rPr>
          <w:rFonts w:eastAsia="Times New Roman"/>
          <w:noProof/>
        </w:rPr>
      </w:pPr>
      <w:r w:rsidRPr="00ED4DFF">
        <w:rPr>
          <w:b/>
          <w:noProof/>
        </w:rPr>
        <w:t>Πρόσβαση στα δεδομένα του ΣΕΕ (άρθρο 6)</w:t>
      </w:r>
      <w:r w:rsidRPr="00ED4DFF">
        <w:rPr>
          <w:noProof/>
        </w:rPr>
        <w:t xml:space="preserve">: </w:t>
      </w:r>
      <w:r w:rsidRPr="00ED4DFF">
        <w:rPr>
          <w:noProof/>
          <w:color w:val="333333"/>
        </w:rPr>
        <w:t>Οι αρμόδιες αρχές θα πρέπει να λάβουν υπόψη τους ότι τα δεδομένα που έχουν καταχωριστεί στο ΣΕΕ κατά τη διάρκεια της σταδιακής έναρξης λειτουργίας του ενδέχεται να είναι ελλιπή.</w:t>
      </w:r>
      <w:r w:rsidRPr="00ED4DFF">
        <w:rPr>
          <w:noProof/>
        </w:rPr>
        <w:t xml:space="preserve"> Ο Ευρωπαϊκός Οργανισμός Συνοριοφυλακής και Ακτοφυλακής δεν θα χρησιμοποιεί τα δεδομένα που καταχωρίστηκαν στο ΣΕΕ κατά την περίοδο της σταδιακής έναρξης λειτουργίας για τις αναλύσεις κινδύνου και τις αξιολογήσεις τρωτότητας. Η χρήση διαφόρων λειτουργιών του ΣΕΕ που προϋποθέτουν την ομοιόμορφη εφαρμογή του σε όλα τα κράτη μέλη θα ανασταλεί κατά τη διάρκεια της σταδιακής έναρξης λειτουργίας του. Οι μεταφορείς μπορούν να αρχίσουν να χρησιμοποιούν τη διαδικτυακή υπηρεσία το πρώτον 90 ημέρες μετά την έναρξη της περιόδου σταδιακής έναρξης λειτουργίας.</w:t>
      </w:r>
    </w:p>
    <w:p w:rsidR="00BE0D22" w:rsidRPr="00ED4DFF" w:rsidRDefault="4BC05AE3" w:rsidP="00BE0D22">
      <w:pPr>
        <w:pStyle w:val="Tiret0"/>
        <w:rPr>
          <w:noProof/>
        </w:rPr>
      </w:pPr>
      <w:r w:rsidRPr="00ED4DFF">
        <w:rPr>
          <w:b/>
          <w:noProof/>
        </w:rPr>
        <w:t>Αναστολή της λειτουργίας του ΣΕΕ</w:t>
      </w:r>
      <w:r w:rsidRPr="00ED4DFF">
        <w:rPr>
          <w:noProof/>
        </w:rPr>
        <w:t xml:space="preserve"> </w:t>
      </w:r>
      <w:r w:rsidRPr="00ED4DFF">
        <w:rPr>
          <w:b/>
          <w:noProof/>
        </w:rPr>
        <w:t>(άρθρο 7):</w:t>
      </w:r>
      <w:r w:rsidRPr="00ED4DFF">
        <w:rPr>
          <w:noProof/>
        </w:rPr>
        <w:t xml:space="preserve"> Σε εξαιρετικές περιπτώσεις βλάβης του κεντρικού συστήματος του ΣΕΕ, εθνικών συστημάτων ή επικοινωνιακής υποδομής, ή σε περιπτώσεις υπερβολικών χρόνων αναμονής στα σύνορα, τα κράτη μέλη μπορούν να αποφασίσουν να μην καταχωρίζουν δεδομένα (πλήρης αναστολή) ή να μην καταχωρίζουν βιομετρικά δεδομένα (μερική αναστολή). Η μερική αναστολή θα είναι δυνατή μετά το τέλος της σταδιακής έναρξης λειτουργίας, για περιορισμένο χρονικό διάστημα, σε εξαιρετικές περιστάσεις που οδηγούν σε κυκλοφορία τέτοιας έντασης ώστε οι χρόνοι αναμονής στα σύνορα να καθίστανται υπερβολικοί. </w:t>
      </w:r>
    </w:p>
    <w:p w:rsidR="005F1085" w:rsidRPr="00ED4DFF" w:rsidRDefault="5593C8DC" w:rsidP="00921D3B">
      <w:pPr>
        <w:pStyle w:val="Tiret0"/>
        <w:rPr>
          <w:noProof/>
        </w:rPr>
      </w:pPr>
      <w:r w:rsidRPr="00ED4DFF">
        <w:rPr>
          <w:b/>
          <w:noProof/>
        </w:rPr>
        <w:t>Έναρξη ισχύος και εφαρμογή (άρθρο 8)</w:t>
      </w:r>
      <w:r w:rsidRPr="00ED4DFF">
        <w:rPr>
          <w:noProof/>
        </w:rPr>
        <w:t>: Η πρόταση καθορίζει τρεις φάσεις εφαρμογής: i) οι προπαρασκευαστικές εργασίες σχετικά με τα σχέδια σταδιακής εφαρμογής του άρθρου 3 θα ενεργοποιηθούν από την ημερομηνία έναρξης ισχύος του προτεινόμενου κανονισμού· ii) η περίοδος σταδιακής έναρξης λειτουργίας θα αρχίσει από την ημερομηνία που θα αποφασιστεί από την Επιτροπή σύμφωνα με το άρθρο 66 παράγραφος 1 του κανονισμού ΣΕΕ, αφού λάβει όλες τις κοινοποιήσεις από τα κράτη μέλη σύμφωνα με το άρθρο 66 παράγραφος 1 στοιχείο γ) του κανονισμού ΣΕΕ· και iii) παρατεταμένη περίοδος εφαρμογής θα ισχύει για ορισμένους από τους κανόνες παρέκκλισης σχετικά με την εφαρμογή μεταβατικής περιόδου και μεταβατικών μέτρων, την πρόσβαση σε ελλιπείς φακέλους και τη χρήση τέτοιων φακέλων, καθώς και σχετικά με την υποχρέωση των μεταφορέων να επαληθεύουν τις σφραγίδες που έχουν τεθεί στα ταξιδιωτικά έγγραφα του άρθρου 6 και τον μηχανισμό αναστολής του άρθρου 7. Οι κοινοποιήσεις από τα κράτη μέλη σύμφωνα με το άρθρο 66 παράγραφος 1 στοιχείο γ) του κανονισμού ΣΕΕ θα πρέπει να εξετάζονται υπό το πρίσμα της σταδιακής έναρξης λειτουργίας. Μέσω αυτών των κοινοποιήσεων, τα κράτη μέλη επιβεβαιώνουν την ικανότητά τους να χρησιμοποιούν το ΣΕΕ. Ωστόσο, αυτό δεν σημαίνει ότι όλα τα συνοριακά σημεία διέλευσης πρέπει να είναι πλήρως έτοιμα και εξοπλισμένα από την αρχή της σταδιακής προσέγγισης.</w:t>
      </w:r>
    </w:p>
    <w:p w:rsidR="00B06A31" w:rsidRPr="00ED4DFF" w:rsidRDefault="00B06A31" w:rsidP="00B06A31">
      <w:pPr>
        <w:rPr>
          <w:noProof/>
        </w:rPr>
        <w:sectPr w:rsidR="00B06A31" w:rsidRPr="00ED4DFF" w:rsidSect="00D02965">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p>
    <w:p w:rsidR="002F7633" w:rsidRDefault="00726711">
      <w:pPr>
        <w:pStyle w:val="Rfrenceinterinstitutionnelle"/>
        <w:rPr>
          <w:noProof/>
        </w:rPr>
      </w:pPr>
      <w:r>
        <w:rPr>
          <w:noProof/>
        </w:rPr>
        <w:t>2024/0315 (COD)</w:t>
      </w:r>
    </w:p>
    <w:p w:rsidR="005F1085" w:rsidRPr="00ED4DFF" w:rsidRDefault="00ED4DFF" w:rsidP="00ED4DFF">
      <w:pPr>
        <w:pStyle w:val="Statut"/>
        <w:rPr>
          <w:noProof/>
        </w:rPr>
      </w:pPr>
      <w:r w:rsidRPr="00ED4DFF">
        <w:rPr>
          <w:noProof/>
        </w:rPr>
        <w:t>Πρόταση</w:t>
      </w:r>
    </w:p>
    <w:p w:rsidR="005F1085" w:rsidRPr="00ED4DFF" w:rsidRDefault="00ED4DFF" w:rsidP="00ED4DFF">
      <w:pPr>
        <w:pStyle w:val="Typedudocument"/>
        <w:rPr>
          <w:noProof/>
        </w:rPr>
      </w:pPr>
      <w:r w:rsidRPr="00ED4DFF">
        <w:rPr>
          <w:noProof/>
        </w:rPr>
        <w:t>ΚΑΝΟΝΙΣΜΟΣ ΤΟΥ ΕΥΡΩΠΑΪΚΟΥ ΚΟΙΝΟΒΟΥΛΙΟΥ ΚΑΙ ΤΟΥ ΣΥΜΒΟΥΛΙΟΥ</w:t>
      </w:r>
    </w:p>
    <w:p w:rsidR="005F1085" w:rsidRPr="00ED4DFF" w:rsidRDefault="00ED4DFF" w:rsidP="00ED4DFF">
      <w:pPr>
        <w:pStyle w:val="Titreobjet"/>
        <w:rPr>
          <w:noProof/>
        </w:rPr>
      </w:pPr>
      <w:r w:rsidRPr="00ED4DFF">
        <w:rPr>
          <w:noProof/>
        </w:rPr>
        <w:t xml:space="preserve">για προσωρινή παρέκκλιση από ορισμένες διατάξεις των κανονισμών (ΕΕ) 2017/2226 και (ΕΕ) 2016/399 όσον αφορά τη σταδιακή έναρξη λειτουργίας του συστήματος εισόδου/εξόδου </w:t>
      </w:r>
      <w:r w:rsidRPr="00ED4DFF">
        <w:rPr>
          <w:noProof/>
        </w:rPr>
        <w:br/>
      </w:r>
    </w:p>
    <w:p w:rsidR="005F1085" w:rsidRPr="00ED4DFF" w:rsidRDefault="005F1085" w:rsidP="00EA4AAF">
      <w:pPr>
        <w:pStyle w:val="Institutionquiagit"/>
        <w:rPr>
          <w:noProof/>
        </w:rPr>
      </w:pPr>
      <w:r w:rsidRPr="00ED4DFF">
        <w:rPr>
          <w:noProof/>
        </w:rPr>
        <w:t>ΤΟ ΕΥΡΩΠΑΪΚΟ ΚΟΙΝΟΒΟΥΛΙΟ ΚΑΙ ΤΟ ΣΥΜΒΟΥΛΙΟ ΤΗΣ ΕΥΡΩΠΑΪΚΗΣ ΕΝΩΣΗΣ,</w:t>
      </w:r>
    </w:p>
    <w:p w:rsidR="009B4800" w:rsidRPr="00ED4DFF" w:rsidRDefault="009B4800" w:rsidP="009B4800">
      <w:pPr>
        <w:rPr>
          <w:noProof/>
        </w:rPr>
      </w:pPr>
      <w:r w:rsidRPr="00ED4DFF">
        <w:rPr>
          <w:noProof/>
        </w:rPr>
        <w:t>Έχοντας υπόψη τη Συνθήκη για τη λειτουργία της Ευρωπαϊκής Ένωσης, και ιδίως το άρθρο 77 παράγραφος 2 στοιχεία β) και δ), και το άρθρο 87 παράγραφος 2 στοιχείο γ),</w:t>
      </w:r>
    </w:p>
    <w:p w:rsidR="005F1085" w:rsidRPr="00ED4DFF" w:rsidRDefault="005F1085">
      <w:pPr>
        <w:rPr>
          <w:noProof/>
        </w:rPr>
      </w:pPr>
      <w:r w:rsidRPr="00ED4DFF">
        <w:rPr>
          <w:noProof/>
        </w:rPr>
        <w:t>Έχοντας υπόψη την πρόταση της Ευρωπαϊκής Επιτροπής,</w:t>
      </w:r>
    </w:p>
    <w:p w:rsidR="005F1085" w:rsidRPr="00ED4DFF" w:rsidRDefault="005F1085">
      <w:pPr>
        <w:rPr>
          <w:noProof/>
        </w:rPr>
      </w:pPr>
      <w:r w:rsidRPr="00ED4DFF">
        <w:rPr>
          <w:noProof/>
        </w:rPr>
        <w:t>Κατόπιν διαβίβασης του σχεδίου νομοθετικής πράξης στα εθνικά κοινοβούλια,</w:t>
      </w:r>
    </w:p>
    <w:p w:rsidR="005F1085" w:rsidRPr="00ED4DFF" w:rsidRDefault="005F1085">
      <w:pPr>
        <w:rPr>
          <w:noProof/>
        </w:rPr>
      </w:pPr>
      <w:r w:rsidRPr="00ED4DFF">
        <w:rPr>
          <w:noProof/>
        </w:rPr>
        <w:t>Αποφασίζοντας σύμφωνα με τη συνήθη νομοθετική διαδικασία</w:t>
      </w:r>
      <w:r w:rsidRPr="00ED4DFF">
        <w:rPr>
          <w:rStyle w:val="FootnoteReference"/>
          <w:noProof/>
        </w:rPr>
        <w:footnoteReference w:id="9"/>
      </w:r>
      <w:r w:rsidRPr="00ED4DFF">
        <w:rPr>
          <w:noProof/>
        </w:rPr>
        <w:t>,</w:t>
      </w:r>
    </w:p>
    <w:p w:rsidR="005F1085" w:rsidRPr="00ED4DFF" w:rsidRDefault="005F1085">
      <w:pPr>
        <w:rPr>
          <w:noProof/>
        </w:rPr>
      </w:pPr>
      <w:r w:rsidRPr="00ED4DFF">
        <w:rPr>
          <w:noProof/>
        </w:rPr>
        <w:t>Εκτιμώντας τα ακόλουθα:</w:t>
      </w:r>
    </w:p>
    <w:p w:rsidR="00BE0D22" w:rsidRPr="00ED4DFF" w:rsidRDefault="00906A71" w:rsidP="00906A71">
      <w:pPr>
        <w:pStyle w:val="ManualConsidrant"/>
        <w:rPr>
          <w:noProof/>
        </w:rPr>
      </w:pPr>
      <w:r w:rsidRPr="00906A71">
        <w:rPr>
          <w:noProof/>
        </w:rPr>
        <w:t>(1)</w:t>
      </w:r>
      <w:r w:rsidRPr="00906A71">
        <w:rPr>
          <w:noProof/>
        </w:rPr>
        <w:tab/>
      </w:r>
      <w:r w:rsidR="00180961" w:rsidRPr="00ED4DFF">
        <w:rPr>
          <w:noProof/>
        </w:rPr>
        <w:t>Το άρθρο 66 παράγραφος 1 του κανονισμού (ΕΕ) 2017/2226 του Ευρωπαϊκού Κοινοβουλίου και του Συμβουλίου</w:t>
      </w:r>
      <w:r w:rsidR="00180961" w:rsidRPr="00ED4DFF">
        <w:rPr>
          <w:rStyle w:val="FootnoteReference"/>
          <w:noProof/>
        </w:rPr>
        <w:footnoteReference w:id="10"/>
      </w:r>
      <w:r w:rsidR="00180961" w:rsidRPr="00ED4DFF">
        <w:rPr>
          <w:noProof/>
        </w:rPr>
        <w:t xml:space="preserve">, σχετικά με τη θέσπιση συστήματος εισόδου/εξόδου (ΣΕΕ), προβλέπει ότι η Επιτροπή αποφασίζει την ημερομηνία από την οποία θα αρχίσει να λειτουργεί το ΣΕΕ, εφόσον πληρούνται ορισμένες προϋποθέσεις. </w:t>
      </w:r>
    </w:p>
    <w:p w:rsidR="00BE0D22" w:rsidRPr="00ED4DFF" w:rsidRDefault="00906A71" w:rsidP="00906A71">
      <w:pPr>
        <w:pStyle w:val="ManualConsidrant"/>
        <w:rPr>
          <w:noProof/>
        </w:rPr>
      </w:pPr>
      <w:r w:rsidRPr="00906A71">
        <w:rPr>
          <w:noProof/>
        </w:rPr>
        <w:t>(2)</w:t>
      </w:r>
      <w:r w:rsidRPr="00906A71">
        <w:rPr>
          <w:noProof/>
        </w:rPr>
        <w:tab/>
      </w:r>
      <w:r w:rsidR="7286511D" w:rsidRPr="00ED4DFF">
        <w:rPr>
          <w:noProof/>
        </w:rPr>
        <w:t xml:space="preserve">Ωστόσο, η Επιτροπή δεν έχει λάβει όλες τις κοινοποιήσεις σύμφωνα με το άρθρο 66 παράγραφος 1 στοιχείο γ) του κανονισμού (ΕΕ) 2017/2226, κάτι που αποτελεί μία από τις προϋποθέσεις για τη λήψη απόφασης σχετικά με την έναρξη λειτουργίας του ΣΕΕ. </w:t>
      </w:r>
    </w:p>
    <w:p w:rsidR="00BE0D22" w:rsidRPr="00ED4DFF" w:rsidRDefault="00906A71" w:rsidP="00906A71">
      <w:pPr>
        <w:pStyle w:val="ManualConsidrant"/>
        <w:rPr>
          <w:noProof/>
        </w:rPr>
      </w:pPr>
      <w:r w:rsidRPr="00906A71">
        <w:rPr>
          <w:noProof/>
        </w:rPr>
        <w:t>(3)</w:t>
      </w:r>
      <w:r w:rsidRPr="00906A71">
        <w:rPr>
          <w:noProof/>
        </w:rPr>
        <w:tab/>
      </w:r>
      <w:r w:rsidR="00BE0D22" w:rsidRPr="00ED4DFF">
        <w:rPr>
          <w:noProof/>
        </w:rPr>
        <w:t xml:space="preserve">Ο κανονισμός (ΕΕ) 2017/2226 επιτρέπει μόνο την πλήρη έναρξη λειτουργίας, απαιτώντας από όλα τα κράτη μέλη να αρχίσουν να χρησιμοποιούν πλήρως το ΣΕΕ για όλους τους υπηκόους τρίτων χωρών που υπόκεινται σε καταχώριση στο ΣΕΕ και να χρησιμοποιούν το ΣΕΕ ταυτόχρονα σε όλα τα σημεία διέλευσης των συνόρων τους. </w:t>
      </w:r>
    </w:p>
    <w:p w:rsidR="00BE0D22" w:rsidRPr="00ED4DFF" w:rsidRDefault="00906A71" w:rsidP="00906A71">
      <w:pPr>
        <w:pStyle w:val="ManualConsidrant"/>
        <w:rPr>
          <w:noProof/>
        </w:rPr>
      </w:pPr>
      <w:r w:rsidRPr="00906A71">
        <w:rPr>
          <w:noProof/>
        </w:rPr>
        <w:t>(4)</w:t>
      </w:r>
      <w:r w:rsidRPr="00906A71">
        <w:rPr>
          <w:noProof/>
        </w:rPr>
        <w:tab/>
      </w:r>
      <w:r w:rsidR="00BE0D22" w:rsidRPr="00ED4DFF">
        <w:rPr>
          <w:noProof/>
        </w:rPr>
        <w:t xml:space="preserve">Για να παρασχεθεί στα κράτη μέλη η αναγκαία ευελιξία ώστε να αρχίσουν να χρησιμοποιούν το ΣΕΕ ανάλογα με το επίπεδο ετοιμότητάς τους και για να διευκολυνθούν οι τεχνικές και λειτουργικές προσαρμογές κατά την έναρξη λειτουργίας του ΣΕΕ, είναι αναγκαίο να θεσπιστούν κανόνες για τη σταδιακή έναρξη λειτουργίας του ΣΕΕ. Για να διασφαλιστεί ότι οι προσαρμογές αυτές αντικατοπτρίζουν τις δυνητικές ταξιδιωτικές ροές και εποχικές αιχμές, μια τέτοια σταδιακή έναρξη θα πρέπει να έχει διάρκεια 180 ημερολογιακών ημερών. </w:t>
      </w:r>
    </w:p>
    <w:p w:rsidR="00BE0D22" w:rsidRPr="00ED4DFF" w:rsidRDefault="00906A71" w:rsidP="00906A71">
      <w:pPr>
        <w:pStyle w:val="ManualConsidrant"/>
        <w:rPr>
          <w:noProof/>
        </w:rPr>
      </w:pPr>
      <w:r w:rsidRPr="00906A71">
        <w:rPr>
          <w:noProof/>
        </w:rPr>
        <w:t>(5)</w:t>
      </w:r>
      <w:r w:rsidRPr="00906A71">
        <w:rPr>
          <w:noProof/>
        </w:rPr>
        <w:tab/>
      </w:r>
      <w:r w:rsidR="2872881E" w:rsidRPr="00ED4DFF">
        <w:rPr>
          <w:noProof/>
        </w:rPr>
        <w:t>Ως εκ τούτου, για να καταστεί δυνατή η σταδιακή έναρξη λειτουργίας του ΣΕΕ, είναι αναγκαίο να θεσπιστεί παρέκκλιση από ορισμένες διατάξεις των κανονισμών (ΕΕ) 2017/2226 και (ΕΕ) 2016/399 του Ευρωπαϊκού Κοινοβουλίου και του Συμβουλίου</w:t>
      </w:r>
      <w:r w:rsidR="2872881E" w:rsidRPr="00ED4DFF">
        <w:rPr>
          <w:rStyle w:val="FootnoteReference"/>
          <w:noProof/>
        </w:rPr>
        <w:footnoteReference w:id="11"/>
      </w:r>
      <w:r w:rsidR="2872881E" w:rsidRPr="00ED4DFF">
        <w:rPr>
          <w:noProof/>
        </w:rPr>
        <w:t xml:space="preserve"> (κώδικας συνόρων του Σένγκεν). Οι λοιποί κανόνες που θεσπίζονται στον κανονισμό (ΕΕ) 2017/2226 και δεν επηρεάζονται από τον παρόντα κανονισμό εξακολουθούν να εφαρμόζονται όπως προβλέπεται στον εν λόγω κανονισμό. Ειδικότερα, τα δεδομένα που καταχωρίζονται στο ΣΕΕ καθ’ όλη τη διάρκεια της σταδιακής έναρξης λειτουργίας του ακολουθούν τους κανόνες που προβλέπονται στον κανονισμό (ΕΕ) 2017/2226 και θεωρούνται αξιόπιστα και ακριβή. </w:t>
      </w:r>
    </w:p>
    <w:p w:rsidR="00BE0D22" w:rsidRPr="00ED4DFF" w:rsidRDefault="00906A71" w:rsidP="00906A71">
      <w:pPr>
        <w:pStyle w:val="ManualConsidrant"/>
        <w:rPr>
          <w:noProof/>
        </w:rPr>
      </w:pPr>
      <w:r w:rsidRPr="00906A71">
        <w:rPr>
          <w:noProof/>
        </w:rPr>
        <w:t>(6)</w:t>
      </w:r>
      <w:r w:rsidRPr="00906A71">
        <w:rPr>
          <w:noProof/>
        </w:rPr>
        <w:tab/>
      </w:r>
      <w:r w:rsidR="4BC05AE3" w:rsidRPr="00ED4DFF">
        <w:rPr>
          <w:noProof/>
        </w:rPr>
        <w:t xml:space="preserve">Τα κράτη μέλη θα πρέπει να αρχίσουν σταδιακά να χρησιμοποιούν το ΣΕΕ για να καταχωρίζουν, κατά την είσοδο και την έξοδο, τα δεδομένα υπηκόων τρίτων χωρών που υπόκεινται σε καταχώριση στο ΣΕΕ, σε ένα ή περισσότερα συνοριακά σημεία διέλευσης. Ει δυνατόν και κατά περίπτωση, τα κράτη μέλη θα πρέπει να περιλαμβάνουν συνδυασμό σημείων διέλευσης των εναέριων, χερσαίων και θαλάσσιων συνόρων. Για τη διασφάλιση της ελεγχόμενης έναρξης λειτουργίας του ΣΕΕ και για την καλύτερη διαχείριση και αποφυγή πιθανών μεγάλων χρόνων αναμονής στα σύνορα, κατά περίπτωση, τα κράτη μέλη θα πρέπει να αρχίσουν να εφαρμόζουν προοδευτικά όλες τις λειτουργίες του ΣΕΕ και να καταχωρίζουν σταδιακά τα δεδομένα όλων των υπηκόων τρίτων χωρών που υπόκεινται σε καταχώριση στο ΣΕΕ. Για να εξασφαλιστεί μια συντονισμένη προσέγγιση, η σταδιακή έναρξη λειτουργίας θα πρέπει να υλοποιηθεί σε φάσεις, οι οποίες θα πρέπει να καθορίζουν τις ελάχιστες προϋποθέσεις που πρέπει να πληρούν τα κράτη μέλη. Τα κράτη μέλη θα έχουν τη δυνατότητα να επιταχύνουν την εφαρμογή σε εθνικό επίπεδο ή να θέσουν σε πλήρη λειτουργία το ΣΕΕ από την αρχή της σταδιακής προσέγγισης.  </w:t>
      </w:r>
    </w:p>
    <w:p w:rsidR="0019603A" w:rsidRPr="00ED4DFF" w:rsidRDefault="00906A71" w:rsidP="00906A71">
      <w:pPr>
        <w:pStyle w:val="ManualConsidrant"/>
        <w:rPr>
          <w:noProof/>
        </w:rPr>
      </w:pPr>
      <w:r w:rsidRPr="00906A71">
        <w:rPr>
          <w:noProof/>
        </w:rPr>
        <w:t>(7)</w:t>
      </w:r>
      <w:r w:rsidRPr="00906A71">
        <w:rPr>
          <w:noProof/>
        </w:rPr>
        <w:tab/>
      </w:r>
      <w:r w:rsidR="00BE0D22" w:rsidRPr="00ED4DFF">
        <w:rPr>
          <w:noProof/>
        </w:rPr>
        <w:t xml:space="preserve">Για να διευκολυνθεί η ομαλή έναρξη εφαρμογής του ΣΕΕ, ο Οργανισμός της Ευρωπαϊκής Ένωσης για τη λειτουργική διαχείριση συστημάτων ΤΠ μεγάλης κλίμακας στον χώρο ελευθερίας, ασφάλειας και δικαιοσύνης (eu-LISA) θα πρέπει να αναπτύξει σχέδιο σταδιακής εφαρμογής υψηλού επιπέδου για την παροχή καθοδήγησης στα κράτη μέλη και τους οργανισμούς της Ένωσης σχετικά με τον σχεδιασμό και την εκτέλεση της έναρξης εφαρμογής του ΣΕΕ κατά τη σταδιακή έναρξη λειτουργίας του, και θα πρέπει να το υποβάλει στην Επιτροπή, τα κράτη μέλη και τους οργανισμούς της Ένωσης. Το σχέδιο αυτό θα πρέπει να περιλαμβάνει τα όρια των δυνατοτήτων του κεντρικού συστήματος, όπως καθορίζονται από τον eu-LISA για κάθε φάση της έναρξης εφαρμογής. Οι αποφάσεις των κρατών μελών για την έναρξη ή την επίσπευση της λειτουργίας θα πρέπει να λαμβάνουν υπόψη τις δυνατότητες του κεντρικού συστήματος, όπως περιγράφεται στο σχέδιο σταδιακής εφαρμογής υψηλού επιπέδου. </w:t>
      </w:r>
    </w:p>
    <w:p w:rsidR="001237DE" w:rsidRPr="00ED4DFF" w:rsidRDefault="00906A71" w:rsidP="00906A71">
      <w:pPr>
        <w:pStyle w:val="ManualConsidrant"/>
        <w:rPr>
          <w:noProof/>
        </w:rPr>
      </w:pPr>
      <w:r w:rsidRPr="00906A71">
        <w:rPr>
          <w:noProof/>
        </w:rPr>
        <w:t>(8)</w:t>
      </w:r>
      <w:r w:rsidRPr="00906A71">
        <w:rPr>
          <w:noProof/>
        </w:rPr>
        <w:tab/>
      </w:r>
      <w:r w:rsidR="00765389" w:rsidRPr="00ED4DFF">
        <w:rPr>
          <w:noProof/>
        </w:rPr>
        <w:t>Για να διευκολυνθεί η ομαλή έναρξη εφαρμογής του ΣΕΕ, τα κράτη μέλη, σε διαβούλευση με την Επιτροπή και τον eu-LISA, θα πρέπει να αναπτύξουν εθνικά σχέδια σταδιακής εφαρμογής. Για κάθε φάση της σταδιακής έναρξης λειτουργίας του ΣΕΕ, τα εθνικά σχέδια σταδιακής εφαρμογής θα πρέπει να περιλαμβάνουν τις πληροφορίες σχετικά με τα καθορισμένα κατώτατα όρια και προϋποθέσεις, ιδίως: i) την ημερομηνία από την οποία το ΣΕΕ θα λειτουργεί σε κάθε συνοριακό σημείο διέλευσης· ii) το ποσοστό του εκτιμώμενου αριθμού διελεύσεων των συνόρων προς καταχώριση στο ΣΕΕ επί του συνολικού αριθμού υπηκόων τρίτων χωρών που υπόκεινται σε καταχώριση στο ΣΕΕ· και iii) κατά περίπτωση, τις βιομετρικές λειτουργικές δυνατότητες που πρέπει να λειτουργούν σε κάθε επιλεγμένο συνοριακό σημείο διέλευσης. Τα κράτη μέλη, κατά την κατάρτιση των αντίστοιχων εθνικών τους σχεδίων σταδιακής εφαρμογής, ενθαρρύνονται να συνεργάζονται δεόντως με τους φορείς εκμετάλλευσης των υποδομών όπου βρίσκονται τα συνοριακά σημεία διέλευσης. Για την παρακολούθηση της συμμόρφωσης με τη σταδιακή έναρξη λειτουργίας, τα κράτη μέλη θα πρέπει να υποβάλλουν στην Επιτροπή και στον eu-LISA μηνιαίες εκθέσεις σχετικά με την εφαρμογή των σχεδίων τους σταδιακής εφαρμογής. Οι εν λόγω μηνιαίες εκθέσεις θα πρέπει να περιλαμβάνουν διορθωτικά μέτρα, όπου απαιτείται, για τη διασφάλιση της συμμόρφωσης με τη σταδιακή έναρξη λειτουργίας.</w:t>
      </w:r>
    </w:p>
    <w:p w:rsidR="00BE0D22" w:rsidRPr="00ED4DFF" w:rsidRDefault="00906A71" w:rsidP="00906A71">
      <w:pPr>
        <w:pStyle w:val="ManualConsidrant"/>
        <w:rPr>
          <w:noProof/>
        </w:rPr>
      </w:pPr>
      <w:r w:rsidRPr="00906A71">
        <w:rPr>
          <w:noProof/>
        </w:rPr>
        <w:t>(9)</w:t>
      </w:r>
      <w:r w:rsidRPr="00906A71">
        <w:rPr>
          <w:noProof/>
        </w:rPr>
        <w:tab/>
      </w:r>
      <w:r w:rsidR="6A105A5B" w:rsidRPr="00ED4DFF">
        <w:rPr>
          <w:noProof/>
        </w:rPr>
        <w:t xml:space="preserve">Λόγω της σταδιακής έναρξης λειτουργίας του ΣΕΕ και της πιθανής έλλειψης πληρότητας των δεδομένων που καταχωρίζονται στο ΣΕΕ, τα ταξιδιωτικά έγγραφα των υπηκόων τρίτων χωρών θα πρέπει να σφραγίζονται συστηματικά κατά την είσοδο και την έξοδο, κατά τη διάρκεια της εν λόγω σταδιακής έναρξης λειτουργίας. Οι εθνικές αρχές θα πρέπει να λαμβάνουν υπόψη την ενδεχόμενη έλλειψη πληρότητας των καταχωρίσεων εισόδου/εξόδου ή των καταχωρίσεων άρνησης εισόδου και θα πρέπει να θεωρούν ότι οι σφραγίδες υπερισχύουν των πληροφοριών που καταχωρίζονται στο ΣΕΕ. Επιπλέον, οι εθνικές αρχές, κατά την παροχή πληροφοριών σε υπηκόους τρίτων χωρών σχετικά με τη μέγιστη υπολειπόμενη διάρκεια της επιτρεπόμενης παραμονής τους, θα πρέπει να βασίζουν την αξιολόγησή τους στις σφραγίδες που έχουν τεθεί στα ταξιδιωτικά έγγραφα. Τα δεδομένα που έχουν καταχωριστεί στο ΣΕΕ θα πρέπει να υπερισχύουν σε περίπτωση που λείπει σφραγίδα. </w:t>
      </w:r>
    </w:p>
    <w:p w:rsidR="00BE0D22" w:rsidRPr="00ED4DFF" w:rsidRDefault="00906A71" w:rsidP="00906A71">
      <w:pPr>
        <w:pStyle w:val="ManualConsidrant"/>
        <w:rPr>
          <w:noProof/>
        </w:rPr>
      </w:pPr>
      <w:r w:rsidRPr="00906A71">
        <w:rPr>
          <w:noProof/>
        </w:rPr>
        <w:t>(10)</w:t>
      </w:r>
      <w:r w:rsidRPr="00906A71">
        <w:rPr>
          <w:noProof/>
        </w:rPr>
        <w:tab/>
      </w:r>
      <w:r w:rsidR="00BE0D22" w:rsidRPr="00ED4DFF">
        <w:rPr>
          <w:noProof/>
        </w:rPr>
        <w:t>Λαμβανομένου υπόψη ότι τα δεδομένα που καταχωρίζονται στο ΣΕΕ κατά τη διάρκεια της σταδιακής έναρξης λειτουργίας του ενδέχεται να είναι ελλιπή, οι εθνικές αρχές δεν θα πρέπει να λαμβάνουν υπόψη τα αποτελέσματα που παρέχει ο αυτοματοποιημένος υπολογιστής σχετικά με τη μέγιστη υπολειπόμενη διάρκεια της επιτρεπόμενης παραμονής υπηκόων τρίτων χωρών που είναι καταχωρισμένοι στο ΣΕΕ. Ομοίως, οι εθνικές αρχές, κατά την εκτέλεση των καθηκόντων τους, δεν θα πρέπει να λαμβάνουν υπόψη τον αυτοματοποιημένο μηχανισμό για τον εντοπισμό ή την επισήμανση της έλλειψης αρχείων εξόδου μετά την ημερομηνία λήξης της επιτρεπόμενης παραμονής ή των αρχείων για τα οποία σημειώθηκε υπέρβαση της μέγιστης διάρκειας επιτρεπόμενης παραμονής, ούτε να δημιουργούν καταλόγους προσώπων που χαρακτηρίζονται ως πρόσωπα που υπερβαίνουν την επιτρεπόμενη διάρκεια παραμονής.</w:t>
      </w:r>
    </w:p>
    <w:p w:rsidR="00BE0D22" w:rsidRPr="00ED4DFF" w:rsidRDefault="00906A71" w:rsidP="00906A71">
      <w:pPr>
        <w:pStyle w:val="ManualConsidrant"/>
        <w:rPr>
          <w:noProof/>
        </w:rPr>
      </w:pPr>
      <w:r w:rsidRPr="00906A71">
        <w:rPr>
          <w:noProof/>
        </w:rPr>
        <w:t>(11)</w:t>
      </w:r>
      <w:r w:rsidRPr="00906A71">
        <w:rPr>
          <w:noProof/>
        </w:rPr>
        <w:tab/>
      </w:r>
      <w:r w:rsidR="00BE0D22" w:rsidRPr="00ED4DFF">
        <w:rPr>
          <w:noProof/>
        </w:rPr>
        <w:t>Για να δοθεί στα κράτη μέλη ο απαραίτητος χρόνος προσαρμογής στην έναρξη λειτουργίας του ΣΕΕ, δεν θα πρέπει να είναι υποχρεωτική η χρήση βιομετρικών λειτουργικών δυνατοτήτων στα συνοριακά σημεία διέλευσης κατά τις πρώτες 60 ημερολογιακές ημέρες από τη σταδιακή έναρξη λειτουργίας. Το αργότερο την 90</w:t>
      </w:r>
      <w:r w:rsidR="00BE0D22" w:rsidRPr="00ED4DFF">
        <w:rPr>
          <w:noProof/>
          <w:vertAlign w:val="superscript"/>
        </w:rPr>
        <w:t>ή</w:t>
      </w:r>
      <w:r w:rsidR="00BE0D22" w:rsidRPr="00ED4DFF">
        <w:rPr>
          <w:noProof/>
        </w:rPr>
        <w:t xml:space="preserve"> ημερολογιακή ημέρα μετά τη σταδιακή έναρξη λειτουργίας του ΣΕΕ, τα κράτη μέλη θα πρέπει να χρησιμοποιούν το ΣΕΕ με βιομετρικές λειτουργικές δυνατότητες τουλάχιστον στα μισά συνοριακά τους σημεία διέλευσης. Η παροχή βιομετρικών δεδομένων δεν θα πρέπει να αποτελεί προϋπόθεση εισόδου για τους υπηκόους τρίτων χωρών που υπόκεινται σε καταχώριση στο ΣΕΕ στα συνοριακά σημεία διέλευσης στα οποία το ΣΕΕ λειτουργεί χωρίς βιομετρικές λειτουργικές δυνατότητες. </w:t>
      </w:r>
    </w:p>
    <w:p w:rsidR="00BE0D22" w:rsidRPr="00ED4DFF" w:rsidRDefault="00906A71" w:rsidP="00906A71">
      <w:pPr>
        <w:pStyle w:val="ManualConsidrant"/>
        <w:rPr>
          <w:noProof/>
        </w:rPr>
      </w:pPr>
      <w:r w:rsidRPr="00906A71">
        <w:rPr>
          <w:noProof/>
        </w:rPr>
        <w:t>(12)</w:t>
      </w:r>
      <w:r w:rsidRPr="00906A71">
        <w:rPr>
          <w:noProof/>
        </w:rPr>
        <w:tab/>
      </w:r>
      <w:r w:rsidR="00BE0D22" w:rsidRPr="00ED4DFF">
        <w:rPr>
          <w:noProof/>
        </w:rPr>
        <w:t xml:space="preserve">Για να καλυφθεί η ανάγκη σταδιακής έναρξης εφαρμογής του ΣΕΕ με βιομετρικές λειτουργικές δυνατότητες σε ορισμένα συνοριακά σημεία διέλευσης, η βιομετρική επαλήθευση των υπηκόων τρίτων χωρών που υπόκεινται σε καταχώριση στο ΣΕΕ θα πρέπει να διενεργείται μόνο στα συνοριακά σημεία διέλευσης στα οποία το ΣΕΕ λειτουργεί με βιομετρικές λειτουργικές δυνατότητες. </w:t>
      </w:r>
    </w:p>
    <w:p w:rsidR="00BE0D22" w:rsidRPr="00ED4DFF" w:rsidRDefault="00906A71" w:rsidP="00906A71">
      <w:pPr>
        <w:pStyle w:val="ManualConsidrant"/>
        <w:rPr>
          <w:noProof/>
        </w:rPr>
      </w:pPr>
      <w:r w:rsidRPr="00906A71">
        <w:rPr>
          <w:noProof/>
        </w:rPr>
        <w:t>(13)</w:t>
      </w:r>
      <w:r w:rsidRPr="00906A71">
        <w:rPr>
          <w:noProof/>
        </w:rPr>
        <w:tab/>
      </w:r>
      <w:r w:rsidR="6772D326" w:rsidRPr="00ED4DFF">
        <w:rPr>
          <w:noProof/>
        </w:rPr>
        <w:t>Για να διασφαλιστεί η συνοχή των λειτουργιών στο πλαίσιο της διαλειτουργικότητας μεταξύ του ΣΕΕ και του Συστήματος Πληροφοριών για τις Θεωρήσεις (VIS) που θεσπίστηκε με τον κανονισμό (ΕΚ) αριθ. 767/2008 του Ευρωπαϊκού Κοινοβουλίου και του Συμβουλίου</w:t>
      </w:r>
      <w:r w:rsidR="6772D326" w:rsidRPr="00ED4DFF">
        <w:rPr>
          <w:rStyle w:val="FootnoteReference"/>
          <w:noProof/>
        </w:rPr>
        <w:footnoteReference w:id="12"/>
      </w:r>
      <w:r w:rsidR="6772D326" w:rsidRPr="00ED4DFF">
        <w:rPr>
          <w:noProof/>
        </w:rPr>
        <w:t>, η πρόσβαση στο VIS θα πρέπει να είναι άμεση μόνο στα συνοριακά σημεία διέλευσης στα οποία δεν λειτουργεί το ΣΕΕ. Στα συνοριακά σημεία διέλευσης στα οποία λειτουργεί το ΣΕΕ, οι συνοριακές αρχές θα πρέπει να κάνουν χρήση της διαλειτουργικότητας μεταξύ του ΣΕΕ και του VIS.</w:t>
      </w:r>
    </w:p>
    <w:p w:rsidR="00BE0D22" w:rsidRPr="00ED4DFF" w:rsidRDefault="00906A71" w:rsidP="00906A71">
      <w:pPr>
        <w:pStyle w:val="ManualConsidrant"/>
        <w:rPr>
          <w:noProof/>
        </w:rPr>
      </w:pPr>
      <w:r w:rsidRPr="00906A71">
        <w:rPr>
          <w:noProof/>
        </w:rPr>
        <w:t>(14)</w:t>
      </w:r>
      <w:r w:rsidRPr="00906A71">
        <w:rPr>
          <w:noProof/>
        </w:rPr>
        <w:tab/>
      </w:r>
      <w:r w:rsidR="6A105A5B" w:rsidRPr="00ED4DFF">
        <w:rPr>
          <w:noProof/>
        </w:rPr>
        <w:t>Οι υπήκοοι τρίτων χωρών των οποίων τα δεδομένα πρόκειται να καταχωριστούν στο ΣΕΕ θα πρέπει να ενημερώνονται μέσω υποδείγματος σχετικά με τα δικαιώματα και τις υποχρεώσεις τους όσον αφορά την επεξεργασία των δεδομένων τους, όπως προβλέπεται στο άρθρο 50 παράγραφος 5 του κανονισμού (ΕΕ) 2017/2226. Οι πληροφορίες που πρέπει να παρέχονται στους υπηκόους τρίτων χωρών που υπόκεινται σε καταχώριση στο ΣΕΕ θα πρέπει να αναφέρονται στη σταδιακή έναρξη λειτουργίας του ΣΕΕ. Οι υπήκοοι τρίτων χωρών θα πρέπει να ενημερώνονται με το υπόδειγμα για την υποχρέωσή τους να παρέχουν βιομετρικά δεδομένα στα συνοριακά σημεία διέλευσης, όταν αυτό συνιστά προϋπόθεση εισόδου. Θα πρέπει να ενημερώνονται με το υπόδειγμα για τις συνέπειες της μη παροχής βιομετρικών δεδομένων. Θα πρέπει, επίσης, να ενημερώνονται με το υπόδειγμα ότι δεν θα μπορούν να επαληθεύσουν την υπολειπόμενη διάρκεια της επιτρεπόμενης παραμονής με αυτοματοποιημένα μέσα.</w:t>
      </w:r>
    </w:p>
    <w:p w:rsidR="00BE0D22" w:rsidRPr="00ED4DFF" w:rsidRDefault="00906A71" w:rsidP="00906A71">
      <w:pPr>
        <w:pStyle w:val="ManualConsidrant"/>
        <w:rPr>
          <w:noProof/>
        </w:rPr>
      </w:pPr>
      <w:r w:rsidRPr="00906A71">
        <w:rPr>
          <w:noProof/>
        </w:rPr>
        <w:t>(15)</w:t>
      </w:r>
      <w:r w:rsidRPr="00906A71">
        <w:rPr>
          <w:noProof/>
        </w:rPr>
        <w:tab/>
      </w:r>
      <w:r w:rsidR="001035E0" w:rsidRPr="00ED4DFF">
        <w:rPr>
          <w:noProof/>
        </w:rPr>
        <w:t>Η Επιτροπή θα πρέπει να εισαγάγει σχετικές επικαιροποιήσεις στον ιστότοπο του ΣΕΕ, ώστε να αποτυπώνεται η σταδιακή έναρξη λειτουργίας του ΣΕΕ.</w:t>
      </w:r>
    </w:p>
    <w:p w:rsidR="00BE0D22" w:rsidRPr="00ED4DFF" w:rsidRDefault="00906A71" w:rsidP="00906A71">
      <w:pPr>
        <w:pStyle w:val="ManualConsidrant"/>
        <w:rPr>
          <w:noProof/>
        </w:rPr>
      </w:pPr>
      <w:r w:rsidRPr="00906A71">
        <w:rPr>
          <w:noProof/>
        </w:rPr>
        <w:t>(16)</w:t>
      </w:r>
      <w:r w:rsidRPr="00906A71">
        <w:rPr>
          <w:noProof/>
        </w:rPr>
        <w:tab/>
      </w:r>
      <w:r w:rsidR="00A6426C" w:rsidRPr="00ED4DFF">
        <w:rPr>
          <w:noProof/>
        </w:rPr>
        <w:t xml:space="preserve">Ο στόχος της ενημέρωσης των υπηκόων τρίτων χωρών σχετικά με τα ειδικά δικαιώματα και τις υποχρεώσεις τους θα επιτευχθεί καλύτερα εάν τα κράτη μέλη προσαρμόσουν τη διεξαγωγή της εκστρατείας στον τρόπο λειτουργίας του ΣΕΕ στα σύνορά τους στα οποία λειτουργεί το ΣΕΕ σύμφωνα με το άρθρο 4 του κανονισμού (ΕΕ) 2017/2226. Ως εκ τούτου, το ενημερωτικό υλικό που εκπονείται από την Επιτροπή με την υποστήριξη των κρατών μελών στο πλαίσιο του άρθρου 51 του κανονισμού (ΕΕ) 2017/2226 θα πρέπει να προσαρμοστεί για τη διεξαγωγή της ενημερωτικής εκστρατείας που συνοδεύει τη σταδιακή έναρξη λειτουργίας. </w:t>
      </w:r>
    </w:p>
    <w:p w:rsidR="00BE0D22" w:rsidRPr="00ED4DFF" w:rsidRDefault="00906A71" w:rsidP="00906A71">
      <w:pPr>
        <w:pStyle w:val="ManualConsidrant"/>
        <w:rPr>
          <w:noProof/>
        </w:rPr>
      </w:pPr>
      <w:r w:rsidRPr="00906A71">
        <w:rPr>
          <w:noProof/>
        </w:rPr>
        <w:t>(17)</w:t>
      </w:r>
      <w:r w:rsidRPr="00906A71">
        <w:rPr>
          <w:noProof/>
        </w:rPr>
        <w:tab/>
      </w:r>
      <w:r w:rsidR="002458E1" w:rsidRPr="00ED4DFF">
        <w:rPr>
          <w:noProof/>
        </w:rPr>
        <w:t>Κατά τη σταδιακή έναρξη λειτουργίας του ΣΕΕ, η διαδικτυακή υπηρεσία δεν θα επιτρέπει στους υπηκόους τρίτων χωρών να επαληθεύουν ηλεκτρονικά την ακριβή διάρκεια της επιτρεπόμενης παραμονής τους.</w:t>
      </w:r>
    </w:p>
    <w:p w:rsidR="00BE0D22" w:rsidRPr="00ED4DFF" w:rsidRDefault="00906A71" w:rsidP="00906A71">
      <w:pPr>
        <w:pStyle w:val="ManualConsidrant"/>
        <w:rPr>
          <w:noProof/>
        </w:rPr>
      </w:pPr>
      <w:r w:rsidRPr="00906A71">
        <w:rPr>
          <w:noProof/>
        </w:rPr>
        <w:t>(18)</w:t>
      </w:r>
      <w:r w:rsidRPr="00906A71">
        <w:rPr>
          <w:noProof/>
        </w:rPr>
        <w:tab/>
      </w:r>
      <w:r w:rsidR="6772D326" w:rsidRPr="00ED4DFF">
        <w:rPr>
          <w:noProof/>
        </w:rPr>
        <w:t>Ο παρών κανονισμός δεν θίγει τις υποχρεώσεις των αερομεταφορέων, των θαλάσσιων μεταφορέων και των διεθνών μεταφορέων που μεταφέρουν ομάδες οδικώς με τουριστικά λεωφορεία, όπως προβλέπονται στο άρθρο 26 παράγραφος 1 της σύμβασης εφαρμογής της συμφωνίας του Σένγκεν</w:t>
      </w:r>
      <w:r w:rsidR="6772D326" w:rsidRPr="00ED4DFF">
        <w:rPr>
          <w:rStyle w:val="FootnoteReference"/>
          <w:noProof/>
        </w:rPr>
        <w:footnoteReference w:id="13"/>
      </w:r>
      <w:r w:rsidR="6772D326" w:rsidRPr="00ED4DFF">
        <w:rPr>
          <w:noProof/>
        </w:rPr>
        <w:t xml:space="preserve"> και στην οδηγία 2001/51/ΕΚ του Συμβουλίου</w:t>
      </w:r>
      <w:r w:rsidR="6772D326" w:rsidRPr="00ED4DFF">
        <w:rPr>
          <w:rStyle w:val="FootnoteReference"/>
          <w:noProof/>
        </w:rPr>
        <w:footnoteReference w:id="14"/>
      </w:r>
      <w:r w:rsidR="6772D326" w:rsidRPr="00ED4DFF">
        <w:rPr>
          <w:noProof/>
        </w:rPr>
        <w:t>. Στο πλαίσιο αυτό, οι μεταφορείς θα πρέπει να ελέγχουν τις σφραγίδες που έχουν τεθεί στα ταξιδιωτικά έγγραφα. Για να διασφαλιστεί η αποτελεσματική επικοινωνία με τους μεταφορείς σχετικά με τη διαφοροποιημένη εφαρμογή του ΣΕΕ στα σημεία διέλευσης των συνόρων, προς όφελος, εν τέλει, των ταξιδιωτών, είναι εξαιρετικά σημαντικό τα κράτη μέλη να επιδεικνύουν διαφάνεια όσον αφορά την έναρξη εφαρμογής του ΣΕΕ στα σημεία διέλευσης των συνόρων τους.</w:t>
      </w:r>
    </w:p>
    <w:p w:rsidR="003B5F70" w:rsidRPr="00ED4DFF" w:rsidRDefault="00906A71" w:rsidP="00906A71">
      <w:pPr>
        <w:pStyle w:val="ManualConsidrant"/>
        <w:rPr>
          <w:noProof/>
        </w:rPr>
      </w:pPr>
      <w:r w:rsidRPr="00906A71">
        <w:rPr>
          <w:noProof/>
        </w:rPr>
        <w:t>(19)</w:t>
      </w:r>
      <w:r w:rsidRPr="00906A71">
        <w:rPr>
          <w:noProof/>
        </w:rPr>
        <w:tab/>
      </w:r>
      <w:r w:rsidR="00E46AA7" w:rsidRPr="00ED4DFF">
        <w:rPr>
          <w:noProof/>
        </w:rPr>
        <w:t>Το άρθρο 22 του κανονισμού (ΕΕ) 2017/2226 και το άρθρο 12α του κανονισμού (ΕΕ) 2016/399 προβλέπουν μεταβατική περίοδο και μεταβατικά μέτρα σχετικά με την έναρξη λειτουργίας του ΣΕΕ. Είναι αναγκαίο να προβλεφθεί παρέκκλιση από τα εν λόγω άρθρα για να εξασφαλιστεί ότι η μεταβατική περίοδος και τα μεταβατικά μέτρα εφαρμόζονται μόνο μετά τη λήξη της σταδιακής έναρξης λειτουργίας. Η εν λόγω παρέκκλιση θα πρέπει να παύσει να ισχύει 5 έτη και 180 ημερολογιακές ημέρες μετά την ημερομηνία που θα αποφασίσει η Επιτροπή σύμφωνα με το άρθρο 66 παράγραφος 1 του κανονισμού (ΕΕ) 2017/2226.</w:t>
      </w:r>
    </w:p>
    <w:p w:rsidR="00BE0D22" w:rsidRPr="00ED4DFF" w:rsidRDefault="00906A71" w:rsidP="00906A71">
      <w:pPr>
        <w:pStyle w:val="ManualConsidrant"/>
        <w:rPr>
          <w:noProof/>
        </w:rPr>
      </w:pPr>
      <w:r w:rsidRPr="00906A71">
        <w:rPr>
          <w:noProof/>
        </w:rPr>
        <w:t>(20)</w:t>
      </w:r>
      <w:r w:rsidRPr="00906A71">
        <w:rPr>
          <w:noProof/>
        </w:rPr>
        <w:tab/>
      </w:r>
      <w:r w:rsidR="000A4EFB" w:rsidRPr="00ED4DFF">
        <w:rPr>
          <w:rStyle w:val="HTMLCite"/>
          <w:i w:val="0"/>
          <w:noProof/>
        </w:rPr>
        <w:t xml:space="preserve">Για να διασφαλιστεί ότι οι εθνικές αρχές και οι οργανισμοί της ΕΕ, κατά την εκτέλεση των καθηκόντων τους, αποφεύγουν τη λήψη αποφάσεων αποκλειστικά με βάση τα δεδομένα που έχουν καταχωριστεί στο ΣΕΕ, θα πρέπει να λαμβάνουν υπόψη ότι οι ατομικοί φάκελοι που έχουν καταχωριστεί στο ΣΕΕ ενδέχεται να περιέχουν ελλιπή σύνολα δεδομένων. Η εν λόγω παρέκκλιση θα πρέπει να παύσει να ισχύει 5 έτη μετά την ημερομηνία που θα αποφασίσει η Επιτροπή σύμφωνα με το άρθρο 66 παράγραφος 1 του κανονισμού (ΕΕ) 2017/2226, ώστε να υπάρχει αντιστοιχία με την 5ετή περίοδο διατήρησης για τα σύνολα δεδομένων για τα οποία λείπει η καταχώριση εξόδου, όπως ορίζεται στο άρθρο 34 παράγραφος 3 του εν λόγω κανονισμού. </w:t>
      </w:r>
    </w:p>
    <w:p w:rsidR="00BE0D22" w:rsidRPr="00ED4DFF" w:rsidRDefault="00906A71" w:rsidP="00906A71">
      <w:pPr>
        <w:pStyle w:val="ManualConsidrant"/>
        <w:rPr>
          <w:noProof/>
        </w:rPr>
      </w:pPr>
      <w:r w:rsidRPr="00906A71">
        <w:rPr>
          <w:noProof/>
        </w:rPr>
        <w:t>(21)</w:t>
      </w:r>
      <w:r w:rsidRPr="00906A71">
        <w:rPr>
          <w:noProof/>
        </w:rPr>
        <w:tab/>
      </w:r>
      <w:r w:rsidR="00BE0D22" w:rsidRPr="00ED4DFF">
        <w:rPr>
          <w:noProof/>
        </w:rPr>
        <w:t>Κατά τη διασφάλιση της συμμόρφωσης με τις διατάξεις του κανονισμού (ΕΕ) 2017/2226 σχετικά με την τροποποίηση και την πρόωρη διαγραφή δεδομένων, τα κράτη μέλη θα πρέπει να συμπληρώνουν τα ελλιπή δεδομένα στον βαθμό που το επιτρέπει η περιορισμένη διαθεσιμότητα των συνόλων δεδομένων που καταχωρίστηκαν στο ΣΕΕ κατά τη διάρκεια της σταδιακής έναρξης λειτουργίας.</w:t>
      </w:r>
    </w:p>
    <w:p w:rsidR="00BE0D22" w:rsidRPr="00ED4DFF" w:rsidRDefault="00906A71" w:rsidP="00906A71">
      <w:pPr>
        <w:pStyle w:val="ManualConsidrant"/>
        <w:rPr>
          <w:noProof/>
        </w:rPr>
      </w:pPr>
      <w:r w:rsidRPr="00906A71">
        <w:rPr>
          <w:noProof/>
        </w:rPr>
        <w:t>(22)</w:t>
      </w:r>
      <w:r w:rsidRPr="00906A71">
        <w:rPr>
          <w:noProof/>
        </w:rPr>
        <w:tab/>
      </w:r>
      <w:r w:rsidR="00BE0D22" w:rsidRPr="00ED4DFF">
        <w:rPr>
          <w:noProof/>
        </w:rPr>
        <w:t>Ο Ευρωπαϊκός Οργανισμός Συνοριοφυλακής και Ακτοφυλακής θα πρέπει να μη χρησιμοποιεί δεδομένα που καταχωρίστηκαν στο ΣΕΕ κατά τη διάρκεια της σταδιακής έναρξης λειτουργίας για τη διεξαγωγή αναλύσεων κινδύνου και αξιολογήσεων τρωτότητας, λόγω της έλλειψης πληρότητας των δεδομένων, η οποία θα μπορούσε να οδηγήσει σε παραπλανητικές αξιολογήσεις κινδύνου και τρωτότητας.</w:t>
      </w:r>
    </w:p>
    <w:p w:rsidR="00BE0D22" w:rsidRPr="00ED4DFF" w:rsidRDefault="00906A71" w:rsidP="00906A71">
      <w:pPr>
        <w:pStyle w:val="ManualConsidrant"/>
        <w:rPr>
          <w:noProof/>
        </w:rPr>
      </w:pPr>
      <w:r w:rsidRPr="00906A71">
        <w:rPr>
          <w:noProof/>
        </w:rPr>
        <w:t>(23)</w:t>
      </w:r>
      <w:r w:rsidRPr="00906A71">
        <w:rPr>
          <w:noProof/>
        </w:rPr>
        <w:tab/>
      </w:r>
      <w:r w:rsidR="00BE0D22" w:rsidRPr="00ED4DFF">
        <w:rPr>
          <w:noProof/>
        </w:rPr>
        <w:t>Για να διασφαλιστεί η αποτελεσματική διαχείριση των εξωτερικών συνόρων κατά τη σταδιακή έναρξης λειτουργίας του ΣΕΕ, στα συνοριακά σημεία διέλευσης στα οποία δεν χρησιμοποιείται το ΣΕΕ, θα πρέπει να διενεργούνται συνοριακοί έλεγχοι σύμφωνα με τον κανονισμό (ΕΕ) 2016/399, όπως ισχύει [την ημέρα πριν από την ημερομηνία έναρξης λειτουργίας του ΣΕΕ, όπως αυτή θα αποφασιστεί από την Επιτροπή σύμφωνα με το άρθρο 66 παράγραφος 1 του κανονισμού (ΕΕ) 2017/2226]. Στα σημεία διέλευσης των συνόρων στα οποία λειτουργεί το ΣΕΕ, οι συνοριακοί έλεγχοι θα πρέπει να διενεργούνται σύμφωνα με τον κανονισμό (ΕΕ) 2017/2226 και τον κώδικα συνόρων του Σένγκεν. Ωστόσο, θα πρέπει να εφαρμοστούν ειδικές παρεκκλίσεις από τους εν λόγω κανονισμούς όσον αφορά την επαλήθευση στα σημεία διέλευσης των συνόρων στα οποία χρησιμοποιείται το ΣΕΕ χωρίς βιομετρικές λειτουργικές δυνατότητες, ώστε να καταστεί δυνατή η σταδιακή έναρξη λειτουργίας. Η εφαρμογή των εν λόγω παρεκκλίσεων δεν θα πρέπει να θίγει τους ελέγχους των κατόχων θεώρησης με τη χρήση δακτυλικών αποτυπωμάτων, σύμφωνα με τον κανονισμό (ΕΚ) αριθ. 787/2008.</w:t>
      </w:r>
    </w:p>
    <w:p w:rsidR="00C70EC5" w:rsidRPr="00ED4DFF" w:rsidRDefault="00906A71" w:rsidP="00906A71">
      <w:pPr>
        <w:pStyle w:val="ManualConsidrant"/>
        <w:rPr>
          <w:noProof/>
        </w:rPr>
      </w:pPr>
      <w:r w:rsidRPr="00906A71">
        <w:rPr>
          <w:noProof/>
        </w:rPr>
        <w:t>(24)</w:t>
      </w:r>
      <w:r w:rsidRPr="00906A71">
        <w:rPr>
          <w:noProof/>
        </w:rPr>
        <w:tab/>
      </w:r>
      <w:r w:rsidR="00BE0D22" w:rsidRPr="00ED4DFF">
        <w:rPr>
          <w:noProof/>
        </w:rPr>
        <w:t xml:space="preserve">Τα κράτη μέλη θα πρέπει να έχουν τη δυνατότητα να αναστέλλουν πλήρως ή εν μέρει τη λειτουργία του ΣΕΕ σε ορισμένα συνοριακά σημεία διέλευσης, προκειμένου να καταστεί δυνατή η αποτελεσματική προσαρμογή των τεχνικών και οργανωτικών ρυθμίσεων κατά τη σταδιακή έναρξη λειτουργίας του ΣΕΕ σε κάθε κράτος μέλος και για να αντιμετωπιστούν εξαιρετικές περιπτώσεις βλάβης του κεντρικού συστήματος του ΣΕΕ, των εθνικών συστημάτων ή της επικοινωνιακής υποδομής, ή υπερβολικοί χρόνοι αναμονής στα σύνορά τους. Σε περίπτωση μερικής αναστολής, η καταχώριση βιομετρικών δεδομένων στο ΣΕΕ θα πρέπει να αναστέλλεται. Σε περίπτωση πλήρους αναστολής, δεν θα πρέπει να καταχωρίζονται δεδομένα στο ΣΕΕ. Για να μετριαστούν οι πρόσθετοι κίνδυνοι που σχετίζονται με την έναρξη εφαρμογής του ΣΕΕ με βιομετρικές λειτουργικές δυνατότητες, τα κράτη μέλη θα πρέπει να έχουν τη δυνατότητα, σε εξαιρετικές περιστάσεις που οδηγούν σε κυκλοφορία τέτοιας έντασης ώστε οι χρόνοι αναμονής στα σύνορα να καθίστανται υπερβολικοί, να αναστέλλουν την καταχώριση βιομετρικών δεδομένων στο ΣΕΕ μετά τη λήξη της σταδιακής έναρξης λειτουργίας. Η εν λόγω αναστολή θα πρέπει να είναι δυνατή για περιορισμένο χρονικό διάστημα 60 ημερών μετά τη λήξη της σταδιακής έναρξης λειτουργίας του ΣΕΕ και θα πρέπει να παρατείνεται κατά 60 ημέρες, εάν λιγότερο από το 80 % των ατομικών φακέλων που καταχωρίστηκαν στο ΣΕΕ κατά τη διάρκεια της σταδιακής έναρξης λειτουργίας του ΣΕΕ περιέχουν βιομετρικά δεδομένα. </w:t>
      </w:r>
    </w:p>
    <w:p w:rsidR="00BE0D22" w:rsidRPr="00ED4DFF" w:rsidRDefault="00906A71" w:rsidP="00906A71">
      <w:pPr>
        <w:pStyle w:val="ManualConsidrant"/>
        <w:rPr>
          <w:noProof/>
        </w:rPr>
      </w:pPr>
      <w:r w:rsidRPr="00906A71">
        <w:rPr>
          <w:noProof/>
        </w:rPr>
        <w:t>(25)</w:t>
      </w:r>
      <w:r w:rsidRPr="00906A71">
        <w:rPr>
          <w:noProof/>
        </w:rPr>
        <w:tab/>
      </w:r>
      <w:r w:rsidR="00BE0D22" w:rsidRPr="00ED4DFF">
        <w:rPr>
          <w:noProof/>
        </w:rPr>
        <w:t>Ο eu-LISA θα πρέπει να δημοσιεύει εκθέσεις σχετικά με τις στατιστικές για τη χρήση του συστήματος, οι οποίες αναμένεται να χρησιμεύσουν για την αξιολόγηση των επιδόσεων του συστήματος, την αξιολόγηση της συμμόρφωσης των κρατών μελών με τα σχέδια σταδιακής εφαρμογής, τον εντοπισμό τομέων που επιδέχονται βελτίωση, την παρακολούθηση της συμμόρφωσης με τη σταδιακή έναρξη λειτουργίας του ΣΕΕ και την υποστήριξη της λήψης αποφάσεων σχετικά με την περαιτέρω ανάπτυξη και βελτιστοποίηση του συστήματος.</w:t>
      </w:r>
    </w:p>
    <w:p w:rsidR="00BE0D22" w:rsidRPr="00ED4DFF" w:rsidRDefault="00906A71" w:rsidP="00906A71">
      <w:pPr>
        <w:pStyle w:val="ManualConsidrant"/>
        <w:rPr>
          <w:noProof/>
        </w:rPr>
      </w:pPr>
      <w:r w:rsidRPr="00906A71">
        <w:rPr>
          <w:noProof/>
        </w:rPr>
        <w:t>(26)</w:t>
      </w:r>
      <w:r w:rsidRPr="00906A71">
        <w:rPr>
          <w:noProof/>
        </w:rPr>
        <w:tab/>
      </w:r>
      <w:r w:rsidR="000A53AA" w:rsidRPr="00ED4DFF">
        <w:rPr>
          <w:noProof/>
        </w:rPr>
        <w:t xml:space="preserve">Οι προπαρασκευαστικές εργασίες σχετικά με τα σχέδια σταδιακής εφαρμογής θα πρέπει να ενεργοποιηθούν από την ημερομηνία έναρξης ισχύος του παρόντος κανονισμού. Η σταδιακή έναρξη λειτουργίας θα πρέπει να εφαρμοστεί από την ημερομηνία που θα αποφασίσει η Επιτροπή σύμφωνα με το άρθρο 66 παράγραφος 1 του κανονισμού ΣΕΕ. Δεδομένου ότι ο παρών κανονισμός προβλέπει προσωρινές παρεκκλίσεις, θα πρέπει να παύσει να ισχύει 180 ημερολογιακές ημέρες μετά την ημερομηνία που θα αποφασίσει η Επιτροπή σύμφωνα με το άρθρο 66 παράγραφος 1 του κανονισμού (ΕΕ) 2017/2226.  Ωστόσο, οι κανόνες παρέκκλισης σχετικά με την εφαρμογή της μεταβατικής περιόδου και των μεταβατικών μέτρων, την πρόσβαση στα δεδομένα του ΣΕΕ, την επαλήθευση, από τους μεταφορείς, των σφραγίδων που έχουν τεθεί στα ταξιδιωτικά έγγραφα και η αναστολή του ΣΕΕ θα πρέπει να εφαρμοστούν για περιορισμένο χρονικό διάστημα μετά τη λήξη της περιόδου σταδιακής έναρξης λειτουργίας. </w:t>
      </w:r>
    </w:p>
    <w:p w:rsidR="00BE0D22" w:rsidRPr="00ED4DFF" w:rsidRDefault="00906A71" w:rsidP="00906A71">
      <w:pPr>
        <w:pStyle w:val="ManualConsidrant"/>
        <w:rPr>
          <w:noProof/>
        </w:rPr>
      </w:pPr>
      <w:r w:rsidRPr="00906A71">
        <w:rPr>
          <w:noProof/>
        </w:rPr>
        <w:t>(27)</w:t>
      </w:r>
      <w:r w:rsidRPr="00906A71">
        <w:rPr>
          <w:noProof/>
        </w:rPr>
        <w:tab/>
      </w:r>
      <w:r w:rsidR="00E00EE3" w:rsidRPr="00ED4DFF">
        <w:rPr>
          <w:noProof/>
        </w:rPr>
        <w:t>Ο στόχος του παρόντος κανονισμού, δηλαδή το να επιτραπούν παρεκκλίσεις από τον κανονισμό (ΕΕ) 2017/2226 και τον κανονισμό (ΕΕ) 2016/299 για τη σταδιακή έναρξη λειτουργίας του ΣΕΕ, δεν μπορεί να επιτευχθεί επαρκώς από τα κράτη μέλη, μπορεί όμως, λόγω της κλίμακας και του αντικτύπου της δράσης, να επιτευχθεί καλύτερα σε επίπεδο Ένωσης. Επομένως, η Ένωση μπορεί να θεσπίσει μέτρα σύμφωνα με την αρχή της επικουρικότητας του άρθρου 5 της Συνθήκης για την Ευρωπαϊκή Ένωση. Σύμφωνα με την αρχή της αναλογικότητας, όπως διατυπώνεται στο ίδιο άρθρο, ο παρών κανονισμός δεν υπερβαίνει τα αναγκαία για την επίτευξη αυτών των στόχων.</w:t>
      </w:r>
    </w:p>
    <w:p w:rsidR="00BE0D22" w:rsidRPr="00ED4DFF" w:rsidRDefault="00906A71" w:rsidP="00906A71">
      <w:pPr>
        <w:pStyle w:val="ManualConsidrant"/>
        <w:rPr>
          <w:noProof/>
        </w:rPr>
      </w:pPr>
      <w:r w:rsidRPr="00906A71">
        <w:rPr>
          <w:noProof/>
        </w:rPr>
        <w:t>(28)</w:t>
      </w:r>
      <w:r w:rsidRPr="00906A71">
        <w:rPr>
          <w:noProof/>
        </w:rPr>
        <w:tab/>
      </w:r>
      <w:r w:rsidR="00106AF7" w:rsidRPr="00ED4DFF">
        <w:rPr>
          <w:noProof/>
        </w:rPr>
        <w:t xml:space="preserve">Σύμφωνα με τα άρθρα 1 και 2 του πρωτοκόλλου αριθ. 22 σχετικά με τη θέση της Δανίας, το οποίο προσαρτάται στη ΣΕΕ και στη Συνθήκη για τη λειτουργία της Ευρωπαϊκής Ένωσης, η Δανία δεν συμμετέχει στη θέσπιση του παρόντος κανονισμού και δεν δεσμεύεται από αυτόν ούτε υπόκειται στην εφαρμογή του. Δεδομένου ότι ο παρών κανονισμός αναπτύσσει περαιτέρω το κεκτημένο του Σένγκεν, η Δανία θα πρέπει να αποφασίσει, σύμφωνα με το άρθρο 4 του εν λόγω πρωτοκόλλου, εντός έξι μηνών αφότου το Συμβούλιο αποφασίσει επί του παρόντος κανονισμού, αν θα τον εφαρμόσει στο εθνικό της δίκαιο. </w:t>
      </w:r>
    </w:p>
    <w:p w:rsidR="00BE0D22" w:rsidRPr="00ED4DFF" w:rsidRDefault="00906A71" w:rsidP="00906A71">
      <w:pPr>
        <w:pStyle w:val="ManualConsidrant"/>
        <w:rPr>
          <w:noProof/>
        </w:rPr>
      </w:pPr>
      <w:r w:rsidRPr="00906A71">
        <w:rPr>
          <w:noProof/>
        </w:rPr>
        <w:t>(29)</w:t>
      </w:r>
      <w:r w:rsidRPr="00906A71">
        <w:rPr>
          <w:noProof/>
        </w:rPr>
        <w:tab/>
      </w:r>
      <w:r w:rsidR="00BE0D22" w:rsidRPr="00ED4DFF">
        <w:rPr>
          <w:noProof/>
        </w:rPr>
        <w:t xml:space="preserve">Ο παρών κανονισμός δεν συνιστά ανάπτυξη των διατάξεων του κεκτημένου του Σένγκεν στις οποίες συμμετέχει η Ιρλανδία, σύμφωνα με την απόφαση 2002/192/ΕΚ του Συμβουλίου. Ως εκ τούτου, η Ιρλανδία δεν συμμετέχει στη θέσπιση του παρόντος κανονισμού και δεν δεσμεύεται από αυτόν ούτε υπόκειται στην εφαρμογή του. </w:t>
      </w:r>
    </w:p>
    <w:p w:rsidR="00BE0D22" w:rsidRPr="00ED4DFF" w:rsidRDefault="00906A71" w:rsidP="00906A71">
      <w:pPr>
        <w:pStyle w:val="ManualConsidrant"/>
        <w:rPr>
          <w:noProof/>
        </w:rPr>
      </w:pPr>
      <w:r w:rsidRPr="00906A71">
        <w:rPr>
          <w:noProof/>
        </w:rPr>
        <w:t>(30)</w:t>
      </w:r>
      <w:r w:rsidRPr="00906A71">
        <w:rPr>
          <w:noProof/>
        </w:rPr>
        <w:tab/>
      </w:r>
      <w:r w:rsidR="00BE0D22" w:rsidRPr="00ED4DFF">
        <w:rPr>
          <w:noProof/>
        </w:rPr>
        <w:t>Όσον αφορά την Ισλανδία και τη Νορβηγία, ο παρών κανονισμός αποτελεί ανάπτυξη των διατάξεων του κεκτημένου του Σένγκεν, κατά την έννοια της συμφωνίας που έχει συναφθεί από το Συμβούλιο της Ευρωπαϊκής Ένωσης, τη Δημοκρατία της Ισλανδίας και το Βασίλειο της Νορβηγίας για τη σύνδεση των εν λόγω κρατών με την υλοποίηση, την εφαρμογή και την ανάπτυξη του κεκτημένου του Σένγκεν, οι οποίες διατάξεις εμπίπτουν στον τομέα στον οποίο αναφέρεται το άρθρο 1 στοιχείο Α της απόφασης 1999/437/ΕΚ του Συμβουλίου.</w:t>
      </w:r>
    </w:p>
    <w:p w:rsidR="00BE0D22" w:rsidRPr="00ED4DFF" w:rsidRDefault="00906A71" w:rsidP="00906A71">
      <w:pPr>
        <w:pStyle w:val="ManualConsidrant"/>
        <w:rPr>
          <w:noProof/>
        </w:rPr>
      </w:pPr>
      <w:r w:rsidRPr="00906A71">
        <w:rPr>
          <w:noProof/>
        </w:rPr>
        <w:t>(31)</w:t>
      </w:r>
      <w:r w:rsidRPr="00906A71">
        <w:rPr>
          <w:noProof/>
        </w:rPr>
        <w:tab/>
      </w:r>
      <w:r w:rsidR="00BE0D22" w:rsidRPr="00ED4DFF">
        <w:rPr>
          <w:noProof/>
        </w:rPr>
        <w:t xml:space="preserve">Όσον αφορά την Ελβετία, ο παρών κανονισμός αποτελεί ανάπτυξη των διατάξεων του κεκτημένου του Σένγκεν, κατά την έννοια της συμφωνίας μεταξύ της Ευρωπαϊκής Ένωσης, της Ευρωπαϊκής Κοινότητας και της Ελβετικής Συνομοσπονδίας σχετικά με τη σύνδεση της Ελβετικής Συνομοσπονδίας προς την υλοποίηση, την εφαρμογή και την ανάπτυξη του κεκτημένου του Σένγκεν, οι οποίες διατάξεις εμπίπτουν στον τομέα στον οποίο αναφέρεται το άρθρο 1 στοιχείο Α της απόφασης 1999/437/ΕΚ σε συνδυασμό με το άρθρο 3 της απόφασης 2008/146/ΕΚ του Συμβουλίου. </w:t>
      </w:r>
    </w:p>
    <w:p w:rsidR="00BE0D22" w:rsidRPr="00ED4DFF" w:rsidRDefault="00906A71" w:rsidP="00906A71">
      <w:pPr>
        <w:pStyle w:val="ManualConsidrant"/>
        <w:rPr>
          <w:noProof/>
        </w:rPr>
      </w:pPr>
      <w:r w:rsidRPr="00906A71">
        <w:rPr>
          <w:noProof/>
        </w:rPr>
        <w:t>(32)</w:t>
      </w:r>
      <w:r w:rsidRPr="00906A71">
        <w:rPr>
          <w:noProof/>
        </w:rPr>
        <w:tab/>
      </w:r>
      <w:r w:rsidR="00BE0D22" w:rsidRPr="00ED4DFF">
        <w:rPr>
          <w:noProof/>
        </w:rPr>
        <w:t>Όσον αφορά το Λιχτενστάιν, ο παρών κανονισμός αποτελεί ανάπτυξη των διατάξεων του κεκτημένου του Σένγκεν, κατά την έννοια του πρωτοκόλλου μεταξύ της Ευρωπαϊκής Ένωσης, της Ευρωπαϊκής Κοινότητας, της Ελβετικής Συνομοσπονδίας και του Πριγκιπάτου του Λιχτενστάιν για την προσχώρηση του Πριγκιπάτου του Λιχτενστάιν στη συμφωνία μεταξύ της Ευρωπαϊκής Ένωσης, της Ευρωπαϊκής Κοινότητας και της Ελβετικής Συνομοσπονδίας σχετικά με τη σύνδεση της Ελβετικής Συνομοσπονδίας προς τη θέση σε ισχύ, την εφαρμογή και την ανάπτυξη του κεκτημένου του Σένγκεν, οι οποίες διατάξεις εμπίπτουν στον τομέα στον οποίο αναφέρεται το άρθρο 1 στοιχείο Α της απόφασης 1999/437/ΕΚ, σε συνδυασμό με το άρθρο 3 της απόφασης 2011/350/ΕΕ του Συμβουλίου.</w:t>
      </w:r>
    </w:p>
    <w:p w:rsidR="00BE0D22" w:rsidRPr="00ED4DFF" w:rsidRDefault="00906A71" w:rsidP="00906A71">
      <w:pPr>
        <w:pStyle w:val="ManualConsidrant"/>
        <w:rPr>
          <w:noProof/>
        </w:rPr>
      </w:pPr>
      <w:r w:rsidRPr="00906A71">
        <w:rPr>
          <w:noProof/>
        </w:rPr>
        <w:t>(33)</w:t>
      </w:r>
      <w:r w:rsidRPr="00906A71">
        <w:rPr>
          <w:noProof/>
        </w:rPr>
        <w:tab/>
      </w:r>
      <w:r w:rsidR="00BE0D22" w:rsidRPr="00ED4DFF">
        <w:rPr>
          <w:noProof/>
        </w:rPr>
        <w:t>Όσον αφορά την Κύπρο, οι διατάξεις του παρόντος κανονισμού που αφορούν  το VIS αποτελούν διατάξεις που βασίζονται στο κεκτημένο του Σένγκεν ή που σχετίζονται άλλως με αυτό κατά την έννοια του άρθρου 3 παράγραφος 2 της πράξης προσχώρησης του 2003. Η λειτουργία του ΣΕΕ απαιτεί τη χορήγηση παθητικής πρόσβασης στο VIS. Δεδομένου ότι το ΣΕΕ θα χρησιμοποιηθεί μόνον από τα κράτη μέλη που, κατά τον χρόνο έναρξης της λειτουργίας του ΣΕΕ, πληρούν τις προϋποθέσεις που σχετίζονται με το VIS, η Κύπρος δεν θα χρησιμοποιήσει το ΣΕΕ από τον χρόνο έναρξης λειτουργίας. Η Κύπρος θα συνδεθεί με το ΣΕΕ μόλις πληρωθούν οι όροι της διαδικασίας που αναφέρεται στον κανονισμό (ΕΕ) 2017/2226.</w:t>
      </w:r>
    </w:p>
    <w:p w:rsidR="00BE0D22" w:rsidRPr="00ED4DFF" w:rsidRDefault="00906A71" w:rsidP="00906A71">
      <w:pPr>
        <w:pStyle w:val="ManualConsidrant"/>
        <w:rPr>
          <w:noProof/>
        </w:rPr>
      </w:pPr>
      <w:r w:rsidRPr="00906A71">
        <w:rPr>
          <w:noProof/>
        </w:rPr>
        <w:t>(34)</w:t>
      </w:r>
      <w:r w:rsidRPr="00906A71">
        <w:rPr>
          <w:noProof/>
        </w:rPr>
        <w:tab/>
      </w:r>
      <w:r w:rsidR="00BE0D22" w:rsidRPr="00ED4DFF">
        <w:rPr>
          <w:noProof/>
        </w:rPr>
        <w:t>Ζητήθηκε, σύμφωνα με το άρθρο 42 παράγραφος 1 του κανονισμού (ΕΕ) 2018/1725, η γνώμη του Ευρωπαίου Επόπτη Προστασίας Δεδομένων, ο οποίος γνωμοδότησε στις [XX].</w:t>
      </w:r>
    </w:p>
    <w:p w:rsidR="007D3A92" w:rsidRPr="00ED4DFF" w:rsidRDefault="00906A71" w:rsidP="00906A71">
      <w:pPr>
        <w:pStyle w:val="ManualConsidrant"/>
        <w:rPr>
          <w:noProof/>
        </w:rPr>
      </w:pPr>
      <w:r w:rsidRPr="00906A71">
        <w:rPr>
          <w:noProof/>
        </w:rPr>
        <w:t>(35)</w:t>
      </w:r>
      <w:r w:rsidRPr="00906A71">
        <w:rPr>
          <w:noProof/>
        </w:rPr>
        <w:tab/>
      </w:r>
      <w:r w:rsidR="007D3A92" w:rsidRPr="00ED4DFF">
        <w:rPr>
          <w:noProof/>
        </w:rPr>
        <w:t>Ο παρών κανονισμός θεσπίζει αυστηρούς κανόνες για την πρόσβαση στο ΣΕΕ όπως και τις απαραίτητες διασφαλίσεις πρόσβασης. Δίνει επίσης στους ενδιαφερομένους δικαιώματα πρόσβασης, διόρθωσης, συμπλήρωσης, διαγραφής και προσφυγής, ιδίως το δικαίωμα προσφυγής ενώπιον δικαστηρίου, καθώς και την επίβλεψη των πράξεων επεξεργασίας δεδομένων από δημόσιες ανεξάρτητες αρχές. Ως εκ τούτου, ο παρών κανονισμός σέβεται τα θεμελιώδη δικαιώματα και τηρεί τις αρχές που αναγνωρίζονται από τον Χάρτη των Θεμελιωδών Δικαιωμάτων της Ευρωπαϊκής Ένωσης, ιδίως το δικαίωμα στην ανθρώπινη αξιοπρέπεια, την απαγόρευση της δουλείας και της αναγκαστικής εργασίας, το δικαίωμα στην ελευθερία και την ασφάλεια, τον σεβασμό της ιδιωτικής και οικογενειακής ζωής, την προστασία των δεδομένων προσωπικού χαρακτήρα, το δικαίωμα στη μη εφαρμογή διακρίσεων, τα δικαιώματα του παιδιού, τα δικαιώματα των ηλικιωμένων, την ένταξη των ατόμων με αναπηρία και το δικαίωμα πραγματικής προσφυγής και αμερόληπτου δικαστηρίου.  </w:t>
      </w:r>
    </w:p>
    <w:p w:rsidR="007D3A92" w:rsidRPr="00ED4DFF" w:rsidRDefault="00906A71" w:rsidP="00906A71">
      <w:pPr>
        <w:pStyle w:val="ManualConsidrant"/>
        <w:rPr>
          <w:noProof/>
        </w:rPr>
      </w:pPr>
      <w:r w:rsidRPr="00906A71">
        <w:rPr>
          <w:noProof/>
        </w:rPr>
        <w:t>(36)</w:t>
      </w:r>
      <w:r w:rsidRPr="00906A71">
        <w:rPr>
          <w:noProof/>
        </w:rPr>
        <w:tab/>
      </w:r>
      <w:r w:rsidR="0B0D815C" w:rsidRPr="00ED4DFF">
        <w:rPr>
          <w:noProof/>
        </w:rPr>
        <w:t>Ο παρών κανονισμός εφαρμόζεται με την επιφύλαξη των υποχρεώσεων που απορρέουν από τη σύμβαση της Γενεύης, της 28ης Ιουλίου 1951, περί της νομικής καταστάσεως των προσφύγων, όπως συμπληρώθηκε από το Πρωτόκολλο της Νέας Υόρκης της 31ης Ιανουαρίου 1967,</w:t>
      </w:r>
    </w:p>
    <w:p w:rsidR="005F1085" w:rsidRPr="00ED4DFF" w:rsidRDefault="005F1085">
      <w:pPr>
        <w:pStyle w:val="Formuledadoption"/>
        <w:rPr>
          <w:noProof/>
        </w:rPr>
      </w:pPr>
      <w:r w:rsidRPr="00ED4DFF">
        <w:rPr>
          <w:noProof/>
        </w:rPr>
        <w:t>ΕΞΕΔΩΣΑΝ ΤΟΝ ΠΑΡΟΝΤΑ ΚΑΝΟΝΙΣΜΟ:</w:t>
      </w:r>
    </w:p>
    <w:p w:rsidR="00BE0D22" w:rsidRPr="00ED4DFF" w:rsidRDefault="005F1085" w:rsidP="00F266A7">
      <w:pPr>
        <w:pStyle w:val="Titrearticle"/>
        <w:rPr>
          <w:i w:val="0"/>
          <w:iCs/>
          <w:noProof/>
        </w:rPr>
      </w:pPr>
      <w:r w:rsidRPr="00ED4DFF">
        <w:rPr>
          <w:noProof/>
        </w:rPr>
        <w:t xml:space="preserve">Άρθρο 1 </w:t>
      </w:r>
      <w:r w:rsidRPr="00ED4DFF">
        <w:rPr>
          <w:noProof/>
        </w:rPr>
        <w:br/>
        <w:t>Αντικείμενο</w:t>
      </w:r>
    </w:p>
    <w:p w:rsidR="00BE0D22" w:rsidRPr="00ED4DFF" w:rsidRDefault="00BE0D22" w:rsidP="00BE0D22">
      <w:pPr>
        <w:rPr>
          <w:noProof/>
        </w:rPr>
      </w:pPr>
      <w:r w:rsidRPr="00ED4DFF">
        <w:rPr>
          <w:noProof/>
        </w:rPr>
        <w:t xml:space="preserve">Ο παρών κανονισμός θεσπίζει κανόνες για τη σταδιακή έναρξη λειτουργίας του συστήματος εισόδου/εξόδου (ΣΕΕ) </w:t>
      </w:r>
      <w:r w:rsidRPr="00ED4DFF">
        <w:rPr>
          <w:rStyle w:val="normaltextrun"/>
          <w:noProof/>
          <w:shd w:val="clear" w:color="auto" w:fill="FFFFFF"/>
        </w:rPr>
        <w:t>στα σύνορα των κρατών μελών στα οποία λειτουργεί το ΣΕΕ σύμφωνα με το άρθρο 4 του κανονισμού (ΕΕ) 2017/2226</w:t>
      </w:r>
      <w:r w:rsidRPr="00ED4DFF">
        <w:rPr>
          <w:noProof/>
        </w:rPr>
        <w:t>, καθώς και προσωρινές παρεκκλίσεις από τους κανονισμούς (ΕΕ) 2017/2226 και (ΕΕ) 2016/399.</w:t>
      </w:r>
    </w:p>
    <w:p w:rsidR="00BE0D22" w:rsidRPr="00ED4DFF" w:rsidRDefault="00BE0D22" w:rsidP="00F266A7">
      <w:pPr>
        <w:pStyle w:val="Titrearticle"/>
        <w:rPr>
          <w:noProof/>
        </w:rPr>
      </w:pPr>
      <w:r w:rsidRPr="00ED4DFF">
        <w:rPr>
          <w:noProof/>
        </w:rPr>
        <w:t xml:space="preserve">Άρθρο 2 </w:t>
      </w:r>
      <w:r w:rsidRPr="00ED4DFF">
        <w:rPr>
          <w:noProof/>
        </w:rPr>
        <w:br/>
        <w:t>Ορισμοί</w:t>
      </w:r>
    </w:p>
    <w:p w:rsidR="00BE0D22" w:rsidRPr="00ED4DFF" w:rsidRDefault="00BE0D22" w:rsidP="00577336">
      <w:pPr>
        <w:rPr>
          <w:noProof/>
        </w:rPr>
      </w:pPr>
      <w:r w:rsidRPr="00ED4DFF">
        <w:rPr>
          <w:noProof/>
        </w:rPr>
        <w:t>Για τους σκοπούς του παρόντος κανονισμού ισχύουν οι ορισμοί του άρθρου 3 παράγραφος 1 του κανονισμού (ΕΕ) 2017/2226. Επιπλέον, ισχύουν οι ακόλουθοι ορισμοί:</w:t>
      </w:r>
    </w:p>
    <w:p w:rsidR="00BE0D22" w:rsidRPr="00ED4DFF" w:rsidRDefault="00EE0419" w:rsidP="00EE0419">
      <w:pPr>
        <w:pStyle w:val="Point1"/>
        <w:rPr>
          <w:noProof/>
        </w:rPr>
      </w:pPr>
      <w:r w:rsidRPr="00ED4DFF">
        <w:rPr>
          <w:noProof/>
        </w:rPr>
        <w:t>α)</w:t>
      </w:r>
      <w:r w:rsidRPr="00ED4DFF">
        <w:rPr>
          <w:noProof/>
        </w:rPr>
        <w:tab/>
      </w:r>
      <w:r w:rsidR="1744AB68" w:rsidRPr="00ED4DFF">
        <w:rPr>
          <w:noProof/>
        </w:rPr>
        <w:t>«σταδιακή έναρξη λειτουργίας του ΣΕΕ»: η περίοδος 180 ημερολογιακών ημερών που αρχίζει μετά την ημερομηνία που θα αποφασίσει η Επιτροπή σύμφωνα με το άρθρο 66 παράγραφος 1 του κανονισμού (ΕΕ) 2017/2226·</w:t>
      </w:r>
    </w:p>
    <w:p w:rsidR="00BE0D22" w:rsidRPr="00ED4DFF" w:rsidRDefault="00EE0419" w:rsidP="00EE0419">
      <w:pPr>
        <w:pStyle w:val="Point1"/>
        <w:rPr>
          <w:noProof/>
        </w:rPr>
      </w:pPr>
      <w:r w:rsidRPr="00ED4DFF">
        <w:rPr>
          <w:noProof/>
        </w:rPr>
        <w:t>β)</w:t>
      </w:r>
      <w:r w:rsidRPr="00ED4DFF">
        <w:rPr>
          <w:noProof/>
        </w:rPr>
        <w:tab/>
      </w:r>
      <w:r w:rsidR="00BE0D22" w:rsidRPr="00ED4DFF">
        <w:rPr>
          <w:noProof/>
        </w:rPr>
        <w:t>«εθνικές αρχές»: οι αρχές που αναφέρονται στο άρθρο 9 του κανονισμού (ΕΕ) 2017/2226·</w:t>
      </w:r>
    </w:p>
    <w:p w:rsidR="00BE0D22" w:rsidRPr="00ED4DFF" w:rsidRDefault="00EE0419" w:rsidP="00EE0419">
      <w:pPr>
        <w:pStyle w:val="Point1"/>
        <w:rPr>
          <w:noProof/>
        </w:rPr>
      </w:pPr>
      <w:r w:rsidRPr="00ED4DFF">
        <w:rPr>
          <w:noProof/>
        </w:rPr>
        <w:t>γ)</w:t>
      </w:r>
      <w:r w:rsidRPr="00ED4DFF">
        <w:rPr>
          <w:noProof/>
        </w:rPr>
        <w:tab/>
      </w:r>
      <w:r w:rsidR="00BE0D22" w:rsidRPr="00ED4DFF">
        <w:rPr>
          <w:noProof/>
        </w:rPr>
        <w:t>«εκτιμώμενος αριθμός διελεύσεων των συνόρων»: η εκτίμηση κράτους μέλους σχετικά με τον αριθμό των διελεύσεων των συνόρων από υπηκόους τρίτων χωρών που καθορίζονται στο άρθρο 2 παράγραφοι 1 και 2 του κανονισμού (ΕΕ) 2017/2226 στο οικείο κράτος μέλος, με βάση τον ετήσιο μέσο όρο του συνολικού αριθμού διελεύσεων των συνόρων από υπηκόους τρίτων χωρών που ταξιδεύουν για βραχεία παραμονή στο εν λόγω κράτος μέλος, υπολογιζόμενο για τα προηγούμενα 3 έτη από την ημερομηνία εφαρμογής που αναφέρεται στο άρθρο 8 παράγραφος 1 δεύτερο εδάφιο του παρόντος κανονισμού.</w:t>
      </w:r>
    </w:p>
    <w:p w:rsidR="00BE0D22" w:rsidRPr="00ED4DFF" w:rsidRDefault="00BE0D22" w:rsidP="00F266A7">
      <w:pPr>
        <w:pStyle w:val="Titrearticle"/>
        <w:rPr>
          <w:i w:val="0"/>
          <w:iCs/>
          <w:noProof/>
        </w:rPr>
      </w:pPr>
      <w:r w:rsidRPr="00ED4DFF">
        <w:rPr>
          <w:noProof/>
        </w:rPr>
        <w:t xml:space="preserve">Άρθρο 3 </w:t>
      </w:r>
      <w:r w:rsidRPr="00ED4DFF">
        <w:rPr>
          <w:noProof/>
        </w:rPr>
        <w:br/>
        <w:t>Σχέδια σταδιακής εφαρμογής</w:t>
      </w:r>
    </w:p>
    <w:p w:rsidR="00E52C69" w:rsidRPr="00ED4DFF" w:rsidRDefault="00906A71" w:rsidP="00906A71">
      <w:pPr>
        <w:pStyle w:val="ManualNumPar1"/>
        <w:rPr>
          <w:noProof/>
        </w:rPr>
      </w:pPr>
      <w:r w:rsidRPr="00906A71">
        <w:rPr>
          <w:noProof/>
        </w:rPr>
        <w:t>1.</w:t>
      </w:r>
      <w:r w:rsidRPr="00906A71">
        <w:rPr>
          <w:noProof/>
        </w:rPr>
        <w:tab/>
      </w:r>
      <w:r w:rsidR="0003773A" w:rsidRPr="00ED4DFF">
        <w:rPr>
          <w:noProof/>
        </w:rPr>
        <w:t xml:space="preserve">Έως την [30ή ημερολογιακή ημέρα από την έναρξη ισχύος του παρόντος κανονισμού], ο Οργανισμός της Ευρωπαϊκής Ένωσης για τη λειτουργική διαχείριση συστημάτων ΤΠ μεγάλης κλίμακας στον χώρο ελευθερίας, ασφάλειας και δικαιοσύνης (eu-LISA) υποβάλλει στην Επιτροπή, στα κράτη μέλη, καθώς και στην Ευρωπόλ, σχέδιο σταδιακής εφαρμογής υψηλού επιπέδου για τη σταδιακή έναρξη λειτουργίας του ΣΕΕ, λαμβάνοντας υπόψη τις φάσεις που καθορίζονται στο άρθρο 4. Το εν λόγω σχέδιο σταδιακής εφαρμογής περιλαμβάνει καθοδήγηση για τα κράτη μέλη και την Ευρωπόλ σχετικά με τη χρήση του ΣΕΕ, συμπεριλαμβανομένων των ορίων των δυνατοτήτων του κεντρικού συστήματος του ΣΕΕ. </w:t>
      </w:r>
    </w:p>
    <w:p w:rsidR="00BE0D22" w:rsidRPr="00ED4DFF" w:rsidRDefault="00906A71" w:rsidP="00906A71">
      <w:pPr>
        <w:pStyle w:val="ManualNumPar1"/>
        <w:rPr>
          <w:noProof/>
        </w:rPr>
      </w:pPr>
      <w:r w:rsidRPr="00906A71">
        <w:rPr>
          <w:noProof/>
        </w:rPr>
        <w:t>2.</w:t>
      </w:r>
      <w:r w:rsidRPr="00906A71">
        <w:rPr>
          <w:noProof/>
        </w:rPr>
        <w:tab/>
      </w:r>
      <w:r w:rsidR="59A13907" w:rsidRPr="00ED4DFF">
        <w:rPr>
          <w:noProof/>
        </w:rPr>
        <w:t xml:space="preserve">Έως την [60ή ημερολογιακή ημέρα μετά την έναρξη ισχύος του παρόντος κανονισμού], τα κράτη μέλη καταρτίζουν, σε διαβούλευση με την Επιτροπή και τον eu-LISA, εθνικό σχέδιο σταδιακής εφαρμογής για τη σταδιακή έναρξη λειτουργίας του ΣΕΕ, λαμβάνοντας υπόψη το σχέδιο σταδιακής εφαρμογής υψηλού επιπέδου που προβλέπεται στην παράγραφο 1 του παρόντος άρθρου και τις φάσεις που καθορίζονται στο άρθρο 4. </w:t>
      </w:r>
    </w:p>
    <w:p w:rsidR="00BE0D22" w:rsidRPr="00ED4DFF" w:rsidRDefault="00906A71" w:rsidP="00906A71">
      <w:pPr>
        <w:pStyle w:val="ManualNumPar1"/>
        <w:rPr>
          <w:noProof/>
        </w:rPr>
      </w:pPr>
      <w:r w:rsidRPr="00906A71">
        <w:rPr>
          <w:noProof/>
        </w:rPr>
        <w:t>3.</w:t>
      </w:r>
      <w:r w:rsidRPr="00906A71">
        <w:rPr>
          <w:noProof/>
        </w:rPr>
        <w:tab/>
      </w:r>
      <w:r w:rsidR="00BE0D22" w:rsidRPr="00ED4DFF">
        <w:rPr>
          <w:noProof/>
        </w:rPr>
        <w:t xml:space="preserve">Για καθεμία από τις φάσεις που καθορίζονται στο άρθρο 4, τα εθνικά σχέδια σταδιακής εφαρμογής περιλαμβάνουν τις πληροφορίες σχετικά με τα κατώτατα όρια και τις απαιτήσεις που καθορίζονται στο εν λόγω άρθρο. </w:t>
      </w:r>
    </w:p>
    <w:p w:rsidR="00BE0D22" w:rsidRPr="00ED4DFF" w:rsidRDefault="00906A71" w:rsidP="00906A71">
      <w:pPr>
        <w:pStyle w:val="ManualNumPar1"/>
        <w:rPr>
          <w:noProof/>
        </w:rPr>
      </w:pPr>
      <w:r w:rsidRPr="00906A71">
        <w:rPr>
          <w:noProof/>
        </w:rPr>
        <w:t>4.</w:t>
      </w:r>
      <w:r w:rsidRPr="00906A71">
        <w:rPr>
          <w:noProof/>
        </w:rPr>
        <w:tab/>
      </w:r>
      <w:r w:rsidR="00BE0D22" w:rsidRPr="00ED4DFF">
        <w:rPr>
          <w:noProof/>
        </w:rPr>
        <w:t xml:space="preserve">Από την 30ή ημερολογιακή ημέρα μετά τη σταδιακή έναρξη λειτουργίας του ΣΕΕ, τα κράτη μέλη υποβάλλουν μηνιαίες εκθέσεις στην Επιτροπή και στον eu-LISA σχετικά με την εφαρμογή των εθνικών τους σχεδίων σταδιακής εφαρμογής, συμπεριλαμβανομένων διορθωτικών μέτρων, όπου απαιτείται, για τη συμμόρφωση με τις υποχρεώσεις που καθορίζονται στο άρθρο 4. </w:t>
      </w:r>
    </w:p>
    <w:p w:rsidR="00BE0D22" w:rsidRPr="00ED4DFF" w:rsidRDefault="00906A71" w:rsidP="00906A71">
      <w:pPr>
        <w:pStyle w:val="ManualNumPar1"/>
        <w:rPr>
          <w:rFonts w:eastAsia="Times New Roman"/>
          <w:noProof/>
        </w:rPr>
      </w:pPr>
      <w:r w:rsidRPr="00906A71">
        <w:rPr>
          <w:noProof/>
        </w:rPr>
        <w:t>5.</w:t>
      </w:r>
      <w:r w:rsidRPr="00906A71">
        <w:rPr>
          <w:noProof/>
        </w:rPr>
        <w:tab/>
      </w:r>
      <w:r w:rsidR="00BE0D22" w:rsidRPr="00ED4DFF">
        <w:rPr>
          <w:noProof/>
        </w:rPr>
        <w:t>Κατόπιν αιτήματος της Επιτροπής, ο eu-LISA παρέχει στην Επιτροπή τις στατιστικές που απαιτούνται για την παρακολούθηση των εθνικών σχεδίων σταδιακής εφαρμογής, σύμφωνα με το άρθρο 63 παράγραφος 6 του κανονισμού (ΕΕ) 2017/2226.</w:t>
      </w:r>
    </w:p>
    <w:p w:rsidR="00BE0D22" w:rsidRPr="00ED4DFF" w:rsidRDefault="00BE0D22" w:rsidP="00F266A7">
      <w:pPr>
        <w:pStyle w:val="Titrearticle"/>
        <w:rPr>
          <w:i w:val="0"/>
          <w:noProof/>
        </w:rPr>
      </w:pPr>
      <w:r w:rsidRPr="00ED4DFF">
        <w:rPr>
          <w:noProof/>
        </w:rPr>
        <w:t xml:space="preserve">Άρθρο </w:t>
      </w:r>
      <w:r w:rsidRPr="00ED4DFF">
        <w:rPr>
          <w:noProof/>
        </w:rPr>
        <w:tab/>
        <w:t xml:space="preserve">4 </w:t>
      </w:r>
      <w:r w:rsidRPr="00ED4DFF">
        <w:rPr>
          <w:noProof/>
        </w:rPr>
        <w:br/>
        <w:t>Σταδιακή έναρξη λειτουργίας</w:t>
      </w:r>
    </w:p>
    <w:p w:rsidR="00A07731" w:rsidRPr="00ED4DFF" w:rsidRDefault="00906A71" w:rsidP="00906A71">
      <w:pPr>
        <w:pStyle w:val="ManualNumPar1"/>
        <w:rPr>
          <w:noProof/>
        </w:rPr>
      </w:pPr>
      <w:r w:rsidRPr="00906A71">
        <w:rPr>
          <w:noProof/>
        </w:rPr>
        <w:t>1.</w:t>
      </w:r>
      <w:r w:rsidRPr="00906A71">
        <w:rPr>
          <w:noProof/>
        </w:rPr>
        <w:tab/>
      </w:r>
      <w:r w:rsidR="00BE0D22" w:rsidRPr="00ED4DFF">
        <w:rPr>
          <w:noProof/>
        </w:rPr>
        <w:t xml:space="preserve">Κατά παρέκκλιση από το άρθρο 66 παράγραφος 6 του κανονισμού (ΕΕ) 2017/2226, κατά τη διάρκεια της σταδιακής έναρξης λειτουργίας του ΣΕΕ, τα κράτη μέλη χρησιμοποιούν το ΣΕΕ όπως ορίζεται στο παρόν άρθρο. </w:t>
      </w:r>
    </w:p>
    <w:p w:rsidR="00BE0D22" w:rsidRPr="00ED4DFF" w:rsidRDefault="00906A71" w:rsidP="00906A71">
      <w:pPr>
        <w:pStyle w:val="ManualNumPar1"/>
        <w:rPr>
          <w:noProof/>
        </w:rPr>
      </w:pPr>
      <w:r w:rsidRPr="00906A71">
        <w:rPr>
          <w:noProof/>
        </w:rPr>
        <w:t>2.</w:t>
      </w:r>
      <w:r w:rsidRPr="00906A71">
        <w:rPr>
          <w:noProof/>
        </w:rPr>
        <w:tab/>
      </w:r>
      <w:r w:rsidR="00BE0D22" w:rsidRPr="00ED4DFF">
        <w:rPr>
          <w:noProof/>
        </w:rPr>
        <w:t xml:space="preserve">Από την πρώτη ημέρα της σταδιακής έναρξης λειτουργίας του ΣΕΕ, κάθε κράτος μέλος αρχίζει να χρησιμοποιεί το ΣΕΕ κατά την είσοδο και την έξοδο σε ένα ή περισσότερα συνοριακά σημεία διέλευσης με —εφόσον είναι δυνατόν και κατά περίπτωση— συνδυασμό σημείων διέλευσης των εναέριων, χερσαίων και θαλάσσιων συνόρων, για την καταγραφή και αποθήκευση των δεδομένων των υπηκόων τρίτων χωρών που καθορίζονται στο άρθρο 2 παράγραφοι 1 και 2 του κανονισμού (ΕΕ) 2017/2226. Κάθε κράτος μέλος καταχωρίζει στο ΣΕΕ τουλάχιστον το 10 % του εκτιμώμενου αριθμού διελεύσεων των συνόρων στο εν λόγω κράτος μέλος. </w:t>
      </w:r>
    </w:p>
    <w:p w:rsidR="00BE0D22" w:rsidRPr="00ED4DFF" w:rsidRDefault="00BE0D22" w:rsidP="009A066B">
      <w:pPr>
        <w:pStyle w:val="Text1"/>
        <w:rPr>
          <w:noProof/>
        </w:rPr>
      </w:pPr>
      <w:r w:rsidRPr="00ED4DFF">
        <w:rPr>
          <w:noProof/>
        </w:rPr>
        <w:t>Κατά τις πρώτες 60 ημερολογιακές ημέρες της σταδιακής έναρξης λειτουργίας του ΣΕΕ, τα κράτη μέλη μπορούν να χρησιμοποιούν το ΣΕΕ χωρίς βιομετρικές λειτουργικές δυνατότητες και οι εθνικές αρχές μπορούν να δημιουργούν ή να επικαιροποιούν ατομικούς φακέλους χωρίς βιομετρικά δεδομένα.</w:t>
      </w:r>
    </w:p>
    <w:p w:rsidR="00BE0D22" w:rsidRPr="00ED4DFF" w:rsidRDefault="00906A71" w:rsidP="00906A71">
      <w:pPr>
        <w:pStyle w:val="ManualNumPar1"/>
        <w:rPr>
          <w:noProof/>
        </w:rPr>
      </w:pPr>
      <w:r w:rsidRPr="00906A71">
        <w:rPr>
          <w:noProof/>
        </w:rPr>
        <w:t>3.</w:t>
      </w:r>
      <w:r w:rsidRPr="00906A71">
        <w:rPr>
          <w:noProof/>
        </w:rPr>
        <w:tab/>
      </w:r>
      <w:r w:rsidR="2A3A6A77" w:rsidRPr="00ED4DFF">
        <w:rPr>
          <w:noProof/>
        </w:rPr>
        <w:t>Το αργότερο την 90ή ημερολογιακή ημέρα μετά τη σταδιακή έναρξη λειτουργίας του ΣΕΕ, τα κράτη μέλη χρησιμοποιούν το ΣΕΕ με βιομετρικές λειτουργικές δυνατότητες τουλάχιστον στα μισά σημεία διέλευσης των συνόρων τους. Κάθε κράτος μέλος καταχωρίζει τουλάχιστον το 50 % του εκτιμώμενου αριθμού διελεύσεων των συνόρων στο εν λόγω κράτος μέλος. Οι ατομικοί φάκελοι υπηκόων τρίτων χωρών που καθορίζονται στο άρθρο 2 παράγραφοι 1 και 2 του κανονισμού (ΕΕ) 2017/2226 και είναι καταχωρισμένοι στο ΣΕΕ περιέχουν βιομετρικά δεδομένα.</w:t>
      </w:r>
    </w:p>
    <w:p w:rsidR="00BE0D22" w:rsidRPr="00ED4DFF" w:rsidRDefault="00906A71" w:rsidP="00906A71">
      <w:pPr>
        <w:pStyle w:val="ManualNumPar1"/>
        <w:rPr>
          <w:noProof/>
        </w:rPr>
      </w:pPr>
      <w:r w:rsidRPr="00906A71">
        <w:rPr>
          <w:noProof/>
        </w:rPr>
        <w:t>4.</w:t>
      </w:r>
      <w:r w:rsidRPr="00906A71">
        <w:rPr>
          <w:noProof/>
        </w:rPr>
        <w:tab/>
      </w:r>
      <w:r w:rsidR="0DB44E24" w:rsidRPr="00ED4DFF">
        <w:rPr>
          <w:noProof/>
        </w:rPr>
        <w:t>Το αργότερο την 150η ημερολογιακή ημέρα μετά τη σταδιακή έναρξη λειτουργίας του ΣΕΕ, κάθε κράτος μέλος χρησιμοποιεί το ΣΕΕ με βιομετρικές λειτουργικές δυνατότητες σε όλα τα σημεία διέλευσης των συνόρων του και συνεχίζει να καταχωρίζει στο ΣΕΕ τουλάχιστον το 50 % του εκτιμώμενου αριθμού διελεύσεων των συνόρων στο εν λόγω κράτος μέλος.</w:t>
      </w:r>
    </w:p>
    <w:p w:rsidR="00BE0D22" w:rsidRPr="00ED4DFF" w:rsidRDefault="00906A71" w:rsidP="00906A71">
      <w:pPr>
        <w:pStyle w:val="ManualNumPar1"/>
        <w:rPr>
          <w:noProof/>
        </w:rPr>
      </w:pPr>
      <w:r w:rsidRPr="00906A71">
        <w:rPr>
          <w:noProof/>
        </w:rPr>
        <w:t>5.</w:t>
      </w:r>
      <w:r w:rsidRPr="00906A71">
        <w:rPr>
          <w:noProof/>
        </w:rPr>
        <w:tab/>
      </w:r>
      <w:r w:rsidR="19271299" w:rsidRPr="00ED4DFF">
        <w:rPr>
          <w:noProof/>
        </w:rPr>
        <w:t xml:space="preserve">Το αργότερο την 170η ημερολογιακή ημέρα μετά τη σταδιακή έναρξη λειτουργίας του ΣΕΕ, κάθε κράτος μέλος </w:t>
      </w:r>
      <w:r w:rsidR="19271299" w:rsidRPr="00ED4DFF">
        <w:rPr>
          <w:rStyle w:val="normaltextrun"/>
          <w:noProof/>
        </w:rPr>
        <w:t>χρησιμοποιεί το ΣΕΕ με βιομετρικές λειτουργικές δυνατότητες σε όλα τα σημεία διέλευσης των συνόρων του και</w:t>
      </w:r>
      <w:r w:rsidR="19271299" w:rsidRPr="00ED4DFF">
        <w:rPr>
          <w:noProof/>
        </w:rPr>
        <w:t xml:space="preserve"> καταχωρίζει στο ΣΕΕ όλους τους υπηκόους τρίτων χωρών που καθορίζονται στο άρθρο 2 παράγραφοι 1 και 2 του κανονισμού (ΕΕ) 2017/2226.</w:t>
      </w:r>
    </w:p>
    <w:p w:rsidR="00BE0D22" w:rsidRPr="00ED4DFF" w:rsidRDefault="00906A71" w:rsidP="00906A71">
      <w:pPr>
        <w:pStyle w:val="ManualNumPar1"/>
        <w:rPr>
          <w:noProof/>
        </w:rPr>
      </w:pPr>
      <w:r w:rsidRPr="00906A71">
        <w:rPr>
          <w:noProof/>
        </w:rPr>
        <w:t>6.</w:t>
      </w:r>
      <w:r w:rsidRPr="00906A71">
        <w:rPr>
          <w:noProof/>
        </w:rPr>
        <w:tab/>
      </w:r>
      <w:r w:rsidR="00BE0D22" w:rsidRPr="00ED4DFF">
        <w:rPr>
          <w:noProof/>
        </w:rPr>
        <w:t>Οι αποφάσεις άρνησης εισόδου οι οποίες λαμβάνονται σε συνοριακό σημείο διέλευσης στο οποίο χρησιμοποιείται το ΣΕΕ καταγράφονται στο ΣΕΕ, όπως ορίζεται στο άρθρο 18 του κανονισμού (ΕΕ) 2017/2226. Όταν το ΣΕΕ χρησιμοποιείται με βιομετρικές λειτουργικές δυνατότητες, οι αρνήσεις εισόδου καταγράφονται με βιομετρικά δεδομένα. Όταν το ΣΕΕ χρησιμοποιείται χωρίς βιομετρικές λειτουργικές δυνατότητες, οι αρνήσεις εισόδου καταγράφονται χωρίς βιομετρικά δεδομένα.</w:t>
      </w:r>
    </w:p>
    <w:p w:rsidR="00BE0D22" w:rsidRPr="00ED4DFF" w:rsidRDefault="00906A71" w:rsidP="00906A71">
      <w:pPr>
        <w:pStyle w:val="ManualNumPar1"/>
        <w:rPr>
          <w:noProof/>
        </w:rPr>
      </w:pPr>
      <w:r w:rsidRPr="00906A71">
        <w:rPr>
          <w:noProof/>
        </w:rPr>
        <w:t>7.</w:t>
      </w:r>
      <w:r w:rsidRPr="00906A71">
        <w:rPr>
          <w:noProof/>
        </w:rPr>
        <w:tab/>
      </w:r>
      <w:r w:rsidR="00BE0D22" w:rsidRPr="00ED4DFF">
        <w:rPr>
          <w:noProof/>
        </w:rPr>
        <w:t xml:space="preserve">Από την πρώτη ημέρα της σταδιακής έναρξης λειτουργίας του ΣΕΕ, η Ευρωπόλ χρησιμοποιεί το ΣΕΕ όπως προβλέπεται στον κανονισμό (ΕΕ) 2017/2226. </w:t>
      </w:r>
    </w:p>
    <w:p w:rsidR="00BE0D22" w:rsidRPr="00ED4DFF" w:rsidRDefault="00BE0D22" w:rsidP="008D2056">
      <w:pPr>
        <w:pStyle w:val="Titrearticle"/>
        <w:ind w:left="720"/>
        <w:rPr>
          <w:noProof/>
        </w:rPr>
      </w:pPr>
      <w:r w:rsidRPr="00ED4DFF">
        <w:rPr>
          <w:noProof/>
        </w:rPr>
        <w:t xml:space="preserve">Άρθρο 5 </w:t>
      </w:r>
      <w:r w:rsidRPr="00ED4DFF">
        <w:rPr>
          <w:noProof/>
        </w:rPr>
        <w:br/>
        <w:t>Άλλες παρεκκλίσεις από τους κανονισμούς (ΕΕ) 2017/2226 και (ΕΕ) 2016/399</w:t>
      </w:r>
    </w:p>
    <w:p w:rsidR="00BE0D22" w:rsidRPr="00ED4DFF" w:rsidRDefault="00906A71" w:rsidP="00906A71">
      <w:pPr>
        <w:pStyle w:val="ManualNumPar1"/>
        <w:rPr>
          <w:noProof/>
        </w:rPr>
      </w:pPr>
      <w:r w:rsidRPr="00906A71">
        <w:rPr>
          <w:noProof/>
        </w:rPr>
        <w:t>1.</w:t>
      </w:r>
      <w:r w:rsidRPr="00906A71">
        <w:rPr>
          <w:noProof/>
        </w:rPr>
        <w:tab/>
      </w:r>
      <w:r w:rsidR="1744AB68" w:rsidRPr="00ED4DFF">
        <w:rPr>
          <w:noProof/>
        </w:rPr>
        <w:t>Οι κανόνες που ορίζονται στο παρόν άρθρο εφαρμόζονται παράλληλα με τους κανόνες του άρθρου 4 κατά τη σταδιακή έναρξη λειτουργίας του ΣΕΕ.</w:t>
      </w:r>
    </w:p>
    <w:p w:rsidR="00BE0D22" w:rsidRPr="00ED4DFF" w:rsidRDefault="00906A71" w:rsidP="00906A71">
      <w:pPr>
        <w:pStyle w:val="ManualNumPar1"/>
        <w:rPr>
          <w:noProof/>
        </w:rPr>
      </w:pPr>
      <w:r w:rsidRPr="00906A71">
        <w:rPr>
          <w:noProof/>
        </w:rPr>
        <w:t>2.</w:t>
      </w:r>
      <w:r w:rsidRPr="00906A71">
        <w:rPr>
          <w:noProof/>
        </w:rPr>
        <w:tab/>
      </w:r>
      <w:r w:rsidR="00BE0D22" w:rsidRPr="00ED4DFF">
        <w:rPr>
          <w:noProof/>
        </w:rPr>
        <w:t xml:space="preserve">Οι συνοριακές αρχές σφραγίζουν συστηματικά τα ταξιδιωτικά έγγραφα των υπηκόων τρίτων χωρών που καθορίζονται στο άρθρο 2 παράγραφοι 1 και 2 του κανονισμού (ΕΕ) 2017/2226 κατά την είσοδο και την έξοδο. </w:t>
      </w:r>
    </w:p>
    <w:p w:rsidR="00BE0D22" w:rsidRPr="00ED4DFF" w:rsidRDefault="00BE0D22" w:rsidP="009A066B">
      <w:pPr>
        <w:pStyle w:val="Text1"/>
        <w:rPr>
          <w:noProof/>
        </w:rPr>
      </w:pPr>
      <w:r w:rsidRPr="00ED4DFF">
        <w:rPr>
          <w:noProof/>
        </w:rPr>
        <w:t>Οι υποχρεώσεις σφράγισης που προβλέπονται στο άρθρο 42α παράγραφος 1 δεύτερο εδάφιο και στο άρθρο 42α παράγραφοι 2, 5 και 6 του κανονισμού (ΕΕ) 2016/399 εφαρμόζονται, τηρουμένων των αναλογιών, στα κράτη μέλη που χρησιμοποιούν το ΣΕΕ.</w:t>
      </w:r>
    </w:p>
    <w:p w:rsidR="00BE0D22" w:rsidRPr="00ED4DFF" w:rsidRDefault="00906A71" w:rsidP="00906A71">
      <w:pPr>
        <w:pStyle w:val="ManualNumPar1"/>
        <w:rPr>
          <w:rStyle w:val="normaltextrun"/>
          <w:noProof/>
          <w:color w:val="000000" w:themeColor="text1"/>
        </w:rPr>
      </w:pPr>
      <w:r w:rsidRPr="00906A71">
        <w:rPr>
          <w:rStyle w:val="normaltextrun"/>
          <w:noProof/>
        </w:rPr>
        <w:t>3.</w:t>
      </w:r>
      <w:r w:rsidRPr="00906A71">
        <w:rPr>
          <w:rStyle w:val="normaltextrun"/>
          <w:noProof/>
        </w:rPr>
        <w:tab/>
      </w:r>
      <w:r w:rsidR="6E1C1013" w:rsidRPr="00ED4DFF">
        <w:rPr>
          <w:rStyle w:val="normaltextrun"/>
          <w:noProof/>
          <w:color w:val="000000" w:themeColor="text1"/>
        </w:rPr>
        <w:t>Για την καταχώριση, τροποποίηση, διαγραφή και αναζήτηση δεδομένων στο ΣΕΕ,</w:t>
      </w:r>
      <w:r w:rsidR="6E1C1013" w:rsidRPr="00ED4DFF">
        <w:rPr>
          <w:noProof/>
        </w:rPr>
        <w:t xml:space="preserve"> οι εθνικές αρχές που είναι αρμόδιες για τους σκοπούς που καθορίζονται στα άρθρα 23 έως 35 του κανονισμού (ΕΕ) 2017/2226 </w:t>
      </w:r>
      <w:r w:rsidR="6E1C1013" w:rsidRPr="00ED4DFF">
        <w:rPr>
          <w:rStyle w:val="normaltextrun"/>
          <w:noProof/>
          <w:color w:val="000000" w:themeColor="text1"/>
        </w:rPr>
        <w:t xml:space="preserve">θεωρούν ότι οι σφραγίδες υπερισχύουν των δεδομένων ΣΕΕ, συμπεριλαμβανομένων των περιπτώσεων όπου υπάρχει ασυμφωνία και των περιπτώσεων </w:t>
      </w:r>
      <w:r w:rsidR="6E1C1013" w:rsidRPr="00ED4DFF">
        <w:rPr>
          <w:rStyle w:val="normaltextrun"/>
          <w:noProof/>
          <w:color w:val="000000"/>
          <w:shd w:val="clear" w:color="auto" w:fill="FFFFFF"/>
        </w:rPr>
        <w:t xml:space="preserve"> που προβλέπονται στο άρθρο</w:t>
      </w:r>
      <w:r w:rsidR="6E1C1013" w:rsidRPr="00ED4DFF">
        <w:rPr>
          <w:rStyle w:val="normaltextrun"/>
          <w:noProof/>
          <w:color w:val="000000" w:themeColor="text1"/>
        </w:rPr>
        <w:t> </w:t>
      </w:r>
      <w:r w:rsidR="6E1C1013" w:rsidRPr="00ED4DFF">
        <w:rPr>
          <w:rStyle w:val="normaltextrun"/>
          <w:noProof/>
          <w:color w:val="000000"/>
          <w:shd w:val="clear" w:color="auto" w:fill="FFFFFF"/>
        </w:rPr>
        <w:t>16 παράγραφος 4</w:t>
      </w:r>
      <w:r w:rsidR="6E1C1013" w:rsidRPr="00ED4DFF">
        <w:rPr>
          <w:rStyle w:val="normaltextrun"/>
          <w:noProof/>
          <w:color w:val="000000" w:themeColor="text1"/>
        </w:rPr>
        <w:t xml:space="preserve"> του εν λόγω κανονισμού. Τα δεδομένα που έχουν καταχωριστεί στο ΣΕΕ υπερισχύουν σε περίπτωση που λείπει σφραγίδα. </w:t>
      </w:r>
    </w:p>
    <w:p w:rsidR="00BE0D22" w:rsidRPr="00ED4DFF" w:rsidRDefault="00906A71" w:rsidP="00906A71">
      <w:pPr>
        <w:pStyle w:val="ManualNumPar1"/>
        <w:rPr>
          <w:noProof/>
        </w:rPr>
      </w:pPr>
      <w:r w:rsidRPr="00906A71">
        <w:rPr>
          <w:noProof/>
        </w:rPr>
        <w:t>4.</w:t>
      </w:r>
      <w:r w:rsidRPr="00906A71">
        <w:rPr>
          <w:noProof/>
        </w:rPr>
        <w:tab/>
      </w:r>
      <w:r w:rsidR="00BE0D22" w:rsidRPr="00ED4DFF">
        <w:rPr>
          <w:noProof/>
        </w:rPr>
        <w:t>Αν δεν υπάρχει σφραγίδα στο ταξιδιωτικό έγγραφο και αν δεν έχει δημιουργηθεί ατομικός φάκελος στο ΣΕΕ για υπήκοο τρίτης χώρας που βρίσκεται στο έδαφος των κρατών μελών, οι εθνικές αρχές μπορούν να τεκμαίρουν ότι ο υπήκοος τρίτης χώρας δεν πληροί ή δεν πληροί πλέον τις προϋποθέσεις εισόδου ή παραμονής στα κράτη μέλη.</w:t>
      </w:r>
    </w:p>
    <w:p w:rsidR="00BE0D22" w:rsidRPr="00ED4DFF" w:rsidRDefault="00BE0D22" w:rsidP="00F266A7">
      <w:pPr>
        <w:pStyle w:val="Text1"/>
        <w:rPr>
          <w:noProof/>
        </w:rPr>
      </w:pPr>
      <w:r w:rsidRPr="00ED4DFF">
        <w:rPr>
          <w:noProof/>
        </w:rPr>
        <w:t>Το τεκμήριο αυτό δεν ισχύει για υπηκόους τρίτων χωρών οι οποίοι είναι σε θέση να προσκομίσουν, με οποιονδήποτε τρόπο, αξιόπιστα στοιχεία που αποδεικνύουν ότι απολαύουν του δικαιώματος ελεύθερης κυκλοφορίας σύμφωνα με το δίκαιο της Ένωσης, έχουν δικαίωμα διαμονής σε κράτος μέλος υποδοχής βάσει της συμφωνίας αποχώρησης ΕΕ-Ηνωμένου Βασιλείου ή ότι διαθέτουν άδεια διαμονής ή θεώρηση για παραμονή μακράς διάρκειας.</w:t>
      </w:r>
    </w:p>
    <w:p w:rsidR="00BE0D22" w:rsidRPr="00ED4DFF" w:rsidRDefault="00BE0D22" w:rsidP="00F266A7">
      <w:pPr>
        <w:pStyle w:val="Text1"/>
        <w:rPr>
          <w:noProof/>
        </w:rPr>
      </w:pPr>
      <w:r w:rsidRPr="00ED4DFF">
        <w:rPr>
          <w:noProof/>
        </w:rPr>
        <w:t>Το τεκμήριο αυτό μπορεί να ανατραπεί όταν οι υπήκοοι τρίτων χωρών προσκομίσουν, με οποιοδήποτε τρόπο, αξιόπιστα στοιχεία που αποδεικνύουν ότι πληρούν τις προϋποθέσεις σχετικά με τη διάρκεια βραχείας παραμονής.</w:t>
      </w:r>
    </w:p>
    <w:p w:rsidR="000F6420" w:rsidRPr="00ED4DFF" w:rsidRDefault="000F6420" w:rsidP="000F6420">
      <w:pPr>
        <w:pStyle w:val="Text1"/>
        <w:rPr>
          <w:noProof/>
        </w:rPr>
      </w:pPr>
      <w:r w:rsidRPr="00ED4DFF">
        <w:rPr>
          <w:noProof/>
        </w:rPr>
        <w:t>Σε περίπτωση ανατροπής του τεκμηρίου, οι εθνικές αρχές εκτελούν ένα ή περισσότερα από τα ακόλουθα καθήκοντα στα συνοριακά σημεία διέλευσης στα οποία λειτουργεί το ΣΕΕ, στον βαθμό που επιτρέπεται από τον παρόντα κανονισμό:</w:t>
      </w:r>
    </w:p>
    <w:p w:rsidR="000F6420" w:rsidRPr="00ED4DFF" w:rsidRDefault="00EE0419" w:rsidP="00EE0419">
      <w:pPr>
        <w:pStyle w:val="Point1"/>
        <w:rPr>
          <w:noProof/>
        </w:rPr>
      </w:pPr>
      <w:r w:rsidRPr="00ED4DFF">
        <w:rPr>
          <w:noProof/>
        </w:rPr>
        <w:t>α)</w:t>
      </w:r>
      <w:r w:rsidRPr="00ED4DFF">
        <w:rPr>
          <w:noProof/>
        </w:rPr>
        <w:tab/>
      </w:r>
      <w:r w:rsidR="000F6420" w:rsidRPr="00ED4DFF">
        <w:rPr>
          <w:noProof/>
        </w:rPr>
        <w:t>δημιουργούν ατομικό φάκελο για τον εν λόγω υπήκοο τρίτης χώρας στο ΣΕΕ, αν είναι απαραίτητο·</w:t>
      </w:r>
    </w:p>
    <w:p w:rsidR="000F6420" w:rsidRPr="00ED4DFF" w:rsidRDefault="00EE0419" w:rsidP="00EE0419">
      <w:pPr>
        <w:pStyle w:val="Point1"/>
        <w:rPr>
          <w:noProof/>
        </w:rPr>
      </w:pPr>
      <w:r w:rsidRPr="00ED4DFF">
        <w:rPr>
          <w:noProof/>
        </w:rPr>
        <w:t>β)</w:t>
      </w:r>
      <w:r w:rsidRPr="00ED4DFF">
        <w:rPr>
          <w:noProof/>
        </w:rPr>
        <w:tab/>
      </w:r>
      <w:r w:rsidR="000F6420" w:rsidRPr="00ED4DFF">
        <w:rPr>
          <w:noProof/>
        </w:rPr>
        <w:t xml:space="preserve">επικαιροποιούν την τελευταία καταχώριση εισόδου/εξόδου εισάγοντας τα δεδομένα που λείπουν· </w:t>
      </w:r>
    </w:p>
    <w:p w:rsidR="000F6420" w:rsidRPr="00ED4DFF" w:rsidRDefault="00EE0419" w:rsidP="00EE0419">
      <w:pPr>
        <w:pStyle w:val="Point1"/>
        <w:rPr>
          <w:noProof/>
        </w:rPr>
      </w:pPr>
      <w:r w:rsidRPr="00ED4DFF">
        <w:rPr>
          <w:noProof/>
        </w:rPr>
        <w:t>γ)</w:t>
      </w:r>
      <w:r w:rsidRPr="00ED4DFF">
        <w:rPr>
          <w:noProof/>
        </w:rPr>
        <w:tab/>
      </w:r>
      <w:r w:rsidR="000F6420" w:rsidRPr="00ED4DFF">
        <w:rPr>
          <w:noProof/>
        </w:rPr>
        <w:t>διαγράφουν υφιστάμενο φάκελο, στις περιπτώσεις στις οποίες το άρθρο 35 του κανονισμού (ΕΕ) 2017/2226 προβλέπει τη διαγραφή.</w:t>
      </w:r>
    </w:p>
    <w:p w:rsidR="3EE7EEB2" w:rsidRPr="00ED4DFF" w:rsidRDefault="00906A71" w:rsidP="00906A71">
      <w:pPr>
        <w:pStyle w:val="ManualNumPar1"/>
        <w:rPr>
          <w:noProof/>
        </w:rPr>
      </w:pPr>
      <w:r w:rsidRPr="00906A71">
        <w:rPr>
          <w:noProof/>
        </w:rPr>
        <w:t>5.</w:t>
      </w:r>
      <w:r w:rsidRPr="00906A71">
        <w:rPr>
          <w:noProof/>
        </w:rPr>
        <w:tab/>
      </w:r>
      <w:r w:rsidR="00BE0D22" w:rsidRPr="00ED4DFF">
        <w:rPr>
          <w:noProof/>
        </w:rPr>
        <w:t>Οι συνοριακές αρχές χρησιμοποιούν τη διαλειτουργικότητα μεταξύ του ΣΕΕ και του VIS που προβλέπεται στο άρθρο 8 παράγραφος 2 του κανονισμού (ΕΕ) 2017/2226 μόνο στα συνοριακά σημεία διέλευσης στα οποία λειτουργεί το ΣΕΕ. Οι συνοριακές αρχές εξακολουθούν να έχουν απευθείας πρόσβαση στο VIS:</w:t>
      </w:r>
    </w:p>
    <w:p w:rsidR="60A44CAA" w:rsidRPr="00ED4DFF" w:rsidRDefault="00EE0419" w:rsidP="00EE0419">
      <w:pPr>
        <w:pStyle w:val="Point1"/>
        <w:rPr>
          <w:noProof/>
        </w:rPr>
      </w:pPr>
      <w:r w:rsidRPr="00ED4DFF">
        <w:rPr>
          <w:noProof/>
        </w:rPr>
        <w:t>α)</w:t>
      </w:r>
      <w:r w:rsidRPr="00ED4DFF">
        <w:rPr>
          <w:noProof/>
        </w:rPr>
        <w:tab/>
      </w:r>
      <w:r w:rsidR="0033108D" w:rsidRPr="00ED4DFF">
        <w:rPr>
          <w:noProof/>
        </w:rPr>
        <w:t>στα σημεία διέλευσης των συνόρων στα οποία δεν λειτουργεί το ΣΕΕ·</w:t>
      </w:r>
    </w:p>
    <w:p w:rsidR="3EE7EEB2" w:rsidRPr="00ED4DFF" w:rsidRDefault="00EE0419" w:rsidP="00EE0419">
      <w:pPr>
        <w:pStyle w:val="Point1"/>
        <w:rPr>
          <w:noProof/>
        </w:rPr>
      </w:pPr>
      <w:r w:rsidRPr="00ED4DFF">
        <w:rPr>
          <w:noProof/>
        </w:rPr>
        <w:t>β)</w:t>
      </w:r>
      <w:r w:rsidRPr="00ED4DFF">
        <w:rPr>
          <w:noProof/>
        </w:rPr>
        <w:tab/>
      </w:r>
      <w:r w:rsidR="592EB7C1" w:rsidRPr="00ED4DFF">
        <w:rPr>
          <w:noProof/>
        </w:rPr>
        <w:t>σε περιπτώσεις αναστολής του ΣΕΕ, σύμφωνα με το άρθρο 7 του παρόντος κανονισμού.</w:t>
      </w:r>
    </w:p>
    <w:p w:rsidR="007F411C" w:rsidRPr="00ED4DFF" w:rsidRDefault="00906A71" w:rsidP="00906A71">
      <w:pPr>
        <w:pStyle w:val="ManualNumPar1"/>
        <w:rPr>
          <w:noProof/>
        </w:rPr>
      </w:pPr>
      <w:r w:rsidRPr="00906A71">
        <w:rPr>
          <w:noProof/>
        </w:rPr>
        <w:t>6.</w:t>
      </w:r>
      <w:r w:rsidRPr="00906A71">
        <w:rPr>
          <w:noProof/>
        </w:rPr>
        <w:tab/>
      </w:r>
      <w:r w:rsidR="00AD1C05" w:rsidRPr="00ED4DFF">
        <w:rPr>
          <w:noProof/>
        </w:rPr>
        <w:t xml:space="preserve">Οι εθνικές αρχές και η Ευρωπόλ δεν λαμβάνουν υπόψη τα ακόλουθα: </w:t>
      </w:r>
    </w:p>
    <w:p w:rsidR="00AA2B45" w:rsidRPr="00ED4DFF" w:rsidRDefault="00EE0419" w:rsidP="00EE0419">
      <w:pPr>
        <w:pStyle w:val="Point1"/>
        <w:rPr>
          <w:noProof/>
        </w:rPr>
      </w:pPr>
      <w:r w:rsidRPr="00ED4DFF">
        <w:rPr>
          <w:noProof/>
        </w:rPr>
        <w:t>α)</w:t>
      </w:r>
      <w:r w:rsidRPr="00ED4DFF">
        <w:rPr>
          <w:noProof/>
        </w:rPr>
        <w:tab/>
      </w:r>
      <w:r w:rsidR="008014AC" w:rsidRPr="00ED4DFF">
        <w:rPr>
          <w:noProof/>
        </w:rPr>
        <w:t xml:space="preserve">τα αποτελέσματα του αυτοματοποιημένου υπολογιστή που παρέχει πληροφορίες σχετικά με τη μέγιστη διάρκεια της επιτρεπόμενης παραμονής σύμφωνα με το άρθρο 11 του κανονισμού (ΕΕ) 2017/2226· </w:t>
      </w:r>
    </w:p>
    <w:p w:rsidR="00BE0D22" w:rsidRPr="00ED4DFF" w:rsidRDefault="00EE0419" w:rsidP="00EE0419">
      <w:pPr>
        <w:pStyle w:val="Point1"/>
        <w:rPr>
          <w:noProof/>
        </w:rPr>
      </w:pPr>
      <w:r w:rsidRPr="00ED4DFF">
        <w:rPr>
          <w:noProof/>
        </w:rPr>
        <w:t>β)</w:t>
      </w:r>
      <w:r w:rsidRPr="00ED4DFF">
        <w:rPr>
          <w:noProof/>
        </w:rPr>
        <w:tab/>
      </w:r>
      <w:r w:rsidR="00C46660" w:rsidRPr="00ED4DFF">
        <w:rPr>
          <w:noProof/>
        </w:rPr>
        <w:t>τον αυτόματα παραγόμενο κατάλογο των προσώπων που υπερέβησαν την επιτρεπόμενη διάρκεια παραμονής και τις συνέπειές του, ιδίως σύμφωνα με το άρθρο 6 παράγραφος 1 στοιχεία γ) και η), το άρθρο 12 παράγραφος 3, το άρθρο 16 παράγραφος 4, το άρθρο 34 παράγραφος 3, το άρθρο 50 παράγραφος 1 στοιχεία θ) και ια) και το άρθρο 63 παράγραφος 1 στοιχείο ε) του εν λόγω κανονισμού.</w:t>
      </w:r>
    </w:p>
    <w:p w:rsidR="00BE0D22" w:rsidRPr="00ED4DFF" w:rsidRDefault="00906A71" w:rsidP="00906A71">
      <w:pPr>
        <w:pStyle w:val="ManualNumPar1"/>
        <w:rPr>
          <w:noProof/>
        </w:rPr>
      </w:pPr>
      <w:r w:rsidRPr="00906A71">
        <w:rPr>
          <w:noProof/>
        </w:rPr>
        <w:t>7.</w:t>
      </w:r>
      <w:r w:rsidRPr="00906A71">
        <w:rPr>
          <w:noProof/>
        </w:rPr>
        <w:tab/>
      </w:r>
      <w:r w:rsidR="00BE0D22" w:rsidRPr="00ED4DFF">
        <w:rPr>
          <w:noProof/>
        </w:rPr>
        <w:t>Οι πράξεις επεξεργασίας από κράτη μέλη που συμμορφώνονται με τον παρόντα κανονισμό δεν θεωρούνται παράνομες ή μη σύμφωνες με τον κανονισμό (ΕΕ) 2017/2226 για τους σκοπούς των άρθρων 45 και 48 του εν λόγω κανονισμού.</w:t>
      </w:r>
    </w:p>
    <w:p w:rsidR="00BE0D22" w:rsidRPr="00ED4DFF" w:rsidRDefault="00906A71" w:rsidP="00906A71">
      <w:pPr>
        <w:pStyle w:val="ManualNumPar1"/>
        <w:rPr>
          <w:noProof/>
        </w:rPr>
      </w:pPr>
      <w:r w:rsidRPr="00906A71">
        <w:rPr>
          <w:noProof/>
        </w:rPr>
        <w:t>8.</w:t>
      </w:r>
      <w:r w:rsidRPr="00906A71">
        <w:rPr>
          <w:noProof/>
        </w:rPr>
        <w:tab/>
      </w:r>
      <w:r w:rsidR="00BE0D22" w:rsidRPr="00ED4DFF">
        <w:rPr>
          <w:noProof/>
        </w:rPr>
        <w:t xml:space="preserve">Η επαλήθευση της ταυτότητας και της ήδη υπάρχουσας καταχώρισης υπηκόων τρίτων χωρών σύμφωνα με το άρθρο 23 του κανονισμού (ΕΕ) 2017/2226 διενεργούνται για τους υπηκόους τρίτων χωρών που καθορίζονται στο άρθρο 2 παράγραφοι 1 και 2 του εν λόγω κανονισμού στα συνοριακά σημεία διέλευσης στα οποία χρησιμοποιείται το ΣΕΕ με βιομετρικές λειτουργικές δυνατότητες, μεταξύ άλλων μέσω συστημάτων αυτοεξυπηρέτησης, εφόσον υπάρχουν. </w:t>
      </w:r>
    </w:p>
    <w:p w:rsidR="00BE0D22" w:rsidRPr="00ED4DFF" w:rsidRDefault="00906A71" w:rsidP="00906A71">
      <w:pPr>
        <w:pStyle w:val="ManualNumPar1"/>
        <w:rPr>
          <w:noProof/>
        </w:rPr>
      </w:pPr>
      <w:r w:rsidRPr="00906A71">
        <w:rPr>
          <w:noProof/>
        </w:rPr>
        <w:t>9.</w:t>
      </w:r>
      <w:r w:rsidRPr="00906A71">
        <w:rPr>
          <w:noProof/>
        </w:rPr>
        <w:tab/>
      </w:r>
      <w:r w:rsidR="019CD2B2" w:rsidRPr="00ED4DFF">
        <w:rPr>
          <w:noProof/>
        </w:rPr>
        <w:t xml:space="preserve">Εκτός από τις ειδικές πληροφορίες που προβλέπονται στο άρθρο 50 παράγραφος 5 του κανονισμού (ΕΕ) 2017/2226, οι οποίες πρέπει να προστίθενται από τα κράτη μέλη στο υπόδειγμα για την παροχή πληροφοριών στους υπηκόους τρίτων χωρών σχετικά με την επεξεργασία των δεδομένων τους προσωπικού χαρακτήρα στο ΣΕΕ, τα κράτη μέλη συνοδεύουν το υπόδειγμα που πρέπει να διαβιβάζεται στους υπηκόους τρίτων χωρών κατά τη δημιουργία του ατομικού φακέλου του ενδιαφερόμενου προσώπου με τις ακόλουθες πληροφορίες: </w:t>
      </w:r>
    </w:p>
    <w:p w:rsidR="00BE0D22" w:rsidRPr="00ED4DFF" w:rsidRDefault="1B52A176" w:rsidP="00F266A7">
      <w:pPr>
        <w:pStyle w:val="Text1"/>
        <w:rPr>
          <w:noProof/>
        </w:rPr>
      </w:pPr>
      <w:r w:rsidRPr="00ED4DFF">
        <w:rPr>
          <w:noProof/>
        </w:rPr>
        <w:t>«Το σύστημα εισόδου/εξόδου εφαρμόζεται σταδιακά. Κατά τη διάρκεια αυτής της περιόδου σταδιακής εφαρμογής [από ...], ενδέχεται να μη συλλεγούν τα δεδομένα σας προσωπικού χαρακτήρα, συμπεριλαμβανομένων των βιομετρικών σας δεδομένων, για τους σκοπούς του συστήματος εισόδου/εξόδου στα εξωτερικά σύνορα όλων των κρατών μελών. Εάν χρειαστεί να συλλέξουμε υποχρεωτικά αυτές τις πληροφορίες και επιλέξετε να μην τις παράσχετε, θα σας απαγορευθεί η είσοδος. Κατά τη διάρκεια αυτής της περιόδου σταδιακής εφαρμογής, τα δεδομένα σας δεν θα προστίθενται αυτόματα σε κατάλογο προσώπων που υπερβαίνουν την επιτρεπόμενη διάρκεια παραμονής. Επιπλέον, δεν θα μπορείτε να ελέγξετε την υπολειπόμενη διάρκεια της επιτρεπόμενης παραμονής σας χρησιμοποιώντας τον ιστότοπο ή τον εξοπλισμό που είναι διαθέσιμος στα συνοριακά σημεία διέλευσης.</w:t>
      </w:r>
    </w:p>
    <w:p w:rsidR="6D277EEE" w:rsidRPr="00ED4DFF" w:rsidRDefault="6D277EEE" w:rsidP="00DB4531">
      <w:pPr>
        <w:pStyle w:val="Text1"/>
        <w:rPr>
          <w:noProof/>
        </w:rPr>
      </w:pPr>
      <w:r w:rsidRPr="00ED4DFF">
        <w:rPr>
          <w:noProof/>
        </w:rPr>
        <w:t>Επισημαίνεται ότι, όταν ολοκληρωθεί η σταδιακή εφαρμογή του ΣΕΕ, τα δεδομένα σας προσωπικού χαρακτήρα θα υποβληθούν σε επεξεργασία σύμφωνα με τις πληροφορίες που παρέχονται στο έγγραφο που συνοδεύει το παρόν έντυπο.»</w:t>
      </w:r>
    </w:p>
    <w:p w:rsidR="00BE0D22" w:rsidRPr="00ED4DFF" w:rsidRDefault="00906A71" w:rsidP="00906A71">
      <w:pPr>
        <w:pStyle w:val="ManualNumPar1"/>
        <w:rPr>
          <w:noProof/>
        </w:rPr>
      </w:pPr>
      <w:r w:rsidRPr="00906A71">
        <w:rPr>
          <w:noProof/>
        </w:rPr>
        <w:t>10.</w:t>
      </w:r>
      <w:r w:rsidRPr="00906A71">
        <w:rPr>
          <w:noProof/>
        </w:rPr>
        <w:tab/>
      </w:r>
      <w:r w:rsidR="00BE0D22" w:rsidRPr="00ED4DFF">
        <w:rPr>
          <w:noProof/>
        </w:rPr>
        <w:t xml:space="preserve">Οι πληροφορίες στον ιστότοπο του ΣΕΕ που προβλέπονται στο άρθρο 50 παράγραφος 3 του κανονισμού (ΕΕ) 2017/2226 προσαρμόζονται από την Επιτροπή ώστε να αντικατοπτρίζουν τη σταδιακή έναρξη λειτουργίας. </w:t>
      </w:r>
    </w:p>
    <w:p w:rsidR="00BE0D22" w:rsidRPr="00ED4DFF" w:rsidRDefault="00906A71" w:rsidP="00906A71">
      <w:pPr>
        <w:pStyle w:val="ManualNumPar1"/>
        <w:rPr>
          <w:noProof/>
        </w:rPr>
      </w:pPr>
      <w:r w:rsidRPr="00906A71">
        <w:rPr>
          <w:noProof/>
        </w:rPr>
        <w:t>11.</w:t>
      </w:r>
      <w:r w:rsidRPr="00906A71">
        <w:rPr>
          <w:noProof/>
        </w:rPr>
        <w:tab/>
      </w:r>
      <w:r w:rsidR="6C6202C6" w:rsidRPr="00ED4DFF">
        <w:rPr>
          <w:noProof/>
        </w:rPr>
        <w:t>Η ενημερωτική εκστρατεία που προβλέπεται στο άρθρο 51 του κανονισμού (ΕΕ) 2017/2226, και η οποία συνοδεύει την έναρξη λειτουργίας του ΣΕΕ, αντικατοπτρίζει τις ειδικές συνθήκες στα συνοριακά σημεία διέλευσης, διασφαλίζοντας ότι οι σχετικές πληροφορίες κοινοποιούνται στα πρόσωπα που επηρεάζονται, λαμβανομένων υπόψη και των φάσεων που καθορίζονται στο άρθρο 4 του παρόντος κανονισμού. Η Επιτροπή στηρίζει τα κράτη μέλη στην εκπόνηση του προσαρμοσμένου υλικού της ενημερωτικής εκστρατείας.</w:t>
      </w:r>
    </w:p>
    <w:p w:rsidR="00BE0D22" w:rsidRPr="00ED4DFF" w:rsidRDefault="00906A71" w:rsidP="00906A71">
      <w:pPr>
        <w:pStyle w:val="ManualNumPar1"/>
        <w:rPr>
          <w:noProof/>
        </w:rPr>
      </w:pPr>
      <w:r w:rsidRPr="00906A71">
        <w:rPr>
          <w:noProof/>
        </w:rPr>
        <w:t>12.</w:t>
      </w:r>
      <w:r w:rsidRPr="00906A71">
        <w:rPr>
          <w:noProof/>
        </w:rPr>
        <w:tab/>
      </w:r>
      <w:r w:rsidR="022A7C4C" w:rsidRPr="00ED4DFF">
        <w:rPr>
          <w:noProof/>
        </w:rPr>
        <w:t>Αναστέλλεται η εφαρμογή του άρθρου 12 παράγραφοι 1 και 2, του άρθρου 13 παράγραφοι 1 και 2, του άρθρου 20 και του άρθρου 21 του κανονισμού (ΕΕ) 2017/2226.</w:t>
      </w:r>
    </w:p>
    <w:p w:rsidR="007503B5" w:rsidRPr="00ED4DFF" w:rsidRDefault="00906A71" w:rsidP="00906A71">
      <w:pPr>
        <w:pStyle w:val="ManualNumPar1"/>
        <w:rPr>
          <w:noProof/>
        </w:rPr>
      </w:pPr>
      <w:r w:rsidRPr="00906A71">
        <w:rPr>
          <w:noProof/>
        </w:rPr>
        <w:t>13.</w:t>
      </w:r>
      <w:r w:rsidRPr="00906A71">
        <w:rPr>
          <w:noProof/>
        </w:rPr>
        <w:tab/>
      </w:r>
      <w:r w:rsidR="4AA26075" w:rsidRPr="00ED4DFF">
        <w:rPr>
          <w:noProof/>
        </w:rPr>
        <w:t>Κατά παρέκκλιση από το άρθρο 22 του κανονισμού (ΕΕ) 2017/2226 και το άρθρο 12α του κανονισμού (ΕΕ) 2016/399, η μεταβατική περίοδος και τα μεταβατικά μέτρα που προβλέπονται στα εν λόγω άρθρα εφαρμόζονται από την πρώτη ημέρα μετά τη λήξη της σταδιακής έναρξης λειτουργίας του ΣΕΕ.</w:t>
      </w:r>
    </w:p>
    <w:p w:rsidR="0091066A" w:rsidRPr="00ED4DFF" w:rsidRDefault="00906A71" w:rsidP="00906A71">
      <w:pPr>
        <w:pStyle w:val="ManualNumPar1"/>
        <w:rPr>
          <w:noProof/>
        </w:rPr>
      </w:pPr>
      <w:r w:rsidRPr="00906A71">
        <w:rPr>
          <w:noProof/>
        </w:rPr>
        <w:t>14.</w:t>
      </w:r>
      <w:r w:rsidRPr="00906A71">
        <w:rPr>
          <w:noProof/>
        </w:rPr>
        <w:tab/>
      </w:r>
      <w:r w:rsidR="00E5759D" w:rsidRPr="00ED4DFF">
        <w:rPr>
          <w:noProof/>
        </w:rPr>
        <w:t xml:space="preserve">Στα συνοριακά σημεία διέλευσης στα οποία δεν λειτουργεί το ΣΕΕ, θα πρέπει να διενεργούνται συνοριακοί έλεγχοι σύμφωνα με τον κανονισμό (ΕΕ) 2016/399, όπως ισχύει την ημέρα πριν από την ημερομηνία έναρξης λειτουργίας του ΣΕΕ, όπως αυτή θα αποφασιστεί από την Επιτροπή σύμφωνα με το άρθρο 66 παράγραφος 1 του κανονισμού (ΕΕ) 2017/2226. </w:t>
      </w:r>
    </w:p>
    <w:p w:rsidR="0091066A" w:rsidRPr="00ED4DFF" w:rsidRDefault="00E5759D" w:rsidP="009A066B">
      <w:pPr>
        <w:pStyle w:val="Text1"/>
        <w:rPr>
          <w:noProof/>
        </w:rPr>
      </w:pPr>
      <w:r w:rsidRPr="00ED4DFF">
        <w:rPr>
          <w:noProof/>
        </w:rPr>
        <w:t xml:space="preserve">Στα συνοριακά σημεία διέλευσης όπου λειτουργεί το ΣΕΕ, οι συνοριακοί έλεγχοι διενεργούνται σύμφωνα με τον κανονισμό (ΕΕ) 2017/2226 και τον κανονισμό (ΕΕ) 2016/399. </w:t>
      </w:r>
    </w:p>
    <w:p w:rsidR="0091066A" w:rsidRPr="00ED4DFF" w:rsidRDefault="6275260B" w:rsidP="009A066B">
      <w:pPr>
        <w:pStyle w:val="Text1"/>
        <w:rPr>
          <w:noProof/>
        </w:rPr>
      </w:pPr>
      <w:r w:rsidRPr="00ED4DFF">
        <w:rPr>
          <w:noProof/>
        </w:rPr>
        <w:t xml:space="preserve">Κατά παρέκκλιση από το δεύτερο εδάφιο, στα συνοριακά σημεία διέλευσης όπου το ΣΕΕ χρησιμοποιείται χωρίς βιομετρικές λειτουργικές δυνατότητες, δεν εφαρμόζονται το άρθρο 6 παράγραφος 1 στοιχείο στ) σημείο i) και οι διατάξεις σχετικά με την επαλήθευση της ταυτότητας υπηκόων τρίτων χωρών βάσει βιομετρικών δεδομένων, αποκλειστικά για τους σκοπούς του ΣΕΕ που αναφέρονται στο άρθρο 6 στοιχείο στ) σημείο ii) και στο άρθρο 8 παράγραφος 3 στοιχεία α) και ζ) του κανονισμού (ΕΕ) 2016/399. </w:t>
      </w:r>
    </w:p>
    <w:p w:rsidR="473D8DF6" w:rsidRPr="00ED4DFF" w:rsidRDefault="18B0EBB5" w:rsidP="009A066B">
      <w:pPr>
        <w:pStyle w:val="Text1"/>
        <w:rPr>
          <w:noProof/>
        </w:rPr>
      </w:pPr>
      <w:r w:rsidRPr="00ED4DFF">
        <w:rPr>
          <w:noProof/>
        </w:rPr>
        <w:t>Για τους σκοπούς του παρόντος κανονισμού, αναστέλλεται η εφαρμογή του άρθρου 9 παράγραφος 3 και του άρθρου 12 του κανονισμού (ΕΕ) 2016/399.</w:t>
      </w:r>
    </w:p>
    <w:p w:rsidR="00BE0D22" w:rsidRPr="00ED4DFF" w:rsidRDefault="00BE0D22" w:rsidP="00F266A7">
      <w:pPr>
        <w:pStyle w:val="Titrearticle"/>
        <w:rPr>
          <w:noProof/>
        </w:rPr>
      </w:pPr>
      <w:r w:rsidRPr="00ED4DFF">
        <w:rPr>
          <w:noProof/>
        </w:rPr>
        <w:t xml:space="preserve">Άρθρο 6 </w:t>
      </w:r>
      <w:r w:rsidRPr="00ED4DFF">
        <w:rPr>
          <w:noProof/>
        </w:rPr>
        <w:br/>
        <w:t>Πρόσβαση στα δεδομένα του ΣΕΕ</w:t>
      </w:r>
    </w:p>
    <w:p w:rsidR="00BE0D22" w:rsidRPr="00ED4DFF" w:rsidRDefault="00906A71" w:rsidP="00906A71">
      <w:pPr>
        <w:pStyle w:val="ManualNumPar1"/>
        <w:rPr>
          <w:noProof/>
        </w:rPr>
      </w:pPr>
      <w:r w:rsidRPr="00906A71">
        <w:rPr>
          <w:noProof/>
        </w:rPr>
        <w:t>1.</w:t>
      </w:r>
      <w:r w:rsidRPr="00906A71">
        <w:rPr>
          <w:noProof/>
        </w:rPr>
        <w:tab/>
      </w:r>
      <w:r w:rsidR="00BE0D22" w:rsidRPr="00ED4DFF">
        <w:rPr>
          <w:noProof/>
        </w:rPr>
        <w:t>Όταν πραγματοποιούν πρόσβαση στα αρχεία εισόδου και εξόδου που καταχωρίστηκαν στο ΣΕΕ κατά τη διάρκεια της σταδιακής έναρξης λειτουργίας του ΣΕΕ κατά την εκτέλεση των καθηκόντων τους:</w:t>
      </w:r>
    </w:p>
    <w:p w:rsidR="00BE0D22" w:rsidRPr="00ED4DFF" w:rsidRDefault="00EE0419" w:rsidP="00EE0419">
      <w:pPr>
        <w:pStyle w:val="Point1"/>
        <w:rPr>
          <w:noProof/>
        </w:rPr>
      </w:pPr>
      <w:r w:rsidRPr="00ED4DFF">
        <w:rPr>
          <w:noProof/>
        </w:rPr>
        <w:t>α)</w:t>
      </w:r>
      <w:r w:rsidRPr="00ED4DFF">
        <w:rPr>
          <w:noProof/>
        </w:rPr>
        <w:tab/>
      </w:r>
      <w:r w:rsidR="00BE0D22" w:rsidRPr="00ED4DFF">
        <w:rPr>
          <w:noProof/>
        </w:rPr>
        <w:t xml:space="preserve">οι εθνικές αρχές και η Ευρωπόλ λαμβάνουν υπόψη ότι, λόγω της διαφοροποιημένης λειτουργίας του ΣΕΕ σε κάθε κράτος μέλος κατά τη διάρκεια της σταδιακής έναρξης λειτουργίας του ΣΕΕ, τα δεδομένα ενδέχεται να είναι ελλιπή· </w:t>
      </w:r>
    </w:p>
    <w:p w:rsidR="00BE0D22" w:rsidRPr="00ED4DFF" w:rsidRDefault="00EE0419" w:rsidP="00EE0419">
      <w:pPr>
        <w:pStyle w:val="Point1"/>
        <w:rPr>
          <w:noProof/>
        </w:rPr>
      </w:pPr>
      <w:r w:rsidRPr="00ED4DFF">
        <w:rPr>
          <w:noProof/>
        </w:rPr>
        <w:t>β)</w:t>
      </w:r>
      <w:r w:rsidRPr="00ED4DFF">
        <w:rPr>
          <w:noProof/>
        </w:rPr>
        <w:tab/>
      </w:r>
      <w:r w:rsidR="00875CB5" w:rsidRPr="00ED4DFF">
        <w:rPr>
          <w:noProof/>
        </w:rPr>
        <w:t xml:space="preserve">οι εθνικές αρχές λαμβάνουν υπόψη ότι τα δεδομένα ενδέχεται να είναι ελλιπή κατά τη διαβίβαση δεδομένων σύμφωνα με τα άρθρα 41 και 42 του κανονισμού (ΕΕ) 2017/2226· </w:t>
      </w:r>
    </w:p>
    <w:p w:rsidR="00BE0D22" w:rsidRPr="00ED4DFF" w:rsidRDefault="00EE0419" w:rsidP="00EE0419">
      <w:pPr>
        <w:pStyle w:val="Point1"/>
        <w:rPr>
          <w:rStyle w:val="eop"/>
          <w:noProof/>
        </w:rPr>
      </w:pPr>
      <w:r w:rsidRPr="00ED4DFF">
        <w:rPr>
          <w:noProof/>
        </w:rPr>
        <w:t>γ)</w:t>
      </w:r>
      <w:r w:rsidRPr="00ED4DFF">
        <w:rPr>
          <w:noProof/>
        </w:rPr>
        <w:tab/>
      </w:r>
      <w:r w:rsidR="00BC4B55" w:rsidRPr="00ED4DFF">
        <w:rPr>
          <w:noProof/>
        </w:rPr>
        <w:t xml:space="preserve">η κεντρική μονάδα ETIAS λαμβάνει υπόψη ότι τα αρχεία εισόδου και εξόδου που έχουν καταχωριστεί στο </w:t>
      </w:r>
      <w:r w:rsidR="00BC4B55" w:rsidRPr="00ED4DFF">
        <w:rPr>
          <w:rStyle w:val="normaltextrun"/>
          <w:noProof/>
        </w:rPr>
        <w:t>ΣΕΕ κατά τη διάρκεια της σταδιακής έναρξης λειτουργίας του θα μπορούσαν να περιλαμβάνουν ελλιπή σύνολα δεδομένων</w:t>
      </w:r>
      <w:r w:rsidR="00BC4B55" w:rsidRPr="00ED4DFF">
        <w:rPr>
          <w:noProof/>
        </w:rPr>
        <w:t xml:space="preserve"> για τους σκοπούς της επαλήθευσης σύμφωνα με το άρθρο 25α παράγραφος 2 του κανονισμού (ΕΕ) 2017/2226</w:t>
      </w:r>
      <w:r w:rsidR="00BC4B55" w:rsidRPr="00ED4DFF">
        <w:rPr>
          <w:rStyle w:val="normaltextrun"/>
          <w:noProof/>
        </w:rPr>
        <w:t>.</w:t>
      </w:r>
      <w:r w:rsidR="00BC4B55" w:rsidRPr="00ED4DFF">
        <w:rPr>
          <w:rStyle w:val="eop"/>
          <w:noProof/>
        </w:rPr>
        <w:t xml:space="preserve"> </w:t>
      </w:r>
    </w:p>
    <w:p w:rsidR="00BE0D22" w:rsidRPr="00ED4DFF" w:rsidRDefault="00906A71" w:rsidP="00906A71">
      <w:pPr>
        <w:pStyle w:val="ManualNumPar1"/>
        <w:rPr>
          <w:noProof/>
        </w:rPr>
      </w:pPr>
      <w:r w:rsidRPr="00906A71">
        <w:rPr>
          <w:noProof/>
        </w:rPr>
        <w:t>2.</w:t>
      </w:r>
      <w:r w:rsidRPr="00906A71">
        <w:rPr>
          <w:noProof/>
        </w:rPr>
        <w:tab/>
      </w:r>
      <w:r w:rsidR="00BE0D22" w:rsidRPr="00ED4DFF">
        <w:rPr>
          <w:noProof/>
        </w:rPr>
        <w:t xml:space="preserve">Οι αρμόδιες αρχές, η Επιτροπή και οι σχετικοί οργανισμοί της Ένωσης, κατά την πρόσβαση σε δεδομένα για την υποβολή εκθέσεων και την κατάρτιση στατιστικών σύμφωνα με το άρθρο 63 του κανονισμού (ΕΕ) 2017/2226,  λαμβάνουν υπόψη ότι τα δεδομένα που έχουν καταχωριστεί στο ΣΕΕ κατά τη διάρκεια της σταδιακής έναρξης λειτουργίας του ενδέχεται να είναι ελλιπή. </w:t>
      </w:r>
    </w:p>
    <w:p w:rsidR="00BE0D22" w:rsidRPr="00ED4DFF" w:rsidRDefault="00906A71" w:rsidP="00906A71">
      <w:pPr>
        <w:pStyle w:val="ManualNumPar1"/>
        <w:rPr>
          <w:noProof/>
        </w:rPr>
      </w:pPr>
      <w:r w:rsidRPr="00906A71">
        <w:rPr>
          <w:noProof/>
        </w:rPr>
        <w:t>3.</w:t>
      </w:r>
      <w:r w:rsidRPr="00906A71">
        <w:rPr>
          <w:noProof/>
        </w:rPr>
        <w:tab/>
      </w:r>
      <w:r w:rsidR="7CB9552E" w:rsidRPr="00ED4DFF">
        <w:rPr>
          <w:noProof/>
        </w:rPr>
        <w:t>Κατά παρέκκλιση από το άρθρο 13 παράγραφος 3 του κανονισμού (ΕΕ) 2017/2226, οι μεταφορείς μπορούν να αρχίσουν να χρησιμοποιούν τη διαδικτυακή υπηρεσία που προβλέπεται στο εν λόγω άρθρο από την 90ή ημερολογιακή ημέρα της περιόδου σταδιακής έναρξης λειτουργίας του ΣΕΕ. Οι μεταφορείς ελέγχουν τις σφραγίδες που έχουν τεθεί στα ταξιδιωτικά έγγραφα προκειμένου να εκπληρώσουν τις υποχρεώσεις τους δυνάμει του άρθρου 26 παράγραφος 1 της σύμβασης εφαρμογής της συμφωνίας του Σένγκεν και της οδηγίας 2001/51/ΕΚ του Συμβουλίου κατά τη διάρκεια της σταδιακής έναρξης λειτουργίας του ΣΕΕ.</w:t>
      </w:r>
    </w:p>
    <w:p w:rsidR="00BE0D22" w:rsidRPr="00ED4DFF" w:rsidRDefault="00BE0D22" w:rsidP="00E23FCB">
      <w:pPr>
        <w:pStyle w:val="Text1"/>
        <w:rPr>
          <w:noProof/>
        </w:rPr>
      </w:pPr>
      <w:r w:rsidRPr="00ED4DFF">
        <w:rPr>
          <w:noProof/>
        </w:rPr>
        <w:t>Για περίοδο 180 ημερολογιακών ημερών από τη λήξη της σταδιακής έναρξης λειτουργίας του ΣΕΕ, οι μεταφορείς, παράλληλα με τη χρήση της διαδικτυακής υπηρεσίας του άρθρου 13 παράγραφος 3 του κανονισμού (ΕΕ) 2017/2226, συνεχίζουν να ελέγχουν τις σφραγίδες που έχουν τεθεί στα ταξιδιωτικά έγγραφα προκειμένου να εκπληρώσουν τις υποχρεώσεις τους δυνάμει του άρθρου 26 παράγραφος 1 της σύμβασης εφαρμογής της συμφωνίας του Σένγκεν και της οδηγίας 2001/51/ΕΚ του Συμβουλίου.</w:t>
      </w:r>
    </w:p>
    <w:p w:rsidR="00BE0D22" w:rsidRPr="00ED4DFF" w:rsidRDefault="00906A71" w:rsidP="00906A71">
      <w:pPr>
        <w:pStyle w:val="ManualNumPar1"/>
        <w:rPr>
          <w:noProof/>
        </w:rPr>
      </w:pPr>
      <w:r w:rsidRPr="00906A71">
        <w:rPr>
          <w:noProof/>
        </w:rPr>
        <w:t>4.</w:t>
      </w:r>
      <w:r w:rsidRPr="00906A71">
        <w:rPr>
          <w:noProof/>
        </w:rPr>
        <w:tab/>
      </w:r>
      <w:r w:rsidR="00BE0D22" w:rsidRPr="00ED4DFF">
        <w:rPr>
          <w:noProof/>
        </w:rPr>
        <w:t>Κατά την εκπλήρωση των υποχρεώσεων των άρθρων 35 και 52 του κανονισμού (ΕΕ) 2017/2226 σε σχέση με τη συμπλήρωση των δεδομένων προσωπικού χαρακτήρα που έχουν καταχωριστεί στο ΣΕΕ, τα κράτη μέλη συμπληρώνουν τα σχετικά δεδομένα μόνο στο μέτρο του δυνατού, λαμβάνοντας υπόψη την περιορισμένη διαθεσιμότητα των συνόλων δεδομένων που έχουν συλλεγεί κατά τη σταδιακή έναρξη λειτουργίας του ΣΕΕ. Κατά περίπτωση, η διοικητική απόφαση του άρθρου 52 παράγραφος 4 του κανονισμού (ΕΕ) 2017/2226 παραπέμπει στους όρους που καθορίζονται στο άρθρο 4 του παρόντος κανονισμού, οι οποίοι επιτρέπουν την καταχώριση ελλιπών φακέλων.</w:t>
      </w:r>
    </w:p>
    <w:p w:rsidR="00BE0D22" w:rsidRPr="00ED4DFF" w:rsidRDefault="00906A71" w:rsidP="00906A71">
      <w:pPr>
        <w:pStyle w:val="ManualNumPar1"/>
        <w:rPr>
          <w:noProof/>
        </w:rPr>
      </w:pPr>
      <w:r w:rsidRPr="00906A71">
        <w:rPr>
          <w:noProof/>
        </w:rPr>
        <w:t>5.</w:t>
      </w:r>
      <w:r w:rsidRPr="00906A71">
        <w:rPr>
          <w:noProof/>
        </w:rPr>
        <w:tab/>
      </w:r>
      <w:r w:rsidR="00BE0D22" w:rsidRPr="00ED4DFF">
        <w:rPr>
          <w:noProof/>
        </w:rPr>
        <w:t>Κατά παρέκκλιση από το άρθρο 63 παράγραφος 1 δεύτερο εδάφιο του κανονισμού (ΕΕ) 2017/2226, το δεόντως εξουσιοδοτημένο προσωπικό του Ευρωπαϊκού Οργανισμού Συνοριοφυλακής και Ακτοφυλακής δεν αποκτά πρόσβαση στα δεδομένα που καταχωρίστηκαν στο ΣΕΕ κατά τη διάρκεια της σταδιακής έναρξης λειτουργίας του ΣΕΕ για τον σκοπό της διεξαγωγής αναλύσεων κινδύνου και αξιολογήσεων τρωτότητας.</w:t>
      </w:r>
    </w:p>
    <w:p w:rsidR="00BE0D22" w:rsidRPr="00ED4DFF" w:rsidRDefault="00BE0D22" w:rsidP="00F266A7">
      <w:pPr>
        <w:pStyle w:val="Titrearticle"/>
        <w:rPr>
          <w:i w:val="0"/>
          <w:iCs/>
          <w:noProof/>
        </w:rPr>
      </w:pPr>
      <w:r w:rsidRPr="00ED4DFF">
        <w:rPr>
          <w:noProof/>
        </w:rPr>
        <w:t xml:space="preserve">Άρθρο 7 </w:t>
      </w:r>
      <w:r w:rsidRPr="00ED4DFF">
        <w:rPr>
          <w:noProof/>
        </w:rPr>
        <w:br/>
        <w:t>Αναστολή του ΣΕΕ</w:t>
      </w:r>
    </w:p>
    <w:p w:rsidR="00BE0D22" w:rsidRPr="00ED4DFF" w:rsidRDefault="00906A71" w:rsidP="00906A71">
      <w:pPr>
        <w:pStyle w:val="ManualNumPar1"/>
        <w:rPr>
          <w:noProof/>
        </w:rPr>
      </w:pPr>
      <w:r w:rsidRPr="00906A71">
        <w:rPr>
          <w:noProof/>
        </w:rPr>
        <w:t>1.</w:t>
      </w:r>
      <w:r w:rsidRPr="00906A71">
        <w:rPr>
          <w:noProof/>
        </w:rPr>
        <w:tab/>
      </w:r>
      <w:r w:rsidR="00BE0D22" w:rsidRPr="00ED4DFF">
        <w:rPr>
          <w:noProof/>
        </w:rPr>
        <w:t xml:space="preserve">Κατά τη διάρκεια της σταδιακής έναρξης λειτουργίας του ΣΕΕ, τα κράτη μέλη μπορούν να αναστέλλουν πλήρως ή εν μέρει τη λειτουργία του ΣΕΕ σε ορισμένα συνοριακά σημεία διέλευσης σε εξαιρετικές περιπτώσεις βλάβης του κεντρικού συστήματος του ΣΕΕ, των εθνικών συστημάτων ή της επικοινωνιακής υποδομής, ή συμβάντων που δημιουργούν κυκλοφορία τέτοιας έντασης ώστε ο χρόνος αναμονής σε συνοριακό σημείο διέλευσης να καθίσταται υπερβολικός. </w:t>
      </w:r>
    </w:p>
    <w:p w:rsidR="009C3CE5" w:rsidRPr="00ED4DFF" w:rsidRDefault="00BE0D22">
      <w:pPr>
        <w:pStyle w:val="Text1"/>
        <w:rPr>
          <w:noProof/>
        </w:rPr>
      </w:pPr>
      <w:r w:rsidRPr="00ED4DFF">
        <w:rPr>
          <w:noProof/>
        </w:rPr>
        <w:t xml:space="preserve">Σε περίπτωση μερικής αναστολής, συλλέγονται τα δεδομένα που προβλέπονται στα άρθρα 16 έως 20 του κανονισμού (ΕΕ) 2017/2226, με εξαίρεση τα βιομετρικά δεδομένα. </w:t>
      </w:r>
    </w:p>
    <w:p w:rsidR="00140C50" w:rsidRPr="00ED4DFF" w:rsidRDefault="00BE0D22">
      <w:pPr>
        <w:pStyle w:val="Text1"/>
        <w:rPr>
          <w:noProof/>
        </w:rPr>
      </w:pPr>
      <w:r w:rsidRPr="00ED4DFF">
        <w:rPr>
          <w:noProof/>
        </w:rPr>
        <w:t xml:space="preserve">Σε περίπτωση πλήρους αναστολής, τα κράτη μέλη αναστέλλουν πλήρως τη λειτουργία του ΣΕΕ και δεν συλλέγουν τα δεδομένα που προβλέπονται στα άρθρα 16 έως 20 του εν λόγω κανονισμού. </w:t>
      </w:r>
    </w:p>
    <w:p w:rsidR="00BE0D22" w:rsidRPr="00ED4DFF" w:rsidRDefault="00BE0D22">
      <w:pPr>
        <w:pStyle w:val="Text1"/>
        <w:rPr>
          <w:noProof/>
        </w:rPr>
      </w:pPr>
      <w:r w:rsidRPr="00ED4DFF">
        <w:rPr>
          <w:noProof/>
        </w:rPr>
        <w:t>Και στις δύο περιπτώσεις, τα κράτη μέλη κοινοποιούν αμέσως και το αργότερο εντός 6 ωρών από την έναρξη της αναστολής στην Επιτροπή και στον eu-LISA τον λόγο της μερικής ή πλήρους αναστολής και την αναμενόμενη διάρκειά της, και διασφαλίζουν ότι οι φορείς εκμετάλλευσης υποδομών που φιλοξενούν συνοριακά σημεία διέλευσης και οι μεταφορείς ενημερώνονται δεόντως για την εν λόγω αναστολή. Μόλις εκλείψουν οι εξαιρετικές περιστάσεις που οδήγησαν στην αναστολή, τα κράτη μέλη ενημερώνουν αμέσως την Επιτροπή και τον eu-LISA.</w:t>
      </w:r>
    </w:p>
    <w:p w:rsidR="00BE0D22" w:rsidRPr="00ED4DFF" w:rsidRDefault="00906A71" w:rsidP="00906A71">
      <w:pPr>
        <w:pStyle w:val="ManualNumPar1"/>
        <w:rPr>
          <w:noProof/>
        </w:rPr>
      </w:pPr>
      <w:r w:rsidRPr="00906A71">
        <w:rPr>
          <w:noProof/>
        </w:rPr>
        <w:t>2.</w:t>
      </w:r>
      <w:r w:rsidRPr="00906A71">
        <w:rPr>
          <w:noProof/>
        </w:rPr>
        <w:tab/>
      </w:r>
      <w:r w:rsidR="00BE0D22" w:rsidRPr="00ED4DFF">
        <w:rPr>
          <w:noProof/>
        </w:rPr>
        <w:t xml:space="preserve">Για περίοδο 60 ημερολογιακών ημερών μετά τη λήξη της σταδιακής έναρξης λειτουργίας του ΣΕΕ, τα κράτη μέλη μπορούν να αναστείλουν εν μέρει τη λειτουργία του ΣΕΕ, σύμφωνα με την παράγραφο 1 δεύτερο εδάφιο, σε συγκεκριμένο συνοριακό σημείο διέλευσης για περιορισμένο χρονικό διάστημα μέγιστης διάρκειας 6 ωρών και μόνο σε εξαιρετικές περιστάσεις που οδηγούν σε κυκλοφορία τέτοιας έντασης ώστε ο χρόνος αναμονής σε συνοριακό σημείο διέλευσης να καθίσταται υπερβολικός. Τα κράτη μέλη απαλλάσσονται από την υποχρέωσή τους που προβλέπεται στο άρθρο 21 παράγραφος 1 του κανονισμού (ΕΕ) 2017/2226 όσον αφορά τα βιομετρικά δεδομένα. Στις περιπτώσεις αυτές, τα κράτη μέλη κοινοποιούν αμέσως και το αργότερο εντός 6 ωρών από την έναρξη της αναστολής τον λόγο της αναστολής και την αναμενόμενη διάρκειά της στην Επιτροπή και στον eu-LISA. </w:t>
      </w:r>
    </w:p>
    <w:p w:rsidR="00BE0D22" w:rsidRPr="00ED4DFF" w:rsidRDefault="00906A71" w:rsidP="00906A71">
      <w:pPr>
        <w:pStyle w:val="ManualNumPar1"/>
        <w:rPr>
          <w:noProof/>
        </w:rPr>
      </w:pPr>
      <w:r w:rsidRPr="00906A71">
        <w:rPr>
          <w:noProof/>
        </w:rPr>
        <w:t>3.</w:t>
      </w:r>
      <w:r w:rsidRPr="00906A71">
        <w:rPr>
          <w:noProof/>
        </w:rPr>
        <w:tab/>
      </w:r>
      <w:r w:rsidR="00BE0D22" w:rsidRPr="00ED4DFF">
        <w:rPr>
          <w:noProof/>
        </w:rPr>
        <w:t xml:space="preserve">Εάν λιγότερο από το 80 % των ατομικών φακέλων που καταχωρίστηκαν στο ΣΕΕ κατά τη διάρκεια της σταδιακής έναρξης λειτουργίας του περιέχουν βιομετρικά δεδομένα, η περίοδος που καθορίζεται στην παράγραφο 2 του παρόντος άρθρου παρατείνεται αυτόματα κατά 60 ημερολογιακές ημέρες. </w:t>
      </w:r>
    </w:p>
    <w:p w:rsidR="00BE0D22" w:rsidRPr="00ED4DFF" w:rsidRDefault="00906A71" w:rsidP="00906A71">
      <w:pPr>
        <w:pStyle w:val="ManualNumPar1"/>
        <w:rPr>
          <w:noProof/>
        </w:rPr>
      </w:pPr>
      <w:r w:rsidRPr="00906A71">
        <w:rPr>
          <w:noProof/>
        </w:rPr>
        <w:t>4.</w:t>
      </w:r>
      <w:r w:rsidRPr="00906A71">
        <w:rPr>
          <w:noProof/>
        </w:rPr>
        <w:tab/>
      </w:r>
      <w:r w:rsidR="00BE0D22" w:rsidRPr="00ED4DFF">
        <w:rPr>
          <w:noProof/>
        </w:rPr>
        <w:t>Το αργότερο έως την 10η ημερολογιακή ημέρα μετά τη λήξη της περιόδου σταδιακής έναρξης λειτουργίας του ΣΕΕ, ο eu-LISA παρέχει στην Επιτροπή στατιστικά στοιχεία που επιτρέπουν στην Επιτροπή να επαληθεύσει αν έχει επιτευχθεί το εν λόγω ποσοστό. Το αργότερο έως την 30ή ημερολογιακή ημέρα μετά τη λήξη της σταδιακής έναρξης λειτουργίας του ΣΕΕ, η Επιτροπή ενημερώνει τα κράτη μέλη για το αποτέλεσμα της επαλήθευσής της.</w:t>
      </w:r>
    </w:p>
    <w:p w:rsidR="00BE0D22" w:rsidRPr="00ED4DFF" w:rsidRDefault="00BE0D22" w:rsidP="00F266A7">
      <w:pPr>
        <w:pStyle w:val="Titrearticle"/>
        <w:rPr>
          <w:noProof/>
        </w:rPr>
      </w:pPr>
      <w:r w:rsidRPr="00ED4DFF">
        <w:rPr>
          <w:noProof/>
        </w:rPr>
        <w:t xml:space="preserve">Άρθρο 8 </w:t>
      </w:r>
      <w:r w:rsidRPr="00ED4DFF">
        <w:rPr>
          <w:noProof/>
        </w:rPr>
        <w:br/>
        <w:t>Έναρξη ισχύος και εφαρμογή</w:t>
      </w:r>
    </w:p>
    <w:p w:rsidR="00BE0D22" w:rsidRPr="00ED4DFF" w:rsidRDefault="00906A71" w:rsidP="00906A71">
      <w:pPr>
        <w:pStyle w:val="ManualNumPar1"/>
        <w:rPr>
          <w:noProof/>
        </w:rPr>
      </w:pPr>
      <w:r w:rsidRPr="00906A71">
        <w:rPr>
          <w:noProof/>
        </w:rPr>
        <w:t>1.</w:t>
      </w:r>
      <w:r w:rsidRPr="00906A71">
        <w:rPr>
          <w:noProof/>
        </w:rPr>
        <w:tab/>
      </w:r>
      <w:r w:rsidR="00BE0D22" w:rsidRPr="00ED4DFF">
        <w:rPr>
          <w:noProof/>
        </w:rPr>
        <w:t xml:space="preserve">Ο παρών κανονισμός αρχίζει να ισχύει την τέταρτη ημέρα από τη δημοσίευσή του στην </w:t>
      </w:r>
      <w:r w:rsidR="00BE0D22" w:rsidRPr="00ED4DFF">
        <w:rPr>
          <w:i/>
          <w:noProof/>
        </w:rPr>
        <w:t>Επίσημη Εφημερίδα της Ευρωπαϊκής Ένωσης</w:t>
      </w:r>
      <w:r w:rsidR="00BE0D22" w:rsidRPr="00ED4DFF">
        <w:rPr>
          <w:noProof/>
        </w:rPr>
        <w:t>.</w:t>
      </w:r>
    </w:p>
    <w:p w:rsidR="00BE0D22" w:rsidRPr="00ED4DFF" w:rsidRDefault="00BE0D22" w:rsidP="00F266A7">
      <w:pPr>
        <w:pStyle w:val="Text1"/>
        <w:rPr>
          <w:noProof/>
        </w:rPr>
      </w:pPr>
      <w:r w:rsidRPr="00ED4DFF">
        <w:rPr>
          <w:noProof/>
        </w:rPr>
        <w:t>Εφαρμόζεται από την ημερομηνία έναρξης λειτουργίας του ΣΕΕ, όπως αυτή θα αποφασιστεί από την Επιτροπή σύμφωνα με το άρθρο 66 παράγραφος 1 του κανονισμού (ΕΕ) 2017/2226.</w:t>
      </w:r>
    </w:p>
    <w:p w:rsidR="00B05709" w:rsidRPr="00ED4DFF" w:rsidRDefault="00BE0D22" w:rsidP="00F266A7">
      <w:pPr>
        <w:pStyle w:val="Text1"/>
        <w:rPr>
          <w:noProof/>
        </w:rPr>
      </w:pPr>
      <w:r w:rsidRPr="00ED4DFF">
        <w:rPr>
          <w:noProof/>
        </w:rPr>
        <w:t xml:space="preserve">Ωστόσο, το άρθρο 3 του παρόντος κανονισμού εφαρμόζεται από την ημερομηνία έναρξης ισχύος του παρόντος κανονισμού. </w:t>
      </w:r>
    </w:p>
    <w:p w:rsidR="00DF4800" w:rsidRPr="00ED4DFF" w:rsidRDefault="00906A71" w:rsidP="00906A71">
      <w:pPr>
        <w:pStyle w:val="ManualNumPar1"/>
        <w:rPr>
          <w:noProof/>
        </w:rPr>
      </w:pPr>
      <w:r w:rsidRPr="00906A71">
        <w:rPr>
          <w:noProof/>
        </w:rPr>
        <w:t>2.</w:t>
      </w:r>
      <w:r w:rsidRPr="00906A71">
        <w:rPr>
          <w:noProof/>
        </w:rPr>
        <w:tab/>
      </w:r>
      <w:r w:rsidR="00BE0D22" w:rsidRPr="00ED4DFF">
        <w:rPr>
          <w:noProof/>
        </w:rPr>
        <w:t>Ο παρών κανονισμός παύει να ισχύει 180 ημερολογιακές ημέρες από την ημερομηνία έναρξης λειτουργίας του ΣΕΕ, όπως αυτή θα αποφασιστεί από την Επιτροπή σύμφωνα με το άρθρο 66 παράγραφος 1 του κανονισμού (ΕΕ) 2017/2226. Ωστόσο:</w:t>
      </w:r>
    </w:p>
    <w:p w:rsidR="00617F4F" w:rsidRPr="00ED4DFF" w:rsidRDefault="00EE0419" w:rsidP="00EE0419">
      <w:pPr>
        <w:pStyle w:val="Point1"/>
        <w:rPr>
          <w:noProof/>
        </w:rPr>
      </w:pPr>
      <w:r w:rsidRPr="00ED4DFF">
        <w:rPr>
          <w:noProof/>
        </w:rPr>
        <w:t>α)</w:t>
      </w:r>
      <w:r w:rsidRPr="00ED4DFF">
        <w:rPr>
          <w:noProof/>
        </w:rPr>
        <w:tab/>
      </w:r>
      <w:r w:rsidR="00617F4F" w:rsidRPr="00ED4DFF">
        <w:rPr>
          <w:noProof/>
        </w:rPr>
        <w:t>Το άρθρο 5 παράγραφος 13 παύει να ισχύει 5 έτη και 180 ημερολογιακές ημέρες μετά την ημερομηνία που θα αποφασίσει η Επιτροπή σύμφωνα με το άρθρο 66 παράγραφος 1 του κανονισμού (ΕΕ) 2017/2226·</w:t>
      </w:r>
    </w:p>
    <w:p w:rsidR="00BE0D22" w:rsidRPr="00ED4DFF" w:rsidRDefault="00EE0419" w:rsidP="00EE0419">
      <w:pPr>
        <w:pStyle w:val="Point1"/>
        <w:rPr>
          <w:noProof/>
        </w:rPr>
      </w:pPr>
      <w:r w:rsidRPr="00ED4DFF">
        <w:rPr>
          <w:noProof/>
        </w:rPr>
        <w:t>β)</w:t>
      </w:r>
      <w:r w:rsidRPr="00ED4DFF">
        <w:rPr>
          <w:noProof/>
        </w:rPr>
        <w:tab/>
      </w:r>
      <w:r w:rsidR="00BE0D22" w:rsidRPr="00ED4DFF">
        <w:rPr>
          <w:noProof/>
        </w:rPr>
        <w:t>το άρθρο 6 παράγραφοι 1, 2, 4 και 5 παύει να ισχύει 5 έτη και 180 ημερολογιακές ημέρες μετά την ημερομηνία που θα αποφασίσει η Επιτροπή σύμφωνα με το άρθρο 66 παράγραφος 1 του κανονισμού (ΕΕ) 2017/2226·</w:t>
      </w:r>
    </w:p>
    <w:p w:rsidR="00E2036A" w:rsidRPr="00ED4DFF" w:rsidRDefault="00EE0419" w:rsidP="00EE0419">
      <w:pPr>
        <w:pStyle w:val="Point1"/>
        <w:rPr>
          <w:noProof/>
        </w:rPr>
      </w:pPr>
      <w:r w:rsidRPr="00ED4DFF">
        <w:rPr>
          <w:noProof/>
        </w:rPr>
        <w:t>γ)</w:t>
      </w:r>
      <w:r w:rsidRPr="00ED4DFF">
        <w:rPr>
          <w:noProof/>
        </w:rPr>
        <w:tab/>
      </w:r>
      <w:r w:rsidR="0073758E" w:rsidRPr="00ED4DFF">
        <w:rPr>
          <w:noProof/>
        </w:rPr>
        <w:t>το άρθρο 6 παράγραφος 3 δεύτερο εδάφιο παύει να ισχύει 360 ημερολογιακές ημέρες μετά την ημερομηνία που θα αποφασίσει η Επιτροπή σύμφωνα με το άρθρο 66 παράγραφος 1 του κανονισμού (ΕΕ) 2017/2226·</w:t>
      </w:r>
    </w:p>
    <w:p w:rsidR="00BE0D22" w:rsidRPr="00ED4DFF" w:rsidRDefault="00EE0419" w:rsidP="00EE0419">
      <w:pPr>
        <w:pStyle w:val="Point1"/>
        <w:rPr>
          <w:rFonts w:eastAsia="Times New Roman"/>
          <w:noProof/>
        </w:rPr>
      </w:pPr>
      <w:r w:rsidRPr="00ED4DFF">
        <w:rPr>
          <w:noProof/>
        </w:rPr>
        <w:t>δ)</w:t>
      </w:r>
      <w:r w:rsidRPr="00ED4DFF">
        <w:rPr>
          <w:noProof/>
        </w:rPr>
        <w:tab/>
      </w:r>
      <w:r w:rsidR="00BE0D22" w:rsidRPr="00ED4DFF">
        <w:rPr>
          <w:noProof/>
        </w:rPr>
        <w:t>το άρθρο 7 παράγραφοι 2 και 3 παύει να ισχύει 300 ημερολογιακές ημέρες μετά την ημερομηνία που θα αποφασίσει η Επιτροπή σύμφωνα με το άρθρο 66 παράγραφος 1 του κανονισμού (ΕΕ) 2017/2226·</w:t>
      </w:r>
    </w:p>
    <w:p w:rsidR="00004640" w:rsidRPr="00ED4DFF" w:rsidRDefault="00EE0419" w:rsidP="00EE0419">
      <w:pPr>
        <w:pStyle w:val="Point1"/>
        <w:rPr>
          <w:rFonts w:eastAsia="Times New Roman"/>
          <w:noProof/>
        </w:rPr>
      </w:pPr>
      <w:r w:rsidRPr="00ED4DFF">
        <w:rPr>
          <w:noProof/>
        </w:rPr>
        <w:t>ε)</w:t>
      </w:r>
      <w:r w:rsidRPr="00ED4DFF">
        <w:rPr>
          <w:noProof/>
        </w:rPr>
        <w:tab/>
      </w:r>
      <w:r w:rsidR="00C633D8" w:rsidRPr="00ED4DFF">
        <w:rPr>
          <w:noProof/>
        </w:rPr>
        <w:t>το άρθρο 7 παράγραφος 4 παύει να ισχύει 210 ημερολογιακές ημέρες μετά την ημερομηνία που θα αποφασίσει η Επιτροπή σύμφωνα με το άρθρο 66 παράγραφος 1 του κανονισμού (ΕΕ) 2017/2226.</w:t>
      </w:r>
    </w:p>
    <w:p w:rsidR="00BE0D22" w:rsidRPr="00ED4DFF" w:rsidRDefault="00BE0D22" w:rsidP="00BE0D22">
      <w:pPr>
        <w:rPr>
          <w:noProof/>
        </w:rPr>
      </w:pPr>
      <w:r w:rsidRPr="00ED4DFF">
        <w:rPr>
          <w:noProof/>
        </w:rPr>
        <w:t>Ο παρών κανονισμός είναι δεσμευτικός ως προς όλα τα μέρη του και ισχύει άμεσα σε κάθε κράτος μέλος.</w:t>
      </w:r>
    </w:p>
    <w:p w:rsidR="00BE0D22" w:rsidRPr="00ED4DFF" w:rsidRDefault="00ED4DFF" w:rsidP="0069537A">
      <w:pPr>
        <w:pStyle w:val="Fait"/>
        <w:rPr>
          <w:noProof/>
        </w:rPr>
      </w:pPr>
      <w:r>
        <w:rPr>
          <w:noProof/>
        </w:rPr>
        <w:t>Βρυξέλλες,</w:t>
      </w:r>
    </w:p>
    <w:p w:rsidR="00BE0D22" w:rsidRPr="00ED4DFF" w:rsidRDefault="00BE0D22" w:rsidP="0069537A">
      <w:pPr>
        <w:pStyle w:val="Institutionquisigne"/>
        <w:rPr>
          <w:noProof/>
        </w:rPr>
      </w:pPr>
      <w:r w:rsidRPr="00ED4DFF">
        <w:rPr>
          <w:noProof/>
        </w:rPr>
        <w:t>Για το Ευρωπαϊκό Κοινοβούλιο</w:t>
      </w:r>
      <w:r w:rsidRPr="00ED4DFF">
        <w:rPr>
          <w:noProof/>
        </w:rPr>
        <w:tab/>
        <w:t>Για το Συμβούλιο</w:t>
      </w:r>
    </w:p>
    <w:p w:rsidR="00BE0D22" w:rsidRPr="00ED4DFF" w:rsidRDefault="00BE0D22" w:rsidP="00BE0D22">
      <w:pPr>
        <w:pStyle w:val="Personnequisigne"/>
        <w:rPr>
          <w:noProof/>
        </w:rPr>
      </w:pPr>
      <w:r w:rsidRPr="00ED4DFF">
        <w:rPr>
          <w:noProof/>
        </w:rPr>
        <w:t>Η Πρόεδρος</w:t>
      </w:r>
      <w:r w:rsidRPr="00ED4DFF">
        <w:rPr>
          <w:noProof/>
        </w:rPr>
        <w:tab/>
        <w:t>Ο/Η Πρόεδρος</w:t>
      </w:r>
    </w:p>
    <w:sectPr w:rsidR="00BE0D22" w:rsidRPr="00ED4DFF" w:rsidSect="00D02965">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A5C" w:rsidRPr="00EB4CEB" w:rsidRDefault="006E5A5C" w:rsidP="005F1085">
      <w:pPr>
        <w:spacing w:before="0" w:after="0"/>
      </w:pPr>
      <w:r>
        <w:separator/>
      </w:r>
    </w:p>
  </w:endnote>
  <w:endnote w:type="continuationSeparator" w:id="0">
    <w:p w:rsidR="006E5A5C" w:rsidRPr="00EB4CEB" w:rsidRDefault="006E5A5C" w:rsidP="005F1085">
      <w:pPr>
        <w:spacing w:before="0" w:after="0"/>
      </w:pPr>
      <w:r>
        <w:continuationSeparator/>
      </w:r>
    </w:p>
  </w:endnote>
  <w:endnote w:type="continuationNotice" w:id="1">
    <w:p w:rsidR="006E5A5C" w:rsidRDefault="006E5A5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965" w:rsidRPr="00D02965" w:rsidRDefault="00D02965" w:rsidP="00D02965">
    <w:pPr>
      <w:pStyle w:val="Footer"/>
      <w:rPr>
        <w:rFonts w:ascii="Arial" w:hAnsi="Arial" w:cs="Arial"/>
        <w:b/>
        <w:sz w:val="48"/>
      </w:rPr>
    </w:pPr>
    <w:r w:rsidRPr="00D02965">
      <w:rPr>
        <w:rFonts w:ascii="Arial" w:hAnsi="Arial" w:cs="Arial"/>
        <w:b/>
        <w:sz w:val="48"/>
      </w:rPr>
      <w:t>EL</w:t>
    </w:r>
    <w:r w:rsidRPr="00D02965">
      <w:rPr>
        <w:rFonts w:ascii="Arial" w:hAnsi="Arial" w:cs="Arial"/>
        <w:b/>
        <w:sz w:val="48"/>
      </w:rPr>
      <w:tab/>
    </w:r>
    <w:r w:rsidRPr="00D02965">
      <w:rPr>
        <w:rFonts w:ascii="Arial" w:hAnsi="Arial" w:cs="Arial"/>
        <w:b/>
        <w:sz w:val="48"/>
      </w:rPr>
      <w:tab/>
    </w:r>
    <w:r w:rsidRPr="00D02965">
      <w:tab/>
    </w:r>
    <w:r w:rsidRPr="00D02965">
      <w:rPr>
        <w:rFonts w:ascii="Arial" w:hAnsi="Arial" w:cs="Arial"/>
        <w:b/>
        <w:sz w:val="48"/>
      </w:rPr>
      <w:t>EL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965" w:rsidRPr="00D02965" w:rsidRDefault="00D02965" w:rsidP="00D02965">
    <w:pPr>
      <w:pStyle w:val="Footer"/>
      <w:rPr>
        <w:rFonts w:ascii="Arial" w:hAnsi="Arial" w:cs="Arial"/>
        <w:b/>
        <w:sz w:val="48"/>
      </w:rPr>
    </w:pPr>
    <w:r w:rsidRPr="00D02965">
      <w:rPr>
        <w:rFonts w:ascii="Arial" w:hAnsi="Arial" w:cs="Arial"/>
        <w:b/>
        <w:sz w:val="48"/>
      </w:rPr>
      <w:t>EL</w:t>
    </w:r>
    <w:r w:rsidRPr="00D02965">
      <w:rPr>
        <w:rFonts w:ascii="Arial" w:hAnsi="Arial" w:cs="Arial"/>
        <w:b/>
        <w:sz w:val="48"/>
      </w:rPr>
      <w:tab/>
    </w:r>
    <w:r w:rsidRPr="00D02965">
      <w:rPr>
        <w:rFonts w:ascii="Arial" w:hAnsi="Arial" w:cs="Arial"/>
        <w:b/>
        <w:sz w:val="48"/>
      </w:rPr>
      <w:tab/>
    </w:r>
    <w:r w:rsidRPr="00D02965">
      <w:tab/>
    </w:r>
    <w:r w:rsidRPr="00D02965">
      <w:rPr>
        <w:rFonts w:ascii="Arial" w:hAnsi="Arial" w:cs="Arial"/>
        <w:b/>
        <w:sz w:val="48"/>
      </w:rPr>
      <w:t>EL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965" w:rsidRDefault="00D029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965" w:rsidRPr="00D02965" w:rsidRDefault="00D02965" w:rsidP="00D02965">
    <w:pPr>
      <w:pStyle w:val="Footer"/>
      <w:rPr>
        <w:rFonts w:ascii="Arial" w:hAnsi="Arial" w:cs="Arial"/>
        <w:b/>
        <w:sz w:val="48"/>
      </w:rPr>
    </w:pPr>
    <w:r w:rsidRPr="00D02965">
      <w:rPr>
        <w:rFonts w:ascii="Arial" w:hAnsi="Arial" w:cs="Arial"/>
        <w:b/>
        <w:sz w:val="48"/>
      </w:rPr>
      <w:t>EL</w:t>
    </w:r>
    <w:r w:rsidRPr="00D02965">
      <w:rPr>
        <w:rFonts w:ascii="Arial" w:hAnsi="Arial" w:cs="Arial"/>
        <w:b/>
        <w:sz w:val="48"/>
      </w:rPr>
      <w:tab/>
    </w:r>
    <w:r>
      <w:fldChar w:fldCharType="begin"/>
    </w:r>
    <w:r>
      <w:instrText xml:space="preserve"> PAGE  \* MERGEFORMAT </w:instrText>
    </w:r>
    <w:r>
      <w:fldChar w:fldCharType="separate"/>
    </w:r>
    <w:r w:rsidR="0069537A">
      <w:rPr>
        <w:noProof/>
      </w:rPr>
      <w:t>24</w:t>
    </w:r>
    <w:r>
      <w:fldChar w:fldCharType="end"/>
    </w:r>
    <w:r>
      <w:tab/>
    </w:r>
    <w:r w:rsidRPr="00D02965">
      <w:tab/>
    </w:r>
    <w:r w:rsidRPr="00D02965">
      <w:rPr>
        <w:rFonts w:ascii="Arial" w:hAnsi="Arial" w:cs="Arial"/>
        <w:b/>
        <w:sz w:val="48"/>
      </w:rPr>
      <w:t>EL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965" w:rsidRDefault="00D02965" w:rsidP="00D02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A5C" w:rsidRPr="00EB4CEB" w:rsidRDefault="006E5A5C" w:rsidP="005F1085">
      <w:pPr>
        <w:spacing w:before="0" w:after="0"/>
      </w:pPr>
      <w:r>
        <w:separator/>
      </w:r>
    </w:p>
  </w:footnote>
  <w:footnote w:type="continuationSeparator" w:id="0">
    <w:p w:rsidR="006E5A5C" w:rsidRPr="00EB4CEB" w:rsidRDefault="006E5A5C" w:rsidP="005F1085">
      <w:pPr>
        <w:spacing w:before="0" w:after="0"/>
      </w:pPr>
      <w:r>
        <w:continuationSeparator/>
      </w:r>
    </w:p>
  </w:footnote>
  <w:footnote w:type="continuationNotice" w:id="1">
    <w:p w:rsidR="006E5A5C" w:rsidRDefault="006E5A5C">
      <w:pPr>
        <w:spacing w:before="0" w:after="0"/>
      </w:pPr>
    </w:p>
  </w:footnote>
  <w:footnote w:id="2">
    <w:p w:rsidR="006F5F3B" w:rsidRPr="00EE0419" w:rsidRDefault="006F5F3B">
      <w:pPr>
        <w:pStyle w:val="FootnoteText"/>
        <w:rPr>
          <w:color w:val="333333"/>
        </w:rPr>
      </w:pPr>
      <w:r>
        <w:rPr>
          <w:rStyle w:val="FootnoteReference"/>
        </w:rPr>
        <w:footnoteRef/>
      </w:r>
      <w:r w:rsidRPr="00EE0419">
        <w:tab/>
        <w:t>Κανονισμός (ΕΕ)</w:t>
      </w:r>
      <w:r>
        <w:t> </w:t>
      </w:r>
      <w:r w:rsidRPr="00EE0419">
        <w:t>2017/2226 του Ευρωπαϊκού Κοινοβουλίου και του Συμβουλίου, της 30ής Νοεμβρίου 2017, σχετικά με τη θέσπιση Συστήματος Εισόδου/Εξόδου (ΣΕΕ) για την καταχώριση δεδομένων εισόδου και εξόδου και δεδομένων άρνησης εισόδου των υπηκόων τρίτων χωρών που διέρχονται τα εξωτερικά σύνορα των κρατών μελών, τον καθορισμό των όρων πρόσβασης στο ΣΕΕ για σκοπούς επιβολής του νόμου και την τροποποίηση της σύμβασης εφαρμογής της Συμφωνίας του Σένγκεν και των κανονισμών (ΕΚ)</w:t>
      </w:r>
      <w:r>
        <w:t> </w:t>
      </w:r>
      <w:r w:rsidRPr="00EE0419">
        <w:t>αριθ.</w:t>
      </w:r>
      <w:r>
        <w:t> </w:t>
      </w:r>
      <w:r w:rsidRPr="00EE0419">
        <w:t>767/2008 και (ΕΕ)</w:t>
      </w:r>
      <w:r>
        <w:t> </w:t>
      </w:r>
      <w:r w:rsidRPr="00EE0419">
        <w:t>αριθ.</w:t>
      </w:r>
      <w:r>
        <w:t> </w:t>
      </w:r>
      <w:r w:rsidRPr="00EE0419">
        <w:t xml:space="preserve">1077/2011 (ΕΕ </w:t>
      </w:r>
      <w:r>
        <w:t>L</w:t>
      </w:r>
      <w:r w:rsidRPr="00EE0419">
        <w:t xml:space="preserve"> 327 της 9.12.2017, σ. 20, </w:t>
      </w:r>
      <w:r>
        <w:t>ELI</w:t>
      </w:r>
      <w:r w:rsidRPr="00EE0419">
        <w:rPr>
          <w:color w:val="333333"/>
        </w:rPr>
        <w:t>:</w:t>
      </w:r>
      <w:r>
        <w:rPr>
          <w:color w:val="333333"/>
        </w:rPr>
        <w:t> </w:t>
      </w:r>
      <w:hyperlink r:id="rId1" w:tooltip="Πρόσβαση στο εν λόγω έγγραφο μέσω του ELI URI." w:history="1">
        <w:r>
          <w:rPr>
            <w:rStyle w:val="Hyperlink"/>
            <w:color w:val="337AB7"/>
          </w:rPr>
          <w:t>http</w:t>
        </w:r>
        <w:r w:rsidRPr="00EE0419">
          <w:rPr>
            <w:rStyle w:val="Hyperlink"/>
            <w:color w:val="337AB7"/>
          </w:rPr>
          <w:t>://</w:t>
        </w:r>
        <w:r>
          <w:rPr>
            <w:rStyle w:val="Hyperlink"/>
            <w:color w:val="337AB7"/>
          </w:rPr>
          <w:t>data</w:t>
        </w:r>
        <w:r w:rsidRPr="00EE0419">
          <w:rPr>
            <w:rStyle w:val="Hyperlink"/>
            <w:color w:val="337AB7"/>
          </w:rPr>
          <w:t>.</w:t>
        </w:r>
        <w:r>
          <w:rPr>
            <w:rStyle w:val="Hyperlink"/>
            <w:color w:val="337AB7"/>
          </w:rPr>
          <w:t>europa</w:t>
        </w:r>
        <w:r w:rsidRPr="00EE0419">
          <w:rPr>
            <w:rStyle w:val="Hyperlink"/>
            <w:color w:val="337AB7"/>
          </w:rPr>
          <w:t>.</w:t>
        </w:r>
        <w:r>
          <w:rPr>
            <w:rStyle w:val="Hyperlink"/>
            <w:color w:val="337AB7"/>
          </w:rPr>
          <w:t>eu</w:t>
        </w:r>
        <w:r w:rsidRPr="00EE0419">
          <w:rPr>
            <w:rStyle w:val="Hyperlink"/>
            <w:color w:val="337AB7"/>
          </w:rPr>
          <w:t>/</w:t>
        </w:r>
        <w:r>
          <w:rPr>
            <w:rStyle w:val="Hyperlink"/>
            <w:color w:val="337AB7"/>
          </w:rPr>
          <w:t>eli</w:t>
        </w:r>
        <w:r w:rsidRPr="00EE0419">
          <w:rPr>
            <w:rStyle w:val="Hyperlink"/>
            <w:color w:val="337AB7"/>
          </w:rPr>
          <w:t>/</w:t>
        </w:r>
        <w:r>
          <w:rPr>
            <w:rStyle w:val="Hyperlink"/>
            <w:color w:val="337AB7"/>
          </w:rPr>
          <w:t>reg</w:t>
        </w:r>
        <w:r w:rsidRPr="00EE0419">
          <w:rPr>
            <w:rStyle w:val="Hyperlink"/>
            <w:color w:val="337AB7"/>
          </w:rPr>
          <w:t>/2017/2226/2021-08-03</w:t>
        </w:r>
      </w:hyperlink>
      <w:r w:rsidRPr="00EE0419">
        <w:t>).</w:t>
      </w:r>
    </w:p>
  </w:footnote>
  <w:footnote w:id="3">
    <w:p w:rsidR="006F5F3B" w:rsidRPr="00EE0419" w:rsidRDefault="006F5F3B">
      <w:pPr>
        <w:pStyle w:val="FootnoteText"/>
      </w:pPr>
      <w:r>
        <w:rPr>
          <w:rStyle w:val="FootnoteReference"/>
        </w:rPr>
        <w:footnoteRef/>
      </w:r>
      <w:r w:rsidRPr="00EE0419">
        <w:tab/>
        <w:t xml:space="preserve">Η εφαρμογή της διαλειτουργικότητας που αφορά το ΣΕΕ ως πρώτο σύστημα, ακολουθούμενο από το </w:t>
      </w:r>
      <w:r>
        <w:t>ETIAS</w:t>
      </w:r>
      <w:r w:rsidRPr="00EE0419">
        <w:t xml:space="preserve">, το </w:t>
      </w:r>
      <w:r>
        <w:t>ECRIS</w:t>
      </w:r>
      <w:r w:rsidRPr="00EE0419">
        <w:t>-</w:t>
      </w:r>
      <w:r>
        <w:t>TCN</w:t>
      </w:r>
      <w:r w:rsidRPr="00EE0419">
        <w:t xml:space="preserve">, το νέο </w:t>
      </w:r>
      <w:r>
        <w:t>Eurodac</w:t>
      </w:r>
      <w:r w:rsidRPr="00EE0419">
        <w:t xml:space="preserve">, το αναθεωρημένο </w:t>
      </w:r>
      <w:r>
        <w:t>VIS</w:t>
      </w:r>
      <w:r w:rsidRPr="00EE0419">
        <w:t xml:space="preserve"> και τους κανονισμούς για τη διαλειτουργικότητα που αναπτύχθηκαν παράλληλα, ακολουθεί χάρτη πορείας, ο οποίος είχε αναθεωρηθεί λόγω των περιπλοκών που προέκυψαν.</w:t>
      </w:r>
    </w:p>
  </w:footnote>
  <w:footnote w:id="4">
    <w:p w:rsidR="665A5B87" w:rsidRPr="00EE0419" w:rsidRDefault="665A5B87" w:rsidP="00D72D7C">
      <w:pPr>
        <w:pStyle w:val="Footn"/>
      </w:pPr>
      <w:r>
        <w:rPr>
          <w:rStyle w:val="FootnoteReference"/>
        </w:rPr>
        <w:footnoteRef/>
      </w:r>
      <w:r w:rsidRPr="00EE0419">
        <w:tab/>
        <w:t>Κανονισμός (ΕΕ)</w:t>
      </w:r>
      <w:r>
        <w:t> </w:t>
      </w:r>
      <w:r w:rsidRPr="00EE0419">
        <w:t xml:space="preserve">2016/399 του Ευρωπαϊκού Κοινοβουλίου και του Συμβουλίου, της 9ης Μαρτίου 2016, περί κώδικα της Ένωσης σχετικά με το καθεστώς διέλευσης προσώπων από τα σύνορα (κώδικας συνόρων του Σένγκεν) (ΕΕ </w:t>
      </w:r>
      <w:r>
        <w:t>L</w:t>
      </w:r>
      <w:r w:rsidRPr="00EE0419">
        <w:t xml:space="preserve"> 77 της 23.3.2016, σ. 1, </w:t>
      </w:r>
      <w:r>
        <w:rPr>
          <w:u w:val="single"/>
        </w:rPr>
        <w:t>ELI</w:t>
      </w:r>
      <w:r w:rsidRPr="00EE0419">
        <w:rPr>
          <w:u w:val="single"/>
        </w:rPr>
        <w:t>: </w:t>
      </w:r>
      <w:r w:rsidRPr="00EE0419">
        <w:t xml:space="preserve"> </w:t>
      </w:r>
      <w:hyperlink r:id="rId2" w:history="1">
        <w:r>
          <w:rPr>
            <w:rStyle w:val="Hyperlink"/>
          </w:rPr>
          <w:t>http</w:t>
        </w:r>
        <w:r w:rsidRPr="00EE0419">
          <w:rPr>
            <w:rStyle w:val="Hyperlink"/>
          </w:rPr>
          <w:t>://</w:t>
        </w:r>
        <w:r>
          <w:rPr>
            <w:rStyle w:val="Hyperlink"/>
          </w:rPr>
          <w:t>data</w:t>
        </w:r>
        <w:r w:rsidRPr="00EE0419">
          <w:rPr>
            <w:rStyle w:val="Hyperlink"/>
          </w:rPr>
          <w:t>.</w:t>
        </w:r>
        <w:r>
          <w:rPr>
            <w:rStyle w:val="Hyperlink"/>
          </w:rPr>
          <w:t>europa</w:t>
        </w:r>
        <w:r w:rsidRPr="00EE0419">
          <w:rPr>
            <w:rStyle w:val="Hyperlink"/>
          </w:rPr>
          <w:t>.</w:t>
        </w:r>
        <w:r>
          <w:rPr>
            <w:rStyle w:val="Hyperlink"/>
          </w:rPr>
          <w:t>eu</w:t>
        </w:r>
        <w:r w:rsidRPr="00EE0419">
          <w:rPr>
            <w:rStyle w:val="Hyperlink"/>
          </w:rPr>
          <w:t>/</w:t>
        </w:r>
        <w:r>
          <w:rPr>
            <w:rStyle w:val="Hyperlink"/>
          </w:rPr>
          <w:t>eli</w:t>
        </w:r>
        <w:r w:rsidRPr="00EE0419">
          <w:rPr>
            <w:rStyle w:val="Hyperlink"/>
          </w:rPr>
          <w:t>/</w:t>
        </w:r>
        <w:r>
          <w:rPr>
            <w:rStyle w:val="Hyperlink"/>
          </w:rPr>
          <w:t>reg</w:t>
        </w:r>
        <w:r w:rsidRPr="00EE0419">
          <w:rPr>
            <w:rStyle w:val="Hyperlink"/>
          </w:rPr>
          <w:t>/2016/399/2024-07-10</w:t>
        </w:r>
      </w:hyperlink>
      <w:r w:rsidRPr="00EE0419">
        <w:rPr>
          <w:u w:val="single"/>
        </w:rPr>
        <w:t>).</w:t>
      </w:r>
    </w:p>
  </w:footnote>
  <w:footnote w:id="5">
    <w:p w:rsidR="005F2380" w:rsidRPr="00EE0419" w:rsidRDefault="005F2380">
      <w:pPr>
        <w:pStyle w:val="FootnoteText"/>
      </w:pPr>
      <w:r>
        <w:rPr>
          <w:rStyle w:val="FootnoteReference"/>
        </w:rPr>
        <w:footnoteRef/>
      </w:r>
      <w:r w:rsidRPr="00EE0419">
        <w:tab/>
        <w:t>Σύμβαση εφαρμογής της συμφωνίας του Σένγκεν της 14ης Ιουνίου 1985 μεταξύ των κυβερνήσεων των κρατών της Οικονομικής Ένωσης Μπενελούξ, της Ομοσπονδιακής Δημοκρατίας της Γερμανίας και της Γαλλικής Δημοκρατίας, σχετικά με τη σταδιακή κατάργηση των ελέγχων στα κοινά σύνορα.</w:t>
      </w:r>
      <w:r w:rsidRPr="00EE0419">
        <w:tab/>
        <w:t xml:space="preserve">(ΕΕ </w:t>
      </w:r>
      <w:r>
        <w:t>L</w:t>
      </w:r>
      <w:r w:rsidRPr="00EE0419">
        <w:t xml:space="preserve"> 239 της 22.9.2000, σ. 19, </w:t>
      </w:r>
      <w:r>
        <w:t>ELI</w:t>
      </w:r>
      <w:r w:rsidRPr="00EE0419">
        <w:t xml:space="preserve">: </w:t>
      </w:r>
      <w:hyperlink r:id="rId3" w:history="1">
        <w:r>
          <w:rPr>
            <w:rStyle w:val="Hyperlink"/>
          </w:rPr>
          <w:t>http</w:t>
        </w:r>
        <w:r w:rsidRPr="00EE0419">
          <w:rPr>
            <w:rStyle w:val="Hyperlink"/>
          </w:rPr>
          <w:t>://</w:t>
        </w:r>
        <w:r>
          <w:rPr>
            <w:rStyle w:val="Hyperlink"/>
          </w:rPr>
          <w:t>data</w:t>
        </w:r>
        <w:r w:rsidRPr="00EE0419">
          <w:rPr>
            <w:rStyle w:val="Hyperlink"/>
          </w:rPr>
          <w:t>.</w:t>
        </w:r>
        <w:r>
          <w:rPr>
            <w:rStyle w:val="Hyperlink"/>
          </w:rPr>
          <w:t>europa</w:t>
        </w:r>
        <w:r w:rsidRPr="00EE0419">
          <w:rPr>
            <w:rStyle w:val="Hyperlink"/>
          </w:rPr>
          <w:t>.</w:t>
        </w:r>
        <w:r>
          <w:rPr>
            <w:rStyle w:val="Hyperlink"/>
          </w:rPr>
          <w:t>eu</w:t>
        </w:r>
        <w:r w:rsidRPr="00EE0419">
          <w:rPr>
            <w:rStyle w:val="Hyperlink"/>
          </w:rPr>
          <w:t>/</w:t>
        </w:r>
        <w:r>
          <w:rPr>
            <w:rStyle w:val="Hyperlink"/>
          </w:rPr>
          <w:t>eli</w:t>
        </w:r>
        <w:r w:rsidRPr="00EE0419">
          <w:rPr>
            <w:rStyle w:val="Hyperlink"/>
          </w:rPr>
          <w:t>/</w:t>
        </w:r>
        <w:r>
          <w:rPr>
            <w:rStyle w:val="Hyperlink"/>
          </w:rPr>
          <w:t>convention</w:t>
        </w:r>
        <w:r w:rsidRPr="00EE0419">
          <w:rPr>
            <w:rStyle w:val="Hyperlink"/>
          </w:rPr>
          <w:t>/2000/922/</w:t>
        </w:r>
        <w:r>
          <w:rPr>
            <w:rStyle w:val="Hyperlink"/>
          </w:rPr>
          <w:t>oj</w:t>
        </w:r>
      </w:hyperlink>
      <w:r w:rsidRPr="00EE0419">
        <w:t>).</w:t>
      </w:r>
    </w:p>
  </w:footnote>
  <w:footnote w:id="6">
    <w:p w:rsidR="1DCAE65F" w:rsidRPr="00EE0419" w:rsidRDefault="1DCAE65F" w:rsidP="00BE34C9">
      <w:pPr>
        <w:pStyle w:val="FootnoteText"/>
      </w:pPr>
      <w:r>
        <w:rPr>
          <w:rStyle w:val="FootnoteReference"/>
        </w:rPr>
        <w:footnoteRef/>
      </w:r>
      <w:r w:rsidRPr="00EE0419">
        <w:tab/>
        <w:t>Κανονισμός (ΕΕ)</w:t>
      </w:r>
      <w:r>
        <w:t> </w:t>
      </w:r>
      <w:r w:rsidRPr="00EE0419">
        <w:t>2016/679 του Ευρωπαϊκού Κοινοβουλίου και του Συμβουλίου, της 27ης</w:t>
      </w:r>
      <w:r>
        <w:t> </w:t>
      </w:r>
      <w:r w:rsidRPr="00EE0419">
        <w:t xml:space="preserve">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(ΕΕ </w:t>
      </w:r>
      <w:r>
        <w:t>L</w:t>
      </w:r>
      <w:r w:rsidRPr="00EE0419">
        <w:t xml:space="preserve"> 119 της 4.5.2016, σ. 1, </w:t>
      </w:r>
      <w:r>
        <w:t>ELI</w:t>
      </w:r>
      <w:r w:rsidRPr="00EE0419">
        <w:t xml:space="preserve">: </w:t>
      </w:r>
      <w:hyperlink r:id="rId4" w:history="1">
        <w:r>
          <w:rPr>
            <w:rStyle w:val="Hyperlink"/>
          </w:rPr>
          <w:t>http</w:t>
        </w:r>
        <w:r w:rsidRPr="00EE0419">
          <w:rPr>
            <w:rStyle w:val="Hyperlink"/>
          </w:rPr>
          <w:t>://</w:t>
        </w:r>
        <w:r>
          <w:rPr>
            <w:rStyle w:val="Hyperlink"/>
          </w:rPr>
          <w:t>data</w:t>
        </w:r>
        <w:r w:rsidRPr="00EE0419">
          <w:rPr>
            <w:rStyle w:val="Hyperlink"/>
          </w:rPr>
          <w:t>.</w:t>
        </w:r>
        <w:r>
          <w:rPr>
            <w:rStyle w:val="Hyperlink"/>
          </w:rPr>
          <w:t>europa</w:t>
        </w:r>
        <w:r w:rsidRPr="00EE0419">
          <w:rPr>
            <w:rStyle w:val="Hyperlink"/>
          </w:rPr>
          <w:t>.</w:t>
        </w:r>
        <w:r>
          <w:rPr>
            <w:rStyle w:val="Hyperlink"/>
          </w:rPr>
          <w:t>eu</w:t>
        </w:r>
        <w:r w:rsidRPr="00EE0419">
          <w:rPr>
            <w:rStyle w:val="Hyperlink"/>
          </w:rPr>
          <w:t>/</w:t>
        </w:r>
        <w:r>
          <w:rPr>
            <w:rStyle w:val="Hyperlink"/>
          </w:rPr>
          <w:t>eli</w:t>
        </w:r>
        <w:r w:rsidRPr="00EE0419">
          <w:rPr>
            <w:rStyle w:val="Hyperlink"/>
          </w:rPr>
          <w:t>/</w:t>
        </w:r>
        <w:r>
          <w:rPr>
            <w:rStyle w:val="Hyperlink"/>
          </w:rPr>
          <w:t>reg</w:t>
        </w:r>
        <w:r w:rsidRPr="00EE0419">
          <w:rPr>
            <w:rStyle w:val="Hyperlink"/>
          </w:rPr>
          <w:t>/2016/679/2016-05-04</w:t>
        </w:r>
      </w:hyperlink>
      <w:r w:rsidRPr="00EE0419">
        <w:t>).</w:t>
      </w:r>
    </w:p>
  </w:footnote>
  <w:footnote w:id="7">
    <w:p w:rsidR="005F2380" w:rsidRPr="00EE0419" w:rsidRDefault="005F2380">
      <w:pPr>
        <w:pStyle w:val="FootnoteText"/>
      </w:pPr>
      <w:r>
        <w:rPr>
          <w:rStyle w:val="FootnoteReference"/>
        </w:rPr>
        <w:footnoteRef/>
      </w:r>
      <w:r w:rsidRPr="00EE0419">
        <w:tab/>
        <w:t>Κανονισμός (ΕΕ)</w:t>
      </w:r>
      <w:r>
        <w:t> </w:t>
      </w:r>
      <w:r w:rsidRPr="00EE0419">
        <w:t>2019/817 του Ευρωπαϊκού Κοινοβουλίου και του Συμβουλίου, της 20ής Μαΐου 2019, για τη θέσπιση πλαισίου διαλειτουργικότητας μεταξύ των συστημάτων πληροφοριών της ΕΕ στον τομέα των συνόρων και θεωρήσεων και την τροποποίηση των κανονισμών (ΕΚ) αριθ.</w:t>
      </w:r>
      <w:r>
        <w:t> </w:t>
      </w:r>
      <w:r w:rsidRPr="00EE0419">
        <w:t>767/2008, (ΕΕ)</w:t>
      </w:r>
      <w:r>
        <w:t> </w:t>
      </w:r>
      <w:r w:rsidRPr="00EE0419">
        <w:t>2016/399, (ΕΕ)</w:t>
      </w:r>
      <w:r>
        <w:t> </w:t>
      </w:r>
      <w:r w:rsidRPr="00EE0419">
        <w:t>2017/2226, (ΕΕ)</w:t>
      </w:r>
      <w:r>
        <w:t> </w:t>
      </w:r>
      <w:r w:rsidRPr="00EE0419">
        <w:t>2018/1240, (ΕΕ)</w:t>
      </w:r>
      <w:r>
        <w:t> </w:t>
      </w:r>
      <w:r w:rsidRPr="00EE0419">
        <w:t>2018/1726 και (ΕΕ)</w:t>
      </w:r>
      <w:r>
        <w:t> </w:t>
      </w:r>
      <w:r w:rsidRPr="00EE0419">
        <w:t xml:space="preserve">2018/1861 του Ευρωπαϊκού Κοινοβουλίου και του Συμβουλίου, και των αποφάσεων 2004/512/ΕΚ και 2008/633/ΔΕΥ του Συμβουλίου (ΕΕ </w:t>
      </w:r>
      <w:r>
        <w:t>L</w:t>
      </w:r>
      <w:r w:rsidRPr="00EE0419">
        <w:t xml:space="preserve"> 135 της 22.5.2019, σ. 27, </w:t>
      </w:r>
      <w:r>
        <w:t>ELI</w:t>
      </w:r>
      <w:r w:rsidRPr="00EE0419">
        <w:t xml:space="preserve">: </w:t>
      </w:r>
      <w:hyperlink r:id="rId5" w:history="1">
        <w:r>
          <w:rPr>
            <w:rStyle w:val="Hyperlink"/>
          </w:rPr>
          <w:t>http</w:t>
        </w:r>
        <w:r w:rsidRPr="00EE0419">
          <w:rPr>
            <w:rStyle w:val="Hyperlink"/>
          </w:rPr>
          <w:t>://</w:t>
        </w:r>
        <w:r>
          <w:rPr>
            <w:rStyle w:val="Hyperlink"/>
          </w:rPr>
          <w:t>data</w:t>
        </w:r>
        <w:r w:rsidRPr="00EE0419">
          <w:rPr>
            <w:rStyle w:val="Hyperlink"/>
          </w:rPr>
          <w:t>.</w:t>
        </w:r>
        <w:r>
          <w:rPr>
            <w:rStyle w:val="Hyperlink"/>
          </w:rPr>
          <w:t>europa</w:t>
        </w:r>
        <w:r w:rsidRPr="00EE0419">
          <w:rPr>
            <w:rStyle w:val="Hyperlink"/>
          </w:rPr>
          <w:t>.</w:t>
        </w:r>
        <w:r>
          <w:rPr>
            <w:rStyle w:val="Hyperlink"/>
          </w:rPr>
          <w:t>eu</w:t>
        </w:r>
        <w:r w:rsidRPr="00EE0419">
          <w:rPr>
            <w:rStyle w:val="Hyperlink"/>
          </w:rPr>
          <w:t>/</w:t>
        </w:r>
        <w:r>
          <w:rPr>
            <w:rStyle w:val="Hyperlink"/>
          </w:rPr>
          <w:t>eli</w:t>
        </w:r>
        <w:r w:rsidRPr="00EE0419">
          <w:rPr>
            <w:rStyle w:val="Hyperlink"/>
          </w:rPr>
          <w:t>/</w:t>
        </w:r>
        <w:r>
          <w:rPr>
            <w:rStyle w:val="Hyperlink"/>
          </w:rPr>
          <w:t>reg</w:t>
        </w:r>
        <w:r w:rsidRPr="00EE0419">
          <w:rPr>
            <w:rStyle w:val="Hyperlink"/>
          </w:rPr>
          <w:t>/2019/817/2024-04-25</w:t>
        </w:r>
      </w:hyperlink>
      <w:r w:rsidRPr="00EE0419">
        <w:rPr>
          <w:color w:val="333333"/>
        </w:rPr>
        <w:t>).</w:t>
      </w:r>
    </w:p>
  </w:footnote>
  <w:footnote w:id="8">
    <w:p w:rsidR="00BE0D22" w:rsidRPr="00EB4CEB" w:rsidRDefault="00BE0D22" w:rsidP="00BE0D22">
      <w:pPr>
        <w:pStyle w:val="FootnoteText"/>
      </w:pPr>
      <w:r>
        <w:rPr>
          <w:rStyle w:val="FootnoteReference"/>
        </w:rPr>
        <w:footnoteRef/>
      </w:r>
      <w:r>
        <w:tab/>
        <w:t>SWD(2016) 114 final, SWD(2016) 115 final, SWD(2016) 116 final.</w:t>
      </w:r>
    </w:p>
  </w:footnote>
  <w:footnote w:id="9">
    <w:p w:rsidR="0086315B" w:rsidRPr="00EE0419" w:rsidRDefault="0086315B">
      <w:pPr>
        <w:pStyle w:val="FootnoteText"/>
      </w:pPr>
      <w:r>
        <w:rPr>
          <w:rStyle w:val="FootnoteReference"/>
        </w:rPr>
        <w:footnoteRef/>
      </w:r>
      <w:r w:rsidRPr="00EE0419">
        <w:tab/>
        <w:t xml:space="preserve">[θέση προς συμπλήρωση] </w:t>
      </w:r>
      <w:r w:rsidRPr="00EE0419">
        <w:rPr>
          <w:color w:val="333333"/>
        </w:rPr>
        <w:t>Θέση του Ευρωπαϊκού Κοινοβουλίου της [να προστεθεί η ημερομηνία κατόπιν συμφωνίας] και απόφαση του Συμβουλίου της [να προστεθεί η ημερομηνία κατόπιν συμφωνίας].</w:t>
      </w:r>
    </w:p>
  </w:footnote>
  <w:footnote w:id="10">
    <w:p w:rsidR="00C1659F" w:rsidRPr="00EE0419" w:rsidRDefault="00A276E8" w:rsidP="00C1659F">
      <w:pPr>
        <w:pStyle w:val="FootnoteText"/>
      </w:pPr>
      <w:r>
        <w:rPr>
          <w:rStyle w:val="FootnoteReference"/>
        </w:rPr>
        <w:footnoteRef/>
      </w:r>
      <w:r w:rsidRPr="00EE0419">
        <w:tab/>
        <w:t>Κανονισμός (ΕΕ)</w:t>
      </w:r>
      <w:r>
        <w:t> </w:t>
      </w:r>
      <w:r w:rsidRPr="00EE0419">
        <w:t>2017/2226 του Ευρωπαϊκού Κοινοβουλίου και του Συμβουλίου, της 30ής Νοεμβρίου 2017, σχετικά με τη θέσπιση συστήματος εισόδου/εξόδου (ΣΕΕ) για την καταχώριση δεδομένων εισόδου και εξόδου και δεδομένων άρνησης εισόδου των υπηκόων τρίτων χωρών που διέρχονται τα εξωτερικά σύνορα των κρατών μελών, τον καθορισμό των όρων πρόσβασης στο ΣΕΕ για σκοπούς επιβολής του νόμου και την τροποποίηση της σύμβασης εφαρμογής της Συμφωνίας του Σένγκεν και των κανονισμών (ΕΚ)</w:t>
      </w:r>
      <w:r>
        <w:t> </w:t>
      </w:r>
      <w:r w:rsidRPr="00EE0419">
        <w:t>αριθ.</w:t>
      </w:r>
      <w:r>
        <w:t> </w:t>
      </w:r>
      <w:r w:rsidRPr="00EE0419">
        <w:t>767/2008 και (ΕΕ)</w:t>
      </w:r>
      <w:r>
        <w:t> </w:t>
      </w:r>
      <w:r w:rsidRPr="00EE0419">
        <w:t>αριθ.</w:t>
      </w:r>
      <w:r>
        <w:t> </w:t>
      </w:r>
      <w:r w:rsidRPr="00EE0419">
        <w:t xml:space="preserve">1077/2011 (ΕΕ </w:t>
      </w:r>
      <w:r>
        <w:t>L</w:t>
      </w:r>
      <w:r w:rsidRPr="00EE0419">
        <w:t xml:space="preserve"> 327 της 9.12.2017, σ. 20, </w:t>
      </w:r>
      <w:r>
        <w:t>ELI</w:t>
      </w:r>
      <w:r w:rsidRPr="00EE0419">
        <w:t>:</w:t>
      </w:r>
      <w:r>
        <w:t> </w:t>
      </w:r>
      <w:hyperlink r:id="rId6" w:tooltip="Πρόσβαση στο εν λόγω έγγραφο μέσω του ELI URI." w:history="1">
        <w:r>
          <w:rPr>
            <w:rStyle w:val="Hyperlink"/>
          </w:rPr>
          <w:t>http</w:t>
        </w:r>
        <w:r w:rsidRPr="00EE0419">
          <w:rPr>
            <w:rStyle w:val="Hyperlink"/>
          </w:rPr>
          <w:t>://</w:t>
        </w:r>
        <w:r>
          <w:rPr>
            <w:rStyle w:val="Hyperlink"/>
          </w:rPr>
          <w:t>data</w:t>
        </w:r>
        <w:r w:rsidRPr="00EE0419">
          <w:rPr>
            <w:rStyle w:val="Hyperlink"/>
          </w:rPr>
          <w:t>.</w:t>
        </w:r>
        <w:r>
          <w:rPr>
            <w:rStyle w:val="Hyperlink"/>
          </w:rPr>
          <w:t>europa</w:t>
        </w:r>
        <w:r w:rsidRPr="00EE0419">
          <w:rPr>
            <w:rStyle w:val="Hyperlink"/>
          </w:rPr>
          <w:t>.</w:t>
        </w:r>
        <w:r>
          <w:rPr>
            <w:rStyle w:val="Hyperlink"/>
          </w:rPr>
          <w:t>eu</w:t>
        </w:r>
        <w:r w:rsidRPr="00EE0419">
          <w:rPr>
            <w:rStyle w:val="Hyperlink"/>
          </w:rPr>
          <w:t>/</w:t>
        </w:r>
        <w:r>
          <w:rPr>
            <w:rStyle w:val="Hyperlink"/>
          </w:rPr>
          <w:t>eli</w:t>
        </w:r>
        <w:r w:rsidRPr="00EE0419">
          <w:rPr>
            <w:rStyle w:val="Hyperlink"/>
          </w:rPr>
          <w:t>/</w:t>
        </w:r>
        <w:r>
          <w:rPr>
            <w:rStyle w:val="Hyperlink"/>
          </w:rPr>
          <w:t>reg</w:t>
        </w:r>
        <w:r w:rsidRPr="00EE0419">
          <w:rPr>
            <w:rStyle w:val="Hyperlink"/>
          </w:rPr>
          <w:t>/2017/2226/</w:t>
        </w:r>
        <w:r>
          <w:rPr>
            <w:rStyle w:val="Hyperlink"/>
          </w:rPr>
          <w:t>oj</w:t>
        </w:r>
      </w:hyperlink>
      <w:r w:rsidRPr="00EE0419">
        <w:t>).</w:t>
      </w:r>
    </w:p>
    <w:p w:rsidR="00A276E8" w:rsidRPr="00EE0419" w:rsidRDefault="00A276E8">
      <w:pPr>
        <w:pStyle w:val="FootnoteText"/>
      </w:pPr>
    </w:p>
  </w:footnote>
  <w:footnote w:id="11">
    <w:p w:rsidR="00281C61" w:rsidRPr="00EE0419" w:rsidRDefault="00281C61" w:rsidP="00281C61">
      <w:pPr>
        <w:pStyle w:val="FootnoteText"/>
      </w:pPr>
      <w:r>
        <w:rPr>
          <w:rStyle w:val="FootnoteReference"/>
        </w:rPr>
        <w:footnoteRef/>
      </w:r>
      <w:r w:rsidRPr="00EE0419">
        <w:tab/>
        <w:t>Κανονισμός (ΕΕ)</w:t>
      </w:r>
      <w:r>
        <w:t> </w:t>
      </w:r>
      <w:r w:rsidRPr="00EE0419">
        <w:t>2016/399 του Ευρωπαϊκού Κοινοβουλίου και του Συμβουλίου, της 9ης</w:t>
      </w:r>
      <w:r>
        <w:t> </w:t>
      </w:r>
      <w:r w:rsidRPr="00EE0419">
        <w:t xml:space="preserve">Μαρτίου 2016, περί κώδικα της Ένωσης σχετικά με το καθεστώς διέλευσης προσώπων από τα σύνορα (κώδικας συνόρων του Σένγκεν) (ΕΕ </w:t>
      </w:r>
      <w:r>
        <w:t>L</w:t>
      </w:r>
      <w:r w:rsidRPr="00EE0419">
        <w:t xml:space="preserve"> 77 της 23.3.2016, σ. 1, </w:t>
      </w:r>
      <w:r>
        <w:t>ELI</w:t>
      </w:r>
      <w:r w:rsidRPr="00EE0419">
        <w:t xml:space="preserve">: </w:t>
      </w:r>
      <w:hyperlink r:id="rId7" w:history="1">
        <w:r>
          <w:rPr>
            <w:rStyle w:val="Hyperlink"/>
          </w:rPr>
          <w:t>http</w:t>
        </w:r>
        <w:r w:rsidRPr="00EE0419">
          <w:rPr>
            <w:rStyle w:val="Hyperlink"/>
          </w:rPr>
          <w:t>://</w:t>
        </w:r>
        <w:r>
          <w:rPr>
            <w:rStyle w:val="Hyperlink"/>
          </w:rPr>
          <w:t>data</w:t>
        </w:r>
        <w:r w:rsidRPr="00EE0419">
          <w:rPr>
            <w:rStyle w:val="Hyperlink"/>
          </w:rPr>
          <w:t>.</w:t>
        </w:r>
        <w:r>
          <w:rPr>
            <w:rStyle w:val="Hyperlink"/>
          </w:rPr>
          <w:t>europa</w:t>
        </w:r>
        <w:r w:rsidRPr="00EE0419">
          <w:rPr>
            <w:rStyle w:val="Hyperlink"/>
          </w:rPr>
          <w:t>.</w:t>
        </w:r>
        <w:r>
          <w:rPr>
            <w:rStyle w:val="Hyperlink"/>
          </w:rPr>
          <w:t>eu</w:t>
        </w:r>
        <w:r w:rsidRPr="00EE0419">
          <w:rPr>
            <w:rStyle w:val="Hyperlink"/>
          </w:rPr>
          <w:t>/</w:t>
        </w:r>
        <w:r>
          <w:rPr>
            <w:rStyle w:val="Hyperlink"/>
          </w:rPr>
          <w:t>eli</w:t>
        </w:r>
        <w:r w:rsidRPr="00EE0419">
          <w:rPr>
            <w:rStyle w:val="Hyperlink"/>
          </w:rPr>
          <w:t>/</w:t>
        </w:r>
        <w:r>
          <w:rPr>
            <w:rStyle w:val="Hyperlink"/>
          </w:rPr>
          <w:t>reg</w:t>
        </w:r>
        <w:r w:rsidRPr="00EE0419">
          <w:rPr>
            <w:rStyle w:val="Hyperlink"/>
          </w:rPr>
          <w:t>/2016/399/</w:t>
        </w:r>
        <w:r>
          <w:rPr>
            <w:rStyle w:val="Hyperlink"/>
          </w:rPr>
          <w:t>oj</w:t>
        </w:r>
      </w:hyperlink>
      <w:r w:rsidRPr="00EE0419">
        <w:t>).</w:t>
      </w:r>
    </w:p>
  </w:footnote>
  <w:footnote w:id="12">
    <w:p w:rsidR="00BD5B7B" w:rsidRPr="00EE0419" w:rsidRDefault="00BD5B7B">
      <w:pPr>
        <w:pStyle w:val="FootnoteText"/>
      </w:pPr>
      <w:r>
        <w:rPr>
          <w:rStyle w:val="FootnoteReference"/>
        </w:rPr>
        <w:footnoteRef/>
      </w:r>
      <w:r w:rsidRPr="00EE0419">
        <w:tab/>
        <w:t>Κανονισμός (ΕΚ) αριθ.</w:t>
      </w:r>
      <w:r>
        <w:t> </w:t>
      </w:r>
      <w:r w:rsidRPr="00EE0419">
        <w:t>767/2008 του Ευρωπαϊκού Κοινοβουλίου και του Συμβουλίου, της 9ης Ιουλίου 2008, για το Σύστημα Πληροφοριών για τις Θεωρήσεις (</w:t>
      </w:r>
      <w:r>
        <w:t>VIS</w:t>
      </w:r>
      <w:r w:rsidRPr="00EE0419">
        <w:t xml:space="preserve">) και την ανταλλαγή δεδομένων μεταξύ κρατών μελών για τις θεωρήσεις μικρής διάρκειας (κανονισμός </w:t>
      </w:r>
      <w:r>
        <w:t>VIS</w:t>
      </w:r>
      <w:r w:rsidRPr="00EE0419">
        <w:t xml:space="preserve">) (ΕΕ </w:t>
      </w:r>
      <w:r>
        <w:t>L</w:t>
      </w:r>
      <w:r w:rsidRPr="00EE0419">
        <w:t xml:space="preserve"> 218 της 13.8.2008, σ. 60, </w:t>
      </w:r>
      <w:r>
        <w:t>ELI</w:t>
      </w:r>
      <w:r w:rsidRPr="00EE0419">
        <w:t>:</w:t>
      </w:r>
      <w:r>
        <w:t> </w:t>
      </w:r>
      <w:hyperlink r:id="rId8" w:tooltip="Πρόσβαση στο εν λόγω έγγραφο μέσω του ELI URI." w:history="1">
        <w:r>
          <w:rPr>
            <w:rStyle w:val="Hyperlink"/>
            <w:color w:val="23527C"/>
          </w:rPr>
          <w:t>http</w:t>
        </w:r>
        <w:r w:rsidRPr="00EE0419">
          <w:rPr>
            <w:rStyle w:val="Hyperlink"/>
            <w:color w:val="23527C"/>
          </w:rPr>
          <w:t>://</w:t>
        </w:r>
        <w:r>
          <w:rPr>
            <w:rStyle w:val="Hyperlink"/>
            <w:color w:val="23527C"/>
          </w:rPr>
          <w:t>data</w:t>
        </w:r>
        <w:r w:rsidRPr="00EE0419">
          <w:rPr>
            <w:rStyle w:val="Hyperlink"/>
            <w:color w:val="23527C"/>
          </w:rPr>
          <w:t>.</w:t>
        </w:r>
        <w:r>
          <w:rPr>
            <w:rStyle w:val="Hyperlink"/>
            <w:color w:val="23527C"/>
          </w:rPr>
          <w:t>europa</w:t>
        </w:r>
        <w:r w:rsidRPr="00EE0419">
          <w:rPr>
            <w:rStyle w:val="Hyperlink"/>
            <w:color w:val="23527C"/>
          </w:rPr>
          <w:t>.</w:t>
        </w:r>
        <w:r>
          <w:rPr>
            <w:rStyle w:val="Hyperlink"/>
            <w:color w:val="23527C"/>
          </w:rPr>
          <w:t>eu</w:t>
        </w:r>
        <w:r w:rsidRPr="00EE0419">
          <w:rPr>
            <w:rStyle w:val="Hyperlink"/>
            <w:color w:val="23527C"/>
          </w:rPr>
          <w:t>/</w:t>
        </w:r>
        <w:r>
          <w:rPr>
            <w:rStyle w:val="Hyperlink"/>
            <w:color w:val="23527C"/>
          </w:rPr>
          <w:t>eli</w:t>
        </w:r>
        <w:r w:rsidRPr="00EE0419">
          <w:rPr>
            <w:rStyle w:val="Hyperlink"/>
            <w:color w:val="23527C"/>
          </w:rPr>
          <w:t>/</w:t>
        </w:r>
        <w:r>
          <w:rPr>
            <w:rStyle w:val="Hyperlink"/>
            <w:color w:val="23527C"/>
          </w:rPr>
          <w:t>reg</w:t>
        </w:r>
        <w:r w:rsidRPr="00EE0419">
          <w:rPr>
            <w:rStyle w:val="Hyperlink"/>
            <w:color w:val="23527C"/>
          </w:rPr>
          <w:t>/2008/767/</w:t>
        </w:r>
        <w:r>
          <w:rPr>
            <w:rStyle w:val="Hyperlink"/>
            <w:color w:val="23527C"/>
          </w:rPr>
          <w:t>oj</w:t>
        </w:r>
      </w:hyperlink>
      <w:r w:rsidRPr="00EE0419">
        <w:rPr>
          <w:color w:val="333333"/>
        </w:rPr>
        <w:t>).</w:t>
      </w:r>
    </w:p>
  </w:footnote>
  <w:footnote w:id="13">
    <w:p w:rsidR="00E84D54" w:rsidRPr="00EE0419" w:rsidRDefault="00E84D54" w:rsidP="00E84D54">
      <w:pPr>
        <w:pStyle w:val="FootnoteText"/>
      </w:pPr>
      <w:r>
        <w:rPr>
          <w:rStyle w:val="FootnoteReference"/>
        </w:rPr>
        <w:footnoteRef/>
      </w:r>
      <w:r w:rsidRPr="00EE0419">
        <w:tab/>
        <w:t>Σύμβαση εφαρμογής της συμφωνίας Σένγκεν της 14ης</w:t>
      </w:r>
      <w:r>
        <w:t> </w:t>
      </w:r>
      <w:r w:rsidRPr="00EE0419">
        <w:t>Ιουνίου</w:t>
      </w:r>
      <w:r>
        <w:t> </w:t>
      </w:r>
      <w:r w:rsidRPr="00EE0419">
        <w:t xml:space="preserve">1985 μεταξύ των κυβερνήσεων των κρατών της Οικονομικής Ένωσης Μπενελούξ, της Ομοσπονδιακής Δημοκρατίας της Γερμανίας και της Γαλλικής Δημοκρατίας, σχετικά με τη σταδιακή κατάργηση των ελέγχων στα κοινά σύνορα (στο εξής: σύμβαση εφαρμογής της συμφωνίας του Σένγκεν) (ΕΕ </w:t>
      </w:r>
      <w:r>
        <w:t>L</w:t>
      </w:r>
      <w:r w:rsidRPr="00EE0419">
        <w:t xml:space="preserve"> 239 της 22.9.2000, σ. 19, </w:t>
      </w:r>
      <w:r>
        <w:t>ELI</w:t>
      </w:r>
      <w:r w:rsidRPr="00EE0419">
        <w:t xml:space="preserve">: </w:t>
      </w:r>
      <w:r>
        <w:t>http</w:t>
      </w:r>
      <w:r w:rsidRPr="00EE0419">
        <w:t>://</w:t>
      </w:r>
      <w:r>
        <w:t>data</w:t>
      </w:r>
      <w:r w:rsidRPr="00EE0419">
        <w:t>.</w:t>
      </w:r>
      <w:r>
        <w:t>europa</w:t>
      </w:r>
      <w:r w:rsidRPr="00EE0419">
        <w:t>.</w:t>
      </w:r>
      <w:r>
        <w:t>eu</w:t>
      </w:r>
      <w:r w:rsidRPr="00EE0419">
        <w:t>/</w:t>
      </w:r>
      <w:r>
        <w:t>eli</w:t>
      </w:r>
      <w:r w:rsidRPr="00EE0419">
        <w:t>/</w:t>
      </w:r>
      <w:r>
        <w:t>convention</w:t>
      </w:r>
      <w:r w:rsidRPr="00EE0419">
        <w:t>/2000/922/</w:t>
      </w:r>
      <w:r>
        <w:t>oj</w:t>
      </w:r>
      <w:r w:rsidRPr="00EE0419">
        <w:t>).</w:t>
      </w:r>
    </w:p>
  </w:footnote>
  <w:footnote w:id="14">
    <w:p w:rsidR="00A83100" w:rsidRPr="00EE0419" w:rsidRDefault="00A83100" w:rsidP="00A83100">
      <w:pPr>
        <w:pStyle w:val="FootnoteText"/>
      </w:pPr>
      <w:r>
        <w:rPr>
          <w:rStyle w:val="FootnoteReference"/>
        </w:rPr>
        <w:footnoteRef/>
      </w:r>
      <w:r w:rsidRPr="00EE0419">
        <w:tab/>
        <w:t xml:space="preserve">Οδηγία 2001/51/ΕΚ του Συμβουλίου, της 28ης Ιουνίου 2001, για τη συμπλήρωση των διατάξεων του άρθρου 26 της σύμβασης εφαρμογής της συμφωνίας του Σένγκεν της 14ης Ιουνίου1985 </w:t>
      </w:r>
      <w:r w:rsidRPr="00EE0419">
        <w:rPr>
          <w:i/>
        </w:rPr>
        <w:t>(</w:t>
      </w:r>
      <w:r w:rsidRPr="00EE0419">
        <w:rPr>
          <w:rStyle w:val="Emphasis"/>
          <w:i w:val="0"/>
        </w:rPr>
        <w:t xml:space="preserve">ΕΕ </w:t>
      </w:r>
      <w:r>
        <w:rPr>
          <w:rStyle w:val="Emphasis"/>
          <w:i w:val="0"/>
        </w:rPr>
        <w:t>L</w:t>
      </w:r>
      <w:r w:rsidRPr="00EE0419">
        <w:rPr>
          <w:rStyle w:val="Emphasis"/>
          <w:i w:val="0"/>
        </w:rPr>
        <w:t xml:space="preserve"> 187 της 10.7.2001, σ. 45,</w:t>
      </w:r>
      <w:r w:rsidRPr="00EE0419">
        <w:t xml:space="preserve"> </w:t>
      </w:r>
      <w:r>
        <w:t>ELI</w:t>
      </w:r>
      <w:r w:rsidRPr="00EE0419">
        <w:t xml:space="preserve">: </w:t>
      </w:r>
      <w:hyperlink r:id="rId9" w:history="1">
        <w:r>
          <w:rPr>
            <w:rStyle w:val="Hyperlink"/>
          </w:rPr>
          <w:t>http</w:t>
        </w:r>
        <w:r w:rsidRPr="00EE0419">
          <w:rPr>
            <w:rStyle w:val="Hyperlink"/>
          </w:rPr>
          <w:t>://</w:t>
        </w:r>
        <w:r>
          <w:rPr>
            <w:rStyle w:val="Hyperlink"/>
          </w:rPr>
          <w:t>data</w:t>
        </w:r>
        <w:r w:rsidRPr="00EE0419">
          <w:rPr>
            <w:rStyle w:val="Hyperlink"/>
          </w:rPr>
          <w:t>.</w:t>
        </w:r>
        <w:r>
          <w:rPr>
            <w:rStyle w:val="Hyperlink"/>
          </w:rPr>
          <w:t>europa</w:t>
        </w:r>
        <w:r w:rsidRPr="00EE0419">
          <w:rPr>
            <w:rStyle w:val="Hyperlink"/>
          </w:rPr>
          <w:t>.</w:t>
        </w:r>
        <w:r>
          <w:rPr>
            <w:rStyle w:val="Hyperlink"/>
          </w:rPr>
          <w:t>eu</w:t>
        </w:r>
        <w:r w:rsidRPr="00EE0419">
          <w:rPr>
            <w:rStyle w:val="Hyperlink"/>
          </w:rPr>
          <w:t>/</w:t>
        </w:r>
        <w:r>
          <w:rPr>
            <w:rStyle w:val="Hyperlink"/>
          </w:rPr>
          <w:t>eli</w:t>
        </w:r>
        <w:r w:rsidRPr="00EE0419">
          <w:rPr>
            <w:rStyle w:val="Hyperlink"/>
          </w:rPr>
          <w:t>/</w:t>
        </w:r>
        <w:r>
          <w:rPr>
            <w:rStyle w:val="Hyperlink"/>
          </w:rPr>
          <w:t>dir</w:t>
        </w:r>
        <w:r w:rsidRPr="00EE0419">
          <w:rPr>
            <w:rStyle w:val="Hyperlink"/>
          </w:rPr>
          <w:t>/2001/51/</w:t>
        </w:r>
        <w:r>
          <w:rPr>
            <w:rStyle w:val="Hyperlink"/>
          </w:rPr>
          <w:t>oj</w:t>
        </w:r>
      </w:hyperlink>
      <w:r w:rsidRPr="00EE0419">
        <w:rPr>
          <w:rStyle w:val="Hyperlink"/>
        </w:rPr>
        <w:t>)</w:t>
      </w:r>
      <w:r w:rsidRPr="00EE0419">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965" w:rsidRDefault="00D029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965" w:rsidRDefault="00D02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48B00DA6"/>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2AF2FAD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544FC88"/>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22C69F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3"/>
  </w:num>
  <w:num w:numId="5">
    <w:abstractNumId w:val="2"/>
  </w:num>
  <w:num w:numId="6">
    <w:abstractNumId w:val="1"/>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num>
  <w:num w:numId="17">
    <w:abstractNumId w:val="18"/>
    <w:lvlOverride w:ilvl="0">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8"/>
  </w:num>
  <w:num w:numId="22">
    <w:abstractNumId w:val="17"/>
  </w:num>
  <w:num w:numId="23">
    <w:abstractNumId w:val="7"/>
  </w:num>
  <w:num w:numId="24">
    <w:abstractNumId w:val="9"/>
  </w:num>
  <w:num w:numId="25">
    <w:abstractNumId w:val="10"/>
  </w:num>
  <w:num w:numId="26">
    <w:abstractNumId w:val="5"/>
  </w:num>
  <w:num w:numId="27">
    <w:abstractNumId w:val="16"/>
  </w:num>
  <w:num w:numId="28">
    <w:abstractNumId w:val="4"/>
  </w:num>
  <w:num w:numId="29">
    <w:abstractNumId w:val="11"/>
  </w:num>
  <w:num w:numId="30">
    <w:abstractNumId w:val="13"/>
  </w:num>
  <w:num w:numId="31">
    <w:abstractNumId w:val="14"/>
  </w:num>
  <w:num w:numId="32">
    <w:abstractNumId w:val="6"/>
  </w:num>
  <w:num w:numId="33">
    <w:abstractNumId w:val="12"/>
  </w:num>
  <w:num w:numId="34">
    <w:abstractNumId w:val="18"/>
  </w:num>
  <w:num w:numId="35">
    <w:abstractNumId w:val="15"/>
  </w:num>
  <w:num w:numId="36">
    <w:abstractNumId w:val="8"/>
  </w:num>
  <w:num w:numId="37">
    <w:abstractNumId w:val="17"/>
  </w:num>
  <w:num w:numId="38">
    <w:abstractNumId w:val="7"/>
  </w:num>
  <w:num w:numId="39">
    <w:abstractNumId w:val="9"/>
  </w:num>
  <w:num w:numId="40">
    <w:abstractNumId w:val="10"/>
  </w:num>
  <w:num w:numId="41">
    <w:abstractNumId w:val="5"/>
  </w:num>
  <w:num w:numId="42">
    <w:abstractNumId w:val="16"/>
  </w:num>
  <w:num w:numId="43">
    <w:abstractNumId w:val="4"/>
  </w:num>
  <w:num w:numId="44">
    <w:abstractNumId w:val="11"/>
  </w:num>
  <w:num w:numId="45">
    <w:abstractNumId w:val="13"/>
  </w:num>
  <w:num w:numId="46">
    <w:abstractNumId w:val="14"/>
  </w:num>
  <w:num w:numId="47">
    <w:abstractNumId w:val="6"/>
  </w:num>
  <w:num w:numId="48">
    <w:abstractNumId w:val="12"/>
  </w:num>
  <w:num w:numId="49">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1-06 09:02:49"/>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CF17653A-61FC-4083-BCAD-5A6D9B85FCD6"/>
    <w:docVar w:name="LW_COVERPAGE_TYPE" w:val="1"/>
    <w:docVar w:name="LW_CROSSREFERENCE" w:val="&lt;UNUSED&gt;"/>
    <w:docVar w:name="LW_DocType" w:val="COM"/>
    <w:docVar w:name="LW_EMISSION" w:val="4.12.2024"/>
    <w:docVar w:name="LW_EMISSION_ISODATE" w:val="2024-12-04"/>
    <w:docVar w:name="LW_EMISSION_LOCATION" w:val="BRX"/>
    <w:docVar w:name="LW_EMISSION_PREFIX" w:val="\u914?\u961?\u965?\u958?\u941?\u955?\u955?\u949?\u962?, "/>
    <w:docVar w:name="LW_EMISSION_SUFFIX" w:val=" "/>
    <w:docVar w:name="LW_ID_DOCMODEL" w:val="SJ-023"/>
    <w:docVar w:name="LW_ID_DOCSIGNATURE" w:val="SJ-023"/>
    <w:docVar w:name="LW_ID_DOCSTRUCTURE" w:val="COM/PL/ORG"/>
    <w:docVar w:name="LW_ID_DOCTYPE" w:val="SJ-023"/>
    <w:docVar w:name="LW_ID_STATUT" w:val="SJ-023"/>
    <w:docVar w:name="LW_INSERT_EXP.MOTIFS.NEW" w:val="1"/>
    <w:docVar w:name="LW_INTERETEEE.CP" w:val="&lt;UNUSED&gt;"/>
    <w:docVar w:name="LW_LANGUE" w:val="EL"/>
    <w:docVar w:name="LW_LEVEL_OF_SENSITIVITY" w:val="Standard treatment"/>
    <w:docVar w:name="LW_NOM.INST" w:val="\u917?\u933?\u929?\u937?\u928?\u913?\u938?\u922?\u919? \u917?\u928?\u921?\u932?\u929?\u927?\u928?\u919?"/>
    <w:docVar w:name="LW_NOM.INST_JOINTDOC" w:val="&lt;EMPTY&gt;"/>
    <w:docVar w:name="LW_PART_NBR" w:val="1"/>
    <w:docVar w:name="LW_PART_NBR_TOTAL" w:val="1"/>
    <w:docVar w:name="LW_REF.II.NEW.CP" w:val="COD"/>
    <w:docVar w:name="LW_REF.II.NEW.CP_NUMBER" w:val="0315"/>
    <w:docVar w:name="LW_REF.II.NEW.CP_YEAR" w:val="2024"/>
    <w:docVar w:name="LW_REF.INST.NEW" w:val="COM"/>
    <w:docVar w:name="LW_REF.INST.NEW_ADOPTED" w:val="final"/>
    <w:docVar w:name="LW_REF.INST.NEW_TEXT" w:val="(2024) 56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u928?\u961?\u972?\u964?\u945?\u963?\u951?"/>
    <w:docVar w:name="LW_SUPERTITRE" w:val="&lt;UNUSED&gt;"/>
    <w:docVar w:name="LW_TITRE.OBJ.CP" w:val="\u947?\u953?\u945? \u960?\u961?\u959?\u963?\u969?\u961?\u953?\u957?\u942? \u960?\u945?\u961?\u941?\u954?\u954?\u955?\u953?\u963?\u951? \u945?\u960?\u972? \u959?\u961?\u953?\u963?\u956?\u941?\u957?\u949?\u962? \u948?\u953?\u945?\u964?\u940?\u958?\u949?\u953?\u962? \u964?\u969?\u957? \u954?\u945?\u957?\u959?\u957?\u953?\u963?\u956?\u974?\u957? (\u917?\u917?) 2017/2226 \u954?\u945?\u953? (\u917?\u917?) 2016/399 \u972?\u963?\u959?\u957? \u945?\u966?\u959?\u961?\u940? \u964?\u951? \u963?\u964?\u945?\u948?\u953?\u945?\u954?\u942? \u941?\u957?\u945?\u961?\u958?\u951? \u955?\u949?\u953?\u964?\u959?\u965?\u961?\u947?\u943?\u945?\u962? \u964?\u959?\u965? \u963?\u965?\u963?\u964?\u942?\u956?\u945?\u964?\u959?\u962? \u949?\u953?\u963?\u972?\u948?\u959?\u965?/\u949?\u958?\u972?\u948?\u959?\u965? _x000b_"/>
    <w:docVar w:name="LW_TYPE.DOC.CP" w:val="\u922?\u913?\u925?\u927?\u925?\u921?\u931?\u924?\u927?\u931? \u932?\u927?\u933? \u917?\u933?\u929?\u937?\u928?\u913?\u938?\u922?\u927?\u933? \u922?\u927?\u921?\u925?\u927?\u914?\u927?\u933?\u923?\u921?\u927?\u933? \u922?\u913?\u921? \u932?\u927?\u933? \u931?\u933?\u924?\u914?\u927?\u933?\u923?\u921?\u927?\u933?"/>
    <w:docVar w:name="LwApiVersions" w:val="LW4CoDe 1.24.5.0; LW 9.0, Build 20240221"/>
  </w:docVars>
  <w:rsids>
    <w:rsidRoot w:val="005F1085"/>
    <w:rsid w:val="000000ED"/>
    <w:rsid w:val="00000356"/>
    <w:rsid w:val="00000678"/>
    <w:rsid w:val="00000721"/>
    <w:rsid w:val="00000B70"/>
    <w:rsid w:val="00000BDE"/>
    <w:rsid w:val="00000CDF"/>
    <w:rsid w:val="00000FC0"/>
    <w:rsid w:val="00001297"/>
    <w:rsid w:val="000013BD"/>
    <w:rsid w:val="0000164A"/>
    <w:rsid w:val="00001668"/>
    <w:rsid w:val="00001793"/>
    <w:rsid w:val="00001E02"/>
    <w:rsid w:val="00001E84"/>
    <w:rsid w:val="00002773"/>
    <w:rsid w:val="000027DA"/>
    <w:rsid w:val="00002BB7"/>
    <w:rsid w:val="000031AA"/>
    <w:rsid w:val="00003599"/>
    <w:rsid w:val="0000376F"/>
    <w:rsid w:val="000038CF"/>
    <w:rsid w:val="000039D7"/>
    <w:rsid w:val="00003D8F"/>
    <w:rsid w:val="00004184"/>
    <w:rsid w:val="000045F6"/>
    <w:rsid w:val="0000460A"/>
    <w:rsid w:val="00004640"/>
    <w:rsid w:val="000047D1"/>
    <w:rsid w:val="000050BB"/>
    <w:rsid w:val="000050E5"/>
    <w:rsid w:val="000052B4"/>
    <w:rsid w:val="00005441"/>
    <w:rsid w:val="0000547D"/>
    <w:rsid w:val="00005655"/>
    <w:rsid w:val="000059B9"/>
    <w:rsid w:val="00005B44"/>
    <w:rsid w:val="00005FB6"/>
    <w:rsid w:val="00006470"/>
    <w:rsid w:val="0000648D"/>
    <w:rsid w:val="00006629"/>
    <w:rsid w:val="00006A8F"/>
    <w:rsid w:val="00006E47"/>
    <w:rsid w:val="00006F64"/>
    <w:rsid w:val="0000708C"/>
    <w:rsid w:val="00007153"/>
    <w:rsid w:val="000072B1"/>
    <w:rsid w:val="000076C5"/>
    <w:rsid w:val="00007B8A"/>
    <w:rsid w:val="00007CC7"/>
    <w:rsid w:val="00007EBC"/>
    <w:rsid w:val="0001051B"/>
    <w:rsid w:val="0001073C"/>
    <w:rsid w:val="00010844"/>
    <w:rsid w:val="00010C38"/>
    <w:rsid w:val="00010DA0"/>
    <w:rsid w:val="000110DC"/>
    <w:rsid w:val="0001190B"/>
    <w:rsid w:val="000119ED"/>
    <w:rsid w:val="00011B08"/>
    <w:rsid w:val="00011BAD"/>
    <w:rsid w:val="00011BEB"/>
    <w:rsid w:val="00011C56"/>
    <w:rsid w:val="00011CCF"/>
    <w:rsid w:val="00011F8C"/>
    <w:rsid w:val="00012242"/>
    <w:rsid w:val="0001224B"/>
    <w:rsid w:val="000126A5"/>
    <w:rsid w:val="0001292B"/>
    <w:rsid w:val="00012CD9"/>
    <w:rsid w:val="00012CE1"/>
    <w:rsid w:val="00012E29"/>
    <w:rsid w:val="00012F9E"/>
    <w:rsid w:val="00013386"/>
    <w:rsid w:val="000134B4"/>
    <w:rsid w:val="00013516"/>
    <w:rsid w:val="000135F9"/>
    <w:rsid w:val="00013AE1"/>
    <w:rsid w:val="00013FB6"/>
    <w:rsid w:val="0001403D"/>
    <w:rsid w:val="00014142"/>
    <w:rsid w:val="000142FC"/>
    <w:rsid w:val="00014569"/>
    <w:rsid w:val="000146D2"/>
    <w:rsid w:val="00014938"/>
    <w:rsid w:val="00014B7B"/>
    <w:rsid w:val="00014C98"/>
    <w:rsid w:val="0001501A"/>
    <w:rsid w:val="0001518D"/>
    <w:rsid w:val="000155BF"/>
    <w:rsid w:val="0001581B"/>
    <w:rsid w:val="00015D68"/>
    <w:rsid w:val="0001604B"/>
    <w:rsid w:val="000160DB"/>
    <w:rsid w:val="000161C3"/>
    <w:rsid w:val="000161D2"/>
    <w:rsid w:val="000164B6"/>
    <w:rsid w:val="000165E6"/>
    <w:rsid w:val="000165F4"/>
    <w:rsid w:val="00016A00"/>
    <w:rsid w:val="00016C64"/>
    <w:rsid w:val="00016C95"/>
    <w:rsid w:val="00016CC1"/>
    <w:rsid w:val="00016D48"/>
    <w:rsid w:val="0001778A"/>
    <w:rsid w:val="000177CA"/>
    <w:rsid w:val="0001786C"/>
    <w:rsid w:val="00017A2B"/>
    <w:rsid w:val="00017A88"/>
    <w:rsid w:val="00017E75"/>
    <w:rsid w:val="00017E82"/>
    <w:rsid w:val="00017FC1"/>
    <w:rsid w:val="0002015B"/>
    <w:rsid w:val="00020163"/>
    <w:rsid w:val="00020301"/>
    <w:rsid w:val="0002058D"/>
    <w:rsid w:val="0002074A"/>
    <w:rsid w:val="00020856"/>
    <w:rsid w:val="00021058"/>
    <w:rsid w:val="00021527"/>
    <w:rsid w:val="0002169D"/>
    <w:rsid w:val="0002194B"/>
    <w:rsid w:val="00021D98"/>
    <w:rsid w:val="00021DEC"/>
    <w:rsid w:val="000220F8"/>
    <w:rsid w:val="000221DB"/>
    <w:rsid w:val="000222A0"/>
    <w:rsid w:val="00022466"/>
    <w:rsid w:val="000224FE"/>
    <w:rsid w:val="0002257D"/>
    <w:rsid w:val="000228ED"/>
    <w:rsid w:val="000228F4"/>
    <w:rsid w:val="00022DA6"/>
    <w:rsid w:val="00023088"/>
    <w:rsid w:val="00023957"/>
    <w:rsid w:val="00023A1B"/>
    <w:rsid w:val="00023E9F"/>
    <w:rsid w:val="00023EC7"/>
    <w:rsid w:val="00023F93"/>
    <w:rsid w:val="000246D8"/>
    <w:rsid w:val="000248DA"/>
    <w:rsid w:val="00024A42"/>
    <w:rsid w:val="00024C12"/>
    <w:rsid w:val="00024CC4"/>
    <w:rsid w:val="00024DD1"/>
    <w:rsid w:val="00024EDB"/>
    <w:rsid w:val="00024EE3"/>
    <w:rsid w:val="00025986"/>
    <w:rsid w:val="00025E8F"/>
    <w:rsid w:val="00025F13"/>
    <w:rsid w:val="000260A2"/>
    <w:rsid w:val="00026380"/>
    <w:rsid w:val="0002683D"/>
    <w:rsid w:val="00026DDB"/>
    <w:rsid w:val="00026FEC"/>
    <w:rsid w:val="000270A9"/>
    <w:rsid w:val="00027196"/>
    <w:rsid w:val="0002738A"/>
    <w:rsid w:val="000275CE"/>
    <w:rsid w:val="000276D6"/>
    <w:rsid w:val="00027828"/>
    <w:rsid w:val="00027A3D"/>
    <w:rsid w:val="00027CF8"/>
    <w:rsid w:val="00027E17"/>
    <w:rsid w:val="00027EB9"/>
    <w:rsid w:val="00027F65"/>
    <w:rsid w:val="000304E4"/>
    <w:rsid w:val="000305C5"/>
    <w:rsid w:val="000308A1"/>
    <w:rsid w:val="00030A0E"/>
    <w:rsid w:val="00030B34"/>
    <w:rsid w:val="00030FE4"/>
    <w:rsid w:val="00031224"/>
    <w:rsid w:val="00031880"/>
    <w:rsid w:val="000318FE"/>
    <w:rsid w:val="000319ED"/>
    <w:rsid w:val="00031A39"/>
    <w:rsid w:val="00031A42"/>
    <w:rsid w:val="00031CA0"/>
    <w:rsid w:val="00031CE2"/>
    <w:rsid w:val="00031DBC"/>
    <w:rsid w:val="00032333"/>
    <w:rsid w:val="0003251F"/>
    <w:rsid w:val="0003281C"/>
    <w:rsid w:val="000328F1"/>
    <w:rsid w:val="00032A1D"/>
    <w:rsid w:val="00032B35"/>
    <w:rsid w:val="00032B48"/>
    <w:rsid w:val="00033183"/>
    <w:rsid w:val="0003333B"/>
    <w:rsid w:val="000333CE"/>
    <w:rsid w:val="000335AB"/>
    <w:rsid w:val="000336D9"/>
    <w:rsid w:val="00033929"/>
    <w:rsid w:val="00033CB8"/>
    <w:rsid w:val="00033E57"/>
    <w:rsid w:val="000342C9"/>
    <w:rsid w:val="000343C0"/>
    <w:rsid w:val="00034633"/>
    <w:rsid w:val="00034A02"/>
    <w:rsid w:val="00034B54"/>
    <w:rsid w:val="00034EC8"/>
    <w:rsid w:val="00034F7C"/>
    <w:rsid w:val="000350E0"/>
    <w:rsid w:val="00035646"/>
    <w:rsid w:val="00035683"/>
    <w:rsid w:val="0003575B"/>
    <w:rsid w:val="00035AEE"/>
    <w:rsid w:val="00035B0A"/>
    <w:rsid w:val="00035CF9"/>
    <w:rsid w:val="00035FA7"/>
    <w:rsid w:val="00035FB2"/>
    <w:rsid w:val="00036005"/>
    <w:rsid w:val="0003652C"/>
    <w:rsid w:val="000365B1"/>
    <w:rsid w:val="00036757"/>
    <w:rsid w:val="0003699A"/>
    <w:rsid w:val="00037066"/>
    <w:rsid w:val="0003773A"/>
    <w:rsid w:val="0003774E"/>
    <w:rsid w:val="00037AEA"/>
    <w:rsid w:val="00037B2F"/>
    <w:rsid w:val="00037CD2"/>
    <w:rsid w:val="00037F7D"/>
    <w:rsid w:val="00040255"/>
    <w:rsid w:val="00040366"/>
    <w:rsid w:val="000404B0"/>
    <w:rsid w:val="0004056B"/>
    <w:rsid w:val="0004061C"/>
    <w:rsid w:val="00040791"/>
    <w:rsid w:val="00040CE0"/>
    <w:rsid w:val="00040CE1"/>
    <w:rsid w:val="00040E83"/>
    <w:rsid w:val="00040F5E"/>
    <w:rsid w:val="000411AF"/>
    <w:rsid w:val="00041488"/>
    <w:rsid w:val="000414BC"/>
    <w:rsid w:val="00041610"/>
    <w:rsid w:val="000416B0"/>
    <w:rsid w:val="00041817"/>
    <w:rsid w:val="00041987"/>
    <w:rsid w:val="0004198D"/>
    <w:rsid w:val="00041A8C"/>
    <w:rsid w:val="00041BA9"/>
    <w:rsid w:val="00041E0B"/>
    <w:rsid w:val="00041EF4"/>
    <w:rsid w:val="00041F88"/>
    <w:rsid w:val="00042003"/>
    <w:rsid w:val="000420AD"/>
    <w:rsid w:val="00042176"/>
    <w:rsid w:val="00042292"/>
    <w:rsid w:val="0004267A"/>
    <w:rsid w:val="0004278F"/>
    <w:rsid w:val="00042AD7"/>
    <w:rsid w:val="00042BD4"/>
    <w:rsid w:val="00042CF4"/>
    <w:rsid w:val="0004347C"/>
    <w:rsid w:val="000437E7"/>
    <w:rsid w:val="00043854"/>
    <w:rsid w:val="00043950"/>
    <w:rsid w:val="00043CC2"/>
    <w:rsid w:val="00043EC7"/>
    <w:rsid w:val="00043F70"/>
    <w:rsid w:val="00044099"/>
    <w:rsid w:val="00044346"/>
    <w:rsid w:val="00044484"/>
    <w:rsid w:val="000445B4"/>
    <w:rsid w:val="00044F01"/>
    <w:rsid w:val="00044F34"/>
    <w:rsid w:val="0004501E"/>
    <w:rsid w:val="00045358"/>
    <w:rsid w:val="000455E6"/>
    <w:rsid w:val="000457EA"/>
    <w:rsid w:val="0004596C"/>
    <w:rsid w:val="000460B3"/>
    <w:rsid w:val="000463B5"/>
    <w:rsid w:val="000464C0"/>
    <w:rsid w:val="00046745"/>
    <w:rsid w:val="00046792"/>
    <w:rsid w:val="00046D2E"/>
    <w:rsid w:val="00046DD3"/>
    <w:rsid w:val="00046E75"/>
    <w:rsid w:val="00047134"/>
    <w:rsid w:val="000475FA"/>
    <w:rsid w:val="00047B11"/>
    <w:rsid w:val="00047E7A"/>
    <w:rsid w:val="000502A8"/>
    <w:rsid w:val="0005046F"/>
    <w:rsid w:val="0005076C"/>
    <w:rsid w:val="00050AA8"/>
    <w:rsid w:val="00050B31"/>
    <w:rsid w:val="00050CB2"/>
    <w:rsid w:val="00050CF4"/>
    <w:rsid w:val="0005112E"/>
    <w:rsid w:val="00051226"/>
    <w:rsid w:val="0005124D"/>
    <w:rsid w:val="0005154F"/>
    <w:rsid w:val="00051977"/>
    <w:rsid w:val="000519EB"/>
    <w:rsid w:val="00051C68"/>
    <w:rsid w:val="00051D46"/>
    <w:rsid w:val="0005235E"/>
    <w:rsid w:val="000524E3"/>
    <w:rsid w:val="00052832"/>
    <w:rsid w:val="00052A06"/>
    <w:rsid w:val="00052D7C"/>
    <w:rsid w:val="00052FF9"/>
    <w:rsid w:val="00053717"/>
    <w:rsid w:val="00053831"/>
    <w:rsid w:val="00053B5F"/>
    <w:rsid w:val="00053F19"/>
    <w:rsid w:val="0005400F"/>
    <w:rsid w:val="0005434D"/>
    <w:rsid w:val="00054462"/>
    <w:rsid w:val="00054652"/>
    <w:rsid w:val="0005499E"/>
    <w:rsid w:val="00054E4E"/>
    <w:rsid w:val="000551A8"/>
    <w:rsid w:val="000551AB"/>
    <w:rsid w:val="0005522B"/>
    <w:rsid w:val="00055284"/>
    <w:rsid w:val="00055362"/>
    <w:rsid w:val="000554A9"/>
    <w:rsid w:val="000555F3"/>
    <w:rsid w:val="00055C0D"/>
    <w:rsid w:val="00055C2C"/>
    <w:rsid w:val="00055E3F"/>
    <w:rsid w:val="00056081"/>
    <w:rsid w:val="000560F1"/>
    <w:rsid w:val="0005673B"/>
    <w:rsid w:val="00056A16"/>
    <w:rsid w:val="00056AED"/>
    <w:rsid w:val="00056D5C"/>
    <w:rsid w:val="00057032"/>
    <w:rsid w:val="00057480"/>
    <w:rsid w:val="00057A6F"/>
    <w:rsid w:val="00057C72"/>
    <w:rsid w:val="00057F8B"/>
    <w:rsid w:val="00060021"/>
    <w:rsid w:val="000601B1"/>
    <w:rsid w:val="00060274"/>
    <w:rsid w:val="000603BE"/>
    <w:rsid w:val="00060473"/>
    <w:rsid w:val="00060637"/>
    <w:rsid w:val="00060744"/>
    <w:rsid w:val="000609F4"/>
    <w:rsid w:val="00060DDA"/>
    <w:rsid w:val="00060E7B"/>
    <w:rsid w:val="00061090"/>
    <w:rsid w:val="0006116C"/>
    <w:rsid w:val="000615CD"/>
    <w:rsid w:val="0006180A"/>
    <w:rsid w:val="00061909"/>
    <w:rsid w:val="00061BF4"/>
    <w:rsid w:val="00061E36"/>
    <w:rsid w:val="00061F1A"/>
    <w:rsid w:val="0006232D"/>
    <w:rsid w:val="000623A4"/>
    <w:rsid w:val="000623C9"/>
    <w:rsid w:val="000624DE"/>
    <w:rsid w:val="00062502"/>
    <w:rsid w:val="00062673"/>
    <w:rsid w:val="00062748"/>
    <w:rsid w:val="00062762"/>
    <w:rsid w:val="00062CE4"/>
    <w:rsid w:val="00063221"/>
    <w:rsid w:val="0006374A"/>
    <w:rsid w:val="000638CB"/>
    <w:rsid w:val="00063A09"/>
    <w:rsid w:val="00063A4F"/>
    <w:rsid w:val="00063B08"/>
    <w:rsid w:val="00063B3B"/>
    <w:rsid w:val="00063EE9"/>
    <w:rsid w:val="00063F39"/>
    <w:rsid w:val="00064228"/>
    <w:rsid w:val="00064237"/>
    <w:rsid w:val="00064397"/>
    <w:rsid w:val="00064F00"/>
    <w:rsid w:val="00065183"/>
    <w:rsid w:val="00065335"/>
    <w:rsid w:val="00065403"/>
    <w:rsid w:val="00065438"/>
    <w:rsid w:val="00065618"/>
    <w:rsid w:val="00065886"/>
    <w:rsid w:val="0006595D"/>
    <w:rsid w:val="00065AB0"/>
    <w:rsid w:val="00065C48"/>
    <w:rsid w:val="00065CB0"/>
    <w:rsid w:val="00065DEE"/>
    <w:rsid w:val="00065EE2"/>
    <w:rsid w:val="0006604A"/>
    <w:rsid w:val="0006604C"/>
    <w:rsid w:val="0006616F"/>
    <w:rsid w:val="00066322"/>
    <w:rsid w:val="0006687C"/>
    <w:rsid w:val="00066888"/>
    <w:rsid w:val="000669EA"/>
    <w:rsid w:val="00066E87"/>
    <w:rsid w:val="00066F26"/>
    <w:rsid w:val="00066FD7"/>
    <w:rsid w:val="0006714A"/>
    <w:rsid w:val="00067619"/>
    <w:rsid w:val="00067B6D"/>
    <w:rsid w:val="00067E13"/>
    <w:rsid w:val="00067F39"/>
    <w:rsid w:val="00067F4D"/>
    <w:rsid w:val="0007046E"/>
    <w:rsid w:val="0007050F"/>
    <w:rsid w:val="000709AB"/>
    <w:rsid w:val="00070B0C"/>
    <w:rsid w:val="00070CC6"/>
    <w:rsid w:val="00070CEC"/>
    <w:rsid w:val="0007107C"/>
    <w:rsid w:val="00071087"/>
    <w:rsid w:val="000710DC"/>
    <w:rsid w:val="000712DC"/>
    <w:rsid w:val="00071645"/>
    <w:rsid w:val="00071701"/>
    <w:rsid w:val="0007178C"/>
    <w:rsid w:val="0007182A"/>
    <w:rsid w:val="00071FBA"/>
    <w:rsid w:val="00072111"/>
    <w:rsid w:val="0007252A"/>
    <w:rsid w:val="00072734"/>
    <w:rsid w:val="000728BB"/>
    <w:rsid w:val="000728E8"/>
    <w:rsid w:val="00072DA9"/>
    <w:rsid w:val="00073074"/>
    <w:rsid w:val="00073310"/>
    <w:rsid w:val="00073605"/>
    <w:rsid w:val="000737CD"/>
    <w:rsid w:val="000737F5"/>
    <w:rsid w:val="00073AD0"/>
    <w:rsid w:val="00073B83"/>
    <w:rsid w:val="00073D27"/>
    <w:rsid w:val="000740EA"/>
    <w:rsid w:val="000746E9"/>
    <w:rsid w:val="00074AE9"/>
    <w:rsid w:val="00074B93"/>
    <w:rsid w:val="00074D09"/>
    <w:rsid w:val="00074E52"/>
    <w:rsid w:val="00074FAC"/>
    <w:rsid w:val="00075028"/>
    <w:rsid w:val="000755FC"/>
    <w:rsid w:val="0007563D"/>
    <w:rsid w:val="00075967"/>
    <w:rsid w:val="00075BC1"/>
    <w:rsid w:val="00075EEA"/>
    <w:rsid w:val="00075F6C"/>
    <w:rsid w:val="000761D8"/>
    <w:rsid w:val="00076583"/>
    <w:rsid w:val="00076972"/>
    <w:rsid w:val="00076A85"/>
    <w:rsid w:val="00076AA0"/>
    <w:rsid w:val="00076E53"/>
    <w:rsid w:val="0007715B"/>
    <w:rsid w:val="0007737F"/>
    <w:rsid w:val="0007753E"/>
    <w:rsid w:val="000775A3"/>
    <w:rsid w:val="00077947"/>
    <w:rsid w:val="000779A1"/>
    <w:rsid w:val="00077BE0"/>
    <w:rsid w:val="00077EE4"/>
    <w:rsid w:val="000801A7"/>
    <w:rsid w:val="00080231"/>
    <w:rsid w:val="000802D0"/>
    <w:rsid w:val="000803F3"/>
    <w:rsid w:val="00080506"/>
    <w:rsid w:val="0008069C"/>
    <w:rsid w:val="00080A7A"/>
    <w:rsid w:val="00080AE9"/>
    <w:rsid w:val="00080B17"/>
    <w:rsid w:val="00080B22"/>
    <w:rsid w:val="00080D11"/>
    <w:rsid w:val="00080E3B"/>
    <w:rsid w:val="00081726"/>
    <w:rsid w:val="000818AD"/>
    <w:rsid w:val="000818F3"/>
    <w:rsid w:val="00081A94"/>
    <w:rsid w:val="00081D04"/>
    <w:rsid w:val="00081DD2"/>
    <w:rsid w:val="00081E95"/>
    <w:rsid w:val="00082057"/>
    <w:rsid w:val="000822A5"/>
    <w:rsid w:val="00082341"/>
    <w:rsid w:val="000824D5"/>
    <w:rsid w:val="00082656"/>
    <w:rsid w:val="00082AB0"/>
    <w:rsid w:val="00082DD6"/>
    <w:rsid w:val="0008301A"/>
    <w:rsid w:val="00083045"/>
    <w:rsid w:val="0008336B"/>
    <w:rsid w:val="0008395D"/>
    <w:rsid w:val="00083D79"/>
    <w:rsid w:val="00083ECF"/>
    <w:rsid w:val="00084150"/>
    <w:rsid w:val="00084578"/>
    <w:rsid w:val="00084885"/>
    <w:rsid w:val="000848F5"/>
    <w:rsid w:val="0008495C"/>
    <w:rsid w:val="00084991"/>
    <w:rsid w:val="00084E8E"/>
    <w:rsid w:val="00085509"/>
    <w:rsid w:val="00085593"/>
    <w:rsid w:val="000856BE"/>
    <w:rsid w:val="00085921"/>
    <w:rsid w:val="00085B2B"/>
    <w:rsid w:val="00085B4D"/>
    <w:rsid w:val="00085FB0"/>
    <w:rsid w:val="00085FC5"/>
    <w:rsid w:val="000860E0"/>
    <w:rsid w:val="00086136"/>
    <w:rsid w:val="000862A4"/>
    <w:rsid w:val="000864A0"/>
    <w:rsid w:val="0008674D"/>
    <w:rsid w:val="0008688B"/>
    <w:rsid w:val="00086AF1"/>
    <w:rsid w:val="00086F2E"/>
    <w:rsid w:val="000871C6"/>
    <w:rsid w:val="0008731D"/>
    <w:rsid w:val="0008769C"/>
    <w:rsid w:val="0008792C"/>
    <w:rsid w:val="00088485"/>
    <w:rsid w:val="00090229"/>
    <w:rsid w:val="00090381"/>
    <w:rsid w:val="0009040B"/>
    <w:rsid w:val="00090497"/>
    <w:rsid w:val="0009082E"/>
    <w:rsid w:val="00090B5C"/>
    <w:rsid w:val="00090B92"/>
    <w:rsid w:val="00090B99"/>
    <w:rsid w:val="00090F31"/>
    <w:rsid w:val="00090F85"/>
    <w:rsid w:val="00091592"/>
    <w:rsid w:val="00091737"/>
    <w:rsid w:val="00091A30"/>
    <w:rsid w:val="00091AB2"/>
    <w:rsid w:val="00091B43"/>
    <w:rsid w:val="00091CB0"/>
    <w:rsid w:val="00091D26"/>
    <w:rsid w:val="00091DEF"/>
    <w:rsid w:val="00092001"/>
    <w:rsid w:val="00092056"/>
    <w:rsid w:val="000927B6"/>
    <w:rsid w:val="000927F6"/>
    <w:rsid w:val="000929FB"/>
    <w:rsid w:val="00092AD9"/>
    <w:rsid w:val="00092DD7"/>
    <w:rsid w:val="00092EFE"/>
    <w:rsid w:val="00092F0D"/>
    <w:rsid w:val="000930BD"/>
    <w:rsid w:val="000931C9"/>
    <w:rsid w:val="00093291"/>
    <w:rsid w:val="000939A0"/>
    <w:rsid w:val="0009412C"/>
    <w:rsid w:val="0009421B"/>
    <w:rsid w:val="00094506"/>
    <w:rsid w:val="000945BB"/>
    <w:rsid w:val="00094C47"/>
    <w:rsid w:val="00095492"/>
    <w:rsid w:val="0009555E"/>
    <w:rsid w:val="00095624"/>
    <w:rsid w:val="000956CA"/>
    <w:rsid w:val="00095D8A"/>
    <w:rsid w:val="00096076"/>
    <w:rsid w:val="0009630F"/>
    <w:rsid w:val="00096383"/>
    <w:rsid w:val="00096946"/>
    <w:rsid w:val="00096AB3"/>
    <w:rsid w:val="00096B2B"/>
    <w:rsid w:val="00096B8A"/>
    <w:rsid w:val="00096BEA"/>
    <w:rsid w:val="00096EF5"/>
    <w:rsid w:val="0009706B"/>
    <w:rsid w:val="00097348"/>
    <w:rsid w:val="00097479"/>
    <w:rsid w:val="00097540"/>
    <w:rsid w:val="00097836"/>
    <w:rsid w:val="00097C43"/>
    <w:rsid w:val="00097CAE"/>
    <w:rsid w:val="000A0198"/>
    <w:rsid w:val="000A034D"/>
    <w:rsid w:val="000A03D2"/>
    <w:rsid w:val="000A06D7"/>
    <w:rsid w:val="000A07F1"/>
    <w:rsid w:val="000A08EE"/>
    <w:rsid w:val="000A08F6"/>
    <w:rsid w:val="000A0CB0"/>
    <w:rsid w:val="000A0DC1"/>
    <w:rsid w:val="000A1233"/>
    <w:rsid w:val="000A12EE"/>
    <w:rsid w:val="000A1320"/>
    <w:rsid w:val="000A145D"/>
    <w:rsid w:val="000A17CB"/>
    <w:rsid w:val="000A195C"/>
    <w:rsid w:val="000A1A45"/>
    <w:rsid w:val="000A1AA0"/>
    <w:rsid w:val="000A1C50"/>
    <w:rsid w:val="000A20D2"/>
    <w:rsid w:val="000A2162"/>
    <w:rsid w:val="000A2163"/>
    <w:rsid w:val="000A242F"/>
    <w:rsid w:val="000A25EA"/>
    <w:rsid w:val="000A268C"/>
    <w:rsid w:val="000A2774"/>
    <w:rsid w:val="000A2C27"/>
    <w:rsid w:val="000A2D3C"/>
    <w:rsid w:val="000A2DD7"/>
    <w:rsid w:val="000A2FFE"/>
    <w:rsid w:val="000A3075"/>
    <w:rsid w:val="000A32B9"/>
    <w:rsid w:val="000A347E"/>
    <w:rsid w:val="000A34F0"/>
    <w:rsid w:val="000A37A6"/>
    <w:rsid w:val="000A39E6"/>
    <w:rsid w:val="000A3A83"/>
    <w:rsid w:val="000A3BC8"/>
    <w:rsid w:val="000A3D4B"/>
    <w:rsid w:val="000A3FC7"/>
    <w:rsid w:val="000A405F"/>
    <w:rsid w:val="000A4094"/>
    <w:rsid w:val="000A40A7"/>
    <w:rsid w:val="000A4322"/>
    <w:rsid w:val="000A45B0"/>
    <w:rsid w:val="000A4607"/>
    <w:rsid w:val="000A46C6"/>
    <w:rsid w:val="000A4918"/>
    <w:rsid w:val="000A49D9"/>
    <w:rsid w:val="000A4B4D"/>
    <w:rsid w:val="000A4B5D"/>
    <w:rsid w:val="000A4BA8"/>
    <w:rsid w:val="000A4EFB"/>
    <w:rsid w:val="000A506E"/>
    <w:rsid w:val="000A5148"/>
    <w:rsid w:val="000A53AA"/>
    <w:rsid w:val="000A5561"/>
    <w:rsid w:val="000A5641"/>
    <w:rsid w:val="000A5654"/>
    <w:rsid w:val="000A5886"/>
    <w:rsid w:val="000A58C1"/>
    <w:rsid w:val="000A5C09"/>
    <w:rsid w:val="000A5CEF"/>
    <w:rsid w:val="000A5D2E"/>
    <w:rsid w:val="000A5E70"/>
    <w:rsid w:val="000A5E83"/>
    <w:rsid w:val="000A5F5F"/>
    <w:rsid w:val="000A5FA7"/>
    <w:rsid w:val="000A6234"/>
    <w:rsid w:val="000A6B1E"/>
    <w:rsid w:val="000A6DCB"/>
    <w:rsid w:val="000A6DD8"/>
    <w:rsid w:val="000A6E7D"/>
    <w:rsid w:val="000A74F3"/>
    <w:rsid w:val="000A7661"/>
    <w:rsid w:val="000A77EF"/>
    <w:rsid w:val="000A7A03"/>
    <w:rsid w:val="000A7B66"/>
    <w:rsid w:val="000B076C"/>
    <w:rsid w:val="000B0C14"/>
    <w:rsid w:val="000B0CAD"/>
    <w:rsid w:val="000B140A"/>
    <w:rsid w:val="000B18B0"/>
    <w:rsid w:val="000B1DCA"/>
    <w:rsid w:val="000B216A"/>
    <w:rsid w:val="000B22FB"/>
    <w:rsid w:val="000B24A9"/>
    <w:rsid w:val="000B2507"/>
    <w:rsid w:val="000B25A5"/>
    <w:rsid w:val="000B2A4C"/>
    <w:rsid w:val="000B2B1E"/>
    <w:rsid w:val="000B2CB2"/>
    <w:rsid w:val="000B2E4A"/>
    <w:rsid w:val="000B2F63"/>
    <w:rsid w:val="000B3300"/>
    <w:rsid w:val="000B37D0"/>
    <w:rsid w:val="000B3AD3"/>
    <w:rsid w:val="000B3B9C"/>
    <w:rsid w:val="000B3D63"/>
    <w:rsid w:val="000B42F6"/>
    <w:rsid w:val="000B42F8"/>
    <w:rsid w:val="000B42FB"/>
    <w:rsid w:val="000B4778"/>
    <w:rsid w:val="000B47BA"/>
    <w:rsid w:val="000B48A8"/>
    <w:rsid w:val="000B4CCF"/>
    <w:rsid w:val="000B4F88"/>
    <w:rsid w:val="000B50AC"/>
    <w:rsid w:val="000B53BF"/>
    <w:rsid w:val="000B5A89"/>
    <w:rsid w:val="000B5D55"/>
    <w:rsid w:val="000B5FAE"/>
    <w:rsid w:val="000B6233"/>
    <w:rsid w:val="000B63CA"/>
    <w:rsid w:val="000B666D"/>
    <w:rsid w:val="000B67DA"/>
    <w:rsid w:val="000B6B6A"/>
    <w:rsid w:val="000B6CC3"/>
    <w:rsid w:val="000B7110"/>
    <w:rsid w:val="000B72C5"/>
    <w:rsid w:val="000B774D"/>
    <w:rsid w:val="000B7804"/>
    <w:rsid w:val="000B78AD"/>
    <w:rsid w:val="000B79D4"/>
    <w:rsid w:val="000B7C98"/>
    <w:rsid w:val="000C00C7"/>
    <w:rsid w:val="000C01F0"/>
    <w:rsid w:val="000C04DD"/>
    <w:rsid w:val="000C08A3"/>
    <w:rsid w:val="000C0957"/>
    <w:rsid w:val="000C0FB8"/>
    <w:rsid w:val="000C1225"/>
    <w:rsid w:val="000C125A"/>
    <w:rsid w:val="000C125E"/>
    <w:rsid w:val="000C1334"/>
    <w:rsid w:val="000C1403"/>
    <w:rsid w:val="000C14F0"/>
    <w:rsid w:val="000C1584"/>
    <w:rsid w:val="000C1AD2"/>
    <w:rsid w:val="000C2100"/>
    <w:rsid w:val="000C2425"/>
    <w:rsid w:val="000C24EF"/>
    <w:rsid w:val="000C2520"/>
    <w:rsid w:val="000C29FB"/>
    <w:rsid w:val="000C2A03"/>
    <w:rsid w:val="000C2C59"/>
    <w:rsid w:val="000C2E3B"/>
    <w:rsid w:val="000C3144"/>
    <w:rsid w:val="000C337D"/>
    <w:rsid w:val="000C3BA8"/>
    <w:rsid w:val="000C3BC8"/>
    <w:rsid w:val="000C4A55"/>
    <w:rsid w:val="000C4A75"/>
    <w:rsid w:val="000C4C3D"/>
    <w:rsid w:val="000C4D1F"/>
    <w:rsid w:val="000C4DD1"/>
    <w:rsid w:val="000C4E04"/>
    <w:rsid w:val="000C4E4C"/>
    <w:rsid w:val="000C518E"/>
    <w:rsid w:val="000C51DE"/>
    <w:rsid w:val="000C538F"/>
    <w:rsid w:val="000C55ED"/>
    <w:rsid w:val="000C5626"/>
    <w:rsid w:val="000C567C"/>
    <w:rsid w:val="000C5C60"/>
    <w:rsid w:val="000C5E10"/>
    <w:rsid w:val="000C62BA"/>
    <w:rsid w:val="000C659B"/>
    <w:rsid w:val="000C678E"/>
    <w:rsid w:val="000C68F6"/>
    <w:rsid w:val="000C6B29"/>
    <w:rsid w:val="000C6D02"/>
    <w:rsid w:val="000C6FA1"/>
    <w:rsid w:val="000C70E1"/>
    <w:rsid w:val="000C7175"/>
    <w:rsid w:val="000C720B"/>
    <w:rsid w:val="000C75F3"/>
    <w:rsid w:val="000C7727"/>
    <w:rsid w:val="000C7767"/>
    <w:rsid w:val="000C779E"/>
    <w:rsid w:val="000C7AA1"/>
    <w:rsid w:val="000C7BF8"/>
    <w:rsid w:val="000C7DBF"/>
    <w:rsid w:val="000D004A"/>
    <w:rsid w:val="000D0171"/>
    <w:rsid w:val="000D051E"/>
    <w:rsid w:val="000D0588"/>
    <w:rsid w:val="000D0624"/>
    <w:rsid w:val="000D06AC"/>
    <w:rsid w:val="000D076A"/>
    <w:rsid w:val="000D08D8"/>
    <w:rsid w:val="000D0D50"/>
    <w:rsid w:val="000D0D52"/>
    <w:rsid w:val="000D104B"/>
    <w:rsid w:val="000D1099"/>
    <w:rsid w:val="000D1146"/>
    <w:rsid w:val="000D13A2"/>
    <w:rsid w:val="000D13AA"/>
    <w:rsid w:val="000D140F"/>
    <w:rsid w:val="000D146C"/>
    <w:rsid w:val="000D1668"/>
    <w:rsid w:val="000D16AC"/>
    <w:rsid w:val="000D1D41"/>
    <w:rsid w:val="000D1E78"/>
    <w:rsid w:val="000D1EBB"/>
    <w:rsid w:val="000D1F40"/>
    <w:rsid w:val="000D2005"/>
    <w:rsid w:val="000D21F1"/>
    <w:rsid w:val="000D2447"/>
    <w:rsid w:val="000D2561"/>
    <w:rsid w:val="000D26B1"/>
    <w:rsid w:val="000D276E"/>
    <w:rsid w:val="000D2BB5"/>
    <w:rsid w:val="000D2D5D"/>
    <w:rsid w:val="000D2D67"/>
    <w:rsid w:val="000D2D9F"/>
    <w:rsid w:val="000D2F29"/>
    <w:rsid w:val="000D3215"/>
    <w:rsid w:val="000D3294"/>
    <w:rsid w:val="000D3524"/>
    <w:rsid w:val="000D37DE"/>
    <w:rsid w:val="000D3823"/>
    <w:rsid w:val="000D39D2"/>
    <w:rsid w:val="000D42AE"/>
    <w:rsid w:val="000D43DA"/>
    <w:rsid w:val="000D4785"/>
    <w:rsid w:val="000D47E1"/>
    <w:rsid w:val="000D4D7E"/>
    <w:rsid w:val="000D4D8F"/>
    <w:rsid w:val="000D4FF2"/>
    <w:rsid w:val="000D50E4"/>
    <w:rsid w:val="000D521C"/>
    <w:rsid w:val="000D5540"/>
    <w:rsid w:val="000D57F5"/>
    <w:rsid w:val="000D59C3"/>
    <w:rsid w:val="000D5E9F"/>
    <w:rsid w:val="000D5F18"/>
    <w:rsid w:val="000D6109"/>
    <w:rsid w:val="000D6329"/>
    <w:rsid w:val="000D6C17"/>
    <w:rsid w:val="000D6D1B"/>
    <w:rsid w:val="000D6DD5"/>
    <w:rsid w:val="000D7144"/>
    <w:rsid w:val="000D744B"/>
    <w:rsid w:val="000D76A8"/>
    <w:rsid w:val="000D775B"/>
    <w:rsid w:val="000D784F"/>
    <w:rsid w:val="000D7E56"/>
    <w:rsid w:val="000D7F86"/>
    <w:rsid w:val="000E0048"/>
    <w:rsid w:val="000E00A8"/>
    <w:rsid w:val="000E02E9"/>
    <w:rsid w:val="000E042D"/>
    <w:rsid w:val="000E0683"/>
    <w:rsid w:val="000E094B"/>
    <w:rsid w:val="000E0A1C"/>
    <w:rsid w:val="000E0A23"/>
    <w:rsid w:val="000E111E"/>
    <w:rsid w:val="000E1435"/>
    <w:rsid w:val="000E143A"/>
    <w:rsid w:val="000E1567"/>
    <w:rsid w:val="000E1828"/>
    <w:rsid w:val="000E1A7E"/>
    <w:rsid w:val="000E1C82"/>
    <w:rsid w:val="000E1F8A"/>
    <w:rsid w:val="000E2185"/>
    <w:rsid w:val="000E224B"/>
    <w:rsid w:val="000E2653"/>
    <w:rsid w:val="000E27B9"/>
    <w:rsid w:val="000E280E"/>
    <w:rsid w:val="000E2A13"/>
    <w:rsid w:val="000E2AD5"/>
    <w:rsid w:val="000E2DE0"/>
    <w:rsid w:val="000E2E03"/>
    <w:rsid w:val="000E338B"/>
    <w:rsid w:val="000E3464"/>
    <w:rsid w:val="000E3516"/>
    <w:rsid w:val="000E35D8"/>
    <w:rsid w:val="000E36E4"/>
    <w:rsid w:val="000E3B5E"/>
    <w:rsid w:val="000E3ED2"/>
    <w:rsid w:val="000E40A4"/>
    <w:rsid w:val="000E4176"/>
    <w:rsid w:val="000E4256"/>
    <w:rsid w:val="000E4264"/>
    <w:rsid w:val="000E44FD"/>
    <w:rsid w:val="000E45D5"/>
    <w:rsid w:val="000E4872"/>
    <w:rsid w:val="000E4875"/>
    <w:rsid w:val="000E4945"/>
    <w:rsid w:val="000E49F4"/>
    <w:rsid w:val="000E4BD2"/>
    <w:rsid w:val="000E4BDE"/>
    <w:rsid w:val="000E4C97"/>
    <w:rsid w:val="000E4DC0"/>
    <w:rsid w:val="000E5470"/>
    <w:rsid w:val="000E54FA"/>
    <w:rsid w:val="000E56E1"/>
    <w:rsid w:val="000E5890"/>
    <w:rsid w:val="000E5B04"/>
    <w:rsid w:val="000E5EED"/>
    <w:rsid w:val="000E5F7F"/>
    <w:rsid w:val="000E60DA"/>
    <w:rsid w:val="000E62E4"/>
    <w:rsid w:val="000E6573"/>
    <w:rsid w:val="000E672B"/>
    <w:rsid w:val="000E673C"/>
    <w:rsid w:val="000E6831"/>
    <w:rsid w:val="000E69BD"/>
    <w:rsid w:val="000E6EB1"/>
    <w:rsid w:val="000E6F0F"/>
    <w:rsid w:val="000E7045"/>
    <w:rsid w:val="000E71B7"/>
    <w:rsid w:val="000E727F"/>
    <w:rsid w:val="000E7415"/>
    <w:rsid w:val="000E7444"/>
    <w:rsid w:val="000E7590"/>
    <w:rsid w:val="000E762C"/>
    <w:rsid w:val="000E7654"/>
    <w:rsid w:val="000E7785"/>
    <w:rsid w:val="000E7899"/>
    <w:rsid w:val="000E7ACA"/>
    <w:rsid w:val="000E7DAB"/>
    <w:rsid w:val="000E7EDD"/>
    <w:rsid w:val="000E7FA3"/>
    <w:rsid w:val="000F00B9"/>
    <w:rsid w:val="000F01A8"/>
    <w:rsid w:val="000F01E9"/>
    <w:rsid w:val="000F021A"/>
    <w:rsid w:val="000F0459"/>
    <w:rsid w:val="000F078E"/>
    <w:rsid w:val="000F0BA3"/>
    <w:rsid w:val="000F0D61"/>
    <w:rsid w:val="000F13B6"/>
    <w:rsid w:val="000F15E6"/>
    <w:rsid w:val="000F160B"/>
    <w:rsid w:val="000F189D"/>
    <w:rsid w:val="000F1A12"/>
    <w:rsid w:val="000F1C62"/>
    <w:rsid w:val="000F1DB8"/>
    <w:rsid w:val="000F20C2"/>
    <w:rsid w:val="000F22BD"/>
    <w:rsid w:val="000F2431"/>
    <w:rsid w:val="000F24EA"/>
    <w:rsid w:val="000F2745"/>
    <w:rsid w:val="000F2A14"/>
    <w:rsid w:val="000F2A4C"/>
    <w:rsid w:val="000F2B3E"/>
    <w:rsid w:val="000F2C2A"/>
    <w:rsid w:val="000F2D65"/>
    <w:rsid w:val="000F2F0B"/>
    <w:rsid w:val="000F2F29"/>
    <w:rsid w:val="000F2FB3"/>
    <w:rsid w:val="000F2FED"/>
    <w:rsid w:val="000F307F"/>
    <w:rsid w:val="000F317E"/>
    <w:rsid w:val="000F31D9"/>
    <w:rsid w:val="000F3223"/>
    <w:rsid w:val="000F325A"/>
    <w:rsid w:val="000F332B"/>
    <w:rsid w:val="000F34E5"/>
    <w:rsid w:val="000F34F9"/>
    <w:rsid w:val="000F3578"/>
    <w:rsid w:val="000F35E9"/>
    <w:rsid w:val="000F37C3"/>
    <w:rsid w:val="000F3998"/>
    <w:rsid w:val="000F3AD3"/>
    <w:rsid w:val="000F3CE6"/>
    <w:rsid w:val="000F3DBD"/>
    <w:rsid w:val="000F3E96"/>
    <w:rsid w:val="000F3F1A"/>
    <w:rsid w:val="000F40FA"/>
    <w:rsid w:val="000F4639"/>
    <w:rsid w:val="000F4972"/>
    <w:rsid w:val="000F4AAA"/>
    <w:rsid w:val="000F4ACF"/>
    <w:rsid w:val="000F4AD6"/>
    <w:rsid w:val="000F4B8E"/>
    <w:rsid w:val="000F515D"/>
    <w:rsid w:val="000F5278"/>
    <w:rsid w:val="000F554C"/>
    <w:rsid w:val="000F58D0"/>
    <w:rsid w:val="000F5A42"/>
    <w:rsid w:val="000F5CD2"/>
    <w:rsid w:val="000F5DDD"/>
    <w:rsid w:val="000F5DF3"/>
    <w:rsid w:val="000F61F7"/>
    <w:rsid w:val="000F6420"/>
    <w:rsid w:val="000F64F8"/>
    <w:rsid w:val="000F66F1"/>
    <w:rsid w:val="000F67AC"/>
    <w:rsid w:val="000F68BA"/>
    <w:rsid w:val="000F6A00"/>
    <w:rsid w:val="000F6A34"/>
    <w:rsid w:val="000F6B52"/>
    <w:rsid w:val="000F6C06"/>
    <w:rsid w:val="000F6F2F"/>
    <w:rsid w:val="000F7138"/>
    <w:rsid w:val="000F72BC"/>
    <w:rsid w:val="000F7347"/>
    <w:rsid w:val="000F73CA"/>
    <w:rsid w:val="000F7444"/>
    <w:rsid w:val="000F74D2"/>
    <w:rsid w:val="000F7621"/>
    <w:rsid w:val="000F7629"/>
    <w:rsid w:val="000F7647"/>
    <w:rsid w:val="000F783A"/>
    <w:rsid w:val="000F7933"/>
    <w:rsid w:val="000F7ECB"/>
    <w:rsid w:val="001002F4"/>
    <w:rsid w:val="0010035A"/>
    <w:rsid w:val="001003C8"/>
    <w:rsid w:val="00100409"/>
    <w:rsid w:val="0010043C"/>
    <w:rsid w:val="0010044C"/>
    <w:rsid w:val="001007C7"/>
    <w:rsid w:val="0010095A"/>
    <w:rsid w:val="00100A40"/>
    <w:rsid w:val="00101099"/>
    <w:rsid w:val="0010120D"/>
    <w:rsid w:val="001016BB"/>
    <w:rsid w:val="001019C8"/>
    <w:rsid w:val="00101AB9"/>
    <w:rsid w:val="00101B25"/>
    <w:rsid w:val="00101C52"/>
    <w:rsid w:val="00101D6E"/>
    <w:rsid w:val="00102041"/>
    <w:rsid w:val="0010212D"/>
    <w:rsid w:val="001021C8"/>
    <w:rsid w:val="001026D6"/>
    <w:rsid w:val="00102750"/>
    <w:rsid w:val="0010278B"/>
    <w:rsid w:val="00102AAA"/>
    <w:rsid w:val="00102C53"/>
    <w:rsid w:val="00102EBE"/>
    <w:rsid w:val="00102FFB"/>
    <w:rsid w:val="00103213"/>
    <w:rsid w:val="001035E0"/>
    <w:rsid w:val="00103DC2"/>
    <w:rsid w:val="00103F25"/>
    <w:rsid w:val="00104A97"/>
    <w:rsid w:val="00104CDC"/>
    <w:rsid w:val="00104DB0"/>
    <w:rsid w:val="00104F66"/>
    <w:rsid w:val="00104FC5"/>
    <w:rsid w:val="00105193"/>
    <w:rsid w:val="00105661"/>
    <w:rsid w:val="00105726"/>
    <w:rsid w:val="001057B2"/>
    <w:rsid w:val="00105BED"/>
    <w:rsid w:val="00105CBD"/>
    <w:rsid w:val="001060AA"/>
    <w:rsid w:val="00106117"/>
    <w:rsid w:val="001061FC"/>
    <w:rsid w:val="00106200"/>
    <w:rsid w:val="0010639F"/>
    <w:rsid w:val="001065F5"/>
    <w:rsid w:val="00106AF7"/>
    <w:rsid w:val="00106C7C"/>
    <w:rsid w:val="00106EEF"/>
    <w:rsid w:val="00106F1E"/>
    <w:rsid w:val="001070F6"/>
    <w:rsid w:val="0010710E"/>
    <w:rsid w:val="001072BB"/>
    <w:rsid w:val="001078B2"/>
    <w:rsid w:val="00107A7F"/>
    <w:rsid w:val="00107B82"/>
    <w:rsid w:val="00107E68"/>
    <w:rsid w:val="0011008C"/>
    <w:rsid w:val="00110891"/>
    <w:rsid w:val="0011098E"/>
    <w:rsid w:val="00110DDD"/>
    <w:rsid w:val="00110E5F"/>
    <w:rsid w:val="00110F8B"/>
    <w:rsid w:val="00110FEB"/>
    <w:rsid w:val="00111087"/>
    <w:rsid w:val="00111185"/>
    <w:rsid w:val="0011142A"/>
    <w:rsid w:val="001115C8"/>
    <w:rsid w:val="001115FB"/>
    <w:rsid w:val="001126E6"/>
    <w:rsid w:val="00112702"/>
    <w:rsid w:val="001128C4"/>
    <w:rsid w:val="00112904"/>
    <w:rsid w:val="00112914"/>
    <w:rsid w:val="00112AA4"/>
    <w:rsid w:val="00112C34"/>
    <w:rsid w:val="00112E16"/>
    <w:rsid w:val="00112E60"/>
    <w:rsid w:val="0011345C"/>
    <w:rsid w:val="0011355C"/>
    <w:rsid w:val="001136CD"/>
    <w:rsid w:val="00113A4B"/>
    <w:rsid w:val="00113E36"/>
    <w:rsid w:val="0011418F"/>
    <w:rsid w:val="001147F2"/>
    <w:rsid w:val="0011484F"/>
    <w:rsid w:val="00114AB7"/>
    <w:rsid w:val="00114C44"/>
    <w:rsid w:val="00114D8B"/>
    <w:rsid w:val="00114D8E"/>
    <w:rsid w:val="00114FA1"/>
    <w:rsid w:val="00115223"/>
    <w:rsid w:val="0011540D"/>
    <w:rsid w:val="0011570F"/>
    <w:rsid w:val="0011582A"/>
    <w:rsid w:val="00115927"/>
    <w:rsid w:val="00116199"/>
    <w:rsid w:val="00116314"/>
    <w:rsid w:val="0011650A"/>
    <w:rsid w:val="001165D0"/>
    <w:rsid w:val="0011677A"/>
    <w:rsid w:val="001167E7"/>
    <w:rsid w:val="001168FE"/>
    <w:rsid w:val="00116A7B"/>
    <w:rsid w:val="00116BD2"/>
    <w:rsid w:val="0011712F"/>
    <w:rsid w:val="00117298"/>
    <w:rsid w:val="00117AF4"/>
    <w:rsid w:val="00117C12"/>
    <w:rsid w:val="00117D90"/>
    <w:rsid w:val="00117E19"/>
    <w:rsid w:val="0012061B"/>
    <w:rsid w:val="0012067B"/>
    <w:rsid w:val="0012076A"/>
    <w:rsid w:val="00120872"/>
    <w:rsid w:val="00120CDA"/>
    <w:rsid w:val="00120FFB"/>
    <w:rsid w:val="001210AD"/>
    <w:rsid w:val="001210B3"/>
    <w:rsid w:val="00121464"/>
    <w:rsid w:val="00121768"/>
    <w:rsid w:val="0012183E"/>
    <w:rsid w:val="00121B59"/>
    <w:rsid w:val="00121D8C"/>
    <w:rsid w:val="00121EA5"/>
    <w:rsid w:val="00122393"/>
    <w:rsid w:val="00122751"/>
    <w:rsid w:val="00122A28"/>
    <w:rsid w:val="00122B2B"/>
    <w:rsid w:val="00122BF4"/>
    <w:rsid w:val="00122DDD"/>
    <w:rsid w:val="0012312F"/>
    <w:rsid w:val="00123237"/>
    <w:rsid w:val="001237DE"/>
    <w:rsid w:val="001238EF"/>
    <w:rsid w:val="00123A64"/>
    <w:rsid w:val="00123A71"/>
    <w:rsid w:val="00123AF6"/>
    <w:rsid w:val="00124206"/>
    <w:rsid w:val="00124288"/>
    <w:rsid w:val="0012439F"/>
    <w:rsid w:val="0012467A"/>
    <w:rsid w:val="001248B2"/>
    <w:rsid w:val="00124B3D"/>
    <w:rsid w:val="00124E61"/>
    <w:rsid w:val="00124F01"/>
    <w:rsid w:val="00124FB6"/>
    <w:rsid w:val="00125139"/>
    <w:rsid w:val="001252E1"/>
    <w:rsid w:val="00125351"/>
    <w:rsid w:val="001255B2"/>
    <w:rsid w:val="001255E2"/>
    <w:rsid w:val="00125967"/>
    <w:rsid w:val="00125E61"/>
    <w:rsid w:val="00125F6A"/>
    <w:rsid w:val="00126232"/>
    <w:rsid w:val="001265EB"/>
    <w:rsid w:val="0012694E"/>
    <w:rsid w:val="00126A6C"/>
    <w:rsid w:val="00126ABC"/>
    <w:rsid w:val="00126AD3"/>
    <w:rsid w:val="00126E69"/>
    <w:rsid w:val="001271B7"/>
    <w:rsid w:val="0012726E"/>
    <w:rsid w:val="0012734C"/>
    <w:rsid w:val="00127DBF"/>
    <w:rsid w:val="00127EE4"/>
    <w:rsid w:val="00127EF0"/>
    <w:rsid w:val="00127FBF"/>
    <w:rsid w:val="00130327"/>
    <w:rsid w:val="00130384"/>
    <w:rsid w:val="00130770"/>
    <w:rsid w:val="00130CE0"/>
    <w:rsid w:val="00130D7E"/>
    <w:rsid w:val="00130E40"/>
    <w:rsid w:val="00130FA8"/>
    <w:rsid w:val="00130FC8"/>
    <w:rsid w:val="0013122F"/>
    <w:rsid w:val="001312CA"/>
    <w:rsid w:val="0013151B"/>
    <w:rsid w:val="00131659"/>
    <w:rsid w:val="001318CA"/>
    <w:rsid w:val="001319E1"/>
    <w:rsid w:val="00132089"/>
    <w:rsid w:val="00132307"/>
    <w:rsid w:val="0013235C"/>
    <w:rsid w:val="0013260E"/>
    <w:rsid w:val="001326DC"/>
    <w:rsid w:val="00132A22"/>
    <w:rsid w:val="00132A74"/>
    <w:rsid w:val="00132DEE"/>
    <w:rsid w:val="001332B6"/>
    <w:rsid w:val="00133379"/>
    <w:rsid w:val="00133413"/>
    <w:rsid w:val="0013356F"/>
    <w:rsid w:val="00133A8D"/>
    <w:rsid w:val="00133C59"/>
    <w:rsid w:val="00133CE6"/>
    <w:rsid w:val="0013433A"/>
    <w:rsid w:val="00134555"/>
    <w:rsid w:val="001346BC"/>
    <w:rsid w:val="001346FD"/>
    <w:rsid w:val="001348AB"/>
    <w:rsid w:val="0013498D"/>
    <w:rsid w:val="001349E0"/>
    <w:rsid w:val="00134B32"/>
    <w:rsid w:val="00134D5E"/>
    <w:rsid w:val="00134D8C"/>
    <w:rsid w:val="00134DEF"/>
    <w:rsid w:val="00134EFC"/>
    <w:rsid w:val="0013506F"/>
    <w:rsid w:val="001353AE"/>
    <w:rsid w:val="001354B5"/>
    <w:rsid w:val="001357FD"/>
    <w:rsid w:val="0013587E"/>
    <w:rsid w:val="00135CE4"/>
    <w:rsid w:val="00135D12"/>
    <w:rsid w:val="00135D45"/>
    <w:rsid w:val="00136047"/>
    <w:rsid w:val="001360E9"/>
    <w:rsid w:val="00136141"/>
    <w:rsid w:val="001362D2"/>
    <w:rsid w:val="00136495"/>
    <w:rsid w:val="00136533"/>
    <w:rsid w:val="001365CE"/>
    <w:rsid w:val="00136A01"/>
    <w:rsid w:val="00136A76"/>
    <w:rsid w:val="00136BD0"/>
    <w:rsid w:val="00136D71"/>
    <w:rsid w:val="00136DD1"/>
    <w:rsid w:val="00136FFE"/>
    <w:rsid w:val="00137112"/>
    <w:rsid w:val="00137651"/>
    <w:rsid w:val="00137FF1"/>
    <w:rsid w:val="001400D0"/>
    <w:rsid w:val="001400F3"/>
    <w:rsid w:val="001402EE"/>
    <w:rsid w:val="001405CE"/>
    <w:rsid w:val="001407E7"/>
    <w:rsid w:val="0014097D"/>
    <w:rsid w:val="00140C50"/>
    <w:rsid w:val="00141215"/>
    <w:rsid w:val="00141C5B"/>
    <w:rsid w:val="00141F9E"/>
    <w:rsid w:val="00142197"/>
    <w:rsid w:val="00142318"/>
    <w:rsid w:val="00142465"/>
    <w:rsid w:val="001424BA"/>
    <w:rsid w:val="00142C4C"/>
    <w:rsid w:val="00143041"/>
    <w:rsid w:val="001432DA"/>
    <w:rsid w:val="001433E4"/>
    <w:rsid w:val="00143449"/>
    <w:rsid w:val="001435CA"/>
    <w:rsid w:val="001437DA"/>
    <w:rsid w:val="001438A5"/>
    <w:rsid w:val="00143B4D"/>
    <w:rsid w:val="00143F4A"/>
    <w:rsid w:val="0014454B"/>
    <w:rsid w:val="00144796"/>
    <w:rsid w:val="001448C3"/>
    <w:rsid w:val="001448E7"/>
    <w:rsid w:val="001449AD"/>
    <w:rsid w:val="00144B08"/>
    <w:rsid w:val="00144B1E"/>
    <w:rsid w:val="00144C84"/>
    <w:rsid w:val="00144E85"/>
    <w:rsid w:val="00145090"/>
    <w:rsid w:val="00145180"/>
    <w:rsid w:val="001451E4"/>
    <w:rsid w:val="00145E4F"/>
    <w:rsid w:val="00145E95"/>
    <w:rsid w:val="00146317"/>
    <w:rsid w:val="001469BD"/>
    <w:rsid w:val="00146FEA"/>
    <w:rsid w:val="00147020"/>
    <w:rsid w:val="001474B7"/>
    <w:rsid w:val="00147A8C"/>
    <w:rsid w:val="00147FAE"/>
    <w:rsid w:val="00147FCC"/>
    <w:rsid w:val="001500F2"/>
    <w:rsid w:val="00150610"/>
    <w:rsid w:val="00150786"/>
    <w:rsid w:val="00150996"/>
    <w:rsid w:val="00150BFA"/>
    <w:rsid w:val="00151066"/>
    <w:rsid w:val="0015108F"/>
    <w:rsid w:val="001510DC"/>
    <w:rsid w:val="001511B5"/>
    <w:rsid w:val="0015120A"/>
    <w:rsid w:val="00151394"/>
    <w:rsid w:val="001513EC"/>
    <w:rsid w:val="001516EE"/>
    <w:rsid w:val="00151B61"/>
    <w:rsid w:val="00151CB0"/>
    <w:rsid w:val="00151FB4"/>
    <w:rsid w:val="0015235C"/>
    <w:rsid w:val="00152604"/>
    <w:rsid w:val="00152931"/>
    <w:rsid w:val="0015298B"/>
    <w:rsid w:val="00152C6D"/>
    <w:rsid w:val="00152C7B"/>
    <w:rsid w:val="00152D71"/>
    <w:rsid w:val="00153064"/>
    <w:rsid w:val="0015312E"/>
    <w:rsid w:val="0015316C"/>
    <w:rsid w:val="0015340B"/>
    <w:rsid w:val="001537FD"/>
    <w:rsid w:val="001538D8"/>
    <w:rsid w:val="00153A09"/>
    <w:rsid w:val="00153AF4"/>
    <w:rsid w:val="00153B42"/>
    <w:rsid w:val="00153CC2"/>
    <w:rsid w:val="00153D6C"/>
    <w:rsid w:val="00153E98"/>
    <w:rsid w:val="00153EB7"/>
    <w:rsid w:val="001540F2"/>
    <w:rsid w:val="00154A4F"/>
    <w:rsid w:val="00154AAF"/>
    <w:rsid w:val="00154D42"/>
    <w:rsid w:val="00154EA3"/>
    <w:rsid w:val="00154F50"/>
    <w:rsid w:val="00154F5F"/>
    <w:rsid w:val="00155180"/>
    <w:rsid w:val="00155599"/>
    <w:rsid w:val="00155640"/>
    <w:rsid w:val="0015566C"/>
    <w:rsid w:val="001557C8"/>
    <w:rsid w:val="001558E6"/>
    <w:rsid w:val="00155A1B"/>
    <w:rsid w:val="00155AD2"/>
    <w:rsid w:val="00155D9A"/>
    <w:rsid w:val="00155DBF"/>
    <w:rsid w:val="00155E8A"/>
    <w:rsid w:val="00155E8C"/>
    <w:rsid w:val="00155FEF"/>
    <w:rsid w:val="00156311"/>
    <w:rsid w:val="0015633A"/>
    <w:rsid w:val="00156A10"/>
    <w:rsid w:val="00156C2D"/>
    <w:rsid w:val="00157226"/>
    <w:rsid w:val="00157312"/>
    <w:rsid w:val="00157369"/>
    <w:rsid w:val="001575E4"/>
    <w:rsid w:val="001577C5"/>
    <w:rsid w:val="00157B28"/>
    <w:rsid w:val="00157D6D"/>
    <w:rsid w:val="00157FF6"/>
    <w:rsid w:val="0016013C"/>
    <w:rsid w:val="00160799"/>
    <w:rsid w:val="0016080F"/>
    <w:rsid w:val="00160A59"/>
    <w:rsid w:val="00160BE0"/>
    <w:rsid w:val="00161022"/>
    <w:rsid w:val="001610D8"/>
    <w:rsid w:val="001613B4"/>
    <w:rsid w:val="0016143C"/>
    <w:rsid w:val="0016144B"/>
    <w:rsid w:val="00161692"/>
    <w:rsid w:val="00161FC7"/>
    <w:rsid w:val="00162023"/>
    <w:rsid w:val="0016217C"/>
    <w:rsid w:val="001626C3"/>
    <w:rsid w:val="001626C5"/>
    <w:rsid w:val="00162730"/>
    <w:rsid w:val="001629C2"/>
    <w:rsid w:val="00162C33"/>
    <w:rsid w:val="00162C37"/>
    <w:rsid w:val="00162D06"/>
    <w:rsid w:val="001631E4"/>
    <w:rsid w:val="00163BC9"/>
    <w:rsid w:val="00163D25"/>
    <w:rsid w:val="001644B3"/>
    <w:rsid w:val="001648CC"/>
    <w:rsid w:val="001649F0"/>
    <w:rsid w:val="00164B3B"/>
    <w:rsid w:val="001653AF"/>
    <w:rsid w:val="00165492"/>
    <w:rsid w:val="001654EF"/>
    <w:rsid w:val="00165681"/>
    <w:rsid w:val="001658E5"/>
    <w:rsid w:val="0016592C"/>
    <w:rsid w:val="00165A0B"/>
    <w:rsid w:val="00165A90"/>
    <w:rsid w:val="00165BB0"/>
    <w:rsid w:val="00165DEE"/>
    <w:rsid w:val="00165F8D"/>
    <w:rsid w:val="00166317"/>
    <w:rsid w:val="00166548"/>
    <w:rsid w:val="00166575"/>
    <w:rsid w:val="001666EE"/>
    <w:rsid w:val="001668A4"/>
    <w:rsid w:val="00166A54"/>
    <w:rsid w:val="00166A80"/>
    <w:rsid w:val="00166AFA"/>
    <w:rsid w:val="00167007"/>
    <w:rsid w:val="0016707E"/>
    <w:rsid w:val="00167298"/>
    <w:rsid w:val="001677C1"/>
    <w:rsid w:val="001677C8"/>
    <w:rsid w:val="00167BCD"/>
    <w:rsid w:val="00167E2A"/>
    <w:rsid w:val="0017020F"/>
    <w:rsid w:val="00170227"/>
    <w:rsid w:val="0017050F"/>
    <w:rsid w:val="00170720"/>
    <w:rsid w:val="0017075C"/>
    <w:rsid w:val="00170AF9"/>
    <w:rsid w:val="00170D54"/>
    <w:rsid w:val="00171383"/>
    <w:rsid w:val="00171596"/>
    <w:rsid w:val="00171764"/>
    <w:rsid w:val="00171801"/>
    <w:rsid w:val="00171CE7"/>
    <w:rsid w:val="00171D8D"/>
    <w:rsid w:val="00171F0D"/>
    <w:rsid w:val="0017209F"/>
    <w:rsid w:val="001725C4"/>
    <w:rsid w:val="001725F5"/>
    <w:rsid w:val="0017285D"/>
    <w:rsid w:val="001729BB"/>
    <w:rsid w:val="00172D34"/>
    <w:rsid w:val="00172F6D"/>
    <w:rsid w:val="00173015"/>
    <w:rsid w:val="001733EB"/>
    <w:rsid w:val="00173538"/>
    <w:rsid w:val="001737CE"/>
    <w:rsid w:val="00173966"/>
    <w:rsid w:val="00173B3F"/>
    <w:rsid w:val="00173CAA"/>
    <w:rsid w:val="00173CCC"/>
    <w:rsid w:val="00173DC8"/>
    <w:rsid w:val="00173E1B"/>
    <w:rsid w:val="001742AA"/>
    <w:rsid w:val="00174481"/>
    <w:rsid w:val="00174692"/>
    <w:rsid w:val="001747BB"/>
    <w:rsid w:val="00174A8E"/>
    <w:rsid w:val="001750E0"/>
    <w:rsid w:val="0017519A"/>
    <w:rsid w:val="0017523F"/>
    <w:rsid w:val="00175589"/>
    <w:rsid w:val="0017572B"/>
    <w:rsid w:val="00175F30"/>
    <w:rsid w:val="00175FB5"/>
    <w:rsid w:val="001760D5"/>
    <w:rsid w:val="001761DF"/>
    <w:rsid w:val="00176274"/>
    <w:rsid w:val="0017627A"/>
    <w:rsid w:val="0017627F"/>
    <w:rsid w:val="00176307"/>
    <w:rsid w:val="0017636A"/>
    <w:rsid w:val="001763D5"/>
    <w:rsid w:val="0017658A"/>
    <w:rsid w:val="00176880"/>
    <w:rsid w:val="00176C5B"/>
    <w:rsid w:val="00176DBB"/>
    <w:rsid w:val="00176E30"/>
    <w:rsid w:val="00176E52"/>
    <w:rsid w:val="00177021"/>
    <w:rsid w:val="0017710A"/>
    <w:rsid w:val="00177296"/>
    <w:rsid w:val="00177382"/>
    <w:rsid w:val="0017758E"/>
    <w:rsid w:val="001777D8"/>
    <w:rsid w:val="0017787F"/>
    <w:rsid w:val="00177A24"/>
    <w:rsid w:val="00177D25"/>
    <w:rsid w:val="00177D2E"/>
    <w:rsid w:val="00177DF7"/>
    <w:rsid w:val="00177E0E"/>
    <w:rsid w:val="00177F5E"/>
    <w:rsid w:val="00177FBF"/>
    <w:rsid w:val="0018006B"/>
    <w:rsid w:val="001805D8"/>
    <w:rsid w:val="0018074D"/>
    <w:rsid w:val="001808CE"/>
    <w:rsid w:val="00180961"/>
    <w:rsid w:val="001810DC"/>
    <w:rsid w:val="00181446"/>
    <w:rsid w:val="001814E7"/>
    <w:rsid w:val="00181706"/>
    <w:rsid w:val="001818DF"/>
    <w:rsid w:val="00181AD3"/>
    <w:rsid w:val="00181CA4"/>
    <w:rsid w:val="00181E42"/>
    <w:rsid w:val="001823AB"/>
    <w:rsid w:val="001826FE"/>
    <w:rsid w:val="001828AF"/>
    <w:rsid w:val="001828C4"/>
    <w:rsid w:val="0018290A"/>
    <w:rsid w:val="00182EAE"/>
    <w:rsid w:val="00182FCB"/>
    <w:rsid w:val="00183067"/>
    <w:rsid w:val="0018311D"/>
    <w:rsid w:val="0018341B"/>
    <w:rsid w:val="00183713"/>
    <w:rsid w:val="001837D3"/>
    <w:rsid w:val="00183973"/>
    <w:rsid w:val="00183BC4"/>
    <w:rsid w:val="00183C00"/>
    <w:rsid w:val="00183CA5"/>
    <w:rsid w:val="00183CB4"/>
    <w:rsid w:val="00184092"/>
    <w:rsid w:val="001843CE"/>
    <w:rsid w:val="001844F9"/>
    <w:rsid w:val="001845DE"/>
    <w:rsid w:val="00184673"/>
    <w:rsid w:val="001847D7"/>
    <w:rsid w:val="00184A84"/>
    <w:rsid w:val="00184A96"/>
    <w:rsid w:val="00184DA0"/>
    <w:rsid w:val="00184E08"/>
    <w:rsid w:val="00184FD0"/>
    <w:rsid w:val="0018527C"/>
    <w:rsid w:val="00185357"/>
    <w:rsid w:val="001854CF"/>
    <w:rsid w:val="001856A2"/>
    <w:rsid w:val="00185A3C"/>
    <w:rsid w:val="00186210"/>
    <w:rsid w:val="001863CE"/>
    <w:rsid w:val="001864A7"/>
    <w:rsid w:val="001866AB"/>
    <w:rsid w:val="00186778"/>
    <w:rsid w:val="001867A6"/>
    <w:rsid w:val="00186B01"/>
    <w:rsid w:val="001874FD"/>
    <w:rsid w:val="00187838"/>
    <w:rsid w:val="00187CAB"/>
    <w:rsid w:val="0019025C"/>
    <w:rsid w:val="00190623"/>
    <w:rsid w:val="00190739"/>
    <w:rsid w:val="00190774"/>
    <w:rsid w:val="0019077B"/>
    <w:rsid w:val="00190AEE"/>
    <w:rsid w:val="00190C34"/>
    <w:rsid w:val="00190F16"/>
    <w:rsid w:val="001912D3"/>
    <w:rsid w:val="00191359"/>
    <w:rsid w:val="001913FE"/>
    <w:rsid w:val="001914F4"/>
    <w:rsid w:val="00191874"/>
    <w:rsid w:val="0019191A"/>
    <w:rsid w:val="00191E34"/>
    <w:rsid w:val="001921DA"/>
    <w:rsid w:val="00192536"/>
    <w:rsid w:val="001927E4"/>
    <w:rsid w:val="00192CEA"/>
    <w:rsid w:val="00192F47"/>
    <w:rsid w:val="00193002"/>
    <w:rsid w:val="0019306E"/>
    <w:rsid w:val="00193204"/>
    <w:rsid w:val="00193672"/>
    <w:rsid w:val="00193CCD"/>
    <w:rsid w:val="00193DF4"/>
    <w:rsid w:val="0019424B"/>
    <w:rsid w:val="00194285"/>
    <w:rsid w:val="0019452E"/>
    <w:rsid w:val="0019455D"/>
    <w:rsid w:val="00194695"/>
    <w:rsid w:val="00194A13"/>
    <w:rsid w:val="00194AB1"/>
    <w:rsid w:val="00194B9F"/>
    <w:rsid w:val="00194D63"/>
    <w:rsid w:val="00195021"/>
    <w:rsid w:val="00195094"/>
    <w:rsid w:val="0019513F"/>
    <w:rsid w:val="001956FF"/>
    <w:rsid w:val="001959AD"/>
    <w:rsid w:val="00195BE2"/>
    <w:rsid w:val="0019603A"/>
    <w:rsid w:val="00196078"/>
    <w:rsid w:val="00196277"/>
    <w:rsid w:val="00196805"/>
    <w:rsid w:val="00196816"/>
    <w:rsid w:val="00196993"/>
    <w:rsid w:val="00196B99"/>
    <w:rsid w:val="001972AA"/>
    <w:rsid w:val="001972EC"/>
    <w:rsid w:val="00197313"/>
    <w:rsid w:val="00197613"/>
    <w:rsid w:val="001978EE"/>
    <w:rsid w:val="001979A4"/>
    <w:rsid w:val="00197B0B"/>
    <w:rsid w:val="00197E10"/>
    <w:rsid w:val="001A0383"/>
    <w:rsid w:val="001A0429"/>
    <w:rsid w:val="001A0432"/>
    <w:rsid w:val="001A0A82"/>
    <w:rsid w:val="001A0AA4"/>
    <w:rsid w:val="001A0E54"/>
    <w:rsid w:val="001A1142"/>
    <w:rsid w:val="001A1156"/>
    <w:rsid w:val="001A1269"/>
    <w:rsid w:val="001A12ED"/>
    <w:rsid w:val="001A1331"/>
    <w:rsid w:val="001A17DF"/>
    <w:rsid w:val="001A21A0"/>
    <w:rsid w:val="001A257B"/>
    <w:rsid w:val="001A2627"/>
    <w:rsid w:val="001A292A"/>
    <w:rsid w:val="001A2EB7"/>
    <w:rsid w:val="001A2F05"/>
    <w:rsid w:val="001A34EF"/>
    <w:rsid w:val="001A364D"/>
    <w:rsid w:val="001A36C7"/>
    <w:rsid w:val="001A3778"/>
    <w:rsid w:val="001A37DF"/>
    <w:rsid w:val="001A3815"/>
    <w:rsid w:val="001A3844"/>
    <w:rsid w:val="001A38EE"/>
    <w:rsid w:val="001A3C40"/>
    <w:rsid w:val="001A4163"/>
    <w:rsid w:val="001A4289"/>
    <w:rsid w:val="001A44F9"/>
    <w:rsid w:val="001A4702"/>
    <w:rsid w:val="001A4895"/>
    <w:rsid w:val="001A4CF5"/>
    <w:rsid w:val="001A4DA5"/>
    <w:rsid w:val="001A4E36"/>
    <w:rsid w:val="001A4F7B"/>
    <w:rsid w:val="001A500A"/>
    <w:rsid w:val="001A54F3"/>
    <w:rsid w:val="001A5793"/>
    <w:rsid w:val="001A58F8"/>
    <w:rsid w:val="001A59E0"/>
    <w:rsid w:val="001A5A55"/>
    <w:rsid w:val="001A5D94"/>
    <w:rsid w:val="001A5DFA"/>
    <w:rsid w:val="001A6415"/>
    <w:rsid w:val="001A64D1"/>
    <w:rsid w:val="001A6A3B"/>
    <w:rsid w:val="001A6F5E"/>
    <w:rsid w:val="001A74C6"/>
    <w:rsid w:val="001A7944"/>
    <w:rsid w:val="001A7B5D"/>
    <w:rsid w:val="001A7BF4"/>
    <w:rsid w:val="001A7C8A"/>
    <w:rsid w:val="001A7D68"/>
    <w:rsid w:val="001A7E27"/>
    <w:rsid w:val="001B0285"/>
    <w:rsid w:val="001B06B2"/>
    <w:rsid w:val="001B09BA"/>
    <w:rsid w:val="001B09DB"/>
    <w:rsid w:val="001B0CD4"/>
    <w:rsid w:val="001B0D7E"/>
    <w:rsid w:val="001B1180"/>
    <w:rsid w:val="001B1532"/>
    <w:rsid w:val="001B1565"/>
    <w:rsid w:val="001B1726"/>
    <w:rsid w:val="001B1909"/>
    <w:rsid w:val="001B204A"/>
    <w:rsid w:val="001B209B"/>
    <w:rsid w:val="001B2201"/>
    <w:rsid w:val="001B24DB"/>
    <w:rsid w:val="001B25A2"/>
    <w:rsid w:val="001B260F"/>
    <w:rsid w:val="001B28BD"/>
    <w:rsid w:val="001B28DD"/>
    <w:rsid w:val="001B28E1"/>
    <w:rsid w:val="001B298A"/>
    <w:rsid w:val="001B2AD9"/>
    <w:rsid w:val="001B2B1C"/>
    <w:rsid w:val="001B2B55"/>
    <w:rsid w:val="001B2C32"/>
    <w:rsid w:val="001B2E48"/>
    <w:rsid w:val="001B2E6E"/>
    <w:rsid w:val="001B2F3C"/>
    <w:rsid w:val="001B2F44"/>
    <w:rsid w:val="001B342B"/>
    <w:rsid w:val="001B349A"/>
    <w:rsid w:val="001B34B2"/>
    <w:rsid w:val="001B36A5"/>
    <w:rsid w:val="001B39AF"/>
    <w:rsid w:val="001B4067"/>
    <w:rsid w:val="001B4129"/>
    <w:rsid w:val="001B4381"/>
    <w:rsid w:val="001B43C2"/>
    <w:rsid w:val="001B4425"/>
    <w:rsid w:val="001B4445"/>
    <w:rsid w:val="001B4816"/>
    <w:rsid w:val="001B4886"/>
    <w:rsid w:val="001B48D5"/>
    <w:rsid w:val="001B4D59"/>
    <w:rsid w:val="001B508D"/>
    <w:rsid w:val="001B5094"/>
    <w:rsid w:val="001B5260"/>
    <w:rsid w:val="001B529A"/>
    <w:rsid w:val="001B568A"/>
    <w:rsid w:val="001B56B5"/>
    <w:rsid w:val="001B5E1A"/>
    <w:rsid w:val="001B5F62"/>
    <w:rsid w:val="001B609F"/>
    <w:rsid w:val="001B63DC"/>
    <w:rsid w:val="001B668C"/>
    <w:rsid w:val="001B6B58"/>
    <w:rsid w:val="001B6D6D"/>
    <w:rsid w:val="001B6FC1"/>
    <w:rsid w:val="001B7294"/>
    <w:rsid w:val="001B73CC"/>
    <w:rsid w:val="001B7433"/>
    <w:rsid w:val="001B7534"/>
    <w:rsid w:val="001B7548"/>
    <w:rsid w:val="001B7AC5"/>
    <w:rsid w:val="001B7CCE"/>
    <w:rsid w:val="001B7D9F"/>
    <w:rsid w:val="001B7ED5"/>
    <w:rsid w:val="001B7EFA"/>
    <w:rsid w:val="001C0298"/>
    <w:rsid w:val="001C059E"/>
    <w:rsid w:val="001C08FD"/>
    <w:rsid w:val="001C0A80"/>
    <w:rsid w:val="001C0B31"/>
    <w:rsid w:val="001C101D"/>
    <w:rsid w:val="001C15FD"/>
    <w:rsid w:val="001C167C"/>
    <w:rsid w:val="001C1747"/>
    <w:rsid w:val="001C181E"/>
    <w:rsid w:val="001C18C0"/>
    <w:rsid w:val="001C1A4D"/>
    <w:rsid w:val="001C1D99"/>
    <w:rsid w:val="001C23C2"/>
    <w:rsid w:val="001C256A"/>
    <w:rsid w:val="001C2AAF"/>
    <w:rsid w:val="001C3010"/>
    <w:rsid w:val="001C3466"/>
    <w:rsid w:val="001C37E8"/>
    <w:rsid w:val="001C3A0E"/>
    <w:rsid w:val="001C3A16"/>
    <w:rsid w:val="001C3AE1"/>
    <w:rsid w:val="001C3C6F"/>
    <w:rsid w:val="001C3E5E"/>
    <w:rsid w:val="001C41D1"/>
    <w:rsid w:val="001C423E"/>
    <w:rsid w:val="001C4415"/>
    <w:rsid w:val="001C4A4E"/>
    <w:rsid w:val="001C5454"/>
    <w:rsid w:val="001C55C7"/>
    <w:rsid w:val="001C5A06"/>
    <w:rsid w:val="001C5B7C"/>
    <w:rsid w:val="001C5C12"/>
    <w:rsid w:val="001C600C"/>
    <w:rsid w:val="001C6BFD"/>
    <w:rsid w:val="001C6D34"/>
    <w:rsid w:val="001C719F"/>
    <w:rsid w:val="001C71F5"/>
    <w:rsid w:val="001C7348"/>
    <w:rsid w:val="001C77FB"/>
    <w:rsid w:val="001C79E0"/>
    <w:rsid w:val="001C7D1D"/>
    <w:rsid w:val="001C7DF7"/>
    <w:rsid w:val="001C7E81"/>
    <w:rsid w:val="001D0369"/>
    <w:rsid w:val="001D039C"/>
    <w:rsid w:val="001D0593"/>
    <w:rsid w:val="001D0AB4"/>
    <w:rsid w:val="001D0C17"/>
    <w:rsid w:val="001D0C4E"/>
    <w:rsid w:val="001D0E42"/>
    <w:rsid w:val="001D0E68"/>
    <w:rsid w:val="001D0EF8"/>
    <w:rsid w:val="001D1813"/>
    <w:rsid w:val="001D1B83"/>
    <w:rsid w:val="001D1B97"/>
    <w:rsid w:val="001D1E6C"/>
    <w:rsid w:val="001D1F83"/>
    <w:rsid w:val="001D228E"/>
    <w:rsid w:val="001D22BA"/>
    <w:rsid w:val="001D236E"/>
    <w:rsid w:val="001D249F"/>
    <w:rsid w:val="001D24ED"/>
    <w:rsid w:val="001D25E4"/>
    <w:rsid w:val="001D26B9"/>
    <w:rsid w:val="001D2779"/>
    <w:rsid w:val="001D27F0"/>
    <w:rsid w:val="001D2B54"/>
    <w:rsid w:val="001D2CE2"/>
    <w:rsid w:val="001D2E95"/>
    <w:rsid w:val="001D338E"/>
    <w:rsid w:val="001D33A1"/>
    <w:rsid w:val="001D3424"/>
    <w:rsid w:val="001D3543"/>
    <w:rsid w:val="001D3636"/>
    <w:rsid w:val="001D371B"/>
    <w:rsid w:val="001D3816"/>
    <w:rsid w:val="001D3822"/>
    <w:rsid w:val="001D3A78"/>
    <w:rsid w:val="001D3B53"/>
    <w:rsid w:val="001D3B9E"/>
    <w:rsid w:val="001D406D"/>
    <w:rsid w:val="001D4145"/>
    <w:rsid w:val="001D41D4"/>
    <w:rsid w:val="001D42C8"/>
    <w:rsid w:val="001D448A"/>
    <w:rsid w:val="001D45EB"/>
    <w:rsid w:val="001D4604"/>
    <w:rsid w:val="001D4799"/>
    <w:rsid w:val="001D4B76"/>
    <w:rsid w:val="001D5078"/>
    <w:rsid w:val="001D507E"/>
    <w:rsid w:val="001D50A3"/>
    <w:rsid w:val="001D517F"/>
    <w:rsid w:val="001D5181"/>
    <w:rsid w:val="001D51A7"/>
    <w:rsid w:val="001D5373"/>
    <w:rsid w:val="001D5408"/>
    <w:rsid w:val="001D5CD5"/>
    <w:rsid w:val="001D5E24"/>
    <w:rsid w:val="001D5EE1"/>
    <w:rsid w:val="001D6271"/>
    <w:rsid w:val="001D63C2"/>
    <w:rsid w:val="001D6559"/>
    <w:rsid w:val="001D68C4"/>
    <w:rsid w:val="001D6F4E"/>
    <w:rsid w:val="001D71C3"/>
    <w:rsid w:val="001D757E"/>
    <w:rsid w:val="001D7763"/>
    <w:rsid w:val="001D78F9"/>
    <w:rsid w:val="001E0026"/>
    <w:rsid w:val="001E01E1"/>
    <w:rsid w:val="001E0317"/>
    <w:rsid w:val="001E0325"/>
    <w:rsid w:val="001E0494"/>
    <w:rsid w:val="001E0678"/>
    <w:rsid w:val="001E0873"/>
    <w:rsid w:val="001E095A"/>
    <w:rsid w:val="001E096A"/>
    <w:rsid w:val="001E0A64"/>
    <w:rsid w:val="001E0B7F"/>
    <w:rsid w:val="001E1024"/>
    <w:rsid w:val="001E120D"/>
    <w:rsid w:val="001E122E"/>
    <w:rsid w:val="001E123C"/>
    <w:rsid w:val="001E12AC"/>
    <w:rsid w:val="001E12FE"/>
    <w:rsid w:val="001E1406"/>
    <w:rsid w:val="001E1829"/>
    <w:rsid w:val="001E18F5"/>
    <w:rsid w:val="001E1A7B"/>
    <w:rsid w:val="001E1BAA"/>
    <w:rsid w:val="001E1BD7"/>
    <w:rsid w:val="001E1D72"/>
    <w:rsid w:val="001E2111"/>
    <w:rsid w:val="001E2260"/>
    <w:rsid w:val="001E2581"/>
    <w:rsid w:val="001E2811"/>
    <w:rsid w:val="001E286A"/>
    <w:rsid w:val="001E2AA5"/>
    <w:rsid w:val="001E2AFA"/>
    <w:rsid w:val="001E2BE6"/>
    <w:rsid w:val="001E2D10"/>
    <w:rsid w:val="001E2DB0"/>
    <w:rsid w:val="001E2DEC"/>
    <w:rsid w:val="001E2E13"/>
    <w:rsid w:val="001E2EF7"/>
    <w:rsid w:val="001E31E9"/>
    <w:rsid w:val="001E33FC"/>
    <w:rsid w:val="001E340D"/>
    <w:rsid w:val="001E3EA2"/>
    <w:rsid w:val="001E427B"/>
    <w:rsid w:val="001E42D8"/>
    <w:rsid w:val="001E43E1"/>
    <w:rsid w:val="001E449F"/>
    <w:rsid w:val="001E48FD"/>
    <w:rsid w:val="001E4DA8"/>
    <w:rsid w:val="001E4F93"/>
    <w:rsid w:val="001E5165"/>
    <w:rsid w:val="001E574C"/>
    <w:rsid w:val="001E598A"/>
    <w:rsid w:val="001E5BBB"/>
    <w:rsid w:val="001E5D54"/>
    <w:rsid w:val="001E5D6F"/>
    <w:rsid w:val="001E5DA8"/>
    <w:rsid w:val="001E5F73"/>
    <w:rsid w:val="001E655B"/>
    <w:rsid w:val="001E6599"/>
    <w:rsid w:val="001E699B"/>
    <w:rsid w:val="001E6A06"/>
    <w:rsid w:val="001E6A76"/>
    <w:rsid w:val="001E6B14"/>
    <w:rsid w:val="001E6C79"/>
    <w:rsid w:val="001E6D63"/>
    <w:rsid w:val="001E6E70"/>
    <w:rsid w:val="001E6EBE"/>
    <w:rsid w:val="001E7016"/>
    <w:rsid w:val="001E7356"/>
    <w:rsid w:val="001E73BD"/>
    <w:rsid w:val="001E73CA"/>
    <w:rsid w:val="001E79BB"/>
    <w:rsid w:val="001E7FA3"/>
    <w:rsid w:val="001F00C3"/>
    <w:rsid w:val="001F014B"/>
    <w:rsid w:val="001F02F0"/>
    <w:rsid w:val="001F06A8"/>
    <w:rsid w:val="001F0952"/>
    <w:rsid w:val="001F0C1E"/>
    <w:rsid w:val="001F0EC0"/>
    <w:rsid w:val="001F132C"/>
    <w:rsid w:val="001F144F"/>
    <w:rsid w:val="001F1A12"/>
    <w:rsid w:val="001F1DAE"/>
    <w:rsid w:val="001F20CF"/>
    <w:rsid w:val="001F21D4"/>
    <w:rsid w:val="001F2201"/>
    <w:rsid w:val="001F24BD"/>
    <w:rsid w:val="001F283A"/>
    <w:rsid w:val="001F2B27"/>
    <w:rsid w:val="001F2E05"/>
    <w:rsid w:val="001F3064"/>
    <w:rsid w:val="001F30FE"/>
    <w:rsid w:val="001F330C"/>
    <w:rsid w:val="001F35F4"/>
    <w:rsid w:val="001F37BA"/>
    <w:rsid w:val="001F3F41"/>
    <w:rsid w:val="001F416C"/>
    <w:rsid w:val="001F4651"/>
    <w:rsid w:val="001F465C"/>
    <w:rsid w:val="001F49F2"/>
    <w:rsid w:val="001F4BDC"/>
    <w:rsid w:val="001F4C0F"/>
    <w:rsid w:val="001F4D15"/>
    <w:rsid w:val="001F4D98"/>
    <w:rsid w:val="001F4F53"/>
    <w:rsid w:val="001F5476"/>
    <w:rsid w:val="001F556A"/>
    <w:rsid w:val="001F57E2"/>
    <w:rsid w:val="001F5BC4"/>
    <w:rsid w:val="001F6138"/>
    <w:rsid w:val="001F6507"/>
    <w:rsid w:val="001F6E23"/>
    <w:rsid w:val="001F72BE"/>
    <w:rsid w:val="001F7811"/>
    <w:rsid w:val="001F7A75"/>
    <w:rsid w:val="001F7C8E"/>
    <w:rsid w:val="001F7E21"/>
    <w:rsid w:val="001F7F26"/>
    <w:rsid w:val="001F7FA4"/>
    <w:rsid w:val="00200001"/>
    <w:rsid w:val="00200031"/>
    <w:rsid w:val="0020032F"/>
    <w:rsid w:val="0020055D"/>
    <w:rsid w:val="002005C8"/>
    <w:rsid w:val="002015B6"/>
    <w:rsid w:val="00201877"/>
    <w:rsid w:val="002018A9"/>
    <w:rsid w:val="002019A7"/>
    <w:rsid w:val="00201CDE"/>
    <w:rsid w:val="00202018"/>
    <w:rsid w:val="0020247C"/>
    <w:rsid w:val="002025C2"/>
    <w:rsid w:val="00202CB0"/>
    <w:rsid w:val="00202EA2"/>
    <w:rsid w:val="00203501"/>
    <w:rsid w:val="0020353F"/>
    <w:rsid w:val="00203556"/>
    <w:rsid w:val="002035D1"/>
    <w:rsid w:val="002035E3"/>
    <w:rsid w:val="00203743"/>
    <w:rsid w:val="0020397B"/>
    <w:rsid w:val="002039FD"/>
    <w:rsid w:val="00203AAE"/>
    <w:rsid w:val="00203EB3"/>
    <w:rsid w:val="002041FC"/>
    <w:rsid w:val="002042EE"/>
    <w:rsid w:val="00204326"/>
    <w:rsid w:val="002044EB"/>
    <w:rsid w:val="002045A7"/>
    <w:rsid w:val="00204A18"/>
    <w:rsid w:val="00204B9E"/>
    <w:rsid w:val="00204CFA"/>
    <w:rsid w:val="00204D1F"/>
    <w:rsid w:val="00204D50"/>
    <w:rsid w:val="00204F59"/>
    <w:rsid w:val="00205462"/>
    <w:rsid w:val="002055D0"/>
    <w:rsid w:val="0020583A"/>
    <w:rsid w:val="00205F9C"/>
    <w:rsid w:val="00205FCB"/>
    <w:rsid w:val="0020627E"/>
    <w:rsid w:val="002065A3"/>
    <w:rsid w:val="002065E7"/>
    <w:rsid w:val="00206611"/>
    <w:rsid w:val="00206A0E"/>
    <w:rsid w:val="00206F94"/>
    <w:rsid w:val="002072B4"/>
    <w:rsid w:val="002076D4"/>
    <w:rsid w:val="002076FA"/>
    <w:rsid w:val="00207A61"/>
    <w:rsid w:val="00207A6F"/>
    <w:rsid w:val="00207C82"/>
    <w:rsid w:val="00207D12"/>
    <w:rsid w:val="00207FF4"/>
    <w:rsid w:val="0021038A"/>
    <w:rsid w:val="002103C9"/>
    <w:rsid w:val="002103F4"/>
    <w:rsid w:val="00210A27"/>
    <w:rsid w:val="00210B9F"/>
    <w:rsid w:val="00210D39"/>
    <w:rsid w:val="00210DC4"/>
    <w:rsid w:val="00210E03"/>
    <w:rsid w:val="00210F43"/>
    <w:rsid w:val="002112AD"/>
    <w:rsid w:val="00211AAF"/>
    <w:rsid w:val="00211B45"/>
    <w:rsid w:val="00211C4D"/>
    <w:rsid w:val="00211FAD"/>
    <w:rsid w:val="00212056"/>
    <w:rsid w:val="00212160"/>
    <w:rsid w:val="0021231F"/>
    <w:rsid w:val="00212606"/>
    <w:rsid w:val="00212799"/>
    <w:rsid w:val="002128D3"/>
    <w:rsid w:val="0021293D"/>
    <w:rsid w:val="00212CFA"/>
    <w:rsid w:val="00212D9F"/>
    <w:rsid w:val="00212E08"/>
    <w:rsid w:val="002134B4"/>
    <w:rsid w:val="00213891"/>
    <w:rsid w:val="00213967"/>
    <w:rsid w:val="00213CB2"/>
    <w:rsid w:val="00213E89"/>
    <w:rsid w:val="0021412E"/>
    <w:rsid w:val="0021441D"/>
    <w:rsid w:val="002144A5"/>
    <w:rsid w:val="0021457B"/>
    <w:rsid w:val="002147B8"/>
    <w:rsid w:val="002149B0"/>
    <w:rsid w:val="00214D7C"/>
    <w:rsid w:val="00214E9B"/>
    <w:rsid w:val="00215032"/>
    <w:rsid w:val="002152B2"/>
    <w:rsid w:val="002153F9"/>
    <w:rsid w:val="00215441"/>
    <w:rsid w:val="00215520"/>
    <w:rsid w:val="0021561B"/>
    <w:rsid w:val="00215A13"/>
    <w:rsid w:val="00215BDE"/>
    <w:rsid w:val="00215D30"/>
    <w:rsid w:val="00215F30"/>
    <w:rsid w:val="0021604B"/>
    <w:rsid w:val="0021641B"/>
    <w:rsid w:val="002164E8"/>
    <w:rsid w:val="00216833"/>
    <w:rsid w:val="00216892"/>
    <w:rsid w:val="00216A3D"/>
    <w:rsid w:val="00216ACE"/>
    <w:rsid w:val="00216D91"/>
    <w:rsid w:val="002170F2"/>
    <w:rsid w:val="002173C1"/>
    <w:rsid w:val="00217419"/>
    <w:rsid w:val="0021773F"/>
    <w:rsid w:val="002177CC"/>
    <w:rsid w:val="00217AE0"/>
    <w:rsid w:val="00217B5A"/>
    <w:rsid w:val="00217CD6"/>
    <w:rsid w:val="002200D4"/>
    <w:rsid w:val="002205EF"/>
    <w:rsid w:val="0022091D"/>
    <w:rsid w:val="002210F4"/>
    <w:rsid w:val="002212EB"/>
    <w:rsid w:val="00221409"/>
    <w:rsid w:val="00221480"/>
    <w:rsid w:val="002217E2"/>
    <w:rsid w:val="002218E4"/>
    <w:rsid w:val="00221948"/>
    <w:rsid w:val="00221A87"/>
    <w:rsid w:val="00221C4A"/>
    <w:rsid w:val="002225A8"/>
    <w:rsid w:val="00222792"/>
    <w:rsid w:val="0022279E"/>
    <w:rsid w:val="00222980"/>
    <w:rsid w:val="00222A75"/>
    <w:rsid w:val="00222B31"/>
    <w:rsid w:val="00222DA7"/>
    <w:rsid w:val="00222F4E"/>
    <w:rsid w:val="00222FB4"/>
    <w:rsid w:val="00222FE0"/>
    <w:rsid w:val="002230E2"/>
    <w:rsid w:val="002232C3"/>
    <w:rsid w:val="002233FF"/>
    <w:rsid w:val="002237D8"/>
    <w:rsid w:val="00223828"/>
    <w:rsid w:val="00223BD5"/>
    <w:rsid w:val="00223DD0"/>
    <w:rsid w:val="002243D3"/>
    <w:rsid w:val="00224747"/>
    <w:rsid w:val="00224926"/>
    <w:rsid w:val="00224AD8"/>
    <w:rsid w:val="00224CDA"/>
    <w:rsid w:val="00224D03"/>
    <w:rsid w:val="00224D30"/>
    <w:rsid w:val="00224D5A"/>
    <w:rsid w:val="00224F0C"/>
    <w:rsid w:val="00224F8C"/>
    <w:rsid w:val="002252AA"/>
    <w:rsid w:val="0022530C"/>
    <w:rsid w:val="00225310"/>
    <w:rsid w:val="00225474"/>
    <w:rsid w:val="002254C5"/>
    <w:rsid w:val="00225788"/>
    <w:rsid w:val="0022583D"/>
    <w:rsid w:val="00225A87"/>
    <w:rsid w:val="00225B00"/>
    <w:rsid w:val="00225D05"/>
    <w:rsid w:val="00225D98"/>
    <w:rsid w:val="00225E46"/>
    <w:rsid w:val="00225EF1"/>
    <w:rsid w:val="002260A1"/>
    <w:rsid w:val="00226441"/>
    <w:rsid w:val="00226778"/>
    <w:rsid w:val="00226ACD"/>
    <w:rsid w:val="00226B40"/>
    <w:rsid w:val="00226CCC"/>
    <w:rsid w:val="00227185"/>
    <w:rsid w:val="00227319"/>
    <w:rsid w:val="002273A4"/>
    <w:rsid w:val="0022759B"/>
    <w:rsid w:val="0022794B"/>
    <w:rsid w:val="00227B77"/>
    <w:rsid w:val="00227C88"/>
    <w:rsid w:val="00227E05"/>
    <w:rsid w:val="002304A7"/>
    <w:rsid w:val="00230B03"/>
    <w:rsid w:val="00230C7E"/>
    <w:rsid w:val="00230C8C"/>
    <w:rsid w:val="00230D24"/>
    <w:rsid w:val="00230DD6"/>
    <w:rsid w:val="00230DD8"/>
    <w:rsid w:val="00230FAD"/>
    <w:rsid w:val="00230FEB"/>
    <w:rsid w:val="00230FEC"/>
    <w:rsid w:val="0023112A"/>
    <w:rsid w:val="0023113D"/>
    <w:rsid w:val="00231259"/>
    <w:rsid w:val="00231471"/>
    <w:rsid w:val="002316F5"/>
    <w:rsid w:val="002316FB"/>
    <w:rsid w:val="00231ED4"/>
    <w:rsid w:val="00231F2F"/>
    <w:rsid w:val="00232487"/>
    <w:rsid w:val="00232516"/>
    <w:rsid w:val="0023252E"/>
    <w:rsid w:val="0023265B"/>
    <w:rsid w:val="00232708"/>
    <w:rsid w:val="002327D1"/>
    <w:rsid w:val="00232941"/>
    <w:rsid w:val="00232B54"/>
    <w:rsid w:val="00232E2C"/>
    <w:rsid w:val="00232E70"/>
    <w:rsid w:val="00232EBB"/>
    <w:rsid w:val="00232EC0"/>
    <w:rsid w:val="00232F0D"/>
    <w:rsid w:val="002334BC"/>
    <w:rsid w:val="00233652"/>
    <w:rsid w:val="002336D1"/>
    <w:rsid w:val="00233AA9"/>
    <w:rsid w:val="00233DC7"/>
    <w:rsid w:val="002340F0"/>
    <w:rsid w:val="00234490"/>
    <w:rsid w:val="00234578"/>
    <w:rsid w:val="002346BA"/>
    <w:rsid w:val="002346BC"/>
    <w:rsid w:val="00234B5E"/>
    <w:rsid w:val="00234C44"/>
    <w:rsid w:val="00234CC2"/>
    <w:rsid w:val="00234CF8"/>
    <w:rsid w:val="00235106"/>
    <w:rsid w:val="0023521E"/>
    <w:rsid w:val="002352A6"/>
    <w:rsid w:val="00235491"/>
    <w:rsid w:val="00235646"/>
    <w:rsid w:val="0023585A"/>
    <w:rsid w:val="0023593D"/>
    <w:rsid w:val="0023631F"/>
    <w:rsid w:val="00236363"/>
    <w:rsid w:val="00236436"/>
    <w:rsid w:val="002367F1"/>
    <w:rsid w:val="002368D7"/>
    <w:rsid w:val="0023690A"/>
    <w:rsid w:val="00236C59"/>
    <w:rsid w:val="00237491"/>
    <w:rsid w:val="00237498"/>
    <w:rsid w:val="00237697"/>
    <w:rsid w:val="00237A12"/>
    <w:rsid w:val="00237A26"/>
    <w:rsid w:val="00237B8E"/>
    <w:rsid w:val="00237E3F"/>
    <w:rsid w:val="00237EB0"/>
    <w:rsid w:val="002400AB"/>
    <w:rsid w:val="0024012C"/>
    <w:rsid w:val="002406CB"/>
    <w:rsid w:val="00240719"/>
    <w:rsid w:val="002408E2"/>
    <w:rsid w:val="0024102B"/>
    <w:rsid w:val="00241099"/>
    <w:rsid w:val="002411F9"/>
    <w:rsid w:val="002412B8"/>
    <w:rsid w:val="00241435"/>
    <w:rsid w:val="00241550"/>
    <w:rsid w:val="002417A4"/>
    <w:rsid w:val="00241AD6"/>
    <w:rsid w:val="00241B89"/>
    <w:rsid w:val="00241D75"/>
    <w:rsid w:val="00241F36"/>
    <w:rsid w:val="0024203C"/>
    <w:rsid w:val="002420C4"/>
    <w:rsid w:val="0024294C"/>
    <w:rsid w:val="00242979"/>
    <w:rsid w:val="00242A23"/>
    <w:rsid w:val="00242CE4"/>
    <w:rsid w:val="00242D07"/>
    <w:rsid w:val="00242D12"/>
    <w:rsid w:val="00242DD6"/>
    <w:rsid w:val="00243286"/>
    <w:rsid w:val="00243430"/>
    <w:rsid w:val="00243D7D"/>
    <w:rsid w:val="00244014"/>
    <w:rsid w:val="00244022"/>
    <w:rsid w:val="002443E9"/>
    <w:rsid w:val="002446F2"/>
    <w:rsid w:val="00244743"/>
    <w:rsid w:val="002455BC"/>
    <w:rsid w:val="00245718"/>
    <w:rsid w:val="002458E1"/>
    <w:rsid w:val="00245D9B"/>
    <w:rsid w:val="00245EF4"/>
    <w:rsid w:val="00245F74"/>
    <w:rsid w:val="002460A3"/>
    <w:rsid w:val="002464D6"/>
    <w:rsid w:val="002464E8"/>
    <w:rsid w:val="0024689D"/>
    <w:rsid w:val="00246A2D"/>
    <w:rsid w:val="00246B5D"/>
    <w:rsid w:val="00246BEB"/>
    <w:rsid w:val="00246D4D"/>
    <w:rsid w:val="00246E0D"/>
    <w:rsid w:val="00247003"/>
    <w:rsid w:val="0024712C"/>
    <w:rsid w:val="0024713E"/>
    <w:rsid w:val="002471A3"/>
    <w:rsid w:val="00247779"/>
    <w:rsid w:val="00247808"/>
    <w:rsid w:val="00247BE3"/>
    <w:rsid w:val="00247D1E"/>
    <w:rsid w:val="00247F86"/>
    <w:rsid w:val="0025000B"/>
    <w:rsid w:val="00250134"/>
    <w:rsid w:val="00250275"/>
    <w:rsid w:val="002503B1"/>
    <w:rsid w:val="0025055F"/>
    <w:rsid w:val="00250BA5"/>
    <w:rsid w:val="00250CA2"/>
    <w:rsid w:val="00250EB9"/>
    <w:rsid w:val="00251011"/>
    <w:rsid w:val="002510BC"/>
    <w:rsid w:val="002511C8"/>
    <w:rsid w:val="00251413"/>
    <w:rsid w:val="0025151D"/>
    <w:rsid w:val="00251874"/>
    <w:rsid w:val="00251CAA"/>
    <w:rsid w:val="0025217F"/>
    <w:rsid w:val="002522CC"/>
    <w:rsid w:val="002523C8"/>
    <w:rsid w:val="00252A43"/>
    <w:rsid w:val="00252B5E"/>
    <w:rsid w:val="00252C29"/>
    <w:rsid w:val="0025300D"/>
    <w:rsid w:val="002530B2"/>
    <w:rsid w:val="002531CA"/>
    <w:rsid w:val="0025320B"/>
    <w:rsid w:val="002532C9"/>
    <w:rsid w:val="00253723"/>
    <w:rsid w:val="00253977"/>
    <w:rsid w:val="00253C5C"/>
    <w:rsid w:val="00253F16"/>
    <w:rsid w:val="00254022"/>
    <w:rsid w:val="00254445"/>
    <w:rsid w:val="00254A1F"/>
    <w:rsid w:val="00254ACC"/>
    <w:rsid w:val="00254C20"/>
    <w:rsid w:val="00254E76"/>
    <w:rsid w:val="0025502F"/>
    <w:rsid w:val="002550D7"/>
    <w:rsid w:val="00255218"/>
    <w:rsid w:val="00255404"/>
    <w:rsid w:val="002554B8"/>
    <w:rsid w:val="002554F7"/>
    <w:rsid w:val="002555DD"/>
    <w:rsid w:val="0025571C"/>
    <w:rsid w:val="00255805"/>
    <w:rsid w:val="00255968"/>
    <w:rsid w:val="00255C01"/>
    <w:rsid w:val="00255D8E"/>
    <w:rsid w:val="00255E80"/>
    <w:rsid w:val="00255EC6"/>
    <w:rsid w:val="002560E9"/>
    <w:rsid w:val="00256388"/>
    <w:rsid w:val="00256450"/>
    <w:rsid w:val="00256607"/>
    <w:rsid w:val="00256950"/>
    <w:rsid w:val="00256C6C"/>
    <w:rsid w:val="00256C95"/>
    <w:rsid w:val="00256EEC"/>
    <w:rsid w:val="00256F14"/>
    <w:rsid w:val="00256F79"/>
    <w:rsid w:val="002572A2"/>
    <w:rsid w:val="002574A6"/>
    <w:rsid w:val="0025754B"/>
    <w:rsid w:val="00257CB5"/>
    <w:rsid w:val="00257D14"/>
    <w:rsid w:val="00257DEA"/>
    <w:rsid w:val="00257E90"/>
    <w:rsid w:val="0026003F"/>
    <w:rsid w:val="0026013E"/>
    <w:rsid w:val="00260410"/>
    <w:rsid w:val="002604F8"/>
    <w:rsid w:val="002605BE"/>
    <w:rsid w:val="0026068B"/>
    <w:rsid w:val="00260CCF"/>
    <w:rsid w:val="002613A0"/>
    <w:rsid w:val="00261748"/>
    <w:rsid w:val="00261AAB"/>
    <w:rsid w:val="00261C26"/>
    <w:rsid w:val="00261FC1"/>
    <w:rsid w:val="002621C3"/>
    <w:rsid w:val="00262558"/>
    <w:rsid w:val="00262752"/>
    <w:rsid w:val="00262A9F"/>
    <w:rsid w:val="00262BD9"/>
    <w:rsid w:val="00262EAF"/>
    <w:rsid w:val="002631A8"/>
    <w:rsid w:val="0026325E"/>
    <w:rsid w:val="0026342D"/>
    <w:rsid w:val="002635D2"/>
    <w:rsid w:val="002635F0"/>
    <w:rsid w:val="00263F4C"/>
    <w:rsid w:val="0026424A"/>
    <w:rsid w:val="00264748"/>
    <w:rsid w:val="00264780"/>
    <w:rsid w:val="002649A9"/>
    <w:rsid w:val="002649F7"/>
    <w:rsid w:val="00264B87"/>
    <w:rsid w:val="00264E70"/>
    <w:rsid w:val="00264E96"/>
    <w:rsid w:val="0026536F"/>
    <w:rsid w:val="002654F5"/>
    <w:rsid w:val="00265613"/>
    <w:rsid w:val="002656D5"/>
    <w:rsid w:val="00265834"/>
    <w:rsid w:val="00265945"/>
    <w:rsid w:val="00265EDC"/>
    <w:rsid w:val="00265F2C"/>
    <w:rsid w:val="00265FC8"/>
    <w:rsid w:val="00266031"/>
    <w:rsid w:val="00266052"/>
    <w:rsid w:val="002660E6"/>
    <w:rsid w:val="002663C9"/>
    <w:rsid w:val="002668D6"/>
    <w:rsid w:val="00266B0E"/>
    <w:rsid w:val="00267786"/>
    <w:rsid w:val="00267D8B"/>
    <w:rsid w:val="00267F50"/>
    <w:rsid w:val="002701DA"/>
    <w:rsid w:val="00270595"/>
    <w:rsid w:val="002705BF"/>
    <w:rsid w:val="00270717"/>
    <w:rsid w:val="00270B8F"/>
    <w:rsid w:val="00270C5B"/>
    <w:rsid w:val="002710D9"/>
    <w:rsid w:val="002715F5"/>
    <w:rsid w:val="00271CAC"/>
    <w:rsid w:val="00272252"/>
    <w:rsid w:val="002726F8"/>
    <w:rsid w:val="0027280F"/>
    <w:rsid w:val="0027298F"/>
    <w:rsid w:val="00272C2A"/>
    <w:rsid w:val="00272E6F"/>
    <w:rsid w:val="00272EE8"/>
    <w:rsid w:val="00272EFD"/>
    <w:rsid w:val="00272F55"/>
    <w:rsid w:val="002733C9"/>
    <w:rsid w:val="002734A3"/>
    <w:rsid w:val="00273602"/>
    <w:rsid w:val="00273AAA"/>
    <w:rsid w:val="00273C39"/>
    <w:rsid w:val="00273D43"/>
    <w:rsid w:val="00273E84"/>
    <w:rsid w:val="00273F78"/>
    <w:rsid w:val="002740C4"/>
    <w:rsid w:val="00274443"/>
    <w:rsid w:val="00274491"/>
    <w:rsid w:val="00274AEA"/>
    <w:rsid w:val="00274CC0"/>
    <w:rsid w:val="00275307"/>
    <w:rsid w:val="002753E4"/>
    <w:rsid w:val="002756CC"/>
    <w:rsid w:val="0027589B"/>
    <w:rsid w:val="00275B96"/>
    <w:rsid w:val="00275E26"/>
    <w:rsid w:val="00275EFC"/>
    <w:rsid w:val="0027624B"/>
    <w:rsid w:val="002763E2"/>
    <w:rsid w:val="0027650C"/>
    <w:rsid w:val="002765E7"/>
    <w:rsid w:val="0027670D"/>
    <w:rsid w:val="002767BF"/>
    <w:rsid w:val="00276CFD"/>
    <w:rsid w:val="00276D70"/>
    <w:rsid w:val="00276D85"/>
    <w:rsid w:val="0027709C"/>
    <w:rsid w:val="00277856"/>
    <w:rsid w:val="00277A63"/>
    <w:rsid w:val="00277B05"/>
    <w:rsid w:val="00277B58"/>
    <w:rsid w:val="00280077"/>
    <w:rsid w:val="002800CF"/>
    <w:rsid w:val="002802C0"/>
    <w:rsid w:val="0028048C"/>
    <w:rsid w:val="002805E0"/>
    <w:rsid w:val="00280620"/>
    <w:rsid w:val="0028071A"/>
    <w:rsid w:val="002807B8"/>
    <w:rsid w:val="0028086A"/>
    <w:rsid w:val="0028087C"/>
    <w:rsid w:val="00280C64"/>
    <w:rsid w:val="00280E54"/>
    <w:rsid w:val="00280FDF"/>
    <w:rsid w:val="0028112D"/>
    <w:rsid w:val="00281265"/>
    <w:rsid w:val="002812C3"/>
    <w:rsid w:val="00281395"/>
    <w:rsid w:val="002813A4"/>
    <w:rsid w:val="0028157A"/>
    <w:rsid w:val="002815F1"/>
    <w:rsid w:val="002817C6"/>
    <w:rsid w:val="00281C44"/>
    <w:rsid w:val="00281C61"/>
    <w:rsid w:val="00281D40"/>
    <w:rsid w:val="00281ED5"/>
    <w:rsid w:val="00281F15"/>
    <w:rsid w:val="002824C1"/>
    <w:rsid w:val="002826B5"/>
    <w:rsid w:val="0028292B"/>
    <w:rsid w:val="00282B69"/>
    <w:rsid w:val="00282D81"/>
    <w:rsid w:val="00282DD9"/>
    <w:rsid w:val="00282E1C"/>
    <w:rsid w:val="002836A2"/>
    <w:rsid w:val="00283D26"/>
    <w:rsid w:val="00283ED1"/>
    <w:rsid w:val="00283EF4"/>
    <w:rsid w:val="00284175"/>
    <w:rsid w:val="0028420B"/>
    <w:rsid w:val="002845C0"/>
    <w:rsid w:val="00284AF3"/>
    <w:rsid w:val="00284D01"/>
    <w:rsid w:val="00285066"/>
    <w:rsid w:val="00285166"/>
    <w:rsid w:val="002854EA"/>
    <w:rsid w:val="00285528"/>
    <w:rsid w:val="00285B5B"/>
    <w:rsid w:val="00285BE8"/>
    <w:rsid w:val="00285BEE"/>
    <w:rsid w:val="00285C80"/>
    <w:rsid w:val="00285D42"/>
    <w:rsid w:val="00286014"/>
    <w:rsid w:val="002860D0"/>
    <w:rsid w:val="002864D7"/>
    <w:rsid w:val="00286672"/>
    <w:rsid w:val="002866AB"/>
    <w:rsid w:val="00286AC8"/>
    <w:rsid w:val="00286C76"/>
    <w:rsid w:val="00286E76"/>
    <w:rsid w:val="00287057"/>
    <w:rsid w:val="00287169"/>
    <w:rsid w:val="00287488"/>
    <w:rsid w:val="002874C7"/>
    <w:rsid w:val="0028758D"/>
    <w:rsid w:val="00287A08"/>
    <w:rsid w:val="00287A7F"/>
    <w:rsid w:val="00287BC7"/>
    <w:rsid w:val="00290113"/>
    <w:rsid w:val="00290147"/>
    <w:rsid w:val="0029015D"/>
    <w:rsid w:val="00290571"/>
    <w:rsid w:val="002905B8"/>
    <w:rsid w:val="002906F9"/>
    <w:rsid w:val="0029072B"/>
    <w:rsid w:val="00290747"/>
    <w:rsid w:val="00290A41"/>
    <w:rsid w:val="00290D21"/>
    <w:rsid w:val="00290DD0"/>
    <w:rsid w:val="00290FCF"/>
    <w:rsid w:val="00290FE0"/>
    <w:rsid w:val="0029110A"/>
    <w:rsid w:val="0029122D"/>
    <w:rsid w:val="00291996"/>
    <w:rsid w:val="00291A80"/>
    <w:rsid w:val="00291BFD"/>
    <w:rsid w:val="00291C51"/>
    <w:rsid w:val="00291D6E"/>
    <w:rsid w:val="00291E29"/>
    <w:rsid w:val="00291FAD"/>
    <w:rsid w:val="002920F8"/>
    <w:rsid w:val="0029224D"/>
    <w:rsid w:val="0029266A"/>
    <w:rsid w:val="002926CB"/>
    <w:rsid w:val="00292CB1"/>
    <w:rsid w:val="00292F90"/>
    <w:rsid w:val="00293057"/>
    <w:rsid w:val="002930D0"/>
    <w:rsid w:val="00293416"/>
    <w:rsid w:val="002935EF"/>
    <w:rsid w:val="00293610"/>
    <w:rsid w:val="002938D4"/>
    <w:rsid w:val="00293D43"/>
    <w:rsid w:val="00293F48"/>
    <w:rsid w:val="00293FAA"/>
    <w:rsid w:val="002941AA"/>
    <w:rsid w:val="0029454C"/>
    <w:rsid w:val="002948C8"/>
    <w:rsid w:val="00294919"/>
    <w:rsid w:val="0029498A"/>
    <w:rsid w:val="002949CF"/>
    <w:rsid w:val="002951A7"/>
    <w:rsid w:val="002952E1"/>
    <w:rsid w:val="0029533F"/>
    <w:rsid w:val="00295478"/>
    <w:rsid w:val="00295541"/>
    <w:rsid w:val="002958F3"/>
    <w:rsid w:val="00295925"/>
    <w:rsid w:val="00295D30"/>
    <w:rsid w:val="00295DC9"/>
    <w:rsid w:val="00296028"/>
    <w:rsid w:val="00296067"/>
    <w:rsid w:val="00296613"/>
    <w:rsid w:val="00296841"/>
    <w:rsid w:val="002968B7"/>
    <w:rsid w:val="00296D8D"/>
    <w:rsid w:val="00296F34"/>
    <w:rsid w:val="002970D0"/>
    <w:rsid w:val="002976C8"/>
    <w:rsid w:val="002977D5"/>
    <w:rsid w:val="002977FE"/>
    <w:rsid w:val="00297906"/>
    <w:rsid w:val="00297E7C"/>
    <w:rsid w:val="002A0369"/>
    <w:rsid w:val="002A058F"/>
    <w:rsid w:val="002A06D7"/>
    <w:rsid w:val="002A07A5"/>
    <w:rsid w:val="002A07B9"/>
    <w:rsid w:val="002A08EF"/>
    <w:rsid w:val="002A0B83"/>
    <w:rsid w:val="002A0C86"/>
    <w:rsid w:val="002A0EDB"/>
    <w:rsid w:val="002A0F43"/>
    <w:rsid w:val="002A13C7"/>
    <w:rsid w:val="002A1587"/>
    <w:rsid w:val="002A16F5"/>
    <w:rsid w:val="002A2017"/>
    <w:rsid w:val="002A2216"/>
    <w:rsid w:val="002A2708"/>
    <w:rsid w:val="002A2816"/>
    <w:rsid w:val="002A2B05"/>
    <w:rsid w:val="002A32AF"/>
    <w:rsid w:val="002A3383"/>
    <w:rsid w:val="002A3453"/>
    <w:rsid w:val="002A3BB2"/>
    <w:rsid w:val="002A3CBF"/>
    <w:rsid w:val="002A3EC6"/>
    <w:rsid w:val="002A3EF4"/>
    <w:rsid w:val="002A40EE"/>
    <w:rsid w:val="002A4618"/>
    <w:rsid w:val="002A4743"/>
    <w:rsid w:val="002A4A92"/>
    <w:rsid w:val="002A4F9A"/>
    <w:rsid w:val="002A501A"/>
    <w:rsid w:val="002A53D0"/>
    <w:rsid w:val="002A5507"/>
    <w:rsid w:val="002A58FD"/>
    <w:rsid w:val="002A59DB"/>
    <w:rsid w:val="002A5A08"/>
    <w:rsid w:val="002A5AB3"/>
    <w:rsid w:val="002A5EA3"/>
    <w:rsid w:val="002A5ECA"/>
    <w:rsid w:val="002A5F12"/>
    <w:rsid w:val="002A6033"/>
    <w:rsid w:val="002A60B1"/>
    <w:rsid w:val="002A69DE"/>
    <w:rsid w:val="002A6C6A"/>
    <w:rsid w:val="002A6EA5"/>
    <w:rsid w:val="002A6F98"/>
    <w:rsid w:val="002A6FB1"/>
    <w:rsid w:val="002A759D"/>
    <w:rsid w:val="002A7881"/>
    <w:rsid w:val="002A798A"/>
    <w:rsid w:val="002A79CD"/>
    <w:rsid w:val="002A7BA8"/>
    <w:rsid w:val="002A7CED"/>
    <w:rsid w:val="002A7D55"/>
    <w:rsid w:val="002A7DCC"/>
    <w:rsid w:val="002B0051"/>
    <w:rsid w:val="002B0430"/>
    <w:rsid w:val="002B063B"/>
    <w:rsid w:val="002B065E"/>
    <w:rsid w:val="002B0C83"/>
    <w:rsid w:val="002B0D7C"/>
    <w:rsid w:val="002B15C9"/>
    <w:rsid w:val="002B1897"/>
    <w:rsid w:val="002B1AB4"/>
    <w:rsid w:val="002B1AEE"/>
    <w:rsid w:val="002B218A"/>
    <w:rsid w:val="002B30AF"/>
    <w:rsid w:val="002B30FE"/>
    <w:rsid w:val="002B3144"/>
    <w:rsid w:val="002B3257"/>
    <w:rsid w:val="002B33CD"/>
    <w:rsid w:val="002B3507"/>
    <w:rsid w:val="002B3515"/>
    <w:rsid w:val="002B3667"/>
    <w:rsid w:val="002B3868"/>
    <w:rsid w:val="002B3A16"/>
    <w:rsid w:val="002B3A34"/>
    <w:rsid w:val="002B3AA0"/>
    <w:rsid w:val="002B3E75"/>
    <w:rsid w:val="002B3EB5"/>
    <w:rsid w:val="002B4076"/>
    <w:rsid w:val="002B41F2"/>
    <w:rsid w:val="002B450B"/>
    <w:rsid w:val="002B465F"/>
    <w:rsid w:val="002B47A9"/>
    <w:rsid w:val="002B47C8"/>
    <w:rsid w:val="002B4AF8"/>
    <w:rsid w:val="002B557D"/>
    <w:rsid w:val="002B55DC"/>
    <w:rsid w:val="002B59FE"/>
    <w:rsid w:val="002B5B08"/>
    <w:rsid w:val="002B5CBC"/>
    <w:rsid w:val="002B5F79"/>
    <w:rsid w:val="002B619B"/>
    <w:rsid w:val="002B61A0"/>
    <w:rsid w:val="002B61ED"/>
    <w:rsid w:val="002B636F"/>
    <w:rsid w:val="002B638B"/>
    <w:rsid w:val="002B64B1"/>
    <w:rsid w:val="002B65A8"/>
    <w:rsid w:val="002B662A"/>
    <w:rsid w:val="002B66E8"/>
    <w:rsid w:val="002B6FB6"/>
    <w:rsid w:val="002B738C"/>
    <w:rsid w:val="002B74C5"/>
    <w:rsid w:val="002B759B"/>
    <w:rsid w:val="002B7C76"/>
    <w:rsid w:val="002C0306"/>
    <w:rsid w:val="002C0970"/>
    <w:rsid w:val="002C0E8D"/>
    <w:rsid w:val="002C1175"/>
    <w:rsid w:val="002C12D8"/>
    <w:rsid w:val="002C12F7"/>
    <w:rsid w:val="002C1464"/>
    <w:rsid w:val="002C1471"/>
    <w:rsid w:val="002C147A"/>
    <w:rsid w:val="002C1A9B"/>
    <w:rsid w:val="002C1AC1"/>
    <w:rsid w:val="002C1BFE"/>
    <w:rsid w:val="002C1C08"/>
    <w:rsid w:val="002C1CAA"/>
    <w:rsid w:val="002C1E01"/>
    <w:rsid w:val="002C1EA8"/>
    <w:rsid w:val="002C2362"/>
    <w:rsid w:val="002C2364"/>
    <w:rsid w:val="002C23A3"/>
    <w:rsid w:val="002C2614"/>
    <w:rsid w:val="002C276E"/>
    <w:rsid w:val="002C29DD"/>
    <w:rsid w:val="002C2BC8"/>
    <w:rsid w:val="002C2D20"/>
    <w:rsid w:val="002C2DFA"/>
    <w:rsid w:val="002C2E6D"/>
    <w:rsid w:val="002C33B3"/>
    <w:rsid w:val="002C34FB"/>
    <w:rsid w:val="002C3A60"/>
    <w:rsid w:val="002C3B17"/>
    <w:rsid w:val="002C4112"/>
    <w:rsid w:val="002C423A"/>
    <w:rsid w:val="002C44DD"/>
    <w:rsid w:val="002C45C4"/>
    <w:rsid w:val="002C461F"/>
    <w:rsid w:val="002C46A4"/>
    <w:rsid w:val="002C4F85"/>
    <w:rsid w:val="002C5060"/>
    <w:rsid w:val="002C52ED"/>
    <w:rsid w:val="002C537D"/>
    <w:rsid w:val="002C5602"/>
    <w:rsid w:val="002C58E1"/>
    <w:rsid w:val="002C5ACF"/>
    <w:rsid w:val="002C5C27"/>
    <w:rsid w:val="002C5D09"/>
    <w:rsid w:val="002C5E57"/>
    <w:rsid w:val="002C5E5A"/>
    <w:rsid w:val="002C63E2"/>
    <w:rsid w:val="002C6A2B"/>
    <w:rsid w:val="002C730D"/>
    <w:rsid w:val="002C7963"/>
    <w:rsid w:val="002C79ED"/>
    <w:rsid w:val="002C7FF2"/>
    <w:rsid w:val="002D0375"/>
    <w:rsid w:val="002D0610"/>
    <w:rsid w:val="002D0736"/>
    <w:rsid w:val="002D0908"/>
    <w:rsid w:val="002D0F40"/>
    <w:rsid w:val="002D1248"/>
    <w:rsid w:val="002D130A"/>
    <w:rsid w:val="002D1393"/>
    <w:rsid w:val="002D14DE"/>
    <w:rsid w:val="002D1C24"/>
    <w:rsid w:val="002D28B2"/>
    <w:rsid w:val="002D2F32"/>
    <w:rsid w:val="002D2FE1"/>
    <w:rsid w:val="002D30E1"/>
    <w:rsid w:val="002D3144"/>
    <w:rsid w:val="002D33DF"/>
    <w:rsid w:val="002D3547"/>
    <w:rsid w:val="002D3689"/>
    <w:rsid w:val="002D3873"/>
    <w:rsid w:val="002D39BA"/>
    <w:rsid w:val="002D3D99"/>
    <w:rsid w:val="002D3F24"/>
    <w:rsid w:val="002D40DB"/>
    <w:rsid w:val="002D4123"/>
    <w:rsid w:val="002D4139"/>
    <w:rsid w:val="002D4176"/>
    <w:rsid w:val="002D419B"/>
    <w:rsid w:val="002D41A5"/>
    <w:rsid w:val="002D422C"/>
    <w:rsid w:val="002D4403"/>
    <w:rsid w:val="002D48B8"/>
    <w:rsid w:val="002D4922"/>
    <w:rsid w:val="002D4B2A"/>
    <w:rsid w:val="002D4F77"/>
    <w:rsid w:val="002D50C8"/>
    <w:rsid w:val="002D53FF"/>
    <w:rsid w:val="002D55D3"/>
    <w:rsid w:val="002D5743"/>
    <w:rsid w:val="002D58E5"/>
    <w:rsid w:val="002D5ADF"/>
    <w:rsid w:val="002D5DEF"/>
    <w:rsid w:val="002D5F0E"/>
    <w:rsid w:val="002D5F30"/>
    <w:rsid w:val="002D60AD"/>
    <w:rsid w:val="002D6492"/>
    <w:rsid w:val="002D6550"/>
    <w:rsid w:val="002D66A9"/>
    <w:rsid w:val="002D6754"/>
    <w:rsid w:val="002D68C9"/>
    <w:rsid w:val="002D6B1B"/>
    <w:rsid w:val="002D7292"/>
    <w:rsid w:val="002D7336"/>
    <w:rsid w:val="002D7366"/>
    <w:rsid w:val="002D7618"/>
    <w:rsid w:val="002D780C"/>
    <w:rsid w:val="002D786D"/>
    <w:rsid w:val="002D78E9"/>
    <w:rsid w:val="002D7D88"/>
    <w:rsid w:val="002E0019"/>
    <w:rsid w:val="002E03AC"/>
    <w:rsid w:val="002E06AE"/>
    <w:rsid w:val="002E08AC"/>
    <w:rsid w:val="002E0B6E"/>
    <w:rsid w:val="002E0E0E"/>
    <w:rsid w:val="002E0F62"/>
    <w:rsid w:val="002E11D2"/>
    <w:rsid w:val="002E1672"/>
    <w:rsid w:val="002E179C"/>
    <w:rsid w:val="002E1FD2"/>
    <w:rsid w:val="002E2683"/>
    <w:rsid w:val="002E293C"/>
    <w:rsid w:val="002E2B0B"/>
    <w:rsid w:val="002E2C26"/>
    <w:rsid w:val="002E2E06"/>
    <w:rsid w:val="002E2E11"/>
    <w:rsid w:val="002E32D7"/>
    <w:rsid w:val="002E32D9"/>
    <w:rsid w:val="002E334A"/>
    <w:rsid w:val="002E3457"/>
    <w:rsid w:val="002E3AFE"/>
    <w:rsid w:val="002E3C86"/>
    <w:rsid w:val="002E3FC1"/>
    <w:rsid w:val="002E4065"/>
    <w:rsid w:val="002E415D"/>
    <w:rsid w:val="002E4435"/>
    <w:rsid w:val="002E4461"/>
    <w:rsid w:val="002E447E"/>
    <w:rsid w:val="002E45F4"/>
    <w:rsid w:val="002E49EB"/>
    <w:rsid w:val="002E4D67"/>
    <w:rsid w:val="002E5337"/>
    <w:rsid w:val="002E54BE"/>
    <w:rsid w:val="002E56E2"/>
    <w:rsid w:val="002E5C8B"/>
    <w:rsid w:val="002E5D13"/>
    <w:rsid w:val="002E5DC9"/>
    <w:rsid w:val="002E5E13"/>
    <w:rsid w:val="002E604E"/>
    <w:rsid w:val="002E6263"/>
    <w:rsid w:val="002E62A0"/>
    <w:rsid w:val="002E63F1"/>
    <w:rsid w:val="002E64AD"/>
    <w:rsid w:val="002E6578"/>
    <w:rsid w:val="002E66FD"/>
    <w:rsid w:val="002E67B5"/>
    <w:rsid w:val="002E68FF"/>
    <w:rsid w:val="002E6E7E"/>
    <w:rsid w:val="002E70A6"/>
    <w:rsid w:val="002E7151"/>
    <w:rsid w:val="002E7233"/>
    <w:rsid w:val="002E76F6"/>
    <w:rsid w:val="002E78E7"/>
    <w:rsid w:val="002E7BC6"/>
    <w:rsid w:val="002E7C24"/>
    <w:rsid w:val="002E7E5B"/>
    <w:rsid w:val="002F000A"/>
    <w:rsid w:val="002F0087"/>
    <w:rsid w:val="002F0263"/>
    <w:rsid w:val="002F0475"/>
    <w:rsid w:val="002F0604"/>
    <w:rsid w:val="002F067F"/>
    <w:rsid w:val="002F077C"/>
    <w:rsid w:val="002F0A0C"/>
    <w:rsid w:val="002F0BC4"/>
    <w:rsid w:val="002F0EF2"/>
    <w:rsid w:val="002F0FBF"/>
    <w:rsid w:val="002F128D"/>
    <w:rsid w:val="002F1708"/>
    <w:rsid w:val="002F1E70"/>
    <w:rsid w:val="002F2043"/>
    <w:rsid w:val="002F2248"/>
    <w:rsid w:val="002F2452"/>
    <w:rsid w:val="002F2464"/>
    <w:rsid w:val="002F25ED"/>
    <w:rsid w:val="002F260F"/>
    <w:rsid w:val="002F295D"/>
    <w:rsid w:val="002F29BC"/>
    <w:rsid w:val="002F29CE"/>
    <w:rsid w:val="002F2A42"/>
    <w:rsid w:val="002F2F0D"/>
    <w:rsid w:val="002F3343"/>
    <w:rsid w:val="002F36E2"/>
    <w:rsid w:val="002F36ED"/>
    <w:rsid w:val="002F370F"/>
    <w:rsid w:val="002F3771"/>
    <w:rsid w:val="002F3AEC"/>
    <w:rsid w:val="002F3B8A"/>
    <w:rsid w:val="002F3BA3"/>
    <w:rsid w:val="002F3E0F"/>
    <w:rsid w:val="002F3FE5"/>
    <w:rsid w:val="002F4064"/>
    <w:rsid w:val="002F408B"/>
    <w:rsid w:val="002F409B"/>
    <w:rsid w:val="002F4646"/>
    <w:rsid w:val="002F46C1"/>
    <w:rsid w:val="002F4C32"/>
    <w:rsid w:val="002F4E63"/>
    <w:rsid w:val="002F4FEB"/>
    <w:rsid w:val="002F4FED"/>
    <w:rsid w:val="002F50BF"/>
    <w:rsid w:val="002F52C9"/>
    <w:rsid w:val="002F563D"/>
    <w:rsid w:val="002F58CD"/>
    <w:rsid w:val="002F5B28"/>
    <w:rsid w:val="002F5DBE"/>
    <w:rsid w:val="002F60BE"/>
    <w:rsid w:val="002F62E0"/>
    <w:rsid w:val="002F63C2"/>
    <w:rsid w:val="002F658A"/>
    <w:rsid w:val="002F6738"/>
    <w:rsid w:val="002F6CDF"/>
    <w:rsid w:val="002F6E0A"/>
    <w:rsid w:val="002F6E54"/>
    <w:rsid w:val="002F727B"/>
    <w:rsid w:val="002F72D2"/>
    <w:rsid w:val="002F7353"/>
    <w:rsid w:val="002F7633"/>
    <w:rsid w:val="002F772D"/>
    <w:rsid w:val="002F79DB"/>
    <w:rsid w:val="0030017E"/>
    <w:rsid w:val="00300984"/>
    <w:rsid w:val="00300A59"/>
    <w:rsid w:val="00300AE8"/>
    <w:rsid w:val="00300B2D"/>
    <w:rsid w:val="00300B75"/>
    <w:rsid w:val="00300C96"/>
    <w:rsid w:val="00300CA0"/>
    <w:rsid w:val="00300CE9"/>
    <w:rsid w:val="00300EA3"/>
    <w:rsid w:val="003010CE"/>
    <w:rsid w:val="003013A4"/>
    <w:rsid w:val="0030145D"/>
    <w:rsid w:val="003018BD"/>
    <w:rsid w:val="00301952"/>
    <w:rsid w:val="0030209E"/>
    <w:rsid w:val="00302164"/>
    <w:rsid w:val="00302297"/>
    <w:rsid w:val="00302618"/>
    <w:rsid w:val="003026DF"/>
    <w:rsid w:val="00302795"/>
    <w:rsid w:val="003028E3"/>
    <w:rsid w:val="00302ACA"/>
    <w:rsid w:val="00302AE3"/>
    <w:rsid w:val="00302B11"/>
    <w:rsid w:val="00303645"/>
    <w:rsid w:val="0030378A"/>
    <w:rsid w:val="0030398B"/>
    <w:rsid w:val="003039BD"/>
    <w:rsid w:val="00303B30"/>
    <w:rsid w:val="00303BCB"/>
    <w:rsid w:val="00303C3A"/>
    <w:rsid w:val="00303C5B"/>
    <w:rsid w:val="00303C60"/>
    <w:rsid w:val="00303CD7"/>
    <w:rsid w:val="00303D5F"/>
    <w:rsid w:val="00304093"/>
    <w:rsid w:val="0030434A"/>
    <w:rsid w:val="003043EE"/>
    <w:rsid w:val="00304410"/>
    <w:rsid w:val="0030478B"/>
    <w:rsid w:val="0030481A"/>
    <w:rsid w:val="003048BF"/>
    <w:rsid w:val="00304926"/>
    <w:rsid w:val="00304F2C"/>
    <w:rsid w:val="0030547D"/>
    <w:rsid w:val="00305616"/>
    <w:rsid w:val="00305A2B"/>
    <w:rsid w:val="00305D22"/>
    <w:rsid w:val="00305D6B"/>
    <w:rsid w:val="00305F78"/>
    <w:rsid w:val="00306092"/>
    <w:rsid w:val="003062B9"/>
    <w:rsid w:val="00306555"/>
    <w:rsid w:val="0030658C"/>
    <w:rsid w:val="00306668"/>
    <w:rsid w:val="003066E2"/>
    <w:rsid w:val="003067B3"/>
    <w:rsid w:val="003067B5"/>
    <w:rsid w:val="003069E8"/>
    <w:rsid w:val="00306ACB"/>
    <w:rsid w:val="00306C0F"/>
    <w:rsid w:val="003071E7"/>
    <w:rsid w:val="003071F7"/>
    <w:rsid w:val="0030727C"/>
    <w:rsid w:val="003073EC"/>
    <w:rsid w:val="0030741B"/>
    <w:rsid w:val="0030741C"/>
    <w:rsid w:val="00307427"/>
    <w:rsid w:val="003075CE"/>
    <w:rsid w:val="003076A4"/>
    <w:rsid w:val="003076C8"/>
    <w:rsid w:val="00307F0A"/>
    <w:rsid w:val="003101DF"/>
    <w:rsid w:val="00310882"/>
    <w:rsid w:val="00310BB7"/>
    <w:rsid w:val="00310C1F"/>
    <w:rsid w:val="00310E57"/>
    <w:rsid w:val="003114E8"/>
    <w:rsid w:val="003119AB"/>
    <w:rsid w:val="003119DC"/>
    <w:rsid w:val="00311A9D"/>
    <w:rsid w:val="00311AA8"/>
    <w:rsid w:val="00311D1E"/>
    <w:rsid w:val="00311F34"/>
    <w:rsid w:val="00311F4E"/>
    <w:rsid w:val="0031214A"/>
    <w:rsid w:val="003121C4"/>
    <w:rsid w:val="00312290"/>
    <w:rsid w:val="00312339"/>
    <w:rsid w:val="00312346"/>
    <w:rsid w:val="003123EE"/>
    <w:rsid w:val="00312486"/>
    <w:rsid w:val="0031285C"/>
    <w:rsid w:val="003128B4"/>
    <w:rsid w:val="00312B34"/>
    <w:rsid w:val="003137F3"/>
    <w:rsid w:val="00313F73"/>
    <w:rsid w:val="00313FBF"/>
    <w:rsid w:val="00313FE2"/>
    <w:rsid w:val="0031405D"/>
    <w:rsid w:val="00314200"/>
    <w:rsid w:val="003146A8"/>
    <w:rsid w:val="003147A4"/>
    <w:rsid w:val="00314A16"/>
    <w:rsid w:val="00314A99"/>
    <w:rsid w:val="00314B3F"/>
    <w:rsid w:val="00315118"/>
    <w:rsid w:val="0031563A"/>
    <w:rsid w:val="003156A6"/>
    <w:rsid w:val="00315865"/>
    <w:rsid w:val="00315875"/>
    <w:rsid w:val="00315945"/>
    <w:rsid w:val="00315997"/>
    <w:rsid w:val="00315A3B"/>
    <w:rsid w:val="00315A51"/>
    <w:rsid w:val="00315E38"/>
    <w:rsid w:val="00316129"/>
    <w:rsid w:val="003168EF"/>
    <w:rsid w:val="00316ABF"/>
    <w:rsid w:val="00316B2E"/>
    <w:rsid w:val="00316B97"/>
    <w:rsid w:val="00316C18"/>
    <w:rsid w:val="00316EE7"/>
    <w:rsid w:val="0031724D"/>
    <w:rsid w:val="003174E4"/>
    <w:rsid w:val="0031780E"/>
    <w:rsid w:val="00317B0D"/>
    <w:rsid w:val="00317B39"/>
    <w:rsid w:val="00317C61"/>
    <w:rsid w:val="00317FC7"/>
    <w:rsid w:val="003201AD"/>
    <w:rsid w:val="003201D5"/>
    <w:rsid w:val="003202DF"/>
    <w:rsid w:val="00320585"/>
    <w:rsid w:val="003205FB"/>
    <w:rsid w:val="0032080F"/>
    <w:rsid w:val="00320822"/>
    <w:rsid w:val="00320BBD"/>
    <w:rsid w:val="00320F6B"/>
    <w:rsid w:val="003210CE"/>
    <w:rsid w:val="0032154A"/>
    <w:rsid w:val="0032154D"/>
    <w:rsid w:val="00321784"/>
    <w:rsid w:val="00321806"/>
    <w:rsid w:val="003219B3"/>
    <w:rsid w:val="00321B5F"/>
    <w:rsid w:val="00321C27"/>
    <w:rsid w:val="00321CDC"/>
    <w:rsid w:val="00321E57"/>
    <w:rsid w:val="00321FB5"/>
    <w:rsid w:val="00322106"/>
    <w:rsid w:val="00322184"/>
    <w:rsid w:val="00322351"/>
    <w:rsid w:val="0032270E"/>
    <w:rsid w:val="00322E7E"/>
    <w:rsid w:val="00322EBF"/>
    <w:rsid w:val="003230AD"/>
    <w:rsid w:val="0032314A"/>
    <w:rsid w:val="00323282"/>
    <w:rsid w:val="003234B5"/>
    <w:rsid w:val="003234E3"/>
    <w:rsid w:val="0032354C"/>
    <w:rsid w:val="0032356F"/>
    <w:rsid w:val="0032407C"/>
    <w:rsid w:val="00324550"/>
    <w:rsid w:val="00324846"/>
    <w:rsid w:val="00324C80"/>
    <w:rsid w:val="00324E00"/>
    <w:rsid w:val="00324FDC"/>
    <w:rsid w:val="003253F8"/>
    <w:rsid w:val="003257B1"/>
    <w:rsid w:val="00325803"/>
    <w:rsid w:val="00325813"/>
    <w:rsid w:val="003259F3"/>
    <w:rsid w:val="00325A96"/>
    <w:rsid w:val="00325E51"/>
    <w:rsid w:val="003260E7"/>
    <w:rsid w:val="0032624F"/>
    <w:rsid w:val="00326272"/>
    <w:rsid w:val="00326393"/>
    <w:rsid w:val="00326869"/>
    <w:rsid w:val="00326B2F"/>
    <w:rsid w:val="00326B9F"/>
    <w:rsid w:val="00326ED2"/>
    <w:rsid w:val="003271A7"/>
    <w:rsid w:val="0032767F"/>
    <w:rsid w:val="003277C0"/>
    <w:rsid w:val="003278EF"/>
    <w:rsid w:val="00327ED4"/>
    <w:rsid w:val="00330021"/>
    <w:rsid w:val="00330080"/>
    <w:rsid w:val="00330220"/>
    <w:rsid w:val="00330501"/>
    <w:rsid w:val="003306B2"/>
    <w:rsid w:val="003307E3"/>
    <w:rsid w:val="00330A8D"/>
    <w:rsid w:val="00330B6D"/>
    <w:rsid w:val="00330BFD"/>
    <w:rsid w:val="00330DD1"/>
    <w:rsid w:val="00330E5D"/>
    <w:rsid w:val="00330F7D"/>
    <w:rsid w:val="0033108D"/>
    <w:rsid w:val="003311E1"/>
    <w:rsid w:val="0033126D"/>
    <w:rsid w:val="0033140D"/>
    <w:rsid w:val="00331453"/>
    <w:rsid w:val="003315D4"/>
    <w:rsid w:val="00331856"/>
    <w:rsid w:val="00331B0B"/>
    <w:rsid w:val="00331C7B"/>
    <w:rsid w:val="0033214B"/>
    <w:rsid w:val="003322FC"/>
    <w:rsid w:val="0033267E"/>
    <w:rsid w:val="003326F7"/>
    <w:rsid w:val="0033284A"/>
    <w:rsid w:val="003328DD"/>
    <w:rsid w:val="00332BA3"/>
    <w:rsid w:val="00332C20"/>
    <w:rsid w:val="00332D87"/>
    <w:rsid w:val="00332F3B"/>
    <w:rsid w:val="00333161"/>
    <w:rsid w:val="0033344A"/>
    <w:rsid w:val="00333501"/>
    <w:rsid w:val="00333A88"/>
    <w:rsid w:val="00333B6A"/>
    <w:rsid w:val="00333ED8"/>
    <w:rsid w:val="00333FC5"/>
    <w:rsid w:val="00334184"/>
    <w:rsid w:val="003341EB"/>
    <w:rsid w:val="0033423D"/>
    <w:rsid w:val="00334675"/>
    <w:rsid w:val="00334918"/>
    <w:rsid w:val="00334E56"/>
    <w:rsid w:val="003352F3"/>
    <w:rsid w:val="003357D7"/>
    <w:rsid w:val="003357FA"/>
    <w:rsid w:val="00335843"/>
    <w:rsid w:val="00335873"/>
    <w:rsid w:val="00335A9D"/>
    <w:rsid w:val="00335ABC"/>
    <w:rsid w:val="00335D63"/>
    <w:rsid w:val="00335E79"/>
    <w:rsid w:val="00336207"/>
    <w:rsid w:val="00336307"/>
    <w:rsid w:val="0033675B"/>
    <w:rsid w:val="003372E7"/>
    <w:rsid w:val="003376FD"/>
    <w:rsid w:val="00337716"/>
    <w:rsid w:val="003378D8"/>
    <w:rsid w:val="00337F45"/>
    <w:rsid w:val="00337F56"/>
    <w:rsid w:val="00340177"/>
    <w:rsid w:val="00340296"/>
    <w:rsid w:val="00340643"/>
    <w:rsid w:val="00340CCA"/>
    <w:rsid w:val="00340FBE"/>
    <w:rsid w:val="00340FC9"/>
    <w:rsid w:val="003410C8"/>
    <w:rsid w:val="003410E0"/>
    <w:rsid w:val="003411D1"/>
    <w:rsid w:val="003413EE"/>
    <w:rsid w:val="003414E7"/>
    <w:rsid w:val="00341759"/>
    <w:rsid w:val="003417AE"/>
    <w:rsid w:val="00341834"/>
    <w:rsid w:val="00341AFB"/>
    <w:rsid w:val="00341BAA"/>
    <w:rsid w:val="003420BD"/>
    <w:rsid w:val="003420DC"/>
    <w:rsid w:val="003421DD"/>
    <w:rsid w:val="003422B7"/>
    <w:rsid w:val="00342528"/>
    <w:rsid w:val="003426D4"/>
    <w:rsid w:val="003426DE"/>
    <w:rsid w:val="0034272E"/>
    <w:rsid w:val="00342F51"/>
    <w:rsid w:val="0034333B"/>
    <w:rsid w:val="0034353C"/>
    <w:rsid w:val="003438C7"/>
    <w:rsid w:val="0034391E"/>
    <w:rsid w:val="00343952"/>
    <w:rsid w:val="00343B80"/>
    <w:rsid w:val="00343E22"/>
    <w:rsid w:val="00343FA3"/>
    <w:rsid w:val="00344497"/>
    <w:rsid w:val="0034452C"/>
    <w:rsid w:val="0034470F"/>
    <w:rsid w:val="00344903"/>
    <w:rsid w:val="00344962"/>
    <w:rsid w:val="00344966"/>
    <w:rsid w:val="00344A78"/>
    <w:rsid w:val="00344DF2"/>
    <w:rsid w:val="00344F02"/>
    <w:rsid w:val="00345305"/>
    <w:rsid w:val="003455C4"/>
    <w:rsid w:val="003456FA"/>
    <w:rsid w:val="003459A3"/>
    <w:rsid w:val="00345BC3"/>
    <w:rsid w:val="00345CAD"/>
    <w:rsid w:val="00345DE1"/>
    <w:rsid w:val="00345EDA"/>
    <w:rsid w:val="003462CE"/>
    <w:rsid w:val="003463B0"/>
    <w:rsid w:val="00346626"/>
    <w:rsid w:val="003466FF"/>
    <w:rsid w:val="00346779"/>
    <w:rsid w:val="00346A60"/>
    <w:rsid w:val="00346C7A"/>
    <w:rsid w:val="00346F26"/>
    <w:rsid w:val="00347170"/>
    <w:rsid w:val="0034730A"/>
    <w:rsid w:val="003474E0"/>
    <w:rsid w:val="0034763C"/>
    <w:rsid w:val="0034784D"/>
    <w:rsid w:val="003478E2"/>
    <w:rsid w:val="00347AF0"/>
    <w:rsid w:val="00347C05"/>
    <w:rsid w:val="00347E06"/>
    <w:rsid w:val="0035027A"/>
    <w:rsid w:val="0035046A"/>
    <w:rsid w:val="00350581"/>
    <w:rsid w:val="003506B5"/>
    <w:rsid w:val="003506E3"/>
    <w:rsid w:val="003509D0"/>
    <w:rsid w:val="00350C74"/>
    <w:rsid w:val="00350E05"/>
    <w:rsid w:val="00350EE4"/>
    <w:rsid w:val="00351190"/>
    <w:rsid w:val="0035122E"/>
    <w:rsid w:val="00351453"/>
    <w:rsid w:val="00351692"/>
    <w:rsid w:val="003516AB"/>
    <w:rsid w:val="003516F1"/>
    <w:rsid w:val="003518A6"/>
    <w:rsid w:val="003518CF"/>
    <w:rsid w:val="00351B5E"/>
    <w:rsid w:val="00352635"/>
    <w:rsid w:val="003530DB"/>
    <w:rsid w:val="00353348"/>
    <w:rsid w:val="003538B0"/>
    <w:rsid w:val="00353982"/>
    <w:rsid w:val="00353A54"/>
    <w:rsid w:val="00353A99"/>
    <w:rsid w:val="00353B87"/>
    <w:rsid w:val="00353E68"/>
    <w:rsid w:val="003544B3"/>
    <w:rsid w:val="00354565"/>
    <w:rsid w:val="00354629"/>
    <w:rsid w:val="00354681"/>
    <w:rsid w:val="0035481E"/>
    <w:rsid w:val="003548DA"/>
    <w:rsid w:val="00354988"/>
    <w:rsid w:val="00354F11"/>
    <w:rsid w:val="0035500E"/>
    <w:rsid w:val="00355718"/>
    <w:rsid w:val="00355DCD"/>
    <w:rsid w:val="00355DDA"/>
    <w:rsid w:val="00355E61"/>
    <w:rsid w:val="00356148"/>
    <w:rsid w:val="0035637F"/>
    <w:rsid w:val="0035642C"/>
    <w:rsid w:val="00356560"/>
    <w:rsid w:val="00356BE2"/>
    <w:rsid w:val="00356C4F"/>
    <w:rsid w:val="00356DBC"/>
    <w:rsid w:val="00356E26"/>
    <w:rsid w:val="00356FEA"/>
    <w:rsid w:val="00357172"/>
    <w:rsid w:val="0035726D"/>
    <w:rsid w:val="003572BA"/>
    <w:rsid w:val="003574B2"/>
    <w:rsid w:val="0035765D"/>
    <w:rsid w:val="0035769F"/>
    <w:rsid w:val="00357A15"/>
    <w:rsid w:val="00357F7B"/>
    <w:rsid w:val="003600B4"/>
    <w:rsid w:val="00360536"/>
    <w:rsid w:val="00360812"/>
    <w:rsid w:val="00360ABC"/>
    <w:rsid w:val="00360B44"/>
    <w:rsid w:val="00360DE7"/>
    <w:rsid w:val="00360E41"/>
    <w:rsid w:val="0036121C"/>
    <w:rsid w:val="00361262"/>
    <w:rsid w:val="003615EC"/>
    <w:rsid w:val="00361617"/>
    <w:rsid w:val="003619B2"/>
    <w:rsid w:val="003619E9"/>
    <w:rsid w:val="00361CC8"/>
    <w:rsid w:val="00361F7D"/>
    <w:rsid w:val="003623A2"/>
    <w:rsid w:val="0036246E"/>
    <w:rsid w:val="0036264B"/>
    <w:rsid w:val="00362B68"/>
    <w:rsid w:val="00362DD6"/>
    <w:rsid w:val="00363113"/>
    <w:rsid w:val="0036362E"/>
    <w:rsid w:val="00363A6E"/>
    <w:rsid w:val="00363E09"/>
    <w:rsid w:val="00364045"/>
    <w:rsid w:val="00364138"/>
    <w:rsid w:val="0036455D"/>
    <w:rsid w:val="00364585"/>
    <w:rsid w:val="00364761"/>
    <w:rsid w:val="00364C0A"/>
    <w:rsid w:val="00364CB1"/>
    <w:rsid w:val="00364FF9"/>
    <w:rsid w:val="0036526A"/>
    <w:rsid w:val="00365287"/>
    <w:rsid w:val="0036530C"/>
    <w:rsid w:val="00365364"/>
    <w:rsid w:val="003654F0"/>
    <w:rsid w:val="00365633"/>
    <w:rsid w:val="00365741"/>
    <w:rsid w:val="0036581C"/>
    <w:rsid w:val="003659B5"/>
    <w:rsid w:val="00365D5C"/>
    <w:rsid w:val="00365D96"/>
    <w:rsid w:val="00365E3A"/>
    <w:rsid w:val="0036614E"/>
    <w:rsid w:val="003662A1"/>
    <w:rsid w:val="00366378"/>
    <w:rsid w:val="003663AF"/>
    <w:rsid w:val="00366478"/>
    <w:rsid w:val="00366563"/>
    <w:rsid w:val="0036659E"/>
    <w:rsid w:val="00366B92"/>
    <w:rsid w:val="00366C2A"/>
    <w:rsid w:val="00366D07"/>
    <w:rsid w:val="00366F7F"/>
    <w:rsid w:val="003670FF"/>
    <w:rsid w:val="00367282"/>
    <w:rsid w:val="003672CF"/>
    <w:rsid w:val="003676D8"/>
    <w:rsid w:val="00367AE3"/>
    <w:rsid w:val="00367FEB"/>
    <w:rsid w:val="00370004"/>
    <w:rsid w:val="00370276"/>
    <w:rsid w:val="00370314"/>
    <w:rsid w:val="00370339"/>
    <w:rsid w:val="003703C3"/>
    <w:rsid w:val="00370758"/>
    <w:rsid w:val="0037078C"/>
    <w:rsid w:val="003707EE"/>
    <w:rsid w:val="003707FF"/>
    <w:rsid w:val="00370931"/>
    <w:rsid w:val="00370C79"/>
    <w:rsid w:val="00370E57"/>
    <w:rsid w:val="00371A03"/>
    <w:rsid w:val="00371A86"/>
    <w:rsid w:val="00371E99"/>
    <w:rsid w:val="00371F1D"/>
    <w:rsid w:val="0037203C"/>
    <w:rsid w:val="0037213E"/>
    <w:rsid w:val="0037214B"/>
    <w:rsid w:val="0037221F"/>
    <w:rsid w:val="00372293"/>
    <w:rsid w:val="0037235F"/>
    <w:rsid w:val="0037240D"/>
    <w:rsid w:val="003727CB"/>
    <w:rsid w:val="00372960"/>
    <w:rsid w:val="00372967"/>
    <w:rsid w:val="00372BF7"/>
    <w:rsid w:val="00372C69"/>
    <w:rsid w:val="00372FA5"/>
    <w:rsid w:val="00372FB0"/>
    <w:rsid w:val="00373472"/>
    <w:rsid w:val="0037349C"/>
    <w:rsid w:val="0037351E"/>
    <w:rsid w:val="003735F7"/>
    <w:rsid w:val="003739A4"/>
    <w:rsid w:val="00373A8B"/>
    <w:rsid w:val="00373AD6"/>
    <w:rsid w:val="00373C24"/>
    <w:rsid w:val="003740AB"/>
    <w:rsid w:val="003743D5"/>
    <w:rsid w:val="00374599"/>
    <w:rsid w:val="00374AEB"/>
    <w:rsid w:val="00374BFF"/>
    <w:rsid w:val="00374DFD"/>
    <w:rsid w:val="0037502A"/>
    <w:rsid w:val="00375302"/>
    <w:rsid w:val="003758A4"/>
    <w:rsid w:val="00375B68"/>
    <w:rsid w:val="00375DAE"/>
    <w:rsid w:val="00375F0B"/>
    <w:rsid w:val="00375F60"/>
    <w:rsid w:val="003760FE"/>
    <w:rsid w:val="0037647B"/>
    <w:rsid w:val="00376494"/>
    <w:rsid w:val="0037660B"/>
    <w:rsid w:val="003767E5"/>
    <w:rsid w:val="00376850"/>
    <w:rsid w:val="003768CD"/>
    <w:rsid w:val="00376944"/>
    <w:rsid w:val="003769E0"/>
    <w:rsid w:val="00376A80"/>
    <w:rsid w:val="00377536"/>
    <w:rsid w:val="00377965"/>
    <w:rsid w:val="00377A51"/>
    <w:rsid w:val="00377E3B"/>
    <w:rsid w:val="00377EE4"/>
    <w:rsid w:val="00377F4D"/>
    <w:rsid w:val="003801D1"/>
    <w:rsid w:val="003801DA"/>
    <w:rsid w:val="003802A7"/>
    <w:rsid w:val="00380417"/>
    <w:rsid w:val="00380675"/>
    <w:rsid w:val="00380818"/>
    <w:rsid w:val="00380BAE"/>
    <w:rsid w:val="00380D07"/>
    <w:rsid w:val="00380F46"/>
    <w:rsid w:val="003810E5"/>
    <w:rsid w:val="0038182F"/>
    <w:rsid w:val="00381921"/>
    <w:rsid w:val="00381BD6"/>
    <w:rsid w:val="00381D07"/>
    <w:rsid w:val="00381D09"/>
    <w:rsid w:val="003821FC"/>
    <w:rsid w:val="00382642"/>
    <w:rsid w:val="003827A7"/>
    <w:rsid w:val="00382801"/>
    <w:rsid w:val="00382872"/>
    <w:rsid w:val="00382942"/>
    <w:rsid w:val="003829F6"/>
    <w:rsid w:val="00382A33"/>
    <w:rsid w:val="00382A38"/>
    <w:rsid w:val="00382A9D"/>
    <w:rsid w:val="00382D51"/>
    <w:rsid w:val="0038313B"/>
    <w:rsid w:val="00383877"/>
    <w:rsid w:val="00383A4E"/>
    <w:rsid w:val="00383B4F"/>
    <w:rsid w:val="00383BC5"/>
    <w:rsid w:val="00383C13"/>
    <w:rsid w:val="0038407E"/>
    <w:rsid w:val="00384115"/>
    <w:rsid w:val="00384248"/>
    <w:rsid w:val="003846CE"/>
    <w:rsid w:val="00384CD9"/>
    <w:rsid w:val="00384FAA"/>
    <w:rsid w:val="00385100"/>
    <w:rsid w:val="0038524C"/>
    <w:rsid w:val="003854AA"/>
    <w:rsid w:val="003856DD"/>
    <w:rsid w:val="00385824"/>
    <w:rsid w:val="00385868"/>
    <w:rsid w:val="00385A3C"/>
    <w:rsid w:val="00385B6A"/>
    <w:rsid w:val="00385FC5"/>
    <w:rsid w:val="003860E9"/>
    <w:rsid w:val="003863AC"/>
    <w:rsid w:val="00386AF5"/>
    <w:rsid w:val="00386B67"/>
    <w:rsid w:val="00386EDA"/>
    <w:rsid w:val="00387343"/>
    <w:rsid w:val="003873D7"/>
    <w:rsid w:val="0038771E"/>
    <w:rsid w:val="00387A37"/>
    <w:rsid w:val="00387AF4"/>
    <w:rsid w:val="00387B6A"/>
    <w:rsid w:val="00387C07"/>
    <w:rsid w:val="00387D97"/>
    <w:rsid w:val="0039011B"/>
    <w:rsid w:val="0039049A"/>
    <w:rsid w:val="00390ABE"/>
    <w:rsid w:val="003910DA"/>
    <w:rsid w:val="003911B1"/>
    <w:rsid w:val="00391214"/>
    <w:rsid w:val="003913C1"/>
    <w:rsid w:val="00391419"/>
    <w:rsid w:val="003914FE"/>
    <w:rsid w:val="00391564"/>
    <w:rsid w:val="00391603"/>
    <w:rsid w:val="00391A26"/>
    <w:rsid w:val="0039216B"/>
    <w:rsid w:val="00392561"/>
    <w:rsid w:val="00392B40"/>
    <w:rsid w:val="00392B93"/>
    <w:rsid w:val="00392DAA"/>
    <w:rsid w:val="00392F5C"/>
    <w:rsid w:val="00392FF7"/>
    <w:rsid w:val="003933F2"/>
    <w:rsid w:val="0039369F"/>
    <w:rsid w:val="00393941"/>
    <w:rsid w:val="00393C7B"/>
    <w:rsid w:val="0039411A"/>
    <w:rsid w:val="003941A2"/>
    <w:rsid w:val="003941B9"/>
    <w:rsid w:val="003944A9"/>
    <w:rsid w:val="00394A4C"/>
    <w:rsid w:val="00394BE8"/>
    <w:rsid w:val="00394E6B"/>
    <w:rsid w:val="00394F7D"/>
    <w:rsid w:val="0039540A"/>
    <w:rsid w:val="0039567C"/>
    <w:rsid w:val="00395745"/>
    <w:rsid w:val="003959AD"/>
    <w:rsid w:val="00395A09"/>
    <w:rsid w:val="00395B19"/>
    <w:rsid w:val="00395CB0"/>
    <w:rsid w:val="00395CC7"/>
    <w:rsid w:val="00395F82"/>
    <w:rsid w:val="003961AA"/>
    <w:rsid w:val="0039640A"/>
    <w:rsid w:val="00396574"/>
    <w:rsid w:val="00396F30"/>
    <w:rsid w:val="0039702A"/>
    <w:rsid w:val="0039705B"/>
    <w:rsid w:val="003971EA"/>
    <w:rsid w:val="00397218"/>
    <w:rsid w:val="003974ED"/>
    <w:rsid w:val="0039770B"/>
    <w:rsid w:val="00397AB0"/>
    <w:rsid w:val="00397F61"/>
    <w:rsid w:val="003A0143"/>
    <w:rsid w:val="003A0431"/>
    <w:rsid w:val="003A057B"/>
    <w:rsid w:val="003A0689"/>
    <w:rsid w:val="003A0759"/>
    <w:rsid w:val="003A0899"/>
    <w:rsid w:val="003A0964"/>
    <w:rsid w:val="003A0BAA"/>
    <w:rsid w:val="003A10D0"/>
    <w:rsid w:val="003A11B1"/>
    <w:rsid w:val="003A120E"/>
    <w:rsid w:val="003A12F8"/>
    <w:rsid w:val="003A1694"/>
    <w:rsid w:val="003A1731"/>
    <w:rsid w:val="003A1816"/>
    <w:rsid w:val="003A1896"/>
    <w:rsid w:val="003A1A2B"/>
    <w:rsid w:val="003A1AA8"/>
    <w:rsid w:val="003A205B"/>
    <w:rsid w:val="003A2314"/>
    <w:rsid w:val="003A2EEA"/>
    <w:rsid w:val="003A322A"/>
    <w:rsid w:val="003A365C"/>
    <w:rsid w:val="003A3803"/>
    <w:rsid w:val="003A38E5"/>
    <w:rsid w:val="003A395C"/>
    <w:rsid w:val="003A3BB8"/>
    <w:rsid w:val="003A3D36"/>
    <w:rsid w:val="003A3F75"/>
    <w:rsid w:val="003A406E"/>
    <w:rsid w:val="003A43BB"/>
    <w:rsid w:val="003A4673"/>
    <w:rsid w:val="003A4BE9"/>
    <w:rsid w:val="003A4C3C"/>
    <w:rsid w:val="003A4E2B"/>
    <w:rsid w:val="003A57C2"/>
    <w:rsid w:val="003A5825"/>
    <w:rsid w:val="003A5C21"/>
    <w:rsid w:val="003A60F9"/>
    <w:rsid w:val="003A61DF"/>
    <w:rsid w:val="003A6347"/>
    <w:rsid w:val="003A6459"/>
    <w:rsid w:val="003A6567"/>
    <w:rsid w:val="003A66E4"/>
    <w:rsid w:val="003A6A9B"/>
    <w:rsid w:val="003A6BCA"/>
    <w:rsid w:val="003A6CFD"/>
    <w:rsid w:val="003A6DEF"/>
    <w:rsid w:val="003A6E12"/>
    <w:rsid w:val="003A6FC1"/>
    <w:rsid w:val="003A732A"/>
    <w:rsid w:val="003A7382"/>
    <w:rsid w:val="003A769D"/>
    <w:rsid w:val="003A7922"/>
    <w:rsid w:val="003A7CCE"/>
    <w:rsid w:val="003A7ED7"/>
    <w:rsid w:val="003A7F73"/>
    <w:rsid w:val="003B09B2"/>
    <w:rsid w:val="003B0B1F"/>
    <w:rsid w:val="003B0BC6"/>
    <w:rsid w:val="003B0D22"/>
    <w:rsid w:val="003B126B"/>
    <w:rsid w:val="003B1414"/>
    <w:rsid w:val="003B14B1"/>
    <w:rsid w:val="003B1A3C"/>
    <w:rsid w:val="003B1ACA"/>
    <w:rsid w:val="003B1F51"/>
    <w:rsid w:val="003B2043"/>
    <w:rsid w:val="003B21AD"/>
    <w:rsid w:val="003B21E6"/>
    <w:rsid w:val="003B2450"/>
    <w:rsid w:val="003B2570"/>
    <w:rsid w:val="003B27F6"/>
    <w:rsid w:val="003B2945"/>
    <w:rsid w:val="003B2B90"/>
    <w:rsid w:val="003B2B94"/>
    <w:rsid w:val="003B38C8"/>
    <w:rsid w:val="003B3982"/>
    <w:rsid w:val="003B3CD9"/>
    <w:rsid w:val="003B41AE"/>
    <w:rsid w:val="003B4381"/>
    <w:rsid w:val="003B4471"/>
    <w:rsid w:val="003B4838"/>
    <w:rsid w:val="003B50A9"/>
    <w:rsid w:val="003B512D"/>
    <w:rsid w:val="003B51DD"/>
    <w:rsid w:val="003B5898"/>
    <w:rsid w:val="003B5A43"/>
    <w:rsid w:val="003B5F70"/>
    <w:rsid w:val="003B60D5"/>
    <w:rsid w:val="003B6225"/>
    <w:rsid w:val="003B63B3"/>
    <w:rsid w:val="003B655A"/>
    <w:rsid w:val="003B65B1"/>
    <w:rsid w:val="003B6B49"/>
    <w:rsid w:val="003B6CEB"/>
    <w:rsid w:val="003B6DB8"/>
    <w:rsid w:val="003B703B"/>
    <w:rsid w:val="003B7CE8"/>
    <w:rsid w:val="003B7FD9"/>
    <w:rsid w:val="003C005F"/>
    <w:rsid w:val="003C01C4"/>
    <w:rsid w:val="003C023B"/>
    <w:rsid w:val="003C035A"/>
    <w:rsid w:val="003C0367"/>
    <w:rsid w:val="003C048E"/>
    <w:rsid w:val="003C04B2"/>
    <w:rsid w:val="003C0635"/>
    <w:rsid w:val="003C0739"/>
    <w:rsid w:val="003C07DC"/>
    <w:rsid w:val="003C092A"/>
    <w:rsid w:val="003C0B51"/>
    <w:rsid w:val="003C0C04"/>
    <w:rsid w:val="003C0FA5"/>
    <w:rsid w:val="003C1433"/>
    <w:rsid w:val="003C1593"/>
    <w:rsid w:val="003C175F"/>
    <w:rsid w:val="003C194C"/>
    <w:rsid w:val="003C1DC1"/>
    <w:rsid w:val="003C1FC9"/>
    <w:rsid w:val="003C20FC"/>
    <w:rsid w:val="003C22C0"/>
    <w:rsid w:val="003C2409"/>
    <w:rsid w:val="003C28A8"/>
    <w:rsid w:val="003C293C"/>
    <w:rsid w:val="003C2A8B"/>
    <w:rsid w:val="003C2D89"/>
    <w:rsid w:val="003C2DF3"/>
    <w:rsid w:val="003C302A"/>
    <w:rsid w:val="003C3077"/>
    <w:rsid w:val="003C3150"/>
    <w:rsid w:val="003C32B9"/>
    <w:rsid w:val="003C33FE"/>
    <w:rsid w:val="003C35A9"/>
    <w:rsid w:val="003C3EF3"/>
    <w:rsid w:val="003C3F7D"/>
    <w:rsid w:val="003C402D"/>
    <w:rsid w:val="003C410E"/>
    <w:rsid w:val="003C4323"/>
    <w:rsid w:val="003C43DC"/>
    <w:rsid w:val="003C4644"/>
    <w:rsid w:val="003C486C"/>
    <w:rsid w:val="003C4BBD"/>
    <w:rsid w:val="003C4D22"/>
    <w:rsid w:val="003C4DF6"/>
    <w:rsid w:val="003C4E26"/>
    <w:rsid w:val="003C53CD"/>
    <w:rsid w:val="003C541E"/>
    <w:rsid w:val="003C55B6"/>
    <w:rsid w:val="003C58B0"/>
    <w:rsid w:val="003C59F5"/>
    <w:rsid w:val="003C5BC7"/>
    <w:rsid w:val="003C65A9"/>
    <w:rsid w:val="003C66BD"/>
    <w:rsid w:val="003C6738"/>
    <w:rsid w:val="003C6783"/>
    <w:rsid w:val="003C6858"/>
    <w:rsid w:val="003C6886"/>
    <w:rsid w:val="003C6A79"/>
    <w:rsid w:val="003C6CC7"/>
    <w:rsid w:val="003C6E90"/>
    <w:rsid w:val="003C6F14"/>
    <w:rsid w:val="003C7063"/>
    <w:rsid w:val="003C7660"/>
    <w:rsid w:val="003C781F"/>
    <w:rsid w:val="003C7847"/>
    <w:rsid w:val="003C7AB9"/>
    <w:rsid w:val="003C7ECE"/>
    <w:rsid w:val="003D00C2"/>
    <w:rsid w:val="003D03EE"/>
    <w:rsid w:val="003D0897"/>
    <w:rsid w:val="003D08BB"/>
    <w:rsid w:val="003D0BCB"/>
    <w:rsid w:val="003D0C95"/>
    <w:rsid w:val="003D1112"/>
    <w:rsid w:val="003D11B5"/>
    <w:rsid w:val="003D12B7"/>
    <w:rsid w:val="003D1309"/>
    <w:rsid w:val="003D13A4"/>
    <w:rsid w:val="003D13A9"/>
    <w:rsid w:val="003D1838"/>
    <w:rsid w:val="003D1B7E"/>
    <w:rsid w:val="003D1BC9"/>
    <w:rsid w:val="003D1BFA"/>
    <w:rsid w:val="003D1F2C"/>
    <w:rsid w:val="003D23FE"/>
    <w:rsid w:val="003D2608"/>
    <w:rsid w:val="003D261A"/>
    <w:rsid w:val="003D26E0"/>
    <w:rsid w:val="003D28C8"/>
    <w:rsid w:val="003D28EB"/>
    <w:rsid w:val="003D2A8A"/>
    <w:rsid w:val="003D2B97"/>
    <w:rsid w:val="003D324B"/>
    <w:rsid w:val="003D33B0"/>
    <w:rsid w:val="003D347B"/>
    <w:rsid w:val="003D34D8"/>
    <w:rsid w:val="003D3511"/>
    <w:rsid w:val="003D35A8"/>
    <w:rsid w:val="003D367B"/>
    <w:rsid w:val="003D3A09"/>
    <w:rsid w:val="003D3B0D"/>
    <w:rsid w:val="003D4260"/>
    <w:rsid w:val="003D45A5"/>
    <w:rsid w:val="003D49D5"/>
    <w:rsid w:val="003D4BE7"/>
    <w:rsid w:val="003D4C2C"/>
    <w:rsid w:val="003D4D97"/>
    <w:rsid w:val="003D5098"/>
    <w:rsid w:val="003D517E"/>
    <w:rsid w:val="003D5394"/>
    <w:rsid w:val="003D54D9"/>
    <w:rsid w:val="003D5697"/>
    <w:rsid w:val="003D5A97"/>
    <w:rsid w:val="003D5AD7"/>
    <w:rsid w:val="003D5C77"/>
    <w:rsid w:val="003D5CD9"/>
    <w:rsid w:val="003D5D45"/>
    <w:rsid w:val="003D5D5A"/>
    <w:rsid w:val="003D5E52"/>
    <w:rsid w:val="003D618D"/>
    <w:rsid w:val="003D657D"/>
    <w:rsid w:val="003D6F36"/>
    <w:rsid w:val="003D6F46"/>
    <w:rsid w:val="003D71F4"/>
    <w:rsid w:val="003D73DE"/>
    <w:rsid w:val="003D7715"/>
    <w:rsid w:val="003D7887"/>
    <w:rsid w:val="003D7969"/>
    <w:rsid w:val="003D7A09"/>
    <w:rsid w:val="003D7A0F"/>
    <w:rsid w:val="003D7A35"/>
    <w:rsid w:val="003D7B37"/>
    <w:rsid w:val="003D7C78"/>
    <w:rsid w:val="003D7D38"/>
    <w:rsid w:val="003E00BF"/>
    <w:rsid w:val="003E02F1"/>
    <w:rsid w:val="003E02F4"/>
    <w:rsid w:val="003E03DF"/>
    <w:rsid w:val="003E073D"/>
    <w:rsid w:val="003E0B78"/>
    <w:rsid w:val="003E0C29"/>
    <w:rsid w:val="003E0CFA"/>
    <w:rsid w:val="003E0D6B"/>
    <w:rsid w:val="003E0E58"/>
    <w:rsid w:val="003E118A"/>
    <w:rsid w:val="003E13F2"/>
    <w:rsid w:val="003E16D6"/>
    <w:rsid w:val="003E1934"/>
    <w:rsid w:val="003E1A78"/>
    <w:rsid w:val="003E1BA1"/>
    <w:rsid w:val="003E1C9A"/>
    <w:rsid w:val="003E22E9"/>
    <w:rsid w:val="003E278A"/>
    <w:rsid w:val="003E28BB"/>
    <w:rsid w:val="003E2977"/>
    <w:rsid w:val="003E29E1"/>
    <w:rsid w:val="003E2CE2"/>
    <w:rsid w:val="003E2EE4"/>
    <w:rsid w:val="003E33FC"/>
    <w:rsid w:val="003E34D5"/>
    <w:rsid w:val="003E3C0B"/>
    <w:rsid w:val="003E3C47"/>
    <w:rsid w:val="003E4135"/>
    <w:rsid w:val="003E4340"/>
    <w:rsid w:val="003E4503"/>
    <w:rsid w:val="003E4529"/>
    <w:rsid w:val="003E4775"/>
    <w:rsid w:val="003E4A62"/>
    <w:rsid w:val="003E4A9F"/>
    <w:rsid w:val="003E4D54"/>
    <w:rsid w:val="003E4DFE"/>
    <w:rsid w:val="003E4E58"/>
    <w:rsid w:val="003E4FB5"/>
    <w:rsid w:val="003E50DC"/>
    <w:rsid w:val="003E5150"/>
    <w:rsid w:val="003E57BF"/>
    <w:rsid w:val="003E590D"/>
    <w:rsid w:val="003E5949"/>
    <w:rsid w:val="003E599C"/>
    <w:rsid w:val="003E59A0"/>
    <w:rsid w:val="003E5CA7"/>
    <w:rsid w:val="003E6391"/>
    <w:rsid w:val="003E66B8"/>
    <w:rsid w:val="003E6707"/>
    <w:rsid w:val="003E671C"/>
    <w:rsid w:val="003E67FB"/>
    <w:rsid w:val="003E6A1D"/>
    <w:rsid w:val="003E6B18"/>
    <w:rsid w:val="003E6C8B"/>
    <w:rsid w:val="003E6F9A"/>
    <w:rsid w:val="003E7032"/>
    <w:rsid w:val="003E71A5"/>
    <w:rsid w:val="003E7650"/>
    <w:rsid w:val="003E787D"/>
    <w:rsid w:val="003E79A1"/>
    <w:rsid w:val="003E7A27"/>
    <w:rsid w:val="003F02A3"/>
    <w:rsid w:val="003F074B"/>
    <w:rsid w:val="003F0775"/>
    <w:rsid w:val="003F08C9"/>
    <w:rsid w:val="003F08E8"/>
    <w:rsid w:val="003F0BA9"/>
    <w:rsid w:val="003F0CA1"/>
    <w:rsid w:val="003F0D16"/>
    <w:rsid w:val="003F0DF1"/>
    <w:rsid w:val="003F0EE6"/>
    <w:rsid w:val="003F12CA"/>
    <w:rsid w:val="003F14D5"/>
    <w:rsid w:val="003F174D"/>
    <w:rsid w:val="003F1D4D"/>
    <w:rsid w:val="003F1F0B"/>
    <w:rsid w:val="003F1FBE"/>
    <w:rsid w:val="003F202D"/>
    <w:rsid w:val="003F241E"/>
    <w:rsid w:val="003F2463"/>
    <w:rsid w:val="003F264C"/>
    <w:rsid w:val="003F2A46"/>
    <w:rsid w:val="003F2E8F"/>
    <w:rsid w:val="003F31DD"/>
    <w:rsid w:val="003F3290"/>
    <w:rsid w:val="003F380C"/>
    <w:rsid w:val="003F3872"/>
    <w:rsid w:val="003F3EDD"/>
    <w:rsid w:val="003F412F"/>
    <w:rsid w:val="003F417D"/>
    <w:rsid w:val="003F424F"/>
    <w:rsid w:val="003F439D"/>
    <w:rsid w:val="003F476F"/>
    <w:rsid w:val="003F497F"/>
    <w:rsid w:val="003F4984"/>
    <w:rsid w:val="003F49E9"/>
    <w:rsid w:val="003F4AF0"/>
    <w:rsid w:val="003F4BAF"/>
    <w:rsid w:val="003F5001"/>
    <w:rsid w:val="003F5BB8"/>
    <w:rsid w:val="003F5FAC"/>
    <w:rsid w:val="003F6078"/>
    <w:rsid w:val="003F6254"/>
    <w:rsid w:val="003F6459"/>
    <w:rsid w:val="003F6789"/>
    <w:rsid w:val="003F67EF"/>
    <w:rsid w:val="003F6DD5"/>
    <w:rsid w:val="003F6E5E"/>
    <w:rsid w:val="003F71ED"/>
    <w:rsid w:val="003F74EE"/>
    <w:rsid w:val="003F7549"/>
    <w:rsid w:val="003F772E"/>
    <w:rsid w:val="003F793B"/>
    <w:rsid w:val="003F7A88"/>
    <w:rsid w:val="003F7D41"/>
    <w:rsid w:val="00400040"/>
    <w:rsid w:val="00400057"/>
    <w:rsid w:val="0040009C"/>
    <w:rsid w:val="004002A8"/>
    <w:rsid w:val="004008EB"/>
    <w:rsid w:val="004009A6"/>
    <w:rsid w:val="00400BAA"/>
    <w:rsid w:val="00400BE6"/>
    <w:rsid w:val="00400D32"/>
    <w:rsid w:val="00400EAC"/>
    <w:rsid w:val="00400EC0"/>
    <w:rsid w:val="00401023"/>
    <w:rsid w:val="00401129"/>
    <w:rsid w:val="0040123F"/>
    <w:rsid w:val="004016E0"/>
    <w:rsid w:val="00401866"/>
    <w:rsid w:val="00401A2D"/>
    <w:rsid w:val="00401B11"/>
    <w:rsid w:val="00401B3B"/>
    <w:rsid w:val="00401BBA"/>
    <w:rsid w:val="00401FA5"/>
    <w:rsid w:val="004022DA"/>
    <w:rsid w:val="00402743"/>
    <w:rsid w:val="00402B2C"/>
    <w:rsid w:val="004031C8"/>
    <w:rsid w:val="004031E3"/>
    <w:rsid w:val="004032CE"/>
    <w:rsid w:val="0040341F"/>
    <w:rsid w:val="00403502"/>
    <w:rsid w:val="00403FC3"/>
    <w:rsid w:val="0040415B"/>
    <w:rsid w:val="00404245"/>
    <w:rsid w:val="0040465F"/>
    <w:rsid w:val="004047B0"/>
    <w:rsid w:val="004048A2"/>
    <w:rsid w:val="004048C3"/>
    <w:rsid w:val="004049E4"/>
    <w:rsid w:val="00404A2C"/>
    <w:rsid w:val="00404D51"/>
    <w:rsid w:val="00405085"/>
    <w:rsid w:val="00405175"/>
    <w:rsid w:val="0040556E"/>
    <w:rsid w:val="00405759"/>
    <w:rsid w:val="00405CE3"/>
    <w:rsid w:val="00405E85"/>
    <w:rsid w:val="0040632C"/>
    <w:rsid w:val="00406867"/>
    <w:rsid w:val="004069BE"/>
    <w:rsid w:val="004069E4"/>
    <w:rsid w:val="00406B3B"/>
    <w:rsid w:val="00406B70"/>
    <w:rsid w:val="00406DE8"/>
    <w:rsid w:val="00407124"/>
    <w:rsid w:val="0040713B"/>
    <w:rsid w:val="004073F3"/>
    <w:rsid w:val="00407431"/>
    <w:rsid w:val="004074B8"/>
    <w:rsid w:val="00407519"/>
    <w:rsid w:val="004078B4"/>
    <w:rsid w:val="00407A6A"/>
    <w:rsid w:val="00407BB3"/>
    <w:rsid w:val="00407DDB"/>
    <w:rsid w:val="004102E6"/>
    <w:rsid w:val="00410325"/>
    <w:rsid w:val="004104AA"/>
    <w:rsid w:val="00410882"/>
    <w:rsid w:val="0041091D"/>
    <w:rsid w:val="00410D7D"/>
    <w:rsid w:val="00410EEC"/>
    <w:rsid w:val="004117CF"/>
    <w:rsid w:val="00411A03"/>
    <w:rsid w:val="00411A64"/>
    <w:rsid w:val="00411A6A"/>
    <w:rsid w:val="00411CC2"/>
    <w:rsid w:val="00411D61"/>
    <w:rsid w:val="00412114"/>
    <w:rsid w:val="00412643"/>
    <w:rsid w:val="004127C0"/>
    <w:rsid w:val="00412916"/>
    <w:rsid w:val="00412979"/>
    <w:rsid w:val="00412D3D"/>
    <w:rsid w:val="00412E4A"/>
    <w:rsid w:val="00412EAF"/>
    <w:rsid w:val="00413046"/>
    <w:rsid w:val="004130EE"/>
    <w:rsid w:val="00413609"/>
    <w:rsid w:val="00413654"/>
    <w:rsid w:val="004138A1"/>
    <w:rsid w:val="004138D8"/>
    <w:rsid w:val="00413DC4"/>
    <w:rsid w:val="00414109"/>
    <w:rsid w:val="00414146"/>
    <w:rsid w:val="004142B3"/>
    <w:rsid w:val="00414488"/>
    <w:rsid w:val="00414586"/>
    <w:rsid w:val="0041460F"/>
    <w:rsid w:val="0041472A"/>
    <w:rsid w:val="004147A3"/>
    <w:rsid w:val="004148B2"/>
    <w:rsid w:val="00414A31"/>
    <w:rsid w:val="00414A6F"/>
    <w:rsid w:val="00414C80"/>
    <w:rsid w:val="00414E10"/>
    <w:rsid w:val="004150C2"/>
    <w:rsid w:val="004150DA"/>
    <w:rsid w:val="004151B5"/>
    <w:rsid w:val="004152B8"/>
    <w:rsid w:val="004155B3"/>
    <w:rsid w:val="004157B0"/>
    <w:rsid w:val="004157E9"/>
    <w:rsid w:val="00415B2A"/>
    <w:rsid w:val="00415C1E"/>
    <w:rsid w:val="00415D15"/>
    <w:rsid w:val="0041607E"/>
    <w:rsid w:val="0041616B"/>
    <w:rsid w:val="004161E9"/>
    <w:rsid w:val="0041642E"/>
    <w:rsid w:val="00416600"/>
    <w:rsid w:val="00416633"/>
    <w:rsid w:val="004166F4"/>
    <w:rsid w:val="004167D5"/>
    <w:rsid w:val="00416808"/>
    <w:rsid w:val="004168D4"/>
    <w:rsid w:val="0041691E"/>
    <w:rsid w:val="00416A01"/>
    <w:rsid w:val="00416AC2"/>
    <w:rsid w:val="00416CE2"/>
    <w:rsid w:val="00416D7A"/>
    <w:rsid w:val="00416F34"/>
    <w:rsid w:val="0041707C"/>
    <w:rsid w:val="0041709A"/>
    <w:rsid w:val="0041737D"/>
    <w:rsid w:val="004173B6"/>
    <w:rsid w:val="00417B45"/>
    <w:rsid w:val="00417CA3"/>
    <w:rsid w:val="00417DB5"/>
    <w:rsid w:val="00417FA3"/>
    <w:rsid w:val="00417FFA"/>
    <w:rsid w:val="004202D0"/>
    <w:rsid w:val="00420515"/>
    <w:rsid w:val="0042073C"/>
    <w:rsid w:val="00420A0F"/>
    <w:rsid w:val="00420D76"/>
    <w:rsid w:val="00420E37"/>
    <w:rsid w:val="00420FE0"/>
    <w:rsid w:val="00421083"/>
    <w:rsid w:val="004216B1"/>
    <w:rsid w:val="00421860"/>
    <w:rsid w:val="00421E1A"/>
    <w:rsid w:val="00421F57"/>
    <w:rsid w:val="00422292"/>
    <w:rsid w:val="004225B6"/>
    <w:rsid w:val="00422933"/>
    <w:rsid w:val="00422DDA"/>
    <w:rsid w:val="00422F85"/>
    <w:rsid w:val="00422FF8"/>
    <w:rsid w:val="004232F1"/>
    <w:rsid w:val="00423643"/>
    <w:rsid w:val="00423AFB"/>
    <w:rsid w:val="00423CDB"/>
    <w:rsid w:val="00424080"/>
    <w:rsid w:val="00424104"/>
    <w:rsid w:val="004241E8"/>
    <w:rsid w:val="00424208"/>
    <w:rsid w:val="004243ED"/>
    <w:rsid w:val="00424841"/>
    <w:rsid w:val="00424ABC"/>
    <w:rsid w:val="00424B53"/>
    <w:rsid w:val="00424C27"/>
    <w:rsid w:val="00424CCE"/>
    <w:rsid w:val="00424D9B"/>
    <w:rsid w:val="00424DE2"/>
    <w:rsid w:val="00424F08"/>
    <w:rsid w:val="00425137"/>
    <w:rsid w:val="004252B8"/>
    <w:rsid w:val="00425525"/>
    <w:rsid w:val="004255F5"/>
    <w:rsid w:val="004256AC"/>
    <w:rsid w:val="004258D7"/>
    <w:rsid w:val="00425B7E"/>
    <w:rsid w:val="00425C44"/>
    <w:rsid w:val="004260BE"/>
    <w:rsid w:val="0042627C"/>
    <w:rsid w:val="0042648E"/>
    <w:rsid w:val="00426F1A"/>
    <w:rsid w:val="00426FEF"/>
    <w:rsid w:val="004270B9"/>
    <w:rsid w:val="004271F6"/>
    <w:rsid w:val="004272D4"/>
    <w:rsid w:val="00427377"/>
    <w:rsid w:val="0042774F"/>
    <w:rsid w:val="0042788E"/>
    <w:rsid w:val="00427B67"/>
    <w:rsid w:val="00427E98"/>
    <w:rsid w:val="00430089"/>
    <w:rsid w:val="004300EB"/>
    <w:rsid w:val="00430585"/>
    <w:rsid w:val="00430832"/>
    <w:rsid w:val="00430957"/>
    <w:rsid w:val="00430DE2"/>
    <w:rsid w:val="0043112D"/>
    <w:rsid w:val="0043163D"/>
    <w:rsid w:val="004318A5"/>
    <w:rsid w:val="004319B8"/>
    <w:rsid w:val="004319D7"/>
    <w:rsid w:val="00431DD3"/>
    <w:rsid w:val="00432156"/>
    <w:rsid w:val="00432217"/>
    <w:rsid w:val="0043230B"/>
    <w:rsid w:val="00433151"/>
    <w:rsid w:val="00433336"/>
    <w:rsid w:val="004335BA"/>
    <w:rsid w:val="00433824"/>
    <w:rsid w:val="00433B3F"/>
    <w:rsid w:val="00433C27"/>
    <w:rsid w:val="00433C2E"/>
    <w:rsid w:val="004340F8"/>
    <w:rsid w:val="0043419D"/>
    <w:rsid w:val="004343FC"/>
    <w:rsid w:val="004346DE"/>
    <w:rsid w:val="004347E6"/>
    <w:rsid w:val="00434A53"/>
    <w:rsid w:val="00434F63"/>
    <w:rsid w:val="004350FC"/>
    <w:rsid w:val="00435978"/>
    <w:rsid w:val="00435A3C"/>
    <w:rsid w:val="00435A55"/>
    <w:rsid w:val="00435F09"/>
    <w:rsid w:val="00435FC7"/>
    <w:rsid w:val="0043606C"/>
    <w:rsid w:val="00436228"/>
    <w:rsid w:val="0043636C"/>
    <w:rsid w:val="00436434"/>
    <w:rsid w:val="004369B5"/>
    <w:rsid w:val="004369E4"/>
    <w:rsid w:val="00436A06"/>
    <w:rsid w:val="00436B0D"/>
    <w:rsid w:val="00436CBC"/>
    <w:rsid w:val="004371DA"/>
    <w:rsid w:val="0043746C"/>
    <w:rsid w:val="0043758E"/>
    <w:rsid w:val="00437908"/>
    <w:rsid w:val="00437A81"/>
    <w:rsid w:val="00437B0A"/>
    <w:rsid w:val="00437B60"/>
    <w:rsid w:val="00437D05"/>
    <w:rsid w:val="00437E01"/>
    <w:rsid w:val="00437E75"/>
    <w:rsid w:val="0044028C"/>
    <w:rsid w:val="00440291"/>
    <w:rsid w:val="00440636"/>
    <w:rsid w:val="0044097F"/>
    <w:rsid w:val="00440A39"/>
    <w:rsid w:val="00440AA6"/>
    <w:rsid w:val="00440AE7"/>
    <w:rsid w:val="00440C2E"/>
    <w:rsid w:val="004412A2"/>
    <w:rsid w:val="0044149C"/>
    <w:rsid w:val="00441741"/>
    <w:rsid w:val="004417F6"/>
    <w:rsid w:val="00441A26"/>
    <w:rsid w:val="00441D2E"/>
    <w:rsid w:val="00441DFC"/>
    <w:rsid w:val="00441F31"/>
    <w:rsid w:val="00441F93"/>
    <w:rsid w:val="00442584"/>
    <w:rsid w:val="0044283E"/>
    <w:rsid w:val="00442B35"/>
    <w:rsid w:val="00442E29"/>
    <w:rsid w:val="00442F4F"/>
    <w:rsid w:val="00442FCE"/>
    <w:rsid w:val="00443139"/>
    <w:rsid w:val="004437A7"/>
    <w:rsid w:val="00443CEC"/>
    <w:rsid w:val="00444024"/>
    <w:rsid w:val="00444332"/>
    <w:rsid w:val="0044442E"/>
    <w:rsid w:val="00444457"/>
    <w:rsid w:val="0044475C"/>
    <w:rsid w:val="00444CE1"/>
    <w:rsid w:val="00444E92"/>
    <w:rsid w:val="00444EDA"/>
    <w:rsid w:val="004452C9"/>
    <w:rsid w:val="004456D4"/>
    <w:rsid w:val="004456DB"/>
    <w:rsid w:val="00445CFE"/>
    <w:rsid w:val="004462EE"/>
    <w:rsid w:val="004466EA"/>
    <w:rsid w:val="00446880"/>
    <w:rsid w:val="00446A9C"/>
    <w:rsid w:val="00446BFD"/>
    <w:rsid w:val="00446F17"/>
    <w:rsid w:val="0044785F"/>
    <w:rsid w:val="00447925"/>
    <w:rsid w:val="00447BC9"/>
    <w:rsid w:val="00447C97"/>
    <w:rsid w:val="00447FDE"/>
    <w:rsid w:val="00450A78"/>
    <w:rsid w:val="00450B18"/>
    <w:rsid w:val="00450F06"/>
    <w:rsid w:val="00450F7D"/>
    <w:rsid w:val="00451024"/>
    <w:rsid w:val="00451169"/>
    <w:rsid w:val="0045125B"/>
    <w:rsid w:val="004512AF"/>
    <w:rsid w:val="004512DF"/>
    <w:rsid w:val="0045144D"/>
    <w:rsid w:val="00451A95"/>
    <w:rsid w:val="00451E63"/>
    <w:rsid w:val="00452101"/>
    <w:rsid w:val="0045214F"/>
    <w:rsid w:val="004525C7"/>
    <w:rsid w:val="00452900"/>
    <w:rsid w:val="00452A58"/>
    <w:rsid w:val="00452B32"/>
    <w:rsid w:val="00452BF1"/>
    <w:rsid w:val="00452DF1"/>
    <w:rsid w:val="00452E23"/>
    <w:rsid w:val="0045308A"/>
    <w:rsid w:val="004530BC"/>
    <w:rsid w:val="004531A3"/>
    <w:rsid w:val="00453621"/>
    <w:rsid w:val="004538A1"/>
    <w:rsid w:val="004538B4"/>
    <w:rsid w:val="00454269"/>
    <w:rsid w:val="0045427C"/>
    <w:rsid w:val="00454692"/>
    <w:rsid w:val="0045481F"/>
    <w:rsid w:val="00454BFB"/>
    <w:rsid w:val="00455172"/>
    <w:rsid w:val="004552CA"/>
    <w:rsid w:val="004558AB"/>
    <w:rsid w:val="00455A0A"/>
    <w:rsid w:val="00455B81"/>
    <w:rsid w:val="00455C1A"/>
    <w:rsid w:val="00455C70"/>
    <w:rsid w:val="00455DB0"/>
    <w:rsid w:val="00455FE9"/>
    <w:rsid w:val="004562B4"/>
    <w:rsid w:val="00456586"/>
    <w:rsid w:val="00456765"/>
    <w:rsid w:val="0045695B"/>
    <w:rsid w:val="004569C2"/>
    <w:rsid w:val="00456B98"/>
    <w:rsid w:val="00456CC3"/>
    <w:rsid w:val="00456CFB"/>
    <w:rsid w:val="00456F0C"/>
    <w:rsid w:val="004571C8"/>
    <w:rsid w:val="004571E2"/>
    <w:rsid w:val="0045720F"/>
    <w:rsid w:val="0045733A"/>
    <w:rsid w:val="00457541"/>
    <w:rsid w:val="0045764E"/>
    <w:rsid w:val="0045773E"/>
    <w:rsid w:val="004579D0"/>
    <w:rsid w:val="004579F2"/>
    <w:rsid w:val="00457BFA"/>
    <w:rsid w:val="00457CA9"/>
    <w:rsid w:val="00457E2E"/>
    <w:rsid w:val="0046006D"/>
    <w:rsid w:val="004601BC"/>
    <w:rsid w:val="0046030D"/>
    <w:rsid w:val="00460447"/>
    <w:rsid w:val="004605E1"/>
    <w:rsid w:val="0046077F"/>
    <w:rsid w:val="0046092C"/>
    <w:rsid w:val="00460939"/>
    <w:rsid w:val="00460AA1"/>
    <w:rsid w:val="00460BB6"/>
    <w:rsid w:val="004612C1"/>
    <w:rsid w:val="004613E9"/>
    <w:rsid w:val="0046146C"/>
    <w:rsid w:val="00461A57"/>
    <w:rsid w:val="00461C7F"/>
    <w:rsid w:val="00461E25"/>
    <w:rsid w:val="00462588"/>
    <w:rsid w:val="00462670"/>
    <w:rsid w:val="0046324E"/>
    <w:rsid w:val="00463504"/>
    <w:rsid w:val="004638BD"/>
    <w:rsid w:val="00463936"/>
    <w:rsid w:val="00463947"/>
    <w:rsid w:val="0046411F"/>
    <w:rsid w:val="004641F8"/>
    <w:rsid w:val="004643C1"/>
    <w:rsid w:val="00464454"/>
    <w:rsid w:val="004644FB"/>
    <w:rsid w:val="00464986"/>
    <w:rsid w:val="004649D7"/>
    <w:rsid w:val="00464C45"/>
    <w:rsid w:val="00464DA2"/>
    <w:rsid w:val="004653CF"/>
    <w:rsid w:val="00465955"/>
    <w:rsid w:val="00465A04"/>
    <w:rsid w:val="00465AB3"/>
    <w:rsid w:val="00465FE4"/>
    <w:rsid w:val="0046617E"/>
    <w:rsid w:val="00466277"/>
    <w:rsid w:val="00466293"/>
    <w:rsid w:val="004666AE"/>
    <w:rsid w:val="00466754"/>
    <w:rsid w:val="00466908"/>
    <w:rsid w:val="00466C19"/>
    <w:rsid w:val="0046703F"/>
    <w:rsid w:val="00467132"/>
    <w:rsid w:val="00467488"/>
    <w:rsid w:val="004674B4"/>
    <w:rsid w:val="00467959"/>
    <w:rsid w:val="0046796A"/>
    <w:rsid w:val="00467C3E"/>
    <w:rsid w:val="00467CD0"/>
    <w:rsid w:val="00467CE8"/>
    <w:rsid w:val="00467F53"/>
    <w:rsid w:val="00470334"/>
    <w:rsid w:val="00470846"/>
    <w:rsid w:val="00470AB0"/>
    <w:rsid w:val="00470C1B"/>
    <w:rsid w:val="00470D19"/>
    <w:rsid w:val="00470D92"/>
    <w:rsid w:val="00470DD4"/>
    <w:rsid w:val="00470FA0"/>
    <w:rsid w:val="00471153"/>
    <w:rsid w:val="0047118B"/>
    <w:rsid w:val="0047146E"/>
    <w:rsid w:val="00471595"/>
    <w:rsid w:val="004718BE"/>
    <w:rsid w:val="004719F9"/>
    <w:rsid w:val="00471C47"/>
    <w:rsid w:val="0047226E"/>
    <w:rsid w:val="00472A18"/>
    <w:rsid w:val="00472A99"/>
    <w:rsid w:val="004731A6"/>
    <w:rsid w:val="00473900"/>
    <w:rsid w:val="00473A9E"/>
    <w:rsid w:val="00473C59"/>
    <w:rsid w:val="00473D84"/>
    <w:rsid w:val="00473F02"/>
    <w:rsid w:val="00474003"/>
    <w:rsid w:val="0047447D"/>
    <w:rsid w:val="004749B8"/>
    <w:rsid w:val="00474A5E"/>
    <w:rsid w:val="00474B9F"/>
    <w:rsid w:val="00474C99"/>
    <w:rsid w:val="00474D41"/>
    <w:rsid w:val="004750DF"/>
    <w:rsid w:val="0047556C"/>
    <w:rsid w:val="004755A2"/>
    <w:rsid w:val="00475642"/>
    <w:rsid w:val="00475832"/>
    <w:rsid w:val="004758E7"/>
    <w:rsid w:val="0047590D"/>
    <w:rsid w:val="00475C00"/>
    <w:rsid w:val="00475C60"/>
    <w:rsid w:val="00475C64"/>
    <w:rsid w:val="00475CC3"/>
    <w:rsid w:val="0047612E"/>
    <w:rsid w:val="0047625D"/>
    <w:rsid w:val="004768A0"/>
    <w:rsid w:val="0047695C"/>
    <w:rsid w:val="00476F93"/>
    <w:rsid w:val="00476FD7"/>
    <w:rsid w:val="004771A3"/>
    <w:rsid w:val="0047732C"/>
    <w:rsid w:val="00477455"/>
    <w:rsid w:val="00477596"/>
    <w:rsid w:val="0047759F"/>
    <w:rsid w:val="004776A5"/>
    <w:rsid w:val="00477BBE"/>
    <w:rsid w:val="00477F27"/>
    <w:rsid w:val="004801FA"/>
    <w:rsid w:val="0048029E"/>
    <w:rsid w:val="00480323"/>
    <w:rsid w:val="0048042C"/>
    <w:rsid w:val="004808D6"/>
    <w:rsid w:val="00480F0B"/>
    <w:rsid w:val="00481696"/>
    <w:rsid w:val="004817EA"/>
    <w:rsid w:val="004818CE"/>
    <w:rsid w:val="004821B4"/>
    <w:rsid w:val="00482201"/>
    <w:rsid w:val="00482689"/>
    <w:rsid w:val="00482EEA"/>
    <w:rsid w:val="00482F1C"/>
    <w:rsid w:val="004833E6"/>
    <w:rsid w:val="00483469"/>
    <w:rsid w:val="004836CD"/>
    <w:rsid w:val="004836FB"/>
    <w:rsid w:val="00483D4C"/>
    <w:rsid w:val="00483DC3"/>
    <w:rsid w:val="00484407"/>
    <w:rsid w:val="004849D1"/>
    <w:rsid w:val="00484B20"/>
    <w:rsid w:val="00484D2F"/>
    <w:rsid w:val="00484DC2"/>
    <w:rsid w:val="00484EDC"/>
    <w:rsid w:val="00484F5E"/>
    <w:rsid w:val="00485278"/>
    <w:rsid w:val="00485B1C"/>
    <w:rsid w:val="00485C39"/>
    <w:rsid w:val="00486009"/>
    <w:rsid w:val="00486AB4"/>
    <w:rsid w:val="00486CBE"/>
    <w:rsid w:val="00486F93"/>
    <w:rsid w:val="00487054"/>
    <w:rsid w:val="004874E7"/>
    <w:rsid w:val="0048752D"/>
    <w:rsid w:val="004875BC"/>
    <w:rsid w:val="004875CC"/>
    <w:rsid w:val="00487606"/>
    <w:rsid w:val="00487898"/>
    <w:rsid w:val="00487B34"/>
    <w:rsid w:val="00487B5E"/>
    <w:rsid w:val="0049005C"/>
    <w:rsid w:val="00490273"/>
    <w:rsid w:val="00490421"/>
    <w:rsid w:val="0049078E"/>
    <w:rsid w:val="0049083A"/>
    <w:rsid w:val="00490CB3"/>
    <w:rsid w:val="00490D64"/>
    <w:rsid w:val="004910B7"/>
    <w:rsid w:val="00491431"/>
    <w:rsid w:val="004916F7"/>
    <w:rsid w:val="004918FA"/>
    <w:rsid w:val="0049195E"/>
    <w:rsid w:val="004919F0"/>
    <w:rsid w:val="004919F4"/>
    <w:rsid w:val="00491BC8"/>
    <w:rsid w:val="00491FA0"/>
    <w:rsid w:val="004922A8"/>
    <w:rsid w:val="0049237C"/>
    <w:rsid w:val="0049243F"/>
    <w:rsid w:val="00492475"/>
    <w:rsid w:val="00492522"/>
    <w:rsid w:val="0049267F"/>
    <w:rsid w:val="00492740"/>
    <w:rsid w:val="00492800"/>
    <w:rsid w:val="00492979"/>
    <w:rsid w:val="00492CE7"/>
    <w:rsid w:val="00492F17"/>
    <w:rsid w:val="00493049"/>
    <w:rsid w:val="00493065"/>
    <w:rsid w:val="00493099"/>
    <w:rsid w:val="004930DC"/>
    <w:rsid w:val="00493145"/>
    <w:rsid w:val="00493363"/>
    <w:rsid w:val="00493489"/>
    <w:rsid w:val="004936A8"/>
    <w:rsid w:val="004936D2"/>
    <w:rsid w:val="004941B4"/>
    <w:rsid w:val="00494209"/>
    <w:rsid w:val="00494216"/>
    <w:rsid w:val="00494517"/>
    <w:rsid w:val="00494626"/>
    <w:rsid w:val="0049499C"/>
    <w:rsid w:val="004958A9"/>
    <w:rsid w:val="00495931"/>
    <w:rsid w:val="004959E5"/>
    <w:rsid w:val="00495B0D"/>
    <w:rsid w:val="00495C44"/>
    <w:rsid w:val="00495CF3"/>
    <w:rsid w:val="00496299"/>
    <w:rsid w:val="00496396"/>
    <w:rsid w:val="00496523"/>
    <w:rsid w:val="004966DD"/>
    <w:rsid w:val="00496A53"/>
    <w:rsid w:val="00496AAF"/>
    <w:rsid w:val="00496D14"/>
    <w:rsid w:val="00496EA0"/>
    <w:rsid w:val="00496EFF"/>
    <w:rsid w:val="00496FE5"/>
    <w:rsid w:val="00497221"/>
    <w:rsid w:val="004974A1"/>
    <w:rsid w:val="0049754C"/>
    <w:rsid w:val="004977E9"/>
    <w:rsid w:val="00497DB2"/>
    <w:rsid w:val="00497FCB"/>
    <w:rsid w:val="004A0200"/>
    <w:rsid w:val="004A058C"/>
    <w:rsid w:val="004A0708"/>
    <w:rsid w:val="004A094D"/>
    <w:rsid w:val="004A0D0B"/>
    <w:rsid w:val="004A0F0A"/>
    <w:rsid w:val="004A10E6"/>
    <w:rsid w:val="004A1138"/>
    <w:rsid w:val="004A125C"/>
    <w:rsid w:val="004A14A8"/>
    <w:rsid w:val="004A1550"/>
    <w:rsid w:val="004A181E"/>
    <w:rsid w:val="004A1881"/>
    <w:rsid w:val="004A18E6"/>
    <w:rsid w:val="004A190F"/>
    <w:rsid w:val="004A1A16"/>
    <w:rsid w:val="004A1F48"/>
    <w:rsid w:val="004A2484"/>
    <w:rsid w:val="004A266E"/>
    <w:rsid w:val="004A280A"/>
    <w:rsid w:val="004A2D20"/>
    <w:rsid w:val="004A335E"/>
    <w:rsid w:val="004A3460"/>
    <w:rsid w:val="004A3682"/>
    <w:rsid w:val="004A382C"/>
    <w:rsid w:val="004A39A1"/>
    <w:rsid w:val="004A3A11"/>
    <w:rsid w:val="004A3A70"/>
    <w:rsid w:val="004A3B50"/>
    <w:rsid w:val="004A3B7B"/>
    <w:rsid w:val="004A3FB1"/>
    <w:rsid w:val="004A43FA"/>
    <w:rsid w:val="004A4BF1"/>
    <w:rsid w:val="004A54BF"/>
    <w:rsid w:val="004A563B"/>
    <w:rsid w:val="004A5C67"/>
    <w:rsid w:val="004A5E0F"/>
    <w:rsid w:val="004A632D"/>
    <w:rsid w:val="004A6576"/>
    <w:rsid w:val="004A65D4"/>
    <w:rsid w:val="004A66C0"/>
    <w:rsid w:val="004A6727"/>
    <w:rsid w:val="004A69D3"/>
    <w:rsid w:val="004A6A5F"/>
    <w:rsid w:val="004A6A81"/>
    <w:rsid w:val="004A6B76"/>
    <w:rsid w:val="004A6B92"/>
    <w:rsid w:val="004A6D6C"/>
    <w:rsid w:val="004A6E4F"/>
    <w:rsid w:val="004A6EEF"/>
    <w:rsid w:val="004A6F7C"/>
    <w:rsid w:val="004A71F7"/>
    <w:rsid w:val="004A760F"/>
    <w:rsid w:val="004A7920"/>
    <w:rsid w:val="004A7B13"/>
    <w:rsid w:val="004A7D23"/>
    <w:rsid w:val="004B0234"/>
    <w:rsid w:val="004B0523"/>
    <w:rsid w:val="004B05F9"/>
    <w:rsid w:val="004B0665"/>
    <w:rsid w:val="004B0719"/>
    <w:rsid w:val="004B0887"/>
    <w:rsid w:val="004B0A0E"/>
    <w:rsid w:val="004B0A41"/>
    <w:rsid w:val="004B0CDD"/>
    <w:rsid w:val="004B0DED"/>
    <w:rsid w:val="004B0F89"/>
    <w:rsid w:val="004B14FB"/>
    <w:rsid w:val="004B14FC"/>
    <w:rsid w:val="004B1529"/>
    <w:rsid w:val="004B1741"/>
    <w:rsid w:val="004B1AE4"/>
    <w:rsid w:val="004B1DB7"/>
    <w:rsid w:val="004B234E"/>
    <w:rsid w:val="004B23D4"/>
    <w:rsid w:val="004B24EB"/>
    <w:rsid w:val="004B279F"/>
    <w:rsid w:val="004B28E4"/>
    <w:rsid w:val="004B2993"/>
    <w:rsid w:val="004B2AC4"/>
    <w:rsid w:val="004B2DB0"/>
    <w:rsid w:val="004B2E2D"/>
    <w:rsid w:val="004B2E47"/>
    <w:rsid w:val="004B30CF"/>
    <w:rsid w:val="004B38BE"/>
    <w:rsid w:val="004B3B19"/>
    <w:rsid w:val="004B3B24"/>
    <w:rsid w:val="004B3E5A"/>
    <w:rsid w:val="004B3F73"/>
    <w:rsid w:val="004B3FD3"/>
    <w:rsid w:val="004B42BB"/>
    <w:rsid w:val="004B43DC"/>
    <w:rsid w:val="004B4422"/>
    <w:rsid w:val="004B4679"/>
    <w:rsid w:val="004B46B0"/>
    <w:rsid w:val="004B4B72"/>
    <w:rsid w:val="004B4D0D"/>
    <w:rsid w:val="004B4F7A"/>
    <w:rsid w:val="004B4F91"/>
    <w:rsid w:val="004B4FC5"/>
    <w:rsid w:val="004B506A"/>
    <w:rsid w:val="004B52EB"/>
    <w:rsid w:val="004B5330"/>
    <w:rsid w:val="004B540E"/>
    <w:rsid w:val="004B5462"/>
    <w:rsid w:val="004B54A6"/>
    <w:rsid w:val="004B54A8"/>
    <w:rsid w:val="004B59BC"/>
    <w:rsid w:val="004B59E9"/>
    <w:rsid w:val="004B5C11"/>
    <w:rsid w:val="004B5D32"/>
    <w:rsid w:val="004B5D4A"/>
    <w:rsid w:val="004B5DDD"/>
    <w:rsid w:val="004B5EB1"/>
    <w:rsid w:val="004B63A3"/>
    <w:rsid w:val="004B63DA"/>
    <w:rsid w:val="004B6460"/>
    <w:rsid w:val="004B69F6"/>
    <w:rsid w:val="004B6D0C"/>
    <w:rsid w:val="004B6DA4"/>
    <w:rsid w:val="004B6F9D"/>
    <w:rsid w:val="004B6FB0"/>
    <w:rsid w:val="004B70BA"/>
    <w:rsid w:val="004B7159"/>
    <w:rsid w:val="004B7443"/>
    <w:rsid w:val="004B7810"/>
    <w:rsid w:val="004B7832"/>
    <w:rsid w:val="004B791B"/>
    <w:rsid w:val="004B7D2B"/>
    <w:rsid w:val="004C0417"/>
    <w:rsid w:val="004C0525"/>
    <w:rsid w:val="004C0618"/>
    <w:rsid w:val="004C06A4"/>
    <w:rsid w:val="004C07CC"/>
    <w:rsid w:val="004C08DC"/>
    <w:rsid w:val="004C0D0A"/>
    <w:rsid w:val="004C0E4B"/>
    <w:rsid w:val="004C10DB"/>
    <w:rsid w:val="004C1593"/>
    <w:rsid w:val="004C1E57"/>
    <w:rsid w:val="004C2436"/>
    <w:rsid w:val="004C267D"/>
    <w:rsid w:val="004C2D51"/>
    <w:rsid w:val="004C30EE"/>
    <w:rsid w:val="004C31E0"/>
    <w:rsid w:val="004C3333"/>
    <w:rsid w:val="004C34BB"/>
    <w:rsid w:val="004C37CD"/>
    <w:rsid w:val="004C387D"/>
    <w:rsid w:val="004C3A63"/>
    <w:rsid w:val="004C3B63"/>
    <w:rsid w:val="004C3FF8"/>
    <w:rsid w:val="004C408D"/>
    <w:rsid w:val="004C42BB"/>
    <w:rsid w:val="004C4693"/>
    <w:rsid w:val="004C46D2"/>
    <w:rsid w:val="004C482F"/>
    <w:rsid w:val="004C4A0F"/>
    <w:rsid w:val="004C4CF3"/>
    <w:rsid w:val="004C50DE"/>
    <w:rsid w:val="004C55A6"/>
    <w:rsid w:val="004C5622"/>
    <w:rsid w:val="004C58AB"/>
    <w:rsid w:val="004C596D"/>
    <w:rsid w:val="004C598D"/>
    <w:rsid w:val="004C5B5E"/>
    <w:rsid w:val="004C5F34"/>
    <w:rsid w:val="004C607C"/>
    <w:rsid w:val="004C623C"/>
    <w:rsid w:val="004C632F"/>
    <w:rsid w:val="004C67EB"/>
    <w:rsid w:val="004C6C97"/>
    <w:rsid w:val="004C6E9B"/>
    <w:rsid w:val="004C6FE6"/>
    <w:rsid w:val="004C7006"/>
    <w:rsid w:val="004C7D52"/>
    <w:rsid w:val="004D02FD"/>
    <w:rsid w:val="004D034A"/>
    <w:rsid w:val="004D0572"/>
    <w:rsid w:val="004D0AEB"/>
    <w:rsid w:val="004D0DA0"/>
    <w:rsid w:val="004D0E38"/>
    <w:rsid w:val="004D1105"/>
    <w:rsid w:val="004D198D"/>
    <w:rsid w:val="004D1E70"/>
    <w:rsid w:val="004D2587"/>
    <w:rsid w:val="004D2602"/>
    <w:rsid w:val="004D2627"/>
    <w:rsid w:val="004D28CE"/>
    <w:rsid w:val="004D2919"/>
    <w:rsid w:val="004D2BCA"/>
    <w:rsid w:val="004D2D49"/>
    <w:rsid w:val="004D2F5E"/>
    <w:rsid w:val="004D3021"/>
    <w:rsid w:val="004D33C2"/>
    <w:rsid w:val="004D33E7"/>
    <w:rsid w:val="004D3AA8"/>
    <w:rsid w:val="004D3AE4"/>
    <w:rsid w:val="004D3BB7"/>
    <w:rsid w:val="004D3D30"/>
    <w:rsid w:val="004D3D7E"/>
    <w:rsid w:val="004D3F18"/>
    <w:rsid w:val="004D4088"/>
    <w:rsid w:val="004D4090"/>
    <w:rsid w:val="004D42C5"/>
    <w:rsid w:val="004D4720"/>
    <w:rsid w:val="004D4776"/>
    <w:rsid w:val="004D4833"/>
    <w:rsid w:val="004D4A94"/>
    <w:rsid w:val="004D4E39"/>
    <w:rsid w:val="004D5173"/>
    <w:rsid w:val="004D525C"/>
    <w:rsid w:val="004D5275"/>
    <w:rsid w:val="004D5331"/>
    <w:rsid w:val="004D54A9"/>
    <w:rsid w:val="004D5668"/>
    <w:rsid w:val="004D56B1"/>
    <w:rsid w:val="004D5CBF"/>
    <w:rsid w:val="004D5D16"/>
    <w:rsid w:val="004D6599"/>
    <w:rsid w:val="004D668F"/>
    <w:rsid w:val="004D6C1B"/>
    <w:rsid w:val="004D6CFD"/>
    <w:rsid w:val="004D7067"/>
    <w:rsid w:val="004D7160"/>
    <w:rsid w:val="004D733A"/>
    <w:rsid w:val="004D7347"/>
    <w:rsid w:val="004D755E"/>
    <w:rsid w:val="004D78C5"/>
    <w:rsid w:val="004D7AE2"/>
    <w:rsid w:val="004D7C49"/>
    <w:rsid w:val="004D7DD8"/>
    <w:rsid w:val="004E002C"/>
    <w:rsid w:val="004E09B5"/>
    <w:rsid w:val="004E0A6C"/>
    <w:rsid w:val="004E0ADE"/>
    <w:rsid w:val="004E116C"/>
    <w:rsid w:val="004E1950"/>
    <w:rsid w:val="004E1C28"/>
    <w:rsid w:val="004E1E95"/>
    <w:rsid w:val="004E2233"/>
    <w:rsid w:val="004E23AF"/>
    <w:rsid w:val="004E2616"/>
    <w:rsid w:val="004E261E"/>
    <w:rsid w:val="004E262D"/>
    <w:rsid w:val="004E2836"/>
    <w:rsid w:val="004E293A"/>
    <w:rsid w:val="004E2BD5"/>
    <w:rsid w:val="004E2C30"/>
    <w:rsid w:val="004E2F5E"/>
    <w:rsid w:val="004E2F60"/>
    <w:rsid w:val="004E328A"/>
    <w:rsid w:val="004E3913"/>
    <w:rsid w:val="004E39A9"/>
    <w:rsid w:val="004E3A9B"/>
    <w:rsid w:val="004E40C7"/>
    <w:rsid w:val="004E414C"/>
    <w:rsid w:val="004E43A0"/>
    <w:rsid w:val="004E4476"/>
    <w:rsid w:val="004E4994"/>
    <w:rsid w:val="004E4CD3"/>
    <w:rsid w:val="004E4D28"/>
    <w:rsid w:val="004E52ED"/>
    <w:rsid w:val="004E53B2"/>
    <w:rsid w:val="004E56F5"/>
    <w:rsid w:val="004E588D"/>
    <w:rsid w:val="004E5C32"/>
    <w:rsid w:val="004E5F77"/>
    <w:rsid w:val="004E61E6"/>
    <w:rsid w:val="004E6427"/>
    <w:rsid w:val="004E66BA"/>
    <w:rsid w:val="004E6B6A"/>
    <w:rsid w:val="004E6C3E"/>
    <w:rsid w:val="004E6EDF"/>
    <w:rsid w:val="004E746F"/>
    <w:rsid w:val="004E75EE"/>
    <w:rsid w:val="004E771C"/>
    <w:rsid w:val="004E7A68"/>
    <w:rsid w:val="004E7AEB"/>
    <w:rsid w:val="004E7B16"/>
    <w:rsid w:val="004E7FC9"/>
    <w:rsid w:val="004F00B6"/>
    <w:rsid w:val="004F032A"/>
    <w:rsid w:val="004F036A"/>
    <w:rsid w:val="004F03D3"/>
    <w:rsid w:val="004F0AD5"/>
    <w:rsid w:val="004F0B04"/>
    <w:rsid w:val="004F0B17"/>
    <w:rsid w:val="004F1003"/>
    <w:rsid w:val="004F10F3"/>
    <w:rsid w:val="004F1612"/>
    <w:rsid w:val="004F1759"/>
    <w:rsid w:val="004F190F"/>
    <w:rsid w:val="004F1AE5"/>
    <w:rsid w:val="004F1E29"/>
    <w:rsid w:val="004F1EA1"/>
    <w:rsid w:val="004F1F7F"/>
    <w:rsid w:val="004F203C"/>
    <w:rsid w:val="004F21FB"/>
    <w:rsid w:val="004F2471"/>
    <w:rsid w:val="004F24A3"/>
    <w:rsid w:val="004F2902"/>
    <w:rsid w:val="004F2B24"/>
    <w:rsid w:val="004F2C72"/>
    <w:rsid w:val="004F2D31"/>
    <w:rsid w:val="004F2D5C"/>
    <w:rsid w:val="004F2FC2"/>
    <w:rsid w:val="004F31EA"/>
    <w:rsid w:val="004F3566"/>
    <w:rsid w:val="004F3914"/>
    <w:rsid w:val="004F3BAE"/>
    <w:rsid w:val="004F3C38"/>
    <w:rsid w:val="004F3CA4"/>
    <w:rsid w:val="004F3E42"/>
    <w:rsid w:val="004F3F49"/>
    <w:rsid w:val="004F3F7C"/>
    <w:rsid w:val="004F405A"/>
    <w:rsid w:val="004F41A2"/>
    <w:rsid w:val="004F41FD"/>
    <w:rsid w:val="004F4537"/>
    <w:rsid w:val="004F478A"/>
    <w:rsid w:val="004F4A43"/>
    <w:rsid w:val="004F4B53"/>
    <w:rsid w:val="004F4E04"/>
    <w:rsid w:val="004F5114"/>
    <w:rsid w:val="004F540E"/>
    <w:rsid w:val="004F549B"/>
    <w:rsid w:val="004F55F3"/>
    <w:rsid w:val="004F5740"/>
    <w:rsid w:val="004F57CA"/>
    <w:rsid w:val="004F5965"/>
    <w:rsid w:val="004F5BCB"/>
    <w:rsid w:val="004F5EB7"/>
    <w:rsid w:val="004F62A8"/>
    <w:rsid w:val="004F6799"/>
    <w:rsid w:val="004F6BE9"/>
    <w:rsid w:val="004F6D3C"/>
    <w:rsid w:val="004F6E9A"/>
    <w:rsid w:val="004F7524"/>
    <w:rsid w:val="004F7548"/>
    <w:rsid w:val="004F7842"/>
    <w:rsid w:val="004F7E00"/>
    <w:rsid w:val="0050051A"/>
    <w:rsid w:val="00500594"/>
    <w:rsid w:val="00500652"/>
    <w:rsid w:val="005007BB"/>
    <w:rsid w:val="0050092C"/>
    <w:rsid w:val="0050095B"/>
    <w:rsid w:val="005009B8"/>
    <w:rsid w:val="00500D03"/>
    <w:rsid w:val="0050102A"/>
    <w:rsid w:val="00501037"/>
    <w:rsid w:val="0050113D"/>
    <w:rsid w:val="005011C0"/>
    <w:rsid w:val="0050126C"/>
    <w:rsid w:val="005012E5"/>
    <w:rsid w:val="00501392"/>
    <w:rsid w:val="005013F4"/>
    <w:rsid w:val="005018B7"/>
    <w:rsid w:val="00501CE1"/>
    <w:rsid w:val="00501E0C"/>
    <w:rsid w:val="00502020"/>
    <w:rsid w:val="00502021"/>
    <w:rsid w:val="00502064"/>
    <w:rsid w:val="00502244"/>
    <w:rsid w:val="00502356"/>
    <w:rsid w:val="00502539"/>
    <w:rsid w:val="005026E7"/>
    <w:rsid w:val="005027F6"/>
    <w:rsid w:val="005028E5"/>
    <w:rsid w:val="00502922"/>
    <w:rsid w:val="00502F07"/>
    <w:rsid w:val="00502FEF"/>
    <w:rsid w:val="00503C40"/>
    <w:rsid w:val="00503F37"/>
    <w:rsid w:val="005041DD"/>
    <w:rsid w:val="005041FC"/>
    <w:rsid w:val="00504483"/>
    <w:rsid w:val="005044F5"/>
    <w:rsid w:val="0050452B"/>
    <w:rsid w:val="00504701"/>
    <w:rsid w:val="005049FB"/>
    <w:rsid w:val="005049FE"/>
    <w:rsid w:val="00504A26"/>
    <w:rsid w:val="00504BDF"/>
    <w:rsid w:val="00504D54"/>
    <w:rsid w:val="005050CA"/>
    <w:rsid w:val="00505141"/>
    <w:rsid w:val="005056E2"/>
    <w:rsid w:val="00505708"/>
    <w:rsid w:val="005059D9"/>
    <w:rsid w:val="00505CEA"/>
    <w:rsid w:val="0050639B"/>
    <w:rsid w:val="005063B4"/>
    <w:rsid w:val="00506609"/>
    <w:rsid w:val="005066FA"/>
    <w:rsid w:val="00506797"/>
    <w:rsid w:val="005067B5"/>
    <w:rsid w:val="00506973"/>
    <w:rsid w:val="00506AC7"/>
    <w:rsid w:val="00506BD4"/>
    <w:rsid w:val="00506F5B"/>
    <w:rsid w:val="00507093"/>
    <w:rsid w:val="00507179"/>
    <w:rsid w:val="0050719C"/>
    <w:rsid w:val="00507597"/>
    <w:rsid w:val="005078CF"/>
    <w:rsid w:val="00507956"/>
    <w:rsid w:val="0050798E"/>
    <w:rsid w:val="00507B6D"/>
    <w:rsid w:val="00507F42"/>
    <w:rsid w:val="00510275"/>
    <w:rsid w:val="00510338"/>
    <w:rsid w:val="00510494"/>
    <w:rsid w:val="005104A6"/>
    <w:rsid w:val="005104F2"/>
    <w:rsid w:val="00510750"/>
    <w:rsid w:val="005107E6"/>
    <w:rsid w:val="00510AB0"/>
    <w:rsid w:val="00510F53"/>
    <w:rsid w:val="00511026"/>
    <w:rsid w:val="00511153"/>
    <w:rsid w:val="00511509"/>
    <w:rsid w:val="0051150A"/>
    <w:rsid w:val="005116C8"/>
    <w:rsid w:val="00511793"/>
    <w:rsid w:val="005118D6"/>
    <w:rsid w:val="00511A3B"/>
    <w:rsid w:val="00511A83"/>
    <w:rsid w:val="00511D63"/>
    <w:rsid w:val="00511D75"/>
    <w:rsid w:val="00511E6E"/>
    <w:rsid w:val="00511EFA"/>
    <w:rsid w:val="0051206F"/>
    <w:rsid w:val="005120C1"/>
    <w:rsid w:val="00512501"/>
    <w:rsid w:val="0051259E"/>
    <w:rsid w:val="00512767"/>
    <w:rsid w:val="005128CD"/>
    <w:rsid w:val="00512AF5"/>
    <w:rsid w:val="00512BE9"/>
    <w:rsid w:val="00512DE4"/>
    <w:rsid w:val="0051333F"/>
    <w:rsid w:val="0051348A"/>
    <w:rsid w:val="005138DF"/>
    <w:rsid w:val="005139BE"/>
    <w:rsid w:val="00513B7A"/>
    <w:rsid w:val="00513E2A"/>
    <w:rsid w:val="00514059"/>
    <w:rsid w:val="005144F8"/>
    <w:rsid w:val="0051491D"/>
    <w:rsid w:val="00514D63"/>
    <w:rsid w:val="00514DBD"/>
    <w:rsid w:val="00514E44"/>
    <w:rsid w:val="00514EBA"/>
    <w:rsid w:val="00515001"/>
    <w:rsid w:val="00515216"/>
    <w:rsid w:val="00515439"/>
    <w:rsid w:val="005154FE"/>
    <w:rsid w:val="0051550E"/>
    <w:rsid w:val="005156CC"/>
    <w:rsid w:val="00515A81"/>
    <w:rsid w:val="00515B54"/>
    <w:rsid w:val="00515C5A"/>
    <w:rsid w:val="00515F75"/>
    <w:rsid w:val="00515FB0"/>
    <w:rsid w:val="0051619C"/>
    <w:rsid w:val="00516950"/>
    <w:rsid w:val="00516A7B"/>
    <w:rsid w:val="00516AC6"/>
    <w:rsid w:val="00516BC1"/>
    <w:rsid w:val="00516C06"/>
    <w:rsid w:val="00516CB0"/>
    <w:rsid w:val="00516CE7"/>
    <w:rsid w:val="0051708A"/>
    <w:rsid w:val="00517142"/>
    <w:rsid w:val="00517174"/>
    <w:rsid w:val="00517854"/>
    <w:rsid w:val="00517864"/>
    <w:rsid w:val="00517908"/>
    <w:rsid w:val="00517A35"/>
    <w:rsid w:val="00520050"/>
    <w:rsid w:val="00520154"/>
    <w:rsid w:val="005202A1"/>
    <w:rsid w:val="005202F5"/>
    <w:rsid w:val="005208EB"/>
    <w:rsid w:val="005209B4"/>
    <w:rsid w:val="00520D19"/>
    <w:rsid w:val="00521305"/>
    <w:rsid w:val="00521977"/>
    <w:rsid w:val="00521A67"/>
    <w:rsid w:val="00522A98"/>
    <w:rsid w:val="00522AC9"/>
    <w:rsid w:val="00522B3F"/>
    <w:rsid w:val="00522D0B"/>
    <w:rsid w:val="00522F2D"/>
    <w:rsid w:val="00522FCC"/>
    <w:rsid w:val="0052307B"/>
    <w:rsid w:val="005230EF"/>
    <w:rsid w:val="00523129"/>
    <w:rsid w:val="00523FF2"/>
    <w:rsid w:val="00524369"/>
    <w:rsid w:val="00524407"/>
    <w:rsid w:val="00524455"/>
    <w:rsid w:val="005244DA"/>
    <w:rsid w:val="0052467B"/>
    <w:rsid w:val="005246F6"/>
    <w:rsid w:val="00524734"/>
    <w:rsid w:val="00524AA2"/>
    <w:rsid w:val="00524C0C"/>
    <w:rsid w:val="00524C76"/>
    <w:rsid w:val="00524DC8"/>
    <w:rsid w:val="00524F91"/>
    <w:rsid w:val="0052506C"/>
    <w:rsid w:val="005251A5"/>
    <w:rsid w:val="005251EF"/>
    <w:rsid w:val="005252CC"/>
    <w:rsid w:val="0052538F"/>
    <w:rsid w:val="00525772"/>
    <w:rsid w:val="00525FCB"/>
    <w:rsid w:val="00526067"/>
    <w:rsid w:val="00526473"/>
    <w:rsid w:val="005264BE"/>
    <w:rsid w:val="00526F34"/>
    <w:rsid w:val="005271FA"/>
    <w:rsid w:val="00527277"/>
    <w:rsid w:val="00527303"/>
    <w:rsid w:val="005275DD"/>
    <w:rsid w:val="0052797E"/>
    <w:rsid w:val="00527E50"/>
    <w:rsid w:val="00527ED7"/>
    <w:rsid w:val="00527F30"/>
    <w:rsid w:val="00527FD4"/>
    <w:rsid w:val="00530126"/>
    <w:rsid w:val="0053013B"/>
    <w:rsid w:val="005302B4"/>
    <w:rsid w:val="00530BBF"/>
    <w:rsid w:val="00530FB1"/>
    <w:rsid w:val="00531337"/>
    <w:rsid w:val="0053146B"/>
    <w:rsid w:val="005315A6"/>
    <w:rsid w:val="00531802"/>
    <w:rsid w:val="00531ADD"/>
    <w:rsid w:val="00531AF0"/>
    <w:rsid w:val="00531BA5"/>
    <w:rsid w:val="00531D1E"/>
    <w:rsid w:val="00531E52"/>
    <w:rsid w:val="00531EF3"/>
    <w:rsid w:val="00532020"/>
    <w:rsid w:val="00532629"/>
    <w:rsid w:val="0053280F"/>
    <w:rsid w:val="0053283C"/>
    <w:rsid w:val="00532AC8"/>
    <w:rsid w:val="00532C3D"/>
    <w:rsid w:val="00532DA4"/>
    <w:rsid w:val="00533024"/>
    <w:rsid w:val="00533069"/>
    <w:rsid w:val="005330E3"/>
    <w:rsid w:val="005331A9"/>
    <w:rsid w:val="0053359A"/>
    <w:rsid w:val="005335C3"/>
    <w:rsid w:val="005339BD"/>
    <w:rsid w:val="005340E6"/>
    <w:rsid w:val="005341B0"/>
    <w:rsid w:val="005349A1"/>
    <w:rsid w:val="00534AFA"/>
    <w:rsid w:val="00534DE9"/>
    <w:rsid w:val="00534F5F"/>
    <w:rsid w:val="005350B5"/>
    <w:rsid w:val="005352A4"/>
    <w:rsid w:val="005356B4"/>
    <w:rsid w:val="0053582A"/>
    <w:rsid w:val="005358A6"/>
    <w:rsid w:val="005358B6"/>
    <w:rsid w:val="00535D0F"/>
    <w:rsid w:val="00535E5C"/>
    <w:rsid w:val="005360D8"/>
    <w:rsid w:val="005361AA"/>
    <w:rsid w:val="0053685B"/>
    <w:rsid w:val="00536A4C"/>
    <w:rsid w:val="00536B1E"/>
    <w:rsid w:val="00536C9A"/>
    <w:rsid w:val="00536F08"/>
    <w:rsid w:val="005371EB"/>
    <w:rsid w:val="0053721D"/>
    <w:rsid w:val="00537546"/>
    <w:rsid w:val="00537615"/>
    <w:rsid w:val="00537B2C"/>
    <w:rsid w:val="00537C01"/>
    <w:rsid w:val="00537DD6"/>
    <w:rsid w:val="00537E54"/>
    <w:rsid w:val="00540036"/>
    <w:rsid w:val="00540351"/>
    <w:rsid w:val="005403C4"/>
    <w:rsid w:val="005403D7"/>
    <w:rsid w:val="00540406"/>
    <w:rsid w:val="00540422"/>
    <w:rsid w:val="0054089B"/>
    <w:rsid w:val="005408DE"/>
    <w:rsid w:val="00540AFC"/>
    <w:rsid w:val="00540C0D"/>
    <w:rsid w:val="00540D2E"/>
    <w:rsid w:val="0054131E"/>
    <w:rsid w:val="00541353"/>
    <w:rsid w:val="0054158D"/>
    <w:rsid w:val="00541795"/>
    <w:rsid w:val="005418D5"/>
    <w:rsid w:val="00541A2F"/>
    <w:rsid w:val="00541E8E"/>
    <w:rsid w:val="005421D7"/>
    <w:rsid w:val="00542207"/>
    <w:rsid w:val="005424C2"/>
    <w:rsid w:val="0054280A"/>
    <w:rsid w:val="00542B49"/>
    <w:rsid w:val="005432EC"/>
    <w:rsid w:val="00543C91"/>
    <w:rsid w:val="00543CB6"/>
    <w:rsid w:val="00543EFF"/>
    <w:rsid w:val="0054415B"/>
    <w:rsid w:val="00544233"/>
    <w:rsid w:val="00544602"/>
    <w:rsid w:val="005447E2"/>
    <w:rsid w:val="00544826"/>
    <w:rsid w:val="005448C5"/>
    <w:rsid w:val="0054494B"/>
    <w:rsid w:val="00544974"/>
    <w:rsid w:val="00544A11"/>
    <w:rsid w:val="0054528F"/>
    <w:rsid w:val="00545862"/>
    <w:rsid w:val="005461C9"/>
    <w:rsid w:val="0054621D"/>
    <w:rsid w:val="005463AC"/>
    <w:rsid w:val="005463B1"/>
    <w:rsid w:val="005465F6"/>
    <w:rsid w:val="00546644"/>
    <w:rsid w:val="00546C69"/>
    <w:rsid w:val="00546E40"/>
    <w:rsid w:val="0054723C"/>
    <w:rsid w:val="00547313"/>
    <w:rsid w:val="0054750E"/>
    <w:rsid w:val="0054776A"/>
    <w:rsid w:val="00547ADE"/>
    <w:rsid w:val="00547CF5"/>
    <w:rsid w:val="00547EA2"/>
    <w:rsid w:val="00547F31"/>
    <w:rsid w:val="00547F92"/>
    <w:rsid w:val="0054DFB6"/>
    <w:rsid w:val="005500F4"/>
    <w:rsid w:val="00550642"/>
    <w:rsid w:val="00550707"/>
    <w:rsid w:val="00550883"/>
    <w:rsid w:val="005510F6"/>
    <w:rsid w:val="00551563"/>
    <w:rsid w:val="0055161B"/>
    <w:rsid w:val="00551C03"/>
    <w:rsid w:val="00551E3E"/>
    <w:rsid w:val="00551EAF"/>
    <w:rsid w:val="00551FEC"/>
    <w:rsid w:val="005526AF"/>
    <w:rsid w:val="0055291F"/>
    <w:rsid w:val="00552E5B"/>
    <w:rsid w:val="00553154"/>
    <w:rsid w:val="00553211"/>
    <w:rsid w:val="00553358"/>
    <w:rsid w:val="005535FD"/>
    <w:rsid w:val="0055361D"/>
    <w:rsid w:val="005536FF"/>
    <w:rsid w:val="00553747"/>
    <w:rsid w:val="0055387C"/>
    <w:rsid w:val="00553A48"/>
    <w:rsid w:val="00553A9B"/>
    <w:rsid w:val="0055402A"/>
    <w:rsid w:val="00554122"/>
    <w:rsid w:val="00554499"/>
    <w:rsid w:val="00554AB0"/>
    <w:rsid w:val="00554AB4"/>
    <w:rsid w:val="00554C28"/>
    <w:rsid w:val="00554C64"/>
    <w:rsid w:val="00554E68"/>
    <w:rsid w:val="00555158"/>
    <w:rsid w:val="0055560F"/>
    <w:rsid w:val="00555DB2"/>
    <w:rsid w:val="005560F8"/>
    <w:rsid w:val="0055656E"/>
    <w:rsid w:val="005568E4"/>
    <w:rsid w:val="00556D5C"/>
    <w:rsid w:val="00556DC9"/>
    <w:rsid w:val="00556F02"/>
    <w:rsid w:val="005570AD"/>
    <w:rsid w:val="00557303"/>
    <w:rsid w:val="0055744D"/>
    <w:rsid w:val="00557986"/>
    <w:rsid w:val="0056010A"/>
    <w:rsid w:val="0056035A"/>
    <w:rsid w:val="0056058A"/>
    <w:rsid w:val="005608EF"/>
    <w:rsid w:val="005611CE"/>
    <w:rsid w:val="0056139E"/>
    <w:rsid w:val="00561810"/>
    <w:rsid w:val="005619B8"/>
    <w:rsid w:val="00561C93"/>
    <w:rsid w:val="00561C96"/>
    <w:rsid w:val="005621B4"/>
    <w:rsid w:val="00562208"/>
    <w:rsid w:val="00562ABA"/>
    <w:rsid w:val="00562B96"/>
    <w:rsid w:val="00562E43"/>
    <w:rsid w:val="00563060"/>
    <w:rsid w:val="00563253"/>
    <w:rsid w:val="00563E9C"/>
    <w:rsid w:val="00563F24"/>
    <w:rsid w:val="00564058"/>
    <w:rsid w:val="0056407E"/>
    <w:rsid w:val="00564546"/>
    <w:rsid w:val="00564602"/>
    <w:rsid w:val="0056460A"/>
    <w:rsid w:val="0056466A"/>
    <w:rsid w:val="0056474D"/>
    <w:rsid w:val="005647AF"/>
    <w:rsid w:val="005648AD"/>
    <w:rsid w:val="005649E3"/>
    <w:rsid w:val="00564B24"/>
    <w:rsid w:val="00564BE1"/>
    <w:rsid w:val="00564C36"/>
    <w:rsid w:val="00564C94"/>
    <w:rsid w:val="00564E1B"/>
    <w:rsid w:val="00564F9F"/>
    <w:rsid w:val="005650C9"/>
    <w:rsid w:val="0056515E"/>
    <w:rsid w:val="005652A8"/>
    <w:rsid w:val="0056547A"/>
    <w:rsid w:val="005654CB"/>
    <w:rsid w:val="00565628"/>
    <w:rsid w:val="005656BA"/>
    <w:rsid w:val="005656F0"/>
    <w:rsid w:val="00565AE6"/>
    <w:rsid w:val="00565EB0"/>
    <w:rsid w:val="00565F04"/>
    <w:rsid w:val="0056616F"/>
    <w:rsid w:val="00566411"/>
    <w:rsid w:val="005668F3"/>
    <w:rsid w:val="00566A0A"/>
    <w:rsid w:val="00566DA2"/>
    <w:rsid w:val="0056718E"/>
    <w:rsid w:val="00567251"/>
    <w:rsid w:val="00567329"/>
    <w:rsid w:val="00567692"/>
    <w:rsid w:val="005677D3"/>
    <w:rsid w:val="005679E5"/>
    <w:rsid w:val="00567B6D"/>
    <w:rsid w:val="00567C9E"/>
    <w:rsid w:val="00567E17"/>
    <w:rsid w:val="00567EB1"/>
    <w:rsid w:val="005700B7"/>
    <w:rsid w:val="005701C6"/>
    <w:rsid w:val="0057020C"/>
    <w:rsid w:val="00570399"/>
    <w:rsid w:val="00570644"/>
    <w:rsid w:val="0057066E"/>
    <w:rsid w:val="00570E33"/>
    <w:rsid w:val="0057133A"/>
    <w:rsid w:val="00571845"/>
    <w:rsid w:val="00571A46"/>
    <w:rsid w:val="00571C96"/>
    <w:rsid w:val="00571D9B"/>
    <w:rsid w:val="00572010"/>
    <w:rsid w:val="005722CC"/>
    <w:rsid w:val="00572469"/>
    <w:rsid w:val="00572546"/>
    <w:rsid w:val="00572724"/>
    <w:rsid w:val="00572817"/>
    <w:rsid w:val="00572D90"/>
    <w:rsid w:val="00572ED4"/>
    <w:rsid w:val="00572FE1"/>
    <w:rsid w:val="00573229"/>
    <w:rsid w:val="005732BF"/>
    <w:rsid w:val="005732C3"/>
    <w:rsid w:val="005733A7"/>
    <w:rsid w:val="005737C3"/>
    <w:rsid w:val="005738F1"/>
    <w:rsid w:val="00573AFE"/>
    <w:rsid w:val="00573EEC"/>
    <w:rsid w:val="005740EA"/>
    <w:rsid w:val="00574181"/>
    <w:rsid w:val="0057451A"/>
    <w:rsid w:val="005745A1"/>
    <w:rsid w:val="00574F32"/>
    <w:rsid w:val="005751A0"/>
    <w:rsid w:val="00575860"/>
    <w:rsid w:val="00575EE9"/>
    <w:rsid w:val="00576131"/>
    <w:rsid w:val="005766DC"/>
    <w:rsid w:val="00576759"/>
    <w:rsid w:val="00576783"/>
    <w:rsid w:val="00577105"/>
    <w:rsid w:val="00577189"/>
    <w:rsid w:val="005772B7"/>
    <w:rsid w:val="005772FB"/>
    <w:rsid w:val="00577336"/>
    <w:rsid w:val="0057735F"/>
    <w:rsid w:val="00577388"/>
    <w:rsid w:val="00577641"/>
    <w:rsid w:val="0057783E"/>
    <w:rsid w:val="00577A14"/>
    <w:rsid w:val="00577ACF"/>
    <w:rsid w:val="0058000D"/>
    <w:rsid w:val="00580152"/>
    <w:rsid w:val="00580198"/>
    <w:rsid w:val="0058020A"/>
    <w:rsid w:val="00580288"/>
    <w:rsid w:val="005805BF"/>
    <w:rsid w:val="005806C9"/>
    <w:rsid w:val="00580823"/>
    <w:rsid w:val="00580A17"/>
    <w:rsid w:val="0058103B"/>
    <w:rsid w:val="005810BB"/>
    <w:rsid w:val="0058112E"/>
    <w:rsid w:val="00581249"/>
    <w:rsid w:val="00581681"/>
    <w:rsid w:val="005818D5"/>
    <w:rsid w:val="00581957"/>
    <w:rsid w:val="00581B37"/>
    <w:rsid w:val="00581C89"/>
    <w:rsid w:val="00581CD0"/>
    <w:rsid w:val="00581E0B"/>
    <w:rsid w:val="00582474"/>
    <w:rsid w:val="0058273F"/>
    <w:rsid w:val="0058298E"/>
    <w:rsid w:val="005829F8"/>
    <w:rsid w:val="00582A81"/>
    <w:rsid w:val="005831BE"/>
    <w:rsid w:val="005831E1"/>
    <w:rsid w:val="0058320B"/>
    <w:rsid w:val="00583337"/>
    <w:rsid w:val="00583878"/>
    <w:rsid w:val="00583982"/>
    <w:rsid w:val="00583C46"/>
    <w:rsid w:val="00583DDC"/>
    <w:rsid w:val="00584358"/>
    <w:rsid w:val="00584B47"/>
    <w:rsid w:val="00585086"/>
    <w:rsid w:val="00585150"/>
    <w:rsid w:val="00585225"/>
    <w:rsid w:val="00585226"/>
    <w:rsid w:val="00585794"/>
    <w:rsid w:val="00585BD0"/>
    <w:rsid w:val="0058618B"/>
    <w:rsid w:val="00586283"/>
    <w:rsid w:val="0058658D"/>
    <w:rsid w:val="00586641"/>
    <w:rsid w:val="00586AC2"/>
    <w:rsid w:val="00586B3A"/>
    <w:rsid w:val="00586B52"/>
    <w:rsid w:val="00586BE6"/>
    <w:rsid w:val="00586E51"/>
    <w:rsid w:val="00586F4E"/>
    <w:rsid w:val="00587095"/>
    <w:rsid w:val="005870A0"/>
    <w:rsid w:val="00587139"/>
    <w:rsid w:val="005871A6"/>
    <w:rsid w:val="0058739A"/>
    <w:rsid w:val="005879CC"/>
    <w:rsid w:val="00590274"/>
    <w:rsid w:val="005903AC"/>
    <w:rsid w:val="00590510"/>
    <w:rsid w:val="00590869"/>
    <w:rsid w:val="0059090E"/>
    <w:rsid w:val="00590AB5"/>
    <w:rsid w:val="00590E77"/>
    <w:rsid w:val="00590FB9"/>
    <w:rsid w:val="00591291"/>
    <w:rsid w:val="0059129F"/>
    <w:rsid w:val="00591791"/>
    <w:rsid w:val="005918B7"/>
    <w:rsid w:val="005919BF"/>
    <w:rsid w:val="00591BB1"/>
    <w:rsid w:val="00591BF4"/>
    <w:rsid w:val="00591CDB"/>
    <w:rsid w:val="00591F44"/>
    <w:rsid w:val="00592044"/>
    <w:rsid w:val="00592087"/>
    <w:rsid w:val="0059210D"/>
    <w:rsid w:val="0059226A"/>
    <w:rsid w:val="0059247D"/>
    <w:rsid w:val="00592495"/>
    <w:rsid w:val="005924CB"/>
    <w:rsid w:val="0059280A"/>
    <w:rsid w:val="00592A02"/>
    <w:rsid w:val="00592AA0"/>
    <w:rsid w:val="00592F7B"/>
    <w:rsid w:val="00593015"/>
    <w:rsid w:val="00593286"/>
    <w:rsid w:val="005934B5"/>
    <w:rsid w:val="005934FD"/>
    <w:rsid w:val="005935B1"/>
    <w:rsid w:val="0059378A"/>
    <w:rsid w:val="005937CF"/>
    <w:rsid w:val="00593FE4"/>
    <w:rsid w:val="00594232"/>
    <w:rsid w:val="00594343"/>
    <w:rsid w:val="0059444F"/>
    <w:rsid w:val="0059450C"/>
    <w:rsid w:val="005947F4"/>
    <w:rsid w:val="0059491E"/>
    <w:rsid w:val="00594E63"/>
    <w:rsid w:val="00594F8F"/>
    <w:rsid w:val="0059512B"/>
    <w:rsid w:val="0059524F"/>
    <w:rsid w:val="00595626"/>
    <w:rsid w:val="00595719"/>
    <w:rsid w:val="005959F6"/>
    <w:rsid w:val="00595A2D"/>
    <w:rsid w:val="00595E8C"/>
    <w:rsid w:val="00595F11"/>
    <w:rsid w:val="00595F8C"/>
    <w:rsid w:val="0059608A"/>
    <w:rsid w:val="00596509"/>
    <w:rsid w:val="00596550"/>
    <w:rsid w:val="00596669"/>
    <w:rsid w:val="0059684C"/>
    <w:rsid w:val="005969C4"/>
    <w:rsid w:val="00596A21"/>
    <w:rsid w:val="00596A3A"/>
    <w:rsid w:val="00597014"/>
    <w:rsid w:val="005970AB"/>
    <w:rsid w:val="0059735E"/>
    <w:rsid w:val="005973BF"/>
    <w:rsid w:val="005973D4"/>
    <w:rsid w:val="00597741"/>
    <w:rsid w:val="005977DA"/>
    <w:rsid w:val="005978F7"/>
    <w:rsid w:val="005979F4"/>
    <w:rsid w:val="005979FA"/>
    <w:rsid w:val="00597BDF"/>
    <w:rsid w:val="00597E40"/>
    <w:rsid w:val="00597ED9"/>
    <w:rsid w:val="00597FAA"/>
    <w:rsid w:val="005A03A8"/>
    <w:rsid w:val="005A0563"/>
    <w:rsid w:val="005A06FA"/>
    <w:rsid w:val="005A0777"/>
    <w:rsid w:val="005A0ED5"/>
    <w:rsid w:val="005A1097"/>
    <w:rsid w:val="005A138C"/>
    <w:rsid w:val="005A1397"/>
    <w:rsid w:val="005A1611"/>
    <w:rsid w:val="005A16B6"/>
    <w:rsid w:val="005A16DE"/>
    <w:rsid w:val="005A16E9"/>
    <w:rsid w:val="005A1AB8"/>
    <w:rsid w:val="005A1CD1"/>
    <w:rsid w:val="005A20EF"/>
    <w:rsid w:val="005A219D"/>
    <w:rsid w:val="005A224A"/>
    <w:rsid w:val="005A231D"/>
    <w:rsid w:val="005A296A"/>
    <w:rsid w:val="005A2A16"/>
    <w:rsid w:val="005A2F25"/>
    <w:rsid w:val="005A2FCC"/>
    <w:rsid w:val="005A3038"/>
    <w:rsid w:val="005A32BC"/>
    <w:rsid w:val="005A354E"/>
    <w:rsid w:val="005A3702"/>
    <w:rsid w:val="005A3708"/>
    <w:rsid w:val="005A37B1"/>
    <w:rsid w:val="005A39B6"/>
    <w:rsid w:val="005A3DC1"/>
    <w:rsid w:val="005A3E5B"/>
    <w:rsid w:val="005A40C3"/>
    <w:rsid w:val="005A43DB"/>
    <w:rsid w:val="005A469D"/>
    <w:rsid w:val="005A48C3"/>
    <w:rsid w:val="005A4A1A"/>
    <w:rsid w:val="005A4AC9"/>
    <w:rsid w:val="005A4F16"/>
    <w:rsid w:val="005A501C"/>
    <w:rsid w:val="005A50E9"/>
    <w:rsid w:val="005A51A5"/>
    <w:rsid w:val="005A51C8"/>
    <w:rsid w:val="005A5594"/>
    <w:rsid w:val="005A59F9"/>
    <w:rsid w:val="005A5AE0"/>
    <w:rsid w:val="005A5B18"/>
    <w:rsid w:val="005A6328"/>
    <w:rsid w:val="005A643C"/>
    <w:rsid w:val="005A6692"/>
    <w:rsid w:val="005A66DF"/>
    <w:rsid w:val="005A674B"/>
    <w:rsid w:val="005A6BB4"/>
    <w:rsid w:val="005A6C21"/>
    <w:rsid w:val="005A6E2A"/>
    <w:rsid w:val="005A6EBF"/>
    <w:rsid w:val="005A739C"/>
    <w:rsid w:val="005A7B17"/>
    <w:rsid w:val="005A7B41"/>
    <w:rsid w:val="005A7D1A"/>
    <w:rsid w:val="005B005C"/>
    <w:rsid w:val="005B0471"/>
    <w:rsid w:val="005B060F"/>
    <w:rsid w:val="005B06DC"/>
    <w:rsid w:val="005B0D01"/>
    <w:rsid w:val="005B0D5E"/>
    <w:rsid w:val="005B13CA"/>
    <w:rsid w:val="005B15A9"/>
    <w:rsid w:val="005B15C3"/>
    <w:rsid w:val="005B16D0"/>
    <w:rsid w:val="005B1EA0"/>
    <w:rsid w:val="005B1EB6"/>
    <w:rsid w:val="005B2069"/>
    <w:rsid w:val="005B2157"/>
    <w:rsid w:val="005B2262"/>
    <w:rsid w:val="005B22CC"/>
    <w:rsid w:val="005B2FE5"/>
    <w:rsid w:val="005B3154"/>
    <w:rsid w:val="005B329C"/>
    <w:rsid w:val="005B3505"/>
    <w:rsid w:val="005B3677"/>
    <w:rsid w:val="005B374C"/>
    <w:rsid w:val="005B38B5"/>
    <w:rsid w:val="005B399E"/>
    <w:rsid w:val="005B3C06"/>
    <w:rsid w:val="005B3C4B"/>
    <w:rsid w:val="005B3D23"/>
    <w:rsid w:val="005B3DC1"/>
    <w:rsid w:val="005B3E10"/>
    <w:rsid w:val="005B4091"/>
    <w:rsid w:val="005B42A1"/>
    <w:rsid w:val="005B47AB"/>
    <w:rsid w:val="005B4E67"/>
    <w:rsid w:val="005B4F25"/>
    <w:rsid w:val="005B529B"/>
    <w:rsid w:val="005B57A1"/>
    <w:rsid w:val="005B5EF2"/>
    <w:rsid w:val="005B61D3"/>
    <w:rsid w:val="005B6237"/>
    <w:rsid w:val="005B63D7"/>
    <w:rsid w:val="005B6A6A"/>
    <w:rsid w:val="005B702A"/>
    <w:rsid w:val="005B748B"/>
    <w:rsid w:val="005B74CF"/>
    <w:rsid w:val="005B78BB"/>
    <w:rsid w:val="005B7A0B"/>
    <w:rsid w:val="005B7AB3"/>
    <w:rsid w:val="005B7AD2"/>
    <w:rsid w:val="005B7D9E"/>
    <w:rsid w:val="005B7E5E"/>
    <w:rsid w:val="005C01F4"/>
    <w:rsid w:val="005C0503"/>
    <w:rsid w:val="005C0608"/>
    <w:rsid w:val="005C07C7"/>
    <w:rsid w:val="005C0AD1"/>
    <w:rsid w:val="005C0C6C"/>
    <w:rsid w:val="005C0CB7"/>
    <w:rsid w:val="005C0D49"/>
    <w:rsid w:val="005C118D"/>
    <w:rsid w:val="005C13B0"/>
    <w:rsid w:val="005C15AF"/>
    <w:rsid w:val="005C168F"/>
    <w:rsid w:val="005C1845"/>
    <w:rsid w:val="005C1BC3"/>
    <w:rsid w:val="005C1C4C"/>
    <w:rsid w:val="005C20A3"/>
    <w:rsid w:val="005C2105"/>
    <w:rsid w:val="005C21CC"/>
    <w:rsid w:val="005C2214"/>
    <w:rsid w:val="005C227A"/>
    <w:rsid w:val="005C232C"/>
    <w:rsid w:val="005C24DD"/>
    <w:rsid w:val="005C28DB"/>
    <w:rsid w:val="005C2E4D"/>
    <w:rsid w:val="005C3257"/>
    <w:rsid w:val="005C3B62"/>
    <w:rsid w:val="005C3E0D"/>
    <w:rsid w:val="005C3E28"/>
    <w:rsid w:val="005C402F"/>
    <w:rsid w:val="005C41A8"/>
    <w:rsid w:val="005C4294"/>
    <w:rsid w:val="005C42E5"/>
    <w:rsid w:val="005C4422"/>
    <w:rsid w:val="005C4757"/>
    <w:rsid w:val="005C49B5"/>
    <w:rsid w:val="005C4AC4"/>
    <w:rsid w:val="005C4BF5"/>
    <w:rsid w:val="005C4EC6"/>
    <w:rsid w:val="005C520C"/>
    <w:rsid w:val="005C530C"/>
    <w:rsid w:val="005C5489"/>
    <w:rsid w:val="005C54B0"/>
    <w:rsid w:val="005C54CA"/>
    <w:rsid w:val="005C5526"/>
    <w:rsid w:val="005C5A68"/>
    <w:rsid w:val="005C5C03"/>
    <w:rsid w:val="005C5C8D"/>
    <w:rsid w:val="005C5EBA"/>
    <w:rsid w:val="005C5FF2"/>
    <w:rsid w:val="005C624D"/>
    <w:rsid w:val="005C6773"/>
    <w:rsid w:val="005C681F"/>
    <w:rsid w:val="005C6A5F"/>
    <w:rsid w:val="005C6C81"/>
    <w:rsid w:val="005C6D41"/>
    <w:rsid w:val="005C6FB5"/>
    <w:rsid w:val="005C71E0"/>
    <w:rsid w:val="005C72DE"/>
    <w:rsid w:val="005C7343"/>
    <w:rsid w:val="005C73CF"/>
    <w:rsid w:val="005C743E"/>
    <w:rsid w:val="005C75E7"/>
    <w:rsid w:val="005C7AF6"/>
    <w:rsid w:val="005D0017"/>
    <w:rsid w:val="005D0600"/>
    <w:rsid w:val="005D08A7"/>
    <w:rsid w:val="005D090F"/>
    <w:rsid w:val="005D0CB7"/>
    <w:rsid w:val="005D0E77"/>
    <w:rsid w:val="005D0F67"/>
    <w:rsid w:val="005D116F"/>
    <w:rsid w:val="005D13BF"/>
    <w:rsid w:val="005D175C"/>
    <w:rsid w:val="005D17F5"/>
    <w:rsid w:val="005D180F"/>
    <w:rsid w:val="005D1D02"/>
    <w:rsid w:val="005D1EE4"/>
    <w:rsid w:val="005D1F8A"/>
    <w:rsid w:val="005D2493"/>
    <w:rsid w:val="005D2610"/>
    <w:rsid w:val="005D262E"/>
    <w:rsid w:val="005D272C"/>
    <w:rsid w:val="005D2762"/>
    <w:rsid w:val="005D28E3"/>
    <w:rsid w:val="005D28ED"/>
    <w:rsid w:val="005D29EB"/>
    <w:rsid w:val="005D2E53"/>
    <w:rsid w:val="005D2FAE"/>
    <w:rsid w:val="005D3069"/>
    <w:rsid w:val="005D3272"/>
    <w:rsid w:val="005D3540"/>
    <w:rsid w:val="005D36D8"/>
    <w:rsid w:val="005D372B"/>
    <w:rsid w:val="005D389C"/>
    <w:rsid w:val="005D3932"/>
    <w:rsid w:val="005D4203"/>
    <w:rsid w:val="005D4259"/>
    <w:rsid w:val="005D4D5A"/>
    <w:rsid w:val="005D4F5E"/>
    <w:rsid w:val="005D4FED"/>
    <w:rsid w:val="005D542F"/>
    <w:rsid w:val="005D5443"/>
    <w:rsid w:val="005D55AD"/>
    <w:rsid w:val="005D55E7"/>
    <w:rsid w:val="005D5F66"/>
    <w:rsid w:val="005D61A6"/>
    <w:rsid w:val="005D6610"/>
    <w:rsid w:val="005D6B10"/>
    <w:rsid w:val="005D6B37"/>
    <w:rsid w:val="005D6B63"/>
    <w:rsid w:val="005D6BC1"/>
    <w:rsid w:val="005D6F16"/>
    <w:rsid w:val="005D702A"/>
    <w:rsid w:val="005D7449"/>
    <w:rsid w:val="005D74B2"/>
    <w:rsid w:val="005D74E7"/>
    <w:rsid w:val="005D7B4D"/>
    <w:rsid w:val="005D7B7E"/>
    <w:rsid w:val="005D7BDB"/>
    <w:rsid w:val="005D7E2C"/>
    <w:rsid w:val="005E005F"/>
    <w:rsid w:val="005E0195"/>
    <w:rsid w:val="005E01B7"/>
    <w:rsid w:val="005E041F"/>
    <w:rsid w:val="005E0621"/>
    <w:rsid w:val="005E08FB"/>
    <w:rsid w:val="005E09F5"/>
    <w:rsid w:val="005E0B55"/>
    <w:rsid w:val="005E0B58"/>
    <w:rsid w:val="005E0B9E"/>
    <w:rsid w:val="005E0BE4"/>
    <w:rsid w:val="005E0F11"/>
    <w:rsid w:val="005E18F6"/>
    <w:rsid w:val="005E1D32"/>
    <w:rsid w:val="005E1DE1"/>
    <w:rsid w:val="005E224F"/>
    <w:rsid w:val="005E2580"/>
    <w:rsid w:val="005E2683"/>
    <w:rsid w:val="005E2D5F"/>
    <w:rsid w:val="005E2DD5"/>
    <w:rsid w:val="005E32F8"/>
    <w:rsid w:val="005E37F1"/>
    <w:rsid w:val="005E394A"/>
    <w:rsid w:val="005E3D8F"/>
    <w:rsid w:val="005E3EFF"/>
    <w:rsid w:val="005E41D9"/>
    <w:rsid w:val="005E427B"/>
    <w:rsid w:val="005E4363"/>
    <w:rsid w:val="005E43F8"/>
    <w:rsid w:val="005E4525"/>
    <w:rsid w:val="005E45B4"/>
    <w:rsid w:val="005E48E0"/>
    <w:rsid w:val="005E55F2"/>
    <w:rsid w:val="005E5605"/>
    <w:rsid w:val="005E566C"/>
    <w:rsid w:val="005E56E3"/>
    <w:rsid w:val="005E5A6C"/>
    <w:rsid w:val="005E5EEB"/>
    <w:rsid w:val="005E627E"/>
    <w:rsid w:val="005E6774"/>
    <w:rsid w:val="005E6AE6"/>
    <w:rsid w:val="005E6C08"/>
    <w:rsid w:val="005E6CCA"/>
    <w:rsid w:val="005E6DA3"/>
    <w:rsid w:val="005E6DAE"/>
    <w:rsid w:val="005E6EDE"/>
    <w:rsid w:val="005E7051"/>
    <w:rsid w:val="005E70A1"/>
    <w:rsid w:val="005E70FC"/>
    <w:rsid w:val="005E72BD"/>
    <w:rsid w:val="005E74D7"/>
    <w:rsid w:val="005E755E"/>
    <w:rsid w:val="005E7677"/>
    <w:rsid w:val="005E7766"/>
    <w:rsid w:val="005E790A"/>
    <w:rsid w:val="005E7991"/>
    <w:rsid w:val="005E7EDE"/>
    <w:rsid w:val="005F00BB"/>
    <w:rsid w:val="005F04CC"/>
    <w:rsid w:val="005F0A09"/>
    <w:rsid w:val="005F0ACB"/>
    <w:rsid w:val="005F1085"/>
    <w:rsid w:val="005F12B2"/>
    <w:rsid w:val="005F134E"/>
    <w:rsid w:val="005F1595"/>
    <w:rsid w:val="005F216F"/>
    <w:rsid w:val="005F2243"/>
    <w:rsid w:val="005F22CE"/>
    <w:rsid w:val="005F2380"/>
    <w:rsid w:val="005F2389"/>
    <w:rsid w:val="005F2545"/>
    <w:rsid w:val="005F259E"/>
    <w:rsid w:val="005F2B60"/>
    <w:rsid w:val="005F2CDA"/>
    <w:rsid w:val="005F2D5C"/>
    <w:rsid w:val="005F321D"/>
    <w:rsid w:val="005F33D2"/>
    <w:rsid w:val="005F3475"/>
    <w:rsid w:val="005F34CD"/>
    <w:rsid w:val="005F3855"/>
    <w:rsid w:val="005F391E"/>
    <w:rsid w:val="005F3B04"/>
    <w:rsid w:val="005F3B5E"/>
    <w:rsid w:val="005F3E3D"/>
    <w:rsid w:val="005F4089"/>
    <w:rsid w:val="005F429E"/>
    <w:rsid w:val="005F43DC"/>
    <w:rsid w:val="005F44FE"/>
    <w:rsid w:val="005F4500"/>
    <w:rsid w:val="005F46B9"/>
    <w:rsid w:val="005F46D0"/>
    <w:rsid w:val="005F470F"/>
    <w:rsid w:val="005F47E5"/>
    <w:rsid w:val="005F4A36"/>
    <w:rsid w:val="005F5266"/>
    <w:rsid w:val="005F5428"/>
    <w:rsid w:val="005F5620"/>
    <w:rsid w:val="005F5633"/>
    <w:rsid w:val="005F587F"/>
    <w:rsid w:val="005F626E"/>
    <w:rsid w:val="005F628E"/>
    <w:rsid w:val="005F637C"/>
    <w:rsid w:val="005F6436"/>
    <w:rsid w:val="005F6501"/>
    <w:rsid w:val="005F65CA"/>
    <w:rsid w:val="005F66C5"/>
    <w:rsid w:val="005F66DD"/>
    <w:rsid w:val="005F6862"/>
    <w:rsid w:val="005F6887"/>
    <w:rsid w:val="005F7337"/>
    <w:rsid w:val="005F7426"/>
    <w:rsid w:val="005F75C1"/>
    <w:rsid w:val="005F77C1"/>
    <w:rsid w:val="005F7831"/>
    <w:rsid w:val="005F7BAB"/>
    <w:rsid w:val="005F7F6B"/>
    <w:rsid w:val="005F7FED"/>
    <w:rsid w:val="0060009B"/>
    <w:rsid w:val="0060037A"/>
    <w:rsid w:val="00600430"/>
    <w:rsid w:val="00600605"/>
    <w:rsid w:val="00600A06"/>
    <w:rsid w:val="00600CAF"/>
    <w:rsid w:val="00600D13"/>
    <w:rsid w:val="00600E82"/>
    <w:rsid w:val="00600F16"/>
    <w:rsid w:val="00601078"/>
    <w:rsid w:val="00601302"/>
    <w:rsid w:val="0060174C"/>
    <w:rsid w:val="00601797"/>
    <w:rsid w:val="006017B3"/>
    <w:rsid w:val="00601839"/>
    <w:rsid w:val="00601C60"/>
    <w:rsid w:val="006020A0"/>
    <w:rsid w:val="0060252D"/>
    <w:rsid w:val="00602D60"/>
    <w:rsid w:val="00603080"/>
    <w:rsid w:val="00603130"/>
    <w:rsid w:val="00603156"/>
    <w:rsid w:val="00603337"/>
    <w:rsid w:val="00603343"/>
    <w:rsid w:val="00603535"/>
    <w:rsid w:val="006038A2"/>
    <w:rsid w:val="00603A65"/>
    <w:rsid w:val="00603DE9"/>
    <w:rsid w:val="00603E83"/>
    <w:rsid w:val="00603F7F"/>
    <w:rsid w:val="00604090"/>
    <w:rsid w:val="0060415B"/>
    <w:rsid w:val="006042D0"/>
    <w:rsid w:val="0060430E"/>
    <w:rsid w:val="006047DC"/>
    <w:rsid w:val="0060488F"/>
    <w:rsid w:val="00604903"/>
    <w:rsid w:val="00604928"/>
    <w:rsid w:val="00604A77"/>
    <w:rsid w:val="00604B9E"/>
    <w:rsid w:val="006052CA"/>
    <w:rsid w:val="0060569D"/>
    <w:rsid w:val="006057C0"/>
    <w:rsid w:val="00605948"/>
    <w:rsid w:val="00605EB2"/>
    <w:rsid w:val="00605EFB"/>
    <w:rsid w:val="00605FA3"/>
    <w:rsid w:val="00606025"/>
    <w:rsid w:val="006066AD"/>
    <w:rsid w:val="00606B0D"/>
    <w:rsid w:val="00606DF6"/>
    <w:rsid w:val="00606E8D"/>
    <w:rsid w:val="00606FCF"/>
    <w:rsid w:val="006070A7"/>
    <w:rsid w:val="006073D5"/>
    <w:rsid w:val="0060783A"/>
    <w:rsid w:val="0060788D"/>
    <w:rsid w:val="00607B06"/>
    <w:rsid w:val="00607B64"/>
    <w:rsid w:val="006104DD"/>
    <w:rsid w:val="006104EF"/>
    <w:rsid w:val="006108EE"/>
    <w:rsid w:val="00610B22"/>
    <w:rsid w:val="00610B49"/>
    <w:rsid w:val="00610B6E"/>
    <w:rsid w:val="00610D49"/>
    <w:rsid w:val="006111DC"/>
    <w:rsid w:val="00611342"/>
    <w:rsid w:val="0061149D"/>
    <w:rsid w:val="00611580"/>
    <w:rsid w:val="0061168F"/>
    <w:rsid w:val="00611787"/>
    <w:rsid w:val="00611866"/>
    <w:rsid w:val="0061191F"/>
    <w:rsid w:val="00611997"/>
    <w:rsid w:val="00611AE0"/>
    <w:rsid w:val="00611AFB"/>
    <w:rsid w:val="00611F7D"/>
    <w:rsid w:val="00612127"/>
    <w:rsid w:val="00612466"/>
    <w:rsid w:val="006127E0"/>
    <w:rsid w:val="00612867"/>
    <w:rsid w:val="00612924"/>
    <w:rsid w:val="00612995"/>
    <w:rsid w:val="00612BCA"/>
    <w:rsid w:val="00612BF8"/>
    <w:rsid w:val="0061306A"/>
    <w:rsid w:val="00613090"/>
    <w:rsid w:val="00613406"/>
    <w:rsid w:val="00613C1A"/>
    <w:rsid w:val="0061416E"/>
    <w:rsid w:val="006142A4"/>
    <w:rsid w:val="006147B1"/>
    <w:rsid w:val="00614B29"/>
    <w:rsid w:val="00614BC1"/>
    <w:rsid w:val="00614D60"/>
    <w:rsid w:val="006154A1"/>
    <w:rsid w:val="006158A0"/>
    <w:rsid w:val="00615A07"/>
    <w:rsid w:val="00615C15"/>
    <w:rsid w:val="00615C45"/>
    <w:rsid w:val="00615D4E"/>
    <w:rsid w:val="00616131"/>
    <w:rsid w:val="006161E2"/>
    <w:rsid w:val="00616305"/>
    <w:rsid w:val="0061644F"/>
    <w:rsid w:val="00616699"/>
    <w:rsid w:val="0061683A"/>
    <w:rsid w:val="006168AF"/>
    <w:rsid w:val="00616FB7"/>
    <w:rsid w:val="00617162"/>
    <w:rsid w:val="0061769E"/>
    <w:rsid w:val="00617809"/>
    <w:rsid w:val="0061786D"/>
    <w:rsid w:val="00617B1A"/>
    <w:rsid w:val="00617C94"/>
    <w:rsid w:val="00617F4F"/>
    <w:rsid w:val="0062025C"/>
    <w:rsid w:val="00620685"/>
    <w:rsid w:val="006207E1"/>
    <w:rsid w:val="00620BDF"/>
    <w:rsid w:val="00620E06"/>
    <w:rsid w:val="00621036"/>
    <w:rsid w:val="0062104A"/>
    <w:rsid w:val="0062125F"/>
    <w:rsid w:val="006212BE"/>
    <w:rsid w:val="006212FA"/>
    <w:rsid w:val="0062136C"/>
    <w:rsid w:val="00621925"/>
    <w:rsid w:val="00621B00"/>
    <w:rsid w:val="00621CA2"/>
    <w:rsid w:val="00622425"/>
    <w:rsid w:val="00622557"/>
    <w:rsid w:val="006225DA"/>
    <w:rsid w:val="006227D2"/>
    <w:rsid w:val="00622EBF"/>
    <w:rsid w:val="00622EEC"/>
    <w:rsid w:val="006230A2"/>
    <w:rsid w:val="0062370C"/>
    <w:rsid w:val="006238CF"/>
    <w:rsid w:val="006238D3"/>
    <w:rsid w:val="006238FD"/>
    <w:rsid w:val="00623A75"/>
    <w:rsid w:val="00623AC5"/>
    <w:rsid w:val="00623B8D"/>
    <w:rsid w:val="00623DBC"/>
    <w:rsid w:val="00623DEE"/>
    <w:rsid w:val="00623F42"/>
    <w:rsid w:val="006240C7"/>
    <w:rsid w:val="00624164"/>
    <w:rsid w:val="006241CC"/>
    <w:rsid w:val="006241DB"/>
    <w:rsid w:val="0062422E"/>
    <w:rsid w:val="006242C3"/>
    <w:rsid w:val="006245DF"/>
    <w:rsid w:val="0062462B"/>
    <w:rsid w:val="00624642"/>
    <w:rsid w:val="00624654"/>
    <w:rsid w:val="006246E3"/>
    <w:rsid w:val="00624D60"/>
    <w:rsid w:val="00624F10"/>
    <w:rsid w:val="00625301"/>
    <w:rsid w:val="00625389"/>
    <w:rsid w:val="00625427"/>
    <w:rsid w:val="00625451"/>
    <w:rsid w:val="0062551F"/>
    <w:rsid w:val="00625A42"/>
    <w:rsid w:val="00625A64"/>
    <w:rsid w:val="00625C78"/>
    <w:rsid w:val="00625F7A"/>
    <w:rsid w:val="006261BA"/>
    <w:rsid w:val="00626347"/>
    <w:rsid w:val="0062648A"/>
    <w:rsid w:val="0062664B"/>
    <w:rsid w:val="00626702"/>
    <w:rsid w:val="00626810"/>
    <w:rsid w:val="006270A1"/>
    <w:rsid w:val="00627435"/>
    <w:rsid w:val="006275A6"/>
    <w:rsid w:val="00627768"/>
    <w:rsid w:val="0062788F"/>
    <w:rsid w:val="006278BB"/>
    <w:rsid w:val="006279A5"/>
    <w:rsid w:val="00627F3B"/>
    <w:rsid w:val="00630176"/>
    <w:rsid w:val="00630201"/>
    <w:rsid w:val="00630339"/>
    <w:rsid w:val="00630AD7"/>
    <w:rsid w:val="00630C1F"/>
    <w:rsid w:val="00630ECC"/>
    <w:rsid w:val="0063162D"/>
    <w:rsid w:val="0063166E"/>
    <w:rsid w:val="0063167A"/>
    <w:rsid w:val="006319F2"/>
    <w:rsid w:val="00631AEB"/>
    <w:rsid w:val="00631D02"/>
    <w:rsid w:val="00631DDF"/>
    <w:rsid w:val="00631F68"/>
    <w:rsid w:val="00632435"/>
    <w:rsid w:val="006327F4"/>
    <w:rsid w:val="006328CC"/>
    <w:rsid w:val="006328F5"/>
    <w:rsid w:val="00632A52"/>
    <w:rsid w:val="00632A93"/>
    <w:rsid w:val="00632B88"/>
    <w:rsid w:val="00632FA3"/>
    <w:rsid w:val="006333A3"/>
    <w:rsid w:val="00633B47"/>
    <w:rsid w:val="00633C0F"/>
    <w:rsid w:val="006341BC"/>
    <w:rsid w:val="0063445F"/>
    <w:rsid w:val="00634ACD"/>
    <w:rsid w:val="00634CC1"/>
    <w:rsid w:val="00634DC6"/>
    <w:rsid w:val="00634E53"/>
    <w:rsid w:val="00634FB1"/>
    <w:rsid w:val="00635259"/>
    <w:rsid w:val="0063533D"/>
    <w:rsid w:val="0063547A"/>
    <w:rsid w:val="0063567D"/>
    <w:rsid w:val="00635850"/>
    <w:rsid w:val="00635CB1"/>
    <w:rsid w:val="00635FE8"/>
    <w:rsid w:val="006362EC"/>
    <w:rsid w:val="00636B57"/>
    <w:rsid w:val="00636DC6"/>
    <w:rsid w:val="00636E69"/>
    <w:rsid w:val="00636E7E"/>
    <w:rsid w:val="0063710F"/>
    <w:rsid w:val="00637422"/>
    <w:rsid w:val="006379F1"/>
    <w:rsid w:val="00637F7F"/>
    <w:rsid w:val="006401D3"/>
    <w:rsid w:val="006402AC"/>
    <w:rsid w:val="0064030F"/>
    <w:rsid w:val="006403F1"/>
    <w:rsid w:val="006405B0"/>
    <w:rsid w:val="006405F9"/>
    <w:rsid w:val="00640912"/>
    <w:rsid w:val="00640E39"/>
    <w:rsid w:val="00641222"/>
    <w:rsid w:val="006413AA"/>
    <w:rsid w:val="006413B6"/>
    <w:rsid w:val="00641D42"/>
    <w:rsid w:val="00641ECD"/>
    <w:rsid w:val="0064221C"/>
    <w:rsid w:val="006424C6"/>
    <w:rsid w:val="0064262F"/>
    <w:rsid w:val="00643301"/>
    <w:rsid w:val="0064352F"/>
    <w:rsid w:val="0064373B"/>
    <w:rsid w:val="00643933"/>
    <w:rsid w:val="00643AE6"/>
    <w:rsid w:val="00643B4F"/>
    <w:rsid w:val="00643C16"/>
    <w:rsid w:val="00643E11"/>
    <w:rsid w:val="0064400F"/>
    <w:rsid w:val="00644056"/>
    <w:rsid w:val="0064433A"/>
    <w:rsid w:val="006445DC"/>
    <w:rsid w:val="00644838"/>
    <w:rsid w:val="00644BE3"/>
    <w:rsid w:val="00645448"/>
    <w:rsid w:val="00645770"/>
    <w:rsid w:val="00646309"/>
    <w:rsid w:val="00646449"/>
    <w:rsid w:val="00646533"/>
    <w:rsid w:val="00646550"/>
    <w:rsid w:val="00646668"/>
    <w:rsid w:val="00646692"/>
    <w:rsid w:val="00646971"/>
    <w:rsid w:val="00647104"/>
    <w:rsid w:val="0064720A"/>
    <w:rsid w:val="0064742F"/>
    <w:rsid w:val="0064749D"/>
    <w:rsid w:val="00647EAF"/>
    <w:rsid w:val="00647EC1"/>
    <w:rsid w:val="00647F50"/>
    <w:rsid w:val="00647F66"/>
    <w:rsid w:val="006504B7"/>
    <w:rsid w:val="006507C5"/>
    <w:rsid w:val="0065083A"/>
    <w:rsid w:val="006508A0"/>
    <w:rsid w:val="00650F1C"/>
    <w:rsid w:val="00650F23"/>
    <w:rsid w:val="00651019"/>
    <w:rsid w:val="00651035"/>
    <w:rsid w:val="00651058"/>
    <w:rsid w:val="0065125A"/>
    <w:rsid w:val="00651554"/>
    <w:rsid w:val="00651820"/>
    <w:rsid w:val="006518E0"/>
    <w:rsid w:val="00651CC5"/>
    <w:rsid w:val="00651CD9"/>
    <w:rsid w:val="00651F5D"/>
    <w:rsid w:val="0065216E"/>
    <w:rsid w:val="00652188"/>
    <w:rsid w:val="00652214"/>
    <w:rsid w:val="006523D4"/>
    <w:rsid w:val="00652657"/>
    <w:rsid w:val="0065267F"/>
    <w:rsid w:val="0065286F"/>
    <w:rsid w:val="00652906"/>
    <w:rsid w:val="00652A89"/>
    <w:rsid w:val="00652C32"/>
    <w:rsid w:val="00652D0A"/>
    <w:rsid w:val="00652F53"/>
    <w:rsid w:val="0065336C"/>
    <w:rsid w:val="0065368D"/>
    <w:rsid w:val="006536BB"/>
    <w:rsid w:val="006538A1"/>
    <w:rsid w:val="006539AF"/>
    <w:rsid w:val="00653C88"/>
    <w:rsid w:val="0065415C"/>
    <w:rsid w:val="0065419B"/>
    <w:rsid w:val="00654222"/>
    <w:rsid w:val="006546D2"/>
    <w:rsid w:val="006549C7"/>
    <w:rsid w:val="00654A1E"/>
    <w:rsid w:val="00654A9C"/>
    <w:rsid w:val="00654B46"/>
    <w:rsid w:val="00654BA9"/>
    <w:rsid w:val="00654C22"/>
    <w:rsid w:val="00654C32"/>
    <w:rsid w:val="00654D90"/>
    <w:rsid w:val="00654DD1"/>
    <w:rsid w:val="00654FFF"/>
    <w:rsid w:val="0065510F"/>
    <w:rsid w:val="0065542B"/>
    <w:rsid w:val="0065545E"/>
    <w:rsid w:val="00655B11"/>
    <w:rsid w:val="00655BEF"/>
    <w:rsid w:val="00656087"/>
    <w:rsid w:val="00656661"/>
    <w:rsid w:val="0065666D"/>
    <w:rsid w:val="00656A52"/>
    <w:rsid w:val="00656EE5"/>
    <w:rsid w:val="0065702F"/>
    <w:rsid w:val="00657327"/>
    <w:rsid w:val="00657410"/>
    <w:rsid w:val="0065762A"/>
    <w:rsid w:val="00657682"/>
    <w:rsid w:val="00657696"/>
    <w:rsid w:val="0066009E"/>
    <w:rsid w:val="006605B7"/>
    <w:rsid w:val="0066070B"/>
    <w:rsid w:val="00660E2C"/>
    <w:rsid w:val="006613D9"/>
    <w:rsid w:val="00661AD2"/>
    <w:rsid w:val="00661D38"/>
    <w:rsid w:val="006621D5"/>
    <w:rsid w:val="0066221D"/>
    <w:rsid w:val="0066266E"/>
    <w:rsid w:val="00662A0C"/>
    <w:rsid w:val="00662C2D"/>
    <w:rsid w:val="00662FC6"/>
    <w:rsid w:val="006631D5"/>
    <w:rsid w:val="006632DC"/>
    <w:rsid w:val="006634C1"/>
    <w:rsid w:val="006637B6"/>
    <w:rsid w:val="00663875"/>
    <w:rsid w:val="00663893"/>
    <w:rsid w:val="006638DA"/>
    <w:rsid w:val="006638F0"/>
    <w:rsid w:val="00663A13"/>
    <w:rsid w:val="00663C77"/>
    <w:rsid w:val="00663E3B"/>
    <w:rsid w:val="0066420C"/>
    <w:rsid w:val="006642D5"/>
    <w:rsid w:val="00664441"/>
    <w:rsid w:val="0066458D"/>
    <w:rsid w:val="006645EC"/>
    <w:rsid w:val="006647C5"/>
    <w:rsid w:val="0066483E"/>
    <w:rsid w:val="0066488E"/>
    <w:rsid w:val="00664CAF"/>
    <w:rsid w:val="00664EFB"/>
    <w:rsid w:val="0066586C"/>
    <w:rsid w:val="006659E2"/>
    <w:rsid w:val="00665BB7"/>
    <w:rsid w:val="00665DE5"/>
    <w:rsid w:val="00666244"/>
    <w:rsid w:val="00666428"/>
    <w:rsid w:val="006669C5"/>
    <w:rsid w:val="006669F7"/>
    <w:rsid w:val="00666A47"/>
    <w:rsid w:val="00666BA0"/>
    <w:rsid w:val="00666ED0"/>
    <w:rsid w:val="00667A06"/>
    <w:rsid w:val="00667A36"/>
    <w:rsid w:val="00667B75"/>
    <w:rsid w:val="00667D43"/>
    <w:rsid w:val="00667EDF"/>
    <w:rsid w:val="00667FE6"/>
    <w:rsid w:val="00670361"/>
    <w:rsid w:val="00670448"/>
    <w:rsid w:val="006706A6"/>
    <w:rsid w:val="00670722"/>
    <w:rsid w:val="00670809"/>
    <w:rsid w:val="00670C36"/>
    <w:rsid w:val="00670E66"/>
    <w:rsid w:val="00670FF7"/>
    <w:rsid w:val="0067114B"/>
    <w:rsid w:val="00671936"/>
    <w:rsid w:val="00671BF7"/>
    <w:rsid w:val="00671DBD"/>
    <w:rsid w:val="00672127"/>
    <w:rsid w:val="006722C3"/>
    <w:rsid w:val="006724CC"/>
    <w:rsid w:val="0067250C"/>
    <w:rsid w:val="00672523"/>
    <w:rsid w:val="006725DA"/>
    <w:rsid w:val="00672681"/>
    <w:rsid w:val="00672975"/>
    <w:rsid w:val="00672AFF"/>
    <w:rsid w:val="00672D9C"/>
    <w:rsid w:val="00672E19"/>
    <w:rsid w:val="006730CB"/>
    <w:rsid w:val="006731F1"/>
    <w:rsid w:val="00673209"/>
    <w:rsid w:val="0067337E"/>
    <w:rsid w:val="0067365B"/>
    <w:rsid w:val="006738D1"/>
    <w:rsid w:val="00673E12"/>
    <w:rsid w:val="0067406B"/>
    <w:rsid w:val="0067471B"/>
    <w:rsid w:val="00674AEA"/>
    <w:rsid w:val="00674AF2"/>
    <w:rsid w:val="00674FAA"/>
    <w:rsid w:val="00674FD7"/>
    <w:rsid w:val="00675030"/>
    <w:rsid w:val="006750CB"/>
    <w:rsid w:val="006759A8"/>
    <w:rsid w:val="00675A39"/>
    <w:rsid w:val="00675B7E"/>
    <w:rsid w:val="00675ECD"/>
    <w:rsid w:val="006760C8"/>
    <w:rsid w:val="00676244"/>
    <w:rsid w:val="0067638D"/>
    <w:rsid w:val="006763D0"/>
    <w:rsid w:val="00676547"/>
    <w:rsid w:val="00676A5E"/>
    <w:rsid w:val="00676C34"/>
    <w:rsid w:val="00676C7A"/>
    <w:rsid w:val="00676E03"/>
    <w:rsid w:val="00677477"/>
    <w:rsid w:val="00677943"/>
    <w:rsid w:val="006779C3"/>
    <w:rsid w:val="00677DE1"/>
    <w:rsid w:val="006802E1"/>
    <w:rsid w:val="00680389"/>
    <w:rsid w:val="006804C7"/>
    <w:rsid w:val="006809A9"/>
    <w:rsid w:val="00680E4B"/>
    <w:rsid w:val="006813BB"/>
    <w:rsid w:val="0068152D"/>
    <w:rsid w:val="00681563"/>
    <w:rsid w:val="00681676"/>
    <w:rsid w:val="00681873"/>
    <w:rsid w:val="00681889"/>
    <w:rsid w:val="00681ABB"/>
    <w:rsid w:val="00681B8A"/>
    <w:rsid w:val="00681D06"/>
    <w:rsid w:val="00681FC5"/>
    <w:rsid w:val="00682263"/>
    <w:rsid w:val="00682279"/>
    <w:rsid w:val="006825D3"/>
    <w:rsid w:val="006826D4"/>
    <w:rsid w:val="006826DD"/>
    <w:rsid w:val="006827D4"/>
    <w:rsid w:val="00682BD4"/>
    <w:rsid w:val="00682C8F"/>
    <w:rsid w:val="00682E22"/>
    <w:rsid w:val="00682EE1"/>
    <w:rsid w:val="00682FDF"/>
    <w:rsid w:val="0068339D"/>
    <w:rsid w:val="006834A4"/>
    <w:rsid w:val="006834D7"/>
    <w:rsid w:val="006834FF"/>
    <w:rsid w:val="00683596"/>
    <w:rsid w:val="00683658"/>
    <w:rsid w:val="00683717"/>
    <w:rsid w:val="00683951"/>
    <w:rsid w:val="006839BE"/>
    <w:rsid w:val="006839FF"/>
    <w:rsid w:val="00683ABC"/>
    <w:rsid w:val="006840CB"/>
    <w:rsid w:val="00684114"/>
    <w:rsid w:val="00684546"/>
    <w:rsid w:val="006845D1"/>
    <w:rsid w:val="006847F3"/>
    <w:rsid w:val="00684BA6"/>
    <w:rsid w:val="00684E30"/>
    <w:rsid w:val="00684E43"/>
    <w:rsid w:val="00684EE6"/>
    <w:rsid w:val="00684FCB"/>
    <w:rsid w:val="006852A2"/>
    <w:rsid w:val="00685770"/>
    <w:rsid w:val="00685A35"/>
    <w:rsid w:val="00685FCF"/>
    <w:rsid w:val="006861F7"/>
    <w:rsid w:val="006863FE"/>
    <w:rsid w:val="00686753"/>
    <w:rsid w:val="00686EC0"/>
    <w:rsid w:val="00687136"/>
    <w:rsid w:val="006874A1"/>
    <w:rsid w:val="006874AB"/>
    <w:rsid w:val="00687648"/>
    <w:rsid w:val="00687769"/>
    <w:rsid w:val="006877B6"/>
    <w:rsid w:val="00687B5B"/>
    <w:rsid w:val="00690129"/>
    <w:rsid w:val="006903C3"/>
    <w:rsid w:val="00690595"/>
    <w:rsid w:val="00690762"/>
    <w:rsid w:val="006908E9"/>
    <w:rsid w:val="00690AC6"/>
    <w:rsid w:val="00690AFB"/>
    <w:rsid w:val="00690C12"/>
    <w:rsid w:val="00690EED"/>
    <w:rsid w:val="0069119B"/>
    <w:rsid w:val="006914E9"/>
    <w:rsid w:val="00691721"/>
    <w:rsid w:val="00691CB2"/>
    <w:rsid w:val="00692060"/>
    <w:rsid w:val="00692199"/>
    <w:rsid w:val="00692245"/>
    <w:rsid w:val="00692415"/>
    <w:rsid w:val="006927D0"/>
    <w:rsid w:val="00692B0B"/>
    <w:rsid w:val="00692DDB"/>
    <w:rsid w:val="00692E2B"/>
    <w:rsid w:val="00692E71"/>
    <w:rsid w:val="00692F16"/>
    <w:rsid w:val="006931EF"/>
    <w:rsid w:val="0069325D"/>
    <w:rsid w:val="0069349C"/>
    <w:rsid w:val="0069382E"/>
    <w:rsid w:val="00693901"/>
    <w:rsid w:val="0069399C"/>
    <w:rsid w:val="00693DA7"/>
    <w:rsid w:val="00693E30"/>
    <w:rsid w:val="00694210"/>
    <w:rsid w:val="00694515"/>
    <w:rsid w:val="00694562"/>
    <w:rsid w:val="00694804"/>
    <w:rsid w:val="00694818"/>
    <w:rsid w:val="0069493E"/>
    <w:rsid w:val="00694A6F"/>
    <w:rsid w:val="00694B42"/>
    <w:rsid w:val="00694C3C"/>
    <w:rsid w:val="00694E1C"/>
    <w:rsid w:val="0069537A"/>
    <w:rsid w:val="00695840"/>
    <w:rsid w:val="006958CC"/>
    <w:rsid w:val="00695EDD"/>
    <w:rsid w:val="0069663E"/>
    <w:rsid w:val="006967F6"/>
    <w:rsid w:val="00696C8F"/>
    <w:rsid w:val="00696C98"/>
    <w:rsid w:val="0069718D"/>
    <w:rsid w:val="0069729B"/>
    <w:rsid w:val="0069777E"/>
    <w:rsid w:val="006978A3"/>
    <w:rsid w:val="00697A44"/>
    <w:rsid w:val="006A01BD"/>
    <w:rsid w:val="006A0238"/>
    <w:rsid w:val="006A0431"/>
    <w:rsid w:val="006A05EC"/>
    <w:rsid w:val="006A07C5"/>
    <w:rsid w:val="006A085C"/>
    <w:rsid w:val="006A0B8D"/>
    <w:rsid w:val="006A0B9E"/>
    <w:rsid w:val="006A16BE"/>
    <w:rsid w:val="006A173B"/>
    <w:rsid w:val="006A19EE"/>
    <w:rsid w:val="006A1A83"/>
    <w:rsid w:val="006A1B22"/>
    <w:rsid w:val="006A20FF"/>
    <w:rsid w:val="006A225A"/>
    <w:rsid w:val="006A22F6"/>
    <w:rsid w:val="006A250E"/>
    <w:rsid w:val="006A2510"/>
    <w:rsid w:val="006A2766"/>
    <w:rsid w:val="006A2854"/>
    <w:rsid w:val="006A2C16"/>
    <w:rsid w:val="006A2EE8"/>
    <w:rsid w:val="006A2F57"/>
    <w:rsid w:val="006A2F83"/>
    <w:rsid w:val="006A32E5"/>
    <w:rsid w:val="006A398A"/>
    <w:rsid w:val="006A3B23"/>
    <w:rsid w:val="006A3B67"/>
    <w:rsid w:val="006A3EA8"/>
    <w:rsid w:val="006A3EE9"/>
    <w:rsid w:val="006A4076"/>
    <w:rsid w:val="006A46E2"/>
    <w:rsid w:val="006A471B"/>
    <w:rsid w:val="006A4950"/>
    <w:rsid w:val="006A4F49"/>
    <w:rsid w:val="006A50DA"/>
    <w:rsid w:val="006A51EC"/>
    <w:rsid w:val="006A536F"/>
    <w:rsid w:val="006A5815"/>
    <w:rsid w:val="006A5869"/>
    <w:rsid w:val="006A5988"/>
    <w:rsid w:val="006A5995"/>
    <w:rsid w:val="006A5A88"/>
    <w:rsid w:val="006A5C5E"/>
    <w:rsid w:val="006A5D14"/>
    <w:rsid w:val="006A628B"/>
    <w:rsid w:val="006A63EB"/>
    <w:rsid w:val="006A69E3"/>
    <w:rsid w:val="006A6B62"/>
    <w:rsid w:val="006A6D2C"/>
    <w:rsid w:val="006A6E9D"/>
    <w:rsid w:val="006A6F7C"/>
    <w:rsid w:val="006A75DE"/>
    <w:rsid w:val="006A7C08"/>
    <w:rsid w:val="006A7D38"/>
    <w:rsid w:val="006A7DBF"/>
    <w:rsid w:val="006A7F3F"/>
    <w:rsid w:val="006A7FDC"/>
    <w:rsid w:val="006B022D"/>
    <w:rsid w:val="006B074E"/>
    <w:rsid w:val="006B0B38"/>
    <w:rsid w:val="006B0F83"/>
    <w:rsid w:val="006B122C"/>
    <w:rsid w:val="006B14E7"/>
    <w:rsid w:val="006B181F"/>
    <w:rsid w:val="006B1912"/>
    <w:rsid w:val="006B1E69"/>
    <w:rsid w:val="006B2003"/>
    <w:rsid w:val="006B2358"/>
    <w:rsid w:val="006B2397"/>
    <w:rsid w:val="006B24D4"/>
    <w:rsid w:val="006B2748"/>
    <w:rsid w:val="006B2C04"/>
    <w:rsid w:val="006B2CE4"/>
    <w:rsid w:val="006B32B6"/>
    <w:rsid w:val="006B3CA4"/>
    <w:rsid w:val="006B3D5B"/>
    <w:rsid w:val="006B43BD"/>
    <w:rsid w:val="006B457B"/>
    <w:rsid w:val="006B46CE"/>
    <w:rsid w:val="006B46F8"/>
    <w:rsid w:val="006B4773"/>
    <w:rsid w:val="006B4817"/>
    <w:rsid w:val="006B4A66"/>
    <w:rsid w:val="006B4B5A"/>
    <w:rsid w:val="006B4BEC"/>
    <w:rsid w:val="006B4CE2"/>
    <w:rsid w:val="006B4EB7"/>
    <w:rsid w:val="006B4F76"/>
    <w:rsid w:val="006B506C"/>
    <w:rsid w:val="006B5276"/>
    <w:rsid w:val="006B5395"/>
    <w:rsid w:val="006B53EA"/>
    <w:rsid w:val="006B55DF"/>
    <w:rsid w:val="006B57E1"/>
    <w:rsid w:val="006B5B73"/>
    <w:rsid w:val="006B5D84"/>
    <w:rsid w:val="006B5FF1"/>
    <w:rsid w:val="006B628D"/>
    <w:rsid w:val="006B65EF"/>
    <w:rsid w:val="006B688F"/>
    <w:rsid w:val="006B69B0"/>
    <w:rsid w:val="006B6B31"/>
    <w:rsid w:val="006B6E50"/>
    <w:rsid w:val="006B6FB5"/>
    <w:rsid w:val="006B7603"/>
    <w:rsid w:val="006B790A"/>
    <w:rsid w:val="006B7D19"/>
    <w:rsid w:val="006B7F90"/>
    <w:rsid w:val="006C03C0"/>
    <w:rsid w:val="006C0474"/>
    <w:rsid w:val="006C0825"/>
    <w:rsid w:val="006C0954"/>
    <w:rsid w:val="006C0B10"/>
    <w:rsid w:val="006C0D87"/>
    <w:rsid w:val="006C107F"/>
    <w:rsid w:val="006C10E1"/>
    <w:rsid w:val="006C114E"/>
    <w:rsid w:val="006C176D"/>
    <w:rsid w:val="006C19B2"/>
    <w:rsid w:val="006C1F31"/>
    <w:rsid w:val="006C1FD2"/>
    <w:rsid w:val="006C2396"/>
    <w:rsid w:val="006C247F"/>
    <w:rsid w:val="006C268D"/>
    <w:rsid w:val="006C26A1"/>
    <w:rsid w:val="006C271A"/>
    <w:rsid w:val="006C288E"/>
    <w:rsid w:val="006C2B0F"/>
    <w:rsid w:val="006C2CC3"/>
    <w:rsid w:val="006C2FAA"/>
    <w:rsid w:val="006C30F7"/>
    <w:rsid w:val="006C33DB"/>
    <w:rsid w:val="006C34CD"/>
    <w:rsid w:val="006C3943"/>
    <w:rsid w:val="006C397B"/>
    <w:rsid w:val="006C3F91"/>
    <w:rsid w:val="006C429B"/>
    <w:rsid w:val="006C4405"/>
    <w:rsid w:val="006C44A2"/>
    <w:rsid w:val="006C4601"/>
    <w:rsid w:val="006C4716"/>
    <w:rsid w:val="006C4A62"/>
    <w:rsid w:val="006C4B47"/>
    <w:rsid w:val="006C4C0D"/>
    <w:rsid w:val="006C508E"/>
    <w:rsid w:val="006C50E7"/>
    <w:rsid w:val="006C5197"/>
    <w:rsid w:val="006C5627"/>
    <w:rsid w:val="006C56BE"/>
    <w:rsid w:val="006C5A7D"/>
    <w:rsid w:val="006C5B27"/>
    <w:rsid w:val="006C5CFF"/>
    <w:rsid w:val="006C5D36"/>
    <w:rsid w:val="006C5FAF"/>
    <w:rsid w:val="006C61C2"/>
    <w:rsid w:val="006C62E5"/>
    <w:rsid w:val="006C66F9"/>
    <w:rsid w:val="006C67EF"/>
    <w:rsid w:val="006C6935"/>
    <w:rsid w:val="006C6BD2"/>
    <w:rsid w:val="006C6D70"/>
    <w:rsid w:val="006C70C3"/>
    <w:rsid w:val="006C7307"/>
    <w:rsid w:val="006C77FC"/>
    <w:rsid w:val="006C7988"/>
    <w:rsid w:val="006C7A1B"/>
    <w:rsid w:val="006C7AE4"/>
    <w:rsid w:val="006C7B6D"/>
    <w:rsid w:val="006C7CA9"/>
    <w:rsid w:val="006C7F12"/>
    <w:rsid w:val="006D04CF"/>
    <w:rsid w:val="006D0C1F"/>
    <w:rsid w:val="006D0D53"/>
    <w:rsid w:val="006D121F"/>
    <w:rsid w:val="006D12E1"/>
    <w:rsid w:val="006D1312"/>
    <w:rsid w:val="006D13F7"/>
    <w:rsid w:val="006D1559"/>
    <w:rsid w:val="006D15C1"/>
    <w:rsid w:val="006D15F9"/>
    <w:rsid w:val="006D160C"/>
    <w:rsid w:val="006D1633"/>
    <w:rsid w:val="006D174F"/>
    <w:rsid w:val="006D17BF"/>
    <w:rsid w:val="006D1811"/>
    <w:rsid w:val="006D18E2"/>
    <w:rsid w:val="006D196D"/>
    <w:rsid w:val="006D1AC3"/>
    <w:rsid w:val="006D1B17"/>
    <w:rsid w:val="006D1BCF"/>
    <w:rsid w:val="006D20C2"/>
    <w:rsid w:val="006D2466"/>
    <w:rsid w:val="006D27E2"/>
    <w:rsid w:val="006D2A2F"/>
    <w:rsid w:val="006D2D69"/>
    <w:rsid w:val="006D303F"/>
    <w:rsid w:val="006D370B"/>
    <w:rsid w:val="006D3783"/>
    <w:rsid w:val="006D3798"/>
    <w:rsid w:val="006D3854"/>
    <w:rsid w:val="006D38A7"/>
    <w:rsid w:val="006D3C85"/>
    <w:rsid w:val="006D3C8E"/>
    <w:rsid w:val="006D3F8A"/>
    <w:rsid w:val="006D3FC7"/>
    <w:rsid w:val="006D422A"/>
    <w:rsid w:val="006D4405"/>
    <w:rsid w:val="006D4450"/>
    <w:rsid w:val="006D4475"/>
    <w:rsid w:val="006D4732"/>
    <w:rsid w:val="006D4901"/>
    <w:rsid w:val="006D4C42"/>
    <w:rsid w:val="006D5014"/>
    <w:rsid w:val="006D50C4"/>
    <w:rsid w:val="006D5284"/>
    <w:rsid w:val="006D5356"/>
    <w:rsid w:val="006D5475"/>
    <w:rsid w:val="006D551C"/>
    <w:rsid w:val="006D563A"/>
    <w:rsid w:val="006D581D"/>
    <w:rsid w:val="006D5BA4"/>
    <w:rsid w:val="006D5BCA"/>
    <w:rsid w:val="006D5D10"/>
    <w:rsid w:val="006D5DCD"/>
    <w:rsid w:val="006D628C"/>
    <w:rsid w:val="006D6B6E"/>
    <w:rsid w:val="006D6CAF"/>
    <w:rsid w:val="006D6CF6"/>
    <w:rsid w:val="006D6D15"/>
    <w:rsid w:val="006D6E20"/>
    <w:rsid w:val="006D71BA"/>
    <w:rsid w:val="006D756F"/>
    <w:rsid w:val="006D764E"/>
    <w:rsid w:val="006E0388"/>
    <w:rsid w:val="006E04BF"/>
    <w:rsid w:val="006E06EF"/>
    <w:rsid w:val="006E09F6"/>
    <w:rsid w:val="006E0C8C"/>
    <w:rsid w:val="006E1414"/>
    <w:rsid w:val="006E172D"/>
    <w:rsid w:val="006E1D2C"/>
    <w:rsid w:val="006E1E44"/>
    <w:rsid w:val="006E1F84"/>
    <w:rsid w:val="006E1FE9"/>
    <w:rsid w:val="006E207D"/>
    <w:rsid w:val="006E223B"/>
    <w:rsid w:val="006E2706"/>
    <w:rsid w:val="006E2798"/>
    <w:rsid w:val="006E27C2"/>
    <w:rsid w:val="006E28E1"/>
    <w:rsid w:val="006E2D0F"/>
    <w:rsid w:val="006E2FC0"/>
    <w:rsid w:val="006E3071"/>
    <w:rsid w:val="006E31F4"/>
    <w:rsid w:val="006E32DE"/>
    <w:rsid w:val="006E3334"/>
    <w:rsid w:val="006E37BD"/>
    <w:rsid w:val="006E39B1"/>
    <w:rsid w:val="006E41D4"/>
    <w:rsid w:val="006E466E"/>
    <w:rsid w:val="006E468D"/>
    <w:rsid w:val="006E4A63"/>
    <w:rsid w:val="006E4C11"/>
    <w:rsid w:val="006E4D3B"/>
    <w:rsid w:val="006E4DB6"/>
    <w:rsid w:val="006E4E24"/>
    <w:rsid w:val="006E4F6B"/>
    <w:rsid w:val="006E52B2"/>
    <w:rsid w:val="006E52CE"/>
    <w:rsid w:val="006E548D"/>
    <w:rsid w:val="006E5545"/>
    <w:rsid w:val="006E5A5C"/>
    <w:rsid w:val="006E608F"/>
    <w:rsid w:val="006E6213"/>
    <w:rsid w:val="006E6617"/>
    <w:rsid w:val="006E6E0E"/>
    <w:rsid w:val="006E706B"/>
    <w:rsid w:val="006E709D"/>
    <w:rsid w:val="006E72DD"/>
    <w:rsid w:val="006E7400"/>
    <w:rsid w:val="006E7605"/>
    <w:rsid w:val="006E7607"/>
    <w:rsid w:val="006E7981"/>
    <w:rsid w:val="006E7A67"/>
    <w:rsid w:val="006F013F"/>
    <w:rsid w:val="006F0190"/>
    <w:rsid w:val="006F03B6"/>
    <w:rsid w:val="006F0B1C"/>
    <w:rsid w:val="006F0E15"/>
    <w:rsid w:val="006F0E6C"/>
    <w:rsid w:val="006F1038"/>
    <w:rsid w:val="006F1241"/>
    <w:rsid w:val="006F13B6"/>
    <w:rsid w:val="006F173D"/>
    <w:rsid w:val="006F1930"/>
    <w:rsid w:val="006F1B60"/>
    <w:rsid w:val="006F1D95"/>
    <w:rsid w:val="006F1E54"/>
    <w:rsid w:val="006F1ED6"/>
    <w:rsid w:val="006F1F55"/>
    <w:rsid w:val="006F1F9B"/>
    <w:rsid w:val="006F214D"/>
    <w:rsid w:val="006F2161"/>
    <w:rsid w:val="006F2514"/>
    <w:rsid w:val="006F287C"/>
    <w:rsid w:val="006F2B60"/>
    <w:rsid w:val="006F2C46"/>
    <w:rsid w:val="006F2D68"/>
    <w:rsid w:val="006F2EF5"/>
    <w:rsid w:val="006F337D"/>
    <w:rsid w:val="006F33E0"/>
    <w:rsid w:val="006F3538"/>
    <w:rsid w:val="006F3588"/>
    <w:rsid w:val="006F3791"/>
    <w:rsid w:val="006F3907"/>
    <w:rsid w:val="006F3B49"/>
    <w:rsid w:val="006F3D77"/>
    <w:rsid w:val="006F3EA8"/>
    <w:rsid w:val="006F3ED0"/>
    <w:rsid w:val="006F4007"/>
    <w:rsid w:val="006F406E"/>
    <w:rsid w:val="006F4101"/>
    <w:rsid w:val="006F419F"/>
    <w:rsid w:val="006F42E6"/>
    <w:rsid w:val="006F4616"/>
    <w:rsid w:val="006F47EB"/>
    <w:rsid w:val="006F4B32"/>
    <w:rsid w:val="006F4C9B"/>
    <w:rsid w:val="006F4E35"/>
    <w:rsid w:val="006F5464"/>
    <w:rsid w:val="006F5658"/>
    <w:rsid w:val="006F569D"/>
    <w:rsid w:val="006F5797"/>
    <w:rsid w:val="006F5AEA"/>
    <w:rsid w:val="006F5F3B"/>
    <w:rsid w:val="006F658C"/>
    <w:rsid w:val="006F65EA"/>
    <w:rsid w:val="006F660A"/>
    <w:rsid w:val="006F689A"/>
    <w:rsid w:val="006F6BF2"/>
    <w:rsid w:val="006F6F54"/>
    <w:rsid w:val="006F7324"/>
    <w:rsid w:val="006F7329"/>
    <w:rsid w:val="006F783F"/>
    <w:rsid w:val="0070063E"/>
    <w:rsid w:val="0070080C"/>
    <w:rsid w:val="007008C9"/>
    <w:rsid w:val="00700CBA"/>
    <w:rsid w:val="00700DE8"/>
    <w:rsid w:val="00701275"/>
    <w:rsid w:val="007013E3"/>
    <w:rsid w:val="00701566"/>
    <w:rsid w:val="00701579"/>
    <w:rsid w:val="0070182B"/>
    <w:rsid w:val="00701B37"/>
    <w:rsid w:val="00702150"/>
    <w:rsid w:val="0070215A"/>
    <w:rsid w:val="0070221C"/>
    <w:rsid w:val="0070260F"/>
    <w:rsid w:val="00702A27"/>
    <w:rsid w:val="00702A7C"/>
    <w:rsid w:val="00702A8B"/>
    <w:rsid w:val="007032A9"/>
    <w:rsid w:val="0070332F"/>
    <w:rsid w:val="007033A5"/>
    <w:rsid w:val="00703A22"/>
    <w:rsid w:val="00703ABF"/>
    <w:rsid w:val="00703C1E"/>
    <w:rsid w:val="00703C4E"/>
    <w:rsid w:val="00703D0E"/>
    <w:rsid w:val="00703E14"/>
    <w:rsid w:val="00704072"/>
    <w:rsid w:val="00704180"/>
    <w:rsid w:val="0070421C"/>
    <w:rsid w:val="007042A6"/>
    <w:rsid w:val="00704377"/>
    <w:rsid w:val="0070445C"/>
    <w:rsid w:val="007046F2"/>
    <w:rsid w:val="00704AA9"/>
    <w:rsid w:val="0070520C"/>
    <w:rsid w:val="0070525E"/>
    <w:rsid w:val="00705302"/>
    <w:rsid w:val="00705362"/>
    <w:rsid w:val="007056D4"/>
    <w:rsid w:val="0070578F"/>
    <w:rsid w:val="007059EA"/>
    <w:rsid w:val="00705A8F"/>
    <w:rsid w:val="00705D01"/>
    <w:rsid w:val="007062EC"/>
    <w:rsid w:val="007063BE"/>
    <w:rsid w:val="007065C2"/>
    <w:rsid w:val="007065C8"/>
    <w:rsid w:val="00706670"/>
    <w:rsid w:val="007068BE"/>
    <w:rsid w:val="00706A63"/>
    <w:rsid w:val="00706B98"/>
    <w:rsid w:val="00706C2A"/>
    <w:rsid w:val="00706F2E"/>
    <w:rsid w:val="00706FBA"/>
    <w:rsid w:val="00707197"/>
    <w:rsid w:val="007073BA"/>
    <w:rsid w:val="00707D1E"/>
    <w:rsid w:val="00707D80"/>
    <w:rsid w:val="00707F85"/>
    <w:rsid w:val="00710088"/>
    <w:rsid w:val="007105A2"/>
    <w:rsid w:val="0071067F"/>
    <w:rsid w:val="00710745"/>
    <w:rsid w:val="00710A19"/>
    <w:rsid w:val="00710BB2"/>
    <w:rsid w:val="00710C59"/>
    <w:rsid w:val="00710D4B"/>
    <w:rsid w:val="00710EC3"/>
    <w:rsid w:val="00711182"/>
    <w:rsid w:val="0071147F"/>
    <w:rsid w:val="007118CE"/>
    <w:rsid w:val="007119DC"/>
    <w:rsid w:val="00711A06"/>
    <w:rsid w:val="00711C16"/>
    <w:rsid w:val="00711D0F"/>
    <w:rsid w:val="00711E11"/>
    <w:rsid w:val="007121BC"/>
    <w:rsid w:val="0071238F"/>
    <w:rsid w:val="0071255D"/>
    <w:rsid w:val="00712891"/>
    <w:rsid w:val="00712A9B"/>
    <w:rsid w:val="00712DF9"/>
    <w:rsid w:val="00712E5B"/>
    <w:rsid w:val="00712F01"/>
    <w:rsid w:val="0071305A"/>
    <w:rsid w:val="007138C3"/>
    <w:rsid w:val="0071498A"/>
    <w:rsid w:val="007149A6"/>
    <w:rsid w:val="00714D3F"/>
    <w:rsid w:val="00714DCF"/>
    <w:rsid w:val="00714EAE"/>
    <w:rsid w:val="00714F02"/>
    <w:rsid w:val="00714FBD"/>
    <w:rsid w:val="00715168"/>
    <w:rsid w:val="0071521E"/>
    <w:rsid w:val="00715297"/>
    <w:rsid w:val="007152D2"/>
    <w:rsid w:val="0071531E"/>
    <w:rsid w:val="00715351"/>
    <w:rsid w:val="007157F5"/>
    <w:rsid w:val="00715A10"/>
    <w:rsid w:val="00715DD1"/>
    <w:rsid w:val="00715E9A"/>
    <w:rsid w:val="00716071"/>
    <w:rsid w:val="00716324"/>
    <w:rsid w:val="00716936"/>
    <w:rsid w:val="007169E7"/>
    <w:rsid w:val="00716E8C"/>
    <w:rsid w:val="00717000"/>
    <w:rsid w:val="007173B0"/>
    <w:rsid w:val="007174C8"/>
    <w:rsid w:val="00717520"/>
    <w:rsid w:val="0071775C"/>
    <w:rsid w:val="007177B3"/>
    <w:rsid w:val="00717C1C"/>
    <w:rsid w:val="00717EFC"/>
    <w:rsid w:val="00720010"/>
    <w:rsid w:val="007202FC"/>
    <w:rsid w:val="00720B87"/>
    <w:rsid w:val="00720CA5"/>
    <w:rsid w:val="00720D73"/>
    <w:rsid w:val="00720DD8"/>
    <w:rsid w:val="00720EE7"/>
    <w:rsid w:val="00720F15"/>
    <w:rsid w:val="00720F1B"/>
    <w:rsid w:val="007210EB"/>
    <w:rsid w:val="007211A4"/>
    <w:rsid w:val="00721409"/>
    <w:rsid w:val="00721490"/>
    <w:rsid w:val="007216AE"/>
    <w:rsid w:val="0072174C"/>
    <w:rsid w:val="007217E9"/>
    <w:rsid w:val="00721C2F"/>
    <w:rsid w:val="00721E2F"/>
    <w:rsid w:val="00722431"/>
    <w:rsid w:val="00722491"/>
    <w:rsid w:val="00722606"/>
    <w:rsid w:val="00722630"/>
    <w:rsid w:val="0072264E"/>
    <w:rsid w:val="00723017"/>
    <w:rsid w:val="007231C4"/>
    <w:rsid w:val="00723343"/>
    <w:rsid w:val="007233CF"/>
    <w:rsid w:val="0072352F"/>
    <w:rsid w:val="00723641"/>
    <w:rsid w:val="0072372D"/>
    <w:rsid w:val="00724066"/>
    <w:rsid w:val="00724315"/>
    <w:rsid w:val="0072449C"/>
    <w:rsid w:val="00724B2C"/>
    <w:rsid w:val="00724BB8"/>
    <w:rsid w:val="00724CAD"/>
    <w:rsid w:val="00724D02"/>
    <w:rsid w:val="0072520A"/>
    <w:rsid w:val="007253A4"/>
    <w:rsid w:val="0072558A"/>
    <w:rsid w:val="007255AA"/>
    <w:rsid w:val="00725DF4"/>
    <w:rsid w:val="00726380"/>
    <w:rsid w:val="007263D9"/>
    <w:rsid w:val="00726480"/>
    <w:rsid w:val="0072650D"/>
    <w:rsid w:val="00726869"/>
    <w:rsid w:val="00726A8F"/>
    <w:rsid w:val="00726CEA"/>
    <w:rsid w:val="0072709F"/>
    <w:rsid w:val="00727179"/>
    <w:rsid w:val="007271CE"/>
    <w:rsid w:val="0072727C"/>
    <w:rsid w:val="007272AC"/>
    <w:rsid w:val="00727410"/>
    <w:rsid w:val="0072743B"/>
    <w:rsid w:val="00727641"/>
    <w:rsid w:val="00727644"/>
    <w:rsid w:val="00727801"/>
    <w:rsid w:val="00727AB0"/>
    <w:rsid w:val="00727D29"/>
    <w:rsid w:val="00727ECE"/>
    <w:rsid w:val="00730111"/>
    <w:rsid w:val="00730286"/>
    <w:rsid w:val="00730463"/>
    <w:rsid w:val="00730BCF"/>
    <w:rsid w:val="0073106C"/>
    <w:rsid w:val="007312A5"/>
    <w:rsid w:val="00731397"/>
    <w:rsid w:val="007314DA"/>
    <w:rsid w:val="00731754"/>
    <w:rsid w:val="00731934"/>
    <w:rsid w:val="00731AA0"/>
    <w:rsid w:val="00731BA3"/>
    <w:rsid w:val="00731BA6"/>
    <w:rsid w:val="00731BCC"/>
    <w:rsid w:val="0073222B"/>
    <w:rsid w:val="007325CC"/>
    <w:rsid w:val="007328B0"/>
    <w:rsid w:val="00732960"/>
    <w:rsid w:val="00732B7A"/>
    <w:rsid w:val="00732F56"/>
    <w:rsid w:val="00732FAA"/>
    <w:rsid w:val="007332CF"/>
    <w:rsid w:val="00733373"/>
    <w:rsid w:val="007334D9"/>
    <w:rsid w:val="007334FA"/>
    <w:rsid w:val="00733561"/>
    <w:rsid w:val="007335BE"/>
    <w:rsid w:val="00733A23"/>
    <w:rsid w:val="00733B4C"/>
    <w:rsid w:val="00733DC0"/>
    <w:rsid w:val="00734465"/>
    <w:rsid w:val="0073452F"/>
    <w:rsid w:val="007345DA"/>
    <w:rsid w:val="007346B8"/>
    <w:rsid w:val="007349AB"/>
    <w:rsid w:val="0073510C"/>
    <w:rsid w:val="0073519F"/>
    <w:rsid w:val="0073531E"/>
    <w:rsid w:val="007353E8"/>
    <w:rsid w:val="00735402"/>
    <w:rsid w:val="00735505"/>
    <w:rsid w:val="0073576B"/>
    <w:rsid w:val="00735847"/>
    <w:rsid w:val="0073590F"/>
    <w:rsid w:val="00735969"/>
    <w:rsid w:val="007359F0"/>
    <w:rsid w:val="00735A16"/>
    <w:rsid w:val="00735AF4"/>
    <w:rsid w:val="00735BDC"/>
    <w:rsid w:val="00735BF7"/>
    <w:rsid w:val="00735D8D"/>
    <w:rsid w:val="00736442"/>
    <w:rsid w:val="0073657F"/>
    <w:rsid w:val="0073661B"/>
    <w:rsid w:val="00736C1F"/>
    <w:rsid w:val="00736E70"/>
    <w:rsid w:val="00736F14"/>
    <w:rsid w:val="00736FF5"/>
    <w:rsid w:val="00737295"/>
    <w:rsid w:val="00737334"/>
    <w:rsid w:val="0073758E"/>
    <w:rsid w:val="007377CC"/>
    <w:rsid w:val="00737946"/>
    <w:rsid w:val="00737A28"/>
    <w:rsid w:val="00740016"/>
    <w:rsid w:val="007400ED"/>
    <w:rsid w:val="00740550"/>
    <w:rsid w:val="00740562"/>
    <w:rsid w:val="00740834"/>
    <w:rsid w:val="00740A8B"/>
    <w:rsid w:val="00740A96"/>
    <w:rsid w:val="00740B9B"/>
    <w:rsid w:val="00740C3F"/>
    <w:rsid w:val="00740D8C"/>
    <w:rsid w:val="0074142C"/>
    <w:rsid w:val="00741501"/>
    <w:rsid w:val="007419A4"/>
    <w:rsid w:val="007419E7"/>
    <w:rsid w:val="00741A6F"/>
    <w:rsid w:val="00741B76"/>
    <w:rsid w:val="00741E28"/>
    <w:rsid w:val="00742425"/>
    <w:rsid w:val="0074252D"/>
    <w:rsid w:val="00742871"/>
    <w:rsid w:val="007428F7"/>
    <w:rsid w:val="00742CED"/>
    <w:rsid w:val="00742D85"/>
    <w:rsid w:val="00742EE0"/>
    <w:rsid w:val="00742F0F"/>
    <w:rsid w:val="007437D1"/>
    <w:rsid w:val="00743AFD"/>
    <w:rsid w:val="00743B61"/>
    <w:rsid w:val="00743CC9"/>
    <w:rsid w:val="00743E10"/>
    <w:rsid w:val="00743F37"/>
    <w:rsid w:val="00743F59"/>
    <w:rsid w:val="007440F0"/>
    <w:rsid w:val="0074442A"/>
    <w:rsid w:val="0074477B"/>
    <w:rsid w:val="007447F8"/>
    <w:rsid w:val="00745892"/>
    <w:rsid w:val="00745ED2"/>
    <w:rsid w:val="007461C8"/>
    <w:rsid w:val="00746203"/>
    <w:rsid w:val="0074660C"/>
    <w:rsid w:val="00746615"/>
    <w:rsid w:val="00746730"/>
    <w:rsid w:val="0074682D"/>
    <w:rsid w:val="00746D4E"/>
    <w:rsid w:val="00746DA1"/>
    <w:rsid w:val="00746E19"/>
    <w:rsid w:val="00746F04"/>
    <w:rsid w:val="00747020"/>
    <w:rsid w:val="0074752F"/>
    <w:rsid w:val="007476A1"/>
    <w:rsid w:val="00747767"/>
    <w:rsid w:val="0074779C"/>
    <w:rsid w:val="007478C7"/>
    <w:rsid w:val="00747BB9"/>
    <w:rsid w:val="00747D06"/>
    <w:rsid w:val="00747EF6"/>
    <w:rsid w:val="00747FCE"/>
    <w:rsid w:val="00750019"/>
    <w:rsid w:val="00750098"/>
    <w:rsid w:val="0075028F"/>
    <w:rsid w:val="00750356"/>
    <w:rsid w:val="007503B5"/>
    <w:rsid w:val="00750698"/>
    <w:rsid w:val="00750AA8"/>
    <w:rsid w:val="00750C1C"/>
    <w:rsid w:val="00750D4D"/>
    <w:rsid w:val="00750E1C"/>
    <w:rsid w:val="007512DB"/>
    <w:rsid w:val="007518EA"/>
    <w:rsid w:val="007519A5"/>
    <w:rsid w:val="00751AA5"/>
    <w:rsid w:val="00751AAC"/>
    <w:rsid w:val="00751B87"/>
    <w:rsid w:val="00752246"/>
    <w:rsid w:val="007522AE"/>
    <w:rsid w:val="0075243D"/>
    <w:rsid w:val="007525D6"/>
    <w:rsid w:val="007528F1"/>
    <w:rsid w:val="00752ADF"/>
    <w:rsid w:val="00752C96"/>
    <w:rsid w:val="00752D65"/>
    <w:rsid w:val="0075323D"/>
    <w:rsid w:val="007536CD"/>
    <w:rsid w:val="00753A23"/>
    <w:rsid w:val="00753CBB"/>
    <w:rsid w:val="00753CF7"/>
    <w:rsid w:val="00753D6E"/>
    <w:rsid w:val="007540D1"/>
    <w:rsid w:val="007543C2"/>
    <w:rsid w:val="0075447F"/>
    <w:rsid w:val="00754509"/>
    <w:rsid w:val="00754856"/>
    <w:rsid w:val="0075497B"/>
    <w:rsid w:val="00754A87"/>
    <w:rsid w:val="00754C3E"/>
    <w:rsid w:val="00754D27"/>
    <w:rsid w:val="0075509B"/>
    <w:rsid w:val="0075544B"/>
    <w:rsid w:val="0075552C"/>
    <w:rsid w:val="0075558A"/>
    <w:rsid w:val="007555B0"/>
    <w:rsid w:val="007557EA"/>
    <w:rsid w:val="00755A38"/>
    <w:rsid w:val="00755A65"/>
    <w:rsid w:val="00755C64"/>
    <w:rsid w:val="00755CA9"/>
    <w:rsid w:val="00755CAA"/>
    <w:rsid w:val="00756032"/>
    <w:rsid w:val="007561A6"/>
    <w:rsid w:val="007561DF"/>
    <w:rsid w:val="007562D9"/>
    <w:rsid w:val="00756380"/>
    <w:rsid w:val="00756662"/>
    <w:rsid w:val="007568B8"/>
    <w:rsid w:val="0075694C"/>
    <w:rsid w:val="00756A41"/>
    <w:rsid w:val="00756BAF"/>
    <w:rsid w:val="00756DB9"/>
    <w:rsid w:val="00756DF8"/>
    <w:rsid w:val="00756F58"/>
    <w:rsid w:val="007572BC"/>
    <w:rsid w:val="007577B3"/>
    <w:rsid w:val="0075783A"/>
    <w:rsid w:val="0075787D"/>
    <w:rsid w:val="0075789C"/>
    <w:rsid w:val="007579F7"/>
    <w:rsid w:val="00757B7B"/>
    <w:rsid w:val="00757E2F"/>
    <w:rsid w:val="007600B5"/>
    <w:rsid w:val="00760334"/>
    <w:rsid w:val="007604A5"/>
    <w:rsid w:val="0076099D"/>
    <w:rsid w:val="00761322"/>
    <w:rsid w:val="00761340"/>
    <w:rsid w:val="007616F3"/>
    <w:rsid w:val="00761BC6"/>
    <w:rsid w:val="00761F7D"/>
    <w:rsid w:val="0076221E"/>
    <w:rsid w:val="007625C2"/>
    <w:rsid w:val="0076261C"/>
    <w:rsid w:val="00762810"/>
    <w:rsid w:val="0076284A"/>
    <w:rsid w:val="00762889"/>
    <w:rsid w:val="00763127"/>
    <w:rsid w:val="007632E8"/>
    <w:rsid w:val="0076336E"/>
    <w:rsid w:val="0076384F"/>
    <w:rsid w:val="00763B03"/>
    <w:rsid w:val="00763D1E"/>
    <w:rsid w:val="00763DF8"/>
    <w:rsid w:val="00763E08"/>
    <w:rsid w:val="007640B9"/>
    <w:rsid w:val="007643A9"/>
    <w:rsid w:val="007645CA"/>
    <w:rsid w:val="0076463D"/>
    <w:rsid w:val="007646C4"/>
    <w:rsid w:val="007647E2"/>
    <w:rsid w:val="007649D2"/>
    <w:rsid w:val="00764AEB"/>
    <w:rsid w:val="00765389"/>
    <w:rsid w:val="00765CFB"/>
    <w:rsid w:val="0076621B"/>
    <w:rsid w:val="0076663B"/>
    <w:rsid w:val="00766748"/>
    <w:rsid w:val="007667D9"/>
    <w:rsid w:val="00766A9F"/>
    <w:rsid w:val="00766BEB"/>
    <w:rsid w:val="00766C42"/>
    <w:rsid w:val="00766F8A"/>
    <w:rsid w:val="007675C3"/>
    <w:rsid w:val="0076769B"/>
    <w:rsid w:val="007676BC"/>
    <w:rsid w:val="00767891"/>
    <w:rsid w:val="0076792E"/>
    <w:rsid w:val="00767C90"/>
    <w:rsid w:val="00767D2F"/>
    <w:rsid w:val="007701CD"/>
    <w:rsid w:val="007702CD"/>
    <w:rsid w:val="0077032E"/>
    <w:rsid w:val="007703FF"/>
    <w:rsid w:val="007708F3"/>
    <w:rsid w:val="00770A47"/>
    <w:rsid w:val="00770EDC"/>
    <w:rsid w:val="00770FAF"/>
    <w:rsid w:val="00771270"/>
    <w:rsid w:val="0077130A"/>
    <w:rsid w:val="00771626"/>
    <w:rsid w:val="007716C6"/>
    <w:rsid w:val="00771943"/>
    <w:rsid w:val="00771F03"/>
    <w:rsid w:val="00771F8B"/>
    <w:rsid w:val="00771FC0"/>
    <w:rsid w:val="0077230B"/>
    <w:rsid w:val="00772A0A"/>
    <w:rsid w:val="00772C49"/>
    <w:rsid w:val="00772CAA"/>
    <w:rsid w:val="00772DBD"/>
    <w:rsid w:val="00773077"/>
    <w:rsid w:val="007731ED"/>
    <w:rsid w:val="00773331"/>
    <w:rsid w:val="0077352A"/>
    <w:rsid w:val="00773562"/>
    <w:rsid w:val="007737A4"/>
    <w:rsid w:val="007738B0"/>
    <w:rsid w:val="007739D6"/>
    <w:rsid w:val="00773A2A"/>
    <w:rsid w:val="00773A6D"/>
    <w:rsid w:val="00773E3A"/>
    <w:rsid w:val="00774075"/>
    <w:rsid w:val="00774086"/>
    <w:rsid w:val="00774523"/>
    <w:rsid w:val="007746E4"/>
    <w:rsid w:val="0077471F"/>
    <w:rsid w:val="0077474E"/>
    <w:rsid w:val="0077478E"/>
    <w:rsid w:val="00774914"/>
    <w:rsid w:val="0077493C"/>
    <w:rsid w:val="00774D76"/>
    <w:rsid w:val="00774E42"/>
    <w:rsid w:val="00774EF6"/>
    <w:rsid w:val="00774FA9"/>
    <w:rsid w:val="00775432"/>
    <w:rsid w:val="007757F2"/>
    <w:rsid w:val="00775A2E"/>
    <w:rsid w:val="00775C1D"/>
    <w:rsid w:val="00775D9A"/>
    <w:rsid w:val="00775DA9"/>
    <w:rsid w:val="00775EFA"/>
    <w:rsid w:val="00775F12"/>
    <w:rsid w:val="0077604B"/>
    <w:rsid w:val="0077613C"/>
    <w:rsid w:val="007762CA"/>
    <w:rsid w:val="007762F9"/>
    <w:rsid w:val="00776462"/>
    <w:rsid w:val="00776609"/>
    <w:rsid w:val="00776C8C"/>
    <w:rsid w:val="00776F98"/>
    <w:rsid w:val="007770B0"/>
    <w:rsid w:val="0077726B"/>
    <w:rsid w:val="0077743D"/>
    <w:rsid w:val="00777717"/>
    <w:rsid w:val="00777BA4"/>
    <w:rsid w:val="00777D1F"/>
    <w:rsid w:val="00777FCD"/>
    <w:rsid w:val="007801FE"/>
    <w:rsid w:val="00780334"/>
    <w:rsid w:val="0078033A"/>
    <w:rsid w:val="007804AA"/>
    <w:rsid w:val="00780549"/>
    <w:rsid w:val="00780562"/>
    <w:rsid w:val="0078060F"/>
    <w:rsid w:val="00780812"/>
    <w:rsid w:val="0078084F"/>
    <w:rsid w:val="0078090B"/>
    <w:rsid w:val="00780B1D"/>
    <w:rsid w:val="00780FAC"/>
    <w:rsid w:val="0078102C"/>
    <w:rsid w:val="0078139A"/>
    <w:rsid w:val="007815E2"/>
    <w:rsid w:val="007819B8"/>
    <w:rsid w:val="00781D66"/>
    <w:rsid w:val="00781EE1"/>
    <w:rsid w:val="00781FC0"/>
    <w:rsid w:val="00782354"/>
    <w:rsid w:val="0078244E"/>
    <w:rsid w:val="00782479"/>
    <w:rsid w:val="0078253B"/>
    <w:rsid w:val="00782603"/>
    <w:rsid w:val="00782839"/>
    <w:rsid w:val="007829F7"/>
    <w:rsid w:val="00782AE7"/>
    <w:rsid w:val="00782F0B"/>
    <w:rsid w:val="00783074"/>
    <w:rsid w:val="00783216"/>
    <w:rsid w:val="00783540"/>
    <w:rsid w:val="00783A2C"/>
    <w:rsid w:val="00783FDE"/>
    <w:rsid w:val="007842A9"/>
    <w:rsid w:val="007844E9"/>
    <w:rsid w:val="007849E2"/>
    <w:rsid w:val="00785017"/>
    <w:rsid w:val="00785427"/>
    <w:rsid w:val="0078548E"/>
    <w:rsid w:val="00785526"/>
    <w:rsid w:val="0078560A"/>
    <w:rsid w:val="007858C6"/>
    <w:rsid w:val="00785943"/>
    <w:rsid w:val="00785A67"/>
    <w:rsid w:val="00785C0D"/>
    <w:rsid w:val="00785C5C"/>
    <w:rsid w:val="00785CF6"/>
    <w:rsid w:val="00785E97"/>
    <w:rsid w:val="00785F3D"/>
    <w:rsid w:val="00785FFB"/>
    <w:rsid w:val="00786129"/>
    <w:rsid w:val="00786259"/>
    <w:rsid w:val="00786309"/>
    <w:rsid w:val="007869DC"/>
    <w:rsid w:val="00786A42"/>
    <w:rsid w:val="00786C87"/>
    <w:rsid w:val="00787195"/>
    <w:rsid w:val="007871D1"/>
    <w:rsid w:val="007873F4"/>
    <w:rsid w:val="00787407"/>
    <w:rsid w:val="00787609"/>
    <w:rsid w:val="00787992"/>
    <w:rsid w:val="00787AFA"/>
    <w:rsid w:val="00787B97"/>
    <w:rsid w:val="00787C17"/>
    <w:rsid w:val="00790440"/>
    <w:rsid w:val="0079076F"/>
    <w:rsid w:val="007907B4"/>
    <w:rsid w:val="00790A0A"/>
    <w:rsid w:val="00791249"/>
    <w:rsid w:val="00791395"/>
    <w:rsid w:val="0079139B"/>
    <w:rsid w:val="007915B0"/>
    <w:rsid w:val="00791739"/>
    <w:rsid w:val="0079182B"/>
    <w:rsid w:val="00791AA6"/>
    <w:rsid w:val="00791AB2"/>
    <w:rsid w:val="00791B8E"/>
    <w:rsid w:val="00791DEE"/>
    <w:rsid w:val="00791E01"/>
    <w:rsid w:val="0079207C"/>
    <w:rsid w:val="0079268E"/>
    <w:rsid w:val="007926D5"/>
    <w:rsid w:val="00792BA4"/>
    <w:rsid w:val="00792EE3"/>
    <w:rsid w:val="00793260"/>
    <w:rsid w:val="007932EF"/>
    <w:rsid w:val="00793B70"/>
    <w:rsid w:val="00793E0B"/>
    <w:rsid w:val="00793EE5"/>
    <w:rsid w:val="0079487F"/>
    <w:rsid w:val="00794A8B"/>
    <w:rsid w:val="0079519E"/>
    <w:rsid w:val="00795207"/>
    <w:rsid w:val="00795383"/>
    <w:rsid w:val="00795503"/>
    <w:rsid w:val="007956BC"/>
    <w:rsid w:val="007959AE"/>
    <w:rsid w:val="00795AFB"/>
    <w:rsid w:val="00795CD1"/>
    <w:rsid w:val="00795DD4"/>
    <w:rsid w:val="00795E8B"/>
    <w:rsid w:val="00795F51"/>
    <w:rsid w:val="00796040"/>
    <w:rsid w:val="0079613F"/>
    <w:rsid w:val="00796160"/>
    <w:rsid w:val="007963FB"/>
    <w:rsid w:val="00796846"/>
    <w:rsid w:val="007968F4"/>
    <w:rsid w:val="00796BB4"/>
    <w:rsid w:val="0079759F"/>
    <w:rsid w:val="007975A0"/>
    <w:rsid w:val="00797AEC"/>
    <w:rsid w:val="00797DD3"/>
    <w:rsid w:val="007A025E"/>
    <w:rsid w:val="007A04E5"/>
    <w:rsid w:val="007A06D9"/>
    <w:rsid w:val="007A090A"/>
    <w:rsid w:val="007A0A1B"/>
    <w:rsid w:val="007A0A52"/>
    <w:rsid w:val="007A0D38"/>
    <w:rsid w:val="007A0DA7"/>
    <w:rsid w:val="007A1059"/>
    <w:rsid w:val="007A13B0"/>
    <w:rsid w:val="007A15A4"/>
    <w:rsid w:val="007A1A49"/>
    <w:rsid w:val="007A1E0E"/>
    <w:rsid w:val="007A283C"/>
    <w:rsid w:val="007A2BC6"/>
    <w:rsid w:val="007A2EC9"/>
    <w:rsid w:val="007A3387"/>
    <w:rsid w:val="007A366F"/>
    <w:rsid w:val="007A3817"/>
    <w:rsid w:val="007A3866"/>
    <w:rsid w:val="007A3968"/>
    <w:rsid w:val="007A398C"/>
    <w:rsid w:val="007A3A29"/>
    <w:rsid w:val="007A3C89"/>
    <w:rsid w:val="007A3CD2"/>
    <w:rsid w:val="007A3D5C"/>
    <w:rsid w:val="007A4005"/>
    <w:rsid w:val="007A458D"/>
    <w:rsid w:val="007A47B6"/>
    <w:rsid w:val="007A49DB"/>
    <w:rsid w:val="007A4B74"/>
    <w:rsid w:val="007A4B9A"/>
    <w:rsid w:val="007A4C56"/>
    <w:rsid w:val="007A4E49"/>
    <w:rsid w:val="007A4FC1"/>
    <w:rsid w:val="007A51C1"/>
    <w:rsid w:val="007A526C"/>
    <w:rsid w:val="007A55EC"/>
    <w:rsid w:val="007A5CCC"/>
    <w:rsid w:val="007A5E0F"/>
    <w:rsid w:val="007A5FAF"/>
    <w:rsid w:val="007A6212"/>
    <w:rsid w:val="007A630D"/>
    <w:rsid w:val="007A6372"/>
    <w:rsid w:val="007A63E9"/>
    <w:rsid w:val="007A642C"/>
    <w:rsid w:val="007A6432"/>
    <w:rsid w:val="007A65B7"/>
    <w:rsid w:val="007A6953"/>
    <w:rsid w:val="007A6B1B"/>
    <w:rsid w:val="007A6D68"/>
    <w:rsid w:val="007A6DD6"/>
    <w:rsid w:val="007A7125"/>
    <w:rsid w:val="007A72FE"/>
    <w:rsid w:val="007A738D"/>
    <w:rsid w:val="007A772B"/>
    <w:rsid w:val="007A772D"/>
    <w:rsid w:val="007A7F43"/>
    <w:rsid w:val="007B0042"/>
    <w:rsid w:val="007B0129"/>
    <w:rsid w:val="007B024E"/>
    <w:rsid w:val="007B030E"/>
    <w:rsid w:val="007B0368"/>
    <w:rsid w:val="007B0D05"/>
    <w:rsid w:val="007B0DBD"/>
    <w:rsid w:val="007B0E60"/>
    <w:rsid w:val="007B1470"/>
    <w:rsid w:val="007B177D"/>
    <w:rsid w:val="007B17D1"/>
    <w:rsid w:val="007B18E0"/>
    <w:rsid w:val="007B1E0F"/>
    <w:rsid w:val="007B1E8D"/>
    <w:rsid w:val="007B2222"/>
    <w:rsid w:val="007B235D"/>
    <w:rsid w:val="007B2403"/>
    <w:rsid w:val="007B2535"/>
    <w:rsid w:val="007B25E9"/>
    <w:rsid w:val="007B2620"/>
    <w:rsid w:val="007B28B9"/>
    <w:rsid w:val="007B2B28"/>
    <w:rsid w:val="007B2BC7"/>
    <w:rsid w:val="007B2C7A"/>
    <w:rsid w:val="007B2CC9"/>
    <w:rsid w:val="007B2FB0"/>
    <w:rsid w:val="007B344A"/>
    <w:rsid w:val="007B347A"/>
    <w:rsid w:val="007B3565"/>
    <w:rsid w:val="007B38DB"/>
    <w:rsid w:val="007B39B3"/>
    <w:rsid w:val="007B3D45"/>
    <w:rsid w:val="007B3DD8"/>
    <w:rsid w:val="007B3E3A"/>
    <w:rsid w:val="007B3F4B"/>
    <w:rsid w:val="007B4068"/>
    <w:rsid w:val="007B42D1"/>
    <w:rsid w:val="007B496B"/>
    <w:rsid w:val="007B4ABE"/>
    <w:rsid w:val="007B4B6F"/>
    <w:rsid w:val="007B4BF8"/>
    <w:rsid w:val="007B4CD5"/>
    <w:rsid w:val="007B4E76"/>
    <w:rsid w:val="007B4F62"/>
    <w:rsid w:val="007B4F8B"/>
    <w:rsid w:val="007B5022"/>
    <w:rsid w:val="007B5056"/>
    <w:rsid w:val="007B5065"/>
    <w:rsid w:val="007B528A"/>
    <w:rsid w:val="007B56F5"/>
    <w:rsid w:val="007B5998"/>
    <w:rsid w:val="007B5C00"/>
    <w:rsid w:val="007B5C49"/>
    <w:rsid w:val="007B5DB6"/>
    <w:rsid w:val="007B608D"/>
    <w:rsid w:val="007B6259"/>
    <w:rsid w:val="007B62B4"/>
    <w:rsid w:val="007B630D"/>
    <w:rsid w:val="007B64A3"/>
    <w:rsid w:val="007B6BB6"/>
    <w:rsid w:val="007B6BD3"/>
    <w:rsid w:val="007B6C79"/>
    <w:rsid w:val="007B6D18"/>
    <w:rsid w:val="007B7006"/>
    <w:rsid w:val="007B7141"/>
    <w:rsid w:val="007B76F5"/>
    <w:rsid w:val="007B78D5"/>
    <w:rsid w:val="007B7FBB"/>
    <w:rsid w:val="007B7FC9"/>
    <w:rsid w:val="007C0226"/>
    <w:rsid w:val="007C023A"/>
    <w:rsid w:val="007C024B"/>
    <w:rsid w:val="007C041B"/>
    <w:rsid w:val="007C0707"/>
    <w:rsid w:val="007C1072"/>
    <w:rsid w:val="007C1331"/>
    <w:rsid w:val="007C1526"/>
    <w:rsid w:val="007C15BF"/>
    <w:rsid w:val="007C1728"/>
    <w:rsid w:val="007C1732"/>
    <w:rsid w:val="007C184F"/>
    <w:rsid w:val="007C1BEF"/>
    <w:rsid w:val="007C1C1F"/>
    <w:rsid w:val="007C1D85"/>
    <w:rsid w:val="007C1F60"/>
    <w:rsid w:val="007C203A"/>
    <w:rsid w:val="007C20CB"/>
    <w:rsid w:val="007C2313"/>
    <w:rsid w:val="007C2460"/>
    <w:rsid w:val="007C2663"/>
    <w:rsid w:val="007C2977"/>
    <w:rsid w:val="007C2D38"/>
    <w:rsid w:val="007C2EDF"/>
    <w:rsid w:val="007C35B4"/>
    <w:rsid w:val="007C35B7"/>
    <w:rsid w:val="007C3886"/>
    <w:rsid w:val="007C38AA"/>
    <w:rsid w:val="007C3ACC"/>
    <w:rsid w:val="007C3CAD"/>
    <w:rsid w:val="007C41CE"/>
    <w:rsid w:val="007C42FB"/>
    <w:rsid w:val="007C44CF"/>
    <w:rsid w:val="007C4AB8"/>
    <w:rsid w:val="007C4B05"/>
    <w:rsid w:val="007C4E87"/>
    <w:rsid w:val="007C4EDD"/>
    <w:rsid w:val="007C4FF2"/>
    <w:rsid w:val="007C502F"/>
    <w:rsid w:val="007C50FB"/>
    <w:rsid w:val="007C528E"/>
    <w:rsid w:val="007C5579"/>
    <w:rsid w:val="007C569A"/>
    <w:rsid w:val="007C5726"/>
    <w:rsid w:val="007C576E"/>
    <w:rsid w:val="007C5979"/>
    <w:rsid w:val="007C5BD0"/>
    <w:rsid w:val="007C5CEC"/>
    <w:rsid w:val="007C5F4F"/>
    <w:rsid w:val="007C5F7F"/>
    <w:rsid w:val="007C601E"/>
    <w:rsid w:val="007C60FB"/>
    <w:rsid w:val="007C628A"/>
    <w:rsid w:val="007C63FB"/>
    <w:rsid w:val="007C641F"/>
    <w:rsid w:val="007C653E"/>
    <w:rsid w:val="007C6776"/>
    <w:rsid w:val="007C6A24"/>
    <w:rsid w:val="007C6AA6"/>
    <w:rsid w:val="007C6C3E"/>
    <w:rsid w:val="007C704E"/>
    <w:rsid w:val="007C72CA"/>
    <w:rsid w:val="007C73FE"/>
    <w:rsid w:val="007C744F"/>
    <w:rsid w:val="007C76F8"/>
    <w:rsid w:val="007C78AF"/>
    <w:rsid w:val="007C7B9A"/>
    <w:rsid w:val="007C7DC0"/>
    <w:rsid w:val="007D0050"/>
    <w:rsid w:val="007D00AC"/>
    <w:rsid w:val="007D015D"/>
    <w:rsid w:val="007D03D7"/>
    <w:rsid w:val="007D06E3"/>
    <w:rsid w:val="007D0928"/>
    <w:rsid w:val="007D0964"/>
    <w:rsid w:val="007D0A8F"/>
    <w:rsid w:val="007D0E08"/>
    <w:rsid w:val="007D0E27"/>
    <w:rsid w:val="007D139C"/>
    <w:rsid w:val="007D1559"/>
    <w:rsid w:val="007D1601"/>
    <w:rsid w:val="007D189E"/>
    <w:rsid w:val="007D1973"/>
    <w:rsid w:val="007D19A0"/>
    <w:rsid w:val="007D1FF7"/>
    <w:rsid w:val="007D2076"/>
    <w:rsid w:val="007D20D6"/>
    <w:rsid w:val="007D20DE"/>
    <w:rsid w:val="007D2112"/>
    <w:rsid w:val="007D23F7"/>
    <w:rsid w:val="007D24A2"/>
    <w:rsid w:val="007D25DF"/>
    <w:rsid w:val="007D26D9"/>
    <w:rsid w:val="007D2732"/>
    <w:rsid w:val="007D277E"/>
    <w:rsid w:val="007D28ED"/>
    <w:rsid w:val="007D2A6E"/>
    <w:rsid w:val="007D2F2D"/>
    <w:rsid w:val="007D30F3"/>
    <w:rsid w:val="007D34E1"/>
    <w:rsid w:val="007D36B1"/>
    <w:rsid w:val="007D3844"/>
    <w:rsid w:val="007D38AA"/>
    <w:rsid w:val="007D3A92"/>
    <w:rsid w:val="007D3AE0"/>
    <w:rsid w:val="007D42CD"/>
    <w:rsid w:val="007D42F5"/>
    <w:rsid w:val="007D436B"/>
    <w:rsid w:val="007D46E6"/>
    <w:rsid w:val="007D4703"/>
    <w:rsid w:val="007D4D70"/>
    <w:rsid w:val="007D4DA9"/>
    <w:rsid w:val="007D5359"/>
    <w:rsid w:val="007D56B3"/>
    <w:rsid w:val="007D5ADA"/>
    <w:rsid w:val="007D5B03"/>
    <w:rsid w:val="007D63D4"/>
    <w:rsid w:val="007D6548"/>
    <w:rsid w:val="007D66E5"/>
    <w:rsid w:val="007D66EF"/>
    <w:rsid w:val="007D6C57"/>
    <w:rsid w:val="007D6CF9"/>
    <w:rsid w:val="007D6E67"/>
    <w:rsid w:val="007D701B"/>
    <w:rsid w:val="007D7347"/>
    <w:rsid w:val="007D7440"/>
    <w:rsid w:val="007D75B8"/>
    <w:rsid w:val="007D7A3B"/>
    <w:rsid w:val="007D7B3A"/>
    <w:rsid w:val="007D7B4F"/>
    <w:rsid w:val="007D7FD6"/>
    <w:rsid w:val="007E0548"/>
    <w:rsid w:val="007E05B0"/>
    <w:rsid w:val="007E06F2"/>
    <w:rsid w:val="007E0792"/>
    <w:rsid w:val="007E088B"/>
    <w:rsid w:val="007E0DCA"/>
    <w:rsid w:val="007E16FA"/>
    <w:rsid w:val="007E16FD"/>
    <w:rsid w:val="007E1740"/>
    <w:rsid w:val="007E1756"/>
    <w:rsid w:val="007E17C1"/>
    <w:rsid w:val="007E194B"/>
    <w:rsid w:val="007E1F61"/>
    <w:rsid w:val="007E208D"/>
    <w:rsid w:val="007E20C4"/>
    <w:rsid w:val="007E20F8"/>
    <w:rsid w:val="007E221F"/>
    <w:rsid w:val="007E24DC"/>
    <w:rsid w:val="007E26F2"/>
    <w:rsid w:val="007E2A15"/>
    <w:rsid w:val="007E2C3B"/>
    <w:rsid w:val="007E2DD8"/>
    <w:rsid w:val="007E2DFD"/>
    <w:rsid w:val="007E2F63"/>
    <w:rsid w:val="007E302E"/>
    <w:rsid w:val="007E30E0"/>
    <w:rsid w:val="007E3331"/>
    <w:rsid w:val="007E347E"/>
    <w:rsid w:val="007E34C9"/>
    <w:rsid w:val="007E3579"/>
    <w:rsid w:val="007E39BD"/>
    <w:rsid w:val="007E3B15"/>
    <w:rsid w:val="007E3B1F"/>
    <w:rsid w:val="007E3BDA"/>
    <w:rsid w:val="007E3D4A"/>
    <w:rsid w:val="007E4086"/>
    <w:rsid w:val="007E40DA"/>
    <w:rsid w:val="007E419C"/>
    <w:rsid w:val="007E4504"/>
    <w:rsid w:val="007E4C5F"/>
    <w:rsid w:val="007E4D3F"/>
    <w:rsid w:val="007E4E1D"/>
    <w:rsid w:val="007E4E4D"/>
    <w:rsid w:val="007E53F5"/>
    <w:rsid w:val="007E5477"/>
    <w:rsid w:val="007E5731"/>
    <w:rsid w:val="007E57EE"/>
    <w:rsid w:val="007E5A74"/>
    <w:rsid w:val="007E5FCA"/>
    <w:rsid w:val="007E625D"/>
    <w:rsid w:val="007E6468"/>
    <w:rsid w:val="007E6562"/>
    <w:rsid w:val="007E6706"/>
    <w:rsid w:val="007E69BD"/>
    <w:rsid w:val="007E6B16"/>
    <w:rsid w:val="007E6BA0"/>
    <w:rsid w:val="007E6D38"/>
    <w:rsid w:val="007E710A"/>
    <w:rsid w:val="007E7B79"/>
    <w:rsid w:val="007E7E8E"/>
    <w:rsid w:val="007E7F1C"/>
    <w:rsid w:val="007E7F1D"/>
    <w:rsid w:val="007E7FED"/>
    <w:rsid w:val="007F0056"/>
    <w:rsid w:val="007F0AF3"/>
    <w:rsid w:val="007F0C47"/>
    <w:rsid w:val="007F0F20"/>
    <w:rsid w:val="007F1037"/>
    <w:rsid w:val="007F1424"/>
    <w:rsid w:val="007F16C9"/>
    <w:rsid w:val="007F17E1"/>
    <w:rsid w:val="007F1C3F"/>
    <w:rsid w:val="007F1E07"/>
    <w:rsid w:val="007F2011"/>
    <w:rsid w:val="007F2170"/>
    <w:rsid w:val="007F22A5"/>
    <w:rsid w:val="007F235B"/>
    <w:rsid w:val="007F23F2"/>
    <w:rsid w:val="007F2692"/>
    <w:rsid w:val="007F2A26"/>
    <w:rsid w:val="007F2AFE"/>
    <w:rsid w:val="007F2F04"/>
    <w:rsid w:val="007F30BB"/>
    <w:rsid w:val="007F31CE"/>
    <w:rsid w:val="007F31CF"/>
    <w:rsid w:val="007F323B"/>
    <w:rsid w:val="007F335F"/>
    <w:rsid w:val="007F365B"/>
    <w:rsid w:val="007F3964"/>
    <w:rsid w:val="007F3B5D"/>
    <w:rsid w:val="007F3F36"/>
    <w:rsid w:val="007F411C"/>
    <w:rsid w:val="007F4238"/>
    <w:rsid w:val="007F42D5"/>
    <w:rsid w:val="007F43F9"/>
    <w:rsid w:val="007F45FB"/>
    <w:rsid w:val="007F4A78"/>
    <w:rsid w:val="007F4D42"/>
    <w:rsid w:val="007F4E72"/>
    <w:rsid w:val="007F4F05"/>
    <w:rsid w:val="007F52FE"/>
    <w:rsid w:val="007F55D3"/>
    <w:rsid w:val="007F5758"/>
    <w:rsid w:val="007F5AD4"/>
    <w:rsid w:val="007F5D0E"/>
    <w:rsid w:val="007F5DFA"/>
    <w:rsid w:val="007F6898"/>
    <w:rsid w:val="007F6A88"/>
    <w:rsid w:val="007F6ED6"/>
    <w:rsid w:val="007F6F02"/>
    <w:rsid w:val="007F71DA"/>
    <w:rsid w:val="007F73AD"/>
    <w:rsid w:val="007F74D2"/>
    <w:rsid w:val="007F77AF"/>
    <w:rsid w:val="007F7A46"/>
    <w:rsid w:val="007F7A99"/>
    <w:rsid w:val="007F7B63"/>
    <w:rsid w:val="008004CA"/>
    <w:rsid w:val="00800732"/>
    <w:rsid w:val="008010D5"/>
    <w:rsid w:val="0080117F"/>
    <w:rsid w:val="0080129F"/>
    <w:rsid w:val="008014AC"/>
    <w:rsid w:val="0080151F"/>
    <w:rsid w:val="008015FB"/>
    <w:rsid w:val="008018E6"/>
    <w:rsid w:val="00801A06"/>
    <w:rsid w:val="00801C4F"/>
    <w:rsid w:val="0080219C"/>
    <w:rsid w:val="008024FE"/>
    <w:rsid w:val="008025B6"/>
    <w:rsid w:val="0080295D"/>
    <w:rsid w:val="00802A24"/>
    <w:rsid w:val="00802EA9"/>
    <w:rsid w:val="00802EC6"/>
    <w:rsid w:val="008034B3"/>
    <w:rsid w:val="008035F9"/>
    <w:rsid w:val="0080363D"/>
    <w:rsid w:val="00803656"/>
    <w:rsid w:val="00803724"/>
    <w:rsid w:val="00803765"/>
    <w:rsid w:val="008037CE"/>
    <w:rsid w:val="00803875"/>
    <w:rsid w:val="00803985"/>
    <w:rsid w:val="00803A03"/>
    <w:rsid w:val="00803B9F"/>
    <w:rsid w:val="00803D02"/>
    <w:rsid w:val="00803ED6"/>
    <w:rsid w:val="00803F06"/>
    <w:rsid w:val="00803F4F"/>
    <w:rsid w:val="0080451F"/>
    <w:rsid w:val="00804614"/>
    <w:rsid w:val="00804736"/>
    <w:rsid w:val="00804774"/>
    <w:rsid w:val="008047B3"/>
    <w:rsid w:val="00804A40"/>
    <w:rsid w:val="00804B91"/>
    <w:rsid w:val="00804CBF"/>
    <w:rsid w:val="00804DA6"/>
    <w:rsid w:val="008050EF"/>
    <w:rsid w:val="00805355"/>
    <w:rsid w:val="00805696"/>
    <w:rsid w:val="008056B6"/>
    <w:rsid w:val="0080575E"/>
    <w:rsid w:val="00805877"/>
    <w:rsid w:val="008058C4"/>
    <w:rsid w:val="0080593E"/>
    <w:rsid w:val="0080593F"/>
    <w:rsid w:val="00805EC3"/>
    <w:rsid w:val="00805FD5"/>
    <w:rsid w:val="008067F6"/>
    <w:rsid w:val="00806A4D"/>
    <w:rsid w:val="00806D52"/>
    <w:rsid w:val="00806DAE"/>
    <w:rsid w:val="00806FDC"/>
    <w:rsid w:val="00806FE4"/>
    <w:rsid w:val="00807723"/>
    <w:rsid w:val="00807737"/>
    <w:rsid w:val="008077F8"/>
    <w:rsid w:val="008078F5"/>
    <w:rsid w:val="008079FB"/>
    <w:rsid w:val="00807BE3"/>
    <w:rsid w:val="00807F11"/>
    <w:rsid w:val="0081003B"/>
    <w:rsid w:val="008100C2"/>
    <w:rsid w:val="00810571"/>
    <w:rsid w:val="00810951"/>
    <w:rsid w:val="00810AAC"/>
    <w:rsid w:val="00810B63"/>
    <w:rsid w:val="00810D9E"/>
    <w:rsid w:val="008110E0"/>
    <w:rsid w:val="0081113F"/>
    <w:rsid w:val="00811326"/>
    <w:rsid w:val="00811848"/>
    <w:rsid w:val="00811BFB"/>
    <w:rsid w:val="00811DB6"/>
    <w:rsid w:val="00811FDE"/>
    <w:rsid w:val="0081221E"/>
    <w:rsid w:val="008122B5"/>
    <w:rsid w:val="00812513"/>
    <w:rsid w:val="00812645"/>
    <w:rsid w:val="00812917"/>
    <w:rsid w:val="00812B65"/>
    <w:rsid w:val="00812CC7"/>
    <w:rsid w:val="00812CDC"/>
    <w:rsid w:val="00812EB6"/>
    <w:rsid w:val="0081379D"/>
    <w:rsid w:val="00813832"/>
    <w:rsid w:val="00813CFB"/>
    <w:rsid w:val="008142CB"/>
    <w:rsid w:val="008143FE"/>
    <w:rsid w:val="008148F5"/>
    <w:rsid w:val="008149C7"/>
    <w:rsid w:val="00814AB3"/>
    <w:rsid w:val="00814D0B"/>
    <w:rsid w:val="00814F04"/>
    <w:rsid w:val="008152B4"/>
    <w:rsid w:val="008152C1"/>
    <w:rsid w:val="00815937"/>
    <w:rsid w:val="00815C33"/>
    <w:rsid w:val="00815C6F"/>
    <w:rsid w:val="00815CA3"/>
    <w:rsid w:val="00815D97"/>
    <w:rsid w:val="0081608B"/>
    <w:rsid w:val="008160BF"/>
    <w:rsid w:val="00816222"/>
    <w:rsid w:val="0081644A"/>
    <w:rsid w:val="00816571"/>
    <w:rsid w:val="00816F13"/>
    <w:rsid w:val="0081701B"/>
    <w:rsid w:val="008173F5"/>
    <w:rsid w:val="00820038"/>
    <w:rsid w:val="0082007F"/>
    <w:rsid w:val="00820277"/>
    <w:rsid w:val="00820411"/>
    <w:rsid w:val="0082060B"/>
    <w:rsid w:val="00820996"/>
    <w:rsid w:val="00820D2C"/>
    <w:rsid w:val="00820D76"/>
    <w:rsid w:val="00820DD2"/>
    <w:rsid w:val="008213CE"/>
    <w:rsid w:val="00821458"/>
    <w:rsid w:val="0082164C"/>
    <w:rsid w:val="00821723"/>
    <w:rsid w:val="00821817"/>
    <w:rsid w:val="00821E7A"/>
    <w:rsid w:val="00821F5F"/>
    <w:rsid w:val="00821F6D"/>
    <w:rsid w:val="00821FE0"/>
    <w:rsid w:val="008228A2"/>
    <w:rsid w:val="00822C84"/>
    <w:rsid w:val="00822FAB"/>
    <w:rsid w:val="008230C1"/>
    <w:rsid w:val="00823339"/>
    <w:rsid w:val="008233C6"/>
    <w:rsid w:val="00823AEF"/>
    <w:rsid w:val="00823BA2"/>
    <w:rsid w:val="00823C81"/>
    <w:rsid w:val="00823E00"/>
    <w:rsid w:val="0082421C"/>
    <w:rsid w:val="008242DD"/>
    <w:rsid w:val="00824397"/>
    <w:rsid w:val="00824526"/>
    <w:rsid w:val="00824907"/>
    <w:rsid w:val="008249AA"/>
    <w:rsid w:val="00824B4D"/>
    <w:rsid w:val="00824D65"/>
    <w:rsid w:val="00824F4B"/>
    <w:rsid w:val="008251FA"/>
    <w:rsid w:val="00825233"/>
    <w:rsid w:val="00825266"/>
    <w:rsid w:val="008254D6"/>
    <w:rsid w:val="00825547"/>
    <w:rsid w:val="008256A7"/>
    <w:rsid w:val="00825B2B"/>
    <w:rsid w:val="00825C40"/>
    <w:rsid w:val="0082603C"/>
    <w:rsid w:val="008261C6"/>
    <w:rsid w:val="00826468"/>
    <w:rsid w:val="00826656"/>
    <w:rsid w:val="008268FA"/>
    <w:rsid w:val="00826ACA"/>
    <w:rsid w:val="00826D57"/>
    <w:rsid w:val="00826E48"/>
    <w:rsid w:val="00826ED2"/>
    <w:rsid w:val="00827591"/>
    <w:rsid w:val="00827882"/>
    <w:rsid w:val="00827C5E"/>
    <w:rsid w:val="00827EE9"/>
    <w:rsid w:val="00830929"/>
    <w:rsid w:val="00830B63"/>
    <w:rsid w:val="00830DF3"/>
    <w:rsid w:val="00830E62"/>
    <w:rsid w:val="008311DE"/>
    <w:rsid w:val="008311FE"/>
    <w:rsid w:val="0083158E"/>
    <w:rsid w:val="00831770"/>
    <w:rsid w:val="008318D7"/>
    <w:rsid w:val="00831AEB"/>
    <w:rsid w:val="00831C4B"/>
    <w:rsid w:val="00831D29"/>
    <w:rsid w:val="00831F3F"/>
    <w:rsid w:val="00832102"/>
    <w:rsid w:val="00832136"/>
    <w:rsid w:val="0083232D"/>
    <w:rsid w:val="00832417"/>
    <w:rsid w:val="00832688"/>
    <w:rsid w:val="008326C5"/>
    <w:rsid w:val="008327F7"/>
    <w:rsid w:val="00832A5E"/>
    <w:rsid w:val="00832A9C"/>
    <w:rsid w:val="00832C49"/>
    <w:rsid w:val="00832D1F"/>
    <w:rsid w:val="008330CF"/>
    <w:rsid w:val="008333B6"/>
    <w:rsid w:val="008334DC"/>
    <w:rsid w:val="00833608"/>
    <w:rsid w:val="00833A3E"/>
    <w:rsid w:val="00833EF9"/>
    <w:rsid w:val="00834458"/>
    <w:rsid w:val="008345C2"/>
    <w:rsid w:val="008346FF"/>
    <w:rsid w:val="00834824"/>
    <w:rsid w:val="008348A2"/>
    <w:rsid w:val="00834C8D"/>
    <w:rsid w:val="00834E05"/>
    <w:rsid w:val="00834FBF"/>
    <w:rsid w:val="0083521D"/>
    <w:rsid w:val="00835374"/>
    <w:rsid w:val="0083558A"/>
    <w:rsid w:val="008356E3"/>
    <w:rsid w:val="00835899"/>
    <w:rsid w:val="008358A8"/>
    <w:rsid w:val="00835C3C"/>
    <w:rsid w:val="00835EB6"/>
    <w:rsid w:val="008360A9"/>
    <w:rsid w:val="0083616B"/>
    <w:rsid w:val="00836288"/>
    <w:rsid w:val="00836528"/>
    <w:rsid w:val="0083656B"/>
    <w:rsid w:val="00836790"/>
    <w:rsid w:val="008368D7"/>
    <w:rsid w:val="00836AAC"/>
    <w:rsid w:val="00836CA1"/>
    <w:rsid w:val="00836E56"/>
    <w:rsid w:val="00836EBA"/>
    <w:rsid w:val="00837034"/>
    <w:rsid w:val="00837375"/>
    <w:rsid w:val="008373BD"/>
    <w:rsid w:val="0083775B"/>
    <w:rsid w:val="00837782"/>
    <w:rsid w:val="00837872"/>
    <w:rsid w:val="00837892"/>
    <w:rsid w:val="00837BC5"/>
    <w:rsid w:val="00837BEB"/>
    <w:rsid w:val="00837D49"/>
    <w:rsid w:val="00837E21"/>
    <w:rsid w:val="00837F5E"/>
    <w:rsid w:val="0084000E"/>
    <w:rsid w:val="008400FB"/>
    <w:rsid w:val="00840256"/>
    <w:rsid w:val="008403AE"/>
    <w:rsid w:val="0084043F"/>
    <w:rsid w:val="008404BD"/>
    <w:rsid w:val="008404EF"/>
    <w:rsid w:val="008406C1"/>
    <w:rsid w:val="00840E7A"/>
    <w:rsid w:val="00840E97"/>
    <w:rsid w:val="00840F0C"/>
    <w:rsid w:val="00840F52"/>
    <w:rsid w:val="008410F1"/>
    <w:rsid w:val="00841129"/>
    <w:rsid w:val="00841862"/>
    <w:rsid w:val="008419B6"/>
    <w:rsid w:val="008419F1"/>
    <w:rsid w:val="00841AF5"/>
    <w:rsid w:val="00841DB5"/>
    <w:rsid w:val="00842B5B"/>
    <w:rsid w:val="00842EBA"/>
    <w:rsid w:val="00843211"/>
    <w:rsid w:val="0084341C"/>
    <w:rsid w:val="0084341D"/>
    <w:rsid w:val="008434BE"/>
    <w:rsid w:val="008435CF"/>
    <w:rsid w:val="00843787"/>
    <w:rsid w:val="0084382B"/>
    <w:rsid w:val="0084387B"/>
    <w:rsid w:val="008443F5"/>
    <w:rsid w:val="0084465D"/>
    <w:rsid w:val="008446A9"/>
    <w:rsid w:val="0084470C"/>
    <w:rsid w:val="008447D1"/>
    <w:rsid w:val="00844832"/>
    <w:rsid w:val="00844AA9"/>
    <w:rsid w:val="00844AFD"/>
    <w:rsid w:val="0084511E"/>
    <w:rsid w:val="00845389"/>
    <w:rsid w:val="008453A5"/>
    <w:rsid w:val="00845571"/>
    <w:rsid w:val="00845626"/>
    <w:rsid w:val="008457FB"/>
    <w:rsid w:val="008458C3"/>
    <w:rsid w:val="00845A4C"/>
    <w:rsid w:val="00845FA9"/>
    <w:rsid w:val="00846067"/>
    <w:rsid w:val="00846074"/>
    <w:rsid w:val="008460DF"/>
    <w:rsid w:val="008460F7"/>
    <w:rsid w:val="008464D9"/>
    <w:rsid w:val="008465FD"/>
    <w:rsid w:val="00846698"/>
    <w:rsid w:val="00846BB0"/>
    <w:rsid w:val="00846EF0"/>
    <w:rsid w:val="00847339"/>
    <w:rsid w:val="00847353"/>
    <w:rsid w:val="00847390"/>
    <w:rsid w:val="0084770C"/>
    <w:rsid w:val="0084783C"/>
    <w:rsid w:val="0084786E"/>
    <w:rsid w:val="0084793B"/>
    <w:rsid w:val="0084798B"/>
    <w:rsid w:val="00847DAA"/>
    <w:rsid w:val="00847FA2"/>
    <w:rsid w:val="008500FA"/>
    <w:rsid w:val="00850201"/>
    <w:rsid w:val="008505A0"/>
    <w:rsid w:val="00850620"/>
    <w:rsid w:val="00850960"/>
    <w:rsid w:val="00850B53"/>
    <w:rsid w:val="00850B7D"/>
    <w:rsid w:val="00850DFB"/>
    <w:rsid w:val="00850FA9"/>
    <w:rsid w:val="008511B9"/>
    <w:rsid w:val="0085122B"/>
    <w:rsid w:val="008515DE"/>
    <w:rsid w:val="00851631"/>
    <w:rsid w:val="00851640"/>
    <w:rsid w:val="00851DBF"/>
    <w:rsid w:val="0085238D"/>
    <w:rsid w:val="00852424"/>
    <w:rsid w:val="008524CB"/>
    <w:rsid w:val="0085278C"/>
    <w:rsid w:val="00852EC9"/>
    <w:rsid w:val="008532B6"/>
    <w:rsid w:val="00853307"/>
    <w:rsid w:val="00853583"/>
    <w:rsid w:val="008536FD"/>
    <w:rsid w:val="00853786"/>
    <w:rsid w:val="008539D2"/>
    <w:rsid w:val="00853CDC"/>
    <w:rsid w:val="00853CE7"/>
    <w:rsid w:val="00853EEB"/>
    <w:rsid w:val="00853F01"/>
    <w:rsid w:val="00853FE2"/>
    <w:rsid w:val="00854124"/>
    <w:rsid w:val="00854334"/>
    <w:rsid w:val="008543E0"/>
    <w:rsid w:val="008543F1"/>
    <w:rsid w:val="00854471"/>
    <w:rsid w:val="00854A2F"/>
    <w:rsid w:val="00854BA0"/>
    <w:rsid w:val="00854DE5"/>
    <w:rsid w:val="008550B3"/>
    <w:rsid w:val="00855296"/>
    <w:rsid w:val="00855317"/>
    <w:rsid w:val="008553BA"/>
    <w:rsid w:val="00855451"/>
    <w:rsid w:val="008554BA"/>
    <w:rsid w:val="00855A82"/>
    <w:rsid w:val="00855F78"/>
    <w:rsid w:val="0085632C"/>
    <w:rsid w:val="008566D3"/>
    <w:rsid w:val="0085679A"/>
    <w:rsid w:val="00856CB1"/>
    <w:rsid w:val="0085702D"/>
    <w:rsid w:val="00857064"/>
    <w:rsid w:val="00857338"/>
    <w:rsid w:val="00857E90"/>
    <w:rsid w:val="00857F63"/>
    <w:rsid w:val="00860870"/>
    <w:rsid w:val="008608A2"/>
    <w:rsid w:val="00860B09"/>
    <w:rsid w:val="0086131B"/>
    <w:rsid w:val="008614BB"/>
    <w:rsid w:val="00861709"/>
    <w:rsid w:val="0086182C"/>
    <w:rsid w:val="008619E9"/>
    <w:rsid w:val="00861C26"/>
    <w:rsid w:val="00861D3B"/>
    <w:rsid w:val="00861F8E"/>
    <w:rsid w:val="00861F99"/>
    <w:rsid w:val="00862191"/>
    <w:rsid w:val="00862386"/>
    <w:rsid w:val="008623ED"/>
    <w:rsid w:val="00862506"/>
    <w:rsid w:val="0086263B"/>
    <w:rsid w:val="00862693"/>
    <w:rsid w:val="00862770"/>
    <w:rsid w:val="0086282A"/>
    <w:rsid w:val="00862A89"/>
    <w:rsid w:val="00862A8D"/>
    <w:rsid w:val="00862FC3"/>
    <w:rsid w:val="0086315B"/>
    <w:rsid w:val="0086324C"/>
    <w:rsid w:val="008633CE"/>
    <w:rsid w:val="00863733"/>
    <w:rsid w:val="0086377E"/>
    <w:rsid w:val="00863977"/>
    <w:rsid w:val="0086399B"/>
    <w:rsid w:val="00863F8A"/>
    <w:rsid w:val="0086400D"/>
    <w:rsid w:val="008641B9"/>
    <w:rsid w:val="00864289"/>
    <w:rsid w:val="00864461"/>
    <w:rsid w:val="008644B1"/>
    <w:rsid w:val="0086461A"/>
    <w:rsid w:val="008647CA"/>
    <w:rsid w:val="00864850"/>
    <w:rsid w:val="008648DC"/>
    <w:rsid w:val="0086490B"/>
    <w:rsid w:val="0086492D"/>
    <w:rsid w:val="00864E26"/>
    <w:rsid w:val="008650F7"/>
    <w:rsid w:val="00865324"/>
    <w:rsid w:val="0086539A"/>
    <w:rsid w:val="008655A9"/>
    <w:rsid w:val="00865753"/>
    <w:rsid w:val="0086584C"/>
    <w:rsid w:val="00865A1C"/>
    <w:rsid w:val="00865A58"/>
    <w:rsid w:val="00865A8A"/>
    <w:rsid w:val="00865E20"/>
    <w:rsid w:val="0086601B"/>
    <w:rsid w:val="008661D1"/>
    <w:rsid w:val="00866421"/>
    <w:rsid w:val="00866717"/>
    <w:rsid w:val="008669D9"/>
    <w:rsid w:val="00866EB4"/>
    <w:rsid w:val="008670C4"/>
    <w:rsid w:val="00867500"/>
    <w:rsid w:val="0086752F"/>
    <w:rsid w:val="00867C22"/>
    <w:rsid w:val="00867E43"/>
    <w:rsid w:val="00870035"/>
    <w:rsid w:val="00870707"/>
    <w:rsid w:val="008707FF"/>
    <w:rsid w:val="00870944"/>
    <w:rsid w:val="00870ADB"/>
    <w:rsid w:val="0087102A"/>
    <w:rsid w:val="008712F8"/>
    <w:rsid w:val="00871696"/>
    <w:rsid w:val="0087195C"/>
    <w:rsid w:val="00871A3D"/>
    <w:rsid w:val="00871B14"/>
    <w:rsid w:val="00871CEA"/>
    <w:rsid w:val="00871EDD"/>
    <w:rsid w:val="00872599"/>
    <w:rsid w:val="008727D0"/>
    <w:rsid w:val="00872AA4"/>
    <w:rsid w:val="00872BC5"/>
    <w:rsid w:val="00872E20"/>
    <w:rsid w:val="00872ECA"/>
    <w:rsid w:val="00873487"/>
    <w:rsid w:val="0087363B"/>
    <w:rsid w:val="0087367E"/>
    <w:rsid w:val="00873ADE"/>
    <w:rsid w:val="00873D42"/>
    <w:rsid w:val="00873E12"/>
    <w:rsid w:val="0087452D"/>
    <w:rsid w:val="00874B0A"/>
    <w:rsid w:val="00874D22"/>
    <w:rsid w:val="00874E16"/>
    <w:rsid w:val="0087542D"/>
    <w:rsid w:val="008757AB"/>
    <w:rsid w:val="00875A73"/>
    <w:rsid w:val="00875CB5"/>
    <w:rsid w:val="00875D9C"/>
    <w:rsid w:val="008762C0"/>
    <w:rsid w:val="008765B1"/>
    <w:rsid w:val="008769C1"/>
    <w:rsid w:val="0087759C"/>
    <w:rsid w:val="00877612"/>
    <w:rsid w:val="008777F3"/>
    <w:rsid w:val="00877B10"/>
    <w:rsid w:val="00877C3D"/>
    <w:rsid w:val="00877CEA"/>
    <w:rsid w:val="00880255"/>
    <w:rsid w:val="0088026B"/>
    <w:rsid w:val="008804DE"/>
    <w:rsid w:val="00880B73"/>
    <w:rsid w:val="00880E78"/>
    <w:rsid w:val="0088111F"/>
    <w:rsid w:val="008811BA"/>
    <w:rsid w:val="0088138B"/>
    <w:rsid w:val="008817B0"/>
    <w:rsid w:val="00881888"/>
    <w:rsid w:val="00881E21"/>
    <w:rsid w:val="0088218C"/>
    <w:rsid w:val="00882222"/>
    <w:rsid w:val="00882289"/>
    <w:rsid w:val="008823DE"/>
    <w:rsid w:val="0088250B"/>
    <w:rsid w:val="0088253E"/>
    <w:rsid w:val="00882C0E"/>
    <w:rsid w:val="00882CAC"/>
    <w:rsid w:val="008832E2"/>
    <w:rsid w:val="00883340"/>
    <w:rsid w:val="00883624"/>
    <w:rsid w:val="008837B2"/>
    <w:rsid w:val="00883F0A"/>
    <w:rsid w:val="008841ED"/>
    <w:rsid w:val="0088431B"/>
    <w:rsid w:val="008843DB"/>
    <w:rsid w:val="008844DF"/>
    <w:rsid w:val="00884A3A"/>
    <w:rsid w:val="00884E11"/>
    <w:rsid w:val="00884EF3"/>
    <w:rsid w:val="00884EFD"/>
    <w:rsid w:val="008851EF"/>
    <w:rsid w:val="00885393"/>
    <w:rsid w:val="00885581"/>
    <w:rsid w:val="00885642"/>
    <w:rsid w:val="008858CB"/>
    <w:rsid w:val="00885B63"/>
    <w:rsid w:val="00885BF2"/>
    <w:rsid w:val="00885E12"/>
    <w:rsid w:val="008861FA"/>
    <w:rsid w:val="008863E7"/>
    <w:rsid w:val="008867F4"/>
    <w:rsid w:val="0088682B"/>
    <w:rsid w:val="00886A48"/>
    <w:rsid w:val="00886B9E"/>
    <w:rsid w:val="00886D16"/>
    <w:rsid w:val="00886EAE"/>
    <w:rsid w:val="00886F6D"/>
    <w:rsid w:val="0088751D"/>
    <w:rsid w:val="00887E9F"/>
    <w:rsid w:val="0089017F"/>
    <w:rsid w:val="0089046D"/>
    <w:rsid w:val="008904B2"/>
    <w:rsid w:val="008905FE"/>
    <w:rsid w:val="008908D8"/>
    <w:rsid w:val="008909AE"/>
    <w:rsid w:val="00890E8B"/>
    <w:rsid w:val="00890F60"/>
    <w:rsid w:val="00890FF0"/>
    <w:rsid w:val="00891253"/>
    <w:rsid w:val="00891452"/>
    <w:rsid w:val="00891560"/>
    <w:rsid w:val="00891726"/>
    <w:rsid w:val="00891DDB"/>
    <w:rsid w:val="00891F74"/>
    <w:rsid w:val="008922C6"/>
    <w:rsid w:val="00892445"/>
    <w:rsid w:val="00892485"/>
    <w:rsid w:val="0089256C"/>
    <w:rsid w:val="00892A02"/>
    <w:rsid w:val="00892CEC"/>
    <w:rsid w:val="0089316E"/>
    <w:rsid w:val="008931E8"/>
    <w:rsid w:val="008933EC"/>
    <w:rsid w:val="008936AF"/>
    <w:rsid w:val="0089392D"/>
    <w:rsid w:val="008939A6"/>
    <w:rsid w:val="00893AFA"/>
    <w:rsid w:val="00894056"/>
    <w:rsid w:val="00894123"/>
    <w:rsid w:val="00894297"/>
    <w:rsid w:val="008943C9"/>
    <w:rsid w:val="008946B6"/>
    <w:rsid w:val="00894D0C"/>
    <w:rsid w:val="0089500B"/>
    <w:rsid w:val="008952AD"/>
    <w:rsid w:val="008954DE"/>
    <w:rsid w:val="00895528"/>
    <w:rsid w:val="008957D4"/>
    <w:rsid w:val="008957FD"/>
    <w:rsid w:val="00895A22"/>
    <w:rsid w:val="00895A96"/>
    <w:rsid w:val="008961C3"/>
    <w:rsid w:val="008961DD"/>
    <w:rsid w:val="00896203"/>
    <w:rsid w:val="00896314"/>
    <w:rsid w:val="008966A8"/>
    <w:rsid w:val="00896A02"/>
    <w:rsid w:val="00896A51"/>
    <w:rsid w:val="00896C92"/>
    <w:rsid w:val="00896E3B"/>
    <w:rsid w:val="0089720B"/>
    <w:rsid w:val="008972BF"/>
    <w:rsid w:val="008972DB"/>
    <w:rsid w:val="00897722"/>
    <w:rsid w:val="00897942"/>
    <w:rsid w:val="00897D45"/>
    <w:rsid w:val="00897F2C"/>
    <w:rsid w:val="008A03C2"/>
    <w:rsid w:val="008A0501"/>
    <w:rsid w:val="008A0541"/>
    <w:rsid w:val="008A06BE"/>
    <w:rsid w:val="008A0AED"/>
    <w:rsid w:val="008A12C4"/>
    <w:rsid w:val="008A1320"/>
    <w:rsid w:val="008A1386"/>
    <w:rsid w:val="008A1553"/>
    <w:rsid w:val="008A160B"/>
    <w:rsid w:val="008A1A1F"/>
    <w:rsid w:val="008A1A6F"/>
    <w:rsid w:val="008A1C71"/>
    <w:rsid w:val="008A1DCB"/>
    <w:rsid w:val="008A2807"/>
    <w:rsid w:val="008A2914"/>
    <w:rsid w:val="008A29DC"/>
    <w:rsid w:val="008A2A9A"/>
    <w:rsid w:val="008A31BA"/>
    <w:rsid w:val="008A31DC"/>
    <w:rsid w:val="008A3611"/>
    <w:rsid w:val="008A375D"/>
    <w:rsid w:val="008A3BA8"/>
    <w:rsid w:val="008A3F52"/>
    <w:rsid w:val="008A4305"/>
    <w:rsid w:val="008A484D"/>
    <w:rsid w:val="008A4A93"/>
    <w:rsid w:val="008A4E97"/>
    <w:rsid w:val="008A4F32"/>
    <w:rsid w:val="008A50E4"/>
    <w:rsid w:val="008A533C"/>
    <w:rsid w:val="008A53EE"/>
    <w:rsid w:val="008A54DE"/>
    <w:rsid w:val="008A5762"/>
    <w:rsid w:val="008A5D88"/>
    <w:rsid w:val="008A5E19"/>
    <w:rsid w:val="008A60C1"/>
    <w:rsid w:val="008A67B2"/>
    <w:rsid w:val="008A6CA6"/>
    <w:rsid w:val="008A6CD6"/>
    <w:rsid w:val="008A6EC1"/>
    <w:rsid w:val="008A6F25"/>
    <w:rsid w:val="008A6F84"/>
    <w:rsid w:val="008A72A4"/>
    <w:rsid w:val="008A72B5"/>
    <w:rsid w:val="008A74A6"/>
    <w:rsid w:val="008A78D1"/>
    <w:rsid w:val="008A7981"/>
    <w:rsid w:val="008A7F7C"/>
    <w:rsid w:val="008B0013"/>
    <w:rsid w:val="008B0559"/>
    <w:rsid w:val="008B0566"/>
    <w:rsid w:val="008B088A"/>
    <w:rsid w:val="008B0B61"/>
    <w:rsid w:val="008B0BB2"/>
    <w:rsid w:val="008B0CE7"/>
    <w:rsid w:val="008B0F78"/>
    <w:rsid w:val="008B1199"/>
    <w:rsid w:val="008B1222"/>
    <w:rsid w:val="008B12EE"/>
    <w:rsid w:val="008B1874"/>
    <w:rsid w:val="008B19E7"/>
    <w:rsid w:val="008B1B9D"/>
    <w:rsid w:val="008B1D00"/>
    <w:rsid w:val="008B1E7A"/>
    <w:rsid w:val="008B210E"/>
    <w:rsid w:val="008B22A3"/>
    <w:rsid w:val="008B2DC9"/>
    <w:rsid w:val="008B2F84"/>
    <w:rsid w:val="008B3139"/>
    <w:rsid w:val="008B31C9"/>
    <w:rsid w:val="008B358E"/>
    <w:rsid w:val="008B35FF"/>
    <w:rsid w:val="008B36AF"/>
    <w:rsid w:val="008B3AC3"/>
    <w:rsid w:val="008B3DD0"/>
    <w:rsid w:val="008B3FA1"/>
    <w:rsid w:val="008B41D5"/>
    <w:rsid w:val="008B4331"/>
    <w:rsid w:val="008B446C"/>
    <w:rsid w:val="008B4B23"/>
    <w:rsid w:val="008B4BA2"/>
    <w:rsid w:val="008B4F79"/>
    <w:rsid w:val="008B4FE8"/>
    <w:rsid w:val="008B5091"/>
    <w:rsid w:val="008B5407"/>
    <w:rsid w:val="008B55C8"/>
    <w:rsid w:val="008B5687"/>
    <w:rsid w:val="008B5A19"/>
    <w:rsid w:val="008B5D76"/>
    <w:rsid w:val="008B5E98"/>
    <w:rsid w:val="008B5EF9"/>
    <w:rsid w:val="008B60D3"/>
    <w:rsid w:val="008B625F"/>
    <w:rsid w:val="008B6846"/>
    <w:rsid w:val="008B6E97"/>
    <w:rsid w:val="008B6F70"/>
    <w:rsid w:val="008B7399"/>
    <w:rsid w:val="008B7CB9"/>
    <w:rsid w:val="008B7FDB"/>
    <w:rsid w:val="008C01D8"/>
    <w:rsid w:val="008C0236"/>
    <w:rsid w:val="008C07F5"/>
    <w:rsid w:val="008C11E5"/>
    <w:rsid w:val="008C1532"/>
    <w:rsid w:val="008C1576"/>
    <w:rsid w:val="008C18D1"/>
    <w:rsid w:val="008C1E7C"/>
    <w:rsid w:val="008C22CA"/>
    <w:rsid w:val="008C2370"/>
    <w:rsid w:val="008C297D"/>
    <w:rsid w:val="008C2998"/>
    <w:rsid w:val="008C2B7C"/>
    <w:rsid w:val="008C2E6D"/>
    <w:rsid w:val="008C30A2"/>
    <w:rsid w:val="008C314B"/>
    <w:rsid w:val="008C325B"/>
    <w:rsid w:val="008C33E7"/>
    <w:rsid w:val="008C3D8A"/>
    <w:rsid w:val="008C3E55"/>
    <w:rsid w:val="008C4179"/>
    <w:rsid w:val="008C42B8"/>
    <w:rsid w:val="008C469A"/>
    <w:rsid w:val="008C4A8C"/>
    <w:rsid w:val="008C4B2B"/>
    <w:rsid w:val="008C4C01"/>
    <w:rsid w:val="008C4E30"/>
    <w:rsid w:val="008C5179"/>
    <w:rsid w:val="008C5350"/>
    <w:rsid w:val="008C5863"/>
    <w:rsid w:val="008C5FAD"/>
    <w:rsid w:val="008C61E7"/>
    <w:rsid w:val="008C65AD"/>
    <w:rsid w:val="008C6673"/>
    <w:rsid w:val="008C6933"/>
    <w:rsid w:val="008C6987"/>
    <w:rsid w:val="008C6A42"/>
    <w:rsid w:val="008C6B36"/>
    <w:rsid w:val="008C723E"/>
    <w:rsid w:val="008C7341"/>
    <w:rsid w:val="008C7382"/>
    <w:rsid w:val="008C74CE"/>
    <w:rsid w:val="008C757B"/>
    <w:rsid w:val="008C7829"/>
    <w:rsid w:val="008C7B1F"/>
    <w:rsid w:val="008C7EC5"/>
    <w:rsid w:val="008D038C"/>
    <w:rsid w:val="008D04C3"/>
    <w:rsid w:val="008D06BA"/>
    <w:rsid w:val="008D0EA0"/>
    <w:rsid w:val="008D0F4A"/>
    <w:rsid w:val="008D1021"/>
    <w:rsid w:val="008D10BD"/>
    <w:rsid w:val="008D10C1"/>
    <w:rsid w:val="008D183F"/>
    <w:rsid w:val="008D1B9F"/>
    <w:rsid w:val="008D1DA6"/>
    <w:rsid w:val="008D2056"/>
    <w:rsid w:val="008D23AB"/>
    <w:rsid w:val="008D264E"/>
    <w:rsid w:val="008D29CC"/>
    <w:rsid w:val="008D2A55"/>
    <w:rsid w:val="008D319E"/>
    <w:rsid w:val="008D3374"/>
    <w:rsid w:val="008D3383"/>
    <w:rsid w:val="008D34B4"/>
    <w:rsid w:val="008D3558"/>
    <w:rsid w:val="008D363C"/>
    <w:rsid w:val="008D372D"/>
    <w:rsid w:val="008D39A7"/>
    <w:rsid w:val="008D3A09"/>
    <w:rsid w:val="008D3B3D"/>
    <w:rsid w:val="008D3CB8"/>
    <w:rsid w:val="008D3D64"/>
    <w:rsid w:val="008D3DBA"/>
    <w:rsid w:val="008D3F78"/>
    <w:rsid w:val="008D417D"/>
    <w:rsid w:val="008D43FD"/>
    <w:rsid w:val="008D4638"/>
    <w:rsid w:val="008D467A"/>
    <w:rsid w:val="008D477F"/>
    <w:rsid w:val="008D47C4"/>
    <w:rsid w:val="008D49EC"/>
    <w:rsid w:val="008D49FE"/>
    <w:rsid w:val="008D4CE2"/>
    <w:rsid w:val="008D4D77"/>
    <w:rsid w:val="008D4DE5"/>
    <w:rsid w:val="008D50DD"/>
    <w:rsid w:val="008D5174"/>
    <w:rsid w:val="008D5185"/>
    <w:rsid w:val="008D519F"/>
    <w:rsid w:val="008D5261"/>
    <w:rsid w:val="008D5424"/>
    <w:rsid w:val="008D54C1"/>
    <w:rsid w:val="008D54D4"/>
    <w:rsid w:val="008D5522"/>
    <w:rsid w:val="008D560B"/>
    <w:rsid w:val="008D5696"/>
    <w:rsid w:val="008D5F2B"/>
    <w:rsid w:val="008D5FD1"/>
    <w:rsid w:val="008D604C"/>
    <w:rsid w:val="008D61BE"/>
    <w:rsid w:val="008D6300"/>
    <w:rsid w:val="008D648D"/>
    <w:rsid w:val="008D6659"/>
    <w:rsid w:val="008D665D"/>
    <w:rsid w:val="008D6FBD"/>
    <w:rsid w:val="008D7258"/>
    <w:rsid w:val="008D7577"/>
    <w:rsid w:val="008D76F0"/>
    <w:rsid w:val="008D7800"/>
    <w:rsid w:val="008D7D49"/>
    <w:rsid w:val="008D7EC1"/>
    <w:rsid w:val="008E003A"/>
    <w:rsid w:val="008E00EB"/>
    <w:rsid w:val="008E0945"/>
    <w:rsid w:val="008E0A65"/>
    <w:rsid w:val="008E0BD2"/>
    <w:rsid w:val="008E0D71"/>
    <w:rsid w:val="008E13B5"/>
    <w:rsid w:val="008E186F"/>
    <w:rsid w:val="008E19F7"/>
    <w:rsid w:val="008E1E56"/>
    <w:rsid w:val="008E1E95"/>
    <w:rsid w:val="008E1F82"/>
    <w:rsid w:val="008E1FFF"/>
    <w:rsid w:val="008E2068"/>
    <w:rsid w:val="008E21A7"/>
    <w:rsid w:val="008E2287"/>
    <w:rsid w:val="008E251E"/>
    <w:rsid w:val="008E27A3"/>
    <w:rsid w:val="008E288D"/>
    <w:rsid w:val="008E298C"/>
    <w:rsid w:val="008E2A01"/>
    <w:rsid w:val="008E2B6A"/>
    <w:rsid w:val="008E2D8E"/>
    <w:rsid w:val="008E2E12"/>
    <w:rsid w:val="008E2E71"/>
    <w:rsid w:val="008E3179"/>
    <w:rsid w:val="008E3240"/>
    <w:rsid w:val="008E3540"/>
    <w:rsid w:val="008E360D"/>
    <w:rsid w:val="008E36EF"/>
    <w:rsid w:val="008E3AD3"/>
    <w:rsid w:val="008E402E"/>
    <w:rsid w:val="008E4194"/>
    <w:rsid w:val="008E434A"/>
    <w:rsid w:val="008E4435"/>
    <w:rsid w:val="008E46BC"/>
    <w:rsid w:val="008E48EB"/>
    <w:rsid w:val="008E4D8E"/>
    <w:rsid w:val="008E4FB5"/>
    <w:rsid w:val="008E534F"/>
    <w:rsid w:val="008E56A3"/>
    <w:rsid w:val="008E574D"/>
    <w:rsid w:val="008E5B6B"/>
    <w:rsid w:val="008E6181"/>
    <w:rsid w:val="008E63D9"/>
    <w:rsid w:val="008E656F"/>
    <w:rsid w:val="008E65D5"/>
    <w:rsid w:val="008E6913"/>
    <w:rsid w:val="008E6926"/>
    <w:rsid w:val="008E6A67"/>
    <w:rsid w:val="008E6ADF"/>
    <w:rsid w:val="008E6C98"/>
    <w:rsid w:val="008E6CC5"/>
    <w:rsid w:val="008E6E6F"/>
    <w:rsid w:val="008E6F33"/>
    <w:rsid w:val="008E7591"/>
    <w:rsid w:val="008E75CC"/>
    <w:rsid w:val="008E75E3"/>
    <w:rsid w:val="008E7A28"/>
    <w:rsid w:val="008E7A6B"/>
    <w:rsid w:val="008E7CBD"/>
    <w:rsid w:val="008E7DE3"/>
    <w:rsid w:val="008F0171"/>
    <w:rsid w:val="008F02ED"/>
    <w:rsid w:val="008F04E1"/>
    <w:rsid w:val="008F06EA"/>
    <w:rsid w:val="008F0703"/>
    <w:rsid w:val="008F0988"/>
    <w:rsid w:val="008F0BDA"/>
    <w:rsid w:val="008F0FC6"/>
    <w:rsid w:val="008F10D5"/>
    <w:rsid w:val="008F12F2"/>
    <w:rsid w:val="008F13B8"/>
    <w:rsid w:val="008F1463"/>
    <w:rsid w:val="008F151F"/>
    <w:rsid w:val="008F179C"/>
    <w:rsid w:val="008F198F"/>
    <w:rsid w:val="008F1AE4"/>
    <w:rsid w:val="008F2556"/>
    <w:rsid w:val="008F26C6"/>
    <w:rsid w:val="008F293A"/>
    <w:rsid w:val="008F2F76"/>
    <w:rsid w:val="008F32DA"/>
    <w:rsid w:val="008F32F4"/>
    <w:rsid w:val="008F333A"/>
    <w:rsid w:val="008F3603"/>
    <w:rsid w:val="008F36CC"/>
    <w:rsid w:val="008F3ABC"/>
    <w:rsid w:val="008F3CFB"/>
    <w:rsid w:val="008F3D19"/>
    <w:rsid w:val="008F4089"/>
    <w:rsid w:val="008F408C"/>
    <w:rsid w:val="008F4213"/>
    <w:rsid w:val="008F450F"/>
    <w:rsid w:val="008F4793"/>
    <w:rsid w:val="008F4EC4"/>
    <w:rsid w:val="008F54B6"/>
    <w:rsid w:val="008F570E"/>
    <w:rsid w:val="008F5839"/>
    <w:rsid w:val="008F59D1"/>
    <w:rsid w:val="008F5B4D"/>
    <w:rsid w:val="008F5B77"/>
    <w:rsid w:val="008F5C13"/>
    <w:rsid w:val="008F5D87"/>
    <w:rsid w:val="008F5EBD"/>
    <w:rsid w:val="008F5FFA"/>
    <w:rsid w:val="008F6200"/>
    <w:rsid w:val="008F62F8"/>
    <w:rsid w:val="008F6344"/>
    <w:rsid w:val="008F64F5"/>
    <w:rsid w:val="008F68C5"/>
    <w:rsid w:val="008F6B64"/>
    <w:rsid w:val="008F6D97"/>
    <w:rsid w:val="008F6F4A"/>
    <w:rsid w:val="008F7180"/>
    <w:rsid w:val="008F74C4"/>
    <w:rsid w:val="008F7A38"/>
    <w:rsid w:val="008F7EC5"/>
    <w:rsid w:val="008F7F23"/>
    <w:rsid w:val="008F7FFB"/>
    <w:rsid w:val="00900028"/>
    <w:rsid w:val="0090006E"/>
    <w:rsid w:val="009000A9"/>
    <w:rsid w:val="00900794"/>
    <w:rsid w:val="00900994"/>
    <w:rsid w:val="00900C64"/>
    <w:rsid w:val="009012BE"/>
    <w:rsid w:val="00901352"/>
    <w:rsid w:val="00901490"/>
    <w:rsid w:val="00901656"/>
    <w:rsid w:val="009017FB"/>
    <w:rsid w:val="00901962"/>
    <w:rsid w:val="0090273F"/>
    <w:rsid w:val="0090286E"/>
    <w:rsid w:val="00902882"/>
    <w:rsid w:val="00902AB5"/>
    <w:rsid w:val="00902C93"/>
    <w:rsid w:val="00902D9C"/>
    <w:rsid w:val="00902DBD"/>
    <w:rsid w:val="00902DCA"/>
    <w:rsid w:val="009030E0"/>
    <w:rsid w:val="00903220"/>
    <w:rsid w:val="00903447"/>
    <w:rsid w:val="0090348E"/>
    <w:rsid w:val="009034A4"/>
    <w:rsid w:val="0090355E"/>
    <w:rsid w:val="0090371B"/>
    <w:rsid w:val="009039DC"/>
    <w:rsid w:val="00903C03"/>
    <w:rsid w:val="00903C50"/>
    <w:rsid w:val="00903E88"/>
    <w:rsid w:val="0090401B"/>
    <w:rsid w:val="009040C2"/>
    <w:rsid w:val="009041E2"/>
    <w:rsid w:val="00904304"/>
    <w:rsid w:val="009043E4"/>
    <w:rsid w:val="0090443A"/>
    <w:rsid w:val="0090460F"/>
    <w:rsid w:val="00904698"/>
    <w:rsid w:val="0090480D"/>
    <w:rsid w:val="00904B38"/>
    <w:rsid w:val="00905395"/>
    <w:rsid w:val="00905407"/>
    <w:rsid w:val="0090561C"/>
    <w:rsid w:val="009056B8"/>
    <w:rsid w:val="00905942"/>
    <w:rsid w:val="0090608F"/>
    <w:rsid w:val="009060EB"/>
    <w:rsid w:val="0090686F"/>
    <w:rsid w:val="00906954"/>
    <w:rsid w:val="00906A71"/>
    <w:rsid w:val="009070C5"/>
    <w:rsid w:val="00907156"/>
    <w:rsid w:val="00907209"/>
    <w:rsid w:val="00907252"/>
    <w:rsid w:val="009073BB"/>
    <w:rsid w:val="009077C7"/>
    <w:rsid w:val="009077EB"/>
    <w:rsid w:val="009078B6"/>
    <w:rsid w:val="009079A9"/>
    <w:rsid w:val="00910299"/>
    <w:rsid w:val="0091066A"/>
    <w:rsid w:val="00910990"/>
    <w:rsid w:val="00910B75"/>
    <w:rsid w:val="00910CD3"/>
    <w:rsid w:val="00910D63"/>
    <w:rsid w:val="00910D7D"/>
    <w:rsid w:val="00910F0D"/>
    <w:rsid w:val="00910F22"/>
    <w:rsid w:val="00910F8F"/>
    <w:rsid w:val="009110DB"/>
    <w:rsid w:val="0091129D"/>
    <w:rsid w:val="0091142F"/>
    <w:rsid w:val="009114D2"/>
    <w:rsid w:val="00911826"/>
    <w:rsid w:val="00911C34"/>
    <w:rsid w:val="00911DA3"/>
    <w:rsid w:val="00911DA9"/>
    <w:rsid w:val="00912743"/>
    <w:rsid w:val="0091297A"/>
    <w:rsid w:val="00912F9E"/>
    <w:rsid w:val="00913039"/>
    <w:rsid w:val="009132BF"/>
    <w:rsid w:val="00913DEC"/>
    <w:rsid w:val="00913E76"/>
    <w:rsid w:val="00913FA5"/>
    <w:rsid w:val="00914034"/>
    <w:rsid w:val="00914137"/>
    <w:rsid w:val="009141D6"/>
    <w:rsid w:val="009144A7"/>
    <w:rsid w:val="009147CB"/>
    <w:rsid w:val="00914899"/>
    <w:rsid w:val="00914D1D"/>
    <w:rsid w:val="00914D64"/>
    <w:rsid w:val="00914D85"/>
    <w:rsid w:val="009152C4"/>
    <w:rsid w:val="009154F8"/>
    <w:rsid w:val="009156E7"/>
    <w:rsid w:val="00915953"/>
    <w:rsid w:val="00915A55"/>
    <w:rsid w:val="00915D20"/>
    <w:rsid w:val="00915DAC"/>
    <w:rsid w:val="00915E01"/>
    <w:rsid w:val="00915E74"/>
    <w:rsid w:val="009162A2"/>
    <w:rsid w:val="00916642"/>
    <w:rsid w:val="0091699A"/>
    <w:rsid w:val="00916A55"/>
    <w:rsid w:val="00916AC4"/>
    <w:rsid w:val="00916AFA"/>
    <w:rsid w:val="00916DBF"/>
    <w:rsid w:val="00916E06"/>
    <w:rsid w:val="00917266"/>
    <w:rsid w:val="00917271"/>
    <w:rsid w:val="00917CF7"/>
    <w:rsid w:val="00917D57"/>
    <w:rsid w:val="0092006D"/>
    <w:rsid w:val="00920491"/>
    <w:rsid w:val="0092052A"/>
    <w:rsid w:val="009208E7"/>
    <w:rsid w:val="00920BEF"/>
    <w:rsid w:val="00920F2D"/>
    <w:rsid w:val="00921362"/>
    <w:rsid w:val="009216D4"/>
    <w:rsid w:val="00921971"/>
    <w:rsid w:val="009219D5"/>
    <w:rsid w:val="00921B05"/>
    <w:rsid w:val="00921D3B"/>
    <w:rsid w:val="00921E64"/>
    <w:rsid w:val="00921EA2"/>
    <w:rsid w:val="00921F5B"/>
    <w:rsid w:val="00921FC5"/>
    <w:rsid w:val="009224FC"/>
    <w:rsid w:val="009225CA"/>
    <w:rsid w:val="00922CE8"/>
    <w:rsid w:val="00922D56"/>
    <w:rsid w:val="009230D5"/>
    <w:rsid w:val="009230F2"/>
    <w:rsid w:val="00923376"/>
    <w:rsid w:val="00923616"/>
    <w:rsid w:val="009236AE"/>
    <w:rsid w:val="0092383C"/>
    <w:rsid w:val="00923868"/>
    <w:rsid w:val="009239A4"/>
    <w:rsid w:val="00923CFD"/>
    <w:rsid w:val="00923E5D"/>
    <w:rsid w:val="00923FBA"/>
    <w:rsid w:val="00924157"/>
    <w:rsid w:val="009241FB"/>
    <w:rsid w:val="0092494F"/>
    <w:rsid w:val="009249A9"/>
    <w:rsid w:val="009253AA"/>
    <w:rsid w:val="009255BE"/>
    <w:rsid w:val="00925807"/>
    <w:rsid w:val="009259ED"/>
    <w:rsid w:val="00925BEA"/>
    <w:rsid w:val="00925C2C"/>
    <w:rsid w:val="00925D54"/>
    <w:rsid w:val="00925ECE"/>
    <w:rsid w:val="00925F63"/>
    <w:rsid w:val="00926107"/>
    <w:rsid w:val="00926623"/>
    <w:rsid w:val="009268C2"/>
    <w:rsid w:val="00926973"/>
    <w:rsid w:val="009274FB"/>
    <w:rsid w:val="00927507"/>
    <w:rsid w:val="00927960"/>
    <w:rsid w:val="009279DE"/>
    <w:rsid w:val="00927A57"/>
    <w:rsid w:val="00927AF8"/>
    <w:rsid w:val="00927BD1"/>
    <w:rsid w:val="00930069"/>
    <w:rsid w:val="009301B8"/>
    <w:rsid w:val="009302C3"/>
    <w:rsid w:val="00930616"/>
    <w:rsid w:val="00930C62"/>
    <w:rsid w:val="00930FA6"/>
    <w:rsid w:val="00931639"/>
    <w:rsid w:val="00931733"/>
    <w:rsid w:val="00931752"/>
    <w:rsid w:val="0093191C"/>
    <w:rsid w:val="00931958"/>
    <w:rsid w:val="00931DE6"/>
    <w:rsid w:val="00931EE4"/>
    <w:rsid w:val="00931EF9"/>
    <w:rsid w:val="00931F38"/>
    <w:rsid w:val="00931FCC"/>
    <w:rsid w:val="00932104"/>
    <w:rsid w:val="00932428"/>
    <w:rsid w:val="009326C1"/>
    <w:rsid w:val="00932B53"/>
    <w:rsid w:val="00932F6A"/>
    <w:rsid w:val="0093328A"/>
    <w:rsid w:val="00933670"/>
    <w:rsid w:val="00933BFF"/>
    <w:rsid w:val="00933DCA"/>
    <w:rsid w:val="00933EC1"/>
    <w:rsid w:val="00933FFF"/>
    <w:rsid w:val="00934023"/>
    <w:rsid w:val="00934030"/>
    <w:rsid w:val="00934405"/>
    <w:rsid w:val="0093453D"/>
    <w:rsid w:val="00934570"/>
    <w:rsid w:val="009347B9"/>
    <w:rsid w:val="0093487E"/>
    <w:rsid w:val="009348AC"/>
    <w:rsid w:val="00934908"/>
    <w:rsid w:val="00934963"/>
    <w:rsid w:val="00934A19"/>
    <w:rsid w:val="00934D3E"/>
    <w:rsid w:val="0093503A"/>
    <w:rsid w:val="00935041"/>
    <w:rsid w:val="00935186"/>
    <w:rsid w:val="009351AF"/>
    <w:rsid w:val="009354D0"/>
    <w:rsid w:val="0093590A"/>
    <w:rsid w:val="00935B16"/>
    <w:rsid w:val="00935C26"/>
    <w:rsid w:val="00935C44"/>
    <w:rsid w:val="00935FA0"/>
    <w:rsid w:val="00936043"/>
    <w:rsid w:val="009360BA"/>
    <w:rsid w:val="009363EF"/>
    <w:rsid w:val="00936555"/>
    <w:rsid w:val="00936768"/>
    <w:rsid w:val="009368A6"/>
    <w:rsid w:val="00936AA2"/>
    <w:rsid w:val="00936AA3"/>
    <w:rsid w:val="00936EBA"/>
    <w:rsid w:val="00936EBE"/>
    <w:rsid w:val="00936F6B"/>
    <w:rsid w:val="009371E0"/>
    <w:rsid w:val="009373F2"/>
    <w:rsid w:val="009376CC"/>
    <w:rsid w:val="009378BB"/>
    <w:rsid w:val="009379B5"/>
    <w:rsid w:val="00937AC3"/>
    <w:rsid w:val="00937CC7"/>
    <w:rsid w:val="00937EFC"/>
    <w:rsid w:val="009408AD"/>
    <w:rsid w:val="009408BF"/>
    <w:rsid w:val="009414E9"/>
    <w:rsid w:val="00941591"/>
    <w:rsid w:val="009419DE"/>
    <w:rsid w:val="00941A2F"/>
    <w:rsid w:val="00941F12"/>
    <w:rsid w:val="0094202D"/>
    <w:rsid w:val="0094280D"/>
    <w:rsid w:val="00942AF1"/>
    <w:rsid w:val="0094321A"/>
    <w:rsid w:val="00943509"/>
    <w:rsid w:val="009436B0"/>
    <w:rsid w:val="009437A6"/>
    <w:rsid w:val="009439C8"/>
    <w:rsid w:val="00943CBE"/>
    <w:rsid w:val="00944015"/>
    <w:rsid w:val="009440CD"/>
    <w:rsid w:val="009443F8"/>
    <w:rsid w:val="00944676"/>
    <w:rsid w:val="009447C5"/>
    <w:rsid w:val="0094492F"/>
    <w:rsid w:val="00944B46"/>
    <w:rsid w:val="00944E34"/>
    <w:rsid w:val="00944FA5"/>
    <w:rsid w:val="009452F5"/>
    <w:rsid w:val="00945440"/>
    <w:rsid w:val="00945713"/>
    <w:rsid w:val="00945A83"/>
    <w:rsid w:val="00945C07"/>
    <w:rsid w:val="00946082"/>
    <w:rsid w:val="00946284"/>
    <w:rsid w:val="00946ACE"/>
    <w:rsid w:val="00946F0C"/>
    <w:rsid w:val="009472D5"/>
    <w:rsid w:val="00947378"/>
    <w:rsid w:val="009476A6"/>
    <w:rsid w:val="009504E1"/>
    <w:rsid w:val="009506C4"/>
    <w:rsid w:val="00950C62"/>
    <w:rsid w:val="00950D30"/>
    <w:rsid w:val="00950E79"/>
    <w:rsid w:val="0095120B"/>
    <w:rsid w:val="0095132C"/>
    <w:rsid w:val="00951529"/>
    <w:rsid w:val="00951DB4"/>
    <w:rsid w:val="00951E0C"/>
    <w:rsid w:val="00952201"/>
    <w:rsid w:val="00952238"/>
    <w:rsid w:val="00952422"/>
    <w:rsid w:val="00952511"/>
    <w:rsid w:val="009527BD"/>
    <w:rsid w:val="009527E8"/>
    <w:rsid w:val="00952AB0"/>
    <w:rsid w:val="00952B22"/>
    <w:rsid w:val="00952B63"/>
    <w:rsid w:val="00952BCA"/>
    <w:rsid w:val="00952C6E"/>
    <w:rsid w:val="00952CEE"/>
    <w:rsid w:val="00952EB9"/>
    <w:rsid w:val="009531B9"/>
    <w:rsid w:val="00953354"/>
    <w:rsid w:val="00953AEF"/>
    <w:rsid w:val="00953B83"/>
    <w:rsid w:val="00953CDE"/>
    <w:rsid w:val="0095446A"/>
    <w:rsid w:val="0095499D"/>
    <w:rsid w:val="00954BE4"/>
    <w:rsid w:val="00954E7A"/>
    <w:rsid w:val="0095504C"/>
    <w:rsid w:val="009552F5"/>
    <w:rsid w:val="009556E8"/>
    <w:rsid w:val="00955DE3"/>
    <w:rsid w:val="00955F04"/>
    <w:rsid w:val="0095611C"/>
    <w:rsid w:val="0095622A"/>
    <w:rsid w:val="009562D6"/>
    <w:rsid w:val="0095632C"/>
    <w:rsid w:val="00956547"/>
    <w:rsid w:val="009565F9"/>
    <w:rsid w:val="0095685F"/>
    <w:rsid w:val="009569D2"/>
    <w:rsid w:val="00956E40"/>
    <w:rsid w:val="00956EAB"/>
    <w:rsid w:val="009570B1"/>
    <w:rsid w:val="0095712B"/>
    <w:rsid w:val="009572CE"/>
    <w:rsid w:val="00957501"/>
    <w:rsid w:val="00957EF4"/>
    <w:rsid w:val="009601CF"/>
    <w:rsid w:val="009602E0"/>
    <w:rsid w:val="0096065F"/>
    <w:rsid w:val="00960AE4"/>
    <w:rsid w:val="00960D35"/>
    <w:rsid w:val="00960D72"/>
    <w:rsid w:val="00960E74"/>
    <w:rsid w:val="00960E98"/>
    <w:rsid w:val="00961351"/>
    <w:rsid w:val="00961C7D"/>
    <w:rsid w:val="00961CD0"/>
    <w:rsid w:val="009620FA"/>
    <w:rsid w:val="00962195"/>
    <w:rsid w:val="009623B4"/>
    <w:rsid w:val="0096248C"/>
    <w:rsid w:val="00962A41"/>
    <w:rsid w:val="00962B08"/>
    <w:rsid w:val="00962CA0"/>
    <w:rsid w:val="00963033"/>
    <w:rsid w:val="0096334C"/>
    <w:rsid w:val="0096351E"/>
    <w:rsid w:val="009635B1"/>
    <w:rsid w:val="009636B4"/>
    <w:rsid w:val="00963802"/>
    <w:rsid w:val="00963807"/>
    <w:rsid w:val="00963830"/>
    <w:rsid w:val="0096390B"/>
    <w:rsid w:val="00963A63"/>
    <w:rsid w:val="00963C73"/>
    <w:rsid w:val="00964269"/>
    <w:rsid w:val="00964A72"/>
    <w:rsid w:val="00964AFB"/>
    <w:rsid w:val="00964B48"/>
    <w:rsid w:val="00964C88"/>
    <w:rsid w:val="00964D1A"/>
    <w:rsid w:val="00964E3F"/>
    <w:rsid w:val="00964E59"/>
    <w:rsid w:val="009651E4"/>
    <w:rsid w:val="00965640"/>
    <w:rsid w:val="009657BA"/>
    <w:rsid w:val="00965881"/>
    <w:rsid w:val="009658DA"/>
    <w:rsid w:val="00965A33"/>
    <w:rsid w:val="00965A9B"/>
    <w:rsid w:val="00965C4F"/>
    <w:rsid w:val="00965ED6"/>
    <w:rsid w:val="009663B3"/>
    <w:rsid w:val="00966510"/>
    <w:rsid w:val="0096676D"/>
    <w:rsid w:val="0096679A"/>
    <w:rsid w:val="00966813"/>
    <w:rsid w:val="00966870"/>
    <w:rsid w:val="00966AE3"/>
    <w:rsid w:val="00966E1D"/>
    <w:rsid w:val="00966E8F"/>
    <w:rsid w:val="009678F7"/>
    <w:rsid w:val="00967BA8"/>
    <w:rsid w:val="00967CEB"/>
    <w:rsid w:val="00967F2B"/>
    <w:rsid w:val="00970449"/>
    <w:rsid w:val="0097071A"/>
    <w:rsid w:val="00970C7E"/>
    <w:rsid w:val="00970F42"/>
    <w:rsid w:val="0097113E"/>
    <w:rsid w:val="00971247"/>
    <w:rsid w:val="00971BE0"/>
    <w:rsid w:val="00971C07"/>
    <w:rsid w:val="00971D07"/>
    <w:rsid w:val="00971FDE"/>
    <w:rsid w:val="0097231C"/>
    <w:rsid w:val="0097286F"/>
    <w:rsid w:val="009729F6"/>
    <w:rsid w:val="009729FC"/>
    <w:rsid w:val="00972B60"/>
    <w:rsid w:val="00972C24"/>
    <w:rsid w:val="00972CBF"/>
    <w:rsid w:val="00972E1E"/>
    <w:rsid w:val="00973118"/>
    <w:rsid w:val="00973218"/>
    <w:rsid w:val="00973548"/>
    <w:rsid w:val="0097362A"/>
    <w:rsid w:val="009737F1"/>
    <w:rsid w:val="00973926"/>
    <w:rsid w:val="00973A9F"/>
    <w:rsid w:val="00973CB6"/>
    <w:rsid w:val="00974135"/>
    <w:rsid w:val="009741FB"/>
    <w:rsid w:val="00974294"/>
    <w:rsid w:val="00974524"/>
    <w:rsid w:val="00974641"/>
    <w:rsid w:val="00974696"/>
    <w:rsid w:val="00974781"/>
    <w:rsid w:val="0097478D"/>
    <w:rsid w:val="00974C5A"/>
    <w:rsid w:val="00974EAF"/>
    <w:rsid w:val="00974EDC"/>
    <w:rsid w:val="00975202"/>
    <w:rsid w:val="00975563"/>
    <w:rsid w:val="0097575E"/>
    <w:rsid w:val="00975CB7"/>
    <w:rsid w:val="0097601E"/>
    <w:rsid w:val="009762E5"/>
    <w:rsid w:val="009764AC"/>
    <w:rsid w:val="00976A94"/>
    <w:rsid w:val="00976B0D"/>
    <w:rsid w:val="00976BB8"/>
    <w:rsid w:val="00976D0E"/>
    <w:rsid w:val="00976DE7"/>
    <w:rsid w:val="00977166"/>
    <w:rsid w:val="00977318"/>
    <w:rsid w:val="0097735B"/>
    <w:rsid w:val="00977493"/>
    <w:rsid w:val="009776AA"/>
    <w:rsid w:val="00977BCF"/>
    <w:rsid w:val="00977C23"/>
    <w:rsid w:val="00977E9C"/>
    <w:rsid w:val="00977F8C"/>
    <w:rsid w:val="0098008B"/>
    <w:rsid w:val="009800AE"/>
    <w:rsid w:val="0098053A"/>
    <w:rsid w:val="00980636"/>
    <w:rsid w:val="00980814"/>
    <w:rsid w:val="00980AC6"/>
    <w:rsid w:val="00980BA5"/>
    <w:rsid w:val="00980BC3"/>
    <w:rsid w:val="00981011"/>
    <w:rsid w:val="009812D0"/>
    <w:rsid w:val="00981451"/>
    <w:rsid w:val="00981521"/>
    <w:rsid w:val="0098166F"/>
    <w:rsid w:val="0098173A"/>
    <w:rsid w:val="00981940"/>
    <w:rsid w:val="00981B46"/>
    <w:rsid w:val="00981D0F"/>
    <w:rsid w:val="00981E01"/>
    <w:rsid w:val="00981FB5"/>
    <w:rsid w:val="00982208"/>
    <w:rsid w:val="00982385"/>
    <w:rsid w:val="00982717"/>
    <w:rsid w:val="00982B5A"/>
    <w:rsid w:val="00982C91"/>
    <w:rsid w:val="00982D35"/>
    <w:rsid w:val="00982DE1"/>
    <w:rsid w:val="009832B0"/>
    <w:rsid w:val="0098351C"/>
    <w:rsid w:val="00983904"/>
    <w:rsid w:val="00983999"/>
    <w:rsid w:val="00983C5A"/>
    <w:rsid w:val="00983E8B"/>
    <w:rsid w:val="00984311"/>
    <w:rsid w:val="00984430"/>
    <w:rsid w:val="00984561"/>
    <w:rsid w:val="00984C8F"/>
    <w:rsid w:val="00984EDA"/>
    <w:rsid w:val="009853F3"/>
    <w:rsid w:val="00985568"/>
    <w:rsid w:val="009856C9"/>
    <w:rsid w:val="00985702"/>
    <w:rsid w:val="009857D4"/>
    <w:rsid w:val="00985ACB"/>
    <w:rsid w:val="00985BE4"/>
    <w:rsid w:val="00985C6D"/>
    <w:rsid w:val="00985CB3"/>
    <w:rsid w:val="00986017"/>
    <w:rsid w:val="0098615E"/>
    <w:rsid w:val="00986175"/>
    <w:rsid w:val="00986294"/>
    <w:rsid w:val="00986558"/>
    <w:rsid w:val="00986708"/>
    <w:rsid w:val="0098672B"/>
    <w:rsid w:val="00986C0A"/>
    <w:rsid w:val="00986C3D"/>
    <w:rsid w:val="009871C7"/>
    <w:rsid w:val="00987314"/>
    <w:rsid w:val="009879DE"/>
    <w:rsid w:val="00987F5B"/>
    <w:rsid w:val="009900B2"/>
    <w:rsid w:val="009902B6"/>
    <w:rsid w:val="00990358"/>
    <w:rsid w:val="00990366"/>
    <w:rsid w:val="009906F2"/>
    <w:rsid w:val="00990A60"/>
    <w:rsid w:val="00990BCE"/>
    <w:rsid w:val="00991327"/>
    <w:rsid w:val="00991CA0"/>
    <w:rsid w:val="00991D45"/>
    <w:rsid w:val="00992042"/>
    <w:rsid w:val="00992227"/>
    <w:rsid w:val="00992946"/>
    <w:rsid w:val="00992A47"/>
    <w:rsid w:val="00992A5B"/>
    <w:rsid w:val="00992B19"/>
    <w:rsid w:val="009930C3"/>
    <w:rsid w:val="00993137"/>
    <w:rsid w:val="00993285"/>
    <w:rsid w:val="00993364"/>
    <w:rsid w:val="00993BD0"/>
    <w:rsid w:val="00993EB1"/>
    <w:rsid w:val="00994CA8"/>
    <w:rsid w:val="00994D50"/>
    <w:rsid w:val="00994D93"/>
    <w:rsid w:val="00994F6F"/>
    <w:rsid w:val="009950B8"/>
    <w:rsid w:val="009950B9"/>
    <w:rsid w:val="00995319"/>
    <w:rsid w:val="0099580E"/>
    <w:rsid w:val="0099595C"/>
    <w:rsid w:val="00995A2E"/>
    <w:rsid w:val="00995AC1"/>
    <w:rsid w:val="00995B6A"/>
    <w:rsid w:val="00995D11"/>
    <w:rsid w:val="009962B1"/>
    <w:rsid w:val="00996467"/>
    <w:rsid w:val="00996901"/>
    <w:rsid w:val="00996D35"/>
    <w:rsid w:val="00996D56"/>
    <w:rsid w:val="00996EC9"/>
    <w:rsid w:val="00996F78"/>
    <w:rsid w:val="0099706F"/>
    <w:rsid w:val="00997454"/>
    <w:rsid w:val="009976BC"/>
    <w:rsid w:val="00997BCB"/>
    <w:rsid w:val="00997D3D"/>
    <w:rsid w:val="00997EA6"/>
    <w:rsid w:val="009A031B"/>
    <w:rsid w:val="009A032A"/>
    <w:rsid w:val="009A0472"/>
    <w:rsid w:val="009A04AA"/>
    <w:rsid w:val="009A066B"/>
    <w:rsid w:val="009A074A"/>
    <w:rsid w:val="009A0762"/>
    <w:rsid w:val="009A0843"/>
    <w:rsid w:val="009A0D40"/>
    <w:rsid w:val="009A0EB4"/>
    <w:rsid w:val="009A1EF7"/>
    <w:rsid w:val="009A1FAF"/>
    <w:rsid w:val="009A2393"/>
    <w:rsid w:val="009A2587"/>
    <w:rsid w:val="009A26CB"/>
    <w:rsid w:val="009A27D9"/>
    <w:rsid w:val="009A2E22"/>
    <w:rsid w:val="009A34E5"/>
    <w:rsid w:val="009A3697"/>
    <w:rsid w:val="009A384E"/>
    <w:rsid w:val="009A395E"/>
    <w:rsid w:val="009A3B3F"/>
    <w:rsid w:val="009A3D81"/>
    <w:rsid w:val="009A3E94"/>
    <w:rsid w:val="009A3FFE"/>
    <w:rsid w:val="009A407B"/>
    <w:rsid w:val="009A4465"/>
    <w:rsid w:val="009A4559"/>
    <w:rsid w:val="009A49BE"/>
    <w:rsid w:val="009A49F1"/>
    <w:rsid w:val="009A4AA6"/>
    <w:rsid w:val="009A4FE3"/>
    <w:rsid w:val="009A50D0"/>
    <w:rsid w:val="009A52EA"/>
    <w:rsid w:val="009A5388"/>
    <w:rsid w:val="009A568E"/>
    <w:rsid w:val="009A5798"/>
    <w:rsid w:val="009A5BC5"/>
    <w:rsid w:val="009A5BE8"/>
    <w:rsid w:val="009A5C37"/>
    <w:rsid w:val="009A5C4D"/>
    <w:rsid w:val="009A5CE0"/>
    <w:rsid w:val="009A5D7B"/>
    <w:rsid w:val="009A5F4A"/>
    <w:rsid w:val="009A5F73"/>
    <w:rsid w:val="009A60F6"/>
    <w:rsid w:val="009A669C"/>
    <w:rsid w:val="009A68DC"/>
    <w:rsid w:val="009A6C0C"/>
    <w:rsid w:val="009A6C4C"/>
    <w:rsid w:val="009A6C96"/>
    <w:rsid w:val="009A6DDE"/>
    <w:rsid w:val="009A7197"/>
    <w:rsid w:val="009A7565"/>
    <w:rsid w:val="009A772A"/>
    <w:rsid w:val="009A78C1"/>
    <w:rsid w:val="009A78E2"/>
    <w:rsid w:val="009B033E"/>
    <w:rsid w:val="009B0481"/>
    <w:rsid w:val="009B04FC"/>
    <w:rsid w:val="009B0901"/>
    <w:rsid w:val="009B0B29"/>
    <w:rsid w:val="009B0B41"/>
    <w:rsid w:val="009B0BEC"/>
    <w:rsid w:val="009B0E7F"/>
    <w:rsid w:val="009B0FD4"/>
    <w:rsid w:val="009B10E0"/>
    <w:rsid w:val="009B1459"/>
    <w:rsid w:val="009B1696"/>
    <w:rsid w:val="009B1802"/>
    <w:rsid w:val="009B1814"/>
    <w:rsid w:val="009B191B"/>
    <w:rsid w:val="009B1A3E"/>
    <w:rsid w:val="009B1C54"/>
    <w:rsid w:val="009B21A3"/>
    <w:rsid w:val="009B2530"/>
    <w:rsid w:val="009B2544"/>
    <w:rsid w:val="009B2B2E"/>
    <w:rsid w:val="009B2B42"/>
    <w:rsid w:val="009B2E19"/>
    <w:rsid w:val="009B2EFE"/>
    <w:rsid w:val="009B356B"/>
    <w:rsid w:val="009B3570"/>
    <w:rsid w:val="009B396A"/>
    <w:rsid w:val="009B3A2B"/>
    <w:rsid w:val="009B3ED1"/>
    <w:rsid w:val="009B3EEE"/>
    <w:rsid w:val="009B4269"/>
    <w:rsid w:val="009B43D4"/>
    <w:rsid w:val="009B4800"/>
    <w:rsid w:val="009B493F"/>
    <w:rsid w:val="009B4DD2"/>
    <w:rsid w:val="009B4E64"/>
    <w:rsid w:val="009B4E76"/>
    <w:rsid w:val="009B4E9E"/>
    <w:rsid w:val="009B4F70"/>
    <w:rsid w:val="009B4F93"/>
    <w:rsid w:val="009B5145"/>
    <w:rsid w:val="009B52AC"/>
    <w:rsid w:val="009B536B"/>
    <w:rsid w:val="009B57F4"/>
    <w:rsid w:val="009B5A52"/>
    <w:rsid w:val="009B5A57"/>
    <w:rsid w:val="009B5B1D"/>
    <w:rsid w:val="009B5BD4"/>
    <w:rsid w:val="009B5BEE"/>
    <w:rsid w:val="009B61CE"/>
    <w:rsid w:val="009B6444"/>
    <w:rsid w:val="009B65F2"/>
    <w:rsid w:val="009B6660"/>
    <w:rsid w:val="009B683D"/>
    <w:rsid w:val="009B6BF4"/>
    <w:rsid w:val="009B6CFC"/>
    <w:rsid w:val="009B6E37"/>
    <w:rsid w:val="009B7051"/>
    <w:rsid w:val="009B706D"/>
    <w:rsid w:val="009B7180"/>
    <w:rsid w:val="009B726D"/>
    <w:rsid w:val="009B7504"/>
    <w:rsid w:val="009B7555"/>
    <w:rsid w:val="009B77DE"/>
    <w:rsid w:val="009B7914"/>
    <w:rsid w:val="009B7A95"/>
    <w:rsid w:val="009B7D41"/>
    <w:rsid w:val="009B7DCE"/>
    <w:rsid w:val="009B7EE7"/>
    <w:rsid w:val="009B7F40"/>
    <w:rsid w:val="009C01FD"/>
    <w:rsid w:val="009C0669"/>
    <w:rsid w:val="009C076C"/>
    <w:rsid w:val="009C0AEF"/>
    <w:rsid w:val="009C0C51"/>
    <w:rsid w:val="009C0D73"/>
    <w:rsid w:val="009C0E2C"/>
    <w:rsid w:val="009C0E71"/>
    <w:rsid w:val="009C0F8A"/>
    <w:rsid w:val="009C12FF"/>
    <w:rsid w:val="009C16F8"/>
    <w:rsid w:val="009C1BAF"/>
    <w:rsid w:val="009C1C55"/>
    <w:rsid w:val="009C1DFB"/>
    <w:rsid w:val="009C1EB4"/>
    <w:rsid w:val="009C2128"/>
    <w:rsid w:val="009C25C7"/>
    <w:rsid w:val="009C2676"/>
    <w:rsid w:val="009C26F7"/>
    <w:rsid w:val="009C2953"/>
    <w:rsid w:val="009C2AA9"/>
    <w:rsid w:val="009C2AFA"/>
    <w:rsid w:val="009C3124"/>
    <w:rsid w:val="009C3181"/>
    <w:rsid w:val="009C3665"/>
    <w:rsid w:val="009C3BAC"/>
    <w:rsid w:val="009C3CA6"/>
    <w:rsid w:val="009C3CE5"/>
    <w:rsid w:val="009C3CF0"/>
    <w:rsid w:val="009C3E20"/>
    <w:rsid w:val="009C3E6D"/>
    <w:rsid w:val="009C3EB4"/>
    <w:rsid w:val="009C4027"/>
    <w:rsid w:val="009C4684"/>
    <w:rsid w:val="009C46B4"/>
    <w:rsid w:val="009C4875"/>
    <w:rsid w:val="009C487E"/>
    <w:rsid w:val="009C4A04"/>
    <w:rsid w:val="009C4CB8"/>
    <w:rsid w:val="009C4DEB"/>
    <w:rsid w:val="009C4E0D"/>
    <w:rsid w:val="009C4E68"/>
    <w:rsid w:val="009C4F20"/>
    <w:rsid w:val="009C4F5B"/>
    <w:rsid w:val="009C5153"/>
    <w:rsid w:val="009C517C"/>
    <w:rsid w:val="009C5508"/>
    <w:rsid w:val="009C559C"/>
    <w:rsid w:val="009C580B"/>
    <w:rsid w:val="009C581E"/>
    <w:rsid w:val="009C5862"/>
    <w:rsid w:val="009C5874"/>
    <w:rsid w:val="009C5A95"/>
    <w:rsid w:val="009C5BEE"/>
    <w:rsid w:val="009C5D49"/>
    <w:rsid w:val="009C6047"/>
    <w:rsid w:val="009C6566"/>
    <w:rsid w:val="009C65E5"/>
    <w:rsid w:val="009C665A"/>
    <w:rsid w:val="009C66A2"/>
    <w:rsid w:val="009C67C7"/>
    <w:rsid w:val="009C67FD"/>
    <w:rsid w:val="009C6A2D"/>
    <w:rsid w:val="009C6E70"/>
    <w:rsid w:val="009C7023"/>
    <w:rsid w:val="009C7280"/>
    <w:rsid w:val="009C731E"/>
    <w:rsid w:val="009C768C"/>
    <w:rsid w:val="009C76C7"/>
    <w:rsid w:val="009C771E"/>
    <w:rsid w:val="009C7F9B"/>
    <w:rsid w:val="009D04FC"/>
    <w:rsid w:val="009D0604"/>
    <w:rsid w:val="009D0B6F"/>
    <w:rsid w:val="009D10BD"/>
    <w:rsid w:val="009D1355"/>
    <w:rsid w:val="009D152C"/>
    <w:rsid w:val="009D15C4"/>
    <w:rsid w:val="009D16A7"/>
    <w:rsid w:val="009D16DF"/>
    <w:rsid w:val="009D1828"/>
    <w:rsid w:val="009D1BF6"/>
    <w:rsid w:val="009D209F"/>
    <w:rsid w:val="009D21F1"/>
    <w:rsid w:val="009D232A"/>
    <w:rsid w:val="009D24B1"/>
    <w:rsid w:val="009D26A2"/>
    <w:rsid w:val="009D26F0"/>
    <w:rsid w:val="009D29D7"/>
    <w:rsid w:val="009D2AAA"/>
    <w:rsid w:val="009D2B23"/>
    <w:rsid w:val="009D2BA7"/>
    <w:rsid w:val="009D2C1D"/>
    <w:rsid w:val="009D2C95"/>
    <w:rsid w:val="009D2DCB"/>
    <w:rsid w:val="009D31D8"/>
    <w:rsid w:val="009D328E"/>
    <w:rsid w:val="009D3347"/>
    <w:rsid w:val="009D33AA"/>
    <w:rsid w:val="009D3748"/>
    <w:rsid w:val="009D3831"/>
    <w:rsid w:val="009D3B1A"/>
    <w:rsid w:val="009D3C59"/>
    <w:rsid w:val="009D3DCC"/>
    <w:rsid w:val="009D3EAD"/>
    <w:rsid w:val="009D4175"/>
    <w:rsid w:val="009D4176"/>
    <w:rsid w:val="009D44FB"/>
    <w:rsid w:val="009D45E1"/>
    <w:rsid w:val="009D4839"/>
    <w:rsid w:val="009D502A"/>
    <w:rsid w:val="009D5190"/>
    <w:rsid w:val="009D5388"/>
    <w:rsid w:val="009D53A0"/>
    <w:rsid w:val="009D56EE"/>
    <w:rsid w:val="009D57E2"/>
    <w:rsid w:val="009D5B89"/>
    <w:rsid w:val="009D5C0C"/>
    <w:rsid w:val="009D5D3D"/>
    <w:rsid w:val="009D5F80"/>
    <w:rsid w:val="009D6353"/>
    <w:rsid w:val="009D6435"/>
    <w:rsid w:val="009D64DF"/>
    <w:rsid w:val="009D6CA4"/>
    <w:rsid w:val="009D6D30"/>
    <w:rsid w:val="009D6EC1"/>
    <w:rsid w:val="009D7200"/>
    <w:rsid w:val="009D7427"/>
    <w:rsid w:val="009D75C8"/>
    <w:rsid w:val="009D75CB"/>
    <w:rsid w:val="009D77F5"/>
    <w:rsid w:val="009D7CD1"/>
    <w:rsid w:val="009D7D60"/>
    <w:rsid w:val="009D7DB5"/>
    <w:rsid w:val="009D7E75"/>
    <w:rsid w:val="009D7FFB"/>
    <w:rsid w:val="009E021D"/>
    <w:rsid w:val="009E0568"/>
    <w:rsid w:val="009E05C3"/>
    <w:rsid w:val="009E0A6C"/>
    <w:rsid w:val="009E0BFA"/>
    <w:rsid w:val="009E0E4D"/>
    <w:rsid w:val="009E1108"/>
    <w:rsid w:val="009E1166"/>
    <w:rsid w:val="009E1378"/>
    <w:rsid w:val="009E142A"/>
    <w:rsid w:val="009E14F3"/>
    <w:rsid w:val="009E1683"/>
    <w:rsid w:val="009E1782"/>
    <w:rsid w:val="009E19D5"/>
    <w:rsid w:val="009E1C2F"/>
    <w:rsid w:val="009E1C70"/>
    <w:rsid w:val="009E2048"/>
    <w:rsid w:val="009E20FB"/>
    <w:rsid w:val="009E25E8"/>
    <w:rsid w:val="009E296E"/>
    <w:rsid w:val="009E2A0D"/>
    <w:rsid w:val="009E2C0B"/>
    <w:rsid w:val="009E2ED0"/>
    <w:rsid w:val="009E317B"/>
    <w:rsid w:val="009E31AA"/>
    <w:rsid w:val="009E3714"/>
    <w:rsid w:val="009E3B0D"/>
    <w:rsid w:val="009E3B52"/>
    <w:rsid w:val="009E3CD5"/>
    <w:rsid w:val="009E3FFF"/>
    <w:rsid w:val="009E40AF"/>
    <w:rsid w:val="009E4C57"/>
    <w:rsid w:val="009E5607"/>
    <w:rsid w:val="009E561F"/>
    <w:rsid w:val="009E597F"/>
    <w:rsid w:val="009E59C2"/>
    <w:rsid w:val="009E59CE"/>
    <w:rsid w:val="009E59DF"/>
    <w:rsid w:val="009E5EFD"/>
    <w:rsid w:val="009E5FCB"/>
    <w:rsid w:val="009E68AA"/>
    <w:rsid w:val="009E6B7A"/>
    <w:rsid w:val="009E71B2"/>
    <w:rsid w:val="009E74C8"/>
    <w:rsid w:val="009E74DD"/>
    <w:rsid w:val="009E7500"/>
    <w:rsid w:val="009E75AC"/>
    <w:rsid w:val="009E7623"/>
    <w:rsid w:val="009E76B8"/>
    <w:rsid w:val="009E787C"/>
    <w:rsid w:val="009E7B3E"/>
    <w:rsid w:val="009E7BEB"/>
    <w:rsid w:val="009E7D6D"/>
    <w:rsid w:val="009E7E6A"/>
    <w:rsid w:val="009F0031"/>
    <w:rsid w:val="009F008D"/>
    <w:rsid w:val="009F07F4"/>
    <w:rsid w:val="009F0934"/>
    <w:rsid w:val="009F09CF"/>
    <w:rsid w:val="009F0C46"/>
    <w:rsid w:val="009F0D12"/>
    <w:rsid w:val="009F0E87"/>
    <w:rsid w:val="009F0F8F"/>
    <w:rsid w:val="009F108A"/>
    <w:rsid w:val="009F134C"/>
    <w:rsid w:val="009F15D6"/>
    <w:rsid w:val="009F1937"/>
    <w:rsid w:val="009F1C0C"/>
    <w:rsid w:val="009F1EE6"/>
    <w:rsid w:val="009F1EFE"/>
    <w:rsid w:val="009F1F0F"/>
    <w:rsid w:val="009F26D7"/>
    <w:rsid w:val="009F2BFF"/>
    <w:rsid w:val="009F2FF8"/>
    <w:rsid w:val="009F32AF"/>
    <w:rsid w:val="009F3332"/>
    <w:rsid w:val="009F3479"/>
    <w:rsid w:val="009F377E"/>
    <w:rsid w:val="009F37D6"/>
    <w:rsid w:val="009F3840"/>
    <w:rsid w:val="009F3C20"/>
    <w:rsid w:val="009F3E92"/>
    <w:rsid w:val="009F3EBC"/>
    <w:rsid w:val="009F40F7"/>
    <w:rsid w:val="009F4190"/>
    <w:rsid w:val="009F4499"/>
    <w:rsid w:val="009F48AE"/>
    <w:rsid w:val="009F4B47"/>
    <w:rsid w:val="009F4DC8"/>
    <w:rsid w:val="009F4E57"/>
    <w:rsid w:val="009F52AE"/>
    <w:rsid w:val="009F5A6B"/>
    <w:rsid w:val="009F5C9A"/>
    <w:rsid w:val="009F5CEE"/>
    <w:rsid w:val="009F60F1"/>
    <w:rsid w:val="009F63EB"/>
    <w:rsid w:val="009F669D"/>
    <w:rsid w:val="009F67CA"/>
    <w:rsid w:val="009F6844"/>
    <w:rsid w:val="009F6A9C"/>
    <w:rsid w:val="009F6BE8"/>
    <w:rsid w:val="009F714F"/>
    <w:rsid w:val="009F716E"/>
    <w:rsid w:val="009F74DE"/>
    <w:rsid w:val="009F772B"/>
    <w:rsid w:val="009F7C59"/>
    <w:rsid w:val="009F7F23"/>
    <w:rsid w:val="00A00783"/>
    <w:rsid w:val="00A0092E"/>
    <w:rsid w:val="00A00932"/>
    <w:rsid w:val="00A009B9"/>
    <w:rsid w:val="00A00AFA"/>
    <w:rsid w:val="00A00BCF"/>
    <w:rsid w:val="00A00C86"/>
    <w:rsid w:val="00A0184D"/>
    <w:rsid w:val="00A01861"/>
    <w:rsid w:val="00A0198A"/>
    <w:rsid w:val="00A01A59"/>
    <w:rsid w:val="00A01AC9"/>
    <w:rsid w:val="00A01B33"/>
    <w:rsid w:val="00A01D08"/>
    <w:rsid w:val="00A01FCD"/>
    <w:rsid w:val="00A023AF"/>
    <w:rsid w:val="00A023B9"/>
    <w:rsid w:val="00A02670"/>
    <w:rsid w:val="00A02692"/>
    <w:rsid w:val="00A0274A"/>
    <w:rsid w:val="00A02790"/>
    <w:rsid w:val="00A028E3"/>
    <w:rsid w:val="00A02937"/>
    <w:rsid w:val="00A029C7"/>
    <w:rsid w:val="00A02A1E"/>
    <w:rsid w:val="00A02A53"/>
    <w:rsid w:val="00A02B53"/>
    <w:rsid w:val="00A02D57"/>
    <w:rsid w:val="00A02D8D"/>
    <w:rsid w:val="00A031B8"/>
    <w:rsid w:val="00A038FA"/>
    <w:rsid w:val="00A03B22"/>
    <w:rsid w:val="00A03D1C"/>
    <w:rsid w:val="00A03E14"/>
    <w:rsid w:val="00A04090"/>
    <w:rsid w:val="00A041E9"/>
    <w:rsid w:val="00A043D7"/>
    <w:rsid w:val="00A043E2"/>
    <w:rsid w:val="00A04941"/>
    <w:rsid w:val="00A04EB8"/>
    <w:rsid w:val="00A053E6"/>
    <w:rsid w:val="00A0567F"/>
    <w:rsid w:val="00A06346"/>
    <w:rsid w:val="00A06401"/>
    <w:rsid w:val="00A0649F"/>
    <w:rsid w:val="00A065B9"/>
    <w:rsid w:val="00A0680F"/>
    <w:rsid w:val="00A068C1"/>
    <w:rsid w:val="00A069EF"/>
    <w:rsid w:val="00A06A2E"/>
    <w:rsid w:val="00A06B54"/>
    <w:rsid w:val="00A06CEC"/>
    <w:rsid w:val="00A06EB8"/>
    <w:rsid w:val="00A070BB"/>
    <w:rsid w:val="00A07143"/>
    <w:rsid w:val="00A076D9"/>
    <w:rsid w:val="00A076DC"/>
    <w:rsid w:val="00A0770A"/>
    <w:rsid w:val="00A07731"/>
    <w:rsid w:val="00A0774A"/>
    <w:rsid w:val="00A07770"/>
    <w:rsid w:val="00A077DF"/>
    <w:rsid w:val="00A0785D"/>
    <w:rsid w:val="00A07AFC"/>
    <w:rsid w:val="00A07C5E"/>
    <w:rsid w:val="00A07D26"/>
    <w:rsid w:val="00A07EAF"/>
    <w:rsid w:val="00A07EBC"/>
    <w:rsid w:val="00A1000F"/>
    <w:rsid w:val="00A10090"/>
    <w:rsid w:val="00A100A2"/>
    <w:rsid w:val="00A1026F"/>
    <w:rsid w:val="00A10417"/>
    <w:rsid w:val="00A106A3"/>
    <w:rsid w:val="00A108FF"/>
    <w:rsid w:val="00A10AD1"/>
    <w:rsid w:val="00A10ADA"/>
    <w:rsid w:val="00A10C1C"/>
    <w:rsid w:val="00A10C71"/>
    <w:rsid w:val="00A111FC"/>
    <w:rsid w:val="00A11307"/>
    <w:rsid w:val="00A1146A"/>
    <w:rsid w:val="00A1195A"/>
    <w:rsid w:val="00A11A51"/>
    <w:rsid w:val="00A11FB7"/>
    <w:rsid w:val="00A12069"/>
    <w:rsid w:val="00A12089"/>
    <w:rsid w:val="00A126D0"/>
    <w:rsid w:val="00A12805"/>
    <w:rsid w:val="00A12823"/>
    <w:rsid w:val="00A129AC"/>
    <w:rsid w:val="00A12BE5"/>
    <w:rsid w:val="00A12E15"/>
    <w:rsid w:val="00A1344B"/>
    <w:rsid w:val="00A1385B"/>
    <w:rsid w:val="00A138E1"/>
    <w:rsid w:val="00A13952"/>
    <w:rsid w:val="00A13AB9"/>
    <w:rsid w:val="00A13C11"/>
    <w:rsid w:val="00A13CC0"/>
    <w:rsid w:val="00A13E64"/>
    <w:rsid w:val="00A13E8E"/>
    <w:rsid w:val="00A13F84"/>
    <w:rsid w:val="00A14266"/>
    <w:rsid w:val="00A14365"/>
    <w:rsid w:val="00A14456"/>
    <w:rsid w:val="00A145F9"/>
    <w:rsid w:val="00A14607"/>
    <w:rsid w:val="00A14615"/>
    <w:rsid w:val="00A148AD"/>
    <w:rsid w:val="00A14AA0"/>
    <w:rsid w:val="00A155EC"/>
    <w:rsid w:val="00A158AB"/>
    <w:rsid w:val="00A15CD1"/>
    <w:rsid w:val="00A15E77"/>
    <w:rsid w:val="00A15EC2"/>
    <w:rsid w:val="00A161A7"/>
    <w:rsid w:val="00A163C9"/>
    <w:rsid w:val="00A16516"/>
    <w:rsid w:val="00A1675B"/>
    <w:rsid w:val="00A1683D"/>
    <w:rsid w:val="00A16ADF"/>
    <w:rsid w:val="00A16CE9"/>
    <w:rsid w:val="00A16F84"/>
    <w:rsid w:val="00A16F9F"/>
    <w:rsid w:val="00A173B0"/>
    <w:rsid w:val="00A173DD"/>
    <w:rsid w:val="00A17509"/>
    <w:rsid w:val="00A17985"/>
    <w:rsid w:val="00A17D7B"/>
    <w:rsid w:val="00A17DB5"/>
    <w:rsid w:val="00A20085"/>
    <w:rsid w:val="00A2009B"/>
    <w:rsid w:val="00A2044F"/>
    <w:rsid w:val="00A20805"/>
    <w:rsid w:val="00A20A03"/>
    <w:rsid w:val="00A20B78"/>
    <w:rsid w:val="00A20D59"/>
    <w:rsid w:val="00A20EDF"/>
    <w:rsid w:val="00A20F89"/>
    <w:rsid w:val="00A20FD2"/>
    <w:rsid w:val="00A2114D"/>
    <w:rsid w:val="00A21393"/>
    <w:rsid w:val="00A21552"/>
    <w:rsid w:val="00A215EE"/>
    <w:rsid w:val="00A21D69"/>
    <w:rsid w:val="00A21EEB"/>
    <w:rsid w:val="00A21F68"/>
    <w:rsid w:val="00A2232D"/>
    <w:rsid w:val="00A225C5"/>
    <w:rsid w:val="00A228CE"/>
    <w:rsid w:val="00A22BC2"/>
    <w:rsid w:val="00A22F8A"/>
    <w:rsid w:val="00A233DB"/>
    <w:rsid w:val="00A236CA"/>
    <w:rsid w:val="00A238C5"/>
    <w:rsid w:val="00A238D2"/>
    <w:rsid w:val="00A23B1F"/>
    <w:rsid w:val="00A23C36"/>
    <w:rsid w:val="00A23D37"/>
    <w:rsid w:val="00A23F1A"/>
    <w:rsid w:val="00A23F2D"/>
    <w:rsid w:val="00A23FFF"/>
    <w:rsid w:val="00A24024"/>
    <w:rsid w:val="00A24369"/>
    <w:rsid w:val="00A244F9"/>
    <w:rsid w:val="00A24552"/>
    <w:rsid w:val="00A24594"/>
    <w:rsid w:val="00A245A6"/>
    <w:rsid w:val="00A24AB8"/>
    <w:rsid w:val="00A24B8D"/>
    <w:rsid w:val="00A24E46"/>
    <w:rsid w:val="00A24F05"/>
    <w:rsid w:val="00A25743"/>
    <w:rsid w:val="00A258DE"/>
    <w:rsid w:val="00A259B5"/>
    <w:rsid w:val="00A25C06"/>
    <w:rsid w:val="00A25DCB"/>
    <w:rsid w:val="00A25E4D"/>
    <w:rsid w:val="00A25F8E"/>
    <w:rsid w:val="00A26192"/>
    <w:rsid w:val="00A261BE"/>
    <w:rsid w:val="00A26292"/>
    <w:rsid w:val="00A2646C"/>
    <w:rsid w:val="00A266E7"/>
    <w:rsid w:val="00A26B5B"/>
    <w:rsid w:val="00A26EAC"/>
    <w:rsid w:val="00A26ECE"/>
    <w:rsid w:val="00A26EE3"/>
    <w:rsid w:val="00A27595"/>
    <w:rsid w:val="00A276E8"/>
    <w:rsid w:val="00A27A35"/>
    <w:rsid w:val="00A27A65"/>
    <w:rsid w:val="00A27B1B"/>
    <w:rsid w:val="00A27D6F"/>
    <w:rsid w:val="00A27EFB"/>
    <w:rsid w:val="00A27FD0"/>
    <w:rsid w:val="00A30135"/>
    <w:rsid w:val="00A301F1"/>
    <w:rsid w:val="00A3026A"/>
    <w:rsid w:val="00A3050D"/>
    <w:rsid w:val="00A30671"/>
    <w:rsid w:val="00A30A66"/>
    <w:rsid w:val="00A30CB6"/>
    <w:rsid w:val="00A30CCB"/>
    <w:rsid w:val="00A31011"/>
    <w:rsid w:val="00A3143B"/>
    <w:rsid w:val="00A31B54"/>
    <w:rsid w:val="00A31F39"/>
    <w:rsid w:val="00A32189"/>
    <w:rsid w:val="00A32232"/>
    <w:rsid w:val="00A32995"/>
    <w:rsid w:val="00A32B23"/>
    <w:rsid w:val="00A32DA8"/>
    <w:rsid w:val="00A330C9"/>
    <w:rsid w:val="00A330D8"/>
    <w:rsid w:val="00A33709"/>
    <w:rsid w:val="00A33965"/>
    <w:rsid w:val="00A33D47"/>
    <w:rsid w:val="00A34250"/>
    <w:rsid w:val="00A3437B"/>
    <w:rsid w:val="00A343AF"/>
    <w:rsid w:val="00A34A1C"/>
    <w:rsid w:val="00A34CAA"/>
    <w:rsid w:val="00A34EDB"/>
    <w:rsid w:val="00A34F08"/>
    <w:rsid w:val="00A35677"/>
    <w:rsid w:val="00A356C4"/>
    <w:rsid w:val="00A3588D"/>
    <w:rsid w:val="00A358FE"/>
    <w:rsid w:val="00A359D7"/>
    <w:rsid w:val="00A35CCE"/>
    <w:rsid w:val="00A35E55"/>
    <w:rsid w:val="00A35EA1"/>
    <w:rsid w:val="00A35F9E"/>
    <w:rsid w:val="00A3611C"/>
    <w:rsid w:val="00A36347"/>
    <w:rsid w:val="00A36550"/>
    <w:rsid w:val="00A36852"/>
    <w:rsid w:val="00A36D10"/>
    <w:rsid w:val="00A36D63"/>
    <w:rsid w:val="00A3702B"/>
    <w:rsid w:val="00A370C8"/>
    <w:rsid w:val="00A37318"/>
    <w:rsid w:val="00A377EB"/>
    <w:rsid w:val="00A379CD"/>
    <w:rsid w:val="00A37BB6"/>
    <w:rsid w:val="00A37C63"/>
    <w:rsid w:val="00A37EB0"/>
    <w:rsid w:val="00A40167"/>
    <w:rsid w:val="00A4034B"/>
    <w:rsid w:val="00A4074D"/>
    <w:rsid w:val="00A40A31"/>
    <w:rsid w:val="00A40C38"/>
    <w:rsid w:val="00A40CDB"/>
    <w:rsid w:val="00A40DDA"/>
    <w:rsid w:val="00A41052"/>
    <w:rsid w:val="00A41356"/>
    <w:rsid w:val="00A4136F"/>
    <w:rsid w:val="00A41445"/>
    <w:rsid w:val="00A4146E"/>
    <w:rsid w:val="00A41492"/>
    <w:rsid w:val="00A418E0"/>
    <w:rsid w:val="00A41B9C"/>
    <w:rsid w:val="00A41EB0"/>
    <w:rsid w:val="00A41ED7"/>
    <w:rsid w:val="00A42073"/>
    <w:rsid w:val="00A4234F"/>
    <w:rsid w:val="00A426F1"/>
    <w:rsid w:val="00A42772"/>
    <w:rsid w:val="00A42A16"/>
    <w:rsid w:val="00A42CC9"/>
    <w:rsid w:val="00A4313B"/>
    <w:rsid w:val="00A435B4"/>
    <w:rsid w:val="00A435FC"/>
    <w:rsid w:val="00A438F1"/>
    <w:rsid w:val="00A43A83"/>
    <w:rsid w:val="00A43BCA"/>
    <w:rsid w:val="00A43D0D"/>
    <w:rsid w:val="00A43DD9"/>
    <w:rsid w:val="00A44138"/>
    <w:rsid w:val="00A441FF"/>
    <w:rsid w:val="00A44213"/>
    <w:rsid w:val="00A44271"/>
    <w:rsid w:val="00A444FB"/>
    <w:rsid w:val="00A4466B"/>
    <w:rsid w:val="00A4474B"/>
    <w:rsid w:val="00A44766"/>
    <w:rsid w:val="00A44784"/>
    <w:rsid w:val="00A448A6"/>
    <w:rsid w:val="00A44DA2"/>
    <w:rsid w:val="00A44F02"/>
    <w:rsid w:val="00A454F8"/>
    <w:rsid w:val="00A456DE"/>
    <w:rsid w:val="00A459BA"/>
    <w:rsid w:val="00A45B08"/>
    <w:rsid w:val="00A45C67"/>
    <w:rsid w:val="00A4603B"/>
    <w:rsid w:val="00A4603D"/>
    <w:rsid w:val="00A462D0"/>
    <w:rsid w:val="00A4630F"/>
    <w:rsid w:val="00A4652B"/>
    <w:rsid w:val="00A46619"/>
    <w:rsid w:val="00A46964"/>
    <w:rsid w:val="00A46D35"/>
    <w:rsid w:val="00A46DE0"/>
    <w:rsid w:val="00A474AA"/>
    <w:rsid w:val="00A476CD"/>
    <w:rsid w:val="00A477AE"/>
    <w:rsid w:val="00A479BE"/>
    <w:rsid w:val="00A47E7C"/>
    <w:rsid w:val="00A5017F"/>
    <w:rsid w:val="00A5039B"/>
    <w:rsid w:val="00A50498"/>
    <w:rsid w:val="00A50522"/>
    <w:rsid w:val="00A5055B"/>
    <w:rsid w:val="00A50627"/>
    <w:rsid w:val="00A508D1"/>
    <w:rsid w:val="00A50A10"/>
    <w:rsid w:val="00A51009"/>
    <w:rsid w:val="00A51028"/>
    <w:rsid w:val="00A515CD"/>
    <w:rsid w:val="00A51661"/>
    <w:rsid w:val="00A5168A"/>
    <w:rsid w:val="00A516FA"/>
    <w:rsid w:val="00A51DF3"/>
    <w:rsid w:val="00A51F3D"/>
    <w:rsid w:val="00A51FF0"/>
    <w:rsid w:val="00A52131"/>
    <w:rsid w:val="00A52135"/>
    <w:rsid w:val="00A5224B"/>
    <w:rsid w:val="00A52384"/>
    <w:rsid w:val="00A52650"/>
    <w:rsid w:val="00A52805"/>
    <w:rsid w:val="00A5284F"/>
    <w:rsid w:val="00A52BBE"/>
    <w:rsid w:val="00A53003"/>
    <w:rsid w:val="00A53244"/>
    <w:rsid w:val="00A532E6"/>
    <w:rsid w:val="00A5399C"/>
    <w:rsid w:val="00A53A18"/>
    <w:rsid w:val="00A53B7B"/>
    <w:rsid w:val="00A53C44"/>
    <w:rsid w:val="00A5435B"/>
    <w:rsid w:val="00A546AE"/>
    <w:rsid w:val="00A54857"/>
    <w:rsid w:val="00A54DC6"/>
    <w:rsid w:val="00A5516D"/>
    <w:rsid w:val="00A55349"/>
    <w:rsid w:val="00A553A7"/>
    <w:rsid w:val="00A555B0"/>
    <w:rsid w:val="00A55629"/>
    <w:rsid w:val="00A55FCD"/>
    <w:rsid w:val="00A5622F"/>
    <w:rsid w:val="00A56774"/>
    <w:rsid w:val="00A56791"/>
    <w:rsid w:val="00A56C60"/>
    <w:rsid w:val="00A56DD7"/>
    <w:rsid w:val="00A56FB4"/>
    <w:rsid w:val="00A57369"/>
    <w:rsid w:val="00A573AA"/>
    <w:rsid w:val="00A57752"/>
    <w:rsid w:val="00A57907"/>
    <w:rsid w:val="00A5799E"/>
    <w:rsid w:val="00A57B30"/>
    <w:rsid w:val="00A6001A"/>
    <w:rsid w:val="00A600F1"/>
    <w:rsid w:val="00A601AC"/>
    <w:rsid w:val="00A603D8"/>
    <w:rsid w:val="00A6074B"/>
    <w:rsid w:val="00A60A63"/>
    <w:rsid w:val="00A60E91"/>
    <w:rsid w:val="00A61116"/>
    <w:rsid w:val="00A61557"/>
    <w:rsid w:val="00A6157E"/>
    <w:rsid w:val="00A61592"/>
    <w:rsid w:val="00A619AE"/>
    <w:rsid w:val="00A61A08"/>
    <w:rsid w:val="00A61A44"/>
    <w:rsid w:val="00A61A71"/>
    <w:rsid w:val="00A61B71"/>
    <w:rsid w:val="00A61CFB"/>
    <w:rsid w:val="00A61D03"/>
    <w:rsid w:val="00A61F4A"/>
    <w:rsid w:val="00A62237"/>
    <w:rsid w:val="00A625E9"/>
    <w:rsid w:val="00A627F3"/>
    <w:rsid w:val="00A62945"/>
    <w:rsid w:val="00A629BF"/>
    <w:rsid w:val="00A62A48"/>
    <w:rsid w:val="00A62B09"/>
    <w:rsid w:val="00A62B37"/>
    <w:rsid w:val="00A62D9E"/>
    <w:rsid w:val="00A62E0B"/>
    <w:rsid w:val="00A62FFD"/>
    <w:rsid w:val="00A631FF"/>
    <w:rsid w:val="00A63280"/>
    <w:rsid w:val="00A63354"/>
    <w:rsid w:val="00A638E7"/>
    <w:rsid w:val="00A63BC1"/>
    <w:rsid w:val="00A63E22"/>
    <w:rsid w:val="00A64068"/>
    <w:rsid w:val="00A6426C"/>
    <w:rsid w:val="00A64413"/>
    <w:rsid w:val="00A64451"/>
    <w:rsid w:val="00A644B9"/>
    <w:rsid w:val="00A6450F"/>
    <w:rsid w:val="00A645BA"/>
    <w:rsid w:val="00A6473A"/>
    <w:rsid w:val="00A64B72"/>
    <w:rsid w:val="00A64B7C"/>
    <w:rsid w:val="00A64E64"/>
    <w:rsid w:val="00A6515B"/>
    <w:rsid w:val="00A6522C"/>
    <w:rsid w:val="00A65283"/>
    <w:rsid w:val="00A65349"/>
    <w:rsid w:val="00A65570"/>
    <w:rsid w:val="00A6562D"/>
    <w:rsid w:val="00A656F2"/>
    <w:rsid w:val="00A657CE"/>
    <w:rsid w:val="00A6586A"/>
    <w:rsid w:val="00A658BD"/>
    <w:rsid w:val="00A65F8D"/>
    <w:rsid w:val="00A661DC"/>
    <w:rsid w:val="00A66450"/>
    <w:rsid w:val="00A669A5"/>
    <w:rsid w:val="00A66D28"/>
    <w:rsid w:val="00A66D76"/>
    <w:rsid w:val="00A66EB3"/>
    <w:rsid w:val="00A66F37"/>
    <w:rsid w:val="00A6748A"/>
    <w:rsid w:val="00A67657"/>
    <w:rsid w:val="00A6770A"/>
    <w:rsid w:val="00A67737"/>
    <w:rsid w:val="00A67D50"/>
    <w:rsid w:val="00A705CB"/>
    <w:rsid w:val="00A709BD"/>
    <w:rsid w:val="00A70AC2"/>
    <w:rsid w:val="00A70B0A"/>
    <w:rsid w:val="00A70D14"/>
    <w:rsid w:val="00A70E56"/>
    <w:rsid w:val="00A70EC8"/>
    <w:rsid w:val="00A71490"/>
    <w:rsid w:val="00A7161D"/>
    <w:rsid w:val="00A7179D"/>
    <w:rsid w:val="00A717EF"/>
    <w:rsid w:val="00A71A64"/>
    <w:rsid w:val="00A71B7C"/>
    <w:rsid w:val="00A71D10"/>
    <w:rsid w:val="00A71E9C"/>
    <w:rsid w:val="00A71FB1"/>
    <w:rsid w:val="00A7207B"/>
    <w:rsid w:val="00A7237C"/>
    <w:rsid w:val="00A72476"/>
    <w:rsid w:val="00A725F6"/>
    <w:rsid w:val="00A72770"/>
    <w:rsid w:val="00A727FC"/>
    <w:rsid w:val="00A72A9E"/>
    <w:rsid w:val="00A72C93"/>
    <w:rsid w:val="00A72DAE"/>
    <w:rsid w:val="00A72DC0"/>
    <w:rsid w:val="00A72E74"/>
    <w:rsid w:val="00A72EBA"/>
    <w:rsid w:val="00A73009"/>
    <w:rsid w:val="00A73332"/>
    <w:rsid w:val="00A73518"/>
    <w:rsid w:val="00A739BD"/>
    <w:rsid w:val="00A73B84"/>
    <w:rsid w:val="00A73DFE"/>
    <w:rsid w:val="00A73F71"/>
    <w:rsid w:val="00A74097"/>
    <w:rsid w:val="00A74199"/>
    <w:rsid w:val="00A74427"/>
    <w:rsid w:val="00A7462A"/>
    <w:rsid w:val="00A74A5F"/>
    <w:rsid w:val="00A74B66"/>
    <w:rsid w:val="00A74CB4"/>
    <w:rsid w:val="00A74EE8"/>
    <w:rsid w:val="00A75041"/>
    <w:rsid w:val="00A75081"/>
    <w:rsid w:val="00A75172"/>
    <w:rsid w:val="00A755B7"/>
    <w:rsid w:val="00A756C2"/>
    <w:rsid w:val="00A758DA"/>
    <w:rsid w:val="00A75BB7"/>
    <w:rsid w:val="00A75C5F"/>
    <w:rsid w:val="00A75D28"/>
    <w:rsid w:val="00A75F38"/>
    <w:rsid w:val="00A75FEC"/>
    <w:rsid w:val="00A76271"/>
    <w:rsid w:val="00A763FE"/>
    <w:rsid w:val="00A76A8A"/>
    <w:rsid w:val="00A76BA5"/>
    <w:rsid w:val="00A76ED1"/>
    <w:rsid w:val="00A7715C"/>
    <w:rsid w:val="00A77430"/>
    <w:rsid w:val="00A774C5"/>
    <w:rsid w:val="00A77949"/>
    <w:rsid w:val="00A779A7"/>
    <w:rsid w:val="00A77ACF"/>
    <w:rsid w:val="00A77CA4"/>
    <w:rsid w:val="00A800CF"/>
    <w:rsid w:val="00A8038D"/>
    <w:rsid w:val="00A808A9"/>
    <w:rsid w:val="00A808E3"/>
    <w:rsid w:val="00A80B26"/>
    <w:rsid w:val="00A810B5"/>
    <w:rsid w:val="00A81193"/>
    <w:rsid w:val="00A8131E"/>
    <w:rsid w:val="00A815B6"/>
    <w:rsid w:val="00A8182F"/>
    <w:rsid w:val="00A818F8"/>
    <w:rsid w:val="00A81B34"/>
    <w:rsid w:val="00A81D7E"/>
    <w:rsid w:val="00A8205E"/>
    <w:rsid w:val="00A82365"/>
    <w:rsid w:val="00A82652"/>
    <w:rsid w:val="00A82770"/>
    <w:rsid w:val="00A82819"/>
    <w:rsid w:val="00A82822"/>
    <w:rsid w:val="00A82BA7"/>
    <w:rsid w:val="00A82C3C"/>
    <w:rsid w:val="00A82DD2"/>
    <w:rsid w:val="00A82ED6"/>
    <w:rsid w:val="00A83100"/>
    <w:rsid w:val="00A83210"/>
    <w:rsid w:val="00A83216"/>
    <w:rsid w:val="00A83382"/>
    <w:rsid w:val="00A83402"/>
    <w:rsid w:val="00A83820"/>
    <w:rsid w:val="00A83B71"/>
    <w:rsid w:val="00A83E0B"/>
    <w:rsid w:val="00A83E50"/>
    <w:rsid w:val="00A83F66"/>
    <w:rsid w:val="00A842FD"/>
    <w:rsid w:val="00A8436E"/>
    <w:rsid w:val="00A843D9"/>
    <w:rsid w:val="00A8476F"/>
    <w:rsid w:val="00A847AE"/>
    <w:rsid w:val="00A8491D"/>
    <w:rsid w:val="00A84AF7"/>
    <w:rsid w:val="00A85035"/>
    <w:rsid w:val="00A8538F"/>
    <w:rsid w:val="00A85820"/>
    <w:rsid w:val="00A85ABB"/>
    <w:rsid w:val="00A85F06"/>
    <w:rsid w:val="00A85FD9"/>
    <w:rsid w:val="00A8601E"/>
    <w:rsid w:val="00A86178"/>
    <w:rsid w:val="00A86289"/>
    <w:rsid w:val="00A86387"/>
    <w:rsid w:val="00A865AF"/>
    <w:rsid w:val="00A86AB4"/>
    <w:rsid w:val="00A86C61"/>
    <w:rsid w:val="00A86D16"/>
    <w:rsid w:val="00A86E0F"/>
    <w:rsid w:val="00A8719A"/>
    <w:rsid w:val="00A8735B"/>
    <w:rsid w:val="00A87668"/>
    <w:rsid w:val="00A8778F"/>
    <w:rsid w:val="00A87BF5"/>
    <w:rsid w:val="00A87CE2"/>
    <w:rsid w:val="00A87E8F"/>
    <w:rsid w:val="00A90099"/>
    <w:rsid w:val="00A90551"/>
    <w:rsid w:val="00A907A5"/>
    <w:rsid w:val="00A90F0A"/>
    <w:rsid w:val="00A90FD8"/>
    <w:rsid w:val="00A9103E"/>
    <w:rsid w:val="00A91071"/>
    <w:rsid w:val="00A9107A"/>
    <w:rsid w:val="00A91238"/>
    <w:rsid w:val="00A91296"/>
    <w:rsid w:val="00A91389"/>
    <w:rsid w:val="00A91621"/>
    <w:rsid w:val="00A916B2"/>
    <w:rsid w:val="00A91787"/>
    <w:rsid w:val="00A917E3"/>
    <w:rsid w:val="00A91D93"/>
    <w:rsid w:val="00A92005"/>
    <w:rsid w:val="00A92A90"/>
    <w:rsid w:val="00A93470"/>
    <w:rsid w:val="00A93630"/>
    <w:rsid w:val="00A938B5"/>
    <w:rsid w:val="00A938FA"/>
    <w:rsid w:val="00A93A2D"/>
    <w:rsid w:val="00A93B76"/>
    <w:rsid w:val="00A93B92"/>
    <w:rsid w:val="00A93EB1"/>
    <w:rsid w:val="00A93FE3"/>
    <w:rsid w:val="00A9413C"/>
    <w:rsid w:val="00A945B9"/>
    <w:rsid w:val="00A9468C"/>
    <w:rsid w:val="00A9483D"/>
    <w:rsid w:val="00A948B5"/>
    <w:rsid w:val="00A94A7C"/>
    <w:rsid w:val="00A94BD3"/>
    <w:rsid w:val="00A94D6F"/>
    <w:rsid w:val="00A950BD"/>
    <w:rsid w:val="00A9560E"/>
    <w:rsid w:val="00A9595B"/>
    <w:rsid w:val="00A959C4"/>
    <w:rsid w:val="00A95AE5"/>
    <w:rsid w:val="00A95BD3"/>
    <w:rsid w:val="00A96627"/>
    <w:rsid w:val="00A96A29"/>
    <w:rsid w:val="00A96C33"/>
    <w:rsid w:val="00A96CAB"/>
    <w:rsid w:val="00A97173"/>
    <w:rsid w:val="00A973BE"/>
    <w:rsid w:val="00A9754A"/>
    <w:rsid w:val="00A97622"/>
    <w:rsid w:val="00A97639"/>
    <w:rsid w:val="00A97701"/>
    <w:rsid w:val="00A978B1"/>
    <w:rsid w:val="00A978E2"/>
    <w:rsid w:val="00A97DAA"/>
    <w:rsid w:val="00AA001E"/>
    <w:rsid w:val="00AA0469"/>
    <w:rsid w:val="00AA0533"/>
    <w:rsid w:val="00AA0539"/>
    <w:rsid w:val="00AA0918"/>
    <w:rsid w:val="00AA0B60"/>
    <w:rsid w:val="00AA0CE7"/>
    <w:rsid w:val="00AA0CEA"/>
    <w:rsid w:val="00AA0F31"/>
    <w:rsid w:val="00AA1022"/>
    <w:rsid w:val="00AA122C"/>
    <w:rsid w:val="00AA12D1"/>
    <w:rsid w:val="00AA1A88"/>
    <w:rsid w:val="00AA1BE6"/>
    <w:rsid w:val="00AA1D17"/>
    <w:rsid w:val="00AA22B4"/>
    <w:rsid w:val="00AA230B"/>
    <w:rsid w:val="00AA2788"/>
    <w:rsid w:val="00AA281B"/>
    <w:rsid w:val="00AA2ABD"/>
    <w:rsid w:val="00AA2B45"/>
    <w:rsid w:val="00AA2CB5"/>
    <w:rsid w:val="00AA2EC9"/>
    <w:rsid w:val="00AA30B7"/>
    <w:rsid w:val="00AA30BD"/>
    <w:rsid w:val="00AA318E"/>
    <w:rsid w:val="00AA3358"/>
    <w:rsid w:val="00AA3363"/>
    <w:rsid w:val="00AA336A"/>
    <w:rsid w:val="00AA33C2"/>
    <w:rsid w:val="00AA366A"/>
    <w:rsid w:val="00AA3A6A"/>
    <w:rsid w:val="00AA3C5F"/>
    <w:rsid w:val="00AA3CF2"/>
    <w:rsid w:val="00AA41CB"/>
    <w:rsid w:val="00AA4233"/>
    <w:rsid w:val="00AA430C"/>
    <w:rsid w:val="00AA443E"/>
    <w:rsid w:val="00AA4695"/>
    <w:rsid w:val="00AA47E3"/>
    <w:rsid w:val="00AA4938"/>
    <w:rsid w:val="00AA4AE1"/>
    <w:rsid w:val="00AA4BED"/>
    <w:rsid w:val="00AA52C9"/>
    <w:rsid w:val="00AA56B3"/>
    <w:rsid w:val="00AA5823"/>
    <w:rsid w:val="00AA58F7"/>
    <w:rsid w:val="00AA5921"/>
    <w:rsid w:val="00AA5A3B"/>
    <w:rsid w:val="00AA5B8E"/>
    <w:rsid w:val="00AA5C60"/>
    <w:rsid w:val="00AA5CAC"/>
    <w:rsid w:val="00AA5ECB"/>
    <w:rsid w:val="00AA60A3"/>
    <w:rsid w:val="00AA61C2"/>
    <w:rsid w:val="00AA6767"/>
    <w:rsid w:val="00AA6954"/>
    <w:rsid w:val="00AA6A71"/>
    <w:rsid w:val="00AA70B6"/>
    <w:rsid w:val="00AA73C3"/>
    <w:rsid w:val="00AA798C"/>
    <w:rsid w:val="00AA7B55"/>
    <w:rsid w:val="00AA7CDF"/>
    <w:rsid w:val="00AA7FA8"/>
    <w:rsid w:val="00AB0048"/>
    <w:rsid w:val="00AB039D"/>
    <w:rsid w:val="00AB067C"/>
    <w:rsid w:val="00AB0B23"/>
    <w:rsid w:val="00AB0FCB"/>
    <w:rsid w:val="00AB10D9"/>
    <w:rsid w:val="00AB13DD"/>
    <w:rsid w:val="00AB142F"/>
    <w:rsid w:val="00AB1630"/>
    <w:rsid w:val="00AB1671"/>
    <w:rsid w:val="00AB173F"/>
    <w:rsid w:val="00AB17ED"/>
    <w:rsid w:val="00AB1FAC"/>
    <w:rsid w:val="00AB212C"/>
    <w:rsid w:val="00AB2204"/>
    <w:rsid w:val="00AB2680"/>
    <w:rsid w:val="00AB27A5"/>
    <w:rsid w:val="00AB2A27"/>
    <w:rsid w:val="00AB2B9F"/>
    <w:rsid w:val="00AB2F39"/>
    <w:rsid w:val="00AB2FCA"/>
    <w:rsid w:val="00AB35F8"/>
    <w:rsid w:val="00AB3731"/>
    <w:rsid w:val="00AB3B52"/>
    <w:rsid w:val="00AB3CE2"/>
    <w:rsid w:val="00AB3D97"/>
    <w:rsid w:val="00AB3EB7"/>
    <w:rsid w:val="00AB3FDB"/>
    <w:rsid w:val="00AB4000"/>
    <w:rsid w:val="00AB42DA"/>
    <w:rsid w:val="00AB441D"/>
    <w:rsid w:val="00AB455B"/>
    <w:rsid w:val="00AB4647"/>
    <w:rsid w:val="00AB47C8"/>
    <w:rsid w:val="00AB49E8"/>
    <w:rsid w:val="00AB4AB0"/>
    <w:rsid w:val="00AB4BD5"/>
    <w:rsid w:val="00AB4C13"/>
    <w:rsid w:val="00AB4C8B"/>
    <w:rsid w:val="00AB4CD5"/>
    <w:rsid w:val="00AB4D72"/>
    <w:rsid w:val="00AB4DC2"/>
    <w:rsid w:val="00AB4DF3"/>
    <w:rsid w:val="00AB5097"/>
    <w:rsid w:val="00AB5437"/>
    <w:rsid w:val="00AB5608"/>
    <w:rsid w:val="00AB56D5"/>
    <w:rsid w:val="00AB573E"/>
    <w:rsid w:val="00AB5A01"/>
    <w:rsid w:val="00AB5A33"/>
    <w:rsid w:val="00AB5E84"/>
    <w:rsid w:val="00AB5ECA"/>
    <w:rsid w:val="00AB606E"/>
    <w:rsid w:val="00AB629B"/>
    <w:rsid w:val="00AB65B6"/>
    <w:rsid w:val="00AB6A19"/>
    <w:rsid w:val="00AB6B2B"/>
    <w:rsid w:val="00AB6DC6"/>
    <w:rsid w:val="00AB7408"/>
    <w:rsid w:val="00AB7886"/>
    <w:rsid w:val="00AC017D"/>
    <w:rsid w:val="00AC04BE"/>
    <w:rsid w:val="00AC04D7"/>
    <w:rsid w:val="00AC04EB"/>
    <w:rsid w:val="00AC0A41"/>
    <w:rsid w:val="00AC0D9E"/>
    <w:rsid w:val="00AC1023"/>
    <w:rsid w:val="00AC126D"/>
    <w:rsid w:val="00AC135E"/>
    <w:rsid w:val="00AC147F"/>
    <w:rsid w:val="00AC14B8"/>
    <w:rsid w:val="00AC16D3"/>
    <w:rsid w:val="00AC1756"/>
    <w:rsid w:val="00AC1888"/>
    <w:rsid w:val="00AC18F4"/>
    <w:rsid w:val="00AC197B"/>
    <w:rsid w:val="00AC19D4"/>
    <w:rsid w:val="00AC1AC1"/>
    <w:rsid w:val="00AC1BF1"/>
    <w:rsid w:val="00AC1C02"/>
    <w:rsid w:val="00AC1DB4"/>
    <w:rsid w:val="00AC20D8"/>
    <w:rsid w:val="00AC23BD"/>
    <w:rsid w:val="00AC2616"/>
    <w:rsid w:val="00AC285A"/>
    <w:rsid w:val="00AC2C01"/>
    <w:rsid w:val="00AC2EE2"/>
    <w:rsid w:val="00AC2F7F"/>
    <w:rsid w:val="00AC3054"/>
    <w:rsid w:val="00AC3121"/>
    <w:rsid w:val="00AC32CA"/>
    <w:rsid w:val="00AC36BE"/>
    <w:rsid w:val="00AC36FF"/>
    <w:rsid w:val="00AC3830"/>
    <w:rsid w:val="00AC3851"/>
    <w:rsid w:val="00AC3874"/>
    <w:rsid w:val="00AC3B5B"/>
    <w:rsid w:val="00AC3C0C"/>
    <w:rsid w:val="00AC3DF3"/>
    <w:rsid w:val="00AC3E06"/>
    <w:rsid w:val="00AC3E76"/>
    <w:rsid w:val="00AC3F86"/>
    <w:rsid w:val="00AC3FBF"/>
    <w:rsid w:val="00AC4311"/>
    <w:rsid w:val="00AC4491"/>
    <w:rsid w:val="00AC4688"/>
    <w:rsid w:val="00AC4729"/>
    <w:rsid w:val="00AC4B12"/>
    <w:rsid w:val="00AC4CE9"/>
    <w:rsid w:val="00AC4E13"/>
    <w:rsid w:val="00AC4F4A"/>
    <w:rsid w:val="00AC548C"/>
    <w:rsid w:val="00AC553B"/>
    <w:rsid w:val="00AC5655"/>
    <w:rsid w:val="00AC598B"/>
    <w:rsid w:val="00AC5B56"/>
    <w:rsid w:val="00AC5BDE"/>
    <w:rsid w:val="00AC5BF0"/>
    <w:rsid w:val="00AC5CF3"/>
    <w:rsid w:val="00AC5ED3"/>
    <w:rsid w:val="00AC5F91"/>
    <w:rsid w:val="00AC6211"/>
    <w:rsid w:val="00AC6218"/>
    <w:rsid w:val="00AC646B"/>
    <w:rsid w:val="00AC64BF"/>
    <w:rsid w:val="00AC7009"/>
    <w:rsid w:val="00AC7580"/>
    <w:rsid w:val="00AC7671"/>
    <w:rsid w:val="00AC7912"/>
    <w:rsid w:val="00AC7EB5"/>
    <w:rsid w:val="00AC7F06"/>
    <w:rsid w:val="00AD03F1"/>
    <w:rsid w:val="00AD05B8"/>
    <w:rsid w:val="00AD0794"/>
    <w:rsid w:val="00AD0B61"/>
    <w:rsid w:val="00AD0B87"/>
    <w:rsid w:val="00AD0DA6"/>
    <w:rsid w:val="00AD12E5"/>
    <w:rsid w:val="00AD141A"/>
    <w:rsid w:val="00AD14EB"/>
    <w:rsid w:val="00AD175F"/>
    <w:rsid w:val="00AD198D"/>
    <w:rsid w:val="00AD1BCE"/>
    <w:rsid w:val="00AD1C05"/>
    <w:rsid w:val="00AD1F20"/>
    <w:rsid w:val="00AD1F24"/>
    <w:rsid w:val="00AD21B7"/>
    <w:rsid w:val="00AD25AC"/>
    <w:rsid w:val="00AD2BB0"/>
    <w:rsid w:val="00AD2F90"/>
    <w:rsid w:val="00AD3081"/>
    <w:rsid w:val="00AD31B2"/>
    <w:rsid w:val="00AD33E6"/>
    <w:rsid w:val="00AD3A63"/>
    <w:rsid w:val="00AD3E8D"/>
    <w:rsid w:val="00AD3F26"/>
    <w:rsid w:val="00AD42FE"/>
    <w:rsid w:val="00AD43E5"/>
    <w:rsid w:val="00AD45D5"/>
    <w:rsid w:val="00AD4725"/>
    <w:rsid w:val="00AD4845"/>
    <w:rsid w:val="00AD48CB"/>
    <w:rsid w:val="00AD49C0"/>
    <w:rsid w:val="00AD4A85"/>
    <w:rsid w:val="00AD4C43"/>
    <w:rsid w:val="00AD4D95"/>
    <w:rsid w:val="00AD52CE"/>
    <w:rsid w:val="00AD531A"/>
    <w:rsid w:val="00AD5F9E"/>
    <w:rsid w:val="00AD6037"/>
    <w:rsid w:val="00AD62A3"/>
    <w:rsid w:val="00AD69B5"/>
    <w:rsid w:val="00AD6DE4"/>
    <w:rsid w:val="00AD71F7"/>
    <w:rsid w:val="00AD72A3"/>
    <w:rsid w:val="00AD77ED"/>
    <w:rsid w:val="00AD7887"/>
    <w:rsid w:val="00AD7FBA"/>
    <w:rsid w:val="00AE0177"/>
    <w:rsid w:val="00AE01B0"/>
    <w:rsid w:val="00AE0244"/>
    <w:rsid w:val="00AE0407"/>
    <w:rsid w:val="00AE04F1"/>
    <w:rsid w:val="00AE07F3"/>
    <w:rsid w:val="00AE083E"/>
    <w:rsid w:val="00AE093C"/>
    <w:rsid w:val="00AE0A31"/>
    <w:rsid w:val="00AE0AB5"/>
    <w:rsid w:val="00AE0BA2"/>
    <w:rsid w:val="00AE0C9C"/>
    <w:rsid w:val="00AE0DDC"/>
    <w:rsid w:val="00AE0E4D"/>
    <w:rsid w:val="00AE0ED1"/>
    <w:rsid w:val="00AE10A9"/>
    <w:rsid w:val="00AE152E"/>
    <w:rsid w:val="00AE171F"/>
    <w:rsid w:val="00AE188E"/>
    <w:rsid w:val="00AE18AE"/>
    <w:rsid w:val="00AE1A0D"/>
    <w:rsid w:val="00AE1B93"/>
    <w:rsid w:val="00AE1C3E"/>
    <w:rsid w:val="00AE1D28"/>
    <w:rsid w:val="00AE1D50"/>
    <w:rsid w:val="00AE1DC3"/>
    <w:rsid w:val="00AE1DCF"/>
    <w:rsid w:val="00AE1EA9"/>
    <w:rsid w:val="00AE2020"/>
    <w:rsid w:val="00AE213B"/>
    <w:rsid w:val="00AE2404"/>
    <w:rsid w:val="00AE25CE"/>
    <w:rsid w:val="00AE26AB"/>
    <w:rsid w:val="00AE2877"/>
    <w:rsid w:val="00AE2880"/>
    <w:rsid w:val="00AE2AAD"/>
    <w:rsid w:val="00AE2CC0"/>
    <w:rsid w:val="00AE2DC5"/>
    <w:rsid w:val="00AE2FCE"/>
    <w:rsid w:val="00AE3067"/>
    <w:rsid w:val="00AE3168"/>
    <w:rsid w:val="00AE316C"/>
    <w:rsid w:val="00AE31C9"/>
    <w:rsid w:val="00AE354B"/>
    <w:rsid w:val="00AE396C"/>
    <w:rsid w:val="00AE3A7C"/>
    <w:rsid w:val="00AE3C2B"/>
    <w:rsid w:val="00AE3C7F"/>
    <w:rsid w:val="00AE3D5F"/>
    <w:rsid w:val="00AE3F58"/>
    <w:rsid w:val="00AE3F8C"/>
    <w:rsid w:val="00AE407A"/>
    <w:rsid w:val="00AE4135"/>
    <w:rsid w:val="00AE42DA"/>
    <w:rsid w:val="00AE461F"/>
    <w:rsid w:val="00AE47D4"/>
    <w:rsid w:val="00AE4899"/>
    <w:rsid w:val="00AE4947"/>
    <w:rsid w:val="00AE4B47"/>
    <w:rsid w:val="00AE4D3D"/>
    <w:rsid w:val="00AE5194"/>
    <w:rsid w:val="00AE5349"/>
    <w:rsid w:val="00AE5384"/>
    <w:rsid w:val="00AE5985"/>
    <w:rsid w:val="00AE59AE"/>
    <w:rsid w:val="00AE5AC0"/>
    <w:rsid w:val="00AE5E57"/>
    <w:rsid w:val="00AE5FF7"/>
    <w:rsid w:val="00AE6084"/>
    <w:rsid w:val="00AE6107"/>
    <w:rsid w:val="00AE6281"/>
    <w:rsid w:val="00AE6561"/>
    <w:rsid w:val="00AE6621"/>
    <w:rsid w:val="00AE6622"/>
    <w:rsid w:val="00AE69F2"/>
    <w:rsid w:val="00AE6ED6"/>
    <w:rsid w:val="00AE70AA"/>
    <w:rsid w:val="00AE71D7"/>
    <w:rsid w:val="00AE7B1F"/>
    <w:rsid w:val="00AE7E87"/>
    <w:rsid w:val="00AF01F4"/>
    <w:rsid w:val="00AF02B3"/>
    <w:rsid w:val="00AF02F6"/>
    <w:rsid w:val="00AF040B"/>
    <w:rsid w:val="00AF0527"/>
    <w:rsid w:val="00AF0551"/>
    <w:rsid w:val="00AF058F"/>
    <w:rsid w:val="00AF063D"/>
    <w:rsid w:val="00AF06B1"/>
    <w:rsid w:val="00AF086F"/>
    <w:rsid w:val="00AF0AD0"/>
    <w:rsid w:val="00AF0B30"/>
    <w:rsid w:val="00AF0D89"/>
    <w:rsid w:val="00AF0E8B"/>
    <w:rsid w:val="00AF1152"/>
    <w:rsid w:val="00AF1394"/>
    <w:rsid w:val="00AF1921"/>
    <w:rsid w:val="00AF21BA"/>
    <w:rsid w:val="00AF226A"/>
    <w:rsid w:val="00AF23C5"/>
    <w:rsid w:val="00AF24F6"/>
    <w:rsid w:val="00AF2646"/>
    <w:rsid w:val="00AF2E95"/>
    <w:rsid w:val="00AF2EA4"/>
    <w:rsid w:val="00AF2ED9"/>
    <w:rsid w:val="00AF317A"/>
    <w:rsid w:val="00AF34EA"/>
    <w:rsid w:val="00AF3BCA"/>
    <w:rsid w:val="00AF4209"/>
    <w:rsid w:val="00AF4658"/>
    <w:rsid w:val="00AF469C"/>
    <w:rsid w:val="00AF4804"/>
    <w:rsid w:val="00AF491B"/>
    <w:rsid w:val="00AF4D0D"/>
    <w:rsid w:val="00AF4D45"/>
    <w:rsid w:val="00AF50AB"/>
    <w:rsid w:val="00AF50D5"/>
    <w:rsid w:val="00AF5732"/>
    <w:rsid w:val="00AF5793"/>
    <w:rsid w:val="00AF5BF2"/>
    <w:rsid w:val="00AF5C30"/>
    <w:rsid w:val="00AF5DFF"/>
    <w:rsid w:val="00AF6042"/>
    <w:rsid w:val="00AF62B1"/>
    <w:rsid w:val="00AF663B"/>
    <w:rsid w:val="00AF6640"/>
    <w:rsid w:val="00AF6798"/>
    <w:rsid w:val="00AF6B68"/>
    <w:rsid w:val="00AF6EED"/>
    <w:rsid w:val="00AF7190"/>
    <w:rsid w:val="00AF763B"/>
    <w:rsid w:val="00AF78E2"/>
    <w:rsid w:val="00AF7965"/>
    <w:rsid w:val="00AF7F6D"/>
    <w:rsid w:val="00AF7F8D"/>
    <w:rsid w:val="00AFB5C6"/>
    <w:rsid w:val="00B00049"/>
    <w:rsid w:val="00B0013C"/>
    <w:rsid w:val="00B0016A"/>
    <w:rsid w:val="00B003AF"/>
    <w:rsid w:val="00B004BD"/>
    <w:rsid w:val="00B00D52"/>
    <w:rsid w:val="00B00E25"/>
    <w:rsid w:val="00B00E93"/>
    <w:rsid w:val="00B01156"/>
    <w:rsid w:val="00B01542"/>
    <w:rsid w:val="00B01681"/>
    <w:rsid w:val="00B01922"/>
    <w:rsid w:val="00B01981"/>
    <w:rsid w:val="00B01D23"/>
    <w:rsid w:val="00B01E6C"/>
    <w:rsid w:val="00B02075"/>
    <w:rsid w:val="00B02160"/>
    <w:rsid w:val="00B021C3"/>
    <w:rsid w:val="00B02313"/>
    <w:rsid w:val="00B02700"/>
    <w:rsid w:val="00B027C9"/>
    <w:rsid w:val="00B02DC1"/>
    <w:rsid w:val="00B03B69"/>
    <w:rsid w:val="00B04234"/>
    <w:rsid w:val="00B04439"/>
    <w:rsid w:val="00B04587"/>
    <w:rsid w:val="00B046A4"/>
    <w:rsid w:val="00B04985"/>
    <w:rsid w:val="00B04EFD"/>
    <w:rsid w:val="00B04F88"/>
    <w:rsid w:val="00B0506F"/>
    <w:rsid w:val="00B0527E"/>
    <w:rsid w:val="00B052BC"/>
    <w:rsid w:val="00B053BF"/>
    <w:rsid w:val="00B05709"/>
    <w:rsid w:val="00B05C82"/>
    <w:rsid w:val="00B05CA6"/>
    <w:rsid w:val="00B05D1B"/>
    <w:rsid w:val="00B06009"/>
    <w:rsid w:val="00B062CD"/>
    <w:rsid w:val="00B0637E"/>
    <w:rsid w:val="00B0637F"/>
    <w:rsid w:val="00B06A31"/>
    <w:rsid w:val="00B06D49"/>
    <w:rsid w:val="00B06DB9"/>
    <w:rsid w:val="00B06E12"/>
    <w:rsid w:val="00B06FD3"/>
    <w:rsid w:val="00B07182"/>
    <w:rsid w:val="00B07502"/>
    <w:rsid w:val="00B0786A"/>
    <w:rsid w:val="00B0799A"/>
    <w:rsid w:val="00B07B74"/>
    <w:rsid w:val="00B07B9C"/>
    <w:rsid w:val="00B07CBE"/>
    <w:rsid w:val="00B1013D"/>
    <w:rsid w:val="00B10200"/>
    <w:rsid w:val="00B10568"/>
    <w:rsid w:val="00B10905"/>
    <w:rsid w:val="00B10981"/>
    <w:rsid w:val="00B10B1F"/>
    <w:rsid w:val="00B10B76"/>
    <w:rsid w:val="00B1127A"/>
    <w:rsid w:val="00B1187A"/>
    <w:rsid w:val="00B119D7"/>
    <w:rsid w:val="00B11AD7"/>
    <w:rsid w:val="00B11F2D"/>
    <w:rsid w:val="00B122F4"/>
    <w:rsid w:val="00B12319"/>
    <w:rsid w:val="00B12725"/>
    <w:rsid w:val="00B12880"/>
    <w:rsid w:val="00B12A94"/>
    <w:rsid w:val="00B12BFA"/>
    <w:rsid w:val="00B12C48"/>
    <w:rsid w:val="00B12D4E"/>
    <w:rsid w:val="00B13058"/>
    <w:rsid w:val="00B132E7"/>
    <w:rsid w:val="00B133BE"/>
    <w:rsid w:val="00B13496"/>
    <w:rsid w:val="00B13783"/>
    <w:rsid w:val="00B1396C"/>
    <w:rsid w:val="00B139B2"/>
    <w:rsid w:val="00B139D5"/>
    <w:rsid w:val="00B13A60"/>
    <w:rsid w:val="00B13DB5"/>
    <w:rsid w:val="00B13DD2"/>
    <w:rsid w:val="00B142B8"/>
    <w:rsid w:val="00B14311"/>
    <w:rsid w:val="00B143D7"/>
    <w:rsid w:val="00B1442F"/>
    <w:rsid w:val="00B1454A"/>
    <w:rsid w:val="00B145F9"/>
    <w:rsid w:val="00B14964"/>
    <w:rsid w:val="00B149F0"/>
    <w:rsid w:val="00B14BE8"/>
    <w:rsid w:val="00B14EF3"/>
    <w:rsid w:val="00B1504B"/>
    <w:rsid w:val="00B15082"/>
    <w:rsid w:val="00B152A2"/>
    <w:rsid w:val="00B152D1"/>
    <w:rsid w:val="00B15595"/>
    <w:rsid w:val="00B155CF"/>
    <w:rsid w:val="00B155E0"/>
    <w:rsid w:val="00B15812"/>
    <w:rsid w:val="00B15BBD"/>
    <w:rsid w:val="00B15BCF"/>
    <w:rsid w:val="00B15DA9"/>
    <w:rsid w:val="00B15DE7"/>
    <w:rsid w:val="00B16670"/>
    <w:rsid w:val="00B16937"/>
    <w:rsid w:val="00B16A03"/>
    <w:rsid w:val="00B16C7E"/>
    <w:rsid w:val="00B1725E"/>
    <w:rsid w:val="00B173FB"/>
    <w:rsid w:val="00B173FF"/>
    <w:rsid w:val="00B17755"/>
    <w:rsid w:val="00B179F1"/>
    <w:rsid w:val="00B17A9A"/>
    <w:rsid w:val="00B20062"/>
    <w:rsid w:val="00B2027B"/>
    <w:rsid w:val="00B20531"/>
    <w:rsid w:val="00B2068E"/>
    <w:rsid w:val="00B206B3"/>
    <w:rsid w:val="00B209D8"/>
    <w:rsid w:val="00B20A29"/>
    <w:rsid w:val="00B20BFF"/>
    <w:rsid w:val="00B20C8D"/>
    <w:rsid w:val="00B20CD5"/>
    <w:rsid w:val="00B20D3A"/>
    <w:rsid w:val="00B20E49"/>
    <w:rsid w:val="00B21088"/>
    <w:rsid w:val="00B212DD"/>
    <w:rsid w:val="00B21305"/>
    <w:rsid w:val="00B21826"/>
    <w:rsid w:val="00B21A4C"/>
    <w:rsid w:val="00B21A85"/>
    <w:rsid w:val="00B21B10"/>
    <w:rsid w:val="00B21BD6"/>
    <w:rsid w:val="00B21EBE"/>
    <w:rsid w:val="00B21ECF"/>
    <w:rsid w:val="00B21F69"/>
    <w:rsid w:val="00B222F6"/>
    <w:rsid w:val="00B2233E"/>
    <w:rsid w:val="00B2259E"/>
    <w:rsid w:val="00B226E8"/>
    <w:rsid w:val="00B22708"/>
    <w:rsid w:val="00B22955"/>
    <w:rsid w:val="00B22E6E"/>
    <w:rsid w:val="00B22FC8"/>
    <w:rsid w:val="00B232A0"/>
    <w:rsid w:val="00B2391D"/>
    <w:rsid w:val="00B23B9C"/>
    <w:rsid w:val="00B23C1B"/>
    <w:rsid w:val="00B23C36"/>
    <w:rsid w:val="00B23C65"/>
    <w:rsid w:val="00B23CB7"/>
    <w:rsid w:val="00B24170"/>
    <w:rsid w:val="00B241BF"/>
    <w:rsid w:val="00B241EB"/>
    <w:rsid w:val="00B24A41"/>
    <w:rsid w:val="00B24B02"/>
    <w:rsid w:val="00B24C2B"/>
    <w:rsid w:val="00B2513D"/>
    <w:rsid w:val="00B255DD"/>
    <w:rsid w:val="00B25831"/>
    <w:rsid w:val="00B258C1"/>
    <w:rsid w:val="00B258C3"/>
    <w:rsid w:val="00B25A95"/>
    <w:rsid w:val="00B25C5C"/>
    <w:rsid w:val="00B261C0"/>
    <w:rsid w:val="00B261EA"/>
    <w:rsid w:val="00B263A3"/>
    <w:rsid w:val="00B263C2"/>
    <w:rsid w:val="00B26A0D"/>
    <w:rsid w:val="00B26B97"/>
    <w:rsid w:val="00B26FA5"/>
    <w:rsid w:val="00B270DA"/>
    <w:rsid w:val="00B2718B"/>
    <w:rsid w:val="00B272A3"/>
    <w:rsid w:val="00B272B6"/>
    <w:rsid w:val="00B27553"/>
    <w:rsid w:val="00B276FE"/>
    <w:rsid w:val="00B27B43"/>
    <w:rsid w:val="00B27BD2"/>
    <w:rsid w:val="00B27C96"/>
    <w:rsid w:val="00B27CED"/>
    <w:rsid w:val="00B27F38"/>
    <w:rsid w:val="00B30274"/>
    <w:rsid w:val="00B3027D"/>
    <w:rsid w:val="00B30404"/>
    <w:rsid w:val="00B30498"/>
    <w:rsid w:val="00B3085D"/>
    <w:rsid w:val="00B309B0"/>
    <w:rsid w:val="00B30C1E"/>
    <w:rsid w:val="00B30CA7"/>
    <w:rsid w:val="00B30F85"/>
    <w:rsid w:val="00B30FF5"/>
    <w:rsid w:val="00B31075"/>
    <w:rsid w:val="00B3140D"/>
    <w:rsid w:val="00B31A4E"/>
    <w:rsid w:val="00B31C4C"/>
    <w:rsid w:val="00B31D8E"/>
    <w:rsid w:val="00B31ED5"/>
    <w:rsid w:val="00B322B6"/>
    <w:rsid w:val="00B32343"/>
    <w:rsid w:val="00B3241A"/>
    <w:rsid w:val="00B32663"/>
    <w:rsid w:val="00B32AB0"/>
    <w:rsid w:val="00B32FF2"/>
    <w:rsid w:val="00B3353B"/>
    <w:rsid w:val="00B3375A"/>
    <w:rsid w:val="00B33B9B"/>
    <w:rsid w:val="00B34257"/>
    <w:rsid w:val="00B3430D"/>
    <w:rsid w:val="00B344E0"/>
    <w:rsid w:val="00B34541"/>
    <w:rsid w:val="00B3482F"/>
    <w:rsid w:val="00B349D4"/>
    <w:rsid w:val="00B34B66"/>
    <w:rsid w:val="00B34D54"/>
    <w:rsid w:val="00B34D79"/>
    <w:rsid w:val="00B34E73"/>
    <w:rsid w:val="00B34F40"/>
    <w:rsid w:val="00B3519D"/>
    <w:rsid w:val="00B35201"/>
    <w:rsid w:val="00B3528E"/>
    <w:rsid w:val="00B352AE"/>
    <w:rsid w:val="00B35871"/>
    <w:rsid w:val="00B35A4E"/>
    <w:rsid w:val="00B35C87"/>
    <w:rsid w:val="00B36096"/>
    <w:rsid w:val="00B360B5"/>
    <w:rsid w:val="00B360EA"/>
    <w:rsid w:val="00B36AE0"/>
    <w:rsid w:val="00B36CE1"/>
    <w:rsid w:val="00B36E4C"/>
    <w:rsid w:val="00B36F2E"/>
    <w:rsid w:val="00B3743B"/>
    <w:rsid w:val="00B3755B"/>
    <w:rsid w:val="00B375EC"/>
    <w:rsid w:val="00B378AD"/>
    <w:rsid w:val="00B37C01"/>
    <w:rsid w:val="00B400ED"/>
    <w:rsid w:val="00B4012C"/>
    <w:rsid w:val="00B40304"/>
    <w:rsid w:val="00B403E2"/>
    <w:rsid w:val="00B404A8"/>
    <w:rsid w:val="00B4080E"/>
    <w:rsid w:val="00B40B58"/>
    <w:rsid w:val="00B40C2F"/>
    <w:rsid w:val="00B4130C"/>
    <w:rsid w:val="00B41507"/>
    <w:rsid w:val="00B4177B"/>
    <w:rsid w:val="00B4217A"/>
    <w:rsid w:val="00B42686"/>
    <w:rsid w:val="00B42720"/>
    <w:rsid w:val="00B42986"/>
    <w:rsid w:val="00B42ADA"/>
    <w:rsid w:val="00B42B71"/>
    <w:rsid w:val="00B42C99"/>
    <w:rsid w:val="00B42FB5"/>
    <w:rsid w:val="00B430D5"/>
    <w:rsid w:val="00B431FE"/>
    <w:rsid w:val="00B43A00"/>
    <w:rsid w:val="00B43BFC"/>
    <w:rsid w:val="00B43EDB"/>
    <w:rsid w:val="00B4433B"/>
    <w:rsid w:val="00B444DE"/>
    <w:rsid w:val="00B4467F"/>
    <w:rsid w:val="00B446FA"/>
    <w:rsid w:val="00B44AF0"/>
    <w:rsid w:val="00B44B72"/>
    <w:rsid w:val="00B44E87"/>
    <w:rsid w:val="00B44E93"/>
    <w:rsid w:val="00B45286"/>
    <w:rsid w:val="00B45463"/>
    <w:rsid w:val="00B456E3"/>
    <w:rsid w:val="00B456FD"/>
    <w:rsid w:val="00B45799"/>
    <w:rsid w:val="00B4584C"/>
    <w:rsid w:val="00B458F3"/>
    <w:rsid w:val="00B45B64"/>
    <w:rsid w:val="00B45C0E"/>
    <w:rsid w:val="00B46300"/>
    <w:rsid w:val="00B463FD"/>
    <w:rsid w:val="00B46490"/>
    <w:rsid w:val="00B4666C"/>
    <w:rsid w:val="00B469D9"/>
    <w:rsid w:val="00B46C77"/>
    <w:rsid w:val="00B46C97"/>
    <w:rsid w:val="00B46CAA"/>
    <w:rsid w:val="00B473F6"/>
    <w:rsid w:val="00B47404"/>
    <w:rsid w:val="00B47463"/>
    <w:rsid w:val="00B474CD"/>
    <w:rsid w:val="00B475C9"/>
    <w:rsid w:val="00B47CAF"/>
    <w:rsid w:val="00B47D6E"/>
    <w:rsid w:val="00B47EF5"/>
    <w:rsid w:val="00B47FDB"/>
    <w:rsid w:val="00B500B3"/>
    <w:rsid w:val="00B50118"/>
    <w:rsid w:val="00B5093F"/>
    <w:rsid w:val="00B50974"/>
    <w:rsid w:val="00B50A80"/>
    <w:rsid w:val="00B50B48"/>
    <w:rsid w:val="00B50E8B"/>
    <w:rsid w:val="00B5111C"/>
    <w:rsid w:val="00B5113C"/>
    <w:rsid w:val="00B5150D"/>
    <w:rsid w:val="00B51511"/>
    <w:rsid w:val="00B515B3"/>
    <w:rsid w:val="00B516EF"/>
    <w:rsid w:val="00B5188F"/>
    <w:rsid w:val="00B518C7"/>
    <w:rsid w:val="00B519E0"/>
    <w:rsid w:val="00B52779"/>
    <w:rsid w:val="00B527FB"/>
    <w:rsid w:val="00B52CEC"/>
    <w:rsid w:val="00B52EC8"/>
    <w:rsid w:val="00B53069"/>
    <w:rsid w:val="00B5330D"/>
    <w:rsid w:val="00B53396"/>
    <w:rsid w:val="00B533A2"/>
    <w:rsid w:val="00B534AB"/>
    <w:rsid w:val="00B53544"/>
    <w:rsid w:val="00B536E0"/>
    <w:rsid w:val="00B5378F"/>
    <w:rsid w:val="00B537AE"/>
    <w:rsid w:val="00B537BA"/>
    <w:rsid w:val="00B5397E"/>
    <w:rsid w:val="00B53C34"/>
    <w:rsid w:val="00B53C45"/>
    <w:rsid w:val="00B53D18"/>
    <w:rsid w:val="00B53D65"/>
    <w:rsid w:val="00B53F7C"/>
    <w:rsid w:val="00B53FC4"/>
    <w:rsid w:val="00B54024"/>
    <w:rsid w:val="00B54445"/>
    <w:rsid w:val="00B54673"/>
    <w:rsid w:val="00B54984"/>
    <w:rsid w:val="00B54BDA"/>
    <w:rsid w:val="00B54CD0"/>
    <w:rsid w:val="00B54DF4"/>
    <w:rsid w:val="00B54E64"/>
    <w:rsid w:val="00B550AB"/>
    <w:rsid w:val="00B55354"/>
    <w:rsid w:val="00B5538A"/>
    <w:rsid w:val="00B55443"/>
    <w:rsid w:val="00B55448"/>
    <w:rsid w:val="00B5575E"/>
    <w:rsid w:val="00B55E92"/>
    <w:rsid w:val="00B55E9E"/>
    <w:rsid w:val="00B55FA8"/>
    <w:rsid w:val="00B56018"/>
    <w:rsid w:val="00B560E3"/>
    <w:rsid w:val="00B5633E"/>
    <w:rsid w:val="00B56349"/>
    <w:rsid w:val="00B56C99"/>
    <w:rsid w:val="00B56EAE"/>
    <w:rsid w:val="00B570D1"/>
    <w:rsid w:val="00B57161"/>
    <w:rsid w:val="00B571FA"/>
    <w:rsid w:val="00B574E3"/>
    <w:rsid w:val="00B5761F"/>
    <w:rsid w:val="00B5768C"/>
    <w:rsid w:val="00B57716"/>
    <w:rsid w:val="00B57834"/>
    <w:rsid w:val="00B579A1"/>
    <w:rsid w:val="00B57C79"/>
    <w:rsid w:val="00B60263"/>
    <w:rsid w:val="00B60642"/>
    <w:rsid w:val="00B60816"/>
    <w:rsid w:val="00B6082A"/>
    <w:rsid w:val="00B60A9A"/>
    <w:rsid w:val="00B60B79"/>
    <w:rsid w:val="00B60DDB"/>
    <w:rsid w:val="00B60E04"/>
    <w:rsid w:val="00B613C1"/>
    <w:rsid w:val="00B614DD"/>
    <w:rsid w:val="00B61926"/>
    <w:rsid w:val="00B61A9E"/>
    <w:rsid w:val="00B61B49"/>
    <w:rsid w:val="00B61F95"/>
    <w:rsid w:val="00B61FA4"/>
    <w:rsid w:val="00B61FD2"/>
    <w:rsid w:val="00B62079"/>
    <w:rsid w:val="00B6291A"/>
    <w:rsid w:val="00B62B86"/>
    <w:rsid w:val="00B62C7D"/>
    <w:rsid w:val="00B62F6B"/>
    <w:rsid w:val="00B6309B"/>
    <w:rsid w:val="00B631D2"/>
    <w:rsid w:val="00B6336B"/>
    <w:rsid w:val="00B63693"/>
    <w:rsid w:val="00B6383E"/>
    <w:rsid w:val="00B6394C"/>
    <w:rsid w:val="00B63C9A"/>
    <w:rsid w:val="00B63CA9"/>
    <w:rsid w:val="00B64178"/>
    <w:rsid w:val="00B641B0"/>
    <w:rsid w:val="00B648B6"/>
    <w:rsid w:val="00B6492B"/>
    <w:rsid w:val="00B649FF"/>
    <w:rsid w:val="00B64A46"/>
    <w:rsid w:val="00B64DBB"/>
    <w:rsid w:val="00B64FFE"/>
    <w:rsid w:val="00B650A6"/>
    <w:rsid w:val="00B65839"/>
    <w:rsid w:val="00B6596E"/>
    <w:rsid w:val="00B65B27"/>
    <w:rsid w:val="00B65BBF"/>
    <w:rsid w:val="00B65BD2"/>
    <w:rsid w:val="00B65D1C"/>
    <w:rsid w:val="00B65D3A"/>
    <w:rsid w:val="00B65DB0"/>
    <w:rsid w:val="00B65E43"/>
    <w:rsid w:val="00B6615D"/>
    <w:rsid w:val="00B66287"/>
    <w:rsid w:val="00B663D9"/>
    <w:rsid w:val="00B664D7"/>
    <w:rsid w:val="00B66904"/>
    <w:rsid w:val="00B66CBA"/>
    <w:rsid w:val="00B66E8E"/>
    <w:rsid w:val="00B6716C"/>
    <w:rsid w:val="00B675DF"/>
    <w:rsid w:val="00B6796C"/>
    <w:rsid w:val="00B67B15"/>
    <w:rsid w:val="00B67B7D"/>
    <w:rsid w:val="00B67C82"/>
    <w:rsid w:val="00B67D72"/>
    <w:rsid w:val="00B67F1B"/>
    <w:rsid w:val="00B7004B"/>
    <w:rsid w:val="00B70451"/>
    <w:rsid w:val="00B705A3"/>
    <w:rsid w:val="00B706E7"/>
    <w:rsid w:val="00B708C9"/>
    <w:rsid w:val="00B70C42"/>
    <w:rsid w:val="00B70D64"/>
    <w:rsid w:val="00B70D91"/>
    <w:rsid w:val="00B710DA"/>
    <w:rsid w:val="00B710FD"/>
    <w:rsid w:val="00B71280"/>
    <w:rsid w:val="00B71458"/>
    <w:rsid w:val="00B714F5"/>
    <w:rsid w:val="00B71674"/>
    <w:rsid w:val="00B71677"/>
    <w:rsid w:val="00B71D28"/>
    <w:rsid w:val="00B71EC9"/>
    <w:rsid w:val="00B71F02"/>
    <w:rsid w:val="00B7268E"/>
    <w:rsid w:val="00B728F4"/>
    <w:rsid w:val="00B729EC"/>
    <w:rsid w:val="00B72A0A"/>
    <w:rsid w:val="00B72B28"/>
    <w:rsid w:val="00B72F89"/>
    <w:rsid w:val="00B730F8"/>
    <w:rsid w:val="00B73A2F"/>
    <w:rsid w:val="00B73D58"/>
    <w:rsid w:val="00B73D82"/>
    <w:rsid w:val="00B74041"/>
    <w:rsid w:val="00B7494D"/>
    <w:rsid w:val="00B74A73"/>
    <w:rsid w:val="00B74C25"/>
    <w:rsid w:val="00B7529D"/>
    <w:rsid w:val="00B7543F"/>
    <w:rsid w:val="00B756F5"/>
    <w:rsid w:val="00B757AB"/>
    <w:rsid w:val="00B75B9F"/>
    <w:rsid w:val="00B75DCB"/>
    <w:rsid w:val="00B75F6B"/>
    <w:rsid w:val="00B76057"/>
    <w:rsid w:val="00B76265"/>
    <w:rsid w:val="00B7639E"/>
    <w:rsid w:val="00B7654D"/>
    <w:rsid w:val="00B768DA"/>
    <w:rsid w:val="00B768E9"/>
    <w:rsid w:val="00B76AB7"/>
    <w:rsid w:val="00B76EC5"/>
    <w:rsid w:val="00B7731B"/>
    <w:rsid w:val="00B773C1"/>
    <w:rsid w:val="00B773FC"/>
    <w:rsid w:val="00B77592"/>
    <w:rsid w:val="00B775FD"/>
    <w:rsid w:val="00B77658"/>
    <w:rsid w:val="00B776A2"/>
    <w:rsid w:val="00B77760"/>
    <w:rsid w:val="00B777A2"/>
    <w:rsid w:val="00B777CE"/>
    <w:rsid w:val="00B7782F"/>
    <w:rsid w:val="00B7787F"/>
    <w:rsid w:val="00B779F5"/>
    <w:rsid w:val="00B77DE0"/>
    <w:rsid w:val="00B80161"/>
    <w:rsid w:val="00B80254"/>
    <w:rsid w:val="00B804B9"/>
    <w:rsid w:val="00B80538"/>
    <w:rsid w:val="00B8085B"/>
    <w:rsid w:val="00B80DE5"/>
    <w:rsid w:val="00B80E36"/>
    <w:rsid w:val="00B80E6E"/>
    <w:rsid w:val="00B80ED1"/>
    <w:rsid w:val="00B811C8"/>
    <w:rsid w:val="00B815A7"/>
    <w:rsid w:val="00B8181B"/>
    <w:rsid w:val="00B819E7"/>
    <w:rsid w:val="00B81BAE"/>
    <w:rsid w:val="00B82173"/>
    <w:rsid w:val="00B827B4"/>
    <w:rsid w:val="00B82877"/>
    <w:rsid w:val="00B82ABD"/>
    <w:rsid w:val="00B82B04"/>
    <w:rsid w:val="00B82EF6"/>
    <w:rsid w:val="00B83426"/>
    <w:rsid w:val="00B839C6"/>
    <w:rsid w:val="00B83E23"/>
    <w:rsid w:val="00B8454E"/>
    <w:rsid w:val="00B84663"/>
    <w:rsid w:val="00B8488C"/>
    <w:rsid w:val="00B84A38"/>
    <w:rsid w:val="00B84FB2"/>
    <w:rsid w:val="00B85239"/>
    <w:rsid w:val="00B85665"/>
    <w:rsid w:val="00B85EAF"/>
    <w:rsid w:val="00B85F15"/>
    <w:rsid w:val="00B85F7C"/>
    <w:rsid w:val="00B86418"/>
    <w:rsid w:val="00B864C9"/>
    <w:rsid w:val="00B86BC0"/>
    <w:rsid w:val="00B86C29"/>
    <w:rsid w:val="00B86E7E"/>
    <w:rsid w:val="00B870E3"/>
    <w:rsid w:val="00B87285"/>
    <w:rsid w:val="00B87575"/>
    <w:rsid w:val="00B87727"/>
    <w:rsid w:val="00B877BA"/>
    <w:rsid w:val="00B87A7E"/>
    <w:rsid w:val="00B87BB7"/>
    <w:rsid w:val="00B87D4C"/>
    <w:rsid w:val="00B900E7"/>
    <w:rsid w:val="00B904AC"/>
    <w:rsid w:val="00B9061A"/>
    <w:rsid w:val="00B90628"/>
    <w:rsid w:val="00B90863"/>
    <w:rsid w:val="00B90AB7"/>
    <w:rsid w:val="00B90DDB"/>
    <w:rsid w:val="00B90F18"/>
    <w:rsid w:val="00B91320"/>
    <w:rsid w:val="00B9138A"/>
    <w:rsid w:val="00B9145E"/>
    <w:rsid w:val="00B916B1"/>
    <w:rsid w:val="00B9173A"/>
    <w:rsid w:val="00B9179B"/>
    <w:rsid w:val="00B917C6"/>
    <w:rsid w:val="00B91836"/>
    <w:rsid w:val="00B91868"/>
    <w:rsid w:val="00B9187C"/>
    <w:rsid w:val="00B91A0A"/>
    <w:rsid w:val="00B91C2C"/>
    <w:rsid w:val="00B91C36"/>
    <w:rsid w:val="00B91D60"/>
    <w:rsid w:val="00B9211D"/>
    <w:rsid w:val="00B9245A"/>
    <w:rsid w:val="00B9263F"/>
    <w:rsid w:val="00B928C2"/>
    <w:rsid w:val="00B92936"/>
    <w:rsid w:val="00B92CFD"/>
    <w:rsid w:val="00B92D4D"/>
    <w:rsid w:val="00B93032"/>
    <w:rsid w:val="00B93399"/>
    <w:rsid w:val="00B93475"/>
    <w:rsid w:val="00B9348C"/>
    <w:rsid w:val="00B93527"/>
    <w:rsid w:val="00B9371B"/>
    <w:rsid w:val="00B937E4"/>
    <w:rsid w:val="00B93840"/>
    <w:rsid w:val="00B93D39"/>
    <w:rsid w:val="00B94083"/>
    <w:rsid w:val="00B94167"/>
    <w:rsid w:val="00B941E9"/>
    <w:rsid w:val="00B94249"/>
    <w:rsid w:val="00B9438C"/>
    <w:rsid w:val="00B94F78"/>
    <w:rsid w:val="00B94F7B"/>
    <w:rsid w:val="00B95142"/>
    <w:rsid w:val="00B952A2"/>
    <w:rsid w:val="00B95551"/>
    <w:rsid w:val="00B9569A"/>
    <w:rsid w:val="00B957BE"/>
    <w:rsid w:val="00B95A4B"/>
    <w:rsid w:val="00B95F99"/>
    <w:rsid w:val="00B95FBE"/>
    <w:rsid w:val="00B95FC3"/>
    <w:rsid w:val="00B96030"/>
    <w:rsid w:val="00B9619B"/>
    <w:rsid w:val="00B96411"/>
    <w:rsid w:val="00B966BE"/>
    <w:rsid w:val="00B96962"/>
    <w:rsid w:val="00B96AE4"/>
    <w:rsid w:val="00B96DDD"/>
    <w:rsid w:val="00B97034"/>
    <w:rsid w:val="00B971EF"/>
    <w:rsid w:val="00B9780E"/>
    <w:rsid w:val="00B978B4"/>
    <w:rsid w:val="00B97CE9"/>
    <w:rsid w:val="00B97E31"/>
    <w:rsid w:val="00B97FB0"/>
    <w:rsid w:val="00BA00A8"/>
    <w:rsid w:val="00BA0155"/>
    <w:rsid w:val="00BA021F"/>
    <w:rsid w:val="00BA09E5"/>
    <w:rsid w:val="00BA1103"/>
    <w:rsid w:val="00BA1464"/>
    <w:rsid w:val="00BA1683"/>
    <w:rsid w:val="00BA1740"/>
    <w:rsid w:val="00BA1744"/>
    <w:rsid w:val="00BA1AA3"/>
    <w:rsid w:val="00BA1E3F"/>
    <w:rsid w:val="00BA1E48"/>
    <w:rsid w:val="00BA1E6A"/>
    <w:rsid w:val="00BA228D"/>
    <w:rsid w:val="00BA2356"/>
    <w:rsid w:val="00BA23EF"/>
    <w:rsid w:val="00BA2486"/>
    <w:rsid w:val="00BA28F8"/>
    <w:rsid w:val="00BA2A22"/>
    <w:rsid w:val="00BA2C4E"/>
    <w:rsid w:val="00BA3368"/>
    <w:rsid w:val="00BA3637"/>
    <w:rsid w:val="00BA3742"/>
    <w:rsid w:val="00BA3A4E"/>
    <w:rsid w:val="00BA3A6F"/>
    <w:rsid w:val="00BA3C03"/>
    <w:rsid w:val="00BA3DC2"/>
    <w:rsid w:val="00BA4049"/>
    <w:rsid w:val="00BA40F2"/>
    <w:rsid w:val="00BA44A2"/>
    <w:rsid w:val="00BA466C"/>
    <w:rsid w:val="00BA4717"/>
    <w:rsid w:val="00BA47CC"/>
    <w:rsid w:val="00BA4FAE"/>
    <w:rsid w:val="00BA58C6"/>
    <w:rsid w:val="00BA5BBD"/>
    <w:rsid w:val="00BA5EAB"/>
    <w:rsid w:val="00BA5FDC"/>
    <w:rsid w:val="00BA61CB"/>
    <w:rsid w:val="00BA6293"/>
    <w:rsid w:val="00BA641B"/>
    <w:rsid w:val="00BA6563"/>
    <w:rsid w:val="00BA662A"/>
    <w:rsid w:val="00BA69EE"/>
    <w:rsid w:val="00BA74A8"/>
    <w:rsid w:val="00BA7728"/>
    <w:rsid w:val="00BA794F"/>
    <w:rsid w:val="00BA7D7C"/>
    <w:rsid w:val="00BA7F75"/>
    <w:rsid w:val="00BA7FA2"/>
    <w:rsid w:val="00BB000F"/>
    <w:rsid w:val="00BB0020"/>
    <w:rsid w:val="00BB024B"/>
    <w:rsid w:val="00BB0669"/>
    <w:rsid w:val="00BB08A9"/>
    <w:rsid w:val="00BB0975"/>
    <w:rsid w:val="00BB0AC2"/>
    <w:rsid w:val="00BB0B05"/>
    <w:rsid w:val="00BB0D99"/>
    <w:rsid w:val="00BB0ED0"/>
    <w:rsid w:val="00BB10DC"/>
    <w:rsid w:val="00BB1557"/>
    <w:rsid w:val="00BB160F"/>
    <w:rsid w:val="00BB1A44"/>
    <w:rsid w:val="00BB1BF0"/>
    <w:rsid w:val="00BB1C6D"/>
    <w:rsid w:val="00BB2876"/>
    <w:rsid w:val="00BB2948"/>
    <w:rsid w:val="00BB2BC3"/>
    <w:rsid w:val="00BB3166"/>
    <w:rsid w:val="00BB32BD"/>
    <w:rsid w:val="00BB37DA"/>
    <w:rsid w:val="00BB3A23"/>
    <w:rsid w:val="00BB3A4E"/>
    <w:rsid w:val="00BB3B08"/>
    <w:rsid w:val="00BB3BFB"/>
    <w:rsid w:val="00BB40C5"/>
    <w:rsid w:val="00BB413D"/>
    <w:rsid w:val="00BB4430"/>
    <w:rsid w:val="00BB45BD"/>
    <w:rsid w:val="00BB495F"/>
    <w:rsid w:val="00BB4B5A"/>
    <w:rsid w:val="00BB4CA5"/>
    <w:rsid w:val="00BB4DA0"/>
    <w:rsid w:val="00BB507E"/>
    <w:rsid w:val="00BB51CC"/>
    <w:rsid w:val="00BB5620"/>
    <w:rsid w:val="00BB5A10"/>
    <w:rsid w:val="00BB5A55"/>
    <w:rsid w:val="00BB5AFC"/>
    <w:rsid w:val="00BB5D71"/>
    <w:rsid w:val="00BB5E83"/>
    <w:rsid w:val="00BB5EE4"/>
    <w:rsid w:val="00BB62C9"/>
    <w:rsid w:val="00BB63E0"/>
    <w:rsid w:val="00BB67C8"/>
    <w:rsid w:val="00BB6DE2"/>
    <w:rsid w:val="00BB6F29"/>
    <w:rsid w:val="00BB6F47"/>
    <w:rsid w:val="00BB73C0"/>
    <w:rsid w:val="00BB75A1"/>
    <w:rsid w:val="00BB75D4"/>
    <w:rsid w:val="00BB7806"/>
    <w:rsid w:val="00BB7833"/>
    <w:rsid w:val="00BB7BA8"/>
    <w:rsid w:val="00BB7D64"/>
    <w:rsid w:val="00BC0332"/>
    <w:rsid w:val="00BC03C7"/>
    <w:rsid w:val="00BC097B"/>
    <w:rsid w:val="00BC0C4F"/>
    <w:rsid w:val="00BC0E0F"/>
    <w:rsid w:val="00BC102C"/>
    <w:rsid w:val="00BC1156"/>
    <w:rsid w:val="00BC191B"/>
    <w:rsid w:val="00BC1A77"/>
    <w:rsid w:val="00BC1B5F"/>
    <w:rsid w:val="00BC1B6A"/>
    <w:rsid w:val="00BC1CE1"/>
    <w:rsid w:val="00BC20CF"/>
    <w:rsid w:val="00BC22C2"/>
    <w:rsid w:val="00BC22EF"/>
    <w:rsid w:val="00BC232E"/>
    <w:rsid w:val="00BC289E"/>
    <w:rsid w:val="00BC28CC"/>
    <w:rsid w:val="00BC2ACA"/>
    <w:rsid w:val="00BC33AD"/>
    <w:rsid w:val="00BC3413"/>
    <w:rsid w:val="00BC3471"/>
    <w:rsid w:val="00BC35CA"/>
    <w:rsid w:val="00BC3791"/>
    <w:rsid w:val="00BC3A0F"/>
    <w:rsid w:val="00BC3AC5"/>
    <w:rsid w:val="00BC3BC9"/>
    <w:rsid w:val="00BC409D"/>
    <w:rsid w:val="00BC4210"/>
    <w:rsid w:val="00BC4561"/>
    <w:rsid w:val="00BC469C"/>
    <w:rsid w:val="00BC4872"/>
    <w:rsid w:val="00BC4AA3"/>
    <w:rsid w:val="00BC4AD0"/>
    <w:rsid w:val="00BC4B55"/>
    <w:rsid w:val="00BC4C91"/>
    <w:rsid w:val="00BC552A"/>
    <w:rsid w:val="00BC56F7"/>
    <w:rsid w:val="00BC57F5"/>
    <w:rsid w:val="00BC587E"/>
    <w:rsid w:val="00BC5894"/>
    <w:rsid w:val="00BC5BBF"/>
    <w:rsid w:val="00BC5E35"/>
    <w:rsid w:val="00BC5E65"/>
    <w:rsid w:val="00BC6162"/>
    <w:rsid w:val="00BC6338"/>
    <w:rsid w:val="00BC67D7"/>
    <w:rsid w:val="00BC6D57"/>
    <w:rsid w:val="00BC6DFF"/>
    <w:rsid w:val="00BC6FC1"/>
    <w:rsid w:val="00BC736F"/>
    <w:rsid w:val="00BC73F3"/>
    <w:rsid w:val="00BC754A"/>
    <w:rsid w:val="00BC7CF6"/>
    <w:rsid w:val="00BC7D5E"/>
    <w:rsid w:val="00BC7E21"/>
    <w:rsid w:val="00BC7E87"/>
    <w:rsid w:val="00BC7F78"/>
    <w:rsid w:val="00BC7FC9"/>
    <w:rsid w:val="00BD0167"/>
    <w:rsid w:val="00BD01E6"/>
    <w:rsid w:val="00BD0590"/>
    <w:rsid w:val="00BD0755"/>
    <w:rsid w:val="00BD0B22"/>
    <w:rsid w:val="00BD0D0A"/>
    <w:rsid w:val="00BD0FD9"/>
    <w:rsid w:val="00BD13A3"/>
    <w:rsid w:val="00BD15A1"/>
    <w:rsid w:val="00BD1721"/>
    <w:rsid w:val="00BD1911"/>
    <w:rsid w:val="00BD1A1E"/>
    <w:rsid w:val="00BD1FDB"/>
    <w:rsid w:val="00BD212A"/>
    <w:rsid w:val="00BD21A2"/>
    <w:rsid w:val="00BD2204"/>
    <w:rsid w:val="00BD2A1F"/>
    <w:rsid w:val="00BD2BAB"/>
    <w:rsid w:val="00BD2E72"/>
    <w:rsid w:val="00BD2FD2"/>
    <w:rsid w:val="00BD304F"/>
    <w:rsid w:val="00BD3131"/>
    <w:rsid w:val="00BD3357"/>
    <w:rsid w:val="00BD3638"/>
    <w:rsid w:val="00BD3663"/>
    <w:rsid w:val="00BD37C8"/>
    <w:rsid w:val="00BD3820"/>
    <w:rsid w:val="00BD38E1"/>
    <w:rsid w:val="00BD3C41"/>
    <w:rsid w:val="00BD3EEC"/>
    <w:rsid w:val="00BD42D3"/>
    <w:rsid w:val="00BD44C3"/>
    <w:rsid w:val="00BD4529"/>
    <w:rsid w:val="00BD45BF"/>
    <w:rsid w:val="00BD46FD"/>
    <w:rsid w:val="00BD4734"/>
    <w:rsid w:val="00BD4B83"/>
    <w:rsid w:val="00BD4D61"/>
    <w:rsid w:val="00BD500E"/>
    <w:rsid w:val="00BD516C"/>
    <w:rsid w:val="00BD51F1"/>
    <w:rsid w:val="00BD52E2"/>
    <w:rsid w:val="00BD54E2"/>
    <w:rsid w:val="00BD56B5"/>
    <w:rsid w:val="00BD5B7B"/>
    <w:rsid w:val="00BD5CCE"/>
    <w:rsid w:val="00BD5E60"/>
    <w:rsid w:val="00BD63AA"/>
    <w:rsid w:val="00BD6525"/>
    <w:rsid w:val="00BD65B8"/>
    <w:rsid w:val="00BD6685"/>
    <w:rsid w:val="00BD6A80"/>
    <w:rsid w:val="00BD6C89"/>
    <w:rsid w:val="00BD71BE"/>
    <w:rsid w:val="00BD7211"/>
    <w:rsid w:val="00BD7214"/>
    <w:rsid w:val="00BD7306"/>
    <w:rsid w:val="00BD7AA1"/>
    <w:rsid w:val="00BE0108"/>
    <w:rsid w:val="00BE05E3"/>
    <w:rsid w:val="00BE0AC7"/>
    <w:rsid w:val="00BE0ACA"/>
    <w:rsid w:val="00BE0C9F"/>
    <w:rsid w:val="00BE0D22"/>
    <w:rsid w:val="00BE118B"/>
    <w:rsid w:val="00BE1C9D"/>
    <w:rsid w:val="00BE1D7C"/>
    <w:rsid w:val="00BE1DBE"/>
    <w:rsid w:val="00BE20FB"/>
    <w:rsid w:val="00BE218B"/>
    <w:rsid w:val="00BE231A"/>
    <w:rsid w:val="00BE2737"/>
    <w:rsid w:val="00BE2881"/>
    <w:rsid w:val="00BE2BA9"/>
    <w:rsid w:val="00BE2C45"/>
    <w:rsid w:val="00BE2D09"/>
    <w:rsid w:val="00BE2D3B"/>
    <w:rsid w:val="00BE2D67"/>
    <w:rsid w:val="00BE2D96"/>
    <w:rsid w:val="00BE34C9"/>
    <w:rsid w:val="00BE3EA0"/>
    <w:rsid w:val="00BE3F86"/>
    <w:rsid w:val="00BE4201"/>
    <w:rsid w:val="00BE450F"/>
    <w:rsid w:val="00BE457F"/>
    <w:rsid w:val="00BE4702"/>
    <w:rsid w:val="00BE49DD"/>
    <w:rsid w:val="00BE4CB8"/>
    <w:rsid w:val="00BE4F6C"/>
    <w:rsid w:val="00BE53BF"/>
    <w:rsid w:val="00BE5518"/>
    <w:rsid w:val="00BE560F"/>
    <w:rsid w:val="00BE5610"/>
    <w:rsid w:val="00BE5662"/>
    <w:rsid w:val="00BE5751"/>
    <w:rsid w:val="00BE591D"/>
    <w:rsid w:val="00BE5BB7"/>
    <w:rsid w:val="00BE5F37"/>
    <w:rsid w:val="00BE65B8"/>
    <w:rsid w:val="00BE66E9"/>
    <w:rsid w:val="00BE6726"/>
    <w:rsid w:val="00BE6751"/>
    <w:rsid w:val="00BE67A3"/>
    <w:rsid w:val="00BE6940"/>
    <w:rsid w:val="00BE6B00"/>
    <w:rsid w:val="00BE6D5F"/>
    <w:rsid w:val="00BE6F49"/>
    <w:rsid w:val="00BE718A"/>
    <w:rsid w:val="00BE728C"/>
    <w:rsid w:val="00BE741D"/>
    <w:rsid w:val="00BE7427"/>
    <w:rsid w:val="00BE7606"/>
    <w:rsid w:val="00BE7670"/>
    <w:rsid w:val="00BE7731"/>
    <w:rsid w:val="00BE7882"/>
    <w:rsid w:val="00BE7E51"/>
    <w:rsid w:val="00BECA25"/>
    <w:rsid w:val="00BF04E8"/>
    <w:rsid w:val="00BF05C5"/>
    <w:rsid w:val="00BF0884"/>
    <w:rsid w:val="00BF0A14"/>
    <w:rsid w:val="00BF0A1A"/>
    <w:rsid w:val="00BF0F05"/>
    <w:rsid w:val="00BF0FAE"/>
    <w:rsid w:val="00BF0FC8"/>
    <w:rsid w:val="00BF10D2"/>
    <w:rsid w:val="00BF138B"/>
    <w:rsid w:val="00BF13D4"/>
    <w:rsid w:val="00BF1663"/>
    <w:rsid w:val="00BF1A0C"/>
    <w:rsid w:val="00BF1B90"/>
    <w:rsid w:val="00BF1F8E"/>
    <w:rsid w:val="00BF23CC"/>
    <w:rsid w:val="00BF24A7"/>
    <w:rsid w:val="00BF257F"/>
    <w:rsid w:val="00BF2B15"/>
    <w:rsid w:val="00BF2CD2"/>
    <w:rsid w:val="00BF30E5"/>
    <w:rsid w:val="00BF31FB"/>
    <w:rsid w:val="00BF345B"/>
    <w:rsid w:val="00BF35AB"/>
    <w:rsid w:val="00BF39CB"/>
    <w:rsid w:val="00BF3F02"/>
    <w:rsid w:val="00BF4261"/>
    <w:rsid w:val="00BF46EA"/>
    <w:rsid w:val="00BF4AC1"/>
    <w:rsid w:val="00BF4B5B"/>
    <w:rsid w:val="00BF4BFE"/>
    <w:rsid w:val="00BF4C41"/>
    <w:rsid w:val="00BF502D"/>
    <w:rsid w:val="00BF52DA"/>
    <w:rsid w:val="00BF53FA"/>
    <w:rsid w:val="00BF557D"/>
    <w:rsid w:val="00BF57A6"/>
    <w:rsid w:val="00BF5807"/>
    <w:rsid w:val="00BF5920"/>
    <w:rsid w:val="00BF5D21"/>
    <w:rsid w:val="00BF5FC9"/>
    <w:rsid w:val="00BF600A"/>
    <w:rsid w:val="00BF618F"/>
    <w:rsid w:val="00BF622A"/>
    <w:rsid w:val="00BF646D"/>
    <w:rsid w:val="00BF653A"/>
    <w:rsid w:val="00BF6A08"/>
    <w:rsid w:val="00BF6CFC"/>
    <w:rsid w:val="00BF70F9"/>
    <w:rsid w:val="00BF7186"/>
    <w:rsid w:val="00BF74DA"/>
    <w:rsid w:val="00BF7530"/>
    <w:rsid w:val="00BF75A8"/>
    <w:rsid w:val="00BF76EB"/>
    <w:rsid w:val="00BF7C5E"/>
    <w:rsid w:val="00BF7EB3"/>
    <w:rsid w:val="00BF7F2B"/>
    <w:rsid w:val="00C003E6"/>
    <w:rsid w:val="00C003F4"/>
    <w:rsid w:val="00C00912"/>
    <w:rsid w:val="00C00F46"/>
    <w:rsid w:val="00C0102E"/>
    <w:rsid w:val="00C011DA"/>
    <w:rsid w:val="00C01349"/>
    <w:rsid w:val="00C01430"/>
    <w:rsid w:val="00C01821"/>
    <w:rsid w:val="00C01A24"/>
    <w:rsid w:val="00C01DCD"/>
    <w:rsid w:val="00C02078"/>
    <w:rsid w:val="00C0214F"/>
    <w:rsid w:val="00C0235B"/>
    <w:rsid w:val="00C024BE"/>
    <w:rsid w:val="00C02772"/>
    <w:rsid w:val="00C02B46"/>
    <w:rsid w:val="00C02D77"/>
    <w:rsid w:val="00C02D78"/>
    <w:rsid w:val="00C02F53"/>
    <w:rsid w:val="00C02FA1"/>
    <w:rsid w:val="00C031A4"/>
    <w:rsid w:val="00C0331E"/>
    <w:rsid w:val="00C035F6"/>
    <w:rsid w:val="00C037F9"/>
    <w:rsid w:val="00C03973"/>
    <w:rsid w:val="00C03B93"/>
    <w:rsid w:val="00C03CE8"/>
    <w:rsid w:val="00C03D49"/>
    <w:rsid w:val="00C03DB3"/>
    <w:rsid w:val="00C040CA"/>
    <w:rsid w:val="00C04217"/>
    <w:rsid w:val="00C04267"/>
    <w:rsid w:val="00C04981"/>
    <w:rsid w:val="00C04C1E"/>
    <w:rsid w:val="00C04C59"/>
    <w:rsid w:val="00C04E3B"/>
    <w:rsid w:val="00C051B3"/>
    <w:rsid w:val="00C051F2"/>
    <w:rsid w:val="00C052BF"/>
    <w:rsid w:val="00C05723"/>
    <w:rsid w:val="00C0576B"/>
    <w:rsid w:val="00C05874"/>
    <w:rsid w:val="00C05A6C"/>
    <w:rsid w:val="00C06344"/>
    <w:rsid w:val="00C0637A"/>
    <w:rsid w:val="00C0664E"/>
    <w:rsid w:val="00C067AD"/>
    <w:rsid w:val="00C06829"/>
    <w:rsid w:val="00C06934"/>
    <w:rsid w:val="00C06B61"/>
    <w:rsid w:val="00C07211"/>
    <w:rsid w:val="00C0753E"/>
    <w:rsid w:val="00C0789B"/>
    <w:rsid w:val="00C078A2"/>
    <w:rsid w:val="00C07D04"/>
    <w:rsid w:val="00C07D08"/>
    <w:rsid w:val="00C07DFA"/>
    <w:rsid w:val="00C07E76"/>
    <w:rsid w:val="00C100B2"/>
    <w:rsid w:val="00C101A6"/>
    <w:rsid w:val="00C10203"/>
    <w:rsid w:val="00C102C9"/>
    <w:rsid w:val="00C10511"/>
    <w:rsid w:val="00C1073F"/>
    <w:rsid w:val="00C1118B"/>
    <w:rsid w:val="00C111F6"/>
    <w:rsid w:val="00C116E0"/>
    <w:rsid w:val="00C11853"/>
    <w:rsid w:val="00C118D0"/>
    <w:rsid w:val="00C118FB"/>
    <w:rsid w:val="00C11BC0"/>
    <w:rsid w:val="00C11C34"/>
    <w:rsid w:val="00C11C65"/>
    <w:rsid w:val="00C11D06"/>
    <w:rsid w:val="00C121B6"/>
    <w:rsid w:val="00C12237"/>
    <w:rsid w:val="00C12301"/>
    <w:rsid w:val="00C1235A"/>
    <w:rsid w:val="00C12462"/>
    <w:rsid w:val="00C12582"/>
    <w:rsid w:val="00C12A86"/>
    <w:rsid w:val="00C12B0A"/>
    <w:rsid w:val="00C137A1"/>
    <w:rsid w:val="00C13986"/>
    <w:rsid w:val="00C13A1C"/>
    <w:rsid w:val="00C13B75"/>
    <w:rsid w:val="00C13C63"/>
    <w:rsid w:val="00C13F66"/>
    <w:rsid w:val="00C13FD5"/>
    <w:rsid w:val="00C14292"/>
    <w:rsid w:val="00C14533"/>
    <w:rsid w:val="00C14F3A"/>
    <w:rsid w:val="00C150FE"/>
    <w:rsid w:val="00C159DF"/>
    <w:rsid w:val="00C159F7"/>
    <w:rsid w:val="00C15AE9"/>
    <w:rsid w:val="00C15E23"/>
    <w:rsid w:val="00C15E5B"/>
    <w:rsid w:val="00C15FF7"/>
    <w:rsid w:val="00C1612D"/>
    <w:rsid w:val="00C16438"/>
    <w:rsid w:val="00C16576"/>
    <w:rsid w:val="00C1659F"/>
    <w:rsid w:val="00C165A1"/>
    <w:rsid w:val="00C16625"/>
    <w:rsid w:val="00C16A86"/>
    <w:rsid w:val="00C16AC2"/>
    <w:rsid w:val="00C16BD0"/>
    <w:rsid w:val="00C1702F"/>
    <w:rsid w:val="00C1705C"/>
    <w:rsid w:val="00C1729C"/>
    <w:rsid w:val="00C172ED"/>
    <w:rsid w:val="00C175C1"/>
    <w:rsid w:val="00C17621"/>
    <w:rsid w:val="00C17726"/>
    <w:rsid w:val="00C17846"/>
    <w:rsid w:val="00C17C9C"/>
    <w:rsid w:val="00C17F5E"/>
    <w:rsid w:val="00C200DE"/>
    <w:rsid w:val="00C201B7"/>
    <w:rsid w:val="00C2095C"/>
    <w:rsid w:val="00C209D5"/>
    <w:rsid w:val="00C20A88"/>
    <w:rsid w:val="00C20B8E"/>
    <w:rsid w:val="00C20EB8"/>
    <w:rsid w:val="00C2133F"/>
    <w:rsid w:val="00C2188A"/>
    <w:rsid w:val="00C2191C"/>
    <w:rsid w:val="00C21F17"/>
    <w:rsid w:val="00C222C8"/>
    <w:rsid w:val="00C228DE"/>
    <w:rsid w:val="00C234E0"/>
    <w:rsid w:val="00C23729"/>
    <w:rsid w:val="00C23828"/>
    <w:rsid w:val="00C23DF2"/>
    <w:rsid w:val="00C23FE4"/>
    <w:rsid w:val="00C24388"/>
    <w:rsid w:val="00C245F3"/>
    <w:rsid w:val="00C24656"/>
    <w:rsid w:val="00C24683"/>
    <w:rsid w:val="00C247D8"/>
    <w:rsid w:val="00C2490A"/>
    <w:rsid w:val="00C24BF5"/>
    <w:rsid w:val="00C2529D"/>
    <w:rsid w:val="00C2538A"/>
    <w:rsid w:val="00C25493"/>
    <w:rsid w:val="00C2562F"/>
    <w:rsid w:val="00C25676"/>
    <w:rsid w:val="00C25688"/>
    <w:rsid w:val="00C256C2"/>
    <w:rsid w:val="00C25923"/>
    <w:rsid w:val="00C2597A"/>
    <w:rsid w:val="00C25A62"/>
    <w:rsid w:val="00C25A8F"/>
    <w:rsid w:val="00C25E4E"/>
    <w:rsid w:val="00C25E6D"/>
    <w:rsid w:val="00C25F09"/>
    <w:rsid w:val="00C262F5"/>
    <w:rsid w:val="00C2643B"/>
    <w:rsid w:val="00C26698"/>
    <w:rsid w:val="00C26755"/>
    <w:rsid w:val="00C267A0"/>
    <w:rsid w:val="00C26C34"/>
    <w:rsid w:val="00C26C95"/>
    <w:rsid w:val="00C26E87"/>
    <w:rsid w:val="00C27113"/>
    <w:rsid w:val="00C2714C"/>
    <w:rsid w:val="00C2762B"/>
    <w:rsid w:val="00C27C3A"/>
    <w:rsid w:val="00C27EF4"/>
    <w:rsid w:val="00C29965"/>
    <w:rsid w:val="00C300CD"/>
    <w:rsid w:val="00C301CF"/>
    <w:rsid w:val="00C30233"/>
    <w:rsid w:val="00C30297"/>
    <w:rsid w:val="00C30412"/>
    <w:rsid w:val="00C304AA"/>
    <w:rsid w:val="00C30926"/>
    <w:rsid w:val="00C3097E"/>
    <w:rsid w:val="00C30B35"/>
    <w:rsid w:val="00C30D53"/>
    <w:rsid w:val="00C312E4"/>
    <w:rsid w:val="00C3133D"/>
    <w:rsid w:val="00C3136A"/>
    <w:rsid w:val="00C314F3"/>
    <w:rsid w:val="00C31570"/>
    <w:rsid w:val="00C3189A"/>
    <w:rsid w:val="00C318C8"/>
    <w:rsid w:val="00C31DB0"/>
    <w:rsid w:val="00C321F0"/>
    <w:rsid w:val="00C3225A"/>
    <w:rsid w:val="00C32618"/>
    <w:rsid w:val="00C32840"/>
    <w:rsid w:val="00C328B1"/>
    <w:rsid w:val="00C32954"/>
    <w:rsid w:val="00C32B6B"/>
    <w:rsid w:val="00C32D6F"/>
    <w:rsid w:val="00C32EDA"/>
    <w:rsid w:val="00C33049"/>
    <w:rsid w:val="00C33228"/>
    <w:rsid w:val="00C339A4"/>
    <w:rsid w:val="00C33DAC"/>
    <w:rsid w:val="00C33E27"/>
    <w:rsid w:val="00C33FC7"/>
    <w:rsid w:val="00C34082"/>
    <w:rsid w:val="00C340BF"/>
    <w:rsid w:val="00C341E2"/>
    <w:rsid w:val="00C34442"/>
    <w:rsid w:val="00C3484B"/>
    <w:rsid w:val="00C34A57"/>
    <w:rsid w:val="00C34AE5"/>
    <w:rsid w:val="00C34D90"/>
    <w:rsid w:val="00C34EDB"/>
    <w:rsid w:val="00C34FEE"/>
    <w:rsid w:val="00C35033"/>
    <w:rsid w:val="00C3512C"/>
    <w:rsid w:val="00C359CB"/>
    <w:rsid w:val="00C35C9F"/>
    <w:rsid w:val="00C35D31"/>
    <w:rsid w:val="00C36087"/>
    <w:rsid w:val="00C36101"/>
    <w:rsid w:val="00C3621D"/>
    <w:rsid w:val="00C362BB"/>
    <w:rsid w:val="00C3685F"/>
    <w:rsid w:val="00C369B6"/>
    <w:rsid w:val="00C36F67"/>
    <w:rsid w:val="00C37337"/>
    <w:rsid w:val="00C373F8"/>
    <w:rsid w:val="00C3788D"/>
    <w:rsid w:val="00C378CC"/>
    <w:rsid w:val="00C37AE6"/>
    <w:rsid w:val="00C37B34"/>
    <w:rsid w:val="00C37DFB"/>
    <w:rsid w:val="00C37F17"/>
    <w:rsid w:val="00C400C4"/>
    <w:rsid w:val="00C401E4"/>
    <w:rsid w:val="00C407B3"/>
    <w:rsid w:val="00C4092B"/>
    <w:rsid w:val="00C40A05"/>
    <w:rsid w:val="00C40A97"/>
    <w:rsid w:val="00C40D75"/>
    <w:rsid w:val="00C40E87"/>
    <w:rsid w:val="00C41316"/>
    <w:rsid w:val="00C413D0"/>
    <w:rsid w:val="00C4140C"/>
    <w:rsid w:val="00C41498"/>
    <w:rsid w:val="00C41576"/>
    <w:rsid w:val="00C41857"/>
    <w:rsid w:val="00C41BF2"/>
    <w:rsid w:val="00C41CCD"/>
    <w:rsid w:val="00C41EF8"/>
    <w:rsid w:val="00C4201D"/>
    <w:rsid w:val="00C422B5"/>
    <w:rsid w:val="00C4248A"/>
    <w:rsid w:val="00C4286F"/>
    <w:rsid w:val="00C42AD0"/>
    <w:rsid w:val="00C42ED7"/>
    <w:rsid w:val="00C43146"/>
    <w:rsid w:val="00C43799"/>
    <w:rsid w:val="00C43B25"/>
    <w:rsid w:val="00C44104"/>
    <w:rsid w:val="00C4463C"/>
    <w:rsid w:val="00C44DAA"/>
    <w:rsid w:val="00C451ED"/>
    <w:rsid w:val="00C45349"/>
    <w:rsid w:val="00C45560"/>
    <w:rsid w:val="00C45590"/>
    <w:rsid w:val="00C45797"/>
    <w:rsid w:val="00C45AD2"/>
    <w:rsid w:val="00C45B44"/>
    <w:rsid w:val="00C45D15"/>
    <w:rsid w:val="00C45E17"/>
    <w:rsid w:val="00C45E89"/>
    <w:rsid w:val="00C45EB0"/>
    <w:rsid w:val="00C464C4"/>
    <w:rsid w:val="00C46660"/>
    <w:rsid w:val="00C46735"/>
    <w:rsid w:val="00C46A99"/>
    <w:rsid w:val="00C46D50"/>
    <w:rsid w:val="00C46D73"/>
    <w:rsid w:val="00C46F0F"/>
    <w:rsid w:val="00C47143"/>
    <w:rsid w:val="00C47237"/>
    <w:rsid w:val="00C47238"/>
    <w:rsid w:val="00C4723B"/>
    <w:rsid w:val="00C473FE"/>
    <w:rsid w:val="00C4741D"/>
    <w:rsid w:val="00C47811"/>
    <w:rsid w:val="00C47971"/>
    <w:rsid w:val="00C479E6"/>
    <w:rsid w:val="00C47A4D"/>
    <w:rsid w:val="00C47C1B"/>
    <w:rsid w:val="00C47CD3"/>
    <w:rsid w:val="00C47DD3"/>
    <w:rsid w:val="00C4DAB0"/>
    <w:rsid w:val="00C5019A"/>
    <w:rsid w:val="00C5042A"/>
    <w:rsid w:val="00C50A89"/>
    <w:rsid w:val="00C50DBA"/>
    <w:rsid w:val="00C50DBE"/>
    <w:rsid w:val="00C50F2D"/>
    <w:rsid w:val="00C50F8F"/>
    <w:rsid w:val="00C514B6"/>
    <w:rsid w:val="00C514B7"/>
    <w:rsid w:val="00C518CC"/>
    <w:rsid w:val="00C51A84"/>
    <w:rsid w:val="00C52949"/>
    <w:rsid w:val="00C52979"/>
    <w:rsid w:val="00C52D59"/>
    <w:rsid w:val="00C53364"/>
    <w:rsid w:val="00C53385"/>
    <w:rsid w:val="00C53578"/>
    <w:rsid w:val="00C53CA4"/>
    <w:rsid w:val="00C53D10"/>
    <w:rsid w:val="00C53DDB"/>
    <w:rsid w:val="00C5418E"/>
    <w:rsid w:val="00C5484B"/>
    <w:rsid w:val="00C54C1E"/>
    <w:rsid w:val="00C54C7B"/>
    <w:rsid w:val="00C54CCF"/>
    <w:rsid w:val="00C54D15"/>
    <w:rsid w:val="00C54D9C"/>
    <w:rsid w:val="00C54E70"/>
    <w:rsid w:val="00C5518F"/>
    <w:rsid w:val="00C555C2"/>
    <w:rsid w:val="00C5578C"/>
    <w:rsid w:val="00C55DC2"/>
    <w:rsid w:val="00C55F75"/>
    <w:rsid w:val="00C561B1"/>
    <w:rsid w:val="00C562C5"/>
    <w:rsid w:val="00C5653C"/>
    <w:rsid w:val="00C5661B"/>
    <w:rsid w:val="00C56709"/>
    <w:rsid w:val="00C568C4"/>
    <w:rsid w:val="00C56DBA"/>
    <w:rsid w:val="00C56EF4"/>
    <w:rsid w:val="00C56F9D"/>
    <w:rsid w:val="00C572DB"/>
    <w:rsid w:val="00C57462"/>
    <w:rsid w:val="00C60072"/>
    <w:rsid w:val="00C60137"/>
    <w:rsid w:val="00C60464"/>
    <w:rsid w:val="00C60542"/>
    <w:rsid w:val="00C608AB"/>
    <w:rsid w:val="00C60A86"/>
    <w:rsid w:val="00C60B6B"/>
    <w:rsid w:val="00C61166"/>
    <w:rsid w:val="00C61325"/>
    <w:rsid w:val="00C61380"/>
    <w:rsid w:val="00C613C2"/>
    <w:rsid w:val="00C61933"/>
    <w:rsid w:val="00C61A66"/>
    <w:rsid w:val="00C61D0B"/>
    <w:rsid w:val="00C61FA6"/>
    <w:rsid w:val="00C61FAC"/>
    <w:rsid w:val="00C6207E"/>
    <w:rsid w:val="00C62161"/>
    <w:rsid w:val="00C624C8"/>
    <w:rsid w:val="00C62506"/>
    <w:rsid w:val="00C62821"/>
    <w:rsid w:val="00C628FE"/>
    <w:rsid w:val="00C62AFF"/>
    <w:rsid w:val="00C62B1F"/>
    <w:rsid w:val="00C62F52"/>
    <w:rsid w:val="00C6305C"/>
    <w:rsid w:val="00C633D8"/>
    <w:rsid w:val="00C635E9"/>
    <w:rsid w:val="00C636AF"/>
    <w:rsid w:val="00C636E7"/>
    <w:rsid w:val="00C63A33"/>
    <w:rsid w:val="00C63B18"/>
    <w:rsid w:val="00C63D3A"/>
    <w:rsid w:val="00C63DC4"/>
    <w:rsid w:val="00C63E22"/>
    <w:rsid w:val="00C63EE1"/>
    <w:rsid w:val="00C643E6"/>
    <w:rsid w:val="00C64632"/>
    <w:rsid w:val="00C646A5"/>
    <w:rsid w:val="00C6486A"/>
    <w:rsid w:val="00C648D4"/>
    <w:rsid w:val="00C649A7"/>
    <w:rsid w:val="00C64E31"/>
    <w:rsid w:val="00C64E32"/>
    <w:rsid w:val="00C65271"/>
    <w:rsid w:val="00C6533E"/>
    <w:rsid w:val="00C653CB"/>
    <w:rsid w:val="00C6551A"/>
    <w:rsid w:val="00C6573C"/>
    <w:rsid w:val="00C65766"/>
    <w:rsid w:val="00C658D0"/>
    <w:rsid w:val="00C6606B"/>
    <w:rsid w:val="00C66158"/>
    <w:rsid w:val="00C66290"/>
    <w:rsid w:val="00C663B3"/>
    <w:rsid w:val="00C663ED"/>
    <w:rsid w:val="00C6660D"/>
    <w:rsid w:val="00C66774"/>
    <w:rsid w:val="00C66BC1"/>
    <w:rsid w:val="00C66C28"/>
    <w:rsid w:val="00C66CC8"/>
    <w:rsid w:val="00C66FDC"/>
    <w:rsid w:val="00C6708D"/>
    <w:rsid w:val="00C67AF3"/>
    <w:rsid w:val="00C67AF4"/>
    <w:rsid w:val="00C67F4F"/>
    <w:rsid w:val="00C7002D"/>
    <w:rsid w:val="00C70301"/>
    <w:rsid w:val="00C703D8"/>
    <w:rsid w:val="00C70627"/>
    <w:rsid w:val="00C70687"/>
    <w:rsid w:val="00C707A1"/>
    <w:rsid w:val="00C707C4"/>
    <w:rsid w:val="00C708B7"/>
    <w:rsid w:val="00C70976"/>
    <w:rsid w:val="00C70EAE"/>
    <w:rsid w:val="00C70EC5"/>
    <w:rsid w:val="00C7100B"/>
    <w:rsid w:val="00C71012"/>
    <w:rsid w:val="00C71064"/>
    <w:rsid w:val="00C71260"/>
    <w:rsid w:val="00C72132"/>
    <w:rsid w:val="00C72341"/>
    <w:rsid w:val="00C72693"/>
    <w:rsid w:val="00C72DF9"/>
    <w:rsid w:val="00C72EC4"/>
    <w:rsid w:val="00C7317F"/>
    <w:rsid w:val="00C7319D"/>
    <w:rsid w:val="00C732CA"/>
    <w:rsid w:val="00C7344D"/>
    <w:rsid w:val="00C73715"/>
    <w:rsid w:val="00C7390D"/>
    <w:rsid w:val="00C73CA0"/>
    <w:rsid w:val="00C73EF4"/>
    <w:rsid w:val="00C73F9C"/>
    <w:rsid w:val="00C74017"/>
    <w:rsid w:val="00C7403A"/>
    <w:rsid w:val="00C74164"/>
    <w:rsid w:val="00C747DF"/>
    <w:rsid w:val="00C748FE"/>
    <w:rsid w:val="00C74ACB"/>
    <w:rsid w:val="00C74DAA"/>
    <w:rsid w:val="00C74F60"/>
    <w:rsid w:val="00C752BB"/>
    <w:rsid w:val="00C7566B"/>
    <w:rsid w:val="00C75848"/>
    <w:rsid w:val="00C75C74"/>
    <w:rsid w:val="00C75ED7"/>
    <w:rsid w:val="00C76139"/>
    <w:rsid w:val="00C763B7"/>
    <w:rsid w:val="00C7652D"/>
    <w:rsid w:val="00C7680A"/>
    <w:rsid w:val="00C7688A"/>
    <w:rsid w:val="00C769AC"/>
    <w:rsid w:val="00C76C0D"/>
    <w:rsid w:val="00C76C20"/>
    <w:rsid w:val="00C77370"/>
    <w:rsid w:val="00C774C8"/>
    <w:rsid w:val="00C77744"/>
    <w:rsid w:val="00C779FA"/>
    <w:rsid w:val="00C77DCA"/>
    <w:rsid w:val="00C77F72"/>
    <w:rsid w:val="00C7FCBB"/>
    <w:rsid w:val="00C80003"/>
    <w:rsid w:val="00C80188"/>
    <w:rsid w:val="00C801B3"/>
    <w:rsid w:val="00C802EF"/>
    <w:rsid w:val="00C80689"/>
    <w:rsid w:val="00C808E9"/>
    <w:rsid w:val="00C808FE"/>
    <w:rsid w:val="00C8091B"/>
    <w:rsid w:val="00C8097F"/>
    <w:rsid w:val="00C809A5"/>
    <w:rsid w:val="00C80AB8"/>
    <w:rsid w:val="00C80ADB"/>
    <w:rsid w:val="00C80B8C"/>
    <w:rsid w:val="00C80C3D"/>
    <w:rsid w:val="00C80FE8"/>
    <w:rsid w:val="00C81155"/>
    <w:rsid w:val="00C81228"/>
    <w:rsid w:val="00C812AA"/>
    <w:rsid w:val="00C813DD"/>
    <w:rsid w:val="00C81693"/>
    <w:rsid w:val="00C81EBD"/>
    <w:rsid w:val="00C82098"/>
    <w:rsid w:val="00C822B4"/>
    <w:rsid w:val="00C82341"/>
    <w:rsid w:val="00C82479"/>
    <w:rsid w:val="00C82596"/>
    <w:rsid w:val="00C82616"/>
    <w:rsid w:val="00C82D14"/>
    <w:rsid w:val="00C82DB1"/>
    <w:rsid w:val="00C82EB0"/>
    <w:rsid w:val="00C832DA"/>
    <w:rsid w:val="00C83304"/>
    <w:rsid w:val="00C833D3"/>
    <w:rsid w:val="00C83498"/>
    <w:rsid w:val="00C834F5"/>
    <w:rsid w:val="00C836B3"/>
    <w:rsid w:val="00C83A98"/>
    <w:rsid w:val="00C83D32"/>
    <w:rsid w:val="00C83EE6"/>
    <w:rsid w:val="00C83F5E"/>
    <w:rsid w:val="00C84191"/>
    <w:rsid w:val="00C841F0"/>
    <w:rsid w:val="00C84205"/>
    <w:rsid w:val="00C8428E"/>
    <w:rsid w:val="00C8443E"/>
    <w:rsid w:val="00C84547"/>
    <w:rsid w:val="00C84551"/>
    <w:rsid w:val="00C8488C"/>
    <w:rsid w:val="00C84B7B"/>
    <w:rsid w:val="00C84C48"/>
    <w:rsid w:val="00C8522C"/>
    <w:rsid w:val="00C854F4"/>
    <w:rsid w:val="00C8580F"/>
    <w:rsid w:val="00C85813"/>
    <w:rsid w:val="00C85A56"/>
    <w:rsid w:val="00C85AC2"/>
    <w:rsid w:val="00C86B7F"/>
    <w:rsid w:val="00C86DD4"/>
    <w:rsid w:val="00C86EB1"/>
    <w:rsid w:val="00C875BD"/>
    <w:rsid w:val="00C876C8"/>
    <w:rsid w:val="00C876FC"/>
    <w:rsid w:val="00C8793B"/>
    <w:rsid w:val="00C87C60"/>
    <w:rsid w:val="00C87DFD"/>
    <w:rsid w:val="00C90B74"/>
    <w:rsid w:val="00C90BE5"/>
    <w:rsid w:val="00C90BEB"/>
    <w:rsid w:val="00C90DA4"/>
    <w:rsid w:val="00C90E83"/>
    <w:rsid w:val="00C90E8B"/>
    <w:rsid w:val="00C9118D"/>
    <w:rsid w:val="00C911E1"/>
    <w:rsid w:val="00C91579"/>
    <w:rsid w:val="00C9157D"/>
    <w:rsid w:val="00C918C2"/>
    <w:rsid w:val="00C918E6"/>
    <w:rsid w:val="00C919B9"/>
    <w:rsid w:val="00C91C66"/>
    <w:rsid w:val="00C920A0"/>
    <w:rsid w:val="00C922FB"/>
    <w:rsid w:val="00C92719"/>
    <w:rsid w:val="00C929BD"/>
    <w:rsid w:val="00C92B0B"/>
    <w:rsid w:val="00C92D18"/>
    <w:rsid w:val="00C92DAA"/>
    <w:rsid w:val="00C93094"/>
    <w:rsid w:val="00C933D9"/>
    <w:rsid w:val="00C93697"/>
    <w:rsid w:val="00C93914"/>
    <w:rsid w:val="00C93AA7"/>
    <w:rsid w:val="00C93B6B"/>
    <w:rsid w:val="00C93B6E"/>
    <w:rsid w:val="00C93BDD"/>
    <w:rsid w:val="00C93CE1"/>
    <w:rsid w:val="00C94057"/>
    <w:rsid w:val="00C94574"/>
    <w:rsid w:val="00C9490C"/>
    <w:rsid w:val="00C949B4"/>
    <w:rsid w:val="00C94AB7"/>
    <w:rsid w:val="00C94E59"/>
    <w:rsid w:val="00C94F58"/>
    <w:rsid w:val="00C94F9A"/>
    <w:rsid w:val="00C952E8"/>
    <w:rsid w:val="00C95394"/>
    <w:rsid w:val="00C955F9"/>
    <w:rsid w:val="00C9575F"/>
    <w:rsid w:val="00C95A1B"/>
    <w:rsid w:val="00C95AE0"/>
    <w:rsid w:val="00C95B58"/>
    <w:rsid w:val="00C95B71"/>
    <w:rsid w:val="00C96695"/>
    <w:rsid w:val="00C96A65"/>
    <w:rsid w:val="00C96A66"/>
    <w:rsid w:val="00C9707B"/>
    <w:rsid w:val="00C972BE"/>
    <w:rsid w:val="00C972EC"/>
    <w:rsid w:val="00C975AA"/>
    <w:rsid w:val="00C978CE"/>
    <w:rsid w:val="00C97A4A"/>
    <w:rsid w:val="00C97B38"/>
    <w:rsid w:val="00CA02BA"/>
    <w:rsid w:val="00CA05EF"/>
    <w:rsid w:val="00CA072C"/>
    <w:rsid w:val="00CA078A"/>
    <w:rsid w:val="00CA0934"/>
    <w:rsid w:val="00CA10DF"/>
    <w:rsid w:val="00CA10E0"/>
    <w:rsid w:val="00CA1371"/>
    <w:rsid w:val="00CA13A5"/>
    <w:rsid w:val="00CA1402"/>
    <w:rsid w:val="00CA1546"/>
    <w:rsid w:val="00CA1882"/>
    <w:rsid w:val="00CA18BE"/>
    <w:rsid w:val="00CA1AC1"/>
    <w:rsid w:val="00CA1AE2"/>
    <w:rsid w:val="00CA1ED2"/>
    <w:rsid w:val="00CA2009"/>
    <w:rsid w:val="00CA2456"/>
    <w:rsid w:val="00CA261A"/>
    <w:rsid w:val="00CA2776"/>
    <w:rsid w:val="00CA2C45"/>
    <w:rsid w:val="00CA2DC5"/>
    <w:rsid w:val="00CA3162"/>
    <w:rsid w:val="00CA33A6"/>
    <w:rsid w:val="00CA3A0B"/>
    <w:rsid w:val="00CA3A47"/>
    <w:rsid w:val="00CA429F"/>
    <w:rsid w:val="00CA4831"/>
    <w:rsid w:val="00CA48BB"/>
    <w:rsid w:val="00CA49CC"/>
    <w:rsid w:val="00CA4C3D"/>
    <w:rsid w:val="00CA4E87"/>
    <w:rsid w:val="00CA4F48"/>
    <w:rsid w:val="00CA5024"/>
    <w:rsid w:val="00CA553D"/>
    <w:rsid w:val="00CA5965"/>
    <w:rsid w:val="00CA6465"/>
    <w:rsid w:val="00CA6503"/>
    <w:rsid w:val="00CA6767"/>
    <w:rsid w:val="00CA6784"/>
    <w:rsid w:val="00CA67BF"/>
    <w:rsid w:val="00CA6A4F"/>
    <w:rsid w:val="00CA6CD6"/>
    <w:rsid w:val="00CA700C"/>
    <w:rsid w:val="00CA725C"/>
    <w:rsid w:val="00CA72E6"/>
    <w:rsid w:val="00CA77D9"/>
    <w:rsid w:val="00CA78D7"/>
    <w:rsid w:val="00CA7C42"/>
    <w:rsid w:val="00CB003B"/>
    <w:rsid w:val="00CB0643"/>
    <w:rsid w:val="00CB0B17"/>
    <w:rsid w:val="00CB0DFB"/>
    <w:rsid w:val="00CB10A5"/>
    <w:rsid w:val="00CB124C"/>
    <w:rsid w:val="00CB1A00"/>
    <w:rsid w:val="00CB1AC2"/>
    <w:rsid w:val="00CB1CF3"/>
    <w:rsid w:val="00CB1FD7"/>
    <w:rsid w:val="00CB20E9"/>
    <w:rsid w:val="00CB2573"/>
    <w:rsid w:val="00CB28AD"/>
    <w:rsid w:val="00CB28DA"/>
    <w:rsid w:val="00CB2937"/>
    <w:rsid w:val="00CB2B2A"/>
    <w:rsid w:val="00CB3289"/>
    <w:rsid w:val="00CB345C"/>
    <w:rsid w:val="00CB35DA"/>
    <w:rsid w:val="00CB43A0"/>
    <w:rsid w:val="00CB43D7"/>
    <w:rsid w:val="00CB4780"/>
    <w:rsid w:val="00CB4827"/>
    <w:rsid w:val="00CB49FC"/>
    <w:rsid w:val="00CB507F"/>
    <w:rsid w:val="00CB531C"/>
    <w:rsid w:val="00CB5754"/>
    <w:rsid w:val="00CB5881"/>
    <w:rsid w:val="00CB597D"/>
    <w:rsid w:val="00CB5AD1"/>
    <w:rsid w:val="00CB5AEB"/>
    <w:rsid w:val="00CB5F97"/>
    <w:rsid w:val="00CB6024"/>
    <w:rsid w:val="00CB6047"/>
    <w:rsid w:val="00CB64EE"/>
    <w:rsid w:val="00CB66D1"/>
    <w:rsid w:val="00CB6AD0"/>
    <w:rsid w:val="00CB6DFC"/>
    <w:rsid w:val="00CB7046"/>
    <w:rsid w:val="00CB74D6"/>
    <w:rsid w:val="00CB76F2"/>
    <w:rsid w:val="00CB77CD"/>
    <w:rsid w:val="00CB77E0"/>
    <w:rsid w:val="00CB7C76"/>
    <w:rsid w:val="00CC013F"/>
    <w:rsid w:val="00CC03A4"/>
    <w:rsid w:val="00CC051D"/>
    <w:rsid w:val="00CC0749"/>
    <w:rsid w:val="00CC0BB8"/>
    <w:rsid w:val="00CC0D63"/>
    <w:rsid w:val="00CC0F7D"/>
    <w:rsid w:val="00CC11D0"/>
    <w:rsid w:val="00CC1223"/>
    <w:rsid w:val="00CC13CD"/>
    <w:rsid w:val="00CC182F"/>
    <w:rsid w:val="00CC1DA2"/>
    <w:rsid w:val="00CC20C2"/>
    <w:rsid w:val="00CC2927"/>
    <w:rsid w:val="00CC29BE"/>
    <w:rsid w:val="00CC2A4A"/>
    <w:rsid w:val="00CC2E88"/>
    <w:rsid w:val="00CC2E91"/>
    <w:rsid w:val="00CC31FE"/>
    <w:rsid w:val="00CC3385"/>
    <w:rsid w:val="00CC348E"/>
    <w:rsid w:val="00CC35A8"/>
    <w:rsid w:val="00CC36A1"/>
    <w:rsid w:val="00CC3A84"/>
    <w:rsid w:val="00CC3AF8"/>
    <w:rsid w:val="00CC3B09"/>
    <w:rsid w:val="00CC3B0C"/>
    <w:rsid w:val="00CC3BBD"/>
    <w:rsid w:val="00CC3D17"/>
    <w:rsid w:val="00CC3DCB"/>
    <w:rsid w:val="00CC3FF2"/>
    <w:rsid w:val="00CC4114"/>
    <w:rsid w:val="00CC41FD"/>
    <w:rsid w:val="00CC43C9"/>
    <w:rsid w:val="00CC43EA"/>
    <w:rsid w:val="00CC49A6"/>
    <w:rsid w:val="00CC4B01"/>
    <w:rsid w:val="00CC4B57"/>
    <w:rsid w:val="00CC4C8A"/>
    <w:rsid w:val="00CC4CA2"/>
    <w:rsid w:val="00CC4D78"/>
    <w:rsid w:val="00CC5141"/>
    <w:rsid w:val="00CC54E6"/>
    <w:rsid w:val="00CC5633"/>
    <w:rsid w:val="00CC56C3"/>
    <w:rsid w:val="00CC57CE"/>
    <w:rsid w:val="00CC5969"/>
    <w:rsid w:val="00CC5A1D"/>
    <w:rsid w:val="00CC5B79"/>
    <w:rsid w:val="00CC5D06"/>
    <w:rsid w:val="00CC6280"/>
    <w:rsid w:val="00CC64DD"/>
    <w:rsid w:val="00CC6C6F"/>
    <w:rsid w:val="00CC6CCA"/>
    <w:rsid w:val="00CC6E4C"/>
    <w:rsid w:val="00CC6E81"/>
    <w:rsid w:val="00CC71C0"/>
    <w:rsid w:val="00CC71C2"/>
    <w:rsid w:val="00CC71E8"/>
    <w:rsid w:val="00CC744E"/>
    <w:rsid w:val="00CC75D1"/>
    <w:rsid w:val="00CC7717"/>
    <w:rsid w:val="00CC7B7C"/>
    <w:rsid w:val="00CC7C5B"/>
    <w:rsid w:val="00CC7D16"/>
    <w:rsid w:val="00CD03D6"/>
    <w:rsid w:val="00CD08FE"/>
    <w:rsid w:val="00CD0C5D"/>
    <w:rsid w:val="00CD0E58"/>
    <w:rsid w:val="00CD10AB"/>
    <w:rsid w:val="00CD1171"/>
    <w:rsid w:val="00CD1555"/>
    <w:rsid w:val="00CD1702"/>
    <w:rsid w:val="00CD1A52"/>
    <w:rsid w:val="00CD1C40"/>
    <w:rsid w:val="00CD1E80"/>
    <w:rsid w:val="00CD1EB3"/>
    <w:rsid w:val="00CD25B6"/>
    <w:rsid w:val="00CD27B6"/>
    <w:rsid w:val="00CD27FC"/>
    <w:rsid w:val="00CD2BD5"/>
    <w:rsid w:val="00CD2E73"/>
    <w:rsid w:val="00CD2F37"/>
    <w:rsid w:val="00CD3063"/>
    <w:rsid w:val="00CD31C6"/>
    <w:rsid w:val="00CD324B"/>
    <w:rsid w:val="00CD3274"/>
    <w:rsid w:val="00CD3699"/>
    <w:rsid w:val="00CD3DB9"/>
    <w:rsid w:val="00CD40BC"/>
    <w:rsid w:val="00CD4A66"/>
    <w:rsid w:val="00CD4B1D"/>
    <w:rsid w:val="00CD5050"/>
    <w:rsid w:val="00CD5088"/>
    <w:rsid w:val="00CD51BB"/>
    <w:rsid w:val="00CD51C3"/>
    <w:rsid w:val="00CD54CB"/>
    <w:rsid w:val="00CD54E7"/>
    <w:rsid w:val="00CD5A02"/>
    <w:rsid w:val="00CD5C2C"/>
    <w:rsid w:val="00CD5C91"/>
    <w:rsid w:val="00CD6092"/>
    <w:rsid w:val="00CD633E"/>
    <w:rsid w:val="00CD63B2"/>
    <w:rsid w:val="00CD6688"/>
    <w:rsid w:val="00CD66DF"/>
    <w:rsid w:val="00CD6700"/>
    <w:rsid w:val="00CD68E9"/>
    <w:rsid w:val="00CD6905"/>
    <w:rsid w:val="00CD69C9"/>
    <w:rsid w:val="00CD6B12"/>
    <w:rsid w:val="00CD6B44"/>
    <w:rsid w:val="00CD6D4A"/>
    <w:rsid w:val="00CD6F35"/>
    <w:rsid w:val="00CD6F59"/>
    <w:rsid w:val="00CD712F"/>
    <w:rsid w:val="00CD733A"/>
    <w:rsid w:val="00CD73F5"/>
    <w:rsid w:val="00CD78D0"/>
    <w:rsid w:val="00CD79AE"/>
    <w:rsid w:val="00CD7E18"/>
    <w:rsid w:val="00CD7F33"/>
    <w:rsid w:val="00CE01CC"/>
    <w:rsid w:val="00CE03DC"/>
    <w:rsid w:val="00CE0598"/>
    <w:rsid w:val="00CE0805"/>
    <w:rsid w:val="00CE0A47"/>
    <w:rsid w:val="00CE0A65"/>
    <w:rsid w:val="00CE0FED"/>
    <w:rsid w:val="00CE1019"/>
    <w:rsid w:val="00CE1930"/>
    <w:rsid w:val="00CE198D"/>
    <w:rsid w:val="00CE1A25"/>
    <w:rsid w:val="00CE1B24"/>
    <w:rsid w:val="00CE1C36"/>
    <w:rsid w:val="00CE1C44"/>
    <w:rsid w:val="00CE1F51"/>
    <w:rsid w:val="00CE1FB3"/>
    <w:rsid w:val="00CE209D"/>
    <w:rsid w:val="00CE20D8"/>
    <w:rsid w:val="00CE2279"/>
    <w:rsid w:val="00CE28F5"/>
    <w:rsid w:val="00CE2A2D"/>
    <w:rsid w:val="00CE2CD7"/>
    <w:rsid w:val="00CE2D7F"/>
    <w:rsid w:val="00CE2EE2"/>
    <w:rsid w:val="00CE32E9"/>
    <w:rsid w:val="00CE3386"/>
    <w:rsid w:val="00CE34FE"/>
    <w:rsid w:val="00CE3820"/>
    <w:rsid w:val="00CE3A67"/>
    <w:rsid w:val="00CE3E61"/>
    <w:rsid w:val="00CE41B7"/>
    <w:rsid w:val="00CE4213"/>
    <w:rsid w:val="00CE4469"/>
    <w:rsid w:val="00CE4491"/>
    <w:rsid w:val="00CE449F"/>
    <w:rsid w:val="00CE480C"/>
    <w:rsid w:val="00CE4990"/>
    <w:rsid w:val="00CE49AF"/>
    <w:rsid w:val="00CE4A82"/>
    <w:rsid w:val="00CE4D3B"/>
    <w:rsid w:val="00CE4DB8"/>
    <w:rsid w:val="00CE4E97"/>
    <w:rsid w:val="00CE517B"/>
    <w:rsid w:val="00CE5520"/>
    <w:rsid w:val="00CE5C34"/>
    <w:rsid w:val="00CE5FBB"/>
    <w:rsid w:val="00CE60C6"/>
    <w:rsid w:val="00CE64C5"/>
    <w:rsid w:val="00CE6618"/>
    <w:rsid w:val="00CE6918"/>
    <w:rsid w:val="00CE6B94"/>
    <w:rsid w:val="00CE6C90"/>
    <w:rsid w:val="00CE725A"/>
    <w:rsid w:val="00CE7301"/>
    <w:rsid w:val="00CE7589"/>
    <w:rsid w:val="00CE79EF"/>
    <w:rsid w:val="00CE7B4B"/>
    <w:rsid w:val="00CF0427"/>
    <w:rsid w:val="00CF076B"/>
    <w:rsid w:val="00CF0900"/>
    <w:rsid w:val="00CF0AE1"/>
    <w:rsid w:val="00CF0BD2"/>
    <w:rsid w:val="00CF0C9F"/>
    <w:rsid w:val="00CF0EB6"/>
    <w:rsid w:val="00CF13AC"/>
    <w:rsid w:val="00CF1537"/>
    <w:rsid w:val="00CF15BD"/>
    <w:rsid w:val="00CF164D"/>
    <w:rsid w:val="00CF1670"/>
    <w:rsid w:val="00CF19AF"/>
    <w:rsid w:val="00CF1AD8"/>
    <w:rsid w:val="00CF1BD1"/>
    <w:rsid w:val="00CF1C27"/>
    <w:rsid w:val="00CF1DDF"/>
    <w:rsid w:val="00CF1EA0"/>
    <w:rsid w:val="00CF2284"/>
    <w:rsid w:val="00CF23F1"/>
    <w:rsid w:val="00CF246D"/>
    <w:rsid w:val="00CF28AA"/>
    <w:rsid w:val="00CF2B39"/>
    <w:rsid w:val="00CF2B51"/>
    <w:rsid w:val="00CF2D4A"/>
    <w:rsid w:val="00CF3463"/>
    <w:rsid w:val="00CF34E9"/>
    <w:rsid w:val="00CF357C"/>
    <w:rsid w:val="00CF3B8C"/>
    <w:rsid w:val="00CF3D45"/>
    <w:rsid w:val="00CF4022"/>
    <w:rsid w:val="00CF4169"/>
    <w:rsid w:val="00CF42B7"/>
    <w:rsid w:val="00CF439E"/>
    <w:rsid w:val="00CF4576"/>
    <w:rsid w:val="00CF46D3"/>
    <w:rsid w:val="00CF47D0"/>
    <w:rsid w:val="00CF485E"/>
    <w:rsid w:val="00CF4F79"/>
    <w:rsid w:val="00CF5352"/>
    <w:rsid w:val="00CF5464"/>
    <w:rsid w:val="00CF565F"/>
    <w:rsid w:val="00CF592F"/>
    <w:rsid w:val="00CF5BFD"/>
    <w:rsid w:val="00CF5C24"/>
    <w:rsid w:val="00CF5CC7"/>
    <w:rsid w:val="00CF5E6B"/>
    <w:rsid w:val="00CF6330"/>
    <w:rsid w:val="00CF6476"/>
    <w:rsid w:val="00CF649E"/>
    <w:rsid w:val="00CF6821"/>
    <w:rsid w:val="00CF6943"/>
    <w:rsid w:val="00CF69A6"/>
    <w:rsid w:val="00CF6ADD"/>
    <w:rsid w:val="00CF6C75"/>
    <w:rsid w:val="00CF6EEC"/>
    <w:rsid w:val="00CF6EEF"/>
    <w:rsid w:val="00CF6FF5"/>
    <w:rsid w:val="00CF71F1"/>
    <w:rsid w:val="00CF7296"/>
    <w:rsid w:val="00CF72A9"/>
    <w:rsid w:val="00CF74D1"/>
    <w:rsid w:val="00CF751B"/>
    <w:rsid w:val="00CF76BC"/>
    <w:rsid w:val="00CF7922"/>
    <w:rsid w:val="00CF792A"/>
    <w:rsid w:val="00CF7C53"/>
    <w:rsid w:val="00CF7D56"/>
    <w:rsid w:val="00D00016"/>
    <w:rsid w:val="00D00157"/>
    <w:rsid w:val="00D0029D"/>
    <w:rsid w:val="00D005E0"/>
    <w:rsid w:val="00D00ADE"/>
    <w:rsid w:val="00D00B1A"/>
    <w:rsid w:val="00D00DAE"/>
    <w:rsid w:val="00D00F8E"/>
    <w:rsid w:val="00D0137E"/>
    <w:rsid w:val="00D015CD"/>
    <w:rsid w:val="00D01930"/>
    <w:rsid w:val="00D0193D"/>
    <w:rsid w:val="00D019E4"/>
    <w:rsid w:val="00D01CAD"/>
    <w:rsid w:val="00D01FEF"/>
    <w:rsid w:val="00D0200D"/>
    <w:rsid w:val="00D02965"/>
    <w:rsid w:val="00D02A80"/>
    <w:rsid w:val="00D0346D"/>
    <w:rsid w:val="00D0348B"/>
    <w:rsid w:val="00D03574"/>
    <w:rsid w:val="00D0357B"/>
    <w:rsid w:val="00D038D8"/>
    <w:rsid w:val="00D03996"/>
    <w:rsid w:val="00D03B15"/>
    <w:rsid w:val="00D03DDB"/>
    <w:rsid w:val="00D03FF3"/>
    <w:rsid w:val="00D042D0"/>
    <w:rsid w:val="00D0452B"/>
    <w:rsid w:val="00D0453E"/>
    <w:rsid w:val="00D0465E"/>
    <w:rsid w:val="00D04AC0"/>
    <w:rsid w:val="00D04ACD"/>
    <w:rsid w:val="00D04D73"/>
    <w:rsid w:val="00D04F9C"/>
    <w:rsid w:val="00D05795"/>
    <w:rsid w:val="00D05B97"/>
    <w:rsid w:val="00D05DB2"/>
    <w:rsid w:val="00D063E0"/>
    <w:rsid w:val="00D06683"/>
    <w:rsid w:val="00D0697F"/>
    <w:rsid w:val="00D06B50"/>
    <w:rsid w:val="00D06B98"/>
    <w:rsid w:val="00D07126"/>
    <w:rsid w:val="00D07225"/>
    <w:rsid w:val="00D0772B"/>
    <w:rsid w:val="00D07773"/>
    <w:rsid w:val="00D077C7"/>
    <w:rsid w:val="00D10188"/>
    <w:rsid w:val="00D103B7"/>
    <w:rsid w:val="00D10598"/>
    <w:rsid w:val="00D10640"/>
    <w:rsid w:val="00D1073E"/>
    <w:rsid w:val="00D107BB"/>
    <w:rsid w:val="00D10C53"/>
    <w:rsid w:val="00D11123"/>
    <w:rsid w:val="00D111CB"/>
    <w:rsid w:val="00D111D6"/>
    <w:rsid w:val="00D11239"/>
    <w:rsid w:val="00D11418"/>
    <w:rsid w:val="00D114CA"/>
    <w:rsid w:val="00D11B09"/>
    <w:rsid w:val="00D11E82"/>
    <w:rsid w:val="00D121FE"/>
    <w:rsid w:val="00D12224"/>
    <w:rsid w:val="00D122A9"/>
    <w:rsid w:val="00D124FE"/>
    <w:rsid w:val="00D12794"/>
    <w:rsid w:val="00D12833"/>
    <w:rsid w:val="00D12844"/>
    <w:rsid w:val="00D129F7"/>
    <w:rsid w:val="00D12F6B"/>
    <w:rsid w:val="00D13A9B"/>
    <w:rsid w:val="00D13DE9"/>
    <w:rsid w:val="00D13DF1"/>
    <w:rsid w:val="00D14082"/>
    <w:rsid w:val="00D140C7"/>
    <w:rsid w:val="00D142DF"/>
    <w:rsid w:val="00D148C6"/>
    <w:rsid w:val="00D14DBE"/>
    <w:rsid w:val="00D14F0B"/>
    <w:rsid w:val="00D1518C"/>
    <w:rsid w:val="00D1536D"/>
    <w:rsid w:val="00D153B8"/>
    <w:rsid w:val="00D15403"/>
    <w:rsid w:val="00D154E5"/>
    <w:rsid w:val="00D15638"/>
    <w:rsid w:val="00D1567E"/>
    <w:rsid w:val="00D156FC"/>
    <w:rsid w:val="00D159FD"/>
    <w:rsid w:val="00D15B78"/>
    <w:rsid w:val="00D16145"/>
    <w:rsid w:val="00D162A7"/>
    <w:rsid w:val="00D16450"/>
    <w:rsid w:val="00D16497"/>
    <w:rsid w:val="00D166D2"/>
    <w:rsid w:val="00D16ED4"/>
    <w:rsid w:val="00D178BC"/>
    <w:rsid w:val="00D17C10"/>
    <w:rsid w:val="00D17D8F"/>
    <w:rsid w:val="00D20381"/>
    <w:rsid w:val="00D203D8"/>
    <w:rsid w:val="00D20506"/>
    <w:rsid w:val="00D20643"/>
    <w:rsid w:val="00D208E8"/>
    <w:rsid w:val="00D20C6A"/>
    <w:rsid w:val="00D20E39"/>
    <w:rsid w:val="00D210F9"/>
    <w:rsid w:val="00D213CE"/>
    <w:rsid w:val="00D21672"/>
    <w:rsid w:val="00D216F5"/>
    <w:rsid w:val="00D217C3"/>
    <w:rsid w:val="00D21823"/>
    <w:rsid w:val="00D21FD2"/>
    <w:rsid w:val="00D220B2"/>
    <w:rsid w:val="00D2232B"/>
    <w:rsid w:val="00D2249B"/>
    <w:rsid w:val="00D2263B"/>
    <w:rsid w:val="00D22AB2"/>
    <w:rsid w:val="00D22BC0"/>
    <w:rsid w:val="00D22C90"/>
    <w:rsid w:val="00D22D8A"/>
    <w:rsid w:val="00D22E9C"/>
    <w:rsid w:val="00D2315B"/>
    <w:rsid w:val="00D2340D"/>
    <w:rsid w:val="00D23539"/>
    <w:rsid w:val="00D23566"/>
    <w:rsid w:val="00D23810"/>
    <w:rsid w:val="00D24180"/>
    <w:rsid w:val="00D242DF"/>
    <w:rsid w:val="00D243B0"/>
    <w:rsid w:val="00D24402"/>
    <w:rsid w:val="00D246BB"/>
    <w:rsid w:val="00D24705"/>
    <w:rsid w:val="00D24864"/>
    <w:rsid w:val="00D249EE"/>
    <w:rsid w:val="00D24E3B"/>
    <w:rsid w:val="00D25083"/>
    <w:rsid w:val="00D250B9"/>
    <w:rsid w:val="00D252E6"/>
    <w:rsid w:val="00D25330"/>
    <w:rsid w:val="00D2547B"/>
    <w:rsid w:val="00D257E9"/>
    <w:rsid w:val="00D25D33"/>
    <w:rsid w:val="00D262BE"/>
    <w:rsid w:val="00D26508"/>
    <w:rsid w:val="00D26636"/>
    <w:rsid w:val="00D269A6"/>
    <w:rsid w:val="00D269B4"/>
    <w:rsid w:val="00D26ADB"/>
    <w:rsid w:val="00D26C86"/>
    <w:rsid w:val="00D27528"/>
    <w:rsid w:val="00D27590"/>
    <w:rsid w:val="00D2791C"/>
    <w:rsid w:val="00D279EF"/>
    <w:rsid w:val="00D27CCA"/>
    <w:rsid w:val="00D3045A"/>
    <w:rsid w:val="00D30576"/>
    <w:rsid w:val="00D3072E"/>
    <w:rsid w:val="00D30D92"/>
    <w:rsid w:val="00D30F07"/>
    <w:rsid w:val="00D3104F"/>
    <w:rsid w:val="00D311D9"/>
    <w:rsid w:val="00D31243"/>
    <w:rsid w:val="00D31334"/>
    <w:rsid w:val="00D31338"/>
    <w:rsid w:val="00D31577"/>
    <w:rsid w:val="00D3176E"/>
    <w:rsid w:val="00D32100"/>
    <w:rsid w:val="00D324FE"/>
    <w:rsid w:val="00D32616"/>
    <w:rsid w:val="00D3287B"/>
    <w:rsid w:val="00D32A13"/>
    <w:rsid w:val="00D32A37"/>
    <w:rsid w:val="00D32AE0"/>
    <w:rsid w:val="00D32B68"/>
    <w:rsid w:val="00D32BDA"/>
    <w:rsid w:val="00D32E37"/>
    <w:rsid w:val="00D3302B"/>
    <w:rsid w:val="00D330BC"/>
    <w:rsid w:val="00D33543"/>
    <w:rsid w:val="00D33A1A"/>
    <w:rsid w:val="00D33B45"/>
    <w:rsid w:val="00D33B73"/>
    <w:rsid w:val="00D3403D"/>
    <w:rsid w:val="00D3424A"/>
    <w:rsid w:val="00D34886"/>
    <w:rsid w:val="00D34AA4"/>
    <w:rsid w:val="00D35342"/>
    <w:rsid w:val="00D35407"/>
    <w:rsid w:val="00D35632"/>
    <w:rsid w:val="00D356AB"/>
    <w:rsid w:val="00D357EF"/>
    <w:rsid w:val="00D35955"/>
    <w:rsid w:val="00D35B01"/>
    <w:rsid w:val="00D35D15"/>
    <w:rsid w:val="00D35DC1"/>
    <w:rsid w:val="00D35F0D"/>
    <w:rsid w:val="00D35F4A"/>
    <w:rsid w:val="00D36025"/>
    <w:rsid w:val="00D361D4"/>
    <w:rsid w:val="00D3634F"/>
    <w:rsid w:val="00D3673F"/>
    <w:rsid w:val="00D367AB"/>
    <w:rsid w:val="00D367B1"/>
    <w:rsid w:val="00D36831"/>
    <w:rsid w:val="00D36895"/>
    <w:rsid w:val="00D368BB"/>
    <w:rsid w:val="00D3696B"/>
    <w:rsid w:val="00D36AA5"/>
    <w:rsid w:val="00D36B74"/>
    <w:rsid w:val="00D36E07"/>
    <w:rsid w:val="00D36FF5"/>
    <w:rsid w:val="00D37416"/>
    <w:rsid w:val="00D37B3C"/>
    <w:rsid w:val="00D37CD4"/>
    <w:rsid w:val="00D37E10"/>
    <w:rsid w:val="00D37E5A"/>
    <w:rsid w:val="00D40141"/>
    <w:rsid w:val="00D40367"/>
    <w:rsid w:val="00D40897"/>
    <w:rsid w:val="00D40CBE"/>
    <w:rsid w:val="00D40E80"/>
    <w:rsid w:val="00D411AF"/>
    <w:rsid w:val="00D41339"/>
    <w:rsid w:val="00D4141D"/>
    <w:rsid w:val="00D41744"/>
    <w:rsid w:val="00D41BF5"/>
    <w:rsid w:val="00D41F40"/>
    <w:rsid w:val="00D42007"/>
    <w:rsid w:val="00D420DA"/>
    <w:rsid w:val="00D4248C"/>
    <w:rsid w:val="00D42A7B"/>
    <w:rsid w:val="00D42CCF"/>
    <w:rsid w:val="00D43088"/>
    <w:rsid w:val="00D43347"/>
    <w:rsid w:val="00D433C3"/>
    <w:rsid w:val="00D436FE"/>
    <w:rsid w:val="00D4371B"/>
    <w:rsid w:val="00D43B88"/>
    <w:rsid w:val="00D44099"/>
    <w:rsid w:val="00D444FD"/>
    <w:rsid w:val="00D44720"/>
    <w:rsid w:val="00D44953"/>
    <w:rsid w:val="00D4508F"/>
    <w:rsid w:val="00D45222"/>
    <w:rsid w:val="00D45318"/>
    <w:rsid w:val="00D4535B"/>
    <w:rsid w:val="00D45421"/>
    <w:rsid w:val="00D455EB"/>
    <w:rsid w:val="00D45682"/>
    <w:rsid w:val="00D456C7"/>
    <w:rsid w:val="00D4595C"/>
    <w:rsid w:val="00D45B05"/>
    <w:rsid w:val="00D45E73"/>
    <w:rsid w:val="00D45ECC"/>
    <w:rsid w:val="00D46243"/>
    <w:rsid w:val="00D465DC"/>
    <w:rsid w:val="00D466C8"/>
    <w:rsid w:val="00D46A1B"/>
    <w:rsid w:val="00D46E05"/>
    <w:rsid w:val="00D47272"/>
    <w:rsid w:val="00D4727A"/>
    <w:rsid w:val="00D47318"/>
    <w:rsid w:val="00D47644"/>
    <w:rsid w:val="00D47ACF"/>
    <w:rsid w:val="00D47DF1"/>
    <w:rsid w:val="00D50514"/>
    <w:rsid w:val="00D5059D"/>
    <w:rsid w:val="00D5060C"/>
    <w:rsid w:val="00D509B9"/>
    <w:rsid w:val="00D50C92"/>
    <w:rsid w:val="00D50CDE"/>
    <w:rsid w:val="00D50E23"/>
    <w:rsid w:val="00D5128C"/>
    <w:rsid w:val="00D51662"/>
    <w:rsid w:val="00D516FD"/>
    <w:rsid w:val="00D51716"/>
    <w:rsid w:val="00D51878"/>
    <w:rsid w:val="00D519A7"/>
    <w:rsid w:val="00D51BDD"/>
    <w:rsid w:val="00D52058"/>
    <w:rsid w:val="00D5258C"/>
    <w:rsid w:val="00D528A7"/>
    <w:rsid w:val="00D52A3B"/>
    <w:rsid w:val="00D52AD3"/>
    <w:rsid w:val="00D52AEF"/>
    <w:rsid w:val="00D52D21"/>
    <w:rsid w:val="00D52F6A"/>
    <w:rsid w:val="00D52FD7"/>
    <w:rsid w:val="00D533D9"/>
    <w:rsid w:val="00D5366B"/>
    <w:rsid w:val="00D53F2F"/>
    <w:rsid w:val="00D5420F"/>
    <w:rsid w:val="00D542F4"/>
    <w:rsid w:val="00D5430E"/>
    <w:rsid w:val="00D545BA"/>
    <w:rsid w:val="00D545C3"/>
    <w:rsid w:val="00D54C43"/>
    <w:rsid w:val="00D553EC"/>
    <w:rsid w:val="00D55C11"/>
    <w:rsid w:val="00D564D7"/>
    <w:rsid w:val="00D5675B"/>
    <w:rsid w:val="00D56A29"/>
    <w:rsid w:val="00D56A84"/>
    <w:rsid w:val="00D56AC5"/>
    <w:rsid w:val="00D56DD8"/>
    <w:rsid w:val="00D56F83"/>
    <w:rsid w:val="00D57242"/>
    <w:rsid w:val="00D57667"/>
    <w:rsid w:val="00D57739"/>
    <w:rsid w:val="00D577FC"/>
    <w:rsid w:val="00D578E2"/>
    <w:rsid w:val="00D57FB0"/>
    <w:rsid w:val="00D6006D"/>
    <w:rsid w:val="00D6014B"/>
    <w:rsid w:val="00D60346"/>
    <w:rsid w:val="00D604C6"/>
    <w:rsid w:val="00D60504"/>
    <w:rsid w:val="00D6056D"/>
    <w:rsid w:val="00D60AF7"/>
    <w:rsid w:val="00D60BA6"/>
    <w:rsid w:val="00D60CB0"/>
    <w:rsid w:val="00D60DAA"/>
    <w:rsid w:val="00D60F76"/>
    <w:rsid w:val="00D6128E"/>
    <w:rsid w:val="00D6130A"/>
    <w:rsid w:val="00D61349"/>
    <w:rsid w:val="00D615B4"/>
    <w:rsid w:val="00D616A8"/>
    <w:rsid w:val="00D616FC"/>
    <w:rsid w:val="00D61711"/>
    <w:rsid w:val="00D618D1"/>
    <w:rsid w:val="00D61B90"/>
    <w:rsid w:val="00D61F4A"/>
    <w:rsid w:val="00D62120"/>
    <w:rsid w:val="00D62362"/>
    <w:rsid w:val="00D626C3"/>
    <w:rsid w:val="00D626F9"/>
    <w:rsid w:val="00D62937"/>
    <w:rsid w:val="00D62942"/>
    <w:rsid w:val="00D629CA"/>
    <w:rsid w:val="00D62A1A"/>
    <w:rsid w:val="00D62F96"/>
    <w:rsid w:val="00D63004"/>
    <w:rsid w:val="00D6333E"/>
    <w:rsid w:val="00D63712"/>
    <w:rsid w:val="00D63986"/>
    <w:rsid w:val="00D63B3A"/>
    <w:rsid w:val="00D6418A"/>
    <w:rsid w:val="00D644A0"/>
    <w:rsid w:val="00D644BB"/>
    <w:rsid w:val="00D64911"/>
    <w:rsid w:val="00D6492B"/>
    <w:rsid w:val="00D64D27"/>
    <w:rsid w:val="00D64EF2"/>
    <w:rsid w:val="00D64FEA"/>
    <w:rsid w:val="00D654B8"/>
    <w:rsid w:val="00D65921"/>
    <w:rsid w:val="00D65ABC"/>
    <w:rsid w:val="00D65B56"/>
    <w:rsid w:val="00D65DA6"/>
    <w:rsid w:val="00D65DAB"/>
    <w:rsid w:val="00D66176"/>
    <w:rsid w:val="00D6686E"/>
    <w:rsid w:val="00D669FD"/>
    <w:rsid w:val="00D670AE"/>
    <w:rsid w:val="00D67100"/>
    <w:rsid w:val="00D67200"/>
    <w:rsid w:val="00D67306"/>
    <w:rsid w:val="00D675F7"/>
    <w:rsid w:val="00D67BC4"/>
    <w:rsid w:val="00D67C6B"/>
    <w:rsid w:val="00D7010F"/>
    <w:rsid w:val="00D702DD"/>
    <w:rsid w:val="00D7049D"/>
    <w:rsid w:val="00D70577"/>
    <w:rsid w:val="00D70C1A"/>
    <w:rsid w:val="00D70C57"/>
    <w:rsid w:val="00D70C7F"/>
    <w:rsid w:val="00D70D75"/>
    <w:rsid w:val="00D70F01"/>
    <w:rsid w:val="00D71170"/>
    <w:rsid w:val="00D712C7"/>
    <w:rsid w:val="00D713A4"/>
    <w:rsid w:val="00D715F1"/>
    <w:rsid w:val="00D71960"/>
    <w:rsid w:val="00D71D90"/>
    <w:rsid w:val="00D71D9A"/>
    <w:rsid w:val="00D7245C"/>
    <w:rsid w:val="00D7254E"/>
    <w:rsid w:val="00D72687"/>
    <w:rsid w:val="00D7292E"/>
    <w:rsid w:val="00D72B44"/>
    <w:rsid w:val="00D72D7C"/>
    <w:rsid w:val="00D72E6E"/>
    <w:rsid w:val="00D72F02"/>
    <w:rsid w:val="00D730CC"/>
    <w:rsid w:val="00D73389"/>
    <w:rsid w:val="00D73495"/>
    <w:rsid w:val="00D7354E"/>
    <w:rsid w:val="00D73DEE"/>
    <w:rsid w:val="00D73ED6"/>
    <w:rsid w:val="00D7403C"/>
    <w:rsid w:val="00D743A1"/>
    <w:rsid w:val="00D74565"/>
    <w:rsid w:val="00D745B6"/>
    <w:rsid w:val="00D74BE5"/>
    <w:rsid w:val="00D74E61"/>
    <w:rsid w:val="00D754F6"/>
    <w:rsid w:val="00D7579B"/>
    <w:rsid w:val="00D757BC"/>
    <w:rsid w:val="00D7635F"/>
    <w:rsid w:val="00D76385"/>
    <w:rsid w:val="00D764D0"/>
    <w:rsid w:val="00D764DF"/>
    <w:rsid w:val="00D765AF"/>
    <w:rsid w:val="00D7660B"/>
    <w:rsid w:val="00D76672"/>
    <w:rsid w:val="00D7669F"/>
    <w:rsid w:val="00D76790"/>
    <w:rsid w:val="00D76894"/>
    <w:rsid w:val="00D76DE5"/>
    <w:rsid w:val="00D76F8F"/>
    <w:rsid w:val="00D774D6"/>
    <w:rsid w:val="00D77611"/>
    <w:rsid w:val="00D776C8"/>
    <w:rsid w:val="00D77B69"/>
    <w:rsid w:val="00D77C24"/>
    <w:rsid w:val="00D77E23"/>
    <w:rsid w:val="00D77EE6"/>
    <w:rsid w:val="00D801AD"/>
    <w:rsid w:val="00D8023A"/>
    <w:rsid w:val="00D8043C"/>
    <w:rsid w:val="00D805E5"/>
    <w:rsid w:val="00D80996"/>
    <w:rsid w:val="00D80BAA"/>
    <w:rsid w:val="00D80CA3"/>
    <w:rsid w:val="00D80E5E"/>
    <w:rsid w:val="00D80E6D"/>
    <w:rsid w:val="00D80FED"/>
    <w:rsid w:val="00D81069"/>
    <w:rsid w:val="00D81133"/>
    <w:rsid w:val="00D81184"/>
    <w:rsid w:val="00D814D4"/>
    <w:rsid w:val="00D81536"/>
    <w:rsid w:val="00D8168C"/>
    <w:rsid w:val="00D81DC1"/>
    <w:rsid w:val="00D81E25"/>
    <w:rsid w:val="00D8203A"/>
    <w:rsid w:val="00D82046"/>
    <w:rsid w:val="00D820B5"/>
    <w:rsid w:val="00D8212A"/>
    <w:rsid w:val="00D822E0"/>
    <w:rsid w:val="00D82991"/>
    <w:rsid w:val="00D829B4"/>
    <w:rsid w:val="00D82B56"/>
    <w:rsid w:val="00D83230"/>
    <w:rsid w:val="00D83585"/>
    <w:rsid w:val="00D83953"/>
    <w:rsid w:val="00D839D4"/>
    <w:rsid w:val="00D83DF5"/>
    <w:rsid w:val="00D83E3A"/>
    <w:rsid w:val="00D84294"/>
    <w:rsid w:val="00D84414"/>
    <w:rsid w:val="00D844AA"/>
    <w:rsid w:val="00D8490A"/>
    <w:rsid w:val="00D84940"/>
    <w:rsid w:val="00D84FEA"/>
    <w:rsid w:val="00D851E5"/>
    <w:rsid w:val="00D852DF"/>
    <w:rsid w:val="00D85344"/>
    <w:rsid w:val="00D85812"/>
    <w:rsid w:val="00D8586A"/>
    <w:rsid w:val="00D85DE0"/>
    <w:rsid w:val="00D85EC8"/>
    <w:rsid w:val="00D85F13"/>
    <w:rsid w:val="00D85F2B"/>
    <w:rsid w:val="00D86323"/>
    <w:rsid w:val="00D86411"/>
    <w:rsid w:val="00D86521"/>
    <w:rsid w:val="00D866B9"/>
    <w:rsid w:val="00D867B1"/>
    <w:rsid w:val="00D86893"/>
    <w:rsid w:val="00D86F1A"/>
    <w:rsid w:val="00D872B2"/>
    <w:rsid w:val="00D8749E"/>
    <w:rsid w:val="00D878C6"/>
    <w:rsid w:val="00D900B4"/>
    <w:rsid w:val="00D90505"/>
    <w:rsid w:val="00D90578"/>
    <w:rsid w:val="00D9060B"/>
    <w:rsid w:val="00D907AB"/>
    <w:rsid w:val="00D90D28"/>
    <w:rsid w:val="00D90D92"/>
    <w:rsid w:val="00D910F4"/>
    <w:rsid w:val="00D914C7"/>
    <w:rsid w:val="00D91A95"/>
    <w:rsid w:val="00D91AC7"/>
    <w:rsid w:val="00D91D92"/>
    <w:rsid w:val="00D91E68"/>
    <w:rsid w:val="00D92001"/>
    <w:rsid w:val="00D92A14"/>
    <w:rsid w:val="00D92DED"/>
    <w:rsid w:val="00D92E0B"/>
    <w:rsid w:val="00D92E70"/>
    <w:rsid w:val="00D93579"/>
    <w:rsid w:val="00D936F7"/>
    <w:rsid w:val="00D937ED"/>
    <w:rsid w:val="00D93AB8"/>
    <w:rsid w:val="00D93B05"/>
    <w:rsid w:val="00D93B76"/>
    <w:rsid w:val="00D93F94"/>
    <w:rsid w:val="00D941D5"/>
    <w:rsid w:val="00D94236"/>
    <w:rsid w:val="00D943DB"/>
    <w:rsid w:val="00D94CAA"/>
    <w:rsid w:val="00D95443"/>
    <w:rsid w:val="00D9544B"/>
    <w:rsid w:val="00D955FA"/>
    <w:rsid w:val="00D95608"/>
    <w:rsid w:val="00D95D84"/>
    <w:rsid w:val="00D95DAB"/>
    <w:rsid w:val="00D961AD"/>
    <w:rsid w:val="00D96A33"/>
    <w:rsid w:val="00D96B69"/>
    <w:rsid w:val="00D96C76"/>
    <w:rsid w:val="00D971F8"/>
    <w:rsid w:val="00D9734C"/>
    <w:rsid w:val="00D973BB"/>
    <w:rsid w:val="00D973D0"/>
    <w:rsid w:val="00D974B6"/>
    <w:rsid w:val="00D974F2"/>
    <w:rsid w:val="00D9773B"/>
    <w:rsid w:val="00DA0089"/>
    <w:rsid w:val="00DA03F7"/>
    <w:rsid w:val="00DA0AC5"/>
    <w:rsid w:val="00DA0C4C"/>
    <w:rsid w:val="00DA0F83"/>
    <w:rsid w:val="00DA10B1"/>
    <w:rsid w:val="00DA117A"/>
    <w:rsid w:val="00DA132C"/>
    <w:rsid w:val="00DA19A4"/>
    <w:rsid w:val="00DA1A0E"/>
    <w:rsid w:val="00DA1CA5"/>
    <w:rsid w:val="00DA1D81"/>
    <w:rsid w:val="00DA1E1B"/>
    <w:rsid w:val="00DA1EBA"/>
    <w:rsid w:val="00DA2618"/>
    <w:rsid w:val="00DA29C8"/>
    <w:rsid w:val="00DA2D75"/>
    <w:rsid w:val="00DA2DFE"/>
    <w:rsid w:val="00DA30AB"/>
    <w:rsid w:val="00DA3185"/>
    <w:rsid w:val="00DA319B"/>
    <w:rsid w:val="00DA3870"/>
    <w:rsid w:val="00DA38AB"/>
    <w:rsid w:val="00DA393C"/>
    <w:rsid w:val="00DA3A2A"/>
    <w:rsid w:val="00DA3CCD"/>
    <w:rsid w:val="00DA3EEB"/>
    <w:rsid w:val="00DA4398"/>
    <w:rsid w:val="00DA4596"/>
    <w:rsid w:val="00DA46E5"/>
    <w:rsid w:val="00DA4942"/>
    <w:rsid w:val="00DA4A20"/>
    <w:rsid w:val="00DA50F6"/>
    <w:rsid w:val="00DA5713"/>
    <w:rsid w:val="00DA5AB5"/>
    <w:rsid w:val="00DA5CD5"/>
    <w:rsid w:val="00DA5D1F"/>
    <w:rsid w:val="00DA5EB8"/>
    <w:rsid w:val="00DA62B2"/>
    <w:rsid w:val="00DA66EC"/>
    <w:rsid w:val="00DA671E"/>
    <w:rsid w:val="00DA67EF"/>
    <w:rsid w:val="00DA69B5"/>
    <w:rsid w:val="00DA6BC4"/>
    <w:rsid w:val="00DA6C23"/>
    <w:rsid w:val="00DA6CDB"/>
    <w:rsid w:val="00DA74C2"/>
    <w:rsid w:val="00DA76D9"/>
    <w:rsid w:val="00DA7C5D"/>
    <w:rsid w:val="00DA7E23"/>
    <w:rsid w:val="00DA7E42"/>
    <w:rsid w:val="00DA7F1E"/>
    <w:rsid w:val="00DA7FE7"/>
    <w:rsid w:val="00DB0056"/>
    <w:rsid w:val="00DB00C3"/>
    <w:rsid w:val="00DB01B8"/>
    <w:rsid w:val="00DB0280"/>
    <w:rsid w:val="00DB041A"/>
    <w:rsid w:val="00DB0422"/>
    <w:rsid w:val="00DB0B49"/>
    <w:rsid w:val="00DB0D2D"/>
    <w:rsid w:val="00DB0E0F"/>
    <w:rsid w:val="00DB109D"/>
    <w:rsid w:val="00DB1249"/>
    <w:rsid w:val="00DB1270"/>
    <w:rsid w:val="00DB16C3"/>
    <w:rsid w:val="00DB189E"/>
    <w:rsid w:val="00DB1BE1"/>
    <w:rsid w:val="00DB1DFA"/>
    <w:rsid w:val="00DB1EE8"/>
    <w:rsid w:val="00DB1FA5"/>
    <w:rsid w:val="00DB202E"/>
    <w:rsid w:val="00DB20DA"/>
    <w:rsid w:val="00DB20F9"/>
    <w:rsid w:val="00DB2284"/>
    <w:rsid w:val="00DB2404"/>
    <w:rsid w:val="00DB27E3"/>
    <w:rsid w:val="00DB2810"/>
    <w:rsid w:val="00DB2857"/>
    <w:rsid w:val="00DB28EC"/>
    <w:rsid w:val="00DB2D09"/>
    <w:rsid w:val="00DB3288"/>
    <w:rsid w:val="00DB35CC"/>
    <w:rsid w:val="00DB3872"/>
    <w:rsid w:val="00DB3A7B"/>
    <w:rsid w:val="00DB3CD2"/>
    <w:rsid w:val="00DB3D61"/>
    <w:rsid w:val="00DB3DFE"/>
    <w:rsid w:val="00DB4146"/>
    <w:rsid w:val="00DB4278"/>
    <w:rsid w:val="00DB4531"/>
    <w:rsid w:val="00DB4A41"/>
    <w:rsid w:val="00DB4F91"/>
    <w:rsid w:val="00DB513F"/>
    <w:rsid w:val="00DB5203"/>
    <w:rsid w:val="00DB520E"/>
    <w:rsid w:val="00DB5389"/>
    <w:rsid w:val="00DB53C4"/>
    <w:rsid w:val="00DB5456"/>
    <w:rsid w:val="00DB54F2"/>
    <w:rsid w:val="00DB56B0"/>
    <w:rsid w:val="00DB587B"/>
    <w:rsid w:val="00DB58E5"/>
    <w:rsid w:val="00DB5C37"/>
    <w:rsid w:val="00DB5D20"/>
    <w:rsid w:val="00DB5E17"/>
    <w:rsid w:val="00DB5E9B"/>
    <w:rsid w:val="00DB603B"/>
    <w:rsid w:val="00DB6104"/>
    <w:rsid w:val="00DB616E"/>
    <w:rsid w:val="00DB66DC"/>
    <w:rsid w:val="00DB682E"/>
    <w:rsid w:val="00DB692D"/>
    <w:rsid w:val="00DB69E9"/>
    <w:rsid w:val="00DB6AB3"/>
    <w:rsid w:val="00DB6B04"/>
    <w:rsid w:val="00DB6C70"/>
    <w:rsid w:val="00DB6CB0"/>
    <w:rsid w:val="00DB6CDB"/>
    <w:rsid w:val="00DB6DAD"/>
    <w:rsid w:val="00DB703F"/>
    <w:rsid w:val="00DB73AE"/>
    <w:rsid w:val="00DB7504"/>
    <w:rsid w:val="00DB7886"/>
    <w:rsid w:val="00DB7B28"/>
    <w:rsid w:val="00DC0014"/>
    <w:rsid w:val="00DC0477"/>
    <w:rsid w:val="00DC04BE"/>
    <w:rsid w:val="00DC0505"/>
    <w:rsid w:val="00DC05B9"/>
    <w:rsid w:val="00DC0623"/>
    <w:rsid w:val="00DC0767"/>
    <w:rsid w:val="00DC0805"/>
    <w:rsid w:val="00DC0A79"/>
    <w:rsid w:val="00DC0B0F"/>
    <w:rsid w:val="00DC133A"/>
    <w:rsid w:val="00DC13F7"/>
    <w:rsid w:val="00DC13FA"/>
    <w:rsid w:val="00DC1441"/>
    <w:rsid w:val="00DC21C8"/>
    <w:rsid w:val="00DC22A4"/>
    <w:rsid w:val="00DC24F5"/>
    <w:rsid w:val="00DC2A3A"/>
    <w:rsid w:val="00DC2A8B"/>
    <w:rsid w:val="00DC2CEE"/>
    <w:rsid w:val="00DC2D24"/>
    <w:rsid w:val="00DC2F1F"/>
    <w:rsid w:val="00DC30C9"/>
    <w:rsid w:val="00DC30E6"/>
    <w:rsid w:val="00DC3107"/>
    <w:rsid w:val="00DC3365"/>
    <w:rsid w:val="00DC3620"/>
    <w:rsid w:val="00DC37F8"/>
    <w:rsid w:val="00DC38C0"/>
    <w:rsid w:val="00DC3CE6"/>
    <w:rsid w:val="00DC3EC0"/>
    <w:rsid w:val="00DC4150"/>
    <w:rsid w:val="00DC4588"/>
    <w:rsid w:val="00DC471E"/>
    <w:rsid w:val="00DC47CB"/>
    <w:rsid w:val="00DC494C"/>
    <w:rsid w:val="00DC4A00"/>
    <w:rsid w:val="00DC50B8"/>
    <w:rsid w:val="00DC515B"/>
    <w:rsid w:val="00DC52F9"/>
    <w:rsid w:val="00DC5D02"/>
    <w:rsid w:val="00DC6700"/>
    <w:rsid w:val="00DC6A5A"/>
    <w:rsid w:val="00DC6E3C"/>
    <w:rsid w:val="00DC6F47"/>
    <w:rsid w:val="00DC6F9D"/>
    <w:rsid w:val="00DC752D"/>
    <w:rsid w:val="00DC75C6"/>
    <w:rsid w:val="00DC7775"/>
    <w:rsid w:val="00DC77DD"/>
    <w:rsid w:val="00DC7A9F"/>
    <w:rsid w:val="00DC7C25"/>
    <w:rsid w:val="00DC7C34"/>
    <w:rsid w:val="00DC7C93"/>
    <w:rsid w:val="00DD03D8"/>
    <w:rsid w:val="00DD055B"/>
    <w:rsid w:val="00DD05F4"/>
    <w:rsid w:val="00DD07AE"/>
    <w:rsid w:val="00DD07F3"/>
    <w:rsid w:val="00DD083D"/>
    <w:rsid w:val="00DD0A87"/>
    <w:rsid w:val="00DD0BD5"/>
    <w:rsid w:val="00DD0C09"/>
    <w:rsid w:val="00DD1780"/>
    <w:rsid w:val="00DD1988"/>
    <w:rsid w:val="00DD22D0"/>
    <w:rsid w:val="00DD2373"/>
    <w:rsid w:val="00DD23FF"/>
    <w:rsid w:val="00DD2425"/>
    <w:rsid w:val="00DD2A30"/>
    <w:rsid w:val="00DD2A37"/>
    <w:rsid w:val="00DD2F06"/>
    <w:rsid w:val="00DD331E"/>
    <w:rsid w:val="00DD340F"/>
    <w:rsid w:val="00DD3614"/>
    <w:rsid w:val="00DD36BF"/>
    <w:rsid w:val="00DD3783"/>
    <w:rsid w:val="00DD37DE"/>
    <w:rsid w:val="00DD382B"/>
    <w:rsid w:val="00DD3847"/>
    <w:rsid w:val="00DD3C94"/>
    <w:rsid w:val="00DD4223"/>
    <w:rsid w:val="00DD45B2"/>
    <w:rsid w:val="00DD49C9"/>
    <w:rsid w:val="00DD4AE1"/>
    <w:rsid w:val="00DD4B53"/>
    <w:rsid w:val="00DD4B6A"/>
    <w:rsid w:val="00DD4C34"/>
    <w:rsid w:val="00DD4C46"/>
    <w:rsid w:val="00DD4E65"/>
    <w:rsid w:val="00DD4EDB"/>
    <w:rsid w:val="00DD5032"/>
    <w:rsid w:val="00DD533B"/>
    <w:rsid w:val="00DD536A"/>
    <w:rsid w:val="00DD53FE"/>
    <w:rsid w:val="00DD5924"/>
    <w:rsid w:val="00DD5B31"/>
    <w:rsid w:val="00DD5C16"/>
    <w:rsid w:val="00DD5D83"/>
    <w:rsid w:val="00DD5FEB"/>
    <w:rsid w:val="00DD603D"/>
    <w:rsid w:val="00DD6253"/>
    <w:rsid w:val="00DD62CA"/>
    <w:rsid w:val="00DD6327"/>
    <w:rsid w:val="00DD63DD"/>
    <w:rsid w:val="00DD6450"/>
    <w:rsid w:val="00DD66DB"/>
    <w:rsid w:val="00DD6AD2"/>
    <w:rsid w:val="00DD6B46"/>
    <w:rsid w:val="00DD6DDB"/>
    <w:rsid w:val="00DD6F3A"/>
    <w:rsid w:val="00DD7216"/>
    <w:rsid w:val="00DD740E"/>
    <w:rsid w:val="00DD7657"/>
    <w:rsid w:val="00DD7663"/>
    <w:rsid w:val="00DD7713"/>
    <w:rsid w:val="00DD7733"/>
    <w:rsid w:val="00DD7757"/>
    <w:rsid w:val="00DD7819"/>
    <w:rsid w:val="00DD7D36"/>
    <w:rsid w:val="00DD7E3F"/>
    <w:rsid w:val="00DE002A"/>
    <w:rsid w:val="00DE021D"/>
    <w:rsid w:val="00DE0708"/>
    <w:rsid w:val="00DE0886"/>
    <w:rsid w:val="00DE0941"/>
    <w:rsid w:val="00DE0ACF"/>
    <w:rsid w:val="00DE0BC2"/>
    <w:rsid w:val="00DE0C6C"/>
    <w:rsid w:val="00DE0CF6"/>
    <w:rsid w:val="00DE0DCD"/>
    <w:rsid w:val="00DE1463"/>
    <w:rsid w:val="00DE14B4"/>
    <w:rsid w:val="00DE19D9"/>
    <w:rsid w:val="00DE20B8"/>
    <w:rsid w:val="00DE2232"/>
    <w:rsid w:val="00DE2FFA"/>
    <w:rsid w:val="00DE3370"/>
    <w:rsid w:val="00DE33F7"/>
    <w:rsid w:val="00DE3672"/>
    <w:rsid w:val="00DE38D2"/>
    <w:rsid w:val="00DE39FE"/>
    <w:rsid w:val="00DE3BAD"/>
    <w:rsid w:val="00DE3C8F"/>
    <w:rsid w:val="00DE3D76"/>
    <w:rsid w:val="00DE425A"/>
    <w:rsid w:val="00DE47DE"/>
    <w:rsid w:val="00DE4988"/>
    <w:rsid w:val="00DE4A9B"/>
    <w:rsid w:val="00DE4B83"/>
    <w:rsid w:val="00DE4E9D"/>
    <w:rsid w:val="00DE4F28"/>
    <w:rsid w:val="00DE5108"/>
    <w:rsid w:val="00DE5BB0"/>
    <w:rsid w:val="00DE5C27"/>
    <w:rsid w:val="00DE5F0A"/>
    <w:rsid w:val="00DE5F1A"/>
    <w:rsid w:val="00DE617A"/>
    <w:rsid w:val="00DE62BE"/>
    <w:rsid w:val="00DE630F"/>
    <w:rsid w:val="00DE64A2"/>
    <w:rsid w:val="00DE6556"/>
    <w:rsid w:val="00DE65CF"/>
    <w:rsid w:val="00DE6695"/>
    <w:rsid w:val="00DE6879"/>
    <w:rsid w:val="00DE693C"/>
    <w:rsid w:val="00DE6A27"/>
    <w:rsid w:val="00DE6A4B"/>
    <w:rsid w:val="00DE6BC7"/>
    <w:rsid w:val="00DE6CDB"/>
    <w:rsid w:val="00DE6E1A"/>
    <w:rsid w:val="00DE6EFE"/>
    <w:rsid w:val="00DE7166"/>
    <w:rsid w:val="00DE74A1"/>
    <w:rsid w:val="00DE77EB"/>
    <w:rsid w:val="00DE7A94"/>
    <w:rsid w:val="00DE7D24"/>
    <w:rsid w:val="00DF00FF"/>
    <w:rsid w:val="00DF02E9"/>
    <w:rsid w:val="00DF0499"/>
    <w:rsid w:val="00DF06B2"/>
    <w:rsid w:val="00DF07AB"/>
    <w:rsid w:val="00DF0C08"/>
    <w:rsid w:val="00DF0D65"/>
    <w:rsid w:val="00DF0F42"/>
    <w:rsid w:val="00DF1364"/>
    <w:rsid w:val="00DF14CB"/>
    <w:rsid w:val="00DF152A"/>
    <w:rsid w:val="00DF15F4"/>
    <w:rsid w:val="00DF1611"/>
    <w:rsid w:val="00DF18D0"/>
    <w:rsid w:val="00DF18FD"/>
    <w:rsid w:val="00DF1976"/>
    <w:rsid w:val="00DF19D1"/>
    <w:rsid w:val="00DF1A71"/>
    <w:rsid w:val="00DF1CF0"/>
    <w:rsid w:val="00DF1EF9"/>
    <w:rsid w:val="00DF1F94"/>
    <w:rsid w:val="00DF20F3"/>
    <w:rsid w:val="00DF25B9"/>
    <w:rsid w:val="00DF3433"/>
    <w:rsid w:val="00DF381F"/>
    <w:rsid w:val="00DF3C81"/>
    <w:rsid w:val="00DF3DA0"/>
    <w:rsid w:val="00DF4145"/>
    <w:rsid w:val="00DF4766"/>
    <w:rsid w:val="00DF4800"/>
    <w:rsid w:val="00DF56DB"/>
    <w:rsid w:val="00DF57A8"/>
    <w:rsid w:val="00DF5859"/>
    <w:rsid w:val="00DF5A0A"/>
    <w:rsid w:val="00DF5B87"/>
    <w:rsid w:val="00DF5DC3"/>
    <w:rsid w:val="00DF5EF3"/>
    <w:rsid w:val="00DF61E7"/>
    <w:rsid w:val="00DF61FD"/>
    <w:rsid w:val="00DF623D"/>
    <w:rsid w:val="00DF6287"/>
    <w:rsid w:val="00DF6301"/>
    <w:rsid w:val="00DF64D6"/>
    <w:rsid w:val="00DF664F"/>
    <w:rsid w:val="00DF67A0"/>
    <w:rsid w:val="00DF67AB"/>
    <w:rsid w:val="00DF68D5"/>
    <w:rsid w:val="00DF6C0A"/>
    <w:rsid w:val="00DF6F42"/>
    <w:rsid w:val="00DF70D8"/>
    <w:rsid w:val="00DF7177"/>
    <w:rsid w:val="00DF72D1"/>
    <w:rsid w:val="00DF73A1"/>
    <w:rsid w:val="00DF73F9"/>
    <w:rsid w:val="00DF7D1B"/>
    <w:rsid w:val="00DF7EC3"/>
    <w:rsid w:val="00DF7F06"/>
    <w:rsid w:val="00E00337"/>
    <w:rsid w:val="00E00558"/>
    <w:rsid w:val="00E006E6"/>
    <w:rsid w:val="00E008F2"/>
    <w:rsid w:val="00E00A6F"/>
    <w:rsid w:val="00E00A83"/>
    <w:rsid w:val="00E00EE3"/>
    <w:rsid w:val="00E0101B"/>
    <w:rsid w:val="00E012DA"/>
    <w:rsid w:val="00E017D6"/>
    <w:rsid w:val="00E0182B"/>
    <w:rsid w:val="00E01856"/>
    <w:rsid w:val="00E019B2"/>
    <w:rsid w:val="00E01AEB"/>
    <w:rsid w:val="00E01E73"/>
    <w:rsid w:val="00E02015"/>
    <w:rsid w:val="00E020C2"/>
    <w:rsid w:val="00E02147"/>
    <w:rsid w:val="00E02BC5"/>
    <w:rsid w:val="00E02D9D"/>
    <w:rsid w:val="00E03686"/>
    <w:rsid w:val="00E036D0"/>
    <w:rsid w:val="00E03A4B"/>
    <w:rsid w:val="00E03E9E"/>
    <w:rsid w:val="00E03EB5"/>
    <w:rsid w:val="00E04149"/>
    <w:rsid w:val="00E041AB"/>
    <w:rsid w:val="00E046A1"/>
    <w:rsid w:val="00E04C0F"/>
    <w:rsid w:val="00E04E71"/>
    <w:rsid w:val="00E0502F"/>
    <w:rsid w:val="00E0517B"/>
    <w:rsid w:val="00E05411"/>
    <w:rsid w:val="00E0591E"/>
    <w:rsid w:val="00E05CA0"/>
    <w:rsid w:val="00E05D82"/>
    <w:rsid w:val="00E05E64"/>
    <w:rsid w:val="00E062AA"/>
    <w:rsid w:val="00E065F3"/>
    <w:rsid w:val="00E0684E"/>
    <w:rsid w:val="00E06C18"/>
    <w:rsid w:val="00E06DB2"/>
    <w:rsid w:val="00E06E97"/>
    <w:rsid w:val="00E06E98"/>
    <w:rsid w:val="00E071B5"/>
    <w:rsid w:val="00E073D6"/>
    <w:rsid w:val="00E075EF"/>
    <w:rsid w:val="00E07A57"/>
    <w:rsid w:val="00E07CC2"/>
    <w:rsid w:val="00E07D1C"/>
    <w:rsid w:val="00E1009D"/>
    <w:rsid w:val="00E1012D"/>
    <w:rsid w:val="00E1014A"/>
    <w:rsid w:val="00E102E3"/>
    <w:rsid w:val="00E104BE"/>
    <w:rsid w:val="00E10561"/>
    <w:rsid w:val="00E106D3"/>
    <w:rsid w:val="00E106D7"/>
    <w:rsid w:val="00E1082E"/>
    <w:rsid w:val="00E10E09"/>
    <w:rsid w:val="00E10F34"/>
    <w:rsid w:val="00E110EA"/>
    <w:rsid w:val="00E1117F"/>
    <w:rsid w:val="00E1137D"/>
    <w:rsid w:val="00E11527"/>
    <w:rsid w:val="00E11529"/>
    <w:rsid w:val="00E11568"/>
    <w:rsid w:val="00E115B7"/>
    <w:rsid w:val="00E116A6"/>
    <w:rsid w:val="00E116E2"/>
    <w:rsid w:val="00E117A5"/>
    <w:rsid w:val="00E1187C"/>
    <w:rsid w:val="00E11E8A"/>
    <w:rsid w:val="00E11F19"/>
    <w:rsid w:val="00E122C1"/>
    <w:rsid w:val="00E122FF"/>
    <w:rsid w:val="00E125E2"/>
    <w:rsid w:val="00E1264D"/>
    <w:rsid w:val="00E126F7"/>
    <w:rsid w:val="00E127F2"/>
    <w:rsid w:val="00E12852"/>
    <w:rsid w:val="00E12A6E"/>
    <w:rsid w:val="00E12D24"/>
    <w:rsid w:val="00E12D77"/>
    <w:rsid w:val="00E12E0B"/>
    <w:rsid w:val="00E12EFA"/>
    <w:rsid w:val="00E1324B"/>
    <w:rsid w:val="00E13260"/>
    <w:rsid w:val="00E1338F"/>
    <w:rsid w:val="00E1364F"/>
    <w:rsid w:val="00E137F4"/>
    <w:rsid w:val="00E138FF"/>
    <w:rsid w:val="00E13CB3"/>
    <w:rsid w:val="00E13D61"/>
    <w:rsid w:val="00E1427F"/>
    <w:rsid w:val="00E14423"/>
    <w:rsid w:val="00E14728"/>
    <w:rsid w:val="00E147AE"/>
    <w:rsid w:val="00E147BC"/>
    <w:rsid w:val="00E14C31"/>
    <w:rsid w:val="00E14CD2"/>
    <w:rsid w:val="00E14F18"/>
    <w:rsid w:val="00E15003"/>
    <w:rsid w:val="00E15296"/>
    <w:rsid w:val="00E15335"/>
    <w:rsid w:val="00E1538A"/>
    <w:rsid w:val="00E153F6"/>
    <w:rsid w:val="00E1562B"/>
    <w:rsid w:val="00E157B3"/>
    <w:rsid w:val="00E1594F"/>
    <w:rsid w:val="00E15962"/>
    <w:rsid w:val="00E15B66"/>
    <w:rsid w:val="00E15D32"/>
    <w:rsid w:val="00E1631B"/>
    <w:rsid w:val="00E16488"/>
    <w:rsid w:val="00E164B7"/>
    <w:rsid w:val="00E166B3"/>
    <w:rsid w:val="00E16FE8"/>
    <w:rsid w:val="00E17091"/>
    <w:rsid w:val="00E17352"/>
    <w:rsid w:val="00E177EA"/>
    <w:rsid w:val="00E17A43"/>
    <w:rsid w:val="00E17D21"/>
    <w:rsid w:val="00E17FBC"/>
    <w:rsid w:val="00E2036A"/>
    <w:rsid w:val="00E20460"/>
    <w:rsid w:val="00E2050A"/>
    <w:rsid w:val="00E2094D"/>
    <w:rsid w:val="00E20ECE"/>
    <w:rsid w:val="00E20F64"/>
    <w:rsid w:val="00E2103F"/>
    <w:rsid w:val="00E212E7"/>
    <w:rsid w:val="00E21509"/>
    <w:rsid w:val="00E2150D"/>
    <w:rsid w:val="00E21840"/>
    <w:rsid w:val="00E21926"/>
    <w:rsid w:val="00E21CF7"/>
    <w:rsid w:val="00E21F71"/>
    <w:rsid w:val="00E22135"/>
    <w:rsid w:val="00E221FF"/>
    <w:rsid w:val="00E2220E"/>
    <w:rsid w:val="00E2236F"/>
    <w:rsid w:val="00E2237E"/>
    <w:rsid w:val="00E223FE"/>
    <w:rsid w:val="00E224A9"/>
    <w:rsid w:val="00E225A8"/>
    <w:rsid w:val="00E22631"/>
    <w:rsid w:val="00E22766"/>
    <w:rsid w:val="00E229C4"/>
    <w:rsid w:val="00E23053"/>
    <w:rsid w:val="00E235D5"/>
    <w:rsid w:val="00E235FC"/>
    <w:rsid w:val="00E23729"/>
    <w:rsid w:val="00E238C9"/>
    <w:rsid w:val="00E23CF0"/>
    <w:rsid w:val="00E23EA4"/>
    <w:rsid w:val="00E23FCB"/>
    <w:rsid w:val="00E241B2"/>
    <w:rsid w:val="00E243F2"/>
    <w:rsid w:val="00E244ED"/>
    <w:rsid w:val="00E244F1"/>
    <w:rsid w:val="00E246F7"/>
    <w:rsid w:val="00E24B6A"/>
    <w:rsid w:val="00E24C4F"/>
    <w:rsid w:val="00E24D45"/>
    <w:rsid w:val="00E24D75"/>
    <w:rsid w:val="00E24DC6"/>
    <w:rsid w:val="00E2510F"/>
    <w:rsid w:val="00E25192"/>
    <w:rsid w:val="00E2570C"/>
    <w:rsid w:val="00E25B34"/>
    <w:rsid w:val="00E25E25"/>
    <w:rsid w:val="00E262A0"/>
    <w:rsid w:val="00E266A8"/>
    <w:rsid w:val="00E268EB"/>
    <w:rsid w:val="00E26984"/>
    <w:rsid w:val="00E26C62"/>
    <w:rsid w:val="00E26CA8"/>
    <w:rsid w:val="00E26CEC"/>
    <w:rsid w:val="00E26F3E"/>
    <w:rsid w:val="00E271CB"/>
    <w:rsid w:val="00E27276"/>
    <w:rsid w:val="00E2739A"/>
    <w:rsid w:val="00E2779B"/>
    <w:rsid w:val="00E27A99"/>
    <w:rsid w:val="00E27DDD"/>
    <w:rsid w:val="00E27DE2"/>
    <w:rsid w:val="00E27DFB"/>
    <w:rsid w:val="00E27E2D"/>
    <w:rsid w:val="00E27FCE"/>
    <w:rsid w:val="00E305F3"/>
    <w:rsid w:val="00E306A2"/>
    <w:rsid w:val="00E30D3E"/>
    <w:rsid w:val="00E30E0A"/>
    <w:rsid w:val="00E31995"/>
    <w:rsid w:val="00E31AE7"/>
    <w:rsid w:val="00E31BCF"/>
    <w:rsid w:val="00E31D1B"/>
    <w:rsid w:val="00E31F03"/>
    <w:rsid w:val="00E324CF"/>
    <w:rsid w:val="00E325B3"/>
    <w:rsid w:val="00E32A24"/>
    <w:rsid w:val="00E32BE6"/>
    <w:rsid w:val="00E32C71"/>
    <w:rsid w:val="00E3314A"/>
    <w:rsid w:val="00E3314B"/>
    <w:rsid w:val="00E33283"/>
    <w:rsid w:val="00E3363C"/>
    <w:rsid w:val="00E336C6"/>
    <w:rsid w:val="00E33701"/>
    <w:rsid w:val="00E3390E"/>
    <w:rsid w:val="00E33C7C"/>
    <w:rsid w:val="00E33E08"/>
    <w:rsid w:val="00E340E4"/>
    <w:rsid w:val="00E3410E"/>
    <w:rsid w:val="00E341F1"/>
    <w:rsid w:val="00E34286"/>
    <w:rsid w:val="00E34397"/>
    <w:rsid w:val="00E349C8"/>
    <w:rsid w:val="00E3517E"/>
    <w:rsid w:val="00E3563A"/>
    <w:rsid w:val="00E35782"/>
    <w:rsid w:val="00E35885"/>
    <w:rsid w:val="00E35EE6"/>
    <w:rsid w:val="00E361A5"/>
    <w:rsid w:val="00E36260"/>
    <w:rsid w:val="00E36284"/>
    <w:rsid w:val="00E36543"/>
    <w:rsid w:val="00E36657"/>
    <w:rsid w:val="00E36742"/>
    <w:rsid w:val="00E36757"/>
    <w:rsid w:val="00E3675E"/>
    <w:rsid w:val="00E36A55"/>
    <w:rsid w:val="00E36F94"/>
    <w:rsid w:val="00E36FCE"/>
    <w:rsid w:val="00E37112"/>
    <w:rsid w:val="00E37210"/>
    <w:rsid w:val="00E37330"/>
    <w:rsid w:val="00E378DE"/>
    <w:rsid w:val="00E37981"/>
    <w:rsid w:val="00E37AF6"/>
    <w:rsid w:val="00E37D65"/>
    <w:rsid w:val="00E37DD2"/>
    <w:rsid w:val="00E37EED"/>
    <w:rsid w:val="00E402C7"/>
    <w:rsid w:val="00E4036E"/>
    <w:rsid w:val="00E4059F"/>
    <w:rsid w:val="00E40A56"/>
    <w:rsid w:val="00E40BBD"/>
    <w:rsid w:val="00E40D56"/>
    <w:rsid w:val="00E40E19"/>
    <w:rsid w:val="00E40E76"/>
    <w:rsid w:val="00E41350"/>
    <w:rsid w:val="00E41710"/>
    <w:rsid w:val="00E41BD6"/>
    <w:rsid w:val="00E41CE4"/>
    <w:rsid w:val="00E42221"/>
    <w:rsid w:val="00E424FB"/>
    <w:rsid w:val="00E4287E"/>
    <w:rsid w:val="00E429D0"/>
    <w:rsid w:val="00E42FCD"/>
    <w:rsid w:val="00E430E4"/>
    <w:rsid w:val="00E431B8"/>
    <w:rsid w:val="00E43330"/>
    <w:rsid w:val="00E4363B"/>
    <w:rsid w:val="00E43789"/>
    <w:rsid w:val="00E43AB4"/>
    <w:rsid w:val="00E43B41"/>
    <w:rsid w:val="00E43EEA"/>
    <w:rsid w:val="00E43F70"/>
    <w:rsid w:val="00E44055"/>
    <w:rsid w:val="00E446D0"/>
    <w:rsid w:val="00E447F2"/>
    <w:rsid w:val="00E448EE"/>
    <w:rsid w:val="00E44ACA"/>
    <w:rsid w:val="00E44AD1"/>
    <w:rsid w:val="00E45066"/>
    <w:rsid w:val="00E45067"/>
    <w:rsid w:val="00E45356"/>
    <w:rsid w:val="00E45367"/>
    <w:rsid w:val="00E45409"/>
    <w:rsid w:val="00E45614"/>
    <w:rsid w:val="00E456E9"/>
    <w:rsid w:val="00E458A7"/>
    <w:rsid w:val="00E46004"/>
    <w:rsid w:val="00E4643D"/>
    <w:rsid w:val="00E464C6"/>
    <w:rsid w:val="00E4662A"/>
    <w:rsid w:val="00E46711"/>
    <w:rsid w:val="00E4671E"/>
    <w:rsid w:val="00E46AA7"/>
    <w:rsid w:val="00E46BCF"/>
    <w:rsid w:val="00E46C48"/>
    <w:rsid w:val="00E46EE4"/>
    <w:rsid w:val="00E46FC6"/>
    <w:rsid w:val="00E47104"/>
    <w:rsid w:val="00E47C0B"/>
    <w:rsid w:val="00E47E56"/>
    <w:rsid w:val="00E47EDA"/>
    <w:rsid w:val="00E50107"/>
    <w:rsid w:val="00E50197"/>
    <w:rsid w:val="00E503E0"/>
    <w:rsid w:val="00E5095C"/>
    <w:rsid w:val="00E50A2B"/>
    <w:rsid w:val="00E50C61"/>
    <w:rsid w:val="00E50E8D"/>
    <w:rsid w:val="00E50F98"/>
    <w:rsid w:val="00E51247"/>
    <w:rsid w:val="00E51423"/>
    <w:rsid w:val="00E51683"/>
    <w:rsid w:val="00E517D8"/>
    <w:rsid w:val="00E51C91"/>
    <w:rsid w:val="00E51CBD"/>
    <w:rsid w:val="00E51F14"/>
    <w:rsid w:val="00E52008"/>
    <w:rsid w:val="00E520DD"/>
    <w:rsid w:val="00E52214"/>
    <w:rsid w:val="00E52365"/>
    <w:rsid w:val="00E525DD"/>
    <w:rsid w:val="00E52783"/>
    <w:rsid w:val="00E52C05"/>
    <w:rsid w:val="00E52C69"/>
    <w:rsid w:val="00E52E23"/>
    <w:rsid w:val="00E531FD"/>
    <w:rsid w:val="00E533C0"/>
    <w:rsid w:val="00E53919"/>
    <w:rsid w:val="00E53CBF"/>
    <w:rsid w:val="00E53D62"/>
    <w:rsid w:val="00E53E52"/>
    <w:rsid w:val="00E53EFA"/>
    <w:rsid w:val="00E53F20"/>
    <w:rsid w:val="00E53F54"/>
    <w:rsid w:val="00E54004"/>
    <w:rsid w:val="00E540FB"/>
    <w:rsid w:val="00E54239"/>
    <w:rsid w:val="00E54358"/>
    <w:rsid w:val="00E5460C"/>
    <w:rsid w:val="00E5472D"/>
    <w:rsid w:val="00E54BD9"/>
    <w:rsid w:val="00E54D37"/>
    <w:rsid w:val="00E5503C"/>
    <w:rsid w:val="00E55051"/>
    <w:rsid w:val="00E552BB"/>
    <w:rsid w:val="00E55311"/>
    <w:rsid w:val="00E55528"/>
    <w:rsid w:val="00E55545"/>
    <w:rsid w:val="00E5555E"/>
    <w:rsid w:val="00E559BE"/>
    <w:rsid w:val="00E559F5"/>
    <w:rsid w:val="00E55C69"/>
    <w:rsid w:val="00E55FA9"/>
    <w:rsid w:val="00E560D1"/>
    <w:rsid w:val="00E56140"/>
    <w:rsid w:val="00E56568"/>
    <w:rsid w:val="00E56703"/>
    <w:rsid w:val="00E568A4"/>
    <w:rsid w:val="00E56DCA"/>
    <w:rsid w:val="00E56F94"/>
    <w:rsid w:val="00E57009"/>
    <w:rsid w:val="00E57101"/>
    <w:rsid w:val="00E571C4"/>
    <w:rsid w:val="00E57332"/>
    <w:rsid w:val="00E573E2"/>
    <w:rsid w:val="00E574C4"/>
    <w:rsid w:val="00E5759D"/>
    <w:rsid w:val="00E576DD"/>
    <w:rsid w:val="00E60078"/>
    <w:rsid w:val="00E604D2"/>
    <w:rsid w:val="00E607B8"/>
    <w:rsid w:val="00E609EA"/>
    <w:rsid w:val="00E60B90"/>
    <w:rsid w:val="00E60CB3"/>
    <w:rsid w:val="00E60D76"/>
    <w:rsid w:val="00E60ED2"/>
    <w:rsid w:val="00E61035"/>
    <w:rsid w:val="00E6125C"/>
    <w:rsid w:val="00E615E7"/>
    <w:rsid w:val="00E618A5"/>
    <w:rsid w:val="00E61A65"/>
    <w:rsid w:val="00E61C17"/>
    <w:rsid w:val="00E61D93"/>
    <w:rsid w:val="00E61FB2"/>
    <w:rsid w:val="00E620C3"/>
    <w:rsid w:val="00E620F6"/>
    <w:rsid w:val="00E62176"/>
    <w:rsid w:val="00E6293D"/>
    <w:rsid w:val="00E629A9"/>
    <w:rsid w:val="00E62A05"/>
    <w:rsid w:val="00E62CE2"/>
    <w:rsid w:val="00E62D1B"/>
    <w:rsid w:val="00E62DEE"/>
    <w:rsid w:val="00E62E1C"/>
    <w:rsid w:val="00E63475"/>
    <w:rsid w:val="00E63638"/>
    <w:rsid w:val="00E639FE"/>
    <w:rsid w:val="00E63B26"/>
    <w:rsid w:val="00E63BD1"/>
    <w:rsid w:val="00E63D46"/>
    <w:rsid w:val="00E63ED7"/>
    <w:rsid w:val="00E63F54"/>
    <w:rsid w:val="00E641A0"/>
    <w:rsid w:val="00E64411"/>
    <w:rsid w:val="00E64785"/>
    <w:rsid w:val="00E64C0F"/>
    <w:rsid w:val="00E64CC3"/>
    <w:rsid w:val="00E652F6"/>
    <w:rsid w:val="00E65600"/>
    <w:rsid w:val="00E65B2D"/>
    <w:rsid w:val="00E66101"/>
    <w:rsid w:val="00E6635C"/>
    <w:rsid w:val="00E665E0"/>
    <w:rsid w:val="00E668B3"/>
    <w:rsid w:val="00E66A76"/>
    <w:rsid w:val="00E66B54"/>
    <w:rsid w:val="00E66B66"/>
    <w:rsid w:val="00E6709B"/>
    <w:rsid w:val="00E674A8"/>
    <w:rsid w:val="00E6751C"/>
    <w:rsid w:val="00E67643"/>
    <w:rsid w:val="00E677F2"/>
    <w:rsid w:val="00E6782C"/>
    <w:rsid w:val="00E6782D"/>
    <w:rsid w:val="00E67C38"/>
    <w:rsid w:val="00E67FB5"/>
    <w:rsid w:val="00E7019F"/>
    <w:rsid w:val="00E70391"/>
    <w:rsid w:val="00E7043A"/>
    <w:rsid w:val="00E70920"/>
    <w:rsid w:val="00E70932"/>
    <w:rsid w:val="00E709CA"/>
    <w:rsid w:val="00E70B20"/>
    <w:rsid w:val="00E70FF2"/>
    <w:rsid w:val="00E71106"/>
    <w:rsid w:val="00E71389"/>
    <w:rsid w:val="00E717DA"/>
    <w:rsid w:val="00E71A7F"/>
    <w:rsid w:val="00E71AD3"/>
    <w:rsid w:val="00E71DC6"/>
    <w:rsid w:val="00E71F23"/>
    <w:rsid w:val="00E72220"/>
    <w:rsid w:val="00E722D3"/>
    <w:rsid w:val="00E72316"/>
    <w:rsid w:val="00E72422"/>
    <w:rsid w:val="00E724DB"/>
    <w:rsid w:val="00E72A0E"/>
    <w:rsid w:val="00E72BAF"/>
    <w:rsid w:val="00E72BE4"/>
    <w:rsid w:val="00E72E8D"/>
    <w:rsid w:val="00E72ED0"/>
    <w:rsid w:val="00E7335C"/>
    <w:rsid w:val="00E73635"/>
    <w:rsid w:val="00E73645"/>
    <w:rsid w:val="00E73799"/>
    <w:rsid w:val="00E742D1"/>
    <w:rsid w:val="00E74469"/>
    <w:rsid w:val="00E744CE"/>
    <w:rsid w:val="00E74532"/>
    <w:rsid w:val="00E745B5"/>
    <w:rsid w:val="00E74F66"/>
    <w:rsid w:val="00E75009"/>
    <w:rsid w:val="00E751F7"/>
    <w:rsid w:val="00E7520E"/>
    <w:rsid w:val="00E75757"/>
    <w:rsid w:val="00E758F5"/>
    <w:rsid w:val="00E75A26"/>
    <w:rsid w:val="00E75A7D"/>
    <w:rsid w:val="00E75AD1"/>
    <w:rsid w:val="00E75B10"/>
    <w:rsid w:val="00E75E46"/>
    <w:rsid w:val="00E75E5D"/>
    <w:rsid w:val="00E7625F"/>
    <w:rsid w:val="00E76306"/>
    <w:rsid w:val="00E764D8"/>
    <w:rsid w:val="00E767F7"/>
    <w:rsid w:val="00E76D80"/>
    <w:rsid w:val="00E76FA1"/>
    <w:rsid w:val="00E773D1"/>
    <w:rsid w:val="00E774C3"/>
    <w:rsid w:val="00E77B88"/>
    <w:rsid w:val="00E77C7C"/>
    <w:rsid w:val="00E805C1"/>
    <w:rsid w:val="00E80700"/>
    <w:rsid w:val="00E808E7"/>
    <w:rsid w:val="00E80A03"/>
    <w:rsid w:val="00E80A15"/>
    <w:rsid w:val="00E80BCF"/>
    <w:rsid w:val="00E816C5"/>
    <w:rsid w:val="00E81844"/>
    <w:rsid w:val="00E81F28"/>
    <w:rsid w:val="00E820F9"/>
    <w:rsid w:val="00E82472"/>
    <w:rsid w:val="00E8254D"/>
    <w:rsid w:val="00E8295C"/>
    <w:rsid w:val="00E82B0F"/>
    <w:rsid w:val="00E82B2A"/>
    <w:rsid w:val="00E82F05"/>
    <w:rsid w:val="00E82FDE"/>
    <w:rsid w:val="00E83792"/>
    <w:rsid w:val="00E83BF1"/>
    <w:rsid w:val="00E83BF7"/>
    <w:rsid w:val="00E83D35"/>
    <w:rsid w:val="00E83DC6"/>
    <w:rsid w:val="00E83E2F"/>
    <w:rsid w:val="00E84737"/>
    <w:rsid w:val="00E84B00"/>
    <w:rsid w:val="00E84B3A"/>
    <w:rsid w:val="00E84C39"/>
    <w:rsid w:val="00E84D54"/>
    <w:rsid w:val="00E84DE4"/>
    <w:rsid w:val="00E84EBE"/>
    <w:rsid w:val="00E850C3"/>
    <w:rsid w:val="00E8530E"/>
    <w:rsid w:val="00E853CD"/>
    <w:rsid w:val="00E85645"/>
    <w:rsid w:val="00E85851"/>
    <w:rsid w:val="00E85A11"/>
    <w:rsid w:val="00E85AA0"/>
    <w:rsid w:val="00E860A5"/>
    <w:rsid w:val="00E8697F"/>
    <w:rsid w:val="00E86AC3"/>
    <w:rsid w:val="00E86C0E"/>
    <w:rsid w:val="00E87095"/>
    <w:rsid w:val="00E87578"/>
    <w:rsid w:val="00E875B2"/>
    <w:rsid w:val="00E876A0"/>
    <w:rsid w:val="00E87F09"/>
    <w:rsid w:val="00E903D0"/>
    <w:rsid w:val="00E90B31"/>
    <w:rsid w:val="00E90E24"/>
    <w:rsid w:val="00E90EA7"/>
    <w:rsid w:val="00E91607"/>
    <w:rsid w:val="00E91680"/>
    <w:rsid w:val="00E916E4"/>
    <w:rsid w:val="00E91807"/>
    <w:rsid w:val="00E91998"/>
    <w:rsid w:val="00E91A4E"/>
    <w:rsid w:val="00E91C12"/>
    <w:rsid w:val="00E91DEA"/>
    <w:rsid w:val="00E921B1"/>
    <w:rsid w:val="00E922F8"/>
    <w:rsid w:val="00E923CD"/>
    <w:rsid w:val="00E924F1"/>
    <w:rsid w:val="00E92D98"/>
    <w:rsid w:val="00E92E0C"/>
    <w:rsid w:val="00E92F7E"/>
    <w:rsid w:val="00E930BB"/>
    <w:rsid w:val="00E9312E"/>
    <w:rsid w:val="00E93317"/>
    <w:rsid w:val="00E93379"/>
    <w:rsid w:val="00E93473"/>
    <w:rsid w:val="00E934A3"/>
    <w:rsid w:val="00E93A67"/>
    <w:rsid w:val="00E93A75"/>
    <w:rsid w:val="00E93D6E"/>
    <w:rsid w:val="00E93E86"/>
    <w:rsid w:val="00E93FE3"/>
    <w:rsid w:val="00E94021"/>
    <w:rsid w:val="00E9468F"/>
    <w:rsid w:val="00E94826"/>
    <w:rsid w:val="00E949BF"/>
    <w:rsid w:val="00E94A10"/>
    <w:rsid w:val="00E94FCB"/>
    <w:rsid w:val="00E95034"/>
    <w:rsid w:val="00E953C7"/>
    <w:rsid w:val="00E95709"/>
    <w:rsid w:val="00E9573B"/>
    <w:rsid w:val="00E957B8"/>
    <w:rsid w:val="00E95CE2"/>
    <w:rsid w:val="00E95D03"/>
    <w:rsid w:val="00E95E67"/>
    <w:rsid w:val="00E96259"/>
    <w:rsid w:val="00E962BF"/>
    <w:rsid w:val="00E96344"/>
    <w:rsid w:val="00E96528"/>
    <w:rsid w:val="00E96584"/>
    <w:rsid w:val="00E96852"/>
    <w:rsid w:val="00E96886"/>
    <w:rsid w:val="00E96A09"/>
    <w:rsid w:val="00E96B03"/>
    <w:rsid w:val="00E96B6C"/>
    <w:rsid w:val="00E96C49"/>
    <w:rsid w:val="00E96DBD"/>
    <w:rsid w:val="00E96DE4"/>
    <w:rsid w:val="00E96EAF"/>
    <w:rsid w:val="00E9728B"/>
    <w:rsid w:val="00E97916"/>
    <w:rsid w:val="00E97C21"/>
    <w:rsid w:val="00E97C65"/>
    <w:rsid w:val="00E97CB9"/>
    <w:rsid w:val="00E97DDD"/>
    <w:rsid w:val="00E97E6D"/>
    <w:rsid w:val="00E97FD4"/>
    <w:rsid w:val="00EA0125"/>
    <w:rsid w:val="00EA0147"/>
    <w:rsid w:val="00EA0537"/>
    <w:rsid w:val="00EA07FB"/>
    <w:rsid w:val="00EA0881"/>
    <w:rsid w:val="00EA0943"/>
    <w:rsid w:val="00EA0D0A"/>
    <w:rsid w:val="00EA1254"/>
    <w:rsid w:val="00EA162E"/>
    <w:rsid w:val="00EA1A8A"/>
    <w:rsid w:val="00EA1BDF"/>
    <w:rsid w:val="00EA1D1A"/>
    <w:rsid w:val="00EA1FA7"/>
    <w:rsid w:val="00EA2117"/>
    <w:rsid w:val="00EA21BC"/>
    <w:rsid w:val="00EA23CC"/>
    <w:rsid w:val="00EA2498"/>
    <w:rsid w:val="00EA254B"/>
    <w:rsid w:val="00EA28F1"/>
    <w:rsid w:val="00EA29FB"/>
    <w:rsid w:val="00EA2A69"/>
    <w:rsid w:val="00EA2CAF"/>
    <w:rsid w:val="00EA3189"/>
    <w:rsid w:val="00EA31E0"/>
    <w:rsid w:val="00EA35F4"/>
    <w:rsid w:val="00EA379C"/>
    <w:rsid w:val="00EA3889"/>
    <w:rsid w:val="00EA38C7"/>
    <w:rsid w:val="00EA3A14"/>
    <w:rsid w:val="00EA3B94"/>
    <w:rsid w:val="00EA3C27"/>
    <w:rsid w:val="00EA470D"/>
    <w:rsid w:val="00EA4797"/>
    <w:rsid w:val="00EA49D3"/>
    <w:rsid w:val="00EA4A03"/>
    <w:rsid w:val="00EA4A48"/>
    <w:rsid w:val="00EA4AAF"/>
    <w:rsid w:val="00EA4B4A"/>
    <w:rsid w:val="00EA51B7"/>
    <w:rsid w:val="00EA52E4"/>
    <w:rsid w:val="00EA5774"/>
    <w:rsid w:val="00EA59C5"/>
    <w:rsid w:val="00EA5B8A"/>
    <w:rsid w:val="00EA5E9C"/>
    <w:rsid w:val="00EA5EA1"/>
    <w:rsid w:val="00EA6149"/>
    <w:rsid w:val="00EA6407"/>
    <w:rsid w:val="00EA6849"/>
    <w:rsid w:val="00EA6AD3"/>
    <w:rsid w:val="00EA6DD0"/>
    <w:rsid w:val="00EA72AC"/>
    <w:rsid w:val="00EA761A"/>
    <w:rsid w:val="00EA7854"/>
    <w:rsid w:val="00EA78B4"/>
    <w:rsid w:val="00EA79E2"/>
    <w:rsid w:val="00EA7C19"/>
    <w:rsid w:val="00EA7CDA"/>
    <w:rsid w:val="00EA7CEC"/>
    <w:rsid w:val="00EA7E98"/>
    <w:rsid w:val="00EAFC4E"/>
    <w:rsid w:val="00EB01BE"/>
    <w:rsid w:val="00EB01E7"/>
    <w:rsid w:val="00EB07B5"/>
    <w:rsid w:val="00EB0970"/>
    <w:rsid w:val="00EB0AB1"/>
    <w:rsid w:val="00EB0B2D"/>
    <w:rsid w:val="00EB0BEF"/>
    <w:rsid w:val="00EB0C93"/>
    <w:rsid w:val="00EB0CB1"/>
    <w:rsid w:val="00EB0D15"/>
    <w:rsid w:val="00EB0FD3"/>
    <w:rsid w:val="00EB0FE6"/>
    <w:rsid w:val="00EB12E9"/>
    <w:rsid w:val="00EB15F8"/>
    <w:rsid w:val="00EB19FE"/>
    <w:rsid w:val="00EB1AC9"/>
    <w:rsid w:val="00EB1AFD"/>
    <w:rsid w:val="00EB1BDA"/>
    <w:rsid w:val="00EB1CBF"/>
    <w:rsid w:val="00EB1DA7"/>
    <w:rsid w:val="00EB1E76"/>
    <w:rsid w:val="00EB20C6"/>
    <w:rsid w:val="00EB210F"/>
    <w:rsid w:val="00EB239D"/>
    <w:rsid w:val="00EB24B9"/>
    <w:rsid w:val="00EB2C2F"/>
    <w:rsid w:val="00EB2C93"/>
    <w:rsid w:val="00EB2E97"/>
    <w:rsid w:val="00EB2F30"/>
    <w:rsid w:val="00EB2FC6"/>
    <w:rsid w:val="00EB33B5"/>
    <w:rsid w:val="00EB3552"/>
    <w:rsid w:val="00EB362A"/>
    <w:rsid w:val="00EB395A"/>
    <w:rsid w:val="00EB3BEA"/>
    <w:rsid w:val="00EB401B"/>
    <w:rsid w:val="00EB464C"/>
    <w:rsid w:val="00EB4B72"/>
    <w:rsid w:val="00EB4C7B"/>
    <w:rsid w:val="00EB4CEB"/>
    <w:rsid w:val="00EB51E9"/>
    <w:rsid w:val="00EB5514"/>
    <w:rsid w:val="00EB56E1"/>
    <w:rsid w:val="00EB57EB"/>
    <w:rsid w:val="00EB595F"/>
    <w:rsid w:val="00EB59C0"/>
    <w:rsid w:val="00EB5D61"/>
    <w:rsid w:val="00EB5F15"/>
    <w:rsid w:val="00EB60A7"/>
    <w:rsid w:val="00EB62FA"/>
    <w:rsid w:val="00EB6669"/>
    <w:rsid w:val="00EB6B63"/>
    <w:rsid w:val="00EB6BF4"/>
    <w:rsid w:val="00EB6C3E"/>
    <w:rsid w:val="00EB6E22"/>
    <w:rsid w:val="00EB6E34"/>
    <w:rsid w:val="00EB6F59"/>
    <w:rsid w:val="00EB6FC6"/>
    <w:rsid w:val="00EB7023"/>
    <w:rsid w:val="00EB7438"/>
    <w:rsid w:val="00EB74E1"/>
    <w:rsid w:val="00EB751F"/>
    <w:rsid w:val="00EB770F"/>
    <w:rsid w:val="00EB7C61"/>
    <w:rsid w:val="00EB7D00"/>
    <w:rsid w:val="00EC00EE"/>
    <w:rsid w:val="00EC033F"/>
    <w:rsid w:val="00EC0663"/>
    <w:rsid w:val="00EC0D83"/>
    <w:rsid w:val="00EC0E2D"/>
    <w:rsid w:val="00EC0E75"/>
    <w:rsid w:val="00EC0F3C"/>
    <w:rsid w:val="00EC12AD"/>
    <w:rsid w:val="00EC1323"/>
    <w:rsid w:val="00EC137E"/>
    <w:rsid w:val="00EC1653"/>
    <w:rsid w:val="00EC18CD"/>
    <w:rsid w:val="00EC1962"/>
    <w:rsid w:val="00EC1B7F"/>
    <w:rsid w:val="00EC1BA1"/>
    <w:rsid w:val="00EC1C8D"/>
    <w:rsid w:val="00EC1F2B"/>
    <w:rsid w:val="00EC1F36"/>
    <w:rsid w:val="00EC1F5E"/>
    <w:rsid w:val="00EC2153"/>
    <w:rsid w:val="00EC215D"/>
    <w:rsid w:val="00EC2225"/>
    <w:rsid w:val="00EC233E"/>
    <w:rsid w:val="00EC2431"/>
    <w:rsid w:val="00EC2472"/>
    <w:rsid w:val="00EC24AB"/>
    <w:rsid w:val="00EC28AE"/>
    <w:rsid w:val="00EC29D5"/>
    <w:rsid w:val="00EC29E8"/>
    <w:rsid w:val="00EC2D8D"/>
    <w:rsid w:val="00EC2F22"/>
    <w:rsid w:val="00EC34F7"/>
    <w:rsid w:val="00EC36E6"/>
    <w:rsid w:val="00EC3755"/>
    <w:rsid w:val="00EC3A2E"/>
    <w:rsid w:val="00EC437B"/>
    <w:rsid w:val="00EC483B"/>
    <w:rsid w:val="00EC4A73"/>
    <w:rsid w:val="00EC4A92"/>
    <w:rsid w:val="00EC4F2C"/>
    <w:rsid w:val="00EC50D4"/>
    <w:rsid w:val="00EC54B1"/>
    <w:rsid w:val="00EC58C2"/>
    <w:rsid w:val="00EC5A2D"/>
    <w:rsid w:val="00EC5C4E"/>
    <w:rsid w:val="00EC5E31"/>
    <w:rsid w:val="00EC6174"/>
    <w:rsid w:val="00EC61A3"/>
    <w:rsid w:val="00EC6382"/>
    <w:rsid w:val="00EC6452"/>
    <w:rsid w:val="00EC65ED"/>
    <w:rsid w:val="00EC65F0"/>
    <w:rsid w:val="00EC676D"/>
    <w:rsid w:val="00EC6862"/>
    <w:rsid w:val="00EC6AAF"/>
    <w:rsid w:val="00EC6C30"/>
    <w:rsid w:val="00EC6F3E"/>
    <w:rsid w:val="00EC6FD2"/>
    <w:rsid w:val="00EC7069"/>
    <w:rsid w:val="00EC7149"/>
    <w:rsid w:val="00EC7191"/>
    <w:rsid w:val="00EC7417"/>
    <w:rsid w:val="00EC7566"/>
    <w:rsid w:val="00EC75BD"/>
    <w:rsid w:val="00EC7610"/>
    <w:rsid w:val="00EC769A"/>
    <w:rsid w:val="00EC79A3"/>
    <w:rsid w:val="00EC7CCD"/>
    <w:rsid w:val="00EC7FE0"/>
    <w:rsid w:val="00ED0035"/>
    <w:rsid w:val="00ED0083"/>
    <w:rsid w:val="00ED00E3"/>
    <w:rsid w:val="00ED0227"/>
    <w:rsid w:val="00ED05AF"/>
    <w:rsid w:val="00ED0683"/>
    <w:rsid w:val="00ED07C2"/>
    <w:rsid w:val="00ED0840"/>
    <w:rsid w:val="00ED0912"/>
    <w:rsid w:val="00ED0A81"/>
    <w:rsid w:val="00ED0B46"/>
    <w:rsid w:val="00ED0D16"/>
    <w:rsid w:val="00ED1110"/>
    <w:rsid w:val="00ED131C"/>
    <w:rsid w:val="00ED1326"/>
    <w:rsid w:val="00ED1347"/>
    <w:rsid w:val="00ED1370"/>
    <w:rsid w:val="00ED182E"/>
    <w:rsid w:val="00ED1993"/>
    <w:rsid w:val="00ED1A64"/>
    <w:rsid w:val="00ED1C05"/>
    <w:rsid w:val="00ED20FF"/>
    <w:rsid w:val="00ED2511"/>
    <w:rsid w:val="00ED2558"/>
    <w:rsid w:val="00ED2634"/>
    <w:rsid w:val="00ED27AE"/>
    <w:rsid w:val="00ED2D20"/>
    <w:rsid w:val="00ED30C0"/>
    <w:rsid w:val="00ED34BB"/>
    <w:rsid w:val="00ED3D81"/>
    <w:rsid w:val="00ED3F56"/>
    <w:rsid w:val="00ED4107"/>
    <w:rsid w:val="00ED429C"/>
    <w:rsid w:val="00ED4B4D"/>
    <w:rsid w:val="00ED4D4D"/>
    <w:rsid w:val="00ED4DFF"/>
    <w:rsid w:val="00ED4E51"/>
    <w:rsid w:val="00ED4E5C"/>
    <w:rsid w:val="00ED5038"/>
    <w:rsid w:val="00ED509F"/>
    <w:rsid w:val="00ED51DA"/>
    <w:rsid w:val="00ED5245"/>
    <w:rsid w:val="00ED52CF"/>
    <w:rsid w:val="00ED538F"/>
    <w:rsid w:val="00ED550E"/>
    <w:rsid w:val="00ED55A5"/>
    <w:rsid w:val="00ED562E"/>
    <w:rsid w:val="00ED5659"/>
    <w:rsid w:val="00ED566F"/>
    <w:rsid w:val="00ED56FB"/>
    <w:rsid w:val="00ED5748"/>
    <w:rsid w:val="00ED5979"/>
    <w:rsid w:val="00ED607F"/>
    <w:rsid w:val="00ED6158"/>
    <w:rsid w:val="00ED6309"/>
    <w:rsid w:val="00ED6326"/>
    <w:rsid w:val="00ED6385"/>
    <w:rsid w:val="00ED63D6"/>
    <w:rsid w:val="00ED6636"/>
    <w:rsid w:val="00ED6651"/>
    <w:rsid w:val="00ED691C"/>
    <w:rsid w:val="00ED69C6"/>
    <w:rsid w:val="00ED6A52"/>
    <w:rsid w:val="00ED6BD1"/>
    <w:rsid w:val="00ED6CE8"/>
    <w:rsid w:val="00ED7098"/>
    <w:rsid w:val="00ED770F"/>
    <w:rsid w:val="00ED78B4"/>
    <w:rsid w:val="00ED7907"/>
    <w:rsid w:val="00ED7D5B"/>
    <w:rsid w:val="00ED7EBC"/>
    <w:rsid w:val="00EE0337"/>
    <w:rsid w:val="00EE0419"/>
    <w:rsid w:val="00EE0729"/>
    <w:rsid w:val="00EE0E08"/>
    <w:rsid w:val="00EE0F73"/>
    <w:rsid w:val="00EE1442"/>
    <w:rsid w:val="00EE14D1"/>
    <w:rsid w:val="00EE1502"/>
    <w:rsid w:val="00EE17F2"/>
    <w:rsid w:val="00EE1856"/>
    <w:rsid w:val="00EE21A4"/>
    <w:rsid w:val="00EE264A"/>
    <w:rsid w:val="00EE269D"/>
    <w:rsid w:val="00EE2956"/>
    <w:rsid w:val="00EE2979"/>
    <w:rsid w:val="00EE2AD1"/>
    <w:rsid w:val="00EE30AE"/>
    <w:rsid w:val="00EE33B2"/>
    <w:rsid w:val="00EE3412"/>
    <w:rsid w:val="00EE36D5"/>
    <w:rsid w:val="00EE38AE"/>
    <w:rsid w:val="00EE3A66"/>
    <w:rsid w:val="00EE3B1B"/>
    <w:rsid w:val="00EE40B0"/>
    <w:rsid w:val="00EE4355"/>
    <w:rsid w:val="00EE4A9B"/>
    <w:rsid w:val="00EE4B0F"/>
    <w:rsid w:val="00EE4B81"/>
    <w:rsid w:val="00EE4E67"/>
    <w:rsid w:val="00EE4F2E"/>
    <w:rsid w:val="00EE50B3"/>
    <w:rsid w:val="00EE5640"/>
    <w:rsid w:val="00EE572C"/>
    <w:rsid w:val="00EE573E"/>
    <w:rsid w:val="00EE58AA"/>
    <w:rsid w:val="00EE595F"/>
    <w:rsid w:val="00EE5BD3"/>
    <w:rsid w:val="00EE5C0D"/>
    <w:rsid w:val="00EE5CB4"/>
    <w:rsid w:val="00EE5D98"/>
    <w:rsid w:val="00EE6216"/>
    <w:rsid w:val="00EE6451"/>
    <w:rsid w:val="00EE6584"/>
    <w:rsid w:val="00EE68CD"/>
    <w:rsid w:val="00EE702E"/>
    <w:rsid w:val="00EE7053"/>
    <w:rsid w:val="00EE7070"/>
    <w:rsid w:val="00EE70C8"/>
    <w:rsid w:val="00EE71B9"/>
    <w:rsid w:val="00EE7323"/>
    <w:rsid w:val="00EE751E"/>
    <w:rsid w:val="00EE75C2"/>
    <w:rsid w:val="00EE7916"/>
    <w:rsid w:val="00EE7CDF"/>
    <w:rsid w:val="00EE7EFD"/>
    <w:rsid w:val="00EF0133"/>
    <w:rsid w:val="00EF01C4"/>
    <w:rsid w:val="00EF066A"/>
    <w:rsid w:val="00EF08D5"/>
    <w:rsid w:val="00EF0FA1"/>
    <w:rsid w:val="00EF1070"/>
    <w:rsid w:val="00EF13F1"/>
    <w:rsid w:val="00EF1559"/>
    <w:rsid w:val="00EF15C4"/>
    <w:rsid w:val="00EF1626"/>
    <w:rsid w:val="00EF17BD"/>
    <w:rsid w:val="00EF17C8"/>
    <w:rsid w:val="00EF1901"/>
    <w:rsid w:val="00EF1960"/>
    <w:rsid w:val="00EF1A2E"/>
    <w:rsid w:val="00EF1ECC"/>
    <w:rsid w:val="00EF1F0D"/>
    <w:rsid w:val="00EF23BD"/>
    <w:rsid w:val="00EF23C3"/>
    <w:rsid w:val="00EF263E"/>
    <w:rsid w:val="00EF284E"/>
    <w:rsid w:val="00EF2A47"/>
    <w:rsid w:val="00EF2D4B"/>
    <w:rsid w:val="00EF2E14"/>
    <w:rsid w:val="00EF30AB"/>
    <w:rsid w:val="00EF3727"/>
    <w:rsid w:val="00EF375C"/>
    <w:rsid w:val="00EF383E"/>
    <w:rsid w:val="00EF3D7E"/>
    <w:rsid w:val="00EF3F16"/>
    <w:rsid w:val="00EF4485"/>
    <w:rsid w:val="00EF4518"/>
    <w:rsid w:val="00EF4544"/>
    <w:rsid w:val="00EF470A"/>
    <w:rsid w:val="00EF483D"/>
    <w:rsid w:val="00EF48C8"/>
    <w:rsid w:val="00EF4A79"/>
    <w:rsid w:val="00EF4AC0"/>
    <w:rsid w:val="00EF4C50"/>
    <w:rsid w:val="00EF4CC6"/>
    <w:rsid w:val="00EF4DE1"/>
    <w:rsid w:val="00EF504F"/>
    <w:rsid w:val="00EF509E"/>
    <w:rsid w:val="00EF5357"/>
    <w:rsid w:val="00EF5394"/>
    <w:rsid w:val="00EF5450"/>
    <w:rsid w:val="00EF577C"/>
    <w:rsid w:val="00EF57BD"/>
    <w:rsid w:val="00EF5BD7"/>
    <w:rsid w:val="00EF5DA1"/>
    <w:rsid w:val="00EF61FC"/>
    <w:rsid w:val="00EF63AA"/>
    <w:rsid w:val="00EF6540"/>
    <w:rsid w:val="00EF6868"/>
    <w:rsid w:val="00EF6A2F"/>
    <w:rsid w:val="00EF6B5A"/>
    <w:rsid w:val="00EF6B6D"/>
    <w:rsid w:val="00EF6E2F"/>
    <w:rsid w:val="00EF6F7E"/>
    <w:rsid w:val="00EF6F86"/>
    <w:rsid w:val="00EF7239"/>
    <w:rsid w:val="00EF7A31"/>
    <w:rsid w:val="00EF7AC6"/>
    <w:rsid w:val="00EF7ADE"/>
    <w:rsid w:val="00EF7BBE"/>
    <w:rsid w:val="00F0003A"/>
    <w:rsid w:val="00F001D0"/>
    <w:rsid w:val="00F003AE"/>
    <w:rsid w:val="00F0041E"/>
    <w:rsid w:val="00F008DC"/>
    <w:rsid w:val="00F00BA0"/>
    <w:rsid w:val="00F01197"/>
    <w:rsid w:val="00F011E0"/>
    <w:rsid w:val="00F01AD5"/>
    <w:rsid w:val="00F01EBB"/>
    <w:rsid w:val="00F01FDE"/>
    <w:rsid w:val="00F0218B"/>
    <w:rsid w:val="00F024A9"/>
    <w:rsid w:val="00F0265F"/>
    <w:rsid w:val="00F029C6"/>
    <w:rsid w:val="00F029D1"/>
    <w:rsid w:val="00F02A45"/>
    <w:rsid w:val="00F02A4A"/>
    <w:rsid w:val="00F02D55"/>
    <w:rsid w:val="00F02E30"/>
    <w:rsid w:val="00F02E53"/>
    <w:rsid w:val="00F03166"/>
    <w:rsid w:val="00F034A6"/>
    <w:rsid w:val="00F035AA"/>
    <w:rsid w:val="00F035BE"/>
    <w:rsid w:val="00F03608"/>
    <w:rsid w:val="00F03AFC"/>
    <w:rsid w:val="00F03BD8"/>
    <w:rsid w:val="00F03C25"/>
    <w:rsid w:val="00F03DA5"/>
    <w:rsid w:val="00F04315"/>
    <w:rsid w:val="00F04387"/>
    <w:rsid w:val="00F043A9"/>
    <w:rsid w:val="00F0482A"/>
    <w:rsid w:val="00F04B5F"/>
    <w:rsid w:val="00F04BEC"/>
    <w:rsid w:val="00F04C25"/>
    <w:rsid w:val="00F04C59"/>
    <w:rsid w:val="00F04E85"/>
    <w:rsid w:val="00F050D2"/>
    <w:rsid w:val="00F052F1"/>
    <w:rsid w:val="00F05989"/>
    <w:rsid w:val="00F05A5F"/>
    <w:rsid w:val="00F05CCF"/>
    <w:rsid w:val="00F05D50"/>
    <w:rsid w:val="00F0634E"/>
    <w:rsid w:val="00F0669B"/>
    <w:rsid w:val="00F068A1"/>
    <w:rsid w:val="00F06CC9"/>
    <w:rsid w:val="00F06D70"/>
    <w:rsid w:val="00F06E25"/>
    <w:rsid w:val="00F06E7D"/>
    <w:rsid w:val="00F06E8A"/>
    <w:rsid w:val="00F06F71"/>
    <w:rsid w:val="00F0705F"/>
    <w:rsid w:val="00F07297"/>
    <w:rsid w:val="00F073CA"/>
    <w:rsid w:val="00F07C8E"/>
    <w:rsid w:val="00F07E07"/>
    <w:rsid w:val="00F07EAF"/>
    <w:rsid w:val="00F10084"/>
    <w:rsid w:val="00F1044D"/>
    <w:rsid w:val="00F105C9"/>
    <w:rsid w:val="00F10742"/>
    <w:rsid w:val="00F109DA"/>
    <w:rsid w:val="00F10C32"/>
    <w:rsid w:val="00F10D94"/>
    <w:rsid w:val="00F10FBD"/>
    <w:rsid w:val="00F1119B"/>
    <w:rsid w:val="00F11363"/>
    <w:rsid w:val="00F11389"/>
    <w:rsid w:val="00F116C9"/>
    <w:rsid w:val="00F117FD"/>
    <w:rsid w:val="00F11B10"/>
    <w:rsid w:val="00F11B56"/>
    <w:rsid w:val="00F11BBE"/>
    <w:rsid w:val="00F11F37"/>
    <w:rsid w:val="00F11F88"/>
    <w:rsid w:val="00F122BE"/>
    <w:rsid w:val="00F124B9"/>
    <w:rsid w:val="00F1259B"/>
    <w:rsid w:val="00F12618"/>
    <w:rsid w:val="00F12DA7"/>
    <w:rsid w:val="00F12E4F"/>
    <w:rsid w:val="00F12ECA"/>
    <w:rsid w:val="00F12F7F"/>
    <w:rsid w:val="00F13016"/>
    <w:rsid w:val="00F1314A"/>
    <w:rsid w:val="00F13169"/>
    <w:rsid w:val="00F13354"/>
    <w:rsid w:val="00F13A51"/>
    <w:rsid w:val="00F13C44"/>
    <w:rsid w:val="00F13D81"/>
    <w:rsid w:val="00F13E4D"/>
    <w:rsid w:val="00F14A18"/>
    <w:rsid w:val="00F14A5F"/>
    <w:rsid w:val="00F153A8"/>
    <w:rsid w:val="00F1590D"/>
    <w:rsid w:val="00F15BCD"/>
    <w:rsid w:val="00F15D5E"/>
    <w:rsid w:val="00F15D8A"/>
    <w:rsid w:val="00F15E92"/>
    <w:rsid w:val="00F15FAF"/>
    <w:rsid w:val="00F16126"/>
    <w:rsid w:val="00F16139"/>
    <w:rsid w:val="00F161AB"/>
    <w:rsid w:val="00F163E9"/>
    <w:rsid w:val="00F16417"/>
    <w:rsid w:val="00F16A3D"/>
    <w:rsid w:val="00F16C8E"/>
    <w:rsid w:val="00F16F34"/>
    <w:rsid w:val="00F1700C"/>
    <w:rsid w:val="00F17230"/>
    <w:rsid w:val="00F17498"/>
    <w:rsid w:val="00F1764E"/>
    <w:rsid w:val="00F1770A"/>
    <w:rsid w:val="00F1775B"/>
    <w:rsid w:val="00F1782E"/>
    <w:rsid w:val="00F179B5"/>
    <w:rsid w:val="00F17ABC"/>
    <w:rsid w:val="00F17C73"/>
    <w:rsid w:val="00F20254"/>
    <w:rsid w:val="00F20511"/>
    <w:rsid w:val="00F206C8"/>
    <w:rsid w:val="00F206F7"/>
    <w:rsid w:val="00F20F2C"/>
    <w:rsid w:val="00F20F50"/>
    <w:rsid w:val="00F20FF3"/>
    <w:rsid w:val="00F2132C"/>
    <w:rsid w:val="00F2139A"/>
    <w:rsid w:val="00F21492"/>
    <w:rsid w:val="00F214D1"/>
    <w:rsid w:val="00F214E4"/>
    <w:rsid w:val="00F21546"/>
    <w:rsid w:val="00F216BF"/>
    <w:rsid w:val="00F21860"/>
    <w:rsid w:val="00F21863"/>
    <w:rsid w:val="00F21878"/>
    <w:rsid w:val="00F218E8"/>
    <w:rsid w:val="00F21998"/>
    <w:rsid w:val="00F21A0C"/>
    <w:rsid w:val="00F21EEC"/>
    <w:rsid w:val="00F22388"/>
    <w:rsid w:val="00F22915"/>
    <w:rsid w:val="00F22A76"/>
    <w:rsid w:val="00F22A9B"/>
    <w:rsid w:val="00F22B7A"/>
    <w:rsid w:val="00F22C7D"/>
    <w:rsid w:val="00F23319"/>
    <w:rsid w:val="00F23692"/>
    <w:rsid w:val="00F23771"/>
    <w:rsid w:val="00F2378A"/>
    <w:rsid w:val="00F23E31"/>
    <w:rsid w:val="00F2402D"/>
    <w:rsid w:val="00F24073"/>
    <w:rsid w:val="00F240FC"/>
    <w:rsid w:val="00F2413C"/>
    <w:rsid w:val="00F241AC"/>
    <w:rsid w:val="00F24370"/>
    <w:rsid w:val="00F24384"/>
    <w:rsid w:val="00F243A9"/>
    <w:rsid w:val="00F244CA"/>
    <w:rsid w:val="00F245E1"/>
    <w:rsid w:val="00F24962"/>
    <w:rsid w:val="00F24C89"/>
    <w:rsid w:val="00F24D3E"/>
    <w:rsid w:val="00F24D77"/>
    <w:rsid w:val="00F24F8F"/>
    <w:rsid w:val="00F2503B"/>
    <w:rsid w:val="00F25080"/>
    <w:rsid w:val="00F25633"/>
    <w:rsid w:val="00F25703"/>
    <w:rsid w:val="00F25CD0"/>
    <w:rsid w:val="00F2656F"/>
    <w:rsid w:val="00F265C3"/>
    <w:rsid w:val="00F26635"/>
    <w:rsid w:val="00F266A7"/>
    <w:rsid w:val="00F2716C"/>
    <w:rsid w:val="00F274E4"/>
    <w:rsid w:val="00F27783"/>
    <w:rsid w:val="00F27A6D"/>
    <w:rsid w:val="00F27B6F"/>
    <w:rsid w:val="00F27BD5"/>
    <w:rsid w:val="00F27CCC"/>
    <w:rsid w:val="00F3020D"/>
    <w:rsid w:val="00F3034B"/>
    <w:rsid w:val="00F30623"/>
    <w:rsid w:val="00F3070F"/>
    <w:rsid w:val="00F309AC"/>
    <w:rsid w:val="00F30A6A"/>
    <w:rsid w:val="00F30C0F"/>
    <w:rsid w:val="00F30D18"/>
    <w:rsid w:val="00F30F43"/>
    <w:rsid w:val="00F30F5C"/>
    <w:rsid w:val="00F3107D"/>
    <w:rsid w:val="00F3107E"/>
    <w:rsid w:val="00F310F2"/>
    <w:rsid w:val="00F316CE"/>
    <w:rsid w:val="00F31AD3"/>
    <w:rsid w:val="00F31BE0"/>
    <w:rsid w:val="00F31C0E"/>
    <w:rsid w:val="00F31C5F"/>
    <w:rsid w:val="00F31CC2"/>
    <w:rsid w:val="00F32360"/>
    <w:rsid w:val="00F32419"/>
    <w:rsid w:val="00F3289E"/>
    <w:rsid w:val="00F32A24"/>
    <w:rsid w:val="00F32BA5"/>
    <w:rsid w:val="00F32CEC"/>
    <w:rsid w:val="00F33268"/>
    <w:rsid w:val="00F33367"/>
    <w:rsid w:val="00F333E3"/>
    <w:rsid w:val="00F33643"/>
    <w:rsid w:val="00F33C5F"/>
    <w:rsid w:val="00F33D1C"/>
    <w:rsid w:val="00F33D65"/>
    <w:rsid w:val="00F33D79"/>
    <w:rsid w:val="00F33EF2"/>
    <w:rsid w:val="00F34080"/>
    <w:rsid w:val="00F340D2"/>
    <w:rsid w:val="00F34198"/>
    <w:rsid w:val="00F341CE"/>
    <w:rsid w:val="00F344CE"/>
    <w:rsid w:val="00F34711"/>
    <w:rsid w:val="00F34C3A"/>
    <w:rsid w:val="00F34D0B"/>
    <w:rsid w:val="00F34DDA"/>
    <w:rsid w:val="00F34F19"/>
    <w:rsid w:val="00F351FE"/>
    <w:rsid w:val="00F3553C"/>
    <w:rsid w:val="00F357C5"/>
    <w:rsid w:val="00F357EE"/>
    <w:rsid w:val="00F35BE7"/>
    <w:rsid w:val="00F35EF8"/>
    <w:rsid w:val="00F36084"/>
    <w:rsid w:val="00F3617C"/>
    <w:rsid w:val="00F3624F"/>
    <w:rsid w:val="00F362B3"/>
    <w:rsid w:val="00F366C8"/>
    <w:rsid w:val="00F368D9"/>
    <w:rsid w:val="00F36968"/>
    <w:rsid w:val="00F369AF"/>
    <w:rsid w:val="00F36B9D"/>
    <w:rsid w:val="00F3711D"/>
    <w:rsid w:val="00F37161"/>
    <w:rsid w:val="00F37263"/>
    <w:rsid w:val="00F372EB"/>
    <w:rsid w:val="00F37356"/>
    <w:rsid w:val="00F375BA"/>
    <w:rsid w:val="00F3761F"/>
    <w:rsid w:val="00F37755"/>
    <w:rsid w:val="00F37A4A"/>
    <w:rsid w:val="00F37C4B"/>
    <w:rsid w:val="00F37E25"/>
    <w:rsid w:val="00F37FE2"/>
    <w:rsid w:val="00F4009B"/>
    <w:rsid w:val="00F4013D"/>
    <w:rsid w:val="00F4039A"/>
    <w:rsid w:val="00F4044F"/>
    <w:rsid w:val="00F406F9"/>
    <w:rsid w:val="00F40784"/>
    <w:rsid w:val="00F40A05"/>
    <w:rsid w:val="00F40E7B"/>
    <w:rsid w:val="00F40F15"/>
    <w:rsid w:val="00F41448"/>
    <w:rsid w:val="00F416B9"/>
    <w:rsid w:val="00F416BB"/>
    <w:rsid w:val="00F41823"/>
    <w:rsid w:val="00F41844"/>
    <w:rsid w:val="00F418B4"/>
    <w:rsid w:val="00F418E0"/>
    <w:rsid w:val="00F41926"/>
    <w:rsid w:val="00F4197B"/>
    <w:rsid w:val="00F41B8B"/>
    <w:rsid w:val="00F41CBC"/>
    <w:rsid w:val="00F421A4"/>
    <w:rsid w:val="00F4224E"/>
    <w:rsid w:val="00F424B6"/>
    <w:rsid w:val="00F4288B"/>
    <w:rsid w:val="00F428CE"/>
    <w:rsid w:val="00F42ADF"/>
    <w:rsid w:val="00F42BF8"/>
    <w:rsid w:val="00F43142"/>
    <w:rsid w:val="00F4317B"/>
    <w:rsid w:val="00F432FF"/>
    <w:rsid w:val="00F433BB"/>
    <w:rsid w:val="00F43668"/>
    <w:rsid w:val="00F436EA"/>
    <w:rsid w:val="00F43A1B"/>
    <w:rsid w:val="00F43D9A"/>
    <w:rsid w:val="00F44015"/>
    <w:rsid w:val="00F4456F"/>
    <w:rsid w:val="00F445EE"/>
    <w:rsid w:val="00F44E87"/>
    <w:rsid w:val="00F450A0"/>
    <w:rsid w:val="00F45179"/>
    <w:rsid w:val="00F45513"/>
    <w:rsid w:val="00F456EF"/>
    <w:rsid w:val="00F45986"/>
    <w:rsid w:val="00F45B4E"/>
    <w:rsid w:val="00F45BA8"/>
    <w:rsid w:val="00F46562"/>
    <w:rsid w:val="00F466D0"/>
    <w:rsid w:val="00F46704"/>
    <w:rsid w:val="00F46778"/>
    <w:rsid w:val="00F467FA"/>
    <w:rsid w:val="00F46960"/>
    <w:rsid w:val="00F46A87"/>
    <w:rsid w:val="00F46B3A"/>
    <w:rsid w:val="00F470B5"/>
    <w:rsid w:val="00F4725A"/>
    <w:rsid w:val="00F47398"/>
    <w:rsid w:val="00F47653"/>
    <w:rsid w:val="00F47747"/>
    <w:rsid w:val="00F477BC"/>
    <w:rsid w:val="00F47ABF"/>
    <w:rsid w:val="00F47B48"/>
    <w:rsid w:val="00F47D95"/>
    <w:rsid w:val="00F5010E"/>
    <w:rsid w:val="00F50162"/>
    <w:rsid w:val="00F508EF"/>
    <w:rsid w:val="00F509F5"/>
    <w:rsid w:val="00F50A70"/>
    <w:rsid w:val="00F50C48"/>
    <w:rsid w:val="00F50F59"/>
    <w:rsid w:val="00F50FAE"/>
    <w:rsid w:val="00F510DD"/>
    <w:rsid w:val="00F51A6C"/>
    <w:rsid w:val="00F51BBB"/>
    <w:rsid w:val="00F521B6"/>
    <w:rsid w:val="00F522B8"/>
    <w:rsid w:val="00F523AF"/>
    <w:rsid w:val="00F525E5"/>
    <w:rsid w:val="00F525E6"/>
    <w:rsid w:val="00F5277E"/>
    <w:rsid w:val="00F529E6"/>
    <w:rsid w:val="00F52A5A"/>
    <w:rsid w:val="00F52B3A"/>
    <w:rsid w:val="00F52C8F"/>
    <w:rsid w:val="00F52D12"/>
    <w:rsid w:val="00F52D5E"/>
    <w:rsid w:val="00F52DDD"/>
    <w:rsid w:val="00F52F8E"/>
    <w:rsid w:val="00F52FF3"/>
    <w:rsid w:val="00F53178"/>
    <w:rsid w:val="00F5317A"/>
    <w:rsid w:val="00F53206"/>
    <w:rsid w:val="00F5346F"/>
    <w:rsid w:val="00F537CE"/>
    <w:rsid w:val="00F539A3"/>
    <w:rsid w:val="00F53C97"/>
    <w:rsid w:val="00F53E3A"/>
    <w:rsid w:val="00F54413"/>
    <w:rsid w:val="00F5447C"/>
    <w:rsid w:val="00F54567"/>
    <w:rsid w:val="00F545FE"/>
    <w:rsid w:val="00F54828"/>
    <w:rsid w:val="00F54BA4"/>
    <w:rsid w:val="00F54E1B"/>
    <w:rsid w:val="00F552F9"/>
    <w:rsid w:val="00F5569A"/>
    <w:rsid w:val="00F5570C"/>
    <w:rsid w:val="00F55B81"/>
    <w:rsid w:val="00F55D1A"/>
    <w:rsid w:val="00F55F88"/>
    <w:rsid w:val="00F56677"/>
    <w:rsid w:val="00F56D39"/>
    <w:rsid w:val="00F571A7"/>
    <w:rsid w:val="00F57220"/>
    <w:rsid w:val="00F5735A"/>
    <w:rsid w:val="00F57584"/>
    <w:rsid w:val="00F5777A"/>
    <w:rsid w:val="00F577FE"/>
    <w:rsid w:val="00F57CAA"/>
    <w:rsid w:val="00F57FAC"/>
    <w:rsid w:val="00F60018"/>
    <w:rsid w:val="00F60150"/>
    <w:rsid w:val="00F6070E"/>
    <w:rsid w:val="00F60AA2"/>
    <w:rsid w:val="00F61250"/>
    <w:rsid w:val="00F61435"/>
    <w:rsid w:val="00F614F2"/>
    <w:rsid w:val="00F61626"/>
    <w:rsid w:val="00F617FD"/>
    <w:rsid w:val="00F61FBC"/>
    <w:rsid w:val="00F61FEC"/>
    <w:rsid w:val="00F62307"/>
    <w:rsid w:val="00F6262D"/>
    <w:rsid w:val="00F6268B"/>
    <w:rsid w:val="00F62744"/>
    <w:rsid w:val="00F62760"/>
    <w:rsid w:val="00F6285C"/>
    <w:rsid w:val="00F62A26"/>
    <w:rsid w:val="00F62B28"/>
    <w:rsid w:val="00F62EBA"/>
    <w:rsid w:val="00F62F18"/>
    <w:rsid w:val="00F632D4"/>
    <w:rsid w:val="00F633F3"/>
    <w:rsid w:val="00F63632"/>
    <w:rsid w:val="00F636AB"/>
    <w:rsid w:val="00F639D0"/>
    <w:rsid w:val="00F63B79"/>
    <w:rsid w:val="00F63B93"/>
    <w:rsid w:val="00F63BFB"/>
    <w:rsid w:val="00F63C50"/>
    <w:rsid w:val="00F63CA7"/>
    <w:rsid w:val="00F63DB4"/>
    <w:rsid w:val="00F63E01"/>
    <w:rsid w:val="00F644C5"/>
    <w:rsid w:val="00F64AB2"/>
    <w:rsid w:val="00F64AFC"/>
    <w:rsid w:val="00F64B72"/>
    <w:rsid w:val="00F64BD7"/>
    <w:rsid w:val="00F64CBE"/>
    <w:rsid w:val="00F64EB0"/>
    <w:rsid w:val="00F64FC2"/>
    <w:rsid w:val="00F6516F"/>
    <w:rsid w:val="00F655B7"/>
    <w:rsid w:val="00F65945"/>
    <w:rsid w:val="00F65C73"/>
    <w:rsid w:val="00F65F65"/>
    <w:rsid w:val="00F66363"/>
    <w:rsid w:val="00F6674D"/>
    <w:rsid w:val="00F667A6"/>
    <w:rsid w:val="00F66B5F"/>
    <w:rsid w:val="00F66C49"/>
    <w:rsid w:val="00F66E79"/>
    <w:rsid w:val="00F6738C"/>
    <w:rsid w:val="00F6744C"/>
    <w:rsid w:val="00F676BD"/>
    <w:rsid w:val="00F67749"/>
    <w:rsid w:val="00F67789"/>
    <w:rsid w:val="00F6796A"/>
    <w:rsid w:val="00F67A0B"/>
    <w:rsid w:val="00F67CC1"/>
    <w:rsid w:val="00F70118"/>
    <w:rsid w:val="00F70128"/>
    <w:rsid w:val="00F70171"/>
    <w:rsid w:val="00F70451"/>
    <w:rsid w:val="00F70627"/>
    <w:rsid w:val="00F706E9"/>
    <w:rsid w:val="00F70B5F"/>
    <w:rsid w:val="00F70D09"/>
    <w:rsid w:val="00F71014"/>
    <w:rsid w:val="00F712B5"/>
    <w:rsid w:val="00F713DA"/>
    <w:rsid w:val="00F71592"/>
    <w:rsid w:val="00F715C6"/>
    <w:rsid w:val="00F7193D"/>
    <w:rsid w:val="00F71ABD"/>
    <w:rsid w:val="00F71C8C"/>
    <w:rsid w:val="00F71D15"/>
    <w:rsid w:val="00F71DA0"/>
    <w:rsid w:val="00F71FCD"/>
    <w:rsid w:val="00F7203B"/>
    <w:rsid w:val="00F7224F"/>
    <w:rsid w:val="00F722EA"/>
    <w:rsid w:val="00F724EE"/>
    <w:rsid w:val="00F7260B"/>
    <w:rsid w:val="00F7268D"/>
    <w:rsid w:val="00F729CA"/>
    <w:rsid w:val="00F729D7"/>
    <w:rsid w:val="00F72C5A"/>
    <w:rsid w:val="00F7300B"/>
    <w:rsid w:val="00F73241"/>
    <w:rsid w:val="00F732DE"/>
    <w:rsid w:val="00F73541"/>
    <w:rsid w:val="00F73689"/>
    <w:rsid w:val="00F73795"/>
    <w:rsid w:val="00F742F0"/>
    <w:rsid w:val="00F74380"/>
    <w:rsid w:val="00F7492C"/>
    <w:rsid w:val="00F74E38"/>
    <w:rsid w:val="00F74EAA"/>
    <w:rsid w:val="00F75101"/>
    <w:rsid w:val="00F75123"/>
    <w:rsid w:val="00F751D9"/>
    <w:rsid w:val="00F75301"/>
    <w:rsid w:val="00F7535E"/>
    <w:rsid w:val="00F7559D"/>
    <w:rsid w:val="00F755DF"/>
    <w:rsid w:val="00F75926"/>
    <w:rsid w:val="00F75B9F"/>
    <w:rsid w:val="00F75E11"/>
    <w:rsid w:val="00F76072"/>
    <w:rsid w:val="00F76618"/>
    <w:rsid w:val="00F7665A"/>
    <w:rsid w:val="00F76852"/>
    <w:rsid w:val="00F768AA"/>
    <w:rsid w:val="00F768D3"/>
    <w:rsid w:val="00F76AA5"/>
    <w:rsid w:val="00F76FA3"/>
    <w:rsid w:val="00F77042"/>
    <w:rsid w:val="00F77355"/>
    <w:rsid w:val="00F7751A"/>
    <w:rsid w:val="00F7762F"/>
    <w:rsid w:val="00F776A3"/>
    <w:rsid w:val="00F776AB"/>
    <w:rsid w:val="00F7798D"/>
    <w:rsid w:val="00F77A4C"/>
    <w:rsid w:val="00F77B42"/>
    <w:rsid w:val="00F77BDD"/>
    <w:rsid w:val="00F77C63"/>
    <w:rsid w:val="00F80319"/>
    <w:rsid w:val="00F80455"/>
    <w:rsid w:val="00F807C7"/>
    <w:rsid w:val="00F8087D"/>
    <w:rsid w:val="00F809E7"/>
    <w:rsid w:val="00F80B3A"/>
    <w:rsid w:val="00F80CFA"/>
    <w:rsid w:val="00F80E5B"/>
    <w:rsid w:val="00F80E94"/>
    <w:rsid w:val="00F810BD"/>
    <w:rsid w:val="00F81105"/>
    <w:rsid w:val="00F813C5"/>
    <w:rsid w:val="00F81423"/>
    <w:rsid w:val="00F81937"/>
    <w:rsid w:val="00F81C19"/>
    <w:rsid w:val="00F81C1D"/>
    <w:rsid w:val="00F81D5E"/>
    <w:rsid w:val="00F81E6E"/>
    <w:rsid w:val="00F81E9A"/>
    <w:rsid w:val="00F822EF"/>
    <w:rsid w:val="00F82521"/>
    <w:rsid w:val="00F82831"/>
    <w:rsid w:val="00F82A6D"/>
    <w:rsid w:val="00F83265"/>
    <w:rsid w:val="00F832EC"/>
    <w:rsid w:val="00F83847"/>
    <w:rsid w:val="00F83F66"/>
    <w:rsid w:val="00F83FD2"/>
    <w:rsid w:val="00F8414E"/>
    <w:rsid w:val="00F841EF"/>
    <w:rsid w:val="00F847CD"/>
    <w:rsid w:val="00F849D4"/>
    <w:rsid w:val="00F84F82"/>
    <w:rsid w:val="00F85067"/>
    <w:rsid w:val="00F851AA"/>
    <w:rsid w:val="00F8547B"/>
    <w:rsid w:val="00F854E3"/>
    <w:rsid w:val="00F854F1"/>
    <w:rsid w:val="00F85976"/>
    <w:rsid w:val="00F85B08"/>
    <w:rsid w:val="00F86137"/>
    <w:rsid w:val="00F86278"/>
    <w:rsid w:val="00F862BB"/>
    <w:rsid w:val="00F86403"/>
    <w:rsid w:val="00F86502"/>
    <w:rsid w:val="00F866EF"/>
    <w:rsid w:val="00F868CB"/>
    <w:rsid w:val="00F86903"/>
    <w:rsid w:val="00F86A76"/>
    <w:rsid w:val="00F86A8C"/>
    <w:rsid w:val="00F87071"/>
    <w:rsid w:val="00F870C0"/>
    <w:rsid w:val="00F871DE"/>
    <w:rsid w:val="00F87294"/>
    <w:rsid w:val="00F872D0"/>
    <w:rsid w:val="00F87366"/>
    <w:rsid w:val="00F87908"/>
    <w:rsid w:val="00F87D5E"/>
    <w:rsid w:val="00F900CB"/>
    <w:rsid w:val="00F90258"/>
    <w:rsid w:val="00F90267"/>
    <w:rsid w:val="00F90770"/>
    <w:rsid w:val="00F90E8E"/>
    <w:rsid w:val="00F91016"/>
    <w:rsid w:val="00F913FB"/>
    <w:rsid w:val="00F91B49"/>
    <w:rsid w:val="00F91E3D"/>
    <w:rsid w:val="00F92314"/>
    <w:rsid w:val="00F92335"/>
    <w:rsid w:val="00F92723"/>
    <w:rsid w:val="00F92AD9"/>
    <w:rsid w:val="00F92CD1"/>
    <w:rsid w:val="00F92DDF"/>
    <w:rsid w:val="00F92EF2"/>
    <w:rsid w:val="00F92F01"/>
    <w:rsid w:val="00F932D7"/>
    <w:rsid w:val="00F942D2"/>
    <w:rsid w:val="00F943FC"/>
    <w:rsid w:val="00F94571"/>
    <w:rsid w:val="00F94962"/>
    <w:rsid w:val="00F94D32"/>
    <w:rsid w:val="00F94DAD"/>
    <w:rsid w:val="00F94F1B"/>
    <w:rsid w:val="00F95137"/>
    <w:rsid w:val="00F95212"/>
    <w:rsid w:val="00F9543F"/>
    <w:rsid w:val="00F95A71"/>
    <w:rsid w:val="00F95B76"/>
    <w:rsid w:val="00F95CA4"/>
    <w:rsid w:val="00F95DAD"/>
    <w:rsid w:val="00F95DEA"/>
    <w:rsid w:val="00F95EE1"/>
    <w:rsid w:val="00F9612C"/>
    <w:rsid w:val="00F965C9"/>
    <w:rsid w:val="00F96689"/>
    <w:rsid w:val="00F9669F"/>
    <w:rsid w:val="00F96736"/>
    <w:rsid w:val="00F967C3"/>
    <w:rsid w:val="00F968F1"/>
    <w:rsid w:val="00F96B74"/>
    <w:rsid w:val="00F96C5D"/>
    <w:rsid w:val="00F96F73"/>
    <w:rsid w:val="00F97010"/>
    <w:rsid w:val="00F97425"/>
    <w:rsid w:val="00F97471"/>
    <w:rsid w:val="00F9771F"/>
    <w:rsid w:val="00F97832"/>
    <w:rsid w:val="00F979A8"/>
    <w:rsid w:val="00F97B79"/>
    <w:rsid w:val="00F97C28"/>
    <w:rsid w:val="00FA0046"/>
    <w:rsid w:val="00FA0257"/>
    <w:rsid w:val="00FA02D4"/>
    <w:rsid w:val="00FA0574"/>
    <w:rsid w:val="00FA0C92"/>
    <w:rsid w:val="00FA0D24"/>
    <w:rsid w:val="00FA0E71"/>
    <w:rsid w:val="00FA0E8C"/>
    <w:rsid w:val="00FA0FDE"/>
    <w:rsid w:val="00FA104B"/>
    <w:rsid w:val="00FA12F6"/>
    <w:rsid w:val="00FA17A1"/>
    <w:rsid w:val="00FA19F5"/>
    <w:rsid w:val="00FA1B25"/>
    <w:rsid w:val="00FA2040"/>
    <w:rsid w:val="00FA22A2"/>
    <w:rsid w:val="00FA2352"/>
    <w:rsid w:val="00FA2509"/>
    <w:rsid w:val="00FA250E"/>
    <w:rsid w:val="00FA294F"/>
    <w:rsid w:val="00FA295E"/>
    <w:rsid w:val="00FA3134"/>
    <w:rsid w:val="00FA32F8"/>
    <w:rsid w:val="00FA32FF"/>
    <w:rsid w:val="00FA3333"/>
    <w:rsid w:val="00FA3489"/>
    <w:rsid w:val="00FA34F9"/>
    <w:rsid w:val="00FA3BA7"/>
    <w:rsid w:val="00FA3D6D"/>
    <w:rsid w:val="00FA3DE7"/>
    <w:rsid w:val="00FA3FA2"/>
    <w:rsid w:val="00FA4147"/>
    <w:rsid w:val="00FA4239"/>
    <w:rsid w:val="00FA4466"/>
    <w:rsid w:val="00FA485F"/>
    <w:rsid w:val="00FA4905"/>
    <w:rsid w:val="00FA4912"/>
    <w:rsid w:val="00FA4C1E"/>
    <w:rsid w:val="00FA4E89"/>
    <w:rsid w:val="00FA501F"/>
    <w:rsid w:val="00FA529F"/>
    <w:rsid w:val="00FA59E8"/>
    <w:rsid w:val="00FA5B0F"/>
    <w:rsid w:val="00FA5CD0"/>
    <w:rsid w:val="00FA5E4D"/>
    <w:rsid w:val="00FA5ECC"/>
    <w:rsid w:val="00FA5EDE"/>
    <w:rsid w:val="00FA6155"/>
    <w:rsid w:val="00FA61FB"/>
    <w:rsid w:val="00FA6216"/>
    <w:rsid w:val="00FA621E"/>
    <w:rsid w:val="00FA6479"/>
    <w:rsid w:val="00FA64DA"/>
    <w:rsid w:val="00FA6670"/>
    <w:rsid w:val="00FA6A07"/>
    <w:rsid w:val="00FA6B3E"/>
    <w:rsid w:val="00FA6C2E"/>
    <w:rsid w:val="00FA6CC3"/>
    <w:rsid w:val="00FA6F99"/>
    <w:rsid w:val="00FA7045"/>
    <w:rsid w:val="00FA70C5"/>
    <w:rsid w:val="00FA7229"/>
    <w:rsid w:val="00FA7424"/>
    <w:rsid w:val="00FA74D5"/>
    <w:rsid w:val="00FA76A8"/>
    <w:rsid w:val="00FA76C2"/>
    <w:rsid w:val="00FA7731"/>
    <w:rsid w:val="00FA79C3"/>
    <w:rsid w:val="00FA7AAE"/>
    <w:rsid w:val="00FB005B"/>
    <w:rsid w:val="00FB089F"/>
    <w:rsid w:val="00FB08FB"/>
    <w:rsid w:val="00FB09A6"/>
    <w:rsid w:val="00FB09F4"/>
    <w:rsid w:val="00FB0BF6"/>
    <w:rsid w:val="00FB0D28"/>
    <w:rsid w:val="00FB0E74"/>
    <w:rsid w:val="00FB11AF"/>
    <w:rsid w:val="00FB1879"/>
    <w:rsid w:val="00FB195F"/>
    <w:rsid w:val="00FB199A"/>
    <w:rsid w:val="00FB1CE4"/>
    <w:rsid w:val="00FB21BF"/>
    <w:rsid w:val="00FB2490"/>
    <w:rsid w:val="00FB257C"/>
    <w:rsid w:val="00FB258F"/>
    <w:rsid w:val="00FB26E2"/>
    <w:rsid w:val="00FB2B17"/>
    <w:rsid w:val="00FB2D4A"/>
    <w:rsid w:val="00FB2FD1"/>
    <w:rsid w:val="00FB3093"/>
    <w:rsid w:val="00FB32D2"/>
    <w:rsid w:val="00FB3504"/>
    <w:rsid w:val="00FB37F7"/>
    <w:rsid w:val="00FB3804"/>
    <w:rsid w:val="00FB38AE"/>
    <w:rsid w:val="00FB3BC0"/>
    <w:rsid w:val="00FB3BF1"/>
    <w:rsid w:val="00FB3CE6"/>
    <w:rsid w:val="00FB4501"/>
    <w:rsid w:val="00FB45A8"/>
    <w:rsid w:val="00FB4749"/>
    <w:rsid w:val="00FB497F"/>
    <w:rsid w:val="00FB4D0F"/>
    <w:rsid w:val="00FB4D4E"/>
    <w:rsid w:val="00FB4FB9"/>
    <w:rsid w:val="00FB5493"/>
    <w:rsid w:val="00FB57E5"/>
    <w:rsid w:val="00FB5851"/>
    <w:rsid w:val="00FB5A22"/>
    <w:rsid w:val="00FB5E9F"/>
    <w:rsid w:val="00FB5F8C"/>
    <w:rsid w:val="00FB607A"/>
    <w:rsid w:val="00FB61D3"/>
    <w:rsid w:val="00FB622A"/>
    <w:rsid w:val="00FB6418"/>
    <w:rsid w:val="00FB6574"/>
    <w:rsid w:val="00FB6A79"/>
    <w:rsid w:val="00FB6CE6"/>
    <w:rsid w:val="00FB6DD8"/>
    <w:rsid w:val="00FB6E4D"/>
    <w:rsid w:val="00FB6EFC"/>
    <w:rsid w:val="00FB721B"/>
    <w:rsid w:val="00FB7308"/>
    <w:rsid w:val="00FB7475"/>
    <w:rsid w:val="00FB748F"/>
    <w:rsid w:val="00FB74D2"/>
    <w:rsid w:val="00FB753F"/>
    <w:rsid w:val="00FB7ACF"/>
    <w:rsid w:val="00FB7D81"/>
    <w:rsid w:val="00FB7E23"/>
    <w:rsid w:val="00FC0015"/>
    <w:rsid w:val="00FC003D"/>
    <w:rsid w:val="00FC0184"/>
    <w:rsid w:val="00FC02E0"/>
    <w:rsid w:val="00FC0678"/>
    <w:rsid w:val="00FC06BD"/>
    <w:rsid w:val="00FC0726"/>
    <w:rsid w:val="00FC0815"/>
    <w:rsid w:val="00FC09C6"/>
    <w:rsid w:val="00FC0AB3"/>
    <w:rsid w:val="00FC110E"/>
    <w:rsid w:val="00FC1186"/>
    <w:rsid w:val="00FC15A4"/>
    <w:rsid w:val="00FC1C9E"/>
    <w:rsid w:val="00FC1F13"/>
    <w:rsid w:val="00FC202E"/>
    <w:rsid w:val="00FC2080"/>
    <w:rsid w:val="00FC20E4"/>
    <w:rsid w:val="00FC210B"/>
    <w:rsid w:val="00FC2497"/>
    <w:rsid w:val="00FC298A"/>
    <w:rsid w:val="00FC2DAE"/>
    <w:rsid w:val="00FC2E4D"/>
    <w:rsid w:val="00FC33E2"/>
    <w:rsid w:val="00FC34BD"/>
    <w:rsid w:val="00FC3709"/>
    <w:rsid w:val="00FC38F8"/>
    <w:rsid w:val="00FC3ADA"/>
    <w:rsid w:val="00FC3CB6"/>
    <w:rsid w:val="00FC4330"/>
    <w:rsid w:val="00FC449F"/>
    <w:rsid w:val="00FC44FB"/>
    <w:rsid w:val="00FC4554"/>
    <w:rsid w:val="00FC456E"/>
    <w:rsid w:val="00FC479C"/>
    <w:rsid w:val="00FC49BB"/>
    <w:rsid w:val="00FC4BDE"/>
    <w:rsid w:val="00FC4D40"/>
    <w:rsid w:val="00FC4E35"/>
    <w:rsid w:val="00FC4E49"/>
    <w:rsid w:val="00FC4FAE"/>
    <w:rsid w:val="00FC5290"/>
    <w:rsid w:val="00FC5500"/>
    <w:rsid w:val="00FC5541"/>
    <w:rsid w:val="00FC593B"/>
    <w:rsid w:val="00FC5C0C"/>
    <w:rsid w:val="00FC5CF0"/>
    <w:rsid w:val="00FC5D1A"/>
    <w:rsid w:val="00FC5FB0"/>
    <w:rsid w:val="00FC5FD9"/>
    <w:rsid w:val="00FC652F"/>
    <w:rsid w:val="00FC6B30"/>
    <w:rsid w:val="00FC6BAB"/>
    <w:rsid w:val="00FC6BB4"/>
    <w:rsid w:val="00FC6D2B"/>
    <w:rsid w:val="00FC7084"/>
    <w:rsid w:val="00FC7164"/>
    <w:rsid w:val="00FC7220"/>
    <w:rsid w:val="00FC73C9"/>
    <w:rsid w:val="00FC7569"/>
    <w:rsid w:val="00FC7604"/>
    <w:rsid w:val="00FC79F3"/>
    <w:rsid w:val="00FC7A1A"/>
    <w:rsid w:val="00FC7B2B"/>
    <w:rsid w:val="00FC7B7C"/>
    <w:rsid w:val="00FC7D59"/>
    <w:rsid w:val="00FC7FAF"/>
    <w:rsid w:val="00FD056F"/>
    <w:rsid w:val="00FD072D"/>
    <w:rsid w:val="00FD07D7"/>
    <w:rsid w:val="00FD07E4"/>
    <w:rsid w:val="00FD0ADA"/>
    <w:rsid w:val="00FD0C30"/>
    <w:rsid w:val="00FD0C7C"/>
    <w:rsid w:val="00FD0DDC"/>
    <w:rsid w:val="00FD1204"/>
    <w:rsid w:val="00FD18ED"/>
    <w:rsid w:val="00FD1A9E"/>
    <w:rsid w:val="00FD1E9B"/>
    <w:rsid w:val="00FD1FF9"/>
    <w:rsid w:val="00FD2020"/>
    <w:rsid w:val="00FD220D"/>
    <w:rsid w:val="00FD2810"/>
    <w:rsid w:val="00FD2906"/>
    <w:rsid w:val="00FD29F0"/>
    <w:rsid w:val="00FD2A21"/>
    <w:rsid w:val="00FD2B9D"/>
    <w:rsid w:val="00FD2F2A"/>
    <w:rsid w:val="00FD3155"/>
    <w:rsid w:val="00FD335E"/>
    <w:rsid w:val="00FD3794"/>
    <w:rsid w:val="00FD38A5"/>
    <w:rsid w:val="00FD38B3"/>
    <w:rsid w:val="00FD3AB1"/>
    <w:rsid w:val="00FD3C12"/>
    <w:rsid w:val="00FD42CA"/>
    <w:rsid w:val="00FD4351"/>
    <w:rsid w:val="00FD4642"/>
    <w:rsid w:val="00FD4733"/>
    <w:rsid w:val="00FD4A27"/>
    <w:rsid w:val="00FD4B9B"/>
    <w:rsid w:val="00FD51AE"/>
    <w:rsid w:val="00FD5339"/>
    <w:rsid w:val="00FD5393"/>
    <w:rsid w:val="00FD5558"/>
    <w:rsid w:val="00FD58E8"/>
    <w:rsid w:val="00FD590B"/>
    <w:rsid w:val="00FD5C5A"/>
    <w:rsid w:val="00FD5D8D"/>
    <w:rsid w:val="00FD5DFD"/>
    <w:rsid w:val="00FD5E24"/>
    <w:rsid w:val="00FD5E6D"/>
    <w:rsid w:val="00FD6039"/>
    <w:rsid w:val="00FD61C5"/>
    <w:rsid w:val="00FD6245"/>
    <w:rsid w:val="00FD6558"/>
    <w:rsid w:val="00FD6BBF"/>
    <w:rsid w:val="00FD6C25"/>
    <w:rsid w:val="00FD6F38"/>
    <w:rsid w:val="00FD7167"/>
    <w:rsid w:val="00FD738F"/>
    <w:rsid w:val="00FD74A2"/>
    <w:rsid w:val="00FD74F9"/>
    <w:rsid w:val="00FD7C4F"/>
    <w:rsid w:val="00FD7CC1"/>
    <w:rsid w:val="00FD7D9E"/>
    <w:rsid w:val="00FD7E19"/>
    <w:rsid w:val="00FD7EAF"/>
    <w:rsid w:val="00FD7FD2"/>
    <w:rsid w:val="00FE00C6"/>
    <w:rsid w:val="00FE0152"/>
    <w:rsid w:val="00FE038B"/>
    <w:rsid w:val="00FE03B1"/>
    <w:rsid w:val="00FE03F8"/>
    <w:rsid w:val="00FE073C"/>
    <w:rsid w:val="00FE0A16"/>
    <w:rsid w:val="00FE0AB8"/>
    <w:rsid w:val="00FE1027"/>
    <w:rsid w:val="00FE1203"/>
    <w:rsid w:val="00FE173E"/>
    <w:rsid w:val="00FE1B23"/>
    <w:rsid w:val="00FE1D6C"/>
    <w:rsid w:val="00FE1DFC"/>
    <w:rsid w:val="00FE1E9A"/>
    <w:rsid w:val="00FE20C9"/>
    <w:rsid w:val="00FE23F8"/>
    <w:rsid w:val="00FE25CA"/>
    <w:rsid w:val="00FE271D"/>
    <w:rsid w:val="00FE2801"/>
    <w:rsid w:val="00FE2F43"/>
    <w:rsid w:val="00FE308D"/>
    <w:rsid w:val="00FE3237"/>
    <w:rsid w:val="00FE3317"/>
    <w:rsid w:val="00FE3446"/>
    <w:rsid w:val="00FE373E"/>
    <w:rsid w:val="00FE397C"/>
    <w:rsid w:val="00FE3D1C"/>
    <w:rsid w:val="00FE40B8"/>
    <w:rsid w:val="00FE4215"/>
    <w:rsid w:val="00FE4568"/>
    <w:rsid w:val="00FE4E12"/>
    <w:rsid w:val="00FE51A7"/>
    <w:rsid w:val="00FE5512"/>
    <w:rsid w:val="00FE5792"/>
    <w:rsid w:val="00FE57E9"/>
    <w:rsid w:val="00FE5872"/>
    <w:rsid w:val="00FE5B2F"/>
    <w:rsid w:val="00FE5C82"/>
    <w:rsid w:val="00FE5E80"/>
    <w:rsid w:val="00FE6238"/>
    <w:rsid w:val="00FE6243"/>
    <w:rsid w:val="00FE65FF"/>
    <w:rsid w:val="00FE6899"/>
    <w:rsid w:val="00FE6B59"/>
    <w:rsid w:val="00FE6D31"/>
    <w:rsid w:val="00FE6FA7"/>
    <w:rsid w:val="00FE7808"/>
    <w:rsid w:val="00FE787A"/>
    <w:rsid w:val="00FE79A8"/>
    <w:rsid w:val="00FE7AD0"/>
    <w:rsid w:val="00FE7AD3"/>
    <w:rsid w:val="00FE7EA2"/>
    <w:rsid w:val="00FE7FC4"/>
    <w:rsid w:val="00FF00B2"/>
    <w:rsid w:val="00FF0214"/>
    <w:rsid w:val="00FF033C"/>
    <w:rsid w:val="00FF033D"/>
    <w:rsid w:val="00FF034B"/>
    <w:rsid w:val="00FF06CC"/>
    <w:rsid w:val="00FF0780"/>
    <w:rsid w:val="00FF0865"/>
    <w:rsid w:val="00FF0D63"/>
    <w:rsid w:val="00FF0E45"/>
    <w:rsid w:val="00FF0E51"/>
    <w:rsid w:val="00FF1018"/>
    <w:rsid w:val="00FF10E5"/>
    <w:rsid w:val="00FF118F"/>
    <w:rsid w:val="00FF13FC"/>
    <w:rsid w:val="00FF15CA"/>
    <w:rsid w:val="00FF17F1"/>
    <w:rsid w:val="00FF1866"/>
    <w:rsid w:val="00FF186D"/>
    <w:rsid w:val="00FF1B2D"/>
    <w:rsid w:val="00FF1CD5"/>
    <w:rsid w:val="00FF1D1E"/>
    <w:rsid w:val="00FF244A"/>
    <w:rsid w:val="00FF24B0"/>
    <w:rsid w:val="00FF257A"/>
    <w:rsid w:val="00FF2714"/>
    <w:rsid w:val="00FF2B6D"/>
    <w:rsid w:val="00FF3376"/>
    <w:rsid w:val="00FF347B"/>
    <w:rsid w:val="00FF34B5"/>
    <w:rsid w:val="00FF3523"/>
    <w:rsid w:val="00FF3956"/>
    <w:rsid w:val="00FF3ADE"/>
    <w:rsid w:val="00FF3DD7"/>
    <w:rsid w:val="00FF3E8B"/>
    <w:rsid w:val="00FF3F52"/>
    <w:rsid w:val="00FF3FA0"/>
    <w:rsid w:val="00FF416D"/>
    <w:rsid w:val="00FF422A"/>
    <w:rsid w:val="00FF438C"/>
    <w:rsid w:val="00FF46F9"/>
    <w:rsid w:val="00FF475D"/>
    <w:rsid w:val="00FF4862"/>
    <w:rsid w:val="00FF4A06"/>
    <w:rsid w:val="00FF4B86"/>
    <w:rsid w:val="00FF513C"/>
    <w:rsid w:val="00FF53E9"/>
    <w:rsid w:val="00FF53FD"/>
    <w:rsid w:val="00FF54A5"/>
    <w:rsid w:val="00FF5509"/>
    <w:rsid w:val="00FF55B1"/>
    <w:rsid w:val="00FF5887"/>
    <w:rsid w:val="00FF58DF"/>
    <w:rsid w:val="00FF5C3B"/>
    <w:rsid w:val="00FF5CFD"/>
    <w:rsid w:val="00FF5F2D"/>
    <w:rsid w:val="00FF6177"/>
    <w:rsid w:val="00FF62BA"/>
    <w:rsid w:val="00FF6435"/>
    <w:rsid w:val="00FF6468"/>
    <w:rsid w:val="00FF6523"/>
    <w:rsid w:val="00FF66AE"/>
    <w:rsid w:val="00FF66B9"/>
    <w:rsid w:val="00FF6830"/>
    <w:rsid w:val="00FF69A8"/>
    <w:rsid w:val="00FF6AB3"/>
    <w:rsid w:val="00FF6AE8"/>
    <w:rsid w:val="00FF6D86"/>
    <w:rsid w:val="00FF6EDB"/>
    <w:rsid w:val="00FF70B6"/>
    <w:rsid w:val="00FF71E3"/>
    <w:rsid w:val="00FF7339"/>
    <w:rsid w:val="00FF73A4"/>
    <w:rsid w:val="00FF7777"/>
    <w:rsid w:val="00FF7BE1"/>
    <w:rsid w:val="0109D36F"/>
    <w:rsid w:val="010C0A48"/>
    <w:rsid w:val="01571BD2"/>
    <w:rsid w:val="0165EBC3"/>
    <w:rsid w:val="019CD2B2"/>
    <w:rsid w:val="01D6E4CF"/>
    <w:rsid w:val="01E22C77"/>
    <w:rsid w:val="01E82C4D"/>
    <w:rsid w:val="01F0387F"/>
    <w:rsid w:val="022A7C4C"/>
    <w:rsid w:val="0235B71D"/>
    <w:rsid w:val="0237A2E5"/>
    <w:rsid w:val="023C5CAF"/>
    <w:rsid w:val="0253F510"/>
    <w:rsid w:val="02740F3A"/>
    <w:rsid w:val="02A598DD"/>
    <w:rsid w:val="02D7EB13"/>
    <w:rsid w:val="02F1DF62"/>
    <w:rsid w:val="032A9FB8"/>
    <w:rsid w:val="032B380D"/>
    <w:rsid w:val="033DD959"/>
    <w:rsid w:val="03447C07"/>
    <w:rsid w:val="03537D9C"/>
    <w:rsid w:val="035FCC3F"/>
    <w:rsid w:val="0378C9FE"/>
    <w:rsid w:val="03863F2E"/>
    <w:rsid w:val="03B437CD"/>
    <w:rsid w:val="03BAC1AC"/>
    <w:rsid w:val="03CAC43D"/>
    <w:rsid w:val="03D51399"/>
    <w:rsid w:val="045BFEB5"/>
    <w:rsid w:val="049B2850"/>
    <w:rsid w:val="04CC255A"/>
    <w:rsid w:val="050D76C0"/>
    <w:rsid w:val="05100181"/>
    <w:rsid w:val="055EA99C"/>
    <w:rsid w:val="05955766"/>
    <w:rsid w:val="059F037D"/>
    <w:rsid w:val="05B5CDC1"/>
    <w:rsid w:val="05C778FC"/>
    <w:rsid w:val="05D3A560"/>
    <w:rsid w:val="05DB983A"/>
    <w:rsid w:val="05F94225"/>
    <w:rsid w:val="06012E36"/>
    <w:rsid w:val="0601FCBD"/>
    <w:rsid w:val="060F5F5E"/>
    <w:rsid w:val="0611998D"/>
    <w:rsid w:val="062571E3"/>
    <w:rsid w:val="0630BC62"/>
    <w:rsid w:val="0649DFFC"/>
    <w:rsid w:val="0679F87E"/>
    <w:rsid w:val="067C0215"/>
    <w:rsid w:val="069D789F"/>
    <w:rsid w:val="06A407C1"/>
    <w:rsid w:val="06CF9FD6"/>
    <w:rsid w:val="06E3D001"/>
    <w:rsid w:val="06F59D41"/>
    <w:rsid w:val="074B69F4"/>
    <w:rsid w:val="0751BB5F"/>
    <w:rsid w:val="07665BBD"/>
    <w:rsid w:val="076A8248"/>
    <w:rsid w:val="076CB803"/>
    <w:rsid w:val="077C1B3C"/>
    <w:rsid w:val="079D64DF"/>
    <w:rsid w:val="07A7BDD9"/>
    <w:rsid w:val="07BF6CE5"/>
    <w:rsid w:val="07CB9CB0"/>
    <w:rsid w:val="082D797E"/>
    <w:rsid w:val="0868A557"/>
    <w:rsid w:val="08858BF7"/>
    <w:rsid w:val="08C6276B"/>
    <w:rsid w:val="08D67E84"/>
    <w:rsid w:val="08D9FBBE"/>
    <w:rsid w:val="08DC523F"/>
    <w:rsid w:val="08F5C168"/>
    <w:rsid w:val="08FAA382"/>
    <w:rsid w:val="09235D18"/>
    <w:rsid w:val="093AE664"/>
    <w:rsid w:val="093E60FA"/>
    <w:rsid w:val="0944910B"/>
    <w:rsid w:val="0977D63D"/>
    <w:rsid w:val="09897B94"/>
    <w:rsid w:val="09979240"/>
    <w:rsid w:val="09D0977B"/>
    <w:rsid w:val="09D974C0"/>
    <w:rsid w:val="09DFD633"/>
    <w:rsid w:val="0A0232CF"/>
    <w:rsid w:val="0A0840A6"/>
    <w:rsid w:val="0A084C5D"/>
    <w:rsid w:val="0A0DBA33"/>
    <w:rsid w:val="0A2EA249"/>
    <w:rsid w:val="0A3939D8"/>
    <w:rsid w:val="0A8161C1"/>
    <w:rsid w:val="0A81640D"/>
    <w:rsid w:val="0A8DF81F"/>
    <w:rsid w:val="0A91E75B"/>
    <w:rsid w:val="0AC3FCBD"/>
    <w:rsid w:val="0B0D815C"/>
    <w:rsid w:val="0B655E1F"/>
    <w:rsid w:val="0B850AC7"/>
    <w:rsid w:val="0B9BE768"/>
    <w:rsid w:val="0BE384FF"/>
    <w:rsid w:val="0C0704BB"/>
    <w:rsid w:val="0C1FD9F2"/>
    <w:rsid w:val="0C2353FE"/>
    <w:rsid w:val="0C338D24"/>
    <w:rsid w:val="0C3C1A7F"/>
    <w:rsid w:val="0C7C7B6A"/>
    <w:rsid w:val="0C9889FE"/>
    <w:rsid w:val="0CA32F87"/>
    <w:rsid w:val="0CB24A8F"/>
    <w:rsid w:val="0CB55714"/>
    <w:rsid w:val="0CC6E45C"/>
    <w:rsid w:val="0CCC3BF5"/>
    <w:rsid w:val="0CE25968"/>
    <w:rsid w:val="0CE69BBB"/>
    <w:rsid w:val="0D04787F"/>
    <w:rsid w:val="0D3FB15A"/>
    <w:rsid w:val="0D474462"/>
    <w:rsid w:val="0D567CA2"/>
    <w:rsid w:val="0D768365"/>
    <w:rsid w:val="0DAB9EEC"/>
    <w:rsid w:val="0DB44E24"/>
    <w:rsid w:val="0DB66D28"/>
    <w:rsid w:val="0DB88AD5"/>
    <w:rsid w:val="0DC44D35"/>
    <w:rsid w:val="0DED79B5"/>
    <w:rsid w:val="0DF35C9B"/>
    <w:rsid w:val="0E0FBED7"/>
    <w:rsid w:val="0E7EB4B2"/>
    <w:rsid w:val="0E8C8D20"/>
    <w:rsid w:val="0E8E362F"/>
    <w:rsid w:val="0EC8F0D4"/>
    <w:rsid w:val="0ED79778"/>
    <w:rsid w:val="0EFD86DB"/>
    <w:rsid w:val="0F325C17"/>
    <w:rsid w:val="0F3D4BD5"/>
    <w:rsid w:val="0F5E3CD3"/>
    <w:rsid w:val="0F6B5082"/>
    <w:rsid w:val="0F76F766"/>
    <w:rsid w:val="0F7EA286"/>
    <w:rsid w:val="0FCEC07F"/>
    <w:rsid w:val="0FE68371"/>
    <w:rsid w:val="1018DAE0"/>
    <w:rsid w:val="101B159D"/>
    <w:rsid w:val="102F1A76"/>
    <w:rsid w:val="1052B80E"/>
    <w:rsid w:val="106079C6"/>
    <w:rsid w:val="1073063A"/>
    <w:rsid w:val="10782283"/>
    <w:rsid w:val="1094B938"/>
    <w:rsid w:val="10AEB4F8"/>
    <w:rsid w:val="10B106B5"/>
    <w:rsid w:val="10D0414C"/>
    <w:rsid w:val="113FE76C"/>
    <w:rsid w:val="11426764"/>
    <w:rsid w:val="1165E39A"/>
    <w:rsid w:val="11726E23"/>
    <w:rsid w:val="118EC1CB"/>
    <w:rsid w:val="119C1232"/>
    <w:rsid w:val="11BE8D0F"/>
    <w:rsid w:val="11F3D9AC"/>
    <w:rsid w:val="12126ACF"/>
    <w:rsid w:val="121F76C7"/>
    <w:rsid w:val="122FDCD7"/>
    <w:rsid w:val="125D1E35"/>
    <w:rsid w:val="1269C52B"/>
    <w:rsid w:val="12E6F4A7"/>
    <w:rsid w:val="1302DFBB"/>
    <w:rsid w:val="1304B20A"/>
    <w:rsid w:val="1320B53E"/>
    <w:rsid w:val="132F9787"/>
    <w:rsid w:val="13333088"/>
    <w:rsid w:val="138D1C4F"/>
    <w:rsid w:val="138EDEC1"/>
    <w:rsid w:val="1392FFF1"/>
    <w:rsid w:val="13AC6377"/>
    <w:rsid w:val="1409951A"/>
    <w:rsid w:val="1425FD4D"/>
    <w:rsid w:val="1471BD9B"/>
    <w:rsid w:val="1494D719"/>
    <w:rsid w:val="14B75217"/>
    <w:rsid w:val="14BAB889"/>
    <w:rsid w:val="14C14196"/>
    <w:rsid w:val="14C14528"/>
    <w:rsid w:val="14E1FDBC"/>
    <w:rsid w:val="14E786E8"/>
    <w:rsid w:val="15045E21"/>
    <w:rsid w:val="15060D68"/>
    <w:rsid w:val="15096BDC"/>
    <w:rsid w:val="1527089C"/>
    <w:rsid w:val="1531489E"/>
    <w:rsid w:val="15C15863"/>
    <w:rsid w:val="15D476D2"/>
    <w:rsid w:val="16365DE6"/>
    <w:rsid w:val="163DC548"/>
    <w:rsid w:val="164C8CA9"/>
    <w:rsid w:val="1653D253"/>
    <w:rsid w:val="1686EE1D"/>
    <w:rsid w:val="16A9EDB5"/>
    <w:rsid w:val="16B8F8A1"/>
    <w:rsid w:val="16FAB368"/>
    <w:rsid w:val="170B4345"/>
    <w:rsid w:val="1712D0CF"/>
    <w:rsid w:val="174318BC"/>
    <w:rsid w:val="1744AB68"/>
    <w:rsid w:val="177658E1"/>
    <w:rsid w:val="178B45D5"/>
    <w:rsid w:val="17AEE157"/>
    <w:rsid w:val="17B42F3A"/>
    <w:rsid w:val="17D81611"/>
    <w:rsid w:val="180359BB"/>
    <w:rsid w:val="180703AA"/>
    <w:rsid w:val="1840272C"/>
    <w:rsid w:val="1840816B"/>
    <w:rsid w:val="185A8AEA"/>
    <w:rsid w:val="18737F0C"/>
    <w:rsid w:val="187C9D53"/>
    <w:rsid w:val="188F486B"/>
    <w:rsid w:val="189D0DF2"/>
    <w:rsid w:val="18B0EBB5"/>
    <w:rsid w:val="18B254F8"/>
    <w:rsid w:val="18B6CA12"/>
    <w:rsid w:val="18B8D387"/>
    <w:rsid w:val="18CEE9E3"/>
    <w:rsid w:val="18E226E0"/>
    <w:rsid w:val="18E3C178"/>
    <w:rsid w:val="18FB8B59"/>
    <w:rsid w:val="1923024F"/>
    <w:rsid w:val="19271299"/>
    <w:rsid w:val="196E685C"/>
    <w:rsid w:val="19723AA7"/>
    <w:rsid w:val="19AF9312"/>
    <w:rsid w:val="19D3048F"/>
    <w:rsid w:val="19EAD63D"/>
    <w:rsid w:val="1A040F16"/>
    <w:rsid w:val="1A328FD8"/>
    <w:rsid w:val="1A4F52CF"/>
    <w:rsid w:val="1A6983CE"/>
    <w:rsid w:val="1A826CAC"/>
    <w:rsid w:val="1A8357E2"/>
    <w:rsid w:val="1A92204D"/>
    <w:rsid w:val="1AAE4087"/>
    <w:rsid w:val="1ACA0EAF"/>
    <w:rsid w:val="1B07C9BA"/>
    <w:rsid w:val="1B1F3975"/>
    <w:rsid w:val="1B21A596"/>
    <w:rsid w:val="1B483CD4"/>
    <w:rsid w:val="1B52A176"/>
    <w:rsid w:val="1B5E2974"/>
    <w:rsid w:val="1B6594B7"/>
    <w:rsid w:val="1B65EC33"/>
    <w:rsid w:val="1B74EA7B"/>
    <w:rsid w:val="1BA8E4E4"/>
    <w:rsid w:val="1BB3B6A2"/>
    <w:rsid w:val="1BE65476"/>
    <w:rsid w:val="1BEC52A0"/>
    <w:rsid w:val="1BF90529"/>
    <w:rsid w:val="1C057810"/>
    <w:rsid w:val="1C2A5F05"/>
    <w:rsid w:val="1C52F55B"/>
    <w:rsid w:val="1C5F6A5D"/>
    <w:rsid w:val="1CC145F4"/>
    <w:rsid w:val="1CCD2097"/>
    <w:rsid w:val="1CF41ADA"/>
    <w:rsid w:val="1D4EFA67"/>
    <w:rsid w:val="1DBEE3F9"/>
    <w:rsid w:val="1DCAE65F"/>
    <w:rsid w:val="1DCCEB41"/>
    <w:rsid w:val="1DDD6BA4"/>
    <w:rsid w:val="1DE2329C"/>
    <w:rsid w:val="1DFBB7A3"/>
    <w:rsid w:val="1DFFC49C"/>
    <w:rsid w:val="1E34B731"/>
    <w:rsid w:val="1E487DAE"/>
    <w:rsid w:val="1E8F2C25"/>
    <w:rsid w:val="1E96C300"/>
    <w:rsid w:val="1EA555AA"/>
    <w:rsid w:val="1EACFD21"/>
    <w:rsid w:val="1EB21AEC"/>
    <w:rsid w:val="1ECA34F4"/>
    <w:rsid w:val="1EF6F2A0"/>
    <w:rsid w:val="1F1525C6"/>
    <w:rsid w:val="1F5441D4"/>
    <w:rsid w:val="1F57012A"/>
    <w:rsid w:val="1FA3DC78"/>
    <w:rsid w:val="1FBE5C9D"/>
    <w:rsid w:val="1FC95094"/>
    <w:rsid w:val="1FF66214"/>
    <w:rsid w:val="2023E86E"/>
    <w:rsid w:val="202761DF"/>
    <w:rsid w:val="20570AB3"/>
    <w:rsid w:val="205B32A6"/>
    <w:rsid w:val="20704B9C"/>
    <w:rsid w:val="207601F1"/>
    <w:rsid w:val="2088D730"/>
    <w:rsid w:val="20B2CF24"/>
    <w:rsid w:val="20C68E41"/>
    <w:rsid w:val="2100A6BE"/>
    <w:rsid w:val="2117EE7D"/>
    <w:rsid w:val="211A00B3"/>
    <w:rsid w:val="212D2297"/>
    <w:rsid w:val="21327D7E"/>
    <w:rsid w:val="214021F5"/>
    <w:rsid w:val="21596A93"/>
    <w:rsid w:val="215D8A0B"/>
    <w:rsid w:val="2166F1CB"/>
    <w:rsid w:val="21695B09"/>
    <w:rsid w:val="217B95D1"/>
    <w:rsid w:val="218BDEED"/>
    <w:rsid w:val="21C982CB"/>
    <w:rsid w:val="21D5AD97"/>
    <w:rsid w:val="21D885BC"/>
    <w:rsid w:val="21EBAC5A"/>
    <w:rsid w:val="2213252E"/>
    <w:rsid w:val="22216A56"/>
    <w:rsid w:val="22379FB8"/>
    <w:rsid w:val="226CCA87"/>
    <w:rsid w:val="227E0216"/>
    <w:rsid w:val="229FABFA"/>
    <w:rsid w:val="22AE5640"/>
    <w:rsid w:val="22D42CB6"/>
    <w:rsid w:val="22D52E5F"/>
    <w:rsid w:val="2309CF26"/>
    <w:rsid w:val="23623834"/>
    <w:rsid w:val="2387B5B2"/>
    <w:rsid w:val="23D699B9"/>
    <w:rsid w:val="24357438"/>
    <w:rsid w:val="243AC202"/>
    <w:rsid w:val="243F9DA1"/>
    <w:rsid w:val="244845CF"/>
    <w:rsid w:val="246DB88D"/>
    <w:rsid w:val="2482FDEE"/>
    <w:rsid w:val="24AB9895"/>
    <w:rsid w:val="24BD41F6"/>
    <w:rsid w:val="24C2CBBD"/>
    <w:rsid w:val="250278BA"/>
    <w:rsid w:val="25169600"/>
    <w:rsid w:val="25176B05"/>
    <w:rsid w:val="2546E6E3"/>
    <w:rsid w:val="2558345D"/>
    <w:rsid w:val="256AE684"/>
    <w:rsid w:val="26037D39"/>
    <w:rsid w:val="260987F2"/>
    <w:rsid w:val="261847CF"/>
    <w:rsid w:val="261B0AA6"/>
    <w:rsid w:val="26298FDB"/>
    <w:rsid w:val="26452BE1"/>
    <w:rsid w:val="266BECBD"/>
    <w:rsid w:val="266FC54D"/>
    <w:rsid w:val="26729031"/>
    <w:rsid w:val="269810A1"/>
    <w:rsid w:val="26B3986F"/>
    <w:rsid w:val="26EFC907"/>
    <w:rsid w:val="26F83CCC"/>
    <w:rsid w:val="26FF63CF"/>
    <w:rsid w:val="2780701B"/>
    <w:rsid w:val="279A8618"/>
    <w:rsid w:val="27AFB27E"/>
    <w:rsid w:val="27FE898F"/>
    <w:rsid w:val="2802CE10"/>
    <w:rsid w:val="28039D9A"/>
    <w:rsid w:val="2816829C"/>
    <w:rsid w:val="28252A85"/>
    <w:rsid w:val="28347409"/>
    <w:rsid w:val="283CCAFD"/>
    <w:rsid w:val="286ED57C"/>
    <w:rsid w:val="2872881E"/>
    <w:rsid w:val="287EB61D"/>
    <w:rsid w:val="289AFDF8"/>
    <w:rsid w:val="28D22F32"/>
    <w:rsid w:val="28DA8B5E"/>
    <w:rsid w:val="28DAA417"/>
    <w:rsid w:val="28EE4F8F"/>
    <w:rsid w:val="28FC6273"/>
    <w:rsid w:val="2957C9BF"/>
    <w:rsid w:val="296DBC97"/>
    <w:rsid w:val="297B26E1"/>
    <w:rsid w:val="29943C63"/>
    <w:rsid w:val="29BB39B0"/>
    <w:rsid w:val="29BFF2B1"/>
    <w:rsid w:val="2A198B81"/>
    <w:rsid w:val="2A1A1D60"/>
    <w:rsid w:val="2A1E5612"/>
    <w:rsid w:val="2A3A6A77"/>
    <w:rsid w:val="2A4128C8"/>
    <w:rsid w:val="2A4B094F"/>
    <w:rsid w:val="2A89569C"/>
    <w:rsid w:val="2AB1AC02"/>
    <w:rsid w:val="2AD2250D"/>
    <w:rsid w:val="2AD2F7AC"/>
    <w:rsid w:val="2ADF7AD0"/>
    <w:rsid w:val="2AFD2FA7"/>
    <w:rsid w:val="2B0F5E8C"/>
    <w:rsid w:val="2B409EFA"/>
    <w:rsid w:val="2BB3DCEE"/>
    <w:rsid w:val="2BF2259E"/>
    <w:rsid w:val="2BF2ED3C"/>
    <w:rsid w:val="2C09A9B5"/>
    <w:rsid w:val="2C1EE076"/>
    <w:rsid w:val="2C21DB66"/>
    <w:rsid w:val="2C4D8F0D"/>
    <w:rsid w:val="2C593351"/>
    <w:rsid w:val="2C5F88AD"/>
    <w:rsid w:val="2C6B2C6F"/>
    <w:rsid w:val="2CB13C44"/>
    <w:rsid w:val="2CCBDE97"/>
    <w:rsid w:val="2CCF7011"/>
    <w:rsid w:val="2CD5434A"/>
    <w:rsid w:val="2CF11366"/>
    <w:rsid w:val="2D1077BB"/>
    <w:rsid w:val="2D192F93"/>
    <w:rsid w:val="2D34ED32"/>
    <w:rsid w:val="2D49C066"/>
    <w:rsid w:val="2D5BF3CE"/>
    <w:rsid w:val="2D974C42"/>
    <w:rsid w:val="2DA19516"/>
    <w:rsid w:val="2DDD338C"/>
    <w:rsid w:val="2DE183A7"/>
    <w:rsid w:val="2DED0730"/>
    <w:rsid w:val="2DFE577B"/>
    <w:rsid w:val="2E0F739C"/>
    <w:rsid w:val="2E12D541"/>
    <w:rsid w:val="2E2A3329"/>
    <w:rsid w:val="2E49B2DA"/>
    <w:rsid w:val="2E508A69"/>
    <w:rsid w:val="2E5652F3"/>
    <w:rsid w:val="2E68944C"/>
    <w:rsid w:val="2EB2F8AB"/>
    <w:rsid w:val="2EBECF2C"/>
    <w:rsid w:val="2ED069CB"/>
    <w:rsid w:val="2EEBF73F"/>
    <w:rsid w:val="2F16F40E"/>
    <w:rsid w:val="2F1BAC56"/>
    <w:rsid w:val="2F3DC627"/>
    <w:rsid w:val="2F59B683"/>
    <w:rsid w:val="2FBDE7D8"/>
    <w:rsid w:val="2FEFC7DE"/>
    <w:rsid w:val="2FF39C79"/>
    <w:rsid w:val="2FF6A7F5"/>
    <w:rsid w:val="2FFE575F"/>
    <w:rsid w:val="3004B7E4"/>
    <w:rsid w:val="302409C8"/>
    <w:rsid w:val="3043DB1E"/>
    <w:rsid w:val="306A6575"/>
    <w:rsid w:val="306CCFE4"/>
    <w:rsid w:val="308642C6"/>
    <w:rsid w:val="3094792F"/>
    <w:rsid w:val="31135F4E"/>
    <w:rsid w:val="31518E8B"/>
    <w:rsid w:val="318A5BFF"/>
    <w:rsid w:val="318F5EDD"/>
    <w:rsid w:val="31A1D1D5"/>
    <w:rsid w:val="31BD0B69"/>
    <w:rsid w:val="31CE0F4E"/>
    <w:rsid w:val="31F68F10"/>
    <w:rsid w:val="3207F4A9"/>
    <w:rsid w:val="3243D297"/>
    <w:rsid w:val="325BF382"/>
    <w:rsid w:val="326EC42D"/>
    <w:rsid w:val="32CD88AF"/>
    <w:rsid w:val="32EDDA91"/>
    <w:rsid w:val="32F19DFF"/>
    <w:rsid w:val="33059C38"/>
    <w:rsid w:val="332277F4"/>
    <w:rsid w:val="3393C6E9"/>
    <w:rsid w:val="33B8564D"/>
    <w:rsid w:val="33CA93E6"/>
    <w:rsid w:val="33D550EC"/>
    <w:rsid w:val="33D55F78"/>
    <w:rsid w:val="33EDB401"/>
    <w:rsid w:val="34B53743"/>
    <w:rsid w:val="34D9D2B2"/>
    <w:rsid w:val="34F3DF1C"/>
    <w:rsid w:val="350AA0CF"/>
    <w:rsid w:val="35233BC6"/>
    <w:rsid w:val="352BA451"/>
    <w:rsid w:val="352EDE02"/>
    <w:rsid w:val="354F02B9"/>
    <w:rsid w:val="356ACD71"/>
    <w:rsid w:val="358095DA"/>
    <w:rsid w:val="358D8E53"/>
    <w:rsid w:val="359066F1"/>
    <w:rsid w:val="3591ED14"/>
    <w:rsid w:val="35ABC509"/>
    <w:rsid w:val="3609B1A5"/>
    <w:rsid w:val="361054D6"/>
    <w:rsid w:val="3624C472"/>
    <w:rsid w:val="362FA21C"/>
    <w:rsid w:val="36316FC2"/>
    <w:rsid w:val="3640CF7D"/>
    <w:rsid w:val="366B16F8"/>
    <w:rsid w:val="36B95066"/>
    <w:rsid w:val="36D16448"/>
    <w:rsid w:val="37008D86"/>
    <w:rsid w:val="371983FE"/>
    <w:rsid w:val="37222FDB"/>
    <w:rsid w:val="373E40B8"/>
    <w:rsid w:val="375E029B"/>
    <w:rsid w:val="376E71F2"/>
    <w:rsid w:val="377AC11F"/>
    <w:rsid w:val="378B091B"/>
    <w:rsid w:val="37BD6C79"/>
    <w:rsid w:val="37CAA175"/>
    <w:rsid w:val="37CB6013"/>
    <w:rsid w:val="37D0395F"/>
    <w:rsid w:val="37D90D38"/>
    <w:rsid w:val="3803A170"/>
    <w:rsid w:val="381F57A8"/>
    <w:rsid w:val="382C38D1"/>
    <w:rsid w:val="3840E2FE"/>
    <w:rsid w:val="38538D8F"/>
    <w:rsid w:val="386FC7C6"/>
    <w:rsid w:val="38AD06AC"/>
    <w:rsid w:val="38B0D035"/>
    <w:rsid w:val="38BDDA0F"/>
    <w:rsid w:val="38D867C0"/>
    <w:rsid w:val="38E3FC1F"/>
    <w:rsid w:val="38E46D3C"/>
    <w:rsid w:val="38E54962"/>
    <w:rsid w:val="38F89798"/>
    <w:rsid w:val="38F98A8C"/>
    <w:rsid w:val="39033BD4"/>
    <w:rsid w:val="39059AD4"/>
    <w:rsid w:val="3907E38B"/>
    <w:rsid w:val="3915CD23"/>
    <w:rsid w:val="393B024B"/>
    <w:rsid w:val="3964A366"/>
    <w:rsid w:val="3966A070"/>
    <w:rsid w:val="39812AB3"/>
    <w:rsid w:val="39B56249"/>
    <w:rsid w:val="3A3883E4"/>
    <w:rsid w:val="3A42D3FF"/>
    <w:rsid w:val="3A46C7BB"/>
    <w:rsid w:val="3A543E43"/>
    <w:rsid w:val="3A565DC0"/>
    <w:rsid w:val="3A6E213F"/>
    <w:rsid w:val="3ACD6482"/>
    <w:rsid w:val="3AE17881"/>
    <w:rsid w:val="3AFBD738"/>
    <w:rsid w:val="3B00C848"/>
    <w:rsid w:val="3B32033C"/>
    <w:rsid w:val="3B568486"/>
    <w:rsid w:val="3B64109E"/>
    <w:rsid w:val="3B722D57"/>
    <w:rsid w:val="3B889EEB"/>
    <w:rsid w:val="3B8CEFA4"/>
    <w:rsid w:val="3BA76735"/>
    <w:rsid w:val="3BB74DAA"/>
    <w:rsid w:val="3BCF2180"/>
    <w:rsid w:val="3BD90876"/>
    <w:rsid w:val="3BDE4E49"/>
    <w:rsid w:val="3BEDB9FF"/>
    <w:rsid w:val="3C0CDE2A"/>
    <w:rsid w:val="3C486E93"/>
    <w:rsid w:val="3C646348"/>
    <w:rsid w:val="3C681107"/>
    <w:rsid w:val="3C96FB75"/>
    <w:rsid w:val="3CB9F7FB"/>
    <w:rsid w:val="3CB9FCAA"/>
    <w:rsid w:val="3D0BAE4F"/>
    <w:rsid w:val="3D34A523"/>
    <w:rsid w:val="3D3FF640"/>
    <w:rsid w:val="3D54E1BD"/>
    <w:rsid w:val="3D643945"/>
    <w:rsid w:val="3D7EB087"/>
    <w:rsid w:val="3D82166C"/>
    <w:rsid w:val="3D9ED126"/>
    <w:rsid w:val="3DB9DBCC"/>
    <w:rsid w:val="3DBE6424"/>
    <w:rsid w:val="3DC77114"/>
    <w:rsid w:val="3DDF1C35"/>
    <w:rsid w:val="3DF12C3F"/>
    <w:rsid w:val="3DF33445"/>
    <w:rsid w:val="3DFB1473"/>
    <w:rsid w:val="3DFE5932"/>
    <w:rsid w:val="3E20D377"/>
    <w:rsid w:val="3E316BEA"/>
    <w:rsid w:val="3E6617E4"/>
    <w:rsid w:val="3E6CEEE5"/>
    <w:rsid w:val="3E7AE6D2"/>
    <w:rsid w:val="3E96F992"/>
    <w:rsid w:val="3EDEB434"/>
    <w:rsid w:val="3EE7EEB2"/>
    <w:rsid w:val="3F1A8456"/>
    <w:rsid w:val="3F2EF0F9"/>
    <w:rsid w:val="3FCDC4ED"/>
    <w:rsid w:val="3FE2DC08"/>
    <w:rsid w:val="3FF0818C"/>
    <w:rsid w:val="4009A3A8"/>
    <w:rsid w:val="402D3A93"/>
    <w:rsid w:val="40947523"/>
    <w:rsid w:val="40B4D9AE"/>
    <w:rsid w:val="40B90045"/>
    <w:rsid w:val="40C946EA"/>
    <w:rsid w:val="40CB5F19"/>
    <w:rsid w:val="40CF87A5"/>
    <w:rsid w:val="410519A1"/>
    <w:rsid w:val="411DD04F"/>
    <w:rsid w:val="4121E1FE"/>
    <w:rsid w:val="41261AA3"/>
    <w:rsid w:val="413A9324"/>
    <w:rsid w:val="4157DD37"/>
    <w:rsid w:val="418ADF44"/>
    <w:rsid w:val="41D49828"/>
    <w:rsid w:val="41D4CE1B"/>
    <w:rsid w:val="41FBCF61"/>
    <w:rsid w:val="4219444E"/>
    <w:rsid w:val="423C5956"/>
    <w:rsid w:val="424B0004"/>
    <w:rsid w:val="42AA2D47"/>
    <w:rsid w:val="42CC9229"/>
    <w:rsid w:val="4306CD76"/>
    <w:rsid w:val="430A5108"/>
    <w:rsid w:val="434690E9"/>
    <w:rsid w:val="4347A930"/>
    <w:rsid w:val="435BE8BE"/>
    <w:rsid w:val="436F7F1A"/>
    <w:rsid w:val="43A0DD22"/>
    <w:rsid w:val="43BAA264"/>
    <w:rsid w:val="43D45C3F"/>
    <w:rsid w:val="43E5315E"/>
    <w:rsid w:val="43FFC074"/>
    <w:rsid w:val="4412D096"/>
    <w:rsid w:val="44458373"/>
    <w:rsid w:val="4461282D"/>
    <w:rsid w:val="44BA9E89"/>
    <w:rsid w:val="44DA9E54"/>
    <w:rsid w:val="4545264E"/>
    <w:rsid w:val="4561351A"/>
    <w:rsid w:val="459CAD75"/>
    <w:rsid w:val="45AF7A03"/>
    <w:rsid w:val="45BC9600"/>
    <w:rsid w:val="45C41267"/>
    <w:rsid w:val="45C86782"/>
    <w:rsid w:val="45EED1A8"/>
    <w:rsid w:val="46173962"/>
    <w:rsid w:val="4670F380"/>
    <w:rsid w:val="467632B4"/>
    <w:rsid w:val="4690EB5E"/>
    <w:rsid w:val="46E32F0A"/>
    <w:rsid w:val="46EEEBD9"/>
    <w:rsid w:val="46FA0F0F"/>
    <w:rsid w:val="46FA9799"/>
    <w:rsid w:val="46FD53DA"/>
    <w:rsid w:val="47056E6D"/>
    <w:rsid w:val="4706CCAB"/>
    <w:rsid w:val="470C1906"/>
    <w:rsid w:val="473D8DF6"/>
    <w:rsid w:val="4767D735"/>
    <w:rsid w:val="477F411B"/>
    <w:rsid w:val="478812E0"/>
    <w:rsid w:val="47A482C0"/>
    <w:rsid w:val="47F70B85"/>
    <w:rsid w:val="48438AC4"/>
    <w:rsid w:val="485F9D1E"/>
    <w:rsid w:val="48960475"/>
    <w:rsid w:val="48E69D0E"/>
    <w:rsid w:val="48FA6763"/>
    <w:rsid w:val="4940CCBD"/>
    <w:rsid w:val="49416046"/>
    <w:rsid w:val="494AE8CC"/>
    <w:rsid w:val="497715FE"/>
    <w:rsid w:val="49977F22"/>
    <w:rsid w:val="49A37B36"/>
    <w:rsid w:val="49C06BF9"/>
    <w:rsid w:val="49CEA7C4"/>
    <w:rsid w:val="49DDEF77"/>
    <w:rsid w:val="49EADCEC"/>
    <w:rsid w:val="4A0C7538"/>
    <w:rsid w:val="4A78BE0F"/>
    <w:rsid w:val="4A798650"/>
    <w:rsid w:val="4A820F42"/>
    <w:rsid w:val="4A8B457B"/>
    <w:rsid w:val="4A9E9E28"/>
    <w:rsid w:val="4AA26075"/>
    <w:rsid w:val="4ABB9978"/>
    <w:rsid w:val="4ACA98A4"/>
    <w:rsid w:val="4ADACFD8"/>
    <w:rsid w:val="4AF7666D"/>
    <w:rsid w:val="4B207E8C"/>
    <w:rsid w:val="4B33F97D"/>
    <w:rsid w:val="4B5F10CF"/>
    <w:rsid w:val="4B7232D3"/>
    <w:rsid w:val="4B7A9076"/>
    <w:rsid w:val="4B823C57"/>
    <w:rsid w:val="4B89E6FB"/>
    <w:rsid w:val="4B8ADC8B"/>
    <w:rsid w:val="4B9A10BD"/>
    <w:rsid w:val="4BA735F9"/>
    <w:rsid w:val="4BC05AE3"/>
    <w:rsid w:val="4BDDC7EE"/>
    <w:rsid w:val="4C41296D"/>
    <w:rsid w:val="4C499E0F"/>
    <w:rsid w:val="4C4E3063"/>
    <w:rsid w:val="4C65A5D5"/>
    <w:rsid w:val="4C6F3504"/>
    <w:rsid w:val="4C7AA64D"/>
    <w:rsid w:val="4CA4F0A3"/>
    <w:rsid w:val="4CF599E4"/>
    <w:rsid w:val="4D19FEE5"/>
    <w:rsid w:val="4D2352F8"/>
    <w:rsid w:val="4D25F4E6"/>
    <w:rsid w:val="4D2F8EA2"/>
    <w:rsid w:val="4D2FC4F9"/>
    <w:rsid w:val="4D3C63F3"/>
    <w:rsid w:val="4D3DEA99"/>
    <w:rsid w:val="4D5250DC"/>
    <w:rsid w:val="4D682B64"/>
    <w:rsid w:val="4D6DDB88"/>
    <w:rsid w:val="4D72E3DF"/>
    <w:rsid w:val="4D916EBD"/>
    <w:rsid w:val="4D9AA0A6"/>
    <w:rsid w:val="4DAC37E0"/>
    <w:rsid w:val="4DB7B010"/>
    <w:rsid w:val="4DC628F5"/>
    <w:rsid w:val="4DC79FD2"/>
    <w:rsid w:val="4DD156A8"/>
    <w:rsid w:val="4DD66E86"/>
    <w:rsid w:val="4DF540E4"/>
    <w:rsid w:val="4DFB3055"/>
    <w:rsid w:val="4E61BAF5"/>
    <w:rsid w:val="4E84BB4C"/>
    <w:rsid w:val="4E8F4378"/>
    <w:rsid w:val="4EAB26CC"/>
    <w:rsid w:val="4ED6DDF7"/>
    <w:rsid w:val="4EF12C83"/>
    <w:rsid w:val="4EFB1AFD"/>
    <w:rsid w:val="4EFCA553"/>
    <w:rsid w:val="4F112CC6"/>
    <w:rsid w:val="4F338E20"/>
    <w:rsid w:val="4F3406F1"/>
    <w:rsid w:val="4F38D5BA"/>
    <w:rsid w:val="4F5432DB"/>
    <w:rsid w:val="4F57E350"/>
    <w:rsid w:val="4F90AE08"/>
    <w:rsid w:val="4FAD5273"/>
    <w:rsid w:val="4FC4ADFC"/>
    <w:rsid w:val="4FD923D4"/>
    <w:rsid w:val="4FE9DE8E"/>
    <w:rsid w:val="4FF25C2D"/>
    <w:rsid w:val="4FFD197A"/>
    <w:rsid w:val="50113EA5"/>
    <w:rsid w:val="501B17ED"/>
    <w:rsid w:val="50780709"/>
    <w:rsid w:val="5088D7E1"/>
    <w:rsid w:val="50978368"/>
    <w:rsid w:val="509D0E3A"/>
    <w:rsid w:val="509FCD6A"/>
    <w:rsid w:val="50D066C0"/>
    <w:rsid w:val="5126F8BB"/>
    <w:rsid w:val="5163361E"/>
    <w:rsid w:val="51637F82"/>
    <w:rsid w:val="51648E25"/>
    <w:rsid w:val="517A73D8"/>
    <w:rsid w:val="51A5BC35"/>
    <w:rsid w:val="51B50420"/>
    <w:rsid w:val="51C3A530"/>
    <w:rsid w:val="523EECA4"/>
    <w:rsid w:val="5257203D"/>
    <w:rsid w:val="5290F84B"/>
    <w:rsid w:val="52954AC5"/>
    <w:rsid w:val="52B4415C"/>
    <w:rsid w:val="52D45064"/>
    <w:rsid w:val="52E9FCCD"/>
    <w:rsid w:val="53025962"/>
    <w:rsid w:val="5319A554"/>
    <w:rsid w:val="5335C699"/>
    <w:rsid w:val="53542712"/>
    <w:rsid w:val="53564BA5"/>
    <w:rsid w:val="538AF29C"/>
    <w:rsid w:val="538C2368"/>
    <w:rsid w:val="53A1C808"/>
    <w:rsid w:val="53A7771E"/>
    <w:rsid w:val="53B9711C"/>
    <w:rsid w:val="53BB7E88"/>
    <w:rsid w:val="53D94E3C"/>
    <w:rsid w:val="53E9C4C1"/>
    <w:rsid w:val="541584F3"/>
    <w:rsid w:val="5418986D"/>
    <w:rsid w:val="542363F8"/>
    <w:rsid w:val="5432981B"/>
    <w:rsid w:val="54878D99"/>
    <w:rsid w:val="54A6BDA3"/>
    <w:rsid w:val="54E409D0"/>
    <w:rsid w:val="55194F71"/>
    <w:rsid w:val="55354C5F"/>
    <w:rsid w:val="55552212"/>
    <w:rsid w:val="55809607"/>
    <w:rsid w:val="5593C8DC"/>
    <w:rsid w:val="5593EE4E"/>
    <w:rsid w:val="55BACB51"/>
    <w:rsid w:val="55CBD6A7"/>
    <w:rsid w:val="55DA2B65"/>
    <w:rsid w:val="55E4D8E0"/>
    <w:rsid w:val="5608B764"/>
    <w:rsid w:val="5624D869"/>
    <w:rsid w:val="5680FDAD"/>
    <w:rsid w:val="56B389F6"/>
    <w:rsid w:val="56B93839"/>
    <w:rsid w:val="56E9FFCE"/>
    <w:rsid w:val="56ED2099"/>
    <w:rsid w:val="570D0270"/>
    <w:rsid w:val="5721E105"/>
    <w:rsid w:val="573AEF0E"/>
    <w:rsid w:val="57596885"/>
    <w:rsid w:val="576F04E1"/>
    <w:rsid w:val="5773F795"/>
    <w:rsid w:val="57764041"/>
    <w:rsid w:val="577D94B5"/>
    <w:rsid w:val="5789C184"/>
    <w:rsid w:val="579085AF"/>
    <w:rsid w:val="57A8A873"/>
    <w:rsid w:val="57AD1F9A"/>
    <w:rsid w:val="57C1549A"/>
    <w:rsid w:val="57E531D9"/>
    <w:rsid w:val="5810826C"/>
    <w:rsid w:val="583D4F46"/>
    <w:rsid w:val="585877A8"/>
    <w:rsid w:val="585BD3C3"/>
    <w:rsid w:val="58872C3C"/>
    <w:rsid w:val="58A5FA15"/>
    <w:rsid w:val="58C7C514"/>
    <w:rsid w:val="58D87E58"/>
    <w:rsid w:val="58EFB6C0"/>
    <w:rsid w:val="58F1C9F0"/>
    <w:rsid w:val="58F55EF1"/>
    <w:rsid w:val="590B2236"/>
    <w:rsid w:val="590B3930"/>
    <w:rsid w:val="592EB7C1"/>
    <w:rsid w:val="5936D481"/>
    <w:rsid w:val="59424148"/>
    <w:rsid w:val="595FCBBF"/>
    <w:rsid w:val="597DCB3B"/>
    <w:rsid w:val="598B4A24"/>
    <w:rsid w:val="59A13907"/>
    <w:rsid w:val="59DE8854"/>
    <w:rsid w:val="59E4134B"/>
    <w:rsid w:val="59E6246D"/>
    <w:rsid w:val="59F2F958"/>
    <w:rsid w:val="5A10BBB5"/>
    <w:rsid w:val="5A2210C6"/>
    <w:rsid w:val="5A3237B6"/>
    <w:rsid w:val="5A39DE39"/>
    <w:rsid w:val="5A484F37"/>
    <w:rsid w:val="5A5649FA"/>
    <w:rsid w:val="5A621FA3"/>
    <w:rsid w:val="5A8F1D12"/>
    <w:rsid w:val="5A9CEFB7"/>
    <w:rsid w:val="5AB78ED6"/>
    <w:rsid w:val="5ABE7027"/>
    <w:rsid w:val="5AEEB15C"/>
    <w:rsid w:val="5B31E83B"/>
    <w:rsid w:val="5B3380D7"/>
    <w:rsid w:val="5B379D4E"/>
    <w:rsid w:val="5B37A51F"/>
    <w:rsid w:val="5B67D2A7"/>
    <w:rsid w:val="5B886C68"/>
    <w:rsid w:val="5BDF820D"/>
    <w:rsid w:val="5BEC9D95"/>
    <w:rsid w:val="5BF02DC5"/>
    <w:rsid w:val="5C13EA02"/>
    <w:rsid w:val="5C402E4A"/>
    <w:rsid w:val="5C50DE52"/>
    <w:rsid w:val="5CA33E8D"/>
    <w:rsid w:val="5CC8B3A2"/>
    <w:rsid w:val="5CD672C2"/>
    <w:rsid w:val="5CF1B7F4"/>
    <w:rsid w:val="5CF51022"/>
    <w:rsid w:val="5D197024"/>
    <w:rsid w:val="5D4389D1"/>
    <w:rsid w:val="5D779E55"/>
    <w:rsid w:val="5D8CCA25"/>
    <w:rsid w:val="5D942579"/>
    <w:rsid w:val="5DC2F2C9"/>
    <w:rsid w:val="5DD7E492"/>
    <w:rsid w:val="5DEFB3B9"/>
    <w:rsid w:val="5DFA25F6"/>
    <w:rsid w:val="5E00215D"/>
    <w:rsid w:val="5E5498A1"/>
    <w:rsid w:val="5E8C61A6"/>
    <w:rsid w:val="5EB3F02E"/>
    <w:rsid w:val="5EB6912D"/>
    <w:rsid w:val="5ED10E89"/>
    <w:rsid w:val="5F1198CE"/>
    <w:rsid w:val="5F208287"/>
    <w:rsid w:val="5F42DDF8"/>
    <w:rsid w:val="5F809A41"/>
    <w:rsid w:val="5F856552"/>
    <w:rsid w:val="5FB2E732"/>
    <w:rsid w:val="601DC8E6"/>
    <w:rsid w:val="60222240"/>
    <w:rsid w:val="602481FB"/>
    <w:rsid w:val="604896D5"/>
    <w:rsid w:val="6049CBF8"/>
    <w:rsid w:val="6061448E"/>
    <w:rsid w:val="6066DBFD"/>
    <w:rsid w:val="60889B2B"/>
    <w:rsid w:val="608D2B91"/>
    <w:rsid w:val="6093750D"/>
    <w:rsid w:val="60A44CAA"/>
    <w:rsid w:val="60A82F55"/>
    <w:rsid w:val="60BBCE51"/>
    <w:rsid w:val="60C676AB"/>
    <w:rsid w:val="60CDC252"/>
    <w:rsid w:val="60F3B56E"/>
    <w:rsid w:val="612495C6"/>
    <w:rsid w:val="61688C6D"/>
    <w:rsid w:val="617C531C"/>
    <w:rsid w:val="6191EF55"/>
    <w:rsid w:val="6196C324"/>
    <w:rsid w:val="61970FA1"/>
    <w:rsid w:val="61BCC892"/>
    <w:rsid w:val="6238B645"/>
    <w:rsid w:val="62429EE1"/>
    <w:rsid w:val="624927E0"/>
    <w:rsid w:val="625C5C43"/>
    <w:rsid w:val="6275260B"/>
    <w:rsid w:val="629FCE84"/>
    <w:rsid w:val="62A9485A"/>
    <w:rsid w:val="62F01878"/>
    <w:rsid w:val="63076472"/>
    <w:rsid w:val="63304B1F"/>
    <w:rsid w:val="633A7D15"/>
    <w:rsid w:val="636C71F8"/>
    <w:rsid w:val="63826DE1"/>
    <w:rsid w:val="638A6CAE"/>
    <w:rsid w:val="63A44D3E"/>
    <w:rsid w:val="63D6F2E1"/>
    <w:rsid w:val="63E1C0EB"/>
    <w:rsid w:val="6412BC64"/>
    <w:rsid w:val="6449A07C"/>
    <w:rsid w:val="648A92A4"/>
    <w:rsid w:val="649BCF23"/>
    <w:rsid w:val="64BD7007"/>
    <w:rsid w:val="64CA0F8A"/>
    <w:rsid w:val="6520EB22"/>
    <w:rsid w:val="652DD04D"/>
    <w:rsid w:val="65695542"/>
    <w:rsid w:val="6574AF8B"/>
    <w:rsid w:val="65765977"/>
    <w:rsid w:val="65834698"/>
    <w:rsid w:val="658E4641"/>
    <w:rsid w:val="65C414EA"/>
    <w:rsid w:val="65CD402E"/>
    <w:rsid w:val="65D8F6AD"/>
    <w:rsid w:val="65DD2A06"/>
    <w:rsid w:val="65DE24EC"/>
    <w:rsid w:val="65F34819"/>
    <w:rsid w:val="65F96C1D"/>
    <w:rsid w:val="65F9A5E0"/>
    <w:rsid w:val="6609B284"/>
    <w:rsid w:val="66186FA5"/>
    <w:rsid w:val="6629E396"/>
    <w:rsid w:val="662B0205"/>
    <w:rsid w:val="66377243"/>
    <w:rsid w:val="66394469"/>
    <w:rsid w:val="663F71FD"/>
    <w:rsid w:val="665A5B87"/>
    <w:rsid w:val="66845DCC"/>
    <w:rsid w:val="6688483A"/>
    <w:rsid w:val="668D72A8"/>
    <w:rsid w:val="66A0C140"/>
    <w:rsid w:val="66A32C58"/>
    <w:rsid w:val="66C2032E"/>
    <w:rsid w:val="66C57135"/>
    <w:rsid w:val="66D57300"/>
    <w:rsid w:val="6713F6AF"/>
    <w:rsid w:val="6772D326"/>
    <w:rsid w:val="67D259FE"/>
    <w:rsid w:val="6806DB93"/>
    <w:rsid w:val="6817DA78"/>
    <w:rsid w:val="682F1112"/>
    <w:rsid w:val="683EB739"/>
    <w:rsid w:val="68723775"/>
    <w:rsid w:val="68784BBF"/>
    <w:rsid w:val="68C33C6D"/>
    <w:rsid w:val="68ED1C25"/>
    <w:rsid w:val="693E9673"/>
    <w:rsid w:val="69469DF6"/>
    <w:rsid w:val="69989A6A"/>
    <w:rsid w:val="69B965B3"/>
    <w:rsid w:val="69E4A98A"/>
    <w:rsid w:val="69F363B6"/>
    <w:rsid w:val="6A105A5B"/>
    <w:rsid w:val="6A1C5BC3"/>
    <w:rsid w:val="6A43D03A"/>
    <w:rsid w:val="6A49DE81"/>
    <w:rsid w:val="6AA2E086"/>
    <w:rsid w:val="6AEB7130"/>
    <w:rsid w:val="6B0766D5"/>
    <w:rsid w:val="6B20C9FE"/>
    <w:rsid w:val="6B2B25EC"/>
    <w:rsid w:val="6B452736"/>
    <w:rsid w:val="6B6C2766"/>
    <w:rsid w:val="6B7816F7"/>
    <w:rsid w:val="6B89C664"/>
    <w:rsid w:val="6B9A72E2"/>
    <w:rsid w:val="6BB806FB"/>
    <w:rsid w:val="6BCCAF52"/>
    <w:rsid w:val="6BED2865"/>
    <w:rsid w:val="6BF98586"/>
    <w:rsid w:val="6BFE09AF"/>
    <w:rsid w:val="6C25B390"/>
    <w:rsid w:val="6C6202C6"/>
    <w:rsid w:val="6C7122F5"/>
    <w:rsid w:val="6C8E27CE"/>
    <w:rsid w:val="6C982C94"/>
    <w:rsid w:val="6CCAD955"/>
    <w:rsid w:val="6CE1B6EE"/>
    <w:rsid w:val="6CFE16E3"/>
    <w:rsid w:val="6D1FB305"/>
    <w:rsid w:val="6D24AFAF"/>
    <w:rsid w:val="6D277EEE"/>
    <w:rsid w:val="6D4F5A1B"/>
    <w:rsid w:val="6D67580E"/>
    <w:rsid w:val="6D6B0FB3"/>
    <w:rsid w:val="6D80A9F1"/>
    <w:rsid w:val="6DB27008"/>
    <w:rsid w:val="6DB48102"/>
    <w:rsid w:val="6DD25A9F"/>
    <w:rsid w:val="6DE1B876"/>
    <w:rsid w:val="6DE5B1AB"/>
    <w:rsid w:val="6E1C1013"/>
    <w:rsid w:val="6E24AB8F"/>
    <w:rsid w:val="6E3F86D8"/>
    <w:rsid w:val="6E40C63C"/>
    <w:rsid w:val="6E4372C4"/>
    <w:rsid w:val="6E53B17A"/>
    <w:rsid w:val="6E8BE7AB"/>
    <w:rsid w:val="6E94799B"/>
    <w:rsid w:val="6EB3B941"/>
    <w:rsid w:val="6EC054A4"/>
    <w:rsid w:val="6ECD23BC"/>
    <w:rsid w:val="6EE54826"/>
    <w:rsid w:val="6F0A90DE"/>
    <w:rsid w:val="6F499F28"/>
    <w:rsid w:val="6F9C5159"/>
    <w:rsid w:val="6FBBC615"/>
    <w:rsid w:val="6FCAEACB"/>
    <w:rsid w:val="6FF73DE0"/>
    <w:rsid w:val="7004407E"/>
    <w:rsid w:val="701E7480"/>
    <w:rsid w:val="70211542"/>
    <w:rsid w:val="70363D19"/>
    <w:rsid w:val="703D8288"/>
    <w:rsid w:val="706E8F3A"/>
    <w:rsid w:val="707CC3F3"/>
    <w:rsid w:val="7084E9BC"/>
    <w:rsid w:val="709680A0"/>
    <w:rsid w:val="70C21EFC"/>
    <w:rsid w:val="70CC2AEF"/>
    <w:rsid w:val="70ED37EA"/>
    <w:rsid w:val="7127E159"/>
    <w:rsid w:val="714C0EBD"/>
    <w:rsid w:val="7181AECF"/>
    <w:rsid w:val="7194F3F6"/>
    <w:rsid w:val="71C3F0A2"/>
    <w:rsid w:val="71F2E58C"/>
    <w:rsid w:val="7200248B"/>
    <w:rsid w:val="72361408"/>
    <w:rsid w:val="7256A021"/>
    <w:rsid w:val="7257189E"/>
    <w:rsid w:val="72578142"/>
    <w:rsid w:val="727BB2F7"/>
    <w:rsid w:val="728020FC"/>
    <w:rsid w:val="7286511D"/>
    <w:rsid w:val="72967427"/>
    <w:rsid w:val="73535CA6"/>
    <w:rsid w:val="73647AC9"/>
    <w:rsid w:val="73D5E7E7"/>
    <w:rsid w:val="73D7FF2C"/>
    <w:rsid w:val="7404E595"/>
    <w:rsid w:val="7410A814"/>
    <w:rsid w:val="7483A474"/>
    <w:rsid w:val="7488BE03"/>
    <w:rsid w:val="74B698E0"/>
    <w:rsid w:val="74BB81E6"/>
    <w:rsid w:val="74CB8DAF"/>
    <w:rsid w:val="74D76968"/>
    <w:rsid w:val="74E47371"/>
    <w:rsid w:val="74FDF8D4"/>
    <w:rsid w:val="7517F937"/>
    <w:rsid w:val="75302EAF"/>
    <w:rsid w:val="75615E48"/>
    <w:rsid w:val="7569B2A7"/>
    <w:rsid w:val="75BCE827"/>
    <w:rsid w:val="75E44019"/>
    <w:rsid w:val="7625A3B6"/>
    <w:rsid w:val="7655F258"/>
    <w:rsid w:val="7676B5B8"/>
    <w:rsid w:val="767DD19E"/>
    <w:rsid w:val="769F9F7A"/>
    <w:rsid w:val="76A096D4"/>
    <w:rsid w:val="76B232BB"/>
    <w:rsid w:val="76B90AB3"/>
    <w:rsid w:val="770A1ACF"/>
    <w:rsid w:val="770CC2BF"/>
    <w:rsid w:val="77580E77"/>
    <w:rsid w:val="77698AD5"/>
    <w:rsid w:val="777B6A55"/>
    <w:rsid w:val="778E4C19"/>
    <w:rsid w:val="77B77104"/>
    <w:rsid w:val="77F27277"/>
    <w:rsid w:val="7800F482"/>
    <w:rsid w:val="7801F539"/>
    <w:rsid w:val="783EED3A"/>
    <w:rsid w:val="784F029F"/>
    <w:rsid w:val="78584B60"/>
    <w:rsid w:val="78853E4A"/>
    <w:rsid w:val="78BB8357"/>
    <w:rsid w:val="78D02E46"/>
    <w:rsid w:val="791A0C8E"/>
    <w:rsid w:val="792F88BC"/>
    <w:rsid w:val="793175DA"/>
    <w:rsid w:val="7943CFCE"/>
    <w:rsid w:val="7945F60D"/>
    <w:rsid w:val="794A529E"/>
    <w:rsid w:val="794C5369"/>
    <w:rsid w:val="797FA927"/>
    <w:rsid w:val="79AD7ACF"/>
    <w:rsid w:val="79CC6BE1"/>
    <w:rsid w:val="7A053E2F"/>
    <w:rsid w:val="7A145605"/>
    <w:rsid w:val="7A8E4551"/>
    <w:rsid w:val="7A9A2ED3"/>
    <w:rsid w:val="7AA7253D"/>
    <w:rsid w:val="7AAAF3FE"/>
    <w:rsid w:val="7AAB3310"/>
    <w:rsid w:val="7AB9DC49"/>
    <w:rsid w:val="7AE3B914"/>
    <w:rsid w:val="7B2E5750"/>
    <w:rsid w:val="7B46C4FF"/>
    <w:rsid w:val="7B6374A4"/>
    <w:rsid w:val="7BE6CF03"/>
    <w:rsid w:val="7BF5C34A"/>
    <w:rsid w:val="7C0918F2"/>
    <w:rsid w:val="7C1D24A5"/>
    <w:rsid w:val="7C20E084"/>
    <w:rsid w:val="7C2B339F"/>
    <w:rsid w:val="7C365602"/>
    <w:rsid w:val="7C48BD7A"/>
    <w:rsid w:val="7C80173D"/>
    <w:rsid w:val="7C885962"/>
    <w:rsid w:val="7CB2CBA2"/>
    <w:rsid w:val="7CB9552E"/>
    <w:rsid w:val="7CEA6527"/>
    <w:rsid w:val="7D1A4C15"/>
    <w:rsid w:val="7D1D11B4"/>
    <w:rsid w:val="7D55D653"/>
    <w:rsid w:val="7D58A243"/>
    <w:rsid w:val="7D614478"/>
    <w:rsid w:val="7DA3C94E"/>
    <w:rsid w:val="7E080D57"/>
    <w:rsid w:val="7E109BD6"/>
    <w:rsid w:val="7E324928"/>
    <w:rsid w:val="7E6AE047"/>
    <w:rsid w:val="7E75DC73"/>
    <w:rsid w:val="7E90C71E"/>
    <w:rsid w:val="7ED0345F"/>
    <w:rsid w:val="7EFB546A"/>
    <w:rsid w:val="7F2C07DE"/>
    <w:rsid w:val="7F417931"/>
    <w:rsid w:val="7F4F5D9C"/>
    <w:rsid w:val="7F5CB183"/>
    <w:rsid w:val="7F8E008B"/>
    <w:rsid w:val="7F95FCE6"/>
    <w:rsid w:val="7FA56518"/>
    <w:rsid w:val="7FB10F52"/>
    <w:rsid w:val="7FB5AA48"/>
    <w:rsid w:val="7FB8B3DF"/>
    <w:rsid w:val="7FBBC3C9"/>
    <w:rsid w:val="7FEB116F"/>
    <w:rsid w:val="7FF66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97F48A40-4200-491B-BA02-703A19E7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l-GR"/>
    </w:rPr>
  </w:style>
  <w:style w:type="paragraph" w:styleId="Heading1">
    <w:name w:val="heading 1"/>
    <w:basedOn w:val="Normal"/>
    <w:next w:val="Text1"/>
    <w:link w:val="Heading1Char"/>
    <w:uiPriority w:val="9"/>
    <w:qFormat/>
    <w:pPr>
      <w:keepNext/>
      <w:numPr>
        <w:numId w:val="4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2"/>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2"/>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2"/>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2"/>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0D22"/>
    <w:pPr>
      <w:spacing w:after="0" w:line="240" w:lineRule="auto"/>
      <w:jc w:val="both"/>
    </w:pPr>
    <w:rPr>
      <w:rFonts w:ascii="Times New Roman" w:hAnsi="Times New Roman" w:cs="Times New Roman"/>
      <w:sz w:val="24"/>
    </w:rPr>
  </w:style>
  <w:style w:type="character" w:customStyle="1" w:styleId="normaltextrun">
    <w:name w:val="normaltextrun"/>
    <w:basedOn w:val="DefaultParagraphFont"/>
    <w:rsid w:val="00BE0D22"/>
  </w:style>
  <w:style w:type="character" w:customStyle="1" w:styleId="eop">
    <w:name w:val="eop"/>
    <w:basedOn w:val="DefaultParagraphFont"/>
    <w:rsid w:val="00BE0D22"/>
  </w:style>
  <w:style w:type="paragraph" w:customStyle="1" w:styleId="Numpar10">
    <w:name w:val="Num par1"/>
    <w:basedOn w:val="NumPar6"/>
    <w:rsid w:val="00BE0D22"/>
    <w:pPr>
      <w:numPr>
        <w:ilvl w:val="0"/>
        <w:numId w:val="0"/>
      </w:numPr>
      <w:tabs>
        <w:tab w:val="num" w:pos="850"/>
      </w:tabs>
      <w:ind w:left="850" w:hanging="850"/>
    </w:pPr>
  </w:style>
  <w:style w:type="paragraph" w:customStyle="1" w:styleId="Numpar">
    <w:name w:val="Num par"/>
    <w:basedOn w:val="Numpar10"/>
    <w:rsid w:val="00BE0D22"/>
  </w:style>
  <w:style w:type="character" w:styleId="Hyperlink">
    <w:name w:val="Hyperlink"/>
    <w:basedOn w:val="DefaultParagraphFont"/>
    <w:uiPriority w:val="99"/>
    <w:unhideWhenUsed/>
    <w:rsid w:val="00BE0D22"/>
    <w:rPr>
      <w:color w:val="0000FF" w:themeColor="hyperlink"/>
      <w:u w:val="single"/>
    </w:rPr>
  </w:style>
  <w:style w:type="character" w:styleId="Emphasis">
    <w:name w:val="Emphasis"/>
    <w:basedOn w:val="DefaultParagraphFont"/>
    <w:uiPriority w:val="20"/>
    <w:qFormat/>
    <w:rsid w:val="00BE0D22"/>
    <w:rPr>
      <w:i/>
      <w:iCs/>
    </w:rPr>
  </w:style>
  <w:style w:type="character" w:styleId="CommentReference">
    <w:name w:val="annotation reference"/>
    <w:basedOn w:val="DefaultParagraphFont"/>
    <w:uiPriority w:val="99"/>
    <w:semiHidden/>
    <w:unhideWhenUsed/>
    <w:rsid w:val="007F5DFA"/>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el-GR"/>
    </w:rPr>
  </w:style>
  <w:style w:type="paragraph" w:styleId="Revision">
    <w:name w:val="Revision"/>
    <w:hidden/>
    <w:uiPriority w:val="99"/>
    <w:semiHidden/>
    <w:rsid w:val="00F266A7"/>
    <w:pPr>
      <w:spacing w:after="0" w:line="240" w:lineRule="auto"/>
    </w:pPr>
    <w:rPr>
      <w:rFonts w:ascii="Times New Roman" w:hAnsi="Times New Roman" w:cs="Times New Roman"/>
      <w:sz w:val="24"/>
    </w:rPr>
  </w:style>
  <w:style w:type="paragraph" w:styleId="ListBullet">
    <w:name w:val="List Bullet"/>
    <w:basedOn w:val="Normal"/>
    <w:uiPriority w:val="99"/>
    <w:semiHidden/>
    <w:unhideWhenUsed/>
    <w:rsid w:val="00577336"/>
    <w:pPr>
      <w:numPr>
        <w:numId w:val="4"/>
      </w:numPr>
      <w:contextualSpacing/>
    </w:pPr>
  </w:style>
  <w:style w:type="paragraph" w:styleId="ListBullet2">
    <w:name w:val="List Bullet 2"/>
    <w:basedOn w:val="Normal"/>
    <w:uiPriority w:val="99"/>
    <w:semiHidden/>
    <w:unhideWhenUsed/>
    <w:rsid w:val="00577336"/>
    <w:pPr>
      <w:numPr>
        <w:numId w:val="5"/>
      </w:numPr>
      <w:contextualSpacing/>
    </w:pPr>
  </w:style>
  <w:style w:type="paragraph" w:styleId="ListBullet3">
    <w:name w:val="List Bullet 3"/>
    <w:basedOn w:val="Normal"/>
    <w:uiPriority w:val="99"/>
    <w:semiHidden/>
    <w:unhideWhenUsed/>
    <w:rsid w:val="00577336"/>
    <w:pPr>
      <w:numPr>
        <w:numId w:val="6"/>
      </w:numPr>
      <w:contextualSpacing/>
    </w:pPr>
  </w:style>
  <w:style w:type="paragraph" w:styleId="ListBullet4">
    <w:name w:val="List Bullet 4"/>
    <w:basedOn w:val="Normal"/>
    <w:uiPriority w:val="99"/>
    <w:semiHidden/>
    <w:unhideWhenUsed/>
    <w:rsid w:val="00577336"/>
    <w:pPr>
      <w:numPr>
        <w:numId w:val="7"/>
      </w:numPr>
      <w:contextualSpacing/>
    </w:pPr>
  </w:style>
  <w:style w:type="paragraph" w:styleId="CommentSubject">
    <w:name w:val="annotation subject"/>
    <w:basedOn w:val="CommentText"/>
    <w:next w:val="CommentText"/>
    <w:link w:val="CommentSubjectChar"/>
    <w:uiPriority w:val="99"/>
    <w:semiHidden/>
    <w:unhideWhenUsed/>
    <w:rsid w:val="00EB4CEB"/>
    <w:rPr>
      <w:b/>
      <w:bCs/>
    </w:rPr>
  </w:style>
  <w:style w:type="character" w:customStyle="1" w:styleId="CommentSubjectChar">
    <w:name w:val="Comment Subject Char"/>
    <w:basedOn w:val="CommentTextChar"/>
    <w:link w:val="CommentSubject"/>
    <w:uiPriority w:val="99"/>
    <w:semiHidden/>
    <w:rsid w:val="00EB4CEB"/>
    <w:rPr>
      <w:rFonts w:ascii="Times New Roman" w:hAnsi="Times New Roman" w:cs="Times New Roman"/>
      <w:b/>
      <w:bCs/>
      <w:sz w:val="20"/>
      <w:szCs w:val="20"/>
      <w:lang w:val="el-GR"/>
    </w:rPr>
  </w:style>
  <w:style w:type="character" w:customStyle="1" w:styleId="UnresolvedMention">
    <w:name w:val="Unresolved Mention"/>
    <w:basedOn w:val="DefaultParagraphFont"/>
    <w:uiPriority w:val="99"/>
    <w:semiHidden/>
    <w:unhideWhenUsed/>
    <w:rsid w:val="00DC0A79"/>
    <w:rPr>
      <w:color w:val="605E5C"/>
      <w:shd w:val="clear" w:color="auto" w:fill="E1DFDD"/>
    </w:rPr>
  </w:style>
  <w:style w:type="paragraph" w:styleId="EndnoteText">
    <w:name w:val="endnote text"/>
    <w:basedOn w:val="Normal"/>
    <w:link w:val="EndnoteTextChar"/>
    <w:uiPriority w:val="99"/>
    <w:semiHidden/>
    <w:unhideWhenUsed/>
    <w:rsid w:val="00DD7663"/>
    <w:pPr>
      <w:spacing w:before="0" w:after="0"/>
    </w:pPr>
    <w:rPr>
      <w:sz w:val="20"/>
      <w:szCs w:val="20"/>
    </w:rPr>
  </w:style>
  <w:style w:type="character" w:customStyle="1" w:styleId="EndnoteTextChar">
    <w:name w:val="Endnote Text Char"/>
    <w:basedOn w:val="DefaultParagraphFont"/>
    <w:link w:val="EndnoteText"/>
    <w:uiPriority w:val="99"/>
    <w:semiHidden/>
    <w:rsid w:val="00DD7663"/>
    <w:rPr>
      <w:rFonts w:ascii="Times New Roman" w:hAnsi="Times New Roman" w:cs="Times New Roman"/>
      <w:sz w:val="20"/>
      <w:szCs w:val="20"/>
      <w:lang w:val="el-GR"/>
    </w:rPr>
  </w:style>
  <w:style w:type="character" w:styleId="EndnoteReference">
    <w:name w:val="endnote reference"/>
    <w:basedOn w:val="DefaultParagraphFont"/>
    <w:uiPriority w:val="99"/>
    <w:semiHidden/>
    <w:unhideWhenUsed/>
    <w:rsid w:val="00DD7663"/>
    <w:rPr>
      <w:vertAlign w:val="superscript"/>
    </w:rPr>
  </w:style>
  <w:style w:type="character" w:customStyle="1" w:styleId="superscript">
    <w:name w:val="superscript"/>
    <w:basedOn w:val="DefaultParagraphFont"/>
    <w:rsid w:val="00BB3A4E"/>
  </w:style>
  <w:style w:type="paragraph" w:styleId="NormalWeb">
    <w:name w:val="Normal (Web)"/>
    <w:basedOn w:val="Normal"/>
    <w:uiPriority w:val="99"/>
    <w:unhideWhenUsed/>
    <w:rsid w:val="005A5AE0"/>
    <w:pPr>
      <w:spacing w:before="100" w:beforeAutospacing="1" w:after="100" w:afterAutospacing="1"/>
      <w:jc w:val="left"/>
    </w:pPr>
    <w:rPr>
      <w:rFonts w:eastAsia="Times New Roman"/>
      <w:szCs w:val="24"/>
      <w:lang w:eastAsia="en-IE"/>
    </w:rPr>
  </w:style>
  <w:style w:type="character" w:styleId="HTMLCite">
    <w:name w:val="HTML Cite"/>
    <w:basedOn w:val="DefaultParagraphFont"/>
    <w:uiPriority w:val="99"/>
    <w:semiHidden/>
    <w:unhideWhenUsed/>
    <w:rsid w:val="00931733"/>
    <w:rPr>
      <w:i/>
      <w:iCs/>
    </w:rPr>
  </w:style>
  <w:style w:type="character" w:customStyle="1" w:styleId="Mention">
    <w:name w:val="Mention"/>
    <w:basedOn w:val="DefaultParagraphFont"/>
    <w:uiPriority w:val="99"/>
    <w:unhideWhenUsed/>
    <w:rsid w:val="00DD2373"/>
    <w:rPr>
      <w:color w:val="2B579A"/>
      <w:shd w:val="clear" w:color="auto" w:fill="E1DFDD"/>
    </w:rPr>
  </w:style>
  <w:style w:type="paragraph" w:customStyle="1" w:styleId="Footn">
    <w:name w:val="Footn"/>
    <w:basedOn w:val="FootnoteText"/>
    <w:rsid w:val="008B1D00"/>
  </w:style>
  <w:style w:type="character" w:styleId="FollowedHyperlink">
    <w:name w:val="FollowedHyperlink"/>
    <w:basedOn w:val="DefaultParagraphFont"/>
    <w:uiPriority w:val="99"/>
    <w:semiHidden/>
    <w:unhideWhenUsed/>
    <w:rsid w:val="00663875"/>
    <w:rPr>
      <w:color w:val="800080" w:themeColor="followedHyperlink"/>
      <w:u w:val="single"/>
    </w:rPr>
  </w:style>
  <w:style w:type="character" w:customStyle="1" w:styleId="findhit">
    <w:name w:val="findhit"/>
    <w:basedOn w:val="DefaultParagraphFont"/>
    <w:rsid w:val="008B3139"/>
  </w:style>
  <w:style w:type="character" w:customStyle="1" w:styleId="HeaderChar">
    <w:name w:val="Header Char"/>
    <w:basedOn w:val="DefaultParagraphFont"/>
    <w:link w:val="Header"/>
    <w:uiPriority w:val="99"/>
    <w:rsid w:val="00D02965"/>
    <w:rPr>
      <w:rFonts w:ascii="Times New Roman" w:hAnsi="Times New Roman" w:cs="Times New Roman"/>
      <w:sz w:val="24"/>
      <w:lang w:val="el-GR"/>
    </w:rPr>
  </w:style>
  <w:style w:type="character" w:customStyle="1" w:styleId="FooterChar">
    <w:name w:val="Footer Char"/>
    <w:basedOn w:val="DefaultParagraphFont"/>
    <w:link w:val="Footer"/>
    <w:uiPriority w:val="99"/>
    <w:rsid w:val="00D02965"/>
    <w:rPr>
      <w:rFonts w:ascii="Times New Roman" w:hAnsi="Times New Roman" w:cs="Times New Roman"/>
      <w:sz w:val="24"/>
      <w:lang w:val="el-G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D02965"/>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D02965"/>
    <w:pPr>
      <w:spacing w:before="0"/>
      <w:jc w:val="right"/>
    </w:pPr>
    <w:rPr>
      <w:sz w:val="28"/>
    </w:rPr>
  </w:style>
  <w:style w:type="paragraph" w:customStyle="1" w:styleId="FooterSensitivity">
    <w:name w:val="Footer Sensitivity"/>
    <w:basedOn w:val="Normal"/>
    <w:rsid w:val="00D02965"/>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5"/>
      </w:numPr>
    </w:pPr>
  </w:style>
  <w:style w:type="paragraph" w:customStyle="1" w:styleId="Tiret1">
    <w:name w:val="Tiret 1"/>
    <w:basedOn w:val="Point1"/>
    <w:pPr>
      <w:numPr>
        <w:numId w:val="36"/>
      </w:numPr>
    </w:pPr>
  </w:style>
  <w:style w:type="paragraph" w:customStyle="1" w:styleId="Tiret2">
    <w:name w:val="Tiret 2"/>
    <w:basedOn w:val="Point2"/>
    <w:pPr>
      <w:numPr>
        <w:numId w:val="37"/>
      </w:numPr>
    </w:pPr>
  </w:style>
  <w:style w:type="paragraph" w:customStyle="1" w:styleId="Tiret3">
    <w:name w:val="Tiret 3"/>
    <w:basedOn w:val="Point3"/>
    <w:pPr>
      <w:numPr>
        <w:numId w:val="38"/>
      </w:numPr>
    </w:pPr>
  </w:style>
  <w:style w:type="paragraph" w:customStyle="1" w:styleId="Tiret4">
    <w:name w:val="Tiret 4"/>
    <w:basedOn w:val="Point4"/>
    <w:pPr>
      <w:numPr>
        <w:numId w:val="39"/>
      </w:numPr>
    </w:pPr>
  </w:style>
  <w:style w:type="paragraph" w:customStyle="1" w:styleId="Tiret5">
    <w:name w:val="Tiret 5"/>
    <w:basedOn w:val="Point5"/>
    <w:pPr>
      <w:numPr>
        <w:numId w:val="4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1"/>
      </w:numPr>
    </w:pPr>
  </w:style>
  <w:style w:type="paragraph" w:customStyle="1" w:styleId="NumPar2">
    <w:name w:val="NumPar 2"/>
    <w:basedOn w:val="Normal"/>
    <w:next w:val="Text1"/>
    <w:pPr>
      <w:numPr>
        <w:ilvl w:val="1"/>
        <w:numId w:val="41"/>
      </w:numPr>
    </w:pPr>
  </w:style>
  <w:style w:type="paragraph" w:customStyle="1" w:styleId="NumPar3">
    <w:name w:val="NumPar 3"/>
    <w:basedOn w:val="Normal"/>
    <w:next w:val="Text1"/>
    <w:pPr>
      <w:numPr>
        <w:ilvl w:val="2"/>
        <w:numId w:val="41"/>
      </w:numPr>
    </w:pPr>
  </w:style>
  <w:style w:type="paragraph" w:customStyle="1" w:styleId="NumPar4">
    <w:name w:val="NumPar 4"/>
    <w:basedOn w:val="Normal"/>
    <w:next w:val="Text1"/>
    <w:pPr>
      <w:numPr>
        <w:ilvl w:val="3"/>
        <w:numId w:val="41"/>
      </w:numPr>
    </w:pPr>
  </w:style>
  <w:style w:type="paragraph" w:customStyle="1" w:styleId="NumPar5">
    <w:name w:val="NumPar 5"/>
    <w:basedOn w:val="Normal"/>
    <w:next w:val="Text2"/>
    <w:pPr>
      <w:numPr>
        <w:ilvl w:val="4"/>
        <w:numId w:val="41"/>
      </w:numPr>
    </w:pPr>
  </w:style>
  <w:style w:type="paragraph" w:customStyle="1" w:styleId="NumPar6">
    <w:name w:val="NumPar 6"/>
    <w:basedOn w:val="Normal"/>
    <w:next w:val="Text2"/>
    <w:pPr>
      <w:numPr>
        <w:ilvl w:val="5"/>
        <w:numId w:val="41"/>
      </w:numPr>
    </w:pPr>
  </w:style>
  <w:style w:type="paragraph" w:customStyle="1" w:styleId="NumPar7">
    <w:name w:val="NumPar 7"/>
    <w:basedOn w:val="Normal"/>
    <w:next w:val="Text2"/>
    <w:pPr>
      <w:numPr>
        <w:ilvl w:val="6"/>
        <w:numId w:val="4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3"/>
      </w:numPr>
    </w:pPr>
  </w:style>
  <w:style w:type="paragraph" w:customStyle="1" w:styleId="Point1number">
    <w:name w:val="Point 1 (number)"/>
    <w:basedOn w:val="Normal"/>
    <w:pPr>
      <w:numPr>
        <w:ilvl w:val="2"/>
        <w:numId w:val="43"/>
      </w:numPr>
    </w:pPr>
  </w:style>
  <w:style w:type="paragraph" w:customStyle="1" w:styleId="Point2number">
    <w:name w:val="Point 2 (number)"/>
    <w:basedOn w:val="Normal"/>
    <w:pPr>
      <w:numPr>
        <w:ilvl w:val="4"/>
        <w:numId w:val="43"/>
      </w:numPr>
    </w:pPr>
  </w:style>
  <w:style w:type="paragraph" w:customStyle="1" w:styleId="Point3number">
    <w:name w:val="Point 3 (number)"/>
    <w:basedOn w:val="Normal"/>
    <w:pPr>
      <w:numPr>
        <w:ilvl w:val="6"/>
        <w:numId w:val="43"/>
      </w:numPr>
    </w:pPr>
  </w:style>
  <w:style w:type="paragraph" w:customStyle="1" w:styleId="Point0letter">
    <w:name w:val="Point 0 (letter)"/>
    <w:basedOn w:val="Normal"/>
    <w:pPr>
      <w:numPr>
        <w:ilvl w:val="1"/>
        <w:numId w:val="43"/>
      </w:numPr>
    </w:pPr>
  </w:style>
  <w:style w:type="paragraph" w:customStyle="1" w:styleId="Point1letter">
    <w:name w:val="Point 1 (letter)"/>
    <w:basedOn w:val="Normal"/>
    <w:pPr>
      <w:numPr>
        <w:ilvl w:val="3"/>
        <w:numId w:val="43"/>
      </w:numPr>
    </w:pPr>
  </w:style>
  <w:style w:type="paragraph" w:customStyle="1" w:styleId="Point2letter">
    <w:name w:val="Point 2 (letter)"/>
    <w:basedOn w:val="Normal"/>
    <w:pPr>
      <w:numPr>
        <w:ilvl w:val="5"/>
        <w:numId w:val="43"/>
      </w:numPr>
    </w:pPr>
  </w:style>
  <w:style w:type="paragraph" w:customStyle="1" w:styleId="Point3letter">
    <w:name w:val="Point 3 (letter)"/>
    <w:basedOn w:val="Normal"/>
    <w:pPr>
      <w:numPr>
        <w:ilvl w:val="7"/>
        <w:numId w:val="43"/>
      </w:numPr>
    </w:pPr>
  </w:style>
  <w:style w:type="paragraph" w:customStyle="1" w:styleId="Point4letter">
    <w:name w:val="Point 4 (letter)"/>
    <w:basedOn w:val="Normal"/>
    <w:pPr>
      <w:numPr>
        <w:ilvl w:val="8"/>
        <w:numId w:val="43"/>
      </w:numPr>
    </w:pPr>
  </w:style>
  <w:style w:type="paragraph" w:customStyle="1" w:styleId="Bullet0">
    <w:name w:val="Bullet 0"/>
    <w:basedOn w:val="Normal"/>
    <w:pPr>
      <w:numPr>
        <w:numId w:val="44"/>
      </w:numPr>
    </w:pPr>
  </w:style>
  <w:style w:type="paragraph" w:customStyle="1" w:styleId="Bullet1">
    <w:name w:val="Bullet 1"/>
    <w:basedOn w:val="Normal"/>
    <w:pPr>
      <w:numPr>
        <w:numId w:val="45"/>
      </w:numPr>
    </w:pPr>
  </w:style>
  <w:style w:type="paragraph" w:customStyle="1" w:styleId="Bullet2">
    <w:name w:val="Bullet 2"/>
    <w:basedOn w:val="Normal"/>
    <w:pPr>
      <w:numPr>
        <w:numId w:val="46"/>
      </w:numPr>
    </w:pPr>
  </w:style>
  <w:style w:type="paragraph" w:customStyle="1" w:styleId="Bullet3">
    <w:name w:val="Bullet 3"/>
    <w:basedOn w:val="Normal"/>
    <w:pPr>
      <w:numPr>
        <w:numId w:val="47"/>
      </w:numPr>
    </w:pPr>
  </w:style>
  <w:style w:type="paragraph" w:customStyle="1" w:styleId="Bullet4">
    <w:name w:val="Bullet 4"/>
    <w:basedOn w:val="Normal"/>
    <w:pPr>
      <w:numPr>
        <w:numId w:val="4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D02965"/>
    <w:pPr>
      <w:tabs>
        <w:tab w:val="center" w:pos="4535"/>
        <w:tab w:val="right" w:pos="9071"/>
      </w:tabs>
      <w:spacing w:before="0"/>
    </w:pPr>
  </w:style>
  <w:style w:type="paragraph" w:customStyle="1" w:styleId="HeaderLandscape">
    <w:name w:val="HeaderLandscape"/>
    <w:basedOn w:val="Normal"/>
    <w:rsid w:val="00D02965"/>
    <w:pPr>
      <w:tabs>
        <w:tab w:val="center" w:pos="7285"/>
        <w:tab w:val="right" w:pos="14003"/>
      </w:tabs>
      <w:spacing w:before="0"/>
    </w:pPr>
  </w:style>
  <w:style w:type="paragraph" w:styleId="Footer">
    <w:name w:val="footer"/>
    <w:basedOn w:val="Normal"/>
    <w:link w:val="FooterChar"/>
    <w:uiPriority w:val="99"/>
    <w:unhideWhenUsed/>
    <w:rsid w:val="00D02965"/>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D02965"/>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6195">
      <w:bodyDiv w:val="1"/>
      <w:marLeft w:val="0"/>
      <w:marRight w:val="0"/>
      <w:marTop w:val="0"/>
      <w:marBottom w:val="0"/>
      <w:divBdr>
        <w:top w:val="none" w:sz="0" w:space="0" w:color="auto"/>
        <w:left w:val="none" w:sz="0" w:space="0" w:color="auto"/>
        <w:bottom w:val="none" w:sz="0" w:space="0" w:color="auto"/>
        <w:right w:val="none" w:sz="0" w:space="0" w:color="auto"/>
      </w:divBdr>
    </w:div>
    <w:div w:id="299195686">
      <w:bodyDiv w:val="1"/>
      <w:marLeft w:val="0"/>
      <w:marRight w:val="0"/>
      <w:marTop w:val="0"/>
      <w:marBottom w:val="0"/>
      <w:divBdr>
        <w:top w:val="none" w:sz="0" w:space="0" w:color="auto"/>
        <w:left w:val="none" w:sz="0" w:space="0" w:color="auto"/>
        <w:bottom w:val="none" w:sz="0" w:space="0" w:color="auto"/>
        <w:right w:val="none" w:sz="0" w:space="0" w:color="auto"/>
      </w:divBdr>
      <w:divsChild>
        <w:div w:id="643386152">
          <w:marLeft w:val="0"/>
          <w:marRight w:val="0"/>
          <w:marTop w:val="0"/>
          <w:marBottom w:val="0"/>
          <w:divBdr>
            <w:top w:val="none" w:sz="0" w:space="0" w:color="auto"/>
            <w:left w:val="none" w:sz="0" w:space="0" w:color="auto"/>
            <w:bottom w:val="none" w:sz="0" w:space="0" w:color="auto"/>
            <w:right w:val="none" w:sz="0" w:space="0" w:color="auto"/>
          </w:divBdr>
          <w:divsChild>
            <w:div w:id="2067875869">
              <w:marLeft w:val="0"/>
              <w:marRight w:val="0"/>
              <w:marTop w:val="0"/>
              <w:marBottom w:val="0"/>
              <w:divBdr>
                <w:top w:val="none" w:sz="0" w:space="0" w:color="auto"/>
                <w:left w:val="none" w:sz="0" w:space="0" w:color="auto"/>
                <w:bottom w:val="none" w:sz="0" w:space="0" w:color="auto"/>
                <w:right w:val="none" w:sz="0" w:space="0" w:color="auto"/>
              </w:divBdr>
              <w:divsChild>
                <w:div w:id="1704480827">
                  <w:marLeft w:val="0"/>
                  <w:marRight w:val="0"/>
                  <w:marTop w:val="0"/>
                  <w:marBottom w:val="0"/>
                  <w:divBdr>
                    <w:top w:val="none" w:sz="0" w:space="0" w:color="auto"/>
                    <w:left w:val="none" w:sz="0" w:space="0" w:color="auto"/>
                    <w:bottom w:val="none" w:sz="0" w:space="0" w:color="auto"/>
                    <w:right w:val="none" w:sz="0" w:space="0" w:color="auto"/>
                  </w:divBdr>
                  <w:divsChild>
                    <w:div w:id="188975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559946">
      <w:bodyDiv w:val="1"/>
      <w:marLeft w:val="0"/>
      <w:marRight w:val="0"/>
      <w:marTop w:val="0"/>
      <w:marBottom w:val="0"/>
      <w:divBdr>
        <w:top w:val="none" w:sz="0" w:space="0" w:color="auto"/>
        <w:left w:val="none" w:sz="0" w:space="0" w:color="auto"/>
        <w:bottom w:val="none" w:sz="0" w:space="0" w:color="auto"/>
        <w:right w:val="none" w:sz="0" w:space="0" w:color="auto"/>
      </w:divBdr>
    </w:div>
    <w:div w:id="633603958">
      <w:bodyDiv w:val="1"/>
      <w:marLeft w:val="0"/>
      <w:marRight w:val="0"/>
      <w:marTop w:val="0"/>
      <w:marBottom w:val="0"/>
      <w:divBdr>
        <w:top w:val="none" w:sz="0" w:space="0" w:color="auto"/>
        <w:left w:val="none" w:sz="0" w:space="0" w:color="auto"/>
        <w:bottom w:val="none" w:sz="0" w:space="0" w:color="auto"/>
        <w:right w:val="none" w:sz="0" w:space="0" w:color="auto"/>
      </w:divBdr>
    </w:div>
    <w:div w:id="1543010598">
      <w:bodyDiv w:val="1"/>
      <w:marLeft w:val="0"/>
      <w:marRight w:val="0"/>
      <w:marTop w:val="0"/>
      <w:marBottom w:val="0"/>
      <w:divBdr>
        <w:top w:val="none" w:sz="0" w:space="0" w:color="auto"/>
        <w:left w:val="none" w:sz="0" w:space="0" w:color="auto"/>
        <w:bottom w:val="none" w:sz="0" w:space="0" w:color="auto"/>
        <w:right w:val="none" w:sz="0" w:space="0" w:color="auto"/>
      </w:divBdr>
    </w:div>
    <w:div w:id="1724325699">
      <w:bodyDiv w:val="1"/>
      <w:marLeft w:val="0"/>
      <w:marRight w:val="0"/>
      <w:marTop w:val="0"/>
      <w:marBottom w:val="0"/>
      <w:divBdr>
        <w:top w:val="none" w:sz="0" w:space="0" w:color="auto"/>
        <w:left w:val="none" w:sz="0" w:space="0" w:color="auto"/>
        <w:bottom w:val="none" w:sz="0" w:space="0" w:color="auto"/>
        <w:right w:val="none" w:sz="0" w:space="0" w:color="auto"/>
      </w:divBdr>
    </w:div>
    <w:div w:id="188390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8/767/oj" TargetMode="External"/><Relationship Id="rId3" Type="http://schemas.openxmlformats.org/officeDocument/2006/relationships/hyperlink" Target="http://data.europa.eu/eli/convention/2000/922/oj" TargetMode="External"/><Relationship Id="rId7" Type="http://schemas.openxmlformats.org/officeDocument/2006/relationships/hyperlink" Target="http://data.europa.eu/eli/reg/2016/399/oj" TargetMode="External"/><Relationship Id="rId2" Type="http://schemas.openxmlformats.org/officeDocument/2006/relationships/hyperlink" Target="http://data.europa.eu/eli/reg/2016/399/2024-07-10" TargetMode="External"/><Relationship Id="rId1" Type="http://schemas.openxmlformats.org/officeDocument/2006/relationships/hyperlink" Target="http://data.europa.eu/eli/reg/2017/2226/2021-08-03" TargetMode="External"/><Relationship Id="rId6" Type="http://schemas.openxmlformats.org/officeDocument/2006/relationships/hyperlink" Target="http://data.europa.eu/eli/reg/2017/2226/oj" TargetMode="External"/><Relationship Id="rId5" Type="http://schemas.openxmlformats.org/officeDocument/2006/relationships/hyperlink" Target="http://data.europa.eu/eli/reg/2019/817/2024-04-25" TargetMode="External"/><Relationship Id="rId4" Type="http://schemas.openxmlformats.org/officeDocument/2006/relationships/hyperlink" Target="http://data.europa.eu/eli/reg/2016/679/2016-05-04" TargetMode="External"/><Relationship Id="rId9" Type="http://schemas.openxmlformats.org/officeDocument/2006/relationships/hyperlink" Target="http://data.europa.eu/eli/dir/2001/51/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bda078-25cf-4dc4-9853-c68387b648e8">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Mission xmlns="72bda078-25cf-4dc4-9853-c68387b648e8" xsi:nil="true"/>
    <TaxCatchAll xmlns="12661c1b-ebcd-4cf2-a537-0fae4d653b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CBAA3E038356449A8E8E5EFBA56BA7" ma:contentTypeVersion="18" ma:contentTypeDescription="Create a new document." ma:contentTypeScope="" ma:versionID="f7524332ae59cf13c73467d4cc5870b8">
  <xsd:schema xmlns:xsd="http://www.w3.org/2001/XMLSchema" xmlns:xs="http://www.w3.org/2001/XMLSchema" xmlns:p="http://schemas.microsoft.com/office/2006/metadata/properties" xmlns:ns2="72bda078-25cf-4dc4-9853-c68387b648e8" xmlns:ns3="12661c1b-ebcd-4cf2-a537-0fae4d653bab" targetNamespace="http://schemas.microsoft.com/office/2006/metadata/properties" ma:root="true" ma:fieldsID="2f63b99a79acbfa6e0bc57b6354a6979" ns2:_="" ns3:_="">
    <xsd:import namespace="72bda078-25cf-4dc4-9853-c68387b648e8"/>
    <xsd:import namespace="12661c1b-ebcd-4cf2-a537-0fae4d653b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i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da078-25cf-4dc4-9853-c68387b64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ission" ma:index="22" nillable="true" ma:displayName="Mission" ma:format="Dropdown" ma:internalName="Mission">
      <xsd:simpleType>
        <xsd:restriction base="dms:Choice">
          <xsd:enumeration value="Choice 1"/>
          <xsd:enumeration value="Choice 2"/>
          <xsd:enumeration value="Choice 3"/>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661c1b-ebcd-4cf2-a537-0fae4d653ba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fac5043-a9a4-42ed-a6d0-7b40d02f661d}" ma:internalName="TaxCatchAll" ma:showField="CatchAllData" ma:web="12661c1b-ebcd-4cf2-a537-0fae4d653b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52886-ADBC-4434-8451-326F57E2B3FF}">
  <ds:schemaRefs>
    <ds:schemaRef ds:uri="http://schemas.microsoft.com/sharepoint/v3/contenttype/forms"/>
  </ds:schemaRefs>
</ds:datastoreItem>
</file>

<file path=customXml/itemProps2.xml><?xml version="1.0" encoding="utf-8"?>
<ds:datastoreItem xmlns:ds="http://schemas.openxmlformats.org/officeDocument/2006/customXml" ds:itemID="{98E4065E-40D5-4976-B2FF-799E5883D808}">
  <ds:schemaRefs>
    <ds:schemaRef ds:uri="http://schemas.microsoft.com/office/2006/metadata/properties"/>
    <ds:schemaRef ds:uri="http://schemas.microsoft.com/office/infopath/2007/PartnerControls"/>
    <ds:schemaRef ds:uri="72bda078-25cf-4dc4-9853-c68387b648e8"/>
    <ds:schemaRef ds:uri="12661c1b-ebcd-4cf2-a537-0fae4d653bab"/>
  </ds:schemaRefs>
</ds:datastoreItem>
</file>

<file path=customXml/itemProps3.xml><?xml version="1.0" encoding="utf-8"?>
<ds:datastoreItem xmlns:ds="http://schemas.openxmlformats.org/officeDocument/2006/customXml" ds:itemID="{E07ED60D-1800-4936-8E06-414E8A700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da078-25cf-4dc4-9853-c68387b648e8"/>
    <ds:schemaRef ds:uri="12661c1b-ebcd-4cf2-a537-0fae4d653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6F95D8-F196-4899-B5C4-C933EB0C2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8</TotalTime>
  <Pages>14</Pages>
  <Words>10127</Words>
  <Characters>57730</Characters>
  <Application>Microsoft Office Word</Application>
  <DocSecurity>0</DocSecurity>
  <Lines>481</Lines>
  <Paragraphs>135</Paragraphs>
  <ScaleCrop>false</ScaleCrop>
  <Manager/>
  <Company/>
  <LinksUpToDate>false</LinksUpToDate>
  <CharactersWithSpaces>67722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28</cp:revision>
  <cp:lastPrinted>2024-11-23T18:39:00Z</cp:lastPrinted>
  <dcterms:created xsi:type="dcterms:W3CDTF">2024-11-29T06:45:00Z</dcterms:created>
  <dcterms:modified xsi:type="dcterms:W3CDTF">2025-01-06T08:02:00Z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Created using">
    <vt:lpwstr>LW 9.0, Build 20230317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MSIP_Label_6bd9ddd1-4d20-43f6-abfa-fc3c07406f94_Enabled">
    <vt:lpwstr>true</vt:lpwstr>
  </property>
  <property fmtid="{D5CDD505-2E9C-101B-9397-08002B2CF9AE}" pid="11" name="MSIP_Label_6bd9ddd1-4d20-43f6-abfa-fc3c07406f94_SetDate">
    <vt:lpwstr>2024-11-13T14:07:06Z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e4888dd3-17f4-498d-b483-555bdebb24d1</vt:lpwstr>
  </property>
  <property fmtid="{D5CDD505-2E9C-101B-9397-08002B2CF9AE}" pid="16" name="MSIP_Label_6bd9ddd1-4d20-43f6-abfa-fc3c07406f94_ContentBits">
    <vt:lpwstr>0</vt:lpwstr>
  </property>
  <property fmtid="{D5CDD505-2E9C-101B-9397-08002B2CF9AE}" pid="17" name="ContentTypeId">
    <vt:lpwstr>0x010100DECBAA3E038356449A8E8E5EFBA56BA7</vt:lpwstr>
  </property>
  <property fmtid="{D5CDD505-2E9C-101B-9397-08002B2CF9AE}" pid="18" name="MediaServiceImageTags">
    <vt:lpwstr/>
  </property>
  <property fmtid="{D5CDD505-2E9C-101B-9397-08002B2CF9AE}" pid="19" name="DQCStatus">
    <vt:lpwstr>Green (DQC version 03)</vt:lpwstr>
  </property>
  <property name="OP_sanitized" fmtid="{D5CDD505-2E9C-101B-9397-08002B2CF9AE}" pid="20">
    <vt:lpwstr>True</vt:lpwstr>
  </property>
</Properties>
</file>