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9233A" w14:textId="127A671A" w:rsidR="002F68DF" w:rsidRDefault="00281140" w:rsidP="00281140">
      <w:pPr>
        <w:pStyle w:val="Pagedecouverture"/>
        <w:rPr>
          <w:noProof/>
        </w:rPr>
      </w:pPr>
      <w:bookmarkStart w:id="0" w:name="LW_BM_COVERPAGE"/>
      <w:r>
        <w:rPr>
          <w:noProof/>
        </w:rPr>
        <w:pict w14:anchorId="0015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E0B209E2-ADF4-404D-82F5-0B725BDE7016" style="width:455.25pt;height:351.75pt">
            <v:imagedata r:id="rId11" o:title=""/>
          </v:shape>
        </w:pict>
      </w:r>
    </w:p>
    <w:bookmarkEnd w:id="0"/>
    <w:p w14:paraId="79C4EC6B" w14:textId="77777777" w:rsidR="002F68DF" w:rsidRDefault="002F68DF" w:rsidP="002F68DF">
      <w:pPr>
        <w:rPr>
          <w:noProof/>
        </w:rPr>
        <w:sectPr w:rsidR="002F68DF" w:rsidSect="0028114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6772A9EE" w14:textId="34EE0D7E" w:rsidR="005E7962" w:rsidRPr="005E7962" w:rsidRDefault="005E7962" w:rsidP="005E7962">
      <w:pPr>
        <w:pStyle w:val="Typedudocument"/>
        <w:rPr>
          <w:noProof/>
        </w:rPr>
      </w:pPr>
      <w:bookmarkStart w:id="1" w:name="_Ref167316926"/>
      <w:bookmarkStart w:id="2" w:name="_GoBack"/>
      <w:bookmarkEnd w:id="2"/>
      <w:r w:rsidRPr="005E7962">
        <w:rPr>
          <w:noProof/>
        </w:rPr>
        <w:lastRenderedPageBreak/>
        <w:t>ΕΚΘΕΣΗ ΤΗΣ ΕΠΙΤΡΟΠΗΣ</w:t>
      </w:r>
    </w:p>
    <w:p w14:paraId="190418CA" w14:textId="1593A0C5" w:rsidR="005E7962" w:rsidRPr="005E7962" w:rsidRDefault="005E7962" w:rsidP="005E7962">
      <w:pPr>
        <w:pStyle w:val="Titreobjet"/>
        <w:rPr>
          <w:noProof/>
        </w:rPr>
      </w:pPr>
      <w:r w:rsidRPr="005E7962">
        <w:rPr>
          <w:noProof/>
        </w:rPr>
        <w:t xml:space="preserve">Βέλγιο, Τσεχία, Εσθονία, Ισπανία, Γαλλία, Ιταλία, Ουγγαρία, Μάλτα, Πολωνία, Σλοβενία, Σλοβακία και Φινλανδία </w:t>
      </w:r>
      <w:r w:rsidRPr="005E7962">
        <w:rPr>
          <w:noProof/>
        </w:rPr>
        <w:br/>
        <w:t xml:space="preserve"> </w:t>
      </w:r>
      <w:r w:rsidRPr="005E7962">
        <w:rPr>
          <w:noProof/>
        </w:rPr>
        <w:br/>
        <w:t>Έκθεση που συντάχθηκε σύμφωνα με το άρθρο 126 παράγραφος 3 της Συνθήκης για τη λειτουργία της Ευρωπαϊκής Ένωσης</w:t>
      </w:r>
    </w:p>
    <w:p w14:paraId="5247D8B9" w14:textId="5C89440A" w:rsidR="006C0264" w:rsidRPr="00E343AE" w:rsidRDefault="00EC0143">
      <w:pPr>
        <w:pStyle w:val="ListParagraph"/>
        <w:numPr>
          <w:ilvl w:val="0"/>
          <w:numId w:val="32"/>
        </w:numPr>
        <w:tabs>
          <w:tab w:val="left" w:pos="851"/>
        </w:tabs>
        <w:spacing w:before="120" w:after="120"/>
        <w:ind w:left="851" w:hanging="851"/>
        <w:jc w:val="both"/>
        <w:outlineLvl w:val="0"/>
        <w:rPr>
          <w:rFonts w:eastAsia="Times New Roman"/>
          <w:b/>
          <w:smallCaps/>
          <w:noProof/>
        </w:rPr>
      </w:pPr>
      <w:r>
        <w:rPr>
          <w:b/>
          <w:smallCaps/>
          <w:noProof/>
        </w:rPr>
        <w:t>Εισαγωγή</w:t>
      </w:r>
      <w:bookmarkEnd w:id="1"/>
    </w:p>
    <w:p w14:paraId="2952020E" w14:textId="22D34278" w:rsidR="006C0264" w:rsidRPr="00E343AE" w:rsidRDefault="00EC0143" w:rsidP="004B0F93">
      <w:pPr>
        <w:pStyle w:val="ManualConsidrant"/>
        <w:ind w:left="0" w:firstLine="0"/>
        <w:rPr>
          <w:noProof/>
        </w:rPr>
      </w:pPr>
      <w:r>
        <w:rPr>
          <w:noProof/>
        </w:rPr>
        <w:t>Στο άρθρο 126 της Συνθήκης για τη λειτουργία της Ευρωπαϊκής Ένωσης θεσπίζεται η διαδικασία υπερβολικού ελλείμματος. Η διαδικασία αυτή καθορίζεται περαιτέρω στον κανονισμό (ΕΚ) αριθ. 1467/97 για την επιτάχυνση και τη διασαφήνιση της εφαρμογής της διαδικασίας υπερβολικού ελλείμματος</w:t>
      </w:r>
      <w:r>
        <w:rPr>
          <w:rStyle w:val="FootnoteReference"/>
          <w:noProof/>
        </w:rPr>
        <w:footnoteReference w:id="2"/>
      </w:r>
      <w:r>
        <w:rPr>
          <w:noProof/>
        </w:rPr>
        <w:t xml:space="preserve">, που αποτελεί μέρος του Συμφώνου Σταθερότητας και Ανάπτυξης. </w:t>
      </w:r>
    </w:p>
    <w:p w14:paraId="5A72ADEE" w14:textId="77777777" w:rsidR="00E76989" w:rsidRDefault="00E76989" w:rsidP="00E76989">
      <w:pPr>
        <w:pStyle w:val="ManualConsidrant"/>
        <w:ind w:left="0" w:firstLine="0"/>
        <w:rPr>
          <w:noProof/>
        </w:rPr>
      </w:pPr>
      <w:r>
        <w:rPr>
          <w:noProof/>
        </w:rPr>
        <w:t xml:space="preserve">Σύμφωνα με το άρθρο 126 παράγραφος 3 της ΣΛΕΕ, στην παρούσα έκθεση αξιολογείται η κατάσταση αρκετών κρατών μελών σε σχέση με το κριτήριο του ελλείμματος. Η μορφή της παρούσας γενικής έκθεσης συμβάλλει στη συγκρισιμότητα των διαφόρων περιπτώσεων, ενώ η περίπτωση κάθε κράτους μέλους εξετάζεται σε συνάρτηση με τα δικά της χαρακτηριστικά. </w:t>
      </w:r>
    </w:p>
    <w:p w14:paraId="4A338D1A" w14:textId="1F1BE90A" w:rsidR="00C72D46" w:rsidRDefault="00C91EC2" w:rsidP="004B0F93">
      <w:pPr>
        <w:pStyle w:val="ManualConsidrant"/>
        <w:ind w:left="0" w:firstLine="0"/>
        <w:rPr>
          <w:rFonts w:eastAsia="Calibri"/>
          <w:noProof/>
        </w:rPr>
      </w:pPr>
      <w:r>
        <w:rPr>
          <w:noProof/>
        </w:rPr>
        <w:t>Ο κανονισμός (ΕΕ) 2024/1264 για την τροποποίηση του κανονισμού (ΕΚ) αριθ. 1467/97 άρχισε να ισχύει στις 30 Απριλίου 2024. Ο παρών τροποποιητικός κανονισμός αποτελεί μέρος δέσμης μέτρων μαζί με τον κανονισμό (ΕΕ) 2024/1263</w:t>
      </w:r>
      <w:r>
        <w:rPr>
          <w:rStyle w:val="FootnoteReference"/>
          <w:noProof/>
        </w:rPr>
        <w:footnoteReference w:id="3"/>
      </w:r>
      <w:r>
        <w:rPr>
          <w:noProof/>
        </w:rPr>
        <w:t xml:space="preserve"> και την οδηγία (ΕΕ) 2024/1265 του Συμβουλίου</w:t>
      </w:r>
      <w:r>
        <w:rPr>
          <w:rStyle w:val="FootnoteReference"/>
          <w:noProof/>
          <w:sz w:val="24"/>
          <w:szCs w:val="24"/>
        </w:rPr>
        <w:footnoteReference w:id="4"/>
      </w:r>
      <w:r>
        <w:rPr>
          <w:noProof/>
        </w:rPr>
        <w:t>. Από κοινού, αυτές οι τρεις πράξεις μεταρρυθμίζουν το πλαίσιο οικονομικής διακυβέρνησης της Ένωσης. Οι στόχοι του μεταρρυθμισμένου πλαισίου είναι η βιωσιμότητα του δημόσιου χρέους και η βιώσιμη και χωρίς αποκλεισμούς ανάπτυξη μέσω μεταρρυθμίσεων και επενδύσεων. Επίσης, το πλαίσιο προωθεί την εθνική οικειοποίηση και επικεντρώνεται περισσότερο σε μεσοπρόθεσμο επίπεδο, σε συνδυασμό με αποτελεσματική και πιο συνεκτική επιβολή.</w:t>
      </w:r>
    </w:p>
    <w:p w14:paraId="17E1D00A" w14:textId="43122A61" w:rsidR="009739BC" w:rsidRDefault="001D0C6A" w:rsidP="00F271CD">
      <w:pPr>
        <w:pStyle w:val="ManualConsidrant"/>
        <w:ind w:left="0" w:firstLine="0"/>
        <w:rPr>
          <w:bCs/>
          <w:noProof/>
        </w:rPr>
      </w:pPr>
      <w:r>
        <w:rPr>
          <w:noProof/>
        </w:rPr>
        <w:t>Η νομοθετική τροποποίηση του κανονισμού (ΕΚ) αριθ. 1467/97 έχει ουσιαστικά διατηρήσει αμετάβλητη την αξιολόγηση της συμμόρφωσης με το κριτήριο του ελλείμματος. Αντιθέτως, η αξιολόγηση της συμμόρφωσης με το κριτήριο του χρέους έχει τροποποιηθεί σημαντικά (βλ. παρακάτω).</w:t>
      </w:r>
    </w:p>
    <w:p w14:paraId="6DAA531B" w14:textId="227575D5" w:rsidR="007957A6" w:rsidRDefault="009739BC" w:rsidP="00F271CD">
      <w:pPr>
        <w:pStyle w:val="ManualConsidrant"/>
        <w:ind w:left="0" w:firstLine="0"/>
        <w:rPr>
          <w:bCs/>
          <w:noProof/>
        </w:rPr>
      </w:pPr>
      <w:r>
        <w:rPr>
          <w:noProof/>
        </w:rPr>
        <w:t>Η παρούσα έκθεση, η οποία είναι η πρώτη έκθεση δυνάμει του άρθρου 126 παράγραφος 3 της ΣΛΕΕ μετά την απενεργοποίηση της γενικής ρήτρας διαφυγής στο τέλος του 2023, είναι σύμφωνη με τους κανόνες του μεταρρυθμισμένου πλαισίου</w:t>
      </w:r>
      <w:r>
        <w:rPr>
          <w:rStyle w:val="FootnoteReference"/>
          <w:noProof/>
          <w:sz w:val="24"/>
          <w:szCs w:val="24"/>
        </w:rPr>
        <w:footnoteReference w:id="5"/>
      </w:r>
      <w:r>
        <w:rPr>
          <w:noProof/>
        </w:rPr>
        <w:t xml:space="preserve">. </w:t>
      </w:r>
    </w:p>
    <w:p w14:paraId="4C7A9A57" w14:textId="77777777" w:rsidR="0035465E" w:rsidRDefault="0035465E" w:rsidP="00F271CD">
      <w:pPr>
        <w:pStyle w:val="ManualConsidrant"/>
        <w:ind w:left="0" w:firstLine="0"/>
        <w:rPr>
          <w:bCs/>
          <w:noProof/>
        </w:rPr>
      </w:pPr>
    </w:p>
    <w:p w14:paraId="10BB68E5" w14:textId="6C1D7807" w:rsidR="007F6B43" w:rsidRDefault="0071137A" w:rsidP="00140552">
      <w:pPr>
        <w:pStyle w:val="ManualConsidrant"/>
        <w:keepNext/>
        <w:ind w:left="0" w:firstLine="0"/>
        <w:rPr>
          <w:i/>
          <w:noProof/>
        </w:rPr>
      </w:pPr>
      <w:r>
        <w:rPr>
          <w:i/>
          <w:noProof/>
        </w:rPr>
        <w:t>Τα κριτήρια για το έλλειμμα και το χρέος</w:t>
      </w:r>
    </w:p>
    <w:p w14:paraId="168E149A" w14:textId="3C928A14" w:rsidR="0043663A" w:rsidRDefault="00B21969" w:rsidP="0025430F">
      <w:pPr>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Το </w:t>
      </w:r>
      <w:r>
        <w:rPr>
          <w:rFonts w:ascii="Times New Roman" w:hAnsi="Times New Roman"/>
          <w:b/>
          <w:noProof/>
          <w:sz w:val="24"/>
        </w:rPr>
        <w:t>κριτήριο του ελλείμματος</w:t>
      </w:r>
      <w:r>
        <w:rPr>
          <w:rFonts w:ascii="Times New Roman" w:hAnsi="Times New Roman"/>
          <w:noProof/>
          <w:sz w:val="24"/>
        </w:rPr>
        <w:t xml:space="preserve"> πληρούται εάν το έλλειμμα της γενικής κυβέρνησης για το προηγούμενο έτος (2023) και το προβλεπόμενο έλλειμμα για το τρέχον έτος (2024) δεν υπερβαίνουν το 3 % του ΑΕΠ. Αν κάποιο από τα δύο το υπερβαίνει, η Επιτροπή εξετάζει αν ο λόγος του ελλείμματος μειώθηκε σημαντικά και μειωνόταν συνεχώς και αν πλησιάζει την τιμή αναφοράς. Εξετάζει επίσης αν το έλλειμμα που υπερβαίνει την τιμή αναφοράς είναι μόνο έκτακτο και προσωρινό και παραμένει πλησίον της τιμής αναφοράς (τμήμα 2). Οι σχετικοί παράγοντες πρέπει να λαμβάνονται υπόψη από την Επιτροπή και το Συμβούλιο κατά το στάδιο πριν από τη λήψη της απόφασης για την ύπαρξη υπερβολικού ελλείμματος, i) αν το δημόσιο χρέος δεν υπερβαίνει το 60 % του ΑΕΠ ή ii) αν το χρέος υπερβαίνει το 60 % του ΑΕΠ, αλλά το έλλειμμα είναι κοντά στο 3 % του ΑΕΠ και η υπέρβαση είναι προσωρινή (τμήμα 4). </w:t>
      </w:r>
    </w:p>
    <w:p w14:paraId="726A3E99" w14:textId="2C348031" w:rsidR="004F3BAC" w:rsidRPr="0035465E" w:rsidRDefault="004F3BAC" w:rsidP="004F3BAC">
      <w:pPr>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Σύμφωνα με τη Συνθήκη, το </w:t>
      </w:r>
      <w:r>
        <w:rPr>
          <w:rFonts w:ascii="Times New Roman" w:hAnsi="Times New Roman"/>
          <w:b/>
          <w:noProof/>
          <w:sz w:val="24"/>
        </w:rPr>
        <w:t>κριτήριο του χρέους</w:t>
      </w:r>
      <w:r>
        <w:rPr>
          <w:rFonts w:ascii="Times New Roman" w:hAnsi="Times New Roman"/>
          <w:noProof/>
          <w:sz w:val="24"/>
        </w:rPr>
        <w:t xml:space="preserve"> πληρούται εάν το ακαθάριστο χρέος της γενικής κυβέρνησης δεν υπερβαίνει το 60 % του ΑΕΠ, εκτός εάν ο λόγος χρέους μειώνεται επαρκώς και πλησιάζει την τιμή αναφοράς με ικανοποιητικό ρυθμό. Σύμφωνα με το άρθρο 2 παράγραφος 2 του κανονισμού (ΕΚ) αριθ. 1467/97 (όπως τροποποιήθηκε), ο λόγος του χρέους προς το ΑΕΠ θεωρείται ότι μειώνεται επαρκώς και πλησιάζει την τιμή αναφοράς με ικανοποιητικό ρυθμό, εάν το συγκεκριμένο κράτος μέλος τηρεί την πορεία των καθαρών δαπανών, όπως ορίζεται από το Συμβούλιο δυνάμει του κανονισμού (ΕΕ) 2024/1263</w:t>
      </w:r>
      <w:r>
        <w:rPr>
          <w:rStyle w:val="FootnoteReference"/>
          <w:rFonts w:eastAsiaTheme="minorHAnsi"/>
          <w:noProof/>
          <w:sz w:val="24"/>
          <w:szCs w:val="24"/>
        </w:rPr>
        <w:footnoteReference w:id="6"/>
      </w:r>
      <w:r>
        <w:rPr>
          <w:noProof/>
        </w:rPr>
        <w:t>.</w:t>
      </w:r>
      <w:r>
        <w:rPr>
          <w:rFonts w:ascii="Times New Roman" w:hAnsi="Times New Roman"/>
          <w:noProof/>
          <w:sz w:val="24"/>
        </w:rPr>
        <w:t xml:space="preserve"> Δεδομένου ότι το Συμβούλιο δεν έχει καθορίσει ακόμη πορεία των καθαρών δαπανών για τα κράτη μέλη</w:t>
      </w:r>
      <w:r>
        <w:rPr>
          <w:rStyle w:val="FootnoteReference"/>
          <w:rFonts w:eastAsiaTheme="minorHAnsi"/>
          <w:noProof/>
          <w:sz w:val="24"/>
          <w:szCs w:val="24"/>
        </w:rPr>
        <w:footnoteReference w:id="7"/>
      </w:r>
      <w:r>
        <w:rPr>
          <w:rFonts w:ascii="Times New Roman" w:hAnsi="Times New Roman"/>
          <w:noProof/>
          <w:sz w:val="24"/>
        </w:rPr>
        <w:t>, το κριτήριο του χρέους δεν μπορεί να αξιολογηθεί πλήρως στο παρόν στάδιο σύμφωνα με τα κριτήρια του νέου πλαισίου</w:t>
      </w:r>
      <w:r>
        <w:rPr>
          <w:rStyle w:val="FootnoteReference"/>
          <w:rFonts w:eastAsiaTheme="minorHAnsi"/>
          <w:noProof/>
        </w:rPr>
        <w:footnoteReference w:id="8"/>
      </w:r>
      <w:r>
        <w:rPr>
          <w:noProof/>
        </w:rPr>
        <w:t>.</w:t>
      </w:r>
      <w:r>
        <w:rPr>
          <w:rFonts w:ascii="Times New Roman" w:hAnsi="Times New Roman"/>
          <w:noProof/>
          <w:sz w:val="24"/>
        </w:rPr>
        <w:t xml:space="preserve"> </w:t>
      </w:r>
    </w:p>
    <w:p w14:paraId="1BABE31E" w14:textId="2BD918F2" w:rsidR="00F271CD" w:rsidRPr="00E343AE" w:rsidRDefault="00F271CD" w:rsidP="0035465E">
      <w:pPr>
        <w:pStyle w:val="ManualConsidrant"/>
        <w:spacing w:before="240"/>
        <w:ind w:left="0" w:firstLine="0"/>
        <w:rPr>
          <w:i/>
          <w:noProof/>
        </w:rPr>
      </w:pPr>
      <w:r>
        <w:rPr>
          <w:i/>
          <w:noProof/>
        </w:rPr>
        <w:t>Βασικά δεδομένα στα οποία βασίζεται η παρούσα έκθεση και έχουν ως αποτέλεσμα την έκδοσή της</w:t>
      </w:r>
    </w:p>
    <w:p w14:paraId="46934AD9" w14:textId="56BF81F9" w:rsidR="00AE3631" w:rsidRPr="00FA0B52" w:rsidRDefault="00C83BB3" w:rsidP="00FA0B52">
      <w:pPr>
        <w:autoSpaceDE w:val="0"/>
        <w:autoSpaceDN w:val="0"/>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Κατά την αξιολόγηση του </w:t>
      </w:r>
      <w:r>
        <w:rPr>
          <w:rFonts w:ascii="Times New Roman" w:hAnsi="Times New Roman"/>
          <w:b/>
          <w:noProof/>
          <w:sz w:val="24"/>
        </w:rPr>
        <w:t>κριτηρίου του ελλείμματος</w:t>
      </w:r>
      <w:r>
        <w:rPr>
          <w:rFonts w:ascii="Times New Roman" w:hAnsi="Times New Roman"/>
          <w:noProof/>
          <w:sz w:val="24"/>
        </w:rPr>
        <w:t>, η Επιτροπή λαμβάνει υπόψη τον πραγματικό λόγο του ελλείμματος του 2023 με βάση τα απολογιστικά στοιχεία που έχει κοινοποιήσει η Eurostat. Ο προβλεπόμενος λόγος του ελλείμματος για το 2024 βασίζεται στα κυβερνητικά σχέδια που υποβλήθηκαν στην Eurostat στο πλαίσιο της εαρινής δημοσιονομικής κοινοποίησης 2024</w:t>
      </w:r>
      <w:r>
        <w:rPr>
          <w:rStyle w:val="FootnoteReference"/>
          <w:rFonts w:eastAsiaTheme="minorHAnsi"/>
          <w:noProof/>
        </w:rPr>
        <w:footnoteReference w:id="9"/>
      </w:r>
      <w:r>
        <w:rPr>
          <w:noProof/>
        </w:rPr>
        <w:t>.</w:t>
      </w:r>
      <w:r>
        <w:rPr>
          <w:rFonts w:ascii="Times New Roman" w:hAnsi="Times New Roman"/>
          <w:noProof/>
          <w:sz w:val="24"/>
        </w:rPr>
        <w:t xml:space="preserve"> Επιπλέον, στην αξιολόγηση της συμμόρφωσης με το κριτήριο του ελλείμματος συνεκτιμώνται επίσης οι εαρινές προβλέψεις 2024 της Επιτροπής. Η παρούσα έκθεση συγκρίνει επίσης το δημοσιονομικό έλλειμμα με τις δαπάνες δημόσιων επενδύσεων και λαμβάνει υπόψη όλους τους άλλους σχετικούς παράγοντες, σύμφωνα με το άρθρο 2 του κανονισμού (ΕΚ) αριθ. 1467/97.</w:t>
      </w:r>
    </w:p>
    <w:p w14:paraId="10760CF7" w14:textId="59CD0263" w:rsidR="00673355" w:rsidRDefault="00673355" w:rsidP="00F271CD">
      <w:pPr>
        <w:pStyle w:val="ManualConsidrant"/>
        <w:ind w:left="0" w:firstLine="0"/>
        <w:rPr>
          <w:noProof/>
        </w:rPr>
      </w:pPr>
      <w:r>
        <w:rPr>
          <w:noProof/>
        </w:rPr>
        <w:t xml:space="preserve">Στην παρούσα έκθεση αξιολογείται η συμμόρφωση με το κριτήριο του ελλείμματος σε δώδεκα κράτη μέλη: </w:t>
      </w:r>
      <w:r>
        <w:rPr>
          <w:b/>
          <w:noProof/>
        </w:rPr>
        <w:t xml:space="preserve">Βέλγιο, Τσεχία, Εσθονία, Ισπανία, Γαλλία, Ιταλία, Ουγγαρία, Μάλτα, Πολωνία, Σλοβενία, Σλοβακία </w:t>
      </w:r>
      <w:r>
        <w:rPr>
          <w:noProof/>
        </w:rPr>
        <w:t xml:space="preserve">και </w:t>
      </w:r>
      <w:r>
        <w:rPr>
          <w:b/>
          <w:noProof/>
        </w:rPr>
        <w:t>Φινλανδία</w:t>
      </w:r>
      <w:r>
        <w:rPr>
          <w:noProof/>
        </w:rPr>
        <w:t>. Συγκεκριμένα (βλ. επίσης πίνακα 1):</w:t>
      </w:r>
    </w:p>
    <w:p w14:paraId="4D89B03C" w14:textId="67F89DBC" w:rsidR="0024748D" w:rsidRDefault="00E15AD3" w:rsidP="00682671">
      <w:pPr>
        <w:pStyle w:val="ListParagraph"/>
        <w:numPr>
          <w:ilvl w:val="0"/>
          <w:numId w:val="34"/>
        </w:numPr>
        <w:autoSpaceDE w:val="0"/>
        <w:autoSpaceDN w:val="0"/>
        <w:spacing w:before="120" w:after="120"/>
        <w:jc w:val="both"/>
        <w:rPr>
          <w:rFonts w:eastAsia="Times New Roman"/>
          <w:noProof/>
        </w:rPr>
      </w:pPr>
      <w:r>
        <w:rPr>
          <w:noProof/>
        </w:rPr>
        <w:t>Σύμφωνα με τα στοιχεία που δημοσιεύτηκαν από την Eurostat στις 22 Απριλίου 2024</w:t>
      </w:r>
      <w:r>
        <w:rPr>
          <w:rStyle w:val="FootnoteReference"/>
          <w:rFonts w:eastAsiaTheme="minorEastAsia"/>
          <w:noProof/>
          <w:sz w:val="24"/>
          <w:szCs w:val="24"/>
        </w:rPr>
        <w:footnoteReference w:id="10"/>
      </w:r>
      <w:r>
        <w:rPr>
          <w:noProof/>
        </w:rPr>
        <w:t xml:space="preserve">, το έλλειμμα της γενικής κυβέρνησης του 2023 υπερέβη το 3 % του ΑΕΠ σε δέκα κράτη μέλη: </w:t>
      </w:r>
      <w:r>
        <w:rPr>
          <w:b/>
          <w:noProof/>
        </w:rPr>
        <w:t xml:space="preserve">Βέλγιο, Τσεχία, Εσθονία, Ισπανία, Γαλλία, Ιταλία, Ουγγαρία, Μάλτα, Πολωνία </w:t>
      </w:r>
      <w:r>
        <w:rPr>
          <w:noProof/>
        </w:rPr>
        <w:t xml:space="preserve">και </w:t>
      </w:r>
      <w:r>
        <w:rPr>
          <w:b/>
          <w:noProof/>
        </w:rPr>
        <w:t>Σλοβακία</w:t>
      </w:r>
      <w:r>
        <w:rPr>
          <w:rStyle w:val="FootnoteReference"/>
          <w:rFonts w:eastAsiaTheme="minorEastAsia"/>
          <w:noProof/>
          <w:sz w:val="24"/>
          <w:szCs w:val="24"/>
        </w:rPr>
        <w:footnoteReference w:id="11"/>
      </w:r>
      <w:r>
        <w:rPr>
          <w:noProof/>
        </w:rPr>
        <w:t xml:space="preserve">. Τα πραγματικά ελλείμματα για το 2023 που υπερβαίνουν το 3 % του ΑΕΠ παρέχουν εκ πρώτης όψεως ενδείξεις για ύπαρξη υπερβολικών ελλειμμάτων σε καθένα από τα εν λόγω κράτη μέλη. </w:t>
      </w:r>
    </w:p>
    <w:p w14:paraId="42B591C1" w14:textId="21E57093" w:rsidR="00F271CD" w:rsidRPr="00E343AE" w:rsidRDefault="00E03B8D" w:rsidP="00133894">
      <w:pPr>
        <w:pStyle w:val="ListParagraph"/>
        <w:numPr>
          <w:ilvl w:val="0"/>
          <w:numId w:val="34"/>
        </w:numPr>
        <w:autoSpaceDE w:val="0"/>
        <w:autoSpaceDN w:val="0"/>
        <w:spacing w:before="120" w:after="120"/>
        <w:ind w:left="357" w:hanging="357"/>
        <w:jc w:val="both"/>
        <w:rPr>
          <w:noProof/>
        </w:rPr>
      </w:pPr>
      <w:r>
        <w:rPr>
          <w:noProof/>
        </w:rPr>
        <w:t xml:space="preserve">Επιπλέον, σύμφωνα με την εαρινή δημοσιονομική κοινοποίηση 2024, η </w:t>
      </w:r>
      <w:r>
        <w:rPr>
          <w:b/>
          <w:noProof/>
        </w:rPr>
        <w:t>Φινλανδία</w:t>
      </w:r>
      <w:r>
        <w:rPr>
          <w:noProof/>
        </w:rPr>
        <w:t xml:space="preserve"> και η </w:t>
      </w:r>
      <w:r>
        <w:rPr>
          <w:b/>
          <w:noProof/>
        </w:rPr>
        <w:t>Σλοβενία</w:t>
      </w:r>
      <w:r>
        <w:rPr>
          <w:noProof/>
        </w:rPr>
        <w:t xml:space="preserve"> προβλέπουν ότι τα δημοσιονομικά ελλείμματά τους θα υπερβούν το 3 % του ΑΕΠ το 2024</w:t>
      </w:r>
      <w:r>
        <w:rPr>
          <w:rStyle w:val="FootnoteReference"/>
          <w:rFonts w:eastAsia="Calibri"/>
          <w:noProof/>
          <w:sz w:val="24"/>
          <w:szCs w:val="24"/>
        </w:rPr>
        <w:footnoteReference w:id="12"/>
      </w:r>
      <w:r>
        <w:rPr>
          <w:noProof/>
        </w:rPr>
        <w:t>. Τα συγκεκριμένα προβλεπόμενα ελλείμματα για το 2024 παρέχουν επίσης εκ πρώτης όψεως ενδείξεις σχετικά με την ύπαρξη υπερβολικών ελλειμμάτων σε καθένα από τα δύο εν λόγω κράτη μέλη. Τα προβλεπόμενα ελλείμματα δεν επικυρώνονται από την Eurostat και περιβάλλονται από αβεβαιότητα.</w:t>
      </w:r>
    </w:p>
    <w:p w14:paraId="517A0255" w14:textId="51BCF912" w:rsidR="00426357" w:rsidRPr="001C0C44" w:rsidRDefault="00995FB8" w:rsidP="00D50AD6">
      <w:pPr>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Όπως προαναφέρθηκε, το </w:t>
      </w:r>
      <w:r>
        <w:rPr>
          <w:rFonts w:ascii="Times New Roman" w:hAnsi="Times New Roman"/>
          <w:b/>
          <w:noProof/>
          <w:sz w:val="24"/>
        </w:rPr>
        <w:t>κριτήριο του χρέους</w:t>
      </w:r>
      <w:r>
        <w:rPr>
          <w:rFonts w:ascii="Times New Roman" w:hAnsi="Times New Roman"/>
          <w:noProof/>
          <w:sz w:val="24"/>
        </w:rPr>
        <w:t xml:space="preserve"> δεν μπορεί να αξιολογηθεί πλήρως στο παρόν στάδιο σύμφωνα με τα κριτήρια του νέου πλαισίου. Στο τέλος του 2023 ο δείκτης ακαθάριστου χρέους της γενικής κυβέρνησης προς το ΑΕΠ υπερέβαινε την τιμή αναφοράς του 60 % σε δεκατρία κράτη μέλη: Βέλγιο, Γερμανία, Ελλάδα, Ισπανία, Γαλλία, Κροατία, Ιταλία, Κύπρο, Ουγγαρία, Αυστρία, Πορτογαλία, Σλοβενία και Φινλανδία (βλ. πίνακα 3).</w:t>
      </w:r>
    </w:p>
    <w:p w14:paraId="2259726B" w14:textId="41F8F977" w:rsidR="00522A4C" w:rsidRPr="00E343AE" w:rsidRDefault="008F31B6" w:rsidP="0035465E">
      <w:pPr>
        <w:pStyle w:val="ManualConsidrant"/>
        <w:spacing w:before="240"/>
        <w:ind w:left="0" w:firstLine="0"/>
        <w:rPr>
          <w:i/>
          <w:noProof/>
        </w:rPr>
      </w:pPr>
      <w:r>
        <w:rPr>
          <w:i/>
          <w:noProof/>
        </w:rPr>
        <w:t xml:space="preserve">Οικονομικό πλαίσιο των πρόσφατων συστάσεων δημοσιονομικής πολιτικής </w:t>
      </w:r>
    </w:p>
    <w:p w14:paraId="263A95DB" w14:textId="77777777" w:rsidR="003962FB" w:rsidRDefault="003962FB" w:rsidP="00AA117B">
      <w:pPr>
        <w:pStyle w:val="ManualConsidrant"/>
        <w:ind w:left="0" w:firstLine="0"/>
        <w:rPr>
          <w:noProof/>
        </w:rPr>
      </w:pPr>
      <w:r>
        <w:rPr>
          <w:noProof/>
        </w:rPr>
        <w:t xml:space="preserve">Κατά τη διάρκεια της οξύτερης φάσης της πανδημίας, η οικονομική δραστηριότητα στην ΕΕ συρρικνώθηκε έντονα το 2020 (κατά 5,6 %), καθώς η καθημερινή ζωή επηρεάστηκε σε μεγάλο βαθμό από τα μέτρα ανάσχεσης και η επιχειρηματική δραστηριότητα περιορίστηκε επιπλέον από τα σημεία συμφόρησης στον εφοδιασμό. Η οικονομία της ΕΕ ανέκαμψε δυναμικά στο πλαίσιο της ταχείας διάθεσης εμβολίων, μιας ισχυρής θερινής τουριστικής περιόδου και της καλύτερης προσαρμογής στα λιγότερα αυστηρά υγειονομικά μέτρα που ίσχυαν το 2021. Ωστόσο, η συγχρονισμένη παγκόσμια ανάκαμψη της οικονομικής δραστηριότητας αύξησε τις ελλείψεις υλικών και οδήγησε σε αύξηση των τιμών της ενέργειας ήδη από το 2021. Στη συνέχεια, οι αντιξοότητες για την ανάπτυξη εντάθηκαν περαιτέρω με την έναρξη του επιθετικού πολέμου της Ρωσίας κατά της Ουκρανίας, οδηγώντας σε επιπλέον άνοδο των τιμών της ενέργειας, καθώς και σε αύξηση της αβεβαιότητας. Η οικονομία της ΕΕ παρέμεινε ανθεκτική, καθώς η αύξηση του πραγματικού ΑΕΠ επιβραδύνθηκε σε 3,5 % το 2022 από 6,0 % το 2021. </w:t>
      </w:r>
    </w:p>
    <w:p w14:paraId="5C873A80" w14:textId="03A57447" w:rsidR="00320A37" w:rsidRPr="007018F1" w:rsidRDefault="00285B1B" w:rsidP="00F71708">
      <w:pPr>
        <w:autoSpaceDE w:val="0"/>
        <w:autoSpaceDN w:val="0"/>
        <w:spacing w:before="120" w:after="120" w:line="240" w:lineRule="auto"/>
        <w:jc w:val="both"/>
        <w:rPr>
          <w:noProof/>
        </w:rPr>
      </w:pPr>
      <w:r>
        <w:rPr>
          <w:rFonts w:ascii="Times New Roman" w:hAnsi="Times New Roman"/>
          <w:noProof/>
          <w:sz w:val="24"/>
        </w:rPr>
        <w:t>Εντός της ίδιας περιόδου, οι συστάσεις δημοσιονομικής πολιτικής, όπως εγκρίθηκαν από το Συμβούλιο, εξελίσσονται προκειμένου να ανταποκρίνονται στο μεταβαλλόμενο οικονομικό πλαίσιο. Η συντονισμένη δράση πολιτικής που αναλήφθηκε σε ενωσιακό και εθνικό επίπεδο άμβλυνε τον αντίκτυπο της πανδημίας COVID-19 στις οικονομίες των κρατών μελών και άνοιξε τον δρόμο για δυναμική ανάκαμψη μετά την πανδημία το 2021 και το 2022. Το NextGenerationEU και το κεντρικό στοιχείο του, ο μηχανισμός ανάκαμψης και ανθεκτικότητας, διαδραμάτισε αποφασιστικό ρόλο στην προστασία και την προώθηση της οικονομικής, κοινωνικής και εδαφικής συνοχής της Ένωσης, στη στήριξη του οικονομικού κλίματος και στη διατήρηση των ιδιωτικών και δημόσιων επενδύσεων. Η ευρωπαϊκή οικονομία κατόρθωσε να περιορίσει τις δυσμενείς επιπτώσεις του επιθετικού πολέμου της Ρωσίας κατά της Ουκρανίας, αντιμετωπίζοντας την ενεργειακή κρίση χάρη στην ταχεία διαφοροποίηση του εφοδιασμού και στη σημαντική μείωση της κατανάλωσης αερίου. Μέσω του σχεδίου REPowerEU, τα κράτη μέλη έχουν δεσμευτεί να υλοποιήσουν κρίσιμες μεταρρυθμίσεις και επενδύσεις για την αντιμετώπιση της ενεργειακής κρίσης μέσω της διαφοροποίησης του ενεργειακού εφοδιασμού και για την επιτάχυνση της παραγωγής ενέργειας από ανανεώσιμες πηγές. Το 2023 η οικονομική δραστηριότητα στην ΕΕ επιβραδύνθηκε καθώς το υψηλό κόστος ζωής, η αυστηροποίηση της νομισματικής πολιτικής, η μερική απόσυρση της δημοσιονομικής στήριξης και η πτώση της εξωτερικής ζήτησης αποτέλεσαν τροχοπέδη για την ανάπτυξη. Η καλύτερη από την αναμενόμενη ανάπτυξη στις αρχές του 2024 και η συνεχιζόμενη μείωση του πληθωρισμού έθεσαν τις βάσεις για σταδιακή επέκταση της δραστηριότητας εντός του χρονικού ορίζοντα των προβλέψεων. Με βάση τις εαρινές προβλέψεις 2024 της Επιτροπής, η αύξηση του πραγματικού ΑΕΠ στην ΕΕ προβλέπεται ότι θα ανέλθει σε 1,0 % το 2024 και θα βελτιωθεί σε 1,6 % το 2025, σε μεγάλο βαθμό λόγω της αύξησης της ιδιωτικής κατανάλωσης που υποστηρίχθηκε από την αύξηση των πραγματικών μισθών και της απασχόλησης.</w:t>
      </w:r>
    </w:p>
    <w:p w14:paraId="10696D41" w14:textId="02853649" w:rsidR="00D21826" w:rsidRDefault="00544701" w:rsidP="00CB4481">
      <w:pPr>
        <w:autoSpaceDE w:val="0"/>
        <w:autoSpaceDN w:val="0"/>
        <w:spacing w:before="120" w:after="120" w:line="240" w:lineRule="auto"/>
        <w:jc w:val="both"/>
        <w:rPr>
          <w:rFonts w:ascii="Times New Roman" w:hAnsi="Times New Roman" w:cs="Times New Roman"/>
          <w:noProof/>
          <w:sz w:val="24"/>
          <w:szCs w:val="24"/>
        </w:rPr>
      </w:pPr>
      <w:r>
        <w:rPr>
          <w:rFonts w:ascii="Times New Roman" w:hAnsi="Times New Roman"/>
          <w:noProof/>
          <w:sz w:val="24"/>
        </w:rPr>
        <w:t>Ενόψει της απενεργοποίησης της γενικής ρήτρας διαφυγής στο τέλος του 2023, οι δημοσιονομικές κατευθύνσεις του Συμβουλίου για το 2024 χαρακτηρίστηκαν από την επανέναρξη της έκδοσης διαφοροποιημένων ειδικών ανά χώρα συστάσεων που διατυπώθηκαν με ποσοτικούς όρους. Στις 14 Ιουλίου 2023 το Συμβούλιο συνέστησε</w:t>
      </w:r>
      <w:r>
        <w:rPr>
          <w:rStyle w:val="FootnoteReference"/>
          <w:rFonts w:eastAsiaTheme="minorEastAsia"/>
          <w:noProof/>
          <w:sz w:val="24"/>
          <w:szCs w:val="24"/>
        </w:rPr>
        <w:footnoteReference w:id="13"/>
      </w:r>
      <w:r>
        <w:rPr>
          <w:rFonts w:ascii="Times New Roman" w:hAnsi="Times New Roman"/>
          <w:noProof/>
          <w:sz w:val="24"/>
        </w:rPr>
        <w:t xml:space="preserve"> στα κράτη μέλη, τα οποία δεν προβλεπόταν να επιτύχουν τον μεσοπρόθεσμο δημοσιονομικό τους στόχο (στο εξής: ΜΔΣ), να περιορίσουν τις καθαρές εθνικά χρηματοδοτούμενες πρωτογενείς δαπάνες το 2024 σε διαφοροποιημένους ρυθμούς αύξησης που θα διασφάλιζαν συνετή δημοσιονομική πολιτική. Στα κράτη μέλη που προβλεπόταν να επιτύχουν τον ΜΔΣ απευθύνθηκε η σύσταση να διατηρήσουν υγιή δημοσιονομική θέση το 2024, μολονότι χωρίς τέτοιο ποσοτικό όριο. Σε όλα τα κράτη μέλη απευθύνθηκε η σύσταση να καταργήσουν σταδιακά τα μέτρα στήριξης της ενέργειας το συντομότερο δυνατόν εντός του 2023 και του 2024 και, εάν δεν προβλέπεται να επιτύχουν τον ΜΔΣ, να χρησιμοποιήσουν τα σχετικά κονδύλια που θα εξοικονομηθούν για τη μείωση του δημοσιονομικού ελλείμματος. Το Συμβούλιο συνέστησε επίσης σε όλα τα κράτη μέλη να διατηρήσουν τις εθνικά χρηματοδοτούμενες επενδύσεις και να διασφαλίσουν την αποτελεσματική απορρόφηση των κονδυλίων του μηχανισμού ανάκαμψης και ανθεκτικότητας (ΜΑΑ) και άλλων ταμείων της ΕΕ, ιδίως να ευνοήσουν την πράσινη και την ψηφιακή μετάβαση. Όσον αφορά τα κράτη μέλη της ζώνης του ευρώ, η Επιτροπή αξιολόγησε και διατύπωσε γνώμες σχετικά με τα σχέδια δημοσιονομικών προγραμμάτων των κρατών μελών υπό το πρίσμα των εν λόγω συστάσεων του Συμβουλίου</w:t>
      </w:r>
      <w:r>
        <w:rPr>
          <w:rFonts w:ascii="Times New Roman" w:hAnsi="Times New Roman" w:cs="Times New Roman"/>
          <w:noProof/>
          <w:sz w:val="24"/>
          <w:szCs w:val="24"/>
          <w:vertAlign w:val="superscript"/>
        </w:rPr>
        <w:footnoteReference w:id="14"/>
      </w:r>
      <w:r>
        <w:rPr>
          <w:rFonts w:ascii="Times New Roman" w:hAnsi="Times New Roman"/>
          <w:noProof/>
          <w:sz w:val="24"/>
        </w:rPr>
        <w:t>.</w:t>
      </w:r>
    </w:p>
    <w:p w14:paraId="19E61957" w14:textId="4F3AA090" w:rsidR="00CB4481" w:rsidRPr="00536F84" w:rsidRDefault="00CB4481" w:rsidP="00CB4481">
      <w:pPr>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Το 2023 η Επιτροπή ανακοίνωσε επανειλημμένα</w:t>
      </w:r>
      <w:r>
        <w:rPr>
          <w:rFonts w:ascii="Times New Roman" w:eastAsia="Times New Roman" w:hAnsi="Times New Roman" w:cs="Times New Roman"/>
          <w:noProof/>
          <w:sz w:val="24"/>
          <w:szCs w:val="24"/>
          <w:vertAlign w:val="superscript"/>
        </w:rPr>
        <w:footnoteReference w:id="15"/>
      </w:r>
      <w:r>
        <w:rPr>
          <w:rFonts w:ascii="Times New Roman" w:hAnsi="Times New Roman"/>
          <w:noProof/>
          <w:sz w:val="24"/>
        </w:rPr>
        <w:t xml:space="preserve"> ότι θα πρότεινε στο Συμβούλιο να κινήσει διαδικασίες υπερβολικού ελλείμματος στη βάση του ελλείμματος την άνοιξη του 2024, </w:t>
      </w:r>
      <w:bookmarkStart w:id="4" w:name="_Hlk168495263"/>
      <w:r>
        <w:rPr>
          <w:rFonts w:ascii="Times New Roman" w:hAnsi="Times New Roman"/>
          <w:noProof/>
          <w:sz w:val="24"/>
        </w:rPr>
        <w:t>καλώντας τα κράτη μέλη να λάβουν υπόψη το γεγονός αυτό κατά την εκτέλεση των προϋπολογισμών τους για το 2023 και κατά την άσκηση των δημοσιονομικών πολιτικών τους το 2024</w:t>
      </w:r>
      <w:bookmarkEnd w:id="4"/>
      <w:r>
        <w:rPr>
          <w:rFonts w:ascii="Times New Roman" w:hAnsi="Times New Roman"/>
          <w:noProof/>
          <w:sz w:val="24"/>
        </w:rPr>
        <w:t>.</w:t>
      </w:r>
    </w:p>
    <w:p w14:paraId="1773AD10" w14:textId="43F9D6FE" w:rsidR="00102D35" w:rsidRPr="008A451C" w:rsidRDefault="00536F84" w:rsidP="00042956">
      <w:pPr>
        <w:pStyle w:val="ManualConsidrant"/>
        <w:ind w:left="0" w:firstLine="0"/>
        <w:rPr>
          <w:noProof/>
        </w:rPr>
      </w:pPr>
      <w:r>
        <w:rPr>
          <w:noProof/>
        </w:rPr>
        <w:t>Στις 12 Απριλίου 2024 στη σύστασή του σχετικά με την οικονομική πολιτική της ζώνης του ευρώ</w:t>
      </w:r>
      <w:r>
        <w:rPr>
          <w:rStyle w:val="FootnoteReference"/>
          <w:noProof/>
          <w:sz w:val="24"/>
          <w:szCs w:val="24"/>
        </w:rPr>
        <w:footnoteReference w:id="16"/>
      </w:r>
      <w:r>
        <w:rPr>
          <w:noProof/>
        </w:rPr>
        <w:t xml:space="preserve"> το Συμβούλιο επιμένει ότι τα κράτη μέλη της ζώνης του ευρώ πρέπει να θεσπίσουν συντονισμένες και συνετές δημοσιονομικές πολιτικές για να διατηρήσουν το χρέος σε συνετά επίπεδα ή για να θέσουν τους δείκτες χρέους σε ευλογοφανώς καθοδική πορεία —διατηρώντας παράλληλα ευέλικτες πολιτικές λόγω της επικρατούσας αβεβαιότητας— που θα οδηγήσουν σε συνολικό περιοριστικό δημοσιονομικό προσανατολισμό στη ζώνη του ευρώ. Συνιστάται επίσης στα κράτη μέλη να καταργήσουν σταδιακά τα μέτρα στήριξης έκτακτης ανάγκης στον τομέα της ενέργειας το συντομότερο δυνατόν το 2024 και να χρησιμοποιήσουν τα σχετικά κονδύλια που θα εξοικονομηθούν για τη μείωση των ελλειμμάτων</w:t>
      </w:r>
      <w:r>
        <w:rPr>
          <w:rStyle w:val="FootnoteReference"/>
          <w:noProof/>
          <w:sz w:val="24"/>
          <w:szCs w:val="24"/>
        </w:rPr>
        <w:footnoteReference w:id="17"/>
      </w:r>
      <w:r>
        <w:rPr>
          <w:noProof/>
        </w:rPr>
        <w:t>.</w:t>
      </w:r>
    </w:p>
    <w:p w14:paraId="5044E644" w14:textId="0A85D9B1" w:rsidR="00AC2CA4" w:rsidRPr="00DB2EEA" w:rsidRDefault="00AC2CA4" w:rsidP="00E239AE">
      <w:pPr>
        <w:spacing w:after="120" w:line="240" w:lineRule="auto"/>
        <w:jc w:val="both"/>
        <w:rPr>
          <w:rFonts w:ascii="Times New Roman" w:eastAsia="Times New Roman" w:hAnsi="Times New Roman" w:cs="Times New Roman"/>
          <w:b/>
          <w:bCs/>
          <w:noProof/>
          <w:sz w:val="24"/>
          <w:szCs w:val="24"/>
          <w:lang w:eastAsia="en-GB"/>
        </w:rPr>
      </w:pPr>
    </w:p>
    <w:tbl>
      <w:tblPr>
        <w:tblW w:w="8459" w:type="dxa"/>
        <w:tblInd w:w="567" w:type="dxa"/>
        <w:tblLook w:val="04A0" w:firstRow="1" w:lastRow="0" w:firstColumn="1" w:lastColumn="0" w:noHBand="0" w:noVBand="1"/>
      </w:tblPr>
      <w:tblGrid>
        <w:gridCol w:w="1305"/>
        <w:gridCol w:w="1984"/>
        <w:gridCol w:w="3335"/>
        <w:gridCol w:w="1835"/>
      </w:tblGrid>
      <w:tr w:rsidR="00937716" w:rsidRPr="00E2595E" w14:paraId="6550BC72" w14:textId="77777777" w:rsidTr="00540BB5">
        <w:trPr>
          <w:trHeight w:val="300"/>
        </w:trPr>
        <w:tc>
          <w:tcPr>
            <w:tcW w:w="8459" w:type="dxa"/>
            <w:gridSpan w:val="4"/>
            <w:tcBorders>
              <w:top w:val="nil"/>
              <w:left w:val="nil"/>
              <w:bottom w:val="single" w:sz="4" w:space="0" w:color="auto"/>
              <w:right w:val="nil"/>
            </w:tcBorders>
            <w:shd w:val="clear" w:color="auto" w:fill="auto"/>
            <w:noWrap/>
            <w:vAlign w:val="bottom"/>
            <w:hideMark/>
          </w:tcPr>
          <w:p w14:paraId="31F37EB5" w14:textId="0D33B28E" w:rsidR="00937716" w:rsidRPr="00E2595E" w:rsidRDefault="00937716" w:rsidP="00FA0B52">
            <w:pPr>
              <w:keepNext/>
              <w:spacing w:after="120" w:line="240" w:lineRule="auto"/>
              <w:jc w:val="center"/>
              <w:rPr>
                <w:rFonts w:ascii="Times New Roman" w:eastAsia="Times New Roman" w:hAnsi="Times New Roman" w:cs="Times New Roman"/>
                <w:b/>
                <w:noProof/>
                <w:color w:val="000000"/>
              </w:rPr>
            </w:pPr>
            <w:r>
              <w:rPr>
                <w:rFonts w:ascii="Times New Roman" w:hAnsi="Times New Roman"/>
                <w:b/>
                <w:noProof/>
                <w:color w:val="000000"/>
              </w:rPr>
              <w:t>Πίνακας 1: Θέση των κρατών μελών έναντι των τιμών αναφοράς για το έλλειμμα και το χρέος</w:t>
            </w:r>
          </w:p>
        </w:tc>
      </w:tr>
      <w:tr w:rsidR="00937716" w:rsidRPr="00E2595E" w14:paraId="681D6E1A" w14:textId="77777777" w:rsidTr="001413FB">
        <w:trPr>
          <w:trHeight w:val="952"/>
        </w:trPr>
        <w:tc>
          <w:tcPr>
            <w:tcW w:w="1276" w:type="dxa"/>
            <w:tcBorders>
              <w:top w:val="single" w:sz="4" w:space="0" w:color="auto"/>
              <w:left w:val="nil"/>
              <w:bottom w:val="single" w:sz="4" w:space="0" w:color="auto"/>
              <w:right w:val="nil"/>
            </w:tcBorders>
            <w:shd w:val="clear" w:color="auto" w:fill="auto"/>
            <w:noWrap/>
            <w:vAlign w:val="bottom"/>
            <w:hideMark/>
          </w:tcPr>
          <w:p w14:paraId="655A4152" w14:textId="77777777" w:rsidR="00937716" w:rsidRPr="005E7962" w:rsidRDefault="00937716" w:rsidP="00683ACC">
            <w:pPr>
              <w:keepNext/>
              <w:spacing w:after="0" w:line="240" w:lineRule="auto"/>
              <w:rPr>
                <w:rFonts w:ascii="Times New Roman" w:eastAsia="Times New Roman" w:hAnsi="Times New Roman" w:cs="Times New Roman"/>
                <w:b/>
                <w:noProof/>
                <w:color w:val="000000"/>
                <w:lang w:eastAsia="en-IE"/>
              </w:rPr>
            </w:pPr>
          </w:p>
        </w:tc>
        <w:tc>
          <w:tcPr>
            <w:tcW w:w="1992" w:type="dxa"/>
            <w:tcBorders>
              <w:top w:val="single" w:sz="4" w:space="0" w:color="auto"/>
              <w:left w:val="nil"/>
              <w:bottom w:val="single" w:sz="4" w:space="0" w:color="auto"/>
              <w:right w:val="nil"/>
            </w:tcBorders>
            <w:shd w:val="clear" w:color="auto" w:fill="auto"/>
            <w:vAlign w:val="bottom"/>
            <w:hideMark/>
          </w:tcPr>
          <w:p w14:paraId="5288D3CF" w14:textId="45149561" w:rsidR="00937716" w:rsidRPr="00E2595E" w:rsidRDefault="00937716" w:rsidP="00683ACC">
            <w:pPr>
              <w:keepNext/>
              <w:spacing w:before="120" w:after="120" w:line="240" w:lineRule="auto"/>
              <w:jc w:val="center"/>
              <w:rPr>
                <w:rFonts w:ascii="Times New Roman" w:eastAsia="Times New Roman" w:hAnsi="Times New Roman" w:cs="Times New Roman"/>
                <w:b/>
                <w:noProof/>
                <w:color w:val="000000"/>
              </w:rPr>
            </w:pPr>
            <w:r>
              <w:rPr>
                <w:rFonts w:ascii="Times New Roman" w:hAnsi="Times New Roman"/>
                <w:b/>
                <w:noProof/>
                <w:color w:val="000000"/>
              </w:rPr>
              <w:t>Πραγματικό έλλειμμα</w:t>
            </w:r>
            <w:r>
              <w:rPr>
                <w:noProof/>
              </w:rPr>
              <w:t xml:space="preserve"> </w:t>
            </w:r>
            <w:r>
              <w:rPr>
                <w:noProof/>
              </w:rPr>
              <w:br/>
            </w:r>
            <w:r>
              <w:rPr>
                <w:rFonts w:ascii="Times New Roman" w:hAnsi="Times New Roman"/>
                <w:b/>
                <w:noProof/>
                <w:color w:val="000000"/>
              </w:rPr>
              <w:t>που δεν υπερβαίνει (</w:t>
            </w:r>
            <w:r>
              <w:rPr>
                <w:rFonts w:ascii="Wingdings" w:hAnsi="Wingdings"/>
                <w:b/>
                <w:noProof/>
                <w:color w:val="000000"/>
              </w:rPr>
              <w:t></w:t>
            </w:r>
            <w:r>
              <w:rPr>
                <w:rFonts w:ascii="Times New Roman" w:hAnsi="Times New Roman"/>
                <w:b/>
                <w:noProof/>
                <w:color w:val="000000"/>
              </w:rPr>
              <w:t>) / υπερβαίνει (</w:t>
            </w:r>
            <w:r>
              <w:rPr>
                <w:rFonts w:ascii="Wingdings" w:hAnsi="Wingdings"/>
                <w:b/>
                <w:noProof/>
                <w:color w:val="000000"/>
              </w:rPr>
              <w:t></w:t>
            </w:r>
            <w:r>
              <w:rPr>
                <w:rFonts w:ascii="Times New Roman" w:hAnsi="Times New Roman"/>
                <w:b/>
                <w:noProof/>
                <w:color w:val="000000"/>
              </w:rPr>
              <w:t>) το</w:t>
            </w:r>
            <w:r>
              <w:rPr>
                <w:noProof/>
              </w:rPr>
              <w:t xml:space="preserve"> </w:t>
            </w:r>
            <w:r>
              <w:rPr>
                <w:noProof/>
              </w:rPr>
              <w:br/>
            </w:r>
            <w:r>
              <w:rPr>
                <w:rFonts w:ascii="Times New Roman" w:hAnsi="Times New Roman"/>
                <w:b/>
                <w:noProof/>
                <w:color w:val="000000"/>
              </w:rPr>
              <w:t>3 % του ΑΕΠ το 2023</w:t>
            </w:r>
          </w:p>
          <w:p w14:paraId="6632910D" w14:textId="77777777" w:rsidR="00937716" w:rsidRPr="005E7962" w:rsidRDefault="00937716" w:rsidP="00683ACC">
            <w:pPr>
              <w:keepNext/>
              <w:spacing w:before="120" w:after="120" w:line="240" w:lineRule="auto"/>
              <w:jc w:val="center"/>
              <w:rPr>
                <w:rFonts w:ascii="Times New Roman" w:eastAsia="Times New Roman" w:hAnsi="Times New Roman" w:cs="Times New Roman"/>
                <w:b/>
                <w:noProof/>
                <w:color w:val="000000"/>
                <w:lang w:eastAsia="en-IE"/>
              </w:rPr>
            </w:pPr>
          </w:p>
        </w:tc>
        <w:tc>
          <w:tcPr>
            <w:tcW w:w="3349" w:type="dxa"/>
            <w:tcBorders>
              <w:top w:val="single" w:sz="4" w:space="0" w:color="auto"/>
              <w:left w:val="nil"/>
              <w:bottom w:val="single" w:sz="4" w:space="0" w:color="auto"/>
              <w:right w:val="nil"/>
            </w:tcBorders>
            <w:shd w:val="clear" w:color="auto" w:fill="auto"/>
            <w:vAlign w:val="center"/>
            <w:hideMark/>
          </w:tcPr>
          <w:p w14:paraId="66657411" w14:textId="33D580E5" w:rsidR="001413FB" w:rsidRPr="001413FB" w:rsidRDefault="00937716" w:rsidP="001413FB">
            <w:pPr>
              <w:keepNext/>
              <w:spacing w:before="120" w:after="120" w:line="240" w:lineRule="auto"/>
              <w:jc w:val="center"/>
              <w:rPr>
                <w:rFonts w:ascii="Times New Roman" w:eastAsia="Times New Roman" w:hAnsi="Times New Roman" w:cs="Times New Roman"/>
                <w:b/>
                <w:noProof/>
                <w:color w:val="000000" w:themeColor="text1"/>
              </w:rPr>
            </w:pPr>
            <w:r>
              <w:rPr>
                <w:rFonts w:ascii="Times New Roman" w:hAnsi="Times New Roman"/>
                <w:b/>
                <w:noProof/>
                <w:color w:val="000000" w:themeColor="text1"/>
              </w:rPr>
              <w:t>Προβλεπόμενο έλλειμμα</w:t>
            </w:r>
            <w:r>
              <w:rPr>
                <w:noProof/>
              </w:rPr>
              <w:t xml:space="preserve"> </w:t>
            </w:r>
            <w:r>
              <w:rPr>
                <w:noProof/>
              </w:rPr>
              <w:br/>
            </w:r>
            <w:r>
              <w:rPr>
                <w:rFonts w:ascii="Times New Roman" w:hAnsi="Times New Roman"/>
                <w:b/>
                <w:noProof/>
                <w:color w:val="000000" w:themeColor="text1"/>
              </w:rPr>
              <w:t>που δεν υπερβαίνει (</w:t>
            </w:r>
            <w:r>
              <w:rPr>
                <w:rFonts w:ascii="Wingdings" w:hAnsi="Wingdings"/>
                <w:b/>
                <w:noProof/>
                <w:color w:val="000000" w:themeColor="text1"/>
              </w:rPr>
              <w:t></w:t>
            </w:r>
            <w:r>
              <w:rPr>
                <w:rFonts w:ascii="Times New Roman" w:hAnsi="Times New Roman"/>
                <w:b/>
                <w:noProof/>
                <w:color w:val="000000" w:themeColor="text1"/>
              </w:rPr>
              <w:t>) / υπερβαίνει (</w:t>
            </w:r>
            <w:r>
              <w:rPr>
                <w:rFonts w:ascii="Wingdings" w:hAnsi="Wingdings"/>
                <w:b/>
                <w:noProof/>
                <w:color w:val="000000" w:themeColor="text1"/>
              </w:rPr>
              <w:t></w:t>
            </w:r>
            <w:r>
              <w:rPr>
                <w:rFonts w:ascii="Times New Roman" w:hAnsi="Times New Roman"/>
                <w:b/>
                <w:noProof/>
                <w:color w:val="000000" w:themeColor="text1"/>
              </w:rPr>
              <w:t>) το</w:t>
            </w:r>
            <w:r>
              <w:rPr>
                <w:noProof/>
              </w:rPr>
              <w:t xml:space="preserve"> </w:t>
            </w:r>
            <w:r>
              <w:rPr>
                <w:noProof/>
              </w:rPr>
              <w:br/>
            </w:r>
            <w:r>
              <w:rPr>
                <w:rFonts w:ascii="Times New Roman" w:hAnsi="Times New Roman"/>
                <w:b/>
                <w:noProof/>
                <w:color w:val="000000" w:themeColor="text1"/>
              </w:rPr>
              <w:t>3 % του ΑΕΠ το 2024</w:t>
            </w:r>
          </w:p>
          <w:p w14:paraId="6659FAA7" w14:textId="77777777" w:rsidR="00937716" w:rsidRPr="005E7962" w:rsidRDefault="00937716" w:rsidP="001413FB">
            <w:pPr>
              <w:keepNext/>
              <w:spacing w:before="120" w:after="120" w:line="240" w:lineRule="auto"/>
              <w:jc w:val="center"/>
              <w:rPr>
                <w:rFonts w:ascii="Times New Roman" w:eastAsia="Times New Roman" w:hAnsi="Times New Roman" w:cs="Times New Roman"/>
                <w:b/>
                <w:noProof/>
                <w:color w:val="000000"/>
                <w:lang w:eastAsia="en-IE"/>
              </w:rPr>
            </w:pPr>
          </w:p>
        </w:tc>
        <w:tc>
          <w:tcPr>
            <w:tcW w:w="1842" w:type="dxa"/>
            <w:tcBorders>
              <w:top w:val="single" w:sz="4" w:space="0" w:color="auto"/>
              <w:left w:val="nil"/>
              <w:bottom w:val="single" w:sz="4" w:space="0" w:color="auto"/>
              <w:right w:val="nil"/>
            </w:tcBorders>
            <w:shd w:val="clear" w:color="auto" w:fill="auto"/>
            <w:vAlign w:val="bottom"/>
            <w:hideMark/>
          </w:tcPr>
          <w:p w14:paraId="24F1B79B" w14:textId="72A873C8" w:rsidR="00187F67" w:rsidRPr="00E2595E" w:rsidRDefault="00937716" w:rsidP="00683ACC">
            <w:pPr>
              <w:keepNext/>
              <w:spacing w:before="120" w:after="120" w:line="240" w:lineRule="auto"/>
              <w:jc w:val="center"/>
              <w:rPr>
                <w:rFonts w:ascii="Times New Roman" w:eastAsia="Times New Roman" w:hAnsi="Times New Roman" w:cs="Times New Roman"/>
                <w:b/>
                <w:noProof/>
                <w:color w:val="000000"/>
              </w:rPr>
            </w:pPr>
            <w:r>
              <w:rPr>
                <w:rFonts w:ascii="Times New Roman" w:hAnsi="Times New Roman"/>
                <w:b/>
                <w:noProof/>
                <w:color w:val="000000"/>
              </w:rPr>
              <w:t>Δείκτης χρέους που δεν υπερβαίνει (</w:t>
            </w:r>
            <w:r>
              <w:rPr>
                <w:rFonts w:ascii="Wingdings" w:hAnsi="Wingdings"/>
                <w:b/>
                <w:noProof/>
                <w:color w:val="000000"/>
              </w:rPr>
              <w:t></w:t>
            </w:r>
            <w:r>
              <w:rPr>
                <w:rFonts w:ascii="Times New Roman" w:hAnsi="Times New Roman"/>
                <w:b/>
                <w:noProof/>
                <w:color w:val="000000"/>
              </w:rPr>
              <w:t>) / υπερβαίνει (</w:t>
            </w:r>
            <w:r>
              <w:rPr>
                <w:rFonts w:ascii="Wingdings" w:hAnsi="Wingdings"/>
                <w:b/>
                <w:noProof/>
                <w:color w:val="000000"/>
              </w:rPr>
              <w:t></w:t>
            </w:r>
            <w:r>
              <w:rPr>
                <w:rFonts w:ascii="Times New Roman" w:hAnsi="Times New Roman"/>
                <w:b/>
                <w:noProof/>
                <w:color w:val="000000"/>
              </w:rPr>
              <w:t>) το 60 % του ΑΕΠ στα τέλη του 2023</w:t>
            </w:r>
          </w:p>
        </w:tc>
      </w:tr>
      <w:tr w:rsidR="00937716" w:rsidRPr="00E2595E" w14:paraId="2F870151" w14:textId="77777777" w:rsidTr="00873B82">
        <w:trPr>
          <w:trHeight w:val="300"/>
        </w:trPr>
        <w:tc>
          <w:tcPr>
            <w:tcW w:w="1276" w:type="dxa"/>
            <w:tcBorders>
              <w:top w:val="single" w:sz="4" w:space="0" w:color="auto"/>
              <w:left w:val="nil"/>
              <w:bottom w:val="single" w:sz="4" w:space="0" w:color="auto"/>
              <w:right w:val="nil"/>
            </w:tcBorders>
            <w:shd w:val="clear" w:color="auto" w:fill="D9D9D9" w:themeFill="background1" w:themeFillShade="D9"/>
            <w:noWrap/>
            <w:vAlign w:val="center"/>
            <w:hideMark/>
          </w:tcPr>
          <w:p w14:paraId="4C15CF82"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Βέλγιο</w:t>
            </w:r>
          </w:p>
        </w:tc>
        <w:tc>
          <w:tcPr>
            <w:tcW w:w="1992" w:type="dxa"/>
            <w:tcBorders>
              <w:top w:val="single" w:sz="4" w:space="0" w:color="auto"/>
              <w:left w:val="nil"/>
              <w:bottom w:val="single" w:sz="4" w:space="0" w:color="auto"/>
              <w:right w:val="nil"/>
            </w:tcBorders>
            <w:shd w:val="clear" w:color="auto" w:fill="D9D9D9" w:themeFill="background1" w:themeFillShade="D9"/>
            <w:noWrap/>
            <w:vAlign w:val="center"/>
            <w:hideMark/>
          </w:tcPr>
          <w:p w14:paraId="7BC695ED"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single" w:sz="4" w:space="0" w:color="auto"/>
              <w:left w:val="nil"/>
              <w:bottom w:val="single" w:sz="4" w:space="0" w:color="auto"/>
              <w:right w:val="nil"/>
            </w:tcBorders>
            <w:shd w:val="clear" w:color="auto" w:fill="D9D9D9" w:themeFill="background1" w:themeFillShade="D9"/>
            <w:noWrap/>
            <w:vAlign w:val="center"/>
          </w:tcPr>
          <w:p w14:paraId="0C728DED" w14:textId="271B49A9" w:rsidR="00937716" w:rsidRPr="00E2595E" w:rsidRDefault="001134F0" w:rsidP="00683ACC">
            <w:pPr>
              <w:keepNext/>
              <w:spacing w:after="0" w:line="240" w:lineRule="auto"/>
              <w:jc w:val="center"/>
              <w:rPr>
                <w:rFonts w:ascii="Times New Roman" w:eastAsia="Times New Roman" w:hAnsi="Times New Roman" w:cs="Times New Roman"/>
                <w:b/>
                <w:noProof/>
                <w:color w:val="000000"/>
              </w:rPr>
            </w:pPr>
            <w:r>
              <w:rPr>
                <w:rFonts w:ascii="Wingdings" w:hAnsi="Wingdings"/>
                <w:b/>
                <w:noProof/>
                <w:color w:val="000000"/>
              </w:rPr>
              <w:t></w:t>
            </w:r>
          </w:p>
        </w:tc>
        <w:tc>
          <w:tcPr>
            <w:tcW w:w="1842" w:type="dxa"/>
            <w:tcBorders>
              <w:top w:val="single" w:sz="4" w:space="0" w:color="auto"/>
              <w:left w:val="nil"/>
              <w:bottom w:val="single" w:sz="4" w:space="0" w:color="auto"/>
              <w:right w:val="nil"/>
            </w:tcBorders>
            <w:shd w:val="clear" w:color="auto" w:fill="D9D9D9" w:themeFill="background1" w:themeFillShade="D9"/>
            <w:noWrap/>
            <w:vAlign w:val="center"/>
            <w:hideMark/>
          </w:tcPr>
          <w:p w14:paraId="21BB7512" w14:textId="0D462AD8" w:rsidR="00937716" w:rsidRPr="00E2595E" w:rsidRDefault="006325A0"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3BD47FDE" w14:textId="77777777" w:rsidTr="00540BB5">
        <w:trPr>
          <w:trHeight w:val="300"/>
        </w:trPr>
        <w:tc>
          <w:tcPr>
            <w:tcW w:w="1276" w:type="dxa"/>
            <w:tcBorders>
              <w:top w:val="nil"/>
              <w:left w:val="nil"/>
              <w:bottom w:val="single" w:sz="4" w:space="0" w:color="auto"/>
              <w:right w:val="nil"/>
            </w:tcBorders>
            <w:shd w:val="clear" w:color="auto" w:fill="auto"/>
            <w:noWrap/>
            <w:vAlign w:val="center"/>
            <w:hideMark/>
          </w:tcPr>
          <w:p w14:paraId="694A48BB"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 xml:space="preserve">Τσεχία </w:t>
            </w:r>
          </w:p>
        </w:tc>
        <w:tc>
          <w:tcPr>
            <w:tcW w:w="1992" w:type="dxa"/>
            <w:tcBorders>
              <w:top w:val="nil"/>
              <w:left w:val="nil"/>
              <w:bottom w:val="single" w:sz="4" w:space="0" w:color="auto"/>
              <w:right w:val="nil"/>
            </w:tcBorders>
            <w:shd w:val="clear" w:color="auto" w:fill="auto"/>
            <w:noWrap/>
            <w:vAlign w:val="center"/>
          </w:tcPr>
          <w:p w14:paraId="61D512A3"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auto"/>
            <w:noWrap/>
            <w:vAlign w:val="center"/>
          </w:tcPr>
          <w:p w14:paraId="4638D5D9" w14:textId="20294918" w:rsidR="00937716" w:rsidRPr="00E2595E" w:rsidRDefault="008E2E18"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auto"/>
            <w:noWrap/>
            <w:vAlign w:val="center"/>
            <w:hideMark/>
          </w:tcPr>
          <w:p w14:paraId="0D70CF7C" w14:textId="44A44141"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187F67" w:rsidRPr="00E2595E" w14:paraId="09EA575A"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19B2BDE1" w14:textId="672A14BE" w:rsidR="00187F67" w:rsidRPr="00E2595E" w:rsidRDefault="00187F67" w:rsidP="00683ACC">
            <w:pPr>
              <w:keepNext/>
              <w:spacing w:after="0" w:line="240" w:lineRule="auto"/>
              <w:rPr>
                <w:rFonts w:ascii="Times New Roman" w:hAnsi="Times New Roman" w:cs="Times New Roman"/>
                <w:b/>
                <w:noProof/>
              </w:rPr>
            </w:pPr>
            <w:r>
              <w:rPr>
                <w:rFonts w:ascii="Times New Roman" w:hAnsi="Times New Roman"/>
                <w:b/>
                <w:noProof/>
              </w:rPr>
              <w:t>Εσθονία</w:t>
            </w:r>
          </w:p>
        </w:tc>
        <w:tc>
          <w:tcPr>
            <w:tcW w:w="1992" w:type="dxa"/>
            <w:tcBorders>
              <w:top w:val="nil"/>
              <w:left w:val="nil"/>
              <w:bottom w:val="single" w:sz="4" w:space="0" w:color="auto"/>
              <w:right w:val="nil"/>
            </w:tcBorders>
            <w:shd w:val="clear" w:color="auto" w:fill="D9D9D9" w:themeFill="background1" w:themeFillShade="D9"/>
            <w:noWrap/>
            <w:vAlign w:val="center"/>
          </w:tcPr>
          <w:p w14:paraId="792B19AE" w14:textId="6BE81550" w:rsidR="00187F67" w:rsidRPr="00E2595E" w:rsidRDefault="00187F67" w:rsidP="00683ACC">
            <w:pPr>
              <w:keepNext/>
              <w:spacing w:after="0" w:line="240" w:lineRule="auto"/>
              <w:jc w:val="center"/>
              <w:rPr>
                <w:rFonts w:ascii="Times New Roman" w:eastAsia="Times New Roman" w:hAnsi="Times New Roman" w:cs="Times New Roman"/>
                <w:b/>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05852A37" w14:textId="6AE5ED11" w:rsidR="00187F67" w:rsidRPr="00E2595E" w:rsidRDefault="008E2E18" w:rsidP="00683ACC">
            <w:pPr>
              <w:keepNext/>
              <w:spacing w:after="0" w:line="240" w:lineRule="auto"/>
              <w:jc w:val="center"/>
              <w:rPr>
                <w:rFonts w:ascii="Times New Roman" w:eastAsia="Times New Roman" w:hAnsi="Times New Roman" w:cs="Times New Roman"/>
                <w:b/>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60B13926" w14:textId="7F9D8D38" w:rsidR="00187F67" w:rsidRPr="00E2595E" w:rsidRDefault="006325A0"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2E0DA060" w14:textId="77777777" w:rsidTr="00873B82">
        <w:trPr>
          <w:trHeight w:val="300"/>
        </w:trPr>
        <w:tc>
          <w:tcPr>
            <w:tcW w:w="1276" w:type="dxa"/>
            <w:tcBorders>
              <w:top w:val="nil"/>
              <w:left w:val="nil"/>
              <w:bottom w:val="single" w:sz="4" w:space="0" w:color="auto"/>
              <w:right w:val="nil"/>
            </w:tcBorders>
            <w:shd w:val="clear" w:color="auto" w:fill="FFFFFF" w:themeFill="background1"/>
            <w:noWrap/>
            <w:vAlign w:val="center"/>
            <w:hideMark/>
          </w:tcPr>
          <w:p w14:paraId="623A4DD9"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Ισπανία</w:t>
            </w:r>
          </w:p>
        </w:tc>
        <w:tc>
          <w:tcPr>
            <w:tcW w:w="1992" w:type="dxa"/>
            <w:tcBorders>
              <w:top w:val="nil"/>
              <w:left w:val="nil"/>
              <w:bottom w:val="single" w:sz="4" w:space="0" w:color="auto"/>
              <w:right w:val="nil"/>
            </w:tcBorders>
            <w:shd w:val="clear" w:color="auto" w:fill="FFFFFF" w:themeFill="background1"/>
            <w:noWrap/>
            <w:vAlign w:val="center"/>
          </w:tcPr>
          <w:p w14:paraId="71C974BE"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FFFFFF" w:themeFill="background1"/>
            <w:noWrap/>
            <w:vAlign w:val="center"/>
          </w:tcPr>
          <w:p w14:paraId="589080FA" w14:textId="11C48CBB" w:rsidR="00937716" w:rsidRPr="00E2595E" w:rsidRDefault="008E2E18"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FFFFFF" w:themeFill="background1"/>
            <w:noWrap/>
            <w:vAlign w:val="center"/>
          </w:tcPr>
          <w:p w14:paraId="3AB0DCA6" w14:textId="50D14E7F" w:rsidR="00937716" w:rsidRPr="00E2595E" w:rsidRDefault="006325A0"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1165D177"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hideMark/>
          </w:tcPr>
          <w:p w14:paraId="5BCE5512"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Γαλλία</w:t>
            </w:r>
          </w:p>
        </w:tc>
        <w:tc>
          <w:tcPr>
            <w:tcW w:w="1992" w:type="dxa"/>
            <w:tcBorders>
              <w:top w:val="nil"/>
              <w:left w:val="nil"/>
              <w:bottom w:val="single" w:sz="4" w:space="0" w:color="auto"/>
              <w:right w:val="nil"/>
            </w:tcBorders>
            <w:shd w:val="clear" w:color="auto" w:fill="D9D9D9" w:themeFill="background1" w:themeFillShade="D9"/>
            <w:noWrap/>
            <w:vAlign w:val="center"/>
          </w:tcPr>
          <w:p w14:paraId="15A27759"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14C942B6" w14:textId="230A8F60" w:rsidR="00937716" w:rsidRPr="00E2595E" w:rsidRDefault="00832BD5" w:rsidP="00683ACC">
            <w:pPr>
              <w:keepNext/>
              <w:spacing w:after="0" w:line="240" w:lineRule="auto"/>
              <w:jc w:val="center"/>
              <w:rPr>
                <w:rFonts w:ascii="Times New Roman" w:eastAsia="Times New Roman" w:hAnsi="Times New Roman" w:cs="Times New Roman"/>
                <w:b/>
                <w:noProof/>
                <w:color w:val="000000"/>
              </w:rPr>
            </w:pPr>
            <w:r>
              <w:rPr>
                <w:rFonts w:ascii="Wingdings" w:hAnsi="Wingdings"/>
                <w:b/>
                <w:noProof/>
                <w:color w:val="000000"/>
              </w:rPr>
              <w:t></w:t>
            </w:r>
            <w:bookmarkStart w:id="5" w:name="_Ref167317069"/>
            <w:r>
              <w:rPr>
                <w:rStyle w:val="FootnoteReference"/>
                <w:rFonts w:eastAsiaTheme="minorHAnsi"/>
                <w:b/>
                <w:noProof/>
                <w:color w:val="000000"/>
                <w:lang w:val="en-IE"/>
              </w:rPr>
              <w:footnoteReference w:id="18"/>
            </w:r>
            <w:bookmarkEnd w:id="5"/>
          </w:p>
        </w:tc>
        <w:tc>
          <w:tcPr>
            <w:tcW w:w="1842" w:type="dxa"/>
            <w:tcBorders>
              <w:top w:val="nil"/>
              <w:left w:val="nil"/>
              <w:bottom w:val="single" w:sz="4" w:space="0" w:color="auto"/>
              <w:right w:val="nil"/>
            </w:tcBorders>
            <w:shd w:val="clear" w:color="auto" w:fill="D9D9D9" w:themeFill="background1" w:themeFillShade="D9"/>
            <w:noWrap/>
            <w:vAlign w:val="center"/>
          </w:tcPr>
          <w:p w14:paraId="08110E7F" w14:textId="77F0C994" w:rsidR="00937716" w:rsidRPr="00E2595E" w:rsidRDefault="006325A0" w:rsidP="001D388D">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0377C98B" w14:textId="77777777" w:rsidTr="00873B82">
        <w:trPr>
          <w:trHeight w:val="300"/>
        </w:trPr>
        <w:tc>
          <w:tcPr>
            <w:tcW w:w="1276" w:type="dxa"/>
            <w:tcBorders>
              <w:top w:val="nil"/>
              <w:left w:val="nil"/>
              <w:bottom w:val="single" w:sz="4" w:space="0" w:color="auto"/>
              <w:right w:val="nil"/>
            </w:tcBorders>
            <w:shd w:val="clear" w:color="auto" w:fill="FFFFFF" w:themeFill="background1"/>
            <w:noWrap/>
            <w:vAlign w:val="center"/>
            <w:hideMark/>
          </w:tcPr>
          <w:p w14:paraId="0A2185F8"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 xml:space="preserve">Ιταλία </w:t>
            </w:r>
          </w:p>
        </w:tc>
        <w:tc>
          <w:tcPr>
            <w:tcW w:w="1992" w:type="dxa"/>
            <w:tcBorders>
              <w:top w:val="nil"/>
              <w:left w:val="nil"/>
              <w:bottom w:val="single" w:sz="4" w:space="0" w:color="auto"/>
              <w:right w:val="nil"/>
            </w:tcBorders>
            <w:shd w:val="clear" w:color="auto" w:fill="FFFFFF" w:themeFill="background1"/>
            <w:noWrap/>
            <w:vAlign w:val="center"/>
          </w:tcPr>
          <w:p w14:paraId="431D365D"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FFFFFF" w:themeFill="background1"/>
            <w:noWrap/>
            <w:vAlign w:val="center"/>
          </w:tcPr>
          <w:p w14:paraId="52BB5B43" w14:textId="22F3611D" w:rsidR="00937716" w:rsidRPr="00E2595E" w:rsidRDefault="002274F9"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FFFFFF" w:themeFill="background1"/>
            <w:noWrap/>
            <w:vAlign w:val="center"/>
          </w:tcPr>
          <w:p w14:paraId="78A8EC22" w14:textId="07DA9BD3" w:rsidR="00937716" w:rsidRPr="00E2595E" w:rsidRDefault="006325A0"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3B60272D"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hideMark/>
          </w:tcPr>
          <w:p w14:paraId="4815D368"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 xml:space="preserve">Ουγγαρία </w:t>
            </w:r>
          </w:p>
        </w:tc>
        <w:tc>
          <w:tcPr>
            <w:tcW w:w="1992" w:type="dxa"/>
            <w:tcBorders>
              <w:top w:val="nil"/>
              <w:left w:val="nil"/>
              <w:bottom w:val="single" w:sz="4" w:space="0" w:color="auto"/>
              <w:right w:val="nil"/>
            </w:tcBorders>
            <w:shd w:val="clear" w:color="auto" w:fill="D9D9D9" w:themeFill="background1" w:themeFillShade="D9"/>
            <w:noWrap/>
            <w:vAlign w:val="center"/>
          </w:tcPr>
          <w:p w14:paraId="085C235D"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51C54D73" w14:textId="6DE15DEA" w:rsidR="00937716" w:rsidRPr="00E2595E" w:rsidRDefault="002274F9"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19390421" w14:textId="37543BF4" w:rsidR="00937716" w:rsidRPr="00E2595E" w:rsidRDefault="006325A0"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2F02C034" w14:textId="77777777" w:rsidTr="00540BB5">
        <w:trPr>
          <w:trHeight w:val="300"/>
        </w:trPr>
        <w:tc>
          <w:tcPr>
            <w:tcW w:w="1276" w:type="dxa"/>
            <w:tcBorders>
              <w:top w:val="nil"/>
              <w:left w:val="nil"/>
              <w:bottom w:val="single" w:sz="4" w:space="0" w:color="auto"/>
              <w:right w:val="nil"/>
            </w:tcBorders>
            <w:shd w:val="clear" w:color="auto" w:fill="auto"/>
            <w:noWrap/>
            <w:vAlign w:val="center"/>
            <w:hideMark/>
          </w:tcPr>
          <w:p w14:paraId="72CBC43C"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 xml:space="preserve">Μάλτα </w:t>
            </w:r>
          </w:p>
        </w:tc>
        <w:tc>
          <w:tcPr>
            <w:tcW w:w="1992" w:type="dxa"/>
            <w:tcBorders>
              <w:top w:val="nil"/>
              <w:left w:val="nil"/>
              <w:bottom w:val="single" w:sz="4" w:space="0" w:color="auto"/>
              <w:right w:val="nil"/>
            </w:tcBorders>
            <w:shd w:val="clear" w:color="auto" w:fill="auto"/>
            <w:noWrap/>
            <w:vAlign w:val="center"/>
          </w:tcPr>
          <w:p w14:paraId="0E34184D"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auto"/>
            <w:noWrap/>
            <w:vAlign w:val="center"/>
          </w:tcPr>
          <w:p w14:paraId="7F950807" w14:textId="79DCC5AD" w:rsidR="00937716" w:rsidRPr="00E2595E" w:rsidRDefault="002274F9"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auto"/>
            <w:noWrap/>
            <w:vAlign w:val="center"/>
          </w:tcPr>
          <w:p w14:paraId="1361EE61" w14:textId="3933F0B2"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937716" w:rsidRPr="00E2595E" w14:paraId="3562D795"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hideMark/>
          </w:tcPr>
          <w:p w14:paraId="179450E0" w14:textId="77777777" w:rsidR="00937716" w:rsidRPr="00E2595E" w:rsidRDefault="00937716" w:rsidP="00683ACC">
            <w:pPr>
              <w:keepNext/>
              <w:spacing w:after="0" w:line="240" w:lineRule="auto"/>
              <w:rPr>
                <w:rFonts w:ascii="Times New Roman" w:eastAsia="Times New Roman" w:hAnsi="Times New Roman" w:cs="Times New Roman"/>
                <w:b/>
                <w:noProof/>
                <w:color w:val="000000"/>
              </w:rPr>
            </w:pPr>
            <w:r>
              <w:rPr>
                <w:rFonts w:ascii="Times New Roman" w:hAnsi="Times New Roman"/>
                <w:b/>
                <w:noProof/>
              </w:rPr>
              <w:t xml:space="preserve">Πολωνία </w:t>
            </w:r>
          </w:p>
        </w:tc>
        <w:tc>
          <w:tcPr>
            <w:tcW w:w="1992" w:type="dxa"/>
            <w:tcBorders>
              <w:top w:val="nil"/>
              <w:left w:val="nil"/>
              <w:bottom w:val="single" w:sz="4" w:space="0" w:color="auto"/>
              <w:right w:val="nil"/>
            </w:tcBorders>
            <w:shd w:val="clear" w:color="auto" w:fill="D9D9D9" w:themeFill="background1" w:themeFillShade="D9"/>
            <w:noWrap/>
            <w:vAlign w:val="center"/>
          </w:tcPr>
          <w:p w14:paraId="2FEF6DE1" w14:textId="77777777"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0F5715AD" w14:textId="25987ECD" w:rsidR="00937716" w:rsidRPr="00E2595E" w:rsidRDefault="002274F9"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1AE74586" w14:textId="56ADF4C6" w:rsidR="00937716" w:rsidRPr="00E2595E" w:rsidRDefault="00937716" w:rsidP="00683ACC">
            <w:pPr>
              <w:keepNext/>
              <w:spacing w:after="0" w:line="240" w:lineRule="auto"/>
              <w:jc w:val="center"/>
              <w:rPr>
                <w:rFonts w:ascii="Times New Roman" w:eastAsia="Times New Roman" w:hAnsi="Times New Roman" w:cs="Times New Roman"/>
                <w:b/>
                <w:i/>
                <w:noProof/>
                <w:color w:val="000000"/>
              </w:rPr>
            </w:pPr>
            <w:r>
              <w:rPr>
                <w:rFonts w:ascii="Wingdings" w:hAnsi="Wingdings"/>
                <w:b/>
                <w:noProof/>
                <w:color w:val="000000"/>
              </w:rPr>
              <w:t></w:t>
            </w:r>
          </w:p>
        </w:tc>
      </w:tr>
      <w:tr w:rsidR="0019510E" w:rsidRPr="00E2595E" w14:paraId="3379E259"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77EF3C92" w14:textId="77777777" w:rsidR="0019510E" w:rsidRPr="00E2595E" w:rsidRDefault="0019510E" w:rsidP="00683ACC">
            <w:pPr>
              <w:keepNext/>
              <w:spacing w:after="0" w:line="240" w:lineRule="auto"/>
              <w:rPr>
                <w:rFonts w:ascii="Times New Roman" w:eastAsia="Times New Roman" w:hAnsi="Times New Roman" w:cs="Times New Roman"/>
                <w:b/>
                <w:noProof/>
              </w:rPr>
            </w:pPr>
            <w:r>
              <w:rPr>
                <w:rFonts w:ascii="Times New Roman" w:hAnsi="Times New Roman"/>
                <w:b/>
                <w:noProof/>
              </w:rPr>
              <w:t>Σλοβενία</w:t>
            </w:r>
          </w:p>
        </w:tc>
        <w:tc>
          <w:tcPr>
            <w:tcW w:w="1992" w:type="dxa"/>
            <w:tcBorders>
              <w:top w:val="nil"/>
              <w:left w:val="nil"/>
              <w:bottom w:val="single" w:sz="4" w:space="0" w:color="auto"/>
              <w:right w:val="nil"/>
            </w:tcBorders>
            <w:shd w:val="clear" w:color="auto" w:fill="auto"/>
            <w:noWrap/>
            <w:vAlign w:val="center"/>
          </w:tcPr>
          <w:p w14:paraId="2FF39BC9" w14:textId="77777777" w:rsidR="0019510E" w:rsidRPr="00E2595E" w:rsidRDefault="0019510E" w:rsidP="00683ACC">
            <w:pPr>
              <w:keepNext/>
              <w:spacing w:after="0" w:line="240" w:lineRule="auto"/>
              <w:jc w:val="center"/>
              <w:rPr>
                <w:rFonts w:ascii="Times New Roman" w:eastAsia="Times New Roman" w:hAnsi="Times New Roman" w:cs="Times New Roman"/>
                <w:i/>
                <w:noProof/>
              </w:rPr>
            </w:pPr>
            <w:r>
              <w:rPr>
                <w:rFonts w:ascii="Wingdings" w:hAnsi="Wingdings"/>
                <w:b/>
                <w:noProof/>
              </w:rPr>
              <w:t></w:t>
            </w:r>
          </w:p>
        </w:tc>
        <w:tc>
          <w:tcPr>
            <w:tcW w:w="3349" w:type="dxa"/>
            <w:tcBorders>
              <w:top w:val="nil"/>
              <w:left w:val="nil"/>
              <w:bottom w:val="single" w:sz="4" w:space="0" w:color="auto"/>
              <w:right w:val="nil"/>
            </w:tcBorders>
            <w:shd w:val="clear" w:color="auto" w:fill="auto"/>
            <w:noWrap/>
            <w:vAlign w:val="center"/>
          </w:tcPr>
          <w:p w14:paraId="2FAC337B" w14:textId="77777777" w:rsidR="0019510E" w:rsidRPr="00E2595E" w:rsidRDefault="0019510E" w:rsidP="00683ACC">
            <w:pPr>
              <w:keepNext/>
              <w:spacing w:after="0" w:line="240" w:lineRule="auto"/>
              <w:jc w:val="center"/>
              <w:rPr>
                <w:rFonts w:ascii="Times New Roman" w:eastAsia="Times New Roman" w:hAnsi="Times New Roman" w:cs="Times New Roman"/>
                <w:i/>
                <w:noProof/>
              </w:rPr>
            </w:pPr>
            <w:r>
              <w:rPr>
                <w:rFonts w:ascii="Wingdings" w:hAnsi="Wingdings"/>
                <w:b/>
                <w:noProof/>
              </w:rPr>
              <w:t></w:t>
            </w:r>
          </w:p>
        </w:tc>
        <w:tc>
          <w:tcPr>
            <w:tcW w:w="1842" w:type="dxa"/>
            <w:tcBorders>
              <w:top w:val="nil"/>
              <w:left w:val="nil"/>
              <w:bottom w:val="single" w:sz="4" w:space="0" w:color="auto"/>
              <w:right w:val="nil"/>
            </w:tcBorders>
            <w:shd w:val="clear" w:color="auto" w:fill="auto"/>
            <w:noWrap/>
            <w:vAlign w:val="center"/>
          </w:tcPr>
          <w:p w14:paraId="7C3FB7C4" w14:textId="77777777" w:rsidR="0019510E" w:rsidRPr="00E2595E" w:rsidRDefault="0019510E" w:rsidP="00683ACC">
            <w:pPr>
              <w:keepNext/>
              <w:spacing w:after="0" w:line="240" w:lineRule="auto"/>
              <w:jc w:val="center"/>
              <w:rPr>
                <w:rFonts w:ascii="Times New Roman" w:eastAsia="Times New Roman" w:hAnsi="Times New Roman" w:cs="Times New Roman"/>
                <w:i/>
                <w:noProof/>
              </w:rPr>
            </w:pPr>
            <w:r>
              <w:rPr>
                <w:rFonts w:ascii="Wingdings" w:hAnsi="Wingdings"/>
                <w:b/>
                <w:noProof/>
              </w:rPr>
              <w:t></w:t>
            </w:r>
          </w:p>
        </w:tc>
      </w:tr>
      <w:tr w:rsidR="00937716" w:rsidRPr="00E2595E" w14:paraId="61EDC744"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hideMark/>
          </w:tcPr>
          <w:p w14:paraId="3A4563CD" w14:textId="77777777" w:rsidR="00937716" w:rsidRPr="00E2595E" w:rsidRDefault="00937716" w:rsidP="00683ACC">
            <w:pPr>
              <w:keepNext/>
              <w:spacing w:after="0" w:line="240" w:lineRule="auto"/>
              <w:rPr>
                <w:rFonts w:ascii="Times New Roman" w:hAnsi="Times New Roman" w:cs="Times New Roman"/>
                <w:b/>
                <w:noProof/>
              </w:rPr>
            </w:pPr>
            <w:r>
              <w:rPr>
                <w:rFonts w:ascii="Times New Roman" w:hAnsi="Times New Roman"/>
                <w:b/>
                <w:noProof/>
              </w:rPr>
              <w:t>Σλοβακία</w:t>
            </w:r>
          </w:p>
        </w:tc>
        <w:tc>
          <w:tcPr>
            <w:tcW w:w="1992" w:type="dxa"/>
            <w:tcBorders>
              <w:top w:val="nil"/>
              <w:left w:val="nil"/>
              <w:bottom w:val="single" w:sz="4" w:space="0" w:color="auto"/>
              <w:right w:val="nil"/>
            </w:tcBorders>
            <w:shd w:val="clear" w:color="auto" w:fill="D9D9D9" w:themeFill="background1" w:themeFillShade="D9"/>
            <w:noWrap/>
            <w:vAlign w:val="center"/>
          </w:tcPr>
          <w:p w14:paraId="13127682" w14:textId="77777777" w:rsidR="00937716" w:rsidRPr="00E2595E" w:rsidRDefault="00937716" w:rsidP="00683ACC">
            <w:pPr>
              <w:keepNext/>
              <w:spacing w:after="0" w:line="240" w:lineRule="auto"/>
              <w:jc w:val="center"/>
              <w:rPr>
                <w:rFonts w:ascii="Wingdings" w:eastAsia="Wingdings" w:hAnsi="Wingdings" w:cs="Wingdings"/>
                <w:b/>
                <w:noProof/>
                <w:color w:val="000000"/>
              </w:rPr>
            </w:pPr>
            <w:r>
              <w:rPr>
                <w:rFonts w:ascii="Wingdings" w:hAnsi="Wingdings"/>
                <w:b/>
                <w:noProof/>
                <w:color w:val="00000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46591432" w14:textId="038CE8CF" w:rsidR="00937716" w:rsidRPr="00E2595E" w:rsidRDefault="008E2E18" w:rsidP="00683ACC">
            <w:pPr>
              <w:keepNext/>
              <w:spacing w:after="0" w:line="240" w:lineRule="auto"/>
              <w:jc w:val="center"/>
              <w:rPr>
                <w:rFonts w:ascii="Wingdings" w:eastAsia="Wingdings" w:hAnsi="Wingdings" w:cs="Wingdings"/>
                <w:b/>
                <w:noProof/>
                <w:color w:val="000000"/>
              </w:rPr>
            </w:pPr>
            <w:r>
              <w:rPr>
                <w:rFonts w:ascii="Wingdings" w:hAnsi="Wingdings"/>
                <w:b/>
                <w:noProof/>
                <w:color w:val="00000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62689A21" w14:textId="6F11FAEB" w:rsidR="00937716" w:rsidRPr="00E2595E" w:rsidRDefault="00937716" w:rsidP="00683ACC">
            <w:pPr>
              <w:keepNext/>
              <w:spacing w:after="0" w:line="240" w:lineRule="auto"/>
              <w:jc w:val="center"/>
              <w:rPr>
                <w:rFonts w:ascii="Wingdings" w:eastAsia="Wingdings" w:hAnsi="Wingdings" w:cs="Wingdings"/>
                <w:b/>
                <w:noProof/>
                <w:color w:val="000000"/>
              </w:rPr>
            </w:pPr>
            <w:r>
              <w:rPr>
                <w:rFonts w:ascii="Wingdings" w:hAnsi="Wingdings"/>
                <w:b/>
                <w:noProof/>
                <w:color w:val="000000"/>
              </w:rPr>
              <w:t></w:t>
            </w:r>
          </w:p>
        </w:tc>
      </w:tr>
      <w:tr w:rsidR="00B548B2" w:rsidRPr="00E2595E" w14:paraId="64197B69"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5BCFDFE2" w14:textId="171CA478" w:rsidR="008E2E18" w:rsidRPr="00E2595E" w:rsidRDefault="008E2E18" w:rsidP="00683ACC">
            <w:pPr>
              <w:keepNext/>
              <w:spacing w:after="0" w:line="240" w:lineRule="auto"/>
              <w:rPr>
                <w:rFonts w:ascii="Times New Roman" w:hAnsi="Times New Roman" w:cs="Times New Roman"/>
                <w:b/>
                <w:noProof/>
              </w:rPr>
            </w:pPr>
            <w:r>
              <w:rPr>
                <w:rFonts w:ascii="Times New Roman" w:hAnsi="Times New Roman"/>
                <w:b/>
                <w:noProof/>
              </w:rPr>
              <w:t>Φινλανδία</w:t>
            </w:r>
          </w:p>
        </w:tc>
        <w:tc>
          <w:tcPr>
            <w:tcW w:w="1992" w:type="dxa"/>
            <w:tcBorders>
              <w:top w:val="nil"/>
              <w:left w:val="nil"/>
              <w:bottom w:val="single" w:sz="4" w:space="0" w:color="auto"/>
              <w:right w:val="nil"/>
            </w:tcBorders>
            <w:shd w:val="clear" w:color="auto" w:fill="auto"/>
            <w:noWrap/>
            <w:vAlign w:val="center"/>
          </w:tcPr>
          <w:p w14:paraId="50CCD8E9" w14:textId="6D5E3DA6" w:rsidR="008E2E18" w:rsidRPr="00E2595E" w:rsidRDefault="008E2E18" w:rsidP="00683ACC">
            <w:pPr>
              <w:keepNext/>
              <w:spacing w:after="0" w:line="240" w:lineRule="auto"/>
              <w:jc w:val="center"/>
              <w:rPr>
                <w:rFonts w:ascii="Times New Roman" w:eastAsia="Times New Roman" w:hAnsi="Times New Roman" w:cs="Times New Roman"/>
                <w:b/>
                <w:noProof/>
              </w:rPr>
            </w:pPr>
            <w:r>
              <w:rPr>
                <w:rFonts w:ascii="Wingdings" w:hAnsi="Wingdings"/>
                <w:b/>
                <w:noProof/>
              </w:rPr>
              <w:t></w:t>
            </w:r>
          </w:p>
        </w:tc>
        <w:tc>
          <w:tcPr>
            <w:tcW w:w="3349" w:type="dxa"/>
            <w:tcBorders>
              <w:top w:val="nil"/>
              <w:left w:val="nil"/>
              <w:bottom w:val="single" w:sz="4" w:space="0" w:color="auto"/>
              <w:right w:val="nil"/>
            </w:tcBorders>
            <w:shd w:val="clear" w:color="auto" w:fill="auto"/>
            <w:noWrap/>
            <w:vAlign w:val="center"/>
          </w:tcPr>
          <w:p w14:paraId="5DAA4D7E" w14:textId="41C3ACF8" w:rsidR="008E2E18" w:rsidRPr="00E2595E" w:rsidRDefault="008E2E18" w:rsidP="00683ACC">
            <w:pPr>
              <w:keepNext/>
              <w:spacing w:after="0" w:line="240" w:lineRule="auto"/>
              <w:jc w:val="center"/>
              <w:rPr>
                <w:rFonts w:ascii="Times New Roman" w:eastAsia="Times New Roman" w:hAnsi="Times New Roman" w:cs="Times New Roman"/>
                <w:b/>
                <w:noProof/>
              </w:rPr>
            </w:pPr>
            <w:r>
              <w:rPr>
                <w:rFonts w:ascii="Wingdings" w:hAnsi="Wingdings"/>
                <w:b/>
                <w:noProof/>
              </w:rPr>
              <w:t></w:t>
            </w:r>
          </w:p>
        </w:tc>
        <w:tc>
          <w:tcPr>
            <w:tcW w:w="1842" w:type="dxa"/>
            <w:tcBorders>
              <w:top w:val="nil"/>
              <w:left w:val="nil"/>
              <w:bottom w:val="single" w:sz="4" w:space="0" w:color="auto"/>
              <w:right w:val="nil"/>
            </w:tcBorders>
            <w:shd w:val="clear" w:color="auto" w:fill="auto"/>
            <w:noWrap/>
            <w:vAlign w:val="center"/>
          </w:tcPr>
          <w:p w14:paraId="696BB55C" w14:textId="6B0EDB99" w:rsidR="008E2E18" w:rsidRPr="00E2595E" w:rsidRDefault="0098224D" w:rsidP="00683ACC">
            <w:pPr>
              <w:keepNext/>
              <w:spacing w:after="0" w:line="240" w:lineRule="auto"/>
              <w:jc w:val="center"/>
              <w:rPr>
                <w:rFonts w:ascii="Times New Roman" w:eastAsia="Times New Roman" w:hAnsi="Times New Roman" w:cs="Times New Roman"/>
                <w:b/>
                <w:noProof/>
              </w:rPr>
            </w:pPr>
            <w:r>
              <w:rPr>
                <w:rFonts w:ascii="Wingdings" w:hAnsi="Wingdings"/>
                <w:b/>
                <w:noProof/>
              </w:rPr>
              <w:t></w:t>
            </w:r>
          </w:p>
        </w:tc>
      </w:tr>
      <w:tr w:rsidR="00187F67" w:rsidRPr="00E2595E" w14:paraId="2534402B" w14:textId="77777777" w:rsidTr="00540BB5">
        <w:trPr>
          <w:trHeight w:val="387"/>
        </w:trPr>
        <w:tc>
          <w:tcPr>
            <w:tcW w:w="6617" w:type="dxa"/>
            <w:gridSpan w:val="3"/>
            <w:tcBorders>
              <w:top w:val="single" w:sz="4" w:space="0" w:color="auto"/>
              <w:left w:val="nil"/>
              <w:bottom w:val="single" w:sz="4" w:space="0" w:color="auto"/>
              <w:right w:val="nil"/>
            </w:tcBorders>
            <w:shd w:val="clear" w:color="auto" w:fill="auto"/>
            <w:noWrap/>
            <w:vAlign w:val="bottom"/>
            <w:hideMark/>
          </w:tcPr>
          <w:p w14:paraId="3DA3D1F6" w14:textId="4B6F3CD8" w:rsidR="00187F67" w:rsidRPr="00794247" w:rsidRDefault="00187F67" w:rsidP="00683ACC">
            <w:pPr>
              <w:keepNext/>
              <w:spacing w:before="120" w:after="60" w:line="240" w:lineRule="auto"/>
              <w:rPr>
                <w:rFonts w:ascii="Times New Roman" w:eastAsia="Times New Roman" w:hAnsi="Times New Roman" w:cs="Times New Roman"/>
                <w:i/>
                <w:iCs/>
                <w:noProof/>
                <w:color w:val="000000"/>
                <w:sz w:val="20"/>
                <w:szCs w:val="20"/>
              </w:rPr>
            </w:pPr>
            <w:r>
              <w:rPr>
                <w:rFonts w:ascii="Times New Roman" w:hAnsi="Times New Roman"/>
                <w:i/>
                <w:noProof/>
                <w:color w:val="000000"/>
                <w:sz w:val="20"/>
              </w:rPr>
              <w:t>κράτη μέλη που δεν εξετάζονται στην παρούσα έκθεση</w:t>
            </w:r>
          </w:p>
        </w:tc>
        <w:tc>
          <w:tcPr>
            <w:tcW w:w="1842" w:type="dxa"/>
            <w:tcBorders>
              <w:top w:val="nil"/>
              <w:left w:val="nil"/>
              <w:bottom w:val="single" w:sz="4" w:space="0" w:color="auto"/>
              <w:right w:val="nil"/>
            </w:tcBorders>
            <w:shd w:val="clear" w:color="auto" w:fill="auto"/>
            <w:noWrap/>
            <w:vAlign w:val="bottom"/>
          </w:tcPr>
          <w:p w14:paraId="50BAB165" w14:textId="77777777" w:rsidR="00187F67" w:rsidRPr="005E7962" w:rsidRDefault="00187F67" w:rsidP="00683ACC">
            <w:pPr>
              <w:keepNext/>
              <w:spacing w:after="0" w:line="240" w:lineRule="auto"/>
              <w:rPr>
                <w:rFonts w:ascii="Times New Roman" w:eastAsia="Times New Roman" w:hAnsi="Times New Roman" w:cs="Times New Roman"/>
                <w:noProof/>
                <w:color w:val="000000"/>
                <w:sz w:val="20"/>
                <w:szCs w:val="20"/>
                <w:lang w:eastAsia="en-IE"/>
              </w:rPr>
            </w:pPr>
          </w:p>
        </w:tc>
      </w:tr>
      <w:tr w:rsidR="00EF4C0A" w:rsidRPr="00E2595E" w14:paraId="5FE2016B"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0CEDC11E" w14:textId="1A44EA43" w:rsidR="00EF4C0A" w:rsidRPr="00794247" w:rsidRDefault="00EF4C0A" w:rsidP="00683ACC">
            <w:pPr>
              <w:keepNext/>
              <w:spacing w:after="0" w:line="240" w:lineRule="auto"/>
              <w:rPr>
                <w:rFonts w:ascii="Times New Roman" w:eastAsia="Times New Roman" w:hAnsi="Times New Roman" w:cs="Times New Roman"/>
                <w:b/>
                <w:bCs/>
                <w:noProof/>
                <w:color w:val="000000"/>
                <w:sz w:val="20"/>
                <w:szCs w:val="20"/>
              </w:rPr>
            </w:pPr>
            <w:r>
              <w:rPr>
                <w:rFonts w:ascii="Times New Roman" w:hAnsi="Times New Roman"/>
                <w:noProof/>
                <w:color w:val="000000"/>
                <w:sz w:val="20"/>
              </w:rPr>
              <w:t>Βουλγαρία</w:t>
            </w:r>
          </w:p>
        </w:tc>
        <w:tc>
          <w:tcPr>
            <w:tcW w:w="1992" w:type="dxa"/>
            <w:tcBorders>
              <w:top w:val="nil"/>
              <w:left w:val="nil"/>
              <w:bottom w:val="single" w:sz="4" w:space="0" w:color="auto"/>
              <w:right w:val="nil"/>
            </w:tcBorders>
            <w:shd w:val="clear" w:color="auto" w:fill="D9D9D9" w:themeFill="background1" w:themeFillShade="D9"/>
            <w:noWrap/>
            <w:vAlign w:val="center"/>
          </w:tcPr>
          <w:p w14:paraId="181644A2" w14:textId="1E99CC4F"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2953C617" w14:textId="54C5EB8B"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0DE3312B" w14:textId="5FED3E4F"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6009EC24" w14:textId="77777777" w:rsidTr="00540BB5">
        <w:trPr>
          <w:trHeight w:val="300"/>
        </w:trPr>
        <w:tc>
          <w:tcPr>
            <w:tcW w:w="1276" w:type="dxa"/>
            <w:tcBorders>
              <w:top w:val="nil"/>
              <w:left w:val="nil"/>
              <w:bottom w:val="single" w:sz="4" w:space="0" w:color="auto"/>
              <w:right w:val="nil"/>
            </w:tcBorders>
            <w:shd w:val="clear" w:color="auto" w:fill="auto"/>
            <w:noWrap/>
            <w:vAlign w:val="center"/>
            <w:hideMark/>
          </w:tcPr>
          <w:p w14:paraId="6AD382E9" w14:textId="0E0F7A5A"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Δανία</w:t>
            </w:r>
          </w:p>
        </w:tc>
        <w:tc>
          <w:tcPr>
            <w:tcW w:w="1992" w:type="dxa"/>
            <w:tcBorders>
              <w:top w:val="nil"/>
              <w:left w:val="nil"/>
              <w:bottom w:val="single" w:sz="4" w:space="0" w:color="auto"/>
              <w:right w:val="nil"/>
            </w:tcBorders>
            <w:shd w:val="clear" w:color="auto" w:fill="auto"/>
            <w:noWrap/>
            <w:vAlign w:val="center"/>
          </w:tcPr>
          <w:p w14:paraId="4F520F91" w14:textId="7D654613"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1A2C0F4F" w14:textId="47EA1FFE"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2754172D" w14:textId="51B39EEF"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r>
      <w:tr w:rsidR="00EF4C0A" w:rsidRPr="00E2595E" w14:paraId="25A4B04B"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7F23F6E7" w14:textId="34208959"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Γερμανία</w:t>
            </w:r>
          </w:p>
        </w:tc>
        <w:tc>
          <w:tcPr>
            <w:tcW w:w="1992" w:type="dxa"/>
            <w:tcBorders>
              <w:top w:val="nil"/>
              <w:left w:val="nil"/>
              <w:bottom w:val="single" w:sz="4" w:space="0" w:color="auto"/>
              <w:right w:val="nil"/>
            </w:tcBorders>
            <w:shd w:val="clear" w:color="auto" w:fill="D9D9D9" w:themeFill="background1" w:themeFillShade="D9"/>
            <w:noWrap/>
            <w:vAlign w:val="center"/>
          </w:tcPr>
          <w:p w14:paraId="21C3F288" w14:textId="58CD9B9E"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753C138F" w14:textId="7BDA2DB5"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1CC75215" w14:textId="7E7FF013"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6934E066"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7C5D504E" w14:textId="4396FB8E"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Ιρλανδία</w:t>
            </w:r>
          </w:p>
        </w:tc>
        <w:tc>
          <w:tcPr>
            <w:tcW w:w="1992" w:type="dxa"/>
            <w:tcBorders>
              <w:top w:val="nil"/>
              <w:left w:val="nil"/>
              <w:bottom w:val="single" w:sz="4" w:space="0" w:color="auto"/>
              <w:right w:val="nil"/>
            </w:tcBorders>
            <w:shd w:val="clear" w:color="auto" w:fill="auto"/>
            <w:noWrap/>
            <w:vAlign w:val="center"/>
          </w:tcPr>
          <w:p w14:paraId="22DEAE2F" w14:textId="78470062"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53CCFFA3" w14:textId="7C18822B"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7A7803C0" w14:textId="7F22F44C"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1AFF76CD"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29FE54BB" w14:textId="11F3E37D"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Ελλάδα</w:t>
            </w:r>
          </w:p>
        </w:tc>
        <w:tc>
          <w:tcPr>
            <w:tcW w:w="1992" w:type="dxa"/>
            <w:tcBorders>
              <w:top w:val="nil"/>
              <w:left w:val="nil"/>
              <w:bottom w:val="single" w:sz="4" w:space="0" w:color="auto"/>
              <w:right w:val="nil"/>
            </w:tcBorders>
            <w:shd w:val="clear" w:color="auto" w:fill="D9D9D9" w:themeFill="background1" w:themeFillShade="D9"/>
            <w:noWrap/>
            <w:vAlign w:val="center"/>
          </w:tcPr>
          <w:p w14:paraId="1D055517" w14:textId="1925387F"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709E0DF2" w14:textId="5346B0EB"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7A89FEC3" w14:textId="3FB1D68C"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03A4290C"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0667A62A" w14:textId="154E2138"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Κροατία</w:t>
            </w:r>
          </w:p>
        </w:tc>
        <w:tc>
          <w:tcPr>
            <w:tcW w:w="1992" w:type="dxa"/>
            <w:tcBorders>
              <w:top w:val="nil"/>
              <w:left w:val="nil"/>
              <w:bottom w:val="single" w:sz="4" w:space="0" w:color="auto"/>
              <w:right w:val="nil"/>
            </w:tcBorders>
            <w:shd w:val="clear" w:color="auto" w:fill="auto"/>
            <w:noWrap/>
            <w:vAlign w:val="center"/>
          </w:tcPr>
          <w:p w14:paraId="515E4BE9" w14:textId="4EAB83E9"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2992FB65" w14:textId="59FE069B"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06C30BB1" w14:textId="411F3FC2"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1075C6E3"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4BC7571F" w14:textId="68321766"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Κύπρος</w:t>
            </w:r>
          </w:p>
        </w:tc>
        <w:tc>
          <w:tcPr>
            <w:tcW w:w="1992" w:type="dxa"/>
            <w:tcBorders>
              <w:top w:val="nil"/>
              <w:left w:val="nil"/>
              <w:bottom w:val="single" w:sz="4" w:space="0" w:color="auto"/>
              <w:right w:val="nil"/>
            </w:tcBorders>
            <w:shd w:val="clear" w:color="auto" w:fill="D9D9D9" w:themeFill="background1" w:themeFillShade="D9"/>
            <w:noWrap/>
            <w:vAlign w:val="center"/>
          </w:tcPr>
          <w:p w14:paraId="39662F15" w14:textId="3414CE20"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202904E8" w14:textId="01503CFB"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60AE0EAC" w14:textId="25838C49"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0BEC762C"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115BA33F" w14:textId="60E81284"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Λετονία</w:t>
            </w:r>
          </w:p>
        </w:tc>
        <w:tc>
          <w:tcPr>
            <w:tcW w:w="1992" w:type="dxa"/>
            <w:tcBorders>
              <w:top w:val="nil"/>
              <w:left w:val="nil"/>
              <w:bottom w:val="single" w:sz="4" w:space="0" w:color="auto"/>
              <w:right w:val="nil"/>
            </w:tcBorders>
            <w:shd w:val="clear" w:color="auto" w:fill="auto"/>
            <w:noWrap/>
            <w:vAlign w:val="center"/>
          </w:tcPr>
          <w:p w14:paraId="039264E2" w14:textId="3DD57008"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2234E009" w14:textId="7E402666"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61837A01" w14:textId="6AB8E6DF"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r>
      <w:tr w:rsidR="00EF4C0A" w:rsidRPr="00E2595E" w14:paraId="4697B23D"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097E287D" w14:textId="7E5032EE"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Λιθουανία</w:t>
            </w:r>
          </w:p>
        </w:tc>
        <w:tc>
          <w:tcPr>
            <w:tcW w:w="1992" w:type="dxa"/>
            <w:tcBorders>
              <w:top w:val="nil"/>
              <w:left w:val="nil"/>
              <w:bottom w:val="single" w:sz="4" w:space="0" w:color="auto"/>
              <w:right w:val="nil"/>
            </w:tcBorders>
            <w:shd w:val="clear" w:color="auto" w:fill="D9D9D9" w:themeFill="background1" w:themeFillShade="D9"/>
            <w:noWrap/>
            <w:vAlign w:val="center"/>
          </w:tcPr>
          <w:p w14:paraId="47E40738" w14:textId="5A5032CC"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11F5D7F2" w14:textId="7E0E0040"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1F6A2845" w14:textId="3F078ED7"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0DC220FD"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449D9977" w14:textId="6881DDC3" w:rsidR="00EF4C0A" w:rsidRPr="00794247" w:rsidRDefault="00EF4C0A" w:rsidP="00683ACC">
            <w:pPr>
              <w:keepNext/>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Λουξεμβούργο</w:t>
            </w:r>
          </w:p>
        </w:tc>
        <w:tc>
          <w:tcPr>
            <w:tcW w:w="1992" w:type="dxa"/>
            <w:tcBorders>
              <w:top w:val="nil"/>
              <w:left w:val="nil"/>
              <w:bottom w:val="single" w:sz="4" w:space="0" w:color="auto"/>
              <w:right w:val="nil"/>
            </w:tcBorders>
            <w:shd w:val="clear" w:color="auto" w:fill="auto"/>
            <w:noWrap/>
            <w:vAlign w:val="center"/>
          </w:tcPr>
          <w:p w14:paraId="6D1532C2" w14:textId="4F5A10DA"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61493615" w14:textId="21D15EDC" w:rsidR="00EF4C0A" w:rsidRPr="00794247" w:rsidRDefault="00CF30D6"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50ACBC56" w14:textId="38218721"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r>
      <w:tr w:rsidR="00EF4C0A" w:rsidRPr="00E2595E" w14:paraId="51600878"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6B78330B" w14:textId="20ECD2B9"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Κάτω Χώρες</w:t>
            </w:r>
          </w:p>
        </w:tc>
        <w:tc>
          <w:tcPr>
            <w:tcW w:w="1992" w:type="dxa"/>
            <w:tcBorders>
              <w:top w:val="nil"/>
              <w:left w:val="nil"/>
              <w:bottom w:val="single" w:sz="4" w:space="0" w:color="auto"/>
              <w:right w:val="nil"/>
            </w:tcBorders>
            <w:shd w:val="clear" w:color="auto" w:fill="D9D9D9" w:themeFill="background1" w:themeFillShade="D9"/>
            <w:noWrap/>
            <w:vAlign w:val="center"/>
          </w:tcPr>
          <w:p w14:paraId="7D4B227B" w14:textId="4D4564EB"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4676C1B1" w14:textId="1D98396C"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54F18AA0" w14:textId="4AA70FF1"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6B609C90"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6C31D675" w14:textId="0140E818"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Αυστρία</w:t>
            </w:r>
          </w:p>
        </w:tc>
        <w:tc>
          <w:tcPr>
            <w:tcW w:w="1992" w:type="dxa"/>
            <w:tcBorders>
              <w:top w:val="nil"/>
              <w:left w:val="nil"/>
              <w:bottom w:val="single" w:sz="4" w:space="0" w:color="auto"/>
              <w:right w:val="nil"/>
            </w:tcBorders>
            <w:shd w:val="clear" w:color="auto" w:fill="auto"/>
            <w:noWrap/>
            <w:vAlign w:val="center"/>
          </w:tcPr>
          <w:p w14:paraId="4EFD31CD" w14:textId="7A3D7085"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626C6382" w14:textId="73DFA4BF"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73324A7D" w14:textId="3F3E863D" w:rsidR="00EF4C0A" w:rsidRPr="00794247" w:rsidRDefault="00EF4C0A" w:rsidP="00683ACC">
            <w:pPr>
              <w:keepNext/>
              <w:spacing w:after="0" w:line="240" w:lineRule="auto"/>
              <w:jc w:val="center"/>
              <w:rPr>
                <w:rFonts w:ascii="Times New Roman" w:eastAsia="Times New Roman" w:hAnsi="Times New Roman" w:cs="Times New Roman"/>
                <w:i/>
                <w:noProof/>
                <w:color w:val="000000"/>
                <w:sz w:val="20"/>
                <w:szCs w:val="20"/>
              </w:rPr>
            </w:pPr>
            <w:r>
              <w:rPr>
                <w:rFonts w:ascii="Wingdings" w:hAnsi="Wingdings"/>
                <w:b/>
                <w:noProof/>
                <w:color w:val="000000"/>
                <w:sz w:val="20"/>
              </w:rPr>
              <w:t></w:t>
            </w:r>
          </w:p>
        </w:tc>
      </w:tr>
      <w:tr w:rsidR="00EF4C0A" w:rsidRPr="00E2595E" w14:paraId="39DF1420"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74632397" w14:textId="084B03CE"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Πορτογαλία</w:t>
            </w:r>
          </w:p>
        </w:tc>
        <w:tc>
          <w:tcPr>
            <w:tcW w:w="1992" w:type="dxa"/>
            <w:tcBorders>
              <w:top w:val="nil"/>
              <w:left w:val="nil"/>
              <w:bottom w:val="single" w:sz="4" w:space="0" w:color="auto"/>
              <w:right w:val="nil"/>
            </w:tcBorders>
            <w:shd w:val="clear" w:color="auto" w:fill="D9D9D9" w:themeFill="background1" w:themeFillShade="D9"/>
            <w:noWrap/>
            <w:vAlign w:val="center"/>
          </w:tcPr>
          <w:p w14:paraId="1A594B9F" w14:textId="2212A6C3"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6EB6DEA9" w14:textId="65C01C49"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7888F9AB" w14:textId="3D41B583"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B525B5" w:rsidRPr="00E2595E" w14:paraId="06CC79ED" w14:textId="77777777" w:rsidTr="00540BB5">
        <w:trPr>
          <w:trHeight w:val="300"/>
        </w:trPr>
        <w:tc>
          <w:tcPr>
            <w:tcW w:w="1276" w:type="dxa"/>
            <w:tcBorders>
              <w:top w:val="nil"/>
              <w:left w:val="nil"/>
              <w:bottom w:val="single" w:sz="4" w:space="0" w:color="auto"/>
              <w:right w:val="nil"/>
            </w:tcBorders>
            <w:shd w:val="clear" w:color="auto" w:fill="auto"/>
            <w:noWrap/>
            <w:vAlign w:val="center"/>
          </w:tcPr>
          <w:p w14:paraId="0B025893" w14:textId="0605C6D1" w:rsidR="00B525B5" w:rsidRPr="00794247" w:rsidRDefault="00B525B5" w:rsidP="0031663B">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Ρουμανία (</w:t>
            </w:r>
            <w:r>
              <w:rPr>
                <w:rFonts w:ascii="Times New Roman" w:hAnsi="Times New Roman"/>
                <w:noProof/>
                <w:color w:val="000000"/>
                <w:sz w:val="20"/>
                <w:vertAlign w:val="superscript"/>
              </w:rPr>
              <w:t>*</w:t>
            </w:r>
            <w:r>
              <w:rPr>
                <w:rFonts w:ascii="Times New Roman" w:hAnsi="Times New Roman"/>
                <w:noProof/>
                <w:color w:val="000000"/>
                <w:sz w:val="20"/>
              </w:rPr>
              <w:t>)</w:t>
            </w:r>
          </w:p>
        </w:tc>
        <w:tc>
          <w:tcPr>
            <w:tcW w:w="1992" w:type="dxa"/>
            <w:tcBorders>
              <w:top w:val="nil"/>
              <w:left w:val="nil"/>
              <w:bottom w:val="single" w:sz="4" w:space="0" w:color="auto"/>
              <w:right w:val="nil"/>
            </w:tcBorders>
            <w:shd w:val="clear" w:color="auto" w:fill="auto"/>
            <w:noWrap/>
            <w:vAlign w:val="center"/>
          </w:tcPr>
          <w:p w14:paraId="740CBBB7" w14:textId="77777777" w:rsidR="00B525B5" w:rsidRPr="00794247" w:rsidRDefault="00B525B5" w:rsidP="0031663B">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auto"/>
            <w:noWrap/>
            <w:vAlign w:val="center"/>
          </w:tcPr>
          <w:p w14:paraId="278A6427" w14:textId="77777777" w:rsidR="00B525B5" w:rsidRPr="00794247" w:rsidRDefault="00B525B5" w:rsidP="0031663B">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auto"/>
            <w:noWrap/>
            <w:vAlign w:val="center"/>
          </w:tcPr>
          <w:p w14:paraId="0330EBA3" w14:textId="77777777" w:rsidR="00B525B5" w:rsidRPr="00794247" w:rsidRDefault="00B525B5" w:rsidP="0031663B">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EF4C0A" w:rsidRPr="00E2595E" w14:paraId="094F0F43" w14:textId="77777777" w:rsidTr="00873B82">
        <w:trPr>
          <w:trHeight w:val="300"/>
        </w:trPr>
        <w:tc>
          <w:tcPr>
            <w:tcW w:w="1276" w:type="dxa"/>
            <w:tcBorders>
              <w:top w:val="nil"/>
              <w:left w:val="nil"/>
              <w:bottom w:val="single" w:sz="4" w:space="0" w:color="auto"/>
              <w:right w:val="nil"/>
            </w:tcBorders>
            <w:shd w:val="clear" w:color="auto" w:fill="D9D9D9" w:themeFill="background1" w:themeFillShade="D9"/>
            <w:noWrap/>
            <w:vAlign w:val="center"/>
          </w:tcPr>
          <w:p w14:paraId="6328CDC9" w14:textId="7C37D758" w:rsidR="00EF4C0A" w:rsidRPr="00794247" w:rsidRDefault="00EF4C0A" w:rsidP="00683ACC">
            <w:pPr>
              <w:keepNext/>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Σουηδία</w:t>
            </w:r>
          </w:p>
        </w:tc>
        <w:tc>
          <w:tcPr>
            <w:tcW w:w="1992" w:type="dxa"/>
            <w:tcBorders>
              <w:top w:val="nil"/>
              <w:left w:val="nil"/>
              <w:bottom w:val="single" w:sz="4" w:space="0" w:color="auto"/>
              <w:right w:val="nil"/>
            </w:tcBorders>
            <w:shd w:val="clear" w:color="auto" w:fill="D9D9D9" w:themeFill="background1" w:themeFillShade="D9"/>
            <w:noWrap/>
            <w:vAlign w:val="center"/>
          </w:tcPr>
          <w:p w14:paraId="2F6B7B9A" w14:textId="15FA9425"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3349" w:type="dxa"/>
            <w:tcBorders>
              <w:top w:val="nil"/>
              <w:left w:val="nil"/>
              <w:bottom w:val="single" w:sz="4" w:space="0" w:color="auto"/>
              <w:right w:val="nil"/>
            </w:tcBorders>
            <w:shd w:val="clear" w:color="auto" w:fill="D9D9D9" w:themeFill="background1" w:themeFillShade="D9"/>
            <w:noWrap/>
            <w:vAlign w:val="center"/>
          </w:tcPr>
          <w:p w14:paraId="497185C8" w14:textId="18F1E570"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c>
          <w:tcPr>
            <w:tcW w:w="1842" w:type="dxa"/>
            <w:tcBorders>
              <w:top w:val="nil"/>
              <w:left w:val="nil"/>
              <w:bottom w:val="single" w:sz="4" w:space="0" w:color="auto"/>
              <w:right w:val="nil"/>
            </w:tcBorders>
            <w:shd w:val="clear" w:color="auto" w:fill="D9D9D9" w:themeFill="background1" w:themeFillShade="D9"/>
            <w:noWrap/>
            <w:vAlign w:val="center"/>
          </w:tcPr>
          <w:p w14:paraId="23262466" w14:textId="1F393721" w:rsidR="00EF4C0A" w:rsidRPr="00794247" w:rsidRDefault="00EF4C0A" w:rsidP="00683ACC">
            <w:pPr>
              <w:keepNext/>
              <w:spacing w:after="0" w:line="240" w:lineRule="auto"/>
              <w:jc w:val="center"/>
              <w:rPr>
                <w:rFonts w:ascii="Times New Roman" w:eastAsia="Times New Roman" w:hAnsi="Times New Roman" w:cs="Times New Roman"/>
                <w:b/>
                <w:i/>
                <w:noProof/>
                <w:color w:val="000000"/>
                <w:sz w:val="20"/>
                <w:szCs w:val="20"/>
              </w:rPr>
            </w:pPr>
            <w:r>
              <w:rPr>
                <w:rFonts w:ascii="Wingdings" w:hAnsi="Wingdings"/>
                <w:b/>
                <w:noProof/>
                <w:color w:val="000000"/>
                <w:sz w:val="20"/>
              </w:rPr>
              <w:t></w:t>
            </w:r>
          </w:p>
        </w:tc>
      </w:tr>
      <w:tr w:rsidR="001134F0" w:rsidRPr="00E2595E" w14:paraId="365B8C9F" w14:textId="77777777" w:rsidTr="003956AB">
        <w:trPr>
          <w:trHeight w:val="300"/>
        </w:trPr>
        <w:tc>
          <w:tcPr>
            <w:tcW w:w="8459" w:type="dxa"/>
            <w:gridSpan w:val="4"/>
            <w:tcBorders>
              <w:top w:val="nil"/>
              <w:left w:val="nil"/>
              <w:bottom w:val="nil"/>
            </w:tcBorders>
            <w:shd w:val="clear" w:color="auto" w:fill="auto"/>
            <w:noWrap/>
            <w:vAlign w:val="center"/>
            <w:hideMark/>
          </w:tcPr>
          <w:p w14:paraId="5B145707" w14:textId="29EC80DB" w:rsidR="001134F0" w:rsidRPr="00E2595E" w:rsidRDefault="00E15002" w:rsidP="00E15002">
            <w:pPr>
              <w:spacing w:after="0" w:line="240" w:lineRule="auto"/>
              <w:jc w:val="both"/>
              <w:rPr>
                <w:rFonts w:ascii="Times New Roman" w:eastAsia="Times New Roman" w:hAnsi="Times New Roman" w:cs="Times New Roman"/>
                <w:noProof/>
                <w:sz w:val="20"/>
                <w:szCs w:val="20"/>
              </w:rPr>
            </w:pPr>
            <w:r>
              <w:rPr>
                <w:rFonts w:ascii="Times New Roman" w:hAnsi="Times New Roman"/>
                <w:i/>
                <w:noProof/>
                <w:color w:val="000000"/>
                <w:sz w:val="20"/>
              </w:rPr>
              <w:t>Πηγή</w:t>
            </w:r>
            <w:r>
              <w:rPr>
                <w:rFonts w:ascii="Times New Roman" w:hAnsi="Times New Roman"/>
                <w:noProof/>
                <w:color w:val="000000"/>
                <w:sz w:val="20"/>
              </w:rPr>
              <w:t>: Eurostat (δελτίο τύπου της 22ας Απριλίου 2024 και εαρινή δημοσιονομική κοινοποίηση 2024) (*) Σε διαδικασία υπερβολικού ελλείμματος από το 2020.</w:t>
            </w:r>
          </w:p>
        </w:tc>
      </w:tr>
      <w:tr w:rsidR="00EF4C0A" w:rsidRPr="00E2595E" w14:paraId="2192886C" w14:textId="77777777" w:rsidTr="003956AB">
        <w:trPr>
          <w:trHeight w:val="300"/>
        </w:trPr>
        <w:tc>
          <w:tcPr>
            <w:tcW w:w="8459" w:type="dxa"/>
            <w:gridSpan w:val="4"/>
            <w:tcBorders>
              <w:top w:val="nil"/>
              <w:left w:val="nil"/>
              <w:bottom w:val="nil"/>
              <w:right w:val="nil"/>
            </w:tcBorders>
            <w:shd w:val="clear" w:color="auto" w:fill="auto"/>
            <w:noWrap/>
            <w:vAlign w:val="center"/>
            <w:hideMark/>
          </w:tcPr>
          <w:p w14:paraId="712E8ADF" w14:textId="6FBBA7F2" w:rsidR="00EF4C0A" w:rsidRPr="005E7962" w:rsidRDefault="00EF4C0A" w:rsidP="00EF4C0A">
            <w:pPr>
              <w:spacing w:after="0" w:line="240" w:lineRule="auto"/>
              <w:rPr>
                <w:rFonts w:ascii="Times New Roman" w:eastAsia="Times New Roman" w:hAnsi="Times New Roman" w:cs="Times New Roman"/>
                <w:noProof/>
                <w:color w:val="000000"/>
                <w:lang w:eastAsia="en-IE"/>
              </w:rPr>
            </w:pPr>
          </w:p>
        </w:tc>
      </w:tr>
    </w:tbl>
    <w:p w14:paraId="2D981FAA" w14:textId="16C29EDC" w:rsidR="00030166" w:rsidRDefault="00030166">
      <w:pPr>
        <w:rPr>
          <w:rFonts w:ascii="Times New Roman" w:eastAsia="Times New Roman" w:hAnsi="Times New Roman" w:cs="Times New Roman"/>
          <w:noProof/>
          <w:sz w:val="24"/>
          <w:szCs w:val="24"/>
          <w:lang w:eastAsia="en-GB"/>
        </w:rPr>
      </w:pPr>
    </w:p>
    <w:p w14:paraId="4E1140F9" w14:textId="1A1FAA41" w:rsidR="005C09D9" w:rsidRPr="006E45C5" w:rsidRDefault="001375E9" w:rsidP="006E45C5">
      <w:pPr>
        <w:pStyle w:val="ListParagraph"/>
        <w:keepNext/>
        <w:keepLines/>
        <w:numPr>
          <w:ilvl w:val="0"/>
          <w:numId w:val="32"/>
        </w:numPr>
        <w:tabs>
          <w:tab w:val="left" w:pos="851"/>
        </w:tabs>
        <w:spacing w:before="120" w:after="120"/>
        <w:ind w:left="851" w:hanging="851"/>
        <w:jc w:val="both"/>
        <w:outlineLvl w:val="0"/>
        <w:rPr>
          <w:rFonts w:eastAsia="Times New Roman"/>
          <w:b/>
          <w:smallCaps/>
          <w:noProof/>
        </w:rPr>
      </w:pPr>
      <w:r>
        <w:rPr>
          <w:b/>
          <w:smallCaps/>
          <w:noProof/>
        </w:rPr>
        <w:t xml:space="preserve">Ισοζύγιο γενικής κυβέρνησης </w:t>
      </w:r>
      <w:bookmarkStart w:id="6" w:name="_Hlk134129686"/>
    </w:p>
    <w:p w14:paraId="230246AE" w14:textId="0171604F" w:rsidR="002F0317" w:rsidRDefault="00581937" w:rsidP="00A65A74">
      <w:pPr>
        <w:autoSpaceDE w:val="0"/>
        <w:autoSpaceDN w:val="0"/>
        <w:spacing w:before="120" w:after="120" w:line="240" w:lineRule="auto"/>
        <w:jc w:val="both"/>
        <w:rPr>
          <w:rFonts w:ascii="Times New Roman" w:hAnsi="Times New Roman" w:cs="Times New Roman"/>
          <w:noProof/>
          <w:sz w:val="24"/>
          <w:szCs w:val="24"/>
        </w:rPr>
      </w:pPr>
      <w:r>
        <w:rPr>
          <w:rFonts w:ascii="Times New Roman" w:hAnsi="Times New Roman"/>
          <w:b/>
          <w:noProof/>
          <w:sz w:val="24"/>
        </w:rPr>
        <w:t xml:space="preserve">Το Βέλγιο, η Τσεχία, η Εσθονία, η Ισπανία, η Γαλλία, η Ιταλία, η Ουγγαρία, η Μάλτα, η Πολωνία </w:t>
      </w:r>
      <w:r>
        <w:rPr>
          <w:rFonts w:ascii="Times New Roman" w:hAnsi="Times New Roman"/>
          <w:noProof/>
          <w:sz w:val="24"/>
        </w:rPr>
        <w:t>και η</w:t>
      </w:r>
      <w:r>
        <w:rPr>
          <w:rFonts w:ascii="Times New Roman" w:hAnsi="Times New Roman"/>
          <w:b/>
          <w:noProof/>
          <w:sz w:val="24"/>
        </w:rPr>
        <w:t xml:space="preserve"> Σλοβακία </w:t>
      </w:r>
      <w:r>
        <w:rPr>
          <w:rFonts w:ascii="Times New Roman" w:hAnsi="Times New Roman"/>
          <w:noProof/>
          <w:sz w:val="24"/>
        </w:rPr>
        <w:t>υπερέβησαν την τιμή αναφοράς για το έλλειμμα το 2023. Μεταξύ αυτών, το Βέλγιο, η Γαλλία, η Ιταλία, η Ουγγαρία, η Μάλτα, η Πολωνία και η Σλοβακία προβλέπουν επίσης ότι τα ελλείμματά τους για το 2024</w:t>
      </w:r>
      <w:r>
        <w:rPr>
          <w:rStyle w:val="FootnoteReference"/>
          <w:rFonts w:eastAsiaTheme="minorHAnsi"/>
          <w:noProof/>
          <w:sz w:val="24"/>
          <w:szCs w:val="24"/>
        </w:rPr>
        <w:footnoteReference w:id="19"/>
      </w:r>
      <w:r>
        <w:rPr>
          <w:rFonts w:ascii="Times New Roman" w:hAnsi="Times New Roman"/>
          <w:noProof/>
          <w:sz w:val="24"/>
        </w:rPr>
        <w:t xml:space="preserve"> θα υπερβούν το 3 % του ΑΕΠ.</w:t>
      </w:r>
    </w:p>
    <w:p w14:paraId="0462DE6C" w14:textId="11A67C80" w:rsidR="001520CF" w:rsidRPr="00F54DA6" w:rsidRDefault="00A47CFD" w:rsidP="00A65A74">
      <w:pPr>
        <w:autoSpaceDE w:val="0"/>
        <w:autoSpaceDN w:val="0"/>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noProof/>
          <w:sz w:val="24"/>
        </w:rPr>
        <w:t xml:space="preserve">Η </w:t>
      </w:r>
      <w:r>
        <w:rPr>
          <w:rFonts w:ascii="Times New Roman" w:hAnsi="Times New Roman"/>
          <w:b/>
          <w:noProof/>
          <w:sz w:val="24"/>
        </w:rPr>
        <w:t>Σλοβενία</w:t>
      </w:r>
      <w:r>
        <w:rPr>
          <w:rFonts w:ascii="Times New Roman" w:hAnsi="Times New Roman"/>
          <w:noProof/>
          <w:sz w:val="24"/>
        </w:rPr>
        <w:t xml:space="preserve"> και η </w:t>
      </w:r>
      <w:r>
        <w:rPr>
          <w:rFonts w:ascii="Times New Roman" w:hAnsi="Times New Roman"/>
          <w:b/>
          <w:noProof/>
          <w:sz w:val="24"/>
        </w:rPr>
        <w:t>Φινλανδία</w:t>
      </w:r>
      <w:r>
        <w:rPr>
          <w:rFonts w:ascii="Times New Roman" w:hAnsi="Times New Roman"/>
          <w:noProof/>
          <w:color w:val="FF0000"/>
          <w:sz w:val="24"/>
        </w:rPr>
        <w:t xml:space="preserve"> </w:t>
      </w:r>
      <w:r>
        <w:rPr>
          <w:rFonts w:ascii="Times New Roman" w:hAnsi="Times New Roman"/>
          <w:noProof/>
          <w:sz w:val="24"/>
        </w:rPr>
        <w:t>παρουσίασαν δημοσιονομικά ελλείμματα κάτω από την τιμή αναφοράς το 2023, αλλά προβλέπουν ελλείμματα για το 2024</w:t>
      </w:r>
      <w:r>
        <w:rPr>
          <w:rStyle w:val="FootnoteReference"/>
          <w:rFonts w:eastAsiaTheme="minorEastAsia"/>
          <w:noProof/>
          <w:sz w:val="24"/>
          <w:szCs w:val="24"/>
        </w:rPr>
        <w:footnoteReference w:id="20"/>
      </w:r>
      <w:r>
        <w:rPr>
          <w:rFonts w:ascii="Times New Roman" w:hAnsi="Times New Roman"/>
          <w:noProof/>
          <w:sz w:val="24"/>
        </w:rPr>
        <w:t xml:space="preserve"> που υπερβαίνουν το 3 % του ΑΕΠ.</w:t>
      </w:r>
    </w:p>
    <w:p w14:paraId="16E7D308" w14:textId="77777777" w:rsidR="007F1E92" w:rsidRDefault="008C5DC4" w:rsidP="00A65A74">
      <w:pPr>
        <w:autoSpaceDE w:val="0"/>
        <w:autoSpaceDN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Σε όλα τα κράτη μέλη των οποίων τα ελλείμματα υπερέβησαν το 3 % του ΑΕΠ το 2023, με εξαίρεση την Εσθονία, τα δημοσιονομικά ελλείμματα ήταν </w:t>
      </w:r>
      <w:r>
        <w:rPr>
          <w:rFonts w:ascii="Times New Roman" w:hAnsi="Times New Roman"/>
          <w:i/>
          <w:noProof/>
          <w:sz w:val="24"/>
          <w:u w:val="single"/>
        </w:rPr>
        <w:t>υψηλότερα και όχι πλησίον</w:t>
      </w:r>
      <w:r>
        <w:rPr>
          <w:rFonts w:ascii="Times New Roman" w:hAnsi="Times New Roman"/>
          <w:noProof/>
          <w:sz w:val="24"/>
        </w:rPr>
        <w:t xml:space="preserve"> της τιμής αναφοράς (βλ. πίνακα 2). Για την Εσθονία, το έλλειμμα ήταν </w:t>
      </w:r>
      <w:r>
        <w:rPr>
          <w:rFonts w:ascii="Times New Roman" w:hAnsi="Times New Roman"/>
          <w:i/>
          <w:noProof/>
          <w:sz w:val="24"/>
          <w:u w:val="single"/>
        </w:rPr>
        <w:t>υψηλότερο αλλά πλησίον</w:t>
      </w:r>
      <w:r>
        <w:rPr>
          <w:rFonts w:ascii="Times New Roman" w:hAnsi="Times New Roman"/>
          <w:noProof/>
          <w:sz w:val="24"/>
        </w:rPr>
        <w:t xml:space="preserve"> της τιμής αναφοράς. </w:t>
      </w:r>
    </w:p>
    <w:p w14:paraId="3FC0464C" w14:textId="57279764" w:rsidR="00C83638" w:rsidRPr="00872DD0" w:rsidRDefault="00C83638" w:rsidP="00C83638">
      <w:pPr>
        <w:autoSpaceDE w:val="0"/>
        <w:autoSpaceDN w:val="0"/>
        <w:spacing w:before="120" w:after="120" w:line="240" w:lineRule="auto"/>
        <w:jc w:val="both"/>
        <w:rPr>
          <w:rFonts w:ascii="Times New Roman" w:eastAsia="Calibri" w:hAnsi="Times New Roman" w:cs="Times New Roman"/>
          <w:noProof/>
          <w:sz w:val="24"/>
          <w:szCs w:val="24"/>
        </w:rPr>
      </w:pPr>
      <w:bookmarkStart w:id="7" w:name="_Hlk169078143"/>
      <w:r>
        <w:rPr>
          <w:rFonts w:ascii="Times New Roman" w:hAnsi="Times New Roman"/>
          <w:noProof/>
          <w:sz w:val="24"/>
        </w:rPr>
        <w:t xml:space="preserve">Για τη Φινλανδία, το προβλεπόμενο έλλειμμα για το 2024 είναι </w:t>
      </w:r>
      <w:r>
        <w:rPr>
          <w:rFonts w:ascii="Times New Roman" w:hAnsi="Times New Roman"/>
          <w:i/>
          <w:noProof/>
          <w:sz w:val="24"/>
          <w:u w:val="single"/>
        </w:rPr>
        <w:t>υψηλότερο και πλησίον</w:t>
      </w:r>
      <w:r>
        <w:rPr>
          <w:rFonts w:ascii="Times New Roman" w:hAnsi="Times New Roman"/>
          <w:noProof/>
          <w:sz w:val="24"/>
        </w:rPr>
        <w:t xml:space="preserve"> του 3 % του ΑΕΠ</w:t>
      </w:r>
      <w:r>
        <w:rPr>
          <w:rStyle w:val="FootnoteReference"/>
          <w:rFonts w:eastAsiaTheme="minorEastAsia"/>
          <w:noProof/>
          <w:sz w:val="24"/>
          <w:szCs w:val="24"/>
        </w:rPr>
        <w:footnoteReference w:id="21"/>
      </w:r>
      <w:r>
        <w:rPr>
          <w:rFonts w:ascii="Times New Roman" w:hAnsi="Times New Roman"/>
          <w:noProof/>
          <w:sz w:val="24"/>
        </w:rPr>
        <w:t>. Για τη Σλοβενία, το προβλεπόμενο έλλειμμα για το 2024</w:t>
      </w:r>
      <w:r>
        <w:rPr>
          <w:rStyle w:val="FootnoteReference"/>
          <w:rFonts w:eastAsiaTheme="minorEastAsia"/>
          <w:noProof/>
          <w:sz w:val="24"/>
          <w:szCs w:val="24"/>
        </w:rPr>
        <w:footnoteReference w:id="22"/>
      </w:r>
      <w:r>
        <w:rPr>
          <w:rFonts w:ascii="Times New Roman" w:hAnsi="Times New Roman"/>
          <w:noProof/>
          <w:sz w:val="24"/>
        </w:rPr>
        <w:t xml:space="preserve"> είναι 3,6 % του ΑΕΠ, ενώ σύμφωνα με τις εαρινές προβλέψεις 2024 της Επιτροπής</w:t>
      </w:r>
      <w:r>
        <w:rPr>
          <w:rStyle w:val="FootnoteReference"/>
          <w:rFonts w:eastAsiaTheme="minorEastAsia"/>
          <w:noProof/>
          <w:sz w:val="24"/>
          <w:szCs w:val="24"/>
        </w:rPr>
        <w:footnoteReference w:id="23"/>
      </w:r>
      <w:r>
        <w:rPr>
          <w:rFonts w:ascii="Times New Roman" w:hAnsi="Times New Roman"/>
          <w:noProof/>
          <w:sz w:val="24"/>
        </w:rPr>
        <w:t xml:space="preserve"> θα καταγραφεί έλλειμμα 2,8 % του ΑΕΠ, άρα κάτω από την τιμή αναφοράς του 3 %. Επομένως, η σχεδιαζόμενη υπέρβαση της τιμής αναφοράς το 2024 κατά την έννοια του άρθρου 126 παράγραφος 3 της ΣΛΕΕ δεν επιβεβαιώνεται για τη Σλοβενία. </w:t>
      </w:r>
    </w:p>
    <w:bookmarkEnd w:id="7"/>
    <w:p w14:paraId="3E333DC8" w14:textId="4FCB09B9" w:rsidR="001B435D" w:rsidRDefault="00440B11" w:rsidP="00440B11">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Σύμφωνα με τις εαρινές προβλέψεις 2024 της Επιτροπής, τα δημοσιονομικά ελλείμματα στο Βέλγιο, την Εσθονία, τη Γαλλία, την Ιταλία, την Ουγγαρία, τη Μάλτα, την Πολωνία και τη Σλοβακία προβλέπεται ότι θα συνεχίσουν να υπερβαίνουν το 3 % του ΑΕΠ τόσο το 2024 όσο και το 2025. Συνεπώς, τα ελλείμματα που υπερβαίνουν την τιμή αναφοράς για τα εν λόγω κράτη μέλη αναμένεται να </w:t>
      </w:r>
      <w:r>
        <w:rPr>
          <w:rFonts w:ascii="Times New Roman" w:hAnsi="Times New Roman"/>
          <w:i/>
          <w:noProof/>
          <w:sz w:val="24"/>
          <w:u w:val="single"/>
        </w:rPr>
        <w:t>μην είναι προσωρινά</w:t>
      </w:r>
      <w:r>
        <w:rPr>
          <w:rFonts w:ascii="Times New Roman" w:hAnsi="Times New Roman"/>
          <w:noProof/>
          <w:sz w:val="24"/>
        </w:rPr>
        <w:t xml:space="preserve">. Αντιθέτως, επί του παρόντος τα δημοσιονομικά ελλείμματα στην Τσεχία, την Ισπανία και τη Σλοβενία προβλέπεται ότι δεν θα υπερβούν την τιμή αναφοράς το 2024 και το 2025 και άρα τα υπερβολικά ελλείμματα αναμένεται να είναι </w:t>
      </w:r>
      <w:r>
        <w:rPr>
          <w:rFonts w:ascii="Times New Roman" w:hAnsi="Times New Roman"/>
          <w:i/>
          <w:noProof/>
          <w:sz w:val="24"/>
          <w:u w:val="single"/>
        </w:rPr>
        <w:t>προσωρινά</w:t>
      </w:r>
      <w:r>
        <w:rPr>
          <w:rFonts w:ascii="Times New Roman" w:hAnsi="Times New Roman"/>
          <w:noProof/>
          <w:sz w:val="24"/>
        </w:rPr>
        <w:t xml:space="preserve">. Για τη Φινλανδία, το δημοσιονομικό έλλειμμα προβλέπεται ότι θα υπερβεί την τιμή αναφοράς το 2024, αλλά όχι το 2025· επομένως, το υπερβολικό έλλειμμα αναμένεται να είναι </w:t>
      </w:r>
      <w:r>
        <w:rPr>
          <w:rFonts w:ascii="Times New Roman" w:hAnsi="Times New Roman"/>
          <w:i/>
          <w:noProof/>
          <w:sz w:val="24"/>
          <w:u w:val="single"/>
        </w:rPr>
        <w:t>προσωρινό</w:t>
      </w:r>
      <w:r>
        <w:rPr>
          <w:rFonts w:ascii="Times New Roman" w:hAnsi="Times New Roman"/>
          <w:noProof/>
          <w:sz w:val="24"/>
        </w:rPr>
        <w:t xml:space="preserve">. </w:t>
      </w:r>
    </w:p>
    <w:p w14:paraId="44E075D9" w14:textId="1DD9F955" w:rsidR="00DF48BE" w:rsidRPr="00FB5D99" w:rsidRDefault="00D13746" w:rsidP="00C91E73">
      <w:pPr>
        <w:spacing w:before="120" w:after="120" w:line="240" w:lineRule="auto"/>
        <w:jc w:val="both"/>
        <w:rPr>
          <w:rFonts w:ascii="Times New Roman" w:eastAsia="Times New Roman" w:hAnsi="Times New Roman" w:cs="Times New Roman"/>
          <w:noProof/>
          <w:sz w:val="24"/>
          <w:szCs w:val="24"/>
        </w:rPr>
      </w:pPr>
      <w:bookmarkStart w:id="8" w:name="_Hlk166106218"/>
      <w:r>
        <w:rPr>
          <w:rFonts w:ascii="Times New Roman" w:hAnsi="Times New Roman"/>
          <w:noProof/>
          <w:sz w:val="24"/>
        </w:rPr>
        <w:t>Η γενική ρήτρα διαφυγής του Συμφώνου Σταθερότητας και Ανάπτυξης απενεργοποιήθηκε στα τέλη του 2023, όπως είχε επανειλημμένα ανακοινωθεί από την Επιτροπή</w:t>
      </w:r>
      <w:r>
        <w:rPr>
          <w:rStyle w:val="FootnoteReference"/>
          <w:rFonts w:eastAsiaTheme="minorEastAsia"/>
          <w:noProof/>
        </w:rPr>
        <w:footnoteReference w:id="24"/>
      </w:r>
      <w:r>
        <w:rPr>
          <w:noProof/>
        </w:rPr>
        <w:t>.</w:t>
      </w:r>
      <w:r>
        <w:rPr>
          <w:rFonts w:ascii="Times New Roman" w:hAnsi="Times New Roman"/>
          <w:noProof/>
          <w:sz w:val="24"/>
        </w:rPr>
        <w:t xml:space="preserve"> Η γενική ρήτρα διαφυγής παρέμεινε ενεργοποιημένη καθ’ όλη τη διάρκεια του 2023, με βάση την εκ των προτέρων αξιολόγηση των οικονομικών συνθηκών από την Επιτροπή την άνοιξη του 2022</w:t>
      </w:r>
      <w:r>
        <w:rPr>
          <w:rFonts w:ascii="Times New Roman" w:eastAsiaTheme="minorEastAsia" w:hAnsi="Times New Roman" w:cs="Times New Roman"/>
          <w:noProof/>
          <w:sz w:val="24"/>
          <w:szCs w:val="24"/>
          <w:vertAlign w:val="superscript"/>
        </w:rPr>
        <w:footnoteReference w:id="25"/>
      </w:r>
      <w:r>
        <w:rPr>
          <w:rFonts w:ascii="Times New Roman" w:hAnsi="Times New Roman"/>
          <w:noProof/>
          <w:sz w:val="24"/>
        </w:rPr>
        <w:t>. Ειδικότερα, διαπιστώθηκε ότι η αυξημένη αβεβαιότητα και οι έντονοι καθοδικοί κίνδυνοι για τις οικονομικές προοπτικές στο πλαίσιο του επιθετικού πολέμου της Ρωσίας κατά της Ουκρανίας, οι πρωτοφανείς αυξήσεις των τιμών της ενέργειας και οι συνεχιζόμενες διαταραχές στην αλυσίδα εφοδιασμού δικαιολογούσαν την ενεργοποίηση το 2023. Η οικονομία της ΕΕ αντιμετώπισε τους διαδοχικούς κλυδωνισμούς καλύτερα από ό,τι αναμενόταν, αρχικά χάρη στην ισχυρή συντονισμένη πολιτική αντίδραση που οδήγησε σε ταχεία διαφοροποίηση των πηγών ενέργειας, καθώς και χάρη στην ανθεκτική αγορά εργασίας. Επιπλέον, ορισμένοι από τους καθοδικούς κινδύνους δεν έχουν υλοποιηθεί. Επομένως, το 2023, τα μέτρα που ελήφθησαν για την άμβλυνση των οικονομικών και κοινωνικών επιπτώσεων των τιμών της ενέργειας καταργήθηκαν σταδιακά στα περισσότερα κράτη μέλη, όπως συνέστησε το Συμβούλιο</w:t>
      </w:r>
      <w:r>
        <w:rPr>
          <w:rStyle w:val="FootnoteReference"/>
          <w:rFonts w:eastAsiaTheme="minorEastAsia"/>
          <w:noProof/>
          <w:sz w:val="24"/>
          <w:szCs w:val="24"/>
        </w:rPr>
        <w:footnoteReference w:id="26"/>
      </w:r>
      <w:r>
        <w:rPr>
          <w:rFonts w:ascii="Times New Roman" w:hAnsi="Times New Roman"/>
          <w:noProof/>
          <w:sz w:val="24"/>
        </w:rPr>
        <w:t>. Επιπρόσθετα, το κόστος των προσωρινών μέτρων που σχετίζονταν με την πανδημία COVID-19 δεν είχε πλέον μακροοικονομική σημασία</w:t>
      </w:r>
      <w:r>
        <w:rPr>
          <w:rStyle w:val="FootnoteReference"/>
          <w:rFonts w:eastAsiaTheme="minorEastAsia"/>
          <w:noProof/>
          <w:sz w:val="24"/>
          <w:szCs w:val="24"/>
        </w:rPr>
        <w:footnoteReference w:id="27"/>
      </w:r>
      <w:r>
        <w:rPr>
          <w:noProof/>
        </w:rPr>
        <w:t>.</w:t>
      </w:r>
      <w:r>
        <w:rPr>
          <w:rFonts w:ascii="Times New Roman" w:hAnsi="Times New Roman"/>
          <w:noProof/>
          <w:sz w:val="24"/>
        </w:rPr>
        <w:t xml:space="preserve"> Με βάση τις παραμέτρους αυτές</w:t>
      </w:r>
      <w:r>
        <w:rPr>
          <w:rStyle w:val="FootnoteReference"/>
          <w:rFonts w:eastAsiaTheme="minorEastAsia"/>
          <w:noProof/>
        </w:rPr>
        <w:footnoteReference w:id="28"/>
      </w:r>
      <w:r>
        <w:rPr>
          <w:rFonts w:ascii="Times New Roman" w:hAnsi="Times New Roman"/>
          <w:noProof/>
          <w:sz w:val="24"/>
        </w:rPr>
        <w:t xml:space="preserve">, γενικά δεν μπορεί να θεωρηθεί ότι τα ελλείμματα που υπερβαίνουν την τιμή αναφοράς το 2023 οφείλονται σε έκτακτες οικονομικές περιστάσεις. </w:t>
      </w:r>
    </w:p>
    <w:bookmarkEnd w:id="8"/>
    <w:p w14:paraId="7B21F429" w14:textId="434339E0" w:rsidR="00113DF4" w:rsidRPr="003D7EE5" w:rsidRDefault="00113DF4" w:rsidP="00113DF4">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Στη συγκεκριμένη περίπτωση της Εσθονίας, το έλλειμμα που υπερβαίνει την τιμή αναφοράς το 2023 οφείλεται άμεσα σε έκτακτες οικονομικές περιστάσεις και άρα θεωρείται </w:t>
      </w:r>
      <w:r>
        <w:rPr>
          <w:rFonts w:ascii="Times New Roman" w:hAnsi="Times New Roman"/>
          <w:i/>
          <w:noProof/>
          <w:sz w:val="24"/>
          <w:u w:val="single"/>
        </w:rPr>
        <w:t>έκτακτο</w:t>
      </w:r>
      <w:r>
        <w:rPr>
          <w:rStyle w:val="FootnoteReference"/>
          <w:rFonts w:eastAsiaTheme="minorHAnsi"/>
          <w:i/>
          <w:iCs/>
          <w:noProof/>
        </w:rPr>
        <w:footnoteReference w:id="29"/>
      </w:r>
      <w:r>
        <w:rPr>
          <w:noProof/>
        </w:rPr>
        <w:t>.</w:t>
      </w:r>
      <w:r>
        <w:rPr>
          <w:rFonts w:ascii="Times New Roman" w:hAnsi="Times New Roman"/>
          <w:noProof/>
          <w:sz w:val="24"/>
        </w:rPr>
        <w:t xml:space="preserve"> Η οικονομία συρρικνώθηκε κατά 0,5 % το 2022 και κατά επιπλέον 3,0 % το 2023. Με βάση τις εαρινές προβλέψεις 2024 της Επιτροπής, αναμένεται να συρρικνωθεί κατά 0,5 % το 2024, σηματοδοτώντας τριετή ύφεση της οικονομίας. </w:t>
      </w:r>
    </w:p>
    <w:p w14:paraId="062FDB81" w14:textId="31D1A278" w:rsidR="00CC7F46" w:rsidRDefault="00A865FD">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Συνολικά, από την ανάλυση αυτή προκύπτει ότι το κριτήριο του ελλείμματος δεν πληρούται από δώδεκα κράτη μέλη πριν από την εξέταση των σχετικών παραγόντων: </w:t>
      </w:r>
      <w:r>
        <w:rPr>
          <w:rFonts w:ascii="Times New Roman" w:hAnsi="Times New Roman"/>
          <w:b/>
          <w:noProof/>
          <w:sz w:val="24"/>
        </w:rPr>
        <w:t>Βέλγιο, Τσεχία, Εσθονία, Ισπανία, Γαλλία, Ιταλία, Ουγγαρία, Μάλτα, Πολωνία, Σλοβενία, Σλοβακία</w:t>
      </w:r>
      <w:r>
        <w:rPr>
          <w:rFonts w:ascii="Times New Roman" w:hAnsi="Times New Roman"/>
          <w:noProof/>
          <w:sz w:val="24"/>
        </w:rPr>
        <w:t xml:space="preserve"> και</w:t>
      </w:r>
      <w:r>
        <w:rPr>
          <w:rFonts w:ascii="Times New Roman" w:hAnsi="Times New Roman"/>
          <w:b/>
          <w:noProof/>
          <w:sz w:val="24"/>
        </w:rPr>
        <w:t xml:space="preserve"> Φινλανδία</w:t>
      </w:r>
      <w:r>
        <w:rPr>
          <w:rFonts w:ascii="Times New Roman" w:hAnsi="Times New Roman"/>
          <w:noProof/>
          <w:sz w:val="24"/>
        </w:rPr>
        <w:t>.</w:t>
      </w:r>
      <w:bookmarkEnd w:id="6"/>
    </w:p>
    <w:p w14:paraId="42128928" w14:textId="77777777" w:rsidR="006E618E" w:rsidRPr="005E7962" w:rsidRDefault="006E618E">
      <w:pPr>
        <w:spacing w:before="120" w:after="120" w:line="240" w:lineRule="auto"/>
        <w:jc w:val="both"/>
        <w:rPr>
          <w:rFonts w:ascii="Times New Roman" w:eastAsia="Calibri" w:hAnsi="Times New Roman" w:cs="Times New Roman"/>
          <w:noProof/>
          <w:sz w:val="24"/>
          <w:szCs w:val="24"/>
          <w:lang w:eastAsia="en-GB"/>
        </w:rPr>
      </w:pPr>
    </w:p>
    <w:tbl>
      <w:tblPr>
        <w:tblW w:w="9026" w:type="dxa"/>
        <w:jc w:val="center"/>
        <w:tblLook w:val="04A0" w:firstRow="1" w:lastRow="0" w:firstColumn="1" w:lastColumn="0" w:noHBand="0" w:noVBand="1"/>
      </w:tblPr>
      <w:tblGrid>
        <w:gridCol w:w="852"/>
        <w:gridCol w:w="1218"/>
        <w:gridCol w:w="991"/>
        <w:gridCol w:w="744"/>
        <w:gridCol w:w="717"/>
        <w:gridCol w:w="712"/>
        <w:gridCol w:w="1634"/>
        <w:gridCol w:w="855"/>
        <w:gridCol w:w="1303"/>
      </w:tblGrid>
      <w:tr w:rsidR="00451DA3" w:rsidRPr="00C65289" w14:paraId="40A63DC3" w14:textId="77777777" w:rsidTr="00952ADB">
        <w:trPr>
          <w:trHeight w:val="290"/>
          <w:jc w:val="center"/>
        </w:trPr>
        <w:tc>
          <w:tcPr>
            <w:tcW w:w="854" w:type="dxa"/>
            <w:tcBorders>
              <w:top w:val="nil"/>
              <w:left w:val="nil"/>
              <w:right w:val="nil"/>
            </w:tcBorders>
          </w:tcPr>
          <w:p w14:paraId="0FAB5578" w14:textId="77777777" w:rsidR="00451DA3" w:rsidRPr="005E7962" w:rsidRDefault="00451DA3" w:rsidP="0047325E">
            <w:pPr>
              <w:keepNext/>
              <w:spacing w:after="0" w:line="240" w:lineRule="auto"/>
              <w:jc w:val="center"/>
              <w:rPr>
                <w:rFonts w:ascii="Times New Roman" w:eastAsia="Times New Roman" w:hAnsi="Times New Roman" w:cs="Times New Roman"/>
                <w:b/>
                <w:noProof/>
                <w:color w:val="000000" w:themeColor="text1"/>
                <w:lang w:eastAsia="en-IE"/>
              </w:rPr>
            </w:pPr>
          </w:p>
        </w:tc>
        <w:tc>
          <w:tcPr>
            <w:tcW w:w="8172" w:type="dxa"/>
            <w:gridSpan w:val="8"/>
            <w:tcBorders>
              <w:top w:val="nil"/>
              <w:left w:val="nil"/>
              <w:right w:val="nil"/>
            </w:tcBorders>
            <w:shd w:val="clear" w:color="auto" w:fill="auto"/>
            <w:noWrap/>
            <w:vAlign w:val="center"/>
            <w:hideMark/>
          </w:tcPr>
          <w:p w14:paraId="5825E3EF" w14:textId="5A9E8D9B" w:rsidR="00451DA3" w:rsidRPr="00C65289" w:rsidRDefault="00451DA3" w:rsidP="0047325E">
            <w:pPr>
              <w:keepNext/>
              <w:spacing w:after="0" w:line="240" w:lineRule="auto"/>
              <w:jc w:val="center"/>
              <w:rPr>
                <w:rFonts w:ascii="Times New Roman" w:eastAsia="Times New Roman" w:hAnsi="Times New Roman" w:cs="Times New Roman"/>
                <w:b/>
                <w:noProof/>
                <w:color w:val="000000"/>
              </w:rPr>
            </w:pPr>
            <w:r>
              <w:rPr>
                <w:rFonts w:ascii="Times New Roman" w:hAnsi="Times New Roman"/>
                <w:b/>
                <w:noProof/>
                <w:color w:val="000000" w:themeColor="text1"/>
              </w:rPr>
              <w:t>Πίνακας 2: Ισοζύγιο γενικής κυβέρνησης</w:t>
            </w:r>
          </w:p>
        </w:tc>
      </w:tr>
      <w:tr w:rsidR="00451DA3" w:rsidRPr="0053156D" w14:paraId="3823AB96" w14:textId="77777777" w:rsidTr="00952ADB">
        <w:trPr>
          <w:trHeight w:val="300"/>
          <w:jc w:val="center"/>
        </w:trPr>
        <w:tc>
          <w:tcPr>
            <w:tcW w:w="854" w:type="dxa"/>
            <w:tcBorders>
              <w:top w:val="nil"/>
              <w:left w:val="nil"/>
              <w:bottom w:val="single" w:sz="8" w:space="0" w:color="auto"/>
            </w:tcBorders>
          </w:tcPr>
          <w:p w14:paraId="7EB5F6AD" w14:textId="77777777" w:rsidR="00451DA3" w:rsidRPr="0053156D" w:rsidRDefault="00451DA3" w:rsidP="0047325E">
            <w:pPr>
              <w:keepNext/>
              <w:spacing w:after="0" w:line="240" w:lineRule="auto"/>
              <w:rPr>
                <w:rFonts w:ascii="Times New Roman" w:eastAsia="Times New Roman" w:hAnsi="Times New Roman" w:cs="Times New Roman"/>
                <w:noProof/>
                <w:color w:val="000000"/>
                <w:lang w:val="en-IE" w:eastAsia="en-IE"/>
              </w:rPr>
            </w:pPr>
          </w:p>
        </w:tc>
        <w:tc>
          <w:tcPr>
            <w:tcW w:w="8172" w:type="dxa"/>
            <w:gridSpan w:val="8"/>
            <w:tcBorders>
              <w:top w:val="nil"/>
              <w:left w:val="nil"/>
              <w:bottom w:val="single" w:sz="8" w:space="0" w:color="auto"/>
            </w:tcBorders>
            <w:shd w:val="clear" w:color="auto" w:fill="auto"/>
            <w:noWrap/>
            <w:vAlign w:val="center"/>
            <w:hideMark/>
          </w:tcPr>
          <w:p w14:paraId="5139F974" w14:textId="453433D9" w:rsidR="00451DA3" w:rsidRPr="0053156D"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Ποσοστό επί του ΑΕΠ</w:t>
            </w:r>
          </w:p>
        </w:tc>
      </w:tr>
      <w:tr w:rsidR="00AC6E27" w:rsidRPr="00C65289" w14:paraId="6BF338D5" w14:textId="77777777" w:rsidTr="00952ADB">
        <w:trPr>
          <w:trHeight w:val="425"/>
          <w:jc w:val="center"/>
        </w:trPr>
        <w:tc>
          <w:tcPr>
            <w:tcW w:w="2075" w:type="dxa"/>
            <w:gridSpan w:val="2"/>
            <w:tcBorders>
              <w:top w:val="nil"/>
              <w:left w:val="nil"/>
              <w:bottom w:val="single" w:sz="8" w:space="0" w:color="auto"/>
              <w:right w:val="nil"/>
            </w:tcBorders>
            <w:shd w:val="clear" w:color="auto" w:fill="auto"/>
            <w:noWrap/>
            <w:vAlign w:val="center"/>
            <w:hideMark/>
          </w:tcPr>
          <w:p w14:paraId="4B7A682B" w14:textId="77777777" w:rsidR="00451DA3" w:rsidRPr="0053156D"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 xml:space="preserve"> </w:t>
            </w:r>
          </w:p>
        </w:tc>
        <w:tc>
          <w:tcPr>
            <w:tcW w:w="993" w:type="dxa"/>
            <w:tcBorders>
              <w:top w:val="nil"/>
              <w:left w:val="nil"/>
              <w:bottom w:val="single" w:sz="8" w:space="0" w:color="auto"/>
              <w:right w:val="nil"/>
            </w:tcBorders>
            <w:shd w:val="clear" w:color="auto" w:fill="auto"/>
            <w:noWrap/>
            <w:vAlign w:val="center"/>
            <w:hideMark/>
          </w:tcPr>
          <w:p w14:paraId="31FB08D2" w14:textId="77777777" w:rsidR="00451DA3" w:rsidRPr="0053156D" w:rsidRDefault="00451DA3" w:rsidP="0047325E">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2020</w:t>
            </w:r>
          </w:p>
        </w:tc>
        <w:tc>
          <w:tcPr>
            <w:tcW w:w="745" w:type="dxa"/>
            <w:tcBorders>
              <w:top w:val="single" w:sz="8" w:space="0" w:color="auto"/>
              <w:left w:val="nil"/>
              <w:bottom w:val="single" w:sz="8" w:space="0" w:color="auto"/>
              <w:right w:val="nil"/>
            </w:tcBorders>
            <w:shd w:val="clear" w:color="auto" w:fill="auto"/>
            <w:noWrap/>
            <w:vAlign w:val="center"/>
            <w:hideMark/>
          </w:tcPr>
          <w:p w14:paraId="068E39E8" w14:textId="77777777" w:rsidR="00451DA3" w:rsidRPr="0053156D" w:rsidRDefault="00451DA3" w:rsidP="0047325E">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2021</w:t>
            </w:r>
          </w:p>
        </w:tc>
        <w:tc>
          <w:tcPr>
            <w:tcW w:w="718" w:type="dxa"/>
            <w:tcBorders>
              <w:top w:val="single" w:sz="8" w:space="0" w:color="auto"/>
              <w:left w:val="nil"/>
              <w:bottom w:val="single" w:sz="8" w:space="0" w:color="auto"/>
              <w:right w:val="nil"/>
            </w:tcBorders>
            <w:shd w:val="clear" w:color="auto" w:fill="auto"/>
            <w:noWrap/>
            <w:vAlign w:val="center"/>
            <w:hideMark/>
          </w:tcPr>
          <w:p w14:paraId="1950360D" w14:textId="77777777" w:rsidR="00451DA3" w:rsidRPr="0053156D" w:rsidRDefault="00451DA3" w:rsidP="0047325E">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2022</w:t>
            </w:r>
          </w:p>
        </w:tc>
        <w:tc>
          <w:tcPr>
            <w:tcW w:w="713" w:type="dxa"/>
            <w:tcBorders>
              <w:top w:val="single" w:sz="8" w:space="0" w:color="auto"/>
              <w:left w:val="nil"/>
              <w:bottom w:val="single" w:sz="8" w:space="0" w:color="auto"/>
              <w:right w:val="nil"/>
            </w:tcBorders>
            <w:shd w:val="clear" w:color="auto" w:fill="auto"/>
            <w:noWrap/>
            <w:vAlign w:val="center"/>
            <w:hideMark/>
          </w:tcPr>
          <w:p w14:paraId="3536501D" w14:textId="77777777" w:rsidR="00451DA3" w:rsidRPr="0053156D" w:rsidRDefault="00451DA3" w:rsidP="0047325E">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2023</w:t>
            </w:r>
          </w:p>
        </w:tc>
        <w:tc>
          <w:tcPr>
            <w:tcW w:w="1621" w:type="dxa"/>
            <w:tcBorders>
              <w:top w:val="nil"/>
              <w:left w:val="single" w:sz="4" w:space="0" w:color="auto"/>
              <w:bottom w:val="single" w:sz="8" w:space="0" w:color="auto"/>
              <w:right w:val="single" w:sz="4" w:space="0" w:color="auto"/>
            </w:tcBorders>
            <w:vAlign w:val="center"/>
          </w:tcPr>
          <w:p w14:paraId="3CA266C6" w14:textId="44CDC2CA" w:rsidR="00451DA3" w:rsidRPr="0053156D" w:rsidRDefault="00451DA3" w:rsidP="00451DA3">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δημοσιονομική κοινοποίηση 2024</w:t>
            </w:r>
          </w:p>
        </w:tc>
        <w:tc>
          <w:tcPr>
            <w:tcW w:w="856" w:type="dxa"/>
            <w:tcBorders>
              <w:top w:val="nil"/>
              <w:left w:val="single" w:sz="4" w:space="0" w:color="auto"/>
              <w:bottom w:val="single" w:sz="8" w:space="0" w:color="auto"/>
              <w:right w:val="nil"/>
            </w:tcBorders>
            <w:shd w:val="clear" w:color="auto" w:fill="auto"/>
            <w:noWrap/>
            <w:vAlign w:val="center"/>
            <w:hideMark/>
          </w:tcPr>
          <w:p w14:paraId="7FAC35A2" w14:textId="349B15DC" w:rsidR="00451DA3" w:rsidRPr="0053156D" w:rsidRDefault="00451DA3" w:rsidP="0047325E">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2024</w:t>
            </w:r>
          </w:p>
        </w:tc>
        <w:tc>
          <w:tcPr>
            <w:tcW w:w="1305" w:type="dxa"/>
            <w:tcBorders>
              <w:top w:val="nil"/>
              <w:left w:val="nil"/>
              <w:bottom w:val="single" w:sz="8" w:space="0" w:color="auto"/>
            </w:tcBorders>
            <w:shd w:val="clear" w:color="auto" w:fill="auto"/>
            <w:noWrap/>
            <w:vAlign w:val="center"/>
            <w:hideMark/>
          </w:tcPr>
          <w:p w14:paraId="0C928489" w14:textId="77777777" w:rsidR="00451DA3" w:rsidRPr="0053156D" w:rsidRDefault="00451DA3" w:rsidP="0047325E">
            <w:pPr>
              <w:keepNext/>
              <w:spacing w:after="0" w:line="240" w:lineRule="auto"/>
              <w:jc w:val="right"/>
              <w:rPr>
                <w:rFonts w:ascii="Times New Roman" w:eastAsia="Times New Roman" w:hAnsi="Times New Roman" w:cs="Times New Roman"/>
                <w:b/>
                <w:noProof/>
                <w:color w:val="000000"/>
              </w:rPr>
            </w:pPr>
            <w:r>
              <w:rPr>
                <w:rFonts w:ascii="Times New Roman" w:hAnsi="Times New Roman"/>
                <w:b/>
                <w:noProof/>
                <w:color w:val="000000"/>
              </w:rPr>
              <w:t>2025</w:t>
            </w:r>
          </w:p>
        </w:tc>
      </w:tr>
      <w:tr w:rsidR="00AC6E27" w:rsidRPr="00C65289" w14:paraId="035AECCB"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6CD84501"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Βέλγιο</w:t>
            </w:r>
          </w:p>
        </w:tc>
        <w:tc>
          <w:tcPr>
            <w:tcW w:w="993" w:type="dxa"/>
            <w:tcBorders>
              <w:top w:val="nil"/>
              <w:left w:val="nil"/>
              <w:bottom w:val="single" w:sz="8" w:space="0" w:color="auto"/>
              <w:right w:val="nil"/>
            </w:tcBorders>
            <w:shd w:val="clear" w:color="auto" w:fill="auto"/>
            <w:noWrap/>
            <w:vAlign w:val="center"/>
            <w:hideMark/>
          </w:tcPr>
          <w:p w14:paraId="3FDC1A7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-9,0</w:t>
            </w:r>
          </w:p>
        </w:tc>
        <w:tc>
          <w:tcPr>
            <w:tcW w:w="745" w:type="dxa"/>
            <w:tcBorders>
              <w:top w:val="nil"/>
              <w:left w:val="nil"/>
              <w:bottom w:val="single" w:sz="8" w:space="0" w:color="auto"/>
              <w:right w:val="nil"/>
            </w:tcBorders>
            <w:shd w:val="clear" w:color="auto" w:fill="auto"/>
            <w:noWrap/>
            <w:vAlign w:val="center"/>
            <w:hideMark/>
          </w:tcPr>
          <w:p w14:paraId="79F1399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718" w:type="dxa"/>
            <w:tcBorders>
              <w:top w:val="nil"/>
              <w:left w:val="nil"/>
              <w:bottom w:val="single" w:sz="8" w:space="0" w:color="auto"/>
              <w:right w:val="nil"/>
            </w:tcBorders>
            <w:shd w:val="clear" w:color="auto" w:fill="auto"/>
            <w:noWrap/>
            <w:vAlign w:val="center"/>
            <w:hideMark/>
          </w:tcPr>
          <w:p w14:paraId="363B9D04"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713" w:type="dxa"/>
            <w:tcBorders>
              <w:top w:val="nil"/>
              <w:left w:val="nil"/>
              <w:bottom w:val="single" w:sz="8" w:space="0" w:color="auto"/>
              <w:right w:val="nil"/>
            </w:tcBorders>
            <w:shd w:val="clear" w:color="auto" w:fill="auto"/>
            <w:noWrap/>
            <w:vAlign w:val="center"/>
            <w:hideMark/>
          </w:tcPr>
          <w:p w14:paraId="280374C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1621" w:type="dxa"/>
            <w:tcBorders>
              <w:top w:val="nil"/>
              <w:left w:val="single" w:sz="4" w:space="0" w:color="auto"/>
              <w:bottom w:val="single" w:sz="8" w:space="0" w:color="auto"/>
              <w:right w:val="single" w:sz="4" w:space="0" w:color="auto"/>
            </w:tcBorders>
          </w:tcPr>
          <w:p w14:paraId="5A79D9DB" w14:textId="1E6ADF6B" w:rsidR="00451DA3" w:rsidRPr="00C65289" w:rsidRDefault="00BF668D"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856" w:type="dxa"/>
            <w:tcBorders>
              <w:top w:val="nil"/>
              <w:left w:val="single" w:sz="4" w:space="0" w:color="auto"/>
              <w:bottom w:val="single" w:sz="8" w:space="0" w:color="auto"/>
              <w:right w:val="nil"/>
            </w:tcBorders>
            <w:shd w:val="clear" w:color="auto" w:fill="auto"/>
            <w:noWrap/>
            <w:vAlign w:val="center"/>
            <w:hideMark/>
          </w:tcPr>
          <w:p w14:paraId="27A4A7DA" w14:textId="1A08B0F8"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1305" w:type="dxa"/>
            <w:tcBorders>
              <w:top w:val="nil"/>
              <w:left w:val="nil"/>
              <w:bottom w:val="single" w:sz="8" w:space="0" w:color="auto"/>
            </w:tcBorders>
            <w:shd w:val="clear" w:color="auto" w:fill="auto"/>
            <w:noWrap/>
            <w:vAlign w:val="center"/>
            <w:hideMark/>
          </w:tcPr>
          <w:p w14:paraId="72C825B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r>
      <w:tr w:rsidR="00AC6E27" w:rsidRPr="00C65289" w14:paraId="5A09E776"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523AD407"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Τσεχία</w:t>
            </w:r>
          </w:p>
        </w:tc>
        <w:tc>
          <w:tcPr>
            <w:tcW w:w="993" w:type="dxa"/>
            <w:tcBorders>
              <w:top w:val="nil"/>
              <w:left w:val="nil"/>
              <w:bottom w:val="single" w:sz="8" w:space="0" w:color="auto"/>
              <w:right w:val="nil"/>
            </w:tcBorders>
            <w:shd w:val="clear" w:color="auto" w:fill="auto"/>
            <w:noWrap/>
            <w:vAlign w:val="center"/>
            <w:hideMark/>
          </w:tcPr>
          <w:p w14:paraId="35E4F7C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w:t>
            </w:r>
          </w:p>
        </w:tc>
        <w:tc>
          <w:tcPr>
            <w:tcW w:w="745" w:type="dxa"/>
            <w:tcBorders>
              <w:top w:val="nil"/>
              <w:left w:val="nil"/>
              <w:bottom w:val="single" w:sz="8" w:space="0" w:color="auto"/>
              <w:right w:val="nil"/>
            </w:tcBorders>
            <w:shd w:val="clear" w:color="auto" w:fill="auto"/>
            <w:noWrap/>
            <w:vAlign w:val="center"/>
            <w:hideMark/>
          </w:tcPr>
          <w:p w14:paraId="2C030C2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w:t>
            </w:r>
          </w:p>
        </w:tc>
        <w:tc>
          <w:tcPr>
            <w:tcW w:w="718" w:type="dxa"/>
            <w:tcBorders>
              <w:top w:val="nil"/>
              <w:left w:val="nil"/>
              <w:bottom w:val="single" w:sz="8" w:space="0" w:color="auto"/>
              <w:right w:val="nil"/>
            </w:tcBorders>
            <w:shd w:val="clear" w:color="auto" w:fill="auto"/>
            <w:noWrap/>
            <w:vAlign w:val="center"/>
            <w:hideMark/>
          </w:tcPr>
          <w:p w14:paraId="0BF4F84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713" w:type="dxa"/>
            <w:tcBorders>
              <w:top w:val="nil"/>
              <w:left w:val="nil"/>
              <w:bottom w:val="single" w:sz="8" w:space="0" w:color="auto"/>
              <w:right w:val="nil"/>
            </w:tcBorders>
            <w:shd w:val="clear" w:color="auto" w:fill="auto"/>
            <w:noWrap/>
            <w:vAlign w:val="center"/>
            <w:hideMark/>
          </w:tcPr>
          <w:p w14:paraId="4FE473CF"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c>
          <w:tcPr>
            <w:tcW w:w="1621" w:type="dxa"/>
            <w:tcBorders>
              <w:top w:val="nil"/>
              <w:left w:val="single" w:sz="4" w:space="0" w:color="auto"/>
              <w:bottom w:val="single" w:sz="8" w:space="0" w:color="auto"/>
              <w:right w:val="single" w:sz="4" w:space="0" w:color="auto"/>
            </w:tcBorders>
          </w:tcPr>
          <w:p w14:paraId="69C4D968" w14:textId="241C7AAA" w:rsidR="00451DA3" w:rsidRPr="00C65289" w:rsidRDefault="001046A6"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-2,3</w:t>
            </w:r>
          </w:p>
        </w:tc>
        <w:tc>
          <w:tcPr>
            <w:tcW w:w="856" w:type="dxa"/>
            <w:tcBorders>
              <w:top w:val="nil"/>
              <w:left w:val="single" w:sz="4" w:space="0" w:color="auto"/>
              <w:bottom w:val="single" w:sz="8" w:space="0" w:color="auto"/>
              <w:right w:val="nil"/>
            </w:tcBorders>
            <w:shd w:val="clear" w:color="auto" w:fill="auto"/>
            <w:noWrap/>
            <w:vAlign w:val="center"/>
            <w:hideMark/>
          </w:tcPr>
          <w:p w14:paraId="0A3BADC2" w14:textId="2761B0B5"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w:t>
            </w:r>
          </w:p>
        </w:tc>
        <w:tc>
          <w:tcPr>
            <w:tcW w:w="1305" w:type="dxa"/>
            <w:tcBorders>
              <w:top w:val="nil"/>
              <w:left w:val="nil"/>
              <w:bottom w:val="single" w:sz="8" w:space="0" w:color="auto"/>
            </w:tcBorders>
            <w:shd w:val="clear" w:color="auto" w:fill="auto"/>
            <w:noWrap/>
            <w:vAlign w:val="center"/>
            <w:hideMark/>
          </w:tcPr>
          <w:p w14:paraId="2E85B1F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-1,9</w:t>
            </w:r>
          </w:p>
        </w:tc>
      </w:tr>
      <w:tr w:rsidR="00AC6E27" w:rsidRPr="00C65289" w14:paraId="2F547263"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49018EAE"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Εσθονία</w:t>
            </w:r>
          </w:p>
        </w:tc>
        <w:tc>
          <w:tcPr>
            <w:tcW w:w="993" w:type="dxa"/>
            <w:tcBorders>
              <w:top w:val="nil"/>
              <w:left w:val="nil"/>
              <w:bottom w:val="single" w:sz="8" w:space="0" w:color="auto"/>
              <w:right w:val="nil"/>
            </w:tcBorders>
            <w:shd w:val="clear" w:color="auto" w:fill="auto"/>
            <w:noWrap/>
            <w:vAlign w:val="center"/>
            <w:hideMark/>
          </w:tcPr>
          <w:p w14:paraId="5BCB89D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745" w:type="dxa"/>
            <w:tcBorders>
              <w:top w:val="nil"/>
              <w:left w:val="nil"/>
              <w:bottom w:val="single" w:sz="8" w:space="0" w:color="auto"/>
              <w:right w:val="nil"/>
            </w:tcBorders>
            <w:shd w:val="clear" w:color="auto" w:fill="auto"/>
            <w:noWrap/>
            <w:vAlign w:val="center"/>
            <w:hideMark/>
          </w:tcPr>
          <w:p w14:paraId="2A74EFA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718" w:type="dxa"/>
            <w:tcBorders>
              <w:top w:val="nil"/>
              <w:left w:val="nil"/>
              <w:bottom w:val="single" w:sz="8" w:space="0" w:color="auto"/>
              <w:right w:val="nil"/>
            </w:tcBorders>
            <w:shd w:val="clear" w:color="auto" w:fill="auto"/>
            <w:noWrap/>
            <w:vAlign w:val="center"/>
            <w:hideMark/>
          </w:tcPr>
          <w:p w14:paraId="6319AF2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w:t>
            </w:r>
          </w:p>
        </w:tc>
        <w:tc>
          <w:tcPr>
            <w:tcW w:w="713" w:type="dxa"/>
            <w:tcBorders>
              <w:top w:val="nil"/>
              <w:left w:val="nil"/>
              <w:bottom w:val="single" w:sz="8" w:space="0" w:color="auto"/>
              <w:right w:val="nil"/>
            </w:tcBorders>
            <w:shd w:val="clear" w:color="auto" w:fill="auto"/>
            <w:noWrap/>
            <w:vAlign w:val="center"/>
            <w:hideMark/>
          </w:tcPr>
          <w:p w14:paraId="6B60754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1621" w:type="dxa"/>
            <w:tcBorders>
              <w:top w:val="nil"/>
              <w:left w:val="single" w:sz="4" w:space="0" w:color="auto"/>
              <w:bottom w:val="single" w:sz="8" w:space="0" w:color="auto"/>
              <w:right w:val="single" w:sz="4" w:space="0" w:color="auto"/>
            </w:tcBorders>
          </w:tcPr>
          <w:p w14:paraId="5B5D7416" w14:textId="3BB0C4DC" w:rsidR="00451DA3" w:rsidRPr="00C65289" w:rsidRDefault="002C7C65"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856" w:type="dxa"/>
            <w:tcBorders>
              <w:top w:val="nil"/>
              <w:left w:val="single" w:sz="4" w:space="0" w:color="auto"/>
              <w:bottom w:val="single" w:sz="8" w:space="0" w:color="auto"/>
              <w:right w:val="nil"/>
            </w:tcBorders>
            <w:shd w:val="clear" w:color="auto" w:fill="auto"/>
            <w:noWrap/>
            <w:vAlign w:val="center"/>
            <w:hideMark/>
          </w:tcPr>
          <w:p w14:paraId="6E8115E3" w14:textId="1D68DFC6"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1305" w:type="dxa"/>
            <w:tcBorders>
              <w:top w:val="nil"/>
              <w:left w:val="nil"/>
              <w:bottom w:val="single" w:sz="8" w:space="0" w:color="auto"/>
            </w:tcBorders>
            <w:shd w:val="clear" w:color="auto" w:fill="auto"/>
            <w:noWrap/>
            <w:vAlign w:val="center"/>
            <w:hideMark/>
          </w:tcPr>
          <w:p w14:paraId="69319CA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r>
      <w:tr w:rsidR="00AC6E27" w:rsidRPr="00C65289" w14:paraId="43F41E20"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55B51C20"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Ισπανία</w:t>
            </w:r>
          </w:p>
        </w:tc>
        <w:tc>
          <w:tcPr>
            <w:tcW w:w="993" w:type="dxa"/>
            <w:tcBorders>
              <w:top w:val="nil"/>
              <w:left w:val="nil"/>
              <w:bottom w:val="single" w:sz="8" w:space="0" w:color="auto"/>
              <w:right w:val="nil"/>
            </w:tcBorders>
            <w:shd w:val="clear" w:color="auto" w:fill="auto"/>
            <w:noWrap/>
            <w:vAlign w:val="center"/>
            <w:hideMark/>
          </w:tcPr>
          <w:p w14:paraId="2004E18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-10,1</w:t>
            </w:r>
          </w:p>
        </w:tc>
        <w:tc>
          <w:tcPr>
            <w:tcW w:w="745" w:type="dxa"/>
            <w:tcBorders>
              <w:top w:val="nil"/>
              <w:left w:val="nil"/>
              <w:bottom w:val="single" w:sz="8" w:space="0" w:color="auto"/>
              <w:right w:val="nil"/>
            </w:tcBorders>
            <w:shd w:val="clear" w:color="auto" w:fill="auto"/>
            <w:noWrap/>
            <w:vAlign w:val="center"/>
            <w:hideMark/>
          </w:tcPr>
          <w:p w14:paraId="764BB83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-6,7</w:t>
            </w:r>
          </w:p>
        </w:tc>
        <w:tc>
          <w:tcPr>
            <w:tcW w:w="718" w:type="dxa"/>
            <w:tcBorders>
              <w:top w:val="nil"/>
              <w:left w:val="nil"/>
              <w:bottom w:val="single" w:sz="8" w:space="0" w:color="auto"/>
              <w:right w:val="nil"/>
            </w:tcBorders>
            <w:shd w:val="clear" w:color="auto" w:fill="auto"/>
            <w:noWrap/>
            <w:vAlign w:val="center"/>
            <w:hideMark/>
          </w:tcPr>
          <w:p w14:paraId="51E762E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c>
          <w:tcPr>
            <w:tcW w:w="713" w:type="dxa"/>
            <w:tcBorders>
              <w:top w:val="nil"/>
              <w:left w:val="nil"/>
              <w:bottom w:val="single" w:sz="8" w:space="0" w:color="auto"/>
              <w:right w:val="nil"/>
            </w:tcBorders>
            <w:shd w:val="clear" w:color="auto" w:fill="auto"/>
            <w:noWrap/>
            <w:vAlign w:val="center"/>
            <w:hideMark/>
          </w:tcPr>
          <w:p w14:paraId="34CA5664"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1621" w:type="dxa"/>
            <w:tcBorders>
              <w:top w:val="nil"/>
              <w:left w:val="single" w:sz="4" w:space="0" w:color="auto"/>
              <w:bottom w:val="single" w:sz="8" w:space="0" w:color="auto"/>
              <w:right w:val="single" w:sz="4" w:space="0" w:color="auto"/>
            </w:tcBorders>
          </w:tcPr>
          <w:p w14:paraId="277008B0" w14:textId="3D11D41A" w:rsidR="00451DA3" w:rsidRPr="00C65289" w:rsidRDefault="00F857B8"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-3,0</w:t>
            </w:r>
          </w:p>
        </w:tc>
        <w:tc>
          <w:tcPr>
            <w:tcW w:w="856" w:type="dxa"/>
            <w:tcBorders>
              <w:top w:val="nil"/>
              <w:left w:val="single" w:sz="4" w:space="0" w:color="auto"/>
              <w:bottom w:val="single" w:sz="8" w:space="0" w:color="auto"/>
              <w:right w:val="nil"/>
            </w:tcBorders>
            <w:shd w:val="clear" w:color="auto" w:fill="auto"/>
            <w:noWrap/>
            <w:vAlign w:val="center"/>
            <w:hideMark/>
          </w:tcPr>
          <w:p w14:paraId="51611AAF" w14:textId="19F3577D"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-3,0</w:t>
            </w:r>
          </w:p>
        </w:tc>
        <w:tc>
          <w:tcPr>
            <w:tcW w:w="1305" w:type="dxa"/>
            <w:tcBorders>
              <w:top w:val="nil"/>
              <w:left w:val="nil"/>
              <w:bottom w:val="single" w:sz="8" w:space="0" w:color="auto"/>
            </w:tcBorders>
            <w:shd w:val="clear" w:color="auto" w:fill="auto"/>
            <w:noWrap/>
            <w:vAlign w:val="center"/>
            <w:hideMark/>
          </w:tcPr>
          <w:p w14:paraId="15499C0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r>
      <w:tr w:rsidR="00AC6E27" w:rsidRPr="00C65289" w14:paraId="611BAF20"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07347A16"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Γαλλία</w:t>
            </w:r>
          </w:p>
        </w:tc>
        <w:tc>
          <w:tcPr>
            <w:tcW w:w="993" w:type="dxa"/>
            <w:tcBorders>
              <w:top w:val="nil"/>
              <w:left w:val="nil"/>
              <w:bottom w:val="single" w:sz="8" w:space="0" w:color="auto"/>
              <w:right w:val="nil"/>
            </w:tcBorders>
            <w:shd w:val="clear" w:color="auto" w:fill="auto"/>
            <w:noWrap/>
            <w:vAlign w:val="center"/>
            <w:hideMark/>
          </w:tcPr>
          <w:p w14:paraId="033C43E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-8,9</w:t>
            </w:r>
          </w:p>
        </w:tc>
        <w:tc>
          <w:tcPr>
            <w:tcW w:w="745" w:type="dxa"/>
            <w:tcBorders>
              <w:top w:val="nil"/>
              <w:left w:val="nil"/>
              <w:bottom w:val="single" w:sz="8" w:space="0" w:color="auto"/>
              <w:right w:val="nil"/>
            </w:tcBorders>
            <w:shd w:val="clear" w:color="auto" w:fill="auto"/>
            <w:noWrap/>
            <w:vAlign w:val="center"/>
            <w:hideMark/>
          </w:tcPr>
          <w:p w14:paraId="3A05F1A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-6,6</w:t>
            </w:r>
          </w:p>
        </w:tc>
        <w:tc>
          <w:tcPr>
            <w:tcW w:w="718" w:type="dxa"/>
            <w:tcBorders>
              <w:top w:val="nil"/>
              <w:left w:val="nil"/>
              <w:bottom w:val="single" w:sz="8" w:space="0" w:color="auto"/>
              <w:right w:val="nil"/>
            </w:tcBorders>
            <w:shd w:val="clear" w:color="auto" w:fill="auto"/>
            <w:noWrap/>
            <w:vAlign w:val="center"/>
            <w:hideMark/>
          </w:tcPr>
          <w:p w14:paraId="11153DE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w:t>
            </w:r>
          </w:p>
        </w:tc>
        <w:tc>
          <w:tcPr>
            <w:tcW w:w="713" w:type="dxa"/>
            <w:tcBorders>
              <w:top w:val="nil"/>
              <w:left w:val="nil"/>
              <w:bottom w:val="single" w:sz="8" w:space="0" w:color="auto"/>
              <w:right w:val="nil"/>
            </w:tcBorders>
            <w:shd w:val="clear" w:color="auto" w:fill="auto"/>
            <w:noWrap/>
            <w:vAlign w:val="center"/>
            <w:hideMark/>
          </w:tcPr>
          <w:p w14:paraId="76F3F53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-5,5</w:t>
            </w:r>
          </w:p>
        </w:tc>
        <w:tc>
          <w:tcPr>
            <w:tcW w:w="1621" w:type="dxa"/>
            <w:tcBorders>
              <w:top w:val="nil"/>
              <w:left w:val="single" w:sz="4" w:space="0" w:color="auto"/>
              <w:bottom w:val="single" w:sz="8" w:space="0" w:color="auto"/>
              <w:right w:val="single" w:sz="4" w:space="0" w:color="auto"/>
            </w:tcBorders>
          </w:tcPr>
          <w:p w14:paraId="7299401E" w14:textId="1EE905E7" w:rsidR="00451DA3" w:rsidRPr="00C65289" w:rsidRDefault="001F130D"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w:t>
            </w:r>
          </w:p>
        </w:tc>
        <w:tc>
          <w:tcPr>
            <w:tcW w:w="856" w:type="dxa"/>
            <w:tcBorders>
              <w:top w:val="nil"/>
              <w:left w:val="single" w:sz="4" w:space="0" w:color="auto"/>
              <w:bottom w:val="single" w:sz="8" w:space="0" w:color="auto"/>
              <w:right w:val="nil"/>
            </w:tcBorders>
            <w:shd w:val="clear" w:color="auto" w:fill="auto"/>
            <w:noWrap/>
            <w:vAlign w:val="center"/>
            <w:hideMark/>
          </w:tcPr>
          <w:p w14:paraId="08144C2E" w14:textId="386AC1CA"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w:t>
            </w:r>
          </w:p>
        </w:tc>
        <w:tc>
          <w:tcPr>
            <w:tcW w:w="1305" w:type="dxa"/>
            <w:tcBorders>
              <w:top w:val="nil"/>
              <w:left w:val="nil"/>
              <w:bottom w:val="single" w:sz="8" w:space="0" w:color="auto"/>
            </w:tcBorders>
            <w:shd w:val="clear" w:color="auto" w:fill="auto"/>
            <w:noWrap/>
            <w:vAlign w:val="center"/>
            <w:hideMark/>
          </w:tcPr>
          <w:p w14:paraId="0DBB2F8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w:t>
            </w:r>
          </w:p>
        </w:tc>
      </w:tr>
      <w:tr w:rsidR="00AC6E27" w:rsidRPr="00C65289" w14:paraId="7D245073"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7E1A5156"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Ιταλία</w:t>
            </w:r>
          </w:p>
        </w:tc>
        <w:tc>
          <w:tcPr>
            <w:tcW w:w="993" w:type="dxa"/>
            <w:tcBorders>
              <w:top w:val="nil"/>
              <w:left w:val="nil"/>
              <w:bottom w:val="single" w:sz="8" w:space="0" w:color="auto"/>
              <w:right w:val="nil"/>
            </w:tcBorders>
            <w:shd w:val="clear" w:color="auto" w:fill="auto"/>
            <w:noWrap/>
            <w:vAlign w:val="center"/>
            <w:hideMark/>
          </w:tcPr>
          <w:p w14:paraId="52AF53F7"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-9,4</w:t>
            </w:r>
          </w:p>
        </w:tc>
        <w:tc>
          <w:tcPr>
            <w:tcW w:w="745" w:type="dxa"/>
            <w:tcBorders>
              <w:top w:val="nil"/>
              <w:left w:val="nil"/>
              <w:bottom w:val="single" w:sz="8" w:space="0" w:color="auto"/>
              <w:right w:val="nil"/>
            </w:tcBorders>
            <w:shd w:val="clear" w:color="auto" w:fill="auto"/>
            <w:noWrap/>
            <w:vAlign w:val="center"/>
            <w:hideMark/>
          </w:tcPr>
          <w:p w14:paraId="2B35112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-8,7</w:t>
            </w:r>
          </w:p>
        </w:tc>
        <w:tc>
          <w:tcPr>
            <w:tcW w:w="718" w:type="dxa"/>
            <w:tcBorders>
              <w:top w:val="nil"/>
              <w:left w:val="nil"/>
              <w:bottom w:val="single" w:sz="8" w:space="0" w:color="auto"/>
              <w:right w:val="nil"/>
            </w:tcBorders>
            <w:shd w:val="clear" w:color="auto" w:fill="auto"/>
            <w:noWrap/>
            <w:vAlign w:val="center"/>
            <w:hideMark/>
          </w:tcPr>
          <w:p w14:paraId="2DE010F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-8,6</w:t>
            </w:r>
          </w:p>
        </w:tc>
        <w:tc>
          <w:tcPr>
            <w:tcW w:w="713" w:type="dxa"/>
            <w:tcBorders>
              <w:top w:val="nil"/>
              <w:left w:val="nil"/>
              <w:bottom w:val="single" w:sz="8" w:space="0" w:color="auto"/>
              <w:right w:val="nil"/>
            </w:tcBorders>
            <w:shd w:val="clear" w:color="auto" w:fill="auto"/>
            <w:noWrap/>
            <w:vAlign w:val="center"/>
            <w:hideMark/>
          </w:tcPr>
          <w:p w14:paraId="07F86B24"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-7,4</w:t>
            </w:r>
          </w:p>
        </w:tc>
        <w:tc>
          <w:tcPr>
            <w:tcW w:w="1621" w:type="dxa"/>
            <w:tcBorders>
              <w:top w:val="nil"/>
              <w:left w:val="single" w:sz="4" w:space="0" w:color="auto"/>
              <w:bottom w:val="single" w:sz="8" w:space="0" w:color="auto"/>
              <w:right w:val="single" w:sz="4" w:space="0" w:color="auto"/>
            </w:tcBorders>
          </w:tcPr>
          <w:p w14:paraId="0784DB14" w14:textId="2DDF0DA4" w:rsidR="00451DA3" w:rsidRPr="00C65289" w:rsidRDefault="00CF0239"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c>
          <w:tcPr>
            <w:tcW w:w="856" w:type="dxa"/>
            <w:tcBorders>
              <w:top w:val="nil"/>
              <w:left w:val="single" w:sz="4" w:space="0" w:color="auto"/>
              <w:bottom w:val="single" w:sz="8" w:space="0" w:color="auto"/>
              <w:right w:val="nil"/>
            </w:tcBorders>
            <w:shd w:val="clear" w:color="auto" w:fill="auto"/>
            <w:noWrap/>
            <w:vAlign w:val="center"/>
            <w:hideMark/>
          </w:tcPr>
          <w:p w14:paraId="60330484" w14:textId="44B8FB13"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1305" w:type="dxa"/>
            <w:tcBorders>
              <w:top w:val="nil"/>
              <w:left w:val="nil"/>
              <w:bottom w:val="single" w:sz="8" w:space="0" w:color="auto"/>
            </w:tcBorders>
            <w:shd w:val="clear" w:color="auto" w:fill="auto"/>
            <w:noWrap/>
            <w:vAlign w:val="center"/>
            <w:hideMark/>
          </w:tcPr>
          <w:p w14:paraId="20411DE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r>
      <w:tr w:rsidR="00AC6E27" w:rsidRPr="00C65289" w14:paraId="7204C733"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752F3473"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Ουγγαρία</w:t>
            </w:r>
          </w:p>
        </w:tc>
        <w:tc>
          <w:tcPr>
            <w:tcW w:w="993" w:type="dxa"/>
            <w:tcBorders>
              <w:top w:val="nil"/>
              <w:left w:val="nil"/>
              <w:bottom w:val="single" w:sz="8" w:space="0" w:color="auto"/>
              <w:right w:val="nil"/>
            </w:tcBorders>
            <w:shd w:val="clear" w:color="auto" w:fill="auto"/>
            <w:noWrap/>
            <w:vAlign w:val="center"/>
            <w:hideMark/>
          </w:tcPr>
          <w:p w14:paraId="2EFC168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-7,6</w:t>
            </w:r>
          </w:p>
        </w:tc>
        <w:tc>
          <w:tcPr>
            <w:tcW w:w="745" w:type="dxa"/>
            <w:tcBorders>
              <w:top w:val="nil"/>
              <w:left w:val="nil"/>
              <w:bottom w:val="single" w:sz="8" w:space="0" w:color="auto"/>
              <w:right w:val="nil"/>
            </w:tcBorders>
            <w:shd w:val="clear" w:color="auto" w:fill="auto"/>
            <w:noWrap/>
            <w:vAlign w:val="center"/>
            <w:hideMark/>
          </w:tcPr>
          <w:p w14:paraId="17F9823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-7,2</w:t>
            </w:r>
          </w:p>
        </w:tc>
        <w:tc>
          <w:tcPr>
            <w:tcW w:w="718" w:type="dxa"/>
            <w:tcBorders>
              <w:top w:val="nil"/>
              <w:left w:val="nil"/>
              <w:bottom w:val="single" w:sz="8" w:space="0" w:color="auto"/>
              <w:right w:val="nil"/>
            </w:tcBorders>
            <w:shd w:val="clear" w:color="auto" w:fill="auto"/>
            <w:noWrap/>
            <w:vAlign w:val="center"/>
            <w:hideMark/>
          </w:tcPr>
          <w:p w14:paraId="5A05B99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-6,2</w:t>
            </w:r>
          </w:p>
        </w:tc>
        <w:tc>
          <w:tcPr>
            <w:tcW w:w="713" w:type="dxa"/>
            <w:tcBorders>
              <w:top w:val="nil"/>
              <w:left w:val="nil"/>
              <w:bottom w:val="single" w:sz="8" w:space="0" w:color="auto"/>
              <w:right w:val="nil"/>
            </w:tcBorders>
            <w:shd w:val="clear" w:color="auto" w:fill="auto"/>
            <w:noWrap/>
            <w:vAlign w:val="center"/>
            <w:hideMark/>
          </w:tcPr>
          <w:p w14:paraId="28ADE3D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-6,7</w:t>
            </w:r>
          </w:p>
        </w:tc>
        <w:tc>
          <w:tcPr>
            <w:tcW w:w="1621" w:type="dxa"/>
            <w:tcBorders>
              <w:top w:val="nil"/>
              <w:left w:val="single" w:sz="4" w:space="0" w:color="auto"/>
              <w:bottom w:val="single" w:sz="8" w:space="0" w:color="auto"/>
              <w:right w:val="single" w:sz="4" w:space="0" w:color="auto"/>
            </w:tcBorders>
          </w:tcPr>
          <w:p w14:paraId="53792CF9" w14:textId="2CC9B880" w:rsidR="00451DA3" w:rsidRPr="00C65289" w:rsidRDefault="00F74C5A"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w:t>
            </w:r>
          </w:p>
        </w:tc>
        <w:tc>
          <w:tcPr>
            <w:tcW w:w="856" w:type="dxa"/>
            <w:tcBorders>
              <w:top w:val="nil"/>
              <w:left w:val="single" w:sz="4" w:space="0" w:color="auto"/>
              <w:bottom w:val="single" w:sz="8" w:space="0" w:color="auto"/>
              <w:right w:val="nil"/>
            </w:tcBorders>
            <w:shd w:val="clear" w:color="auto" w:fill="auto"/>
            <w:noWrap/>
            <w:vAlign w:val="center"/>
            <w:hideMark/>
          </w:tcPr>
          <w:p w14:paraId="320AB754" w14:textId="1E343244"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1305" w:type="dxa"/>
            <w:tcBorders>
              <w:top w:val="nil"/>
              <w:left w:val="nil"/>
              <w:bottom w:val="single" w:sz="8" w:space="0" w:color="auto"/>
            </w:tcBorders>
            <w:shd w:val="clear" w:color="auto" w:fill="auto"/>
            <w:noWrap/>
            <w:vAlign w:val="center"/>
            <w:hideMark/>
          </w:tcPr>
          <w:p w14:paraId="6027CD8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w:t>
            </w:r>
          </w:p>
        </w:tc>
      </w:tr>
      <w:tr w:rsidR="00AC6E27" w:rsidRPr="00C65289" w14:paraId="74E302EB"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3C5AE5D7"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Μάλτα</w:t>
            </w:r>
          </w:p>
        </w:tc>
        <w:tc>
          <w:tcPr>
            <w:tcW w:w="993" w:type="dxa"/>
            <w:tcBorders>
              <w:top w:val="nil"/>
              <w:left w:val="nil"/>
              <w:bottom w:val="single" w:sz="8" w:space="0" w:color="auto"/>
              <w:right w:val="nil"/>
            </w:tcBorders>
            <w:shd w:val="clear" w:color="auto" w:fill="auto"/>
            <w:noWrap/>
            <w:vAlign w:val="center"/>
            <w:hideMark/>
          </w:tcPr>
          <w:p w14:paraId="06303BC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-9,4</w:t>
            </w:r>
          </w:p>
        </w:tc>
        <w:tc>
          <w:tcPr>
            <w:tcW w:w="745" w:type="dxa"/>
            <w:tcBorders>
              <w:top w:val="nil"/>
              <w:left w:val="nil"/>
              <w:bottom w:val="single" w:sz="8" w:space="0" w:color="auto"/>
              <w:right w:val="nil"/>
            </w:tcBorders>
            <w:shd w:val="clear" w:color="auto" w:fill="auto"/>
            <w:noWrap/>
            <w:vAlign w:val="center"/>
            <w:hideMark/>
          </w:tcPr>
          <w:p w14:paraId="03711C0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-7,6</w:t>
            </w:r>
          </w:p>
        </w:tc>
        <w:tc>
          <w:tcPr>
            <w:tcW w:w="718" w:type="dxa"/>
            <w:tcBorders>
              <w:top w:val="nil"/>
              <w:left w:val="nil"/>
              <w:bottom w:val="single" w:sz="8" w:space="0" w:color="auto"/>
              <w:right w:val="nil"/>
            </w:tcBorders>
            <w:shd w:val="clear" w:color="auto" w:fill="auto"/>
            <w:noWrap/>
            <w:vAlign w:val="center"/>
            <w:hideMark/>
          </w:tcPr>
          <w:p w14:paraId="254C116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-5,5</w:t>
            </w:r>
          </w:p>
        </w:tc>
        <w:tc>
          <w:tcPr>
            <w:tcW w:w="713" w:type="dxa"/>
            <w:tcBorders>
              <w:top w:val="nil"/>
              <w:left w:val="nil"/>
              <w:bottom w:val="single" w:sz="8" w:space="0" w:color="auto"/>
              <w:right w:val="nil"/>
            </w:tcBorders>
            <w:shd w:val="clear" w:color="auto" w:fill="auto"/>
            <w:noWrap/>
            <w:vAlign w:val="center"/>
            <w:hideMark/>
          </w:tcPr>
          <w:p w14:paraId="724386D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w:t>
            </w:r>
          </w:p>
        </w:tc>
        <w:tc>
          <w:tcPr>
            <w:tcW w:w="1621" w:type="dxa"/>
            <w:tcBorders>
              <w:top w:val="nil"/>
              <w:left w:val="single" w:sz="4" w:space="0" w:color="auto"/>
              <w:bottom w:val="single" w:sz="8" w:space="0" w:color="auto"/>
              <w:right w:val="single" w:sz="4" w:space="0" w:color="auto"/>
            </w:tcBorders>
          </w:tcPr>
          <w:p w14:paraId="4BD728E9" w14:textId="4EEF057E" w:rsidR="00451DA3" w:rsidRPr="00C65289" w:rsidRDefault="00C008D5"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w:t>
            </w:r>
          </w:p>
        </w:tc>
        <w:tc>
          <w:tcPr>
            <w:tcW w:w="856" w:type="dxa"/>
            <w:tcBorders>
              <w:top w:val="nil"/>
              <w:left w:val="single" w:sz="4" w:space="0" w:color="auto"/>
              <w:bottom w:val="single" w:sz="8" w:space="0" w:color="auto"/>
              <w:right w:val="nil"/>
            </w:tcBorders>
            <w:shd w:val="clear" w:color="auto" w:fill="auto"/>
            <w:noWrap/>
            <w:vAlign w:val="center"/>
            <w:hideMark/>
          </w:tcPr>
          <w:p w14:paraId="239990D9" w14:textId="2E0D35D6"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c>
          <w:tcPr>
            <w:tcW w:w="1305" w:type="dxa"/>
            <w:tcBorders>
              <w:top w:val="nil"/>
              <w:left w:val="nil"/>
              <w:bottom w:val="single" w:sz="8" w:space="0" w:color="auto"/>
            </w:tcBorders>
            <w:shd w:val="clear" w:color="auto" w:fill="auto"/>
            <w:noWrap/>
            <w:vAlign w:val="center"/>
            <w:hideMark/>
          </w:tcPr>
          <w:p w14:paraId="5556901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r>
      <w:tr w:rsidR="00AC6E27" w:rsidRPr="00C65289" w14:paraId="50DF70A1"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43F3EA88"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Πολωνία</w:t>
            </w:r>
          </w:p>
        </w:tc>
        <w:tc>
          <w:tcPr>
            <w:tcW w:w="993" w:type="dxa"/>
            <w:tcBorders>
              <w:top w:val="nil"/>
              <w:left w:val="nil"/>
              <w:bottom w:val="single" w:sz="8" w:space="0" w:color="auto"/>
              <w:right w:val="nil"/>
            </w:tcBorders>
            <w:shd w:val="clear" w:color="auto" w:fill="auto"/>
            <w:noWrap/>
            <w:vAlign w:val="center"/>
            <w:hideMark/>
          </w:tcPr>
          <w:p w14:paraId="7F79324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-6,9</w:t>
            </w:r>
          </w:p>
        </w:tc>
        <w:tc>
          <w:tcPr>
            <w:tcW w:w="745" w:type="dxa"/>
            <w:tcBorders>
              <w:top w:val="nil"/>
              <w:left w:val="nil"/>
              <w:bottom w:val="single" w:sz="8" w:space="0" w:color="auto"/>
              <w:right w:val="nil"/>
            </w:tcBorders>
            <w:shd w:val="clear" w:color="auto" w:fill="auto"/>
            <w:noWrap/>
            <w:vAlign w:val="center"/>
            <w:hideMark/>
          </w:tcPr>
          <w:p w14:paraId="678BBE7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-1,8</w:t>
            </w:r>
          </w:p>
        </w:tc>
        <w:tc>
          <w:tcPr>
            <w:tcW w:w="718" w:type="dxa"/>
            <w:tcBorders>
              <w:top w:val="nil"/>
              <w:left w:val="nil"/>
              <w:bottom w:val="single" w:sz="8" w:space="0" w:color="auto"/>
              <w:right w:val="nil"/>
            </w:tcBorders>
            <w:shd w:val="clear" w:color="auto" w:fill="auto"/>
            <w:noWrap/>
            <w:vAlign w:val="center"/>
            <w:hideMark/>
          </w:tcPr>
          <w:p w14:paraId="7715C24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713" w:type="dxa"/>
            <w:tcBorders>
              <w:top w:val="nil"/>
              <w:left w:val="nil"/>
              <w:bottom w:val="single" w:sz="8" w:space="0" w:color="auto"/>
              <w:right w:val="nil"/>
            </w:tcBorders>
            <w:shd w:val="clear" w:color="auto" w:fill="auto"/>
            <w:noWrap/>
            <w:vAlign w:val="center"/>
            <w:hideMark/>
          </w:tcPr>
          <w:p w14:paraId="18CBE83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w:t>
            </w:r>
          </w:p>
        </w:tc>
        <w:tc>
          <w:tcPr>
            <w:tcW w:w="1621" w:type="dxa"/>
            <w:tcBorders>
              <w:top w:val="nil"/>
              <w:left w:val="single" w:sz="4" w:space="0" w:color="auto"/>
              <w:bottom w:val="single" w:sz="8" w:space="0" w:color="auto"/>
              <w:right w:val="single" w:sz="4" w:space="0" w:color="auto"/>
            </w:tcBorders>
          </w:tcPr>
          <w:p w14:paraId="2E466E43" w14:textId="5EDF7C1F" w:rsidR="00451DA3" w:rsidRPr="00C65289" w:rsidRDefault="003A570D"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w:t>
            </w:r>
          </w:p>
        </w:tc>
        <w:tc>
          <w:tcPr>
            <w:tcW w:w="856" w:type="dxa"/>
            <w:tcBorders>
              <w:top w:val="nil"/>
              <w:left w:val="single" w:sz="4" w:space="0" w:color="auto"/>
              <w:bottom w:val="single" w:sz="8" w:space="0" w:color="auto"/>
              <w:right w:val="nil"/>
            </w:tcBorders>
            <w:shd w:val="clear" w:color="auto" w:fill="auto"/>
            <w:noWrap/>
            <w:vAlign w:val="center"/>
            <w:hideMark/>
          </w:tcPr>
          <w:p w14:paraId="6198D468" w14:textId="05692894"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1305" w:type="dxa"/>
            <w:tcBorders>
              <w:top w:val="nil"/>
              <w:left w:val="nil"/>
              <w:bottom w:val="single" w:sz="8" w:space="0" w:color="auto"/>
            </w:tcBorders>
            <w:shd w:val="clear" w:color="auto" w:fill="auto"/>
            <w:noWrap/>
            <w:vAlign w:val="center"/>
            <w:hideMark/>
          </w:tcPr>
          <w:p w14:paraId="3F1983B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r>
      <w:tr w:rsidR="00AC6E27" w:rsidRPr="00C65289" w14:paraId="5B219A43"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26F0A635"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Σλοβενία</w:t>
            </w:r>
          </w:p>
        </w:tc>
        <w:tc>
          <w:tcPr>
            <w:tcW w:w="993" w:type="dxa"/>
            <w:tcBorders>
              <w:top w:val="nil"/>
              <w:left w:val="nil"/>
              <w:bottom w:val="single" w:sz="8" w:space="0" w:color="auto"/>
              <w:right w:val="nil"/>
            </w:tcBorders>
            <w:shd w:val="clear" w:color="auto" w:fill="auto"/>
            <w:noWrap/>
            <w:vAlign w:val="center"/>
            <w:hideMark/>
          </w:tcPr>
          <w:p w14:paraId="7925114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-7,6</w:t>
            </w:r>
          </w:p>
        </w:tc>
        <w:tc>
          <w:tcPr>
            <w:tcW w:w="745" w:type="dxa"/>
            <w:tcBorders>
              <w:top w:val="nil"/>
              <w:left w:val="nil"/>
              <w:bottom w:val="single" w:sz="8" w:space="0" w:color="auto"/>
              <w:right w:val="nil"/>
            </w:tcBorders>
            <w:shd w:val="clear" w:color="auto" w:fill="auto"/>
            <w:noWrap/>
            <w:vAlign w:val="center"/>
            <w:hideMark/>
          </w:tcPr>
          <w:p w14:paraId="1E158CD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c>
          <w:tcPr>
            <w:tcW w:w="718" w:type="dxa"/>
            <w:tcBorders>
              <w:top w:val="nil"/>
              <w:left w:val="nil"/>
              <w:bottom w:val="single" w:sz="8" w:space="0" w:color="auto"/>
              <w:right w:val="nil"/>
            </w:tcBorders>
            <w:shd w:val="clear" w:color="auto" w:fill="auto"/>
            <w:noWrap/>
            <w:vAlign w:val="center"/>
            <w:hideMark/>
          </w:tcPr>
          <w:p w14:paraId="3BC8F43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-3,0</w:t>
            </w:r>
          </w:p>
        </w:tc>
        <w:tc>
          <w:tcPr>
            <w:tcW w:w="713" w:type="dxa"/>
            <w:tcBorders>
              <w:top w:val="nil"/>
              <w:left w:val="nil"/>
              <w:bottom w:val="single" w:sz="8" w:space="0" w:color="auto"/>
              <w:right w:val="nil"/>
            </w:tcBorders>
            <w:shd w:val="clear" w:color="auto" w:fill="auto"/>
            <w:noWrap/>
            <w:vAlign w:val="center"/>
            <w:hideMark/>
          </w:tcPr>
          <w:p w14:paraId="274EA3B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1621" w:type="dxa"/>
            <w:tcBorders>
              <w:top w:val="nil"/>
              <w:left w:val="single" w:sz="4" w:space="0" w:color="auto"/>
              <w:bottom w:val="single" w:sz="8" w:space="0" w:color="auto"/>
              <w:right w:val="single" w:sz="4" w:space="0" w:color="auto"/>
            </w:tcBorders>
          </w:tcPr>
          <w:p w14:paraId="0F008A0B" w14:textId="51EE6605" w:rsidR="00451DA3" w:rsidRPr="00C65289" w:rsidRDefault="003C0457"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856" w:type="dxa"/>
            <w:tcBorders>
              <w:top w:val="nil"/>
              <w:left w:val="single" w:sz="4" w:space="0" w:color="auto"/>
              <w:bottom w:val="single" w:sz="8" w:space="0" w:color="auto"/>
              <w:right w:val="nil"/>
            </w:tcBorders>
            <w:shd w:val="clear" w:color="auto" w:fill="auto"/>
            <w:noWrap/>
            <w:vAlign w:val="center"/>
            <w:hideMark/>
          </w:tcPr>
          <w:p w14:paraId="0EEBC8B3" w14:textId="42D8B766"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1305" w:type="dxa"/>
            <w:tcBorders>
              <w:top w:val="nil"/>
              <w:left w:val="nil"/>
              <w:bottom w:val="single" w:sz="8" w:space="0" w:color="auto"/>
            </w:tcBorders>
            <w:shd w:val="clear" w:color="auto" w:fill="auto"/>
            <w:noWrap/>
            <w:vAlign w:val="center"/>
            <w:hideMark/>
          </w:tcPr>
          <w:p w14:paraId="067F425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-2,2</w:t>
            </w:r>
          </w:p>
        </w:tc>
      </w:tr>
      <w:tr w:rsidR="00AC6E27" w:rsidRPr="00C65289" w14:paraId="15A6571D"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3327EA30"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Σλοβακία</w:t>
            </w:r>
          </w:p>
        </w:tc>
        <w:tc>
          <w:tcPr>
            <w:tcW w:w="993" w:type="dxa"/>
            <w:tcBorders>
              <w:top w:val="nil"/>
              <w:left w:val="nil"/>
              <w:bottom w:val="single" w:sz="8" w:space="0" w:color="auto"/>
              <w:right w:val="nil"/>
            </w:tcBorders>
            <w:shd w:val="clear" w:color="auto" w:fill="auto"/>
            <w:noWrap/>
            <w:vAlign w:val="center"/>
            <w:hideMark/>
          </w:tcPr>
          <w:p w14:paraId="1D4FF1D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w:t>
            </w:r>
          </w:p>
        </w:tc>
        <w:tc>
          <w:tcPr>
            <w:tcW w:w="745" w:type="dxa"/>
            <w:tcBorders>
              <w:top w:val="nil"/>
              <w:left w:val="nil"/>
              <w:bottom w:val="single" w:sz="8" w:space="0" w:color="auto"/>
              <w:right w:val="nil"/>
            </w:tcBorders>
            <w:shd w:val="clear" w:color="auto" w:fill="auto"/>
            <w:noWrap/>
            <w:vAlign w:val="center"/>
            <w:hideMark/>
          </w:tcPr>
          <w:p w14:paraId="1EFE1DC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-5,2</w:t>
            </w:r>
          </w:p>
        </w:tc>
        <w:tc>
          <w:tcPr>
            <w:tcW w:w="718" w:type="dxa"/>
            <w:tcBorders>
              <w:top w:val="nil"/>
              <w:left w:val="nil"/>
              <w:bottom w:val="single" w:sz="8" w:space="0" w:color="auto"/>
              <w:right w:val="nil"/>
            </w:tcBorders>
            <w:shd w:val="clear" w:color="auto" w:fill="auto"/>
            <w:noWrap/>
            <w:vAlign w:val="center"/>
            <w:hideMark/>
          </w:tcPr>
          <w:p w14:paraId="15CA00A4"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-1,7</w:t>
            </w:r>
          </w:p>
        </w:tc>
        <w:tc>
          <w:tcPr>
            <w:tcW w:w="713" w:type="dxa"/>
            <w:tcBorders>
              <w:top w:val="nil"/>
              <w:left w:val="nil"/>
              <w:bottom w:val="single" w:sz="8" w:space="0" w:color="auto"/>
              <w:right w:val="nil"/>
            </w:tcBorders>
            <w:shd w:val="clear" w:color="auto" w:fill="auto"/>
            <w:noWrap/>
            <w:vAlign w:val="center"/>
            <w:hideMark/>
          </w:tcPr>
          <w:p w14:paraId="01874BC7"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w:t>
            </w:r>
          </w:p>
        </w:tc>
        <w:tc>
          <w:tcPr>
            <w:tcW w:w="1621" w:type="dxa"/>
            <w:tcBorders>
              <w:top w:val="nil"/>
              <w:left w:val="single" w:sz="4" w:space="0" w:color="auto"/>
              <w:bottom w:val="single" w:sz="8" w:space="0" w:color="auto"/>
              <w:right w:val="single" w:sz="4" w:space="0" w:color="auto"/>
            </w:tcBorders>
          </w:tcPr>
          <w:p w14:paraId="69FD68DE" w14:textId="6E31AFFB" w:rsidR="00451DA3" w:rsidRPr="00C65289" w:rsidRDefault="007910B8"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-6,0</w:t>
            </w:r>
          </w:p>
        </w:tc>
        <w:tc>
          <w:tcPr>
            <w:tcW w:w="856" w:type="dxa"/>
            <w:tcBorders>
              <w:top w:val="nil"/>
              <w:left w:val="single" w:sz="4" w:space="0" w:color="auto"/>
              <w:bottom w:val="single" w:sz="8" w:space="0" w:color="auto"/>
              <w:right w:val="nil"/>
            </w:tcBorders>
            <w:shd w:val="clear" w:color="auto" w:fill="auto"/>
            <w:noWrap/>
            <w:vAlign w:val="center"/>
            <w:hideMark/>
          </w:tcPr>
          <w:p w14:paraId="3E72CD9C" w14:textId="124B3358"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-5,9</w:t>
            </w:r>
          </w:p>
        </w:tc>
        <w:tc>
          <w:tcPr>
            <w:tcW w:w="1305" w:type="dxa"/>
            <w:tcBorders>
              <w:top w:val="nil"/>
              <w:left w:val="nil"/>
              <w:bottom w:val="single" w:sz="8" w:space="0" w:color="auto"/>
            </w:tcBorders>
            <w:shd w:val="clear" w:color="auto" w:fill="auto"/>
            <w:noWrap/>
            <w:vAlign w:val="center"/>
            <w:hideMark/>
          </w:tcPr>
          <w:p w14:paraId="5546BBF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r>
      <w:tr w:rsidR="00AC6E27" w:rsidRPr="00C65289" w14:paraId="21EBC653"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2968BF97" w14:textId="77777777" w:rsidR="00451DA3" w:rsidRPr="00C65289" w:rsidRDefault="00451DA3" w:rsidP="0047325E">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Φινλανδία</w:t>
            </w:r>
          </w:p>
        </w:tc>
        <w:tc>
          <w:tcPr>
            <w:tcW w:w="993" w:type="dxa"/>
            <w:tcBorders>
              <w:top w:val="nil"/>
              <w:left w:val="nil"/>
              <w:bottom w:val="single" w:sz="8" w:space="0" w:color="auto"/>
              <w:right w:val="nil"/>
            </w:tcBorders>
            <w:shd w:val="clear" w:color="auto" w:fill="auto"/>
            <w:noWrap/>
            <w:vAlign w:val="center"/>
            <w:hideMark/>
          </w:tcPr>
          <w:p w14:paraId="328AC55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-5,6</w:t>
            </w:r>
          </w:p>
        </w:tc>
        <w:tc>
          <w:tcPr>
            <w:tcW w:w="745" w:type="dxa"/>
            <w:tcBorders>
              <w:top w:val="nil"/>
              <w:left w:val="nil"/>
              <w:bottom w:val="single" w:sz="8" w:space="0" w:color="auto"/>
              <w:right w:val="nil"/>
            </w:tcBorders>
            <w:shd w:val="clear" w:color="auto" w:fill="auto"/>
            <w:noWrap/>
            <w:vAlign w:val="center"/>
            <w:hideMark/>
          </w:tcPr>
          <w:p w14:paraId="10C1915F"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718" w:type="dxa"/>
            <w:tcBorders>
              <w:top w:val="nil"/>
              <w:left w:val="nil"/>
              <w:bottom w:val="single" w:sz="8" w:space="0" w:color="auto"/>
              <w:right w:val="nil"/>
            </w:tcBorders>
            <w:shd w:val="clear" w:color="auto" w:fill="auto"/>
            <w:noWrap/>
            <w:vAlign w:val="center"/>
            <w:hideMark/>
          </w:tcPr>
          <w:p w14:paraId="6CF2992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-0,4</w:t>
            </w:r>
          </w:p>
        </w:tc>
        <w:tc>
          <w:tcPr>
            <w:tcW w:w="713" w:type="dxa"/>
            <w:tcBorders>
              <w:top w:val="nil"/>
              <w:left w:val="nil"/>
              <w:bottom w:val="single" w:sz="8" w:space="0" w:color="auto"/>
              <w:right w:val="nil"/>
            </w:tcBorders>
            <w:shd w:val="clear" w:color="auto" w:fill="auto"/>
            <w:noWrap/>
            <w:vAlign w:val="center"/>
            <w:hideMark/>
          </w:tcPr>
          <w:p w14:paraId="31EACE2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1621" w:type="dxa"/>
            <w:tcBorders>
              <w:top w:val="nil"/>
              <w:left w:val="single" w:sz="4" w:space="0" w:color="auto"/>
              <w:bottom w:val="single" w:sz="8" w:space="0" w:color="auto"/>
              <w:right w:val="single" w:sz="4" w:space="0" w:color="auto"/>
            </w:tcBorders>
          </w:tcPr>
          <w:p w14:paraId="4A1A6905" w14:textId="61F414F6" w:rsidR="00451DA3" w:rsidRPr="00C65289" w:rsidRDefault="005D60A4"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c>
          <w:tcPr>
            <w:tcW w:w="856" w:type="dxa"/>
            <w:tcBorders>
              <w:top w:val="nil"/>
              <w:left w:val="single" w:sz="4" w:space="0" w:color="auto"/>
              <w:bottom w:val="single" w:sz="8" w:space="0" w:color="auto"/>
              <w:right w:val="nil"/>
            </w:tcBorders>
            <w:shd w:val="clear" w:color="auto" w:fill="auto"/>
            <w:noWrap/>
            <w:vAlign w:val="center"/>
            <w:hideMark/>
          </w:tcPr>
          <w:p w14:paraId="17F4802C" w14:textId="31FCCB92"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1305" w:type="dxa"/>
            <w:tcBorders>
              <w:top w:val="nil"/>
              <w:left w:val="nil"/>
              <w:bottom w:val="single" w:sz="8" w:space="0" w:color="auto"/>
            </w:tcBorders>
            <w:shd w:val="clear" w:color="auto" w:fill="auto"/>
            <w:noWrap/>
            <w:vAlign w:val="center"/>
            <w:hideMark/>
          </w:tcPr>
          <w:p w14:paraId="19E5DA1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r>
      <w:tr w:rsidR="00AC6E27" w:rsidRPr="00C65289" w14:paraId="7E9FCFDF" w14:textId="77777777" w:rsidTr="00AC6E27">
        <w:trPr>
          <w:trHeight w:val="300"/>
          <w:jc w:val="center"/>
        </w:trPr>
        <w:tc>
          <w:tcPr>
            <w:tcW w:w="5244" w:type="dxa"/>
            <w:gridSpan w:val="6"/>
            <w:tcBorders>
              <w:top w:val="single" w:sz="8" w:space="0" w:color="auto"/>
              <w:left w:val="nil"/>
              <w:bottom w:val="single" w:sz="8" w:space="0" w:color="auto"/>
              <w:right w:val="nil"/>
            </w:tcBorders>
            <w:shd w:val="clear" w:color="auto" w:fill="auto"/>
            <w:noWrap/>
            <w:vAlign w:val="center"/>
            <w:hideMark/>
          </w:tcPr>
          <w:p w14:paraId="6D241333" w14:textId="620BEB39" w:rsidR="00451DA3" w:rsidRPr="00C65289" w:rsidRDefault="00451DA3" w:rsidP="0047325E">
            <w:pPr>
              <w:keepNext/>
              <w:spacing w:after="0" w:line="240" w:lineRule="auto"/>
              <w:rPr>
                <w:rFonts w:ascii="Times New Roman" w:eastAsia="Times New Roman" w:hAnsi="Times New Roman" w:cs="Times New Roman"/>
                <w:i/>
                <w:noProof/>
                <w:color w:val="000000"/>
              </w:rPr>
            </w:pPr>
            <w:r>
              <w:rPr>
                <w:rFonts w:ascii="Times New Roman" w:hAnsi="Times New Roman"/>
                <w:i/>
                <w:noProof/>
                <w:color w:val="000000"/>
              </w:rPr>
              <w:t>κράτη μέλη που δεν εξετάζονται στην παρούσα έκθεση</w:t>
            </w:r>
          </w:p>
        </w:tc>
        <w:tc>
          <w:tcPr>
            <w:tcW w:w="1621" w:type="dxa"/>
            <w:tcBorders>
              <w:top w:val="nil"/>
              <w:left w:val="nil"/>
              <w:bottom w:val="single" w:sz="8" w:space="0" w:color="auto"/>
              <w:right w:val="nil"/>
            </w:tcBorders>
          </w:tcPr>
          <w:p w14:paraId="383E0C71" w14:textId="77777777" w:rsidR="00451DA3" w:rsidRPr="005E7962" w:rsidRDefault="00451DA3" w:rsidP="0047325E">
            <w:pPr>
              <w:keepNext/>
              <w:spacing w:after="0" w:line="240" w:lineRule="auto"/>
              <w:rPr>
                <w:rFonts w:ascii="Times New Roman" w:eastAsia="Times New Roman" w:hAnsi="Times New Roman" w:cs="Times New Roman"/>
                <w:b/>
                <w:i/>
                <w:noProof/>
                <w:color w:val="000000"/>
                <w:lang w:eastAsia="en-IE"/>
              </w:rPr>
            </w:pPr>
          </w:p>
        </w:tc>
        <w:tc>
          <w:tcPr>
            <w:tcW w:w="856" w:type="dxa"/>
            <w:tcBorders>
              <w:top w:val="nil"/>
              <w:left w:val="nil"/>
              <w:bottom w:val="single" w:sz="8" w:space="0" w:color="auto"/>
              <w:right w:val="nil"/>
            </w:tcBorders>
            <w:shd w:val="clear" w:color="auto" w:fill="auto"/>
            <w:noWrap/>
            <w:vAlign w:val="center"/>
            <w:hideMark/>
          </w:tcPr>
          <w:p w14:paraId="1C017C72" w14:textId="1249E760" w:rsidR="00451DA3" w:rsidRPr="00C65289" w:rsidRDefault="00451DA3" w:rsidP="0047325E">
            <w:pPr>
              <w:keepNext/>
              <w:spacing w:after="0" w:line="240" w:lineRule="auto"/>
              <w:rPr>
                <w:rFonts w:ascii="Times New Roman" w:eastAsia="Times New Roman" w:hAnsi="Times New Roman" w:cs="Times New Roman"/>
                <w:b/>
                <w:i/>
                <w:noProof/>
                <w:color w:val="000000"/>
              </w:rPr>
            </w:pPr>
            <w:r>
              <w:rPr>
                <w:rFonts w:ascii="Times New Roman" w:hAnsi="Times New Roman"/>
                <w:b/>
                <w:i/>
                <w:noProof/>
                <w:color w:val="000000"/>
              </w:rPr>
              <w:t xml:space="preserve"> </w:t>
            </w:r>
          </w:p>
        </w:tc>
        <w:tc>
          <w:tcPr>
            <w:tcW w:w="1305" w:type="dxa"/>
            <w:tcBorders>
              <w:top w:val="nil"/>
              <w:left w:val="nil"/>
              <w:bottom w:val="single" w:sz="8" w:space="0" w:color="auto"/>
            </w:tcBorders>
            <w:shd w:val="clear" w:color="auto" w:fill="auto"/>
            <w:noWrap/>
            <w:vAlign w:val="center"/>
            <w:hideMark/>
          </w:tcPr>
          <w:p w14:paraId="000FF111" w14:textId="77777777" w:rsidR="00451DA3" w:rsidRPr="00C65289" w:rsidRDefault="00451DA3" w:rsidP="0047325E">
            <w:pPr>
              <w:keepNext/>
              <w:spacing w:after="0" w:line="240" w:lineRule="auto"/>
              <w:rPr>
                <w:rFonts w:ascii="Times New Roman" w:eastAsia="Times New Roman" w:hAnsi="Times New Roman" w:cs="Times New Roman"/>
                <w:b/>
                <w:i/>
                <w:noProof/>
                <w:color w:val="000000"/>
              </w:rPr>
            </w:pPr>
            <w:r>
              <w:rPr>
                <w:rFonts w:ascii="Times New Roman" w:hAnsi="Times New Roman"/>
                <w:b/>
                <w:i/>
                <w:noProof/>
                <w:color w:val="000000"/>
              </w:rPr>
              <w:t xml:space="preserve"> </w:t>
            </w:r>
          </w:p>
        </w:tc>
      </w:tr>
      <w:tr w:rsidR="00AC6E27" w:rsidRPr="00C65289" w14:paraId="57B936E5"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53F68EC8"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Βουλγαρία</w:t>
            </w:r>
          </w:p>
        </w:tc>
        <w:tc>
          <w:tcPr>
            <w:tcW w:w="993" w:type="dxa"/>
            <w:tcBorders>
              <w:top w:val="nil"/>
              <w:left w:val="nil"/>
              <w:bottom w:val="single" w:sz="8" w:space="0" w:color="auto"/>
              <w:right w:val="nil"/>
            </w:tcBorders>
            <w:shd w:val="clear" w:color="auto" w:fill="auto"/>
            <w:noWrap/>
            <w:vAlign w:val="center"/>
            <w:hideMark/>
          </w:tcPr>
          <w:p w14:paraId="34D05E0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-3,8</w:t>
            </w:r>
          </w:p>
        </w:tc>
        <w:tc>
          <w:tcPr>
            <w:tcW w:w="745" w:type="dxa"/>
            <w:tcBorders>
              <w:top w:val="nil"/>
              <w:left w:val="nil"/>
              <w:bottom w:val="single" w:sz="8" w:space="0" w:color="auto"/>
              <w:right w:val="nil"/>
            </w:tcBorders>
            <w:shd w:val="clear" w:color="auto" w:fill="auto"/>
            <w:noWrap/>
            <w:vAlign w:val="center"/>
            <w:hideMark/>
          </w:tcPr>
          <w:p w14:paraId="38B333E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c>
          <w:tcPr>
            <w:tcW w:w="718" w:type="dxa"/>
            <w:tcBorders>
              <w:top w:val="nil"/>
              <w:left w:val="nil"/>
              <w:bottom w:val="single" w:sz="8" w:space="0" w:color="auto"/>
              <w:right w:val="nil"/>
            </w:tcBorders>
            <w:shd w:val="clear" w:color="auto" w:fill="auto"/>
            <w:noWrap/>
            <w:vAlign w:val="center"/>
            <w:hideMark/>
          </w:tcPr>
          <w:p w14:paraId="4DDB72E5"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713" w:type="dxa"/>
            <w:tcBorders>
              <w:top w:val="nil"/>
              <w:left w:val="nil"/>
              <w:bottom w:val="single" w:sz="8" w:space="0" w:color="auto"/>
              <w:right w:val="nil"/>
            </w:tcBorders>
            <w:shd w:val="clear" w:color="auto" w:fill="auto"/>
            <w:noWrap/>
            <w:vAlign w:val="center"/>
            <w:hideMark/>
          </w:tcPr>
          <w:p w14:paraId="76D3A1B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-1,9</w:t>
            </w:r>
          </w:p>
        </w:tc>
        <w:tc>
          <w:tcPr>
            <w:tcW w:w="1621" w:type="dxa"/>
            <w:tcBorders>
              <w:top w:val="nil"/>
              <w:left w:val="single" w:sz="4" w:space="0" w:color="auto"/>
              <w:bottom w:val="single" w:sz="8" w:space="0" w:color="auto"/>
              <w:right w:val="single" w:sz="4" w:space="0" w:color="auto"/>
            </w:tcBorders>
          </w:tcPr>
          <w:p w14:paraId="1ABB21CA" w14:textId="21198929" w:rsidR="00451DA3" w:rsidRPr="00C65289" w:rsidRDefault="00802A78"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-3,0</w:t>
            </w:r>
          </w:p>
        </w:tc>
        <w:tc>
          <w:tcPr>
            <w:tcW w:w="856" w:type="dxa"/>
            <w:tcBorders>
              <w:top w:val="nil"/>
              <w:left w:val="single" w:sz="4" w:space="0" w:color="auto"/>
              <w:bottom w:val="single" w:sz="8" w:space="0" w:color="auto"/>
              <w:right w:val="nil"/>
            </w:tcBorders>
            <w:shd w:val="clear" w:color="auto" w:fill="auto"/>
            <w:noWrap/>
            <w:vAlign w:val="center"/>
            <w:hideMark/>
          </w:tcPr>
          <w:p w14:paraId="2FEEEFB9" w14:textId="1DBDF05F"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1305" w:type="dxa"/>
            <w:tcBorders>
              <w:top w:val="nil"/>
              <w:left w:val="nil"/>
              <w:bottom w:val="single" w:sz="8" w:space="0" w:color="auto"/>
            </w:tcBorders>
            <w:shd w:val="clear" w:color="auto" w:fill="auto"/>
            <w:noWrap/>
            <w:vAlign w:val="center"/>
            <w:hideMark/>
          </w:tcPr>
          <w:p w14:paraId="7C6F5FC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r>
      <w:tr w:rsidR="00AC6E27" w:rsidRPr="00C65289" w14:paraId="0F6B1043"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777BC9A0"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Δανία</w:t>
            </w:r>
          </w:p>
        </w:tc>
        <w:tc>
          <w:tcPr>
            <w:tcW w:w="993" w:type="dxa"/>
            <w:tcBorders>
              <w:top w:val="nil"/>
              <w:left w:val="nil"/>
              <w:bottom w:val="single" w:sz="8" w:space="0" w:color="auto"/>
              <w:right w:val="nil"/>
            </w:tcBorders>
            <w:shd w:val="clear" w:color="auto" w:fill="auto"/>
            <w:noWrap/>
            <w:vAlign w:val="center"/>
            <w:hideMark/>
          </w:tcPr>
          <w:p w14:paraId="62F3088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0,3</w:t>
            </w:r>
          </w:p>
        </w:tc>
        <w:tc>
          <w:tcPr>
            <w:tcW w:w="745" w:type="dxa"/>
            <w:tcBorders>
              <w:top w:val="nil"/>
              <w:left w:val="nil"/>
              <w:bottom w:val="single" w:sz="8" w:space="0" w:color="auto"/>
              <w:right w:val="nil"/>
            </w:tcBorders>
            <w:shd w:val="clear" w:color="auto" w:fill="auto"/>
            <w:noWrap/>
            <w:vAlign w:val="center"/>
            <w:hideMark/>
          </w:tcPr>
          <w:p w14:paraId="209B9B6F"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w:t>
            </w:r>
          </w:p>
        </w:tc>
        <w:tc>
          <w:tcPr>
            <w:tcW w:w="718" w:type="dxa"/>
            <w:tcBorders>
              <w:top w:val="nil"/>
              <w:left w:val="nil"/>
              <w:bottom w:val="single" w:sz="8" w:space="0" w:color="auto"/>
              <w:right w:val="nil"/>
            </w:tcBorders>
            <w:shd w:val="clear" w:color="auto" w:fill="auto"/>
            <w:noWrap/>
            <w:vAlign w:val="center"/>
            <w:hideMark/>
          </w:tcPr>
          <w:p w14:paraId="0CA6AA2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w:t>
            </w:r>
          </w:p>
        </w:tc>
        <w:tc>
          <w:tcPr>
            <w:tcW w:w="713" w:type="dxa"/>
            <w:tcBorders>
              <w:top w:val="nil"/>
              <w:left w:val="nil"/>
              <w:bottom w:val="single" w:sz="8" w:space="0" w:color="auto"/>
              <w:right w:val="nil"/>
            </w:tcBorders>
            <w:shd w:val="clear" w:color="auto" w:fill="auto"/>
            <w:noWrap/>
            <w:vAlign w:val="center"/>
            <w:hideMark/>
          </w:tcPr>
          <w:p w14:paraId="70D934F6"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1621" w:type="dxa"/>
            <w:tcBorders>
              <w:top w:val="nil"/>
              <w:left w:val="single" w:sz="4" w:space="0" w:color="auto"/>
              <w:bottom w:val="single" w:sz="8" w:space="0" w:color="auto"/>
              <w:right w:val="single" w:sz="4" w:space="0" w:color="auto"/>
            </w:tcBorders>
          </w:tcPr>
          <w:p w14:paraId="122C681C" w14:textId="678D14ED" w:rsidR="00451DA3" w:rsidRPr="00C65289" w:rsidRDefault="00802A78"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1,5</w:t>
            </w:r>
          </w:p>
        </w:tc>
        <w:tc>
          <w:tcPr>
            <w:tcW w:w="856" w:type="dxa"/>
            <w:tcBorders>
              <w:top w:val="nil"/>
              <w:left w:val="single" w:sz="4" w:space="0" w:color="auto"/>
              <w:bottom w:val="single" w:sz="8" w:space="0" w:color="auto"/>
              <w:right w:val="nil"/>
            </w:tcBorders>
            <w:shd w:val="clear" w:color="auto" w:fill="auto"/>
            <w:noWrap/>
            <w:vAlign w:val="center"/>
            <w:hideMark/>
          </w:tcPr>
          <w:p w14:paraId="57D1A911" w14:textId="15810869"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w:t>
            </w:r>
          </w:p>
        </w:tc>
        <w:tc>
          <w:tcPr>
            <w:tcW w:w="1305" w:type="dxa"/>
            <w:tcBorders>
              <w:top w:val="nil"/>
              <w:left w:val="nil"/>
              <w:bottom w:val="single" w:sz="8" w:space="0" w:color="auto"/>
            </w:tcBorders>
            <w:shd w:val="clear" w:color="auto" w:fill="auto"/>
            <w:noWrap/>
            <w:vAlign w:val="center"/>
            <w:hideMark/>
          </w:tcPr>
          <w:p w14:paraId="214FDA0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1,4</w:t>
            </w:r>
          </w:p>
        </w:tc>
      </w:tr>
      <w:tr w:rsidR="00AC6E27" w:rsidRPr="00C65289" w14:paraId="3D236C15"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195BA126"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Γερμανία</w:t>
            </w:r>
          </w:p>
        </w:tc>
        <w:tc>
          <w:tcPr>
            <w:tcW w:w="993" w:type="dxa"/>
            <w:tcBorders>
              <w:top w:val="nil"/>
              <w:left w:val="nil"/>
              <w:bottom w:val="single" w:sz="8" w:space="0" w:color="auto"/>
              <w:right w:val="nil"/>
            </w:tcBorders>
            <w:shd w:val="clear" w:color="auto" w:fill="auto"/>
            <w:noWrap/>
            <w:vAlign w:val="center"/>
            <w:hideMark/>
          </w:tcPr>
          <w:p w14:paraId="6B41FB3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c>
          <w:tcPr>
            <w:tcW w:w="745" w:type="dxa"/>
            <w:tcBorders>
              <w:top w:val="nil"/>
              <w:left w:val="nil"/>
              <w:bottom w:val="single" w:sz="8" w:space="0" w:color="auto"/>
              <w:right w:val="nil"/>
            </w:tcBorders>
            <w:shd w:val="clear" w:color="auto" w:fill="auto"/>
            <w:noWrap/>
            <w:vAlign w:val="center"/>
            <w:hideMark/>
          </w:tcPr>
          <w:p w14:paraId="5D4FEAC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718" w:type="dxa"/>
            <w:tcBorders>
              <w:top w:val="nil"/>
              <w:left w:val="nil"/>
              <w:bottom w:val="single" w:sz="8" w:space="0" w:color="auto"/>
              <w:right w:val="nil"/>
            </w:tcBorders>
            <w:shd w:val="clear" w:color="auto" w:fill="auto"/>
            <w:noWrap/>
            <w:vAlign w:val="center"/>
            <w:hideMark/>
          </w:tcPr>
          <w:p w14:paraId="5DEE1D1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713" w:type="dxa"/>
            <w:tcBorders>
              <w:top w:val="nil"/>
              <w:left w:val="nil"/>
              <w:bottom w:val="single" w:sz="8" w:space="0" w:color="auto"/>
              <w:right w:val="nil"/>
            </w:tcBorders>
            <w:shd w:val="clear" w:color="auto" w:fill="auto"/>
            <w:noWrap/>
            <w:vAlign w:val="center"/>
            <w:hideMark/>
          </w:tcPr>
          <w:p w14:paraId="12DE1A67"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1621" w:type="dxa"/>
            <w:tcBorders>
              <w:top w:val="nil"/>
              <w:left w:val="single" w:sz="4" w:space="0" w:color="auto"/>
              <w:bottom w:val="single" w:sz="8" w:space="0" w:color="auto"/>
              <w:right w:val="single" w:sz="4" w:space="0" w:color="auto"/>
            </w:tcBorders>
          </w:tcPr>
          <w:p w14:paraId="2B61E5B0" w14:textId="6AEB823E" w:rsidR="00451DA3" w:rsidRPr="00C65289" w:rsidRDefault="0040640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-1,8</w:t>
            </w:r>
          </w:p>
        </w:tc>
        <w:tc>
          <w:tcPr>
            <w:tcW w:w="856" w:type="dxa"/>
            <w:tcBorders>
              <w:top w:val="nil"/>
              <w:left w:val="single" w:sz="4" w:space="0" w:color="auto"/>
              <w:bottom w:val="single" w:sz="8" w:space="0" w:color="auto"/>
              <w:right w:val="nil"/>
            </w:tcBorders>
            <w:shd w:val="clear" w:color="auto" w:fill="auto"/>
            <w:noWrap/>
            <w:vAlign w:val="center"/>
            <w:hideMark/>
          </w:tcPr>
          <w:p w14:paraId="6DA7933E" w14:textId="57211650"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-1,6</w:t>
            </w:r>
          </w:p>
        </w:tc>
        <w:tc>
          <w:tcPr>
            <w:tcW w:w="1305" w:type="dxa"/>
            <w:tcBorders>
              <w:top w:val="nil"/>
              <w:left w:val="nil"/>
              <w:bottom w:val="single" w:sz="8" w:space="0" w:color="auto"/>
            </w:tcBorders>
            <w:shd w:val="clear" w:color="auto" w:fill="auto"/>
            <w:noWrap/>
            <w:vAlign w:val="center"/>
            <w:hideMark/>
          </w:tcPr>
          <w:p w14:paraId="50C8A9B5"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r>
      <w:tr w:rsidR="00AC6E27" w:rsidRPr="00C65289" w14:paraId="254315A1"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12F6279D"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Ιρλανδία</w:t>
            </w:r>
          </w:p>
        </w:tc>
        <w:tc>
          <w:tcPr>
            <w:tcW w:w="993" w:type="dxa"/>
            <w:tcBorders>
              <w:top w:val="nil"/>
              <w:left w:val="nil"/>
              <w:bottom w:val="single" w:sz="8" w:space="0" w:color="auto"/>
              <w:right w:val="nil"/>
            </w:tcBorders>
            <w:shd w:val="clear" w:color="auto" w:fill="auto"/>
            <w:noWrap/>
            <w:vAlign w:val="center"/>
            <w:hideMark/>
          </w:tcPr>
          <w:p w14:paraId="085A7E8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w:t>
            </w:r>
          </w:p>
        </w:tc>
        <w:tc>
          <w:tcPr>
            <w:tcW w:w="745" w:type="dxa"/>
            <w:tcBorders>
              <w:top w:val="nil"/>
              <w:left w:val="nil"/>
              <w:bottom w:val="single" w:sz="8" w:space="0" w:color="auto"/>
              <w:right w:val="nil"/>
            </w:tcBorders>
            <w:shd w:val="clear" w:color="auto" w:fill="auto"/>
            <w:noWrap/>
            <w:vAlign w:val="center"/>
            <w:hideMark/>
          </w:tcPr>
          <w:p w14:paraId="12B5391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-1,5</w:t>
            </w:r>
          </w:p>
        </w:tc>
        <w:tc>
          <w:tcPr>
            <w:tcW w:w="718" w:type="dxa"/>
            <w:tcBorders>
              <w:top w:val="nil"/>
              <w:left w:val="nil"/>
              <w:bottom w:val="single" w:sz="8" w:space="0" w:color="auto"/>
              <w:right w:val="nil"/>
            </w:tcBorders>
            <w:shd w:val="clear" w:color="auto" w:fill="auto"/>
            <w:noWrap/>
            <w:vAlign w:val="center"/>
            <w:hideMark/>
          </w:tcPr>
          <w:p w14:paraId="4D5B1F36"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1,7</w:t>
            </w:r>
          </w:p>
        </w:tc>
        <w:tc>
          <w:tcPr>
            <w:tcW w:w="713" w:type="dxa"/>
            <w:tcBorders>
              <w:top w:val="nil"/>
              <w:left w:val="nil"/>
              <w:bottom w:val="single" w:sz="8" w:space="0" w:color="auto"/>
              <w:right w:val="nil"/>
            </w:tcBorders>
            <w:shd w:val="clear" w:color="auto" w:fill="auto"/>
            <w:noWrap/>
            <w:vAlign w:val="center"/>
            <w:hideMark/>
          </w:tcPr>
          <w:p w14:paraId="3BC932E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1,7</w:t>
            </w:r>
          </w:p>
        </w:tc>
        <w:tc>
          <w:tcPr>
            <w:tcW w:w="1621" w:type="dxa"/>
            <w:tcBorders>
              <w:top w:val="nil"/>
              <w:left w:val="single" w:sz="4" w:space="0" w:color="auto"/>
              <w:bottom w:val="single" w:sz="8" w:space="0" w:color="auto"/>
              <w:right w:val="single" w:sz="4" w:space="0" w:color="auto"/>
            </w:tcBorders>
          </w:tcPr>
          <w:p w14:paraId="6CF882F1" w14:textId="431E1115" w:rsidR="00451DA3" w:rsidRPr="00C65289" w:rsidRDefault="00993DFD"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1,5</w:t>
            </w:r>
          </w:p>
        </w:tc>
        <w:tc>
          <w:tcPr>
            <w:tcW w:w="856" w:type="dxa"/>
            <w:tcBorders>
              <w:top w:val="nil"/>
              <w:left w:val="single" w:sz="4" w:space="0" w:color="auto"/>
              <w:bottom w:val="single" w:sz="8" w:space="0" w:color="auto"/>
              <w:right w:val="nil"/>
            </w:tcBorders>
            <w:shd w:val="clear" w:color="auto" w:fill="auto"/>
            <w:noWrap/>
            <w:vAlign w:val="center"/>
            <w:hideMark/>
          </w:tcPr>
          <w:p w14:paraId="30B1E0E5" w14:textId="4E960988"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1,3</w:t>
            </w:r>
          </w:p>
        </w:tc>
        <w:tc>
          <w:tcPr>
            <w:tcW w:w="1305" w:type="dxa"/>
            <w:tcBorders>
              <w:top w:val="nil"/>
              <w:left w:val="nil"/>
              <w:bottom w:val="single" w:sz="8" w:space="0" w:color="auto"/>
            </w:tcBorders>
            <w:shd w:val="clear" w:color="auto" w:fill="auto"/>
            <w:noWrap/>
            <w:vAlign w:val="center"/>
            <w:hideMark/>
          </w:tcPr>
          <w:p w14:paraId="330D6E0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r>
      <w:tr w:rsidR="00AC6E27" w:rsidRPr="00C65289" w14:paraId="7859DB98"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19A18A79"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Ελλάδα</w:t>
            </w:r>
          </w:p>
        </w:tc>
        <w:tc>
          <w:tcPr>
            <w:tcW w:w="993" w:type="dxa"/>
            <w:tcBorders>
              <w:top w:val="nil"/>
              <w:left w:val="nil"/>
              <w:bottom w:val="single" w:sz="8" w:space="0" w:color="auto"/>
              <w:right w:val="nil"/>
            </w:tcBorders>
            <w:shd w:val="clear" w:color="auto" w:fill="auto"/>
            <w:noWrap/>
            <w:vAlign w:val="center"/>
            <w:hideMark/>
          </w:tcPr>
          <w:p w14:paraId="6549F44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-9,8</w:t>
            </w:r>
          </w:p>
        </w:tc>
        <w:tc>
          <w:tcPr>
            <w:tcW w:w="745" w:type="dxa"/>
            <w:tcBorders>
              <w:top w:val="nil"/>
              <w:left w:val="nil"/>
              <w:bottom w:val="single" w:sz="8" w:space="0" w:color="auto"/>
              <w:right w:val="nil"/>
            </w:tcBorders>
            <w:shd w:val="clear" w:color="auto" w:fill="auto"/>
            <w:noWrap/>
            <w:vAlign w:val="center"/>
            <w:hideMark/>
          </w:tcPr>
          <w:p w14:paraId="612D746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-7,0</w:t>
            </w:r>
          </w:p>
        </w:tc>
        <w:tc>
          <w:tcPr>
            <w:tcW w:w="718" w:type="dxa"/>
            <w:tcBorders>
              <w:top w:val="nil"/>
              <w:left w:val="nil"/>
              <w:bottom w:val="single" w:sz="8" w:space="0" w:color="auto"/>
              <w:right w:val="nil"/>
            </w:tcBorders>
            <w:shd w:val="clear" w:color="auto" w:fill="auto"/>
            <w:noWrap/>
            <w:vAlign w:val="center"/>
            <w:hideMark/>
          </w:tcPr>
          <w:p w14:paraId="27D8669F"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713" w:type="dxa"/>
            <w:tcBorders>
              <w:top w:val="nil"/>
              <w:left w:val="nil"/>
              <w:bottom w:val="single" w:sz="8" w:space="0" w:color="auto"/>
              <w:right w:val="nil"/>
            </w:tcBorders>
            <w:shd w:val="clear" w:color="auto" w:fill="auto"/>
            <w:noWrap/>
            <w:vAlign w:val="center"/>
            <w:hideMark/>
          </w:tcPr>
          <w:p w14:paraId="33E5A04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-1,6</w:t>
            </w:r>
          </w:p>
        </w:tc>
        <w:tc>
          <w:tcPr>
            <w:tcW w:w="1621" w:type="dxa"/>
            <w:tcBorders>
              <w:top w:val="nil"/>
              <w:left w:val="single" w:sz="4" w:space="0" w:color="auto"/>
              <w:bottom w:val="single" w:sz="8" w:space="0" w:color="auto"/>
              <w:right w:val="single" w:sz="4" w:space="0" w:color="auto"/>
            </w:tcBorders>
          </w:tcPr>
          <w:p w14:paraId="6D597832" w14:textId="6FCE0CC7" w:rsidR="00451DA3" w:rsidRPr="00C65289" w:rsidRDefault="00EC084B"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w:t>
            </w:r>
          </w:p>
        </w:tc>
        <w:tc>
          <w:tcPr>
            <w:tcW w:w="856" w:type="dxa"/>
            <w:tcBorders>
              <w:top w:val="nil"/>
              <w:left w:val="single" w:sz="4" w:space="0" w:color="auto"/>
              <w:bottom w:val="single" w:sz="8" w:space="0" w:color="auto"/>
              <w:right w:val="nil"/>
            </w:tcBorders>
            <w:shd w:val="clear" w:color="auto" w:fill="auto"/>
            <w:noWrap/>
            <w:vAlign w:val="center"/>
            <w:hideMark/>
          </w:tcPr>
          <w:p w14:paraId="0B41A3D3" w14:textId="39E6FBDF"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c>
          <w:tcPr>
            <w:tcW w:w="1305" w:type="dxa"/>
            <w:tcBorders>
              <w:top w:val="nil"/>
              <w:left w:val="nil"/>
              <w:bottom w:val="single" w:sz="8" w:space="0" w:color="auto"/>
            </w:tcBorders>
            <w:shd w:val="clear" w:color="auto" w:fill="auto"/>
            <w:noWrap/>
            <w:vAlign w:val="center"/>
            <w:hideMark/>
          </w:tcPr>
          <w:p w14:paraId="703690B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-0,8</w:t>
            </w:r>
          </w:p>
        </w:tc>
      </w:tr>
      <w:tr w:rsidR="00AC6E27" w:rsidRPr="00C65289" w14:paraId="56F23766"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2A4A5BD1"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Κροατία</w:t>
            </w:r>
          </w:p>
        </w:tc>
        <w:tc>
          <w:tcPr>
            <w:tcW w:w="993" w:type="dxa"/>
            <w:tcBorders>
              <w:top w:val="nil"/>
              <w:left w:val="nil"/>
              <w:bottom w:val="single" w:sz="8" w:space="0" w:color="auto"/>
              <w:right w:val="nil"/>
            </w:tcBorders>
            <w:shd w:val="clear" w:color="auto" w:fill="auto"/>
            <w:noWrap/>
            <w:vAlign w:val="center"/>
            <w:hideMark/>
          </w:tcPr>
          <w:p w14:paraId="01B135A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-7,2</w:t>
            </w:r>
          </w:p>
        </w:tc>
        <w:tc>
          <w:tcPr>
            <w:tcW w:w="745" w:type="dxa"/>
            <w:tcBorders>
              <w:top w:val="nil"/>
              <w:left w:val="nil"/>
              <w:bottom w:val="single" w:sz="8" w:space="0" w:color="auto"/>
              <w:right w:val="nil"/>
            </w:tcBorders>
            <w:shd w:val="clear" w:color="auto" w:fill="auto"/>
            <w:noWrap/>
            <w:vAlign w:val="center"/>
            <w:hideMark/>
          </w:tcPr>
          <w:p w14:paraId="0664CBA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718" w:type="dxa"/>
            <w:tcBorders>
              <w:top w:val="nil"/>
              <w:left w:val="nil"/>
              <w:bottom w:val="single" w:sz="8" w:space="0" w:color="auto"/>
              <w:right w:val="nil"/>
            </w:tcBorders>
            <w:shd w:val="clear" w:color="auto" w:fill="auto"/>
            <w:noWrap/>
            <w:vAlign w:val="center"/>
            <w:hideMark/>
          </w:tcPr>
          <w:p w14:paraId="63E6443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0,1</w:t>
            </w:r>
          </w:p>
        </w:tc>
        <w:tc>
          <w:tcPr>
            <w:tcW w:w="713" w:type="dxa"/>
            <w:tcBorders>
              <w:top w:val="nil"/>
              <w:left w:val="nil"/>
              <w:bottom w:val="single" w:sz="8" w:space="0" w:color="auto"/>
              <w:right w:val="nil"/>
            </w:tcBorders>
            <w:shd w:val="clear" w:color="auto" w:fill="auto"/>
            <w:noWrap/>
            <w:vAlign w:val="center"/>
            <w:hideMark/>
          </w:tcPr>
          <w:p w14:paraId="13D34AA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-0,7</w:t>
            </w:r>
          </w:p>
        </w:tc>
        <w:tc>
          <w:tcPr>
            <w:tcW w:w="1621" w:type="dxa"/>
            <w:tcBorders>
              <w:top w:val="nil"/>
              <w:left w:val="single" w:sz="4" w:space="0" w:color="auto"/>
              <w:bottom w:val="single" w:sz="8" w:space="0" w:color="auto"/>
              <w:right w:val="single" w:sz="4" w:space="0" w:color="auto"/>
            </w:tcBorders>
          </w:tcPr>
          <w:p w14:paraId="3CA96514" w14:textId="7B61FE97" w:rsidR="00451DA3" w:rsidRPr="00C65289" w:rsidRDefault="005A3079"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-1,9</w:t>
            </w:r>
          </w:p>
        </w:tc>
        <w:tc>
          <w:tcPr>
            <w:tcW w:w="856" w:type="dxa"/>
            <w:tcBorders>
              <w:top w:val="nil"/>
              <w:left w:val="single" w:sz="4" w:space="0" w:color="auto"/>
              <w:bottom w:val="single" w:sz="8" w:space="0" w:color="auto"/>
              <w:right w:val="nil"/>
            </w:tcBorders>
            <w:shd w:val="clear" w:color="auto" w:fill="auto"/>
            <w:noWrap/>
            <w:vAlign w:val="center"/>
            <w:hideMark/>
          </w:tcPr>
          <w:p w14:paraId="2BE30BE9" w14:textId="4F66FA9E"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1305" w:type="dxa"/>
            <w:tcBorders>
              <w:top w:val="nil"/>
              <w:left w:val="nil"/>
              <w:bottom w:val="single" w:sz="8" w:space="0" w:color="auto"/>
            </w:tcBorders>
            <w:shd w:val="clear" w:color="auto" w:fill="auto"/>
            <w:noWrap/>
            <w:vAlign w:val="center"/>
            <w:hideMark/>
          </w:tcPr>
          <w:p w14:paraId="404CA21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r>
      <w:tr w:rsidR="00AC6E27" w:rsidRPr="00C65289" w14:paraId="3C579615"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25441A00"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Κύπρος</w:t>
            </w:r>
          </w:p>
        </w:tc>
        <w:tc>
          <w:tcPr>
            <w:tcW w:w="993" w:type="dxa"/>
            <w:tcBorders>
              <w:top w:val="nil"/>
              <w:left w:val="nil"/>
              <w:bottom w:val="single" w:sz="8" w:space="0" w:color="auto"/>
              <w:right w:val="nil"/>
            </w:tcBorders>
            <w:shd w:val="clear" w:color="auto" w:fill="auto"/>
            <w:noWrap/>
            <w:vAlign w:val="center"/>
            <w:hideMark/>
          </w:tcPr>
          <w:p w14:paraId="40A63297"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-5,7</w:t>
            </w:r>
          </w:p>
        </w:tc>
        <w:tc>
          <w:tcPr>
            <w:tcW w:w="745" w:type="dxa"/>
            <w:tcBorders>
              <w:top w:val="nil"/>
              <w:left w:val="nil"/>
              <w:bottom w:val="single" w:sz="8" w:space="0" w:color="auto"/>
              <w:right w:val="nil"/>
            </w:tcBorders>
            <w:shd w:val="clear" w:color="auto" w:fill="auto"/>
            <w:noWrap/>
            <w:vAlign w:val="center"/>
            <w:hideMark/>
          </w:tcPr>
          <w:p w14:paraId="42EF945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-1,8</w:t>
            </w:r>
          </w:p>
        </w:tc>
        <w:tc>
          <w:tcPr>
            <w:tcW w:w="718" w:type="dxa"/>
            <w:tcBorders>
              <w:top w:val="nil"/>
              <w:left w:val="nil"/>
              <w:bottom w:val="single" w:sz="8" w:space="0" w:color="auto"/>
              <w:right w:val="nil"/>
            </w:tcBorders>
            <w:shd w:val="clear" w:color="auto" w:fill="auto"/>
            <w:noWrap/>
            <w:vAlign w:val="center"/>
            <w:hideMark/>
          </w:tcPr>
          <w:p w14:paraId="7C1B6E87"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713" w:type="dxa"/>
            <w:tcBorders>
              <w:top w:val="nil"/>
              <w:left w:val="nil"/>
              <w:bottom w:val="single" w:sz="8" w:space="0" w:color="auto"/>
              <w:right w:val="nil"/>
            </w:tcBorders>
            <w:shd w:val="clear" w:color="auto" w:fill="auto"/>
            <w:noWrap/>
            <w:vAlign w:val="center"/>
            <w:hideMark/>
          </w:tcPr>
          <w:p w14:paraId="436C1A7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1621" w:type="dxa"/>
            <w:tcBorders>
              <w:top w:val="nil"/>
              <w:left w:val="single" w:sz="4" w:space="0" w:color="auto"/>
              <w:bottom w:val="single" w:sz="8" w:space="0" w:color="auto"/>
              <w:right w:val="single" w:sz="4" w:space="0" w:color="auto"/>
            </w:tcBorders>
          </w:tcPr>
          <w:p w14:paraId="5EE2A0CC" w14:textId="7B752A95" w:rsidR="00451DA3" w:rsidRPr="00C65289" w:rsidRDefault="0033485D"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856" w:type="dxa"/>
            <w:tcBorders>
              <w:top w:val="nil"/>
              <w:left w:val="single" w:sz="4" w:space="0" w:color="auto"/>
              <w:bottom w:val="single" w:sz="8" w:space="0" w:color="auto"/>
              <w:right w:val="nil"/>
            </w:tcBorders>
            <w:shd w:val="clear" w:color="auto" w:fill="auto"/>
            <w:noWrap/>
            <w:vAlign w:val="center"/>
            <w:hideMark/>
          </w:tcPr>
          <w:p w14:paraId="254036F3" w14:textId="459421D4"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1305" w:type="dxa"/>
            <w:tcBorders>
              <w:top w:val="nil"/>
              <w:left w:val="nil"/>
              <w:bottom w:val="single" w:sz="8" w:space="0" w:color="auto"/>
            </w:tcBorders>
            <w:shd w:val="clear" w:color="auto" w:fill="auto"/>
            <w:noWrap/>
            <w:vAlign w:val="center"/>
            <w:hideMark/>
          </w:tcPr>
          <w:p w14:paraId="2B88DB7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r>
      <w:tr w:rsidR="00AC6E27" w:rsidRPr="00C65289" w14:paraId="3A96772A"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07256C2A"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Λετονία</w:t>
            </w:r>
          </w:p>
        </w:tc>
        <w:tc>
          <w:tcPr>
            <w:tcW w:w="993" w:type="dxa"/>
            <w:tcBorders>
              <w:top w:val="nil"/>
              <w:left w:val="nil"/>
              <w:bottom w:val="single" w:sz="8" w:space="0" w:color="auto"/>
              <w:right w:val="nil"/>
            </w:tcBorders>
            <w:shd w:val="clear" w:color="auto" w:fill="auto"/>
            <w:noWrap/>
            <w:vAlign w:val="center"/>
            <w:hideMark/>
          </w:tcPr>
          <w:p w14:paraId="41B33424"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745" w:type="dxa"/>
            <w:tcBorders>
              <w:top w:val="nil"/>
              <w:left w:val="nil"/>
              <w:bottom w:val="single" w:sz="8" w:space="0" w:color="auto"/>
              <w:right w:val="nil"/>
            </w:tcBorders>
            <w:shd w:val="clear" w:color="auto" w:fill="auto"/>
            <w:noWrap/>
            <w:vAlign w:val="center"/>
            <w:hideMark/>
          </w:tcPr>
          <w:p w14:paraId="12E41B5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-7,2</w:t>
            </w:r>
          </w:p>
        </w:tc>
        <w:tc>
          <w:tcPr>
            <w:tcW w:w="718" w:type="dxa"/>
            <w:tcBorders>
              <w:top w:val="nil"/>
              <w:left w:val="nil"/>
              <w:bottom w:val="single" w:sz="8" w:space="0" w:color="auto"/>
              <w:right w:val="nil"/>
            </w:tcBorders>
            <w:shd w:val="clear" w:color="auto" w:fill="auto"/>
            <w:noWrap/>
            <w:vAlign w:val="center"/>
            <w:hideMark/>
          </w:tcPr>
          <w:p w14:paraId="53FA101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c>
          <w:tcPr>
            <w:tcW w:w="713" w:type="dxa"/>
            <w:tcBorders>
              <w:top w:val="nil"/>
              <w:left w:val="nil"/>
              <w:bottom w:val="single" w:sz="8" w:space="0" w:color="auto"/>
              <w:right w:val="nil"/>
            </w:tcBorders>
            <w:shd w:val="clear" w:color="auto" w:fill="auto"/>
            <w:noWrap/>
            <w:vAlign w:val="center"/>
            <w:hideMark/>
          </w:tcPr>
          <w:p w14:paraId="3B48AF6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-2,2</w:t>
            </w:r>
          </w:p>
        </w:tc>
        <w:tc>
          <w:tcPr>
            <w:tcW w:w="1621" w:type="dxa"/>
            <w:tcBorders>
              <w:top w:val="nil"/>
              <w:left w:val="single" w:sz="4" w:space="0" w:color="auto"/>
              <w:bottom w:val="single" w:sz="8" w:space="0" w:color="auto"/>
              <w:right w:val="single" w:sz="4" w:space="0" w:color="auto"/>
            </w:tcBorders>
          </w:tcPr>
          <w:p w14:paraId="6A622FD8" w14:textId="0AF850CE" w:rsidR="00451DA3" w:rsidRPr="00C65289" w:rsidRDefault="00986659"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856" w:type="dxa"/>
            <w:tcBorders>
              <w:top w:val="nil"/>
              <w:left w:val="single" w:sz="4" w:space="0" w:color="auto"/>
              <w:bottom w:val="single" w:sz="8" w:space="0" w:color="auto"/>
              <w:right w:val="nil"/>
            </w:tcBorders>
            <w:shd w:val="clear" w:color="auto" w:fill="auto"/>
            <w:noWrap/>
            <w:vAlign w:val="center"/>
            <w:hideMark/>
          </w:tcPr>
          <w:p w14:paraId="6E7EDDB5" w14:textId="4D8B0C42"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1305" w:type="dxa"/>
            <w:tcBorders>
              <w:top w:val="nil"/>
              <w:left w:val="nil"/>
              <w:bottom w:val="single" w:sz="8" w:space="0" w:color="auto"/>
            </w:tcBorders>
            <w:shd w:val="clear" w:color="auto" w:fill="auto"/>
            <w:noWrap/>
            <w:vAlign w:val="center"/>
            <w:hideMark/>
          </w:tcPr>
          <w:p w14:paraId="140C654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r>
      <w:tr w:rsidR="00AC6E27" w:rsidRPr="00C65289" w14:paraId="71709479"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39665156"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Λιθουανία</w:t>
            </w:r>
          </w:p>
        </w:tc>
        <w:tc>
          <w:tcPr>
            <w:tcW w:w="993" w:type="dxa"/>
            <w:tcBorders>
              <w:top w:val="nil"/>
              <w:left w:val="nil"/>
              <w:bottom w:val="single" w:sz="8" w:space="0" w:color="auto"/>
              <w:right w:val="nil"/>
            </w:tcBorders>
            <w:shd w:val="clear" w:color="auto" w:fill="auto"/>
            <w:noWrap/>
            <w:vAlign w:val="center"/>
            <w:hideMark/>
          </w:tcPr>
          <w:p w14:paraId="254B2A3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-6,5</w:t>
            </w:r>
          </w:p>
        </w:tc>
        <w:tc>
          <w:tcPr>
            <w:tcW w:w="745" w:type="dxa"/>
            <w:tcBorders>
              <w:top w:val="nil"/>
              <w:left w:val="nil"/>
              <w:bottom w:val="single" w:sz="8" w:space="0" w:color="auto"/>
              <w:right w:val="nil"/>
            </w:tcBorders>
            <w:shd w:val="clear" w:color="auto" w:fill="auto"/>
            <w:noWrap/>
            <w:vAlign w:val="center"/>
            <w:hideMark/>
          </w:tcPr>
          <w:p w14:paraId="4F9FF90B"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w:t>
            </w:r>
          </w:p>
        </w:tc>
        <w:tc>
          <w:tcPr>
            <w:tcW w:w="718" w:type="dxa"/>
            <w:tcBorders>
              <w:top w:val="nil"/>
              <w:left w:val="nil"/>
              <w:bottom w:val="single" w:sz="8" w:space="0" w:color="auto"/>
              <w:right w:val="nil"/>
            </w:tcBorders>
            <w:shd w:val="clear" w:color="auto" w:fill="auto"/>
            <w:noWrap/>
            <w:vAlign w:val="center"/>
            <w:hideMark/>
          </w:tcPr>
          <w:p w14:paraId="4721EC25"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-0,6</w:t>
            </w:r>
          </w:p>
        </w:tc>
        <w:tc>
          <w:tcPr>
            <w:tcW w:w="713" w:type="dxa"/>
            <w:tcBorders>
              <w:top w:val="nil"/>
              <w:left w:val="nil"/>
              <w:bottom w:val="single" w:sz="8" w:space="0" w:color="auto"/>
              <w:right w:val="nil"/>
            </w:tcBorders>
            <w:shd w:val="clear" w:color="auto" w:fill="auto"/>
            <w:noWrap/>
            <w:vAlign w:val="center"/>
            <w:hideMark/>
          </w:tcPr>
          <w:p w14:paraId="7B6D166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-0,8</w:t>
            </w:r>
          </w:p>
        </w:tc>
        <w:tc>
          <w:tcPr>
            <w:tcW w:w="1621" w:type="dxa"/>
            <w:tcBorders>
              <w:top w:val="nil"/>
              <w:left w:val="single" w:sz="4" w:space="0" w:color="auto"/>
              <w:bottom w:val="single" w:sz="8" w:space="0" w:color="auto"/>
              <w:right w:val="single" w:sz="4" w:space="0" w:color="auto"/>
            </w:tcBorders>
          </w:tcPr>
          <w:p w14:paraId="4A25CFD0" w14:textId="19C0EE8A" w:rsidR="00451DA3" w:rsidRPr="00C65289" w:rsidRDefault="006F7F3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856" w:type="dxa"/>
            <w:tcBorders>
              <w:top w:val="nil"/>
              <w:left w:val="single" w:sz="4" w:space="0" w:color="auto"/>
              <w:bottom w:val="single" w:sz="8" w:space="0" w:color="auto"/>
              <w:right w:val="nil"/>
            </w:tcBorders>
            <w:shd w:val="clear" w:color="auto" w:fill="auto"/>
            <w:noWrap/>
            <w:vAlign w:val="center"/>
            <w:hideMark/>
          </w:tcPr>
          <w:p w14:paraId="2301CB95" w14:textId="6B2A204B"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-1,8</w:t>
            </w:r>
          </w:p>
        </w:tc>
        <w:tc>
          <w:tcPr>
            <w:tcW w:w="1305" w:type="dxa"/>
            <w:tcBorders>
              <w:top w:val="nil"/>
              <w:left w:val="nil"/>
              <w:bottom w:val="single" w:sz="8" w:space="0" w:color="auto"/>
            </w:tcBorders>
            <w:shd w:val="clear" w:color="auto" w:fill="auto"/>
            <w:noWrap/>
            <w:vAlign w:val="center"/>
            <w:hideMark/>
          </w:tcPr>
          <w:p w14:paraId="16EBDC56"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-2,2</w:t>
            </w:r>
          </w:p>
        </w:tc>
      </w:tr>
      <w:tr w:rsidR="00AC6E27" w:rsidRPr="00C65289" w14:paraId="7725B861"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06FCDFDF"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Λουξεμβούργο</w:t>
            </w:r>
          </w:p>
        </w:tc>
        <w:tc>
          <w:tcPr>
            <w:tcW w:w="993" w:type="dxa"/>
            <w:tcBorders>
              <w:top w:val="nil"/>
              <w:left w:val="nil"/>
              <w:bottom w:val="single" w:sz="8" w:space="0" w:color="auto"/>
              <w:right w:val="nil"/>
            </w:tcBorders>
            <w:shd w:val="clear" w:color="auto" w:fill="auto"/>
            <w:noWrap/>
            <w:vAlign w:val="center"/>
            <w:hideMark/>
          </w:tcPr>
          <w:p w14:paraId="2E250F8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745" w:type="dxa"/>
            <w:tcBorders>
              <w:top w:val="nil"/>
              <w:left w:val="nil"/>
              <w:bottom w:val="single" w:sz="8" w:space="0" w:color="auto"/>
              <w:right w:val="nil"/>
            </w:tcBorders>
            <w:shd w:val="clear" w:color="auto" w:fill="auto"/>
            <w:noWrap/>
            <w:vAlign w:val="center"/>
            <w:hideMark/>
          </w:tcPr>
          <w:p w14:paraId="5ED0A91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0,5</w:t>
            </w:r>
          </w:p>
        </w:tc>
        <w:tc>
          <w:tcPr>
            <w:tcW w:w="718" w:type="dxa"/>
            <w:tcBorders>
              <w:top w:val="nil"/>
              <w:left w:val="nil"/>
              <w:bottom w:val="single" w:sz="8" w:space="0" w:color="auto"/>
              <w:right w:val="nil"/>
            </w:tcBorders>
            <w:shd w:val="clear" w:color="auto" w:fill="auto"/>
            <w:noWrap/>
            <w:vAlign w:val="center"/>
            <w:hideMark/>
          </w:tcPr>
          <w:p w14:paraId="05F4DB4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-0,3</w:t>
            </w:r>
          </w:p>
        </w:tc>
        <w:tc>
          <w:tcPr>
            <w:tcW w:w="713" w:type="dxa"/>
            <w:tcBorders>
              <w:top w:val="nil"/>
              <w:left w:val="nil"/>
              <w:bottom w:val="single" w:sz="8" w:space="0" w:color="auto"/>
              <w:right w:val="nil"/>
            </w:tcBorders>
            <w:shd w:val="clear" w:color="auto" w:fill="auto"/>
            <w:noWrap/>
            <w:vAlign w:val="center"/>
            <w:hideMark/>
          </w:tcPr>
          <w:p w14:paraId="1D8C5A6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-1,3</w:t>
            </w:r>
          </w:p>
        </w:tc>
        <w:tc>
          <w:tcPr>
            <w:tcW w:w="1621" w:type="dxa"/>
            <w:tcBorders>
              <w:top w:val="nil"/>
              <w:left w:val="single" w:sz="4" w:space="0" w:color="auto"/>
              <w:bottom w:val="single" w:sz="8" w:space="0" w:color="auto"/>
              <w:right w:val="single" w:sz="4" w:space="0" w:color="auto"/>
            </w:tcBorders>
          </w:tcPr>
          <w:p w14:paraId="622A91A1" w14:textId="3651890D" w:rsidR="00451DA3" w:rsidRPr="00C65289" w:rsidRDefault="00733141"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c>
          <w:tcPr>
            <w:tcW w:w="856" w:type="dxa"/>
            <w:tcBorders>
              <w:top w:val="nil"/>
              <w:left w:val="single" w:sz="4" w:space="0" w:color="auto"/>
              <w:bottom w:val="single" w:sz="8" w:space="0" w:color="auto"/>
              <w:right w:val="nil"/>
            </w:tcBorders>
            <w:shd w:val="clear" w:color="auto" w:fill="auto"/>
            <w:noWrap/>
            <w:vAlign w:val="center"/>
            <w:hideMark/>
          </w:tcPr>
          <w:p w14:paraId="2C740831" w14:textId="5DBACBD5"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-1,7</w:t>
            </w:r>
          </w:p>
        </w:tc>
        <w:tc>
          <w:tcPr>
            <w:tcW w:w="1305" w:type="dxa"/>
            <w:tcBorders>
              <w:top w:val="nil"/>
              <w:left w:val="nil"/>
              <w:bottom w:val="single" w:sz="8" w:space="0" w:color="auto"/>
            </w:tcBorders>
            <w:shd w:val="clear" w:color="auto" w:fill="auto"/>
            <w:noWrap/>
            <w:vAlign w:val="center"/>
            <w:hideMark/>
          </w:tcPr>
          <w:p w14:paraId="7A6B082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-1,9</w:t>
            </w:r>
          </w:p>
        </w:tc>
      </w:tr>
      <w:tr w:rsidR="00AC6E27" w:rsidRPr="00C65289" w14:paraId="3E7338DC"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7D1F6230"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Κάτω Χώρες</w:t>
            </w:r>
          </w:p>
        </w:tc>
        <w:tc>
          <w:tcPr>
            <w:tcW w:w="993" w:type="dxa"/>
            <w:tcBorders>
              <w:top w:val="nil"/>
              <w:left w:val="nil"/>
              <w:bottom w:val="single" w:sz="8" w:space="0" w:color="auto"/>
              <w:right w:val="nil"/>
            </w:tcBorders>
            <w:shd w:val="clear" w:color="auto" w:fill="auto"/>
            <w:noWrap/>
            <w:vAlign w:val="center"/>
            <w:hideMark/>
          </w:tcPr>
          <w:p w14:paraId="3806BC8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c>
          <w:tcPr>
            <w:tcW w:w="745" w:type="dxa"/>
            <w:tcBorders>
              <w:top w:val="nil"/>
              <w:left w:val="nil"/>
              <w:bottom w:val="single" w:sz="8" w:space="0" w:color="auto"/>
              <w:right w:val="nil"/>
            </w:tcBorders>
            <w:shd w:val="clear" w:color="auto" w:fill="auto"/>
            <w:noWrap/>
            <w:vAlign w:val="center"/>
            <w:hideMark/>
          </w:tcPr>
          <w:p w14:paraId="757A7E7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-2,2</w:t>
            </w:r>
          </w:p>
        </w:tc>
        <w:tc>
          <w:tcPr>
            <w:tcW w:w="718" w:type="dxa"/>
            <w:tcBorders>
              <w:top w:val="nil"/>
              <w:left w:val="nil"/>
              <w:bottom w:val="single" w:sz="8" w:space="0" w:color="auto"/>
              <w:right w:val="nil"/>
            </w:tcBorders>
            <w:shd w:val="clear" w:color="auto" w:fill="auto"/>
            <w:noWrap/>
            <w:vAlign w:val="center"/>
            <w:hideMark/>
          </w:tcPr>
          <w:p w14:paraId="7751D69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-0,1</w:t>
            </w:r>
          </w:p>
        </w:tc>
        <w:tc>
          <w:tcPr>
            <w:tcW w:w="713" w:type="dxa"/>
            <w:tcBorders>
              <w:top w:val="nil"/>
              <w:left w:val="nil"/>
              <w:bottom w:val="single" w:sz="8" w:space="0" w:color="auto"/>
              <w:right w:val="nil"/>
            </w:tcBorders>
            <w:shd w:val="clear" w:color="auto" w:fill="auto"/>
            <w:noWrap/>
            <w:vAlign w:val="center"/>
            <w:hideMark/>
          </w:tcPr>
          <w:p w14:paraId="19A276B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-0,3</w:t>
            </w:r>
          </w:p>
        </w:tc>
        <w:tc>
          <w:tcPr>
            <w:tcW w:w="1621" w:type="dxa"/>
            <w:tcBorders>
              <w:top w:val="nil"/>
              <w:left w:val="single" w:sz="4" w:space="0" w:color="auto"/>
              <w:bottom w:val="single" w:sz="8" w:space="0" w:color="auto"/>
              <w:right w:val="single" w:sz="4" w:space="0" w:color="auto"/>
            </w:tcBorders>
          </w:tcPr>
          <w:p w14:paraId="65B35F77" w14:textId="15ED0F2F" w:rsidR="00451DA3" w:rsidRPr="00C65289" w:rsidRDefault="00033FFC"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-2,1</w:t>
            </w:r>
          </w:p>
        </w:tc>
        <w:tc>
          <w:tcPr>
            <w:tcW w:w="856" w:type="dxa"/>
            <w:tcBorders>
              <w:top w:val="nil"/>
              <w:left w:val="single" w:sz="4" w:space="0" w:color="auto"/>
              <w:bottom w:val="single" w:sz="8" w:space="0" w:color="auto"/>
              <w:right w:val="nil"/>
            </w:tcBorders>
            <w:shd w:val="clear" w:color="auto" w:fill="auto"/>
            <w:noWrap/>
            <w:vAlign w:val="center"/>
            <w:hideMark/>
          </w:tcPr>
          <w:p w14:paraId="08B1EB55" w14:textId="60D1A4FD"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w:t>
            </w:r>
          </w:p>
        </w:tc>
        <w:tc>
          <w:tcPr>
            <w:tcW w:w="1305" w:type="dxa"/>
            <w:tcBorders>
              <w:top w:val="nil"/>
              <w:left w:val="nil"/>
              <w:bottom w:val="single" w:sz="8" w:space="0" w:color="auto"/>
            </w:tcBorders>
            <w:shd w:val="clear" w:color="auto" w:fill="auto"/>
            <w:noWrap/>
            <w:vAlign w:val="center"/>
            <w:hideMark/>
          </w:tcPr>
          <w:p w14:paraId="2C9DD7F9"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-2,1</w:t>
            </w:r>
          </w:p>
        </w:tc>
      </w:tr>
      <w:tr w:rsidR="00AC6E27" w:rsidRPr="00C65289" w14:paraId="763076C7"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65591BBF"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Αυστρία</w:t>
            </w:r>
          </w:p>
        </w:tc>
        <w:tc>
          <w:tcPr>
            <w:tcW w:w="993" w:type="dxa"/>
            <w:tcBorders>
              <w:top w:val="nil"/>
              <w:left w:val="nil"/>
              <w:bottom w:val="single" w:sz="8" w:space="0" w:color="auto"/>
              <w:right w:val="nil"/>
            </w:tcBorders>
            <w:shd w:val="clear" w:color="auto" w:fill="auto"/>
            <w:noWrap/>
            <w:vAlign w:val="center"/>
            <w:hideMark/>
          </w:tcPr>
          <w:p w14:paraId="268A67B3"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-8,0</w:t>
            </w:r>
          </w:p>
        </w:tc>
        <w:tc>
          <w:tcPr>
            <w:tcW w:w="745" w:type="dxa"/>
            <w:tcBorders>
              <w:top w:val="nil"/>
              <w:left w:val="nil"/>
              <w:bottom w:val="single" w:sz="8" w:space="0" w:color="auto"/>
              <w:right w:val="nil"/>
            </w:tcBorders>
            <w:shd w:val="clear" w:color="auto" w:fill="auto"/>
            <w:noWrap/>
            <w:vAlign w:val="center"/>
            <w:hideMark/>
          </w:tcPr>
          <w:p w14:paraId="26B8F46D"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w:t>
            </w:r>
          </w:p>
        </w:tc>
        <w:tc>
          <w:tcPr>
            <w:tcW w:w="718" w:type="dxa"/>
            <w:tcBorders>
              <w:top w:val="nil"/>
              <w:left w:val="nil"/>
              <w:bottom w:val="single" w:sz="8" w:space="0" w:color="auto"/>
              <w:right w:val="nil"/>
            </w:tcBorders>
            <w:shd w:val="clear" w:color="auto" w:fill="auto"/>
            <w:noWrap/>
            <w:vAlign w:val="center"/>
            <w:hideMark/>
          </w:tcPr>
          <w:p w14:paraId="2085CE7E"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w:t>
            </w:r>
          </w:p>
        </w:tc>
        <w:tc>
          <w:tcPr>
            <w:tcW w:w="713" w:type="dxa"/>
            <w:tcBorders>
              <w:top w:val="nil"/>
              <w:left w:val="nil"/>
              <w:bottom w:val="single" w:sz="8" w:space="0" w:color="auto"/>
              <w:right w:val="nil"/>
            </w:tcBorders>
            <w:shd w:val="clear" w:color="auto" w:fill="auto"/>
            <w:noWrap/>
            <w:vAlign w:val="center"/>
            <w:hideMark/>
          </w:tcPr>
          <w:p w14:paraId="484F89E5"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1621" w:type="dxa"/>
            <w:tcBorders>
              <w:top w:val="nil"/>
              <w:left w:val="single" w:sz="4" w:space="0" w:color="auto"/>
              <w:bottom w:val="single" w:sz="8" w:space="0" w:color="auto"/>
              <w:right w:val="single" w:sz="4" w:space="0" w:color="auto"/>
            </w:tcBorders>
          </w:tcPr>
          <w:p w14:paraId="52C3D974" w14:textId="271C44D6" w:rsidR="00451DA3" w:rsidRPr="00C65289" w:rsidRDefault="00364D4D"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856" w:type="dxa"/>
            <w:tcBorders>
              <w:top w:val="nil"/>
              <w:left w:val="single" w:sz="4" w:space="0" w:color="auto"/>
              <w:bottom w:val="single" w:sz="8" w:space="0" w:color="auto"/>
              <w:right w:val="nil"/>
            </w:tcBorders>
            <w:shd w:val="clear" w:color="auto" w:fill="auto"/>
            <w:noWrap/>
            <w:vAlign w:val="center"/>
            <w:hideMark/>
          </w:tcPr>
          <w:p w14:paraId="2E69F307" w14:textId="1630373D"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1305" w:type="dxa"/>
            <w:tcBorders>
              <w:top w:val="nil"/>
              <w:left w:val="nil"/>
              <w:bottom w:val="single" w:sz="8" w:space="0" w:color="auto"/>
            </w:tcBorders>
            <w:shd w:val="clear" w:color="auto" w:fill="auto"/>
            <w:noWrap/>
            <w:vAlign w:val="center"/>
            <w:hideMark/>
          </w:tcPr>
          <w:p w14:paraId="319D2F6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r>
      <w:tr w:rsidR="00AC6E27" w:rsidRPr="00C65289" w14:paraId="5EF5ED1A"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3C49B3DE"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Πορτογαλία</w:t>
            </w:r>
          </w:p>
        </w:tc>
        <w:tc>
          <w:tcPr>
            <w:tcW w:w="993" w:type="dxa"/>
            <w:tcBorders>
              <w:top w:val="nil"/>
              <w:left w:val="nil"/>
              <w:bottom w:val="single" w:sz="8" w:space="0" w:color="auto"/>
              <w:right w:val="nil"/>
            </w:tcBorders>
            <w:shd w:val="clear" w:color="auto" w:fill="auto"/>
            <w:noWrap/>
            <w:vAlign w:val="center"/>
            <w:hideMark/>
          </w:tcPr>
          <w:p w14:paraId="728623F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w:t>
            </w:r>
          </w:p>
        </w:tc>
        <w:tc>
          <w:tcPr>
            <w:tcW w:w="745" w:type="dxa"/>
            <w:tcBorders>
              <w:top w:val="nil"/>
              <w:left w:val="nil"/>
              <w:bottom w:val="single" w:sz="8" w:space="0" w:color="auto"/>
              <w:right w:val="nil"/>
            </w:tcBorders>
            <w:shd w:val="clear" w:color="auto" w:fill="auto"/>
            <w:noWrap/>
            <w:vAlign w:val="center"/>
            <w:hideMark/>
          </w:tcPr>
          <w:p w14:paraId="1F1F80A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718" w:type="dxa"/>
            <w:tcBorders>
              <w:top w:val="nil"/>
              <w:left w:val="nil"/>
              <w:bottom w:val="single" w:sz="8" w:space="0" w:color="auto"/>
              <w:right w:val="nil"/>
            </w:tcBorders>
            <w:shd w:val="clear" w:color="auto" w:fill="auto"/>
            <w:noWrap/>
            <w:vAlign w:val="center"/>
            <w:hideMark/>
          </w:tcPr>
          <w:p w14:paraId="1697FF5C"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-0,3</w:t>
            </w:r>
          </w:p>
        </w:tc>
        <w:tc>
          <w:tcPr>
            <w:tcW w:w="713" w:type="dxa"/>
            <w:tcBorders>
              <w:top w:val="nil"/>
              <w:left w:val="nil"/>
              <w:bottom w:val="single" w:sz="8" w:space="0" w:color="auto"/>
              <w:right w:val="nil"/>
            </w:tcBorders>
            <w:shd w:val="clear" w:color="auto" w:fill="auto"/>
            <w:noWrap/>
            <w:vAlign w:val="center"/>
            <w:hideMark/>
          </w:tcPr>
          <w:p w14:paraId="602C1ABA"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c>
          <w:tcPr>
            <w:tcW w:w="1621" w:type="dxa"/>
            <w:tcBorders>
              <w:top w:val="nil"/>
              <w:left w:val="single" w:sz="4" w:space="0" w:color="auto"/>
              <w:bottom w:val="single" w:sz="8" w:space="0" w:color="auto"/>
              <w:right w:val="single" w:sz="4" w:space="0" w:color="auto"/>
            </w:tcBorders>
          </w:tcPr>
          <w:p w14:paraId="44FF696D" w14:textId="4CDBBF95" w:rsidR="00451DA3" w:rsidRPr="00C65289" w:rsidRDefault="00E62F8E"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0,2</w:t>
            </w:r>
          </w:p>
        </w:tc>
        <w:tc>
          <w:tcPr>
            <w:tcW w:w="856" w:type="dxa"/>
            <w:tcBorders>
              <w:top w:val="nil"/>
              <w:left w:val="single" w:sz="4" w:space="0" w:color="auto"/>
              <w:bottom w:val="single" w:sz="8" w:space="0" w:color="auto"/>
              <w:right w:val="nil"/>
            </w:tcBorders>
            <w:shd w:val="clear" w:color="auto" w:fill="auto"/>
            <w:noWrap/>
            <w:vAlign w:val="center"/>
            <w:hideMark/>
          </w:tcPr>
          <w:p w14:paraId="170A3527" w14:textId="5D09333C"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0,4</w:t>
            </w:r>
          </w:p>
        </w:tc>
        <w:tc>
          <w:tcPr>
            <w:tcW w:w="1305" w:type="dxa"/>
            <w:tcBorders>
              <w:top w:val="nil"/>
              <w:left w:val="nil"/>
              <w:bottom w:val="single" w:sz="8" w:space="0" w:color="auto"/>
            </w:tcBorders>
            <w:shd w:val="clear" w:color="auto" w:fill="auto"/>
            <w:noWrap/>
            <w:vAlign w:val="center"/>
            <w:hideMark/>
          </w:tcPr>
          <w:p w14:paraId="7DA5DC0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0,5</w:t>
            </w:r>
          </w:p>
        </w:tc>
      </w:tr>
      <w:tr w:rsidR="00AC6E27" w:rsidRPr="00C65289" w14:paraId="6DC50DAA" w14:textId="77777777" w:rsidTr="00952ADB">
        <w:trPr>
          <w:trHeight w:val="300"/>
          <w:jc w:val="center"/>
        </w:trPr>
        <w:tc>
          <w:tcPr>
            <w:tcW w:w="2075" w:type="dxa"/>
            <w:gridSpan w:val="2"/>
            <w:tcBorders>
              <w:top w:val="nil"/>
              <w:left w:val="nil"/>
              <w:bottom w:val="single" w:sz="8" w:space="0" w:color="auto"/>
              <w:right w:val="nil"/>
            </w:tcBorders>
            <w:shd w:val="clear" w:color="auto" w:fill="auto"/>
            <w:noWrap/>
            <w:vAlign w:val="center"/>
            <w:hideMark/>
          </w:tcPr>
          <w:p w14:paraId="1B95D717" w14:textId="3624E90D"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Ρουμανία (*)</w:t>
            </w:r>
          </w:p>
        </w:tc>
        <w:tc>
          <w:tcPr>
            <w:tcW w:w="993" w:type="dxa"/>
            <w:tcBorders>
              <w:top w:val="nil"/>
              <w:left w:val="nil"/>
              <w:bottom w:val="single" w:sz="8" w:space="0" w:color="auto"/>
              <w:right w:val="nil"/>
            </w:tcBorders>
            <w:shd w:val="clear" w:color="auto" w:fill="auto"/>
            <w:noWrap/>
            <w:vAlign w:val="center"/>
            <w:hideMark/>
          </w:tcPr>
          <w:p w14:paraId="5E693C4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-9,3</w:t>
            </w:r>
          </w:p>
        </w:tc>
        <w:tc>
          <w:tcPr>
            <w:tcW w:w="745" w:type="dxa"/>
            <w:tcBorders>
              <w:top w:val="nil"/>
              <w:left w:val="nil"/>
              <w:bottom w:val="single" w:sz="8" w:space="0" w:color="auto"/>
              <w:right w:val="nil"/>
            </w:tcBorders>
            <w:shd w:val="clear" w:color="auto" w:fill="auto"/>
            <w:noWrap/>
            <w:vAlign w:val="center"/>
            <w:hideMark/>
          </w:tcPr>
          <w:p w14:paraId="0639A4F2"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-7,2</w:t>
            </w:r>
          </w:p>
        </w:tc>
        <w:tc>
          <w:tcPr>
            <w:tcW w:w="718" w:type="dxa"/>
            <w:tcBorders>
              <w:top w:val="nil"/>
              <w:left w:val="nil"/>
              <w:bottom w:val="single" w:sz="8" w:space="0" w:color="auto"/>
              <w:right w:val="nil"/>
            </w:tcBorders>
            <w:shd w:val="clear" w:color="auto" w:fill="auto"/>
            <w:noWrap/>
            <w:vAlign w:val="center"/>
            <w:hideMark/>
          </w:tcPr>
          <w:p w14:paraId="6C7979C7"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-6,3</w:t>
            </w:r>
          </w:p>
        </w:tc>
        <w:tc>
          <w:tcPr>
            <w:tcW w:w="713" w:type="dxa"/>
            <w:tcBorders>
              <w:top w:val="nil"/>
              <w:left w:val="nil"/>
              <w:bottom w:val="single" w:sz="8" w:space="0" w:color="auto"/>
              <w:right w:val="nil"/>
            </w:tcBorders>
            <w:shd w:val="clear" w:color="auto" w:fill="auto"/>
            <w:noWrap/>
            <w:vAlign w:val="center"/>
            <w:hideMark/>
          </w:tcPr>
          <w:p w14:paraId="0B41CB65"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-6,6</w:t>
            </w:r>
          </w:p>
        </w:tc>
        <w:tc>
          <w:tcPr>
            <w:tcW w:w="1621" w:type="dxa"/>
            <w:tcBorders>
              <w:top w:val="nil"/>
              <w:left w:val="single" w:sz="4" w:space="0" w:color="auto"/>
              <w:bottom w:val="single" w:sz="8" w:space="0" w:color="auto"/>
              <w:right w:val="single" w:sz="4" w:space="0" w:color="auto"/>
            </w:tcBorders>
          </w:tcPr>
          <w:p w14:paraId="5C3D4BE8" w14:textId="1B126664" w:rsidR="00451DA3" w:rsidRPr="00C65289" w:rsidRDefault="00A66D7C"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w:t>
            </w:r>
          </w:p>
        </w:tc>
        <w:tc>
          <w:tcPr>
            <w:tcW w:w="856" w:type="dxa"/>
            <w:tcBorders>
              <w:top w:val="nil"/>
              <w:left w:val="single" w:sz="4" w:space="0" w:color="auto"/>
              <w:bottom w:val="single" w:sz="8" w:space="0" w:color="auto"/>
              <w:right w:val="nil"/>
            </w:tcBorders>
            <w:shd w:val="clear" w:color="auto" w:fill="auto"/>
            <w:noWrap/>
            <w:vAlign w:val="center"/>
            <w:hideMark/>
          </w:tcPr>
          <w:p w14:paraId="76249E28" w14:textId="305F89FC"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-6,9</w:t>
            </w:r>
          </w:p>
        </w:tc>
        <w:tc>
          <w:tcPr>
            <w:tcW w:w="1305" w:type="dxa"/>
            <w:tcBorders>
              <w:top w:val="nil"/>
              <w:left w:val="nil"/>
              <w:bottom w:val="single" w:sz="8" w:space="0" w:color="auto"/>
            </w:tcBorders>
            <w:shd w:val="clear" w:color="auto" w:fill="auto"/>
            <w:noWrap/>
            <w:vAlign w:val="center"/>
            <w:hideMark/>
          </w:tcPr>
          <w:p w14:paraId="75D454C5"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-7,0</w:t>
            </w:r>
          </w:p>
        </w:tc>
      </w:tr>
      <w:tr w:rsidR="00AC6E27" w:rsidRPr="00C65289" w14:paraId="30B43BE2" w14:textId="77777777" w:rsidTr="00952ADB">
        <w:trPr>
          <w:trHeight w:val="300"/>
          <w:jc w:val="center"/>
        </w:trPr>
        <w:tc>
          <w:tcPr>
            <w:tcW w:w="2075" w:type="dxa"/>
            <w:gridSpan w:val="2"/>
            <w:tcBorders>
              <w:top w:val="single" w:sz="8" w:space="0" w:color="auto"/>
              <w:left w:val="nil"/>
              <w:bottom w:val="single" w:sz="8" w:space="0" w:color="auto"/>
              <w:right w:val="nil"/>
            </w:tcBorders>
            <w:shd w:val="clear" w:color="auto" w:fill="auto"/>
            <w:noWrap/>
            <w:vAlign w:val="center"/>
            <w:hideMark/>
          </w:tcPr>
          <w:p w14:paraId="3BAA1597" w14:textId="77777777" w:rsidR="00451DA3" w:rsidRPr="00C65289" w:rsidRDefault="00451DA3" w:rsidP="0047325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Σουηδία</w:t>
            </w:r>
          </w:p>
        </w:tc>
        <w:tc>
          <w:tcPr>
            <w:tcW w:w="993" w:type="dxa"/>
            <w:tcBorders>
              <w:top w:val="single" w:sz="8" w:space="0" w:color="auto"/>
              <w:left w:val="nil"/>
              <w:bottom w:val="single" w:sz="8" w:space="0" w:color="auto"/>
              <w:right w:val="nil"/>
            </w:tcBorders>
            <w:shd w:val="clear" w:color="auto" w:fill="auto"/>
            <w:noWrap/>
            <w:vAlign w:val="center"/>
            <w:hideMark/>
          </w:tcPr>
          <w:p w14:paraId="070B0BD0"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745" w:type="dxa"/>
            <w:tcBorders>
              <w:top w:val="single" w:sz="8" w:space="0" w:color="auto"/>
              <w:left w:val="nil"/>
              <w:bottom w:val="single" w:sz="8" w:space="0" w:color="auto"/>
              <w:right w:val="nil"/>
            </w:tcBorders>
            <w:shd w:val="clear" w:color="auto" w:fill="auto"/>
            <w:noWrap/>
            <w:vAlign w:val="center"/>
            <w:hideMark/>
          </w:tcPr>
          <w:p w14:paraId="4DD0E8C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0,0</w:t>
            </w:r>
          </w:p>
        </w:tc>
        <w:tc>
          <w:tcPr>
            <w:tcW w:w="718" w:type="dxa"/>
            <w:tcBorders>
              <w:top w:val="single" w:sz="8" w:space="0" w:color="auto"/>
              <w:left w:val="nil"/>
              <w:bottom w:val="single" w:sz="8" w:space="0" w:color="auto"/>
              <w:right w:val="nil"/>
            </w:tcBorders>
            <w:shd w:val="clear" w:color="auto" w:fill="auto"/>
            <w:noWrap/>
            <w:vAlign w:val="center"/>
            <w:hideMark/>
          </w:tcPr>
          <w:p w14:paraId="627E04CF"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c>
          <w:tcPr>
            <w:tcW w:w="713" w:type="dxa"/>
            <w:tcBorders>
              <w:top w:val="single" w:sz="8" w:space="0" w:color="auto"/>
              <w:left w:val="nil"/>
              <w:bottom w:val="single" w:sz="8" w:space="0" w:color="auto"/>
              <w:right w:val="nil"/>
            </w:tcBorders>
            <w:shd w:val="clear" w:color="auto" w:fill="auto"/>
            <w:noWrap/>
            <w:vAlign w:val="center"/>
            <w:hideMark/>
          </w:tcPr>
          <w:p w14:paraId="178B6B18"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-0,6</w:t>
            </w:r>
          </w:p>
        </w:tc>
        <w:tc>
          <w:tcPr>
            <w:tcW w:w="1621" w:type="dxa"/>
            <w:tcBorders>
              <w:top w:val="single" w:sz="8" w:space="0" w:color="auto"/>
              <w:left w:val="single" w:sz="4" w:space="0" w:color="auto"/>
              <w:bottom w:val="single" w:sz="8" w:space="0" w:color="auto"/>
              <w:right w:val="single" w:sz="4" w:space="0" w:color="auto"/>
            </w:tcBorders>
          </w:tcPr>
          <w:p w14:paraId="226B13D3" w14:textId="1F739AF8" w:rsidR="00451DA3" w:rsidRPr="00C65289" w:rsidRDefault="00A66D7C"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w:t>
            </w:r>
          </w:p>
        </w:tc>
        <w:tc>
          <w:tcPr>
            <w:tcW w:w="856" w:type="dxa"/>
            <w:tcBorders>
              <w:top w:val="single" w:sz="8" w:space="0" w:color="auto"/>
              <w:left w:val="single" w:sz="4" w:space="0" w:color="auto"/>
              <w:bottom w:val="single" w:sz="8" w:space="0" w:color="auto"/>
              <w:right w:val="nil"/>
            </w:tcBorders>
            <w:shd w:val="clear" w:color="auto" w:fill="auto"/>
            <w:noWrap/>
            <w:vAlign w:val="center"/>
            <w:hideMark/>
          </w:tcPr>
          <w:p w14:paraId="5A982ECA" w14:textId="766882B3"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-1,4</w:t>
            </w:r>
          </w:p>
        </w:tc>
        <w:tc>
          <w:tcPr>
            <w:tcW w:w="1305" w:type="dxa"/>
            <w:tcBorders>
              <w:top w:val="single" w:sz="8" w:space="0" w:color="auto"/>
              <w:left w:val="nil"/>
              <w:bottom w:val="single" w:sz="8" w:space="0" w:color="auto"/>
            </w:tcBorders>
            <w:shd w:val="clear" w:color="auto" w:fill="auto"/>
            <w:noWrap/>
            <w:vAlign w:val="center"/>
            <w:hideMark/>
          </w:tcPr>
          <w:p w14:paraId="1B47E8A1" w14:textId="77777777" w:rsidR="00451DA3" w:rsidRPr="00C65289" w:rsidRDefault="00451DA3" w:rsidP="0047325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-0,9</w:t>
            </w:r>
          </w:p>
        </w:tc>
      </w:tr>
      <w:tr w:rsidR="00AC6E27" w:rsidRPr="00C65289" w14:paraId="41C205C8" w14:textId="77777777">
        <w:trPr>
          <w:trHeight w:val="300"/>
          <w:jc w:val="center"/>
        </w:trPr>
        <w:tc>
          <w:tcPr>
            <w:tcW w:w="9026" w:type="dxa"/>
            <w:gridSpan w:val="9"/>
            <w:tcBorders>
              <w:top w:val="single" w:sz="8" w:space="0" w:color="auto"/>
              <w:left w:val="nil"/>
            </w:tcBorders>
            <w:vAlign w:val="center"/>
          </w:tcPr>
          <w:p w14:paraId="519AFBFD" w14:textId="572EAA3F" w:rsidR="00AC6E27" w:rsidRPr="00CD6F11" w:rsidRDefault="00AC6E27" w:rsidP="00AC6E27">
            <w:pPr>
              <w:spacing w:after="0" w:line="240" w:lineRule="auto"/>
              <w:rPr>
                <w:rFonts w:ascii="Times New Roman" w:eastAsia="Times New Roman" w:hAnsi="Times New Roman" w:cs="Times New Roman"/>
                <w:noProof/>
                <w:color w:val="000000"/>
                <w:sz w:val="20"/>
                <w:szCs w:val="20"/>
              </w:rPr>
            </w:pPr>
            <w:r>
              <w:rPr>
                <w:rFonts w:ascii="Times New Roman" w:hAnsi="Times New Roman"/>
                <w:i/>
                <w:noProof/>
                <w:color w:val="000000"/>
                <w:sz w:val="20"/>
              </w:rPr>
              <w:t>Πηγή</w:t>
            </w:r>
            <w:r>
              <w:rPr>
                <w:rFonts w:ascii="Times New Roman" w:hAnsi="Times New Roman"/>
                <w:noProof/>
                <w:color w:val="000000"/>
                <w:sz w:val="20"/>
              </w:rPr>
              <w:t>: Eurostat (στοιχεία από το 2020 έως το 2023 και δημοσιονομική κοινοποίηση 2024) και εαρινές προβλέψεις 2024 της Επιτροπής (στοιχεία για το 2024 και το 2025)</w:t>
            </w:r>
            <w:r>
              <w:rPr>
                <w:rStyle w:val="FootnoteReference"/>
                <w:rFonts w:eastAsiaTheme="minorHAnsi"/>
                <w:noProof/>
                <w:color w:val="000000"/>
                <w:lang w:val="en-IE"/>
              </w:rPr>
              <w:footnoteReference w:id="30"/>
            </w:r>
            <w:r>
              <w:rPr>
                <w:rFonts w:ascii="Times New Roman" w:hAnsi="Times New Roman"/>
                <w:noProof/>
                <w:color w:val="000000"/>
                <w:sz w:val="20"/>
              </w:rPr>
              <w:t>. (</w:t>
            </w:r>
            <w:r>
              <w:rPr>
                <w:rFonts w:ascii="Times New Roman" w:hAnsi="Times New Roman"/>
                <w:noProof/>
                <w:color w:val="000000"/>
                <w:sz w:val="20"/>
                <w:vertAlign w:val="superscript"/>
              </w:rPr>
              <w:t>*</w:t>
            </w:r>
            <w:r>
              <w:rPr>
                <w:rFonts w:ascii="Times New Roman" w:hAnsi="Times New Roman"/>
                <w:noProof/>
                <w:color w:val="000000"/>
                <w:sz w:val="20"/>
              </w:rPr>
              <w:t>) Σε διαδικασία υπερβολικού ελλείμματος από το 2020.</w:t>
            </w:r>
          </w:p>
        </w:tc>
      </w:tr>
      <w:tr w:rsidR="00451DA3" w:rsidRPr="00C65289" w14:paraId="0BDA7A07" w14:textId="77777777" w:rsidTr="00952ADB">
        <w:trPr>
          <w:trHeight w:val="300"/>
          <w:jc w:val="center"/>
        </w:trPr>
        <w:tc>
          <w:tcPr>
            <w:tcW w:w="854" w:type="dxa"/>
            <w:tcBorders>
              <w:left w:val="nil"/>
              <w:bottom w:val="nil"/>
            </w:tcBorders>
          </w:tcPr>
          <w:p w14:paraId="462A411E" w14:textId="77777777" w:rsidR="00451DA3" w:rsidRPr="00C65289" w:rsidRDefault="00451DA3" w:rsidP="00B15E61">
            <w:pPr>
              <w:spacing w:after="0" w:line="240" w:lineRule="auto"/>
              <w:rPr>
                <w:rFonts w:ascii="Times New Roman" w:eastAsia="Times New Roman" w:hAnsi="Times New Roman" w:cs="Times New Roman"/>
                <w:i/>
                <w:noProof/>
                <w:color w:val="000000"/>
                <w:lang w:val="en-IE" w:eastAsia="en-IE"/>
              </w:rPr>
            </w:pPr>
          </w:p>
        </w:tc>
        <w:tc>
          <w:tcPr>
            <w:tcW w:w="8172" w:type="dxa"/>
            <w:gridSpan w:val="8"/>
            <w:tcBorders>
              <w:left w:val="nil"/>
              <w:bottom w:val="nil"/>
            </w:tcBorders>
            <w:shd w:val="clear" w:color="auto" w:fill="auto"/>
            <w:noWrap/>
            <w:vAlign w:val="center"/>
          </w:tcPr>
          <w:p w14:paraId="0D90ECD6" w14:textId="076198A9" w:rsidR="00451DA3" w:rsidRPr="00C65289" w:rsidRDefault="00451DA3" w:rsidP="00B15E61">
            <w:pPr>
              <w:spacing w:after="0" w:line="240" w:lineRule="auto"/>
              <w:rPr>
                <w:rFonts w:ascii="Times New Roman" w:eastAsia="Times New Roman" w:hAnsi="Times New Roman" w:cs="Times New Roman"/>
                <w:i/>
                <w:noProof/>
                <w:color w:val="000000"/>
                <w:lang w:val="en-IE" w:eastAsia="en-IE"/>
              </w:rPr>
            </w:pPr>
          </w:p>
        </w:tc>
      </w:tr>
    </w:tbl>
    <w:p w14:paraId="16027F29" w14:textId="06EA941D" w:rsidR="005908B3" w:rsidRPr="005908B3" w:rsidRDefault="005908B3" w:rsidP="005908B3">
      <w:pPr>
        <w:pStyle w:val="ListParagraph"/>
        <w:keepNext/>
        <w:keepLines/>
        <w:numPr>
          <w:ilvl w:val="0"/>
          <w:numId w:val="32"/>
        </w:numPr>
        <w:tabs>
          <w:tab w:val="left" w:pos="851"/>
        </w:tabs>
        <w:spacing w:before="120" w:after="120"/>
        <w:ind w:left="851" w:hanging="851"/>
        <w:jc w:val="both"/>
        <w:outlineLvl w:val="0"/>
        <w:rPr>
          <w:rFonts w:eastAsia="Times New Roman"/>
          <w:b/>
          <w:smallCaps/>
          <w:noProof/>
        </w:rPr>
      </w:pPr>
      <w:r>
        <w:rPr>
          <w:b/>
          <w:smallCaps/>
          <w:noProof/>
        </w:rPr>
        <w:t>Χρέος της γενικής κυβέρνησης</w:t>
      </w:r>
    </w:p>
    <w:p w14:paraId="3F402DFF" w14:textId="5AB6E9FB" w:rsidR="00C451F0" w:rsidRDefault="009F7AA1" w:rsidP="00217357">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Από τα κράτη μέλη που εξετάζονται στην παρούσα έκθεση, το ακαθάριστο χρέος της γενικής κυβέρνησης στα τέλη του 2023 υπερέβαινε το 60 % του ΑΕΠ και άρα την τιμή αναφοράς σε επτά κράτη μέλη: </w:t>
      </w:r>
      <w:r>
        <w:rPr>
          <w:rFonts w:ascii="Times New Roman" w:hAnsi="Times New Roman"/>
          <w:b/>
          <w:noProof/>
          <w:sz w:val="24"/>
        </w:rPr>
        <w:t>Βέλγιο</w:t>
      </w:r>
      <w:r>
        <w:rPr>
          <w:rFonts w:ascii="Times New Roman" w:hAnsi="Times New Roman"/>
          <w:noProof/>
          <w:sz w:val="24"/>
        </w:rPr>
        <w:t xml:space="preserve">, </w:t>
      </w:r>
      <w:r>
        <w:rPr>
          <w:rFonts w:ascii="Times New Roman" w:hAnsi="Times New Roman"/>
          <w:b/>
          <w:noProof/>
          <w:sz w:val="24"/>
        </w:rPr>
        <w:t>Ισπανία</w:t>
      </w:r>
      <w:r>
        <w:rPr>
          <w:rFonts w:ascii="Times New Roman" w:hAnsi="Times New Roman"/>
          <w:noProof/>
          <w:sz w:val="24"/>
        </w:rPr>
        <w:t xml:space="preserve">, </w:t>
      </w:r>
      <w:r>
        <w:rPr>
          <w:rFonts w:ascii="Times New Roman" w:hAnsi="Times New Roman"/>
          <w:b/>
          <w:noProof/>
          <w:sz w:val="24"/>
        </w:rPr>
        <w:t>Γαλλία</w:t>
      </w:r>
      <w:r>
        <w:rPr>
          <w:rFonts w:ascii="Times New Roman" w:hAnsi="Times New Roman"/>
          <w:noProof/>
          <w:sz w:val="24"/>
        </w:rPr>
        <w:t xml:space="preserve">, </w:t>
      </w:r>
      <w:r>
        <w:rPr>
          <w:rFonts w:ascii="Times New Roman" w:hAnsi="Times New Roman"/>
          <w:b/>
          <w:noProof/>
          <w:sz w:val="24"/>
        </w:rPr>
        <w:t>Ιταλία</w:t>
      </w:r>
      <w:r>
        <w:rPr>
          <w:rFonts w:ascii="Times New Roman" w:hAnsi="Times New Roman"/>
          <w:noProof/>
          <w:sz w:val="24"/>
        </w:rPr>
        <w:t xml:space="preserve">, </w:t>
      </w:r>
      <w:r>
        <w:rPr>
          <w:rFonts w:ascii="Times New Roman" w:hAnsi="Times New Roman"/>
          <w:b/>
          <w:noProof/>
          <w:sz w:val="24"/>
        </w:rPr>
        <w:t>Ουγγαρία, Σλοβενία</w:t>
      </w:r>
      <w:r>
        <w:rPr>
          <w:rFonts w:ascii="Times New Roman" w:hAnsi="Times New Roman"/>
          <w:noProof/>
          <w:sz w:val="24"/>
        </w:rPr>
        <w:t xml:space="preserve"> και </w:t>
      </w:r>
      <w:r>
        <w:rPr>
          <w:rFonts w:ascii="Times New Roman" w:hAnsi="Times New Roman"/>
          <w:b/>
          <w:noProof/>
          <w:sz w:val="24"/>
        </w:rPr>
        <w:t>Φινλανδία</w:t>
      </w:r>
      <w:r>
        <w:rPr>
          <w:rFonts w:ascii="Times New Roman" w:hAnsi="Times New Roman"/>
          <w:noProof/>
          <w:sz w:val="24"/>
        </w:rPr>
        <w:t xml:space="preserve"> (βλ. πίνακα 3)</w:t>
      </w:r>
      <w:r>
        <w:rPr>
          <w:rStyle w:val="FootnoteReference"/>
          <w:rFonts w:eastAsiaTheme="minorEastAsia"/>
          <w:noProof/>
          <w:sz w:val="24"/>
          <w:szCs w:val="24"/>
        </w:rPr>
        <w:footnoteReference w:id="31"/>
      </w:r>
      <w:r w:rsidR="005E7962">
        <w:rPr>
          <w:rFonts w:ascii="Times New Roman" w:hAnsi="Times New Roman"/>
          <w:noProof/>
          <w:sz w:val="24"/>
        </w:rPr>
        <w:t xml:space="preserve">. </w:t>
      </w:r>
      <w:r>
        <w:rPr>
          <w:rFonts w:ascii="Times New Roman" w:hAnsi="Times New Roman"/>
          <w:noProof/>
          <w:sz w:val="24"/>
        </w:rPr>
        <w:t>Επιπλέον, για την Ισπανία, τη Γαλλία, την Ιταλία, την Ουγγαρία και τη Σλοβενία, ο δείκτης δημόσιου χρέους προς το ΑΕΠ μειώθηκε το 2023 σε σύγκριση με το προηγούμενο έτος· Αντιθέτως, το 2023 ο δείκτης υπήρξε υψηλότερος από ό,τι το 2022 για το Βέλγιο και τη Φινλανδία. Μεταξύ των κρατών μελών τα οποία αφορά η παρούσα έκθεση και με βάση τις εαρινές προβλέψεις 2024 της Επιτροπής, ο δείκτης χρέους προς το ΑΕΠ προβλέπεται ότι θα αυξηθεί τόσο το 2024 όσο και το 2025 για την Τσεχία, την Εσθονία, τη Γαλλία, την Ιταλία, τη Μάλτα, την Πολωνία, τη Σλοβακία και τη Φινλανδία σε σύγκριση με το 2023. Αντιθέτως, για την Ισπανία και τη Σλοβενία, ο δείκτης χρέους της γενικής κυβέρνησης προς το ΑΕΠ προβλέπεται ότι θα μειωθεί το 2024 και ακόμη περισσότερο το 2025 σε σύγκριση με το 2023. Στο Βέλγιο, ο δείκτης χρέους προς το ΑΕΠ το 2024 προβλέπεται ότι θα μειωθεί οριακά σε σύγκριση με το 2023 και στη συνέχεια να αυξηθεί το 2025, ενώ για την Ουγγαρία αναμένεται πρώτα να αυξηθεί (το 2024 σε σύγκριση με το 2023) και στη συνέχεια να μειωθεί το 2025, παραμένοντας ωστόσο υψηλότερος έναντι του 2023.</w:t>
      </w:r>
    </w:p>
    <w:p w14:paraId="5A55AD50" w14:textId="77777777" w:rsidR="00C65289" w:rsidRDefault="00C65289" w:rsidP="00217357">
      <w:pPr>
        <w:spacing w:before="120" w:after="120" w:line="240" w:lineRule="auto"/>
        <w:jc w:val="both"/>
        <w:rPr>
          <w:rFonts w:ascii="Times New Roman" w:eastAsia="Times New Roman" w:hAnsi="Times New Roman" w:cs="Times New Roman"/>
          <w:noProof/>
          <w:sz w:val="24"/>
          <w:szCs w:val="24"/>
          <w:lang w:eastAsia="en-GB"/>
        </w:rPr>
      </w:pPr>
    </w:p>
    <w:tbl>
      <w:tblPr>
        <w:tblW w:w="8850" w:type="dxa"/>
        <w:jc w:val="center"/>
        <w:tblLook w:val="04A0" w:firstRow="1" w:lastRow="0" w:firstColumn="1" w:lastColumn="0" w:noHBand="0" w:noVBand="1"/>
      </w:tblPr>
      <w:tblGrid>
        <w:gridCol w:w="908"/>
        <w:gridCol w:w="1496"/>
        <w:gridCol w:w="801"/>
        <w:gridCol w:w="801"/>
        <w:gridCol w:w="801"/>
        <w:gridCol w:w="810"/>
        <w:gridCol w:w="1604"/>
        <w:gridCol w:w="907"/>
        <w:gridCol w:w="898"/>
      </w:tblGrid>
      <w:tr w:rsidR="00243E26" w:rsidRPr="00C65289" w14:paraId="60D30568" w14:textId="77777777" w:rsidTr="00BC009C">
        <w:trPr>
          <w:trHeight w:val="290"/>
          <w:jc w:val="center"/>
        </w:trPr>
        <w:tc>
          <w:tcPr>
            <w:tcW w:w="924" w:type="dxa"/>
            <w:tcBorders>
              <w:top w:val="nil"/>
              <w:left w:val="nil"/>
              <w:bottom w:val="nil"/>
              <w:right w:val="nil"/>
            </w:tcBorders>
          </w:tcPr>
          <w:p w14:paraId="6BAA7EF6" w14:textId="77777777" w:rsidR="00243E26" w:rsidRPr="005E7962" w:rsidRDefault="00243E26" w:rsidP="00504F06">
            <w:pPr>
              <w:keepNext/>
              <w:spacing w:after="0" w:line="240" w:lineRule="auto"/>
              <w:jc w:val="center"/>
              <w:rPr>
                <w:rFonts w:ascii="Times New Roman" w:eastAsia="Times New Roman" w:hAnsi="Times New Roman" w:cs="Times New Roman"/>
                <w:b/>
                <w:noProof/>
                <w:color w:val="000000"/>
                <w:lang w:eastAsia="en-IE"/>
              </w:rPr>
            </w:pPr>
          </w:p>
        </w:tc>
        <w:tc>
          <w:tcPr>
            <w:tcW w:w="7926" w:type="dxa"/>
            <w:gridSpan w:val="8"/>
            <w:tcBorders>
              <w:top w:val="nil"/>
              <w:left w:val="nil"/>
              <w:bottom w:val="nil"/>
              <w:right w:val="nil"/>
            </w:tcBorders>
            <w:shd w:val="clear" w:color="auto" w:fill="auto"/>
            <w:noWrap/>
            <w:vAlign w:val="center"/>
            <w:hideMark/>
          </w:tcPr>
          <w:p w14:paraId="190E9E13" w14:textId="43CB5C8E" w:rsidR="00243E26" w:rsidRPr="00C65289" w:rsidRDefault="00243E26" w:rsidP="00504F06">
            <w:pPr>
              <w:keepNext/>
              <w:spacing w:after="0" w:line="240" w:lineRule="auto"/>
              <w:jc w:val="center"/>
              <w:rPr>
                <w:rFonts w:ascii="Times New Roman" w:eastAsia="Times New Roman" w:hAnsi="Times New Roman" w:cs="Times New Roman"/>
                <w:b/>
                <w:noProof/>
                <w:color w:val="000000"/>
              </w:rPr>
            </w:pPr>
            <w:r>
              <w:rPr>
                <w:rFonts w:ascii="Times New Roman" w:hAnsi="Times New Roman"/>
                <w:b/>
                <w:noProof/>
                <w:color w:val="000000"/>
              </w:rPr>
              <w:t>Πίνακας 3: Χρέος της γενικής κυβέρνησης</w:t>
            </w:r>
          </w:p>
        </w:tc>
      </w:tr>
      <w:tr w:rsidR="00243E26" w:rsidRPr="00C65289" w14:paraId="5C572AF3" w14:textId="77777777" w:rsidTr="00BC009C">
        <w:trPr>
          <w:trHeight w:val="300"/>
          <w:jc w:val="center"/>
        </w:trPr>
        <w:tc>
          <w:tcPr>
            <w:tcW w:w="924" w:type="dxa"/>
            <w:tcBorders>
              <w:top w:val="nil"/>
              <w:left w:val="nil"/>
              <w:bottom w:val="single" w:sz="8" w:space="0" w:color="auto"/>
              <w:right w:val="nil"/>
            </w:tcBorders>
          </w:tcPr>
          <w:p w14:paraId="309CAB5D" w14:textId="77777777" w:rsidR="00243E26" w:rsidRPr="005E7962" w:rsidRDefault="00243E26" w:rsidP="00504F06">
            <w:pPr>
              <w:keepNext/>
              <w:spacing w:after="0" w:line="240" w:lineRule="auto"/>
              <w:rPr>
                <w:rFonts w:ascii="Times New Roman" w:eastAsia="Times New Roman" w:hAnsi="Times New Roman" w:cs="Times New Roman"/>
                <w:noProof/>
                <w:color w:val="000000"/>
                <w:lang w:eastAsia="en-IE"/>
              </w:rPr>
            </w:pPr>
          </w:p>
        </w:tc>
        <w:tc>
          <w:tcPr>
            <w:tcW w:w="7926" w:type="dxa"/>
            <w:gridSpan w:val="8"/>
            <w:tcBorders>
              <w:top w:val="nil"/>
              <w:left w:val="nil"/>
              <w:bottom w:val="single" w:sz="8" w:space="0" w:color="auto"/>
              <w:right w:val="nil"/>
            </w:tcBorders>
            <w:shd w:val="clear" w:color="auto" w:fill="auto"/>
            <w:noWrap/>
            <w:vAlign w:val="center"/>
            <w:hideMark/>
          </w:tcPr>
          <w:p w14:paraId="1F09F70B" w14:textId="5F508F77" w:rsidR="00243E26" w:rsidRPr="00C65289" w:rsidRDefault="00243E26" w:rsidP="00504F06">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Ποσοστό επί του ΑΕΠ</w:t>
            </w:r>
          </w:p>
        </w:tc>
      </w:tr>
      <w:tr w:rsidR="00243E26" w:rsidRPr="00C65289" w14:paraId="288FDBA7" w14:textId="77777777" w:rsidTr="00BC009C">
        <w:trPr>
          <w:trHeight w:val="590"/>
          <w:jc w:val="center"/>
        </w:trPr>
        <w:tc>
          <w:tcPr>
            <w:tcW w:w="2451" w:type="dxa"/>
            <w:gridSpan w:val="2"/>
            <w:tcBorders>
              <w:top w:val="nil"/>
              <w:left w:val="nil"/>
              <w:bottom w:val="single" w:sz="8" w:space="0" w:color="auto"/>
              <w:right w:val="nil"/>
            </w:tcBorders>
            <w:shd w:val="clear" w:color="auto" w:fill="auto"/>
            <w:noWrap/>
            <w:vAlign w:val="center"/>
            <w:hideMark/>
          </w:tcPr>
          <w:p w14:paraId="171790D5" w14:textId="77777777" w:rsidR="00243E26" w:rsidRPr="00C65289" w:rsidRDefault="00243E26" w:rsidP="00504F06">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 xml:space="preserve"> </w:t>
            </w:r>
          </w:p>
        </w:tc>
        <w:tc>
          <w:tcPr>
            <w:tcW w:w="815" w:type="dxa"/>
            <w:tcBorders>
              <w:top w:val="nil"/>
              <w:left w:val="nil"/>
              <w:bottom w:val="single" w:sz="8" w:space="0" w:color="auto"/>
              <w:right w:val="nil"/>
            </w:tcBorders>
            <w:shd w:val="clear" w:color="auto" w:fill="auto"/>
            <w:noWrap/>
            <w:vAlign w:val="center"/>
            <w:hideMark/>
          </w:tcPr>
          <w:p w14:paraId="7E1C0C13"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2020</w:t>
            </w:r>
          </w:p>
        </w:tc>
        <w:tc>
          <w:tcPr>
            <w:tcW w:w="815" w:type="dxa"/>
            <w:tcBorders>
              <w:top w:val="single" w:sz="8" w:space="0" w:color="auto"/>
              <w:left w:val="nil"/>
              <w:bottom w:val="single" w:sz="8" w:space="0" w:color="auto"/>
              <w:right w:val="nil"/>
            </w:tcBorders>
            <w:shd w:val="clear" w:color="auto" w:fill="auto"/>
            <w:noWrap/>
            <w:vAlign w:val="center"/>
            <w:hideMark/>
          </w:tcPr>
          <w:p w14:paraId="150826CC"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2021</w:t>
            </w:r>
          </w:p>
        </w:tc>
        <w:tc>
          <w:tcPr>
            <w:tcW w:w="815" w:type="dxa"/>
            <w:tcBorders>
              <w:top w:val="single" w:sz="8" w:space="0" w:color="auto"/>
              <w:left w:val="nil"/>
              <w:bottom w:val="single" w:sz="8" w:space="0" w:color="auto"/>
              <w:right w:val="nil"/>
            </w:tcBorders>
            <w:shd w:val="clear" w:color="auto" w:fill="auto"/>
            <w:noWrap/>
            <w:vAlign w:val="center"/>
            <w:hideMark/>
          </w:tcPr>
          <w:p w14:paraId="74C5172E"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2022</w:t>
            </w:r>
          </w:p>
        </w:tc>
        <w:tc>
          <w:tcPr>
            <w:tcW w:w="824" w:type="dxa"/>
            <w:tcBorders>
              <w:top w:val="single" w:sz="8" w:space="0" w:color="auto"/>
              <w:left w:val="nil"/>
              <w:bottom w:val="single" w:sz="8" w:space="0" w:color="auto"/>
              <w:right w:val="single" w:sz="4" w:space="0" w:color="auto"/>
            </w:tcBorders>
            <w:shd w:val="clear" w:color="auto" w:fill="auto"/>
            <w:noWrap/>
            <w:vAlign w:val="center"/>
            <w:hideMark/>
          </w:tcPr>
          <w:p w14:paraId="48172CF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2023</w:t>
            </w:r>
          </w:p>
        </w:tc>
        <w:tc>
          <w:tcPr>
            <w:tcW w:w="1292" w:type="dxa"/>
            <w:tcBorders>
              <w:top w:val="nil"/>
              <w:left w:val="nil"/>
              <w:bottom w:val="single" w:sz="8" w:space="0" w:color="auto"/>
              <w:right w:val="single" w:sz="4" w:space="0" w:color="auto"/>
            </w:tcBorders>
          </w:tcPr>
          <w:p w14:paraId="06922F27" w14:textId="48879330"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b/>
                <w:noProof/>
                <w:color w:val="000000"/>
              </w:rPr>
              <w:t>δημοσιονομική κοινοποίηση 2024</w:t>
            </w:r>
          </w:p>
        </w:tc>
        <w:tc>
          <w:tcPr>
            <w:tcW w:w="924" w:type="dxa"/>
            <w:tcBorders>
              <w:top w:val="nil"/>
              <w:left w:val="single" w:sz="4" w:space="0" w:color="auto"/>
              <w:bottom w:val="single" w:sz="8" w:space="0" w:color="auto"/>
            </w:tcBorders>
            <w:shd w:val="clear" w:color="auto" w:fill="auto"/>
            <w:noWrap/>
            <w:vAlign w:val="center"/>
            <w:hideMark/>
          </w:tcPr>
          <w:p w14:paraId="3C24868D" w14:textId="2DA74F19"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2024</w:t>
            </w:r>
          </w:p>
        </w:tc>
        <w:tc>
          <w:tcPr>
            <w:tcW w:w="914" w:type="dxa"/>
            <w:tcBorders>
              <w:top w:val="nil"/>
              <w:left w:val="nil"/>
              <w:bottom w:val="single" w:sz="8" w:space="0" w:color="auto"/>
            </w:tcBorders>
            <w:shd w:val="clear" w:color="auto" w:fill="auto"/>
            <w:noWrap/>
            <w:vAlign w:val="center"/>
            <w:hideMark/>
          </w:tcPr>
          <w:p w14:paraId="604A9701"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2025</w:t>
            </w:r>
          </w:p>
        </w:tc>
      </w:tr>
      <w:tr w:rsidR="00243E26" w:rsidRPr="00C65289" w14:paraId="64BBC2C8"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31EA6ACA"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Βέλγιο</w:t>
            </w:r>
          </w:p>
        </w:tc>
        <w:tc>
          <w:tcPr>
            <w:tcW w:w="815" w:type="dxa"/>
            <w:tcBorders>
              <w:top w:val="nil"/>
              <w:left w:val="nil"/>
              <w:bottom w:val="single" w:sz="8" w:space="0" w:color="auto"/>
              <w:right w:val="nil"/>
            </w:tcBorders>
            <w:shd w:val="clear" w:color="auto" w:fill="auto"/>
            <w:noWrap/>
            <w:vAlign w:val="center"/>
            <w:hideMark/>
          </w:tcPr>
          <w:p w14:paraId="090F880D"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111,9</w:t>
            </w:r>
          </w:p>
        </w:tc>
        <w:tc>
          <w:tcPr>
            <w:tcW w:w="815" w:type="dxa"/>
            <w:tcBorders>
              <w:top w:val="nil"/>
              <w:left w:val="nil"/>
              <w:bottom w:val="single" w:sz="8" w:space="0" w:color="auto"/>
              <w:right w:val="nil"/>
            </w:tcBorders>
            <w:shd w:val="clear" w:color="auto" w:fill="auto"/>
            <w:noWrap/>
            <w:vAlign w:val="center"/>
            <w:hideMark/>
          </w:tcPr>
          <w:p w14:paraId="33E304D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107,9</w:t>
            </w:r>
          </w:p>
        </w:tc>
        <w:tc>
          <w:tcPr>
            <w:tcW w:w="815" w:type="dxa"/>
            <w:tcBorders>
              <w:top w:val="nil"/>
              <w:left w:val="nil"/>
              <w:bottom w:val="single" w:sz="8" w:space="0" w:color="auto"/>
              <w:right w:val="nil"/>
            </w:tcBorders>
            <w:shd w:val="clear" w:color="auto" w:fill="auto"/>
            <w:noWrap/>
            <w:vAlign w:val="center"/>
            <w:hideMark/>
          </w:tcPr>
          <w:p w14:paraId="273D3C5E"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104,3</w:t>
            </w:r>
          </w:p>
        </w:tc>
        <w:tc>
          <w:tcPr>
            <w:tcW w:w="824" w:type="dxa"/>
            <w:tcBorders>
              <w:top w:val="nil"/>
              <w:left w:val="nil"/>
              <w:bottom w:val="single" w:sz="8" w:space="0" w:color="auto"/>
              <w:right w:val="nil"/>
            </w:tcBorders>
            <w:shd w:val="clear" w:color="auto" w:fill="auto"/>
            <w:noWrap/>
            <w:vAlign w:val="center"/>
            <w:hideMark/>
          </w:tcPr>
          <w:p w14:paraId="7341A59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105,2</w:t>
            </w:r>
          </w:p>
        </w:tc>
        <w:tc>
          <w:tcPr>
            <w:tcW w:w="1292" w:type="dxa"/>
            <w:tcBorders>
              <w:top w:val="single" w:sz="8" w:space="0" w:color="auto"/>
              <w:left w:val="single" w:sz="4" w:space="0" w:color="auto"/>
              <w:bottom w:val="single" w:sz="8" w:space="0" w:color="auto"/>
              <w:right w:val="single" w:sz="4" w:space="0" w:color="auto"/>
            </w:tcBorders>
            <w:vAlign w:val="center"/>
          </w:tcPr>
          <w:p w14:paraId="7C8D30AC" w14:textId="18661724" w:rsidR="00243E26" w:rsidRPr="00C65289" w:rsidRDefault="00243E26"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105,2</w:t>
            </w:r>
          </w:p>
        </w:tc>
        <w:tc>
          <w:tcPr>
            <w:tcW w:w="924" w:type="dxa"/>
            <w:tcBorders>
              <w:top w:val="nil"/>
              <w:left w:val="single" w:sz="4" w:space="0" w:color="auto"/>
              <w:bottom w:val="single" w:sz="8" w:space="0" w:color="auto"/>
            </w:tcBorders>
            <w:shd w:val="clear" w:color="auto" w:fill="auto"/>
            <w:noWrap/>
            <w:vAlign w:val="center"/>
            <w:hideMark/>
          </w:tcPr>
          <w:p w14:paraId="387A3140" w14:textId="7364C958"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105,0</w:t>
            </w:r>
          </w:p>
        </w:tc>
        <w:tc>
          <w:tcPr>
            <w:tcW w:w="914" w:type="dxa"/>
            <w:tcBorders>
              <w:top w:val="nil"/>
              <w:left w:val="nil"/>
              <w:bottom w:val="single" w:sz="8" w:space="0" w:color="auto"/>
              <w:right w:val="nil"/>
            </w:tcBorders>
            <w:shd w:val="clear" w:color="auto" w:fill="auto"/>
            <w:noWrap/>
            <w:vAlign w:val="center"/>
            <w:hideMark/>
          </w:tcPr>
          <w:p w14:paraId="42C04249"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106,6</w:t>
            </w:r>
          </w:p>
        </w:tc>
      </w:tr>
      <w:tr w:rsidR="00243E26" w:rsidRPr="00C65289" w14:paraId="1E2C0888"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122C71D0"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Τσεχία</w:t>
            </w:r>
          </w:p>
        </w:tc>
        <w:tc>
          <w:tcPr>
            <w:tcW w:w="815" w:type="dxa"/>
            <w:tcBorders>
              <w:top w:val="nil"/>
              <w:left w:val="nil"/>
              <w:bottom w:val="single" w:sz="8" w:space="0" w:color="auto"/>
              <w:right w:val="nil"/>
            </w:tcBorders>
            <w:shd w:val="clear" w:color="auto" w:fill="auto"/>
            <w:noWrap/>
            <w:vAlign w:val="center"/>
            <w:hideMark/>
          </w:tcPr>
          <w:p w14:paraId="4E16F567"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37,7</w:t>
            </w:r>
          </w:p>
        </w:tc>
        <w:tc>
          <w:tcPr>
            <w:tcW w:w="815" w:type="dxa"/>
            <w:tcBorders>
              <w:top w:val="nil"/>
              <w:left w:val="nil"/>
              <w:bottom w:val="single" w:sz="8" w:space="0" w:color="auto"/>
              <w:right w:val="nil"/>
            </w:tcBorders>
            <w:shd w:val="clear" w:color="auto" w:fill="auto"/>
            <w:noWrap/>
            <w:vAlign w:val="center"/>
            <w:hideMark/>
          </w:tcPr>
          <w:p w14:paraId="61D15D23"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42,0</w:t>
            </w:r>
          </w:p>
        </w:tc>
        <w:tc>
          <w:tcPr>
            <w:tcW w:w="815" w:type="dxa"/>
            <w:tcBorders>
              <w:top w:val="nil"/>
              <w:left w:val="nil"/>
              <w:bottom w:val="single" w:sz="8" w:space="0" w:color="auto"/>
              <w:right w:val="nil"/>
            </w:tcBorders>
            <w:shd w:val="clear" w:color="auto" w:fill="auto"/>
            <w:noWrap/>
            <w:vAlign w:val="center"/>
            <w:hideMark/>
          </w:tcPr>
          <w:p w14:paraId="37EEF70F"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44,2</w:t>
            </w:r>
          </w:p>
        </w:tc>
        <w:tc>
          <w:tcPr>
            <w:tcW w:w="824" w:type="dxa"/>
            <w:tcBorders>
              <w:top w:val="nil"/>
              <w:left w:val="nil"/>
              <w:bottom w:val="single" w:sz="8" w:space="0" w:color="auto"/>
              <w:right w:val="nil"/>
            </w:tcBorders>
            <w:shd w:val="clear" w:color="auto" w:fill="auto"/>
            <w:noWrap/>
            <w:vAlign w:val="center"/>
            <w:hideMark/>
          </w:tcPr>
          <w:p w14:paraId="6588D12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44,0</w:t>
            </w:r>
          </w:p>
        </w:tc>
        <w:tc>
          <w:tcPr>
            <w:tcW w:w="1292" w:type="dxa"/>
            <w:tcBorders>
              <w:top w:val="nil"/>
              <w:left w:val="single" w:sz="4" w:space="0" w:color="auto"/>
              <w:bottom w:val="single" w:sz="8" w:space="0" w:color="auto"/>
              <w:right w:val="single" w:sz="4" w:space="0" w:color="auto"/>
            </w:tcBorders>
            <w:vAlign w:val="center"/>
          </w:tcPr>
          <w:p w14:paraId="5F61AB92" w14:textId="5300439A" w:rsidR="00243E26" w:rsidRPr="00C65289" w:rsidRDefault="00D47F68"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45,5</w:t>
            </w:r>
          </w:p>
        </w:tc>
        <w:tc>
          <w:tcPr>
            <w:tcW w:w="924" w:type="dxa"/>
            <w:tcBorders>
              <w:top w:val="nil"/>
              <w:left w:val="single" w:sz="4" w:space="0" w:color="auto"/>
              <w:bottom w:val="single" w:sz="8" w:space="0" w:color="auto"/>
            </w:tcBorders>
            <w:shd w:val="clear" w:color="auto" w:fill="auto"/>
            <w:noWrap/>
            <w:vAlign w:val="center"/>
            <w:hideMark/>
          </w:tcPr>
          <w:p w14:paraId="4CCC31FC" w14:textId="2224230F"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45,2</w:t>
            </w:r>
          </w:p>
        </w:tc>
        <w:tc>
          <w:tcPr>
            <w:tcW w:w="914" w:type="dxa"/>
            <w:tcBorders>
              <w:top w:val="nil"/>
              <w:left w:val="nil"/>
              <w:bottom w:val="single" w:sz="8" w:space="0" w:color="auto"/>
              <w:right w:val="nil"/>
            </w:tcBorders>
            <w:shd w:val="clear" w:color="auto" w:fill="auto"/>
            <w:noWrap/>
            <w:vAlign w:val="center"/>
            <w:hideMark/>
          </w:tcPr>
          <w:p w14:paraId="50A67D91"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45,5</w:t>
            </w:r>
          </w:p>
        </w:tc>
      </w:tr>
      <w:tr w:rsidR="00243E26" w:rsidRPr="00C65289" w14:paraId="21D89456"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1A500F9E"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Εσθονία</w:t>
            </w:r>
          </w:p>
        </w:tc>
        <w:tc>
          <w:tcPr>
            <w:tcW w:w="815" w:type="dxa"/>
            <w:tcBorders>
              <w:top w:val="nil"/>
              <w:left w:val="nil"/>
              <w:bottom w:val="single" w:sz="8" w:space="0" w:color="auto"/>
              <w:right w:val="nil"/>
            </w:tcBorders>
            <w:shd w:val="clear" w:color="auto" w:fill="auto"/>
            <w:noWrap/>
            <w:vAlign w:val="center"/>
            <w:hideMark/>
          </w:tcPr>
          <w:p w14:paraId="0C73DB72"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18,6</w:t>
            </w:r>
          </w:p>
        </w:tc>
        <w:tc>
          <w:tcPr>
            <w:tcW w:w="815" w:type="dxa"/>
            <w:tcBorders>
              <w:top w:val="nil"/>
              <w:left w:val="nil"/>
              <w:bottom w:val="single" w:sz="8" w:space="0" w:color="auto"/>
              <w:right w:val="nil"/>
            </w:tcBorders>
            <w:shd w:val="clear" w:color="auto" w:fill="auto"/>
            <w:noWrap/>
            <w:vAlign w:val="center"/>
            <w:hideMark/>
          </w:tcPr>
          <w:p w14:paraId="53B65CFC"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17,8</w:t>
            </w:r>
          </w:p>
        </w:tc>
        <w:tc>
          <w:tcPr>
            <w:tcW w:w="815" w:type="dxa"/>
            <w:tcBorders>
              <w:top w:val="nil"/>
              <w:left w:val="nil"/>
              <w:bottom w:val="single" w:sz="8" w:space="0" w:color="auto"/>
              <w:right w:val="nil"/>
            </w:tcBorders>
            <w:shd w:val="clear" w:color="auto" w:fill="auto"/>
            <w:noWrap/>
            <w:vAlign w:val="center"/>
            <w:hideMark/>
          </w:tcPr>
          <w:p w14:paraId="161A0EB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18,5</w:t>
            </w:r>
          </w:p>
        </w:tc>
        <w:tc>
          <w:tcPr>
            <w:tcW w:w="824" w:type="dxa"/>
            <w:tcBorders>
              <w:top w:val="nil"/>
              <w:left w:val="nil"/>
              <w:bottom w:val="single" w:sz="8" w:space="0" w:color="auto"/>
              <w:right w:val="nil"/>
            </w:tcBorders>
            <w:shd w:val="clear" w:color="auto" w:fill="auto"/>
            <w:noWrap/>
            <w:vAlign w:val="center"/>
            <w:hideMark/>
          </w:tcPr>
          <w:p w14:paraId="00B3037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19,6</w:t>
            </w:r>
          </w:p>
        </w:tc>
        <w:tc>
          <w:tcPr>
            <w:tcW w:w="1292" w:type="dxa"/>
            <w:tcBorders>
              <w:top w:val="nil"/>
              <w:left w:val="single" w:sz="4" w:space="0" w:color="auto"/>
              <w:bottom w:val="single" w:sz="8" w:space="0" w:color="auto"/>
              <w:right w:val="single" w:sz="4" w:space="0" w:color="auto"/>
            </w:tcBorders>
            <w:vAlign w:val="center"/>
          </w:tcPr>
          <w:p w14:paraId="4860E64E" w14:textId="525B2411" w:rsidR="00243E26" w:rsidRPr="00C65289" w:rsidRDefault="00824A1F"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20,9</w:t>
            </w:r>
          </w:p>
        </w:tc>
        <w:tc>
          <w:tcPr>
            <w:tcW w:w="924" w:type="dxa"/>
            <w:tcBorders>
              <w:top w:val="nil"/>
              <w:left w:val="single" w:sz="4" w:space="0" w:color="auto"/>
              <w:bottom w:val="single" w:sz="8" w:space="0" w:color="auto"/>
            </w:tcBorders>
            <w:shd w:val="clear" w:color="auto" w:fill="auto"/>
            <w:noWrap/>
            <w:vAlign w:val="center"/>
            <w:hideMark/>
          </w:tcPr>
          <w:p w14:paraId="6E9860D7" w14:textId="72BC99B0"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21,4</w:t>
            </w:r>
          </w:p>
        </w:tc>
        <w:tc>
          <w:tcPr>
            <w:tcW w:w="914" w:type="dxa"/>
            <w:tcBorders>
              <w:top w:val="nil"/>
              <w:left w:val="nil"/>
              <w:bottom w:val="single" w:sz="8" w:space="0" w:color="auto"/>
              <w:right w:val="nil"/>
            </w:tcBorders>
            <w:shd w:val="clear" w:color="auto" w:fill="auto"/>
            <w:noWrap/>
            <w:vAlign w:val="center"/>
            <w:hideMark/>
          </w:tcPr>
          <w:p w14:paraId="66C800EE"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24,6</w:t>
            </w:r>
          </w:p>
        </w:tc>
      </w:tr>
      <w:tr w:rsidR="00243E26" w:rsidRPr="00C65289" w14:paraId="16440997"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0CBF73F9"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Ισπανία</w:t>
            </w:r>
          </w:p>
        </w:tc>
        <w:tc>
          <w:tcPr>
            <w:tcW w:w="815" w:type="dxa"/>
            <w:tcBorders>
              <w:top w:val="nil"/>
              <w:left w:val="nil"/>
              <w:bottom w:val="single" w:sz="8" w:space="0" w:color="auto"/>
              <w:right w:val="nil"/>
            </w:tcBorders>
            <w:shd w:val="clear" w:color="auto" w:fill="auto"/>
            <w:noWrap/>
            <w:vAlign w:val="center"/>
            <w:hideMark/>
          </w:tcPr>
          <w:p w14:paraId="27D0CAEF"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120,3</w:t>
            </w:r>
          </w:p>
        </w:tc>
        <w:tc>
          <w:tcPr>
            <w:tcW w:w="815" w:type="dxa"/>
            <w:tcBorders>
              <w:top w:val="nil"/>
              <w:left w:val="nil"/>
              <w:bottom w:val="single" w:sz="8" w:space="0" w:color="auto"/>
              <w:right w:val="nil"/>
            </w:tcBorders>
            <w:shd w:val="clear" w:color="auto" w:fill="auto"/>
            <w:noWrap/>
            <w:vAlign w:val="center"/>
            <w:hideMark/>
          </w:tcPr>
          <w:p w14:paraId="10060480"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116,8</w:t>
            </w:r>
          </w:p>
        </w:tc>
        <w:tc>
          <w:tcPr>
            <w:tcW w:w="815" w:type="dxa"/>
            <w:tcBorders>
              <w:top w:val="nil"/>
              <w:left w:val="nil"/>
              <w:bottom w:val="single" w:sz="8" w:space="0" w:color="auto"/>
              <w:right w:val="nil"/>
            </w:tcBorders>
            <w:shd w:val="clear" w:color="auto" w:fill="auto"/>
            <w:noWrap/>
            <w:vAlign w:val="center"/>
            <w:hideMark/>
          </w:tcPr>
          <w:p w14:paraId="51E75587"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111,6</w:t>
            </w:r>
          </w:p>
        </w:tc>
        <w:tc>
          <w:tcPr>
            <w:tcW w:w="824" w:type="dxa"/>
            <w:tcBorders>
              <w:top w:val="nil"/>
              <w:left w:val="nil"/>
              <w:bottom w:val="single" w:sz="8" w:space="0" w:color="auto"/>
              <w:right w:val="nil"/>
            </w:tcBorders>
            <w:shd w:val="clear" w:color="auto" w:fill="auto"/>
            <w:noWrap/>
            <w:vAlign w:val="center"/>
            <w:hideMark/>
          </w:tcPr>
          <w:p w14:paraId="32C8EA4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107,7</w:t>
            </w:r>
          </w:p>
        </w:tc>
        <w:tc>
          <w:tcPr>
            <w:tcW w:w="1292" w:type="dxa"/>
            <w:tcBorders>
              <w:top w:val="nil"/>
              <w:left w:val="single" w:sz="4" w:space="0" w:color="auto"/>
              <w:bottom w:val="single" w:sz="8" w:space="0" w:color="auto"/>
              <w:right w:val="single" w:sz="4" w:space="0" w:color="auto"/>
            </w:tcBorders>
            <w:vAlign w:val="center"/>
          </w:tcPr>
          <w:p w14:paraId="3383AA3B" w14:textId="6B0D551C" w:rsidR="00243E26" w:rsidRPr="00C65289" w:rsidRDefault="0006764F"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105,6</w:t>
            </w:r>
          </w:p>
        </w:tc>
        <w:tc>
          <w:tcPr>
            <w:tcW w:w="924" w:type="dxa"/>
            <w:tcBorders>
              <w:top w:val="nil"/>
              <w:left w:val="single" w:sz="4" w:space="0" w:color="auto"/>
              <w:bottom w:val="single" w:sz="8" w:space="0" w:color="auto"/>
            </w:tcBorders>
            <w:shd w:val="clear" w:color="auto" w:fill="auto"/>
            <w:noWrap/>
            <w:vAlign w:val="center"/>
            <w:hideMark/>
          </w:tcPr>
          <w:p w14:paraId="60D024D1" w14:textId="1D82870C"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105,5</w:t>
            </w:r>
          </w:p>
        </w:tc>
        <w:tc>
          <w:tcPr>
            <w:tcW w:w="914" w:type="dxa"/>
            <w:tcBorders>
              <w:top w:val="nil"/>
              <w:left w:val="nil"/>
              <w:bottom w:val="single" w:sz="8" w:space="0" w:color="auto"/>
              <w:right w:val="nil"/>
            </w:tcBorders>
            <w:shd w:val="clear" w:color="auto" w:fill="auto"/>
            <w:noWrap/>
            <w:vAlign w:val="center"/>
            <w:hideMark/>
          </w:tcPr>
          <w:p w14:paraId="2C215845"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104,8</w:t>
            </w:r>
          </w:p>
        </w:tc>
      </w:tr>
      <w:tr w:rsidR="00243E26" w:rsidRPr="00C65289" w14:paraId="7A6506D6"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4B309403"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Γαλλία</w:t>
            </w:r>
          </w:p>
        </w:tc>
        <w:tc>
          <w:tcPr>
            <w:tcW w:w="815" w:type="dxa"/>
            <w:tcBorders>
              <w:top w:val="nil"/>
              <w:left w:val="nil"/>
              <w:bottom w:val="single" w:sz="8" w:space="0" w:color="auto"/>
              <w:right w:val="nil"/>
            </w:tcBorders>
            <w:shd w:val="clear" w:color="auto" w:fill="auto"/>
            <w:noWrap/>
            <w:vAlign w:val="center"/>
            <w:hideMark/>
          </w:tcPr>
          <w:p w14:paraId="21AB0CBC"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114,9</w:t>
            </w:r>
          </w:p>
        </w:tc>
        <w:tc>
          <w:tcPr>
            <w:tcW w:w="815" w:type="dxa"/>
            <w:tcBorders>
              <w:top w:val="nil"/>
              <w:left w:val="nil"/>
              <w:bottom w:val="single" w:sz="8" w:space="0" w:color="auto"/>
              <w:right w:val="nil"/>
            </w:tcBorders>
            <w:shd w:val="clear" w:color="auto" w:fill="auto"/>
            <w:noWrap/>
            <w:vAlign w:val="center"/>
            <w:hideMark/>
          </w:tcPr>
          <w:p w14:paraId="3A145360"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113,0</w:t>
            </w:r>
          </w:p>
        </w:tc>
        <w:tc>
          <w:tcPr>
            <w:tcW w:w="815" w:type="dxa"/>
            <w:tcBorders>
              <w:top w:val="nil"/>
              <w:left w:val="nil"/>
              <w:bottom w:val="single" w:sz="8" w:space="0" w:color="auto"/>
              <w:right w:val="nil"/>
            </w:tcBorders>
            <w:shd w:val="clear" w:color="auto" w:fill="auto"/>
            <w:noWrap/>
            <w:vAlign w:val="center"/>
            <w:hideMark/>
          </w:tcPr>
          <w:p w14:paraId="38CF63DD"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111,9</w:t>
            </w:r>
          </w:p>
        </w:tc>
        <w:tc>
          <w:tcPr>
            <w:tcW w:w="824" w:type="dxa"/>
            <w:tcBorders>
              <w:top w:val="nil"/>
              <w:left w:val="nil"/>
              <w:bottom w:val="single" w:sz="8" w:space="0" w:color="auto"/>
              <w:right w:val="nil"/>
            </w:tcBorders>
            <w:shd w:val="clear" w:color="auto" w:fill="auto"/>
            <w:noWrap/>
            <w:vAlign w:val="center"/>
            <w:hideMark/>
          </w:tcPr>
          <w:p w14:paraId="0736F4E6"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110,6</w:t>
            </w:r>
          </w:p>
        </w:tc>
        <w:tc>
          <w:tcPr>
            <w:tcW w:w="1292" w:type="dxa"/>
            <w:tcBorders>
              <w:top w:val="nil"/>
              <w:left w:val="single" w:sz="4" w:space="0" w:color="auto"/>
              <w:bottom w:val="single" w:sz="8" w:space="0" w:color="auto"/>
              <w:right w:val="single" w:sz="4" w:space="0" w:color="auto"/>
            </w:tcBorders>
            <w:vAlign w:val="center"/>
          </w:tcPr>
          <w:p w14:paraId="4A954105" w14:textId="6EC6AB08" w:rsidR="00243E26" w:rsidRPr="00C65289" w:rsidRDefault="007A2B42"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 xml:space="preserve"> -</w:t>
            </w:r>
          </w:p>
        </w:tc>
        <w:tc>
          <w:tcPr>
            <w:tcW w:w="924" w:type="dxa"/>
            <w:tcBorders>
              <w:top w:val="nil"/>
              <w:left w:val="single" w:sz="4" w:space="0" w:color="auto"/>
              <w:bottom w:val="single" w:sz="8" w:space="0" w:color="auto"/>
            </w:tcBorders>
            <w:shd w:val="clear" w:color="auto" w:fill="auto"/>
            <w:noWrap/>
            <w:vAlign w:val="center"/>
            <w:hideMark/>
          </w:tcPr>
          <w:p w14:paraId="625DC656" w14:textId="787F66BC"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112,4</w:t>
            </w:r>
          </w:p>
        </w:tc>
        <w:tc>
          <w:tcPr>
            <w:tcW w:w="914" w:type="dxa"/>
            <w:tcBorders>
              <w:top w:val="nil"/>
              <w:left w:val="nil"/>
              <w:bottom w:val="single" w:sz="8" w:space="0" w:color="auto"/>
              <w:right w:val="nil"/>
            </w:tcBorders>
            <w:shd w:val="clear" w:color="auto" w:fill="auto"/>
            <w:noWrap/>
            <w:vAlign w:val="center"/>
            <w:hideMark/>
          </w:tcPr>
          <w:p w14:paraId="428EC69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113,8</w:t>
            </w:r>
          </w:p>
        </w:tc>
      </w:tr>
      <w:tr w:rsidR="00243E26" w:rsidRPr="00C65289" w14:paraId="221D7868"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10C42F3D"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Ιταλία</w:t>
            </w:r>
          </w:p>
        </w:tc>
        <w:tc>
          <w:tcPr>
            <w:tcW w:w="815" w:type="dxa"/>
            <w:tcBorders>
              <w:top w:val="nil"/>
              <w:left w:val="nil"/>
              <w:bottom w:val="single" w:sz="8" w:space="0" w:color="auto"/>
              <w:right w:val="nil"/>
            </w:tcBorders>
            <w:shd w:val="clear" w:color="auto" w:fill="auto"/>
            <w:noWrap/>
            <w:vAlign w:val="center"/>
            <w:hideMark/>
          </w:tcPr>
          <w:p w14:paraId="5154F56D"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155,0</w:t>
            </w:r>
          </w:p>
        </w:tc>
        <w:tc>
          <w:tcPr>
            <w:tcW w:w="815" w:type="dxa"/>
            <w:tcBorders>
              <w:top w:val="nil"/>
              <w:left w:val="nil"/>
              <w:bottom w:val="single" w:sz="8" w:space="0" w:color="auto"/>
              <w:right w:val="nil"/>
            </w:tcBorders>
            <w:shd w:val="clear" w:color="auto" w:fill="auto"/>
            <w:noWrap/>
            <w:vAlign w:val="center"/>
            <w:hideMark/>
          </w:tcPr>
          <w:p w14:paraId="43582E4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147,1</w:t>
            </w:r>
          </w:p>
        </w:tc>
        <w:tc>
          <w:tcPr>
            <w:tcW w:w="815" w:type="dxa"/>
            <w:tcBorders>
              <w:top w:val="nil"/>
              <w:left w:val="nil"/>
              <w:bottom w:val="single" w:sz="8" w:space="0" w:color="auto"/>
              <w:right w:val="nil"/>
            </w:tcBorders>
            <w:shd w:val="clear" w:color="auto" w:fill="auto"/>
            <w:noWrap/>
            <w:vAlign w:val="center"/>
            <w:hideMark/>
          </w:tcPr>
          <w:p w14:paraId="28F3AE1D"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140,5</w:t>
            </w:r>
          </w:p>
        </w:tc>
        <w:tc>
          <w:tcPr>
            <w:tcW w:w="824" w:type="dxa"/>
            <w:tcBorders>
              <w:top w:val="nil"/>
              <w:left w:val="nil"/>
              <w:bottom w:val="single" w:sz="8" w:space="0" w:color="auto"/>
              <w:right w:val="nil"/>
            </w:tcBorders>
            <w:shd w:val="clear" w:color="auto" w:fill="auto"/>
            <w:noWrap/>
            <w:vAlign w:val="center"/>
            <w:hideMark/>
          </w:tcPr>
          <w:p w14:paraId="276B45FC"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137,3</w:t>
            </w:r>
          </w:p>
        </w:tc>
        <w:tc>
          <w:tcPr>
            <w:tcW w:w="1292" w:type="dxa"/>
            <w:tcBorders>
              <w:top w:val="nil"/>
              <w:left w:val="single" w:sz="4" w:space="0" w:color="auto"/>
              <w:bottom w:val="single" w:sz="8" w:space="0" w:color="auto"/>
              <w:right w:val="single" w:sz="4" w:space="0" w:color="auto"/>
            </w:tcBorders>
            <w:vAlign w:val="center"/>
          </w:tcPr>
          <w:p w14:paraId="65F462B4" w14:textId="5956930B" w:rsidR="00243E26" w:rsidRPr="00C65289" w:rsidRDefault="00E45BC5"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137,8</w:t>
            </w:r>
          </w:p>
        </w:tc>
        <w:tc>
          <w:tcPr>
            <w:tcW w:w="924" w:type="dxa"/>
            <w:tcBorders>
              <w:top w:val="nil"/>
              <w:left w:val="single" w:sz="4" w:space="0" w:color="auto"/>
              <w:bottom w:val="single" w:sz="8" w:space="0" w:color="auto"/>
            </w:tcBorders>
            <w:shd w:val="clear" w:color="auto" w:fill="auto"/>
            <w:noWrap/>
            <w:vAlign w:val="center"/>
            <w:hideMark/>
          </w:tcPr>
          <w:p w14:paraId="596897E8" w14:textId="13C77586"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138,6</w:t>
            </w:r>
          </w:p>
        </w:tc>
        <w:tc>
          <w:tcPr>
            <w:tcW w:w="914" w:type="dxa"/>
            <w:tcBorders>
              <w:top w:val="nil"/>
              <w:left w:val="nil"/>
              <w:bottom w:val="single" w:sz="8" w:space="0" w:color="auto"/>
              <w:right w:val="nil"/>
            </w:tcBorders>
            <w:shd w:val="clear" w:color="auto" w:fill="auto"/>
            <w:noWrap/>
            <w:vAlign w:val="center"/>
            <w:hideMark/>
          </w:tcPr>
          <w:p w14:paraId="1C988470"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141,7</w:t>
            </w:r>
          </w:p>
        </w:tc>
      </w:tr>
      <w:tr w:rsidR="00243E26" w:rsidRPr="00C65289" w14:paraId="45B67C99"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5FA0FEB4"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Ουγγαρία</w:t>
            </w:r>
          </w:p>
        </w:tc>
        <w:tc>
          <w:tcPr>
            <w:tcW w:w="815" w:type="dxa"/>
            <w:tcBorders>
              <w:top w:val="nil"/>
              <w:left w:val="nil"/>
              <w:bottom w:val="single" w:sz="8" w:space="0" w:color="auto"/>
              <w:right w:val="nil"/>
            </w:tcBorders>
            <w:shd w:val="clear" w:color="auto" w:fill="auto"/>
            <w:noWrap/>
            <w:vAlign w:val="center"/>
            <w:hideMark/>
          </w:tcPr>
          <w:p w14:paraId="3E581FD3"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79,3</w:t>
            </w:r>
          </w:p>
        </w:tc>
        <w:tc>
          <w:tcPr>
            <w:tcW w:w="815" w:type="dxa"/>
            <w:tcBorders>
              <w:top w:val="nil"/>
              <w:left w:val="nil"/>
              <w:bottom w:val="single" w:sz="8" w:space="0" w:color="auto"/>
              <w:right w:val="nil"/>
            </w:tcBorders>
            <w:shd w:val="clear" w:color="auto" w:fill="auto"/>
            <w:noWrap/>
            <w:vAlign w:val="center"/>
            <w:hideMark/>
          </w:tcPr>
          <w:p w14:paraId="55C9B2B9"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76,7</w:t>
            </w:r>
          </w:p>
        </w:tc>
        <w:tc>
          <w:tcPr>
            <w:tcW w:w="815" w:type="dxa"/>
            <w:tcBorders>
              <w:top w:val="nil"/>
              <w:left w:val="nil"/>
              <w:bottom w:val="single" w:sz="8" w:space="0" w:color="auto"/>
              <w:right w:val="nil"/>
            </w:tcBorders>
            <w:shd w:val="clear" w:color="auto" w:fill="auto"/>
            <w:noWrap/>
            <w:vAlign w:val="center"/>
            <w:hideMark/>
          </w:tcPr>
          <w:p w14:paraId="35DA519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74,1</w:t>
            </w:r>
          </w:p>
        </w:tc>
        <w:tc>
          <w:tcPr>
            <w:tcW w:w="824" w:type="dxa"/>
            <w:tcBorders>
              <w:top w:val="nil"/>
              <w:left w:val="nil"/>
              <w:bottom w:val="single" w:sz="8" w:space="0" w:color="auto"/>
              <w:right w:val="nil"/>
            </w:tcBorders>
            <w:shd w:val="clear" w:color="auto" w:fill="auto"/>
            <w:noWrap/>
            <w:vAlign w:val="center"/>
            <w:hideMark/>
          </w:tcPr>
          <w:p w14:paraId="13786399"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73,5</w:t>
            </w:r>
          </w:p>
        </w:tc>
        <w:tc>
          <w:tcPr>
            <w:tcW w:w="1292" w:type="dxa"/>
            <w:tcBorders>
              <w:top w:val="nil"/>
              <w:left w:val="single" w:sz="4" w:space="0" w:color="auto"/>
              <w:bottom w:val="single" w:sz="8" w:space="0" w:color="auto"/>
              <w:right w:val="single" w:sz="4" w:space="0" w:color="auto"/>
            </w:tcBorders>
            <w:vAlign w:val="center"/>
          </w:tcPr>
          <w:p w14:paraId="7377C0FF" w14:textId="6FA731F4" w:rsidR="00243E26" w:rsidRPr="00C65289" w:rsidRDefault="00403CE6"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73,2</w:t>
            </w:r>
          </w:p>
        </w:tc>
        <w:tc>
          <w:tcPr>
            <w:tcW w:w="924" w:type="dxa"/>
            <w:tcBorders>
              <w:top w:val="nil"/>
              <w:left w:val="single" w:sz="4" w:space="0" w:color="auto"/>
              <w:bottom w:val="single" w:sz="8" w:space="0" w:color="auto"/>
            </w:tcBorders>
            <w:shd w:val="clear" w:color="auto" w:fill="auto"/>
            <w:noWrap/>
            <w:vAlign w:val="center"/>
            <w:hideMark/>
          </w:tcPr>
          <w:p w14:paraId="0C91AD57" w14:textId="3DB8BEAD"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74,3</w:t>
            </w:r>
          </w:p>
        </w:tc>
        <w:tc>
          <w:tcPr>
            <w:tcW w:w="914" w:type="dxa"/>
            <w:tcBorders>
              <w:top w:val="nil"/>
              <w:left w:val="nil"/>
              <w:bottom w:val="single" w:sz="8" w:space="0" w:color="auto"/>
              <w:right w:val="nil"/>
            </w:tcBorders>
            <w:shd w:val="clear" w:color="auto" w:fill="auto"/>
            <w:noWrap/>
            <w:vAlign w:val="center"/>
            <w:hideMark/>
          </w:tcPr>
          <w:p w14:paraId="4BB3A46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73,8</w:t>
            </w:r>
          </w:p>
        </w:tc>
      </w:tr>
      <w:tr w:rsidR="00243E26" w:rsidRPr="00C65289" w14:paraId="368FA3BC"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04D6E57C"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Μάλτα</w:t>
            </w:r>
          </w:p>
        </w:tc>
        <w:tc>
          <w:tcPr>
            <w:tcW w:w="815" w:type="dxa"/>
            <w:tcBorders>
              <w:top w:val="nil"/>
              <w:left w:val="nil"/>
              <w:bottom w:val="single" w:sz="8" w:space="0" w:color="auto"/>
              <w:right w:val="nil"/>
            </w:tcBorders>
            <w:shd w:val="clear" w:color="auto" w:fill="auto"/>
            <w:noWrap/>
            <w:vAlign w:val="center"/>
            <w:hideMark/>
          </w:tcPr>
          <w:p w14:paraId="432E68BD"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52,2</w:t>
            </w:r>
          </w:p>
        </w:tc>
        <w:tc>
          <w:tcPr>
            <w:tcW w:w="815" w:type="dxa"/>
            <w:tcBorders>
              <w:top w:val="nil"/>
              <w:left w:val="nil"/>
              <w:bottom w:val="single" w:sz="8" w:space="0" w:color="auto"/>
              <w:right w:val="nil"/>
            </w:tcBorders>
            <w:shd w:val="clear" w:color="auto" w:fill="auto"/>
            <w:noWrap/>
            <w:vAlign w:val="center"/>
            <w:hideMark/>
          </w:tcPr>
          <w:p w14:paraId="6674F852"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53,9</w:t>
            </w:r>
          </w:p>
        </w:tc>
        <w:tc>
          <w:tcPr>
            <w:tcW w:w="815" w:type="dxa"/>
            <w:tcBorders>
              <w:top w:val="nil"/>
              <w:left w:val="nil"/>
              <w:bottom w:val="single" w:sz="8" w:space="0" w:color="auto"/>
              <w:right w:val="nil"/>
            </w:tcBorders>
            <w:shd w:val="clear" w:color="auto" w:fill="auto"/>
            <w:noWrap/>
            <w:vAlign w:val="center"/>
            <w:hideMark/>
          </w:tcPr>
          <w:p w14:paraId="30673D9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51,6</w:t>
            </w:r>
          </w:p>
        </w:tc>
        <w:tc>
          <w:tcPr>
            <w:tcW w:w="824" w:type="dxa"/>
            <w:tcBorders>
              <w:top w:val="nil"/>
              <w:left w:val="nil"/>
              <w:bottom w:val="single" w:sz="8" w:space="0" w:color="auto"/>
              <w:right w:val="nil"/>
            </w:tcBorders>
            <w:shd w:val="clear" w:color="auto" w:fill="auto"/>
            <w:noWrap/>
            <w:vAlign w:val="center"/>
            <w:hideMark/>
          </w:tcPr>
          <w:p w14:paraId="03B21DCD"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50,4</w:t>
            </w:r>
          </w:p>
        </w:tc>
        <w:tc>
          <w:tcPr>
            <w:tcW w:w="1292" w:type="dxa"/>
            <w:tcBorders>
              <w:top w:val="nil"/>
              <w:left w:val="single" w:sz="4" w:space="0" w:color="auto"/>
              <w:bottom w:val="single" w:sz="8" w:space="0" w:color="auto"/>
              <w:right w:val="single" w:sz="4" w:space="0" w:color="auto"/>
            </w:tcBorders>
            <w:vAlign w:val="center"/>
          </w:tcPr>
          <w:p w14:paraId="5906D09A" w14:textId="3A43ED11" w:rsidR="00243E26" w:rsidRPr="00C65289" w:rsidRDefault="00A7665A"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54,2</w:t>
            </w:r>
          </w:p>
        </w:tc>
        <w:tc>
          <w:tcPr>
            <w:tcW w:w="924" w:type="dxa"/>
            <w:tcBorders>
              <w:top w:val="nil"/>
              <w:left w:val="single" w:sz="4" w:space="0" w:color="auto"/>
              <w:bottom w:val="single" w:sz="8" w:space="0" w:color="auto"/>
            </w:tcBorders>
            <w:shd w:val="clear" w:color="auto" w:fill="auto"/>
            <w:noWrap/>
            <w:vAlign w:val="center"/>
            <w:hideMark/>
          </w:tcPr>
          <w:p w14:paraId="632DFC70" w14:textId="22029B26"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52,0</w:t>
            </w:r>
          </w:p>
        </w:tc>
        <w:tc>
          <w:tcPr>
            <w:tcW w:w="914" w:type="dxa"/>
            <w:tcBorders>
              <w:top w:val="nil"/>
              <w:left w:val="nil"/>
              <w:bottom w:val="single" w:sz="8" w:space="0" w:color="auto"/>
              <w:right w:val="nil"/>
            </w:tcBorders>
            <w:shd w:val="clear" w:color="auto" w:fill="auto"/>
            <w:noWrap/>
            <w:vAlign w:val="center"/>
            <w:hideMark/>
          </w:tcPr>
          <w:p w14:paraId="763A5303"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52,6</w:t>
            </w:r>
          </w:p>
        </w:tc>
      </w:tr>
      <w:tr w:rsidR="00243E26" w:rsidRPr="00C65289" w14:paraId="6A65DD1D"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3F8930B3"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Πολωνία</w:t>
            </w:r>
          </w:p>
        </w:tc>
        <w:tc>
          <w:tcPr>
            <w:tcW w:w="815" w:type="dxa"/>
            <w:tcBorders>
              <w:top w:val="nil"/>
              <w:left w:val="nil"/>
              <w:bottom w:val="single" w:sz="8" w:space="0" w:color="auto"/>
              <w:right w:val="nil"/>
            </w:tcBorders>
            <w:shd w:val="clear" w:color="auto" w:fill="auto"/>
            <w:noWrap/>
            <w:vAlign w:val="center"/>
            <w:hideMark/>
          </w:tcPr>
          <w:p w14:paraId="0D1E0EDC"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57,2</w:t>
            </w:r>
          </w:p>
        </w:tc>
        <w:tc>
          <w:tcPr>
            <w:tcW w:w="815" w:type="dxa"/>
            <w:tcBorders>
              <w:top w:val="nil"/>
              <w:left w:val="nil"/>
              <w:bottom w:val="single" w:sz="8" w:space="0" w:color="auto"/>
              <w:right w:val="nil"/>
            </w:tcBorders>
            <w:shd w:val="clear" w:color="auto" w:fill="auto"/>
            <w:noWrap/>
            <w:vAlign w:val="center"/>
            <w:hideMark/>
          </w:tcPr>
          <w:p w14:paraId="552CBA81"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53,6</w:t>
            </w:r>
          </w:p>
        </w:tc>
        <w:tc>
          <w:tcPr>
            <w:tcW w:w="815" w:type="dxa"/>
            <w:tcBorders>
              <w:top w:val="nil"/>
              <w:left w:val="nil"/>
              <w:bottom w:val="single" w:sz="8" w:space="0" w:color="auto"/>
              <w:right w:val="nil"/>
            </w:tcBorders>
            <w:shd w:val="clear" w:color="auto" w:fill="auto"/>
            <w:noWrap/>
            <w:vAlign w:val="center"/>
            <w:hideMark/>
          </w:tcPr>
          <w:p w14:paraId="2FFBC3A0"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49,2</w:t>
            </w:r>
          </w:p>
        </w:tc>
        <w:tc>
          <w:tcPr>
            <w:tcW w:w="824" w:type="dxa"/>
            <w:tcBorders>
              <w:top w:val="nil"/>
              <w:left w:val="nil"/>
              <w:bottom w:val="single" w:sz="8" w:space="0" w:color="auto"/>
              <w:right w:val="nil"/>
            </w:tcBorders>
            <w:shd w:val="clear" w:color="auto" w:fill="auto"/>
            <w:noWrap/>
            <w:vAlign w:val="center"/>
            <w:hideMark/>
          </w:tcPr>
          <w:p w14:paraId="688CA604"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49,6</w:t>
            </w:r>
          </w:p>
        </w:tc>
        <w:tc>
          <w:tcPr>
            <w:tcW w:w="1292" w:type="dxa"/>
            <w:tcBorders>
              <w:top w:val="nil"/>
              <w:left w:val="single" w:sz="4" w:space="0" w:color="auto"/>
              <w:bottom w:val="single" w:sz="8" w:space="0" w:color="auto"/>
              <w:right w:val="single" w:sz="4" w:space="0" w:color="auto"/>
            </w:tcBorders>
            <w:vAlign w:val="center"/>
          </w:tcPr>
          <w:p w14:paraId="37D756E8" w14:textId="5598795E" w:rsidR="00243E26" w:rsidRPr="00C65289" w:rsidRDefault="0029322F"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53,6</w:t>
            </w:r>
          </w:p>
        </w:tc>
        <w:tc>
          <w:tcPr>
            <w:tcW w:w="924" w:type="dxa"/>
            <w:tcBorders>
              <w:top w:val="nil"/>
              <w:left w:val="single" w:sz="4" w:space="0" w:color="auto"/>
              <w:bottom w:val="single" w:sz="8" w:space="0" w:color="auto"/>
            </w:tcBorders>
            <w:shd w:val="clear" w:color="auto" w:fill="auto"/>
            <w:noWrap/>
            <w:vAlign w:val="center"/>
            <w:hideMark/>
          </w:tcPr>
          <w:p w14:paraId="76C9DFEF" w14:textId="262D6DBB"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53,7</w:t>
            </w:r>
          </w:p>
        </w:tc>
        <w:tc>
          <w:tcPr>
            <w:tcW w:w="914" w:type="dxa"/>
            <w:tcBorders>
              <w:top w:val="nil"/>
              <w:left w:val="nil"/>
              <w:bottom w:val="single" w:sz="8" w:space="0" w:color="auto"/>
              <w:right w:val="nil"/>
            </w:tcBorders>
            <w:shd w:val="clear" w:color="auto" w:fill="auto"/>
            <w:noWrap/>
            <w:vAlign w:val="center"/>
            <w:hideMark/>
          </w:tcPr>
          <w:p w14:paraId="39A0D706"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57,7</w:t>
            </w:r>
          </w:p>
        </w:tc>
      </w:tr>
      <w:tr w:rsidR="00243E26" w:rsidRPr="00C65289" w14:paraId="32CBDCE9"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60E09CDE" w14:textId="77777777" w:rsidR="00243E26" w:rsidRPr="00C65289" w:rsidRDefault="00243E26" w:rsidP="00504F06">
            <w:pPr>
              <w:keepNext/>
              <w:spacing w:after="0" w:line="240" w:lineRule="auto"/>
              <w:rPr>
                <w:rFonts w:ascii="Times New Roman" w:eastAsia="Times New Roman" w:hAnsi="Times New Roman" w:cs="Times New Roman"/>
                <w:b/>
                <w:noProof/>
              </w:rPr>
            </w:pPr>
            <w:r>
              <w:rPr>
                <w:rFonts w:ascii="Times New Roman" w:hAnsi="Times New Roman"/>
                <w:b/>
                <w:noProof/>
              </w:rPr>
              <w:t>Σλοβενία</w:t>
            </w:r>
          </w:p>
        </w:tc>
        <w:tc>
          <w:tcPr>
            <w:tcW w:w="815" w:type="dxa"/>
            <w:tcBorders>
              <w:top w:val="nil"/>
              <w:left w:val="nil"/>
              <w:bottom w:val="single" w:sz="8" w:space="0" w:color="auto"/>
              <w:right w:val="nil"/>
            </w:tcBorders>
            <w:shd w:val="clear" w:color="auto" w:fill="auto"/>
            <w:noWrap/>
            <w:vAlign w:val="center"/>
            <w:hideMark/>
          </w:tcPr>
          <w:p w14:paraId="23EEC9BD"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79,6</w:t>
            </w:r>
          </w:p>
        </w:tc>
        <w:tc>
          <w:tcPr>
            <w:tcW w:w="815" w:type="dxa"/>
            <w:tcBorders>
              <w:top w:val="nil"/>
              <w:left w:val="nil"/>
              <w:bottom w:val="single" w:sz="8" w:space="0" w:color="auto"/>
              <w:right w:val="nil"/>
            </w:tcBorders>
            <w:shd w:val="clear" w:color="auto" w:fill="auto"/>
            <w:noWrap/>
            <w:vAlign w:val="center"/>
            <w:hideMark/>
          </w:tcPr>
          <w:p w14:paraId="1ABE3061"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74,4</w:t>
            </w:r>
          </w:p>
        </w:tc>
        <w:tc>
          <w:tcPr>
            <w:tcW w:w="815" w:type="dxa"/>
            <w:tcBorders>
              <w:top w:val="nil"/>
              <w:left w:val="nil"/>
              <w:bottom w:val="single" w:sz="8" w:space="0" w:color="auto"/>
              <w:right w:val="nil"/>
            </w:tcBorders>
            <w:shd w:val="clear" w:color="auto" w:fill="auto"/>
            <w:noWrap/>
            <w:vAlign w:val="center"/>
            <w:hideMark/>
          </w:tcPr>
          <w:p w14:paraId="0D52AF1D"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72,5</w:t>
            </w:r>
          </w:p>
        </w:tc>
        <w:tc>
          <w:tcPr>
            <w:tcW w:w="824" w:type="dxa"/>
            <w:tcBorders>
              <w:top w:val="nil"/>
              <w:left w:val="nil"/>
              <w:bottom w:val="single" w:sz="8" w:space="0" w:color="auto"/>
              <w:right w:val="nil"/>
            </w:tcBorders>
            <w:shd w:val="clear" w:color="auto" w:fill="auto"/>
            <w:noWrap/>
            <w:vAlign w:val="center"/>
            <w:hideMark/>
          </w:tcPr>
          <w:p w14:paraId="3814B604"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69,2</w:t>
            </w:r>
          </w:p>
        </w:tc>
        <w:tc>
          <w:tcPr>
            <w:tcW w:w="1292" w:type="dxa"/>
            <w:tcBorders>
              <w:top w:val="nil"/>
              <w:left w:val="single" w:sz="4" w:space="0" w:color="auto"/>
              <w:bottom w:val="single" w:sz="8" w:space="0" w:color="auto"/>
              <w:right w:val="single" w:sz="4" w:space="0" w:color="auto"/>
            </w:tcBorders>
            <w:vAlign w:val="center"/>
          </w:tcPr>
          <w:p w14:paraId="40994F8F" w14:textId="77162207" w:rsidR="00243E26" w:rsidRPr="00C65289" w:rsidRDefault="007D0B3F" w:rsidP="004753D4">
            <w:pPr>
              <w:keepNext/>
              <w:spacing w:after="0" w:line="240" w:lineRule="auto"/>
              <w:jc w:val="right"/>
              <w:rPr>
                <w:rFonts w:ascii="Times New Roman" w:eastAsia="Times New Roman" w:hAnsi="Times New Roman" w:cs="Times New Roman"/>
                <w:noProof/>
              </w:rPr>
            </w:pPr>
            <w:r>
              <w:rPr>
                <w:rFonts w:ascii="Times New Roman" w:hAnsi="Times New Roman"/>
                <w:noProof/>
              </w:rPr>
              <w:t>68,6</w:t>
            </w:r>
          </w:p>
        </w:tc>
        <w:tc>
          <w:tcPr>
            <w:tcW w:w="924" w:type="dxa"/>
            <w:tcBorders>
              <w:top w:val="nil"/>
              <w:left w:val="single" w:sz="4" w:space="0" w:color="auto"/>
              <w:bottom w:val="single" w:sz="8" w:space="0" w:color="auto"/>
            </w:tcBorders>
            <w:shd w:val="clear" w:color="auto" w:fill="auto"/>
            <w:noWrap/>
            <w:vAlign w:val="center"/>
            <w:hideMark/>
          </w:tcPr>
          <w:p w14:paraId="0D978010" w14:textId="4431ABD1"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68,1</w:t>
            </w:r>
          </w:p>
        </w:tc>
        <w:tc>
          <w:tcPr>
            <w:tcW w:w="914" w:type="dxa"/>
            <w:tcBorders>
              <w:top w:val="nil"/>
              <w:left w:val="nil"/>
              <w:bottom w:val="single" w:sz="8" w:space="0" w:color="auto"/>
              <w:right w:val="nil"/>
            </w:tcBorders>
            <w:shd w:val="clear" w:color="auto" w:fill="auto"/>
            <w:noWrap/>
            <w:vAlign w:val="center"/>
            <w:hideMark/>
          </w:tcPr>
          <w:p w14:paraId="081899AB" w14:textId="158409EE"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66,4</w:t>
            </w:r>
          </w:p>
        </w:tc>
      </w:tr>
      <w:tr w:rsidR="00243E26" w:rsidRPr="00C65289" w14:paraId="60392532"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51E69B6E" w14:textId="77777777" w:rsidR="00243E26" w:rsidRPr="00C65289" w:rsidRDefault="00243E26" w:rsidP="00504F06">
            <w:pPr>
              <w:keepNext/>
              <w:spacing w:after="0" w:line="240" w:lineRule="auto"/>
              <w:rPr>
                <w:rFonts w:ascii="Times New Roman" w:eastAsia="Times New Roman" w:hAnsi="Times New Roman" w:cs="Times New Roman"/>
                <w:b/>
                <w:noProof/>
                <w:color w:val="000000"/>
              </w:rPr>
            </w:pPr>
            <w:r>
              <w:rPr>
                <w:rFonts w:ascii="Times New Roman" w:hAnsi="Times New Roman"/>
                <w:b/>
                <w:noProof/>
                <w:color w:val="000000"/>
              </w:rPr>
              <w:t>Σλοβακία</w:t>
            </w:r>
          </w:p>
        </w:tc>
        <w:tc>
          <w:tcPr>
            <w:tcW w:w="815" w:type="dxa"/>
            <w:tcBorders>
              <w:top w:val="nil"/>
              <w:left w:val="nil"/>
              <w:bottom w:val="single" w:sz="8" w:space="0" w:color="auto"/>
              <w:right w:val="nil"/>
            </w:tcBorders>
            <w:shd w:val="clear" w:color="auto" w:fill="auto"/>
            <w:noWrap/>
            <w:vAlign w:val="center"/>
            <w:hideMark/>
          </w:tcPr>
          <w:p w14:paraId="16E59B10"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58,8</w:t>
            </w:r>
          </w:p>
        </w:tc>
        <w:tc>
          <w:tcPr>
            <w:tcW w:w="815" w:type="dxa"/>
            <w:tcBorders>
              <w:top w:val="nil"/>
              <w:left w:val="nil"/>
              <w:bottom w:val="single" w:sz="8" w:space="0" w:color="auto"/>
              <w:right w:val="nil"/>
            </w:tcBorders>
            <w:shd w:val="clear" w:color="auto" w:fill="auto"/>
            <w:noWrap/>
            <w:vAlign w:val="center"/>
            <w:hideMark/>
          </w:tcPr>
          <w:p w14:paraId="017A6EF6"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61,1</w:t>
            </w:r>
          </w:p>
        </w:tc>
        <w:tc>
          <w:tcPr>
            <w:tcW w:w="815" w:type="dxa"/>
            <w:tcBorders>
              <w:top w:val="nil"/>
              <w:left w:val="nil"/>
              <w:bottom w:val="single" w:sz="8" w:space="0" w:color="auto"/>
              <w:right w:val="nil"/>
            </w:tcBorders>
            <w:shd w:val="clear" w:color="auto" w:fill="auto"/>
            <w:noWrap/>
            <w:vAlign w:val="center"/>
            <w:hideMark/>
          </w:tcPr>
          <w:p w14:paraId="50FF850B"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57,7</w:t>
            </w:r>
          </w:p>
        </w:tc>
        <w:tc>
          <w:tcPr>
            <w:tcW w:w="824" w:type="dxa"/>
            <w:tcBorders>
              <w:top w:val="nil"/>
              <w:left w:val="nil"/>
              <w:bottom w:val="single" w:sz="8" w:space="0" w:color="auto"/>
              <w:right w:val="nil"/>
            </w:tcBorders>
            <w:shd w:val="clear" w:color="auto" w:fill="auto"/>
            <w:noWrap/>
            <w:vAlign w:val="center"/>
            <w:hideMark/>
          </w:tcPr>
          <w:p w14:paraId="759FE13E"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56,0</w:t>
            </w:r>
          </w:p>
        </w:tc>
        <w:tc>
          <w:tcPr>
            <w:tcW w:w="1292" w:type="dxa"/>
            <w:tcBorders>
              <w:top w:val="nil"/>
              <w:left w:val="single" w:sz="4" w:space="0" w:color="auto"/>
              <w:bottom w:val="single" w:sz="8" w:space="0" w:color="auto"/>
              <w:right w:val="single" w:sz="4" w:space="0" w:color="auto"/>
            </w:tcBorders>
            <w:vAlign w:val="center"/>
          </w:tcPr>
          <w:p w14:paraId="4D450C54" w14:textId="3D282669" w:rsidR="00243E26" w:rsidRPr="00C65289" w:rsidRDefault="00770A2F" w:rsidP="004753D4">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58,3</w:t>
            </w:r>
          </w:p>
        </w:tc>
        <w:tc>
          <w:tcPr>
            <w:tcW w:w="924" w:type="dxa"/>
            <w:tcBorders>
              <w:top w:val="nil"/>
              <w:left w:val="single" w:sz="4" w:space="0" w:color="auto"/>
              <w:bottom w:val="single" w:sz="8" w:space="0" w:color="auto"/>
            </w:tcBorders>
            <w:shd w:val="clear" w:color="auto" w:fill="auto"/>
            <w:noWrap/>
            <w:vAlign w:val="center"/>
            <w:hideMark/>
          </w:tcPr>
          <w:p w14:paraId="1191028F" w14:textId="7E34DE6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58,5</w:t>
            </w:r>
          </w:p>
        </w:tc>
        <w:tc>
          <w:tcPr>
            <w:tcW w:w="914" w:type="dxa"/>
            <w:tcBorders>
              <w:top w:val="nil"/>
              <w:left w:val="nil"/>
              <w:bottom w:val="single" w:sz="8" w:space="0" w:color="auto"/>
              <w:right w:val="nil"/>
            </w:tcBorders>
            <w:shd w:val="clear" w:color="auto" w:fill="auto"/>
            <w:noWrap/>
            <w:vAlign w:val="center"/>
            <w:hideMark/>
          </w:tcPr>
          <w:p w14:paraId="031BE552" w14:textId="77777777" w:rsidR="00243E26" w:rsidRPr="00C65289" w:rsidRDefault="00243E26" w:rsidP="00504F06">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59,9</w:t>
            </w:r>
          </w:p>
        </w:tc>
      </w:tr>
      <w:tr w:rsidR="00243E26" w:rsidRPr="00C65289" w14:paraId="18A80F13"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0B54E807" w14:textId="77777777" w:rsidR="00243E26" w:rsidRPr="00C65289" w:rsidRDefault="00243E26" w:rsidP="00504F06">
            <w:pPr>
              <w:keepNext/>
              <w:spacing w:after="0" w:line="240" w:lineRule="auto"/>
              <w:rPr>
                <w:rFonts w:ascii="Times New Roman" w:eastAsia="Times New Roman" w:hAnsi="Times New Roman" w:cs="Times New Roman"/>
                <w:b/>
                <w:noProof/>
              </w:rPr>
            </w:pPr>
            <w:r>
              <w:rPr>
                <w:rFonts w:ascii="Times New Roman" w:hAnsi="Times New Roman"/>
                <w:b/>
                <w:noProof/>
              </w:rPr>
              <w:t>Φινλανδία</w:t>
            </w:r>
          </w:p>
        </w:tc>
        <w:tc>
          <w:tcPr>
            <w:tcW w:w="815" w:type="dxa"/>
            <w:tcBorders>
              <w:top w:val="nil"/>
              <w:left w:val="nil"/>
              <w:bottom w:val="single" w:sz="8" w:space="0" w:color="auto"/>
              <w:right w:val="nil"/>
            </w:tcBorders>
            <w:shd w:val="clear" w:color="auto" w:fill="auto"/>
            <w:noWrap/>
            <w:vAlign w:val="center"/>
            <w:hideMark/>
          </w:tcPr>
          <w:p w14:paraId="53561E7F"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74,7</w:t>
            </w:r>
          </w:p>
        </w:tc>
        <w:tc>
          <w:tcPr>
            <w:tcW w:w="815" w:type="dxa"/>
            <w:tcBorders>
              <w:top w:val="nil"/>
              <w:left w:val="nil"/>
              <w:bottom w:val="single" w:sz="8" w:space="0" w:color="auto"/>
              <w:right w:val="nil"/>
            </w:tcBorders>
            <w:shd w:val="clear" w:color="auto" w:fill="auto"/>
            <w:noWrap/>
            <w:vAlign w:val="center"/>
            <w:hideMark/>
          </w:tcPr>
          <w:p w14:paraId="29DCD2B1"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72,6</w:t>
            </w:r>
          </w:p>
        </w:tc>
        <w:tc>
          <w:tcPr>
            <w:tcW w:w="815" w:type="dxa"/>
            <w:tcBorders>
              <w:top w:val="nil"/>
              <w:left w:val="nil"/>
              <w:bottom w:val="single" w:sz="8" w:space="0" w:color="auto"/>
              <w:right w:val="nil"/>
            </w:tcBorders>
            <w:shd w:val="clear" w:color="auto" w:fill="auto"/>
            <w:noWrap/>
            <w:vAlign w:val="center"/>
            <w:hideMark/>
          </w:tcPr>
          <w:p w14:paraId="178BA100"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73,5</w:t>
            </w:r>
          </w:p>
        </w:tc>
        <w:tc>
          <w:tcPr>
            <w:tcW w:w="824" w:type="dxa"/>
            <w:tcBorders>
              <w:top w:val="nil"/>
              <w:left w:val="nil"/>
              <w:bottom w:val="single" w:sz="8" w:space="0" w:color="auto"/>
              <w:right w:val="nil"/>
            </w:tcBorders>
            <w:shd w:val="clear" w:color="auto" w:fill="auto"/>
            <w:noWrap/>
            <w:vAlign w:val="center"/>
            <w:hideMark/>
          </w:tcPr>
          <w:p w14:paraId="62AC4887"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75,8</w:t>
            </w:r>
          </w:p>
        </w:tc>
        <w:tc>
          <w:tcPr>
            <w:tcW w:w="1292" w:type="dxa"/>
            <w:tcBorders>
              <w:top w:val="nil"/>
              <w:left w:val="single" w:sz="4" w:space="0" w:color="auto"/>
              <w:bottom w:val="single" w:sz="8" w:space="0" w:color="auto"/>
              <w:right w:val="single" w:sz="4" w:space="0" w:color="auto"/>
            </w:tcBorders>
            <w:vAlign w:val="center"/>
          </w:tcPr>
          <w:p w14:paraId="3A37ACB2" w14:textId="6E999EE7" w:rsidR="00243E26" w:rsidRPr="00C65289" w:rsidRDefault="00452FED" w:rsidP="004753D4">
            <w:pPr>
              <w:keepNext/>
              <w:spacing w:after="0" w:line="240" w:lineRule="auto"/>
              <w:jc w:val="right"/>
              <w:rPr>
                <w:rFonts w:ascii="Times New Roman" w:eastAsia="Times New Roman" w:hAnsi="Times New Roman" w:cs="Times New Roman"/>
                <w:noProof/>
              </w:rPr>
            </w:pPr>
            <w:r>
              <w:rPr>
                <w:rFonts w:ascii="Times New Roman" w:hAnsi="Times New Roman"/>
                <w:noProof/>
              </w:rPr>
              <w:t>79,1</w:t>
            </w:r>
          </w:p>
        </w:tc>
        <w:tc>
          <w:tcPr>
            <w:tcW w:w="924" w:type="dxa"/>
            <w:tcBorders>
              <w:top w:val="nil"/>
              <w:left w:val="single" w:sz="4" w:space="0" w:color="auto"/>
              <w:bottom w:val="single" w:sz="8" w:space="0" w:color="auto"/>
            </w:tcBorders>
            <w:shd w:val="clear" w:color="auto" w:fill="auto"/>
            <w:noWrap/>
            <w:vAlign w:val="center"/>
            <w:hideMark/>
          </w:tcPr>
          <w:p w14:paraId="0667407B" w14:textId="6CC7709A"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80,5</w:t>
            </w:r>
          </w:p>
        </w:tc>
        <w:tc>
          <w:tcPr>
            <w:tcW w:w="914" w:type="dxa"/>
            <w:tcBorders>
              <w:top w:val="nil"/>
              <w:left w:val="nil"/>
              <w:bottom w:val="single" w:sz="8" w:space="0" w:color="auto"/>
              <w:right w:val="nil"/>
            </w:tcBorders>
            <w:shd w:val="clear" w:color="auto" w:fill="auto"/>
            <w:noWrap/>
            <w:vAlign w:val="center"/>
            <w:hideMark/>
          </w:tcPr>
          <w:p w14:paraId="42217591" w14:textId="77777777" w:rsidR="00243E26" w:rsidRPr="00C65289" w:rsidRDefault="00243E26" w:rsidP="00504F06">
            <w:pPr>
              <w:keepNext/>
              <w:spacing w:after="0" w:line="240" w:lineRule="auto"/>
              <w:jc w:val="right"/>
              <w:rPr>
                <w:rFonts w:ascii="Times New Roman" w:eastAsia="Times New Roman" w:hAnsi="Times New Roman" w:cs="Times New Roman"/>
                <w:noProof/>
              </w:rPr>
            </w:pPr>
            <w:r>
              <w:rPr>
                <w:rFonts w:ascii="Times New Roman" w:hAnsi="Times New Roman"/>
                <w:noProof/>
              </w:rPr>
              <w:t>82,4</w:t>
            </w:r>
          </w:p>
        </w:tc>
      </w:tr>
      <w:tr w:rsidR="00243E26" w:rsidRPr="00C65289" w14:paraId="7AADB8BB" w14:textId="77777777" w:rsidTr="00BC009C">
        <w:trPr>
          <w:trHeight w:val="300"/>
          <w:jc w:val="center"/>
        </w:trPr>
        <w:tc>
          <w:tcPr>
            <w:tcW w:w="5720" w:type="dxa"/>
            <w:gridSpan w:val="6"/>
            <w:tcBorders>
              <w:top w:val="single" w:sz="8" w:space="0" w:color="auto"/>
              <w:left w:val="nil"/>
              <w:bottom w:val="single" w:sz="8" w:space="0" w:color="auto"/>
              <w:right w:val="nil"/>
            </w:tcBorders>
            <w:shd w:val="clear" w:color="auto" w:fill="auto"/>
            <w:noWrap/>
            <w:vAlign w:val="center"/>
            <w:hideMark/>
          </w:tcPr>
          <w:p w14:paraId="025705C0" w14:textId="0C875CBB" w:rsidR="00243E26" w:rsidRPr="00C65289" w:rsidRDefault="00243E26" w:rsidP="00504F06">
            <w:pPr>
              <w:keepNext/>
              <w:spacing w:after="0" w:line="240" w:lineRule="auto"/>
              <w:rPr>
                <w:rFonts w:ascii="Times New Roman" w:eastAsia="Times New Roman" w:hAnsi="Times New Roman" w:cs="Times New Roman"/>
                <w:i/>
                <w:noProof/>
                <w:color w:val="000000"/>
              </w:rPr>
            </w:pPr>
            <w:r>
              <w:rPr>
                <w:rFonts w:ascii="Times New Roman" w:hAnsi="Times New Roman"/>
                <w:i/>
                <w:noProof/>
                <w:color w:val="000000"/>
              </w:rPr>
              <w:t>κράτη μέλη που δεν εξετάζονται στην παρούσα έκθεση</w:t>
            </w:r>
          </w:p>
        </w:tc>
        <w:tc>
          <w:tcPr>
            <w:tcW w:w="1292" w:type="dxa"/>
            <w:tcBorders>
              <w:top w:val="nil"/>
              <w:left w:val="nil"/>
              <w:bottom w:val="nil"/>
              <w:right w:val="nil"/>
            </w:tcBorders>
          </w:tcPr>
          <w:p w14:paraId="2B7809B5" w14:textId="77777777" w:rsidR="00243E26" w:rsidRPr="005E7962" w:rsidRDefault="00243E26" w:rsidP="00504F06">
            <w:pPr>
              <w:keepNext/>
              <w:spacing w:after="0" w:line="240" w:lineRule="auto"/>
              <w:rPr>
                <w:rFonts w:ascii="Times New Roman" w:eastAsia="Times New Roman" w:hAnsi="Times New Roman" w:cs="Times New Roman"/>
                <w:b/>
                <w:i/>
                <w:noProof/>
                <w:color w:val="000000"/>
                <w:lang w:eastAsia="en-IE"/>
              </w:rPr>
            </w:pPr>
          </w:p>
        </w:tc>
        <w:tc>
          <w:tcPr>
            <w:tcW w:w="924" w:type="dxa"/>
            <w:tcBorders>
              <w:top w:val="nil"/>
              <w:left w:val="nil"/>
              <w:bottom w:val="nil"/>
            </w:tcBorders>
            <w:shd w:val="clear" w:color="auto" w:fill="auto"/>
            <w:noWrap/>
            <w:vAlign w:val="bottom"/>
            <w:hideMark/>
          </w:tcPr>
          <w:p w14:paraId="5F8452EA" w14:textId="521284A8" w:rsidR="00243E26" w:rsidRPr="005E7962" w:rsidRDefault="00243E26" w:rsidP="00504F06">
            <w:pPr>
              <w:keepNext/>
              <w:spacing w:after="0" w:line="240" w:lineRule="auto"/>
              <w:rPr>
                <w:rFonts w:ascii="Times New Roman" w:eastAsia="Times New Roman" w:hAnsi="Times New Roman" w:cs="Times New Roman"/>
                <w:b/>
                <w:i/>
                <w:noProof/>
                <w:color w:val="000000"/>
                <w:lang w:eastAsia="en-IE"/>
              </w:rPr>
            </w:pPr>
          </w:p>
        </w:tc>
        <w:tc>
          <w:tcPr>
            <w:tcW w:w="914" w:type="dxa"/>
            <w:tcBorders>
              <w:top w:val="nil"/>
              <w:left w:val="nil"/>
              <w:bottom w:val="nil"/>
              <w:right w:val="nil"/>
            </w:tcBorders>
            <w:shd w:val="clear" w:color="auto" w:fill="auto"/>
            <w:noWrap/>
            <w:vAlign w:val="bottom"/>
            <w:hideMark/>
          </w:tcPr>
          <w:p w14:paraId="726DD5BD" w14:textId="77777777" w:rsidR="00243E26" w:rsidRPr="005E7962" w:rsidRDefault="00243E26" w:rsidP="00504F06">
            <w:pPr>
              <w:keepNext/>
              <w:spacing w:after="0" w:line="240" w:lineRule="auto"/>
              <w:rPr>
                <w:rFonts w:ascii="Times New Roman" w:eastAsia="Times New Roman" w:hAnsi="Times New Roman" w:cs="Times New Roman"/>
                <w:noProof/>
                <w:lang w:eastAsia="en-IE"/>
              </w:rPr>
            </w:pPr>
          </w:p>
        </w:tc>
      </w:tr>
      <w:tr w:rsidR="00243E26" w:rsidRPr="00C65289" w14:paraId="62F1B655"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7594CE8C"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Βουλγαρία</w:t>
            </w:r>
          </w:p>
        </w:tc>
        <w:tc>
          <w:tcPr>
            <w:tcW w:w="815" w:type="dxa"/>
            <w:tcBorders>
              <w:top w:val="nil"/>
              <w:left w:val="nil"/>
              <w:bottom w:val="single" w:sz="8" w:space="0" w:color="auto"/>
              <w:right w:val="nil"/>
            </w:tcBorders>
            <w:shd w:val="clear" w:color="auto" w:fill="auto"/>
            <w:noWrap/>
            <w:vAlign w:val="center"/>
            <w:hideMark/>
          </w:tcPr>
          <w:p w14:paraId="68C4D15C"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24,6</w:t>
            </w:r>
          </w:p>
        </w:tc>
        <w:tc>
          <w:tcPr>
            <w:tcW w:w="815" w:type="dxa"/>
            <w:tcBorders>
              <w:top w:val="nil"/>
              <w:left w:val="nil"/>
              <w:bottom w:val="single" w:sz="8" w:space="0" w:color="auto"/>
              <w:right w:val="nil"/>
            </w:tcBorders>
            <w:shd w:val="clear" w:color="auto" w:fill="auto"/>
            <w:noWrap/>
            <w:vAlign w:val="center"/>
            <w:hideMark/>
          </w:tcPr>
          <w:p w14:paraId="61A0A40A"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23,9</w:t>
            </w:r>
          </w:p>
        </w:tc>
        <w:tc>
          <w:tcPr>
            <w:tcW w:w="815" w:type="dxa"/>
            <w:tcBorders>
              <w:top w:val="nil"/>
              <w:left w:val="nil"/>
              <w:bottom w:val="single" w:sz="8" w:space="0" w:color="auto"/>
              <w:right w:val="nil"/>
            </w:tcBorders>
            <w:shd w:val="clear" w:color="auto" w:fill="auto"/>
            <w:noWrap/>
            <w:vAlign w:val="center"/>
            <w:hideMark/>
          </w:tcPr>
          <w:p w14:paraId="6AC209D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22,6</w:t>
            </w:r>
          </w:p>
        </w:tc>
        <w:tc>
          <w:tcPr>
            <w:tcW w:w="824" w:type="dxa"/>
            <w:tcBorders>
              <w:top w:val="nil"/>
              <w:left w:val="nil"/>
              <w:bottom w:val="single" w:sz="8" w:space="0" w:color="auto"/>
              <w:right w:val="nil"/>
            </w:tcBorders>
            <w:shd w:val="clear" w:color="auto" w:fill="auto"/>
            <w:noWrap/>
            <w:vAlign w:val="center"/>
            <w:hideMark/>
          </w:tcPr>
          <w:p w14:paraId="31017B9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23,1</w:t>
            </w:r>
          </w:p>
        </w:tc>
        <w:tc>
          <w:tcPr>
            <w:tcW w:w="1292" w:type="dxa"/>
            <w:tcBorders>
              <w:top w:val="single" w:sz="8" w:space="0" w:color="auto"/>
              <w:left w:val="single" w:sz="4" w:space="0" w:color="auto"/>
              <w:bottom w:val="single" w:sz="8" w:space="0" w:color="auto"/>
              <w:right w:val="single" w:sz="4" w:space="0" w:color="auto"/>
            </w:tcBorders>
            <w:vAlign w:val="center"/>
          </w:tcPr>
          <w:p w14:paraId="36FE6AD2" w14:textId="15E37259" w:rsidR="00243E26" w:rsidRPr="00C65289" w:rsidRDefault="00E07C2F"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25,0</w:t>
            </w:r>
          </w:p>
        </w:tc>
        <w:tc>
          <w:tcPr>
            <w:tcW w:w="924" w:type="dxa"/>
            <w:tcBorders>
              <w:top w:val="single" w:sz="8" w:space="0" w:color="auto"/>
              <w:left w:val="single" w:sz="4" w:space="0" w:color="auto"/>
              <w:bottom w:val="single" w:sz="8" w:space="0" w:color="auto"/>
            </w:tcBorders>
            <w:shd w:val="clear" w:color="auto" w:fill="auto"/>
            <w:noWrap/>
            <w:vAlign w:val="center"/>
            <w:hideMark/>
          </w:tcPr>
          <w:p w14:paraId="20F01A71" w14:textId="3256621B"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24,8</w:t>
            </w:r>
          </w:p>
        </w:tc>
        <w:tc>
          <w:tcPr>
            <w:tcW w:w="914" w:type="dxa"/>
            <w:tcBorders>
              <w:top w:val="single" w:sz="8" w:space="0" w:color="auto"/>
              <w:left w:val="nil"/>
              <w:bottom w:val="single" w:sz="8" w:space="0" w:color="auto"/>
              <w:right w:val="nil"/>
            </w:tcBorders>
            <w:shd w:val="clear" w:color="auto" w:fill="auto"/>
            <w:noWrap/>
            <w:vAlign w:val="center"/>
            <w:hideMark/>
          </w:tcPr>
          <w:p w14:paraId="363323D0" w14:textId="6B546FAB"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24,6</w:t>
            </w:r>
          </w:p>
        </w:tc>
      </w:tr>
      <w:tr w:rsidR="00243E26" w:rsidRPr="00C65289" w14:paraId="50B9DD78"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6DECB790"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Δανία</w:t>
            </w:r>
          </w:p>
        </w:tc>
        <w:tc>
          <w:tcPr>
            <w:tcW w:w="815" w:type="dxa"/>
            <w:tcBorders>
              <w:top w:val="nil"/>
              <w:left w:val="nil"/>
              <w:bottom w:val="single" w:sz="8" w:space="0" w:color="auto"/>
              <w:right w:val="nil"/>
            </w:tcBorders>
            <w:shd w:val="clear" w:color="auto" w:fill="auto"/>
            <w:noWrap/>
            <w:vAlign w:val="center"/>
            <w:hideMark/>
          </w:tcPr>
          <w:p w14:paraId="2D4B039A"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42,3</w:t>
            </w:r>
          </w:p>
        </w:tc>
        <w:tc>
          <w:tcPr>
            <w:tcW w:w="815" w:type="dxa"/>
            <w:tcBorders>
              <w:top w:val="nil"/>
              <w:left w:val="nil"/>
              <w:bottom w:val="single" w:sz="8" w:space="0" w:color="auto"/>
              <w:right w:val="nil"/>
            </w:tcBorders>
            <w:shd w:val="clear" w:color="auto" w:fill="auto"/>
            <w:noWrap/>
            <w:vAlign w:val="center"/>
            <w:hideMark/>
          </w:tcPr>
          <w:p w14:paraId="31D60130"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36,0</w:t>
            </w:r>
          </w:p>
        </w:tc>
        <w:tc>
          <w:tcPr>
            <w:tcW w:w="815" w:type="dxa"/>
            <w:tcBorders>
              <w:top w:val="nil"/>
              <w:left w:val="nil"/>
              <w:bottom w:val="single" w:sz="8" w:space="0" w:color="auto"/>
              <w:right w:val="nil"/>
            </w:tcBorders>
            <w:shd w:val="clear" w:color="auto" w:fill="auto"/>
            <w:noWrap/>
            <w:vAlign w:val="center"/>
            <w:hideMark/>
          </w:tcPr>
          <w:p w14:paraId="79F86AE5"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29,8</w:t>
            </w:r>
          </w:p>
        </w:tc>
        <w:tc>
          <w:tcPr>
            <w:tcW w:w="824" w:type="dxa"/>
            <w:tcBorders>
              <w:top w:val="nil"/>
              <w:left w:val="nil"/>
              <w:bottom w:val="single" w:sz="8" w:space="0" w:color="auto"/>
              <w:right w:val="nil"/>
            </w:tcBorders>
            <w:shd w:val="clear" w:color="auto" w:fill="auto"/>
            <w:noWrap/>
            <w:vAlign w:val="center"/>
            <w:hideMark/>
          </w:tcPr>
          <w:p w14:paraId="4A29D8F0"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29,3</w:t>
            </w:r>
          </w:p>
        </w:tc>
        <w:tc>
          <w:tcPr>
            <w:tcW w:w="1292" w:type="dxa"/>
            <w:tcBorders>
              <w:top w:val="nil"/>
              <w:left w:val="single" w:sz="4" w:space="0" w:color="auto"/>
              <w:bottom w:val="single" w:sz="8" w:space="0" w:color="auto"/>
              <w:right w:val="single" w:sz="4" w:space="0" w:color="auto"/>
            </w:tcBorders>
            <w:vAlign w:val="center"/>
          </w:tcPr>
          <w:p w14:paraId="108C6EA5" w14:textId="5CA0E5BA" w:rsidR="00243E26" w:rsidRPr="00C65289" w:rsidRDefault="00C75DED"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29,1</w:t>
            </w:r>
          </w:p>
        </w:tc>
        <w:tc>
          <w:tcPr>
            <w:tcW w:w="924" w:type="dxa"/>
            <w:tcBorders>
              <w:top w:val="nil"/>
              <w:left w:val="single" w:sz="4" w:space="0" w:color="auto"/>
              <w:bottom w:val="single" w:sz="8" w:space="0" w:color="auto"/>
            </w:tcBorders>
            <w:shd w:val="clear" w:color="auto" w:fill="auto"/>
            <w:noWrap/>
            <w:vAlign w:val="center"/>
            <w:hideMark/>
          </w:tcPr>
          <w:p w14:paraId="427451DE" w14:textId="25D2517A"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26,5</w:t>
            </w:r>
          </w:p>
        </w:tc>
        <w:tc>
          <w:tcPr>
            <w:tcW w:w="914" w:type="dxa"/>
            <w:tcBorders>
              <w:top w:val="nil"/>
              <w:left w:val="nil"/>
              <w:bottom w:val="single" w:sz="8" w:space="0" w:color="auto"/>
              <w:right w:val="nil"/>
            </w:tcBorders>
            <w:shd w:val="clear" w:color="auto" w:fill="auto"/>
            <w:noWrap/>
            <w:vAlign w:val="center"/>
            <w:hideMark/>
          </w:tcPr>
          <w:p w14:paraId="037593F5" w14:textId="7C0D1F40"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25,1</w:t>
            </w:r>
          </w:p>
        </w:tc>
      </w:tr>
      <w:tr w:rsidR="00243E26" w:rsidRPr="00C65289" w14:paraId="6E7CCA4D"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057218AB"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Γερμανία</w:t>
            </w:r>
          </w:p>
        </w:tc>
        <w:tc>
          <w:tcPr>
            <w:tcW w:w="815" w:type="dxa"/>
            <w:tcBorders>
              <w:top w:val="nil"/>
              <w:left w:val="nil"/>
              <w:bottom w:val="single" w:sz="8" w:space="0" w:color="auto"/>
              <w:right w:val="nil"/>
            </w:tcBorders>
            <w:shd w:val="clear" w:color="auto" w:fill="auto"/>
            <w:noWrap/>
            <w:vAlign w:val="center"/>
            <w:hideMark/>
          </w:tcPr>
          <w:p w14:paraId="052903F5"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68,8</w:t>
            </w:r>
          </w:p>
        </w:tc>
        <w:tc>
          <w:tcPr>
            <w:tcW w:w="815" w:type="dxa"/>
            <w:tcBorders>
              <w:top w:val="nil"/>
              <w:left w:val="nil"/>
              <w:bottom w:val="single" w:sz="8" w:space="0" w:color="auto"/>
              <w:right w:val="nil"/>
            </w:tcBorders>
            <w:shd w:val="clear" w:color="auto" w:fill="auto"/>
            <w:noWrap/>
            <w:vAlign w:val="center"/>
            <w:hideMark/>
          </w:tcPr>
          <w:p w14:paraId="11898B73"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69,0</w:t>
            </w:r>
          </w:p>
        </w:tc>
        <w:tc>
          <w:tcPr>
            <w:tcW w:w="815" w:type="dxa"/>
            <w:tcBorders>
              <w:top w:val="nil"/>
              <w:left w:val="nil"/>
              <w:bottom w:val="single" w:sz="8" w:space="0" w:color="auto"/>
              <w:right w:val="nil"/>
            </w:tcBorders>
            <w:shd w:val="clear" w:color="auto" w:fill="auto"/>
            <w:noWrap/>
            <w:vAlign w:val="center"/>
            <w:hideMark/>
          </w:tcPr>
          <w:p w14:paraId="64B76C27"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66,1</w:t>
            </w:r>
          </w:p>
        </w:tc>
        <w:tc>
          <w:tcPr>
            <w:tcW w:w="824" w:type="dxa"/>
            <w:tcBorders>
              <w:top w:val="nil"/>
              <w:left w:val="nil"/>
              <w:bottom w:val="single" w:sz="8" w:space="0" w:color="auto"/>
              <w:right w:val="nil"/>
            </w:tcBorders>
            <w:shd w:val="clear" w:color="auto" w:fill="auto"/>
            <w:noWrap/>
            <w:vAlign w:val="center"/>
            <w:hideMark/>
          </w:tcPr>
          <w:p w14:paraId="6BBD08E7"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63,6</w:t>
            </w:r>
          </w:p>
        </w:tc>
        <w:tc>
          <w:tcPr>
            <w:tcW w:w="1292" w:type="dxa"/>
            <w:tcBorders>
              <w:top w:val="nil"/>
              <w:left w:val="single" w:sz="4" w:space="0" w:color="auto"/>
              <w:bottom w:val="single" w:sz="8" w:space="0" w:color="auto"/>
              <w:right w:val="single" w:sz="4" w:space="0" w:color="auto"/>
            </w:tcBorders>
            <w:vAlign w:val="center"/>
          </w:tcPr>
          <w:p w14:paraId="45A46FE6" w14:textId="7726ADA4" w:rsidR="00243E26" w:rsidRPr="00C65289" w:rsidRDefault="005B203F"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64,0</w:t>
            </w:r>
          </w:p>
        </w:tc>
        <w:tc>
          <w:tcPr>
            <w:tcW w:w="924" w:type="dxa"/>
            <w:tcBorders>
              <w:top w:val="nil"/>
              <w:left w:val="single" w:sz="4" w:space="0" w:color="auto"/>
              <w:bottom w:val="single" w:sz="8" w:space="0" w:color="auto"/>
            </w:tcBorders>
            <w:shd w:val="clear" w:color="auto" w:fill="auto"/>
            <w:noWrap/>
            <w:vAlign w:val="center"/>
            <w:hideMark/>
          </w:tcPr>
          <w:p w14:paraId="4E0B85F8" w14:textId="4C2F177A"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62,9</w:t>
            </w:r>
          </w:p>
        </w:tc>
        <w:tc>
          <w:tcPr>
            <w:tcW w:w="914" w:type="dxa"/>
            <w:tcBorders>
              <w:top w:val="nil"/>
              <w:left w:val="nil"/>
              <w:bottom w:val="single" w:sz="8" w:space="0" w:color="auto"/>
              <w:right w:val="nil"/>
            </w:tcBorders>
            <w:shd w:val="clear" w:color="auto" w:fill="auto"/>
            <w:noWrap/>
            <w:vAlign w:val="center"/>
            <w:hideMark/>
          </w:tcPr>
          <w:p w14:paraId="2B1F6545" w14:textId="5082D44D"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62,2</w:t>
            </w:r>
          </w:p>
        </w:tc>
      </w:tr>
      <w:tr w:rsidR="00243E26" w:rsidRPr="00C65289" w14:paraId="6B9E952B"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4469DBB1"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Ιρλανδία</w:t>
            </w:r>
          </w:p>
        </w:tc>
        <w:tc>
          <w:tcPr>
            <w:tcW w:w="815" w:type="dxa"/>
            <w:tcBorders>
              <w:top w:val="nil"/>
              <w:left w:val="nil"/>
              <w:bottom w:val="single" w:sz="8" w:space="0" w:color="auto"/>
              <w:right w:val="nil"/>
            </w:tcBorders>
            <w:shd w:val="clear" w:color="auto" w:fill="auto"/>
            <w:noWrap/>
            <w:vAlign w:val="center"/>
            <w:hideMark/>
          </w:tcPr>
          <w:p w14:paraId="2C1DE88C"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58,1</w:t>
            </w:r>
          </w:p>
        </w:tc>
        <w:tc>
          <w:tcPr>
            <w:tcW w:w="815" w:type="dxa"/>
            <w:tcBorders>
              <w:top w:val="nil"/>
              <w:left w:val="nil"/>
              <w:bottom w:val="single" w:sz="8" w:space="0" w:color="auto"/>
              <w:right w:val="nil"/>
            </w:tcBorders>
            <w:shd w:val="clear" w:color="auto" w:fill="auto"/>
            <w:noWrap/>
            <w:vAlign w:val="center"/>
            <w:hideMark/>
          </w:tcPr>
          <w:p w14:paraId="126F1522"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54,4</w:t>
            </w:r>
          </w:p>
        </w:tc>
        <w:tc>
          <w:tcPr>
            <w:tcW w:w="815" w:type="dxa"/>
            <w:tcBorders>
              <w:top w:val="nil"/>
              <w:left w:val="nil"/>
              <w:bottom w:val="single" w:sz="8" w:space="0" w:color="auto"/>
              <w:right w:val="nil"/>
            </w:tcBorders>
            <w:shd w:val="clear" w:color="auto" w:fill="auto"/>
            <w:noWrap/>
            <w:vAlign w:val="center"/>
            <w:hideMark/>
          </w:tcPr>
          <w:p w14:paraId="4A8A7DC3"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44,4</w:t>
            </w:r>
          </w:p>
        </w:tc>
        <w:tc>
          <w:tcPr>
            <w:tcW w:w="824" w:type="dxa"/>
            <w:tcBorders>
              <w:top w:val="nil"/>
              <w:left w:val="nil"/>
              <w:bottom w:val="single" w:sz="8" w:space="0" w:color="auto"/>
              <w:right w:val="nil"/>
            </w:tcBorders>
            <w:shd w:val="clear" w:color="auto" w:fill="auto"/>
            <w:noWrap/>
            <w:vAlign w:val="center"/>
            <w:hideMark/>
          </w:tcPr>
          <w:p w14:paraId="3E077576"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43,7</w:t>
            </w:r>
          </w:p>
        </w:tc>
        <w:tc>
          <w:tcPr>
            <w:tcW w:w="1292" w:type="dxa"/>
            <w:tcBorders>
              <w:top w:val="nil"/>
              <w:left w:val="single" w:sz="4" w:space="0" w:color="auto"/>
              <w:bottom w:val="single" w:sz="8" w:space="0" w:color="auto"/>
              <w:right w:val="single" w:sz="4" w:space="0" w:color="auto"/>
            </w:tcBorders>
            <w:vAlign w:val="center"/>
          </w:tcPr>
          <w:p w14:paraId="266513DC" w14:textId="47D17F17" w:rsidR="00243E26" w:rsidRPr="00C65289" w:rsidRDefault="00694CF9"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41,4</w:t>
            </w:r>
          </w:p>
        </w:tc>
        <w:tc>
          <w:tcPr>
            <w:tcW w:w="924" w:type="dxa"/>
            <w:tcBorders>
              <w:top w:val="nil"/>
              <w:left w:val="single" w:sz="4" w:space="0" w:color="auto"/>
              <w:bottom w:val="single" w:sz="8" w:space="0" w:color="auto"/>
            </w:tcBorders>
            <w:shd w:val="clear" w:color="auto" w:fill="auto"/>
            <w:noWrap/>
            <w:vAlign w:val="center"/>
            <w:hideMark/>
          </w:tcPr>
          <w:p w14:paraId="3F31FE9E" w14:textId="01334184"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42,5</w:t>
            </w:r>
          </w:p>
        </w:tc>
        <w:tc>
          <w:tcPr>
            <w:tcW w:w="914" w:type="dxa"/>
            <w:tcBorders>
              <w:top w:val="nil"/>
              <w:left w:val="nil"/>
              <w:bottom w:val="single" w:sz="8" w:space="0" w:color="auto"/>
              <w:right w:val="nil"/>
            </w:tcBorders>
            <w:shd w:val="clear" w:color="auto" w:fill="auto"/>
            <w:noWrap/>
            <w:vAlign w:val="center"/>
            <w:hideMark/>
          </w:tcPr>
          <w:p w14:paraId="7C01C990" w14:textId="7133C513"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41,3</w:t>
            </w:r>
          </w:p>
        </w:tc>
      </w:tr>
      <w:tr w:rsidR="00243E26" w:rsidRPr="00C65289" w14:paraId="0A4FED1E"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3DCD7634"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Ελλάδα</w:t>
            </w:r>
          </w:p>
        </w:tc>
        <w:tc>
          <w:tcPr>
            <w:tcW w:w="815" w:type="dxa"/>
            <w:tcBorders>
              <w:top w:val="nil"/>
              <w:left w:val="nil"/>
              <w:bottom w:val="single" w:sz="8" w:space="0" w:color="auto"/>
              <w:right w:val="nil"/>
            </w:tcBorders>
            <w:shd w:val="clear" w:color="auto" w:fill="auto"/>
            <w:noWrap/>
            <w:vAlign w:val="center"/>
            <w:hideMark/>
          </w:tcPr>
          <w:p w14:paraId="0E3C6BC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207,0</w:t>
            </w:r>
          </w:p>
        </w:tc>
        <w:tc>
          <w:tcPr>
            <w:tcW w:w="815" w:type="dxa"/>
            <w:tcBorders>
              <w:top w:val="nil"/>
              <w:left w:val="nil"/>
              <w:bottom w:val="single" w:sz="8" w:space="0" w:color="auto"/>
              <w:right w:val="nil"/>
            </w:tcBorders>
            <w:shd w:val="clear" w:color="auto" w:fill="auto"/>
            <w:noWrap/>
            <w:vAlign w:val="center"/>
            <w:hideMark/>
          </w:tcPr>
          <w:p w14:paraId="3F00792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195,0</w:t>
            </w:r>
          </w:p>
        </w:tc>
        <w:tc>
          <w:tcPr>
            <w:tcW w:w="815" w:type="dxa"/>
            <w:tcBorders>
              <w:top w:val="nil"/>
              <w:left w:val="nil"/>
              <w:bottom w:val="single" w:sz="8" w:space="0" w:color="auto"/>
              <w:right w:val="nil"/>
            </w:tcBorders>
            <w:shd w:val="clear" w:color="auto" w:fill="auto"/>
            <w:noWrap/>
            <w:vAlign w:val="center"/>
            <w:hideMark/>
          </w:tcPr>
          <w:p w14:paraId="1035AE29"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172,7</w:t>
            </w:r>
          </w:p>
        </w:tc>
        <w:tc>
          <w:tcPr>
            <w:tcW w:w="824" w:type="dxa"/>
            <w:tcBorders>
              <w:top w:val="nil"/>
              <w:left w:val="nil"/>
              <w:bottom w:val="single" w:sz="8" w:space="0" w:color="auto"/>
              <w:right w:val="nil"/>
            </w:tcBorders>
            <w:shd w:val="clear" w:color="auto" w:fill="auto"/>
            <w:noWrap/>
            <w:vAlign w:val="center"/>
            <w:hideMark/>
          </w:tcPr>
          <w:p w14:paraId="76670334"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161,9</w:t>
            </w:r>
          </w:p>
        </w:tc>
        <w:tc>
          <w:tcPr>
            <w:tcW w:w="1292" w:type="dxa"/>
            <w:tcBorders>
              <w:top w:val="nil"/>
              <w:left w:val="single" w:sz="4" w:space="0" w:color="auto"/>
              <w:bottom w:val="single" w:sz="8" w:space="0" w:color="auto"/>
              <w:right w:val="single" w:sz="4" w:space="0" w:color="auto"/>
            </w:tcBorders>
            <w:vAlign w:val="center"/>
          </w:tcPr>
          <w:p w14:paraId="4556AF3F" w14:textId="238C2EED" w:rsidR="00243E26" w:rsidRPr="00C65289" w:rsidRDefault="006E588A"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154,2</w:t>
            </w:r>
          </w:p>
        </w:tc>
        <w:tc>
          <w:tcPr>
            <w:tcW w:w="924" w:type="dxa"/>
            <w:tcBorders>
              <w:top w:val="nil"/>
              <w:left w:val="single" w:sz="4" w:space="0" w:color="auto"/>
              <w:bottom w:val="single" w:sz="8" w:space="0" w:color="auto"/>
            </w:tcBorders>
            <w:shd w:val="clear" w:color="auto" w:fill="auto"/>
            <w:noWrap/>
            <w:vAlign w:val="center"/>
            <w:hideMark/>
          </w:tcPr>
          <w:p w14:paraId="68F2D773" w14:textId="1470C588"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153,9</w:t>
            </w:r>
          </w:p>
        </w:tc>
        <w:tc>
          <w:tcPr>
            <w:tcW w:w="914" w:type="dxa"/>
            <w:tcBorders>
              <w:top w:val="nil"/>
              <w:left w:val="nil"/>
              <w:bottom w:val="single" w:sz="8" w:space="0" w:color="auto"/>
              <w:right w:val="nil"/>
            </w:tcBorders>
            <w:shd w:val="clear" w:color="auto" w:fill="auto"/>
            <w:noWrap/>
            <w:vAlign w:val="center"/>
            <w:hideMark/>
          </w:tcPr>
          <w:p w14:paraId="474056D4" w14:textId="65CA9F9E"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149,3</w:t>
            </w:r>
          </w:p>
        </w:tc>
      </w:tr>
      <w:tr w:rsidR="00243E26" w:rsidRPr="00C65289" w14:paraId="472013A7"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3748532B"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Κροατία</w:t>
            </w:r>
          </w:p>
        </w:tc>
        <w:tc>
          <w:tcPr>
            <w:tcW w:w="815" w:type="dxa"/>
            <w:tcBorders>
              <w:top w:val="nil"/>
              <w:left w:val="nil"/>
              <w:bottom w:val="single" w:sz="8" w:space="0" w:color="auto"/>
              <w:right w:val="nil"/>
            </w:tcBorders>
            <w:shd w:val="clear" w:color="auto" w:fill="auto"/>
            <w:noWrap/>
            <w:vAlign w:val="center"/>
            <w:hideMark/>
          </w:tcPr>
          <w:p w14:paraId="6CAB6618"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86,1</w:t>
            </w:r>
          </w:p>
        </w:tc>
        <w:tc>
          <w:tcPr>
            <w:tcW w:w="815" w:type="dxa"/>
            <w:tcBorders>
              <w:top w:val="nil"/>
              <w:left w:val="nil"/>
              <w:bottom w:val="single" w:sz="8" w:space="0" w:color="auto"/>
              <w:right w:val="nil"/>
            </w:tcBorders>
            <w:shd w:val="clear" w:color="auto" w:fill="auto"/>
            <w:noWrap/>
            <w:vAlign w:val="center"/>
            <w:hideMark/>
          </w:tcPr>
          <w:p w14:paraId="06789FE2"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77,5</w:t>
            </w:r>
          </w:p>
        </w:tc>
        <w:tc>
          <w:tcPr>
            <w:tcW w:w="815" w:type="dxa"/>
            <w:tcBorders>
              <w:top w:val="nil"/>
              <w:left w:val="nil"/>
              <w:bottom w:val="single" w:sz="8" w:space="0" w:color="auto"/>
              <w:right w:val="nil"/>
            </w:tcBorders>
            <w:shd w:val="clear" w:color="auto" w:fill="auto"/>
            <w:noWrap/>
            <w:vAlign w:val="center"/>
            <w:hideMark/>
          </w:tcPr>
          <w:p w14:paraId="5C9A49A3"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67,8</w:t>
            </w:r>
          </w:p>
        </w:tc>
        <w:tc>
          <w:tcPr>
            <w:tcW w:w="824" w:type="dxa"/>
            <w:tcBorders>
              <w:top w:val="nil"/>
              <w:left w:val="nil"/>
              <w:bottom w:val="single" w:sz="8" w:space="0" w:color="auto"/>
              <w:right w:val="nil"/>
            </w:tcBorders>
            <w:shd w:val="clear" w:color="auto" w:fill="auto"/>
            <w:noWrap/>
            <w:vAlign w:val="center"/>
            <w:hideMark/>
          </w:tcPr>
          <w:p w14:paraId="2607D652"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63,0</w:t>
            </w:r>
          </w:p>
        </w:tc>
        <w:tc>
          <w:tcPr>
            <w:tcW w:w="1292" w:type="dxa"/>
            <w:tcBorders>
              <w:top w:val="nil"/>
              <w:left w:val="single" w:sz="4" w:space="0" w:color="auto"/>
              <w:bottom w:val="single" w:sz="8" w:space="0" w:color="auto"/>
              <w:right w:val="single" w:sz="4" w:space="0" w:color="auto"/>
            </w:tcBorders>
            <w:vAlign w:val="center"/>
          </w:tcPr>
          <w:p w14:paraId="3298D355" w14:textId="1779C747" w:rsidR="00243E26" w:rsidRPr="00C65289" w:rsidRDefault="00EC27B3"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58,0</w:t>
            </w:r>
          </w:p>
        </w:tc>
        <w:tc>
          <w:tcPr>
            <w:tcW w:w="924" w:type="dxa"/>
            <w:tcBorders>
              <w:top w:val="nil"/>
              <w:left w:val="single" w:sz="4" w:space="0" w:color="auto"/>
              <w:bottom w:val="single" w:sz="8" w:space="0" w:color="auto"/>
            </w:tcBorders>
            <w:shd w:val="clear" w:color="auto" w:fill="auto"/>
            <w:noWrap/>
            <w:vAlign w:val="center"/>
            <w:hideMark/>
          </w:tcPr>
          <w:p w14:paraId="15B5D50B" w14:textId="5000325C"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59,5</w:t>
            </w:r>
          </w:p>
        </w:tc>
        <w:tc>
          <w:tcPr>
            <w:tcW w:w="914" w:type="dxa"/>
            <w:tcBorders>
              <w:top w:val="nil"/>
              <w:left w:val="nil"/>
              <w:bottom w:val="single" w:sz="8" w:space="0" w:color="auto"/>
              <w:right w:val="nil"/>
            </w:tcBorders>
            <w:shd w:val="clear" w:color="auto" w:fill="auto"/>
            <w:noWrap/>
            <w:vAlign w:val="center"/>
            <w:hideMark/>
          </w:tcPr>
          <w:p w14:paraId="7BBAC4E2" w14:textId="0FCC856E"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59,1</w:t>
            </w:r>
          </w:p>
        </w:tc>
      </w:tr>
      <w:tr w:rsidR="00243E26" w:rsidRPr="00C65289" w14:paraId="095DECC4"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349EC9C2"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Κύπρος</w:t>
            </w:r>
          </w:p>
        </w:tc>
        <w:tc>
          <w:tcPr>
            <w:tcW w:w="815" w:type="dxa"/>
            <w:tcBorders>
              <w:top w:val="nil"/>
              <w:left w:val="nil"/>
              <w:bottom w:val="single" w:sz="8" w:space="0" w:color="auto"/>
              <w:right w:val="nil"/>
            </w:tcBorders>
            <w:shd w:val="clear" w:color="auto" w:fill="auto"/>
            <w:noWrap/>
            <w:vAlign w:val="center"/>
            <w:hideMark/>
          </w:tcPr>
          <w:p w14:paraId="4AAED405"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114,9</w:t>
            </w:r>
          </w:p>
        </w:tc>
        <w:tc>
          <w:tcPr>
            <w:tcW w:w="815" w:type="dxa"/>
            <w:tcBorders>
              <w:top w:val="nil"/>
              <w:left w:val="nil"/>
              <w:bottom w:val="single" w:sz="8" w:space="0" w:color="auto"/>
              <w:right w:val="nil"/>
            </w:tcBorders>
            <w:shd w:val="clear" w:color="auto" w:fill="auto"/>
            <w:noWrap/>
            <w:vAlign w:val="center"/>
            <w:hideMark/>
          </w:tcPr>
          <w:p w14:paraId="300894AA"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99,3</w:t>
            </w:r>
          </w:p>
        </w:tc>
        <w:tc>
          <w:tcPr>
            <w:tcW w:w="815" w:type="dxa"/>
            <w:tcBorders>
              <w:top w:val="nil"/>
              <w:left w:val="nil"/>
              <w:bottom w:val="single" w:sz="8" w:space="0" w:color="auto"/>
              <w:right w:val="nil"/>
            </w:tcBorders>
            <w:shd w:val="clear" w:color="auto" w:fill="auto"/>
            <w:noWrap/>
            <w:vAlign w:val="center"/>
            <w:hideMark/>
          </w:tcPr>
          <w:p w14:paraId="543C1739"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85,6</w:t>
            </w:r>
          </w:p>
        </w:tc>
        <w:tc>
          <w:tcPr>
            <w:tcW w:w="824" w:type="dxa"/>
            <w:tcBorders>
              <w:top w:val="nil"/>
              <w:left w:val="nil"/>
              <w:bottom w:val="single" w:sz="8" w:space="0" w:color="auto"/>
              <w:right w:val="nil"/>
            </w:tcBorders>
            <w:shd w:val="clear" w:color="auto" w:fill="auto"/>
            <w:noWrap/>
            <w:vAlign w:val="center"/>
            <w:hideMark/>
          </w:tcPr>
          <w:p w14:paraId="2053BAE7"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77,3</w:t>
            </w:r>
          </w:p>
        </w:tc>
        <w:tc>
          <w:tcPr>
            <w:tcW w:w="1292" w:type="dxa"/>
            <w:tcBorders>
              <w:top w:val="nil"/>
              <w:left w:val="single" w:sz="4" w:space="0" w:color="auto"/>
              <w:bottom w:val="single" w:sz="8" w:space="0" w:color="auto"/>
              <w:right w:val="single" w:sz="4" w:space="0" w:color="auto"/>
            </w:tcBorders>
            <w:vAlign w:val="center"/>
          </w:tcPr>
          <w:p w14:paraId="146DFC4A" w14:textId="3DF016A4" w:rsidR="00243E26" w:rsidRPr="00C65289" w:rsidRDefault="00E03A86"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70,6</w:t>
            </w:r>
          </w:p>
        </w:tc>
        <w:tc>
          <w:tcPr>
            <w:tcW w:w="924" w:type="dxa"/>
            <w:tcBorders>
              <w:top w:val="nil"/>
              <w:left w:val="single" w:sz="4" w:space="0" w:color="auto"/>
              <w:bottom w:val="single" w:sz="8" w:space="0" w:color="auto"/>
            </w:tcBorders>
            <w:shd w:val="clear" w:color="auto" w:fill="auto"/>
            <w:noWrap/>
            <w:vAlign w:val="center"/>
            <w:hideMark/>
          </w:tcPr>
          <w:p w14:paraId="4735F78D" w14:textId="10E3F656"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70,6</w:t>
            </w:r>
          </w:p>
        </w:tc>
        <w:tc>
          <w:tcPr>
            <w:tcW w:w="914" w:type="dxa"/>
            <w:tcBorders>
              <w:top w:val="nil"/>
              <w:left w:val="nil"/>
              <w:bottom w:val="single" w:sz="8" w:space="0" w:color="auto"/>
              <w:right w:val="nil"/>
            </w:tcBorders>
            <w:shd w:val="clear" w:color="auto" w:fill="auto"/>
            <w:noWrap/>
            <w:vAlign w:val="center"/>
            <w:hideMark/>
          </w:tcPr>
          <w:p w14:paraId="7C66A892" w14:textId="7EEF4FBD"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65,4</w:t>
            </w:r>
          </w:p>
        </w:tc>
      </w:tr>
      <w:tr w:rsidR="00243E26" w:rsidRPr="00C65289" w14:paraId="362AB4F5"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7350DB44"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Λετονία</w:t>
            </w:r>
          </w:p>
        </w:tc>
        <w:tc>
          <w:tcPr>
            <w:tcW w:w="815" w:type="dxa"/>
            <w:tcBorders>
              <w:top w:val="nil"/>
              <w:left w:val="nil"/>
              <w:bottom w:val="single" w:sz="8" w:space="0" w:color="auto"/>
              <w:right w:val="nil"/>
            </w:tcBorders>
            <w:shd w:val="clear" w:color="auto" w:fill="auto"/>
            <w:noWrap/>
            <w:vAlign w:val="center"/>
            <w:hideMark/>
          </w:tcPr>
          <w:p w14:paraId="7FF8A527"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42,7</w:t>
            </w:r>
          </w:p>
        </w:tc>
        <w:tc>
          <w:tcPr>
            <w:tcW w:w="815" w:type="dxa"/>
            <w:tcBorders>
              <w:top w:val="nil"/>
              <w:left w:val="nil"/>
              <w:bottom w:val="single" w:sz="8" w:space="0" w:color="auto"/>
              <w:right w:val="nil"/>
            </w:tcBorders>
            <w:shd w:val="clear" w:color="auto" w:fill="auto"/>
            <w:noWrap/>
            <w:vAlign w:val="center"/>
            <w:hideMark/>
          </w:tcPr>
          <w:p w14:paraId="00E4C747"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44,4</w:t>
            </w:r>
          </w:p>
        </w:tc>
        <w:tc>
          <w:tcPr>
            <w:tcW w:w="815" w:type="dxa"/>
            <w:tcBorders>
              <w:top w:val="nil"/>
              <w:left w:val="nil"/>
              <w:bottom w:val="single" w:sz="8" w:space="0" w:color="auto"/>
              <w:right w:val="nil"/>
            </w:tcBorders>
            <w:shd w:val="clear" w:color="auto" w:fill="auto"/>
            <w:noWrap/>
            <w:vAlign w:val="center"/>
            <w:hideMark/>
          </w:tcPr>
          <w:p w14:paraId="63BD96E1"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41,8</w:t>
            </w:r>
          </w:p>
        </w:tc>
        <w:tc>
          <w:tcPr>
            <w:tcW w:w="824" w:type="dxa"/>
            <w:tcBorders>
              <w:top w:val="nil"/>
              <w:left w:val="nil"/>
              <w:bottom w:val="single" w:sz="8" w:space="0" w:color="auto"/>
              <w:right w:val="nil"/>
            </w:tcBorders>
            <w:shd w:val="clear" w:color="auto" w:fill="auto"/>
            <w:noWrap/>
            <w:vAlign w:val="center"/>
            <w:hideMark/>
          </w:tcPr>
          <w:p w14:paraId="7B521665"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43,6</w:t>
            </w:r>
          </w:p>
        </w:tc>
        <w:tc>
          <w:tcPr>
            <w:tcW w:w="1292" w:type="dxa"/>
            <w:tcBorders>
              <w:top w:val="nil"/>
              <w:left w:val="single" w:sz="4" w:space="0" w:color="auto"/>
              <w:bottom w:val="single" w:sz="8" w:space="0" w:color="auto"/>
              <w:right w:val="single" w:sz="4" w:space="0" w:color="auto"/>
            </w:tcBorders>
            <w:vAlign w:val="center"/>
          </w:tcPr>
          <w:p w14:paraId="5C04192F" w14:textId="665C2737" w:rsidR="00243E26" w:rsidRPr="00C65289" w:rsidRDefault="00ED0CDE"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41,0</w:t>
            </w:r>
          </w:p>
        </w:tc>
        <w:tc>
          <w:tcPr>
            <w:tcW w:w="924" w:type="dxa"/>
            <w:tcBorders>
              <w:top w:val="nil"/>
              <w:left w:val="single" w:sz="4" w:space="0" w:color="auto"/>
              <w:bottom w:val="single" w:sz="8" w:space="0" w:color="auto"/>
            </w:tcBorders>
            <w:shd w:val="clear" w:color="auto" w:fill="auto"/>
            <w:noWrap/>
            <w:vAlign w:val="center"/>
            <w:hideMark/>
          </w:tcPr>
          <w:p w14:paraId="17321223" w14:textId="444667AC"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44,5</w:t>
            </w:r>
          </w:p>
        </w:tc>
        <w:tc>
          <w:tcPr>
            <w:tcW w:w="914" w:type="dxa"/>
            <w:tcBorders>
              <w:top w:val="nil"/>
              <w:left w:val="nil"/>
              <w:bottom w:val="single" w:sz="8" w:space="0" w:color="auto"/>
              <w:right w:val="nil"/>
            </w:tcBorders>
            <w:shd w:val="clear" w:color="auto" w:fill="auto"/>
            <w:noWrap/>
            <w:vAlign w:val="center"/>
            <w:hideMark/>
          </w:tcPr>
          <w:p w14:paraId="76EE7C7D" w14:textId="13140324"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46,3</w:t>
            </w:r>
          </w:p>
        </w:tc>
      </w:tr>
      <w:tr w:rsidR="00243E26" w:rsidRPr="00C65289" w14:paraId="63B79C59"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1F6CE410"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Λιθουανία</w:t>
            </w:r>
          </w:p>
        </w:tc>
        <w:tc>
          <w:tcPr>
            <w:tcW w:w="815" w:type="dxa"/>
            <w:tcBorders>
              <w:top w:val="nil"/>
              <w:left w:val="nil"/>
              <w:bottom w:val="single" w:sz="8" w:space="0" w:color="auto"/>
              <w:right w:val="nil"/>
            </w:tcBorders>
            <w:shd w:val="clear" w:color="auto" w:fill="auto"/>
            <w:noWrap/>
            <w:vAlign w:val="center"/>
            <w:hideMark/>
          </w:tcPr>
          <w:p w14:paraId="2F75F11C"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46,2</w:t>
            </w:r>
          </w:p>
        </w:tc>
        <w:tc>
          <w:tcPr>
            <w:tcW w:w="815" w:type="dxa"/>
            <w:tcBorders>
              <w:top w:val="nil"/>
              <w:left w:val="nil"/>
              <w:bottom w:val="single" w:sz="8" w:space="0" w:color="auto"/>
              <w:right w:val="nil"/>
            </w:tcBorders>
            <w:shd w:val="clear" w:color="auto" w:fill="auto"/>
            <w:noWrap/>
            <w:vAlign w:val="center"/>
            <w:hideMark/>
          </w:tcPr>
          <w:p w14:paraId="5AAF9AF5"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43,4</w:t>
            </w:r>
          </w:p>
        </w:tc>
        <w:tc>
          <w:tcPr>
            <w:tcW w:w="815" w:type="dxa"/>
            <w:tcBorders>
              <w:top w:val="nil"/>
              <w:left w:val="nil"/>
              <w:bottom w:val="single" w:sz="8" w:space="0" w:color="auto"/>
              <w:right w:val="nil"/>
            </w:tcBorders>
            <w:shd w:val="clear" w:color="auto" w:fill="auto"/>
            <w:noWrap/>
            <w:vAlign w:val="center"/>
            <w:hideMark/>
          </w:tcPr>
          <w:p w14:paraId="1DD89667"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38,1</w:t>
            </w:r>
          </w:p>
        </w:tc>
        <w:tc>
          <w:tcPr>
            <w:tcW w:w="824" w:type="dxa"/>
            <w:tcBorders>
              <w:top w:val="nil"/>
              <w:left w:val="nil"/>
              <w:bottom w:val="single" w:sz="8" w:space="0" w:color="auto"/>
              <w:right w:val="nil"/>
            </w:tcBorders>
            <w:shd w:val="clear" w:color="auto" w:fill="auto"/>
            <w:noWrap/>
            <w:vAlign w:val="center"/>
            <w:hideMark/>
          </w:tcPr>
          <w:p w14:paraId="190EA864"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38,3</w:t>
            </w:r>
          </w:p>
        </w:tc>
        <w:tc>
          <w:tcPr>
            <w:tcW w:w="1292" w:type="dxa"/>
            <w:tcBorders>
              <w:top w:val="nil"/>
              <w:left w:val="single" w:sz="4" w:space="0" w:color="auto"/>
              <w:bottom w:val="single" w:sz="8" w:space="0" w:color="auto"/>
              <w:right w:val="single" w:sz="4" w:space="0" w:color="auto"/>
            </w:tcBorders>
            <w:vAlign w:val="center"/>
          </w:tcPr>
          <w:p w14:paraId="064B95BA" w14:textId="170039A3" w:rsidR="00243E26" w:rsidRPr="00C65289" w:rsidRDefault="00C258F1"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39,8</w:t>
            </w:r>
          </w:p>
        </w:tc>
        <w:tc>
          <w:tcPr>
            <w:tcW w:w="924" w:type="dxa"/>
            <w:tcBorders>
              <w:top w:val="nil"/>
              <w:left w:val="single" w:sz="4" w:space="0" w:color="auto"/>
              <w:bottom w:val="single" w:sz="8" w:space="0" w:color="auto"/>
            </w:tcBorders>
            <w:shd w:val="clear" w:color="auto" w:fill="auto"/>
            <w:noWrap/>
            <w:vAlign w:val="center"/>
            <w:hideMark/>
          </w:tcPr>
          <w:p w14:paraId="625EB5EE" w14:textId="66A941BB"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38,9</w:t>
            </w:r>
          </w:p>
        </w:tc>
        <w:tc>
          <w:tcPr>
            <w:tcW w:w="914" w:type="dxa"/>
            <w:tcBorders>
              <w:top w:val="nil"/>
              <w:left w:val="nil"/>
              <w:bottom w:val="single" w:sz="8" w:space="0" w:color="auto"/>
              <w:right w:val="nil"/>
            </w:tcBorders>
            <w:shd w:val="clear" w:color="auto" w:fill="auto"/>
            <w:noWrap/>
            <w:vAlign w:val="center"/>
            <w:hideMark/>
          </w:tcPr>
          <w:p w14:paraId="66764EBD" w14:textId="08FCC178"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41,6</w:t>
            </w:r>
          </w:p>
        </w:tc>
      </w:tr>
      <w:tr w:rsidR="00243E26" w:rsidRPr="00C65289" w14:paraId="2E41872D"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15F5ED8F"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Λουξεμβούργο</w:t>
            </w:r>
          </w:p>
        </w:tc>
        <w:tc>
          <w:tcPr>
            <w:tcW w:w="815" w:type="dxa"/>
            <w:tcBorders>
              <w:top w:val="nil"/>
              <w:left w:val="nil"/>
              <w:bottom w:val="single" w:sz="8" w:space="0" w:color="auto"/>
              <w:right w:val="nil"/>
            </w:tcBorders>
            <w:shd w:val="clear" w:color="auto" w:fill="auto"/>
            <w:noWrap/>
            <w:vAlign w:val="center"/>
            <w:hideMark/>
          </w:tcPr>
          <w:p w14:paraId="16A737A8"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24,6</w:t>
            </w:r>
          </w:p>
        </w:tc>
        <w:tc>
          <w:tcPr>
            <w:tcW w:w="815" w:type="dxa"/>
            <w:tcBorders>
              <w:top w:val="nil"/>
              <w:left w:val="nil"/>
              <w:bottom w:val="single" w:sz="8" w:space="0" w:color="auto"/>
              <w:right w:val="nil"/>
            </w:tcBorders>
            <w:shd w:val="clear" w:color="auto" w:fill="auto"/>
            <w:noWrap/>
            <w:vAlign w:val="center"/>
            <w:hideMark/>
          </w:tcPr>
          <w:p w14:paraId="280EDE0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24,5</w:t>
            </w:r>
          </w:p>
        </w:tc>
        <w:tc>
          <w:tcPr>
            <w:tcW w:w="815" w:type="dxa"/>
            <w:tcBorders>
              <w:top w:val="nil"/>
              <w:left w:val="nil"/>
              <w:bottom w:val="single" w:sz="8" w:space="0" w:color="auto"/>
              <w:right w:val="nil"/>
            </w:tcBorders>
            <w:shd w:val="clear" w:color="auto" w:fill="auto"/>
            <w:noWrap/>
            <w:vAlign w:val="center"/>
            <w:hideMark/>
          </w:tcPr>
          <w:p w14:paraId="5D699780"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24,7</w:t>
            </w:r>
          </w:p>
        </w:tc>
        <w:tc>
          <w:tcPr>
            <w:tcW w:w="824" w:type="dxa"/>
            <w:tcBorders>
              <w:top w:val="nil"/>
              <w:left w:val="nil"/>
              <w:bottom w:val="single" w:sz="8" w:space="0" w:color="auto"/>
              <w:right w:val="nil"/>
            </w:tcBorders>
            <w:shd w:val="clear" w:color="auto" w:fill="auto"/>
            <w:noWrap/>
            <w:vAlign w:val="center"/>
            <w:hideMark/>
          </w:tcPr>
          <w:p w14:paraId="36E5F03A"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25,7</w:t>
            </w:r>
          </w:p>
        </w:tc>
        <w:tc>
          <w:tcPr>
            <w:tcW w:w="1292" w:type="dxa"/>
            <w:tcBorders>
              <w:top w:val="nil"/>
              <w:left w:val="single" w:sz="4" w:space="0" w:color="auto"/>
              <w:bottom w:val="single" w:sz="8" w:space="0" w:color="auto"/>
              <w:right w:val="single" w:sz="4" w:space="0" w:color="auto"/>
            </w:tcBorders>
            <w:vAlign w:val="center"/>
          </w:tcPr>
          <w:p w14:paraId="4E20FC39" w14:textId="7A6C16B1" w:rsidR="00243E26" w:rsidRPr="00C65289" w:rsidRDefault="00D05DAC"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27,2</w:t>
            </w:r>
          </w:p>
        </w:tc>
        <w:tc>
          <w:tcPr>
            <w:tcW w:w="924" w:type="dxa"/>
            <w:tcBorders>
              <w:top w:val="nil"/>
              <w:left w:val="single" w:sz="4" w:space="0" w:color="auto"/>
              <w:bottom w:val="single" w:sz="8" w:space="0" w:color="auto"/>
            </w:tcBorders>
            <w:shd w:val="clear" w:color="auto" w:fill="auto"/>
            <w:noWrap/>
            <w:vAlign w:val="center"/>
            <w:hideMark/>
          </w:tcPr>
          <w:p w14:paraId="2E3DBC09" w14:textId="5897AEFD"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27,1</w:t>
            </w:r>
          </w:p>
        </w:tc>
        <w:tc>
          <w:tcPr>
            <w:tcW w:w="914" w:type="dxa"/>
            <w:tcBorders>
              <w:top w:val="nil"/>
              <w:left w:val="nil"/>
              <w:bottom w:val="single" w:sz="8" w:space="0" w:color="auto"/>
              <w:right w:val="nil"/>
            </w:tcBorders>
            <w:shd w:val="clear" w:color="auto" w:fill="auto"/>
            <w:noWrap/>
            <w:vAlign w:val="center"/>
            <w:hideMark/>
          </w:tcPr>
          <w:p w14:paraId="11636C61" w14:textId="2BA800A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28,5</w:t>
            </w:r>
          </w:p>
        </w:tc>
      </w:tr>
      <w:tr w:rsidR="00243E26" w:rsidRPr="00C65289" w14:paraId="41BA567F"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22EB9D32"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Κάτω Χώρες</w:t>
            </w:r>
          </w:p>
        </w:tc>
        <w:tc>
          <w:tcPr>
            <w:tcW w:w="815" w:type="dxa"/>
            <w:tcBorders>
              <w:top w:val="nil"/>
              <w:left w:val="nil"/>
              <w:bottom w:val="single" w:sz="8" w:space="0" w:color="auto"/>
              <w:right w:val="nil"/>
            </w:tcBorders>
            <w:shd w:val="clear" w:color="auto" w:fill="auto"/>
            <w:noWrap/>
            <w:vAlign w:val="center"/>
            <w:hideMark/>
          </w:tcPr>
          <w:p w14:paraId="43FA4475"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54,7</w:t>
            </w:r>
          </w:p>
        </w:tc>
        <w:tc>
          <w:tcPr>
            <w:tcW w:w="815" w:type="dxa"/>
            <w:tcBorders>
              <w:top w:val="nil"/>
              <w:left w:val="nil"/>
              <w:bottom w:val="single" w:sz="8" w:space="0" w:color="auto"/>
              <w:right w:val="nil"/>
            </w:tcBorders>
            <w:shd w:val="clear" w:color="auto" w:fill="auto"/>
            <w:noWrap/>
            <w:vAlign w:val="center"/>
            <w:hideMark/>
          </w:tcPr>
          <w:p w14:paraId="7321064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51,7</w:t>
            </w:r>
          </w:p>
        </w:tc>
        <w:tc>
          <w:tcPr>
            <w:tcW w:w="815" w:type="dxa"/>
            <w:tcBorders>
              <w:top w:val="nil"/>
              <w:left w:val="nil"/>
              <w:bottom w:val="single" w:sz="8" w:space="0" w:color="auto"/>
              <w:right w:val="nil"/>
            </w:tcBorders>
            <w:shd w:val="clear" w:color="auto" w:fill="auto"/>
            <w:noWrap/>
            <w:vAlign w:val="center"/>
            <w:hideMark/>
          </w:tcPr>
          <w:p w14:paraId="54FBDB51"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50,1</w:t>
            </w:r>
          </w:p>
        </w:tc>
        <w:tc>
          <w:tcPr>
            <w:tcW w:w="824" w:type="dxa"/>
            <w:tcBorders>
              <w:top w:val="nil"/>
              <w:left w:val="nil"/>
              <w:bottom w:val="single" w:sz="8" w:space="0" w:color="auto"/>
              <w:right w:val="nil"/>
            </w:tcBorders>
            <w:shd w:val="clear" w:color="auto" w:fill="auto"/>
            <w:noWrap/>
            <w:vAlign w:val="center"/>
            <w:hideMark/>
          </w:tcPr>
          <w:p w14:paraId="5D198B5D"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46,5</w:t>
            </w:r>
          </w:p>
        </w:tc>
        <w:tc>
          <w:tcPr>
            <w:tcW w:w="1292" w:type="dxa"/>
            <w:tcBorders>
              <w:top w:val="nil"/>
              <w:left w:val="single" w:sz="4" w:space="0" w:color="auto"/>
              <w:bottom w:val="single" w:sz="8" w:space="0" w:color="auto"/>
              <w:right w:val="single" w:sz="4" w:space="0" w:color="auto"/>
            </w:tcBorders>
            <w:vAlign w:val="center"/>
          </w:tcPr>
          <w:p w14:paraId="207837A0" w14:textId="57F8FEE8" w:rsidR="00243E26" w:rsidRPr="00C65289" w:rsidRDefault="00FA0862"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46,8</w:t>
            </w:r>
          </w:p>
        </w:tc>
        <w:tc>
          <w:tcPr>
            <w:tcW w:w="924" w:type="dxa"/>
            <w:tcBorders>
              <w:top w:val="nil"/>
              <w:left w:val="single" w:sz="4" w:space="0" w:color="auto"/>
              <w:bottom w:val="single" w:sz="8" w:space="0" w:color="auto"/>
            </w:tcBorders>
            <w:shd w:val="clear" w:color="auto" w:fill="auto"/>
            <w:noWrap/>
            <w:vAlign w:val="center"/>
            <w:hideMark/>
          </w:tcPr>
          <w:p w14:paraId="38045FED" w14:textId="6606730A"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47,1</w:t>
            </w:r>
          </w:p>
        </w:tc>
        <w:tc>
          <w:tcPr>
            <w:tcW w:w="914" w:type="dxa"/>
            <w:tcBorders>
              <w:top w:val="nil"/>
              <w:left w:val="nil"/>
              <w:bottom w:val="single" w:sz="8" w:space="0" w:color="auto"/>
              <w:right w:val="nil"/>
            </w:tcBorders>
            <w:shd w:val="clear" w:color="auto" w:fill="auto"/>
            <w:noWrap/>
            <w:vAlign w:val="center"/>
            <w:hideMark/>
          </w:tcPr>
          <w:p w14:paraId="1AE0EB94" w14:textId="6B1427A6"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48,4</w:t>
            </w:r>
          </w:p>
        </w:tc>
      </w:tr>
      <w:tr w:rsidR="00243E26" w:rsidRPr="00C65289" w14:paraId="05B61573"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249515CA"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Αυστρία</w:t>
            </w:r>
          </w:p>
        </w:tc>
        <w:tc>
          <w:tcPr>
            <w:tcW w:w="815" w:type="dxa"/>
            <w:tcBorders>
              <w:top w:val="nil"/>
              <w:left w:val="nil"/>
              <w:bottom w:val="single" w:sz="8" w:space="0" w:color="auto"/>
              <w:right w:val="nil"/>
            </w:tcBorders>
            <w:shd w:val="clear" w:color="auto" w:fill="auto"/>
            <w:noWrap/>
            <w:vAlign w:val="center"/>
            <w:hideMark/>
          </w:tcPr>
          <w:p w14:paraId="06719D16"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82,9</w:t>
            </w:r>
          </w:p>
        </w:tc>
        <w:tc>
          <w:tcPr>
            <w:tcW w:w="815" w:type="dxa"/>
            <w:tcBorders>
              <w:top w:val="nil"/>
              <w:left w:val="nil"/>
              <w:bottom w:val="single" w:sz="8" w:space="0" w:color="auto"/>
              <w:right w:val="nil"/>
            </w:tcBorders>
            <w:shd w:val="clear" w:color="auto" w:fill="auto"/>
            <w:noWrap/>
            <w:vAlign w:val="center"/>
            <w:hideMark/>
          </w:tcPr>
          <w:p w14:paraId="4FA3F908"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82,5</w:t>
            </w:r>
          </w:p>
        </w:tc>
        <w:tc>
          <w:tcPr>
            <w:tcW w:w="815" w:type="dxa"/>
            <w:tcBorders>
              <w:top w:val="nil"/>
              <w:left w:val="nil"/>
              <w:bottom w:val="single" w:sz="8" w:space="0" w:color="auto"/>
              <w:right w:val="nil"/>
            </w:tcBorders>
            <w:shd w:val="clear" w:color="auto" w:fill="auto"/>
            <w:noWrap/>
            <w:vAlign w:val="center"/>
            <w:hideMark/>
          </w:tcPr>
          <w:p w14:paraId="60958FE8"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78,4</w:t>
            </w:r>
          </w:p>
        </w:tc>
        <w:tc>
          <w:tcPr>
            <w:tcW w:w="824" w:type="dxa"/>
            <w:tcBorders>
              <w:top w:val="nil"/>
              <w:left w:val="nil"/>
              <w:bottom w:val="single" w:sz="8" w:space="0" w:color="auto"/>
              <w:right w:val="nil"/>
            </w:tcBorders>
            <w:shd w:val="clear" w:color="auto" w:fill="auto"/>
            <w:noWrap/>
            <w:vAlign w:val="center"/>
            <w:hideMark/>
          </w:tcPr>
          <w:p w14:paraId="64BE959D"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77,8</w:t>
            </w:r>
          </w:p>
        </w:tc>
        <w:tc>
          <w:tcPr>
            <w:tcW w:w="1292" w:type="dxa"/>
            <w:tcBorders>
              <w:top w:val="nil"/>
              <w:left w:val="single" w:sz="4" w:space="0" w:color="auto"/>
              <w:bottom w:val="single" w:sz="8" w:space="0" w:color="auto"/>
              <w:right w:val="single" w:sz="4" w:space="0" w:color="auto"/>
            </w:tcBorders>
            <w:vAlign w:val="center"/>
          </w:tcPr>
          <w:p w14:paraId="1B3B7581" w14:textId="2E6BE9BF" w:rsidR="00243E26" w:rsidRPr="00C65289" w:rsidRDefault="00BC5003"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77,5</w:t>
            </w:r>
          </w:p>
        </w:tc>
        <w:tc>
          <w:tcPr>
            <w:tcW w:w="924" w:type="dxa"/>
            <w:tcBorders>
              <w:top w:val="nil"/>
              <w:left w:val="single" w:sz="4" w:space="0" w:color="auto"/>
              <w:bottom w:val="single" w:sz="8" w:space="0" w:color="auto"/>
            </w:tcBorders>
            <w:shd w:val="clear" w:color="auto" w:fill="auto"/>
            <w:noWrap/>
            <w:vAlign w:val="center"/>
            <w:hideMark/>
          </w:tcPr>
          <w:p w14:paraId="7E7E9C2C" w14:textId="3CBC349E"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77,7</w:t>
            </w:r>
          </w:p>
        </w:tc>
        <w:tc>
          <w:tcPr>
            <w:tcW w:w="914" w:type="dxa"/>
            <w:tcBorders>
              <w:top w:val="nil"/>
              <w:left w:val="nil"/>
              <w:bottom w:val="single" w:sz="8" w:space="0" w:color="auto"/>
              <w:right w:val="nil"/>
            </w:tcBorders>
            <w:shd w:val="clear" w:color="auto" w:fill="auto"/>
            <w:noWrap/>
            <w:vAlign w:val="center"/>
            <w:hideMark/>
          </w:tcPr>
          <w:p w14:paraId="5A3A32A7" w14:textId="184F624B"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77,8</w:t>
            </w:r>
          </w:p>
        </w:tc>
      </w:tr>
      <w:tr w:rsidR="00243E26" w:rsidRPr="00C65289" w14:paraId="75D3CD66"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35619C05" w14:textId="77777777" w:rsidR="00243E26" w:rsidRPr="00C65289" w:rsidRDefault="00243E26" w:rsidP="00C364D0">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Πορτογαλία</w:t>
            </w:r>
          </w:p>
        </w:tc>
        <w:tc>
          <w:tcPr>
            <w:tcW w:w="815" w:type="dxa"/>
            <w:tcBorders>
              <w:top w:val="nil"/>
              <w:left w:val="nil"/>
              <w:bottom w:val="single" w:sz="8" w:space="0" w:color="auto"/>
              <w:right w:val="nil"/>
            </w:tcBorders>
            <w:shd w:val="clear" w:color="auto" w:fill="auto"/>
            <w:noWrap/>
            <w:vAlign w:val="center"/>
            <w:hideMark/>
          </w:tcPr>
          <w:p w14:paraId="7CAB2AFA"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134,9</w:t>
            </w:r>
          </w:p>
        </w:tc>
        <w:tc>
          <w:tcPr>
            <w:tcW w:w="815" w:type="dxa"/>
            <w:tcBorders>
              <w:top w:val="nil"/>
              <w:left w:val="nil"/>
              <w:bottom w:val="single" w:sz="8" w:space="0" w:color="auto"/>
              <w:right w:val="nil"/>
            </w:tcBorders>
            <w:shd w:val="clear" w:color="auto" w:fill="auto"/>
            <w:noWrap/>
            <w:vAlign w:val="center"/>
            <w:hideMark/>
          </w:tcPr>
          <w:p w14:paraId="4D9CBDBE"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124,5</w:t>
            </w:r>
          </w:p>
        </w:tc>
        <w:tc>
          <w:tcPr>
            <w:tcW w:w="815" w:type="dxa"/>
            <w:tcBorders>
              <w:top w:val="nil"/>
              <w:left w:val="nil"/>
              <w:bottom w:val="single" w:sz="8" w:space="0" w:color="auto"/>
              <w:right w:val="nil"/>
            </w:tcBorders>
            <w:shd w:val="clear" w:color="auto" w:fill="auto"/>
            <w:noWrap/>
            <w:vAlign w:val="center"/>
            <w:hideMark/>
          </w:tcPr>
          <w:p w14:paraId="112804DB"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112,4</w:t>
            </w:r>
          </w:p>
        </w:tc>
        <w:tc>
          <w:tcPr>
            <w:tcW w:w="824" w:type="dxa"/>
            <w:tcBorders>
              <w:top w:val="nil"/>
              <w:left w:val="nil"/>
              <w:bottom w:val="single" w:sz="8" w:space="0" w:color="auto"/>
              <w:right w:val="nil"/>
            </w:tcBorders>
            <w:shd w:val="clear" w:color="auto" w:fill="auto"/>
            <w:noWrap/>
            <w:vAlign w:val="center"/>
            <w:hideMark/>
          </w:tcPr>
          <w:p w14:paraId="474F0F70" w14:textId="77777777"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99,1</w:t>
            </w:r>
          </w:p>
        </w:tc>
        <w:tc>
          <w:tcPr>
            <w:tcW w:w="1292" w:type="dxa"/>
            <w:tcBorders>
              <w:top w:val="nil"/>
              <w:left w:val="single" w:sz="4" w:space="0" w:color="auto"/>
              <w:bottom w:val="single" w:sz="8" w:space="0" w:color="auto"/>
              <w:right w:val="single" w:sz="4" w:space="0" w:color="auto"/>
            </w:tcBorders>
            <w:vAlign w:val="center"/>
          </w:tcPr>
          <w:p w14:paraId="0E2FA80E" w14:textId="7D56DB2E" w:rsidR="00243E26" w:rsidRPr="00C65289" w:rsidRDefault="00A05596"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95,1</w:t>
            </w:r>
          </w:p>
        </w:tc>
        <w:tc>
          <w:tcPr>
            <w:tcW w:w="924" w:type="dxa"/>
            <w:tcBorders>
              <w:top w:val="nil"/>
              <w:left w:val="single" w:sz="4" w:space="0" w:color="auto"/>
              <w:bottom w:val="single" w:sz="8" w:space="0" w:color="auto"/>
            </w:tcBorders>
            <w:shd w:val="clear" w:color="auto" w:fill="auto"/>
            <w:noWrap/>
            <w:vAlign w:val="center"/>
            <w:hideMark/>
          </w:tcPr>
          <w:p w14:paraId="3F101946" w14:textId="4D3BE792"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95,6</w:t>
            </w:r>
          </w:p>
        </w:tc>
        <w:tc>
          <w:tcPr>
            <w:tcW w:w="914" w:type="dxa"/>
            <w:tcBorders>
              <w:top w:val="nil"/>
              <w:left w:val="nil"/>
              <w:bottom w:val="single" w:sz="8" w:space="0" w:color="auto"/>
              <w:right w:val="nil"/>
            </w:tcBorders>
            <w:shd w:val="clear" w:color="auto" w:fill="auto"/>
            <w:noWrap/>
            <w:vAlign w:val="center"/>
            <w:hideMark/>
          </w:tcPr>
          <w:p w14:paraId="67A6673F" w14:textId="00EAA50D" w:rsidR="00243E26" w:rsidRPr="00C65289" w:rsidRDefault="00243E26" w:rsidP="00C364D0">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91,5</w:t>
            </w:r>
          </w:p>
        </w:tc>
      </w:tr>
      <w:tr w:rsidR="00243E26" w:rsidRPr="00C65289" w14:paraId="7345D58F" w14:textId="77777777" w:rsidTr="004753D4">
        <w:trPr>
          <w:trHeight w:val="300"/>
          <w:jc w:val="center"/>
        </w:trPr>
        <w:tc>
          <w:tcPr>
            <w:tcW w:w="2451" w:type="dxa"/>
            <w:gridSpan w:val="2"/>
            <w:tcBorders>
              <w:top w:val="nil"/>
              <w:left w:val="nil"/>
              <w:bottom w:val="single" w:sz="8" w:space="0" w:color="auto"/>
              <w:right w:val="nil"/>
            </w:tcBorders>
            <w:shd w:val="clear" w:color="auto" w:fill="auto"/>
            <w:noWrap/>
            <w:vAlign w:val="center"/>
            <w:hideMark/>
          </w:tcPr>
          <w:p w14:paraId="597BC960" w14:textId="2CD3CE85" w:rsidR="00243E26" w:rsidRPr="00C65289" w:rsidRDefault="00243E26" w:rsidP="007735BC">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Ρουμανία (*)</w:t>
            </w:r>
          </w:p>
        </w:tc>
        <w:tc>
          <w:tcPr>
            <w:tcW w:w="815" w:type="dxa"/>
            <w:tcBorders>
              <w:top w:val="nil"/>
              <w:left w:val="nil"/>
              <w:bottom w:val="single" w:sz="8" w:space="0" w:color="auto"/>
              <w:right w:val="nil"/>
            </w:tcBorders>
            <w:shd w:val="clear" w:color="auto" w:fill="auto"/>
            <w:noWrap/>
            <w:vAlign w:val="center"/>
            <w:hideMark/>
          </w:tcPr>
          <w:p w14:paraId="7CE94382"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46,7</w:t>
            </w:r>
          </w:p>
        </w:tc>
        <w:tc>
          <w:tcPr>
            <w:tcW w:w="815" w:type="dxa"/>
            <w:tcBorders>
              <w:top w:val="nil"/>
              <w:left w:val="nil"/>
              <w:bottom w:val="single" w:sz="8" w:space="0" w:color="auto"/>
              <w:right w:val="nil"/>
            </w:tcBorders>
            <w:shd w:val="clear" w:color="auto" w:fill="auto"/>
            <w:noWrap/>
            <w:vAlign w:val="center"/>
            <w:hideMark/>
          </w:tcPr>
          <w:p w14:paraId="1BCFD80D"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48,5</w:t>
            </w:r>
          </w:p>
        </w:tc>
        <w:tc>
          <w:tcPr>
            <w:tcW w:w="815" w:type="dxa"/>
            <w:tcBorders>
              <w:top w:val="nil"/>
              <w:left w:val="nil"/>
              <w:bottom w:val="single" w:sz="8" w:space="0" w:color="auto"/>
              <w:right w:val="nil"/>
            </w:tcBorders>
            <w:shd w:val="clear" w:color="auto" w:fill="auto"/>
            <w:noWrap/>
            <w:vAlign w:val="center"/>
            <w:hideMark/>
          </w:tcPr>
          <w:p w14:paraId="0FA02E16"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47,5</w:t>
            </w:r>
          </w:p>
        </w:tc>
        <w:tc>
          <w:tcPr>
            <w:tcW w:w="824" w:type="dxa"/>
            <w:tcBorders>
              <w:top w:val="nil"/>
              <w:left w:val="nil"/>
              <w:bottom w:val="single" w:sz="8" w:space="0" w:color="auto"/>
              <w:right w:val="nil"/>
            </w:tcBorders>
            <w:shd w:val="clear" w:color="auto" w:fill="auto"/>
            <w:noWrap/>
            <w:vAlign w:val="center"/>
            <w:hideMark/>
          </w:tcPr>
          <w:p w14:paraId="0F14C0C9"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48,8</w:t>
            </w:r>
          </w:p>
        </w:tc>
        <w:tc>
          <w:tcPr>
            <w:tcW w:w="1292" w:type="dxa"/>
            <w:tcBorders>
              <w:top w:val="nil"/>
              <w:left w:val="single" w:sz="4" w:space="0" w:color="auto"/>
              <w:bottom w:val="single" w:sz="8" w:space="0" w:color="auto"/>
              <w:right w:val="single" w:sz="4" w:space="0" w:color="auto"/>
            </w:tcBorders>
            <w:vAlign w:val="center"/>
          </w:tcPr>
          <w:p w14:paraId="65D0A817" w14:textId="15F7DF87" w:rsidR="00243E26" w:rsidRPr="00C65289" w:rsidRDefault="00077796"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49,0</w:t>
            </w:r>
          </w:p>
        </w:tc>
        <w:tc>
          <w:tcPr>
            <w:tcW w:w="924" w:type="dxa"/>
            <w:tcBorders>
              <w:top w:val="nil"/>
              <w:left w:val="single" w:sz="4" w:space="0" w:color="auto"/>
              <w:bottom w:val="single" w:sz="8" w:space="0" w:color="auto"/>
            </w:tcBorders>
            <w:shd w:val="clear" w:color="auto" w:fill="auto"/>
            <w:noWrap/>
            <w:vAlign w:val="center"/>
            <w:hideMark/>
          </w:tcPr>
          <w:p w14:paraId="2A349ABD" w14:textId="7ACB56DF"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50,9</w:t>
            </w:r>
          </w:p>
        </w:tc>
        <w:tc>
          <w:tcPr>
            <w:tcW w:w="914" w:type="dxa"/>
            <w:tcBorders>
              <w:top w:val="nil"/>
              <w:left w:val="nil"/>
              <w:bottom w:val="single" w:sz="8" w:space="0" w:color="auto"/>
              <w:right w:val="nil"/>
            </w:tcBorders>
            <w:shd w:val="clear" w:color="auto" w:fill="auto"/>
            <w:noWrap/>
            <w:vAlign w:val="center"/>
            <w:hideMark/>
          </w:tcPr>
          <w:p w14:paraId="3F211595" w14:textId="6697ABC4"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53,9</w:t>
            </w:r>
          </w:p>
        </w:tc>
      </w:tr>
      <w:tr w:rsidR="00243E26" w:rsidRPr="00C65289" w14:paraId="292FFD1E" w14:textId="77777777" w:rsidTr="004753D4">
        <w:trPr>
          <w:trHeight w:val="300"/>
          <w:jc w:val="center"/>
        </w:trPr>
        <w:tc>
          <w:tcPr>
            <w:tcW w:w="2451" w:type="dxa"/>
            <w:gridSpan w:val="2"/>
            <w:tcBorders>
              <w:top w:val="single" w:sz="8" w:space="0" w:color="auto"/>
              <w:left w:val="nil"/>
              <w:bottom w:val="single" w:sz="8" w:space="0" w:color="auto"/>
              <w:right w:val="nil"/>
            </w:tcBorders>
            <w:shd w:val="clear" w:color="auto" w:fill="auto"/>
            <w:noWrap/>
            <w:vAlign w:val="center"/>
            <w:hideMark/>
          </w:tcPr>
          <w:p w14:paraId="591EC662" w14:textId="77777777" w:rsidR="00243E26" w:rsidRPr="00C65289" w:rsidRDefault="00243E26" w:rsidP="007735BC">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Σουηδία</w:t>
            </w:r>
          </w:p>
        </w:tc>
        <w:tc>
          <w:tcPr>
            <w:tcW w:w="815" w:type="dxa"/>
            <w:tcBorders>
              <w:top w:val="single" w:sz="8" w:space="0" w:color="auto"/>
              <w:left w:val="nil"/>
              <w:bottom w:val="single" w:sz="8" w:space="0" w:color="auto"/>
              <w:right w:val="nil"/>
            </w:tcBorders>
            <w:shd w:val="clear" w:color="auto" w:fill="auto"/>
            <w:noWrap/>
            <w:vAlign w:val="center"/>
            <w:hideMark/>
          </w:tcPr>
          <w:p w14:paraId="0CAD8C20"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40,2</w:t>
            </w:r>
          </w:p>
        </w:tc>
        <w:tc>
          <w:tcPr>
            <w:tcW w:w="815" w:type="dxa"/>
            <w:tcBorders>
              <w:top w:val="single" w:sz="8" w:space="0" w:color="auto"/>
              <w:left w:val="nil"/>
              <w:bottom w:val="single" w:sz="8" w:space="0" w:color="auto"/>
              <w:right w:val="nil"/>
            </w:tcBorders>
            <w:shd w:val="clear" w:color="auto" w:fill="auto"/>
            <w:noWrap/>
            <w:vAlign w:val="center"/>
            <w:hideMark/>
          </w:tcPr>
          <w:p w14:paraId="78E55807"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36,7</w:t>
            </w:r>
          </w:p>
        </w:tc>
        <w:tc>
          <w:tcPr>
            <w:tcW w:w="815" w:type="dxa"/>
            <w:tcBorders>
              <w:top w:val="single" w:sz="8" w:space="0" w:color="auto"/>
              <w:left w:val="nil"/>
              <w:bottom w:val="single" w:sz="8" w:space="0" w:color="auto"/>
              <w:right w:val="nil"/>
            </w:tcBorders>
            <w:shd w:val="clear" w:color="auto" w:fill="auto"/>
            <w:noWrap/>
            <w:vAlign w:val="center"/>
            <w:hideMark/>
          </w:tcPr>
          <w:p w14:paraId="116EEB6C"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33,2</w:t>
            </w:r>
          </w:p>
        </w:tc>
        <w:tc>
          <w:tcPr>
            <w:tcW w:w="824" w:type="dxa"/>
            <w:tcBorders>
              <w:top w:val="single" w:sz="8" w:space="0" w:color="auto"/>
              <w:left w:val="nil"/>
              <w:bottom w:val="single" w:sz="8" w:space="0" w:color="auto"/>
              <w:right w:val="nil"/>
            </w:tcBorders>
            <w:shd w:val="clear" w:color="auto" w:fill="auto"/>
            <w:noWrap/>
            <w:vAlign w:val="center"/>
            <w:hideMark/>
          </w:tcPr>
          <w:p w14:paraId="674A50D8" w14:textId="77777777"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31,2</w:t>
            </w:r>
          </w:p>
        </w:tc>
        <w:tc>
          <w:tcPr>
            <w:tcW w:w="1292" w:type="dxa"/>
            <w:tcBorders>
              <w:top w:val="single" w:sz="8" w:space="0" w:color="auto"/>
              <w:left w:val="single" w:sz="4" w:space="0" w:color="auto"/>
              <w:bottom w:val="single" w:sz="8" w:space="0" w:color="auto"/>
              <w:right w:val="single" w:sz="4" w:space="0" w:color="auto"/>
            </w:tcBorders>
            <w:vAlign w:val="center"/>
          </w:tcPr>
          <w:p w14:paraId="3AB6F711" w14:textId="176C4B8E" w:rsidR="00243E26" w:rsidRPr="00C65289" w:rsidRDefault="0015358C" w:rsidP="004753D4">
            <w:pPr>
              <w:keepNext/>
              <w:spacing w:after="0" w:line="240" w:lineRule="auto"/>
              <w:jc w:val="right"/>
              <w:rPr>
                <w:rFonts w:ascii="Times New Roman" w:hAnsi="Times New Roman" w:cs="Times New Roman"/>
                <w:noProof/>
                <w:color w:val="000000"/>
              </w:rPr>
            </w:pPr>
            <w:r>
              <w:rPr>
                <w:rFonts w:ascii="Times New Roman" w:hAnsi="Times New Roman"/>
                <w:noProof/>
                <w:color w:val="000000"/>
              </w:rPr>
              <w:t>31,8</w:t>
            </w:r>
          </w:p>
        </w:tc>
        <w:tc>
          <w:tcPr>
            <w:tcW w:w="924" w:type="dxa"/>
            <w:tcBorders>
              <w:top w:val="single" w:sz="8" w:space="0" w:color="auto"/>
              <w:left w:val="single" w:sz="4" w:space="0" w:color="auto"/>
              <w:bottom w:val="single" w:sz="8" w:space="0" w:color="auto"/>
            </w:tcBorders>
            <w:shd w:val="clear" w:color="auto" w:fill="auto"/>
            <w:noWrap/>
            <w:vAlign w:val="center"/>
            <w:hideMark/>
          </w:tcPr>
          <w:p w14:paraId="290C5AAB" w14:textId="324FCEA2"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32,0</w:t>
            </w:r>
          </w:p>
        </w:tc>
        <w:tc>
          <w:tcPr>
            <w:tcW w:w="914" w:type="dxa"/>
            <w:tcBorders>
              <w:top w:val="single" w:sz="8" w:space="0" w:color="auto"/>
              <w:left w:val="nil"/>
              <w:bottom w:val="single" w:sz="8" w:space="0" w:color="auto"/>
              <w:right w:val="nil"/>
            </w:tcBorders>
            <w:shd w:val="clear" w:color="auto" w:fill="auto"/>
            <w:noWrap/>
            <w:vAlign w:val="center"/>
            <w:hideMark/>
          </w:tcPr>
          <w:p w14:paraId="59FF10AF" w14:textId="356B6508" w:rsidR="00243E26" w:rsidRPr="00C65289" w:rsidRDefault="00243E26" w:rsidP="007735BC">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31,3</w:t>
            </w:r>
          </w:p>
        </w:tc>
      </w:tr>
      <w:tr w:rsidR="00BC009C" w:rsidRPr="00C65289" w14:paraId="70CA7BDA" w14:textId="77777777" w:rsidTr="00BC009C">
        <w:trPr>
          <w:trHeight w:val="300"/>
          <w:jc w:val="center"/>
        </w:trPr>
        <w:tc>
          <w:tcPr>
            <w:tcW w:w="8850" w:type="dxa"/>
            <w:gridSpan w:val="9"/>
            <w:tcBorders>
              <w:top w:val="single" w:sz="8" w:space="0" w:color="auto"/>
              <w:left w:val="nil"/>
              <w:right w:val="nil"/>
            </w:tcBorders>
          </w:tcPr>
          <w:p w14:paraId="5029DB2F" w14:textId="30A29B57" w:rsidR="00BC009C" w:rsidRPr="00D97F5C" w:rsidRDefault="00BC009C" w:rsidP="007C4A09">
            <w:pPr>
              <w:spacing w:after="0" w:line="240" w:lineRule="auto"/>
              <w:jc w:val="both"/>
              <w:rPr>
                <w:rFonts w:ascii="Times New Roman" w:eastAsia="Times New Roman" w:hAnsi="Times New Roman" w:cs="Times New Roman"/>
                <w:noProof/>
                <w:color w:val="000000"/>
                <w:sz w:val="20"/>
                <w:szCs w:val="20"/>
              </w:rPr>
            </w:pPr>
            <w:r>
              <w:rPr>
                <w:rFonts w:ascii="Times New Roman" w:hAnsi="Times New Roman"/>
                <w:i/>
                <w:noProof/>
                <w:color w:val="000000"/>
                <w:sz w:val="20"/>
              </w:rPr>
              <w:t>Πηγή</w:t>
            </w:r>
            <w:r>
              <w:rPr>
                <w:rFonts w:ascii="Times New Roman" w:hAnsi="Times New Roman"/>
                <w:noProof/>
                <w:color w:val="000000"/>
                <w:sz w:val="20"/>
              </w:rPr>
              <w:t>: Eurostat (στοιχεία από το 2020 έως το 2023) και εαρινές προβλέψεις 2024 της Επιτροπής (στοιχεία για το 2024 και το 2025)</w:t>
            </w:r>
            <w:r>
              <w:rPr>
                <w:rStyle w:val="FootnoteReference"/>
                <w:rFonts w:eastAsiaTheme="minorHAnsi"/>
                <w:noProof/>
                <w:color w:val="000000"/>
                <w:lang w:val="en-IE"/>
              </w:rPr>
              <w:footnoteReference w:id="32"/>
            </w:r>
            <w:r>
              <w:rPr>
                <w:rFonts w:ascii="Times New Roman" w:hAnsi="Times New Roman"/>
                <w:noProof/>
                <w:color w:val="000000"/>
                <w:sz w:val="20"/>
              </w:rPr>
              <w:t>. (</w:t>
            </w:r>
            <w:r>
              <w:rPr>
                <w:rFonts w:ascii="Times New Roman" w:hAnsi="Times New Roman"/>
                <w:noProof/>
                <w:color w:val="000000"/>
                <w:sz w:val="20"/>
                <w:vertAlign w:val="superscript"/>
              </w:rPr>
              <w:t>*</w:t>
            </w:r>
            <w:r>
              <w:rPr>
                <w:rFonts w:ascii="Times New Roman" w:hAnsi="Times New Roman"/>
                <w:noProof/>
                <w:color w:val="000000"/>
                <w:sz w:val="20"/>
              </w:rPr>
              <w:t>) Σε διαδικασία υπερβολικού ελλείμματος από το 2020.</w:t>
            </w:r>
          </w:p>
        </w:tc>
      </w:tr>
    </w:tbl>
    <w:p w14:paraId="39A13A0E" w14:textId="793D0107" w:rsidR="0091749C" w:rsidRDefault="0091749C">
      <w:pPr>
        <w:pStyle w:val="ListDash"/>
        <w:numPr>
          <w:ilvl w:val="0"/>
          <w:numId w:val="0"/>
        </w:numPr>
        <w:rPr>
          <w:noProof/>
          <w:lang w:eastAsia="en-GB"/>
        </w:rPr>
      </w:pPr>
    </w:p>
    <w:p w14:paraId="64D24A22" w14:textId="083397E7" w:rsidR="006C0264" w:rsidRPr="00753EB4" w:rsidRDefault="00EC0143" w:rsidP="00753EB4">
      <w:pPr>
        <w:pStyle w:val="ListParagraph"/>
        <w:keepNext/>
        <w:keepLines/>
        <w:numPr>
          <w:ilvl w:val="0"/>
          <w:numId w:val="32"/>
        </w:numPr>
        <w:tabs>
          <w:tab w:val="left" w:pos="851"/>
        </w:tabs>
        <w:spacing w:before="120" w:after="120"/>
        <w:ind w:left="851" w:hanging="851"/>
        <w:jc w:val="both"/>
        <w:outlineLvl w:val="0"/>
        <w:rPr>
          <w:rFonts w:eastAsia="Times New Roman"/>
          <w:b/>
          <w:smallCaps/>
          <w:noProof/>
        </w:rPr>
      </w:pPr>
      <w:r>
        <w:rPr>
          <w:b/>
          <w:smallCaps/>
          <w:noProof/>
        </w:rPr>
        <w:t xml:space="preserve">Σχετικοί παράγοντες κατά την αξιολόγηση της συμμόρφωσης με το κριτήριο για το έλλειμμα </w:t>
      </w:r>
    </w:p>
    <w:p w14:paraId="60BD5DFE" w14:textId="77777777" w:rsidR="00434807" w:rsidRDefault="00EC0143" w:rsidP="00A65A74">
      <w:pPr>
        <w:keepNext/>
        <w:keepLine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Το άρθρο 126 παράγραφος 3 της Συνθήκης ορίζει, για κάθε κράτος μέλος, ότι η έκθεση αυτή «</w:t>
      </w:r>
      <w:r>
        <w:rPr>
          <w:rFonts w:ascii="Times New Roman" w:hAnsi="Times New Roman"/>
          <w:i/>
          <w:noProof/>
          <w:sz w:val="24"/>
        </w:rPr>
        <w:t>λαμβάνει υπόψη το κατά πόσον το δημόσιο έλλειμμα υπερβαίνει τις δαπάνες δημοσίων επενδύσεων, καθώς και όλους τους άλλους σχετικούς παράγοντες, συμπεριλαμβανομένης της μεσοπρόθεσμης οικονομικής και δημοσιονομικής κατάστασης του κράτους μέλους</w:t>
      </w:r>
      <w:r>
        <w:rPr>
          <w:rFonts w:ascii="Times New Roman" w:hAnsi="Times New Roman"/>
          <w:noProof/>
          <w:sz w:val="24"/>
        </w:rPr>
        <w:t xml:space="preserve">». </w:t>
      </w:r>
    </w:p>
    <w:p w14:paraId="5619BCB1" w14:textId="26A1BC8C" w:rsidR="00434807" w:rsidRDefault="00DE2E39" w:rsidP="00A65A74">
      <w:pPr>
        <w:keepNext/>
        <w:keepLine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Οι παράγοντες αυτοί διευκρινίζονται περαιτέρω στο άρθρο 2 παράγραφος 3 του κανονισμού (ΕΚ) αριθ. 1467/97 και αναφέρονται: </w:t>
      </w:r>
    </w:p>
    <w:p w14:paraId="738C32A9" w14:textId="79F470B5" w:rsidR="00434807" w:rsidRPr="00635BA9" w:rsidRDefault="002E7E44" w:rsidP="00CD6F11">
      <w:pPr>
        <w:keepNext/>
        <w:keepLines/>
        <w:spacing w:before="120" w:after="120" w:line="240" w:lineRule="auto"/>
        <w:ind w:left="720"/>
        <w:jc w:val="both"/>
        <w:rPr>
          <w:rFonts w:ascii="Times New Roman" w:eastAsia="Times New Roman" w:hAnsi="Times New Roman" w:cs="Times New Roman"/>
          <w:noProof/>
          <w:sz w:val="24"/>
          <w:szCs w:val="24"/>
        </w:rPr>
      </w:pPr>
      <w:r>
        <w:rPr>
          <w:rFonts w:ascii="Times New Roman" w:hAnsi="Times New Roman"/>
          <w:noProof/>
          <w:sz w:val="24"/>
        </w:rPr>
        <w:t>α) στη μεσοπρόθεσμη κατάσταση του χρέους, δηλαδή στον βαθμό των προκλήσεων όσον αφορά το δημόσιο χρέος, την εξέλιξη της κατάστασης του δημόσιου χρέους και της χρηματοδότησής του, καθώς και τους σχετικούς παράγοντες κινδύνου, ιδίως τη δομή ληκτότητας, το νόμισμα στο οποίο εκφράζεται το χρέος και τις ενδεχόμενες υποχρεώσεις, συμπεριλαμβανομένων τυχόν έμμεσων υποχρεώσεων που σχετίζονται με τη γήρανση του πληθυσμού και το ιδιωτικό χρέος·</w:t>
      </w:r>
    </w:p>
    <w:p w14:paraId="2C399A36" w14:textId="4861E325" w:rsidR="00434807" w:rsidRPr="00635BA9" w:rsidRDefault="002E7E44" w:rsidP="00CD6F11">
      <w:pPr>
        <w:keepNext/>
        <w:keepLines/>
        <w:spacing w:before="120" w:after="120" w:line="240" w:lineRule="auto"/>
        <w:ind w:left="720"/>
        <w:jc w:val="both"/>
        <w:rPr>
          <w:noProof/>
          <w:sz w:val="24"/>
          <w:szCs w:val="24"/>
        </w:rPr>
      </w:pPr>
      <w:r>
        <w:rPr>
          <w:rFonts w:ascii="Times New Roman" w:hAnsi="Times New Roman"/>
          <w:noProof/>
          <w:sz w:val="24"/>
        </w:rPr>
        <w:t>β) στη μεσοπρόθεσμη δημοσιονομική κατάσταση, συμπεριλαμβανομένου, ιδίως, του μεγέθους της πραγματικής απόκλισης από την πορεία των καθαρών δαπανών όπως ορίζεται από το Συμβούλιο, σε ετήσιους και σωρευτικούς όρους, όπως μετρώνται μέσω του λογαριασμού ελέγχου·</w:t>
      </w:r>
    </w:p>
    <w:p w14:paraId="273B5B5E" w14:textId="4AB2C3F6" w:rsidR="00434807" w:rsidRPr="00635BA9" w:rsidRDefault="002E7E44" w:rsidP="00CD6F11">
      <w:pPr>
        <w:keepNext/>
        <w:keepLines/>
        <w:spacing w:before="120" w:after="120" w:line="240" w:lineRule="auto"/>
        <w:ind w:left="720"/>
        <w:jc w:val="both"/>
        <w:rPr>
          <w:rFonts w:ascii="Times New Roman" w:eastAsia="Times New Roman" w:hAnsi="Times New Roman" w:cs="Times New Roman"/>
          <w:noProof/>
          <w:sz w:val="24"/>
          <w:szCs w:val="24"/>
        </w:rPr>
      </w:pPr>
      <w:r>
        <w:rPr>
          <w:rFonts w:ascii="Times New Roman" w:hAnsi="Times New Roman"/>
          <w:noProof/>
          <w:sz w:val="24"/>
        </w:rPr>
        <w:t>γ)</w:t>
      </w:r>
      <w:r>
        <w:rPr>
          <w:noProof/>
          <w:sz w:val="24"/>
        </w:rPr>
        <w:t xml:space="preserve"> </w:t>
      </w:r>
      <w:r>
        <w:rPr>
          <w:rFonts w:ascii="Times New Roman" w:hAnsi="Times New Roman"/>
          <w:noProof/>
          <w:sz w:val="24"/>
        </w:rPr>
        <w:t>στη μεσοπρόθεσμη οικονομική κατάσταση, συμπεριλαμβανομένων της δυνητικής ανάπτυξης, της εξέλιξης του πληθωρισμού και των κυκλικών εξελίξεων σε σύγκριση με τις παραδοχές στις οποίες στηρίζεται η πορεία των καθαρών δαπανών όπως ορίζεται από το Συμβούλιο·</w:t>
      </w:r>
    </w:p>
    <w:p w14:paraId="303BBD1A" w14:textId="09B6E3A6" w:rsidR="00434807" w:rsidRPr="00635BA9" w:rsidRDefault="002E7E44" w:rsidP="00CD6F11">
      <w:pPr>
        <w:keepNext/>
        <w:keepLines/>
        <w:spacing w:before="120" w:after="120" w:line="240" w:lineRule="auto"/>
        <w:ind w:left="720"/>
        <w:jc w:val="both"/>
        <w:rPr>
          <w:rFonts w:ascii="Times New Roman" w:eastAsia="Times New Roman" w:hAnsi="Times New Roman" w:cs="Times New Roman"/>
          <w:noProof/>
          <w:sz w:val="24"/>
          <w:szCs w:val="24"/>
        </w:rPr>
      </w:pPr>
      <w:r>
        <w:rPr>
          <w:rFonts w:ascii="Times New Roman" w:hAnsi="Times New Roman"/>
          <w:noProof/>
          <w:sz w:val="24"/>
        </w:rPr>
        <w:t xml:space="preserve">δ) στην υλοποίηση μεταρρυθμίσεων και επενδύσεων, συμπεριλαμβανομένων ιδίως των πολιτικών για την πρόληψη και τη διόρθωση μακροοικονομικών ανισορροπιών και των πολιτικών για την εφαρμογή της κοινής στρατηγικής της Ένωσης για την ανάπτυξη και την απασχόληση, συμπεριλαμβανομένων εκείνων που υποστηρίζονται από τον μηχανισμό ανάκαμψης και ανθεκτικότητας, και τη συνολική ποιότητα των δημόσιων οικονομικών, ιδίως την αποτελεσματικότητα των εθνικών δημοσιονομικών πλαισίων· </w:t>
      </w:r>
    </w:p>
    <w:p w14:paraId="64CC816F" w14:textId="490AF8AF" w:rsidR="00434807" w:rsidRPr="00635BA9" w:rsidRDefault="002E7E44" w:rsidP="00CD6F11">
      <w:pPr>
        <w:keepNext/>
        <w:keepLines/>
        <w:spacing w:before="120" w:after="120" w:line="240" w:lineRule="auto"/>
        <w:ind w:left="720"/>
        <w:jc w:val="both"/>
        <w:rPr>
          <w:rFonts w:ascii="Times New Roman" w:eastAsia="Times New Roman" w:hAnsi="Times New Roman" w:cs="Times New Roman"/>
          <w:noProof/>
          <w:sz w:val="24"/>
          <w:szCs w:val="24"/>
        </w:rPr>
      </w:pPr>
      <w:r>
        <w:rPr>
          <w:rFonts w:ascii="Times New Roman" w:hAnsi="Times New Roman"/>
          <w:noProof/>
          <w:sz w:val="24"/>
        </w:rPr>
        <w:t>ε) στην αύξηση των δημόσιων επενδύσεων στην άμυνα, κατά περίπτωση, λαμβανομένου επίσης υπόψη του χρόνου καταγραφής των δαπανών στρατιωτικού εξοπλισμού.</w:t>
      </w:r>
    </w:p>
    <w:p w14:paraId="38384BC4" w14:textId="12FE74AF" w:rsidR="00036938" w:rsidRDefault="00092F1F" w:rsidP="00A65A74">
      <w:pPr>
        <w:keepNext/>
        <w:keepLine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Ειδικότερα, η αύξηση των δημόσιων επενδύσεων στην άμυνα έχει συμπεριληφθεί στους σχετικούς παράγοντες, ως αποτέλεσμα της μεταρρύθμισης του πλαισίου οικονομικής διακυβέρνησης. </w:t>
      </w:r>
    </w:p>
    <w:p w14:paraId="4C3DB312" w14:textId="75242925" w:rsidR="00D77E65" w:rsidRDefault="00D77E65" w:rsidP="00D77E65">
      <w:pPr>
        <w:keepNext/>
        <w:keepLine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Το άρθρο 2 παράγραφος 3 του κανονισμού (ΕΚ) αριθ. 1467/97 ορίζει επίσης ότι στην παρούσα έκθεση πρέπει να δοθεί η δέουσα προσοχή σε «</w:t>
      </w:r>
      <w:r>
        <w:rPr>
          <w:rFonts w:ascii="Times New Roman" w:hAnsi="Times New Roman"/>
          <w:i/>
          <w:noProof/>
          <w:sz w:val="24"/>
        </w:rPr>
        <w:t>οποιουσδήποτε άλλους παράγοντες οι οποίοι, κατά τη γνώμη του συγκεκριμένου κράτους μέλους, συμβάλλουν στην ολοκληρωμένη ποιοτική αξιολόγηση της συμμόρφωσης με τα κριτήρια του ελλείμματος και του χρέους και τους οποίους το κράτος μέλος έχει προτείνει στο Συμβούλιο και στην Επιτροπή</w:t>
      </w:r>
      <w:r>
        <w:rPr>
          <w:rFonts w:ascii="Times New Roman" w:hAnsi="Times New Roman"/>
          <w:noProof/>
          <w:sz w:val="24"/>
        </w:rPr>
        <w:t xml:space="preserve">». </w:t>
      </w:r>
    </w:p>
    <w:p w14:paraId="2ECE592C" w14:textId="2E9E990B" w:rsidR="00184995" w:rsidRPr="00E343AE" w:rsidRDefault="00C803AD" w:rsidP="00A65A74">
      <w:pPr>
        <w:keepNext/>
        <w:keepLines/>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Επιπλέον, σύμφωνα με το άρθρο 2 παράγραφος 4, η ύπαρξη σημαντικών προκλήσεων όσον αφορά το δημόσιο χρέος θεωρείται βασικός επιβαρυντικός παράγοντας.</w:t>
      </w:r>
      <w:r>
        <w:rPr>
          <w:rFonts w:ascii="Segoe UI" w:hAnsi="Segoe UI"/>
          <w:noProof/>
          <w:color w:val="000000" w:themeColor="text1"/>
          <w:sz w:val="20"/>
        </w:rPr>
        <w:t xml:space="preserve"> </w:t>
      </w:r>
    </w:p>
    <w:p w14:paraId="136F094C" w14:textId="0C686E4A" w:rsidR="00383DA0" w:rsidRPr="00E343AE" w:rsidRDefault="00EC0143" w:rsidP="006F4DF6">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Όσον αφορά την αξιολόγηση της συμμόρφωσης με το κριτήριο του ελλείμματος, το άρθρο 2 παράγραφος 4 του κανονισμού (ΕΚ) αριθ. 1467/97 προβλέπει ότι οι σχετικοί παράγοντες μπορούν να λαμβάνονται υπόψη από το Συμβούλιο και την Επιτροπή κατά το στάδιο πριν από τη λήψη της απόφασης για την ύπαρξη υπερβολικού ελλείμματος, αλλά μόνον όταν:</w:t>
      </w:r>
    </w:p>
    <w:p w14:paraId="7B5DAF05" w14:textId="08D29FB3" w:rsidR="00823971" w:rsidRPr="00E343AE" w:rsidRDefault="00383DA0" w:rsidP="00682671">
      <w:pPr>
        <w:pStyle w:val="ListParagraph"/>
        <w:numPr>
          <w:ilvl w:val="0"/>
          <w:numId w:val="33"/>
        </w:numPr>
        <w:jc w:val="both"/>
        <w:rPr>
          <w:rFonts w:eastAsia="Times New Roman"/>
          <w:noProof/>
        </w:rPr>
      </w:pPr>
      <w:r>
        <w:rPr>
          <w:b/>
          <w:noProof/>
        </w:rPr>
        <w:t>ο δείκτης του δημόσιου χρέους ως προς το ΑΕΠ δεν υπερβαίνει την τιμή αναφοράς του 60 %</w:t>
      </w:r>
      <w:r>
        <w:rPr>
          <w:noProof/>
        </w:rPr>
        <w:t xml:space="preserve">, </w:t>
      </w:r>
      <w:r>
        <w:rPr>
          <w:i/>
          <w:noProof/>
        </w:rPr>
        <w:t>ή</w:t>
      </w:r>
    </w:p>
    <w:p w14:paraId="54104D9F" w14:textId="135B5E37" w:rsidR="006C0264" w:rsidRPr="00E343AE" w:rsidRDefault="00383DA0" w:rsidP="00682671">
      <w:pPr>
        <w:pStyle w:val="ListParagraph"/>
        <w:numPr>
          <w:ilvl w:val="0"/>
          <w:numId w:val="33"/>
        </w:numPr>
        <w:jc w:val="both"/>
        <w:rPr>
          <w:rFonts w:eastAsia="Times New Roman"/>
          <w:noProof/>
        </w:rPr>
      </w:pPr>
      <w:r>
        <w:rPr>
          <w:noProof/>
        </w:rPr>
        <w:t>εάν ο</w:t>
      </w:r>
      <w:r>
        <w:rPr>
          <w:b/>
          <w:noProof/>
        </w:rPr>
        <w:t xml:space="preserve"> λόγος του δημόσιου χρέους προς το ΑΕΠ υπερβαίνει</w:t>
      </w:r>
      <w:r>
        <w:rPr>
          <w:noProof/>
        </w:rPr>
        <w:t xml:space="preserve"> την τιμή αναφοράς του </w:t>
      </w:r>
      <w:r>
        <w:rPr>
          <w:b/>
          <w:bCs/>
          <w:noProof/>
        </w:rPr>
        <w:t>60 %</w:t>
      </w:r>
      <w:r>
        <w:rPr>
          <w:noProof/>
        </w:rPr>
        <w:t xml:space="preserve">, πληρούνται </w:t>
      </w:r>
      <w:r>
        <w:rPr>
          <w:b/>
          <w:noProof/>
        </w:rPr>
        <w:t>δύο προϋποθέσεις</w:t>
      </w:r>
      <w:r>
        <w:rPr>
          <w:noProof/>
        </w:rPr>
        <w:t xml:space="preserve"> —δηλαδή, το </w:t>
      </w:r>
      <w:r>
        <w:rPr>
          <w:b/>
          <w:noProof/>
        </w:rPr>
        <w:t>έλλειμμα παραμένει πλησίον</w:t>
      </w:r>
      <w:r>
        <w:rPr>
          <w:noProof/>
        </w:rPr>
        <w:t xml:space="preserve"> της τιμής αναφοράς </w:t>
      </w:r>
      <w:r>
        <w:rPr>
          <w:b/>
          <w:i/>
          <w:noProof/>
        </w:rPr>
        <w:t>και</w:t>
      </w:r>
      <w:r>
        <w:rPr>
          <w:noProof/>
        </w:rPr>
        <w:t xml:space="preserve"> η υπέρβαση της τιμής αυτής είναι</w:t>
      </w:r>
      <w:r>
        <w:rPr>
          <w:b/>
          <w:noProof/>
        </w:rPr>
        <w:t xml:space="preserve"> προσωρινή</w:t>
      </w:r>
      <w:r>
        <w:rPr>
          <w:noProof/>
        </w:rPr>
        <w:t>.</w:t>
      </w:r>
    </w:p>
    <w:p w14:paraId="093F9FFC" w14:textId="516A5471" w:rsidR="00C04ECA" w:rsidRDefault="003F6224" w:rsidP="00A65A74">
      <w:pPr>
        <w:keepNext/>
        <w:keepLines/>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Μεταξύ των κρατών μελών που εξετάζονται στην παρούσα έκθεση, ο λόγος χρέους προς το ΑΕΠ δεν υπερβαίνει την τιμή αναφοράς του 60 % του ΑΕΠ στην </w:t>
      </w:r>
      <w:r>
        <w:rPr>
          <w:rFonts w:ascii="Times New Roman" w:hAnsi="Times New Roman"/>
          <w:b/>
          <w:noProof/>
          <w:sz w:val="24"/>
        </w:rPr>
        <w:t>Τσεχία</w:t>
      </w:r>
      <w:r>
        <w:rPr>
          <w:rFonts w:ascii="Times New Roman" w:hAnsi="Times New Roman"/>
          <w:noProof/>
          <w:sz w:val="24"/>
        </w:rPr>
        <w:t xml:space="preserve">, την </w:t>
      </w:r>
      <w:r>
        <w:rPr>
          <w:rFonts w:ascii="Times New Roman" w:hAnsi="Times New Roman"/>
          <w:b/>
          <w:noProof/>
          <w:sz w:val="24"/>
        </w:rPr>
        <w:t>Εσθονία</w:t>
      </w:r>
      <w:r>
        <w:rPr>
          <w:rFonts w:ascii="Times New Roman" w:hAnsi="Times New Roman"/>
          <w:noProof/>
          <w:sz w:val="24"/>
        </w:rPr>
        <w:t xml:space="preserve">, τη </w:t>
      </w:r>
      <w:r>
        <w:rPr>
          <w:rFonts w:ascii="Times New Roman" w:hAnsi="Times New Roman"/>
          <w:b/>
          <w:noProof/>
          <w:sz w:val="24"/>
        </w:rPr>
        <w:t>Μάλτα</w:t>
      </w:r>
      <w:r>
        <w:rPr>
          <w:rFonts w:ascii="Times New Roman" w:hAnsi="Times New Roman"/>
          <w:noProof/>
          <w:sz w:val="24"/>
        </w:rPr>
        <w:t xml:space="preserve">, την </w:t>
      </w:r>
      <w:r>
        <w:rPr>
          <w:rFonts w:ascii="Times New Roman" w:hAnsi="Times New Roman"/>
          <w:b/>
          <w:noProof/>
          <w:sz w:val="24"/>
        </w:rPr>
        <w:t>Πολωνία</w:t>
      </w:r>
      <w:r>
        <w:rPr>
          <w:rFonts w:ascii="Times New Roman" w:hAnsi="Times New Roman"/>
          <w:noProof/>
          <w:sz w:val="24"/>
        </w:rPr>
        <w:t xml:space="preserve"> και τη </w:t>
      </w:r>
      <w:r>
        <w:rPr>
          <w:rFonts w:ascii="Times New Roman" w:hAnsi="Times New Roman"/>
          <w:b/>
          <w:noProof/>
          <w:sz w:val="24"/>
        </w:rPr>
        <w:t>Σλοβακία</w:t>
      </w:r>
      <w:r>
        <w:rPr>
          <w:rFonts w:ascii="Times New Roman" w:hAnsi="Times New Roman"/>
          <w:noProof/>
          <w:sz w:val="24"/>
        </w:rPr>
        <w:t>. Κατά συνέπεια, όσον αφορά τα εν λόγω πέντε κράτη μέλη, το Συμβούλιο και η Επιτροπή μπορούν να λάβουν υπόψη τους σχετικούς παράγοντες στα επόμενα στάδια που οδηγούν στην απόφαση σχετικά με την ύπαρξη υπερβολικού ελλείμματος (άρθρο 126 παράγραφοι 4, 5 και 6 της ΣΛΕΕ).</w:t>
      </w:r>
    </w:p>
    <w:p w14:paraId="69E0848A" w14:textId="31BD44CB" w:rsidR="006C0264" w:rsidRPr="006F4DF6" w:rsidRDefault="00217584" w:rsidP="00A65A74">
      <w:pPr>
        <w:keepNext/>
        <w:keepLines/>
        <w:autoSpaceDE w:val="0"/>
        <w:autoSpaceDN w:val="0"/>
        <w:spacing w:before="120" w:after="120" w:line="240" w:lineRule="auto"/>
        <w:jc w:val="both"/>
        <w:rPr>
          <w:rFonts w:eastAsia="Times New Roman"/>
          <w:b/>
          <w:bCs/>
          <w:noProof/>
        </w:rPr>
      </w:pPr>
      <w:r>
        <w:rPr>
          <w:rFonts w:ascii="Times New Roman" w:hAnsi="Times New Roman"/>
          <w:noProof/>
          <w:sz w:val="24"/>
        </w:rPr>
        <w:t xml:space="preserve">Όσον αφορά τα υπόλοιπα κράτη μέλη τα οποία αφορά η έκθεση, στο </w:t>
      </w:r>
      <w:r>
        <w:rPr>
          <w:rFonts w:ascii="Times New Roman" w:hAnsi="Times New Roman"/>
          <w:b/>
          <w:noProof/>
          <w:sz w:val="24"/>
        </w:rPr>
        <w:t>Βέλγιο</w:t>
      </w:r>
      <w:r>
        <w:rPr>
          <w:rFonts w:ascii="Times New Roman" w:hAnsi="Times New Roman"/>
          <w:noProof/>
          <w:sz w:val="24"/>
        </w:rPr>
        <w:t xml:space="preserve">, την </w:t>
      </w:r>
      <w:r>
        <w:rPr>
          <w:rFonts w:ascii="Times New Roman" w:hAnsi="Times New Roman"/>
          <w:b/>
          <w:noProof/>
          <w:sz w:val="24"/>
        </w:rPr>
        <w:t>Ισπανία</w:t>
      </w:r>
      <w:r>
        <w:rPr>
          <w:rFonts w:ascii="Times New Roman" w:hAnsi="Times New Roman"/>
          <w:noProof/>
          <w:sz w:val="24"/>
        </w:rPr>
        <w:t xml:space="preserve">, τη </w:t>
      </w:r>
      <w:r>
        <w:rPr>
          <w:rFonts w:ascii="Times New Roman" w:hAnsi="Times New Roman"/>
          <w:b/>
          <w:noProof/>
          <w:sz w:val="24"/>
        </w:rPr>
        <w:t>Γαλλία</w:t>
      </w:r>
      <w:r>
        <w:rPr>
          <w:rFonts w:ascii="Times New Roman" w:hAnsi="Times New Roman"/>
          <w:noProof/>
          <w:sz w:val="24"/>
        </w:rPr>
        <w:t xml:space="preserve">, την </w:t>
      </w:r>
      <w:r>
        <w:rPr>
          <w:rFonts w:ascii="Times New Roman" w:hAnsi="Times New Roman"/>
          <w:b/>
          <w:noProof/>
          <w:sz w:val="24"/>
        </w:rPr>
        <w:t>Ιταλία και</w:t>
      </w:r>
      <w:r>
        <w:rPr>
          <w:rFonts w:ascii="Times New Roman" w:hAnsi="Times New Roman"/>
          <w:noProof/>
          <w:sz w:val="24"/>
        </w:rPr>
        <w:t xml:space="preserve"> την </w:t>
      </w:r>
      <w:r>
        <w:rPr>
          <w:rFonts w:ascii="Times New Roman" w:hAnsi="Times New Roman"/>
          <w:b/>
          <w:noProof/>
          <w:sz w:val="24"/>
        </w:rPr>
        <w:t>Ουγγαρία</w:t>
      </w:r>
      <w:r>
        <w:rPr>
          <w:rFonts w:ascii="Times New Roman" w:hAnsi="Times New Roman"/>
          <w:noProof/>
          <w:sz w:val="24"/>
        </w:rPr>
        <w:t xml:space="preserve">, ο λόγος χρέους προς το ΑΕΠ υπερβαίνει την τιμή αναφοράς του 60 % του ΑΕΠ και δεν πληρούνται οι δύο προϋποθέσεις που απαιτούνται για να ληφθούν υπόψη οι σχετικοί παράγοντες (εγγύτητα και προσωρινότητα). Επομένως, όσον αφορά τα εν λόγω κράτη μέλη οι σχετικοί παράγοντες δεν μπορούν να ληφθούν υπόψη από το Συμβούλιο και την Επιτροπή κατά τα στάδια πριν από τη λήψη της απόφασης σχετικά με την ύπαρξη υπερβολικού ελλείμματος (άρθρο 126 παράγραφοι 4, 5 και 6 της ΣΛΕΕ). Αντιθέτως, οι δύο προϋποθέσεις πληρούνται για τη </w:t>
      </w:r>
      <w:r>
        <w:rPr>
          <w:rFonts w:ascii="Times New Roman" w:hAnsi="Times New Roman"/>
          <w:b/>
          <w:noProof/>
          <w:sz w:val="24"/>
        </w:rPr>
        <w:t>Σλοβενία</w:t>
      </w:r>
      <w:r>
        <w:rPr>
          <w:rFonts w:ascii="Times New Roman" w:hAnsi="Times New Roman"/>
          <w:noProof/>
          <w:sz w:val="24"/>
        </w:rPr>
        <w:t xml:space="preserve"> και τη </w:t>
      </w:r>
      <w:r>
        <w:rPr>
          <w:rFonts w:ascii="Times New Roman" w:hAnsi="Times New Roman"/>
          <w:b/>
          <w:noProof/>
          <w:sz w:val="24"/>
        </w:rPr>
        <w:t>Φινλανδία</w:t>
      </w:r>
      <w:r>
        <w:rPr>
          <w:rFonts w:ascii="Times New Roman" w:hAnsi="Times New Roman"/>
          <w:noProof/>
          <w:sz w:val="24"/>
        </w:rPr>
        <w:t xml:space="preserve">. </w:t>
      </w:r>
    </w:p>
    <w:p w14:paraId="68ECDA5D" w14:textId="3CB5AA1F" w:rsidR="007C7C7C" w:rsidRPr="00E343AE" w:rsidRDefault="00683EE5">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Με βάση την καθιερωμένη πρακτική και σύμφωνα με το άρθρο 2 παράγραφος 4 του κανονισμού (ΕΚ) αριθ. 1467/97, οι σχετικοί παράγοντες εξετάζονται παρακάτω ακόμη και για τα κράτη μέλη στα οποία δεν μπορούν να ληφθούν υπόψη από το Συμβούλιο και την Επιτροπή στα επόμενα στάδια που οδηγούν στη λήψη απόφασης σχετικά με την ύπαρξη υπερβολικού ελλείμματος με βάση το κριτήριο του ελλείμματος. </w:t>
      </w:r>
    </w:p>
    <w:p w14:paraId="44D10821" w14:textId="0447B237" w:rsidR="009C6D65" w:rsidRDefault="00A10857" w:rsidP="00DB712D">
      <w:pPr>
        <w:pStyle w:val="ManualHeading1"/>
        <w:keepNext/>
        <w:keepLines/>
        <w:numPr>
          <w:ilvl w:val="1"/>
          <w:numId w:val="32"/>
        </w:numPr>
        <w:ind w:left="851" w:hanging="851"/>
        <w:rPr>
          <w:noProof/>
        </w:rPr>
      </w:pPr>
      <w:r>
        <w:rPr>
          <w:noProof/>
        </w:rPr>
        <w:t xml:space="preserve">Σχετικοί παράγοντες μεταξύ χωρών </w:t>
      </w:r>
    </w:p>
    <w:p w14:paraId="0AB90F96" w14:textId="5182C09C" w:rsidR="009C6D65" w:rsidRPr="00DB712D" w:rsidRDefault="009C6D65" w:rsidP="00D84CC4">
      <w:pPr>
        <w:spacing w:before="120" w:after="120" w:line="240" w:lineRule="auto"/>
        <w:jc w:val="both"/>
        <w:rPr>
          <w:rFonts w:ascii="Times New Roman" w:hAnsi="Times New Roman" w:cs="Times New Roman"/>
          <w:noProof/>
          <w:sz w:val="24"/>
          <w:szCs w:val="24"/>
        </w:rPr>
      </w:pPr>
      <w:r>
        <w:rPr>
          <w:rFonts w:ascii="Times New Roman" w:hAnsi="Times New Roman"/>
          <w:noProof/>
          <w:sz w:val="24"/>
        </w:rPr>
        <w:t>Η οικονομία της ΕΕ βρέθηκε αντιμέτωπη με μια σειρά τεράστιων κλυδωνισμών τα τελευταία χρόνια. Η κρίση της COVID-19 προκάλεσε διαταραχές από πλευράς προσφοράς παγκοσμίως, καθώς η ζήτηση αυξήθηκε έντονα κατά τη διάρκεια της ισχυρής ανάκαμψης που ακολούθησε την πανδημία. Ο επιθετικός πόλεμος της Ρωσίας κατά της Ουκρανίας επιτάχυνε την αύξηση των τιμών της ενέργειας, η οποία είχε ήδη ξεκινήσει το 2021, και οι οικονομικές επιπτώσεις στα κράτη μέλη διέφεραν ανάλογα με την εγγύτητά τους με την εμπόλεμη περιοχή, τη διάρθρωση των αγορών ενέργειας και των οδών εφοδιασμού, καθώς και τη διάρθρωση των εμπορικών σχέσεων του εκάστοτε κράτους μέλους. Ο πληθωρισμός βάσει του εναρμονισμένου δείκτη τιμών καταναλωτή (ΕνΔΤΚ) διαμορφώθηκε σε διψήφια ποσοστά τον Οκτώβριο του 2022 στην ΕΕ, ενώ ο πληθωρισμός στην Κεντρική και Ανατολική Ευρώπη ήταν σημαντικά υψηλότερος. Αυτό οδήγησε σε απότομη διάβρωση της αγοραστικής δύναμης των νοικοκυριών και σε μεταστροφή της ψυχολογίας των καταναλωτών. Παράλληλα με τη στήριξη λόγω της COVID-19 και τα μέτρα στήριξης έκτακτης ανάγκης στον τομέα της ενέργειας, οι παράγοντες αυτοί διαδραμάτισαν ρόλο στις δημοσιονομικές εξελίξεις των κρατών μελών, π.χ. μέσω μηχανισμών αυτόματης τιμαριθμικής αναπροσαρμογής και αυξημένων δαπανών για την άμυνα και την ασφάλεια των συνόρων.</w:t>
      </w:r>
    </w:p>
    <w:p w14:paraId="4F5EF96A" w14:textId="6F3BF410" w:rsidR="00604B29" w:rsidRPr="00217995" w:rsidRDefault="00A727FD" w:rsidP="006D5243">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Η οικονομική δραστηριότητα στην ΕΕ παρέμεινε σε μεγάλο βαθμό στάσιμη το 2023, με επιβράδυνση της αύξησης του ΑΕΠ στο 0,4 % το 2023 στο πλαίσιο υποτονικής εγχώριας ζήτησης και περιορισμένης στήριξης από το εξωτερικό περιβάλλον. Πιο πρόσφατα, η σύγκρουση στη Μέση Ανατολή ενέτεινε τους καθοδικούς κινδύνους για την ΕΕ και την παγκόσμια οικονομία, με πιθανές επιπτώσεις για την ΕΕ και την παγκόσμια οικονομία. Εν τω μεταξύ, ο πληθωρισμός συνέχισε να μειώνεται, από 9,2 % το 2022 σε 6,4 % το 2023. Το πρώτο τρίμηνο του 2024, η οικονομική δραστηριότητα ανέκαμψε στην ΕΕ, καθώς ο πληθωρισμός επιβραδύνθηκε περαιτέρω.  </w:t>
      </w:r>
    </w:p>
    <w:p w14:paraId="613F1557" w14:textId="215E9378" w:rsidR="002744BC" w:rsidRDefault="008D0C34" w:rsidP="00AD1573">
      <w:pPr>
        <w:spacing w:before="120" w:after="120" w:line="240" w:lineRule="auto"/>
        <w:jc w:val="both"/>
        <w:rPr>
          <w:rFonts w:ascii="Times New Roman" w:hAnsi="Times New Roman" w:cs="Times New Roman"/>
          <w:noProof/>
          <w:sz w:val="24"/>
          <w:szCs w:val="24"/>
        </w:rPr>
      </w:pPr>
      <w:r>
        <w:rPr>
          <w:rFonts w:ascii="Times New Roman" w:hAnsi="Times New Roman"/>
          <w:noProof/>
          <w:sz w:val="24"/>
        </w:rPr>
        <w:t>Η μείωση του δημοσιονομικού ελλείμματος της ΕΕ διακόπηκε το 2023, καθώς η οικονομική δραστηριότητα εξασθένησε. Μετά από σημαντική μείωση το 2021 και το 2022 από τα πολύ υψηλά επίπεδα του 2020, το συνολικό έλλειμμα της γενικής κυβέρνησης της ΕΕ αυξήθηκε οριακά σε 3,5 % του ΑΕΠ το 2023 και προβλέπεται ότι θα μειωθεί στο 3,0 % του ΑΕΠ το 2024. Για τα κράτη μέλη που εξετάζονται στην παρούσα έκθεση, η εξέλιξη του ελλείμματος το 2024 προβλέπεται ότι θα είναι περισσότερο αποκλίνουσα, καθώς ο λόγος του ελλείμματος προβλέπεται να αυξηθεί σε σύγκριση με το 2023 για την Πολωνία, τη Σλοβενία, τη Σλοβακία και τη Φινλανδία, να παραμείνει σταθερός για το Βέλγιο και την Εσθονία και να μειωθεί στην Τσεχία, την Ισπανία, τη Γαλλία, την Ιταλία, την Ουγγαρία και τη Μάλτα.</w:t>
      </w:r>
    </w:p>
    <w:p w14:paraId="0F78E7D1" w14:textId="7E37D6AE" w:rsidR="007B01F2" w:rsidRPr="00DA6983" w:rsidRDefault="00DA6983" w:rsidP="00AD1573">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Στο τέλος του 2023, ο δείκτης δημόσιου χρέους προς το ΑΕΠ της ΕΕ ανερχόταν σε 82,9 % (από 84,8 % στο τέλος του 2022), περίπου 9 % χαμηλότερος από τη μέγιστη καταγεγραμμένη τιμή του 92 % στο τέλος του 2020. Ωστόσο, παραμένει περίπου 4 εκατοστιαίες μονάδες πάνω από το επίπεδο που ίσχυε πριν από τη νόσο COVID-19. Ο δείκτης χρέους προβλέπεται ότι θα σταθεροποιηθεί το 2024. Όσον αφορά τα κράτη μέλη που εξετάζονται στην παρούσα έκθεση, ο δείκτης χρέους δεν μειώθηκε το 2023 στο Βέλγιο, στην Εσθονία, στην Πολωνία και στη Φινλανδία. </w:t>
      </w:r>
      <w:r>
        <w:rPr>
          <w:rFonts w:ascii="Times New Roman" w:hAnsi="Times New Roman"/>
          <w:noProof/>
        </w:rPr>
        <w:t xml:space="preserve"> </w:t>
      </w:r>
    </w:p>
    <w:p w14:paraId="7BF446B8" w14:textId="4502A8DA" w:rsidR="00FD724E" w:rsidRPr="004E28CB" w:rsidRDefault="004E28CB" w:rsidP="00AD1573">
      <w:pPr>
        <w:spacing w:before="120" w:after="120" w:line="240" w:lineRule="auto"/>
        <w:jc w:val="both"/>
        <w:rPr>
          <w:rFonts w:ascii="Times New Roman" w:hAnsi="Times New Roman" w:cs="Times New Roman"/>
          <w:noProof/>
          <w:sz w:val="24"/>
          <w:szCs w:val="24"/>
        </w:rPr>
      </w:pPr>
      <w:r>
        <w:rPr>
          <w:rFonts w:ascii="Times New Roman" w:hAnsi="Times New Roman"/>
          <w:noProof/>
          <w:sz w:val="24"/>
        </w:rPr>
        <w:t>Μετά από συνολική αύξηση που εκτιμάται περίπου σε 3½ % του ΑΕΠ για την περίοδο 2020-22, ο δημοσιονομικός προσανατολισμός της ΕΕ</w:t>
      </w:r>
      <w:r>
        <w:rPr>
          <w:rStyle w:val="FootnoteReference"/>
          <w:rFonts w:eastAsiaTheme="minorEastAsia"/>
          <w:noProof/>
          <w:sz w:val="24"/>
          <w:szCs w:val="24"/>
          <w:lang w:eastAsia="ja-JP"/>
        </w:rPr>
        <w:footnoteReference w:id="33"/>
      </w:r>
      <w:r>
        <w:rPr>
          <w:rFonts w:ascii="Times New Roman" w:hAnsi="Times New Roman"/>
          <w:noProof/>
          <w:sz w:val="24"/>
        </w:rPr>
        <w:t xml:space="preserve"> κατέστη ουδέτερος το 2023. Αυτός ο ουδέτερος προσανατολισμός ήταν απόρροια κάποιας μείωσης του δημοσιονομικού κόστους των μέτρων που σχετίζονται με την ενέργεια, γεγονός που συνεπάγεται συσταλτική συμβολή των καθαρών πρωτογενών τρεχουσών δαπανών, η οποία αντισταθμίστηκε από την επεκτατική συμβολή των εθνικά χρηματοδοτούμενων δαπανών, των δαπανών που χρηματοδοτούνται από επιχορηγήσεις του ΜΑΑ και άλλα ταμεία της ΕΕ, καθώς και άλλων κεφαλαιουχικών δαπανών. Για το 2024 προβλέπεται συσταλτικός δημοσιονομικός προσανατολισμός της ΕΕ —ελαφρώς πάνω από το ½ % του ΑΕΠ— κυρίως λόγω της αναμενόμενης μείωσης των κρατικών επιδοτήσεων για ιδιωτικές επενδύσεις (λοιπές κεφαλαιουχικές δαπάνες) και της σχεδόν πλήρους κατάργησης των μέτρων που σχετίζονται με την ενέργεια. Για το 2025 η πρόβλεψη βάσει σεναρίου αμετάβλητης πολιτικής δείχνει ουδέτερο δημοσιονομικό προσανατολισμό της ΕΕ. Ωστόσο, η ανάγκη να μειωθούν τα δημοσιονομικά ελλείμματα και να επανέλθουν οι δείκτες χρέους σε πτωτική τροχιά θα μπορούσε να οδηγήσει σε πιο περιοριστικό δημοσιονομικό προσανατολισμό το 2025 από ό,τι προβλέπεται επί του παρόντος.</w:t>
      </w:r>
    </w:p>
    <w:p w14:paraId="08C1F634" w14:textId="7A304BE3" w:rsidR="006C0264" w:rsidRPr="00E343AE" w:rsidRDefault="00EC0143" w:rsidP="00912BC2">
      <w:pPr>
        <w:pStyle w:val="ManualHeading1"/>
        <w:keepNext/>
        <w:keepLines/>
        <w:numPr>
          <w:ilvl w:val="1"/>
          <w:numId w:val="32"/>
        </w:numPr>
        <w:ind w:left="851" w:hanging="851"/>
        <w:rPr>
          <w:noProof/>
        </w:rPr>
      </w:pPr>
      <w:r>
        <w:rPr>
          <w:noProof/>
        </w:rPr>
        <w:t xml:space="preserve">Ειδικοί ανά χώρα σχετικοί παράγοντες </w:t>
      </w:r>
    </w:p>
    <w:p w14:paraId="6392812F" w14:textId="56F6AA86" w:rsidR="007C2F29" w:rsidRDefault="00EC0143" w:rsidP="00705423">
      <w:pPr>
        <w:pStyle w:val="Text1"/>
        <w:keepNext/>
        <w:keepLines/>
        <w:ind w:left="0"/>
        <w:rPr>
          <w:noProof/>
        </w:rPr>
      </w:pPr>
      <w:r>
        <w:rPr>
          <w:noProof/>
        </w:rPr>
        <w:t xml:space="preserve">Στο παρόν τμήμα γίνεται εκτίμηση των ειδικών, ανά χώρα, σχετικών παραγόντων για κάθε κράτος μέλος. Στους παράγοντες αυτούς περιλαμβάνονται οι μεσοπρόθεσμες μακροοικονομικές προοπτικές, η μεσοπρόθεσμη δημοσιονομική θέση (συμπεριλαμβανομένων των δημόσιων επενδύσεων· βλ. πίνακα 4), η μεσοπρόθεσμη θέση όσον αφορά το χρέος, η συνολική ποιότητα των δημόσιων οικονομικών, η υλοποίηση μεταρρυθμίσεων και επενδύσεων (συμπεριλαμβανομένων των πολιτικών για την πρόληψη και τη διόρθωση μακροοικονομικών ανισορροπιών και για την εφαρμογή της κοινής στρατηγικής της Ένωσης για την ανάπτυξη και την απασχόληση, συμπεριλαμβανομένων εκείνων που υποστηρίζονται από τον μηχανισμό ανάκαμψης και ανθεκτικότητας), η αύξηση των δημόσιων επενδύσεων στην άμυνα, καθώς και τυχόν άλλοι σχετικοί παράγοντες που προτείνει κάθε κράτος μέλος.  </w:t>
      </w:r>
    </w:p>
    <w:p w14:paraId="3586CECA" w14:textId="5F8593EB" w:rsidR="00633410" w:rsidRDefault="00633410" w:rsidP="00705423">
      <w:pPr>
        <w:pStyle w:val="Text1"/>
        <w:keepNext/>
        <w:keepLines/>
        <w:ind w:left="0"/>
        <w:rPr>
          <w:noProof/>
        </w:rPr>
      </w:pPr>
      <w:r>
        <w:rPr>
          <w:noProof/>
        </w:rPr>
        <w:t xml:space="preserve">Όσον αφορά την αύξηση των δημόσιων επενδύσεων στην άμυνα, η παρούσα έκθεση εξετάζει </w:t>
      </w:r>
      <w:r>
        <w:rPr>
          <w:rStyle w:val="normaltextrun"/>
          <w:noProof/>
          <w:color w:val="000000"/>
          <w:shd w:val="clear" w:color="auto" w:fill="FFFFFF"/>
        </w:rPr>
        <w:t>την ανάλυση των δημόσιων δαπανών σύμφωνα με την ταξινόμηση των κρατικών λειτουργιών (στο εξής: COFOG), ιδίως τις ακαθάριστες επενδύσεις παγίου κεφαλαίου που χρησιμοποιούνται για αμυντικούς σκοπούς. Πρόκειται για επίσημα στοιχεία που δημοσιεύονται από την Eurostat και τηρούν τις συνήθεις συμβάσεις καταγραφής που χρησιμοποιούνται επίσης για τα κοινοποιούμενα στοιχεία στο πλαίσιο της διαδικασίας υπερβολικού ελλείμματος (ΔΥΕ). Ωστόσο, τα στοιχεία COFOG καθίστανται διαθέσιμα με χρονική υστέρηση</w:t>
      </w:r>
      <w:r>
        <w:rPr>
          <w:rStyle w:val="FootnoteReference"/>
          <w:noProof/>
          <w:color w:val="000000"/>
          <w:shd w:val="clear" w:color="auto" w:fill="FFFFFF"/>
        </w:rPr>
        <w:footnoteReference w:id="34"/>
      </w:r>
      <w:r>
        <w:rPr>
          <w:rStyle w:val="normaltextrun"/>
          <w:noProof/>
          <w:color w:val="000000"/>
          <w:shd w:val="clear" w:color="auto" w:fill="FFFFFF"/>
        </w:rPr>
        <w:t xml:space="preserve"> και επί του παρόντος είναι διαθέσιμα μόνο έως το 2022. Τα κράτη μέλη παρείχαν πρόσθετες πληροφορίες και προκαταρκτικές εκτιμήσεις σχετικά με τις δαπάνες και/ή τις επενδύσεις στην άμυνα για το 2023 και το 2024, όπως παρουσιάζονται στα ειδικά ανά χώρα τμήματα.</w:t>
      </w:r>
    </w:p>
    <w:p w14:paraId="174A35D7" w14:textId="3BFCA4B9" w:rsidR="002C6529" w:rsidRPr="001C4D4E" w:rsidRDefault="00766A12" w:rsidP="002C6529">
      <w:pPr>
        <w:pStyle w:val="Text1"/>
        <w:ind w:left="0"/>
        <w:rPr>
          <w:noProof/>
        </w:rPr>
      </w:pPr>
      <w:r>
        <w:rPr>
          <w:noProof/>
        </w:rPr>
        <w:t>Παρότι τα ειδικά, ανά χώρα, τμήματα παραθέτουν βασικές πληροφορίες για τη μεσοπρόθεσμη μακροοικονομική κατάσταση, για παράδειγμα σχετικά με τις συνεισφορές στην ανάπτυξη και στη μεσοπρόθεσμη δημοσιονομική θέση και στη μεσοπρόθεσμη θέση όσον αφορά το χρέος, περισσότερες λεπτομέρειες σχετικά με τις μακροοικονομικές και δημοσιονομικές προοπτικές παρέχονται στις εαρινές προβλέψεις 2024 της Επιτροπής. Περισσότερες πληροφορίες σχετικά με τα δημοσιονομικά μέτρα, τον δημοσιονομικό προσανατολισμό και την ανάλυση της βιωσιμότητας του χρέους που εξετάζονται παρακάτω για κάθε κράτος μέλος περιλαμβάνονται στη σύσταση της Επιτροπής προς το Συμβούλιο για τις οικονομικές, κοινωνικές, διαρθρωτικές, δημοσιονομικές πολιτικές και τις πολιτικές για την απασχόληση, καθώς και στις ανά χώρα εκθέσεις του 2024.</w:t>
      </w:r>
      <w:r>
        <w:rPr>
          <w:rStyle w:val="FootnoteReference"/>
          <w:noProof/>
          <w:sz w:val="24"/>
        </w:rPr>
        <w:t xml:space="preserve"> </w:t>
      </w:r>
      <w:r>
        <w:rPr>
          <w:rStyle w:val="FootnoteReference"/>
          <w:noProof/>
          <w:sz w:val="24"/>
          <w:szCs w:val="24"/>
        </w:rPr>
        <w:footnoteReference w:id="35"/>
      </w:r>
      <w:r>
        <w:rPr>
          <w:noProof/>
        </w:rPr>
        <w:t xml:space="preserve"> </w:t>
      </w:r>
    </w:p>
    <w:tbl>
      <w:tblPr>
        <w:tblpPr w:leftFromText="180" w:rightFromText="180" w:vertAnchor="text" w:tblpXSpec="center" w:tblpY="1"/>
        <w:tblOverlap w:val="never"/>
        <w:tblW w:w="7371" w:type="dxa"/>
        <w:tblLook w:val="04A0" w:firstRow="1" w:lastRow="0" w:firstColumn="1" w:lastColumn="0" w:noHBand="0" w:noVBand="1"/>
      </w:tblPr>
      <w:tblGrid>
        <w:gridCol w:w="2306"/>
        <w:gridCol w:w="829"/>
        <w:gridCol w:w="830"/>
        <w:gridCol w:w="830"/>
        <w:gridCol w:w="830"/>
        <w:gridCol w:w="960"/>
        <w:gridCol w:w="786"/>
      </w:tblGrid>
      <w:tr w:rsidR="001C4D4E" w:rsidRPr="00E84107" w14:paraId="78CBD66B" w14:textId="77777777">
        <w:trPr>
          <w:trHeight w:val="300"/>
        </w:trPr>
        <w:tc>
          <w:tcPr>
            <w:tcW w:w="7371" w:type="dxa"/>
            <w:gridSpan w:val="7"/>
            <w:tcBorders>
              <w:top w:val="nil"/>
              <w:left w:val="nil"/>
            </w:tcBorders>
            <w:shd w:val="clear" w:color="auto" w:fill="auto"/>
            <w:noWrap/>
          </w:tcPr>
          <w:p w14:paraId="35C8F0D4" w14:textId="77777777" w:rsidR="001C4D4E" w:rsidRPr="00E84107" w:rsidRDefault="001C4D4E">
            <w:pPr>
              <w:keepNext/>
              <w:pageBreakBefore/>
              <w:spacing w:after="0" w:line="240" w:lineRule="auto"/>
              <w:jc w:val="center"/>
              <w:rPr>
                <w:rFonts w:ascii="Times New Roman" w:eastAsia="Times New Roman" w:hAnsi="Times New Roman" w:cs="Times New Roman"/>
                <w:noProof/>
                <w:color w:val="000000"/>
              </w:rPr>
            </w:pPr>
            <w:r>
              <w:rPr>
                <w:rFonts w:ascii="Times New Roman" w:hAnsi="Times New Roman"/>
                <w:b/>
                <w:noProof/>
                <w:color w:val="000000"/>
              </w:rPr>
              <w:t>Πίνακας 4: Δημόσιες επενδύσεις</w:t>
            </w:r>
          </w:p>
        </w:tc>
      </w:tr>
      <w:tr w:rsidR="001C4D4E" w:rsidRPr="00E84107" w14:paraId="43BE6CDB" w14:textId="77777777">
        <w:trPr>
          <w:trHeight w:val="300"/>
        </w:trPr>
        <w:tc>
          <w:tcPr>
            <w:tcW w:w="7371" w:type="dxa"/>
            <w:gridSpan w:val="7"/>
            <w:tcBorders>
              <w:left w:val="nil"/>
              <w:bottom w:val="single" w:sz="8" w:space="0" w:color="auto"/>
            </w:tcBorders>
            <w:shd w:val="clear" w:color="auto" w:fill="auto"/>
            <w:noWrap/>
            <w:vAlign w:val="center"/>
            <w:hideMark/>
          </w:tcPr>
          <w:p w14:paraId="3EEDCC2B" w14:textId="77777777" w:rsidR="001C4D4E" w:rsidRPr="00E84107" w:rsidRDefault="001C4D4E">
            <w:pPr>
              <w:keepNext/>
              <w:spacing w:after="0" w:line="240" w:lineRule="auto"/>
              <w:rPr>
                <w:rFonts w:ascii="Times New Roman" w:eastAsia="Times New Roman" w:hAnsi="Times New Roman" w:cs="Times New Roman"/>
                <w:noProof/>
              </w:rPr>
            </w:pPr>
            <w:r>
              <w:rPr>
                <w:rFonts w:ascii="Times New Roman" w:hAnsi="Times New Roman"/>
                <w:noProof/>
                <w:color w:val="000000"/>
              </w:rPr>
              <w:t>Ποσοστό επί του ΑΕΠ</w:t>
            </w:r>
          </w:p>
        </w:tc>
      </w:tr>
      <w:tr w:rsidR="001C4D4E" w:rsidRPr="00E84107" w14:paraId="14A809BB" w14:textId="77777777">
        <w:trPr>
          <w:trHeight w:val="379"/>
        </w:trPr>
        <w:tc>
          <w:tcPr>
            <w:tcW w:w="2306" w:type="dxa"/>
            <w:tcBorders>
              <w:top w:val="nil"/>
              <w:left w:val="nil"/>
              <w:bottom w:val="single" w:sz="8" w:space="0" w:color="auto"/>
              <w:right w:val="nil"/>
            </w:tcBorders>
            <w:shd w:val="clear" w:color="auto" w:fill="auto"/>
            <w:noWrap/>
            <w:vAlign w:val="center"/>
            <w:hideMark/>
          </w:tcPr>
          <w:p w14:paraId="7B62E239"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 xml:space="preserve"> </w:t>
            </w:r>
          </w:p>
        </w:tc>
        <w:tc>
          <w:tcPr>
            <w:tcW w:w="829" w:type="dxa"/>
            <w:tcBorders>
              <w:top w:val="nil"/>
              <w:left w:val="nil"/>
              <w:bottom w:val="single" w:sz="8" w:space="0" w:color="auto"/>
              <w:right w:val="nil"/>
            </w:tcBorders>
            <w:shd w:val="clear" w:color="auto" w:fill="auto"/>
            <w:noWrap/>
            <w:vAlign w:val="center"/>
            <w:hideMark/>
          </w:tcPr>
          <w:p w14:paraId="1B8DAEA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2020</w:t>
            </w:r>
          </w:p>
        </w:tc>
        <w:tc>
          <w:tcPr>
            <w:tcW w:w="830" w:type="dxa"/>
            <w:tcBorders>
              <w:top w:val="single" w:sz="8" w:space="0" w:color="auto"/>
              <w:left w:val="nil"/>
              <w:bottom w:val="single" w:sz="8" w:space="0" w:color="auto"/>
              <w:right w:val="nil"/>
            </w:tcBorders>
            <w:shd w:val="clear" w:color="auto" w:fill="auto"/>
            <w:noWrap/>
            <w:vAlign w:val="center"/>
            <w:hideMark/>
          </w:tcPr>
          <w:p w14:paraId="2571FF9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2021</w:t>
            </w:r>
          </w:p>
        </w:tc>
        <w:tc>
          <w:tcPr>
            <w:tcW w:w="830" w:type="dxa"/>
            <w:tcBorders>
              <w:top w:val="single" w:sz="8" w:space="0" w:color="auto"/>
              <w:left w:val="nil"/>
              <w:bottom w:val="single" w:sz="8" w:space="0" w:color="auto"/>
              <w:right w:val="nil"/>
            </w:tcBorders>
            <w:shd w:val="clear" w:color="auto" w:fill="auto"/>
            <w:noWrap/>
            <w:vAlign w:val="center"/>
            <w:hideMark/>
          </w:tcPr>
          <w:p w14:paraId="2166B27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2022</w:t>
            </w:r>
          </w:p>
        </w:tc>
        <w:tc>
          <w:tcPr>
            <w:tcW w:w="830" w:type="dxa"/>
            <w:tcBorders>
              <w:top w:val="single" w:sz="8" w:space="0" w:color="auto"/>
              <w:left w:val="nil"/>
              <w:bottom w:val="single" w:sz="8" w:space="0" w:color="auto"/>
              <w:right w:val="single" w:sz="8" w:space="0" w:color="auto"/>
            </w:tcBorders>
            <w:shd w:val="clear" w:color="auto" w:fill="auto"/>
            <w:noWrap/>
            <w:vAlign w:val="center"/>
            <w:hideMark/>
          </w:tcPr>
          <w:p w14:paraId="7BD9A066"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2023</w:t>
            </w:r>
          </w:p>
        </w:tc>
        <w:tc>
          <w:tcPr>
            <w:tcW w:w="960" w:type="dxa"/>
            <w:tcBorders>
              <w:top w:val="nil"/>
              <w:left w:val="single" w:sz="8" w:space="0" w:color="auto"/>
              <w:bottom w:val="single" w:sz="8" w:space="0" w:color="auto"/>
              <w:right w:val="nil"/>
            </w:tcBorders>
            <w:shd w:val="clear" w:color="auto" w:fill="auto"/>
            <w:noWrap/>
            <w:vAlign w:val="center"/>
            <w:hideMark/>
          </w:tcPr>
          <w:p w14:paraId="66EB5E1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2024</w:t>
            </w:r>
          </w:p>
        </w:tc>
        <w:tc>
          <w:tcPr>
            <w:tcW w:w="786" w:type="dxa"/>
            <w:tcBorders>
              <w:top w:val="nil"/>
              <w:left w:val="nil"/>
              <w:bottom w:val="single" w:sz="8" w:space="0" w:color="auto"/>
            </w:tcBorders>
            <w:shd w:val="clear" w:color="auto" w:fill="auto"/>
            <w:noWrap/>
            <w:vAlign w:val="center"/>
            <w:hideMark/>
          </w:tcPr>
          <w:p w14:paraId="6E858E1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2025</w:t>
            </w:r>
          </w:p>
        </w:tc>
      </w:tr>
      <w:tr w:rsidR="001C4D4E" w:rsidRPr="00E84107" w14:paraId="36C64FE9" w14:textId="77777777">
        <w:trPr>
          <w:trHeight w:val="300"/>
        </w:trPr>
        <w:tc>
          <w:tcPr>
            <w:tcW w:w="2306" w:type="dxa"/>
            <w:tcBorders>
              <w:top w:val="nil"/>
              <w:left w:val="nil"/>
              <w:bottom w:val="single" w:sz="8" w:space="0" w:color="auto"/>
              <w:right w:val="nil"/>
            </w:tcBorders>
            <w:shd w:val="clear" w:color="auto" w:fill="auto"/>
            <w:noWrap/>
            <w:vAlign w:val="center"/>
            <w:hideMark/>
          </w:tcPr>
          <w:p w14:paraId="0D89FF9D"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Βέλγιο</w:t>
            </w:r>
          </w:p>
        </w:tc>
        <w:tc>
          <w:tcPr>
            <w:tcW w:w="829" w:type="dxa"/>
            <w:tcBorders>
              <w:top w:val="nil"/>
              <w:left w:val="nil"/>
              <w:bottom w:val="single" w:sz="8" w:space="0" w:color="auto"/>
              <w:right w:val="nil"/>
            </w:tcBorders>
            <w:shd w:val="clear" w:color="auto" w:fill="auto"/>
            <w:noWrap/>
            <w:vAlign w:val="center"/>
            <w:hideMark/>
          </w:tcPr>
          <w:p w14:paraId="021FD1C0"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830" w:type="dxa"/>
            <w:tcBorders>
              <w:top w:val="nil"/>
              <w:left w:val="nil"/>
              <w:bottom w:val="single" w:sz="8" w:space="0" w:color="auto"/>
              <w:right w:val="nil"/>
            </w:tcBorders>
            <w:shd w:val="clear" w:color="auto" w:fill="auto"/>
            <w:noWrap/>
            <w:vAlign w:val="center"/>
            <w:hideMark/>
          </w:tcPr>
          <w:p w14:paraId="19BE709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830" w:type="dxa"/>
            <w:tcBorders>
              <w:top w:val="nil"/>
              <w:left w:val="nil"/>
              <w:bottom w:val="single" w:sz="8" w:space="0" w:color="auto"/>
              <w:right w:val="nil"/>
            </w:tcBorders>
            <w:shd w:val="clear" w:color="auto" w:fill="auto"/>
            <w:noWrap/>
            <w:vAlign w:val="center"/>
            <w:hideMark/>
          </w:tcPr>
          <w:p w14:paraId="39F13EE6"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830" w:type="dxa"/>
            <w:tcBorders>
              <w:top w:val="nil"/>
              <w:left w:val="nil"/>
              <w:bottom w:val="single" w:sz="8" w:space="0" w:color="auto"/>
              <w:right w:val="single" w:sz="8" w:space="0" w:color="auto"/>
            </w:tcBorders>
            <w:shd w:val="clear" w:color="auto" w:fill="auto"/>
            <w:noWrap/>
            <w:vAlign w:val="center"/>
            <w:hideMark/>
          </w:tcPr>
          <w:p w14:paraId="7706CE5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960" w:type="dxa"/>
            <w:tcBorders>
              <w:top w:val="nil"/>
              <w:left w:val="single" w:sz="8" w:space="0" w:color="auto"/>
              <w:bottom w:val="single" w:sz="8" w:space="0" w:color="auto"/>
              <w:right w:val="nil"/>
            </w:tcBorders>
            <w:shd w:val="clear" w:color="auto" w:fill="auto"/>
            <w:noWrap/>
            <w:vAlign w:val="center"/>
            <w:hideMark/>
          </w:tcPr>
          <w:p w14:paraId="5B263F0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786" w:type="dxa"/>
            <w:tcBorders>
              <w:top w:val="nil"/>
              <w:left w:val="nil"/>
              <w:bottom w:val="single" w:sz="8" w:space="0" w:color="auto"/>
              <w:right w:val="nil"/>
            </w:tcBorders>
            <w:shd w:val="clear" w:color="auto" w:fill="auto"/>
            <w:noWrap/>
            <w:vAlign w:val="center"/>
            <w:hideMark/>
          </w:tcPr>
          <w:p w14:paraId="654C2F7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r>
      <w:tr w:rsidR="001C4D4E" w:rsidRPr="00E84107" w14:paraId="20CA7E2A" w14:textId="77777777">
        <w:trPr>
          <w:trHeight w:val="300"/>
        </w:trPr>
        <w:tc>
          <w:tcPr>
            <w:tcW w:w="2306" w:type="dxa"/>
            <w:tcBorders>
              <w:top w:val="nil"/>
              <w:left w:val="nil"/>
              <w:bottom w:val="single" w:sz="8" w:space="0" w:color="auto"/>
              <w:right w:val="nil"/>
            </w:tcBorders>
            <w:shd w:val="clear" w:color="auto" w:fill="auto"/>
            <w:noWrap/>
            <w:vAlign w:val="center"/>
            <w:hideMark/>
          </w:tcPr>
          <w:p w14:paraId="70F46965"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Τσεχία</w:t>
            </w:r>
          </w:p>
        </w:tc>
        <w:tc>
          <w:tcPr>
            <w:tcW w:w="829" w:type="dxa"/>
            <w:tcBorders>
              <w:top w:val="nil"/>
              <w:left w:val="nil"/>
              <w:bottom w:val="single" w:sz="8" w:space="0" w:color="auto"/>
              <w:right w:val="nil"/>
            </w:tcBorders>
            <w:shd w:val="clear" w:color="auto" w:fill="auto"/>
            <w:noWrap/>
            <w:vAlign w:val="center"/>
            <w:hideMark/>
          </w:tcPr>
          <w:p w14:paraId="6B7C3A0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w:t>
            </w:r>
          </w:p>
        </w:tc>
        <w:tc>
          <w:tcPr>
            <w:tcW w:w="830" w:type="dxa"/>
            <w:tcBorders>
              <w:top w:val="nil"/>
              <w:left w:val="nil"/>
              <w:bottom w:val="single" w:sz="8" w:space="0" w:color="auto"/>
              <w:right w:val="nil"/>
            </w:tcBorders>
            <w:shd w:val="clear" w:color="auto" w:fill="auto"/>
            <w:noWrap/>
            <w:vAlign w:val="center"/>
            <w:hideMark/>
          </w:tcPr>
          <w:p w14:paraId="17CB25F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c>
          <w:tcPr>
            <w:tcW w:w="830" w:type="dxa"/>
            <w:tcBorders>
              <w:top w:val="nil"/>
              <w:left w:val="nil"/>
              <w:bottom w:val="single" w:sz="8" w:space="0" w:color="auto"/>
              <w:right w:val="nil"/>
            </w:tcBorders>
            <w:shd w:val="clear" w:color="auto" w:fill="auto"/>
            <w:noWrap/>
            <w:vAlign w:val="center"/>
            <w:hideMark/>
          </w:tcPr>
          <w:p w14:paraId="677B4AB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c>
          <w:tcPr>
            <w:tcW w:w="830" w:type="dxa"/>
            <w:tcBorders>
              <w:top w:val="nil"/>
              <w:left w:val="nil"/>
              <w:bottom w:val="single" w:sz="8" w:space="0" w:color="auto"/>
              <w:right w:val="single" w:sz="8" w:space="0" w:color="auto"/>
            </w:tcBorders>
            <w:shd w:val="clear" w:color="auto" w:fill="auto"/>
            <w:noWrap/>
            <w:vAlign w:val="center"/>
            <w:hideMark/>
          </w:tcPr>
          <w:p w14:paraId="7FEE4936"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w:t>
            </w:r>
          </w:p>
        </w:tc>
        <w:tc>
          <w:tcPr>
            <w:tcW w:w="960" w:type="dxa"/>
            <w:tcBorders>
              <w:top w:val="nil"/>
              <w:left w:val="single" w:sz="8" w:space="0" w:color="auto"/>
              <w:bottom w:val="single" w:sz="8" w:space="0" w:color="auto"/>
              <w:right w:val="nil"/>
            </w:tcBorders>
            <w:shd w:val="clear" w:color="auto" w:fill="auto"/>
            <w:noWrap/>
            <w:vAlign w:val="center"/>
            <w:hideMark/>
          </w:tcPr>
          <w:p w14:paraId="737B8AA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w:t>
            </w:r>
          </w:p>
        </w:tc>
        <w:tc>
          <w:tcPr>
            <w:tcW w:w="786" w:type="dxa"/>
            <w:tcBorders>
              <w:top w:val="nil"/>
              <w:left w:val="nil"/>
              <w:bottom w:val="single" w:sz="8" w:space="0" w:color="auto"/>
              <w:right w:val="nil"/>
            </w:tcBorders>
            <w:shd w:val="clear" w:color="auto" w:fill="auto"/>
            <w:noWrap/>
            <w:vAlign w:val="center"/>
            <w:hideMark/>
          </w:tcPr>
          <w:p w14:paraId="6584555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w:t>
            </w:r>
          </w:p>
        </w:tc>
      </w:tr>
      <w:tr w:rsidR="001C4D4E" w:rsidRPr="00E84107" w14:paraId="789081C1" w14:textId="77777777">
        <w:trPr>
          <w:trHeight w:val="300"/>
        </w:trPr>
        <w:tc>
          <w:tcPr>
            <w:tcW w:w="2306" w:type="dxa"/>
            <w:tcBorders>
              <w:top w:val="nil"/>
              <w:left w:val="nil"/>
              <w:bottom w:val="single" w:sz="8" w:space="0" w:color="auto"/>
              <w:right w:val="nil"/>
            </w:tcBorders>
            <w:shd w:val="clear" w:color="auto" w:fill="auto"/>
            <w:noWrap/>
            <w:vAlign w:val="center"/>
            <w:hideMark/>
          </w:tcPr>
          <w:p w14:paraId="1356D466"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Εσθονία</w:t>
            </w:r>
          </w:p>
        </w:tc>
        <w:tc>
          <w:tcPr>
            <w:tcW w:w="829" w:type="dxa"/>
            <w:tcBorders>
              <w:top w:val="nil"/>
              <w:left w:val="nil"/>
              <w:bottom w:val="single" w:sz="8" w:space="0" w:color="auto"/>
              <w:right w:val="nil"/>
            </w:tcBorders>
            <w:shd w:val="clear" w:color="auto" w:fill="auto"/>
            <w:noWrap/>
            <w:vAlign w:val="center"/>
            <w:hideMark/>
          </w:tcPr>
          <w:p w14:paraId="051EF6F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5,7</w:t>
            </w:r>
          </w:p>
        </w:tc>
        <w:tc>
          <w:tcPr>
            <w:tcW w:w="830" w:type="dxa"/>
            <w:tcBorders>
              <w:top w:val="nil"/>
              <w:left w:val="nil"/>
              <w:bottom w:val="single" w:sz="8" w:space="0" w:color="auto"/>
              <w:right w:val="nil"/>
            </w:tcBorders>
            <w:shd w:val="clear" w:color="auto" w:fill="auto"/>
            <w:noWrap/>
            <w:vAlign w:val="center"/>
            <w:hideMark/>
          </w:tcPr>
          <w:p w14:paraId="0FF443A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5,6</w:t>
            </w:r>
          </w:p>
        </w:tc>
        <w:tc>
          <w:tcPr>
            <w:tcW w:w="830" w:type="dxa"/>
            <w:tcBorders>
              <w:top w:val="nil"/>
              <w:left w:val="nil"/>
              <w:bottom w:val="single" w:sz="8" w:space="0" w:color="auto"/>
              <w:right w:val="nil"/>
            </w:tcBorders>
            <w:shd w:val="clear" w:color="auto" w:fill="auto"/>
            <w:noWrap/>
            <w:vAlign w:val="center"/>
            <w:hideMark/>
          </w:tcPr>
          <w:p w14:paraId="28D36DA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w:t>
            </w:r>
          </w:p>
        </w:tc>
        <w:tc>
          <w:tcPr>
            <w:tcW w:w="830" w:type="dxa"/>
            <w:tcBorders>
              <w:top w:val="nil"/>
              <w:left w:val="nil"/>
              <w:bottom w:val="single" w:sz="8" w:space="0" w:color="auto"/>
              <w:right w:val="single" w:sz="8" w:space="0" w:color="auto"/>
            </w:tcBorders>
            <w:shd w:val="clear" w:color="auto" w:fill="auto"/>
            <w:noWrap/>
            <w:vAlign w:val="center"/>
            <w:hideMark/>
          </w:tcPr>
          <w:p w14:paraId="5222644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6,3</w:t>
            </w:r>
          </w:p>
        </w:tc>
        <w:tc>
          <w:tcPr>
            <w:tcW w:w="960" w:type="dxa"/>
            <w:tcBorders>
              <w:top w:val="nil"/>
              <w:left w:val="single" w:sz="8" w:space="0" w:color="auto"/>
              <w:bottom w:val="single" w:sz="8" w:space="0" w:color="auto"/>
              <w:right w:val="nil"/>
            </w:tcBorders>
            <w:shd w:val="clear" w:color="auto" w:fill="auto"/>
            <w:noWrap/>
            <w:vAlign w:val="center"/>
            <w:hideMark/>
          </w:tcPr>
          <w:p w14:paraId="0C6EC680"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7,0</w:t>
            </w:r>
          </w:p>
        </w:tc>
        <w:tc>
          <w:tcPr>
            <w:tcW w:w="786" w:type="dxa"/>
            <w:tcBorders>
              <w:top w:val="nil"/>
              <w:left w:val="nil"/>
              <w:bottom w:val="single" w:sz="8" w:space="0" w:color="auto"/>
              <w:right w:val="nil"/>
            </w:tcBorders>
            <w:shd w:val="clear" w:color="auto" w:fill="auto"/>
            <w:noWrap/>
            <w:vAlign w:val="center"/>
            <w:hideMark/>
          </w:tcPr>
          <w:p w14:paraId="10C1DEE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6,9</w:t>
            </w:r>
          </w:p>
        </w:tc>
      </w:tr>
      <w:tr w:rsidR="001C4D4E" w:rsidRPr="00E84107" w14:paraId="6557445A" w14:textId="77777777">
        <w:trPr>
          <w:trHeight w:val="300"/>
        </w:trPr>
        <w:tc>
          <w:tcPr>
            <w:tcW w:w="2306" w:type="dxa"/>
            <w:tcBorders>
              <w:top w:val="nil"/>
              <w:left w:val="nil"/>
              <w:bottom w:val="single" w:sz="8" w:space="0" w:color="auto"/>
              <w:right w:val="nil"/>
            </w:tcBorders>
            <w:shd w:val="clear" w:color="auto" w:fill="auto"/>
            <w:noWrap/>
            <w:vAlign w:val="center"/>
            <w:hideMark/>
          </w:tcPr>
          <w:p w14:paraId="5ACEBA67"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Ισπανία</w:t>
            </w:r>
          </w:p>
        </w:tc>
        <w:tc>
          <w:tcPr>
            <w:tcW w:w="829" w:type="dxa"/>
            <w:tcBorders>
              <w:top w:val="nil"/>
              <w:left w:val="nil"/>
              <w:bottom w:val="single" w:sz="8" w:space="0" w:color="auto"/>
              <w:right w:val="nil"/>
            </w:tcBorders>
            <w:shd w:val="clear" w:color="auto" w:fill="auto"/>
            <w:noWrap/>
            <w:vAlign w:val="center"/>
            <w:hideMark/>
          </w:tcPr>
          <w:p w14:paraId="47D1F3D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nil"/>
            </w:tcBorders>
            <w:shd w:val="clear" w:color="auto" w:fill="auto"/>
            <w:noWrap/>
            <w:vAlign w:val="center"/>
            <w:hideMark/>
          </w:tcPr>
          <w:p w14:paraId="5C841A3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830" w:type="dxa"/>
            <w:tcBorders>
              <w:top w:val="nil"/>
              <w:left w:val="nil"/>
              <w:bottom w:val="single" w:sz="8" w:space="0" w:color="auto"/>
              <w:right w:val="nil"/>
            </w:tcBorders>
            <w:shd w:val="clear" w:color="auto" w:fill="auto"/>
            <w:noWrap/>
            <w:vAlign w:val="center"/>
            <w:hideMark/>
          </w:tcPr>
          <w:p w14:paraId="52EF19D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830" w:type="dxa"/>
            <w:tcBorders>
              <w:top w:val="nil"/>
              <w:left w:val="nil"/>
              <w:bottom w:val="single" w:sz="8" w:space="0" w:color="auto"/>
              <w:right w:val="single" w:sz="8" w:space="0" w:color="auto"/>
            </w:tcBorders>
            <w:shd w:val="clear" w:color="auto" w:fill="auto"/>
            <w:noWrap/>
            <w:vAlign w:val="center"/>
            <w:hideMark/>
          </w:tcPr>
          <w:p w14:paraId="39BED666"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3,0</w:t>
            </w:r>
          </w:p>
        </w:tc>
        <w:tc>
          <w:tcPr>
            <w:tcW w:w="960" w:type="dxa"/>
            <w:tcBorders>
              <w:top w:val="nil"/>
              <w:left w:val="single" w:sz="8" w:space="0" w:color="auto"/>
              <w:bottom w:val="single" w:sz="8" w:space="0" w:color="auto"/>
              <w:right w:val="nil"/>
            </w:tcBorders>
            <w:shd w:val="clear" w:color="auto" w:fill="auto"/>
            <w:noWrap/>
            <w:vAlign w:val="center"/>
            <w:hideMark/>
          </w:tcPr>
          <w:p w14:paraId="6933CE9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786" w:type="dxa"/>
            <w:tcBorders>
              <w:top w:val="nil"/>
              <w:left w:val="nil"/>
              <w:bottom w:val="single" w:sz="8" w:space="0" w:color="auto"/>
              <w:right w:val="nil"/>
            </w:tcBorders>
            <w:shd w:val="clear" w:color="auto" w:fill="auto"/>
            <w:noWrap/>
            <w:vAlign w:val="center"/>
            <w:hideMark/>
          </w:tcPr>
          <w:p w14:paraId="038A226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r>
      <w:tr w:rsidR="001C4D4E" w:rsidRPr="00E84107" w14:paraId="1F6B1244" w14:textId="77777777">
        <w:trPr>
          <w:trHeight w:val="300"/>
        </w:trPr>
        <w:tc>
          <w:tcPr>
            <w:tcW w:w="2306" w:type="dxa"/>
            <w:tcBorders>
              <w:top w:val="nil"/>
              <w:left w:val="nil"/>
              <w:bottom w:val="single" w:sz="8" w:space="0" w:color="auto"/>
              <w:right w:val="nil"/>
            </w:tcBorders>
            <w:shd w:val="clear" w:color="auto" w:fill="auto"/>
            <w:noWrap/>
            <w:vAlign w:val="center"/>
            <w:hideMark/>
          </w:tcPr>
          <w:p w14:paraId="5FE61699"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Γαλλία</w:t>
            </w:r>
          </w:p>
        </w:tc>
        <w:tc>
          <w:tcPr>
            <w:tcW w:w="829" w:type="dxa"/>
            <w:tcBorders>
              <w:top w:val="nil"/>
              <w:left w:val="nil"/>
              <w:bottom w:val="single" w:sz="8" w:space="0" w:color="auto"/>
              <w:right w:val="nil"/>
            </w:tcBorders>
            <w:shd w:val="clear" w:color="auto" w:fill="auto"/>
            <w:noWrap/>
            <w:vAlign w:val="center"/>
            <w:hideMark/>
          </w:tcPr>
          <w:p w14:paraId="18FDC69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c>
          <w:tcPr>
            <w:tcW w:w="830" w:type="dxa"/>
            <w:tcBorders>
              <w:top w:val="nil"/>
              <w:left w:val="nil"/>
              <w:bottom w:val="single" w:sz="8" w:space="0" w:color="auto"/>
              <w:right w:val="nil"/>
            </w:tcBorders>
            <w:shd w:val="clear" w:color="auto" w:fill="auto"/>
            <w:noWrap/>
            <w:vAlign w:val="center"/>
            <w:hideMark/>
          </w:tcPr>
          <w:p w14:paraId="5AB98FD6"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w:t>
            </w:r>
          </w:p>
        </w:tc>
        <w:tc>
          <w:tcPr>
            <w:tcW w:w="830" w:type="dxa"/>
            <w:tcBorders>
              <w:top w:val="nil"/>
              <w:left w:val="nil"/>
              <w:bottom w:val="single" w:sz="8" w:space="0" w:color="auto"/>
              <w:right w:val="nil"/>
            </w:tcBorders>
            <w:shd w:val="clear" w:color="auto" w:fill="auto"/>
            <w:noWrap/>
            <w:vAlign w:val="center"/>
            <w:hideMark/>
          </w:tcPr>
          <w:p w14:paraId="1BCFE8E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c>
          <w:tcPr>
            <w:tcW w:w="830" w:type="dxa"/>
            <w:tcBorders>
              <w:top w:val="nil"/>
              <w:left w:val="nil"/>
              <w:bottom w:val="single" w:sz="8" w:space="0" w:color="auto"/>
              <w:right w:val="single" w:sz="8" w:space="0" w:color="auto"/>
            </w:tcBorders>
            <w:shd w:val="clear" w:color="auto" w:fill="auto"/>
            <w:noWrap/>
            <w:vAlign w:val="center"/>
            <w:hideMark/>
          </w:tcPr>
          <w:p w14:paraId="122779F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c>
          <w:tcPr>
            <w:tcW w:w="960" w:type="dxa"/>
            <w:tcBorders>
              <w:top w:val="nil"/>
              <w:left w:val="single" w:sz="8" w:space="0" w:color="auto"/>
              <w:bottom w:val="single" w:sz="8" w:space="0" w:color="auto"/>
              <w:right w:val="nil"/>
            </w:tcBorders>
            <w:shd w:val="clear" w:color="auto" w:fill="auto"/>
            <w:noWrap/>
            <w:vAlign w:val="center"/>
            <w:hideMark/>
          </w:tcPr>
          <w:p w14:paraId="0F7E65C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c>
          <w:tcPr>
            <w:tcW w:w="786" w:type="dxa"/>
            <w:tcBorders>
              <w:top w:val="nil"/>
              <w:left w:val="nil"/>
              <w:bottom w:val="single" w:sz="8" w:space="0" w:color="auto"/>
              <w:right w:val="nil"/>
            </w:tcBorders>
            <w:shd w:val="clear" w:color="auto" w:fill="auto"/>
            <w:noWrap/>
            <w:vAlign w:val="center"/>
            <w:hideMark/>
          </w:tcPr>
          <w:p w14:paraId="7F13387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r>
      <w:tr w:rsidR="001C4D4E" w:rsidRPr="00E84107" w14:paraId="6AA705BF" w14:textId="77777777">
        <w:trPr>
          <w:trHeight w:val="300"/>
        </w:trPr>
        <w:tc>
          <w:tcPr>
            <w:tcW w:w="2306" w:type="dxa"/>
            <w:tcBorders>
              <w:top w:val="nil"/>
              <w:left w:val="nil"/>
              <w:bottom w:val="single" w:sz="8" w:space="0" w:color="auto"/>
              <w:right w:val="nil"/>
            </w:tcBorders>
            <w:shd w:val="clear" w:color="auto" w:fill="auto"/>
            <w:noWrap/>
            <w:vAlign w:val="center"/>
            <w:hideMark/>
          </w:tcPr>
          <w:p w14:paraId="69A8821C"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Ιταλία</w:t>
            </w:r>
          </w:p>
        </w:tc>
        <w:tc>
          <w:tcPr>
            <w:tcW w:w="829" w:type="dxa"/>
            <w:tcBorders>
              <w:top w:val="nil"/>
              <w:left w:val="nil"/>
              <w:bottom w:val="single" w:sz="8" w:space="0" w:color="auto"/>
              <w:right w:val="nil"/>
            </w:tcBorders>
            <w:shd w:val="clear" w:color="auto" w:fill="auto"/>
            <w:noWrap/>
            <w:vAlign w:val="center"/>
            <w:hideMark/>
          </w:tcPr>
          <w:p w14:paraId="009449F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nil"/>
            </w:tcBorders>
            <w:shd w:val="clear" w:color="auto" w:fill="auto"/>
            <w:noWrap/>
            <w:vAlign w:val="center"/>
            <w:hideMark/>
          </w:tcPr>
          <w:p w14:paraId="53E70BE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c>
          <w:tcPr>
            <w:tcW w:w="830" w:type="dxa"/>
            <w:tcBorders>
              <w:top w:val="nil"/>
              <w:left w:val="nil"/>
              <w:bottom w:val="single" w:sz="8" w:space="0" w:color="auto"/>
              <w:right w:val="nil"/>
            </w:tcBorders>
            <w:shd w:val="clear" w:color="auto" w:fill="auto"/>
            <w:noWrap/>
            <w:vAlign w:val="center"/>
            <w:hideMark/>
          </w:tcPr>
          <w:p w14:paraId="61C0A86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830" w:type="dxa"/>
            <w:tcBorders>
              <w:top w:val="nil"/>
              <w:left w:val="nil"/>
              <w:bottom w:val="single" w:sz="8" w:space="0" w:color="auto"/>
              <w:right w:val="single" w:sz="8" w:space="0" w:color="auto"/>
            </w:tcBorders>
            <w:shd w:val="clear" w:color="auto" w:fill="auto"/>
            <w:noWrap/>
            <w:vAlign w:val="center"/>
            <w:hideMark/>
          </w:tcPr>
          <w:p w14:paraId="370A97D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960" w:type="dxa"/>
            <w:tcBorders>
              <w:top w:val="nil"/>
              <w:left w:val="single" w:sz="8" w:space="0" w:color="auto"/>
              <w:bottom w:val="single" w:sz="8" w:space="0" w:color="auto"/>
              <w:right w:val="nil"/>
            </w:tcBorders>
            <w:shd w:val="clear" w:color="auto" w:fill="auto"/>
            <w:noWrap/>
            <w:vAlign w:val="center"/>
            <w:hideMark/>
          </w:tcPr>
          <w:p w14:paraId="2C710EE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786" w:type="dxa"/>
            <w:tcBorders>
              <w:top w:val="nil"/>
              <w:left w:val="nil"/>
              <w:bottom w:val="single" w:sz="8" w:space="0" w:color="auto"/>
              <w:right w:val="nil"/>
            </w:tcBorders>
            <w:shd w:val="clear" w:color="auto" w:fill="auto"/>
            <w:noWrap/>
            <w:vAlign w:val="center"/>
            <w:hideMark/>
          </w:tcPr>
          <w:p w14:paraId="08561D1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r>
      <w:tr w:rsidR="001C4D4E" w:rsidRPr="00E84107" w14:paraId="1C6395BC" w14:textId="77777777">
        <w:trPr>
          <w:trHeight w:val="300"/>
        </w:trPr>
        <w:tc>
          <w:tcPr>
            <w:tcW w:w="2306" w:type="dxa"/>
            <w:tcBorders>
              <w:top w:val="nil"/>
              <w:left w:val="nil"/>
              <w:bottom w:val="single" w:sz="8" w:space="0" w:color="auto"/>
              <w:right w:val="nil"/>
            </w:tcBorders>
            <w:shd w:val="clear" w:color="auto" w:fill="auto"/>
            <w:noWrap/>
            <w:vAlign w:val="center"/>
            <w:hideMark/>
          </w:tcPr>
          <w:p w14:paraId="24945D09"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Ουγγαρία</w:t>
            </w:r>
          </w:p>
        </w:tc>
        <w:tc>
          <w:tcPr>
            <w:tcW w:w="829" w:type="dxa"/>
            <w:tcBorders>
              <w:top w:val="nil"/>
              <w:left w:val="nil"/>
              <w:bottom w:val="single" w:sz="8" w:space="0" w:color="auto"/>
              <w:right w:val="nil"/>
            </w:tcBorders>
            <w:shd w:val="clear" w:color="auto" w:fill="auto"/>
            <w:noWrap/>
            <w:vAlign w:val="center"/>
            <w:hideMark/>
          </w:tcPr>
          <w:p w14:paraId="6AC1E44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6,5</w:t>
            </w:r>
          </w:p>
        </w:tc>
        <w:tc>
          <w:tcPr>
            <w:tcW w:w="830" w:type="dxa"/>
            <w:tcBorders>
              <w:top w:val="nil"/>
              <w:left w:val="nil"/>
              <w:bottom w:val="single" w:sz="8" w:space="0" w:color="auto"/>
              <w:right w:val="nil"/>
            </w:tcBorders>
            <w:shd w:val="clear" w:color="auto" w:fill="auto"/>
            <w:noWrap/>
            <w:vAlign w:val="center"/>
            <w:hideMark/>
          </w:tcPr>
          <w:p w14:paraId="2B5F78F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6,3</w:t>
            </w:r>
          </w:p>
        </w:tc>
        <w:tc>
          <w:tcPr>
            <w:tcW w:w="830" w:type="dxa"/>
            <w:tcBorders>
              <w:top w:val="nil"/>
              <w:left w:val="nil"/>
              <w:bottom w:val="single" w:sz="8" w:space="0" w:color="auto"/>
              <w:right w:val="nil"/>
            </w:tcBorders>
            <w:shd w:val="clear" w:color="auto" w:fill="auto"/>
            <w:noWrap/>
            <w:vAlign w:val="center"/>
            <w:hideMark/>
          </w:tcPr>
          <w:p w14:paraId="08B0A1A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830" w:type="dxa"/>
            <w:tcBorders>
              <w:top w:val="nil"/>
              <w:left w:val="nil"/>
              <w:bottom w:val="single" w:sz="8" w:space="0" w:color="auto"/>
              <w:right w:val="single" w:sz="8" w:space="0" w:color="auto"/>
            </w:tcBorders>
            <w:shd w:val="clear" w:color="auto" w:fill="auto"/>
            <w:noWrap/>
            <w:vAlign w:val="center"/>
            <w:hideMark/>
          </w:tcPr>
          <w:p w14:paraId="7B3567A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w:t>
            </w:r>
          </w:p>
        </w:tc>
        <w:tc>
          <w:tcPr>
            <w:tcW w:w="960" w:type="dxa"/>
            <w:tcBorders>
              <w:top w:val="nil"/>
              <w:left w:val="single" w:sz="8" w:space="0" w:color="auto"/>
              <w:bottom w:val="single" w:sz="8" w:space="0" w:color="auto"/>
              <w:right w:val="nil"/>
            </w:tcBorders>
            <w:shd w:val="clear" w:color="auto" w:fill="auto"/>
            <w:noWrap/>
            <w:vAlign w:val="center"/>
            <w:hideMark/>
          </w:tcPr>
          <w:p w14:paraId="4AD6DE3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c>
          <w:tcPr>
            <w:tcW w:w="786" w:type="dxa"/>
            <w:tcBorders>
              <w:top w:val="nil"/>
              <w:left w:val="nil"/>
              <w:bottom w:val="single" w:sz="8" w:space="0" w:color="auto"/>
              <w:right w:val="nil"/>
            </w:tcBorders>
            <w:shd w:val="clear" w:color="auto" w:fill="auto"/>
            <w:noWrap/>
            <w:vAlign w:val="center"/>
            <w:hideMark/>
          </w:tcPr>
          <w:p w14:paraId="3017CEC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r>
      <w:tr w:rsidR="001C4D4E" w:rsidRPr="00E84107" w14:paraId="31FB37BC" w14:textId="77777777">
        <w:trPr>
          <w:trHeight w:val="300"/>
        </w:trPr>
        <w:tc>
          <w:tcPr>
            <w:tcW w:w="2306" w:type="dxa"/>
            <w:tcBorders>
              <w:top w:val="nil"/>
              <w:left w:val="nil"/>
              <w:bottom w:val="single" w:sz="8" w:space="0" w:color="auto"/>
              <w:right w:val="nil"/>
            </w:tcBorders>
            <w:shd w:val="clear" w:color="auto" w:fill="auto"/>
            <w:noWrap/>
            <w:vAlign w:val="center"/>
            <w:hideMark/>
          </w:tcPr>
          <w:p w14:paraId="33741C0C"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Μάλτα</w:t>
            </w:r>
          </w:p>
        </w:tc>
        <w:tc>
          <w:tcPr>
            <w:tcW w:w="829" w:type="dxa"/>
            <w:tcBorders>
              <w:top w:val="nil"/>
              <w:left w:val="nil"/>
              <w:bottom w:val="single" w:sz="8" w:space="0" w:color="auto"/>
              <w:right w:val="nil"/>
            </w:tcBorders>
            <w:shd w:val="clear" w:color="auto" w:fill="auto"/>
            <w:noWrap/>
            <w:vAlign w:val="center"/>
            <w:hideMark/>
          </w:tcPr>
          <w:p w14:paraId="0864CE8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c>
          <w:tcPr>
            <w:tcW w:w="830" w:type="dxa"/>
            <w:tcBorders>
              <w:top w:val="nil"/>
              <w:left w:val="nil"/>
              <w:bottom w:val="single" w:sz="8" w:space="0" w:color="auto"/>
              <w:right w:val="nil"/>
            </w:tcBorders>
            <w:shd w:val="clear" w:color="auto" w:fill="auto"/>
            <w:noWrap/>
            <w:vAlign w:val="center"/>
            <w:hideMark/>
          </w:tcPr>
          <w:p w14:paraId="1E53E68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c>
          <w:tcPr>
            <w:tcW w:w="830" w:type="dxa"/>
            <w:tcBorders>
              <w:top w:val="nil"/>
              <w:left w:val="nil"/>
              <w:bottom w:val="single" w:sz="8" w:space="0" w:color="auto"/>
              <w:right w:val="nil"/>
            </w:tcBorders>
            <w:shd w:val="clear" w:color="auto" w:fill="auto"/>
            <w:noWrap/>
            <w:vAlign w:val="center"/>
            <w:hideMark/>
          </w:tcPr>
          <w:p w14:paraId="13BFF94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830" w:type="dxa"/>
            <w:tcBorders>
              <w:top w:val="nil"/>
              <w:left w:val="nil"/>
              <w:bottom w:val="single" w:sz="8" w:space="0" w:color="auto"/>
              <w:right w:val="single" w:sz="8" w:space="0" w:color="auto"/>
            </w:tcBorders>
            <w:shd w:val="clear" w:color="auto" w:fill="auto"/>
            <w:noWrap/>
            <w:vAlign w:val="center"/>
            <w:hideMark/>
          </w:tcPr>
          <w:p w14:paraId="46CAD4A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c>
          <w:tcPr>
            <w:tcW w:w="960" w:type="dxa"/>
            <w:tcBorders>
              <w:top w:val="nil"/>
              <w:left w:val="single" w:sz="8" w:space="0" w:color="auto"/>
              <w:bottom w:val="single" w:sz="8" w:space="0" w:color="auto"/>
              <w:right w:val="nil"/>
            </w:tcBorders>
            <w:shd w:val="clear" w:color="auto" w:fill="auto"/>
            <w:noWrap/>
            <w:vAlign w:val="center"/>
            <w:hideMark/>
          </w:tcPr>
          <w:p w14:paraId="6E4D3640"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c>
          <w:tcPr>
            <w:tcW w:w="786" w:type="dxa"/>
            <w:tcBorders>
              <w:top w:val="nil"/>
              <w:left w:val="nil"/>
              <w:bottom w:val="single" w:sz="8" w:space="0" w:color="auto"/>
              <w:right w:val="nil"/>
            </w:tcBorders>
            <w:shd w:val="clear" w:color="auto" w:fill="auto"/>
            <w:noWrap/>
            <w:vAlign w:val="center"/>
            <w:hideMark/>
          </w:tcPr>
          <w:p w14:paraId="232733C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r>
      <w:tr w:rsidR="001C4D4E" w:rsidRPr="00E84107" w14:paraId="5A75A1A7" w14:textId="77777777">
        <w:trPr>
          <w:trHeight w:val="300"/>
        </w:trPr>
        <w:tc>
          <w:tcPr>
            <w:tcW w:w="2306" w:type="dxa"/>
            <w:tcBorders>
              <w:top w:val="nil"/>
              <w:left w:val="nil"/>
              <w:bottom w:val="single" w:sz="8" w:space="0" w:color="auto"/>
              <w:right w:val="nil"/>
            </w:tcBorders>
            <w:shd w:val="clear" w:color="auto" w:fill="auto"/>
            <w:noWrap/>
            <w:vAlign w:val="center"/>
            <w:hideMark/>
          </w:tcPr>
          <w:p w14:paraId="0D95EF3B" w14:textId="77777777" w:rsidR="001C4D4E" w:rsidRPr="00E84107" w:rsidRDefault="001C4D4E">
            <w:pPr>
              <w:keepNext/>
              <w:spacing w:after="0" w:line="240" w:lineRule="auto"/>
              <w:rPr>
                <w:rFonts w:ascii="Times New Roman" w:eastAsia="Times New Roman" w:hAnsi="Times New Roman" w:cs="Times New Roman"/>
                <w:b/>
                <w:bCs/>
                <w:noProof/>
                <w:color w:val="000000"/>
              </w:rPr>
            </w:pPr>
            <w:r>
              <w:rPr>
                <w:rFonts w:ascii="Times New Roman" w:hAnsi="Times New Roman"/>
                <w:b/>
                <w:noProof/>
                <w:color w:val="000000"/>
              </w:rPr>
              <w:t>Πολωνία</w:t>
            </w:r>
          </w:p>
        </w:tc>
        <w:tc>
          <w:tcPr>
            <w:tcW w:w="829" w:type="dxa"/>
            <w:tcBorders>
              <w:top w:val="nil"/>
              <w:left w:val="nil"/>
              <w:bottom w:val="single" w:sz="8" w:space="0" w:color="auto"/>
              <w:right w:val="nil"/>
            </w:tcBorders>
            <w:shd w:val="clear" w:color="auto" w:fill="auto"/>
            <w:noWrap/>
            <w:vAlign w:val="center"/>
            <w:hideMark/>
          </w:tcPr>
          <w:p w14:paraId="4C076C4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w:t>
            </w:r>
          </w:p>
        </w:tc>
        <w:tc>
          <w:tcPr>
            <w:tcW w:w="830" w:type="dxa"/>
            <w:tcBorders>
              <w:top w:val="nil"/>
              <w:left w:val="nil"/>
              <w:bottom w:val="single" w:sz="8" w:space="0" w:color="auto"/>
              <w:right w:val="nil"/>
            </w:tcBorders>
            <w:shd w:val="clear" w:color="auto" w:fill="auto"/>
            <w:noWrap/>
            <w:vAlign w:val="center"/>
            <w:hideMark/>
          </w:tcPr>
          <w:p w14:paraId="53D26C7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w:t>
            </w:r>
          </w:p>
        </w:tc>
        <w:tc>
          <w:tcPr>
            <w:tcW w:w="830" w:type="dxa"/>
            <w:tcBorders>
              <w:top w:val="nil"/>
              <w:left w:val="nil"/>
              <w:bottom w:val="single" w:sz="8" w:space="0" w:color="auto"/>
              <w:right w:val="nil"/>
            </w:tcBorders>
            <w:shd w:val="clear" w:color="auto" w:fill="auto"/>
            <w:noWrap/>
            <w:vAlign w:val="center"/>
            <w:hideMark/>
          </w:tcPr>
          <w:p w14:paraId="4A98B8D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3,8</w:t>
            </w:r>
          </w:p>
        </w:tc>
        <w:tc>
          <w:tcPr>
            <w:tcW w:w="830" w:type="dxa"/>
            <w:tcBorders>
              <w:top w:val="nil"/>
              <w:left w:val="nil"/>
              <w:bottom w:val="single" w:sz="8" w:space="0" w:color="auto"/>
              <w:right w:val="single" w:sz="8" w:space="0" w:color="auto"/>
            </w:tcBorders>
            <w:shd w:val="clear" w:color="auto" w:fill="auto"/>
            <w:noWrap/>
            <w:vAlign w:val="center"/>
            <w:hideMark/>
          </w:tcPr>
          <w:p w14:paraId="5FF7401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w:t>
            </w:r>
          </w:p>
        </w:tc>
        <w:tc>
          <w:tcPr>
            <w:tcW w:w="960" w:type="dxa"/>
            <w:tcBorders>
              <w:top w:val="nil"/>
              <w:left w:val="single" w:sz="8" w:space="0" w:color="auto"/>
              <w:bottom w:val="single" w:sz="8" w:space="0" w:color="auto"/>
              <w:right w:val="nil"/>
            </w:tcBorders>
            <w:shd w:val="clear" w:color="auto" w:fill="auto"/>
            <w:noWrap/>
            <w:vAlign w:val="center"/>
            <w:hideMark/>
          </w:tcPr>
          <w:p w14:paraId="2B623FC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5,1</w:t>
            </w:r>
          </w:p>
        </w:tc>
        <w:tc>
          <w:tcPr>
            <w:tcW w:w="786" w:type="dxa"/>
            <w:tcBorders>
              <w:top w:val="nil"/>
              <w:left w:val="nil"/>
              <w:bottom w:val="single" w:sz="8" w:space="0" w:color="auto"/>
              <w:right w:val="nil"/>
            </w:tcBorders>
            <w:shd w:val="clear" w:color="auto" w:fill="auto"/>
            <w:noWrap/>
            <w:vAlign w:val="center"/>
            <w:hideMark/>
          </w:tcPr>
          <w:p w14:paraId="73352FB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r>
      <w:tr w:rsidR="001C4D4E" w:rsidRPr="00E84107" w14:paraId="494B4C01" w14:textId="77777777">
        <w:trPr>
          <w:trHeight w:val="300"/>
        </w:trPr>
        <w:tc>
          <w:tcPr>
            <w:tcW w:w="2306" w:type="dxa"/>
            <w:tcBorders>
              <w:top w:val="nil"/>
              <w:left w:val="nil"/>
              <w:bottom w:val="single" w:sz="8" w:space="0" w:color="auto"/>
              <w:right w:val="nil"/>
            </w:tcBorders>
            <w:shd w:val="clear" w:color="auto" w:fill="auto"/>
            <w:noWrap/>
            <w:vAlign w:val="center"/>
            <w:hideMark/>
          </w:tcPr>
          <w:p w14:paraId="6DC779D4" w14:textId="77777777" w:rsidR="001C4D4E" w:rsidRPr="00E84107" w:rsidRDefault="001C4D4E">
            <w:pPr>
              <w:keepNext/>
              <w:spacing w:after="0" w:line="240" w:lineRule="auto"/>
              <w:rPr>
                <w:rFonts w:ascii="Times New Roman" w:eastAsia="Times New Roman" w:hAnsi="Times New Roman" w:cs="Times New Roman"/>
                <w:b/>
                <w:bCs/>
                <w:noProof/>
              </w:rPr>
            </w:pPr>
            <w:r>
              <w:rPr>
                <w:rFonts w:ascii="Times New Roman" w:hAnsi="Times New Roman"/>
                <w:b/>
                <w:noProof/>
              </w:rPr>
              <w:t>Σλοβενία</w:t>
            </w:r>
          </w:p>
        </w:tc>
        <w:tc>
          <w:tcPr>
            <w:tcW w:w="829" w:type="dxa"/>
            <w:tcBorders>
              <w:top w:val="nil"/>
              <w:left w:val="nil"/>
              <w:bottom w:val="single" w:sz="8" w:space="0" w:color="auto"/>
              <w:right w:val="nil"/>
            </w:tcBorders>
            <w:shd w:val="clear" w:color="auto" w:fill="auto"/>
            <w:noWrap/>
            <w:vAlign w:val="center"/>
            <w:hideMark/>
          </w:tcPr>
          <w:p w14:paraId="1899A504"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4,1</w:t>
            </w:r>
          </w:p>
        </w:tc>
        <w:tc>
          <w:tcPr>
            <w:tcW w:w="830" w:type="dxa"/>
            <w:tcBorders>
              <w:top w:val="nil"/>
              <w:left w:val="nil"/>
              <w:bottom w:val="single" w:sz="8" w:space="0" w:color="auto"/>
              <w:right w:val="nil"/>
            </w:tcBorders>
            <w:shd w:val="clear" w:color="auto" w:fill="auto"/>
            <w:noWrap/>
            <w:vAlign w:val="center"/>
            <w:hideMark/>
          </w:tcPr>
          <w:p w14:paraId="595C4C9D"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4,7</w:t>
            </w:r>
          </w:p>
        </w:tc>
        <w:tc>
          <w:tcPr>
            <w:tcW w:w="830" w:type="dxa"/>
            <w:tcBorders>
              <w:top w:val="nil"/>
              <w:left w:val="nil"/>
              <w:bottom w:val="single" w:sz="8" w:space="0" w:color="auto"/>
              <w:right w:val="nil"/>
            </w:tcBorders>
            <w:shd w:val="clear" w:color="auto" w:fill="auto"/>
            <w:noWrap/>
            <w:vAlign w:val="center"/>
            <w:hideMark/>
          </w:tcPr>
          <w:p w14:paraId="44F40BC9"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5,4</w:t>
            </w:r>
          </w:p>
        </w:tc>
        <w:tc>
          <w:tcPr>
            <w:tcW w:w="830" w:type="dxa"/>
            <w:tcBorders>
              <w:top w:val="nil"/>
              <w:left w:val="nil"/>
              <w:bottom w:val="single" w:sz="8" w:space="0" w:color="auto"/>
              <w:right w:val="single" w:sz="8" w:space="0" w:color="auto"/>
            </w:tcBorders>
            <w:shd w:val="clear" w:color="auto" w:fill="auto"/>
            <w:noWrap/>
            <w:vAlign w:val="center"/>
            <w:hideMark/>
          </w:tcPr>
          <w:p w14:paraId="6174F54F"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5,3</w:t>
            </w:r>
          </w:p>
        </w:tc>
        <w:tc>
          <w:tcPr>
            <w:tcW w:w="960" w:type="dxa"/>
            <w:tcBorders>
              <w:top w:val="nil"/>
              <w:left w:val="single" w:sz="8" w:space="0" w:color="auto"/>
              <w:bottom w:val="single" w:sz="8" w:space="0" w:color="auto"/>
              <w:right w:val="nil"/>
            </w:tcBorders>
            <w:shd w:val="clear" w:color="auto" w:fill="auto"/>
            <w:noWrap/>
            <w:vAlign w:val="center"/>
            <w:hideMark/>
          </w:tcPr>
          <w:p w14:paraId="5EF3C8FD"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5,8</w:t>
            </w:r>
          </w:p>
        </w:tc>
        <w:tc>
          <w:tcPr>
            <w:tcW w:w="786" w:type="dxa"/>
            <w:tcBorders>
              <w:top w:val="nil"/>
              <w:left w:val="nil"/>
              <w:bottom w:val="single" w:sz="8" w:space="0" w:color="auto"/>
              <w:right w:val="nil"/>
            </w:tcBorders>
            <w:shd w:val="clear" w:color="auto" w:fill="auto"/>
            <w:noWrap/>
            <w:vAlign w:val="center"/>
            <w:hideMark/>
          </w:tcPr>
          <w:p w14:paraId="49728453"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5,4</w:t>
            </w:r>
          </w:p>
        </w:tc>
      </w:tr>
      <w:tr w:rsidR="001C4D4E" w:rsidRPr="00E84107" w14:paraId="24734D96" w14:textId="77777777">
        <w:trPr>
          <w:trHeight w:val="300"/>
        </w:trPr>
        <w:tc>
          <w:tcPr>
            <w:tcW w:w="2306" w:type="dxa"/>
            <w:tcBorders>
              <w:top w:val="nil"/>
              <w:left w:val="nil"/>
              <w:bottom w:val="single" w:sz="8" w:space="0" w:color="auto"/>
              <w:right w:val="nil"/>
            </w:tcBorders>
            <w:shd w:val="clear" w:color="auto" w:fill="auto"/>
            <w:noWrap/>
            <w:vAlign w:val="center"/>
            <w:hideMark/>
          </w:tcPr>
          <w:p w14:paraId="68AF92C2" w14:textId="77777777" w:rsidR="001C4D4E" w:rsidRPr="00E84107" w:rsidRDefault="001C4D4E">
            <w:pPr>
              <w:keepNext/>
              <w:spacing w:after="0" w:line="240" w:lineRule="auto"/>
              <w:rPr>
                <w:rFonts w:ascii="Times New Roman" w:eastAsia="Times New Roman" w:hAnsi="Times New Roman" w:cs="Times New Roman"/>
                <w:b/>
                <w:bCs/>
                <w:noProof/>
              </w:rPr>
            </w:pPr>
            <w:r>
              <w:rPr>
                <w:rFonts w:ascii="Times New Roman" w:hAnsi="Times New Roman"/>
                <w:b/>
                <w:noProof/>
              </w:rPr>
              <w:t>Σλοβακία</w:t>
            </w:r>
          </w:p>
        </w:tc>
        <w:tc>
          <w:tcPr>
            <w:tcW w:w="829" w:type="dxa"/>
            <w:tcBorders>
              <w:top w:val="nil"/>
              <w:left w:val="nil"/>
              <w:bottom w:val="single" w:sz="8" w:space="0" w:color="auto"/>
              <w:right w:val="nil"/>
            </w:tcBorders>
            <w:shd w:val="clear" w:color="auto" w:fill="auto"/>
            <w:noWrap/>
            <w:vAlign w:val="center"/>
            <w:hideMark/>
          </w:tcPr>
          <w:p w14:paraId="329E18DC"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3,4</w:t>
            </w:r>
          </w:p>
        </w:tc>
        <w:tc>
          <w:tcPr>
            <w:tcW w:w="830" w:type="dxa"/>
            <w:tcBorders>
              <w:top w:val="nil"/>
              <w:left w:val="nil"/>
              <w:bottom w:val="single" w:sz="8" w:space="0" w:color="auto"/>
              <w:right w:val="nil"/>
            </w:tcBorders>
            <w:shd w:val="clear" w:color="auto" w:fill="auto"/>
            <w:noWrap/>
            <w:vAlign w:val="center"/>
            <w:hideMark/>
          </w:tcPr>
          <w:p w14:paraId="762C777A"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3,1</w:t>
            </w:r>
          </w:p>
        </w:tc>
        <w:tc>
          <w:tcPr>
            <w:tcW w:w="830" w:type="dxa"/>
            <w:tcBorders>
              <w:top w:val="nil"/>
              <w:left w:val="nil"/>
              <w:bottom w:val="single" w:sz="8" w:space="0" w:color="auto"/>
              <w:right w:val="nil"/>
            </w:tcBorders>
            <w:shd w:val="clear" w:color="auto" w:fill="auto"/>
            <w:noWrap/>
            <w:vAlign w:val="center"/>
            <w:hideMark/>
          </w:tcPr>
          <w:p w14:paraId="22F06F12"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3,1</w:t>
            </w:r>
          </w:p>
        </w:tc>
        <w:tc>
          <w:tcPr>
            <w:tcW w:w="830" w:type="dxa"/>
            <w:tcBorders>
              <w:top w:val="nil"/>
              <w:left w:val="nil"/>
              <w:bottom w:val="single" w:sz="8" w:space="0" w:color="auto"/>
              <w:right w:val="single" w:sz="8" w:space="0" w:color="auto"/>
            </w:tcBorders>
            <w:shd w:val="clear" w:color="auto" w:fill="auto"/>
            <w:noWrap/>
            <w:vAlign w:val="center"/>
            <w:hideMark/>
          </w:tcPr>
          <w:p w14:paraId="7CE1C0CE"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4,7</w:t>
            </w:r>
          </w:p>
        </w:tc>
        <w:tc>
          <w:tcPr>
            <w:tcW w:w="960" w:type="dxa"/>
            <w:tcBorders>
              <w:top w:val="nil"/>
              <w:left w:val="single" w:sz="8" w:space="0" w:color="auto"/>
              <w:bottom w:val="single" w:sz="8" w:space="0" w:color="auto"/>
              <w:right w:val="nil"/>
            </w:tcBorders>
            <w:shd w:val="clear" w:color="auto" w:fill="auto"/>
            <w:noWrap/>
            <w:vAlign w:val="center"/>
            <w:hideMark/>
          </w:tcPr>
          <w:p w14:paraId="7BAE92AC"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4,1</w:t>
            </w:r>
          </w:p>
        </w:tc>
        <w:tc>
          <w:tcPr>
            <w:tcW w:w="786" w:type="dxa"/>
            <w:tcBorders>
              <w:top w:val="nil"/>
              <w:left w:val="nil"/>
              <w:bottom w:val="single" w:sz="8" w:space="0" w:color="auto"/>
              <w:right w:val="nil"/>
            </w:tcBorders>
            <w:shd w:val="clear" w:color="auto" w:fill="auto"/>
            <w:noWrap/>
            <w:vAlign w:val="center"/>
            <w:hideMark/>
          </w:tcPr>
          <w:p w14:paraId="733DC9CA"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4,5</w:t>
            </w:r>
          </w:p>
        </w:tc>
      </w:tr>
      <w:tr w:rsidR="001C4D4E" w:rsidRPr="00E84107" w14:paraId="5247C14D" w14:textId="77777777">
        <w:trPr>
          <w:trHeight w:val="300"/>
        </w:trPr>
        <w:tc>
          <w:tcPr>
            <w:tcW w:w="2306" w:type="dxa"/>
            <w:tcBorders>
              <w:top w:val="nil"/>
              <w:left w:val="nil"/>
              <w:bottom w:val="single" w:sz="8" w:space="0" w:color="auto"/>
              <w:right w:val="nil"/>
            </w:tcBorders>
            <w:shd w:val="clear" w:color="auto" w:fill="auto"/>
            <w:noWrap/>
            <w:vAlign w:val="center"/>
            <w:hideMark/>
          </w:tcPr>
          <w:p w14:paraId="76742910" w14:textId="77777777" w:rsidR="001C4D4E" w:rsidRPr="00E84107" w:rsidRDefault="001C4D4E">
            <w:pPr>
              <w:keepNext/>
              <w:spacing w:after="0" w:line="240" w:lineRule="auto"/>
              <w:rPr>
                <w:rFonts w:ascii="Times New Roman" w:eastAsia="Times New Roman" w:hAnsi="Times New Roman" w:cs="Times New Roman"/>
                <w:b/>
                <w:bCs/>
                <w:noProof/>
              </w:rPr>
            </w:pPr>
            <w:r>
              <w:rPr>
                <w:rFonts w:ascii="Times New Roman" w:hAnsi="Times New Roman"/>
                <w:b/>
                <w:noProof/>
              </w:rPr>
              <w:t>Φινλανδία</w:t>
            </w:r>
          </w:p>
        </w:tc>
        <w:tc>
          <w:tcPr>
            <w:tcW w:w="829" w:type="dxa"/>
            <w:tcBorders>
              <w:top w:val="nil"/>
              <w:left w:val="nil"/>
              <w:bottom w:val="single" w:sz="8" w:space="0" w:color="auto"/>
              <w:right w:val="nil"/>
            </w:tcBorders>
            <w:shd w:val="clear" w:color="auto" w:fill="auto"/>
            <w:noWrap/>
            <w:vAlign w:val="center"/>
            <w:hideMark/>
          </w:tcPr>
          <w:p w14:paraId="61584625"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4,8</w:t>
            </w:r>
          </w:p>
        </w:tc>
        <w:tc>
          <w:tcPr>
            <w:tcW w:w="830" w:type="dxa"/>
            <w:tcBorders>
              <w:top w:val="nil"/>
              <w:left w:val="nil"/>
              <w:bottom w:val="single" w:sz="8" w:space="0" w:color="auto"/>
              <w:right w:val="nil"/>
            </w:tcBorders>
            <w:shd w:val="clear" w:color="auto" w:fill="auto"/>
            <w:noWrap/>
            <w:vAlign w:val="center"/>
            <w:hideMark/>
          </w:tcPr>
          <w:p w14:paraId="1287D2AF"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4,2</w:t>
            </w:r>
          </w:p>
        </w:tc>
        <w:tc>
          <w:tcPr>
            <w:tcW w:w="830" w:type="dxa"/>
            <w:tcBorders>
              <w:top w:val="nil"/>
              <w:left w:val="nil"/>
              <w:bottom w:val="single" w:sz="8" w:space="0" w:color="auto"/>
              <w:right w:val="nil"/>
            </w:tcBorders>
            <w:shd w:val="clear" w:color="auto" w:fill="auto"/>
            <w:noWrap/>
            <w:vAlign w:val="center"/>
            <w:hideMark/>
          </w:tcPr>
          <w:p w14:paraId="7FAA43DC"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4,2</w:t>
            </w:r>
          </w:p>
        </w:tc>
        <w:tc>
          <w:tcPr>
            <w:tcW w:w="830" w:type="dxa"/>
            <w:tcBorders>
              <w:top w:val="nil"/>
              <w:left w:val="nil"/>
              <w:bottom w:val="single" w:sz="8" w:space="0" w:color="auto"/>
              <w:right w:val="single" w:sz="8" w:space="0" w:color="auto"/>
            </w:tcBorders>
            <w:shd w:val="clear" w:color="auto" w:fill="auto"/>
            <w:noWrap/>
            <w:vAlign w:val="center"/>
            <w:hideMark/>
          </w:tcPr>
          <w:p w14:paraId="41FA4948"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4,0</w:t>
            </w:r>
          </w:p>
        </w:tc>
        <w:tc>
          <w:tcPr>
            <w:tcW w:w="960" w:type="dxa"/>
            <w:tcBorders>
              <w:top w:val="single" w:sz="8" w:space="0" w:color="auto"/>
              <w:left w:val="single" w:sz="8" w:space="0" w:color="auto"/>
              <w:bottom w:val="single" w:sz="8" w:space="0" w:color="auto"/>
              <w:right w:val="nil"/>
            </w:tcBorders>
            <w:shd w:val="clear" w:color="auto" w:fill="auto"/>
            <w:noWrap/>
            <w:vAlign w:val="center"/>
            <w:hideMark/>
          </w:tcPr>
          <w:p w14:paraId="39DA1A76"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4,2</w:t>
            </w:r>
          </w:p>
        </w:tc>
        <w:tc>
          <w:tcPr>
            <w:tcW w:w="786" w:type="dxa"/>
            <w:tcBorders>
              <w:top w:val="nil"/>
              <w:left w:val="nil"/>
              <w:bottom w:val="single" w:sz="8" w:space="0" w:color="auto"/>
              <w:right w:val="nil"/>
            </w:tcBorders>
            <w:shd w:val="clear" w:color="auto" w:fill="auto"/>
            <w:noWrap/>
            <w:vAlign w:val="center"/>
            <w:hideMark/>
          </w:tcPr>
          <w:p w14:paraId="7F35E965" w14:textId="77777777" w:rsidR="001C4D4E" w:rsidRPr="00E84107" w:rsidRDefault="001C4D4E">
            <w:pPr>
              <w:keepNext/>
              <w:spacing w:after="0" w:line="240" w:lineRule="auto"/>
              <w:jc w:val="right"/>
              <w:rPr>
                <w:rFonts w:ascii="Times New Roman" w:eastAsia="Times New Roman" w:hAnsi="Times New Roman" w:cs="Times New Roman"/>
                <w:noProof/>
              </w:rPr>
            </w:pPr>
            <w:r>
              <w:rPr>
                <w:rFonts w:ascii="Times New Roman" w:hAnsi="Times New Roman"/>
                <w:noProof/>
              </w:rPr>
              <w:t>4,7</w:t>
            </w:r>
          </w:p>
        </w:tc>
      </w:tr>
      <w:tr w:rsidR="001C4D4E" w:rsidRPr="00E84107" w14:paraId="517DEB63" w14:textId="77777777">
        <w:trPr>
          <w:trHeight w:val="300"/>
        </w:trPr>
        <w:tc>
          <w:tcPr>
            <w:tcW w:w="5625" w:type="dxa"/>
            <w:gridSpan w:val="5"/>
            <w:tcBorders>
              <w:top w:val="single" w:sz="8" w:space="0" w:color="auto"/>
              <w:left w:val="nil"/>
              <w:bottom w:val="single" w:sz="8" w:space="0" w:color="auto"/>
            </w:tcBorders>
            <w:shd w:val="clear" w:color="auto" w:fill="auto"/>
            <w:noWrap/>
            <w:vAlign w:val="center"/>
            <w:hideMark/>
          </w:tcPr>
          <w:p w14:paraId="25CF7952" w14:textId="77777777" w:rsidR="001C4D4E" w:rsidRPr="00E84107" w:rsidRDefault="001C4D4E">
            <w:pPr>
              <w:keepNext/>
              <w:spacing w:after="0" w:line="240" w:lineRule="auto"/>
              <w:rPr>
                <w:rFonts w:ascii="Times New Roman" w:eastAsia="Times New Roman" w:hAnsi="Times New Roman" w:cs="Times New Roman"/>
                <w:i/>
                <w:iCs/>
                <w:noProof/>
                <w:color w:val="000000"/>
              </w:rPr>
            </w:pPr>
            <w:r>
              <w:rPr>
                <w:rFonts w:ascii="Times New Roman" w:hAnsi="Times New Roman"/>
                <w:i/>
                <w:noProof/>
                <w:color w:val="000000"/>
              </w:rPr>
              <w:t>κράτη μέλη που δεν εξετάζονται στην παρούσα έκθεση</w:t>
            </w:r>
          </w:p>
        </w:tc>
        <w:tc>
          <w:tcPr>
            <w:tcW w:w="960" w:type="dxa"/>
            <w:tcBorders>
              <w:top w:val="single" w:sz="8" w:space="0" w:color="auto"/>
              <w:bottom w:val="single" w:sz="8" w:space="0" w:color="auto"/>
              <w:right w:val="nil"/>
            </w:tcBorders>
            <w:shd w:val="clear" w:color="auto" w:fill="auto"/>
            <w:noWrap/>
            <w:vAlign w:val="center"/>
            <w:hideMark/>
          </w:tcPr>
          <w:p w14:paraId="236E0A2B" w14:textId="77777777" w:rsidR="001C4D4E" w:rsidRPr="00E84107" w:rsidRDefault="001C4D4E">
            <w:pPr>
              <w:keepNext/>
              <w:spacing w:after="0" w:line="240" w:lineRule="auto"/>
              <w:rPr>
                <w:rFonts w:ascii="Times New Roman" w:eastAsia="Times New Roman" w:hAnsi="Times New Roman" w:cs="Times New Roman"/>
                <w:i/>
                <w:iCs/>
                <w:noProof/>
                <w:color w:val="000000"/>
              </w:rPr>
            </w:pPr>
            <w:r>
              <w:rPr>
                <w:rFonts w:ascii="Times New Roman" w:hAnsi="Times New Roman"/>
                <w:i/>
                <w:noProof/>
                <w:color w:val="000000"/>
              </w:rPr>
              <w:t xml:space="preserve"> </w:t>
            </w:r>
          </w:p>
        </w:tc>
        <w:tc>
          <w:tcPr>
            <w:tcW w:w="786" w:type="dxa"/>
            <w:tcBorders>
              <w:top w:val="nil"/>
              <w:left w:val="nil"/>
              <w:bottom w:val="single" w:sz="8" w:space="0" w:color="auto"/>
              <w:right w:val="nil"/>
            </w:tcBorders>
            <w:shd w:val="clear" w:color="auto" w:fill="auto"/>
            <w:noWrap/>
            <w:vAlign w:val="center"/>
            <w:hideMark/>
          </w:tcPr>
          <w:p w14:paraId="4F88E31F" w14:textId="77777777" w:rsidR="001C4D4E" w:rsidRPr="00E84107" w:rsidRDefault="001C4D4E">
            <w:pPr>
              <w:keepNext/>
              <w:spacing w:after="0" w:line="240" w:lineRule="auto"/>
              <w:rPr>
                <w:rFonts w:ascii="Times New Roman" w:eastAsia="Times New Roman" w:hAnsi="Times New Roman" w:cs="Times New Roman"/>
                <w:i/>
                <w:iCs/>
                <w:noProof/>
                <w:color w:val="000000"/>
              </w:rPr>
            </w:pPr>
            <w:r>
              <w:rPr>
                <w:rFonts w:ascii="Times New Roman" w:hAnsi="Times New Roman"/>
                <w:i/>
                <w:noProof/>
                <w:color w:val="000000"/>
              </w:rPr>
              <w:t xml:space="preserve"> </w:t>
            </w:r>
          </w:p>
        </w:tc>
      </w:tr>
      <w:tr w:rsidR="001C4D4E" w:rsidRPr="00E84107" w14:paraId="0F0E1DB1" w14:textId="77777777">
        <w:trPr>
          <w:trHeight w:val="300"/>
        </w:trPr>
        <w:tc>
          <w:tcPr>
            <w:tcW w:w="2306" w:type="dxa"/>
            <w:tcBorders>
              <w:top w:val="nil"/>
              <w:left w:val="nil"/>
              <w:bottom w:val="single" w:sz="8" w:space="0" w:color="auto"/>
              <w:right w:val="nil"/>
            </w:tcBorders>
            <w:shd w:val="clear" w:color="auto" w:fill="auto"/>
            <w:noWrap/>
            <w:vAlign w:val="center"/>
            <w:hideMark/>
          </w:tcPr>
          <w:p w14:paraId="66BC079C"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Βουλγαρία</w:t>
            </w:r>
          </w:p>
        </w:tc>
        <w:tc>
          <w:tcPr>
            <w:tcW w:w="829" w:type="dxa"/>
            <w:tcBorders>
              <w:top w:val="nil"/>
              <w:left w:val="nil"/>
              <w:bottom w:val="single" w:sz="8" w:space="0" w:color="auto"/>
              <w:right w:val="nil"/>
            </w:tcBorders>
            <w:shd w:val="clear" w:color="auto" w:fill="auto"/>
            <w:noWrap/>
            <w:vAlign w:val="center"/>
            <w:hideMark/>
          </w:tcPr>
          <w:p w14:paraId="567CD2E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w:t>
            </w:r>
          </w:p>
        </w:tc>
        <w:tc>
          <w:tcPr>
            <w:tcW w:w="830" w:type="dxa"/>
            <w:tcBorders>
              <w:top w:val="nil"/>
              <w:left w:val="nil"/>
              <w:bottom w:val="single" w:sz="8" w:space="0" w:color="auto"/>
              <w:right w:val="nil"/>
            </w:tcBorders>
            <w:shd w:val="clear" w:color="auto" w:fill="auto"/>
            <w:noWrap/>
            <w:vAlign w:val="center"/>
            <w:hideMark/>
          </w:tcPr>
          <w:p w14:paraId="0DB48D1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830" w:type="dxa"/>
            <w:tcBorders>
              <w:top w:val="nil"/>
              <w:left w:val="nil"/>
              <w:bottom w:val="single" w:sz="8" w:space="0" w:color="auto"/>
              <w:right w:val="nil"/>
            </w:tcBorders>
            <w:shd w:val="clear" w:color="auto" w:fill="auto"/>
            <w:noWrap/>
            <w:vAlign w:val="center"/>
            <w:hideMark/>
          </w:tcPr>
          <w:p w14:paraId="6296622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2,3</w:t>
            </w:r>
          </w:p>
        </w:tc>
        <w:tc>
          <w:tcPr>
            <w:tcW w:w="830" w:type="dxa"/>
            <w:tcBorders>
              <w:top w:val="nil"/>
              <w:left w:val="nil"/>
              <w:bottom w:val="single" w:sz="8" w:space="0" w:color="auto"/>
              <w:right w:val="single" w:sz="8" w:space="0" w:color="auto"/>
            </w:tcBorders>
            <w:shd w:val="clear" w:color="auto" w:fill="auto"/>
            <w:noWrap/>
            <w:vAlign w:val="center"/>
            <w:hideMark/>
          </w:tcPr>
          <w:p w14:paraId="3E40837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c>
          <w:tcPr>
            <w:tcW w:w="960" w:type="dxa"/>
            <w:tcBorders>
              <w:top w:val="nil"/>
              <w:left w:val="single" w:sz="8" w:space="0" w:color="auto"/>
              <w:bottom w:val="single" w:sz="8" w:space="0" w:color="auto"/>
              <w:right w:val="nil"/>
            </w:tcBorders>
            <w:shd w:val="clear" w:color="auto" w:fill="auto"/>
            <w:noWrap/>
            <w:vAlign w:val="center"/>
            <w:hideMark/>
          </w:tcPr>
          <w:p w14:paraId="4BFFDAB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786" w:type="dxa"/>
            <w:tcBorders>
              <w:top w:val="nil"/>
              <w:left w:val="nil"/>
              <w:bottom w:val="single" w:sz="8" w:space="0" w:color="auto"/>
              <w:right w:val="nil"/>
            </w:tcBorders>
            <w:shd w:val="clear" w:color="auto" w:fill="auto"/>
            <w:noWrap/>
            <w:vAlign w:val="center"/>
            <w:hideMark/>
          </w:tcPr>
          <w:p w14:paraId="3175CB8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r>
      <w:tr w:rsidR="001C4D4E" w:rsidRPr="00E84107" w14:paraId="558BA429" w14:textId="77777777">
        <w:trPr>
          <w:trHeight w:val="300"/>
        </w:trPr>
        <w:tc>
          <w:tcPr>
            <w:tcW w:w="2306" w:type="dxa"/>
            <w:tcBorders>
              <w:top w:val="nil"/>
              <w:left w:val="nil"/>
              <w:bottom w:val="single" w:sz="8" w:space="0" w:color="auto"/>
              <w:right w:val="nil"/>
            </w:tcBorders>
            <w:shd w:val="clear" w:color="auto" w:fill="auto"/>
            <w:noWrap/>
            <w:vAlign w:val="center"/>
            <w:hideMark/>
          </w:tcPr>
          <w:p w14:paraId="2B95B764"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Δανία</w:t>
            </w:r>
          </w:p>
        </w:tc>
        <w:tc>
          <w:tcPr>
            <w:tcW w:w="829" w:type="dxa"/>
            <w:tcBorders>
              <w:top w:val="nil"/>
              <w:left w:val="nil"/>
              <w:bottom w:val="single" w:sz="8" w:space="0" w:color="auto"/>
              <w:right w:val="nil"/>
            </w:tcBorders>
            <w:shd w:val="clear" w:color="auto" w:fill="auto"/>
            <w:noWrap/>
            <w:vAlign w:val="center"/>
            <w:hideMark/>
          </w:tcPr>
          <w:p w14:paraId="29A931A0"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830" w:type="dxa"/>
            <w:tcBorders>
              <w:top w:val="nil"/>
              <w:left w:val="nil"/>
              <w:bottom w:val="single" w:sz="8" w:space="0" w:color="auto"/>
              <w:right w:val="nil"/>
            </w:tcBorders>
            <w:shd w:val="clear" w:color="auto" w:fill="auto"/>
            <w:noWrap/>
            <w:vAlign w:val="center"/>
            <w:hideMark/>
          </w:tcPr>
          <w:p w14:paraId="5AE186B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830" w:type="dxa"/>
            <w:tcBorders>
              <w:top w:val="nil"/>
              <w:left w:val="nil"/>
              <w:bottom w:val="single" w:sz="8" w:space="0" w:color="auto"/>
              <w:right w:val="nil"/>
            </w:tcBorders>
            <w:shd w:val="clear" w:color="auto" w:fill="auto"/>
            <w:noWrap/>
            <w:vAlign w:val="center"/>
            <w:hideMark/>
          </w:tcPr>
          <w:p w14:paraId="18FAE2A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830" w:type="dxa"/>
            <w:tcBorders>
              <w:top w:val="nil"/>
              <w:left w:val="nil"/>
              <w:bottom w:val="single" w:sz="8" w:space="0" w:color="auto"/>
              <w:right w:val="single" w:sz="8" w:space="0" w:color="auto"/>
            </w:tcBorders>
            <w:shd w:val="clear" w:color="auto" w:fill="auto"/>
            <w:noWrap/>
            <w:vAlign w:val="center"/>
            <w:hideMark/>
          </w:tcPr>
          <w:p w14:paraId="6BD6841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960" w:type="dxa"/>
            <w:tcBorders>
              <w:top w:val="nil"/>
              <w:left w:val="single" w:sz="8" w:space="0" w:color="auto"/>
              <w:bottom w:val="single" w:sz="8" w:space="0" w:color="auto"/>
              <w:right w:val="nil"/>
            </w:tcBorders>
            <w:shd w:val="clear" w:color="auto" w:fill="auto"/>
            <w:noWrap/>
            <w:vAlign w:val="center"/>
            <w:hideMark/>
          </w:tcPr>
          <w:p w14:paraId="1F95B17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w:t>
            </w:r>
          </w:p>
        </w:tc>
        <w:tc>
          <w:tcPr>
            <w:tcW w:w="786" w:type="dxa"/>
            <w:tcBorders>
              <w:top w:val="nil"/>
              <w:left w:val="nil"/>
              <w:bottom w:val="single" w:sz="8" w:space="0" w:color="auto"/>
              <w:right w:val="nil"/>
            </w:tcBorders>
            <w:shd w:val="clear" w:color="auto" w:fill="auto"/>
            <w:noWrap/>
            <w:vAlign w:val="center"/>
            <w:hideMark/>
          </w:tcPr>
          <w:p w14:paraId="4CC5A65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w:t>
            </w:r>
          </w:p>
        </w:tc>
      </w:tr>
      <w:tr w:rsidR="001C4D4E" w:rsidRPr="00E84107" w14:paraId="5E815998" w14:textId="77777777">
        <w:trPr>
          <w:trHeight w:val="300"/>
        </w:trPr>
        <w:tc>
          <w:tcPr>
            <w:tcW w:w="2306" w:type="dxa"/>
            <w:tcBorders>
              <w:top w:val="nil"/>
              <w:left w:val="nil"/>
              <w:bottom w:val="single" w:sz="8" w:space="0" w:color="auto"/>
              <w:right w:val="nil"/>
            </w:tcBorders>
            <w:shd w:val="clear" w:color="auto" w:fill="auto"/>
            <w:noWrap/>
            <w:vAlign w:val="center"/>
            <w:hideMark/>
          </w:tcPr>
          <w:p w14:paraId="69258E16"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Γερμανία</w:t>
            </w:r>
          </w:p>
        </w:tc>
        <w:tc>
          <w:tcPr>
            <w:tcW w:w="829" w:type="dxa"/>
            <w:tcBorders>
              <w:top w:val="nil"/>
              <w:left w:val="nil"/>
              <w:bottom w:val="single" w:sz="8" w:space="0" w:color="auto"/>
              <w:right w:val="nil"/>
            </w:tcBorders>
            <w:shd w:val="clear" w:color="auto" w:fill="auto"/>
            <w:noWrap/>
            <w:vAlign w:val="center"/>
            <w:hideMark/>
          </w:tcPr>
          <w:p w14:paraId="60C8CFF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830" w:type="dxa"/>
            <w:tcBorders>
              <w:top w:val="nil"/>
              <w:left w:val="nil"/>
              <w:bottom w:val="single" w:sz="8" w:space="0" w:color="auto"/>
              <w:right w:val="nil"/>
            </w:tcBorders>
            <w:shd w:val="clear" w:color="auto" w:fill="auto"/>
            <w:noWrap/>
            <w:vAlign w:val="center"/>
            <w:hideMark/>
          </w:tcPr>
          <w:p w14:paraId="12DFE94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nil"/>
            </w:tcBorders>
            <w:shd w:val="clear" w:color="auto" w:fill="auto"/>
            <w:noWrap/>
            <w:vAlign w:val="center"/>
            <w:hideMark/>
          </w:tcPr>
          <w:p w14:paraId="33048CB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single" w:sz="8" w:space="0" w:color="auto"/>
            </w:tcBorders>
            <w:shd w:val="clear" w:color="auto" w:fill="auto"/>
            <w:noWrap/>
            <w:vAlign w:val="center"/>
            <w:hideMark/>
          </w:tcPr>
          <w:p w14:paraId="5096954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c>
          <w:tcPr>
            <w:tcW w:w="960" w:type="dxa"/>
            <w:tcBorders>
              <w:top w:val="nil"/>
              <w:left w:val="single" w:sz="8" w:space="0" w:color="auto"/>
              <w:bottom w:val="single" w:sz="8" w:space="0" w:color="auto"/>
              <w:right w:val="nil"/>
            </w:tcBorders>
            <w:shd w:val="clear" w:color="auto" w:fill="auto"/>
            <w:noWrap/>
            <w:vAlign w:val="center"/>
            <w:hideMark/>
          </w:tcPr>
          <w:p w14:paraId="3BEAA8D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786" w:type="dxa"/>
            <w:tcBorders>
              <w:top w:val="nil"/>
              <w:left w:val="nil"/>
              <w:bottom w:val="single" w:sz="8" w:space="0" w:color="auto"/>
              <w:right w:val="nil"/>
            </w:tcBorders>
            <w:shd w:val="clear" w:color="auto" w:fill="auto"/>
            <w:noWrap/>
            <w:vAlign w:val="center"/>
            <w:hideMark/>
          </w:tcPr>
          <w:p w14:paraId="345C930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2,9</w:t>
            </w:r>
          </w:p>
        </w:tc>
      </w:tr>
      <w:tr w:rsidR="001C4D4E" w:rsidRPr="00E84107" w14:paraId="3EDF701B" w14:textId="77777777">
        <w:trPr>
          <w:trHeight w:val="300"/>
        </w:trPr>
        <w:tc>
          <w:tcPr>
            <w:tcW w:w="2306" w:type="dxa"/>
            <w:tcBorders>
              <w:top w:val="nil"/>
              <w:left w:val="nil"/>
              <w:bottom w:val="single" w:sz="8" w:space="0" w:color="auto"/>
              <w:right w:val="nil"/>
            </w:tcBorders>
            <w:shd w:val="clear" w:color="auto" w:fill="auto"/>
            <w:noWrap/>
            <w:vAlign w:val="center"/>
            <w:hideMark/>
          </w:tcPr>
          <w:p w14:paraId="23570532"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Ιρλανδία</w:t>
            </w:r>
          </w:p>
        </w:tc>
        <w:tc>
          <w:tcPr>
            <w:tcW w:w="829" w:type="dxa"/>
            <w:tcBorders>
              <w:top w:val="nil"/>
              <w:left w:val="nil"/>
              <w:bottom w:val="single" w:sz="8" w:space="0" w:color="auto"/>
              <w:right w:val="nil"/>
            </w:tcBorders>
            <w:shd w:val="clear" w:color="auto" w:fill="auto"/>
            <w:noWrap/>
            <w:vAlign w:val="center"/>
            <w:hideMark/>
          </w:tcPr>
          <w:p w14:paraId="5C6F14F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w:t>
            </w:r>
          </w:p>
        </w:tc>
        <w:tc>
          <w:tcPr>
            <w:tcW w:w="830" w:type="dxa"/>
            <w:tcBorders>
              <w:top w:val="nil"/>
              <w:left w:val="nil"/>
              <w:bottom w:val="single" w:sz="8" w:space="0" w:color="auto"/>
              <w:right w:val="nil"/>
            </w:tcBorders>
            <w:shd w:val="clear" w:color="auto" w:fill="auto"/>
            <w:noWrap/>
            <w:vAlign w:val="center"/>
            <w:hideMark/>
          </w:tcPr>
          <w:p w14:paraId="2C855F9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2,1</w:t>
            </w:r>
          </w:p>
        </w:tc>
        <w:tc>
          <w:tcPr>
            <w:tcW w:w="830" w:type="dxa"/>
            <w:tcBorders>
              <w:top w:val="nil"/>
              <w:left w:val="nil"/>
              <w:bottom w:val="single" w:sz="8" w:space="0" w:color="auto"/>
              <w:right w:val="nil"/>
            </w:tcBorders>
            <w:shd w:val="clear" w:color="auto" w:fill="auto"/>
            <w:noWrap/>
            <w:vAlign w:val="center"/>
            <w:hideMark/>
          </w:tcPr>
          <w:p w14:paraId="13B00AD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2,1</w:t>
            </w:r>
          </w:p>
        </w:tc>
        <w:tc>
          <w:tcPr>
            <w:tcW w:w="830" w:type="dxa"/>
            <w:tcBorders>
              <w:top w:val="nil"/>
              <w:left w:val="nil"/>
              <w:bottom w:val="single" w:sz="8" w:space="0" w:color="auto"/>
              <w:right w:val="single" w:sz="8" w:space="0" w:color="auto"/>
            </w:tcBorders>
            <w:shd w:val="clear" w:color="auto" w:fill="auto"/>
            <w:noWrap/>
            <w:vAlign w:val="center"/>
            <w:hideMark/>
          </w:tcPr>
          <w:p w14:paraId="639D2A7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2,3</w:t>
            </w:r>
          </w:p>
        </w:tc>
        <w:tc>
          <w:tcPr>
            <w:tcW w:w="960" w:type="dxa"/>
            <w:tcBorders>
              <w:top w:val="nil"/>
              <w:left w:val="single" w:sz="8" w:space="0" w:color="auto"/>
              <w:bottom w:val="single" w:sz="8" w:space="0" w:color="auto"/>
              <w:right w:val="nil"/>
            </w:tcBorders>
            <w:shd w:val="clear" w:color="auto" w:fill="auto"/>
            <w:noWrap/>
            <w:vAlign w:val="center"/>
            <w:hideMark/>
          </w:tcPr>
          <w:p w14:paraId="1F738FF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786" w:type="dxa"/>
            <w:tcBorders>
              <w:top w:val="nil"/>
              <w:left w:val="nil"/>
              <w:bottom w:val="single" w:sz="8" w:space="0" w:color="auto"/>
              <w:right w:val="nil"/>
            </w:tcBorders>
            <w:shd w:val="clear" w:color="auto" w:fill="auto"/>
            <w:noWrap/>
            <w:vAlign w:val="center"/>
            <w:hideMark/>
          </w:tcPr>
          <w:p w14:paraId="2F67DEE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2,7</w:t>
            </w:r>
          </w:p>
        </w:tc>
      </w:tr>
      <w:tr w:rsidR="001C4D4E" w:rsidRPr="00E84107" w14:paraId="14FF1924" w14:textId="77777777">
        <w:trPr>
          <w:trHeight w:val="300"/>
        </w:trPr>
        <w:tc>
          <w:tcPr>
            <w:tcW w:w="2306" w:type="dxa"/>
            <w:tcBorders>
              <w:top w:val="nil"/>
              <w:left w:val="nil"/>
              <w:bottom w:val="single" w:sz="8" w:space="0" w:color="auto"/>
              <w:right w:val="nil"/>
            </w:tcBorders>
            <w:shd w:val="clear" w:color="auto" w:fill="auto"/>
            <w:noWrap/>
            <w:vAlign w:val="center"/>
            <w:hideMark/>
          </w:tcPr>
          <w:p w14:paraId="1CDC7F06"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Ελλάδα</w:t>
            </w:r>
          </w:p>
        </w:tc>
        <w:tc>
          <w:tcPr>
            <w:tcW w:w="829" w:type="dxa"/>
            <w:tcBorders>
              <w:top w:val="nil"/>
              <w:left w:val="nil"/>
              <w:bottom w:val="single" w:sz="8" w:space="0" w:color="auto"/>
              <w:right w:val="nil"/>
            </w:tcBorders>
            <w:shd w:val="clear" w:color="auto" w:fill="auto"/>
            <w:noWrap/>
            <w:vAlign w:val="center"/>
            <w:hideMark/>
          </w:tcPr>
          <w:p w14:paraId="5201BA0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830" w:type="dxa"/>
            <w:tcBorders>
              <w:top w:val="nil"/>
              <w:left w:val="nil"/>
              <w:bottom w:val="single" w:sz="8" w:space="0" w:color="auto"/>
              <w:right w:val="nil"/>
            </w:tcBorders>
            <w:shd w:val="clear" w:color="auto" w:fill="auto"/>
            <w:noWrap/>
            <w:vAlign w:val="center"/>
            <w:hideMark/>
          </w:tcPr>
          <w:p w14:paraId="274AAF3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830" w:type="dxa"/>
            <w:tcBorders>
              <w:top w:val="nil"/>
              <w:left w:val="nil"/>
              <w:bottom w:val="single" w:sz="8" w:space="0" w:color="auto"/>
              <w:right w:val="nil"/>
            </w:tcBorders>
            <w:shd w:val="clear" w:color="auto" w:fill="auto"/>
            <w:noWrap/>
            <w:vAlign w:val="center"/>
            <w:hideMark/>
          </w:tcPr>
          <w:p w14:paraId="77313A9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c>
          <w:tcPr>
            <w:tcW w:w="830" w:type="dxa"/>
            <w:tcBorders>
              <w:top w:val="nil"/>
              <w:left w:val="nil"/>
              <w:bottom w:val="single" w:sz="8" w:space="0" w:color="auto"/>
              <w:right w:val="single" w:sz="8" w:space="0" w:color="auto"/>
            </w:tcBorders>
            <w:shd w:val="clear" w:color="auto" w:fill="auto"/>
            <w:noWrap/>
            <w:vAlign w:val="center"/>
            <w:hideMark/>
          </w:tcPr>
          <w:p w14:paraId="36A233C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c>
          <w:tcPr>
            <w:tcW w:w="960" w:type="dxa"/>
            <w:tcBorders>
              <w:top w:val="nil"/>
              <w:left w:val="single" w:sz="8" w:space="0" w:color="auto"/>
              <w:bottom w:val="single" w:sz="8" w:space="0" w:color="auto"/>
              <w:right w:val="nil"/>
            </w:tcBorders>
            <w:shd w:val="clear" w:color="auto" w:fill="auto"/>
            <w:noWrap/>
            <w:vAlign w:val="center"/>
            <w:hideMark/>
          </w:tcPr>
          <w:p w14:paraId="07A97A0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786" w:type="dxa"/>
            <w:tcBorders>
              <w:top w:val="nil"/>
              <w:left w:val="nil"/>
              <w:bottom w:val="single" w:sz="8" w:space="0" w:color="auto"/>
              <w:right w:val="nil"/>
            </w:tcBorders>
            <w:shd w:val="clear" w:color="auto" w:fill="auto"/>
            <w:noWrap/>
            <w:vAlign w:val="center"/>
            <w:hideMark/>
          </w:tcPr>
          <w:p w14:paraId="0BBAB6A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4,3</w:t>
            </w:r>
          </w:p>
        </w:tc>
      </w:tr>
      <w:tr w:rsidR="001C4D4E" w:rsidRPr="00E84107" w14:paraId="22817198" w14:textId="77777777">
        <w:trPr>
          <w:trHeight w:val="300"/>
        </w:trPr>
        <w:tc>
          <w:tcPr>
            <w:tcW w:w="2306" w:type="dxa"/>
            <w:tcBorders>
              <w:top w:val="nil"/>
              <w:left w:val="nil"/>
              <w:bottom w:val="single" w:sz="8" w:space="0" w:color="auto"/>
              <w:right w:val="nil"/>
            </w:tcBorders>
            <w:shd w:val="clear" w:color="auto" w:fill="auto"/>
            <w:noWrap/>
            <w:vAlign w:val="center"/>
            <w:hideMark/>
          </w:tcPr>
          <w:p w14:paraId="19742B15"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Κροατία</w:t>
            </w:r>
          </w:p>
        </w:tc>
        <w:tc>
          <w:tcPr>
            <w:tcW w:w="829" w:type="dxa"/>
            <w:tcBorders>
              <w:top w:val="nil"/>
              <w:left w:val="nil"/>
              <w:bottom w:val="single" w:sz="8" w:space="0" w:color="auto"/>
              <w:right w:val="nil"/>
            </w:tcBorders>
            <w:shd w:val="clear" w:color="auto" w:fill="auto"/>
            <w:noWrap/>
            <w:vAlign w:val="center"/>
            <w:hideMark/>
          </w:tcPr>
          <w:p w14:paraId="18A5968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5,5</w:t>
            </w:r>
          </w:p>
        </w:tc>
        <w:tc>
          <w:tcPr>
            <w:tcW w:w="830" w:type="dxa"/>
            <w:tcBorders>
              <w:top w:val="nil"/>
              <w:left w:val="nil"/>
              <w:bottom w:val="single" w:sz="8" w:space="0" w:color="auto"/>
              <w:right w:val="nil"/>
            </w:tcBorders>
            <w:shd w:val="clear" w:color="auto" w:fill="auto"/>
            <w:noWrap/>
            <w:vAlign w:val="center"/>
            <w:hideMark/>
          </w:tcPr>
          <w:p w14:paraId="238C80F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c>
          <w:tcPr>
            <w:tcW w:w="830" w:type="dxa"/>
            <w:tcBorders>
              <w:top w:val="nil"/>
              <w:left w:val="nil"/>
              <w:bottom w:val="single" w:sz="8" w:space="0" w:color="auto"/>
              <w:right w:val="nil"/>
            </w:tcBorders>
            <w:shd w:val="clear" w:color="auto" w:fill="auto"/>
            <w:noWrap/>
            <w:vAlign w:val="center"/>
            <w:hideMark/>
          </w:tcPr>
          <w:p w14:paraId="603CB8A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c>
          <w:tcPr>
            <w:tcW w:w="830" w:type="dxa"/>
            <w:tcBorders>
              <w:top w:val="nil"/>
              <w:left w:val="nil"/>
              <w:bottom w:val="single" w:sz="8" w:space="0" w:color="auto"/>
              <w:right w:val="single" w:sz="8" w:space="0" w:color="auto"/>
            </w:tcBorders>
            <w:shd w:val="clear" w:color="auto" w:fill="auto"/>
            <w:noWrap/>
            <w:vAlign w:val="center"/>
            <w:hideMark/>
          </w:tcPr>
          <w:p w14:paraId="1485DE7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960" w:type="dxa"/>
            <w:tcBorders>
              <w:top w:val="nil"/>
              <w:left w:val="single" w:sz="8" w:space="0" w:color="auto"/>
              <w:bottom w:val="single" w:sz="8" w:space="0" w:color="auto"/>
              <w:right w:val="nil"/>
            </w:tcBorders>
            <w:shd w:val="clear" w:color="auto" w:fill="auto"/>
            <w:noWrap/>
            <w:vAlign w:val="center"/>
            <w:hideMark/>
          </w:tcPr>
          <w:p w14:paraId="6EB3C98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5,5</w:t>
            </w:r>
          </w:p>
        </w:tc>
        <w:tc>
          <w:tcPr>
            <w:tcW w:w="786" w:type="dxa"/>
            <w:tcBorders>
              <w:top w:val="nil"/>
              <w:left w:val="nil"/>
              <w:bottom w:val="single" w:sz="8" w:space="0" w:color="auto"/>
              <w:right w:val="nil"/>
            </w:tcBorders>
            <w:shd w:val="clear" w:color="auto" w:fill="auto"/>
            <w:noWrap/>
            <w:vAlign w:val="center"/>
            <w:hideMark/>
          </w:tcPr>
          <w:p w14:paraId="0248160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5,6</w:t>
            </w:r>
          </w:p>
        </w:tc>
      </w:tr>
      <w:tr w:rsidR="001C4D4E" w:rsidRPr="00E84107" w14:paraId="4C735EAA" w14:textId="77777777">
        <w:trPr>
          <w:trHeight w:val="300"/>
        </w:trPr>
        <w:tc>
          <w:tcPr>
            <w:tcW w:w="2306" w:type="dxa"/>
            <w:tcBorders>
              <w:top w:val="nil"/>
              <w:left w:val="nil"/>
              <w:bottom w:val="single" w:sz="8" w:space="0" w:color="auto"/>
              <w:right w:val="nil"/>
            </w:tcBorders>
            <w:shd w:val="clear" w:color="auto" w:fill="auto"/>
            <w:noWrap/>
            <w:vAlign w:val="center"/>
            <w:hideMark/>
          </w:tcPr>
          <w:p w14:paraId="5AEF9B67"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Κύπρος</w:t>
            </w:r>
          </w:p>
        </w:tc>
        <w:tc>
          <w:tcPr>
            <w:tcW w:w="829" w:type="dxa"/>
            <w:tcBorders>
              <w:top w:val="nil"/>
              <w:left w:val="nil"/>
              <w:bottom w:val="single" w:sz="8" w:space="0" w:color="auto"/>
              <w:right w:val="nil"/>
            </w:tcBorders>
            <w:shd w:val="clear" w:color="auto" w:fill="auto"/>
            <w:noWrap/>
            <w:vAlign w:val="center"/>
            <w:hideMark/>
          </w:tcPr>
          <w:p w14:paraId="35299E5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2,8</w:t>
            </w:r>
          </w:p>
        </w:tc>
        <w:tc>
          <w:tcPr>
            <w:tcW w:w="830" w:type="dxa"/>
            <w:tcBorders>
              <w:top w:val="nil"/>
              <w:left w:val="nil"/>
              <w:bottom w:val="single" w:sz="8" w:space="0" w:color="auto"/>
              <w:right w:val="nil"/>
            </w:tcBorders>
            <w:shd w:val="clear" w:color="auto" w:fill="auto"/>
            <w:noWrap/>
            <w:vAlign w:val="center"/>
            <w:hideMark/>
          </w:tcPr>
          <w:p w14:paraId="18ABC32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nil"/>
            </w:tcBorders>
            <w:shd w:val="clear" w:color="auto" w:fill="auto"/>
            <w:noWrap/>
            <w:vAlign w:val="center"/>
            <w:hideMark/>
          </w:tcPr>
          <w:p w14:paraId="106B53D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single" w:sz="8" w:space="0" w:color="auto"/>
            </w:tcBorders>
            <w:shd w:val="clear" w:color="auto" w:fill="auto"/>
            <w:noWrap/>
            <w:vAlign w:val="center"/>
            <w:hideMark/>
          </w:tcPr>
          <w:p w14:paraId="007C255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c>
          <w:tcPr>
            <w:tcW w:w="960" w:type="dxa"/>
            <w:tcBorders>
              <w:top w:val="nil"/>
              <w:left w:val="single" w:sz="8" w:space="0" w:color="auto"/>
              <w:bottom w:val="single" w:sz="8" w:space="0" w:color="auto"/>
              <w:right w:val="nil"/>
            </w:tcBorders>
            <w:shd w:val="clear" w:color="auto" w:fill="auto"/>
            <w:noWrap/>
            <w:vAlign w:val="center"/>
            <w:hideMark/>
          </w:tcPr>
          <w:p w14:paraId="35B04F7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786" w:type="dxa"/>
            <w:tcBorders>
              <w:top w:val="nil"/>
              <w:left w:val="nil"/>
              <w:bottom w:val="single" w:sz="8" w:space="0" w:color="auto"/>
              <w:right w:val="nil"/>
            </w:tcBorders>
            <w:shd w:val="clear" w:color="auto" w:fill="auto"/>
            <w:noWrap/>
            <w:vAlign w:val="center"/>
            <w:hideMark/>
          </w:tcPr>
          <w:p w14:paraId="47E58D8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r>
      <w:tr w:rsidR="001C4D4E" w:rsidRPr="00E84107" w14:paraId="52E480C4" w14:textId="77777777">
        <w:trPr>
          <w:trHeight w:val="300"/>
        </w:trPr>
        <w:tc>
          <w:tcPr>
            <w:tcW w:w="2306" w:type="dxa"/>
            <w:tcBorders>
              <w:top w:val="nil"/>
              <w:left w:val="nil"/>
              <w:bottom w:val="single" w:sz="8" w:space="0" w:color="auto"/>
              <w:right w:val="nil"/>
            </w:tcBorders>
            <w:shd w:val="clear" w:color="auto" w:fill="auto"/>
            <w:noWrap/>
            <w:vAlign w:val="center"/>
            <w:hideMark/>
          </w:tcPr>
          <w:p w14:paraId="01038BCF"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Λετονία</w:t>
            </w:r>
          </w:p>
        </w:tc>
        <w:tc>
          <w:tcPr>
            <w:tcW w:w="829" w:type="dxa"/>
            <w:tcBorders>
              <w:top w:val="nil"/>
              <w:left w:val="nil"/>
              <w:bottom w:val="single" w:sz="8" w:space="0" w:color="auto"/>
              <w:right w:val="nil"/>
            </w:tcBorders>
            <w:shd w:val="clear" w:color="auto" w:fill="auto"/>
            <w:noWrap/>
            <w:vAlign w:val="center"/>
            <w:hideMark/>
          </w:tcPr>
          <w:p w14:paraId="001734D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5,7</w:t>
            </w:r>
          </w:p>
        </w:tc>
        <w:tc>
          <w:tcPr>
            <w:tcW w:w="830" w:type="dxa"/>
            <w:tcBorders>
              <w:top w:val="nil"/>
              <w:left w:val="nil"/>
              <w:bottom w:val="single" w:sz="8" w:space="0" w:color="auto"/>
              <w:right w:val="nil"/>
            </w:tcBorders>
            <w:shd w:val="clear" w:color="auto" w:fill="auto"/>
            <w:noWrap/>
            <w:vAlign w:val="center"/>
            <w:hideMark/>
          </w:tcPr>
          <w:p w14:paraId="15527E70"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5,4</w:t>
            </w:r>
          </w:p>
        </w:tc>
        <w:tc>
          <w:tcPr>
            <w:tcW w:w="830" w:type="dxa"/>
            <w:tcBorders>
              <w:top w:val="nil"/>
              <w:left w:val="nil"/>
              <w:bottom w:val="single" w:sz="8" w:space="0" w:color="auto"/>
              <w:right w:val="nil"/>
            </w:tcBorders>
            <w:shd w:val="clear" w:color="auto" w:fill="auto"/>
            <w:noWrap/>
            <w:vAlign w:val="center"/>
            <w:hideMark/>
          </w:tcPr>
          <w:p w14:paraId="18C9505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3,9</w:t>
            </w:r>
          </w:p>
        </w:tc>
        <w:tc>
          <w:tcPr>
            <w:tcW w:w="830" w:type="dxa"/>
            <w:tcBorders>
              <w:top w:val="nil"/>
              <w:left w:val="nil"/>
              <w:bottom w:val="single" w:sz="8" w:space="0" w:color="auto"/>
              <w:right w:val="single" w:sz="8" w:space="0" w:color="auto"/>
            </w:tcBorders>
            <w:shd w:val="clear" w:color="auto" w:fill="auto"/>
            <w:noWrap/>
            <w:vAlign w:val="center"/>
            <w:hideMark/>
          </w:tcPr>
          <w:p w14:paraId="7E1CB99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c>
          <w:tcPr>
            <w:tcW w:w="960" w:type="dxa"/>
            <w:tcBorders>
              <w:top w:val="nil"/>
              <w:left w:val="single" w:sz="8" w:space="0" w:color="auto"/>
              <w:bottom w:val="single" w:sz="8" w:space="0" w:color="auto"/>
              <w:right w:val="nil"/>
            </w:tcBorders>
            <w:shd w:val="clear" w:color="auto" w:fill="auto"/>
            <w:noWrap/>
            <w:vAlign w:val="center"/>
            <w:hideMark/>
          </w:tcPr>
          <w:p w14:paraId="2F08101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5,5</w:t>
            </w:r>
          </w:p>
        </w:tc>
        <w:tc>
          <w:tcPr>
            <w:tcW w:w="786" w:type="dxa"/>
            <w:tcBorders>
              <w:top w:val="nil"/>
              <w:left w:val="nil"/>
              <w:bottom w:val="single" w:sz="8" w:space="0" w:color="auto"/>
              <w:right w:val="nil"/>
            </w:tcBorders>
            <w:shd w:val="clear" w:color="auto" w:fill="auto"/>
            <w:noWrap/>
            <w:vAlign w:val="center"/>
            <w:hideMark/>
          </w:tcPr>
          <w:p w14:paraId="635F1CE6"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6,1</w:t>
            </w:r>
          </w:p>
        </w:tc>
      </w:tr>
      <w:tr w:rsidR="001C4D4E" w:rsidRPr="00E84107" w14:paraId="74FC4958" w14:textId="77777777">
        <w:trPr>
          <w:trHeight w:val="300"/>
        </w:trPr>
        <w:tc>
          <w:tcPr>
            <w:tcW w:w="2306" w:type="dxa"/>
            <w:tcBorders>
              <w:top w:val="nil"/>
              <w:left w:val="nil"/>
              <w:bottom w:val="single" w:sz="8" w:space="0" w:color="auto"/>
              <w:right w:val="nil"/>
            </w:tcBorders>
            <w:shd w:val="clear" w:color="auto" w:fill="auto"/>
            <w:noWrap/>
            <w:vAlign w:val="center"/>
            <w:hideMark/>
          </w:tcPr>
          <w:p w14:paraId="232CB78C"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Λιθουανία</w:t>
            </w:r>
          </w:p>
        </w:tc>
        <w:tc>
          <w:tcPr>
            <w:tcW w:w="829" w:type="dxa"/>
            <w:tcBorders>
              <w:top w:val="nil"/>
              <w:left w:val="nil"/>
              <w:bottom w:val="single" w:sz="8" w:space="0" w:color="auto"/>
              <w:right w:val="nil"/>
            </w:tcBorders>
            <w:shd w:val="clear" w:color="auto" w:fill="auto"/>
            <w:noWrap/>
            <w:vAlign w:val="center"/>
            <w:hideMark/>
          </w:tcPr>
          <w:p w14:paraId="058A2F42"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4,5</w:t>
            </w:r>
          </w:p>
        </w:tc>
        <w:tc>
          <w:tcPr>
            <w:tcW w:w="830" w:type="dxa"/>
            <w:tcBorders>
              <w:top w:val="nil"/>
              <w:left w:val="nil"/>
              <w:bottom w:val="single" w:sz="8" w:space="0" w:color="auto"/>
              <w:right w:val="nil"/>
            </w:tcBorders>
            <w:shd w:val="clear" w:color="auto" w:fill="auto"/>
            <w:noWrap/>
            <w:vAlign w:val="center"/>
            <w:hideMark/>
          </w:tcPr>
          <w:p w14:paraId="2143AFB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830" w:type="dxa"/>
            <w:tcBorders>
              <w:top w:val="nil"/>
              <w:left w:val="nil"/>
              <w:bottom w:val="single" w:sz="8" w:space="0" w:color="auto"/>
              <w:right w:val="nil"/>
            </w:tcBorders>
            <w:shd w:val="clear" w:color="auto" w:fill="auto"/>
            <w:noWrap/>
            <w:vAlign w:val="center"/>
            <w:hideMark/>
          </w:tcPr>
          <w:p w14:paraId="3CB82CC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830" w:type="dxa"/>
            <w:tcBorders>
              <w:top w:val="nil"/>
              <w:left w:val="nil"/>
              <w:bottom w:val="single" w:sz="8" w:space="0" w:color="auto"/>
              <w:right w:val="single" w:sz="8" w:space="0" w:color="auto"/>
            </w:tcBorders>
            <w:shd w:val="clear" w:color="auto" w:fill="auto"/>
            <w:noWrap/>
            <w:vAlign w:val="center"/>
            <w:hideMark/>
          </w:tcPr>
          <w:p w14:paraId="0099FA4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c>
          <w:tcPr>
            <w:tcW w:w="960" w:type="dxa"/>
            <w:tcBorders>
              <w:top w:val="nil"/>
              <w:left w:val="single" w:sz="8" w:space="0" w:color="auto"/>
              <w:bottom w:val="single" w:sz="8" w:space="0" w:color="auto"/>
              <w:right w:val="nil"/>
            </w:tcBorders>
            <w:shd w:val="clear" w:color="auto" w:fill="auto"/>
            <w:noWrap/>
            <w:vAlign w:val="center"/>
            <w:hideMark/>
          </w:tcPr>
          <w:p w14:paraId="2E241E10"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786" w:type="dxa"/>
            <w:tcBorders>
              <w:top w:val="nil"/>
              <w:left w:val="nil"/>
              <w:bottom w:val="single" w:sz="8" w:space="0" w:color="auto"/>
              <w:right w:val="nil"/>
            </w:tcBorders>
            <w:shd w:val="clear" w:color="auto" w:fill="auto"/>
            <w:noWrap/>
            <w:vAlign w:val="center"/>
            <w:hideMark/>
          </w:tcPr>
          <w:p w14:paraId="3AA2073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4,0</w:t>
            </w:r>
          </w:p>
        </w:tc>
      </w:tr>
      <w:tr w:rsidR="001C4D4E" w:rsidRPr="00E84107" w14:paraId="5F64DB30" w14:textId="77777777">
        <w:trPr>
          <w:trHeight w:val="300"/>
        </w:trPr>
        <w:tc>
          <w:tcPr>
            <w:tcW w:w="2306" w:type="dxa"/>
            <w:tcBorders>
              <w:top w:val="nil"/>
              <w:left w:val="nil"/>
              <w:bottom w:val="single" w:sz="8" w:space="0" w:color="auto"/>
              <w:right w:val="nil"/>
            </w:tcBorders>
            <w:shd w:val="clear" w:color="auto" w:fill="auto"/>
            <w:noWrap/>
            <w:vAlign w:val="center"/>
            <w:hideMark/>
          </w:tcPr>
          <w:p w14:paraId="0D96B480"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Λουξεμβούργο</w:t>
            </w:r>
          </w:p>
        </w:tc>
        <w:tc>
          <w:tcPr>
            <w:tcW w:w="829" w:type="dxa"/>
            <w:tcBorders>
              <w:top w:val="nil"/>
              <w:left w:val="nil"/>
              <w:bottom w:val="single" w:sz="8" w:space="0" w:color="auto"/>
              <w:right w:val="nil"/>
            </w:tcBorders>
            <w:shd w:val="clear" w:color="auto" w:fill="auto"/>
            <w:noWrap/>
            <w:vAlign w:val="center"/>
            <w:hideMark/>
          </w:tcPr>
          <w:p w14:paraId="69974BF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c>
          <w:tcPr>
            <w:tcW w:w="830" w:type="dxa"/>
            <w:tcBorders>
              <w:top w:val="nil"/>
              <w:left w:val="nil"/>
              <w:bottom w:val="single" w:sz="8" w:space="0" w:color="auto"/>
              <w:right w:val="nil"/>
            </w:tcBorders>
            <w:shd w:val="clear" w:color="auto" w:fill="auto"/>
            <w:noWrap/>
            <w:vAlign w:val="center"/>
            <w:hideMark/>
          </w:tcPr>
          <w:p w14:paraId="6C4A4F2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4,1</w:t>
            </w:r>
          </w:p>
        </w:tc>
        <w:tc>
          <w:tcPr>
            <w:tcW w:w="830" w:type="dxa"/>
            <w:tcBorders>
              <w:top w:val="nil"/>
              <w:left w:val="nil"/>
              <w:bottom w:val="single" w:sz="8" w:space="0" w:color="auto"/>
              <w:right w:val="nil"/>
            </w:tcBorders>
            <w:shd w:val="clear" w:color="auto" w:fill="auto"/>
            <w:noWrap/>
            <w:vAlign w:val="center"/>
            <w:hideMark/>
          </w:tcPr>
          <w:p w14:paraId="79CB276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c>
          <w:tcPr>
            <w:tcW w:w="830" w:type="dxa"/>
            <w:tcBorders>
              <w:top w:val="nil"/>
              <w:left w:val="nil"/>
              <w:bottom w:val="single" w:sz="8" w:space="0" w:color="auto"/>
              <w:right w:val="single" w:sz="8" w:space="0" w:color="auto"/>
            </w:tcBorders>
            <w:shd w:val="clear" w:color="auto" w:fill="auto"/>
            <w:noWrap/>
            <w:vAlign w:val="center"/>
            <w:hideMark/>
          </w:tcPr>
          <w:p w14:paraId="01B3F9C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c>
          <w:tcPr>
            <w:tcW w:w="960" w:type="dxa"/>
            <w:tcBorders>
              <w:top w:val="nil"/>
              <w:left w:val="single" w:sz="8" w:space="0" w:color="auto"/>
              <w:bottom w:val="single" w:sz="8" w:space="0" w:color="auto"/>
              <w:right w:val="nil"/>
            </w:tcBorders>
            <w:shd w:val="clear" w:color="auto" w:fill="auto"/>
            <w:noWrap/>
            <w:vAlign w:val="center"/>
            <w:hideMark/>
          </w:tcPr>
          <w:p w14:paraId="7082334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c>
          <w:tcPr>
            <w:tcW w:w="786" w:type="dxa"/>
            <w:tcBorders>
              <w:top w:val="nil"/>
              <w:left w:val="nil"/>
              <w:bottom w:val="single" w:sz="8" w:space="0" w:color="auto"/>
              <w:right w:val="nil"/>
            </w:tcBorders>
            <w:shd w:val="clear" w:color="auto" w:fill="auto"/>
            <w:noWrap/>
            <w:vAlign w:val="center"/>
            <w:hideMark/>
          </w:tcPr>
          <w:p w14:paraId="4DF587B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4,9</w:t>
            </w:r>
          </w:p>
        </w:tc>
      </w:tr>
      <w:tr w:rsidR="001C4D4E" w:rsidRPr="00E84107" w14:paraId="5FF4C4FF" w14:textId="77777777">
        <w:trPr>
          <w:trHeight w:val="300"/>
        </w:trPr>
        <w:tc>
          <w:tcPr>
            <w:tcW w:w="2306" w:type="dxa"/>
            <w:tcBorders>
              <w:top w:val="nil"/>
              <w:left w:val="nil"/>
              <w:bottom w:val="single" w:sz="8" w:space="0" w:color="auto"/>
              <w:right w:val="nil"/>
            </w:tcBorders>
            <w:shd w:val="clear" w:color="auto" w:fill="auto"/>
            <w:noWrap/>
            <w:vAlign w:val="center"/>
            <w:hideMark/>
          </w:tcPr>
          <w:p w14:paraId="3B399A80"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Κάτω Χώρες</w:t>
            </w:r>
          </w:p>
        </w:tc>
        <w:tc>
          <w:tcPr>
            <w:tcW w:w="829" w:type="dxa"/>
            <w:tcBorders>
              <w:top w:val="nil"/>
              <w:left w:val="nil"/>
              <w:bottom w:val="single" w:sz="8" w:space="0" w:color="auto"/>
              <w:right w:val="nil"/>
            </w:tcBorders>
            <w:shd w:val="clear" w:color="auto" w:fill="auto"/>
            <w:noWrap/>
            <w:vAlign w:val="center"/>
            <w:hideMark/>
          </w:tcPr>
          <w:p w14:paraId="2BE9071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3,7</w:t>
            </w:r>
          </w:p>
        </w:tc>
        <w:tc>
          <w:tcPr>
            <w:tcW w:w="830" w:type="dxa"/>
            <w:tcBorders>
              <w:top w:val="nil"/>
              <w:left w:val="nil"/>
              <w:bottom w:val="single" w:sz="8" w:space="0" w:color="auto"/>
              <w:right w:val="nil"/>
            </w:tcBorders>
            <w:shd w:val="clear" w:color="auto" w:fill="auto"/>
            <w:noWrap/>
            <w:vAlign w:val="center"/>
            <w:hideMark/>
          </w:tcPr>
          <w:p w14:paraId="25C1574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830" w:type="dxa"/>
            <w:tcBorders>
              <w:top w:val="nil"/>
              <w:left w:val="nil"/>
              <w:bottom w:val="single" w:sz="8" w:space="0" w:color="auto"/>
              <w:right w:val="nil"/>
            </w:tcBorders>
            <w:shd w:val="clear" w:color="auto" w:fill="auto"/>
            <w:noWrap/>
            <w:vAlign w:val="center"/>
            <w:hideMark/>
          </w:tcPr>
          <w:p w14:paraId="053EA79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830" w:type="dxa"/>
            <w:tcBorders>
              <w:top w:val="nil"/>
              <w:left w:val="nil"/>
              <w:bottom w:val="single" w:sz="8" w:space="0" w:color="auto"/>
              <w:right w:val="single" w:sz="8" w:space="0" w:color="auto"/>
            </w:tcBorders>
            <w:shd w:val="clear" w:color="auto" w:fill="auto"/>
            <w:noWrap/>
            <w:vAlign w:val="center"/>
            <w:hideMark/>
          </w:tcPr>
          <w:p w14:paraId="4FB059C5"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960" w:type="dxa"/>
            <w:tcBorders>
              <w:top w:val="nil"/>
              <w:left w:val="single" w:sz="8" w:space="0" w:color="auto"/>
              <w:bottom w:val="single" w:sz="8" w:space="0" w:color="auto"/>
              <w:right w:val="nil"/>
            </w:tcBorders>
            <w:shd w:val="clear" w:color="auto" w:fill="auto"/>
            <w:noWrap/>
            <w:vAlign w:val="center"/>
            <w:hideMark/>
          </w:tcPr>
          <w:p w14:paraId="3B70B57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c>
          <w:tcPr>
            <w:tcW w:w="786" w:type="dxa"/>
            <w:tcBorders>
              <w:top w:val="nil"/>
              <w:left w:val="nil"/>
              <w:bottom w:val="single" w:sz="8" w:space="0" w:color="auto"/>
              <w:right w:val="nil"/>
            </w:tcBorders>
            <w:shd w:val="clear" w:color="auto" w:fill="auto"/>
            <w:noWrap/>
            <w:vAlign w:val="center"/>
            <w:hideMark/>
          </w:tcPr>
          <w:p w14:paraId="6DEE09A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3,2</w:t>
            </w:r>
          </w:p>
        </w:tc>
      </w:tr>
      <w:tr w:rsidR="001C4D4E" w:rsidRPr="00E84107" w14:paraId="1EC04C3F" w14:textId="77777777">
        <w:trPr>
          <w:trHeight w:val="300"/>
        </w:trPr>
        <w:tc>
          <w:tcPr>
            <w:tcW w:w="2306" w:type="dxa"/>
            <w:tcBorders>
              <w:top w:val="nil"/>
              <w:left w:val="nil"/>
              <w:bottom w:val="single" w:sz="8" w:space="0" w:color="auto"/>
              <w:right w:val="nil"/>
            </w:tcBorders>
            <w:shd w:val="clear" w:color="auto" w:fill="auto"/>
            <w:noWrap/>
            <w:vAlign w:val="center"/>
            <w:hideMark/>
          </w:tcPr>
          <w:p w14:paraId="4C36648B"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Αυστρία</w:t>
            </w:r>
          </w:p>
        </w:tc>
        <w:tc>
          <w:tcPr>
            <w:tcW w:w="829" w:type="dxa"/>
            <w:tcBorders>
              <w:top w:val="nil"/>
              <w:left w:val="nil"/>
              <w:bottom w:val="single" w:sz="8" w:space="0" w:color="auto"/>
              <w:right w:val="nil"/>
            </w:tcBorders>
            <w:shd w:val="clear" w:color="auto" w:fill="auto"/>
            <w:noWrap/>
            <w:vAlign w:val="center"/>
            <w:hideMark/>
          </w:tcPr>
          <w:p w14:paraId="5DBC16A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3,3</w:t>
            </w:r>
          </w:p>
        </w:tc>
        <w:tc>
          <w:tcPr>
            <w:tcW w:w="830" w:type="dxa"/>
            <w:tcBorders>
              <w:top w:val="nil"/>
              <w:left w:val="nil"/>
              <w:bottom w:val="single" w:sz="8" w:space="0" w:color="auto"/>
              <w:right w:val="nil"/>
            </w:tcBorders>
            <w:shd w:val="clear" w:color="auto" w:fill="auto"/>
            <w:noWrap/>
            <w:vAlign w:val="center"/>
            <w:hideMark/>
          </w:tcPr>
          <w:p w14:paraId="13BD6BD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3,6</w:t>
            </w:r>
          </w:p>
        </w:tc>
        <w:tc>
          <w:tcPr>
            <w:tcW w:w="830" w:type="dxa"/>
            <w:tcBorders>
              <w:top w:val="nil"/>
              <w:left w:val="nil"/>
              <w:bottom w:val="single" w:sz="8" w:space="0" w:color="auto"/>
              <w:right w:val="nil"/>
            </w:tcBorders>
            <w:shd w:val="clear" w:color="auto" w:fill="auto"/>
            <w:noWrap/>
            <w:vAlign w:val="center"/>
            <w:hideMark/>
          </w:tcPr>
          <w:p w14:paraId="64DFF8C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c>
          <w:tcPr>
            <w:tcW w:w="830" w:type="dxa"/>
            <w:tcBorders>
              <w:top w:val="nil"/>
              <w:left w:val="nil"/>
              <w:bottom w:val="single" w:sz="8" w:space="0" w:color="auto"/>
              <w:right w:val="single" w:sz="8" w:space="0" w:color="auto"/>
            </w:tcBorders>
            <w:shd w:val="clear" w:color="auto" w:fill="auto"/>
            <w:noWrap/>
            <w:vAlign w:val="center"/>
            <w:hideMark/>
          </w:tcPr>
          <w:p w14:paraId="7F575E3A"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c>
          <w:tcPr>
            <w:tcW w:w="960" w:type="dxa"/>
            <w:tcBorders>
              <w:top w:val="nil"/>
              <w:left w:val="single" w:sz="8" w:space="0" w:color="auto"/>
              <w:bottom w:val="single" w:sz="8" w:space="0" w:color="auto"/>
              <w:right w:val="nil"/>
            </w:tcBorders>
            <w:shd w:val="clear" w:color="auto" w:fill="auto"/>
            <w:noWrap/>
            <w:vAlign w:val="center"/>
            <w:hideMark/>
          </w:tcPr>
          <w:p w14:paraId="55C6CDE8"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3,5</w:t>
            </w:r>
          </w:p>
        </w:tc>
        <w:tc>
          <w:tcPr>
            <w:tcW w:w="786" w:type="dxa"/>
            <w:tcBorders>
              <w:top w:val="nil"/>
              <w:left w:val="nil"/>
              <w:bottom w:val="single" w:sz="8" w:space="0" w:color="auto"/>
              <w:right w:val="nil"/>
            </w:tcBorders>
            <w:shd w:val="clear" w:color="auto" w:fill="auto"/>
            <w:noWrap/>
            <w:vAlign w:val="center"/>
            <w:hideMark/>
          </w:tcPr>
          <w:p w14:paraId="46D61A6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r>
      <w:tr w:rsidR="001C4D4E" w:rsidRPr="00E84107" w14:paraId="48BE2BBB" w14:textId="77777777">
        <w:trPr>
          <w:trHeight w:val="300"/>
        </w:trPr>
        <w:tc>
          <w:tcPr>
            <w:tcW w:w="2306" w:type="dxa"/>
            <w:tcBorders>
              <w:top w:val="nil"/>
              <w:left w:val="nil"/>
              <w:bottom w:val="single" w:sz="8" w:space="0" w:color="auto"/>
              <w:right w:val="nil"/>
            </w:tcBorders>
            <w:shd w:val="clear" w:color="auto" w:fill="auto"/>
            <w:noWrap/>
            <w:vAlign w:val="center"/>
            <w:hideMark/>
          </w:tcPr>
          <w:p w14:paraId="5239CA67"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Πορτογαλία</w:t>
            </w:r>
          </w:p>
        </w:tc>
        <w:tc>
          <w:tcPr>
            <w:tcW w:w="829" w:type="dxa"/>
            <w:tcBorders>
              <w:top w:val="nil"/>
              <w:left w:val="nil"/>
              <w:bottom w:val="single" w:sz="8" w:space="0" w:color="auto"/>
              <w:right w:val="nil"/>
            </w:tcBorders>
            <w:shd w:val="clear" w:color="auto" w:fill="auto"/>
            <w:noWrap/>
            <w:vAlign w:val="center"/>
            <w:hideMark/>
          </w:tcPr>
          <w:p w14:paraId="0E16B02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2,3</w:t>
            </w:r>
          </w:p>
        </w:tc>
        <w:tc>
          <w:tcPr>
            <w:tcW w:w="830" w:type="dxa"/>
            <w:tcBorders>
              <w:top w:val="nil"/>
              <w:left w:val="nil"/>
              <w:bottom w:val="single" w:sz="8" w:space="0" w:color="auto"/>
              <w:right w:val="nil"/>
            </w:tcBorders>
            <w:shd w:val="clear" w:color="auto" w:fill="auto"/>
            <w:noWrap/>
            <w:vAlign w:val="center"/>
            <w:hideMark/>
          </w:tcPr>
          <w:p w14:paraId="176FAC3F"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2,6</w:t>
            </w:r>
          </w:p>
        </w:tc>
        <w:tc>
          <w:tcPr>
            <w:tcW w:w="830" w:type="dxa"/>
            <w:tcBorders>
              <w:top w:val="nil"/>
              <w:left w:val="nil"/>
              <w:bottom w:val="single" w:sz="8" w:space="0" w:color="auto"/>
              <w:right w:val="nil"/>
            </w:tcBorders>
            <w:shd w:val="clear" w:color="auto" w:fill="auto"/>
            <w:noWrap/>
            <w:vAlign w:val="center"/>
            <w:hideMark/>
          </w:tcPr>
          <w:p w14:paraId="322FA09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2,4</w:t>
            </w:r>
          </w:p>
        </w:tc>
        <w:tc>
          <w:tcPr>
            <w:tcW w:w="830" w:type="dxa"/>
            <w:tcBorders>
              <w:top w:val="nil"/>
              <w:left w:val="nil"/>
              <w:bottom w:val="single" w:sz="8" w:space="0" w:color="auto"/>
              <w:right w:val="single" w:sz="8" w:space="0" w:color="auto"/>
            </w:tcBorders>
            <w:shd w:val="clear" w:color="auto" w:fill="auto"/>
            <w:noWrap/>
            <w:vAlign w:val="center"/>
            <w:hideMark/>
          </w:tcPr>
          <w:p w14:paraId="6830811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2,5</w:t>
            </w:r>
          </w:p>
        </w:tc>
        <w:tc>
          <w:tcPr>
            <w:tcW w:w="960" w:type="dxa"/>
            <w:tcBorders>
              <w:top w:val="nil"/>
              <w:left w:val="single" w:sz="8" w:space="0" w:color="auto"/>
              <w:bottom w:val="single" w:sz="8" w:space="0" w:color="auto"/>
              <w:right w:val="nil"/>
            </w:tcBorders>
            <w:shd w:val="clear" w:color="auto" w:fill="auto"/>
            <w:noWrap/>
            <w:vAlign w:val="center"/>
            <w:hideMark/>
          </w:tcPr>
          <w:p w14:paraId="27D45C91"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3,1</w:t>
            </w:r>
          </w:p>
        </w:tc>
        <w:tc>
          <w:tcPr>
            <w:tcW w:w="786" w:type="dxa"/>
            <w:tcBorders>
              <w:top w:val="nil"/>
              <w:left w:val="nil"/>
              <w:bottom w:val="single" w:sz="8" w:space="0" w:color="auto"/>
              <w:right w:val="nil"/>
            </w:tcBorders>
            <w:shd w:val="clear" w:color="auto" w:fill="auto"/>
            <w:noWrap/>
            <w:vAlign w:val="center"/>
            <w:hideMark/>
          </w:tcPr>
          <w:p w14:paraId="18EFF60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3,4</w:t>
            </w:r>
          </w:p>
        </w:tc>
      </w:tr>
      <w:tr w:rsidR="001C4D4E" w:rsidRPr="00E84107" w14:paraId="7A5B8C75" w14:textId="77777777">
        <w:trPr>
          <w:trHeight w:val="300"/>
        </w:trPr>
        <w:tc>
          <w:tcPr>
            <w:tcW w:w="2306" w:type="dxa"/>
            <w:tcBorders>
              <w:top w:val="nil"/>
              <w:left w:val="nil"/>
              <w:bottom w:val="single" w:sz="8" w:space="0" w:color="auto"/>
              <w:right w:val="nil"/>
            </w:tcBorders>
            <w:shd w:val="clear" w:color="auto" w:fill="auto"/>
            <w:noWrap/>
            <w:vAlign w:val="center"/>
            <w:hideMark/>
          </w:tcPr>
          <w:p w14:paraId="42A07FD2"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Ρουμανία (*)</w:t>
            </w:r>
          </w:p>
        </w:tc>
        <w:tc>
          <w:tcPr>
            <w:tcW w:w="829" w:type="dxa"/>
            <w:tcBorders>
              <w:top w:val="nil"/>
              <w:left w:val="nil"/>
              <w:bottom w:val="single" w:sz="8" w:space="0" w:color="auto"/>
              <w:right w:val="nil"/>
            </w:tcBorders>
            <w:shd w:val="clear" w:color="auto" w:fill="auto"/>
            <w:noWrap/>
            <w:vAlign w:val="center"/>
            <w:hideMark/>
          </w:tcPr>
          <w:p w14:paraId="225481CB"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4,6</w:t>
            </w:r>
          </w:p>
        </w:tc>
        <w:tc>
          <w:tcPr>
            <w:tcW w:w="830" w:type="dxa"/>
            <w:tcBorders>
              <w:top w:val="nil"/>
              <w:left w:val="nil"/>
              <w:bottom w:val="single" w:sz="8" w:space="0" w:color="auto"/>
              <w:right w:val="nil"/>
            </w:tcBorders>
            <w:shd w:val="clear" w:color="auto" w:fill="auto"/>
            <w:noWrap/>
            <w:vAlign w:val="center"/>
            <w:hideMark/>
          </w:tcPr>
          <w:p w14:paraId="1F040EC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4,2</w:t>
            </w:r>
          </w:p>
        </w:tc>
        <w:tc>
          <w:tcPr>
            <w:tcW w:w="830" w:type="dxa"/>
            <w:tcBorders>
              <w:top w:val="nil"/>
              <w:left w:val="nil"/>
              <w:bottom w:val="single" w:sz="8" w:space="0" w:color="auto"/>
              <w:right w:val="nil"/>
            </w:tcBorders>
            <w:shd w:val="clear" w:color="auto" w:fill="auto"/>
            <w:noWrap/>
            <w:vAlign w:val="center"/>
            <w:hideMark/>
          </w:tcPr>
          <w:p w14:paraId="79B8C84E"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4,4</w:t>
            </w:r>
          </w:p>
        </w:tc>
        <w:tc>
          <w:tcPr>
            <w:tcW w:w="830" w:type="dxa"/>
            <w:tcBorders>
              <w:top w:val="nil"/>
              <w:left w:val="nil"/>
              <w:bottom w:val="single" w:sz="8" w:space="0" w:color="auto"/>
              <w:right w:val="single" w:sz="8" w:space="0" w:color="auto"/>
            </w:tcBorders>
            <w:shd w:val="clear" w:color="auto" w:fill="auto"/>
            <w:noWrap/>
            <w:vAlign w:val="center"/>
            <w:hideMark/>
          </w:tcPr>
          <w:p w14:paraId="40E93F8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w:t>
            </w:r>
          </w:p>
        </w:tc>
        <w:tc>
          <w:tcPr>
            <w:tcW w:w="960" w:type="dxa"/>
            <w:tcBorders>
              <w:top w:val="nil"/>
              <w:left w:val="single" w:sz="8" w:space="0" w:color="auto"/>
              <w:bottom w:val="single" w:sz="8" w:space="0" w:color="auto"/>
              <w:right w:val="nil"/>
            </w:tcBorders>
            <w:shd w:val="clear" w:color="auto" w:fill="auto"/>
            <w:noWrap/>
            <w:vAlign w:val="center"/>
            <w:hideMark/>
          </w:tcPr>
          <w:p w14:paraId="4F366313"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5,2</w:t>
            </w:r>
          </w:p>
        </w:tc>
        <w:tc>
          <w:tcPr>
            <w:tcW w:w="786" w:type="dxa"/>
            <w:tcBorders>
              <w:top w:val="nil"/>
              <w:left w:val="nil"/>
              <w:bottom w:val="single" w:sz="8" w:space="0" w:color="auto"/>
              <w:right w:val="nil"/>
            </w:tcBorders>
            <w:shd w:val="clear" w:color="auto" w:fill="auto"/>
            <w:noWrap/>
            <w:vAlign w:val="center"/>
            <w:hideMark/>
          </w:tcPr>
          <w:p w14:paraId="7483AB9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w:t>
            </w:r>
          </w:p>
        </w:tc>
      </w:tr>
      <w:tr w:rsidR="001C4D4E" w:rsidRPr="00E84107" w14:paraId="6D766B8F" w14:textId="77777777">
        <w:trPr>
          <w:trHeight w:val="300"/>
        </w:trPr>
        <w:tc>
          <w:tcPr>
            <w:tcW w:w="2306" w:type="dxa"/>
            <w:tcBorders>
              <w:top w:val="nil"/>
              <w:left w:val="nil"/>
              <w:bottom w:val="single" w:sz="8" w:space="0" w:color="auto"/>
              <w:right w:val="nil"/>
            </w:tcBorders>
            <w:shd w:val="clear" w:color="auto" w:fill="auto"/>
            <w:noWrap/>
            <w:vAlign w:val="center"/>
            <w:hideMark/>
          </w:tcPr>
          <w:p w14:paraId="25287066" w14:textId="77777777" w:rsidR="001C4D4E" w:rsidRPr="00E84107" w:rsidRDefault="001C4D4E">
            <w:pPr>
              <w:keepNext/>
              <w:spacing w:after="0" w:line="240" w:lineRule="auto"/>
              <w:rPr>
                <w:rFonts w:ascii="Times New Roman" w:eastAsia="Times New Roman" w:hAnsi="Times New Roman" w:cs="Times New Roman"/>
                <w:noProof/>
                <w:color w:val="000000"/>
              </w:rPr>
            </w:pPr>
            <w:r>
              <w:rPr>
                <w:rFonts w:ascii="Times New Roman" w:hAnsi="Times New Roman"/>
                <w:noProof/>
                <w:color w:val="000000"/>
              </w:rPr>
              <w:t>Σουηδία</w:t>
            </w:r>
          </w:p>
        </w:tc>
        <w:tc>
          <w:tcPr>
            <w:tcW w:w="829" w:type="dxa"/>
            <w:tcBorders>
              <w:top w:val="nil"/>
              <w:left w:val="nil"/>
              <w:bottom w:val="single" w:sz="8" w:space="0" w:color="auto"/>
              <w:right w:val="nil"/>
            </w:tcBorders>
            <w:shd w:val="clear" w:color="auto" w:fill="auto"/>
            <w:noWrap/>
            <w:vAlign w:val="center"/>
            <w:hideMark/>
          </w:tcPr>
          <w:p w14:paraId="1B6CB154"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w:t>
            </w:r>
          </w:p>
        </w:tc>
        <w:tc>
          <w:tcPr>
            <w:tcW w:w="830" w:type="dxa"/>
            <w:tcBorders>
              <w:top w:val="nil"/>
              <w:left w:val="nil"/>
              <w:bottom w:val="single" w:sz="8" w:space="0" w:color="auto"/>
              <w:right w:val="nil"/>
            </w:tcBorders>
            <w:shd w:val="clear" w:color="auto" w:fill="auto"/>
            <w:noWrap/>
            <w:vAlign w:val="center"/>
            <w:hideMark/>
          </w:tcPr>
          <w:p w14:paraId="33DBA6CD"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4,7</w:t>
            </w:r>
          </w:p>
        </w:tc>
        <w:tc>
          <w:tcPr>
            <w:tcW w:w="830" w:type="dxa"/>
            <w:tcBorders>
              <w:top w:val="nil"/>
              <w:left w:val="nil"/>
              <w:bottom w:val="single" w:sz="8" w:space="0" w:color="auto"/>
              <w:right w:val="nil"/>
            </w:tcBorders>
            <w:shd w:val="clear" w:color="auto" w:fill="auto"/>
            <w:noWrap/>
            <w:vAlign w:val="center"/>
            <w:hideMark/>
          </w:tcPr>
          <w:p w14:paraId="0C9AE4A9"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4,8</w:t>
            </w:r>
          </w:p>
        </w:tc>
        <w:tc>
          <w:tcPr>
            <w:tcW w:w="830" w:type="dxa"/>
            <w:tcBorders>
              <w:top w:val="nil"/>
              <w:left w:val="nil"/>
              <w:bottom w:val="single" w:sz="8" w:space="0" w:color="auto"/>
              <w:right w:val="single" w:sz="8" w:space="0" w:color="auto"/>
            </w:tcBorders>
            <w:shd w:val="clear" w:color="auto" w:fill="auto"/>
            <w:noWrap/>
            <w:vAlign w:val="center"/>
            <w:hideMark/>
          </w:tcPr>
          <w:p w14:paraId="2D42E73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5,0</w:t>
            </w:r>
          </w:p>
        </w:tc>
        <w:tc>
          <w:tcPr>
            <w:tcW w:w="960" w:type="dxa"/>
            <w:tcBorders>
              <w:top w:val="nil"/>
              <w:left w:val="single" w:sz="8" w:space="0" w:color="auto"/>
              <w:bottom w:val="single" w:sz="8" w:space="0" w:color="auto"/>
              <w:right w:val="nil"/>
            </w:tcBorders>
            <w:shd w:val="clear" w:color="auto" w:fill="auto"/>
            <w:noWrap/>
            <w:vAlign w:val="center"/>
            <w:hideMark/>
          </w:tcPr>
          <w:p w14:paraId="7AADB957"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5,2</w:t>
            </w:r>
          </w:p>
        </w:tc>
        <w:tc>
          <w:tcPr>
            <w:tcW w:w="786" w:type="dxa"/>
            <w:tcBorders>
              <w:top w:val="nil"/>
              <w:left w:val="nil"/>
              <w:bottom w:val="single" w:sz="8" w:space="0" w:color="auto"/>
              <w:right w:val="nil"/>
            </w:tcBorders>
            <w:shd w:val="clear" w:color="auto" w:fill="auto"/>
            <w:noWrap/>
            <w:vAlign w:val="center"/>
            <w:hideMark/>
          </w:tcPr>
          <w:p w14:paraId="75AC48EC" w14:textId="77777777" w:rsidR="001C4D4E" w:rsidRPr="00E84107" w:rsidRDefault="001C4D4E">
            <w:pPr>
              <w:keepNext/>
              <w:spacing w:after="0" w:line="240" w:lineRule="auto"/>
              <w:jc w:val="right"/>
              <w:rPr>
                <w:rFonts w:ascii="Times New Roman" w:eastAsia="Times New Roman" w:hAnsi="Times New Roman" w:cs="Times New Roman"/>
                <w:noProof/>
                <w:color w:val="000000"/>
              </w:rPr>
            </w:pPr>
            <w:r>
              <w:rPr>
                <w:rFonts w:ascii="Times New Roman" w:hAnsi="Times New Roman"/>
                <w:noProof/>
                <w:color w:val="000000"/>
              </w:rPr>
              <w:t>5,3</w:t>
            </w:r>
          </w:p>
        </w:tc>
      </w:tr>
      <w:tr w:rsidR="001C4D4E" w:rsidRPr="00E84107" w14:paraId="46072CBE" w14:textId="77777777">
        <w:trPr>
          <w:trHeight w:val="290"/>
        </w:trPr>
        <w:tc>
          <w:tcPr>
            <w:tcW w:w="7371" w:type="dxa"/>
            <w:gridSpan w:val="7"/>
            <w:tcBorders>
              <w:top w:val="single" w:sz="8" w:space="0" w:color="auto"/>
              <w:left w:val="nil"/>
              <w:bottom w:val="nil"/>
              <w:right w:val="nil"/>
            </w:tcBorders>
            <w:shd w:val="clear" w:color="auto" w:fill="auto"/>
            <w:noWrap/>
            <w:vAlign w:val="center"/>
            <w:hideMark/>
          </w:tcPr>
          <w:p w14:paraId="73094774" w14:textId="630CA60D" w:rsidR="001C4D4E" w:rsidRPr="00E84107" w:rsidRDefault="001C4D4E">
            <w:pPr>
              <w:spacing w:after="0" w:line="240" w:lineRule="auto"/>
              <w:jc w:val="both"/>
              <w:rPr>
                <w:rFonts w:ascii="Times New Roman" w:eastAsia="Times New Roman" w:hAnsi="Times New Roman" w:cs="Times New Roman"/>
                <w:noProof/>
                <w:color w:val="000000"/>
                <w:sz w:val="20"/>
                <w:szCs w:val="20"/>
              </w:rPr>
            </w:pPr>
            <w:r>
              <w:rPr>
                <w:rFonts w:ascii="Times New Roman" w:hAnsi="Times New Roman"/>
                <w:i/>
                <w:noProof/>
                <w:color w:val="000000"/>
                <w:sz w:val="20"/>
              </w:rPr>
              <w:t>Πηγή</w:t>
            </w:r>
            <w:r>
              <w:rPr>
                <w:rFonts w:ascii="Times New Roman" w:hAnsi="Times New Roman"/>
                <w:noProof/>
                <w:color w:val="000000"/>
                <w:sz w:val="20"/>
              </w:rPr>
              <w:t>: Eurostat (στοιχεία από το 2020 έως το 2023) και εαρινές προβλέψεις 2024 της Επιτροπής (για το 2024 και το 2025). (</w:t>
            </w:r>
            <w:r>
              <w:rPr>
                <w:rFonts w:ascii="Times New Roman" w:hAnsi="Times New Roman"/>
                <w:noProof/>
                <w:color w:val="000000"/>
                <w:sz w:val="20"/>
                <w:vertAlign w:val="superscript"/>
              </w:rPr>
              <w:t>*</w:t>
            </w:r>
            <w:r>
              <w:rPr>
                <w:rFonts w:ascii="Times New Roman" w:hAnsi="Times New Roman"/>
                <w:noProof/>
                <w:color w:val="000000"/>
                <w:sz w:val="20"/>
              </w:rPr>
              <w:t>) Σε διαδικασία υπερβολικού ελλείμματος από το 2020.</w:t>
            </w:r>
          </w:p>
        </w:tc>
      </w:tr>
    </w:tbl>
    <w:p w14:paraId="7177268C" w14:textId="77777777" w:rsidR="0065116A" w:rsidRDefault="0065116A" w:rsidP="00705423">
      <w:pPr>
        <w:pStyle w:val="Text1"/>
        <w:keepNext/>
        <w:keepLines/>
        <w:ind w:left="0"/>
        <w:rPr>
          <w:noProof/>
        </w:rPr>
      </w:pPr>
    </w:p>
    <w:p w14:paraId="686DBE29" w14:textId="6E69F209" w:rsidR="00762DD7" w:rsidRDefault="0065116A" w:rsidP="0065116A">
      <w:pPr>
        <w:pStyle w:val="Text1"/>
        <w:keepNext/>
        <w:keepLines/>
        <w:ind w:left="0"/>
        <w:jc w:val="center"/>
        <w:rPr>
          <w:noProof/>
        </w:rPr>
      </w:pPr>
      <w:r>
        <w:rPr>
          <w:noProof/>
        </w:rPr>
        <w:br w:type="textWrapping" w:clear="all"/>
      </w:r>
    </w:p>
    <w:p w14:paraId="1EE33853" w14:textId="77777777" w:rsidR="006A42AC" w:rsidRDefault="006A42AC">
      <w:pPr>
        <w:spacing w:before="120" w:after="120" w:line="240" w:lineRule="auto"/>
        <w:jc w:val="both"/>
        <w:rPr>
          <w:rFonts w:ascii="Times New Roman" w:eastAsia="Calibri" w:hAnsi="Times New Roman" w:cs="Times New Roman"/>
          <w:noProof/>
          <w:sz w:val="24"/>
          <w:szCs w:val="24"/>
          <w:lang w:eastAsia="en-GB"/>
        </w:rPr>
      </w:pPr>
    </w:p>
    <w:p w14:paraId="18BAF2EF" w14:textId="77777777" w:rsidR="009733BF" w:rsidRDefault="009733BF">
      <w:pPr>
        <w:spacing w:before="120" w:after="120" w:line="240" w:lineRule="auto"/>
        <w:jc w:val="both"/>
        <w:rPr>
          <w:rFonts w:ascii="Times New Roman" w:eastAsia="Calibri" w:hAnsi="Times New Roman" w:cs="Times New Roman"/>
          <w:noProof/>
          <w:sz w:val="24"/>
          <w:szCs w:val="24"/>
          <w:lang w:eastAsia="en-GB"/>
        </w:rPr>
      </w:pPr>
    </w:p>
    <w:p w14:paraId="2ECD7A1C" w14:textId="77777777" w:rsidR="009733BF" w:rsidRDefault="009733BF">
      <w:pPr>
        <w:spacing w:before="120" w:after="120" w:line="240" w:lineRule="auto"/>
        <w:jc w:val="both"/>
        <w:rPr>
          <w:rFonts w:ascii="Times New Roman" w:eastAsia="Calibri" w:hAnsi="Times New Roman" w:cs="Times New Roman"/>
          <w:noProof/>
          <w:sz w:val="24"/>
          <w:szCs w:val="24"/>
          <w:lang w:eastAsia="en-GB"/>
        </w:rPr>
      </w:pPr>
    </w:p>
    <w:p w14:paraId="6D319001" w14:textId="77777777" w:rsidR="009733BF" w:rsidRDefault="009733BF">
      <w:pPr>
        <w:spacing w:before="120" w:after="120" w:line="240" w:lineRule="auto"/>
        <w:jc w:val="both"/>
        <w:rPr>
          <w:rFonts w:ascii="Times New Roman" w:eastAsia="Calibri" w:hAnsi="Times New Roman" w:cs="Times New Roman"/>
          <w:noProof/>
          <w:sz w:val="24"/>
          <w:szCs w:val="24"/>
          <w:lang w:eastAsia="en-GB"/>
        </w:rPr>
      </w:pPr>
    </w:p>
    <w:p w14:paraId="255A2F57" w14:textId="77777777" w:rsidR="009733BF" w:rsidRDefault="009733BF">
      <w:pPr>
        <w:spacing w:before="120" w:after="120" w:line="240" w:lineRule="auto"/>
        <w:jc w:val="both"/>
        <w:rPr>
          <w:rFonts w:ascii="Times New Roman" w:eastAsia="Calibri" w:hAnsi="Times New Roman" w:cs="Times New Roman"/>
          <w:noProof/>
          <w:sz w:val="24"/>
          <w:szCs w:val="24"/>
          <w:lang w:eastAsia="en-GB"/>
        </w:rPr>
      </w:pPr>
    </w:p>
    <w:p w14:paraId="406C569E" w14:textId="77777777" w:rsidR="009733BF" w:rsidRDefault="009733BF">
      <w:pPr>
        <w:spacing w:before="120" w:after="120" w:line="240" w:lineRule="auto"/>
        <w:jc w:val="both"/>
        <w:rPr>
          <w:rFonts w:ascii="Times New Roman" w:eastAsia="Calibri" w:hAnsi="Times New Roman" w:cs="Times New Roman"/>
          <w:noProof/>
          <w:sz w:val="24"/>
          <w:szCs w:val="24"/>
          <w:lang w:eastAsia="en-GB"/>
        </w:rPr>
      </w:pPr>
    </w:p>
    <w:p w14:paraId="5F7162A1" w14:textId="21DC512E" w:rsidR="000D590E" w:rsidRPr="001C5B6B" w:rsidRDefault="000D590E" w:rsidP="000D590E">
      <w:pPr>
        <w:spacing w:before="120" w:after="120"/>
        <w:jc w:val="both"/>
        <w:rPr>
          <w:noProof/>
        </w:rPr>
      </w:pPr>
    </w:p>
    <w:p w14:paraId="294A3E11" w14:textId="6E869D96" w:rsidR="00777496" w:rsidRDefault="009D03E2" w:rsidP="00CE682A">
      <w:pPr>
        <w:pStyle w:val="ManualHeading1"/>
        <w:keepNext/>
        <w:keepLines/>
        <w:numPr>
          <w:ilvl w:val="2"/>
          <w:numId w:val="32"/>
        </w:numPr>
        <w:spacing w:before="120"/>
        <w:ind w:left="851" w:hanging="851"/>
        <w:rPr>
          <w:noProof/>
        </w:rPr>
      </w:pPr>
      <w:r>
        <w:rPr>
          <w:noProof/>
        </w:rPr>
        <w:t>Κράτη μέλη για τα οποία μπορούν να ληφθούν υπόψη σχετικοί παράγοντες</w:t>
      </w:r>
    </w:p>
    <w:p w14:paraId="32891DAB" w14:textId="77777777" w:rsidR="00DE02C8" w:rsidRPr="00E343AE" w:rsidRDefault="00DE02C8" w:rsidP="00CA1912">
      <w:pPr>
        <w:spacing w:before="120" w:after="120" w:line="240" w:lineRule="auto"/>
        <w:jc w:val="both"/>
        <w:rPr>
          <w:rFonts w:ascii="Times New Roman" w:hAnsi="Times New Roman" w:cs="Times New Roman"/>
          <w:noProof/>
        </w:rPr>
      </w:pPr>
    </w:p>
    <w:p w14:paraId="4E3A7638" w14:textId="01C04DD5" w:rsidR="00167CEB" w:rsidRDefault="00167CEB" w:rsidP="004B0EAC">
      <w:pPr>
        <w:pStyle w:val="ManualHeading1"/>
        <w:keepNext/>
        <w:keepLines/>
        <w:spacing w:before="120"/>
        <w:rPr>
          <w:noProof/>
        </w:rPr>
      </w:pPr>
      <w:r>
        <w:rPr>
          <w:noProof/>
        </w:rPr>
        <w:t>Τσεχία</w:t>
      </w:r>
    </w:p>
    <w:p w14:paraId="01558E57" w14:textId="509DFE03" w:rsidR="00DB4697" w:rsidRPr="00E343AE" w:rsidRDefault="00655273" w:rsidP="00DB4697">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5,5 % το 2020. Μετά από αύξηση 3,6 % το 2021, το πραγματικό ΑΕΠ αυξήθηκε κατά 2,4 % το 2022 προτού συρρικνωθεί κατά 0,3 % το 2023. Αναμένεται να αυξηθεί κατά 1,2 % το 2024 και κατά 2,8 % το 2025. Η ανάπτυξη το 2024 αναμένεται να βασιστεί κυρίως στην ιδιωτική κατανάλωση και τις καθαρές εξαγωγές.</w:t>
      </w:r>
    </w:p>
    <w:p w14:paraId="18BBDAC0" w14:textId="7AD58B8C" w:rsidR="00165B4F" w:rsidRDefault="00655273" w:rsidP="00DB4697">
      <w:pPr>
        <w:pStyle w:val="Text1"/>
        <w:keepNext/>
        <w:keepLines/>
        <w:ind w:left="0"/>
        <w:rPr>
          <w:noProof/>
        </w:rPr>
      </w:pPr>
      <w:r>
        <w:rPr>
          <w:b/>
          <w:noProof/>
        </w:rPr>
        <w:t>Μεσοπρόθεσμη δημοσιονομική θέση, περιλαμβανομένων των επενδύσεων.</w:t>
      </w:r>
      <w:r>
        <w:rPr>
          <w:noProof/>
        </w:rPr>
        <w:t xml:space="preserve"> Το δημοσιονομικό έλλειμμα υπερβαίνει το 3 % του ΑΕΠ από το 2020· μειώθηκε από 5,1 % του ΑΕΠ το 2021 σε 3,2 % του ΑΕΠ το 2022, πριν αυξηθεί στο 3,7 % το 2023. Προβλέπεται ότι θα είναι στο 2,4 % και 1,9 % του ΑΕΠ το 2024 και το 2025, αντίστοιχα. Οι δημόσιες επενδύσεις παρέμειναν στο 4,7 % του ΑΕΠ το 2021 και το 2022 και αυξήθηκαν στο 5,0 % το 2023, υψηλότερες από το δημοσιονομικό έλλειμμα το 2022 και το 2023. Το 2024 και το 2025 οι δημόσιες επενδύσεις προβλέπεται ότι θα παραμείνουν στο 4,9 % του ΑΕΠ, ποσοστό που εξακολουθεί να είναι υψηλότερο από το δημοσιονομικό έλλειμμα κατά τα ίδια έτη. </w:t>
      </w:r>
    </w:p>
    <w:p w14:paraId="3E89ED67" w14:textId="01CC496F" w:rsidR="00E43D7C" w:rsidRDefault="00430BCB" w:rsidP="00E43D7C">
      <w:pPr>
        <w:pStyle w:val="Text1"/>
        <w:ind w:left="0"/>
        <w:rPr>
          <w:noProof/>
          <w:color w:val="000000" w:themeColor="text1"/>
        </w:rPr>
      </w:pPr>
      <w:r>
        <w:rPr>
          <w:noProof/>
        </w:rPr>
        <w:t>Το 2023, σύμφωνα με τις εκτιμήσεις της Επιτροπής, ο δημοσιονομικός προσανατολισμός ήταν συσταλτικός, κατά 0,9 % του ΑΕΠ, σε περιβάλλον υψηλού πληθωρισμού. Η αύξηση των εθνικά χρηματοδοτούμενων πρωτογενών τρεχουσών δαπανών (μετά την αφαίρεση των μέτρων διακριτικής ευχέρειας στο σκέλος των εσόδων) το 2023 είχε συσταλτική συμβολή ύψους 0,7 % του ΑΕΠ στον δημοσιονομικό προσανατολισμό. Αυτό περιλαμβάνει το μειωμένο κόστος των στοχευμένων μέτρων στήριξης έκτακτης ανάγκης για τα νοικοκυριά και τις επιχειρήσεις που είναι περισσότερο ευάλωτα στις αυξήσεις των τιμών της ενέργειας κατά 0,1 % του ΑΕΠ. Περιλαμβάνεται επίσης το χαμηλότερο κόστος παροχής προσωρινής προστασίας σε εκτοπισθέντα άτομα από την Ουκρανία (κατά 0,1 % του ΑΕΠ). Συνολικά, η προβλεπόμενη αύξηση των εθνικά χρηματοδοτούμενων πρωτογενών τρεχουσών δαπανών το 2023 ήταν σύμφωνη με τη σύσταση του Συμβουλίου. Οι δαπάνες που χρηματοδοτήθηκαν από επιχορηγήσεις του μηχανισμού ανάκαμψης και ανθεκτικότητας και άλλα ταμεία της ΕΕ ανήλθαν στο 1,1 % του ΑΕΠ το 2023. Οι εθνικά χρηματοδοτούμενες επενδύσεις ανήλθαν στο 4,4 % του ΑΕΠ το 2023, ποσοστό που συνιστά αύξηση 0,5 % σε σύγκριση με το 2022. Η Τσεχία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οι ανακαινίσεις ενεργειακής απόδοσης και η εγκατάσταση ανανεώσιμων πηγών ενέργειας, ο εκσυγχρονισμός και η αύξηση της ασφάλειας των σιδηροδρόμων και η προετοιμασία έργων για τον εξηλεκτρισμό, η αντιπλημμυρική προστασία και η συγκράτηση των υδάτων εκτάσεων γης και δήμων, έργα τσεχικών εταιρειών που αποσκοπούν στη μείωση της κατανάλωσης νερού και στην εφαρμογή κυκλικών λύσεων για τις επιχειρήσεις, συμπράξεις δημόσιου και ιδιωτικού τομέα στην έρευνα και την καινοτομία, ή παροχή ψηφιακών συσκευών για τα σχολεία, τα οποία χρηματοδοτούνται εν μέρει από τον μηχανισμό ανάκαμψης και ανθεκτικότητας και άλλα ταμεία της ΕΕ.</w:t>
      </w:r>
      <w:r>
        <w:rPr>
          <w:noProof/>
          <w:color w:val="000000" w:themeColor="text1"/>
        </w:rPr>
        <w:t xml:space="preserve"> </w:t>
      </w:r>
    </w:p>
    <w:p w14:paraId="69D3B6CC" w14:textId="5736EA7A" w:rsidR="008604BE" w:rsidRDefault="008604BE" w:rsidP="00655273">
      <w:pPr>
        <w:pStyle w:val="Text1"/>
        <w:ind w:left="0"/>
        <w:rPr>
          <w:noProof/>
        </w:rPr>
      </w:pPr>
      <w:r>
        <w:rPr>
          <w:noProof/>
          <w:color w:val="000000" w:themeColor="text1"/>
        </w:rPr>
        <w:t xml:space="preserve">Με βάση τις εκτιμήσεις της Επιτροπής, ο δημοσιονομικός προσανατολισμός προβλέπεται ότι θα είναι συσταλτικός κατά 2,3 % του ΑΕΠ το 2024. </w:t>
      </w:r>
      <w:r>
        <w:rPr>
          <w:noProof/>
        </w:rPr>
        <w:t xml:space="preserve">Σύμφωνα με τις εαρινές προβλέψεις 2024 της Επιτροπής, οι καθαρές εθνικά χρηματοδοτούμενες πρωτογενείς δαπάνες της Τσεχίας προβλέπεται να μειωθούν κατά 1,1 % το 2024, ποσοστό που είναι χαμηλότερο από τον συνιστώμενο μέγιστο ρυθμό αύξησης. Αυτό συνάδει με τη σύσταση του Συμβουλίου. Σύμφωνα με τις εαρινές προβλέψεις 2024 της Επιτροπής, το καθαρό δημοσιονομικό κόστος των μέτρων στήριξης στον τομέα της ενέργειας εκτιμάται σε 1,2 % του ΑΕΠ το 2023 και προβλέπεται να ανέλθει σε -0,2 % το 2024 και σε 0,0 %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1,4 % του ΑΕΠ το 2024, έναντι συσταλτικής συμβολής των καθαρών εθνικά χρηματοδοτούμενων πρωτογενών δαπανών στον δημοσιονομικό προσανατολισμό ύψους 2,2 % του ΑΕΠ κατά το εν λόγω έτος.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Επιπλέον, τα σχετικά κονδύλια που θα εξοικονομηθούν προβλέπεται να χρησιμοποιηθούν πλήρως για τη μείωση του δημόσιου ελλείμματος. Αυτό συνάδει επίσης με τη σύσταση του Συμβουλίου. Σύμφωνα με τις εαρινές προβλέψεις 2024 της Επιτροπής, οι εθνικά χρηματοδοτούμενες δημόσιες επενδύσεις προβλέπεται να μειωθούν στο 4,2 % του ΑΕΠ το 2024 από 4,4 % του ΑΕΠ το 2023. Η μείωση αυτή οφείλεται στη λήξη της περιόδου προγραμματισμού 2014-2020 των διαρθρωτικών ταμείων της ΕΕ, για την οποία τα κονδύλια ήταν διαθέσιμα έως το 2023. Λαμβανομένου υπόψη αυτού του πρόσθετου παράγοντα, εκτιμάται ότι οι δημόσιες επενδύσεις το 2024 τηρούν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μειωθούν στο 1,0 % του ΑΕΠ το 2024 από 1,1 % του ΑΕΠ το 2023. </w:t>
      </w:r>
      <w:bookmarkStart w:id="9" w:name="_Hlk150946895"/>
      <w:r>
        <w:rPr>
          <w:noProof/>
        </w:rPr>
        <w:t>Η μείωση αυτή οφείλεται στη λήξη της περιόδου προγραμματισμού 2014-2020 των διαρθρωτικών ταμείων της ΕΕ, για την οποία τα κονδύλια ήταν διαθέσιμα έως το 2023.</w:t>
      </w:r>
      <w:bookmarkEnd w:id="9"/>
    </w:p>
    <w:p w14:paraId="118D17E6" w14:textId="798B233C" w:rsidR="001531C8" w:rsidRDefault="00C457AF" w:rsidP="00655273">
      <w:pPr>
        <w:pStyle w:val="Text1"/>
        <w:ind w:left="0"/>
        <w:rPr>
          <w:noProof/>
          <w:highlight w:val="lightGray"/>
        </w:rPr>
      </w:pPr>
      <w:r>
        <w:rPr>
          <w:b/>
          <w:noProof/>
        </w:rPr>
        <w:t>Προκλήσεις όσον αφορά το χρέος και μεσοπρόθεσμη κατάσταση του χρέους.</w:t>
      </w:r>
      <w:r>
        <w:rPr>
          <w:noProof/>
        </w:rPr>
        <w:t xml:space="preserve"> Το δημόσιο χρέος αυξήθηκε από 37,7 % του ΑΕΠ στα τέλη του 2020 σε 42 % στα τέλη του 2021. Αυξήθηκε περαιτέρω στο 44,2 % του ΑΕΠ στα τέλη του 2022, προτού μειωθεί οριακά σε 44,0 % το 2023. Προβλέπεται ότι θα ανέλθει σε 45,2 % και 45,5 % στα τέλη του 2024 και του 2025, αντίστοιχα. </w:t>
      </w:r>
    </w:p>
    <w:p w14:paraId="1C67E435" w14:textId="7830FF1C" w:rsidR="21FF8F48" w:rsidRDefault="21FF8F48" w:rsidP="2FCAF470">
      <w:pPr>
        <w:pStyle w:val="Text1"/>
        <w:ind w:left="0"/>
        <w:rPr>
          <w:noProof/>
        </w:rPr>
      </w:pPr>
      <w:r>
        <w:rPr>
          <w:noProof/>
        </w:rPr>
        <w:t xml:space="preserve">Συνολικά, η ανάλυση της βιωσιμότητας του χρέους καταδεικνύει μέτριους κινδύνους μεσοπρόθεσμα. Σύμφωνα με τη βασική προβολή δεκαετίας, ο δείκτης χρέους της γενικής κυβέρνησης θα αυξηθεί ελαφρώς έως το 48 % του ΑΕΠ το 2034. Η πορεία του χρέους βάσης είναι σχετικά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μικρή πιθανότητα ο δείκτης χρέους να είναι υψηλότερος το 2028 από ό,τι το 2023. </w:t>
      </w:r>
    </w:p>
    <w:p w14:paraId="7BD270B6" w14:textId="6E16D674" w:rsidR="21FF8F48" w:rsidRDefault="00E644E5" w:rsidP="00A7138B">
      <w:pPr>
        <w:pStyle w:val="Text1"/>
        <w:ind w:left="0"/>
        <w:rPr>
          <w:noProof/>
        </w:rPr>
      </w:pPr>
      <w:r>
        <w:rPr>
          <w:noProof/>
        </w:rPr>
        <w:t xml:space="preserve">Άλλοι παράγοντες πρέπει να λαμβάνονται υπόψη για τη συνολική αξιολόγηση της βιωσιμότητας του χρέους. Αφενός, οι παράγοντες αύξησης του κινδύνου συνδέονται με την πρόσφατη αύξηση των επιτοκίων και το σημαντικό μερίδιο του βραχυπρόθεσμου χρέους. Αφετέρου, στους παράγοντες μετριασμού του κινδύνου συγκαταλέγονται η σταθερότητα της ληκτότητας του χρέους τα τελευταία έτη, οι σχετικά σταθερές πηγές χρηματοδότησης (με διαφοροποιημένη και μεγάλη επενδυτική βάση) και το νόμισμα στο οποίο εκφράζεται το χρέος.  </w:t>
      </w:r>
    </w:p>
    <w:p w14:paraId="1CAB5E47" w14:textId="43C887A6" w:rsidR="009E16DB" w:rsidRDefault="008D454E" w:rsidP="00AA7898">
      <w:pPr>
        <w:pStyle w:val="Text1"/>
        <w:ind w:left="0"/>
        <w:rPr>
          <w:noProof/>
        </w:rPr>
      </w:pPr>
      <w:r>
        <w:rPr>
          <w:noProof/>
        </w:rPr>
        <w:t xml:space="preserve">Επιπλέον, οι διαρθρωτικές μεταρρυθμίσεις και επενδύσεις στο πλαίσιο του NextGenerationEU (NGEU) / του μηχανισμού ανάκαμψης και ανθεκτικότητας (ΜΑΑ), εάν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Τσεχίας βρίσκεται σε εξέλιξη, ωστόσο η έγκαιρη ολοκλήρωση απαιτεί αυξημένες προσπάθειες. </w:t>
      </w:r>
    </w:p>
    <w:p w14:paraId="7F225E2A" w14:textId="67F427E5" w:rsidR="00E805E0" w:rsidRPr="00C308A2" w:rsidRDefault="007B4D56" w:rsidP="00AA7898">
      <w:pPr>
        <w:pStyle w:val="Text1"/>
        <w:ind w:left="0"/>
        <w:rPr>
          <w:rFonts w:eastAsiaTheme="majorEastAsia"/>
          <w:noProof/>
          <w:color w:val="000000" w:themeColor="text1"/>
        </w:rPr>
      </w:pPr>
      <w:r>
        <w:rPr>
          <w:rStyle w:val="normaltextrun"/>
          <w:b/>
          <w:noProof/>
          <w:color w:val="000000" w:themeColor="text1"/>
        </w:rPr>
        <w:t xml:space="preserve">Εθνικό δημοσιονομικό πλαίσιο. </w:t>
      </w:r>
      <w:r>
        <w:rPr>
          <w:rStyle w:val="normaltextrun"/>
          <w:noProof/>
          <w:color w:val="000000" w:themeColor="text1"/>
        </w:rPr>
        <w:t>Οι αρμοδιότητες των ανεξάρτητων δημοσιονομικών οργάνων ασκούνται από δύο νομίμως συσταθέντα όργανα, το Δημοσιονομικό Συμβούλιο και την Επιτροπή Δημοσιονομικών Προβλέψεων. Ταυτόχρονα, εξακολουθεί να υπάρχει περιθώριο για τη βελτίωση της πρόσβασης του θεσμικού οργάνου στα καθήκοντα πληροφόρησης και αξιολόγησης. Ορισμένες δημοσιονομικές πρακτικές στην Τσεχία (π.χ. αλλαγές των παραμέτρων στις οποίες βασίζονται οι δημοσιονομικοί κανόνες και η χρήση κρατικών οντοτήτων εκτός του τακτικού προϋπολογισμού) τείνουν να αποδυναμώνουν το δημοσιονομικό πλαίσιο.</w:t>
      </w:r>
    </w:p>
    <w:p w14:paraId="5B908825" w14:textId="12F62E69" w:rsidR="001367C8" w:rsidRPr="00713DAC" w:rsidRDefault="00FB57BB" w:rsidP="001367C8">
      <w:pPr>
        <w:pStyle w:val="Text1"/>
        <w:ind w:left="0"/>
        <w:rPr>
          <w:noProof/>
        </w:rPr>
      </w:pPr>
      <w:r>
        <w:rPr>
          <w:b/>
          <w:noProof/>
        </w:rPr>
        <w:t>Αύξηση των δημόσιων επενδύσεων στην άμυνα.</w:t>
      </w:r>
      <w:r>
        <w:rPr>
          <w:b/>
          <w:noProof/>
          <w:sz w:val="22"/>
        </w:rPr>
        <w:t xml:space="preserve"> </w:t>
      </w:r>
      <w:r>
        <w:rPr>
          <w:noProof/>
        </w:rPr>
        <w:t>Με βάση τα στοιχεία της COFOG που δημοσίευσε η Eurostat</w:t>
      </w:r>
      <w:r>
        <w:rPr>
          <w:noProof/>
          <w:sz w:val="22"/>
        </w:rPr>
        <w:t>,</w:t>
      </w:r>
      <w:r>
        <w:rPr>
          <w:b/>
          <w:noProof/>
          <w:sz w:val="22"/>
        </w:rPr>
        <w:t xml:space="preserve"> </w:t>
      </w:r>
      <w:r>
        <w:rPr>
          <w:noProof/>
        </w:rPr>
        <w:t>οι συνολικές δαπάνες της γενικής κυβέρνησης στην άμυνα ανήλθαν στο 1,0 % του ΑΕΠ το 2022. Πιο αναλυτικά, οι δημόσιες επενδύσεις στην άμυνα αντιπροσώπευαν το 0,2 % του ΑΕΠ το 2022, ποσοστό που ήταν κατά 0,1 % υψηλότερο από ό,τι το 2019. Σύμφωνα με προκαταρκτικές εκτιμήσεις που υπέβαλε η Τσεχία, οι δαπάνες για την άμυνα αυξήθηκαν κατά 0,3 % του ΑΕΠ το 2023 (δεν παρέχονται συγκεκριμένα αριθμητικά στοιχεία για τις επενδύσεις στην άμυνα).</w:t>
      </w:r>
    </w:p>
    <w:p w14:paraId="5363C345" w14:textId="5FCA13BF" w:rsidR="00655273" w:rsidRPr="00C57E36" w:rsidRDefault="00655273" w:rsidP="00AB5427">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Η Τσεχία υποστήριξε ότι έλαβε μέτρα εξυγίανσης το 2024 με συνολικό αντίκτυπο περίπου 1,5 % του ΑΕΠ. Σύμφωνα με την Τσεχία, τα μέτρα αυτά θα πρέπει να οδηγήσουν σε ετήσια μείωση του ελλείμματος στο 2,3 % του ΑΕΠ, δηλαδή πολύ κάτω από το 3 % του ΑΕΠ το 2024. </w:t>
      </w:r>
    </w:p>
    <w:p w14:paraId="2F0D639C" w14:textId="0846CF4E" w:rsidR="00E00462" w:rsidRDefault="00E00462" w:rsidP="004B0EAC">
      <w:pPr>
        <w:pStyle w:val="ManualHeading1"/>
        <w:keepNext/>
        <w:keepLines/>
        <w:spacing w:before="120"/>
        <w:rPr>
          <w:noProof/>
        </w:rPr>
      </w:pPr>
      <w:r>
        <w:rPr>
          <w:noProof/>
        </w:rPr>
        <w:t>Εσθονία</w:t>
      </w:r>
    </w:p>
    <w:p w14:paraId="63942AD6" w14:textId="4381A644" w:rsidR="00655273" w:rsidRPr="00E343AE" w:rsidRDefault="00655273" w:rsidP="00655273">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1,0 % το 2020. Μετά από αύξηση 7,2 % το 2021, το πραγματικό ΑΕΠ συρρικνώθηκε κατά 0,5 % το 2022 και ακόμη περισσότερο το 2023 (κατά 3,0 %). Αναμένεται να συρρικνωθεί κατά 0,5 % το 2024, σηματοδοτώντας τριετή ύφεση της οικονομίας. Μόνο μετά το 2025 προβλέπεται θετική αύξηση της τάξης του 3,1 %. Η συρρίκνωση το 2024 αναμένεται να προέλθει κυρίως από τη μείωση τόσο της ιδιωτικής όσο και της δημόσιας κατανάλωσης.</w:t>
      </w:r>
    </w:p>
    <w:p w14:paraId="1EBEECF4" w14:textId="19CA9DD7" w:rsidR="008604BE" w:rsidRPr="00E837AF" w:rsidRDefault="00655273" w:rsidP="00C732BA">
      <w:pPr>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Μεσοπρόθεσμη δημοσιονομική θέση, περιλαμβανομένων των επενδύσεων.</w:t>
      </w:r>
      <w:r>
        <w:rPr>
          <w:noProof/>
        </w:rPr>
        <w:t xml:space="preserve"> </w:t>
      </w:r>
      <w:r>
        <w:rPr>
          <w:rFonts w:ascii="Times New Roman" w:hAnsi="Times New Roman"/>
          <w:noProof/>
          <w:sz w:val="24"/>
        </w:rPr>
        <w:t xml:space="preserve">Το δημοσιονομικό έλλειμμα μειώθηκε από 5,4 % το 2020 σε 2,5 % του ΑΕΠ το 2021 και σε 1,0 % το 2022, προτού αυξηθεί σε 3,4 % του ΑΕΠ το 2023, όπου προβλέπεται να διατηρηθεί και το 2024. Το 2025 το έλλειμμα αναμένεται να αυξηθεί στο 4,3 % του ΑΕΠ. Αφού αυξήθηκαν στο 5,7 % του ΑΕΠ το 2020, οι δημόσιες επενδύσεις μειώθηκαν σε 5,6 % του ΑΕΠ το 2021 και σε 5,1 % το 2022, προτού αυξηθούν σε 6,3 % το 2023, πάντα σε επίπεδα υψηλότερα από το δημόσιο έλλειμμα των ίδιων ετών. Προβλέπεται να μειωθούν περαιτέρω στο 7,0 % του ΑΕΠ το 2024 και να μειωθούν οριακά σε 6,9 % το 2025, παραμένοντας υψηλότερες από το δημοσιονομικό έλλειμμα των δύο ετών. </w:t>
      </w:r>
    </w:p>
    <w:p w14:paraId="01E0E084" w14:textId="6DA8C718" w:rsidR="008604BE" w:rsidRDefault="008604BE" w:rsidP="00655273">
      <w:pPr>
        <w:pStyle w:val="Text1"/>
        <w:ind w:left="0"/>
        <w:rPr>
          <w:noProof/>
        </w:rPr>
      </w:pPr>
      <w:r>
        <w:rPr>
          <w:noProof/>
        </w:rPr>
        <w:t>Το 2023 σύμφωνα με τις εκτιμήσεις της Επιτροπής, ο δημοσιονομικός προσανατολισμός ήταν επεκτατικός, κατά 1,6 % του ΑΕΠ, σε περιβάλλον υψηλού πληθωρισμού. Η αύξηση των εθνικά χρηματοδοτούμενων πρωτογενών τρεχουσών δαπανών (μετά την αφαίρεση των μέτρων διακριτικής ευχέρειας στο σκέλος των εσόδων) το 2023 είχε επεκτατική συμβολή ύψους 1,0 % του ΑΕΠ στον δημοσιονομικό προσανατολισμό. Αυτό περιλαμβάνει το μειωμένο κόστος των στοχευμένων μέτρων στήριξης έκτακτης ανάγκης για τα νοικοκυριά και τις επιχειρήσεις που είναι πιο ευάλωτα στις αυξήσεις των τιμών της ενέργειας κατά 0,1 % του ΑΕΠ. Περιλαμβάνεται επίσης το υψηλότερο κόστος παροχής προσωρινής προστασίας σε εκτοπισθέντα άτομα από την Ουκρανία (κατά 0,2 % του ΑΕΠ). Συνεπώς, η επεκτατική συμβολή των εθνικά χρηματοδοτούμενων καθαρών πρωτογενών τρεχουσών δαπανών το 2023 οφειλόταν μόνον εν μέρει στη στήριξη των ατόμων που εγκαταλείπουν την Ουκρανία. Η επεκτατική αύξηση των εθνικά χρηματοδοτούμενων πρωτογενών τρεχουσών δαπανών (εκτός των μέτρων διακριτικής ευχέρειας στο σκέλος των εσόδων) οφειλόταν στις υψηλότερες μισθολογικές δαπάνες και τις συντάξεις του δημόσιου τομέα, σε συνδυασμό με περαιτέρω νέα μόνιμα προγράμματα δαπανών για την άμυνα, την εκπαίδευση και τα επιδόματα τέκνων, τα οποία δεν συνοδεύονταν από αναλογικές αυξήσεις στο σκέλος των εσόδων. Συνολικά, η αύξηση των εθνικά χρηματοδοτούμενων πρωτογενών τρεχουσών δαπανών το 2023 δεν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1,4 % του ΑΕΠ το 2023. Οι εθνικά χρηματοδοτούμενες επενδύσεις ανήλθαν στο 5,8 % του ΑΕΠ το 2023, με ετήσια αύξηση κατά 1,4 % από το 2022. Η Εσθονία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η ανάπτυξη υπηρεσιών εκδηλώσεων και ψηφιακής πύλης για επιχειρηματίες, η κεφαλαιοποίηση του Πράσινου Ταμείου (το οποίο πραγματοποιεί επενδύσεις σε ταμεία επιχειρηματικών κεφαλαίων και επενδύσεις μετοχικού κεφαλαίου σε επιχειρήσεις) και η ενίσχυση του δικτύου ηλεκτρικής ενέργειας με σκοπό την αύξηση της ικανότητας παραγωγής ενέργειας από ανανεώσιμες πηγές και την προσαρμογή στην κλιματική αλλαγή, οι οποίες χρηματοδοτούνται από τον μηχανισμό ανάκαμψης και ανθεκτικότητας.</w:t>
      </w:r>
    </w:p>
    <w:p w14:paraId="2B11D9EF" w14:textId="2DCF268D" w:rsidR="008604BE" w:rsidRDefault="008604BE" w:rsidP="00655273">
      <w:pPr>
        <w:pStyle w:val="Text1"/>
        <w:ind w:left="0"/>
        <w:rPr>
          <w:noProof/>
        </w:rPr>
      </w:pPr>
      <w:r>
        <w:rPr>
          <w:noProof/>
        </w:rPr>
        <w:t>Με βάση τις εκτιμήσεις της Επιτροπής, ο δημοσιονομικός προσανατολισμός προβλέπεται να είναι ουδέτερος σε μεγάλο βαθμό στο 0,1 % του ΑΕΠ το 2024. Σύμφωνα με τις εαρινές προβλέψεις 2024 της Επιτροπής, το διαρθρωτικό ισοζύγιο της Εσθονίας προβλέπεται να διαμορφωθεί σε -0,7 % του ΑΕΠ το 2024 (από -1,3 % το 2023), ποσοστό σύμφωνο με τον μεσοπρόθεσμο δημοσιονομικό στόχο (ΜΔΣ) της χώρας για διαρθρωτικό ισοζύγιο ύψους -0,75 % του ΑΕΠ. Επομένως, εκτιμάται ότι η Εσθονία συμμορφώνεται με τη σύσταση του Συμβουλίου. Σύμφωνα με τις εαρινές προβλέψεις 2024 της Επιτροπής, το καθαρό δημοσιονομικό κόστος των μέτρων στήριξης έκτακτης ανάγκης στον τομέα της ενέργειας εκτιμάται σε 0,2 % του ΑΕΠ το 2023 και προβλέπεται να διαμορφωθεί σε 0,0 % το 2024 και το 2025.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αυξηθούν στο 6,3 % του ΑΕΠ το 2024 από 5,8 % του ΑΕΠ το 2023. Αυτό συνάδει με τη σύσταση του Συμβουλίου.</w:t>
      </w:r>
    </w:p>
    <w:p w14:paraId="705D219D" w14:textId="3A93811F" w:rsidR="00AD60BE" w:rsidRDefault="00204638" w:rsidP="00655273">
      <w:pPr>
        <w:pStyle w:val="Text1"/>
        <w:ind w:left="0"/>
        <w:rPr>
          <w:noProof/>
          <w:highlight w:val="lightGray"/>
        </w:rPr>
      </w:pPr>
      <w:r>
        <w:rPr>
          <w:b/>
          <w:noProof/>
        </w:rPr>
        <w:t>Προκλήσεις όσον αφορά το χρέος και μεσοπρόθεσμη θέση του χρέους</w:t>
      </w:r>
      <w:r>
        <w:rPr>
          <w:noProof/>
        </w:rPr>
        <w:t xml:space="preserve"> Αφού μειώθηκε από 18,6 % του ΑΕΠ στα τέλη του 2020 σε 17,8 % του ΑΕΠ στα τέλη του 2021, το δημόσιο χρέος αυξήθηκε σε 18,5 % του ΑΕΠ στα τέλη του 2022 και σε 19,6 % στα τέλη του 2023. Η ανοδική τάση προβλέπεται να συνεχιστεί, με εκτιμώμενο δείκτη χρέους προς το ΑΕΠ ύψους 21,4 % στα τέλη του 2024 και 24,6 % στα τέλη του 2025. </w:t>
      </w:r>
    </w:p>
    <w:p w14:paraId="64D152B3" w14:textId="7E3BAD39" w:rsidR="4BC1E2AA" w:rsidRDefault="4BC1E2AA" w:rsidP="2FCAF470">
      <w:pPr>
        <w:pStyle w:val="Text1"/>
        <w:ind w:left="0"/>
        <w:rPr>
          <w:noProof/>
        </w:rPr>
      </w:pPr>
      <w:r>
        <w:rPr>
          <w:noProof/>
        </w:rPr>
        <w:t xml:space="preserve">Συνολικά, η </w:t>
      </w:r>
      <w:bookmarkStart w:id="10" w:name="_Hlk167997568"/>
      <w:r>
        <w:rPr>
          <w:noProof/>
        </w:rPr>
        <w:t>ανάλυση της βιωσιμότητας του χρέους καταδεικνύει μέτριους κινδύνους</w:t>
      </w:r>
      <w:bookmarkEnd w:id="10"/>
      <w:r>
        <w:rPr>
          <w:noProof/>
        </w:rPr>
        <w:t xml:space="preserve"> μεσοπρόθεσμα. Σύμφωνα με τη βασική προβολή δεκαετίας, ο δείκτης χρέους της γενικής κυβέρνησης θα αυξηθεί έως περίπου το 27 % του ΑΕΠ το 2034. Η πορεία του χρέους βάσης δεν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υψηλή πιθανότητα ο δείκτης χρέους να είναι υψηλότερος το 2028 από ό,τι το 2023.</w:t>
      </w:r>
    </w:p>
    <w:p w14:paraId="5215C2EE" w14:textId="16757F97" w:rsidR="4BC1E2AA" w:rsidRDefault="00B5539A" w:rsidP="00371558">
      <w:pPr>
        <w:pStyle w:val="Text1"/>
        <w:ind w:left="0"/>
        <w:rPr>
          <w:noProof/>
        </w:rPr>
      </w:pPr>
      <w:r>
        <w:rPr>
          <w:noProof/>
        </w:rPr>
        <w:t xml:space="preserve">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την πρόσφατη αύξηση των επιτοκίων, το μερίδιο του βραχυπρόθεσμου χρέους και το μεγάλο μερίδιο του δημόσιου χρέους που διακρατείται από μη κατοίκους. Αφετέρου, στους παράγοντες μετριασμού του κινδύνου συγκαταλέγονται οι χαμηλές ακαθάριστες χρηματοδοτικές ανάγκες και το γεγονός ότι το συνολικό δημόσιο χρέος που παραμένει χαμηλό εκφράζεται πλήρως σε ευρώ.  </w:t>
      </w:r>
    </w:p>
    <w:p w14:paraId="512C885C" w14:textId="2F15E362" w:rsidR="00F61E30" w:rsidRDefault="00791EB3" w:rsidP="001269F1">
      <w:pPr>
        <w:pStyle w:val="Text1"/>
        <w:ind w:left="0"/>
        <w:rPr>
          <w:noProof/>
        </w:rPr>
      </w:pPr>
      <w:r>
        <w:rPr>
          <w:noProof/>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Εσθονίας βρίσκεται σε εξέλιξη. </w:t>
      </w:r>
    </w:p>
    <w:p w14:paraId="2E37BEA6" w14:textId="075CCCA2" w:rsidR="0077627A" w:rsidRDefault="005E4D00" w:rsidP="00655273">
      <w:pPr>
        <w:pStyle w:val="Text1"/>
        <w:ind w:left="0"/>
        <w:rPr>
          <w:noProof/>
        </w:rPr>
      </w:pPr>
      <w:r>
        <w:rPr>
          <w:rStyle w:val="normaltextrun"/>
          <w:b/>
          <w:noProof/>
          <w:color w:val="000000" w:themeColor="text1"/>
        </w:rPr>
        <w:t xml:space="preserve">Εθνικό δημοσιονομικό πλαίσιο. </w:t>
      </w:r>
      <w:r>
        <w:rPr>
          <w:noProof/>
        </w:rPr>
        <w:t xml:space="preserve">Το εθνικό δημοσιονομικό πλαίσιο διήλθε συνολική μεταρρύθμιση το 2014, όταν συστάθηκε το Δημοσιονομικό Συμβούλιο της Εσθονίας. Ακρογωνιαίος λίθος του εθνικού δημοσιονομικού πλαισίου είναι ο κανόνας του διαρθρωτικού ισοζυγίου. Τροποποιήθηκε το 2017 και το 2024, όπου η τελευταία τροποποίηση χαλάρωσε τους κανόνες και επέτρεψε διαρθρωτικά ελλείμματα έως και 1 % του ΑΕΠ, εφόσον το επίπεδο του χρέους δεν υπερβαίνει το 30 % του ΑΕΠ. Το Δημοσιονομικό Συμβούλιο της Εσθονίας εγκρίνει τις μακροοικονομικές και δημοσιονομικές προβλέψεις και αξιολογεί τη συμμόρφωση με τον κανόνα του ισοσκελισμένου προϋπολογισμού. </w:t>
      </w:r>
    </w:p>
    <w:p w14:paraId="51086908" w14:textId="47FD4194" w:rsidR="00F14317" w:rsidRPr="00AA01CA" w:rsidRDefault="00D45161" w:rsidP="00F14317">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2,2% του ΑΕΠ το 2022. Εξ αυτών, οι δημόσιες επενδύσεις στην άμυνα αντιπροσώπευαν το 0,7 % του ΑΕΠ το 2022, ποσοστό κατά 0,2 εκατοστιαίες μονάδες υψηλότερο σε σχέση με το 2019. Σύμφωνα με τις προκαταρκτικές εκτιμήσεις της Εσθονίας, οι επενδύσεις στην άμυνα θα αυξηθούν κατά 0,45 % του ΑΕΠ το 2023 και κατά 0,44 % το 2024.</w:t>
      </w:r>
    </w:p>
    <w:p w14:paraId="36CE77F1" w14:textId="0B75AEB3" w:rsidR="004A3379" w:rsidRPr="00C732BA" w:rsidRDefault="00655273" w:rsidP="004A3379">
      <w:pPr>
        <w:spacing w:before="120" w:after="120" w:line="240" w:lineRule="auto"/>
        <w:jc w:val="both"/>
        <w:rPr>
          <w:rFonts w:ascii="Times New Roman" w:eastAsia="Times New Roman" w:hAnsi="Times New Roman" w:cs="Times New Roman"/>
          <w:noProof/>
          <w:sz w:val="24"/>
          <w:szCs w:val="24"/>
          <w:u w:val="single"/>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Στις 17 Μαΐου 2024 η Εσθονία υπέβαλε πρόσθετους σχετικούς παράγοντες που δεν αναφέρονται ήδη ανωτέρω. Αυτοί συνδέονται με την έντονη συρρίκνωση της οικονομίας της τάξης του 3 % το 2023 και με σχέδια για τη θέσπιση πρόσθετων δημοσιονομικών μέτρων με τη μορφή περικοπών δαπανών που αναμένεται να μειώσουν το έλλειμμα κάτω από το 3 % του ΑΕΠ το 2024.  Επιπλέον, μετά την επιστολή τους, οι εσθονικές αρχές ενημέρωσαν την Επιτροπή ότι η κυβέρνηση συμφώνησε και κατέθεσε στο Κοινοβούλιο, στις 5 Ιουνίου 2024, συμπληρωματικό προϋπολογισμό για το 2024 (Νόμος για τον πρόσθετο προϋπολογισμό του 2024 για το κράτος 456 SE</w:t>
      </w:r>
      <w:r>
        <w:rPr>
          <w:rStyle w:val="FootnoteReference"/>
          <w:rFonts w:eastAsiaTheme="minorHAnsi"/>
          <w:noProof/>
        </w:rPr>
        <w:footnoteReference w:id="36"/>
      </w:r>
      <w:r>
        <w:rPr>
          <w:rFonts w:ascii="Times New Roman" w:hAnsi="Times New Roman"/>
          <w:noProof/>
          <w:sz w:val="24"/>
        </w:rPr>
        <w:t>), ο οποίος εγκρίθηκε σε πρώτη ανάγνωση στο Κοινοβούλιο στις 10 Ιουνίου, σε δεύτερη ανάγνωση στις 14 Ιουνίου και αναμένεται να εγκριθεί σε τρίτη ανάγνωση στις 19 Ιουνίου. Ο εν λόγω συμπληρωματικός προϋπολογισμός αναμένεται να μειώσει το ονομαστικό έλλειμμα κατά 0,4 % του ΑΕΠ (εκ του οποίου, το μεγαλύτερο μέρος είναι μόνιμες περικοπές δαπανών, αλλά περιλαμβάνει επίσης μέτρα αύξησης των εσόδων)</w:t>
      </w:r>
      <w:r>
        <w:rPr>
          <w:rStyle w:val="FootnoteReference"/>
          <w:rFonts w:eastAsiaTheme="minorHAnsi"/>
          <w:noProof/>
        </w:rPr>
        <w:footnoteReference w:id="37"/>
      </w:r>
      <w:r>
        <w:rPr>
          <w:noProof/>
        </w:rPr>
        <w:t>.</w:t>
      </w:r>
    </w:p>
    <w:p w14:paraId="65A55A4C" w14:textId="77777777" w:rsidR="007A32C7" w:rsidRPr="00E343AE" w:rsidRDefault="007A32C7" w:rsidP="00167CEB">
      <w:pPr>
        <w:spacing w:before="120" w:after="120" w:line="240" w:lineRule="auto"/>
        <w:jc w:val="both"/>
        <w:rPr>
          <w:rFonts w:ascii="Times New Roman" w:hAnsi="Times New Roman" w:cs="Times New Roman"/>
          <w:noProof/>
        </w:rPr>
      </w:pPr>
    </w:p>
    <w:p w14:paraId="3DB8DCCE" w14:textId="77777777" w:rsidR="00167CEB" w:rsidRPr="00E343AE" w:rsidRDefault="00167CEB" w:rsidP="00AC4729">
      <w:pPr>
        <w:pStyle w:val="ManualHeading1"/>
        <w:keepNext/>
        <w:keepLines/>
        <w:spacing w:before="120"/>
        <w:rPr>
          <w:noProof/>
        </w:rPr>
      </w:pPr>
      <w:r>
        <w:rPr>
          <w:noProof/>
        </w:rPr>
        <w:t>Μάλτα</w:t>
      </w:r>
    </w:p>
    <w:p w14:paraId="410E8AC4" w14:textId="409D24C9" w:rsidR="00655273" w:rsidRPr="00E343AE" w:rsidRDefault="00655273" w:rsidP="00655273">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8,2 % το 2020.  Μετά από αύξηση 12,5 % το 2021, το πραγματικό ΑΕΠ αυξήθηκε κατά 5,6 % το 2021 και κατά 4,6 % το 2023. Αναμένεται να αυξηθεί κατά 4,6 % το 2024 και κατά 4,3 % το 2025. Η ανάπτυξη το 2024 προβλέπεται να βασιστεί κυρίως στην ιδιωτική κατανάλωση και τις καθαρές εξαγωγές. </w:t>
      </w:r>
    </w:p>
    <w:p w14:paraId="65EE4DC7" w14:textId="7938764E" w:rsidR="00655273" w:rsidRDefault="00655273" w:rsidP="00655273">
      <w:pPr>
        <w:pStyle w:val="Text1"/>
        <w:ind w:left="0"/>
        <w:rPr>
          <w:noProof/>
        </w:rPr>
      </w:pPr>
      <w:r>
        <w:rPr>
          <w:b/>
          <w:noProof/>
        </w:rPr>
        <w:t>Μεσοπρόθεσμη δημοσιονομική θέση, περιλαμβανομένων των επενδύσεων.</w:t>
      </w:r>
      <w:r>
        <w:rPr>
          <w:noProof/>
        </w:rPr>
        <w:t xml:space="preserve"> Tο δημόσιο έλλειμμα βρίσκεται άνω του 3 % του ΑΕΠ από το 2020. Μειώθηκε από 7,6 % το 2021 σε 5,5 % του ΑΕΠ το 2022 και 4,9 % το 2023. Προβλέπεται ότι θα μειωθεί περαιτέρω στο 4,3 % και 3,9 % του ΑΕΠ το 2024 και το 2025, αντίστοιχα. Αφού διαμορφώθηκαν σε 3,9 % του ΑΕΠ το 2021, οι δημόσιες επενδύσεις μειώθηκαν σε 3,4 % του ΑΕΠ το 2022, προτού αυξηθούν οριακά στο 3,5 % το 2023. Προβλέπεται να ανέλθουν στο 3,7 % του ΑΕΠ το 2024 και στο 3,9 % του ΑΕΠ το 2025.</w:t>
      </w:r>
    </w:p>
    <w:p w14:paraId="3ECBAFCA" w14:textId="5CDF2CF4" w:rsidR="008604BE" w:rsidRDefault="311554ED" w:rsidP="00050520">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Σύμφωνα με τις εκτιμήσεις της Επιτροπής, το 2023 ο δημοσιονομικός προσανατολισμός ήταν συσταλτικός, κατά 0,6 %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συσταλτική συμβολή ύψους 1,6 % του ΑΕΠ στον δημοσιονομικό προσανατολισμό.</w:t>
      </w:r>
      <w:r>
        <w:rPr>
          <w:noProof/>
        </w:rPr>
        <w:t xml:space="preserve"> </w:t>
      </w:r>
      <w:r>
        <w:rPr>
          <w:rFonts w:ascii="Times New Roman" w:hAnsi="Times New Roman"/>
          <w:noProof/>
          <w:color w:val="000000" w:themeColor="text1"/>
          <w:sz w:val="24"/>
        </w:rPr>
        <w:t>Σε αυτήν περιλαμβάνεται το αυξημένο κόστος των στοχευμένων μέτρων στήριξης έκτακτης ανάγκης για τα νοικοκυριά και τις επιχειρήσεις που είναι περισσότερο ευάλωτα στις αυξήσεις των τιμών της ενέργειας, κατά λιγότερο από 0,1 % του ΑΕΠ. Η αύξηση των εθνικά χρηματοδοτούμενων πρωτογενών τρεχουσών δαπανών το 2023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0,9 % του ΑΕΠ το 2023. Οι εθνικά χρηματοδοτούμενες επενδύσεις ανήλθαν στο 2,6 % του ΑΕΠ το 2023, ποσοστό που συνιστά αύξηση κατά 0,1 εκατοστιαίες μονάδες σε σύγκριση με το 2022. Η Μάλτα χρηματοδότησε πρόσθετες επενδύσεις μέσω του μηχανισμού ανάκαμψης και ανθεκτικότητας και άλλων ταμείων της ΕΕ</w:t>
      </w:r>
      <w:r>
        <w:rPr>
          <w:rFonts w:ascii="Times New Roman" w:hAnsi="Times New Roman"/>
          <w:noProof/>
          <w:sz w:val="24"/>
        </w:rPr>
        <w:t>, συμπεριλαμβανομένων</w:t>
      </w:r>
      <w:r>
        <w:rPr>
          <w:rFonts w:ascii="Times New Roman" w:hAnsi="Times New Roman"/>
          <w:noProof/>
          <w:color w:val="000000" w:themeColor="text1"/>
          <w:sz w:val="24"/>
        </w:rPr>
        <w:t xml:space="preserve"> των δημόσιων επενδύσεων για την πράσινη και την ψηφιακή μετάβαση και για την ενεργειακή ασφάλεια, όπως η ανακαίνιση ιδιωτικών και δημόσιων κτιρίων, συμπεριλαμβανομένων νοσοκομείων και σχολείων, ο εξηλεκτρισμός του τομέα των μεταφορών, καθώς και έργα που σχετίζονται με την ψηφιοποίηση της δημόσιας διοίκησης και του ιδιωτικού τομέα, τα οποία χρηματοδοτούνται εν μέρει από τον μηχανισμό ανάκαμψης και ανθεκτικότητας και άλλα ταμεία της ΕΕ.</w:t>
      </w:r>
    </w:p>
    <w:p w14:paraId="56074139" w14:textId="54C84BD1" w:rsidR="009A0D60" w:rsidRPr="009D31C6" w:rsidRDefault="6AB129E9" w:rsidP="00827228">
      <w:pPr>
        <w:spacing w:before="120" w:after="120" w:line="240" w:lineRule="auto"/>
        <w:jc w:val="both"/>
        <w:rPr>
          <w:noProof/>
        </w:rPr>
      </w:pPr>
      <w:r>
        <w:rPr>
          <w:rFonts w:ascii="Times New Roman" w:hAnsi="Times New Roman"/>
          <w:noProof/>
          <w:color w:val="000000" w:themeColor="text1"/>
          <w:sz w:val="24"/>
        </w:rPr>
        <w:t xml:space="preserve">Με βάση τις εκτιμήσεις της Επιτροπής, ο δημοσιονομικός προσανατολισμός προβλέπεται να είναι συσταλτικός κατά 1,3 % του ΑΕΠ το 2024. Σύμφωνα με τις εαρινές προβλέψεις 2024 της Επιτροπής, οι καθαρές εθνικά χρηματοδοτούμενες πρωτογενείς δαπάνες της Μάλτας προβλέπεται να αυξηθούν κατά 5,5 % το 2024, ποσοστό που είναι χαμηλότερο από τον συνιστώμενο μέγιστο ρυθμό αύξησης. Ωστόσο, οι καθαρές δαπάνες το 2023 ήταν υψηλότερες από τις αναμενόμενες κατά τον χρόνο έκδοσης της σύστασης (κατά 0,8 % του ΑΕΠ). Ως εκ τούτου, δεδομένου ότι η σύσταση για το 2024 διατυπώθηκε με όρους ρυθμού αύξησης, η αξιολόγηση της συμμόρφωσης πρέπει επίσης να λάβει υπόψη το αποτέλεσμα βάσης από το 2023. Εάν οι καθαρές δαπάνες το 2023 ήταν οι ίδιες με τις αναμενόμενες κατά τον χρόνο έκδοσης της σύστασης, ο προκύπτων ρυθμός αύξησης των καθαρών δαπανών το 2024 θα υπερέβαινε τον συνιστώμενο ρυθμό αύξησης κατά 0,7 % του ΑΕΠ. Κατά συνέπεια, εκτιμάται ότι υπάρχει κίνδυνος οι καθαρές εθνικά χρηματοδοτούμενες πρωτογενείς δαπάνες να μη συνάδουν πλήρως με τη σύσταση. Σύμφωνα με τις εαρινές προβλέψεις 2024 της Επιτροπής, το καθαρό δημοσιονομικό κόστος των μέτρων στήριξης </w:t>
      </w:r>
      <w:r>
        <w:rPr>
          <w:rFonts w:ascii="Times New Roman" w:hAnsi="Times New Roman"/>
          <w:noProof/>
          <w:sz w:val="24"/>
        </w:rPr>
        <w:t xml:space="preserve">έκτακτης ανάγκης στον τομέα της </w:t>
      </w:r>
      <w:r>
        <w:rPr>
          <w:rFonts w:ascii="Times New Roman" w:hAnsi="Times New Roman"/>
          <w:noProof/>
          <w:color w:val="000000" w:themeColor="text1"/>
          <w:sz w:val="24"/>
        </w:rPr>
        <w:t>ενέργειας εκτιμάται σε 1,7 % του ΑΕΠ το 2023 και προβλέπεται να ανέλθει σε 2,0 % το 2024 και σε 1,0 % το 2025</w:t>
      </w:r>
      <w:r>
        <w:rPr>
          <w:rFonts w:ascii="Times New Roman" w:hAnsi="Times New Roman"/>
          <w:noProof/>
          <w:sz w:val="24"/>
        </w:rPr>
        <w:t>.</w:t>
      </w:r>
      <w:r>
        <w:rPr>
          <w:rFonts w:ascii="Calibri" w:hAnsi="Calibri"/>
          <w:noProof/>
        </w:rPr>
        <w:t xml:space="preserve"> </w:t>
      </w:r>
      <w:r>
        <w:rPr>
          <w:rFonts w:ascii="Times New Roman" w:hAnsi="Times New Roman"/>
          <w:noProof/>
          <w:color w:val="000000" w:themeColor="text1"/>
          <w:sz w:val="24"/>
        </w:rPr>
        <w:t xml:space="preserve">Τα </w:t>
      </w:r>
      <w:r>
        <w:rPr>
          <w:rFonts w:ascii="Times New Roman" w:hAnsi="Times New Roman"/>
          <w:noProof/>
          <w:sz w:val="24"/>
        </w:rPr>
        <w:t xml:space="preserve">μέτρα στήριξης έκτακτης ανάγκης </w:t>
      </w:r>
      <w:r>
        <w:rPr>
          <w:rFonts w:ascii="Times New Roman" w:hAnsi="Times New Roman"/>
          <w:noProof/>
          <w:color w:val="000000" w:themeColor="text1"/>
          <w:sz w:val="24"/>
        </w:rPr>
        <w:t xml:space="preserve">στον τομέα της ενέργειας δεν προβλέπεται να καταργηθούν σταδιακά το συντομότερο δυνατόν το 2023 και το 2024. Αυτό ενδέχεται να μη συνάδει με τη σύσταση του Συμβουλίου. Κατά συνέπεια, δεν θα εξοικονομηθούν σχετικά κονδύλια για να χρησιμοποιηθούν για τη μείωση του δημοσιονομικού ελλείμματος, όπως συνέστησε το Συμβούλιο. Σύμφωνα με τις εαρινές προβλέψεις 2024 της Επιτροπής, οι εθνικά χρηματοδοτούμενες δημόσιες επενδύσεις προβλέπεται να αυξηθούν στο 2,8 % του ΑΕΠ το 2024 από 2,6 % του ΑΕΠ το 2023. Αυτό συνάδει </w:t>
      </w:r>
      <w:bookmarkStart w:id="11" w:name="_Hlk165570705"/>
      <w:r>
        <w:rPr>
          <w:rFonts w:ascii="Times New Roman" w:hAnsi="Times New Roman"/>
          <w:noProof/>
          <w:color w:val="000000" w:themeColor="text1"/>
          <w:sz w:val="24"/>
        </w:rPr>
        <w:t>με τη σύσταση του Συμβουλίου</w:t>
      </w:r>
      <w:bookmarkEnd w:id="11"/>
      <w:r>
        <w:rPr>
          <w:rFonts w:ascii="Times New Roman" w:hAnsi="Times New Roman"/>
          <w:noProof/>
          <w:color w:val="000000" w:themeColor="text1"/>
          <w:sz w:val="24"/>
        </w:rPr>
        <w:t xml:space="preserve">.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παραμείνουν σταθερές στο 0,9 % του ΑΕΠ το 2024. </w:t>
      </w:r>
    </w:p>
    <w:p w14:paraId="3AFD6C5D" w14:textId="66D466BD" w:rsidR="00E304DF" w:rsidRDefault="00204638" w:rsidP="00655273">
      <w:pPr>
        <w:pStyle w:val="Text1"/>
        <w:ind w:left="0"/>
        <w:rPr>
          <w:noProof/>
        </w:rPr>
      </w:pPr>
      <w:r>
        <w:rPr>
          <w:b/>
          <w:noProof/>
        </w:rPr>
        <w:t>Προκλήσεις όσον αφορά το χρέος και μεσοπρόθεσμη θέση του χρέους</w:t>
      </w:r>
      <w:r>
        <w:rPr>
          <w:noProof/>
        </w:rPr>
        <w:t xml:space="preserve"> Το δημόσιο χρέος αυξήθηκε από 52,2 % του ΑΕΠ στα τέλη του 2020 σε 53,9 % στα τέλη του 2021, προτού μειωθεί σε 51,6 % του ΑΕΠ και 50,4 % του ΑΕΠ στα τέλη του 2022 και του 2023 αντίστοιχα. Προβλέπεται να αυξηθεί σε 52,0 % του ΑΕΠ στα τέλη του 2024 και σε 52,6 % στα τέλη του 2025. </w:t>
      </w:r>
    </w:p>
    <w:p w14:paraId="26D83514" w14:textId="4DB97BF4" w:rsidR="006F464D" w:rsidRDefault="184529C7" w:rsidP="00A7138B">
      <w:pPr>
        <w:pStyle w:val="Text1"/>
        <w:ind w:left="0"/>
        <w:rPr>
          <w:noProof/>
        </w:rPr>
      </w:pPr>
      <w:r>
        <w:rPr>
          <w:noProof/>
        </w:rPr>
        <w:t xml:space="preserve">Συνολικά, η ανάλυση της βιωσιμότητας του χρέους καταδεικνύει μέτριους κινδύνους μεσοπρόθεσμα. Σύμφωνα με τη βασική προβολή δεκαετίας, ο δείκτης χρέους της γενικής κυβέρνησης θα αυξηθεί στο 56 % του ΑΕΠ το 2034. Η πορεία του χρέους βάσης δεν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συνολικά μέτρια ευαισθησία των προβολών σε ευλογοφανή απρόβλεπτα γεγονότα. </w:t>
      </w:r>
    </w:p>
    <w:p w14:paraId="3F406D10" w14:textId="207EE8AE" w:rsidR="2FCAF470" w:rsidRDefault="00C42221" w:rsidP="2FCAF470">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το υψηλό μερίδιο του βραχυπρόθεσμου χρέους. Αφετέρου, στους παράγοντες μετριασμού του κινδύνου συγκαταλέγονται το υψηλό μερίδιο του εγχώριου χρέους, καθώς και η απότομη μείωση του λόγου τόσο του ακαθάριστου όσο και του καθαρού χρέους μεταξύ του 2010 και του 2022.</w:t>
      </w:r>
    </w:p>
    <w:p w14:paraId="30A5223B" w14:textId="0C299C6D" w:rsidR="00674BBD" w:rsidRPr="00C732BA" w:rsidRDefault="009801F0" w:rsidP="00674BBD">
      <w:pPr>
        <w:pStyle w:val="Text1"/>
        <w:ind w:left="0"/>
        <w:rPr>
          <w:noProof/>
        </w:rPr>
      </w:pPr>
      <w:r>
        <w:rPr>
          <w:noProof/>
        </w:rPr>
        <w:t>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Μάλτας βρίσκεται σε εξέλιξη.</w:t>
      </w:r>
    </w:p>
    <w:p w14:paraId="4A9A142C" w14:textId="27CC74D0" w:rsidR="00C763D4" w:rsidRPr="00C763D4" w:rsidRDefault="00910834" w:rsidP="00674BBD">
      <w:pPr>
        <w:pStyle w:val="Text1"/>
        <w:ind w:left="0"/>
        <w:rPr>
          <w:rFonts w:eastAsia="EC Square Sans Pro"/>
          <w:noProof/>
          <w:color w:val="000000" w:themeColor="text1"/>
        </w:rPr>
      </w:pPr>
      <w:r>
        <w:rPr>
          <w:rStyle w:val="normaltextrun"/>
          <w:b/>
          <w:noProof/>
          <w:color w:val="000000" w:themeColor="text1"/>
        </w:rPr>
        <w:t xml:space="preserve">Εθνικό δημοσιονομικό πλαίσιο. </w:t>
      </w:r>
      <w:r>
        <w:rPr>
          <w:noProof/>
        </w:rPr>
        <w:t>Το Δημοσιονομικό Γνωμοδοτικό Συμβούλιο της Μάλτας είναι ένα μικρό ανεξάρτητο δημοσιονομικό όργανο. Βάσει του νόμου περί δημοσιονομικής ευθύνης του 2014, ο προϋπολογισμός της γενικής κυβέρνησης σε διαρθρωτικούς όρους πρέπει να είναι ισοσκελισμένος ή πλεονασματικός και ο δείκτης δημόσιου χρέους πρέπει να διατηρείται κάτω από το 60 % ή να μειώνεται εάν υπερβαίνει αυτό το ποσοστό. Στη μεσοπρόθεσμη δημοσιονομική στρατηγική της Μάλτας καθορίζονται οι δημοσιονομικοί στόχοι και οι στρατηγικές προτεραιότητες της κυβέρνησης, ενδεικτικοί δημοσιονομικοί στόχοι, καθώς και περιγραφή των υποκείμενων παραδοχών. Συνολικά, η Μάλτα διαθέτει σχετικά ισχυρό δημοσιονομικό πλαίσιο.</w:t>
      </w:r>
    </w:p>
    <w:p w14:paraId="21E99699" w14:textId="6E2818CE" w:rsidR="00454ECA" w:rsidRDefault="00D45161" w:rsidP="00454ECA">
      <w:pPr>
        <w:pStyle w:val="Text1"/>
        <w:ind w:left="0"/>
        <w:rPr>
          <w:noProof/>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0,5% του ΑΕΠ το 2022. Πιο αναλυτικά, οι δημόσιες επενδύσεις στην άμυνα αντιπροσώπευαν το 0,1 % του ΑΕΠ το 2022, ποσοστό που ήταν κατά 0,1 % χαμηλότερο από ό,τι το 2019.</w:t>
      </w:r>
    </w:p>
    <w:p w14:paraId="08F03961" w14:textId="4019C356" w:rsidR="00AB5427" w:rsidRPr="00B07439" w:rsidRDefault="00655273" w:rsidP="00AB5427">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rPr>
        <w:t>Άλλοι παράγοντες που υπέβαλε το κράτος μέλος.</w:t>
      </w:r>
      <w:r>
        <w:rPr>
          <w:rFonts w:ascii="Times New Roman" w:hAnsi="Times New Roman"/>
          <w:noProof/>
        </w:rPr>
        <w:t xml:space="preserve"> </w:t>
      </w:r>
      <w:r>
        <w:rPr>
          <w:rFonts w:ascii="Times New Roman" w:hAnsi="Times New Roman"/>
          <w:noProof/>
          <w:sz w:val="24"/>
        </w:rPr>
        <w:t xml:space="preserve">Στις 16 Μαΐου 2024 η Μάλτα υπέβαλε έναν πρόσθετο σχετικό παράγοντα που δεν έχει ήδη αναφερθεί ανωτέρω και συγκεκριμένα τα έξοδα αναδιάρθρωσης του εθνικού αερομεταφορέα που εκτιμώνται σε 0,7 % του ΑΕΠ το 2023. </w:t>
      </w:r>
    </w:p>
    <w:p w14:paraId="28687AAB" w14:textId="77777777" w:rsidR="00F0035F" w:rsidRPr="00A2357D" w:rsidRDefault="00F0035F" w:rsidP="00A2357D">
      <w:pPr>
        <w:pStyle w:val="Text1"/>
        <w:ind w:left="0"/>
        <w:rPr>
          <w:b/>
          <w:bCs/>
          <w:noProof/>
        </w:rPr>
      </w:pPr>
    </w:p>
    <w:p w14:paraId="0BBE3477" w14:textId="77777777" w:rsidR="00167CEB" w:rsidRDefault="00167CEB" w:rsidP="001E4413">
      <w:pPr>
        <w:pStyle w:val="ManualHeading1"/>
        <w:keepNext/>
        <w:keepLines/>
        <w:spacing w:before="120"/>
        <w:rPr>
          <w:noProof/>
        </w:rPr>
      </w:pPr>
      <w:r>
        <w:rPr>
          <w:noProof/>
        </w:rPr>
        <w:t>Πολωνία</w:t>
      </w:r>
    </w:p>
    <w:p w14:paraId="3AB741F3" w14:textId="7A8F0EA5" w:rsidR="00655273" w:rsidRPr="00E343AE" w:rsidRDefault="00655273" w:rsidP="00655273">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2,0 % το 2020.  Μετά από αύξηση 6,9 % το 2021, το πραγματικό ΑΕΠ αυξήθηκε κατά 5,6 % το 2022 και κατά 0,2 % το 2023. Αναμένεται να αυξηθεί κατά 2,8 % το 2024 και κατά 3,4 % το 2025. Η ανάπτυξη το 2024 αναμένεται να προέλθει κυρίως από την ιδιωτική και τη δημόσια κατανάλωση. </w:t>
      </w:r>
    </w:p>
    <w:p w14:paraId="57C85F84" w14:textId="219DFD3E" w:rsidR="000279B5" w:rsidRDefault="00655273" w:rsidP="00F83AA6">
      <w:pPr>
        <w:pStyle w:val="Text1"/>
        <w:ind w:left="0"/>
        <w:rPr>
          <w:noProof/>
        </w:rPr>
      </w:pPr>
      <w:r>
        <w:rPr>
          <w:b/>
          <w:noProof/>
        </w:rPr>
        <w:t>Μεσοπρόθεσμη δημοσιονομική θέση, περιλαμβανομένων των επενδύσεων.</w:t>
      </w:r>
      <w:r>
        <w:rPr>
          <w:noProof/>
        </w:rPr>
        <w:t xml:space="preserve"> Το δημοσιονομικό έλλειμμα αυξήθηκε από 1,8 % του ΑΕΠ το 2021 σε 3,4 % του ΑΕΠ το 2022 και 5,1 % του ΑΕΠ το 2023. Προβλέπεται ότι θα είναι στο 5,4 % και 4,6 % του ΑΕΠ το 2024 και το 2025, αντίστοιχα. Οι δημόσιες επενδύσεις μειώθηκαν σε 3,8 % του ΑΕΠ το 2022 από 4,1 % του ΑΕΠ το 2021, προτού αυξηθούν σε 5,0 % το 2023. Προβλέπεται ότι θα αυξηθούν στο 5,1 % του ΑΕΠ το 2024 και στο 5,4 % του ΑΕΠ το 2025, δηλαδή θα είναι υψηλότερες από το δημοσιονομικό έλλειμμα το 2025. </w:t>
      </w:r>
    </w:p>
    <w:p w14:paraId="02278B0A" w14:textId="655783FF" w:rsidR="008604BE" w:rsidRDefault="008604BE" w:rsidP="000C1A97">
      <w:pPr>
        <w:pStyle w:val="Text1"/>
        <w:ind w:left="0"/>
        <w:rPr>
          <w:noProof/>
        </w:rPr>
      </w:pPr>
      <w:r>
        <w:rPr>
          <w:noProof/>
        </w:rPr>
        <w:t>Το 2023, σύμφωνα με τις εκτιμήσεις της Επιτροπής, ο δημοσιονομικός προσανατολισμός ήταν επεκτατικός, κατά 0,8 % του ΑΕΠ, σε περιβάλλον υψηλού πληθωρισμού. Η αύξηση των εθνικά χρηματοδοτούμενων πρωτογενών τρεχουσών δαπανών (μετά την αφαίρεση των μέτρων διακριτικής ευχέρειας στο σκέλος των εσόδων) το 2023 είχε γενικά ουδέτερη συμβολή ύψους 0,0 % του ΑΕΠ στον δημοσιονομικό προσανατολισμό, ποσοστό που συνάδει με τη σύσταση του Συμβουλίου. Η γενικά ουδέτερη συμβολή των εθνικά χρηματοδοτούμενων πρωτογενών τρεχουσών δαπανών οφειλόταν στο μειωμένο κόστος των (στοχευμένων και μη στοχευμένων) μέτρων στήριξης έκτακτης ανάγκης προς τα νοικοκυριά και τις επιχειρήσεις για την αντιμετώπιση των αυξήσεων των τιμών της ενέργειας (κατά 1,2 % του ΑΕΠ). Οι κύριοι παράγοντες αύξησης των εθνικά χρηματοδοτούμενων πρωτογενών τρεχουσών δαπανών (εκτός των μέτρων στο σκέλος των εσόδων) ήταν οι αυξήσεις των μισθών και των συντάξεων του δημόσιου τομέα. Οι δαπάνες που χρηματοδοτήθηκαν από επιχορηγήσεις του μηχανισμού ανάκαμψης και ανθεκτικότητας και από άλλα ταμεία της ΕΕ ανήλθαν στο 1,5 % του ΑΕΠ το 2023. Οι εθνικά χρηματοδοτούμενες επενδύσεις ανήλθαν στο 3,8 % του ΑΕΠ το 2023, αυξανόμενες ετησίως κατά 0,8 εκατοστιαίες μονάδες από το 2022. Η Πολωνία χρηματοδότησε πρόσθετες επενδύσεις μέσω του μηχανισμού ανάκαμψης και ανθεκτικότητας και άλλων ταμείων της ΕΕ, ενώ διατήρησε τις εθνικά χρηματοδοτούμενες επενδύσεις. Η Πολωνία χρηματοδότησε δημόσιες επενδύσεις για την πράσινη και την ψηφιακή μετάβαση και για την ενεργειακή ασφάλεια, χρηματοδοτούμενες από τον μηχανισμό ανάκαμψης και ανθεκτικότητας και άλλα ταμεία της ΕΕ, όπως η στήριξη για τα δίκτυα μεταφοράς και διανομής και η ανάπτυξη ανανεώσιμων πηγών ενέργειας, για υπεράκτιους σταθμούς αιολικής ενέργειας και για ενεργειακά αποδοτική ανακαίνιση κτιρίων και πράσινη και έξυπνη κινητικότητα.</w:t>
      </w:r>
    </w:p>
    <w:p w14:paraId="420DB242" w14:textId="425FE6E9" w:rsidR="009A0D60" w:rsidRPr="009D31C6" w:rsidRDefault="008604BE" w:rsidP="00930529">
      <w:pPr>
        <w:pStyle w:val="NormalWeb"/>
        <w:spacing w:before="120" w:beforeAutospacing="0" w:after="120" w:afterAutospacing="0"/>
        <w:jc w:val="both"/>
        <w:rPr>
          <w:b/>
          <w:bCs/>
          <w:noProof/>
        </w:rPr>
      </w:pPr>
      <w:r>
        <w:rPr>
          <w:noProof/>
        </w:rPr>
        <w:t>Με βάση τις εκτιμήσεις της Επιτροπής, ο δημοσιονομικός προσανατολισμός προβλέπεται να είναι επεκτατικός κατά 2,4 % του ΑΕΠ το 2024. Σύμφωνα με τις εαρινές προβλέψεις 2024 της Επιτροπής, οι καθαρές εθνικά χρηματοδοτούμενες πρωτογενείς δαπάνες της Πολωνίας προβλέπεται να αυξηθούν κατά 12,8 % το 2024, ποσοστό που είναι υψηλότερο από τον συνιστώμενο μέγιστο ρυθμό αύξησης. Αυτό ενδέχεται να μη συνάδει με τη σύσταση του Συμβουλίου. Σύμφωνα με τις εαρινές προβλέψεις 2024 της Επιτροπής, το καθαρό δημοσιονομικό κόστος των μέτρων στήριξης έκτακτης ανάγκης στον τομέα της ενέργειας εκτιμάται σε 0,6 % του ΑΕΠ το 2023 και προβλέπεται να διαμορφωθεί σε 0,5 % το 2024 και σε λιγότερο από 0,1 %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0,2 % του ΑΕΠ το 2024, έναντι επεκτατικής συμβολής των καθαρών εθνικά χρηματοδοτούμενων πρωτογενών δαπανών στον δημοσιονομικό προσανατολισμό ύψους 2,0 % του ΑΕΠ κατά το εν λόγω έτος. Τα μέτρα στήριξης έκτακτης ανάγκης στον τομέα της ενέργειας δεν προβλέπεται να καταργηθούν σταδιακά το συντομότερο δυνατόν το 2023 και το 2024. Αυτό ενδέχεται να μη συνάδει με τη σύσταση του Συμβουλίου. Επιπλέον, τα σχετικά κονδύλια που θα εξοικονομηθούν δεν προβλέπεται να χρησιμοποιηθούν για τη μείωση του δημόσιου ελλείμματος. Τούτο ενέχει επίσης τον κίνδυνο να μη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αυξηθούν στο 4,0 % του ΑΕΠ το 2024 από 3,8 % του ΑΕΠ το 2023. Αυτό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αυξηθούν στο 1,9 % του ΑΕΠ το 2024 από 1,5 % του ΑΕΠ το 2023.</w:t>
      </w:r>
      <w:bookmarkStart w:id="12" w:name="_Hlk168658443"/>
    </w:p>
    <w:bookmarkEnd w:id="12"/>
    <w:p w14:paraId="35ED50DA" w14:textId="4CE94F48" w:rsidR="000B5DC4" w:rsidRDefault="00204638" w:rsidP="00655273">
      <w:pPr>
        <w:pStyle w:val="Text1"/>
        <w:ind w:left="0"/>
        <w:rPr>
          <w:noProof/>
          <w:highlight w:val="lightGray"/>
        </w:rPr>
      </w:pPr>
      <w:r>
        <w:rPr>
          <w:b/>
          <w:noProof/>
        </w:rPr>
        <w:t>Προκλήσεις όσον αφορά το χρέος και μεσοπρόθεσμη θέση του χρέους</w:t>
      </w:r>
      <w:r>
        <w:rPr>
          <w:noProof/>
        </w:rPr>
        <w:t xml:space="preserve"> Το δημόσιο χρέος μειώθηκε από 57,2 % του ΑΕΠ στα τέλη του 2020 σε 53,6 % στα τέλη του 2021 και σε 49,2 % στα τέλη του 2022. Αυξήθηκε σε 49,6 % του ΑΕΠ το 2023 και προβλέπεται να αυξηθεί περαιτέρω σε 53,7 % και 57,7 % του ΑΕΠ στα τέλη του 2024 και του 2025, αντίστοιχα. </w:t>
      </w:r>
    </w:p>
    <w:p w14:paraId="09CADF5B" w14:textId="64CA46B1" w:rsidR="234FBF05" w:rsidRDefault="234FBF05" w:rsidP="2FCAF470">
      <w:pPr>
        <w:pStyle w:val="Text1"/>
        <w:ind w:left="0"/>
        <w:rPr>
          <w:noProof/>
        </w:rPr>
      </w:pPr>
      <w:r>
        <w:rPr>
          <w:noProof/>
        </w:rPr>
        <w:t xml:space="preserve">Συνολικά, η ανάλυση της βιωσιμότητας του χρέους καταδεικνύει υψηλούς κινδύνους μεσοπρόθεσμα. Σύμφωνα με τη βασική προβολή δεκαετίας, ο δείκτης χρέους της γενικής κυβέρνησης θα αυξάνεται συνεχώς φθάνοντας γύρω στο 85 % του ΑΕΠ το 2034. Η πορεία του χρέους είναι σχετικά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μέτρια πιθανότητα ο δείκτης χρέους να είναι υψηλότερος το 2028 από ό,τι το 2023.  </w:t>
      </w:r>
    </w:p>
    <w:p w14:paraId="4A135CE3" w14:textId="69FE8673" w:rsidR="2FCAF470" w:rsidRDefault="00301873" w:rsidP="2FCAF470">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την πρόσφατη αύξηση των επιτοκίων. Αφετέρου, στους παράγοντες μετριασμού του κινδύνου συγκαταλέγονται οι σχετικά σταθερές πηγές χρηματοδότησης (με μεγάλη εγχώρια επενδυτική βάση) και το νόμισμα στο οποίο εκφράζεται το χρέος (περίπου τα τρία τέταρτα του ανεξόφλητου χρέους εκφράζονται σε τοπικό νόμισμα).</w:t>
      </w:r>
    </w:p>
    <w:p w14:paraId="28F35EC6" w14:textId="6DD921A0" w:rsidR="00CE4BB6" w:rsidRPr="00AD18D3" w:rsidRDefault="00E312DC" w:rsidP="00CE4BB6">
      <w:pPr>
        <w:spacing w:before="120" w:after="120" w:line="240" w:lineRule="auto"/>
        <w:jc w:val="both"/>
        <w:rPr>
          <w:rStyle w:val="normaltextrun"/>
          <w:rFonts w:ascii="Times New Roman" w:eastAsiaTheme="minorEastAsia" w:hAnsi="Times New Roman" w:cs="Times New Roman"/>
          <w:noProof/>
          <w:color w:val="000000" w:themeColor="text1"/>
          <w:sz w:val="24"/>
          <w:szCs w:val="24"/>
        </w:rPr>
      </w:pPr>
      <w:r>
        <w:rPr>
          <w:rFonts w:ascii="Times New Roman" w:hAnsi="Times New Roman"/>
          <w:noProof/>
          <w:sz w:val="24"/>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Πολωνίας </w:t>
      </w:r>
      <w:r>
        <w:rPr>
          <w:rStyle w:val="normaltextrun"/>
          <w:rFonts w:ascii="Times New Roman" w:hAnsi="Times New Roman"/>
          <w:noProof/>
          <w:color w:val="000000" w:themeColor="text1"/>
          <w:sz w:val="24"/>
        </w:rPr>
        <w:t>βρίσκεται σε εξέλιξη, ωστόσο θα πρέπει να καταβληθούν αυξημένες προσπάθειες για την έγκαιρη ολοκλήρωσή τους.</w:t>
      </w:r>
    </w:p>
    <w:p w14:paraId="328ACEAE" w14:textId="3B04CFC0" w:rsidR="005769BB" w:rsidRPr="008C286F" w:rsidRDefault="240CB7DD" w:rsidP="005769BB">
      <w:pPr>
        <w:spacing w:before="120" w:after="120" w:line="240" w:lineRule="auto"/>
        <w:jc w:val="both"/>
        <w:rPr>
          <w:rFonts w:ascii="Times New Roman" w:eastAsia="EC Square Sans Pro" w:hAnsi="Times New Roman" w:cs="Times New Roman"/>
          <w:noProof/>
          <w:sz w:val="24"/>
          <w:szCs w:val="24"/>
        </w:rPr>
      </w:pPr>
      <w:r>
        <w:rPr>
          <w:rStyle w:val="normaltextrun"/>
          <w:rFonts w:ascii="Times New Roman" w:hAnsi="Times New Roman"/>
          <w:b/>
          <w:noProof/>
          <w:color w:val="000000" w:themeColor="text1"/>
          <w:sz w:val="24"/>
        </w:rPr>
        <w:t xml:space="preserve">Εθνικό δημοσιονομικό πλαίσιο. </w:t>
      </w:r>
      <w:r>
        <w:rPr>
          <w:rFonts w:ascii="Times New Roman" w:hAnsi="Times New Roman"/>
          <w:noProof/>
          <w:sz w:val="24"/>
        </w:rPr>
        <w:t>Το δημοσιονομικό πλαίσιο στην Πολωνία ενισχύθηκε την τελευταία διετία, μεταξύ άλλων μέσω μέτρων που περιλαμβάνονται στο σχέδιο ανάκαμψης και ανθεκτικότητας.</w:t>
      </w:r>
      <w:r>
        <w:rPr>
          <w:rFonts w:ascii="Times New Roman" w:hAnsi="Times New Roman"/>
          <w:b/>
          <w:noProof/>
          <w:sz w:val="24"/>
        </w:rPr>
        <w:t xml:space="preserve"> </w:t>
      </w:r>
      <w:r>
        <w:rPr>
          <w:rFonts w:ascii="Times New Roman" w:hAnsi="Times New Roman"/>
          <w:noProof/>
          <w:sz w:val="24"/>
        </w:rPr>
        <w:t xml:space="preserve">Οι αριθμητικοί δημοσιονομικοί κανόνες παραμένουν στο επίκεντρο του πλαισίου. Ενώ τα ανώτατα όρια για το χρέος που κατοχυρώνονται στο Σύνταγμα καλύπτουν την κεντρική κυβέρνηση, ένας χωριστός κανόνας για το χρέος αφορά τις μονάδες τοπικής αυτοδιοίκησης. Ο κανόνας για τη σταθεροποίηση των δαπανών ενισχύθηκε πρόσφατα με την κάλυψη πρόσθετων μονάδων και ταμείων ειδικού σκοπού και η κυβέρνηση πρότεινε </w:t>
      </w:r>
      <w:r>
        <w:rPr>
          <w:rStyle w:val="normaltextrun"/>
          <w:rFonts w:ascii="Times New Roman" w:hAnsi="Times New Roman"/>
          <w:noProof/>
          <w:color w:val="000000" w:themeColor="text1"/>
          <w:sz w:val="24"/>
        </w:rPr>
        <w:t>προσαρμογές</w:t>
      </w:r>
      <w:r>
        <w:rPr>
          <w:rFonts w:ascii="Times New Roman" w:hAnsi="Times New Roman"/>
          <w:noProof/>
          <w:sz w:val="24"/>
        </w:rPr>
        <w:t xml:space="preserve"> ώστε να ευθυγραμμιστεί με τις </w:t>
      </w:r>
      <w:r>
        <w:rPr>
          <w:rStyle w:val="normaltextrun"/>
          <w:rFonts w:ascii="Times New Roman" w:hAnsi="Times New Roman"/>
          <w:noProof/>
          <w:color w:val="000000" w:themeColor="text1"/>
          <w:sz w:val="24"/>
        </w:rPr>
        <w:t>αναθεωρημένες</w:t>
      </w:r>
      <w:r>
        <w:rPr>
          <w:rFonts w:ascii="Times New Roman" w:hAnsi="Times New Roman"/>
          <w:noProof/>
          <w:sz w:val="24"/>
        </w:rPr>
        <w:t xml:space="preserve"> απαιτήσεις της ΕΕ. </w:t>
      </w:r>
      <w:bookmarkStart w:id="13" w:name="_Hlk163727662"/>
      <w:r>
        <w:rPr>
          <w:rFonts w:ascii="Times New Roman" w:hAnsi="Times New Roman"/>
          <w:noProof/>
          <w:sz w:val="24"/>
        </w:rPr>
        <w:t xml:space="preserve">Η κυβέρνηση σχεδιάζει επίσης τη σύσταση ανεξάρτητου Δημοσιονομικού Συμβουλίου που θα συγκεντρώνει την παρακολούθηση των δημοσιονομικών κανόνων και άλλων σχετικών αρμοδιοτήτων, οι οποίες επί του παρόντος είναι διάσπαρτες σε διάφορους φορείς. </w:t>
      </w:r>
      <w:bookmarkEnd w:id="13"/>
    </w:p>
    <w:p w14:paraId="442348ED" w14:textId="14468D83" w:rsidR="006B1620" w:rsidRPr="00AA01CA" w:rsidRDefault="00D45161" w:rsidP="006B1620">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1,6% του ΑΕΠ το 2022. Πιο αναλυτικά, οι δημόσιες επενδύσεις στην άμυνα αντιπροσώπευαν το 0,3 % του ΑΕΠ το 2022, παραμένοντας αμετάβλητες σε σχέση με το 2019. Σύμφωνα με προκαταρκτικές εκτιμήσεις της Πολωνίας, οι συνολικές στρατιωτικές δαπάνες της COFOG το 2023 ανήλθαν στο 2,1 % του ΑΕΠ, συμπεριλαμβανομένων των παραδόσεων στρατιωτικού εξοπλισμού και άλλων στρατιωτικών επενδύσεων που εκτιμώνται σε 0,7 % του ΑΕΠ. Σύμφωνα με την Πολωνία, δεδομένου ότι οι λογιστικοί κανόνες καταγράφουν τις στρατιωτικές δαπάνες όχι κατά τον χρόνο της πληρωμής αλλά κατά την παράδοση, οι τρέχουσες υψηλές στρατιωτικές δαπάνες σε ταμειακή βάση θα εμφανίζονται σε δεδουλευμένη βάση τα επόμενα έτη, όταν παραδοθεί ο στρατιωτικός εξοπλισμός. Συγκεκριμένα, η Πολωνία αναμένει ότι οι αμυντικές δαπάνες θα διπλασιαστούν κατά την επόμενη τετραετία, καθώς εκτιμάται ότι θα ανέλθουν στο 2,8 % του ΑΕΠ το 2024, στο 3,2 % του ΑΕΠ το 2025, στο 3,7 % του ΑΕΠ το 2026, στο 4,3 % του ΑΕΠ το 2027 και στο 4,1 % του ΑΕΠ το 2028.</w:t>
      </w:r>
    </w:p>
    <w:p w14:paraId="3A976328" w14:textId="34669FDF" w:rsidR="003F19AB" w:rsidRPr="00C577A3" w:rsidRDefault="00655273" w:rsidP="003F19AB">
      <w:pPr>
        <w:pStyle w:val="Text1"/>
        <w:ind w:left="0"/>
        <w:rPr>
          <w:noProof/>
        </w:rPr>
      </w:pPr>
      <w:r>
        <w:rPr>
          <w:b/>
          <w:noProof/>
        </w:rPr>
        <w:t>Άλλοι παράγοντες που υπέβαλε το κράτος μέλος.</w:t>
      </w:r>
      <w:r>
        <w:rPr>
          <w:noProof/>
        </w:rPr>
        <w:t xml:space="preserve"> Στις 17 Μαΐου 2024 η Πολωνία υπέβαλε πρόσθετους σχετικούς παράγοντες που δεν αναφέρονται ήδη ανωτέρω, και συγκεκριμένα πληροφορίες σχετικά με τις δημοσιονομικές επιπτώσεις της ενίσχυσης των εξωτερικών συνόρων της ΕΕ με τη Ρωσία, τη Λευκορωσία και την Ουκρανία (0,3 % του ΑΕΠ) και έκτακτη στήριξη για τους γεωργούς (0,4 % του ΑΕΠ). Επιπλέον, η Πολωνία επισημαίνει ότι δαπανά το υψηλότερο ποσό για την άμυνα μεταξύ των κρατών μελών της ΕΕ, εξυπηρετώντας έτσι τον ευρύτερο στόχο της ενίσχυσης της ασφάλειας της Ευρώπης και συμβάλλοντας στην επίτευξη ενός κοινού δημόσιου αγαθού για τους Ευρωπαίους. Η Πολωνία επιβεβαίωσε επίσης τη δέσμευσή της για δημοσιονομική πειθαρχία και για διατήρηση του δείκτη χρέους κάτω του 60 %. Στις 30 Απριλίου 2024, η κυβέρνηση ενέκρινε το πολυετές δημοσιονομικό σχέδιο του κράτους για την περίοδο 2024-2027, με δέσμευση για δημοσιονομική εξυγίανση ύψους τουλάχιστον 0,5 % του ΑΕΠ ετησίως· το έλλειμμα θα μειωθεί σταδιακά από 5,1 % του ΑΕΠ το 2024 σε 4,6 % το 2025, 4,0 % το 2026, 3,5 % το 2027 και 2,9 % το 2028.</w:t>
      </w:r>
    </w:p>
    <w:p w14:paraId="319628A9" w14:textId="5CC3CD6C" w:rsidR="003F19AB" w:rsidRPr="00C577A3" w:rsidRDefault="003F19AB" w:rsidP="003F19AB">
      <w:pPr>
        <w:spacing w:before="120" w:after="120" w:line="240" w:lineRule="auto"/>
        <w:jc w:val="both"/>
        <w:rPr>
          <w:noProof/>
        </w:rPr>
      </w:pPr>
    </w:p>
    <w:p w14:paraId="36C4A8A5" w14:textId="6BDB0162" w:rsidR="00C577A3" w:rsidRPr="00C577A3" w:rsidRDefault="00C577A3" w:rsidP="004354CE">
      <w:pPr>
        <w:pStyle w:val="ManualHeading1"/>
        <w:keepNext/>
        <w:keepLines/>
        <w:spacing w:before="120"/>
        <w:rPr>
          <w:noProof/>
        </w:rPr>
      </w:pPr>
      <w:r>
        <w:rPr>
          <w:noProof/>
        </w:rPr>
        <w:t>Σλοβενία</w:t>
      </w:r>
    </w:p>
    <w:p w14:paraId="513481BF" w14:textId="47A0F90D" w:rsidR="00655273" w:rsidRPr="00E343AE" w:rsidRDefault="00655273" w:rsidP="00655273">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4,2 % το 2020. Μετά από αύξηση 8,2 % το 2021, το πραγματικό ΑΕΠ αυξήθηκε κατά 2,5 % το 2022 και κατά 1,6 % το 2023. Αναμένεται να αυξηθεί κατά 2,3 % το 2024 και κατά 2,6 % το 2025. Η ανάπτυξη το 2024 αναμένεται να βασιστεί κυρίως στη δημόσια κατανάλωση και τα αποθέματα.</w:t>
      </w:r>
    </w:p>
    <w:p w14:paraId="341BEE1D" w14:textId="77777777" w:rsidR="00232DFF" w:rsidRDefault="00655273" w:rsidP="004E0827">
      <w:pPr>
        <w:pStyle w:val="Text1"/>
        <w:ind w:left="0"/>
        <w:rPr>
          <w:noProof/>
        </w:rPr>
      </w:pPr>
      <w:r>
        <w:rPr>
          <w:b/>
          <w:noProof/>
        </w:rPr>
        <w:t>Μεσοπρόθεσμη δημοσιονομική θέση, περιλαμβανομένων των επενδύσεων.</w:t>
      </w:r>
      <w:r>
        <w:rPr>
          <w:noProof/>
        </w:rPr>
        <w:t xml:space="preserve"> Το δημοσιονομικό έλλειμμα μειώθηκε από 4,6 % το 2021 σε 3,0 % του ΑΕΠ το 2022 και 2,5 % το 2023. Προβλέπεται ότι θα ανέλθει σε 2,8 % και 2,2 % του ΑΕΠ το 2024 και το 2025, αντίστοιχα. Μετά την αύξηση σε 4,7 % του ΑΕΠ το 2021 και σε 5,4 % το 2022, οι δημόσιες επενδύσεις μειώθηκαν οριακά στο 5,3 % του ΑΕΠ το 2023. Προβλέπεται ότι θα αυξηθούν σε 5,8 % του ΑΕΠ το 2024, προτού μειωθούν ελαφρώς στο 5,4 % του ΑΕΠ το 2025. Από το 2021 οι δημόσιες επενδύσεις ήταν μεγαλύτερες από το δημοσιονομικό έλλειμμα. </w:t>
      </w:r>
    </w:p>
    <w:p w14:paraId="72A37509" w14:textId="036ADE0E" w:rsidR="00C44E28" w:rsidRDefault="00C44E28" w:rsidP="00CC04FB">
      <w:pPr>
        <w:pStyle w:val="NormalWeb"/>
        <w:spacing w:before="120" w:beforeAutospacing="0" w:after="120" w:afterAutospacing="0"/>
        <w:jc w:val="both"/>
        <w:rPr>
          <w:noProof/>
        </w:rPr>
      </w:pPr>
      <w:r>
        <w:rPr>
          <w:noProof/>
        </w:rPr>
        <w:t>Σύμφωνα με τις εκτιμήσεις της Επιτροπής, το 2023 ο δημοσιονομικός προσανατολισμός ήταν συσταλτικός, κατά 0,5 %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συσταλτική συμβολή ύψους 0,4 % του ΑΕΠ στον δημοσιονομικό προσανατολισμό. Αυτό περιλαμβάνει το μειωμένο κόστος των στοχευμένων μέτρων στήριξης έκτακτης ανάγκης για τα νοικοκυριά και τις επιχειρήσεις που είναι πιο ευάλωτα στις αυξήσεις των τιμών της ενέργειας κατά 0,3 % του ΑΕΠ. Η αύξηση των εθνικά χρηματοδοτούμενων πρωτογενών τρεχουσών δαπανών το 2023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1,3 % του ΑΕΠ το 2023. Οι εθνικά χρηματοδοτούμενες επενδύσεις ανήλθαν στο 4,6 % του ΑΕΠ το 2023, ποσοστό που συνιστά ετήσια μείωση 0,2 % σε σύγκριση με το 2022. Η Σλοβενία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για παράδειγμα επενδύσεις σε σιδηροδρομικές υποδομές, σε ανανεώσιμες πηγές ενέργειας και στην πρόληψη φυσικών καταστροφών, οι οποίες χρηματοδοτούνται εν μέρει από τον μηχανισμό ανάκαμψης και ανθεκτικότητας και άλλα ταμεία της ΕΕ.</w:t>
      </w:r>
    </w:p>
    <w:p w14:paraId="6AE62E25" w14:textId="3B7816C8" w:rsidR="009A0D60" w:rsidRPr="00952ADB" w:rsidRDefault="009E215B" w:rsidP="00CC04FB">
      <w:pPr>
        <w:pStyle w:val="NormalWeb"/>
        <w:spacing w:before="120" w:beforeAutospacing="0" w:after="120" w:afterAutospacing="0"/>
        <w:jc w:val="both"/>
        <w:rPr>
          <w:b/>
          <w:noProof/>
        </w:rPr>
      </w:pPr>
      <w:r>
        <w:rPr>
          <w:noProof/>
          <w:color w:val="000000" w:themeColor="text1"/>
        </w:rPr>
        <w:t xml:space="preserve">Με βάση τις εκτιμήσεις της Επιτροπής, ο δημοσιονομικός προσανατολισμός προβλέπεται να είναι συσταλτικός κατά 0,2 % του ΑΕΠ το 2024. </w:t>
      </w:r>
      <w:r>
        <w:rPr>
          <w:noProof/>
        </w:rPr>
        <w:t>Σύμφωνα με τις εαρινές προβλέψεις 2024 της Επιτροπής, οι καθαρές εθνικά χρηματοδοτούμενες πρωτογενείς δαπάνες της Σλοβενίας προβλέπεται να αυξηθούν κατά 5,6 % το 2024, ποσοστό που είναι υψηλότερο από τον συνιστώμενο μέγιστο ρυθμό αύξησης. Αυτό ενδέχεται να μη συνάδει πλήρως με τη σύσταση του Συμβουλίου. Σύμφωνα με τις εαρινές προβλέψεις 2024 της Επιτροπής, το καθαρό δημοσιονομικό κόστος(</w:t>
      </w:r>
      <w:r>
        <w:rPr>
          <w:rStyle w:val="FootnoteReference"/>
          <w:noProof/>
          <w:lang w:eastAsia="ja-JP"/>
        </w:rPr>
        <w:footnoteReference w:id="38"/>
      </w:r>
      <w:r>
        <w:rPr>
          <w:noProof/>
        </w:rPr>
        <w:t>) των μέτρων στήριξης έκτακτης ανάγκης στον τομέα της ενέργειας εκτιμάται σε 1,4 % του ΑΕΠ το 2023 και προβλέπεται να ανέλθει σε 0,1 % το 2024 και σε 0,0 % το 2025.</w:t>
      </w:r>
      <w:r>
        <w:rPr>
          <w:b/>
          <w:noProof/>
        </w:rPr>
        <w:t xml:space="preserve"> </w:t>
      </w:r>
      <w:r>
        <w:rPr>
          <w:noProof/>
        </w:rPr>
        <w:t xml:space="preserve">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1,3 % του ΑΕΠ το 2024, έναντι συσταλτικής συμβολής των καθαρών εθνικά χρηματοδοτούμενων πρωτογενών δαπανών στον δημοσιονομικό προσανατολισμό ύψους 0,1 % του ΑΕΠ κατά το εν λόγω έτος.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Ωστόσο, </w:t>
      </w:r>
      <w:bookmarkStart w:id="14" w:name="_Hlk149320992"/>
      <w:r>
        <w:rPr>
          <w:noProof/>
        </w:rPr>
        <w:t>τα σχετικά κονδύλια που θα εξοικονομηθούν δεν προβλέπεται να χρησιμοποιηθούν πλήρως για τη μείωση του δημόσιου ελλείμματος</w:t>
      </w:r>
      <w:bookmarkEnd w:id="14"/>
      <w:r>
        <w:rPr>
          <w:noProof/>
        </w:rPr>
        <w:t>. Αυτό ενδέχεται να μη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αυξηθούν στο 5,3 % του ΑΕΠ το 2024 (από 4,6 % του ΑΕΠ το 2023). Αυτό συνάδει με τη σύσταση του Συμβουλίου. Αντίστοιχα, οι δημόσιες δαπάνες που χρηματοδοτούνται με έσοδα από κονδύλια της ΕΕ, συμπεριλαμβανομένων των επιχορηγήσεων του μηχανισμού ανάκαμψης και ανθεκτικότητας, αναμένεται να παραμείνουν σταθερές στο 1,3 % του ΑΕΠ το 2024 έναντι 1,3 % του ΑΕΠ το 2023.</w:t>
      </w:r>
    </w:p>
    <w:p w14:paraId="3B3BBC6F" w14:textId="38C3010F" w:rsidR="006D09D1" w:rsidRDefault="00204638" w:rsidP="006D09D1">
      <w:pPr>
        <w:pStyle w:val="Text1"/>
        <w:ind w:left="0"/>
        <w:rPr>
          <w:noProof/>
          <w:highlight w:val="lightGray"/>
        </w:rPr>
      </w:pPr>
      <w:r>
        <w:rPr>
          <w:b/>
          <w:noProof/>
        </w:rPr>
        <w:t>Προκλήσεις όσον αφορά το χρέος και μεσοπρόθεσμη θέση του χρέους</w:t>
      </w:r>
      <w:r>
        <w:rPr>
          <w:noProof/>
        </w:rPr>
        <w:t xml:space="preserve"> Το δημόσιο χρέος μειώθηκε από 79,6 % του ΑΕΠ στα τέλη του 2020 σε 74,4 % στα τέλη του 2021. Μειώθηκε περαιτέρω σε 72,5 % και 69,2 % του ΑΕΠ στα τέλη του 2022 και του 2023, αντίστοιχα. Προβλέπεται ότι θα ανέλθει σε 68,1 % και 66,4 % στα τέλη του 2024 και του 2025, αντίστοιχα.</w:t>
      </w:r>
    </w:p>
    <w:p w14:paraId="578A20B2" w14:textId="4A8CA6C3" w:rsidR="22BE13A4" w:rsidRDefault="22BE13A4" w:rsidP="2FCAF470">
      <w:pPr>
        <w:pStyle w:val="Text1"/>
        <w:ind w:left="0"/>
        <w:rPr>
          <w:noProof/>
        </w:rPr>
      </w:pPr>
      <w:r>
        <w:rPr>
          <w:noProof/>
        </w:rPr>
        <w:t xml:space="preserve">Συνολικά, η ανάλυση της βιωσιμότητας του χρέους καταδεικνύει μέτριους κινδύνους μεσοπρόθεσμα. Σύμφωνα με τη βασική προβολή δεκαετίας, ο δείκτης χρέους της γενικής κυβέρνησης θα αυξηθεί έως περίπου το 74 % του ΑΕΠ το 2034. Η πορεία του χρέους βάσης είναι σχετικά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μέτρια πιθανότητα ο δείκτης χρέους να είναι υψηλότερος το 2028 από ό,τι το 2023. </w:t>
      </w:r>
    </w:p>
    <w:p w14:paraId="097C3CAD" w14:textId="20A39F9D" w:rsidR="22BE13A4" w:rsidRDefault="00301873" w:rsidP="00A7138B">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την πρόσφατη αύξηση των επιτοκίων και το μεγάλο μερίδιο του δημόσιου χρέους που διακρατείται από μη κατοίκους. Επιπλέον, απορρέουν κίνδυνοι από τον στεγαστικό τομέα λόγω της ταχείας αύξησης των τιμών των κατοικιών. Αφετέρου, στους παράγοντες μετριασμού του κινδύνου συγκαταλέγονται η σταθεροποίηση της ληκτότητας του χρέους σε υψηλά επίπεδα τα τελευταία έτη, οι σχετικά σταθερές πηγές χρηματοδότησης με διαφοροποιημένη και μεγάλη επενδυτική βάση και το υψηλό μερίδιο χρέους που διακρατείται από την εγχώρια κεντρική τράπεζα.</w:t>
      </w:r>
    </w:p>
    <w:p w14:paraId="1FFEFBC7" w14:textId="165B7D0A" w:rsidR="00937EBC" w:rsidRDefault="00E312DC" w:rsidP="00937EBC">
      <w:pPr>
        <w:pStyle w:val="Text1"/>
        <w:ind w:left="0"/>
        <w:rPr>
          <w:noProof/>
        </w:rPr>
      </w:pPr>
      <w:r>
        <w:rPr>
          <w:noProof/>
        </w:rPr>
        <w:t>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Σλοβενίας</w:t>
      </w:r>
      <w:r>
        <w:rPr>
          <w:b/>
          <w:noProof/>
        </w:rPr>
        <w:t xml:space="preserve"> </w:t>
      </w:r>
      <w:r>
        <w:rPr>
          <w:rStyle w:val="normaltextrun"/>
          <w:noProof/>
          <w:color w:val="000000" w:themeColor="text1"/>
        </w:rPr>
        <w:t xml:space="preserve">βρίσκεται σε εξέλιξη, ωστόσο η έγκαιρη ολοκλήρωση απαιτεί αυξημένες προσπάθειες. </w:t>
      </w:r>
    </w:p>
    <w:p w14:paraId="4B4359FE" w14:textId="6B70385A" w:rsidR="00A44988" w:rsidRPr="00910834" w:rsidRDefault="00910834" w:rsidP="00541F40">
      <w:pPr>
        <w:spacing w:before="120" w:after="120" w:line="240" w:lineRule="auto"/>
        <w:jc w:val="both"/>
        <w:rPr>
          <w:rFonts w:ascii="Times New Roman" w:eastAsia="EC Square Sans Pro" w:hAnsi="Times New Roman" w:cs="Times New Roman"/>
          <w:noProof/>
          <w:sz w:val="24"/>
          <w:szCs w:val="24"/>
        </w:rPr>
      </w:pPr>
      <w:r>
        <w:rPr>
          <w:rStyle w:val="normaltextrun"/>
          <w:rFonts w:ascii="Times New Roman" w:hAnsi="Times New Roman"/>
          <w:b/>
          <w:noProof/>
          <w:color w:val="000000" w:themeColor="text1"/>
          <w:sz w:val="24"/>
        </w:rPr>
        <w:t xml:space="preserve">Εθνικό δημοσιονομικό πλαίσιο. </w:t>
      </w:r>
      <w:r>
        <w:rPr>
          <w:rFonts w:ascii="Times New Roman" w:hAnsi="Times New Roman"/>
          <w:noProof/>
          <w:sz w:val="24"/>
        </w:rPr>
        <w:t xml:space="preserve">Το Δημοσιονομικό Συμβούλιο της Σλοβενίας είναι ένα από τα δύο ανεξάρτητα δημοσιονομικά όργανα της Σλοβενίας και επικεντρώνεται στην παρακολούθηση της συμμόρφωσης με τους δημοσιονομικούς κανόνες και στην αξιολόγηση των δημοσιονομικών προβλέψεων της κυβέρνησης. Η Σλοβενία έχει θεσπίσει δημοσιονομικό κανόνα που στοχεύει στο διαρθρωτικό ισοζύγιο, ενώ δεν υπάρχει κανόνας για τον περιορισμό του δημόσιου χρέους σε εθνικό επίπεδο. Το μεσοπρόθεσμο δημοσιονομικό σχέδιο είναι λεπτομερές και καλύπτει μεγάλο μέρος της γενικής κυβέρνησης, αλλά ο δεσμευτικός χαρακτήρας του σχεδίου και η σύνδεσή του με τον ετήσιο προϋπολογισμό δεν είναι ιδιαίτερα ισχυρά: κάθε χρόνο μπορούν να εισάγονται νέα αριθμητικά στοιχεία για όλα τα έτη που καλύπτονται από το σχέδιο και οι ετήσιοι προϋπολογισμοί μπορούν να αποκλίνουν από τα μεσοπρόθεσμα σχέδια που είχαν εγκριθεί προηγουμένως. </w:t>
      </w:r>
    </w:p>
    <w:p w14:paraId="34214DAD" w14:textId="1250B698" w:rsidR="000F2B1D" w:rsidRPr="00AA01CA" w:rsidRDefault="00D45161" w:rsidP="000F2B1D">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 xml:space="preserve">οι συνολικές δαπάνες γενικής κυβέρνησης για την άμυνα ανήλθαν στο 1,2% του ΑΕΠ το 2022. Εξ αυτών, οι δημόσιες επενδύσεις στην άμυνα αντιπροσώπευαν το 0,1 % του ΑΕΠ το 2022, ποσοστό που δεν μεταβλήθηκε σε σχέση με το 2019. Σύμφωνα με τις προκαταρκτικές εκτιμήσεις της Σλοβενίας, οι επενδύσεις στην άμυνα θα αυξηθούν κατά 0,1 % του ΑΕΠ το 2023 και επιπλέον κατά 0,25 % το 2024. </w:t>
      </w:r>
    </w:p>
    <w:p w14:paraId="012A53B5" w14:textId="7C577488" w:rsidR="00655273" w:rsidRPr="00D37AC0" w:rsidRDefault="00655273" w:rsidP="00E53F6C">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Στις 16 Μαΐου 2024, η Σλοβενία υπέβαλε έναν πρόσθετο σχετικό παράγοντα που δεν αναφέρθηκε ήδη ανωτέρω, και συγκεκριμένα τις δημοσιονομικές επιπτώσεις των πλημμυρών του 2023. Επρόκειτο για την άμεση παροχή βοήθειας σε όσους επλήγησαν από τις πλημμύρες και ολοκληρωμένα μέτρα για την ανοικοδόμηση, την ανάπτυξη και την προστασία από πλημμύρες και κατολισθήσεις. Οι δαπάνες που σχετίζονται με τις καταστροφές ήταν χαμηλότερες από τις αναμενόμενες το 2023 και προβλέπεται να ανέλθουν στο 1,7 % του ΑΕΠ το 2024. Σύμφωνα με τη Σλοβενία, οι δαπάνες των μέτρων αποκατάστασης των καταστροφών που πραγματοποιήθηκαν το 2024 θα πρέπει να θεωρούνται εφάπαξ</w:t>
      </w:r>
      <w:r>
        <w:rPr>
          <w:rStyle w:val="FootnoteReference"/>
          <w:rFonts w:eastAsiaTheme="minorHAnsi"/>
          <w:noProof/>
        </w:rPr>
        <w:footnoteReference w:id="39"/>
      </w:r>
      <w:r>
        <w:rPr>
          <w:noProof/>
        </w:rPr>
        <w:t>.</w:t>
      </w:r>
      <w:r>
        <w:rPr>
          <w:rFonts w:ascii="Times New Roman" w:hAnsi="Times New Roman"/>
          <w:noProof/>
          <w:sz w:val="24"/>
        </w:rPr>
        <w:t xml:space="preserve"> Επίσης, η Σλοβενία παραπέμπει στα σχέδια της κυβέρνησης για μείωση του ελλείμματος και του χρέους της γενικής κυβέρνησης κατά τα επόμενα έτη. Το έλλειμμα προβλέπεται να μειωθεί κάτω από την τιμή αναφοράς του 3 % του ΑΕΠ το 2025 και να μειωθεί περαιτέρω σε 1,9 % του ΑΕΠ το 2027. Το δημόσιο χρέος προβλέπεται επίσης να μειωθεί κατά την περίοδο αυτή, από 69,2 % του ΑΕΠ το 2023 σε 64,3 % του ΑΕΠ το 2027.</w:t>
      </w:r>
    </w:p>
    <w:p w14:paraId="0301264C" w14:textId="77777777" w:rsidR="00167CEB" w:rsidRPr="00E343AE" w:rsidRDefault="00167CEB" w:rsidP="00167CEB">
      <w:pPr>
        <w:spacing w:before="120" w:after="120" w:line="240" w:lineRule="auto"/>
        <w:jc w:val="both"/>
        <w:rPr>
          <w:rFonts w:ascii="Times New Roman" w:hAnsi="Times New Roman" w:cs="Times New Roman"/>
          <w:noProof/>
        </w:rPr>
      </w:pPr>
    </w:p>
    <w:p w14:paraId="37533477" w14:textId="384B67C4" w:rsidR="00167CEB" w:rsidRDefault="00167CEB" w:rsidP="004354CE">
      <w:pPr>
        <w:pStyle w:val="ManualHeading1"/>
        <w:keepNext/>
        <w:keepLines/>
        <w:spacing w:before="120"/>
        <w:rPr>
          <w:noProof/>
        </w:rPr>
      </w:pPr>
      <w:r>
        <w:rPr>
          <w:noProof/>
        </w:rPr>
        <w:t>Σλοβακία</w:t>
      </w:r>
    </w:p>
    <w:p w14:paraId="5AD84FCB" w14:textId="601F8425" w:rsidR="00655273" w:rsidRPr="00E343AE" w:rsidRDefault="00655273" w:rsidP="00655273">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3,3 % το 2020. Μετά από αύξηση 4,8 % το 2021, το πραγματικό ΑΕΠ αυξήθηκε κατά 1,9 % το 2022 και κατά 1,6 % το 2023. Αναμένεται να αυξηθεί κατά 2,2 % το 2024 και κατά 2,9 % το 2025. Η ανάπτυξη το 2024 αναμένεται να βασιστεί κυρίως στα αποθέματα και τη δημόσια κατανάλωση. </w:t>
      </w:r>
    </w:p>
    <w:p w14:paraId="377A082C" w14:textId="57492CB2" w:rsidR="00655273" w:rsidRDefault="00655273" w:rsidP="00655273">
      <w:pPr>
        <w:pStyle w:val="Text1"/>
        <w:ind w:left="0"/>
        <w:rPr>
          <w:noProof/>
        </w:rPr>
      </w:pPr>
      <w:r>
        <w:rPr>
          <w:b/>
          <w:noProof/>
        </w:rPr>
        <w:t>Μεσοπρόθεσμη δημοσιονομική θέση, περιλαμβανομένων των επενδύσεων.</w:t>
      </w:r>
      <w:r>
        <w:rPr>
          <w:noProof/>
        </w:rPr>
        <w:t xml:space="preserve"> Το δημοσιονομικό έλλειμμα μειώθηκε από 5,2 % του ΑΕΠ το 2021 σε 1,7 % το 2022, προτού αυξηθεί σε 4,9 % του ΑΕΠ το 2023. Προβλέπεται να αυξηθεί περαιτέρω σε 5,9 % το 2024 και να καταγράψει ελαφρά κάμψη στο 5,4 % του ΑΕΠ το 2025. Αφού διαμορφώθηκαν σε 3,1 % του ΑΕΠ τόσο το 2021 όσο και το 2022, οι δημόσιες επενδύσεις αυξήθηκαν σε 4,7 % του ΑΕΠ το 2023. Προβλέπεται να μειωθούν σε 4,1 % του ΑΕΠ το 2024, προτού αυξηθούν στο 4,5 % του ΑΕΠ το 2025. </w:t>
      </w:r>
    </w:p>
    <w:p w14:paraId="569F2BF1" w14:textId="46B506FA" w:rsidR="004A5E87" w:rsidRDefault="004A5E87" w:rsidP="00655273">
      <w:pPr>
        <w:pStyle w:val="Text1"/>
        <w:ind w:left="0"/>
        <w:rPr>
          <w:noProof/>
        </w:rPr>
      </w:pPr>
      <w:r>
        <w:rPr>
          <w:noProof/>
        </w:rPr>
        <w:t>Το 2023, σύμφωνα με τις εκτιμήσεις της Επιτροπής, ο δημοσιονομικός προσανατολισμός ήταν επεκτατικός, κατά 6,1 %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επεκτατική συμβολή ύψους 3,8 % του ΑΕΠ στον δημοσιονομικό προσανατολισμό. Αυτό περιλαμβάνει το μειωμένο κόστος των στοχευμένων μέτρων στήριξης έκτακτης ανάγκης για τα νοικοκυριά και τις επιχειρήσεις που είναι πιο ευάλωτα στις αυξήσεις των τιμών της ενέργειας κατά 0,2 % του ΑΕΠ. Περιλαμβάνεται επίσης το χαμηλότερο κόστος παροχής προσωρινής προστασίας σε εκτοπισθέντα άτομα από την Ουκρανία (κατά 0,1 % του ΑΕΠ). Ως εκ τούτου, η επεκτατική συμβολή των εθνικά χρηματοδοτούμενων πρωτογενών τρεχουσών δαπανών καθ’ υπέρβαση της μεσοπρόθεσμης αύξησης του δυνητικού προϊόντος δεν οφειλόταν στη στοχευμένη στήριξη έκτακτης ανάγκης των νοικοκυριών και των επιχειρήσεων που είναι περισσότερο ευάλωτα στις αυξήσεις των τιμών της ενέργειας, καθώς και των ατόμων που εγκαταλείπουν την Ουκρανία. Η επεκτατική αύξηση των εθνικά χρηματοδοτούμενων πρωτογενών τρεχουσών δαπανών (εκτός των μέτρων διακριτικής ευχέρειας στο σκέλος των εσόδων) οφειλόταν στα μη στοχευμένα μέτρα έκτακτης ανάγκης στον τομέα της ενέργειας, στις μόνιμες αυξήσεις των μισθών και των κοινωνικών παροχών του δημόσιου τομέα, στις υψηλότερες δαπάνες για ιατροφαρμακευτική περίθαλψη και στη μείωση των συντελεστών ΦΠΑ σε επιλεγμένα είδη. Συνολικά, η αύξηση των εθνικά χρηματοδοτούμενων πρωτογενών τρεχουσών δαπανών το 2023 δεν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3,2 % του ΑΕΠ το 2023. Οι εθνικά χρηματοδοτούμενες επενδύσεις ανήλθαν στο 3,2 % του ΑΕΠ το 2023, ποσοστό που συνιστά ετήσια αύξηση 0,8 % σε σύγκριση με το 2022. Η Σλοβακία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επενδύσεις σε ενεργειακές υποδομές, στις μεταφορές μηδενικών εκπομπών και στην ενεργειακή απόδοση των κτιρίων, οι οποίες χρηματοδοτούνται εν μέρει από τον μηχανισμό ανάκαμψης και ανθεκτικότητας και άλλα ταμεία της ΕΕ.</w:t>
      </w:r>
    </w:p>
    <w:p w14:paraId="2DBB16B8" w14:textId="53E3EE0A" w:rsidR="004A5E87" w:rsidRDefault="00C66210" w:rsidP="00655273">
      <w:pPr>
        <w:pStyle w:val="Text1"/>
        <w:ind w:left="0"/>
        <w:rPr>
          <w:noProof/>
        </w:rPr>
      </w:pPr>
      <w:r>
        <w:rPr>
          <w:noProof/>
        </w:rPr>
        <w:t>Με βάση τις εκτιμήσεις της Επιτροπής, ο δημοσιονομικός προσανατολισμός προβλέπεται να είναι συσταλτικός κατά 1,4 % του ΑΕΠ το 2024. Σύμφωνα με τις εαρινές προβλέψεις 2024 της Επιτροπής, οι καθαρές εθνικά χρηματοδοτούμενες πρωτογενείς δαπάνες της Σλοβακίας προβλέπεται να αυξηθούν κατά 6,2 % το 2024, ποσοστό που είναι υψηλότερο από τον συνιστώμενο μέγιστο ρυθμό αύξησης. Αυτό ενδέχεται να μη συνάδει πλήρως με τη σύσταση του Συμβουλίου. Σύμφωνα με τις εαρινές προβλέψεις 2024 της Επιτροπής, το καθαρό δημοσιονομικό κόστος των μέτρων στήριξης έκτακτης ανάγκης στον τομέα της ενέργειας εκτιμάται σε 2,1 % του ΑΕΠ το 2023 και προβλέπεται να διαμορφωθεί σε 0,4 % το 2024 και σε 0,0 %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1,7 % του ΑΕΠ το 2024, έναντι συσταλτικής συμβολής των καθαρών εθνικά χρηματοδοτούμενων πρωτογενών δαπανών</w:t>
      </w:r>
      <w:r>
        <w:rPr>
          <w:noProof/>
          <w:vertAlign w:val="superscript"/>
        </w:rPr>
        <w:footnoteReference w:id="40"/>
      </w:r>
      <w:r>
        <w:rPr>
          <w:noProof/>
          <w:vertAlign w:val="superscript"/>
        </w:rPr>
        <w:t xml:space="preserve"> </w:t>
      </w:r>
      <w:r>
        <w:rPr>
          <w:noProof/>
        </w:rPr>
        <w:t>στον δημοσιονομικό προσανατολισμό ύψους 0,2 % του ΑΕΠ κατά το εν λόγω έτος. Τα μέτρα στήριξης έκτακτης ανάγκης στον τομέα της ενέργειας δεν προβλέπεται να καταργηθούν σταδιακά το συντομότερο δυνατόν το 2023 και το 2024. Αυτό ενδέχεται να μη συνάδει με τη σύσταση του Συμβουλίου. Επιπλέον, τα σχετικά κονδύλια που θα εξοικονομηθούν δεν προβλέπεται να χρησιμοποιηθούν πλήρως για τη μείωση του δημόσιου ελλείμματος. Τούτο ενέχει επίσης τον κίνδυνο να μην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μειωθούν στο 3,0 % του ΑΕΠ το 2024 από 3,2 % του ΑΕΠ το 2023. Η μείωση αυτή οφείλεται στη λήξη της περιόδου προγραμματισμού 2014-2020 των διαρθρωτικών ταμείων της ΕΕ, για την οποία τα κονδύλια ήταν διαθέσιμα έως το 2023. Αυτό οφείλεται επίσης στην αναβολή της παράδοσης στρατιωτικού εξοπλισμού έως το 2025. Λαμβανομένων υπόψη αυτών των πρόσθετων παραγόντων, εκτιμάται ότι οι δημόσιες επενδύσεις το 2024 τηρούν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μειωθούν στο 2,0 % του ΑΕΠ το 2024 από 3,2 % του ΑΕΠ το 2023. Η μείωση αυτή οφείλεται στη λήξη της περιόδου προγραμματισμού 2014-2020 των διαρθρωτικών ταμείων της ΕΕ, για την οποία τα κονδύλια ήταν διαθέσιμα έως το 2023.</w:t>
      </w:r>
    </w:p>
    <w:p w14:paraId="2DF88CCF" w14:textId="003A8EF2" w:rsidR="006A34AA" w:rsidRPr="00852174" w:rsidRDefault="00204638" w:rsidP="70BF9225">
      <w:pPr>
        <w:pStyle w:val="Text1"/>
        <w:ind w:left="0"/>
        <w:rPr>
          <w:b/>
          <w:bCs/>
          <w:i/>
          <w:iCs/>
          <w:noProof/>
          <w:color w:val="FFFFFF" w:themeColor="background1"/>
        </w:rPr>
      </w:pPr>
      <w:r>
        <w:rPr>
          <w:b/>
          <w:noProof/>
        </w:rPr>
        <w:t>Προκλήσεις όσον αφορά το χρέος και μεσοπρόθεσμη θέση του χρέους</w:t>
      </w:r>
      <w:r>
        <w:rPr>
          <w:noProof/>
        </w:rPr>
        <w:t xml:space="preserve"> Το δημόσιο χρέος αυξήθηκε από 58,8 % του ΑΕΠ στα τέλη του 2020 σε 61,1 % του ΑΕΠ στα τέλη του 2021 και ύστερα μειώθηκε σε 57,7 % του ΑΕΠ στα τέλη του 2022 και σε 56,0 % στα τέλη του 2023. Προβλέπεται ότι θα αυξηθεί σε 58,5 % και 59,9 % στα τέλη του 2024 και του 2025, αντίστοιχα.</w:t>
      </w:r>
    </w:p>
    <w:p w14:paraId="2654B8DE" w14:textId="77777777" w:rsidR="50C34509" w:rsidRPr="00852174" w:rsidRDefault="50C34509" w:rsidP="2FCAF470">
      <w:pPr>
        <w:pStyle w:val="Text1"/>
        <w:ind w:left="0"/>
        <w:rPr>
          <w:noProof/>
        </w:rPr>
      </w:pPr>
      <w:r>
        <w:rPr>
          <w:noProof/>
        </w:rPr>
        <w:t xml:space="preserve">Συνολικά, η ανάλυση της βιωσιμότητας του χρέους καταδεικνύει υψηλούς κινδύνους μεσοπρόθεσμα. Σύμφωνα με τις βασικές προβολές δεκαετίας, ο δείκτης χρέους της γενικής κυβέρνησης θα αυξάνεται συνεχώς τα επόμενα χρόνια, φθάνοντας γύρω στο 106 % του ΑΕΠ το 2034. Η πορεία του χρέους βάσης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μέτρια πιθανότητα ο δείκτης χρέους να είναι υψηλότερος το 2028 από ό,τι το 2023.  </w:t>
      </w:r>
    </w:p>
    <w:p w14:paraId="00C95B4E" w14:textId="6721A65E" w:rsidR="50C34509" w:rsidRDefault="00301873" w:rsidP="00827646">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την αρνητική καθαρή διεθνή επενδυτική θέση της Σλοβακίας. Αφετέρου, οι παράγοντες μετριασμού του κινδύνου σχετίζονται με τη δομή του χρέους. Ειδικότερα, το χαμηλό μερίδιο του βραχυπρόθεσμου δημόσιου χρέους και το γεγονός ότι το σύνολο του δημόσιου χρέους εκφράζεται σε ευρώ (δηλαδή αποκλείονται οι συναλλαγματικοί κίνδυνοι) συμβάλλουν στον μετριασμό των κινδύνων βιωσιμότητας του χρέους.</w:t>
      </w:r>
    </w:p>
    <w:p w14:paraId="3DEBA898" w14:textId="1A204539" w:rsidR="00FA2784" w:rsidRDefault="005F06C2" w:rsidP="00FA2784">
      <w:pPr>
        <w:pStyle w:val="Text1"/>
        <w:ind w:left="0"/>
        <w:rPr>
          <w:noProof/>
        </w:rPr>
      </w:pPr>
      <w:r>
        <w:rPr>
          <w:noProof/>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Σλοβενίας </w:t>
      </w:r>
      <w:r>
        <w:rPr>
          <w:rStyle w:val="normaltextrun"/>
          <w:noProof/>
          <w:color w:val="000000" w:themeColor="text1"/>
        </w:rPr>
        <w:t>βρίσκεται σε εξέλιξη, ωστόσο η έγκαιρη ολοκλήρωση απαιτεί αυξημένες προσπάθειες.</w:t>
      </w:r>
      <w:r>
        <w:rPr>
          <w:noProof/>
        </w:rPr>
        <w:t xml:space="preserve"> </w:t>
      </w:r>
    </w:p>
    <w:p w14:paraId="313AC1FA" w14:textId="4DE2E26A" w:rsidR="009E638D" w:rsidRDefault="00655273" w:rsidP="009E638D">
      <w:pPr>
        <w:pStyle w:val="Text1"/>
        <w:ind w:left="0"/>
        <w:rPr>
          <w:rStyle w:val="normaltextrun"/>
          <w:noProof/>
          <w:color w:val="000000"/>
          <w:shd w:val="clear" w:color="auto" w:fill="FFFFFF"/>
        </w:rPr>
      </w:pPr>
      <w:r>
        <w:rPr>
          <w:b/>
          <w:noProof/>
        </w:rPr>
        <w:t>Αξιολόγηση στο πλαίσιο της διαδικασίας μακροοικονομικών ανισορροπιών.</w:t>
      </w:r>
      <w:r>
        <w:rPr>
          <w:noProof/>
        </w:rPr>
        <w:t xml:space="preserve"> </w:t>
      </w:r>
      <w:r>
        <w:rPr>
          <w:rStyle w:val="normaltextrun"/>
          <w:noProof/>
          <w:color w:val="000000"/>
          <w:shd w:val="clear" w:color="auto" w:fill="FFFFFF"/>
        </w:rPr>
        <w:t xml:space="preserve">Η Σλοβακία αντιμετωπίζει μακροοικονομικές ανισορροπίες. Ειδικότερα, η Σλοβακία αντιμετωπίζει ευπάθειες που σχετίζονται με την ανταγωνιστικότητα </w:t>
      </w:r>
      <w:r>
        <w:rPr>
          <w:noProof/>
          <w:color w:val="000000" w:themeColor="text1"/>
        </w:rPr>
        <w:t>κόστους, το εξωτερικό ισοζύγιο, τη στεγαστική αγορά και το χρέος των νοικοκυριών, ενώ δεν έχουν ληφθεί μέτρα πολιτικής.</w:t>
      </w:r>
    </w:p>
    <w:p w14:paraId="52F7DE7C" w14:textId="602F7A7F" w:rsidR="008C286F" w:rsidRPr="0062527D" w:rsidRDefault="009E638D" w:rsidP="0F80653A">
      <w:pPr>
        <w:pStyle w:val="Text1"/>
        <w:ind w:left="0"/>
        <w:rPr>
          <w:rStyle w:val="normaltextrun"/>
          <w:rFonts w:eastAsiaTheme="majorEastAsia"/>
          <w:noProof/>
          <w:color w:val="000000" w:themeColor="text1"/>
        </w:rPr>
      </w:pPr>
      <w:r>
        <w:rPr>
          <w:rStyle w:val="normaltextrun"/>
          <w:b/>
          <w:noProof/>
          <w:color w:val="000000" w:themeColor="text1"/>
        </w:rPr>
        <w:t xml:space="preserve">Εθνικό δημοσιονομικό πλαίσιο. </w:t>
      </w:r>
      <w:r>
        <w:rPr>
          <w:noProof/>
        </w:rPr>
        <w:t>Το Συμβούλιο Δημοσιονομικής Ευθύνης (CBR) της Σλοβακίας έχει ευρεία εντολή και εκτεταμένη παρουσία στα μέσα ενημέρωσης, αλλά ο διάλογός του με την κυβέρνηση και το κοινοβούλιο δεν είναι ιδιαίτερα ισχυρός. Το Σύνταγμα της Σλοβακίας και οι συνοδευτικοί νόμοι θέσπισαν τον κανόνα του ισοσκελισμένου προϋπολογισμού σε διαρθρωτικούς όρους και τον κανόνα για το χρέος, οι οποίοι καλύπτουν τόσο τη γενική κυβέρνηση όσο και τον κανόνα περί ισοσκελισμένου προϋπολογισμού και χρέους που ισχύει για την τοπική αυτοδιοίκηση. Επίσης, η Σλοβακία εφαρμόζει μεσοπρόθεσμη δημοσιονομική στρατηγική στην οποία περιγράφονται οι δημοσιονομικοί στόχοι και οι μεσοπρόθεσμες προτεραιότητες της κυβέρνησης για διάστημα τριών ετών, και η οποία ακολουθεί ενδεικτικό πλαίσιο κυλιόμενου σχεδιασμού. Συνολικά, η Σλοβακία διαθέτει σχετικά ισχυρό εθνικό δημοσιονομικό πλαίσιο.</w:t>
      </w:r>
    </w:p>
    <w:p w14:paraId="2210C9A2" w14:textId="13CA8706" w:rsidR="00E93E85" w:rsidRPr="00026532" w:rsidRDefault="00D45161" w:rsidP="00E93E85">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1,5% του ΑΕΠ το 2022. Εξ αυτών, οι δημόσιες επενδύσεις στην άμυνα αντιπροσώπευαν το 0,2 % του ΑΕΠ το 2022, ποσοστό που δεν μεταβλήθηκε σε σχέση με το 2019. Σύμφωνα με προκαταρκτικές πληροφορίες που παρασχέθηκαν από τη Σλοβακία, οι επενδύσεις στην άμυνα θα αυξηθούν λόγω των παραδόσεων στρατιωτικού εξοπλισμού.</w:t>
      </w:r>
    </w:p>
    <w:p w14:paraId="5409DFEE" w14:textId="1074E05C" w:rsidR="00167CEB" w:rsidRDefault="00655273" w:rsidP="000942B8">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Στις 16 Μαΐου 2024 η Σλοβακία υπέβαλε έναν πρόσθετο σχετικό παράγοντα που δεν αναφέρθηκε ήδη ανωτέρω, και συγκεκριμένα την πρόσφατη άνοδο των δαπανών για τόκους. Η Σλοβακία επιβεβαίωσε περαιτέρω τη δέσμευσή της να μειώνει το ονομαστικό έλλειμμα κατά 1 % ετησίως από το 2025 και μετά.</w:t>
      </w:r>
    </w:p>
    <w:p w14:paraId="2DFA6D69" w14:textId="77777777" w:rsidR="00E137A9" w:rsidRDefault="00E137A9" w:rsidP="000942B8">
      <w:pPr>
        <w:spacing w:before="120" w:after="120" w:line="240" w:lineRule="auto"/>
        <w:jc w:val="both"/>
        <w:rPr>
          <w:noProof/>
        </w:rPr>
      </w:pPr>
    </w:p>
    <w:p w14:paraId="10037C01" w14:textId="717CF59A" w:rsidR="00167CEB" w:rsidRPr="00167CEB" w:rsidRDefault="00167CEB" w:rsidP="00046E7A">
      <w:pPr>
        <w:pStyle w:val="ManualHeading1"/>
        <w:keepNext/>
        <w:keepLines/>
        <w:spacing w:before="120"/>
        <w:rPr>
          <w:noProof/>
        </w:rPr>
      </w:pPr>
      <w:r>
        <w:rPr>
          <w:noProof/>
        </w:rPr>
        <w:t>Φινλανδία</w:t>
      </w:r>
    </w:p>
    <w:p w14:paraId="19D1FAF5" w14:textId="00A2C7C9" w:rsidR="008452D7" w:rsidRDefault="00655273" w:rsidP="008452D7">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2,4 % το 2020. Μετά από αύξηση 2,8 % το 2021, το πραγματικό ΑΕΠ αυξήθηκε κατά 1,3 % το 2022 και ύστερα συρρικνώθηκε κατά 1,0 % το 2023. Η παραγωγή προβλέπεται να παραμείνει σχεδόν αμετάβλητη το 2024 και να αυξηθεί κατά 1,4 % το 2025. Η ανάπτυξη το 2024 αναμένεται να βασιστεί κυρίως στην ιδιωτική κατανάλωση και τις επενδύσεις.</w:t>
      </w:r>
    </w:p>
    <w:p w14:paraId="612A6A47" w14:textId="3176135F" w:rsidR="00655273" w:rsidRDefault="00655273" w:rsidP="008452D7">
      <w:pPr>
        <w:pStyle w:val="Text1"/>
        <w:keepNext/>
        <w:keepLines/>
        <w:ind w:left="0"/>
        <w:rPr>
          <w:noProof/>
        </w:rPr>
      </w:pPr>
      <w:r>
        <w:rPr>
          <w:b/>
          <w:noProof/>
        </w:rPr>
        <w:t>Μεσοπρόθεσμη δημοσιονομική θέση, περιλαμβανομένων των επενδύσεων.</w:t>
      </w:r>
      <w:r>
        <w:rPr>
          <w:noProof/>
        </w:rPr>
        <w:t xml:space="preserve"> Το δημοσιονομικό έλλειμμα μειώθηκε από 2,8 % το 2021 σε 0,4 % του ΑΕΠ το 2022, πριν αυξηθεί στο 2,7 % το 2023. Προβλέπεται ότι θα αυξηθεί κατά 3,4 % το 2024 και κατά 2,8 % το 2025. Οι δημόσιες επενδύσεις ανήλθαν σε 4,2 % του ΑΕΠ το 2021 και το 2022 και μειώθηκαν ελαφρά σε 4,0 % το 2023. Προβλέπεται ότι θα αυξηθούν στο 4,1 % του ΑΕΠ το 2024 και στη συνέχεια θα αυξηθούν στο 4,5 % το 2025, μεγαλύτερες από το δημοσιονομικό έλλειμμα για πέμπτο συνεχόμενο έτος από το 2021 και μετά. </w:t>
      </w:r>
    </w:p>
    <w:p w14:paraId="373C4D92" w14:textId="259EE448" w:rsidR="4B169C41" w:rsidRDefault="5E772AA3" w:rsidP="008604BE">
      <w:pPr>
        <w:keepNext/>
        <w:keepLines/>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Το 2023, σύμφωνα με τις εκτιμήσεις της Επιτροπής, ο δημοσιονομικός προσανατολισμός ήταν επεκτατικός, κατά 0,9 %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επεκτατική συμβολή ύψους 0,8 % του ΑΕΠ στον δημοσιονομικό προσανατολισμό. Περιλαμβάνεται το υψηλότερο κόστος παροχής προσωρινής προστασίας σε εκτοπισθέντα άτομα από την Ουκρανία (κατά 0,2 % του ΑΕΠ). Συνεπώς, η επεκτατική συμβολή των εθνικά χρηματοδοτούμενων καθαρών πρωτογενών τρεχουσών δαπανών το 2023 οφειλόταν μόνον εν μέρει στα άτομα που εγκαταλείπουν την Ουκρανία. Η επεκτατική αύξηση των εθνικά χρηματοδοτούμενων πρωτογενών τρεχουσών δαπανών (εκτός των μέτρων διακριτικής ευχέρειας στο σκέλος των εσόδων) οφειλόταν επίσης στη συνεχιζόμενη και ταχεία αύξηση των τιμών και του κόστους, ιδίως όσον αφορά τις αγορασθείσες υπηρεσίες και τις δαπάνες προσωπικού στην τοπική αυτοδιοίκηση, καθώς και στην αύξηση των σχετικών με την ετοιμότητα δαπανών που αναλήφθηκαν ως αντίδραση στον επιθετικό πόλεμο της Ρωσίας κατά της Ουκρανίας. Συνολικά, η αύξηση των εθνικά χρηματοδοτούμενων πρωτογενών τρεχουσών δαπανών το 2023 δεν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0,4 % του ΑΕΠ το 2023. Οι εθνικά χρηματοδοτούμενες επενδύσεις ανήλθαν στο 4,0 % του ΑΕΠ το 2023, ποσοστό που συνιστά μείωση 0,2 % σε σύγκριση με το 2022. Η Φινλανδία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επενδύσεις σε υποδομές ανανεώσιμων πηγών ενέργειας και στο υδρογόνο χαμηλών εκπομπών, οι οποίες χρηματοδοτούνται εν μέρει από τον μηχανισμό ανάκαμψης και ανθεκτικότητας και άλλα ταμεία της ΕΕ.</w:t>
      </w:r>
    </w:p>
    <w:p w14:paraId="3E962199" w14:textId="5553FD33" w:rsidR="009A0D60" w:rsidRPr="008604BE" w:rsidRDefault="2F007557" w:rsidP="008604B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Με βάση τις εκτιμήσεις της Επιτροπής, ο δημοσιονομικός προσανατολισμός προβλέπεται να είναι επεκτατικός κατά 0,7 % του ΑΕΠ το 2024. Σύμφωνα με τις εαρινές προβλέψεις 2024 της Επιτροπής, οι καθαρές εθνικά χρηματοδοτούμενες πρωτογενείς δαπάνες της Φινλανδίας προβλέπεται να αυξηθούν κατά 4,0 % το 2024, ποσοστό που είναι υψηλότερο από τον συνιστώμενο μέγιστο ρυθμό αύξησης. Αυτό ενδέχεται να μη συνάδει με τη σύσταση του Συμβουλίου. Σύμφωνα με τις εαρινές προβλέψεις 2024 της Επιτροπής, το καθαρό δημοσιονομικό κόστος των μέτρων στήριξης έκτακτης ανάγκης στον τομέα της ενέργειας εκτιμάται σε 0,2 % του ΑΕΠ το 2023 και προβλέπεται να είναι 0,0 % το 2024 και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0,2 % του ΑΕΠ το 2024, έναντι επεκτατικής συμβολής των καθαρών εθνικά χρηματοδοτούμενων πρωτογενών δαπανών στον δημοσιονομικό προσανατολισμό ύψους 0,7 % του ΑΕΠ κατά το εν λόγω έτος.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Ωστόσο, τα σχετικά κονδύλια που θα εξοικονομηθούν δεν προβλέπεται να χρησιμοποιηθούν πλήρως για τη μείωση του δημόσιου ελλείμματος. Αυτό ενδέχεται να μη συνάδει με τη σύσταση του Συμβουλίου.</w:t>
      </w:r>
      <w:r>
        <w:rPr>
          <w:rFonts w:ascii="Calibri" w:hAnsi="Calibri"/>
          <w:noProof/>
        </w:rPr>
        <w:t xml:space="preserve"> </w:t>
      </w:r>
      <w:r>
        <w:rPr>
          <w:rFonts w:ascii="Times New Roman" w:hAnsi="Times New Roman"/>
          <w:noProof/>
          <w:sz w:val="24"/>
        </w:rPr>
        <w:t xml:space="preserve"> Σύμφωνα με τις εαρινές προβλέψεις 2024 της Επιτροπής, οι εθνικά χρηματοδοτούμενες δημόσιες επενδύσεις προβλέπεται να αυξηθούν στο 4,1 % του ΑΕΠ το 2024 από 4,0 % του ΑΕΠ το 2023. Αυτό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παραμείνουν σταθερές στο 0,4 % του ΑΕΠ το 2024.</w:t>
      </w:r>
    </w:p>
    <w:p w14:paraId="36DC3875" w14:textId="684B5EE9" w:rsidR="2FCAF470" w:rsidRDefault="00204638" w:rsidP="2FCAF470">
      <w:pPr>
        <w:pStyle w:val="Text1"/>
        <w:ind w:left="0"/>
        <w:rPr>
          <w:noProof/>
          <w:highlight w:val="lightGray"/>
        </w:rPr>
      </w:pPr>
      <w:r>
        <w:rPr>
          <w:b/>
          <w:noProof/>
        </w:rPr>
        <w:t>Προκλήσεις όσον αφορά το χρέος και μεσοπρόθεσμη θέση του χρέους</w:t>
      </w:r>
      <w:r>
        <w:rPr>
          <w:noProof/>
        </w:rPr>
        <w:t xml:space="preserve"> Το δημόσιο χρέος μειώθηκε από 74,7 % του ΑΕΠ στα τέλη του 2020 σε 72,6 % του ΑΕΠ στα τέλη του 2021 και στη συνέχεια αυξήθηκε σταδιακά για να διαμορφωθεί σε 73,5 % του ΑΕΠ στα τέλη του 2022 και σε 75,8 % του ΑΕΠ στα τέλη του 2023. Προβλέπεται να αυξηθεί περαιτέρω σε 80,5 % στα τέλη του 2024 και σε 82,4 % του ΑΕΠ στα τέλη του 2025. </w:t>
      </w:r>
    </w:p>
    <w:p w14:paraId="485E6F9F" w14:textId="27294A24" w:rsidR="4A4FD06D" w:rsidRDefault="4A4FD06D" w:rsidP="2FCAF470">
      <w:pPr>
        <w:pStyle w:val="Text1"/>
        <w:ind w:left="0"/>
        <w:rPr>
          <w:noProof/>
        </w:rPr>
      </w:pPr>
      <w:r>
        <w:rPr>
          <w:noProof/>
        </w:rPr>
        <w:t xml:space="preserve">Συνολικά, η ανάλυση της βιωσιμότητας του χρέους καταδεικνύει υψηλούς κινδύνους μεσοπρόθεσμα. Σύμφωνα με τη βασική προβολή δεκαετίας, ο δείκτης χρέους της γενικής κυβέρνησης θα αυξάνεται συνεχώς φθάνοντας γύρω στο 96 % του ΑΕΠ το 2034. Η πορεία του χρέους βάσης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υψηλή πιθανότητα ο δείκτης χρέους να είναι υψηλότερος το 2028 από ό,τι το 2023. </w:t>
      </w:r>
    </w:p>
    <w:p w14:paraId="698BACEA" w14:textId="16A5ECC2" w:rsidR="003E4880" w:rsidRDefault="003E4880" w:rsidP="003E4880">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την πρόσφατη αύξηση των επιτοκίων, το μερίδιο του βραχυπρόθεσμου δημόσιου χρέους και τους κινδύνους από την αγορά ακινήτων και τη στεγαστική αγορά. Αφετέρου, στους παράγοντες μετριασμού του κινδύνου συγκαταλέγονται η επιμήκυνση της ληκτότητας του χρέους τα τελευταία έτη, οι σχετικά σταθερές πηγές χρηματοδότησης (με διαφοροποιημένη και μεγάλη επενδυτική βάση) και το πολύ μεγάλο μερίδιο χρέους που εκφράζεται σε ευρώ.</w:t>
      </w:r>
    </w:p>
    <w:p w14:paraId="55ED9291" w14:textId="2D766585" w:rsidR="00D35696" w:rsidRDefault="000A223C" w:rsidP="00273753">
      <w:pPr>
        <w:pStyle w:val="Text1"/>
        <w:ind w:left="0"/>
        <w:rPr>
          <w:noProof/>
        </w:rPr>
      </w:pPr>
      <w:r>
        <w:rPr>
          <w:noProof/>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Φινλανδίας έχει καθυστερήσει.  </w:t>
      </w:r>
    </w:p>
    <w:p w14:paraId="2FE8F09A" w14:textId="285DA9EE" w:rsidR="00763190" w:rsidRPr="00AA6EB9" w:rsidRDefault="009E638D" w:rsidP="00763190">
      <w:pPr>
        <w:pStyle w:val="Text1"/>
        <w:ind w:left="0"/>
        <w:rPr>
          <w:rFonts w:eastAsiaTheme="minorEastAsia"/>
          <w:noProof/>
        </w:rPr>
      </w:pPr>
      <w:r>
        <w:rPr>
          <w:rStyle w:val="normaltextrun"/>
          <w:b/>
          <w:noProof/>
          <w:color w:val="000000" w:themeColor="text1"/>
        </w:rPr>
        <w:t xml:space="preserve">Εθνικό δημοσιονομικό πλαίσιο. </w:t>
      </w:r>
      <w:r>
        <w:rPr>
          <w:noProof/>
        </w:rPr>
        <w:t>Η Φινλανδία θέσπισε τον κανόνα του ισοσκελισμένου προϋπολογισμού σε διαρθρωτικούς όρους που καλύπτει τη γενική κυβέρνηση, ενώ ο κανόνας για το χρέος καθορίζεται μάλλον με πολιτική συμφωνία. Οι κανόνες του ισοσκελισμένου προϋπολογισμού με πολιτική συμφωνία διέπουν επίσης την τοπική αυτοδιοίκηση και τον τομέα της κοινωνικής ασφάλισης. Εφαρμόζεται επίσης δεσμευτικός κανόνας για τις δαπάνες: στην αρχή της κοινοβουλευτικής περιόδου, η κυβέρνηση αποφασίζει σχετικά με τα όρια δαπανών και τους κανόνες που διέπουν τη διαδικασία για ολόκληρη την 4ετή θητεία. Επίσης, η Φινλανδία εφαρμόζει μεσοπρόθεσμη δημοσιονομική στρατηγική στην οποία περιγράφονται οι δημοσιονομικοί στόχοι και οι μεσοπρόθεσμες προτεραιότητες της κυβέρνησης και η οποία ακολουθεί πλαίσιο κυλιόμενου σχεδιασμού. Συνολικά, η Φινλανδία διαθέτει σχετικά ισχυρό δημοσιονομικό πλαίσιο.</w:t>
      </w:r>
    </w:p>
    <w:p w14:paraId="46BDB0B0" w14:textId="4DA4ECD2" w:rsidR="002B0182" w:rsidRPr="00AA01CA" w:rsidRDefault="00D45161" w:rsidP="002B0182">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1,3% του ΑΕΠ το 2022. Πιο αναλυτικά, οι δημόσιες επενδύσεις στην άμυνα αντιπροσώπευαν το 0,3 % του ΑΕΠ το 2022,</w:t>
      </w:r>
      <w:r>
        <w:rPr>
          <w:noProof/>
          <w:color w:val="FFFFFF"/>
        </w:rPr>
        <w:t xml:space="preserve"> </w:t>
      </w:r>
      <w:r>
        <w:rPr>
          <w:noProof/>
        </w:rPr>
        <w:t>ποσοστό που ήταν κατά 0,1 % υψηλότερο από ό,τι το 2019. Σύμφωνα με προκαταρκτικές εκτιμήσεις που υπέβαλε η Φινλανδία, οι επενδύσεις στην άμυνα θα αυξηθούν κατά περίπου 0,5 % του ΑΕΠ το 2024, αποτυπώνοντας σημαντικές επενδύσεις που σχετίζονται με την άμυνα, καθώς και επενδύσεις αντικατάστασης αμυντικού υλικού λόγω της βοήθειας στην Ουκρανία· ωστόσο, σύμφωνα με τη Φινλανδία, μέρος των επενδύσεων αυτών, παρότι συγκρίσιμο με την άμυνα, είναι πιθανό να συμπεριληφθεί σε άλλη διαίρεση COFOG (ιδίως στη διαίρεση «Δημόσια τάξη και ασφάλεια»).</w:t>
      </w:r>
    </w:p>
    <w:p w14:paraId="242E5399" w14:textId="1458A066" w:rsidR="00B02CD5" w:rsidRDefault="00655273" w:rsidP="00B02CD5">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Η ανάλυση που παρουσιάζεται στα προηγούμενα τμήματα καλύπτει ήδη τους σχετικούς παράγοντες που υπέβαλε η Φινλανδία στις 17 Μαΐου 2024.</w:t>
      </w:r>
    </w:p>
    <w:p w14:paraId="0C4372BC" w14:textId="77777777" w:rsidR="007230A0" w:rsidRPr="00B07439" w:rsidRDefault="007230A0" w:rsidP="00B02CD5">
      <w:pPr>
        <w:spacing w:before="120" w:after="120" w:line="240" w:lineRule="auto"/>
        <w:jc w:val="both"/>
        <w:rPr>
          <w:rFonts w:ascii="Times New Roman" w:eastAsia="Times New Roman" w:hAnsi="Times New Roman" w:cs="Times New Roman"/>
          <w:noProof/>
          <w:sz w:val="24"/>
          <w:szCs w:val="24"/>
          <w:lang w:eastAsia="en-GB"/>
        </w:rPr>
      </w:pPr>
    </w:p>
    <w:p w14:paraId="29AE2208" w14:textId="77777777" w:rsidR="007230A0" w:rsidRDefault="007230A0" w:rsidP="007230A0">
      <w:pPr>
        <w:pStyle w:val="ManualHeading1"/>
        <w:keepNext/>
        <w:keepLines/>
        <w:numPr>
          <w:ilvl w:val="2"/>
          <w:numId w:val="32"/>
        </w:numPr>
        <w:spacing w:before="120"/>
        <w:ind w:left="851" w:hanging="851"/>
        <w:rPr>
          <w:noProof/>
        </w:rPr>
      </w:pPr>
      <w:r>
        <w:rPr>
          <w:noProof/>
        </w:rPr>
        <w:t>Κράτη μέλη για τα οποία δεν μπορούν να ληφθούν υπόψη σχετικοί παράγοντες</w:t>
      </w:r>
    </w:p>
    <w:p w14:paraId="59A5B1C3" w14:textId="37704798" w:rsidR="007230A0" w:rsidRPr="00E343AE" w:rsidRDefault="00167783" w:rsidP="007230A0">
      <w:pPr>
        <w:pStyle w:val="ManualHeading1"/>
        <w:keepNext/>
        <w:keepLines/>
        <w:spacing w:before="120"/>
        <w:ind w:left="0" w:firstLine="0"/>
        <w:rPr>
          <w:noProof/>
        </w:rPr>
      </w:pPr>
      <w:r>
        <w:rPr>
          <w:noProof/>
        </w:rPr>
        <w:t xml:space="preserve"> </w:t>
      </w:r>
      <w:r>
        <w:rPr>
          <w:noProof/>
        </w:rPr>
        <w:br/>
        <w:t>Βέλγιο</w:t>
      </w:r>
    </w:p>
    <w:p w14:paraId="44A16A52" w14:textId="12FE28EB" w:rsidR="007230A0" w:rsidRPr="00E343AE" w:rsidRDefault="007230A0" w:rsidP="007230A0">
      <w:pPr>
        <w:pStyle w:val="Text1"/>
        <w:keepNext/>
        <w:keepLines/>
        <w:ind w:left="0"/>
        <w:rPr>
          <w:noProof/>
        </w:rPr>
      </w:pPr>
      <w:bookmarkStart w:id="15" w:name="_Hlk134541450"/>
      <w:r>
        <w:rPr>
          <w:b/>
          <w:noProof/>
        </w:rPr>
        <w:t>Μεσοπρόθεσμη μακροοικονομική κατάσταση.</w:t>
      </w:r>
      <w:r>
        <w:rPr>
          <w:noProof/>
        </w:rPr>
        <w:t xml:space="preserve"> Το πραγματικό ΑΕΠ μειώθηκε κατά 5,3 % το 2020. Μετά από αύξηση 6,9 % το 2021, το πραγματικό ΑΕΠ αυξήθηκε κατά 3,0 % το 2022 και κατά 1,4 % το 2023. Η οικονομία αναμένεται να σημειώσει ανάπτυξη κατά 1,3 % το 2024 και κατά 1,4 % το 2025. Η ανάπτυξη το 2024 προβλέπεται να βασιστεί κυρίως στην ιδιωτική κατανάλωση και τις επενδύσεις. </w:t>
      </w:r>
    </w:p>
    <w:p w14:paraId="7F789584" w14:textId="7844F406" w:rsidR="007230A0" w:rsidRPr="00C02646" w:rsidRDefault="007230A0" w:rsidP="00165A94">
      <w:pPr>
        <w:pStyle w:val="Text1"/>
        <w:ind w:left="0"/>
        <w:rPr>
          <w:b/>
          <w:bCs/>
          <w:noProof/>
        </w:rPr>
      </w:pPr>
      <w:r>
        <w:rPr>
          <w:b/>
          <w:noProof/>
        </w:rPr>
        <w:t>Μεσοπρόθεσμη δημοσιονομική θέση, περιλαμβανομένων των επενδύσεων</w:t>
      </w:r>
      <w:bookmarkEnd w:id="15"/>
      <w:r>
        <w:rPr>
          <w:b/>
          <w:noProof/>
        </w:rPr>
        <w:t xml:space="preserve">. </w:t>
      </w:r>
      <w:r>
        <w:rPr>
          <w:noProof/>
        </w:rPr>
        <w:t xml:space="preserve">Tο δημόσιο έλλειμμα βρίσκεται άνω του 3 % του ΑΕΠ από το 2020. μειώθηκε από 5,4 % του ΑΕΠ το 2021 σε 3,6 % του ΑΕΠ το 2022, πριν αυξηθεί ξανά στο 4,4 % του ΑΕΠ το 2023. Προβλέπεται να διατηρηθεί στο 4,4 % του ΑΕΠ το 2024 και να αυξηθεί στο 4,7 % του ΑΕΠ το 2025. Οι δημόσιες επενδύσεις ανήλθαν σε 2,8 % του ΑΕΠ το 2021 προτού μειωθούν σε 2,7 % το 2022 και αυξηθούν σε 2,9 % το 2023. Προβλέπεται να αυξηθούν περαιτέρω στο 3,1 % του ΑΕΠ το 2024 και ύστερα να μειωθούν οριακά σε 2,9 % το 2025. </w:t>
      </w:r>
    </w:p>
    <w:p w14:paraId="715319E1" w14:textId="56496F2B" w:rsidR="00E75864" w:rsidRPr="00952ADB" w:rsidRDefault="004072C4" w:rsidP="00165A94">
      <w:pPr>
        <w:pStyle w:val="Text1"/>
        <w:ind w:left="0"/>
        <w:rPr>
          <w:noProof/>
        </w:rPr>
      </w:pPr>
      <w:r>
        <w:rPr>
          <w:noProof/>
        </w:rPr>
        <w:t xml:space="preserve">Σύμφωνα με τις εκτιμήσεις της Επιτροπής, το 2023 ο δημοσιονομικός προσανατολισμός ήταν επεκτατικός, κατά 0,7 %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επεκτατική συμβολή ύψους 0,4 % του ΑΕΠ στον δημοσιονομικό προσανατολισμό. Αυτό περιλαμβάνει το μειωμένο κόστος των στοχευμένων μέτρων στήριξης έκτακτης ανάγκης για τα νοικοκυριά και τις επιχειρήσεις που είναι πιο ευάλωτα στις αυξήσεις των τιμών της ενέργειας κατά 0,1 % του ΑΕΠ. Ως εκ τούτου, η αύξηση των εθνικά χρηματοδοτούμενων πρωτογενών τρεχουσών δαπανών καθ’ υπέρβαση της μεσοπρόθεσμης αύξησης του δυνητικού προϊόντος δεν οφειλόταν στη στοχευμένη στήριξη για τα νοικοκυριά και τις επιχειρήσεις που είναι περισσότερο ευάλωτα στις αυξήσεις των τιμών της ενέργειας. Η επεκτατική αύξηση των εθνικά χρηματοδοτούμενων πρωτογενών τρεχουσών δαπανών (εκτός των μέτρων διακριτικής ευχέρειας στο σκέλος των εσόδων) οφειλόταν στις μόνιμες αυξήσεις των μισθών του δημόσιου τομέα και των κοινωνικών παροχών που προκύπτουν από τον μηχανισμό αυτόματης τιμαριθμικής αναπροσαρμογής, στην προσωρινή μείωση των εργοδοτικών κοινωνικών εισφορών το 2023 και στην αύξηση του δημοσιονομικού κόστους που συνδέεται με τη δημογραφική γήρανση. Συνολικά, η αύξηση των εθνικά χρηματοδοτούμενων πρωτογενών τρεχουσών δαπανών το 2023 δεν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0,3 % του ΑΕΠ το 2023. Οι εθνικά χρηματοδοτούμενες επενδύσεις ανήλθαν στο 2,8 % του ΑΕΠ το 2023, ποσοστό που συνιστά αύξηση κατά 0,1 εκατοστιαίες μονάδες σε σύγκριση με το 2022. Το Βέλγιο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επενδύσεις σε σιδηροδρομικές και ποδηλατικές υποδομές, σε ανακαινίσεις δημόσιων κτιρίων και σε υποδομές υδρογόνου, οι οποίες χρηματοδοτούνται εν μέρει από τον μηχανισμό ανάκαμψης και ανθεκτικότητας και άλλα ταμεία της ΕΕ. </w:t>
      </w:r>
    </w:p>
    <w:p w14:paraId="584BB4EB" w14:textId="61198766" w:rsidR="00FA679C" w:rsidRPr="00952ADB" w:rsidRDefault="00DA7E99" w:rsidP="001301C6">
      <w:pPr>
        <w:pStyle w:val="NormalWeb"/>
        <w:spacing w:before="120" w:beforeAutospacing="0" w:after="120" w:afterAutospacing="0"/>
        <w:jc w:val="both"/>
        <w:rPr>
          <w:bCs/>
          <w:noProof/>
        </w:rPr>
      </w:pPr>
      <w:r>
        <w:rPr>
          <w:noProof/>
        </w:rPr>
        <w:t>Με βάση τις εκτιμήσεις της Επιτροπής, ο δημοσιονομικός προσανατολισμός προβλέπεται να είναι συσταλτικός κατά 0,1 % του ΑΕΠ το 2024. Σύμφωνα με τις εαρινές προβλέψεις 2024 της Επιτροπής, οι καθαρές εθνικά χρηματοδοτούμενες πρωτογενείς δαπάνες του Βελγίου προβλέπεται να αυξηθούν κατά 4 % το 2024, ποσοστό που είναι υψηλότερο από τον συνιστώμενο μέγιστο ρυθμό αύξησης. Αυτό ενδέχεται να μη συνάδει με τη σύσταση του Συμβουλίου. Σύμφωνα με τις εαρινές προβλέψεις 2024 της Επιτροπής, το καθαρό δημοσιονομικό κόστος</w:t>
      </w:r>
      <w:r>
        <w:rPr>
          <w:rStyle w:val="FootnoteReference"/>
          <w:noProof/>
          <w:lang w:eastAsia="ja-JP"/>
        </w:rPr>
        <w:footnoteReference w:id="41"/>
      </w:r>
      <w:r>
        <w:rPr>
          <w:noProof/>
        </w:rPr>
        <w:t xml:space="preserve"> των μέτρων στήριξης έκτακτης ανάγκης στον τομέα της ενέργειας εκτιμάται σε 0,4 % του ΑΕΠ το 2023 και προβλέπεται να διαμορφωθεί σε 0 % του ΑΕΠ το 2024 και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0,4 % του ΑΕΠ το 2024, έναντι συσταλτικής συμβολής των καθαρών εθνικά χρηματοδοτούμενων πρωτογενών δαπανών στον δημοσιονομικό προσανατολισμό ύψους 0,1 % του ΑΕΠ κατά το εν λόγω έτος.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Ωστόσο, τα σχετικά κονδύλια που θα εξοικονομηθούν δεν προβλέπεται να χρησιμοποιηθούν πλήρως για τη μείωση του δημόσιου ελλείμματος. Αυτό ενδέχεται να μη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αυξηθούν στο 2,9 % του ΑΕΠ το 2024 από 2,8 % του ΑΕΠ το 2023. Αυτό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παραμείνουν σταθερές στο 0,3 % του ΑΕΠ το 2024.  </w:t>
      </w:r>
    </w:p>
    <w:p w14:paraId="5F8CC405" w14:textId="10E9834C" w:rsidR="007230A0" w:rsidRPr="006F1108" w:rsidRDefault="00204638" w:rsidP="007230A0">
      <w:pPr>
        <w:spacing w:after="0" w:line="240" w:lineRule="auto"/>
        <w:jc w:val="both"/>
        <w:rPr>
          <w:rFonts w:ascii="Times New Roman" w:hAnsi="Times New Roman" w:cs="Times New Roman"/>
          <w:noProof/>
          <w:sz w:val="24"/>
          <w:szCs w:val="24"/>
        </w:rPr>
      </w:pPr>
      <w:r>
        <w:rPr>
          <w:rFonts w:ascii="Times New Roman" w:hAnsi="Times New Roman"/>
          <w:b/>
          <w:noProof/>
          <w:sz w:val="24"/>
        </w:rPr>
        <w:t>Προκλήσεις όσον αφορά το χρέος και μεσοπρόθεσμη θέση του χρέους</w:t>
      </w:r>
      <w:r>
        <w:rPr>
          <w:rFonts w:ascii="Times New Roman" w:hAnsi="Times New Roman"/>
          <w:noProof/>
          <w:sz w:val="24"/>
        </w:rPr>
        <w:t xml:space="preserve"> Το δημόσιο χρέος μειώθηκε από 111,9 % του ΑΕΠ στα τέλη του 2020 σε 107,9 % στα τέλη του 2021 και ακόμα περισσότερο σε 104,3 % το 2022 προτού αυξηθεί σε 105,2 % στα τέλη του 2023. Προβλέπεται ότι θα ανέλθει σε 105,0 % και 106,6 % στα τέλη του 2024 και του 2025, αντίστοιχα. </w:t>
      </w:r>
    </w:p>
    <w:p w14:paraId="3648D7B2" w14:textId="77777777" w:rsidR="007230A0" w:rsidRPr="00DF76A9" w:rsidRDefault="007230A0" w:rsidP="007230A0">
      <w:pPr>
        <w:pStyle w:val="Text1"/>
        <w:ind w:left="0"/>
        <w:rPr>
          <w:noProof/>
        </w:rPr>
      </w:pPr>
      <w:r>
        <w:rPr>
          <w:noProof/>
        </w:rPr>
        <w:t xml:space="preserve">Συνολικά, η ανάλυση της βιωσιμότητας του χρέους καταδεικνύει υψηλούς κινδύνους μεσοπρόθεσμα. Σύμφωνα με τη βασική προβολή δεκαετίας, ο δείκτης χρέους της γενικής κυβέρνησης θα αυξηθεί έως περίπου το 119 % του ΑΕΠ το 2034. Η πορεία του χρέους βάσης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υψηλή πιθανότητα ο δείκτης χρέους να είναι υψηλότερος το 2028 από ό,τι το 2023. </w:t>
      </w:r>
    </w:p>
    <w:p w14:paraId="2387A660" w14:textId="77777777" w:rsidR="007230A0" w:rsidRPr="00273753" w:rsidRDefault="007230A0" w:rsidP="007230A0">
      <w:pPr>
        <w:pStyle w:val="Text1"/>
        <w:ind w:left="0"/>
        <w:rPr>
          <w:i/>
          <w:iCs/>
          <w:noProof/>
          <w:color w:val="FFFFFF" w:themeColor="background1"/>
        </w:rPr>
      </w:pPr>
      <w:r>
        <w:rPr>
          <w:noProof/>
        </w:rPr>
        <w:t xml:space="preserve">Άλλοι παράγοντες πρέπει να λαμβάνονται υπόψη για τη συνολική αξιολόγηση της βιωσιμότητας του χρέους. Αφενός, οι παράγοντες που αυξάνουν τον κίνδυνο σχετίζονται με την πρόσφατη αύξηση των επιτοκίων, το μερίδιο του βραχυπρόθεσμου χρέους, τις υψηλές ακαθάριστες χρηματοδοτικές ανάγκες, το μεγάλο ποσοστό δημόσιου χρέους που διακρατείται από μη κατοίκους, αλλά και την έλλειψη δημοσιονομικού συντονισμού μεταξύ των διαφόρων κυβερνητικών επιπέδων, καθώς πολλές από τις ομόσπονδες οντότητες εμφανίζουν συγκεκριμένες ευπάθειες. Αφετέρου, στους παράγοντες μετριασμού του κινδύνου συγκαταλέγονται η επιμήκυνση της ληκτότητας του χρέους τα τελευταία χρόνια, η οποία επιτρέπει πιο σταδιακή μετακύλιση των αυξανόμενων επιτοκίων στη δανειακή επιβάρυνση, σχετικά σταθερές πηγές χρηματοδότησης με διαφοροποιημένη και μεγάλη επενδυτική βάση, και το δημόσιο χρέος που είναι πλήρως εκφρασμένο σε ευρώ. </w:t>
      </w:r>
      <w:r>
        <w:rPr>
          <w:i/>
          <w:noProof/>
          <w:color w:val="FFFFFF" w:themeColor="background1"/>
        </w:rPr>
        <w:t xml:space="preserve"> </w:t>
      </w:r>
    </w:p>
    <w:p w14:paraId="26067B21" w14:textId="28595F15" w:rsidR="007230A0" w:rsidRPr="00273753" w:rsidRDefault="007230A0" w:rsidP="007230A0">
      <w:pPr>
        <w:pStyle w:val="Text1"/>
        <w:ind w:left="0"/>
        <w:rPr>
          <w:noProof/>
          <w:highlight w:val="yellow"/>
        </w:rPr>
      </w:pPr>
      <w:r>
        <w:rPr>
          <w:noProof/>
        </w:rPr>
        <w:t>Επιπλέον, οι διαρθρωτικές μεταρρυθμίσεις και επενδύσεις στο πλαίσιο του NextGenerationEU (NGEU) / του μηχανισμού ανάκαμψης και ανθεκτικότητας (ΜΑΑ), εάν εφαρμοστούν πλήρως, θα μπορούσαν να έχουν θετικό αντίκτυπο στην αύξηση του ΑΕΠ τα επόμενα έτη. Ωστόσο, η υλοποίηση των μεταρρυθμίσεων και των επενδύσεων που περιλαμβάνονται στο σχέδιο ανάκαμψης και ανθεκτικότητας του Βελγίου έχει καθυστερήσει σημαντικά.</w:t>
      </w:r>
      <w:r>
        <w:rPr>
          <w:noProof/>
          <w:shd w:val="clear" w:color="auto" w:fill="E6E6E6"/>
        </w:rPr>
        <w:t xml:space="preserve">  </w:t>
      </w:r>
    </w:p>
    <w:p w14:paraId="61AE7B0D" w14:textId="15F4A8E3" w:rsidR="007230A0" w:rsidRDefault="007230A0" w:rsidP="007230A0">
      <w:pPr>
        <w:pStyle w:val="Text1"/>
        <w:ind w:left="0"/>
        <w:rPr>
          <w:rStyle w:val="normaltextrun"/>
          <w:rFonts w:eastAsiaTheme="majorEastAsia"/>
          <w:noProof/>
          <w:color w:val="000000" w:themeColor="text1"/>
        </w:rPr>
      </w:pPr>
      <w:r>
        <w:rPr>
          <w:rStyle w:val="normaltextrun"/>
          <w:b/>
          <w:noProof/>
          <w:color w:val="000000" w:themeColor="text1"/>
        </w:rPr>
        <w:t xml:space="preserve">Εθνικό δημοσιονομικό πλαίσιο. </w:t>
      </w:r>
      <w:r>
        <w:rPr>
          <w:rStyle w:val="normaltextrun"/>
          <w:noProof/>
          <w:color w:val="000000" w:themeColor="text1"/>
        </w:rPr>
        <w:t>Η αποτελεσματικότητα του μεσοπρόθεσμου σχεδιασμού στο Βέλγιο παραμένει ανεπαρκής και ο συντονισμός σε όλα τα επίπεδα διακυβέρνησης είναι περιορισμένος. Το Ανώτατο Συμβούλιο Οικονομικών (HCF) δεν είναι ακόμη πλήρως λειτουργικό. Η αποτελεσματική εφαρμογή της συμφωνίας συνεργασίας του 2013 μεταξύ όλων των επιπέδων διακυβέρνησης σχετικά με τον καθορισμό πολυετούς δημοσιονομικής πορείας και την ανάθεση στο HCF του καθήκοντος παρακολούθησης της συμμόρφωσης παραμένει ελλιπής. Αυτό εμποδίζει την</w:t>
      </w:r>
      <w:r>
        <w:rPr>
          <w:noProof/>
        </w:rPr>
        <w:t xml:space="preserve"> παρακολούθηση της συμμόρφωσης και αυξάνει τον κίνδυνο απόκλισης από τη μεσοπρόθεσμη δημοσιονομική πορεία. Οι δημοσιονομικοί κανόνες στο Βέλγιο περιλαμβάνουν στόχους για τις δαπάνες στον τομέα της υγειονομικής περίθαλψης σε ομοσπονδιακό επίπεδο και αυστηρούς κανόνες για τις τοπικές αρχές. Παρά το ομοσπονδιακό επίπεδο και τις περιφέρειες που αντιπροσωπεύουν υψηλό μερίδιο των δαπανών της γενικής κυβέρνησης, υπάρχουν ελάχιστοι επίσημοι κανόνες που διέπουν τα επίπεδα αυτά, με κύρια εξαίρεση τον πρόσφατο στόχο δαπανών της Φλάνδρας. Ταυτόχρονα, το Βέλγιο έχει δεσμευτεί, στο πλαίσιο του οικείου σχεδίου ανάκαμψης και ανθεκτικότητας, να διενεργήσει επανεξέταση των δαπανών. </w:t>
      </w:r>
    </w:p>
    <w:p w14:paraId="7DB3884C" w14:textId="43CEBDB4" w:rsidR="007230A0" w:rsidRPr="008E57D4" w:rsidRDefault="00436156" w:rsidP="007230A0">
      <w:pPr>
        <w:pStyle w:val="Text1"/>
        <w:ind w:left="0"/>
        <w:rPr>
          <w:noProof/>
        </w:rPr>
      </w:pPr>
      <w:r>
        <w:rPr>
          <w:b/>
          <w:noProof/>
        </w:rPr>
        <w:t>Αύξηση των δημόσιων επενδύσεων στην άμυνα.</w:t>
      </w:r>
      <w:r>
        <w:rPr>
          <w:b/>
          <w:noProof/>
          <w:sz w:val="22"/>
        </w:rPr>
        <w:t xml:space="preserve"> </w:t>
      </w:r>
      <w:bookmarkStart w:id="16" w:name="_Hlk165891796"/>
      <w:r>
        <w:rPr>
          <w:noProof/>
        </w:rPr>
        <w:t>Με βάση τα στοιχεία της COFOG</w:t>
      </w:r>
      <w:r>
        <w:rPr>
          <w:rStyle w:val="FootnoteReference"/>
          <w:noProof/>
          <w:sz w:val="24"/>
          <w:szCs w:val="24"/>
        </w:rPr>
        <w:footnoteReference w:id="42"/>
      </w:r>
      <w:r>
        <w:rPr>
          <w:noProof/>
        </w:rPr>
        <w:t xml:space="preserve"> που δημοσίευσε η Eurostat</w:t>
      </w:r>
      <w:r>
        <w:rPr>
          <w:noProof/>
          <w:sz w:val="22"/>
        </w:rPr>
        <w:t>,</w:t>
      </w:r>
      <w:r>
        <w:rPr>
          <w:b/>
          <w:noProof/>
          <w:sz w:val="22"/>
        </w:rPr>
        <w:t xml:space="preserve"> </w:t>
      </w:r>
      <w:r>
        <w:rPr>
          <w:noProof/>
        </w:rPr>
        <w:t>οι συνολικές δαπάνες της γενικής κυβέρνησης στην άμυνα ανήλθαν στο 1 % του ΑΕΠ το 2022. Εξ αυτών, οι δημόσιες επενδύσεις στην άμυνα αντιπροσώπευαν το 0,1 % του ΑΕΠ το 2022, ποσοστό που δεν μεταβλήθηκε σε σχέση με το 2019.</w:t>
      </w:r>
    </w:p>
    <w:bookmarkEnd w:id="16"/>
    <w:p w14:paraId="6B80BEFF" w14:textId="0BE941FE" w:rsidR="007230A0" w:rsidRDefault="007230A0" w:rsidP="007230A0">
      <w:pPr>
        <w:autoSpaceDE w:val="0"/>
        <w:autoSpaceDN w:val="0"/>
        <w:spacing w:before="40" w:after="40" w:line="240" w:lineRule="auto"/>
        <w:jc w:val="both"/>
        <w:rPr>
          <w:noProof/>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Στις 17 Μαΐου 2024 το Βέλγιο υπέβαλε πρόσθετους σχετικούς παράγοντες που δεν αναφέρονται ήδη ανωτέρω, και συγκεκριμένα τις πρόσφατες προσπάθειες για την αύξηση των δημόσιων επενδύσεων για την επιτάχυνση της πράσινης και της ψηφιακής μετάβασης (μεταξύ άλλων, μέσω της εφαρμογής του ΣΑΑ) και την αύξηση των δαπανών για την άμυνα· τον αντίκτυπο του εξαιρετικά υψηλού πληθωρισμού στα δημόσια οικονομικά, ιδίως εάν ληφθούν υπόψη οι μηχανισμοί αυτόματης τιμαριθμικής αναπροσαρμογής· και μέτρα που αποσκοπούν στη βελτίωση της βιωσιμότητας του συνταξιοδοτικού συστήματος και στη μεταρρύθμιση του φορολογικού συστήματος</w:t>
      </w:r>
      <w:r>
        <w:rPr>
          <w:rFonts w:ascii="Segoe UI" w:hAnsi="Segoe UI"/>
          <w:noProof/>
          <w:color w:val="000000"/>
          <w:sz w:val="20"/>
        </w:rPr>
        <w:t>.</w:t>
      </w:r>
    </w:p>
    <w:p w14:paraId="452C3259" w14:textId="77777777" w:rsidR="007230A0" w:rsidRPr="00E343AE" w:rsidRDefault="007230A0" w:rsidP="007230A0">
      <w:pPr>
        <w:spacing w:before="120" w:after="120" w:line="240" w:lineRule="auto"/>
        <w:jc w:val="both"/>
        <w:rPr>
          <w:rFonts w:ascii="Times New Roman" w:hAnsi="Times New Roman" w:cs="Times New Roman"/>
          <w:noProof/>
        </w:rPr>
      </w:pPr>
    </w:p>
    <w:p w14:paraId="4B9467F5" w14:textId="77777777" w:rsidR="007230A0" w:rsidRPr="00E343AE" w:rsidRDefault="007230A0" w:rsidP="00046E7A">
      <w:pPr>
        <w:pStyle w:val="ManualHeading1"/>
        <w:keepNext/>
        <w:keepLines/>
        <w:spacing w:before="120"/>
        <w:rPr>
          <w:noProof/>
        </w:rPr>
      </w:pPr>
      <w:r>
        <w:rPr>
          <w:noProof/>
        </w:rPr>
        <w:t>Ισπανία</w:t>
      </w:r>
    </w:p>
    <w:p w14:paraId="176503DD" w14:textId="6925E449" w:rsidR="007230A0" w:rsidRPr="00E343AE" w:rsidRDefault="007230A0" w:rsidP="007230A0">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11,2 % το 2020. Μετά από αύξηση 6,4 % το 2021, το πραγματικό ΑΕΠ αυξήθηκε κατά 5,8 % το 2022 και κατά 2,5 % το 2023. Αναμένεται να αυξηθεί κατά 2,1 % το 2024 και κατά 1,9 % το 2025. Η αύξηση το 2024 βασίζεται κυρίως στην ιδιωτική κατανάλωση και, σε μικρότερο βαθμό, στις επενδύσεις. </w:t>
      </w:r>
    </w:p>
    <w:p w14:paraId="1951F14E" w14:textId="45982958" w:rsidR="007230A0" w:rsidRDefault="007230A0" w:rsidP="007230A0">
      <w:pPr>
        <w:pStyle w:val="Text1"/>
        <w:keepNext/>
        <w:keepLines/>
        <w:ind w:left="0"/>
        <w:rPr>
          <w:noProof/>
        </w:rPr>
      </w:pPr>
      <w:r>
        <w:rPr>
          <w:b/>
          <w:noProof/>
        </w:rPr>
        <w:t>Μεσοπρόθεσμη δημοσιονομική θέση, περιλαμβανομένων των επενδύσεων.</w:t>
      </w:r>
      <w:r>
        <w:rPr>
          <w:noProof/>
        </w:rPr>
        <w:t xml:space="preserve"> Tο δημόσιο έλλειμμα βρίσκεται άνω του 3 % του ΑΕΠ από το 2020. Μειώθηκε από 6,7 % το 2021 σε 4,7 % του ΑΕΠ το 2022 και 3,6 % το 2023. Προβλέπεται ότι θα μειωθεί περαιτέρω στο 3,0 % και 2,8 % του ΑΕΠ το 2024 και το 2025, αντίστοιχα. Οι δημόσιες επενδύσεις αυξήθηκαν ελαφρώς από 2,7 % του ΑΕΠ το 2021 σε 2,8 % και 3,0 % το 2022 και το 2023, αντίστοιχα. Προβλέπεται να διαμορφωθούν στο 3,1 % του ΑΕΠ τόσο το 2024 όσο και το 2025, μεγαλύτερες από το δημοσιονομικό έλλειμμα των ίδιων ετών. </w:t>
      </w:r>
    </w:p>
    <w:p w14:paraId="77A303C4" w14:textId="66B405A0" w:rsidR="008604BE" w:rsidRDefault="008604BE" w:rsidP="00C609F8">
      <w:pPr>
        <w:pStyle w:val="Text1"/>
        <w:keepNext/>
        <w:keepLines/>
        <w:ind w:left="0"/>
        <w:rPr>
          <w:noProof/>
        </w:rPr>
      </w:pPr>
      <w:r>
        <w:rPr>
          <w:noProof/>
        </w:rPr>
        <w:t>Το 2023, σύμφωνα με τις εκτιμήσεις της Επιτροπής, ο δημοσιονομικός προσανατολισμός ήταν γενικά ουδέτερος, στο -0,2 % του ΑΕΠ. Η αύξηση των εθνικά χρηματοδοτούμενων πρωτογενών τρεχουσών δαπανών (μετά την αφαίρεση των μέτρων διακριτικής ευχέρειας στο σκέλος των εσόδων) το 2023 είχε συσταλτική συμβολή ύψους 0,3 % του ΑΕΠ στον δημοσιονομικό προσανατολισμό, ποσοστό που ήταν σύμφωνο με τη σύσταση του Συμβουλίου. Η συσταλτική συμβολή των εθνικά χρηματοδοτούμενων πρωτογενών τρεχουσών δαπανών οφειλόταν στο μειωμένο κόστος των (στοχευμένων και μη στοχευμένων) μέτρων στήριξης έκτακτης ανάγκης για τα νοικοκυριά και τις επιχειρήσεις για την αντιμετώπιση των αυξήσεων των τιμών της ενέργειας (κατά 0,6 % του ΑΕΠ). Οι κύριοι παράγοντες αύξησης των εθνικά χρηματοδοτούμενων πρωτογενών τρεχουσών δαπανών (εκτός των μέτρων στο σκέλος των εσόδων) ήταν οι κοινωνικές παροχές εκτός από τις παροχές σε είδος, που οφείλονται στην αναπροσαρμογή των συντάξεων, και η ενδιάμεση κατανάλωση, που οφείλεται στις δαπάνες για την άμυνα. Οι δαπάνες που χρηματοδοτήθηκαν από επιχορηγήσεις του μηχανισμού ανάκαμψης και ανθεκτικότητας και από άλλα ταμεία της ΕΕ ανήλθαν στο 1,3 % του ΑΕΠ το 2023. Οι εθνικά χρηματοδοτούμενες επενδύσεις ανήλθαν στο 2,3 % του ΑΕΠ το 2023, με ετήσια αύξηση 0,1 %. Η Ισπανία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η ψηφιακή εργαλειοθήκη, τα έργα PERTE για ηλεκτρικά και συνδεδεμένα οχήματα, οι νέοι χώροι επαγγελματικής εκπαίδευσης και κατάρτισης και οι επενδύσεις στον τομέα του πράσινου υδρογόνου, οι οποίες χρηματοδοτούνται από τον μηχανισμό ανάκαμψης και ανθεκτικότητας και άλλα ταμεία της ΕΕ.</w:t>
      </w:r>
    </w:p>
    <w:p w14:paraId="43D46C84" w14:textId="273BE13A" w:rsidR="008604BE" w:rsidRPr="00C41D08" w:rsidRDefault="008604BE" w:rsidP="00C609F8">
      <w:pPr>
        <w:pStyle w:val="Text1"/>
        <w:keepNext/>
        <w:keepLines/>
        <w:ind w:left="0"/>
        <w:rPr>
          <w:noProof/>
        </w:rPr>
      </w:pPr>
      <w:r>
        <w:rPr>
          <w:noProof/>
        </w:rPr>
        <w:t>Με βάση τις εκτιμήσεις της Επιτροπής, ο δημοσιονομικός προσανατολισμός προβλέπεται να είναι ουδέτερος στο 0,0 % του ΑΕΠ το 2024. Σύμφωνα με τις εαρινές προβλέψεις 2024 της Επιτροπής, οι καθαρές εθνικά χρηματοδοτούμενες πρωτογενείς δαπάνες της Ισπανίας προβλέπεται να αυξηθούν κατά 3,8 % το 2024, ποσοστό που είναι υψηλότερο από τον συνιστώμενο μέγιστο ρυθμό αύξησης. Αυτό ενδέχεται να μη συνάδει με τη σύσταση του Συμβουλίου. Σύμφωνα με τις εαρινές προβλέψεις 2024 της Επιτροπής, το καθαρό δημοσιονομικό κόστος των μέτρων στήριξης έκτακτης ανάγκης στον τομέα της ενέργειας εκτιμάται σε 0,9 % του ΑΕΠ το 2023 και προβλέπεται να διαμορφωθεί σε 0,2 % το 2024 και σε -0,1 %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0,7 % του ΑΕΠ το 2024, έναντι συσταλτικής συμβολής των καθαρών εθνικά χρηματοδοτούμενων πρωτογενών δαπανών στον δημοσιονομικό προσανατολισμό ύψους 0,3 % του ΑΕΠ κατά το εν λόγω έτος.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Ωστόσο, τα σχετικά κονδύλια που θα εξοικονομηθούν δεν προβλέπεται να χρησιμοποιηθούν πλήρως για τη μείωση του δημόσιου ελλείμματος. Αυτό ενδέχεται να μη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αυξηθούν στο 2,4 % του ΑΕΠ το 2024 από 2,3 % του ΑΕΠ το 2023. Αυτό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αυξηθούν στο 1,6 % του ΑΕΠ το 2024 (από 1,3 % του ΑΕΠ το 2023).</w:t>
      </w:r>
    </w:p>
    <w:p w14:paraId="4753D699" w14:textId="6DD3F24B" w:rsidR="007230A0" w:rsidRDefault="00204638" w:rsidP="007230A0">
      <w:pPr>
        <w:pStyle w:val="Text1"/>
        <w:ind w:left="0"/>
        <w:rPr>
          <w:noProof/>
        </w:rPr>
      </w:pPr>
      <w:r>
        <w:rPr>
          <w:b/>
          <w:noProof/>
        </w:rPr>
        <w:t>Προκλήσεις όσον αφορά το χρέος και μεσοπρόθεσμη θέση του χρέους</w:t>
      </w:r>
      <w:r>
        <w:rPr>
          <w:noProof/>
        </w:rPr>
        <w:t xml:space="preserve"> Το δημόσιο χρέος μειώθηκε από 120,3 % του ΑΕΠ στα τέλη του 2020 σε 116,8 % στα τέλη του 2021 και σε 111,6 % το 2022. Μειώθηκε περαιτέρω στο τέλος του 2023 σε 107,7 % και προβλέπεται να μειωθεί ακόμη περισσότερο στα τέλη του 2024 και του 2025 (ύψους 105,5 % και 104,8 % του ΑΕΠ αντίστοιχα). </w:t>
      </w:r>
    </w:p>
    <w:p w14:paraId="765C92D5" w14:textId="77777777" w:rsidR="007230A0" w:rsidRPr="00EF58EE" w:rsidRDefault="007230A0" w:rsidP="007230A0">
      <w:pPr>
        <w:pStyle w:val="Text1"/>
        <w:ind w:left="0"/>
        <w:rPr>
          <w:noProof/>
          <w:highlight w:val="magenta"/>
        </w:rPr>
      </w:pPr>
      <w:r>
        <w:rPr>
          <w:noProof/>
        </w:rPr>
        <w:t xml:space="preserve">Συνολικά, η ανάλυση της βιωσιμότητας του χρέους καταδεικνύει υψηλούς κινδύνους μεσοπρόθεσμα. Σύμφωνα με τη βασική προβολή δεκαετίας, ο δείκτης χρέους της γενικής κυβέρνησης θα μειωθεί ελαφρά πριν να αυξηθεί ξανά φθάνοντας στο 113 % του ΑΕΠ το 2034. Η πορεία του χρέους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υψηλή πιθανότητα ο δείκτης χρέους να είναι υψηλότερος το 2028 από ό,τι το 2023. </w:t>
      </w:r>
    </w:p>
    <w:p w14:paraId="5879DAC1" w14:textId="77777777" w:rsidR="007230A0" w:rsidRPr="00EF58EE" w:rsidRDefault="007230A0" w:rsidP="007230A0">
      <w:pPr>
        <w:pStyle w:val="Text1"/>
        <w:ind w:left="0"/>
        <w:rPr>
          <w:noProof/>
        </w:rPr>
      </w:pPr>
      <w:r>
        <w:rPr>
          <w:noProof/>
        </w:rPr>
        <w:t xml:space="preserve">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το περιβάλλον των υψηλότερων επιτοκίων δεδομένου του αυξημένου επιπέδου δημόσιου χρέους. Αφετέρου, στους παράγοντες μετριασμού του κινδύνου συγκαταλέγονται η επιμήκυνση της ληκτότητας του χρέους τα τελευταία έτη, οι σχετικά σταθερές πηγές χρηματοδότησης με διαφοροποιημένη και μεγάλη επενδυτική βάση και το πολύ μεγάλο μερίδιο χρέους που εκφράζεται σε ευρώ. Επιπλέον, η «ρήτρα κλεισίματος» που εισήχθη με τη μεταρρύθμιση του συνταξιοδοτικού συστήματος του 2023, εάν εφαρμοστεί πλήρως, θα συμβάλει στην αντιμετώπιση των αναδυόμενων κενών δημοσιονομικής βιωσιμότητας που σχετίζονται με τις δημόσιες συνταξιοδοτικές δαπάνες. </w:t>
      </w:r>
    </w:p>
    <w:p w14:paraId="55CA152C" w14:textId="604EBC91" w:rsidR="007230A0" w:rsidRDefault="007230A0" w:rsidP="007230A0">
      <w:pPr>
        <w:pStyle w:val="Text1"/>
        <w:ind w:left="0"/>
        <w:rPr>
          <w:noProof/>
        </w:rPr>
      </w:pPr>
      <w:r>
        <w:rPr>
          <w:noProof/>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Ισπανίας </w:t>
      </w:r>
      <w:r>
        <w:rPr>
          <w:rStyle w:val="normaltextrun"/>
          <w:noProof/>
          <w:color w:val="000000" w:themeColor="text1"/>
        </w:rPr>
        <w:t xml:space="preserve">βρίσκεται σε εξέλιξη, ωστόσο η έγκαιρη ολοκλήρωση απαιτεί αυξημένες προσπάθειες. </w:t>
      </w:r>
    </w:p>
    <w:p w14:paraId="449B2AE0" w14:textId="7A4854BF" w:rsidR="007230A0" w:rsidRPr="00A31E54" w:rsidRDefault="007230A0" w:rsidP="007230A0">
      <w:pPr>
        <w:jc w:val="both"/>
        <w:rPr>
          <w:rFonts w:ascii="Times New Roman" w:hAnsi="Times New Roman" w:cs="Times New Roman"/>
          <w:noProof/>
          <w:color w:val="000000"/>
          <w:sz w:val="24"/>
          <w:szCs w:val="24"/>
        </w:rPr>
      </w:pPr>
      <w:r>
        <w:rPr>
          <w:rFonts w:ascii="Times New Roman" w:hAnsi="Times New Roman"/>
          <w:b/>
          <w:noProof/>
          <w:sz w:val="24"/>
        </w:rPr>
        <w:t xml:space="preserve">Αξιολόγηση στο πλαίσιο της διαδικασίας μακροοικονομικών ανισορροπιών. </w:t>
      </w:r>
      <w:r>
        <w:rPr>
          <w:rFonts w:ascii="Times New Roman" w:hAnsi="Times New Roman"/>
          <w:noProof/>
          <w:sz w:val="24"/>
        </w:rPr>
        <w:t>Η Ισπανία</w:t>
      </w:r>
      <w:r>
        <w:rPr>
          <w:rStyle w:val="normaltextrun"/>
          <w:rFonts w:ascii="Times New Roman" w:hAnsi="Times New Roman"/>
          <w:noProof/>
          <w:color w:val="000000"/>
          <w:sz w:val="24"/>
          <w:shd w:val="clear" w:color="auto" w:fill="FFFFFF"/>
        </w:rPr>
        <w:t xml:space="preserve"> δεν αντιμετωπίζει πλέον μακροοικονομικές ανισορροπίες</w:t>
      </w:r>
      <w:r>
        <w:rPr>
          <w:rFonts w:ascii="Times New Roman" w:hAnsi="Times New Roman"/>
          <w:noProof/>
          <w:sz w:val="24"/>
        </w:rPr>
        <w:t>.</w:t>
      </w:r>
      <w:r>
        <w:rPr>
          <w:rStyle w:val="normaltextrun"/>
          <w:rFonts w:ascii="Times New Roman" w:hAnsi="Times New Roman"/>
          <w:noProof/>
          <w:color w:val="000000"/>
          <w:sz w:val="24"/>
          <w:shd w:val="clear" w:color="auto" w:fill="FFFFFF"/>
        </w:rPr>
        <w:t xml:space="preserve"> </w:t>
      </w:r>
    </w:p>
    <w:p w14:paraId="0FC8B0D0" w14:textId="7773C177" w:rsidR="007230A0" w:rsidRPr="00AA01CA" w:rsidRDefault="007230A0" w:rsidP="007230A0">
      <w:pPr>
        <w:pStyle w:val="Text1"/>
        <w:ind w:left="0"/>
        <w:rPr>
          <w:b/>
          <w:bCs/>
          <w:noProof/>
          <w:sz w:val="22"/>
          <w:szCs w:val="22"/>
        </w:rPr>
      </w:pPr>
      <w:r>
        <w:rPr>
          <w:rStyle w:val="normaltextrun"/>
          <w:b/>
          <w:noProof/>
          <w:color w:val="000000" w:themeColor="text1"/>
        </w:rPr>
        <w:t xml:space="preserve">Εθνικό δημοσιονομικό πλαίσιο. </w:t>
      </w:r>
      <w:r>
        <w:rPr>
          <w:rStyle w:val="normaltextrun"/>
          <w:noProof/>
          <w:color w:val="000000" w:themeColor="text1"/>
        </w:rPr>
        <w:t>Το ισπανικό Δημοσιονομικό Συμβούλιο (AIReF) έχει ευρεία εντολή και καθιερώθηκε γρήγορα ως αξιόπιστο ανεξάρτητο όργανο</w:t>
      </w:r>
      <w:r>
        <w:rPr>
          <w:rStyle w:val="normaltextrun"/>
          <w:i/>
          <w:noProof/>
          <w:color w:val="000000" w:themeColor="text1"/>
        </w:rPr>
        <w:t xml:space="preserve">. </w:t>
      </w:r>
      <w:r>
        <w:rPr>
          <w:rStyle w:val="normaltextrun"/>
          <w:noProof/>
          <w:color w:val="000000" w:themeColor="text1"/>
        </w:rPr>
        <w:t xml:space="preserve">Οι εθνικοί </w:t>
      </w:r>
      <w:r>
        <w:rPr>
          <w:rStyle w:val="normaltextrun"/>
          <w:noProof/>
        </w:rPr>
        <w:t xml:space="preserve">δημοσιονομικοί κανόνες στην Ισπανία περιλαμβάνουν τον κανόνα του ισοσκελισμένου προϋπολογισμού, τον κανόνα για το χρέος και τον εθνικό κανόνα για τις δαπάνες. Με την απενεργοποίηση της γενικής ρήτρας διαφυγής στα τέλη του 2023 και την πρόσφατη έγκριση νέων κανόνων σε επίπεδο ΕΕ, η Ισπανία βρίσκεται επί του παρόντος σε μεταβατική φάση με την εκ νέου εφαρμογή των εθνικών δημοσιονομικών κανόνων της. </w:t>
      </w:r>
      <w:r>
        <w:rPr>
          <w:noProof/>
        </w:rPr>
        <w:t xml:space="preserve"> Στο εθνικό της σχέδιο ανάκαμψης και ανθεκτικότητας, η Ισπανία δεσμεύτηκε να διενεργήσει επανεξετάσεις των δαπανών που εκπόνησε η AIReF και να τις ενσωματώσει στην ετήσια διαδικασία του προϋπολογισμού.</w:t>
      </w:r>
    </w:p>
    <w:p w14:paraId="2133E272" w14:textId="67996BE5" w:rsidR="007230A0" w:rsidRPr="00AA01CA" w:rsidRDefault="00436156" w:rsidP="007230A0">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1,1% του ΑΕΠ το 2022. Εξ αυτών, οι δημόσιες επενδύσεις στην άμυνα αντιπροσώπευαν το 0,4 % του ΑΕΠ το 2022, ποσοστό κατά 0,2 εκατοστιαίες μονάδες υψηλότερο σε σχέση με το 2019.</w:t>
      </w:r>
    </w:p>
    <w:p w14:paraId="630F9F68" w14:textId="5713980E" w:rsidR="007230A0" w:rsidRDefault="007230A0" w:rsidP="007230A0">
      <w:pPr>
        <w:spacing w:before="120" w:after="120" w:line="240" w:lineRule="auto"/>
        <w:jc w:val="both"/>
        <w:rPr>
          <w:rFonts w:ascii="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w:t>
      </w:r>
      <w:r>
        <w:rPr>
          <w:rFonts w:ascii="Times New Roman" w:hAnsi="Times New Roman"/>
          <w:b/>
          <w:noProof/>
          <w:color w:val="FFFFFF" w:themeColor="background1"/>
          <w:sz w:val="24"/>
        </w:rPr>
        <w:t xml:space="preserve"> </w:t>
      </w:r>
      <w:r>
        <w:rPr>
          <w:rFonts w:ascii="Times New Roman" w:hAnsi="Times New Roman"/>
          <w:noProof/>
          <w:sz w:val="24"/>
        </w:rPr>
        <w:t xml:space="preserve">Η ανάλυση που παρουσιάζεται στα προηγούμενα τμήματα καλύπτει ήδη τους σχετικούς παράγοντες που υπέβαλε η Ισπανία στις 20 Μαΐου 2024. </w:t>
      </w:r>
    </w:p>
    <w:p w14:paraId="7C322CF8" w14:textId="77777777" w:rsidR="00417D84" w:rsidRPr="00E343AE" w:rsidRDefault="00417D84" w:rsidP="007230A0">
      <w:pPr>
        <w:spacing w:before="120" w:after="120" w:line="240" w:lineRule="auto"/>
        <w:jc w:val="both"/>
        <w:rPr>
          <w:rFonts w:ascii="Times New Roman" w:hAnsi="Times New Roman" w:cs="Times New Roman"/>
          <w:noProof/>
        </w:rPr>
      </w:pPr>
    </w:p>
    <w:p w14:paraId="69633B4F" w14:textId="07D47250" w:rsidR="007230A0" w:rsidRDefault="007230A0" w:rsidP="002813CE">
      <w:pPr>
        <w:pStyle w:val="ManualHeading1"/>
        <w:keepNext/>
        <w:keepLines/>
        <w:spacing w:before="120"/>
        <w:rPr>
          <w:noProof/>
        </w:rPr>
      </w:pPr>
      <w:r>
        <w:rPr>
          <w:noProof/>
        </w:rPr>
        <w:t>Γαλλία</w:t>
      </w:r>
    </w:p>
    <w:p w14:paraId="1EE7406F" w14:textId="0D99D13A" w:rsidR="007230A0" w:rsidRPr="00E343AE" w:rsidRDefault="007230A0" w:rsidP="007230A0">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7,5 % το 2020.  Μετά από αύξηση 6,4 % το 2021, το πραγματικό ΑΕΠ αυξήθηκε κατά 2,5 % το 2022 και κατά 0,7 % το 2023. Αναμένεται να αυξηθεί κατά 0,7 % το 2024 και κατά 1,3 % το 2025. Η ανάπτυξη το 2024 β προβλέπεται να βασιστεί κυρίως τόσο στην ιδιωτική όσο και τη δημόσια κατανάλωση. </w:t>
      </w:r>
    </w:p>
    <w:p w14:paraId="289FAA08" w14:textId="480E30AC" w:rsidR="007230A0" w:rsidRDefault="007230A0" w:rsidP="007230A0">
      <w:pPr>
        <w:pStyle w:val="Text1"/>
        <w:ind w:left="0"/>
        <w:rPr>
          <w:noProof/>
        </w:rPr>
      </w:pPr>
      <w:r>
        <w:rPr>
          <w:b/>
          <w:noProof/>
        </w:rPr>
        <w:t>Μεσοπρόθεσμη δημοσιονομική θέση, περιλαμβανομένων των επενδύσεων.</w:t>
      </w:r>
      <w:r>
        <w:rPr>
          <w:noProof/>
        </w:rPr>
        <w:t xml:space="preserve"> Tο δημόσιο έλλειμμα βρίσκεται άνω του 3 % του ΑΕΠ από το 2020. μειώθηκε από 6,6 % του ΑΕΠ το 2021 σε 4,8 % του ΑΕΠ το 2022, πριν αυξηθεί στο 5,5 % το 2023. Αναμένεται να μειωθεί κατά 5,3 % το 2024 και κατά 5,0 % το 2025. Οι δημόσιες επενδύσεις παρέμειναν αρκετά σταθερές (ελαφρώς πάνω από το 4 % του ΑΕΠ) μεταξύ 2020 και 2023. Προβλέπεται να διαμορφωθούν στο 4,3 % του ΑΕΠ το 2024 και να μειωθούν σε 4,2 % το 2025. </w:t>
      </w:r>
    </w:p>
    <w:p w14:paraId="22509ED8" w14:textId="087EA12F" w:rsidR="003204E2" w:rsidRPr="00952ADB" w:rsidRDefault="003204E2" w:rsidP="00E84A1B">
      <w:pPr>
        <w:pStyle w:val="Text1"/>
        <w:ind w:left="0"/>
        <w:rPr>
          <w:noProof/>
        </w:rPr>
      </w:pPr>
      <w:r>
        <w:rPr>
          <w:noProof/>
        </w:rPr>
        <w:t>Το 2023, σύμφωνα με τις εκτιμήσεις της Επιτροπής, ο δημοσιονομικός προσανατολισμός ήταν συσταλτικός, κατά 0,5 %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συσταλτική συμβολή ύψους 0,3 % του ΑΕΠ στον δημοσιονομικό προσανατολισμό και ήταν σύμφωνη με τη σύσταση του Συμβουλίου. Οι δαπάνες που χρηματοδοτήθηκαν από επιχορηγήσεις του μηχανισμού ανάκαμψης και ανθεκτικότητας και από άλλα ταμεία της ΕΕ ανήλθαν στο 0,4 % του ΑΕΠ το 2023. Οι εθνικά χρηματοδοτούμενες επενδύσεις ανήλθαν στο 4,1 % του ΑΕΠ το 2023, ποσοστό που συνιστά αύξηση κατά 0,1 εκατοστιαίες μονάδες σε σύγκριση με το 2022. Η Γαλλία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για την ανάπτυξη και τη βιομηχανική αξιοποίηση λύσεων ανανεώσιμου υδρογόνου και υδρογόνου χαμηλών ανθρακούχων εκπομπών, για έργα καινοτομίας σε βιώσιμα γεωργικά συστήματα, για ανακυκλωμένα υλικά, για καινοτόμα κτίρια, για την ψηφιοποίηση και απανθρακοποίηση της κινητικότητας, καθώς και για επενδύσεις για την ανακαίνιση των συστημάτων θέρμανσης των κτιρίων, που χρηματοδοτούνται εν μέρει από τον μηχανισμό ανάκαμψης και ανθεκτικότητας και άλλα ταμεία της ΕΕ.</w:t>
      </w:r>
    </w:p>
    <w:p w14:paraId="1FF03250" w14:textId="1EE05A4E" w:rsidR="007230A0" w:rsidRPr="009D31C6" w:rsidRDefault="00EB351F" w:rsidP="001301C6">
      <w:pPr>
        <w:pStyle w:val="NormalWeb"/>
        <w:spacing w:before="120" w:beforeAutospacing="0" w:after="120" w:afterAutospacing="0"/>
        <w:jc w:val="both"/>
        <w:rPr>
          <w:b/>
          <w:bCs/>
          <w:noProof/>
        </w:rPr>
      </w:pPr>
      <w:r>
        <w:rPr>
          <w:noProof/>
          <w:color w:val="000000" w:themeColor="text1"/>
        </w:rPr>
        <w:t xml:space="preserve">Με βάση τις εκτιμήσεις της Επιτροπής, ο δημοσιονομικός προσανατολισμός προβλέπεται να είναι συσταλτικός κατά 1,1 % του ΑΕΠ το 2024. Σύμφωνα με τις εαρινές προβλέψεις 2024 της Επιτροπής, οι καθαρές εθνικά χρηματοδοτούμενες πρωτογενείς δαπάνες της Γαλλίας προβλέπεται να αυξηθούν κατά 1,8 % το 2024, ποσοστό που είναι χαμηλότερο από τον συνιστώμενο μέγιστο ρυθμό αύξησης. Αυτό συνάδει με τη σύσταση του Συμβουλίου. Σύμφωνα με τις εαρινές προβλέψεις 2024 της Επιτροπής, το καθαρό δημοσιονομικό κόστος των μέτρων στήριξης έκτακτης ανάγκης στον τομέα της ενέργειας εκτιμάται σε 0,9 % του ΑΕΠ το 2023 και προβλέπεται να είναι 0,2 % το 2024 και 0,0 % το 2025. </w:t>
      </w:r>
      <w:r>
        <w:rPr>
          <w:noProof/>
        </w:rPr>
        <w:t xml:space="preserve">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0,6 % του ΑΕΠ το 2024, έναντι συσταλτικής συμβολής των καθαρών εθνικά χρηματοδοτούμενων πρωτογενών δαπανών στον δημοσιονομικό προσανατολισμό ύψους 1,0 % του ΑΕΠ κατά το εν λόγω έτος. </w:t>
      </w:r>
      <w:r>
        <w:rPr>
          <w:noProof/>
          <w:color w:val="000000" w:themeColor="text1"/>
        </w:rPr>
        <w:t>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Επιπλέον, τα σχετικά κονδύλια που θα εξοικονομηθούν προβλέπεται να χρησιμοποιηθούν πλήρως για τη μείωση του δημόσιου ελλείμματος. Αυτό επίσης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παραμείνουν σταθερές στο 4,1 % του ΑΕΠ το 2024. Αυτό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παραμείνουν σταθερές στο 0,4 % του ΑΕΠ το 2024.</w:t>
      </w:r>
      <w:r>
        <w:rPr>
          <w:b/>
          <w:noProof/>
          <w:highlight w:val="lightGray"/>
          <w:u w:val="single"/>
          <w:shd w:val="clear" w:color="auto" w:fill="C7D4E8"/>
        </w:rPr>
        <w:t xml:space="preserve"> </w:t>
      </w:r>
    </w:p>
    <w:p w14:paraId="5CC6E759" w14:textId="3EFEE108" w:rsidR="007230A0" w:rsidRDefault="00F41FE0" w:rsidP="007230A0">
      <w:pPr>
        <w:pStyle w:val="Text1"/>
        <w:ind w:left="0"/>
        <w:rPr>
          <w:noProof/>
        </w:rPr>
      </w:pPr>
      <w:r>
        <w:rPr>
          <w:b/>
          <w:noProof/>
        </w:rPr>
        <w:t>Προκλήσεις όσον αφορά το χρέος και μεσοπρόθεσμη θέση του χρέους</w:t>
      </w:r>
      <w:r>
        <w:rPr>
          <w:noProof/>
        </w:rPr>
        <w:t xml:space="preserve"> Το δημόσιο χρέος μειώθηκε από 113,0 % του ΑΕΠ στα τέλη του 2021 σε 111,9 % στα τέλη του 2022 και περαιτέρω σε 110,6 % στα τέλη του 2023. Προβλέπεται ότι θα αυξηθεί στο 112,4 % και 113,8 % στα τέλη του 2024 και του 2025, αντίστοιχα.</w:t>
      </w:r>
    </w:p>
    <w:p w14:paraId="55A63BB0" w14:textId="77777777" w:rsidR="007230A0" w:rsidRPr="00EF58EE" w:rsidRDefault="007230A0" w:rsidP="007230A0">
      <w:pPr>
        <w:pStyle w:val="Text1"/>
        <w:ind w:left="0"/>
        <w:rPr>
          <w:noProof/>
        </w:rPr>
      </w:pPr>
      <w:r>
        <w:rPr>
          <w:noProof/>
        </w:rPr>
        <w:t xml:space="preserve">Συνολικά, η ανάλυση της βιωσιμότητας του χρέους καταδεικνύει υψηλούς κινδύνους μεσοπρόθεσμα. Σύμφωνα με τη βασική προβολή δεκαετίας, ο δείκτης χρέους της γενικής κυβέρνησης θα αυξάνεται συνεχώς φθάνοντας γύρω στο 139 % του ΑΕΠ το 2034. Η πορεία του χρέους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υψηλή πιθανότητα ο δείκτης χρέους να είναι υψηλότερος το 2028 από ό,τι το 2023. </w:t>
      </w:r>
    </w:p>
    <w:p w14:paraId="654CC087" w14:textId="32E41118" w:rsidR="007230A0" w:rsidRPr="00EF58EE" w:rsidRDefault="007230A0" w:rsidP="007230A0">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που αυξάνουν τον κίνδυνο σχετίζονται με την πρόσφατη αύξηση των επιτοκίων, το μερίδιο του βραχυπρόθεσμου δημόσιου χρέους, την αναμενόμενη αύξηση των ακαθάριστων χρηματοδοτικών αναγκών μεσοπρόθεσμα και τους κινδύνους ενδεχόμενων υποχρεώσεων που προκύπτουν από τον ιδιωτικό τομέα, μεταξύ άλλων μέσω της πιθανής κατάπτωσης των κρατικών εγγυήσεων που χορηγήθηκαν σε επιχειρήσεις και αυτοαπασχολούμενους στη διάρκεια της κρίσης της COVID-19. Αφετέρου, στους παράγοντες μετριασμού του κινδύνου συγκαταλέγονται η επιμήκυνση της ληκτότητας του χρέους τα τελευταία έτη και οι σχετικά σταθερές πηγές χρηματοδότησης (με διαφοροποιημένη και μεγάλη επενδυτική βάση).</w:t>
      </w:r>
    </w:p>
    <w:p w14:paraId="4C82E2F8" w14:textId="5F031BFA" w:rsidR="007230A0" w:rsidRPr="00B17344" w:rsidRDefault="007230A0" w:rsidP="007230A0">
      <w:pPr>
        <w:pStyle w:val="Text1"/>
        <w:ind w:left="0"/>
        <w:rPr>
          <w:noProof/>
        </w:rPr>
      </w:pPr>
      <w:r>
        <w:rPr>
          <w:noProof/>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Γαλλίας βρίσκεται σε εξέλιξη. </w:t>
      </w:r>
      <w:r>
        <w:rPr>
          <w:noProof/>
          <w:color w:val="FFFFFF" w:themeColor="background1"/>
        </w:rPr>
        <w:t xml:space="preserve">Περιλαμβάνει </w:t>
      </w:r>
    </w:p>
    <w:p w14:paraId="544A1B76" w14:textId="4139AC93" w:rsidR="007230A0" w:rsidRPr="00946617" w:rsidRDefault="007230A0" w:rsidP="007230A0">
      <w:pPr>
        <w:pStyle w:val="Text1"/>
        <w:ind w:left="0"/>
        <w:rPr>
          <w:b/>
          <w:noProof/>
          <w:szCs w:val="20"/>
        </w:rPr>
      </w:pPr>
      <w:r>
        <w:rPr>
          <w:b/>
          <w:noProof/>
        </w:rPr>
        <w:t xml:space="preserve">Αξιολόγηση στο πλαίσιο της διαδικασίας μακροοικονομικών ανισορροπιών. </w:t>
      </w:r>
      <w:r>
        <w:rPr>
          <w:noProof/>
        </w:rPr>
        <w:t xml:space="preserve">Η </w:t>
      </w:r>
      <w:r>
        <w:rPr>
          <w:rStyle w:val="normaltextrun"/>
          <w:noProof/>
          <w:color w:val="000000"/>
          <w:shd w:val="clear" w:color="auto" w:fill="FFFFFF"/>
        </w:rPr>
        <w:t xml:space="preserve">Γαλλία </w:t>
      </w:r>
      <w:r>
        <w:rPr>
          <w:noProof/>
        </w:rPr>
        <w:t xml:space="preserve">δεν αντιμετωπίζει πλέον μακροοικονομικές ανισορροπίες. </w:t>
      </w:r>
      <w:r>
        <w:rPr>
          <w:rStyle w:val="normaltextrun"/>
          <w:noProof/>
          <w:color w:val="000000"/>
          <w:shd w:val="clear" w:color="auto" w:fill="FFFFFF"/>
        </w:rPr>
        <w:t xml:space="preserve">Ειδικότερα, </w:t>
      </w:r>
      <w:r>
        <w:rPr>
          <w:noProof/>
        </w:rPr>
        <w:t xml:space="preserve">τα </w:t>
      </w:r>
      <w:r>
        <w:rPr>
          <w:noProof/>
          <w:color w:val="000000" w:themeColor="text1"/>
        </w:rPr>
        <w:t>μέτρα πολιτικής συνέβαλαν στη μείωση των ευπαθειών, οι οποίες είχαν διασυνοριακό αντίκτυπο, σε σχέση με την ανταγωνιστικότητα σε ένα πλαίσιο χαμηλής αύξησης της παραγωγικότητας, αλλά οι προσπάθειες πρέπει να συνεχιστούν, ενώ εξακολουθούν να υπάρχουν ευπάθειες που σχετίζονται με το υψηλό δημόσιο χρέος.</w:t>
      </w:r>
    </w:p>
    <w:p w14:paraId="3A0C4FC4" w14:textId="4806D293" w:rsidR="007230A0" w:rsidRDefault="007230A0" w:rsidP="007230A0">
      <w:pPr>
        <w:pStyle w:val="Text1"/>
        <w:ind w:left="0"/>
        <w:rPr>
          <w:noProof/>
        </w:rPr>
      </w:pPr>
      <w:r>
        <w:rPr>
          <w:rStyle w:val="normaltextrun"/>
          <w:b/>
          <w:noProof/>
          <w:color w:val="000000" w:themeColor="text1"/>
        </w:rPr>
        <w:t xml:space="preserve">Εθνικό δημοσιονομικό πλαίσιο. </w:t>
      </w:r>
      <w:r>
        <w:rPr>
          <w:noProof/>
        </w:rPr>
        <w:t>Το Ανώτατο Συμβούλιο Δημόσιων Οικονομικών</w:t>
      </w:r>
      <w:r>
        <w:rPr>
          <w:i/>
          <w:noProof/>
        </w:rPr>
        <w:t xml:space="preserve"> </w:t>
      </w:r>
      <w:r>
        <w:rPr>
          <w:noProof/>
        </w:rPr>
        <w:t xml:space="preserve">(HCPF) έχει σχετικά περιορισμένη εντολή, η οποία περιορίζεται στην έκδοση γνωμοδοτήσεων σχετικά με την αξιοπιστία των μακροοικονομικών και δημοσιονομικών προβλέψεων στις οποίες βασίζονται τα ετήσια και πολυετή δημοσιονομικά έγγραφα και τη συνέπειά τους με τους στόχους του διαρθρωτικού ισοζυγίου. Το γαλλικό Σύνταγμα και οι συνοδευτικοί νόμοι εισήγαγαν τον κανόνα του ισοσκελισμένου προϋπολογισμού σε διαρθρωτικούς όρους που καλύπτει τη γενική κυβέρνηση και τον κανόνα του ισοσκελισμένου προϋπολογισμού για την τοπική αυτοδιοίκηση. Εφαρμόζεται επίσης μεσοπρόθεσμη δημοσιονομική στρατηγική στην οποία περιγράφονται οι δημοσιονομικοί στόχοι και οι μεσοπρόθεσμες προτεραιότητες της κυβέρνησης για διάστημα τριών έως πέντε ετών. Στο παρελθόν, οι εθνικοί δημοσιονομικοί στόχοι που είχαν τεθεί μεσοπρόθεσμα αναθεωρήθηκαν ή δεν επιτεύχθηκαν και η δημοσιονομική προσαρμογή έχει μετατεθεί, αποδυναμώνοντας τη σύνδεση με τους ετήσιους προϋπολογισμούς. Ταυτόχρονα, στο οικείο σχέδιο ανάκαμψης και ανθεκτικότητας, η Γαλλία δεσμεύτηκε να διενεργήσει επανεξέταση των δαπανών σε σχέση με τον ετήσιο προϋπολογισμό. </w:t>
      </w:r>
    </w:p>
    <w:p w14:paraId="055CDA23" w14:textId="4D8EFFBE" w:rsidR="007230A0" w:rsidRPr="00AA01CA" w:rsidRDefault="00436156" w:rsidP="007230A0">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1,8% του ΑΕΠ το 2022. Εξ αυτών, οι δημόσιες επενδύσεις στην άμυνα αντιπροσώπευαν το 0,3 % του ΑΕΠ το 2022, ποσοστό που δεν μεταβλήθηκε σε σχέση με το 2019.</w:t>
      </w:r>
    </w:p>
    <w:p w14:paraId="56293293" w14:textId="473A9316" w:rsidR="007230A0" w:rsidRPr="00B07439" w:rsidRDefault="007230A0" w:rsidP="007230A0">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Στις 22 Μαΐου 2024 η Γαλλία υπέβαλε πρόσθετους σχετικούς παράγοντες που δεν αναφέρθηκαν ήδη ανωτέρω, δηλαδή τη χαμηλή ελαστικότητα των φορολογικών εσόδων προς το ΑΕΠ και, σε μικρότερο βαθμό, τον αντίκτυπο της αναθεώρησης της στατιστικής βάσης στην οποία προέβη η γαλλική στατιστική υπηρεσία.</w:t>
      </w:r>
    </w:p>
    <w:p w14:paraId="058624A5" w14:textId="77777777" w:rsidR="007230A0" w:rsidRPr="00E343AE" w:rsidRDefault="007230A0" w:rsidP="007230A0">
      <w:pPr>
        <w:spacing w:before="120" w:after="120"/>
        <w:jc w:val="both"/>
        <w:rPr>
          <w:rFonts w:ascii="Times New Roman" w:hAnsi="Times New Roman" w:cs="Times New Roman"/>
          <w:noProof/>
        </w:rPr>
      </w:pPr>
    </w:p>
    <w:p w14:paraId="06388F5C" w14:textId="77777777" w:rsidR="007230A0" w:rsidRPr="00E343AE" w:rsidRDefault="007230A0" w:rsidP="00B53995">
      <w:pPr>
        <w:pStyle w:val="ManualHeading1"/>
        <w:keepNext/>
        <w:keepLines/>
        <w:spacing w:before="120"/>
        <w:rPr>
          <w:noProof/>
        </w:rPr>
      </w:pPr>
      <w:r>
        <w:rPr>
          <w:noProof/>
        </w:rPr>
        <w:t>Ιταλία</w:t>
      </w:r>
    </w:p>
    <w:p w14:paraId="42E05F7D" w14:textId="5CB467C7" w:rsidR="007230A0" w:rsidRPr="00E343AE" w:rsidRDefault="007230A0" w:rsidP="007230A0">
      <w:pPr>
        <w:pStyle w:val="Text1"/>
        <w:keepNext/>
        <w:keepLines/>
        <w:ind w:left="0"/>
        <w:rPr>
          <w:noProof/>
        </w:rPr>
      </w:pPr>
      <w:r>
        <w:rPr>
          <w:b/>
          <w:noProof/>
        </w:rPr>
        <w:t>Μεσοπρόθεσμη μακροοικονομική κατάσταση.</w:t>
      </w:r>
      <w:r>
        <w:rPr>
          <w:noProof/>
        </w:rPr>
        <w:t xml:space="preserve"> Μετά από συρρίκνωση 9,0 % το 2020, το πραγματικό ΑΕΠ αυξήθηκε κατά 8,3 % το 2021, 4,0 % το 2022 και κατά 0,9 % το 2023. Η αύξηση αναμένεται να ανέλθει στο 0,9 % και το 2024 και να αυξηθεί ελαφρά σε 1,1 % το 2025. Η ανάπτυξη το 2024 αναμένεται να βασιστεί κυρίως στις καθαρές εξαγωγές και τις επενδύσεις. </w:t>
      </w:r>
    </w:p>
    <w:p w14:paraId="34BC188D" w14:textId="462EBB2F" w:rsidR="007230A0" w:rsidRDefault="007230A0" w:rsidP="007230A0">
      <w:pPr>
        <w:pStyle w:val="Text1"/>
        <w:ind w:left="0"/>
        <w:rPr>
          <w:noProof/>
        </w:rPr>
      </w:pPr>
      <w:r>
        <w:rPr>
          <w:b/>
          <w:noProof/>
        </w:rPr>
        <w:t>Μεσοπρόθεσμη δημοσιονομική θέση, περιλαμβανομένων των επενδύσεων.</w:t>
      </w:r>
      <w:r>
        <w:rPr>
          <w:noProof/>
        </w:rPr>
        <w:t xml:space="preserve"> Tο δημόσιο έλλειμμα βρίσκεται άνω του 3 % του ΑΕΠ από το 2020. Μειώθηκε από 8,7 % το 2021 σε 8,6 % του ΑΕΠ το 2022 και 7,4 % το 2023. Τα στοιχεία για το έλλειμμα της περιόδου 2020-2023 περιλαμβάνουν τον αντίκτυπο που είχαν στην αύξηση του ελλείμματος οι φορολογικές πιστώσεις για την ανακαίνιση κατοικιών</w:t>
      </w:r>
      <w:r>
        <w:rPr>
          <w:rStyle w:val="FootnoteReference"/>
          <w:noProof/>
        </w:rPr>
        <w:footnoteReference w:id="43"/>
      </w:r>
      <w:r>
        <w:rPr>
          <w:noProof/>
        </w:rPr>
        <w:t>. Το δημοσιονομικό έλλειμμα προβλέπεται να μειωθεί σε 4,4 % του ΑΕΠ το 2024, πριν αυξηθεί ελαφρά στο 4,7 % του ΑΕΠ το 2025. Αφού αυξήθηκαν σε 2,9 % του ΑΕΠ το 2021, οι δημόσιες επενδύσεις μειώθηκαν οριακά σε 2,7 % του ΑΕΠ το 2022, πριν αυξηθούν στο 3,2 % το 2023 ενώ προβλέπεται να διατηρηθούν στα ίδια επίπεδα και το 2024. Το 2025 αναμένεται να ανέλθουν στο 3,5 % του ΑΕΠ.</w:t>
      </w:r>
    </w:p>
    <w:p w14:paraId="5B1CAACA" w14:textId="6F1937F1" w:rsidR="005F789F" w:rsidRDefault="00D20F76" w:rsidP="007230A0">
      <w:pPr>
        <w:pStyle w:val="Text1"/>
        <w:ind w:left="0"/>
        <w:rPr>
          <w:rFonts w:eastAsia="Calibri"/>
          <w:noProof/>
        </w:rPr>
      </w:pPr>
      <w:r>
        <w:rPr>
          <w:noProof/>
        </w:rPr>
        <w:t xml:space="preserve">Το 2023, σύμφωνα με τις εκτιμήσεις της Επιτροπής, ο δημοσιονομικός προσανατολισμός ήταν ελαφρά επεκτατικός, κατά 0,3 %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συσταλτική συμβολή ύψους 1,0 % του ΑΕΠ στον δημοσιονομικό προσανατολισμό και ήταν σύμφωνη με τη σύσταση του Συμβουλίου. </w:t>
      </w:r>
      <w:r>
        <w:rPr>
          <w:noProof/>
          <w:color w:val="000000" w:themeColor="text1"/>
        </w:rPr>
        <w:t xml:space="preserve">Η συσταλτική συμβολή των εθνικά χρηματοδοτούμενων πρωτογενών τρεχουσών δαπανών οφειλόταν στο μειωμένο κόστος των (στοχευμένων και μη στοχευμένων) μέτρων στήριξης έκτακτης ανάγκης προς τα νοικοκυριά και τις επιχειρήσεις για την αντιμετώπιση των αυξήσεων των τιμών της ενέργειας (κατά 1,4 εκατοστιαίες μονάδες του ΑΕΠ). Οι συντάξεις και οι περικοπές του μη μισθολογικού κόστους εργασίας ήταν οι κύριοι παράγοντες αύξησης των εθνικά χρηματοδοτούμενων πρωτογενών τρεχουσών δαπανών (εκτός των μέτρων διακριτικής ευχέρειας στο σκέλος των εσόδων). </w:t>
      </w:r>
      <w:r>
        <w:rPr>
          <w:noProof/>
        </w:rPr>
        <w:t xml:space="preserve">Οι δαπάνες που χρηματοδοτήθηκαν από επιχορηγήσεις του μηχανισμού ανάκαμψης και ανθεκτικότητας και από άλλα ταμεία της ΕΕ ανήλθαν στο 0,8 % του ΑΕΠ το 2023. Οι εθνικά χρηματοδοτούμενες επενδύσεις ανήλθαν στο 2,9 % του ΑΕΠ το 2023, ποσοστό που συνιστά αύξηση κατά 0,3 εκατοστιαίες μονάδες σε σύγκριση με το 2022. Η Ιταλία χρηματοδότησε πρόσθετες επενδύσεις μέσω του μηχανισμού ανάκαμψης και ανθεκτικότητας και άλλων ταμείων της ΕΕ, συμπεριλαμβανομένων των δημόσιων επενδύσεων για την πράσινη και την ψηφιακή μετάβαση και για την ενεργειακή ασφάλεια, όπως η ενίσχυση των έξυπνων δικτύων, η κατασκευή της «Τυρρηνικής σύνδεσης», η ανάπτυξη συστημάτων ταχείας μαζικής μεταφοράς, η παραγωγή υδρογόνου σε εγκαταλελειμμένες εγκαταστάσεις, οι ταχείες διαδικτυακές συνδέσεις και η ψηφιοποίηση της δημόσιας διοίκησης, οι οποίες χρηματοδοτούνται εν μέρει από τον μηχανισμό ανάκαμψης και ανθεκτικότητας και άλλα ταμεία της ΕΕ. </w:t>
      </w:r>
    </w:p>
    <w:p w14:paraId="782E04C3" w14:textId="2300BB18" w:rsidR="008604BE" w:rsidRDefault="00607B87" w:rsidP="007230A0">
      <w:pPr>
        <w:pStyle w:val="Text1"/>
        <w:ind w:left="0"/>
        <w:rPr>
          <w:rFonts w:eastAsia="Calibri"/>
          <w:noProof/>
        </w:rPr>
      </w:pPr>
      <w:r>
        <w:rPr>
          <w:noProof/>
        </w:rPr>
        <w:t>Με βάση τις εκτιμήσεις της Επιτροπής, ο δημοσιονομικός προσανατολισμός προβλέπεται να είναι συσταλτικός στο 3,1 % του ΑΕΠ το 2024. Σύμφωνα με τις εαρινές προβλέψεις 2024 της Επιτροπής, οι καθαρές εθνικά χρηματοδοτούμενες πρωτογενείς δαπάνες της Ιταλίας προβλέπεται να μειωθούν κατά 2,8 % το 2024, ποσοστό που είναι χαμηλότερο από τον συνιστώμενο μέγιστο ρυθμό αύξησης. Ωστόσο, οι καθαρές δαπάνες το 2023 ήταν υψηλότερες από τις αναμενόμενες κατά τον χρόνο έκδοσης της σύστασης (κατά 2,9 % του ΑΕΠ). Ως εκ τούτου, δεδομένου ότι η σύσταση για το 2024 διατυπώθηκε με όρους ρυθμού αύξησης, η αξιολόγηση της συμμόρφωσης πρέπει επίσης να λάβει υπόψη το αποτέλεσμα βάσης από το 2023. Εάν οι καθαρές δαπάνες το 2023 ήταν οι ίδιες με τις αναμενόμενες κατά τον χρόνο έκδοσης της σύστασης, ο προκύπτων ρυθμός αύξησης των καθαρών δαπανών το 2024 θα υπερέβαινε τον συνιστώμενο ρυθμό αύξησης κατά 0,9 % του ΑΕΠ.</w:t>
      </w:r>
      <w:bookmarkStart w:id="17" w:name="_Hlk150420772"/>
      <w:r>
        <w:rPr>
          <w:noProof/>
        </w:rPr>
        <w:t xml:space="preserve"> </w:t>
      </w:r>
      <w:bookmarkStart w:id="18" w:name="_Hlk150421214"/>
      <w:bookmarkEnd w:id="17"/>
      <w:r>
        <w:rPr>
          <w:noProof/>
        </w:rPr>
        <w:t>Κατά συνέπεια, εκτιμάται ότι υπάρχει κίνδυνος οι καθαρές εθνικά χρηματοδοτούμενες πρωτογενείς δαπάνες να μη συνάδουν πλήρως με τη σύσταση.</w:t>
      </w:r>
      <w:bookmarkEnd w:id="18"/>
      <w:r>
        <w:rPr>
          <w:noProof/>
        </w:rPr>
        <w:t xml:space="preserve"> Σύμφωνα με τις εαρινές προβλέψεις 2024 της Επιτροπής, το καθαρό δημοσιονομικό κόστος των μέτρων στήριξης στον τομέα της ενέργειας εκτιμάται σε 1,0 % του ΑΕΠ το 2023 και προβλέπεται να ανέλθει σε 0,0 % το 2024.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1,0 % του ΑΕΠ το 2024, έναντι συσταλτικής συμβολής των καθαρών εθνικά χρηματοδοτούμενων πρωτογενών δαπανών στον δημοσιονομικό προσανατολισμό ύψους 2,7 % του ΑΕΠ κατά το εν λόγω έτος. Ωστόσο, αυτή η συσταλτική συμβολή οφείλεται στη συσταλτική συμβολή άλλων κεφαλαιουχικών δαπανών ύψους 3,2 % του ΑΕΠ, η οποία συνδέεται κυρίως με την προαναφερθείσα απότομη μείωση των επιδοτήσεων που σχετίζονται με πιστώσεις φόρου για την ανακαίνιση κατοικιών το 2024. Ταυτόχρονα, η συμβολή των καθαρών εθνικά χρηματοδοτούμενων τρεχουσών πρωτογενών δαπανών στον δημοσιονομικό προσανατολισμό, η οποία επηρεάζεται από τη σταδιακή κατάργηση των υφιστάμενων μέτρων στήριξης στον τομέα της ενέργειας, προβλέπεται να είναι επεκτατική κατά 0,4 % του ΑΕΠ, γεγονός που υποδηλώνει ότι τα κονδύλια ύψους 0,8 % του ΑΕΠ τα οποία θα εξοικονομηθούν από τα υφιστάμενα μέτρα στήριξης στον τομέα της ενέργειας θα χρησιμοποιηθούν πλήρως για επεκτατικές πολιτικές που αυξάνουν τις καθαρές τρέχουσες δαπάνες το 2024, συμπεριλαμβανομένων των περικοπών του μη μισθολογικού κόστους εργασίας. Τα μέτρα στήριξης έκτακτης ανάγκης στον τομέα της ενέργειας προβλέπεται να καταργηθούν σταδιακά το συντομότερο δυνατόν το 2023 και το 2024. Αυτό συνάδει με τη σύσταση του Συμβουλίου. Ωστόσο, τα σχετικά κονδύλια που θα εξοικονομηθούν δεν προβλέπεται να χρησιμοποιηθούν πλήρως για τη μείωση του δημόσιου ελλείμματος. Αυτό ενδέχεται να μη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διαμορφωθούν στο 2,8 % του ΑΕΠ το 2024 από 2,9 % του ΑΕΠ το 2023</w:t>
      </w:r>
      <w:r>
        <w:rPr>
          <w:rStyle w:val="FootnoteReference"/>
          <w:rFonts w:eastAsia="Calibri"/>
          <w:noProof/>
          <w:sz w:val="24"/>
          <w:szCs w:val="24"/>
        </w:rPr>
        <w:footnoteReference w:id="44"/>
      </w:r>
      <w:r>
        <w:rPr>
          <w:noProof/>
        </w:rPr>
        <w:t>. Αυτό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μειωθούν στο 0,8 % του ΑΕΠ το 2024 (από 1,2 % του ΑΕΠ το 2023), κυρίως σε σχέση με το ReactEU.</w:t>
      </w:r>
    </w:p>
    <w:p w14:paraId="5ABCF5A9" w14:textId="3290CDA5" w:rsidR="007230A0" w:rsidRPr="00EE10D1" w:rsidRDefault="00F41FE0" w:rsidP="007230A0">
      <w:pPr>
        <w:pStyle w:val="Text1"/>
        <w:ind w:left="0"/>
        <w:rPr>
          <w:noProof/>
        </w:rPr>
      </w:pPr>
      <w:r>
        <w:rPr>
          <w:b/>
          <w:noProof/>
        </w:rPr>
        <w:t>Προκλήσεις όσον αφορά το χρέος και μεσοπρόθεσμη θέση του χρέους</w:t>
      </w:r>
      <w:r>
        <w:rPr>
          <w:noProof/>
        </w:rPr>
        <w:t xml:space="preserve"> Το δημόσιο χρέος μειώθηκε από 155,0 % του ΑΕΠ στα τέλη του 2020 σε 147,1 % στα τέλη του 2021, 140,5 % το 2022 και σε 137,3 % το 2023. Στη συνέχεια, προβλέπεται ότι θα αυξηθεί στο 138,6 % και 141,7 % του ΑΕΠ στα τέλη του 2024 και του 2025, αντίστοιχα.</w:t>
      </w:r>
    </w:p>
    <w:p w14:paraId="1026FD3F" w14:textId="5DD6A9DA" w:rsidR="00EE532A" w:rsidRDefault="007230A0" w:rsidP="00EE532A">
      <w:pPr>
        <w:pStyle w:val="Text1"/>
        <w:ind w:left="0"/>
        <w:rPr>
          <w:noProof/>
        </w:rPr>
      </w:pPr>
      <w:r>
        <w:rPr>
          <w:noProof/>
        </w:rPr>
        <w:t xml:space="preserve">Συνολικά, η ανάλυση της βιωσιμότητας του χρέους καταδεικνύει υψηλούς κινδύνους μεσοπρόθεσμα. Σύμφωνα με τις βασικές προβολές δεκαετίας, ο δείκτης χρέους της γενικής κυβέρνησης θα αυξάνεται συνεχώς φθάνοντας γύρω στο 168 % του ΑΕΠ το 2034. Η πορεία του χρέους είναι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μεγάλη πιθανότητα ο δείκτης χρέους να είναι υψηλότερος το 2028 από ό,τι το 2023.  </w:t>
      </w:r>
    </w:p>
    <w:p w14:paraId="2E6673E2" w14:textId="681B3BB7" w:rsidR="007230A0" w:rsidRDefault="007230A0" w:rsidP="007230A0">
      <w:pPr>
        <w:pStyle w:val="Text1"/>
        <w:ind w:left="0"/>
        <w:rPr>
          <w:noProof/>
        </w:rPr>
      </w:pPr>
      <w:r>
        <w:rPr>
          <w:noProof/>
        </w:rPr>
        <w:t xml:space="preserve">Άλλοι παράγοντες πρέπει να ληφθούν υπόψη για μια συνολική αξιολόγηση της βιωσιμότητας του χρέους. Αφενός, οι παράγοντες αύξησης του κινδύνου συνδέονται με το μερίδιο του βραχυπρόθεσμου δημόσιου χρέους. Αφετέρου, οι παράγοντες μετριασμού του κινδύνου σχετίζονται με τη δομή του χρέους. Ειδικότερα, το μεγαλύτερο μερίδιο του δημόσιου χρέους εξακολουθεί να κατέχεται από εγχώριους δανειστές. Επιπλέον, το γεγονός ότι το δημόσιο χρέος εκφράζεται πλήρως σε ευρώ αποκλείει τους συναλλαγματικούς κινδύνους. Η θετική καθαρή διεθνής επενδυτική θέση της Ιταλίας μετριάζει περαιτέρω τους δημοσιονομικούς κινδύνους.  </w:t>
      </w:r>
    </w:p>
    <w:p w14:paraId="2B78671D" w14:textId="309912A9" w:rsidR="007230A0" w:rsidRPr="00B17344" w:rsidRDefault="007230A0" w:rsidP="007230A0">
      <w:pPr>
        <w:pStyle w:val="Text1"/>
        <w:ind w:left="0"/>
        <w:rPr>
          <w:noProof/>
        </w:rPr>
      </w:pPr>
      <w:r>
        <w:rPr>
          <w:noProof/>
        </w:rPr>
        <w:t xml:space="preserve">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Ιταλίας </w:t>
      </w:r>
      <w:r>
        <w:rPr>
          <w:rStyle w:val="normaltextrun"/>
          <w:noProof/>
          <w:color w:val="000000" w:themeColor="text1"/>
        </w:rPr>
        <w:t xml:space="preserve">βρίσκεται σε εξέλιξη, ωστόσο η έγκαιρη ολοκλήρωση απαιτεί αυξημένες προσπάθειες. </w:t>
      </w:r>
    </w:p>
    <w:p w14:paraId="1E12ED12" w14:textId="2A9E0D36" w:rsidR="006F0272" w:rsidRDefault="007230A0" w:rsidP="007230A0">
      <w:pPr>
        <w:pStyle w:val="Text1"/>
        <w:ind w:left="0"/>
        <w:rPr>
          <w:i/>
          <w:iCs/>
          <w:noProof/>
        </w:rPr>
      </w:pPr>
      <w:r>
        <w:rPr>
          <w:b/>
          <w:noProof/>
        </w:rPr>
        <w:t xml:space="preserve">Αξιολόγηση στο πλαίσιο της διαδικασίας μακροοικονομικών ανισορροπιών. </w:t>
      </w:r>
      <w:r>
        <w:rPr>
          <w:rStyle w:val="normaltextrun"/>
          <w:noProof/>
          <w:color w:val="000000"/>
          <w:shd w:val="clear" w:color="auto" w:fill="FFFFFF"/>
        </w:rPr>
        <w:t xml:space="preserve">Η Ιταλία αντιμετωπίζει μακροοικονομικές ανισορροπίες μετά τον εντοπισμό υπερβολικών ανισορροπιών το 2023. Ειδικότερα, η Ιταλία αντιμετωπίζει ευπάθειες που σχετίζονται με το </w:t>
      </w:r>
      <w:r>
        <w:rPr>
          <w:noProof/>
        </w:rPr>
        <w:t xml:space="preserve">υψηλό δημόσιο χρέος και τη χαμηλή αύξηση της παραγωγικότητας, σε ένα πλαίσιο εύθραυστης αγοράς εργασίας και ορισμένων εναπομενουσών αδυναμιών στον χρηματοπιστωτικό τομέα, οι οποίες </w:t>
      </w:r>
      <w:r>
        <w:rPr>
          <w:noProof/>
          <w:color w:val="000000" w:themeColor="text1"/>
        </w:rPr>
        <w:t>έχουν διασυνοριακό αντίκτυπο</w:t>
      </w:r>
      <w:r>
        <w:rPr>
          <w:noProof/>
        </w:rPr>
        <w:t>.</w:t>
      </w:r>
    </w:p>
    <w:p w14:paraId="5C7F9BDD" w14:textId="5A195717" w:rsidR="007230A0" w:rsidRPr="009B0868" w:rsidRDefault="007230A0" w:rsidP="007230A0">
      <w:pPr>
        <w:spacing w:before="120" w:after="120" w:line="240" w:lineRule="auto"/>
        <w:jc w:val="both"/>
        <w:rPr>
          <w:rFonts w:ascii="Times New Roman" w:hAnsi="Times New Roman" w:cs="Times New Roman"/>
          <w:noProof/>
          <w:sz w:val="24"/>
          <w:szCs w:val="24"/>
        </w:rPr>
      </w:pPr>
      <w:r>
        <w:rPr>
          <w:rStyle w:val="normaltextrun"/>
          <w:rFonts w:ascii="Times New Roman" w:hAnsi="Times New Roman"/>
          <w:b/>
          <w:noProof/>
          <w:color w:val="000000" w:themeColor="text1"/>
          <w:sz w:val="24"/>
        </w:rPr>
        <w:t xml:space="preserve">Εθνικό δημοσιονομικό πλαίσιο. </w:t>
      </w:r>
      <w:r>
        <w:rPr>
          <w:rFonts w:ascii="Times New Roman" w:hAnsi="Times New Roman"/>
          <w:noProof/>
          <w:sz w:val="24"/>
        </w:rPr>
        <w:t xml:space="preserve">Το ιταλικό κοινοβουλευτικό γραφείο προϋπολογισμού (PBO) έχει ευρεία εντολή και αποτελεί παράδειγμα ορθής πρακτικής μεταξύ των ανεξάρτητων δημοσιονομικών οργάνων της Ευρώπης. Το PBO βρίσκεται σε συνεχή διάλογο με την κυβέρνηση. Το Σύνταγμα και οι συνοδευτικοί νόμοι της Ιταλίας θέσπισαν τον κανόνα του ισοσκελισμένου προϋπολογισμού σε διαρθρωτικούς όρους και τον κανόνα για το χρέος της γενικής κυβέρνησης, τον κανόνα για τις δαπάνες που εφαρμόζεται στη γενική κυβέρνηση και τον κανόνα του ισοσκελισμένου προϋπολογισμού για τις περιφέρειες. Εφαρμόζεται επίσης μεσοπρόθεσμη δημοσιονομική στρατηγική στην οποία περιγράφονται οι δημοσιονομικοί στόχοι και οι μεσοπρόθεσμες προτεραιότητες της κυβέρνησης για διάστημα τριών ετών. Ταυτόχρονα, ο ετήσιος προϋπολογισμός ελάχιστα συνδέεται με το μεσοπρόθεσμο σχέδιο. Στο εθνικό της σχέδιο ανάκαμψης και ανθεκτικότητας, η Ιταλία δεσμεύτηκε να διενεργήσει ετήσια επανεξέταση των δαπανών κατά την περίοδο 2023-2025. </w:t>
      </w:r>
    </w:p>
    <w:p w14:paraId="268B5DD4" w14:textId="73D2CE9F" w:rsidR="007230A0" w:rsidRPr="00AA01CA" w:rsidRDefault="00436156" w:rsidP="007230A0">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1,3% του ΑΕΠ το 2022. Εξ αυτών, οι δημόσιες επενδύσεις στην άμυνα αντιπροσώπευαν το 0,3 % του ΑΕΠ το 2022, ποσοστό που δεν μεταβλήθηκε σε σχέση με το 2019.</w:t>
      </w:r>
    </w:p>
    <w:p w14:paraId="4B9B611C" w14:textId="7DB01CBC" w:rsidR="007230A0" w:rsidRPr="00B07439" w:rsidRDefault="007230A0" w:rsidP="007230A0">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Η ανάλυση που παρουσιάζεται στα προηγούμενα τμήματα καλύπτει ήδη τους σχετικούς παράγοντες που υπέβαλε η Ιταλία στις 17 Μαΐου 2024.</w:t>
      </w:r>
    </w:p>
    <w:p w14:paraId="22E959DF" w14:textId="77777777" w:rsidR="007230A0" w:rsidRPr="00E343AE" w:rsidRDefault="007230A0" w:rsidP="007230A0">
      <w:pPr>
        <w:spacing w:before="120" w:after="120" w:line="240" w:lineRule="auto"/>
        <w:jc w:val="both"/>
        <w:rPr>
          <w:rFonts w:ascii="Times New Roman" w:hAnsi="Times New Roman" w:cs="Times New Roman"/>
          <w:noProof/>
        </w:rPr>
      </w:pPr>
    </w:p>
    <w:p w14:paraId="6D298CA9" w14:textId="77777777" w:rsidR="007230A0" w:rsidRPr="00E343AE" w:rsidRDefault="007230A0" w:rsidP="00B53995">
      <w:pPr>
        <w:pStyle w:val="ManualHeading1"/>
        <w:keepNext/>
        <w:keepLines/>
        <w:spacing w:before="120"/>
        <w:rPr>
          <w:noProof/>
        </w:rPr>
      </w:pPr>
      <w:r>
        <w:rPr>
          <w:noProof/>
        </w:rPr>
        <w:t>Ουγγαρία</w:t>
      </w:r>
    </w:p>
    <w:p w14:paraId="6E0628A0" w14:textId="60656FFD" w:rsidR="007230A0" w:rsidRPr="00E343AE" w:rsidRDefault="007230A0" w:rsidP="007230A0">
      <w:pPr>
        <w:pStyle w:val="Text1"/>
        <w:keepNext/>
        <w:keepLines/>
        <w:ind w:left="0"/>
        <w:rPr>
          <w:noProof/>
        </w:rPr>
      </w:pPr>
      <w:r>
        <w:rPr>
          <w:b/>
          <w:noProof/>
        </w:rPr>
        <w:t>Μεσοπρόθεσμη μακροοικονομική κατάσταση.</w:t>
      </w:r>
      <w:r>
        <w:rPr>
          <w:noProof/>
        </w:rPr>
        <w:t xml:space="preserve"> Το πραγματικό ΑΕΠ μειώθηκε κατά 4,5 % το 2020. Μετά από αύξηση 7,1 % το 2021, το πραγματικό ΑΕΠ αυξήθηκε κατά 4,6 % το 2022 και κατόπιν συστάλθηκε κατά 0,9 % το 2023. Αναμένεται να αυξηθεί κατά 2,4 % το 2024 και κατά 3,5 % το 2025. Η ανάπτυξη το 2024 προβλέπεται να βασιστεί κυρίως στην ιδιωτική κατανάλωση και τις επενδύσεις.</w:t>
      </w:r>
    </w:p>
    <w:p w14:paraId="7D517E6D" w14:textId="77777777" w:rsidR="007230A0" w:rsidRDefault="007230A0" w:rsidP="007230A0">
      <w:pPr>
        <w:pStyle w:val="Text1"/>
        <w:keepNext/>
        <w:keepLines/>
        <w:ind w:left="0"/>
        <w:rPr>
          <w:noProof/>
          <w:color w:val="000000" w:themeColor="text1"/>
          <w:highlight w:val="lightGray"/>
          <w:u w:val="single"/>
        </w:rPr>
      </w:pPr>
      <w:r>
        <w:rPr>
          <w:b/>
          <w:noProof/>
        </w:rPr>
        <w:t>Μεσοπρόθεσμη δημοσιονομική θέση, περιλαμβανομένων των επενδύσεων.</w:t>
      </w:r>
      <w:r>
        <w:rPr>
          <w:noProof/>
        </w:rPr>
        <w:t xml:space="preserve"> Tο δημόσιο έλλειμμα βρίσκεται άνω του 3 % του ΑΕΠ από το 2020. μειώθηκε από 7,2 % το 2021 σε 6,2 % του ΑΕΠ το 2022, πριν αυξηθεί ξανά στο 6,7 % του ΑΕΠ το 2023. Προβλέπεται ότι θα ανέλθει σε 5,4 % και 4,5 % του ΑΕΠ το 2024 και το 2025, αντίστοιχα. Αφού αυξήθηκαν στο 6,3 % του ΑΕΠ το 2021, οι δημόσιες επενδύσεις μειώθηκαν στο 5,4 % του ΑΕΠ το 2022 και στο 5,1 % το 2023. Προβλέπεται να διαμορφωθούν στο 4,6 % του ΑΕΠ το 2024 και 4,7 % το 2025, δηλαδή θα είναι μεγαλύτερες από το έλλειμμα της γενικής κυβέρνησης το 2025. </w:t>
      </w:r>
    </w:p>
    <w:p w14:paraId="6F9B9EB4" w14:textId="57813A6E" w:rsidR="004738AC" w:rsidRDefault="00616B29" w:rsidP="007230A0">
      <w:pPr>
        <w:pStyle w:val="Text1"/>
        <w:ind w:left="0"/>
        <w:rPr>
          <w:rFonts w:eastAsia="Calibri"/>
          <w:noProof/>
        </w:rPr>
      </w:pPr>
      <w:r>
        <w:rPr>
          <w:noProof/>
        </w:rPr>
        <w:t xml:space="preserve"> Το 2023, σύμφωνα με τις εκτιμήσεις της Επιτροπής, ο δημοσιονομικός προσανατολισμός ήταν συσταλτικός, κατά 4,7 % του ΑΕΠ, σε περιβάλλον υψηλού πληθωρισμού. Το 2023 η αύξηση των εθνικά χρηματοδοτούμενων πρωτογενών τρεχουσών δαπανών (εκτός των μέτρων διακριτικής ευχέρειας στο σκέλος των εσόδων) είχε συσταλτική συμβολή ύψους 1,7 % του ΑΕΠ στον δημοσιονομικό προσανατολισμό. Η αύξηση των εθνικά χρηματοδοτούμενων πρωτογενών τρεχουσών δαπανών το 2023 ήταν σύμφωνη με τη σύσταση του Συμβουλίου. Ωστόσο, είναι σημαντικό να σημειωθεί ότι αυτό οφειλόταν σε μεγάλο βαθμό στο πολύ υψηλό επίπεδο των καθαρών δαπανών το 2022 σε σύγκριση με το 2023, μεταξύ των οποίων μη στοχευμένες δαπάνες σε διάφορους τομείς, γεγονός που συνέβαλε σε μακροοικονομικές ανισορροπίες, οι οποίες χρηματοδοτήθηκαν από φόρους επί απροσδόκητων κερδών και τομεακούς φόρους που επιβάλλονται σε εταιρείες κυρίως στον τομέα της ενέργειας, στον χρηματοπιστωτικό τομέα και στον τομέα του λιανικού εμπορίου. Οι εθνικά χρηματοδοτούμενες επενδύσεις ανήλθαν στο 4,6 % του ΑΕΠ το 2023, ποσοστό που συνιστά αύξηση κατά 0,2 εκατοστιαίες μονάδες σε σύγκριση με το 2022. Η Ουγγαρία χρηματοδότησε δημόσιες επενδύσεις για την πράσινη και την ψηφιακή μετάβαση και για την ενεργειακή ασφάλεια, όπως βελτιώσεις της ενεργειακής απόδοσης και ψηφιοποίηση στους τομείς της υγειονομικής περίθαλψης και της εκπαίδευσης. Η Ουγγαρία δεν έχει ακόμη υποβάλει αίτηση πληρωμής στο πλαίσιο του μηχανισμού ανάκαμψης και ανθεκτικότητας.</w:t>
      </w:r>
    </w:p>
    <w:p w14:paraId="6E2416C6" w14:textId="74D55E24" w:rsidR="008604BE" w:rsidRDefault="00EE2F2A" w:rsidP="007230A0">
      <w:pPr>
        <w:pStyle w:val="Text1"/>
        <w:ind w:left="0"/>
        <w:rPr>
          <w:noProof/>
        </w:rPr>
      </w:pPr>
      <w:r>
        <w:rPr>
          <w:noProof/>
          <w:color w:val="000000"/>
        </w:rPr>
        <w:t xml:space="preserve">Με βάση τις εκτιμήσεις της Επιτροπής, ο δημοσιονομικός προσανατολισμός προβλέπεται να είναι συσταλτικός κατά </w:t>
      </w:r>
      <w:r>
        <w:rPr>
          <w:noProof/>
          <w:color w:val="000000" w:themeColor="text1"/>
        </w:rPr>
        <w:t>1,0 </w:t>
      </w:r>
      <w:r>
        <w:rPr>
          <w:noProof/>
          <w:color w:val="000000"/>
        </w:rPr>
        <w:t xml:space="preserve">% του ΑΕΠ το 2024. </w:t>
      </w:r>
      <w:r>
        <w:rPr>
          <w:noProof/>
        </w:rPr>
        <w:t>Σύμφωνα με τις εαρινές προβλέψεις 2024 της Επιτροπής, οι καθαρές εθνικά χρηματοδοτούμενες πρωτογενείς δαπάνες της Ουγγαρίας προβλέπεται να αυξηθούν κατά 3,6 % το 2024, ποσοστό που είναι χαμηλότερο από τον συνιστώμενο μέγιστο ρυθμό αύξησης. Ωστόσο, οι καθαρές δαπάνες το 2023 ήταν υψηλότερες από τις αναμενόμενες κατά τον χρόνο έκδοσης της σύστασης (κατά 1,8 % του ΑΕΠ). Ως εκ τούτου, δεδομένου ότι η σύσταση για το 2024 διατυπώθηκε με όρους ρυθμού αύξησης, η αξιολόγηση της συμμόρφωσης πρέπει επίσης να λάβει υπόψη το αποτέλεσμα βάσης από το 2023. Εάν οι καθαρές δαπάνες το 2023 ήταν οι ίδιες με τις αναμενόμενες κατά τον χρόνο έκδοσης της σύστασης, ο προκύπτων ρυθμός αύξησης των καθαρών δαπανών το 2024 θα υπερέβαινε τον συνιστώμενο ρυθμό αύξησης κατά 1,5 % του ΑΕΠ. Κατά συνέπεια, εκτιμάται ότι οι καθαρές εθνικά χρηματοδοτούμενες πρωτογενείς δαπάνες ενδέχεται να μη συνάδουν πλήρως με τη σύσταση. Σύμφωνα με τις εαρινές προβλέψεις 2024 της Επιτροπής, το καθαρό δημοσιονομικό κόστος των μέτρων στήριξης στον τομέα της ενέργειας εκτιμάται σε 1,6 % του ΑΕΠ το 2023 και προβλέπεται να διαμορφωθεί σε 0,9 % το 2024 και σε 0,4 % το 2025. Εάν τα σχετικά κονδύλια που θα εξοικονομηθούν χρησιμοποιηθούν για τη μείωση του δημόσιου ελλείμματος, όπως συνέστησε το Συμβούλιο, οι προβολές αυτές θα συνεπάγονται δημοσιονομική προσαρμογή ύψους 0,6 % του ΑΕΠ το 2024, έναντι συσταλτικής συμβολής των καθαρών εθνικά χρηματοδοτούμενων πρωτογενών δαπανών στον δημοσιονομικό προσανατολισμό ύψους 1,9 % του ΑΕΠ κατά το εν λόγω έτος. Τα μέτρα στήριξης έκτακτης ανάγκης στον τομέα της ενέργειας δεν προβλέπεται να καταργηθούν σταδιακά το συντομότερο δυνατόν το 2023 και το 2024. Αυτό ενδέχεται να μη συνάδει με τη σύσταση του Συμβουλίου. Ωστόσο, τα σχετικά κονδύλια που θα εξοικονομηθούν προβλέπεται να χρησιμοποιηθούν πλήρως για τη μείωση του δημόσιου ελλείμματος. Αυτό συνάδει με τη σύσταση του Συμβουλίου. Σύμφωνα με τις εαρινές προβλέψεις 2024 της Επιτροπής, οι εθνικά χρηματοδοτούμενες δημόσιες επενδύσεις προβλέπεται να μειωθούν στο 4,0 % του ΑΕΠ το 2024 (από 4,6 % του ΑΕΠ το 2023). Αυτό οφείλεται σε μεγάλο βαθμό στις περικοπές και τις αναβολές των εθνικά χρηματοδοτούμενων επενδυτικών έργων που ανακοίνωσαν οι αρχές λόγω των υψηλών προβλεπόμενων ελλειμμάτων. Αυτό ενδέχεται να μη συνάδει με τη σύσταση του Συμβουλίου. Αντίστοιχα, οι δημόσιες δαπάνες που χρηματοδοτούνται με έσοδα από ταμεία της ΕΕ, συμπεριλαμβανομένων των επιχορηγήσεων του μηχανισμού ανάκαμψης και ανθεκτικότητας, αναμένεται να αυξηθούν στο 1,7 % του ΑΕΠ το 2024 από 0,8 % του ΑΕΠ το 2023. Η αύξηση αυτή οφείλεται στην προβλεπόμενη επιτάχυνση της απορρόφησης της χρηματοδότησης της πολιτικής συνοχής της ΕΕ από την περίοδο προγραμματισμού 2020-2027 και στις υψηλότερες δαπάνες για επενδύσεις που στηρίζονται από τον μηχανισμό ανάκαμψης και ανθεκτικότητας.</w:t>
      </w:r>
    </w:p>
    <w:p w14:paraId="149B6676" w14:textId="2EB84461" w:rsidR="007230A0" w:rsidRDefault="00F41FE0" w:rsidP="007230A0">
      <w:pPr>
        <w:pStyle w:val="Text1"/>
        <w:ind w:left="0"/>
        <w:rPr>
          <w:noProof/>
        </w:rPr>
      </w:pPr>
      <w:r>
        <w:rPr>
          <w:b/>
          <w:noProof/>
        </w:rPr>
        <w:t>Προκλήσεις όσον αφορά το χρέος και μεσοπρόθεσμη θέση του χρέους</w:t>
      </w:r>
      <w:r>
        <w:rPr>
          <w:noProof/>
        </w:rPr>
        <w:t xml:space="preserve"> Το δημόσιο χρέος μειώθηκε από 79,3 % του ΑΕΠ στα τέλη του 2020 σε 76,7 % στα τέλη του 2021 και σε 74,1 % στα τέλη του 2022, σημειώνοντας περαιτέρω μείωση σε 73,5 % το 2023. Στη συνέχεια, προβλέπεται ότι θα αυξηθεί σε 74,3 % το 2024, προτού μειωθεί σε 73,8 % στα τέλη του 2025.</w:t>
      </w:r>
    </w:p>
    <w:p w14:paraId="28B67C2F" w14:textId="77777777" w:rsidR="007230A0" w:rsidRDefault="007230A0" w:rsidP="007230A0">
      <w:pPr>
        <w:pStyle w:val="Text1"/>
        <w:ind w:left="0"/>
        <w:rPr>
          <w:noProof/>
        </w:rPr>
      </w:pPr>
      <w:r>
        <w:rPr>
          <w:noProof/>
        </w:rPr>
        <w:t xml:space="preserve">Συνολικά, η ανάλυση της βιωσιμότητας του χρέους καταδεικνύει μέτριους κινδύνους μεσοπρόθεσμα. Σύμφωνα με τις βασικές προβολές δεκαετίας, ο δείκτης χρέους της γενικής κυβέρνησης θα αυξηθεί έως περίπου το 78 % του ΑΕΠ το 2034. Η πορεία του χρέους είναι σχετικά ευαίσθητη στους μακροοικονομικούς κλυδωνισμούς. Σύμφωνα με τις στοχαστικές προβολές, οι οποίες προσομοιώνουν ένα ευρύ φάσμα πιθανών προσωρινών κλυδωνισμών στις μακροοικονομικές μεταβλητές, υπάρχει μέτρια πιθανότητα ο δείκτης χρέους να είναι υψηλότερος το 2028 από ό,τι το 2023.  </w:t>
      </w:r>
    </w:p>
    <w:p w14:paraId="7BC6DD34" w14:textId="77777777" w:rsidR="007230A0" w:rsidRDefault="007230A0" w:rsidP="007230A0">
      <w:pPr>
        <w:pStyle w:val="Text1"/>
        <w:ind w:left="0"/>
        <w:rPr>
          <w:noProof/>
        </w:rPr>
      </w:pPr>
      <w:r>
        <w:rPr>
          <w:noProof/>
        </w:rPr>
        <w:t>Άλλοι παράγοντες πρέπει να ληφθούν υπόψη για μια συνολική αξιολόγηση της βιωσιμότητας του χρέους. Αφενός, οι παράγοντες που αυξάνουν τον κίνδυνο συνδέονται με τη διάρθρωση του δημόσιου χρέους, ιδίως τα σημαντικότερα μερίδια τόσο του βραχυπρόθεσμου δημόσιου χρέους όσο και του δημόσιου χρέους σε ξένο νόμισμα. Οι κίνδυνοι ενδεχόμενων υποχρεώσεων που απορρέουν από τον τραπεζικό τομέα, καθώς και η αρνητική καθαρή διεθνής επενδυτική θέση της Ουγγαρίας, δημιουργούν πρόσθετους δημοσιονομικούς κινδύνους. Αφετέρου, στους παράγοντες μετριασμού του κινδύνου περιλαμβάνεται το υψηλό μερίδιο δημόσιου χρέους που κατέχουν εγχώριοι δανειστές.</w:t>
      </w:r>
    </w:p>
    <w:p w14:paraId="172114B2" w14:textId="299B14D9" w:rsidR="007230A0" w:rsidRDefault="007230A0" w:rsidP="007230A0">
      <w:pPr>
        <w:pStyle w:val="Text1"/>
        <w:ind w:left="0"/>
        <w:rPr>
          <w:noProof/>
        </w:rPr>
      </w:pPr>
      <w:r>
        <w:rPr>
          <w:noProof/>
        </w:rPr>
        <w:t>Επιπλέον, διαρθρωτικές μεταρρυθμίσεις και επενδύσεις στο πλαίσιο του NextGenerationEU (NGEU) / του μηχανισμού ανάκαμψης και ανθεκτικότητας (ΜΑΑ), αν εφαρμοστούν πλήρως, θα μπορούσαν να έχουν θετικό αντίκτυπο στην αύξηση του ΑΕΠ τα επόμενα έτη. Η υλοποίηση των μεταρρυθμίσεων και των επενδύσεων που περιλαμβάνονται στο σχέδιο ανάκαμψης και ανθεκτικότητας της Ουγγαρίας έχει καθυστερήσει σημαντικά λόγω σημαντικών προκλήσεων.</w:t>
      </w:r>
    </w:p>
    <w:p w14:paraId="6B23AD6E" w14:textId="778C659A" w:rsidR="007230A0" w:rsidRPr="005F7B9B" w:rsidRDefault="007230A0" w:rsidP="007230A0">
      <w:pPr>
        <w:pStyle w:val="Text1"/>
        <w:ind w:left="0"/>
        <w:rPr>
          <w:b/>
          <w:noProof/>
          <w:szCs w:val="20"/>
        </w:rPr>
      </w:pPr>
      <w:r>
        <w:rPr>
          <w:b/>
          <w:noProof/>
        </w:rPr>
        <w:t xml:space="preserve">Αξιολόγηση στο πλαίσιο της διαδικασίας μακροοικονομικών ανισορροπιών. </w:t>
      </w:r>
      <w:r>
        <w:rPr>
          <w:noProof/>
        </w:rPr>
        <w:t>Η Ουγγαρία</w:t>
      </w:r>
      <w:r>
        <w:rPr>
          <w:rStyle w:val="normaltextrun"/>
          <w:noProof/>
          <w:color w:val="000000"/>
          <w:shd w:val="clear" w:color="auto" w:fill="FFFFFF"/>
        </w:rPr>
        <w:t xml:space="preserve"> αντιμετωπίζει μακροοικονομικές ανισορροπίες. Ειδικότερα, η Ουγγαρία αντιμετωπίζει ευπάθειες που σχετίζονται με τις πιέσεις στις τιμές και εξωτερικές και κυβερνητικές χρηματοδοτικές ανάγκες, παρότι η βελτίωση του εξωτερικού περιβάλλοντος έχει μετριάσει ορισμένους βραχυπρόθεσμους κινδύνους. </w:t>
      </w:r>
    </w:p>
    <w:p w14:paraId="52C13AB6" w14:textId="3F145E30" w:rsidR="007230A0" w:rsidRDefault="007230A0" w:rsidP="007230A0">
      <w:pPr>
        <w:pStyle w:val="Text1"/>
        <w:ind w:left="0"/>
        <w:rPr>
          <w:noProof/>
        </w:rPr>
      </w:pPr>
      <w:r>
        <w:rPr>
          <w:rStyle w:val="normaltextrun"/>
          <w:b/>
          <w:noProof/>
          <w:color w:val="000000" w:themeColor="text1"/>
        </w:rPr>
        <w:t xml:space="preserve">Εθνικό δημοσιονομικό πλαίσιο. </w:t>
      </w:r>
      <w:r>
        <w:rPr>
          <w:noProof/>
        </w:rPr>
        <w:t xml:space="preserve">Το ανεξάρτητο δημοσιονομικό όργανο της Ουγγαρίας (το Δημοσιονομικό Συμβούλιο) είναι ένας σχετικά μικρός οργανισμός με μάλλον περιορισμένη εντολή. Επί του παρόντος, δεν συμμετέχει στην </w:t>
      </w:r>
      <w:r>
        <w:rPr>
          <w:rStyle w:val="normaltextrun"/>
          <w:noProof/>
          <w:color w:val="000000" w:themeColor="text1"/>
        </w:rPr>
        <w:t>κατάρτιση</w:t>
      </w:r>
      <w:r>
        <w:rPr>
          <w:rStyle w:val="normaltextrun"/>
          <w:b/>
          <w:noProof/>
          <w:color w:val="000000" w:themeColor="text1"/>
        </w:rPr>
        <w:t xml:space="preserve"> </w:t>
      </w:r>
      <w:r>
        <w:rPr>
          <w:noProof/>
        </w:rPr>
        <w:t xml:space="preserve">δημοσιονομικών προβλέψεων, στην κοστολόγηση των προγραμματισμένων μέτρων πολιτικής ή στις εκ των υστέρων αξιολογήσεις των μακροοικονομικών προβλέψεων. Η Ουγγαρία διαθέτει διάφορους εθνικούς δημοσιονομικούς κανόνες, έναν κανόνα που περιορίζει το δημόσιο χρέος και δύο κανόνες ισοσκελισμένου προϋπολογισμού. Ο κανόνας για τη μείωση του χρέους περιορίζει αποτελεσματικά τους ετήσιους προϋπολογισμούς, αλλά έχει ορισμένα φιλοκυκλικά χαρακτηριστικά, καθώς περιορίζει τις δαπάνες και επιτρέπει αυξήσεις της φορολογίας όταν η ανάπτυξη και ο πληθωρισμός είναι χαμηλότερα και αντιστρόφως. Ο κανόνας του πολυετούς ισοσκελισμένου προϋπολογισμού περιορίζει σε μικρότερο βαθμό τους ετήσιους εθνικούς προϋπολογισμούς, καθώς οι στόχοι για τα μεσοπρόθεσμα σχέδια μπορούν να αλλάξουν δύο φορές ετησίως για όλα τα έτη που καλύπτονται από τα σχέδια. Στο εθνικό της σχέδιο ανάκαμψης και ανθεκτικότητας, η Ουγγαρία δεσμεύτηκε να διενεργήσει επανεξέταση των δαπανών ως μέσο αύξησης της αποδοτικότητας των δημόσιων δαπανών και εξεύρεσης πρόσθετων δημοσιονομικών περιθωρίων για την αντιμετώπιση των νέων πιέσεων στο σκέλος των δαπανών. </w:t>
      </w:r>
    </w:p>
    <w:p w14:paraId="59F64BBB" w14:textId="6CAD76CF" w:rsidR="007230A0" w:rsidRPr="00AA01CA" w:rsidRDefault="00436156" w:rsidP="007230A0">
      <w:pPr>
        <w:pStyle w:val="Text1"/>
        <w:ind w:left="0"/>
        <w:rPr>
          <w:b/>
          <w:bCs/>
          <w:noProof/>
          <w:sz w:val="22"/>
          <w:szCs w:val="22"/>
        </w:rPr>
      </w:pPr>
      <w:r>
        <w:rPr>
          <w:b/>
          <w:noProof/>
        </w:rPr>
        <w:t>Αύξηση των δημόσιων επενδύσεων στην άμυνα.</w:t>
      </w:r>
      <w:r>
        <w:rPr>
          <w:b/>
          <w:noProof/>
          <w:sz w:val="22"/>
        </w:rPr>
        <w:t xml:space="preserve"> </w:t>
      </w:r>
      <w:r>
        <w:rPr>
          <w:noProof/>
        </w:rPr>
        <w:t>Με βάση τα στοιχεία COFOG που δημοσίευσε η Eurostat</w:t>
      </w:r>
      <w:r>
        <w:rPr>
          <w:noProof/>
          <w:sz w:val="22"/>
        </w:rPr>
        <w:t>,</w:t>
      </w:r>
      <w:r>
        <w:rPr>
          <w:b/>
          <w:noProof/>
          <w:sz w:val="22"/>
        </w:rPr>
        <w:t xml:space="preserve"> </w:t>
      </w:r>
      <w:r>
        <w:rPr>
          <w:noProof/>
        </w:rPr>
        <w:t>οι συνολικές δαπάνες γενικής κυβέρνησης για την άμυνα ανήλθαν στο 1,4% του ΑΕΠ το 2022. Εξ αυτών, οι δημόσιες επενδύσεις στην άμυνα αντιπροσώπευαν το 0,3 % του ΑΕΠ το 2022, ποσοστό κατά 0,1 εκατοστιαίες μονάδες υψηλότερο σε σχέση με το 2019. Σύμφωνα με τις προκαταρκτικές εκτιμήσεις της Ουγγαρίας, οι δαπάνες για την άμυνα αναμένεται να έχουν προσεγγίσει το 2 % του ΑΕΠ το 2023.</w:t>
      </w:r>
    </w:p>
    <w:p w14:paraId="19AF5A09" w14:textId="55082E9C" w:rsidR="00047428" w:rsidRPr="00FE43E6" w:rsidRDefault="007230A0" w:rsidP="00FE43E6">
      <w:pPr>
        <w:spacing w:before="120" w:after="120" w:line="240" w:lineRule="auto"/>
        <w:jc w:val="both"/>
        <w:rPr>
          <w:rFonts w:ascii="Times New Roman" w:eastAsia="Times New Roman" w:hAnsi="Times New Roman" w:cs="Times New Roman"/>
          <w:noProof/>
          <w:sz w:val="24"/>
          <w:szCs w:val="24"/>
        </w:rPr>
      </w:pPr>
      <w:r>
        <w:rPr>
          <w:rFonts w:ascii="Times New Roman" w:hAnsi="Times New Roman"/>
          <w:b/>
          <w:noProof/>
          <w:sz w:val="24"/>
        </w:rPr>
        <w:t>Άλλοι παράγοντες που υπέβαλε το κράτος μέλος.</w:t>
      </w:r>
      <w:r>
        <w:rPr>
          <w:rFonts w:ascii="Times New Roman" w:hAnsi="Times New Roman"/>
          <w:noProof/>
          <w:sz w:val="24"/>
        </w:rPr>
        <w:t xml:space="preserve"> Στις 17 Μαΐου 2024 η Ουγγαρία υπέβαλε έναν πρόσθετο σχετικό παράγοντα που δεν αναφέρθηκε ήδη ανωτέρω, και συγκεκριμένα το γεγονός ότι το πρωτογενές ισοζύγιο βελτιώθηκε σημαντικά το 2023, μεταξύ άλλων σε διαρθρωτικούς όρους.</w:t>
      </w:r>
    </w:p>
    <w:p w14:paraId="43F520F0" w14:textId="77777777" w:rsidR="00AA01CA" w:rsidRPr="00E343AE" w:rsidRDefault="00AA01CA">
      <w:pPr>
        <w:spacing w:before="120" w:after="120" w:line="240" w:lineRule="auto"/>
        <w:jc w:val="both"/>
        <w:rPr>
          <w:rFonts w:ascii="Times New Roman" w:hAnsi="Times New Roman" w:cs="Times New Roman"/>
          <w:noProof/>
          <w:sz w:val="24"/>
          <w:szCs w:val="24"/>
        </w:rPr>
      </w:pPr>
    </w:p>
    <w:p w14:paraId="79172DF3" w14:textId="278D863E" w:rsidR="00133894" w:rsidRPr="008E529E" w:rsidRDefault="43280AE5" w:rsidP="000F2AB6">
      <w:pPr>
        <w:pStyle w:val="ManualHeading1"/>
        <w:keepNext/>
        <w:numPr>
          <w:ilvl w:val="0"/>
          <w:numId w:val="32"/>
        </w:numPr>
        <w:spacing w:before="120"/>
        <w:ind w:left="851" w:hanging="851"/>
        <w:rPr>
          <w:noProof/>
        </w:rPr>
      </w:pPr>
      <w:r>
        <w:rPr>
          <w:noProof/>
        </w:rPr>
        <w:t>Συμπεράσματα</w:t>
      </w:r>
    </w:p>
    <w:p w14:paraId="16F4F03F" w14:textId="77777777" w:rsidR="00200CD8" w:rsidRDefault="00901CE2" w:rsidP="0041652A">
      <w:pPr>
        <w:autoSpaceDE w:val="0"/>
        <w:autoSpaceDN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Το δημόσιο έλλειμμα υπερέβη την τιμή αναφοράς του 3 % του ΑΕΠ το 2023 σε δέκα κράτη μέλη της ΕΕ:</w:t>
      </w:r>
      <w:r>
        <w:rPr>
          <w:rFonts w:ascii="Times New Roman" w:hAnsi="Times New Roman"/>
          <w:b/>
          <w:noProof/>
          <w:sz w:val="24"/>
        </w:rPr>
        <w:t xml:space="preserve"> Βέλγιο</w:t>
      </w:r>
      <w:r>
        <w:rPr>
          <w:rFonts w:ascii="Times New Roman" w:hAnsi="Times New Roman"/>
          <w:noProof/>
          <w:sz w:val="24"/>
        </w:rPr>
        <w:t xml:space="preserve">, </w:t>
      </w:r>
      <w:r>
        <w:rPr>
          <w:rFonts w:ascii="Times New Roman" w:hAnsi="Times New Roman"/>
          <w:b/>
          <w:noProof/>
          <w:sz w:val="24"/>
        </w:rPr>
        <w:t>Τσεχία</w:t>
      </w:r>
      <w:r>
        <w:rPr>
          <w:rFonts w:ascii="Times New Roman" w:hAnsi="Times New Roman"/>
          <w:noProof/>
          <w:sz w:val="24"/>
        </w:rPr>
        <w:t xml:space="preserve">, </w:t>
      </w:r>
      <w:r>
        <w:rPr>
          <w:rFonts w:ascii="Times New Roman" w:hAnsi="Times New Roman"/>
          <w:b/>
          <w:noProof/>
          <w:sz w:val="24"/>
        </w:rPr>
        <w:t>Εσθονία</w:t>
      </w:r>
      <w:r>
        <w:rPr>
          <w:rFonts w:ascii="Times New Roman" w:hAnsi="Times New Roman"/>
          <w:noProof/>
          <w:sz w:val="24"/>
        </w:rPr>
        <w:t xml:space="preserve">, </w:t>
      </w:r>
      <w:r>
        <w:rPr>
          <w:rFonts w:ascii="Times New Roman" w:hAnsi="Times New Roman"/>
          <w:b/>
          <w:noProof/>
          <w:sz w:val="24"/>
        </w:rPr>
        <w:t>Ισπανία</w:t>
      </w:r>
      <w:r>
        <w:rPr>
          <w:rFonts w:ascii="Times New Roman" w:hAnsi="Times New Roman"/>
          <w:noProof/>
          <w:sz w:val="24"/>
        </w:rPr>
        <w:t xml:space="preserve">, </w:t>
      </w:r>
      <w:r>
        <w:rPr>
          <w:rFonts w:ascii="Times New Roman" w:hAnsi="Times New Roman"/>
          <w:b/>
          <w:noProof/>
          <w:sz w:val="24"/>
        </w:rPr>
        <w:t>Γαλλία</w:t>
      </w:r>
      <w:r>
        <w:rPr>
          <w:rFonts w:ascii="Times New Roman" w:hAnsi="Times New Roman"/>
          <w:noProof/>
          <w:sz w:val="24"/>
        </w:rPr>
        <w:t xml:space="preserve">, </w:t>
      </w:r>
      <w:r>
        <w:rPr>
          <w:rFonts w:ascii="Times New Roman" w:hAnsi="Times New Roman"/>
          <w:b/>
          <w:noProof/>
          <w:sz w:val="24"/>
        </w:rPr>
        <w:t>Ιταλία</w:t>
      </w:r>
      <w:r>
        <w:rPr>
          <w:rFonts w:ascii="Times New Roman" w:hAnsi="Times New Roman"/>
          <w:noProof/>
          <w:sz w:val="24"/>
        </w:rPr>
        <w:t xml:space="preserve">, </w:t>
      </w:r>
      <w:r>
        <w:rPr>
          <w:rFonts w:ascii="Times New Roman" w:hAnsi="Times New Roman"/>
          <w:b/>
          <w:noProof/>
          <w:sz w:val="24"/>
        </w:rPr>
        <w:t>Ουγγαρία</w:t>
      </w:r>
      <w:r>
        <w:rPr>
          <w:rFonts w:ascii="Times New Roman" w:hAnsi="Times New Roman"/>
          <w:noProof/>
          <w:sz w:val="24"/>
        </w:rPr>
        <w:t xml:space="preserve">, </w:t>
      </w:r>
      <w:r>
        <w:rPr>
          <w:rFonts w:ascii="Times New Roman" w:hAnsi="Times New Roman"/>
          <w:b/>
          <w:noProof/>
          <w:sz w:val="24"/>
        </w:rPr>
        <w:t>Μάλτα</w:t>
      </w:r>
      <w:r>
        <w:rPr>
          <w:rFonts w:ascii="Times New Roman" w:hAnsi="Times New Roman"/>
          <w:noProof/>
          <w:sz w:val="24"/>
        </w:rPr>
        <w:t xml:space="preserve">, </w:t>
      </w:r>
      <w:r>
        <w:rPr>
          <w:rFonts w:ascii="Times New Roman" w:hAnsi="Times New Roman"/>
          <w:b/>
          <w:noProof/>
          <w:sz w:val="24"/>
        </w:rPr>
        <w:t>Πολωνία</w:t>
      </w:r>
      <w:r>
        <w:rPr>
          <w:rFonts w:ascii="Times New Roman" w:hAnsi="Times New Roman"/>
          <w:noProof/>
          <w:sz w:val="24"/>
        </w:rPr>
        <w:t xml:space="preserve"> και </w:t>
      </w:r>
      <w:r>
        <w:rPr>
          <w:rFonts w:ascii="Times New Roman" w:hAnsi="Times New Roman"/>
          <w:b/>
          <w:noProof/>
          <w:sz w:val="24"/>
        </w:rPr>
        <w:t>Σλοβακία</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Σε όλα αυτά τα κράτη μέλη, με εξαίρεση την Εσθονία, τα δημοσιονομικά ελλείμματα ήταν </w:t>
      </w:r>
      <w:r>
        <w:rPr>
          <w:rFonts w:ascii="Times New Roman" w:hAnsi="Times New Roman"/>
          <w:i/>
          <w:noProof/>
          <w:sz w:val="24"/>
          <w:u w:val="single"/>
        </w:rPr>
        <w:t>υψηλότερα και όχι πλησίον</w:t>
      </w:r>
      <w:r>
        <w:rPr>
          <w:rFonts w:ascii="Times New Roman" w:hAnsi="Times New Roman"/>
          <w:noProof/>
          <w:sz w:val="24"/>
        </w:rPr>
        <w:t xml:space="preserve"> της τιμής αναφοράς το 2023. </w:t>
      </w:r>
    </w:p>
    <w:p w14:paraId="1C3B5EBF" w14:textId="77777777" w:rsidR="004C0D55" w:rsidRDefault="0041652A" w:rsidP="0041652A">
      <w:pPr>
        <w:autoSpaceDE w:val="0"/>
        <w:autoSpaceDN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Για την </w:t>
      </w:r>
      <w:r>
        <w:rPr>
          <w:rFonts w:ascii="Times New Roman" w:hAnsi="Times New Roman"/>
          <w:b/>
          <w:noProof/>
          <w:sz w:val="24"/>
        </w:rPr>
        <w:t>Εσθονία</w:t>
      </w:r>
      <w:r>
        <w:rPr>
          <w:rFonts w:ascii="Times New Roman" w:hAnsi="Times New Roman"/>
          <w:noProof/>
          <w:sz w:val="24"/>
        </w:rPr>
        <w:t xml:space="preserve">, το έλλειμμα ήταν </w:t>
      </w:r>
      <w:r>
        <w:rPr>
          <w:rFonts w:ascii="Times New Roman" w:hAnsi="Times New Roman"/>
          <w:i/>
          <w:noProof/>
          <w:sz w:val="24"/>
          <w:u w:val="single"/>
        </w:rPr>
        <w:t>υψηλότερο αλλά πλησίον</w:t>
      </w:r>
      <w:r>
        <w:rPr>
          <w:rFonts w:ascii="Times New Roman" w:hAnsi="Times New Roman"/>
          <w:noProof/>
          <w:sz w:val="24"/>
        </w:rPr>
        <w:t xml:space="preserve"> της τιμής αναφοράς το 2023.</w:t>
      </w:r>
    </w:p>
    <w:p w14:paraId="1153561E" w14:textId="77777777" w:rsidR="003908B0" w:rsidRDefault="0041652A" w:rsidP="0041652A">
      <w:pPr>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Φινλανδία</w:t>
      </w:r>
      <w:r>
        <w:rPr>
          <w:rFonts w:ascii="Times New Roman" w:hAnsi="Times New Roman"/>
          <w:noProof/>
          <w:sz w:val="24"/>
        </w:rPr>
        <w:t xml:space="preserve"> είχε δημόσιο έλλειμμα που </w:t>
      </w:r>
      <w:r>
        <w:rPr>
          <w:rFonts w:ascii="Times New Roman" w:hAnsi="Times New Roman"/>
          <w:i/>
          <w:noProof/>
          <w:sz w:val="24"/>
          <w:u w:val="single"/>
        </w:rPr>
        <w:t>δεν υπερέβαινε</w:t>
      </w:r>
      <w:r>
        <w:rPr>
          <w:rFonts w:ascii="Times New Roman" w:hAnsi="Times New Roman"/>
          <w:noProof/>
          <w:sz w:val="24"/>
        </w:rPr>
        <w:t xml:space="preserve"> την τιμή αναφοράς το 2023, αλλά ανέφερε προβλεπόμενο έλλειμμα </w:t>
      </w:r>
      <w:r>
        <w:rPr>
          <w:rFonts w:ascii="Times New Roman" w:hAnsi="Times New Roman"/>
          <w:i/>
          <w:noProof/>
          <w:sz w:val="24"/>
          <w:u w:val="single"/>
        </w:rPr>
        <w:t>άνω αλλά πλησίον</w:t>
      </w:r>
      <w:r>
        <w:rPr>
          <w:rFonts w:ascii="Times New Roman" w:hAnsi="Times New Roman"/>
          <w:noProof/>
          <w:sz w:val="24"/>
        </w:rPr>
        <w:t xml:space="preserve"> του 3 % του ΑΕΠ το 2024· σύμφωνα με τις προβλέψεις της Επιτροπής, αναμένεται επίσης έλλειμμα υψηλότερο αλλά πλησίον του 3 % του ΑΕΠ για το 2024.</w:t>
      </w:r>
    </w:p>
    <w:p w14:paraId="571B7773" w14:textId="29E06D7D" w:rsidR="00EB2B95" w:rsidRDefault="00CC46F1" w:rsidP="0041652A">
      <w:pPr>
        <w:autoSpaceDE w:val="0"/>
        <w:autoSpaceDN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Σλοβενία</w:t>
      </w:r>
      <w:r>
        <w:rPr>
          <w:rFonts w:ascii="Times New Roman" w:hAnsi="Times New Roman"/>
          <w:noProof/>
          <w:sz w:val="24"/>
        </w:rPr>
        <w:t xml:space="preserve"> είχε δημοσιονομικό έλλειμμα που </w:t>
      </w:r>
      <w:r>
        <w:rPr>
          <w:rFonts w:ascii="Times New Roman" w:hAnsi="Times New Roman"/>
          <w:i/>
          <w:noProof/>
          <w:sz w:val="24"/>
          <w:u w:val="single"/>
        </w:rPr>
        <w:t>δεν υπερέβαινε</w:t>
      </w:r>
      <w:r>
        <w:rPr>
          <w:rFonts w:ascii="Times New Roman" w:hAnsi="Times New Roman"/>
          <w:noProof/>
          <w:sz w:val="24"/>
        </w:rPr>
        <w:t xml:space="preserve"> την τιμή αναφοράς της Συνθήκης το 2023, αλλά ανέφερε προβλεπόμενο έλλειμμα </w:t>
      </w:r>
      <w:r>
        <w:rPr>
          <w:rFonts w:ascii="Times New Roman" w:hAnsi="Times New Roman"/>
          <w:i/>
          <w:noProof/>
          <w:sz w:val="24"/>
          <w:u w:val="single"/>
        </w:rPr>
        <w:t>άνω και όχι πλησίον</w:t>
      </w:r>
      <w:r>
        <w:rPr>
          <w:rFonts w:ascii="Times New Roman" w:hAnsi="Times New Roman"/>
          <w:noProof/>
          <w:sz w:val="24"/>
        </w:rPr>
        <w:t xml:space="preserve"> του 3 % του ΑΕΠ το 2024· δεδομένου ότι στις εαρινές προβλέψεις 2024 της Επιτροπής προβλέπεται έλλειμμα κάτω του 3 % του ΑΕΠ το 2024, η σχεδιαζόμενη υπέρβαση της τιμής αναφοράς το 2024 κατά την έννοια του άρθρου 126 παράγραφος 3 της ΣΛΕΕ δεν επιβεβαιώνεται για τη Σλοβενία.  </w:t>
      </w:r>
    </w:p>
    <w:p w14:paraId="691DEC14" w14:textId="2B1B731A" w:rsidR="00B2708D" w:rsidRDefault="00B2708D" w:rsidP="0041652A">
      <w:pPr>
        <w:autoSpaceDE w:val="0"/>
        <w:autoSpaceDN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Σύμφωνα με τις προβλέψεις της Επιτροπής, τα δημοσιονομικά ελλείμματα στο Βέλγιο, την Εσθονία, τη Γαλλία, την Ιταλία, την Ουγγαρία, τη Μάλτα, την Πολωνία και τη Σλοβακία προβλέπεται να υπερβούν το 3 % του ΑΕΠ το 2025. Συνεπώς, τα ελλείμματα που υπερβαίνουν την τιμή αναφοράς εκτιμάται ότι </w:t>
      </w:r>
      <w:r>
        <w:rPr>
          <w:rFonts w:ascii="Times New Roman" w:hAnsi="Times New Roman"/>
          <w:i/>
          <w:noProof/>
          <w:sz w:val="24"/>
          <w:u w:val="single"/>
        </w:rPr>
        <w:t>δεν είναι προσωρινά</w:t>
      </w:r>
      <w:r>
        <w:rPr>
          <w:rFonts w:ascii="Times New Roman" w:hAnsi="Times New Roman"/>
          <w:i/>
          <w:noProof/>
          <w:sz w:val="24"/>
        </w:rPr>
        <w:t xml:space="preserve"> </w:t>
      </w:r>
      <w:r>
        <w:rPr>
          <w:rFonts w:ascii="Times New Roman" w:hAnsi="Times New Roman"/>
          <w:noProof/>
          <w:sz w:val="24"/>
        </w:rPr>
        <w:t>για το</w:t>
      </w:r>
      <w:r>
        <w:rPr>
          <w:rFonts w:ascii="Times New Roman" w:hAnsi="Times New Roman"/>
          <w:i/>
          <w:noProof/>
          <w:sz w:val="24"/>
          <w:u w:val="single"/>
        </w:rPr>
        <w:t xml:space="preserve"> </w:t>
      </w:r>
      <w:r>
        <w:rPr>
          <w:rFonts w:ascii="Times New Roman" w:hAnsi="Times New Roman"/>
          <w:b/>
          <w:noProof/>
          <w:sz w:val="24"/>
        </w:rPr>
        <w:t>Βέλγιο</w:t>
      </w:r>
      <w:r>
        <w:rPr>
          <w:rFonts w:ascii="Times New Roman" w:hAnsi="Times New Roman"/>
          <w:noProof/>
          <w:sz w:val="24"/>
        </w:rPr>
        <w:t xml:space="preserve">, την </w:t>
      </w:r>
      <w:r>
        <w:rPr>
          <w:rFonts w:ascii="Times New Roman" w:hAnsi="Times New Roman"/>
          <w:b/>
          <w:noProof/>
          <w:sz w:val="24"/>
        </w:rPr>
        <w:t>Εσθονία</w:t>
      </w:r>
      <w:r>
        <w:rPr>
          <w:rFonts w:ascii="Times New Roman" w:hAnsi="Times New Roman"/>
          <w:noProof/>
          <w:sz w:val="24"/>
        </w:rPr>
        <w:t xml:space="preserve">, τη </w:t>
      </w:r>
      <w:r>
        <w:rPr>
          <w:rFonts w:ascii="Times New Roman" w:hAnsi="Times New Roman"/>
          <w:b/>
          <w:noProof/>
          <w:sz w:val="24"/>
        </w:rPr>
        <w:t>Γαλλία</w:t>
      </w:r>
      <w:r>
        <w:rPr>
          <w:rFonts w:ascii="Times New Roman" w:hAnsi="Times New Roman"/>
          <w:noProof/>
          <w:sz w:val="24"/>
        </w:rPr>
        <w:t xml:space="preserve">, την </w:t>
      </w:r>
      <w:r>
        <w:rPr>
          <w:rFonts w:ascii="Times New Roman" w:hAnsi="Times New Roman"/>
          <w:b/>
          <w:noProof/>
          <w:sz w:val="24"/>
        </w:rPr>
        <w:t>Ιταλία</w:t>
      </w:r>
      <w:r>
        <w:rPr>
          <w:rFonts w:ascii="Times New Roman" w:hAnsi="Times New Roman"/>
          <w:noProof/>
          <w:sz w:val="24"/>
        </w:rPr>
        <w:t xml:space="preserve">, την </w:t>
      </w:r>
      <w:r>
        <w:rPr>
          <w:rFonts w:ascii="Times New Roman" w:hAnsi="Times New Roman"/>
          <w:b/>
          <w:noProof/>
          <w:sz w:val="24"/>
        </w:rPr>
        <w:t>Ουγγαρία</w:t>
      </w:r>
      <w:r>
        <w:rPr>
          <w:rFonts w:ascii="Times New Roman" w:hAnsi="Times New Roman"/>
          <w:noProof/>
          <w:sz w:val="24"/>
        </w:rPr>
        <w:t xml:space="preserve">, τη </w:t>
      </w:r>
      <w:r>
        <w:rPr>
          <w:rFonts w:ascii="Times New Roman" w:hAnsi="Times New Roman"/>
          <w:b/>
          <w:noProof/>
          <w:sz w:val="24"/>
        </w:rPr>
        <w:t>Μάλτα</w:t>
      </w:r>
      <w:r>
        <w:rPr>
          <w:rFonts w:ascii="Times New Roman" w:hAnsi="Times New Roman"/>
          <w:noProof/>
          <w:sz w:val="24"/>
        </w:rPr>
        <w:t xml:space="preserve">, την </w:t>
      </w:r>
      <w:r>
        <w:rPr>
          <w:rFonts w:ascii="Times New Roman" w:hAnsi="Times New Roman"/>
          <w:b/>
          <w:noProof/>
          <w:sz w:val="24"/>
        </w:rPr>
        <w:t>Πολωνία</w:t>
      </w:r>
      <w:r>
        <w:rPr>
          <w:rFonts w:ascii="Times New Roman" w:hAnsi="Times New Roman"/>
          <w:noProof/>
          <w:sz w:val="24"/>
        </w:rPr>
        <w:t xml:space="preserve"> και τη </w:t>
      </w:r>
      <w:r>
        <w:rPr>
          <w:rFonts w:ascii="Times New Roman" w:hAnsi="Times New Roman"/>
          <w:b/>
          <w:noProof/>
          <w:sz w:val="24"/>
        </w:rPr>
        <w:t>Σλοβακία</w:t>
      </w:r>
      <w:r>
        <w:rPr>
          <w:rFonts w:ascii="Times New Roman" w:hAnsi="Times New Roman"/>
          <w:noProof/>
          <w:sz w:val="24"/>
        </w:rPr>
        <w:t xml:space="preserve">. Αντιθέτως, τα δημοσιονομικά ελλείμματα στην </w:t>
      </w:r>
      <w:r>
        <w:rPr>
          <w:rFonts w:ascii="Times New Roman" w:hAnsi="Times New Roman"/>
          <w:b/>
          <w:noProof/>
          <w:sz w:val="24"/>
        </w:rPr>
        <w:t>Τσεχία</w:t>
      </w:r>
      <w:r>
        <w:rPr>
          <w:rFonts w:ascii="Times New Roman" w:hAnsi="Times New Roman"/>
          <w:noProof/>
          <w:sz w:val="24"/>
        </w:rPr>
        <w:t xml:space="preserve">, την </w:t>
      </w:r>
      <w:r>
        <w:rPr>
          <w:rFonts w:ascii="Times New Roman" w:hAnsi="Times New Roman"/>
          <w:b/>
          <w:noProof/>
          <w:sz w:val="24"/>
        </w:rPr>
        <w:t>Ισπανία</w:t>
      </w:r>
      <w:r>
        <w:rPr>
          <w:rFonts w:ascii="Times New Roman" w:hAnsi="Times New Roman"/>
          <w:noProof/>
          <w:sz w:val="24"/>
        </w:rPr>
        <w:t xml:space="preserve">, τη </w:t>
      </w:r>
      <w:r>
        <w:rPr>
          <w:rFonts w:ascii="Times New Roman" w:hAnsi="Times New Roman"/>
          <w:b/>
          <w:noProof/>
          <w:sz w:val="24"/>
        </w:rPr>
        <w:t>Σλοβενία</w:t>
      </w:r>
      <w:r>
        <w:rPr>
          <w:rFonts w:ascii="Times New Roman" w:hAnsi="Times New Roman"/>
          <w:noProof/>
          <w:sz w:val="24"/>
        </w:rPr>
        <w:t xml:space="preserve"> και τη </w:t>
      </w:r>
      <w:r>
        <w:rPr>
          <w:rFonts w:ascii="Times New Roman" w:hAnsi="Times New Roman"/>
          <w:b/>
          <w:noProof/>
          <w:sz w:val="24"/>
        </w:rPr>
        <w:t>Φινλανδία</w:t>
      </w:r>
      <w:r>
        <w:rPr>
          <w:rFonts w:ascii="Times New Roman" w:hAnsi="Times New Roman"/>
          <w:noProof/>
          <w:sz w:val="24"/>
        </w:rPr>
        <w:t xml:space="preserve"> προβλέπεται επί του παρόντος να μην υπερβούν την τιμή αναφοράς το 2025 και συνεπώς τα υπερβολικά ελλείμματα αξιολογούνται ως </w:t>
      </w:r>
      <w:r>
        <w:rPr>
          <w:rFonts w:ascii="Times New Roman" w:hAnsi="Times New Roman"/>
          <w:i/>
          <w:noProof/>
          <w:sz w:val="24"/>
          <w:u w:val="single"/>
        </w:rPr>
        <w:t>προσωρινά</w:t>
      </w:r>
      <w:r>
        <w:rPr>
          <w:rFonts w:ascii="Times New Roman" w:hAnsi="Times New Roman"/>
          <w:noProof/>
          <w:sz w:val="24"/>
        </w:rPr>
        <w:t>.</w:t>
      </w:r>
    </w:p>
    <w:p w14:paraId="4D35E79C" w14:textId="5615431A" w:rsidR="002A69CE" w:rsidRPr="00872DD0" w:rsidRDefault="00652F3F" w:rsidP="0041652A">
      <w:pPr>
        <w:autoSpaceDE w:val="0"/>
        <w:autoSpaceDN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Η υπέρβαση της τιμής αναφοράς εκτιμάται ως </w:t>
      </w:r>
      <w:r>
        <w:rPr>
          <w:rFonts w:ascii="Times New Roman" w:hAnsi="Times New Roman"/>
          <w:i/>
          <w:noProof/>
          <w:sz w:val="24"/>
          <w:u w:val="single"/>
        </w:rPr>
        <w:t>έκτακτη</w:t>
      </w:r>
      <w:r>
        <w:rPr>
          <w:rFonts w:ascii="Times New Roman" w:hAnsi="Times New Roman"/>
          <w:noProof/>
          <w:sz w:val="24"/>
        </w:rPr>
        <w:t xml:space="preserve"> για την </w:t>
      </w:r>
      <w:r>
        <w:rPr>
          <w:rFonts w:ascii="Times New Roman" w:hAnsi="Times New Roman"/>
          <w:b/>
          <w:noProof/>
          <w:sz w:val="24"/>
        </w:rPr>
        <w:t>Εσθονία</w:t>
      </w:r>
      <w:r>
        <w:rPr>
          <w:rFonts w:ascii="Times New Roman" w:hAnsi="Times New Roman"/>
          <w:noProof/>
          <w:sz w:val="24"/>
        </w:rPr>
        <w:t xml:space="preserve"> και </w:t>
      </w:r>
      <w:r>
        <w:rPr>
          <w:rFonts w:ascii="Times New Roman" w:hAnsi="Times New Roman"/>
          <w:i/>
          <w:noProof/>
          <w:sz w:val="24"/>
          <w:u w:val="single"/>
        </w:rPr>
        <w:t>όχι έκτακτη</w:t>
      </w:r>
      <w:r>
        <w:rPr>
          <w:rFonts w:ascii="Times New Roman" w:hAnsi="Times New Roman"/>
          <w:noProof/>
          <w:sz w:val="24"/>
        </w:rPr>
        <w:t xml:space="preserve"> για την </w:t>
      </w:r>
      <w:r>
        <w:rPr>
          <w:rFonts w:ascii="Times New Roman" w:hAnsi="Times New Roman"/>
          <w:b/>
          <w:noProof/>
          <w:sz w:val="24"/>
        </w:rPr>
        <w:t>Τσεχία, τη Μάλτα, την Πολωνία, τη Σλοβακία, το Βέλγιο, τη Γαλλία, την Ιταλία, την Ουγγαρία, την Ισπανία, τη Σλοβενία και τη Φινλανδία</w:t>
      </w:r>
      <w:r>
        <w:rPr>
          <w:rFonts w:ascii="Times New Roman" w:hAnsi="Times New Roman"/>
          <w:noProof/>
          <w:sz w:val="24"/>
        </w:rPr>
        <w:t>.</w:t>
      </w:r>
    </w:p>
    <w:p w14:paraId="53E4BDA2" w14:textId="7CC5DE9A" w:rsidR="00992165" w:rsidRDefault="00992165" w:rsidP="00992165">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Συνολικά, από την ανάλυση αυτή προκύπτει ότι το κριτήριο του ελλείμματος δεν πληρούται από δώδεκα κράτη μέλη πριν από την εξέταση των σχετικών παραγόντων: </w:t>
      </w:r>
      <w:r>
        <w:rPr>
          <w:rFonts w:ascii="Times New Roman" w:hAnsi="Times New Roman"/>
          <w:b/>
          <w:noProof/>
          <w:sz w:val="24"/>
        </w:rPr>
        <w:t>Βέλγιο, Τσεχία, Εσθονία, Ισπανία, Γαλλία, Ιταλία, Ουγγαρία, Μάλτα, Πολωνία, Σλοβενία,</w:t>
      </w:r>
      <w:r>
        <w:rPr>
          <w:rFonts w:ascii="Times New Roman" w:hAnsi="Times New Roman"/>
          <w:noProof/>
          <w:sz w:val="24"/>
        </w:rPr>
        <w:t xml:space="preserve"> </w:t>
      </w:r>
      <w:r>
        <w:rPr>
          <w:rFonts w:ascii="Times New Roman" w:hAnsi="Times New Roman"/>
          <w:b/>
          <w:noProof/>
          <w:sz w:val="24"/>
        </w:rPr>
        <w:t>Σλοβακία</w:t>
      </w:r>
      <w:r>
        <w:rPr>
          <w:rFonts w:ascii="Times New Roman" w:hAnsi="Times New Roman"/>
          <w:noProof/>
          <w:sz w:val="24"/>
        </w:rPr>
        <w:t xml:space="preserve"> και </w:t>
      </w:r>
      <w:r>
        <w:rPr>
          <w:rFonts w:ascii="Times New Roman" w:hAnsi="Times New Roman"/>
          <w:b/>
          <w:noProof/>
          <w:sz w:val="24"/>
        </w:rPr>
        <w:t>Φινλανδία</w:t>
      </w:r>
      <w:r>
        <w:rPr>
          <w:rFonts w:ascii="Times New Roman" w:hAnsi="Times New Roman"/>
          <w:noProof/>
          <w:sz w:val="24"/>
        </w:rPr>
        <w:t>.</w:t>
      </w:r>
    </w:p>
    <w:p w14:paraId="094BC007" w14:textId="48945440" w:rsidR="00992165" w:rsidRPr="00BA1EA5" w:rsidRDefault="00992165" w:rsidP="00992165">
      <w:pPr>
        <w:spacing w:before="120" w:after="120" w:line="240" w:lineRule="auto"/>
        <w:jc w:val="both"/>
        <w:rPr>
          <w:rFonts w:ascii="Times New Roman" w:eastAsia="Times New Roman" w:hAnsi="Times New Roman" w:cs="Times New Roman"/>
          <w:i/>
          <w:iCs/>
          <w:noProof/>
          <w:sz w:val="24"/>
          <w:szCs w:val="24"/>
        </w:rPr>
      </w:pPr>
      <w:r>
        <w:rPr>
          <w:rFonts w:ascii="Times New Roman" w:hAnsi="Times New Roman"/>
          <w:noProof/>
          <w:sz w:val="24"/>
        </w:rPr>
        <w:t>Οι σχετικοί παράγοντες μπορούν να ληφθούν υπόψη κατά τα στάδια πριν από τη λήψη της απόφασης σχετικά με την ύπαρξη υπερβολικού ελλείμματος για τα κράτη μέλη με δημόσιο χρέος κάτω του 60 % του ΑΕΠ (</w:t>
      </w:r>
      <w:r>
        <w:rPr>
          <w:rFonts w:ascii="Times New Roman" w:hAnsi="Times New Roman"/>
          <w:b/>
          <w:noProof/>
          <w:sz w:val="24"/>
        </w:rPr>
        <w:t>Τσεχία</w:t>
      </w:r>
      <w:r>
        <w:rPr>
          <w:rFonts w:ascii="Times New Roman" w:hAnsi="Times New Roman"/>
          <w:noProof/>
          <w:sz w:val="24"/>
        </w:rPr>
        <w:t xml:space="preserve">, </w:t>
      </w:r>
      <w:r>
        <w:rPr>
          <w:rFonts w:ascii="Times New Roman" w:hAnsi="Times New Roman"/>
          <w:b/>
          <w:noProof/>
          <w:sz w:val="24"/>
        </w:rPr>
        <w:t>Εσθονία</w:t>
      </w:r>
      <w:r>
        <w:rPr>
          <w:rFonts w:ascii="Times New Roman" w:hAnsi="Times New Roman"/>
          <w:noProof/>
          <w:sz w:val="24"/>
        </w:rPr>
        <w:t xml:space="preserve">, </w:t>
      </w:r>
      <w:r>
        <w:rPr>
          <w:rFonts w:ascii="Times New Roman" w:hAnsi="Times New Roman"/>
          <w:b/>
          <w:noProof/>
          <w:sz w:val="24"/>
        </w:rPr>
        <w:t>Μάλτα</w:t>
      </w:r>
      <w:r>
        <w:rPr>
          <w:rFonts w:ascii="Times New Roman" w:hAnsi="Times New Roman"/>
          <w:noProof/>
          <w:sz w:val="24"/>
        </w:rPr>
        <w:t xml:space="preserve">, </w:t>
      </w:r>
      <w:r>
        <w:rPr>
          <w:rFonts w:ascii="Times New Roman" w:hAnsi="Times New Roman"/>
          <w:b/>
          <w:noProof/>
          <w:sz w:val="24"/>
        </w:rPr>
        <w:t>Πολωνία</w:t>
      </w:r>
      <w:r>
        <w:rPr>
          <w:rFonts w:ascii="Times New Roman" w:hAnsi="Times New Roman"/>
          <w:noProof/>
          <w:sz w:val="24"/>
        </w:rPr>
        <w:t xml:space="preserve"> και </w:t>
      </w:r>
      <w:r>
        <w:rPr>
          <w:rFonts w:ascii="Times New Roman" w:hAnsi="Times New Roman"/>
          <w:b/>
          <w:noProof/>
          <w:sz w:val="24"/>
        </w:rPr>
        <w:t>Σλοβακία</w:t>
      </w:r>
      <w:r>
        <w:rPr>
          <w:rFonts w:ascii="Times New Roman" w:hAnsi="Times New Roman"/>
          <w:noProof/>
          <w:sz w:val="24"/>
        </w:rPr>
        <w:t>) και για τα κράτη μέλη με δημόσιο χρέος άνω του 60 % του ΑΕΠ, εάν το έλλειμμα παραμείνει κοντά στην τιμή αναφοράς και η υπέρβαση της τιμής αναφοράς είναι προσωρινή (</w:t>
      </w:r>
      <w:r>
        <w:rPr>
          <w:rFonts w:ascii="Times New Roman" w:hAnsi="Times New Roman"/>
          <w:b/>
          <w:noProof/>
          <w:sz w:val="24"/>
        </w:rPr>
        <w:t>Σλοβενία</w:t>
      </w:r>
      <w:r>
        <w:rPr>
          <w:rFonts w:ascii="Times New Roman" w:hAnsi="Times New Roman"/>
          <w:noProof/>
          <w:sz w:val="24"/>
        </w:rPr>
        <w:t xml:space="preserve"> και </w:t>
      </w:r>
      <w:r>
        <w:rPr>
          <w:rFonts w:ascii="Times New Roman" w:hAnsi="Times New Roman"/>
          <w:b/>
          <w:noProof/>
          <w:sz w:val="24"/>
        </w:rPr>
        <w:t>Φινλανδία</w:t>
      </w:r>
      <w:r>
        <w:rPr>
          <w:rFonts w:ascii="Times New Roman" w:hAnsi="Times New Roman"/>
          <w:noProof/>
          <w:sz w:val="24"/>
        </w:rPr>
        <w:t>). Μπορούν να επηρεάσουν την αξιολόγηση της συμμόρφωσης με το κριτήριο του ελλείμματος ως επιβαρυντικοί ή ελαφρυντικοί παράγοντες, στο πλαίσιο των οποίων οι σημαντικές προκλήσεις όσον αφορά το χρέος θεωρούνται βασικός επιβαρυντικός παράγοντας.</w:t>
      </w:r>
    </w:p>
    <w:p w14:paraId="25079099" w14:textId="71B335D5" w:rsidR="0020693C" w:rsidRDefault="00992165" w:rsidP="00992165">
      <w:p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noProof/>
          <w:sz w:val="24"/>
        </w:rPr>
        <w:t xml:space="preserve">Συνολικά, οι σχετικοί παράγοντες που εξετάζονται στην παρούσα έκθεση εκτιμάται ότι παρουσιάζουν ανάμεικτη εικόνα για τη Μάλτα, την Πολωνία και τη Φινλανδία. Εκτιμάται ότι, συνολικά, είναι ελαφρυντικοί για την Τσεχία, την Εσθονία και τη Σλοβενία και επιβαρυντικοί για τη Σλοβακία. </w:t>
      </w:r>
    </w:p>
    <w:p w14:paraId="3D595E86" w14:textId="43642A5E" w:rsidR="006653D7" w:rsidRDefault="006653D7" w:rsidP="00C051C8">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Για τη </w:t>
      </w:r>
      <w:r>
        <w:rPr>
          <w:rFonts w:ascii="Times New Roman" w:hAnsi="Times New Roman"/>
          <w:b/>
          <w:noProof/>
          <w:sz w:val="24"/>
        </w:rPr>
        <w:t>Σλοβενία</w:t>
      </w:r>
      <w:r>
        <w:rPr>
          <w:rFonts w:ascii="Times New Roman" w:hAnsi="Times New Roman"/>
          <w:noProof/>
          <w:sz w:val="24"/>
        </w:rPr>
        <w:t xml:space="preserve"> και τη </w:t>
      </w:r>
      <w:r>
        <w:rPr>
          <w:rFonts w:ascii="Times New Roman" w:hAnsi="Times New Roman"/>
          <w:b/>
          <w:noProof/>
          <w:sz w:val="24"/>
        </w:rPr>
        <w:t>Φινλανδία</w:t>
      </w:r>
      <w:r>
        <w:rPr>
          <w:rFonts w:ascii="Times New Roman" w:hAnsi="Times New Roman"/>
          <w:noProof/>
          <w:sz w:val="24"/>
        </w:rPr>
        <w:t>, δεδομένης της αβεβαιότητας που συνδέεται με τα προβλεπόμενα στοιχεία, καθώς και του γεγονότος ότι, σύμφωνα με τις εαρινές προβλέψεις 2024 της Επιτροπής, η σχεδιαζόμενη υπέρβαση της τιμής αναφοράς το 2024 δεν επιβεβαιώνεται για τη Σλοβενία, και το έλλειμμα προβλέπεται να παραμείνει κοντά στην τιμή αναφοράς το 2024 και να μειωθεί κάτω από αυτήν το 2025 για τη Φινλανδία, η Επιτροπή θα παρακολουθεί προσεκτικά τις δημοσιονομικές εξελίξεις και θα επαναξιολογήσει την κατάσταση το φθινόπωρο.</w:t>
      </w:r>
    </w:p>
    <w:p w14:paraId="2F8AB184" w14:textId="7264C952" w:rsidR="00FC0905" w:rsidRDefault="00F12C1B" w:rsidP="000F2AB6">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Για την </w:t>
      </w:r>
      <w:r>
        <w:rPr>
          <w:rFonts w:ascii="Times New Roman" w:hAnsi="Times New Roman"/>
          <w:b/>
          <w:noProof/>
          <w:sz w:val="24"/>
        </w:rPr>
        <w:t>Τσεχία και την Εσθονία</w:t>
      </w:r>
      <w:r>
        <w:rPr>
          <w:rFonts w:ascii="Times New Roman" w:hAnsi="Times New Roman"/>
          <w:noProof/>
          <w:sz w:val="24"/>
        </w:rPr>
        <w:t>, λαμβανομένων υπόψη των σχετικών παραγόντων που πρότειναν τα κράτη μέλη, το κριτήριο του ελλείμματος εκτιμάται ότι πληρούται.</w:t>
      </w:r>
    </w:p>
    <w:p w14:paraId="47BE6276" w14:textId="34F9482C" w:rsidR="00591FDA" w:rsidRDefault="00E03824" w:rsidP="00AE3D60">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Για την </w:t>
      </w:r>
      <w:r>
        <w:rPr>
          <w:rFonts w:ascii="Times New Roman" w:hAnsi="Times New Roman"/>
          <w:b/>
          <w:noProof/>
          <w:sz w:val="24"/>
        </w:rPr>
        <w:t>Ισπανία</w:t>
      </w:r>
      <w:r>
        <w:rPr>
          <w:rFonts w:ascii="Times New Roman" w:hAnsi="Times New Roman"/>
          <w:noProof/>
          <w:sz w:val="24"/>
        </w:rPr>
        <w:t>, το δημοσιονομικό έλλειμμα που υπερβαίνει την τιμή αναφοράς είναι προσωρινό. Με βάση τις εαρινές προβλέψεις 2024 της Επιτροπής, το έλλειμμα προβλέπεται να είναι χαμηλότερο από την τιμή αναφοράς του 2024 και του 2025, χωρίς πρόσθετα μέτρα. Δεδομένου ότι δεν θα απαιτηθεί πρόσθετη δημοσιονομική προσαρμογή προκειμένου η Ισπανία να μειώσει το έλλειμμά της κάτω από την τιμή αναφοράς, η κίνηση διαδικασίας υπερβολικού ελλείμματος δεν κρίνεται σκόπιμη στο παρόν στάδιο. Σε κάθε περίπτωση, η Επιτροπή θα συνεχίσει να παρακολουθεί τις δημοσιονομικές εξελίξεις στην Ισπανία και θα επαναξιολογήσει την κατάσταση το φθινόπωρο.</w:t>
      </w:r>
    </w:p>
    <w:p w14:paraId="7923A50C" w14:textId="6CC87E0B" w:rsidR="00C73925" w:rsidRPr="0015190E" w:rsidRDefault="005703EF" w:rsidP="000F2AB6">
      <w:pPr>
        <w:spacing w:before="120" w:after="120" w:line="240" w:lineRule="auto"/>
        <w:jc w:val="both"/>
        <w:rPr>
          <w:rFonts w:ascii="Times New Roman" w:eastAsia="Times New Roman" w:hAnsi="Times New Roman" w:cs="Times New Roman"/>
          <w:b/>
          <w:bCs/>
          <w:noProof/>
          <w:sz w:val="24"/>
          <w:szCs w:val="24"/>
        </w:rPr>
      </w:pPr>
      <w:r>
        <w:rPr>
          <w:rFonts w:ascii="Times New Roman" w:hAnsi="Times New Roman"/>
          <w:noProof/>
          <w:sz w:val="24"/>
        </w:rPr>
        <w:t xml:space="preserve">Υπό το πρίσμα της αξιολόγησης αυτής και αφού έλαβε υπόψη τη γνώμη της Οικονομικής και Δημοσιονομικής Επιτροπής, όπως έχει συσταθεί βάσει του άρθρου 126 παράγραφος 4 της ΣΛΕΕ, η Επιτροπή προτίθεται να προτείνει τον Ιούλιο την κίνηση διαδικασιών υπερβολικού ελλείμματος, προτείνοντας στο Συμβούλιο να εκδώσει απόφαση δυνάμει του άρθρου 126 παράγραφος 6 για τη </w:t>
      </w:r>
      <w:r>
        <w:rPr>
          <w:rFonts w:ascii="Times New Roman" w:hAnsi="Times New Roman"/>
          <w:b/>
          <w:noProof/>
          <w:sz w:val="24"/>
        </w:rPr>
        <w:t>διαπίστωση της ύπαρξης υπερβολικού ελλείμματος για το Βέλγιο, τη Γαλλία, την Ιταλία, την Ουγγαρία, τη Μάλτα, την Πολωνία και τη Σλοβακία</w:t>
      </w:r>
      <w:r>
        <w:rPr>
          <w:rFonts w:ascii="Times New Roman" w:hAnsi="Times New Roman"/>
          <w:noProof/>
          <w:sz w:val="24"/>
        </w:rPr>
        <w:t>.</w:t>
      </w:r>
    </w:p>
    <w:p w14:paraId="589A690C" w14:textId="77777777" w:rsidR="00F40E80" w:rsidRDefault="00F40E80" w:rsidP="000F2AB6">
      <w:pPr>
        <w:spacing w:before="120" w:after="120" w:line="240" w:lineRule="auto"/>
        <w:jc w:val="both"/>
        <w:rPr>
          <w:rFonts w:ascii="Times New Roman" w:eastAsia="Times New Roman" w:hAnsi="Times New Roman" w:cs="Times New Roman"/>
          <w:noProof/>
          <w:sz w:val="24"/>
          <w:szCs w:val="24"/>
          <w:lang w:eastAsia="en-GB"/>
        </w:rPr>
      </w:pPr>
    </w:p>
    <w:p w14:paraId="427B0ADB" w14:textId="77777777" w:rsidR="001F1D65" w:rsidRDefault="001F1D65" w:rsidP="00310CF1">
      <w:pPr>
        <w:spacing w:before="120" w:after="120" w:line="240" w:lineRule="auto"/>
        <w:jc w:val="center"/>
        <w:rPr>
          <w:rFonts w:ascii="Times New Roman" w:eastAsia="Times New Roman" w:hAnsi="Times New Roman" w:cs="Times New Roman"/>
          <w:noProof/>
          <w:sz w:val="24"/>
          <w:szCs w:val="24"/>
        </w:rPr>
      </w:pPr>
      <w:r>
        <w:rPr>
          <w:rFonts w:ascii="Times New Roman" w:hAnsi="Times New Roman"/>
          <w:noProof/>
          <w:sz w:val="24"/>
        </w:rPr>
        <w:t>_________________</w:t>
      </w:r>
    </w:p>
    <w:p w14:paraId="3BFB8B82" w14:textId="28C8CE5D" w:rsidR="00DF4EC1" w:rsidRDefault="00DF4EC1" w:rsidP="005779C5">
      <w:pPr>
        <w:spacing w:before="120" w:after="120" w:line="240" w:lineRule="auto"/>
        <w:jc w:val="both"/>
        <w:rPr>
          <w:rFonts w:ascii="Times New Roman" w:eastAsia="Times New Roman" w:hAnsi="Times New Roman" w:cs="Times New Roman"/>
          <w:noProof/>
          <w:sz w:val="24"/>
          <w:szCs w:val="24"/>
          <w:lang w:eastAsia="en-GB"/>
        </w:rPr>
      </w:pPr>
    </w:p>
    <w:p w14:paraId="00BB43F7" w14:textId="77777777" w:rsidR="007057B2" w:rsidRDefault="007057B2" w:rsidP="005779C5">
      <w:pPr>
        <w:spacing w:before="120" w:after="120" w:line="240" w:lineRule="auto"/>
        <w:jc w:val="both"/>
        <w:rPr>
          <w:rFonts w:ascii="Times New Roman" w:eastAsia="Times New Roman" w:hAnsi="Times New Roman" w:cs="Times New Roman"/>
          <w:noProof/>
          <w:sz w:val="24"/>
          <w:szCs w:val="24"/>
          <w:lang w:eastAsia="en-GB"/>
        </w:rPr>
      </w:pPr>
    </w:p>
    <w:p w14:paraId="49AC9ADB" w14:textId="77777777" w:rsidR="007057B2" w:rsidRPr="00EB2B95" w:rsidRDefault="007057B2" w:rsidP="005779C5">
      <w:pPr>
        <w:spacing w:before="120" w:after="120" w:line="240" w:lineRule="auto"/>
        <w:jc w:val="both"/>
        <w:rPr>
          <w:rFonts w:ascii="Times New Roman" w:eastAsia="Times New Roman" w:hAnsi="Times New Roman" w:cs="Times New Roman"/>
          <w:noProof/>
          <w:sz w:val="24"/>
          <w:szCs w:val="24"/>
          <w:highlight w:val="lightGray"/>
          <w:lang w:eastAsia="en-GB"/>
        </w:rPr>
      </w:pPr>
    </w:p>
    <w:sectPr w:rsidR="007057B2" w:rsidRPr="00EB2B9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C58F" w14:textId="77777777" w:rsidR="00047751" w:rsidRDefault="00047751">
      <w:pPr>
        <w:spacing w:after="0" w:line="240" w:lineRule="auto"/>
      </w:pPr>
      <w:r>
        <w:separator/>
      </w:r>
    </w:p>
  </w:endnote>
  <w:endnote w:type="continuationSeparator" w:id="0">
    <w:p w14:paraId="2E6A52E1" w14:textId="77777777" w:rsidR="00047751" w:rsidRDefault="00047751">
      <w:pPr>
        <w:spacing w:after="0" w:line="240" w:lineRule="auto"/>
      </w:pPr>
      <w:r>
        <w:continuationSeparator/>
      </w:r>
    </w:p>
  </w:endnote>
  <w:endnote w:type="continuationNotice" w:id="1">
    <w:p w14:paraId="011F7F62" w14:textId="77777777" w:rsidR="00047751" w:rsidRDefault="00047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quot;Aptos&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 Square Sans Pro">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F848" w14:textId="28B384DC" w:rsidR="00281140" w:rsidRPr="00281140" w:rsidRDefault="00281140" w:rsidP="00281140">
    <w:pPr>
      <w:pStyle w:val="FooterCoverPage"/>
      <w:rPr>
        <w:rFonts w:ascii="Arial" w:hAnsi="Arial" w:cs="Arial"/>
        <w:b/>
        <w:sz w:val="48"/>
      </w:rPr>
    </w:pPr>
    <w:r w:rsidRPr="00281140">
      <w:rPr>
        <w:rFonts w:ascii="Arial" w:hAnsi="Arial" w:cs="Arial"/>
        <w:b/>
        <w:sz w:val="48"/>
      </w:rPr>
      <w:t>EL</w:t>
    </w:r>
    <w:r w:rsidRPr="00281140">
      <w:rPr>
        <w:rFonts w:ascii="Arial" w:hAnsi="Arial" w:cs="Arial"/>
        <w:b/>
        <w:sz w:val="48"/>
      </w:rPr>
      <w:tab/>
    </w:r>
    <w:r w:rsidRPr="00281140">
      <w:rPr>
        <w:rFonts w:ascii="Arial" w:hAnsi="Arial" w:cs="Arial"/>
        <w:b/>
        <w:sz w:val="48"/>
      </w:rPr>
      <w:tab/>
    </w:r>
    <w:r w:rsidRPr="00281140">
      <w:tab/>
    </w:r>
    <w:r w:rsidRPr="00281140">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3775" w14:textId="7AC913A1" w:rsidR="00281140" w:rsidRPr="00281140" w:rsidRDefault="00281140" w:rsidP="00281140">
    <w:pPr>
      <w:pStyle w:val="FooterCoverPage"/>
      <w:rPr>
        <w:rFonts w:ascii="Arial" w:hAnsi="Arial" w:cs="Arial"/>
        <w:b/>
        <w:sz w:val="48"/>
      </w:rPr>
    </w:pPr>
    <w:r w:rsidRPr="00281140">
      <w:rPr>
        <w:rFonts w:ascii="Arial" w:hAnsi="Arial" w:cs="Arial"/>
        <w:b/>
        <w:sz w:val="48"/>
      </w:rPr>
      <w:t>EL</w:t>
    </w:r>
    <w:r w:rsidRPr="00281140">
      <w:rPr>
        <w:rFonts w:ascii="Arial" w:hAnsi="Arial" w:cs="Arial"/>
        <w:b/>
        <w:sz w:val="48"/>
      </w:rPr>
      <w:tab/>
    </w:r>
    <w:r w:rsidRPr="00281140">
      <w:rPr>
        <w:rFonts w:ascii="Arial" w:hAnsi="Arial" w:cs="Arial"/>
        <w:b/>
        <w:sz w:val="48"/>
      </w:rPr>
      <w:tab/>
    </w:r>
    <w:r w:rsidRPr="00281140">
      <w:tab/>
    </w:r>
    <w:r w:rsidRPr="00281140">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A27D" w14:textId="77777777" w:rsidR="00281140" w:rsidRPr="00281140" w:rsidRDefault="00281140" w:rsidP="0028114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941D" w14:textId="77777777" w:rsidR="007C3F1A" w:rsidRDefault="007C3F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7ECA" w14:textId="19564078" w:rsidR="007C3F1A" w:rsidRDefault="007C3F1A">
    <w:pPr>
      <w:pStyle w:val="Footer"/>
    </w:pPr>
    <w:r>
      <w:rPr>
        <w:color w:val="2B579A"/>
      </w:rPr>
      <w:fldChar w:fldCharType="begin"/>
    </w:r>
    <w:r>
      <w:rPr>
        <w:rFonts w:hint="eastAsia"/>
      </w:rPr>
      <w:instrText>PAGE  \* MERGEFORMAT</w:instrText>
    </w:r>
    <w:r>
      <w:rPr>
        <w:color w:val="2B579A"/>
      </w:rPr>
      <w:fldChar w:fldCharType="separate"/>
    </w:r>
    <w:r w:rsidR="00281140">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B31D" w14:textId="77777777" w:rsidR="007C3F1A" w:rsidRDefault="007C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AC7C" w14:textId="77777777" w:rsidR="00047751" w:rsidRDefault="00047751">
      <w:r>
        <w:separator/>
      </w:r>
    </w:p>
  </w:footnote>
  <w:footnote w:type="continuationSeparator" w:id="0">
    <w:p w14:paraId="3825C385" w14:textId="77777777" w:rsidR="00047751" w:rsidRDefault="00047751">
      <w:r>
        <w:continuationSeparator/>
      </w:r>
    </w:p>
  </w:footnote>
  <w:footnote w:type="continuationNotice" w:id="1">
    <w:p w14:paraId="472EB45E" w14:textId="77777777" w:rsidR="00047751" w:rsidRDefault="00047751">
      <w:pPr>
        <w:spacing w:after="0" w:line="240" w:lineRule="auto"/>
      </w:pPr>
    </w:p>
  </w:footnote>
  <w:footnote w:id="2">
    <w:p w14:paraId="06903070" w14:textId="19642B60" w:rsidR="00002E31" w:rsidRPr="004A7D12" w:rsidRDefault="00002E31" w:rsidP="00365735">
      <w:pPr>
        <w:pStyle w:val="FootnoteText"/>
        <w:ind w:left="425" w:hanging="425"/>
      </w:pPr>
      <w:r>
        <w:rPr>
          <w:rStyle w:val="FootnoteReference"/>
        </w:rPr>
        <w:footnoteRef/>
      </w:r>
      <w:r>
        <w:t xml:space="preserve"> </w:t>
      </w:r>
      <w:r>
        <w:tab/>
        <w:t>Κανονισμός (ΕΚ) αριθ. 1467/97 του Συμβουλίου για την επιτάχυνση και τη διασαφήνιση της εφαρμογής της διαδικασίας υπερβολικού ελλείμματος (ΕΕ L 209 της 2.8.1997), όπως τροποποιήθηκε τελευταία με τον κανονισμό (ΕΕ) 2024/1264 του Συμβουλίου, της 29ης Απριλίου 2024 (ΕΕ L, 2024/1264, 30.4.2024, ELI: http://data.europa.eu/eli/reg/2024/1264/oj).</w:t>
      </w:r>
    </w:p>
  </w:footnote>
  <w:footnote w:id="3">
    <w:p w14:paraId="0CC7F3E9" w14:textId="53520037" w:rsidR="004A7D12" w:rsidRPr="00EB2B95" w:rsidRDefault="004A7D12" w:rsidP="00365735">
      <w:pPr>
        <w:pStyle w:val="FootnoteText"/>
        <w:ind w:left="425" w:hanging="425"/>
      </w:pPr>
      <w:r>
        <w:rPr>
          <w:rStyle w:val="FootnoteReference"/>
        </w:rPr>
        <w:footnoteRef/>
      </w:r>
      <w:r>
        <w:t xml:space="preserve"> </w:t>
      </w:r>
      <w:r>
        <w:tab/>
        <w:t>Κανονισμός (ΕΕ) 2024/1263 του Ευρωπαϊκού Κοινοβουλίου και του Συμβουλίου, της 29ης Απριλίου 2024, σχετικά με τον αποτελεσματικό συντονισμό των οικονομικών πολιτικών και την πολυμερή δημοσιονομική εποπτεία και την κατάργηση του κανονισμού (ΕΚ) αριθ. 1466/97 του Συμβουλίου (ΕΕ L, 2024/1263, 30.4.2024, ELI: http://data.europa.eu/eli/reg/2024/1263/oj).</w:t>
      </w:r>
    </w:p>
  </w:footnote>
  <w:footnote w:id="4">
    <w:p w14:paraId="68E67C76" w14:textId="65FF5AE3" w:rsidR="009D66E0" w:rsidRPr="00AD18D3" w:rsidRDefault="009D66E0" w:rsidP="00365735">
      <w:pPr>
        <w:pStyle w:val="FootnoteText"/>
        <w:ind w:left="425" w:hanging="425"/>
      </w:pPr>
      <w:r>
        <w:rPr>
          <w:rStyle w:val="FootnoteReference"/>
        </w:rPr>
        <w:footnoteRef/>
      </w:r>
      <w:r>
        <w:t xml:space="preserve"> </w:t>
      </w:r>
      <w:r>
        <w:tab/>
        <w:t>Οδηγία (ΕΕ) 2024/1265 του Συμβουλίου, της 29ης Απριλίου 2024, για την τροποποίηση της οδηγίας 2011/85/ΕΕ σχετικά με τις απαιτήσεις για τα δημοσιονομικά πλαίσια των κρατών μελών (ΕΕ L, 2024/1265, 30.4.2024, ELI: http://data.europa.eu/eli/dir/2024/1265/oj).</w:t>
      </w:r>
    </w:p>
  </w:footnote>
  <w:footnote w:id="5">
    <w:p w14:paraId="737FC6D2" w14:textId="6D41A2CA" w:rsidR="00D95FF8" w:rsidRPr="00D95FF8" w:rsidRDefault="00D95FF8" w:rsidP="00365735">
      <w:pPr>
        <w:pStyle w:val="FootnoteText"/>
        <w:ind w:left="425" w:hanging="425"/>
      </w:pPr>
      <w:r>
        <w:rPr>
          <w:vertAlign w:val="superscript"/>
        </w:rPr>
        <w:footnoteRef/>
      </w:r>
      <w:r>
        <w:rPr>
          <w:vertAlign w:val="superscript"/>
        </w:rPr>
        <w:t xml:space="preserve"> </w:t>
      </w:r>
      <w:r>
        <w:tab/>
        <w:t>Αυτό ισχύει στον βαθμό που οι νέοι κανόνες έχουν ήδη τεθεί σε εφαρμογή. Ορισμένα στοιχεία του τροποποιημένου κανονισμού δεν έχουν υλοποιηθεί ακόμη, π.χ. η πορεία των καθαρών δαπανών, όπως καθορίστηκε από το Συμβούλιο, η οποία αναφέρεται στο πλαίσιο των σχετικών παραγόντων που ορίζονται στο άρθρο 2 παράγραφος 3 του κανονισμού (ΕΚ) αριθ. 1467/97.</w:t>
      </w:r>
    </w:p>
  </w:footnote>
  <w:footnote w:id="6">
    <w:p w14:paraId="5385788B" w14:textId="77777777" w:rsidR="004F3BAC" w:rsidRPr="000A2EB5" w:rsidRDefault="004F3BAC" w:rsidP="004F3BAC">
      <w:pPr>
        <w:pStyle w:val="FootnoteText"/>
        <w:ind w:left="426" w:hanging="426"/>
      </w:pPr>
      <w:r>
        <w:rPr>
          <w:rStyle w:val="FootnoteReference"/>
        </w:rPr>
        <w:footnoteRef/>
      </w:r>
      <w:r>
        <w:tab/>
        <w:t>Οι σχετικοί παράγοντες θα λαμβάνονται πάντα υπόψη κατά την αξιολόγηση της συμμόρφωσης με το κριτήριο του χρέους.</w:t>
      </w:r>
    </w:p>
  </w:footnote>
  <w:footnote w:id="7">
    <w:p w14:paraId="426E3F4B" w14:textId="77777777" w:rsidR="004F3BAC" w:rsidRPr="00E84811" w:rsidRDefault="004F3BAC" w:rsidP="004F3BAC">
      <w:pPr>
        <w:pStyle w:val="FootnoteText"/>
        <w:ind w:left="426" w:hanging="426"/>
      </w:pPr>
      <w:r>
        <w:rPr>
          <w:rStyle w:val="FootnoteReference"/>
        </w:rPr>
        <w:footnoteRef/>
      </w:r>
      <w:r>
        <w:tab/>
        <w:t>Σύμφωνα με το άρθρο 17 του κανονισμού (ΕΕ) 2024/1264, η πορεία των καθαρών δαπανών θα καθοριστεί στη σύσταση του Συμβουλίου για την έγκριση του εθνικού μεσοπρόθεσμου δημοσιονομικού-διαρθρωτικού σχεδίου που πρέπει να υποβληθεί από κάθε κράτος μέλος και να αξιολογηθεί από την Επιτροπή. Σύμφωνα με τις μεταβατικές διατάξεις του άρθρου 36, τα κράτη μέλη υποβάλλουν τα πρώτα εθνικά μεσοπρόθεσμα δημοσιονομικά-διαρθρωτικά σχέδιά τους έως τις 20 Σεπτεμβρίου 2024, εκτός εάν το κράτος μέλος και η Επιτροπή συμφωνήσουν να παρατείνουν την προθεσμία για εύλογο χρονικό διάστημα.</w:t>
      </w:r>
    </w:p>
  </w:footnote>
  <w:footnote w:id="8">
    <w:p w14:paraId="7AA49247" w14:textId="46A2DDC0" w:rsidR="00872742" w:rsidRPr="00F71708" w:rsidRDefault="00872742" w:rsidP="00F71708">
      <w:pPr>
        <w:pStyle w:val="FootnoteText"/>
        <w:ind w:left="426" w:hanging="426"/>
      </w:pPr>
      <w:r>
        <w:rPr>
          <w:rStyle w:val="FootnoteReference"/>
        </w:rPr>
        <w:footnoteRef/>
      </w:r>
      <w:r>
        <w:tab/>
        <w:t xml:space="preserve">Τα αριθμητικά στοιχεία για τον δείκτη χρέους της γενικής κυβέρνησης προς το ΑΕΠ παρουσιάζονται στο τμήμα 3. </w:t>
      </w:r>
    </w:p>
  </w:footnote>
  <w:footnote w:id="9">
    <w:p w14:paraId="3DD9A94E" w14:textId="090582DC" w:rsidR="006E56CF" w:rsidRPr="00952ADB" w:rsidRDefault="006E56CF" w:rsidP="00952ADB">
      <w:pPr>
        <w:pStyle w:val="FootnoteText"/>
        <w:ind w:left="426" w:hanging="426"/>
      </w:pPr>
      <w:r>
        <w:rPr>
          <w:rStyle w:val="FootnoteReference"/>
        </w:rPr>
        <w:footnoteRef/>
      </w:r>
      <w:r>
        <w:tab/>
        <w:t xml:space="preserve">Ελλείψει στοιχείων που υποβλήθηκαν στην Eurostat στο πλαίσιο της δημοσιονομικής κοινοποίησης, η πηγή των προβλεπόμενων ελλειμμάτων για το 2024 είναι το πρόγραμμα σταθερότητας/σύγκλισης. Στην παρούσα έκθεση, όλα τα ενδιαφερόμενα κράτη μέλη, με εξαίρεση τη Γαλλία, υπέβαλαν στην Eurostat τα </w:t>
      </w:r>
      <w:r>
        <w:rPr>
          <w:rStyle w:val="cf01"/>
          <w:rFonts w:ascii="Times New Roman" w:hAnsi="Times New Roman"/>
          <w:sz w:val="20"/>
        </w:rPr>
        <w:t>προβλεπόμενα ελλείμματά τους για το 2024 στο πλαίσιο της εαρινής δημοσιονομικής κοινοποίησης 2024</w:t>
      </w:r>
      <w:r>
        <w:t xml:space="preserve">.  </w:t>
      </w:r>
    </w:p>
  </w:footnote>
  <w:footnote w:id="10">
    <w:p w14:paraId="56D45300" w14:textId="487404BC" w:rsidR="0024748D" w:rsidRDefault="0024748D" w:rsidP="00990D25">
      <w:pPr>
        <w:pStyle w:val="FootnoteText"/>
        <w:ind w:left="426" w:hanging="426"/>
      </w:pPr>
      <w:r>
        <w:rPr>
          <w:rStyle w:val="FootnoteReference"/>
        </w:rPr>
        <w:footnoteRef/>
      </w:r>
      <w:r>
        <w:tab/>
        <w:t>Eurostat Δείκτες ευρώ της 22ας Απριλίου 2024.</w:t>
      </w:r>
    </w:p>
  </w:footnote>
  <w:footnote w:id="11">
    <w:p w14:paraId="37D15229" w14:textId="4FBEA363" w:rsidR="0024748D" w:rsidRDefault="0024748D" w:rsidP="00990D25">
      <w:pPr>
        <w:pStyle w:val="FootnoteText"/>
        <w:ind w:left="426" w:hanging="426"/>
      </w:pPr>
      <w:r>
        <w:rPr>
          <w:rStyle w:val="FootnoteReference"/>
        </w:rPr>
        <w:footnoteRef/>
      </w:r>
      <w:r>
        <w:tab/>
        <w:t xml:space="preserve">Το δημοσιονομικό έλλειμμα της Ρουμανίας υπερέβη επίσης το 3 % του ΑΕΠ το 2023 και προβλέπεται ότι θα υπερβεί την τιμή αναφοράς και το 2024. Ωστόσο, η Ρουμανία δεν καλύπτεται από την παρούσα έκθεση, δεδομένου ότι το Συμβούλιο αποφάσισε την ύπαρξη υπερβολικού ελλείμματος στη Ρουμανία στις 3 Απριλίου 2020. Η τελευταία σύσταση του Συμβουλίου προκειμένου να τερματιστεί η κατάσταση του υπερβολικού δημοσιονομικού ελλείμματος στη Ρουμανία εκδόθηκε στις 18 Ιουνίου 2021. Η Επιτροπή συνέστησε σήμερα στο Συμβούλιο να εκδώσει απόφαση με την οποία διαπιστώνεται ότι δεν έχουν ληφθεί αποτελεσματικά μέτρα από τη Ρουμανία ως ανταπόκριση στη σύσταση του Συμβουλίου της 18ης Ιουνίου 2021 [COM (2024)597]. </w:t>
      </w:r>
    </w:p>
  </w:footnote>
  <w:footnote w:id="12">
    <w:p w14:paraId="73F51D40" w14:textId="0E5BC785" w:rsidR="00D95FF8" w:rsidRPr="00D95FF8" w:rsidRDefault="00D95FF8" w:rsidP="00952ADB">
      <w:pPr>
        <w:pStyle w:val="FootnoteText"/>
        <w:ind w:left="426" w:hanging="426"/>
      </w:pPr>
      <w:r>
        <w:rPr>
          <w:vertAlign w:val="superscript"/>
        </w:rPr>
        <w:footnoteRef/>
      </w:r>
      <w:r>
        <w:t xml:space="preserve"> </w:t>
      </w:r>
      <w:r>
        <w:tab/>
      </w:r>
      <w:bookmarkStart w:id="3" w:name="_Hlk168495199"/>
      <w:r>
        <w:t xml:space="preserve">Το πλήρες σύνολο των πινάκων που υποβλήθηκαν στην Eurostat από τα κράτη μέλη είναι διαθέσιμο στη διεύθυνση: </w:t>
      </w:r>
      <w:hyperlink r:id="rId1" w:history="1">
        <w:r>
          <w:rPr>
            <w:rStyle w:val="Hyperlink"/>
          </w:rPr>
          <w:t>https://ec.europa.eu/eurostat/web/government-finance-statistics/excessive-deficit-procedure/edp-notification-tables?etrans=el</w:t>
        </w:r>
      </w:hyperlink>
      <w:r>
        <w:t>.</w:t>
      </w:r>
      <w:bookmarkEnd w:id="3"/>
    </w:p>
  </w:footnote>
  <w:footnote w:id="13">
    <w:p w14:paraId="510FF4AD" w14:textId="358E1AB3" w:rsidR="00DB2EEA" w:rsidRPr="00DB2EEA" w:rsidRDefault="00DB2EEA" w:rsidP="002C7C9C">
      <w:pPr>
        <w:pStyle w:val="FootnoteText"/>
        <w:ind w:left="709" w:hanging="708"/>
      </w:pPr>
      <w:r>
        <w:rPr>
          <w:rStyle w:val="FootnoteReference"/>
        </w:rPr>
        <w:footnoteRef/>
      </w:r>
      <w:r>
        <w:tab/>
        <w:t>Συστάσεις του Συμβουλίου, της 14ης Ιουλίου 2023 (2023/C 312/01 έως 2023/C 312/27) (ΕΕ C 312 της 1.9.2023, σ. 1).</w:t>
      </w:r>
    </w:p>
  </w:footnote>
  <w:footnote w:id="14">
    <w:p w14:paraId="5B85C62B" w14:textId="37243E68" w:rsidR="00916625" w:rsidRDefault="00916625" w:rsidP="00916625">
      <w:pPr>
        <w:pStyle w:val="FootnoteText"/>
      </w:pPr>
      <w:r>
        <w:rPr>
          <w:rStyle w:val="FootnoteReference"/>
        </w:rPr>
        <w:footnoteRef/>
      </w:r>
      <w:r>
        <w:tab/>
        <w:t>Γνώμες της Επιτροπής σχετικά με τα σχέδια δημοσιονομικών προγραμμάτων για το 2024 της 21.11.2023 [C(2023) 9501 final έως C(2023) 9520 final], γνώμη της Επιτροπής σχετικά με το επικαιροποιημένο σχέδιο δημοσιονομικού προγράμματος της Σλοβακίας για το 2024 της 16.1.2024 [C(2024) 343 final)] και γνώμη της Επιτροπής σχετικά με το επικαιροποιημένο σχέδιο δημοσιονομικού προγράμματος του Λουξεμβούργου για το 2024 της 18.4.2024 [C(2024) 2626 final].</w:t>
      </w:r>
    </w:p>
  </w:footnote>
  <w:footnote w:id="15">
    <w:p w14:paraId="21E9C910" w14:textId="77777777" w:rsidR="00CB4481" w:rsidRDefault="00CB4481" w:rsidP="00CB4481">
      <w:pPr>
        <w:pStyle w:val="FootnoteText"/>
      </w:pPr>
      <w:r>
        <w:rPr>
          <w:rStyle w:val="FootnoteReference"/>
        </w:rPr>
        <w:footnoteRef/>
      </w:r>
      <w:r>
        <w:t xml:space="preserve"> </w:t>
      </w:r>
      <w:r>
        <w:tab/>
        <w:t>Ανακοίνωση, της 8ης Μαρτίου 2023, σχετικά με τις κατευθύνσεις δημοσιονομικής πολιτικής για το 2024 [COM(2023) 141 final]. Βλ., επίσης, ανακοίνωση της Επιτροπής σχετικά με τα σχέδια δημοσιονομικών προγραμμάτων του 2024: γενική εκτίμηση [COM(2023) 900 final].</w:t>
      </w:r>
    </w:p>
  </w:footnote>
  <w:footnote w:id="16">
    <w:p w14:paraId="39549C8E" w14:textId="7CE08EE0" w:rsidR="00785ED1" w:rsidRPr="0004414B" w:rsidRDefault="00785ED1" w:rsidP="00AB15A0">
      <w:pPr>
        <w:pStyle w:val="FootnoteText"/>
      </w:pPr>
      <w:r>
        <w:rPr>
          <w:rStyle w:val="FootnoteReference"/>
        </w:rPr>
        <w:footnoteRef/>
      </w:r>
      <w:r>
        <w:t xml:space="preserve"> </w:t>
      </w:r>
      <w:r>
        <w:tab/>
      </w:r>
      <w:r>
        <w:rPr>
          <w:shd w:val="clear" w:color="auto" w:fill="FFFFFF"/>
        </w:rPr>
        <w:t>Σύσταση του Συμβουλίου, της 12ης Απριλίου 2024, σχετικά με την οικονομική πολιτική της ζώνης του ευρώ (ΕΕ C, C/2024/2807, 23.4.2024, ELI: </w:t>
      </w:r>
      <w:hyperlink r:id="rId2" w:tgtFrame="_blank" w:history="1">
        <w:r>
          <w:rPr>
            <w:rStyle w:val="Hyperlink"/>
            <w:color w:val="auto"/>
            <w:shd w:val="clear" w:color="auto" w:fill="FFFFFF"/>
          </w:rPr>
          <w:t>http://data.europa.eu/eli/C/2024/2807/oj</w:t>
        </w:r>
      </w:hyperlink>
      <w:r>
        <w:rPr>
          <w:shd w:val="clear" w:color="auto" w:fill="FFFFFF"/>
        </w:rPr>
        <w:t>).</w:t>
      </w:r>
    </w:p>
  </w:footnote>
  <w:footnote w:id="17">
    <w:p w14:paraId="4C5B8F1C" w14:textId="2AEB4FFD" w:rsidR="00785ED1" w:rsidRPr="00D56DE0" w:rsidRDefault="00785ED1">
      <w:pPr>
        <w:pStyle w:val="FootnoteText"/>
      </w:pPr>
      <w:r>
        <w:rPr>
          <w:rStyle w:val="FootnoteReference"/>
        </w:rPr>
        <w:footnoteRef/>
      </w:r>
      <w:r>
        <w:tab/>
        <w:t>Στο ίδιο πλαίσιο, το Συμβούλιο συνέστησε επίσης στα κράτη μέλη της ζώνης του ευρώ να αναπτύξουν δημοσιονομικές στρατηγικές για την επίτευξη συνετής μεσοπρόθεσμης δημοσιονομικής θέσης και να ενισχύσουν τη βιωσιμότητα του χρέους, όταν είναι αναγκαίο, μέσω αποφασιστικής, διαφοροποιημένης, σταδιακής και ρεαλιστικής εξυγίανσης, σε συνδυασμό με δημόσιες επενδύσεις και μεταρρυθμίσεις υψηλής ποιότητας, ιδίως για την επίτευξη υψηλότερης βιώσιμης ανάπτυξης και την ενίσχυση της ανθεκτικότητας της ζώνης του ευρώ ενόψει των μελλοντικών προκλήσεων. Κατά περίπτωση, τα κράτη μέλη θα πρέπει να συμπεριλάβουν στις εν λόγω στρατηγικές μέτρα για την περαιτέρω αύξηση της αποδοτικότητας και της ποιότητας των δημόσιων δαπανών και για τη βελτίωση της βιωσιμότητας και της επάρκειας των συνταξιοδοτικών συστημάτων, των συστημάτων ιατροφαρμακευτικής περίθαλψης και των συστημάτων μακροχρόνιας φροντίδας.</w:t>
      </w:r>
    </w:p>
  </w:footnote>
  <w:footnote w:id="18">
    <w:p w14:paraId="017526FB" w14:textId="340C5459" w:rsidR="00386A71" w:rsidRPr="00AE1785" w:rsidRDefault="00386A71" w:rsidP="00E3769E">
      <w:pPr>
        <w:pStyle w:val="FootnoteText"/>
      </w:pPr>
      <w:r>
        <w:rPr>
          <w:rStyle w:val="FootnoteReference"/>
        </w:rPr>
        <w:footnoteRef/>
      </w:r>
      <w:r>
        <w:t xml:space="preserve"> </w:t>
      </w:r>
      <w:r>
        <w:tab/>
      </w:r>
      <w:r>
        <w:rPr>
          <w:rStyle w:val="cf01"/>
          <w:rFonts w:ascii="Times New Roman" w:hAnsi="Times New Roman"/>
          <w:sz w:val="20"/>
        </w:rPr>
        <w:t>Η Γαλλία δεν υπέβαλε στην Eurostat προβλεπόμενο έλλειμμα για το 2024 στο πλαίσιο της εαρινής δημοσιονομικής κοινοποίησης 2024. Ωστόσο, η Γαλλία δημοσίευσε το οικείο πρόγραμμα σταθερότητας για την περίοδο 2024-2027 τον Απρίλιο του 2024, σύμφωνα με το οποίο το έλλειμμα για το 2024 προβλέπεται ότι θα ανέλθει στο 5,1 % του ΑΕΠ.</w:t>
      </w:r>
    </w:p>
  </w:footnote>
  <w:footnote w:id="19">
    <w:p w14:paraId="4022DECD" w14:textId="27CC5C1D" w:rsidR="00750B8E" w:rsidRPr="00AD18D3" w:rsidRDefault="00750B8E">
      <w:pPr>
        <w:pStyle w:val="FootnoteText"/>
      </w:pPr>
      <w:r>
        <w:rPr>
          <w:rStyle w:val="FootnoteReference"/>
        </w:rPr>
        <w:footnoteRef/>
      </w:r>
      <w:r>
        <w:tab/>
        <w:t>Όπως αναφέρθηκε στην Eurostat στο πλαίσιο της εαρινής δημοσιονομικής κοινοποίησης 2024, με μοναδική εξαίρεση τη Γαλλία για την οποία το πρόγραμμα σταθερότητας αποτελεί τη σχετική πηγή για τα προβλεπόμενα στοιχεία για το 2024 (βλ. υποσημείωση</w:t>
      </w:r>
      <w:r>
        <w:fldChar w:fldCharType="begin"/>
      </w:r>
      <w:r>
        <w:instrText xml:space="preserve"> NOTEREF _Ref167317069 \h </w:instrText>
      </w:r>
      <w:r>
        <w:fldChar w:fldCharType="separate"/>
      </w:r>
      <w:r>
        <w:t>17</w:t>
      </w:r>
      <w:r>
        <w:fldChar w:fldCharType="end"/>
      </w:r>
      <w:r>
        <w:t>).</w:t>
      </w:r>
    </w:p>
  </w:footnote>
  <w:footnote w:id="20">
    <w:p w14:paraId="001F6463" w14:textId="707B0050" w:rsidR="00A47CFD" w:rsidRPr="00661DB0" w:rsidRDefault="00A47CFD" w:rsidP="00A47CFD">
      <w:pPr>
        <w:pStyle w:val="FootnoteText"/>
      </w:pPr>
      <w:r>
        <w:rPr>
          <w:rStyle w:val="FootnoteReference"/>
        </w:rPr>
        <w:footnoteRef/>
      </w:r>
      <w:r>
        <w:tab/>
        <w:t xml:space="preserve">Όπως αναφέρθηκε στην Eurostat στο πλαίσιο της εαρινής δημοσιονομικής κοινοποίησης 2024. </w:t>
      </w:r>
    </w:p>
  </w:footnote>
  <w:footnote w:id="21">
    <w:p w14:paraId="47B06BAC" w14:textId="77777777" w:rsidR="00C83638" w:rsidRPr="00AD18D3" w:rsidRDefault="00C83638" w:rsidP="00C83638">
      <w:pPr>
        <w:pStyle w:val="FootnoteText"/>
      </w:pPr>
      <w:r>
        <w:rPr>
          <w:rStyle w:val="FootnoteReference"/>
        </w:rPr>
        <w:footnoteRef/>
      </w:r>
      <w:r>
        <w:tab/>
        <w:t>Το προβλεπόμενο έλλειμμα για το 2024, όπως αναφέρθηκε στην Eurostat στο πλαίσιο της εαρινής δημοσιονομικής κοινοποίησης 2024, ανέρχεται σε 3,5 % του ΑΕΠ. Ωστόσο, στο πρόγραμμα σταθερότητας που υπέβαλε στις 25 Απριλίου 2024, η Φινλανδία αναθεώρησε το προβλεπόμενο έλλειμμά της για το 2024 ελαφρώς προς τα κάτω, σε 3,4 %, με βάση πρόσθετα μέτρα εξυγίανσης ύψους 1 % του ΑΕΠ, τα οποία η κυβέρνηση δεσμεύτηκε να υλοποιήσει σε συμπληρωματικό προϋπολογισμό την άνοιξη του 2024.</w:t>
      </w:r>
    </w:p>
  </w:footnote>
  <w:footnote w:id="22">
    <w:p w14:paraId="561F8C82" w14:textId="77777777" w:rsidR="00C83638" w:rsidRDefault="00C83638" w:rsidP="00C83638">
      <w:pPr>
        <w:pStyle w:val="FootnoteText"/>
      </w:pPr>
      <w:r>
        <w:rPr>
          <w:rStyle w:val="FootnoteReference"/>
        </w:rPr>
        <w:footnoteRef/>
      </w:r>
      <w:r>
        <w:t xml:space="preserve"> </w:t>
      </w:r>
      <w:r>
        <w:tab/>
        <w:t>Όπως υποβλήθηκαν στην Eurostat στο πλαίσιο της εαρινής δημοσιονομικής κοινοποίησης 2024.</w:t>
      </w:r>
    </w:p>
  </w:footnote>
  <w:footnote w:id="23">
    <w:p w14:paraId="135E4E11" w14:textId="77777777" w:rsidR="00C83638" w:rsidRPr="00BB2E37" w:rsidRDefault="00C83638" w:rsidP="00C83638">
      <w:pPr>
        <w:pStyle w:val="FootnoteText"/>
      </w:pPr>
      <w:r>
        <w:rPr>
          <w:rStyle w:val="FootnoteReference"/>
        </w:rPr>
        <w:footnoteRef/>
      </w:r>
      <w:r>
        <w:tab/>
        <w:t>Εκτός αν αναφέρεται άλλως, πηγή των αριθμητικών στοιχείων που παρουσιάζονται στην παρούσα έκθεση για το 2024 και το 2025 είναι οι εαρινές προβλέψεις 2024 της Επιτροπής (</w:t>
      </w:r>
      <w:r>
        <w:rPr>
          <w:i/>
        </w:rPr>
        <w:t>European Economy-Institutional Papers</w:t>
      </w:r>
      <w:r>
        <w:t xml:space="preserve"> 286).</w:t>
      </w:r>
    </w:p>
  </w:footnote>
  <w:footnote w:id="24">
    <w:p w14:paraId="3360E040" w14:textId="503BD7D4" w:rsidR="00D13746" w:rsidRPr="00DB5434" w:rsidRDefault="00D13746" w:rsidP="00D13746">
      <w:pPr>
        <w:pStyle w:val="FootnoteText"/>
      </w:pPr>
      <w:r>
        <w:rPr>
          <w:rStyle w:val="FootnoteReference"/>
        </w:rPr>
        <w:footnoteRef/>
      </w:r>
      <w:r>
        <w:t xml:space="preserve"> </w:t>
      </w:r>
      <w:r>
        <w:tab/>
        <w:t xml:space="preserve">Βλ. ανακοίνωση της Επιτροπής προς το Συμβούλιο σχετικά με τις κατευθύνσεις δημοσιονομικής πολιτικής για το 2024 [COM(2023) 141 final]. Βλ. Ευρωπαϊκή Επιτροπή, «Βιομηχανικό σχέδιο της Πράσινης Συμφωνίας για την εποχή των μηδενικών καθαρών εκπομπών» [COM(2023) 62 final της 1ης Φεβρουαρίου 2023]. Βλ. Ευρωπαϊκή Επιτροπή, «Ευρωπαϊκό Εξάμηνο 2022 — Εαρινή δέσμη μέτρων» [COM(2022) 600 final της 23ης Μαΐου 2022]. </w:t>
      </w:r>
    </w:p>
  </w:footnote>
  <w:footnote w:id="25">
    <w:p w14:paraId="38A5FF46" w14:textId="77F35CD6" w:rsidR="00B3103F" w:rsidRPr="00B3103F" w:rsidRDefault="00B3103F">
      <w:pPr>
        <w:pStyle w:val="FootnoteText"/>
      </w:pPr>
      <w:r>
        <w:rPr>
          <w:rStyle w:val="FootnoteReference"/>
        </w:rPr>
        <w:footnoteRef/>
      </w:r>
      <w:r>
        <w:t xml:space="preserve"> </w:t>
      </w:r>
      <w:r>
        <w:tab/>
        <w:t>COM(2022) 600 final.</w:t>
      </w:r>
    </w:p>
  </w:footnote>
  <w:footnote w:id="26">
    <w:p w14:paraId="12286FFE" w14:textId="05AA8A86" w:rsidR="00D364FD" w:rsidRPr="00D364FD" w:rsidRDefault="00D364FD">
      <w:pPr>
        <w:pStyle w:val="FootnoteText"/>
      </w:pPr>
      <w:r>
        <w:rPr>
          <w:rStyle w:val="FootnoteReference"/>
        </w:rPr>
        <w:footnoteRef/>
      </w:r>
      <w:r>
        <w:tab/>
        <w:t>Συστάσεις του Συμβουλίου, της 14ης Ιουλίου 2023 (2023/C 312/01 έως 312/27) (ΕΕ C 312 της 1.9.2023, σ. 1).</w:t>
      </w:r>
    </w:p>
  </w:footnote>
  <w:footnote w:id="27">
    <w:p w14:paraId="005EB1D9" w14:textId="0FCECA31" w:rsidR="006213EA" w:rsidRPr="00D56DE0" w:rsidRDefault="006213EA" w:rsidP="00D231DB">
      <w:pPr>
        <w:pStyle w:val="FootnoteText"/>
      </w:pPr>
      <w:r>
        <w:rPr>
          <w:rStyle w:val="FootnoteReference"/>
        </w:rPr>
        <w:footnoteRef/>
      </w:r>
      <w:r>
        <w:tab/>
        <w:t>Στην ΕΕ, το δημοσιονομικό κόστος των προσωρινών μέτρων έκτακτης ανάγκης λόγω της νόσου COVID-19 εκτιμάται ότι μειώθηκε σε 0,7 % το 2022 από 3,3 % του ΑΕΠ τόσο το 2020 όσο και το 2021. Τα μέτρα που σχετίζονταν με την πανδημία καταργήθηκαν σταδιακά το 2023. Το κόστος της ανθρωπιστικής βοήθειας προς τους πρόσφυγες που προσπαθούν να ξεφύγουν από τον επιθετικό πόλεμο της Ρωσίας κατά της Ουκρανίας —το οποίο αναφέρεται ρητά στις δημοσιονομικές συστάσεις που εξέδωσε το Συμβούλιο το 2022— δεν υπερέβη το 0,1 % του ΑΕΠ της ΕΕ το 2023. Το κόστος των μέτρων για τον μετριασμό των οικονομικών και κοινωνικών επιπτώσεων των υψηλών τιμών ενέργειας ανήλθε σε 1,2 % του ΑΕΠ το 2022 και μειώθηκε στο 0,9 % του ΑΕΠ το 2023. Το 2024 οι δημοσιονομικές επιπτώσεις αναμένεται να μειωθούν στο 0,2 % του ΑΕΠ στην ΕΕ.</w:t>
      </w:r>
    </w:p>
  </w:footnote>
  <w:footnote w:id="28">
    <w:p w14:paraId="0D02887F" w14:textId="64DEAA99" w:rsidR="0004753B" w:rsidRPr="00A55519" w:rsidRDefault="0004753B">
      <w:pPr>
        <w:pStyle w:val="FootnoteText"/>
      </w:pPr>
      <w:r>
        <w:rPr>
          <w:rStyle w:val="FootnoteReference"/>
        </w:rPr>
        <w:footnoteRef/>
      </w:r>
      <w:r>
        <w:tab/>
        <w:t>Περαιτέρω ειδικές ανά χώρα παράμετροι εξετάζονται στο τμήμα 4.2.</w:t>
      </w:r>
    </w:p>
  </w:footnote>
  <w:footnote w:id="29">
    <w:p w14:paraId="144147E9" w14:textId="44A25FE5" w:rsidR="007532C6" w:rsidRPr="00F53FCD" w:rsidRDefault="00113DF4" w:rsidP="00F53FCD">
      <w:pPr>
        <w:spacing w:after="0" w:line="240" w:lineRule="auto"/>
        <w:ind w:left="709" w:hanging="709"/>
        <w:jc w:val="both"/>
      </w:pPr>
      <w:r>
        <w:rPr>
          <w:rStyle w:val="FootnoteReference"/>
          <w:rFonts w:eastAsiaTheme="minorHAnsi"/>
        </w:rPr>
        <w:footnoteRef/>
      </w:r>
      <w:r>
        <w:tab/>
      </w:r>
      <w:r>
        <w:rPr>
          <w:rFonts w:ascii="Times New Roman" w:hAnsi="Times New Roman"/>
          <w:sz w:val="20"/>
        </w:rPr>
        <w:t>Σύμφωνα με το άρθρο 2 παράγραφος 1 του κανονισμού (ΕΚ) αριθ. 1467/97, η υπέρβαση της τιμής αναφοράς για το δημοσιονομικό έλλειμμα θεωρείται έκτακτη, κατά την έννοια του άρθρου 126 παράγραφος 2 στοιχείο α) δεύτερη περίπτωση της Συνθήκης για τη λειτουργία της Ευρωπαϊκής Ένωσης (ΣΛΕΕ), όταν προέρχεται από την ύπαρξη σοβαρής οικονομικής ύφεσης στη ζώνη του ευρώ ή στην Ένωση ως σύνολο που διαπιστώθηκε από το Συμβούλιο σύμφωνα με το άρθρο 25 του κανονισμού (ΕΕ) 2024/1263 ή από εξαιρετικές περιστάσεις που εκφεύγουν του ελέγχου της κυβέρνησης και έχουν σημαντική επίπτωση στα δημόσια οικονομικά του συγκεκριμένου κράτους μέλους, σύμφωνα με το άρθρο 26 του εν λόγω κανονισμού. Το 2022 και το 2023 η οικονομική δραστηριότητα στην Εσθονία συρρικνώθηκε κατά 0,5 % και 3,0 %, γεγονός που συνέβαλε στην αύξηση του δημοσιονομικού ελλείμματος το 2023. Ο κανονισμός (ΕΕ) 2024/1263 άρχισε να ισχύει στις 30 Απριλίου 2024 και μέχρι σήμερα δεν έχουν κινηθεί διαδικασίες βάσει των άρθρων 25 και 26. Ωστόσο, η Επιτροπή θεωρεί ότι εξαιρετικές περιστάσεις που εκφεύγουν του ελέγχου της κυβέρνησης έχουν σημαντικό αντίκτυπο στα δημόσια οικονομικά της Εσθονίας, γεγονός που δικαιολογεί τον χαρακτηρισμό της υπέρβασης της τιμής αναφοράς για το δημοσιονομικό έλλειμμα ως έκτακτης. Η Επιτροπή θεωρεί ότι η προσέγγιση αυτή είναι δικαιολογημένη, λαμβάνοντας υπόψη την πρόσφατη μετάβαση στο νεοσυσταθέν πλαίσιο. Ωστόσο, το συμπέρασμα αυτό δεν δημιουργεί προηγούμενο.</w:t>
      </w:r>
    </w:p>
    <w:p w14:paraId="0F9540C5" w14:textId="27707303" w:rsidR="00113DF4" w:rsidRPr="00F53FCD" w:rsidRDefault="00A91B7B" w:rsidP="00F53FCD">
      <w:pPr>
        <w:spacing w:after="0" w:line="240" w:lineRule="auto"/>
        <w:ind w:left="720" w:hanging="720"/>
        <w:jc w:val="both"/>
      </w:pPr>
      <w:r>
        <w:rPr>
          <w:rFonts w:ascii="Times New Roman" w:hAnsi="Times New Roman"/>
          <w:sz w:val="20"/>
        </w:rPr>
        <w:t xml:space="preserve"> </w:t>
      </w:r>
    </w:p>
  </w:footnote>
  <w:footnote w:id="30">
    <w:p w14:paraId="337513F3" w14:textId="09C9AACB" w:rsidR="00AC6E27" w:rsidRPr="00952ADB" w:rsidRDefault="00AC6E27" w:rsidP="00213C82">
      <w:pPr>
        <w:pStyle w:val="FootnoteText"/>
      </w:pPr>
      <w:r>
        <w:rPr>
          <w:rStyle w:val="FootnoteReference"/>
        </w:rPr>
        <w:footnoteRef/>
      </w:r>
      <w:r>
        <w:tab/>
        <w:t xml:space="preserve">COM(2024) 601 PO/2024/4130. </w:t>
      </w:r>
    </w:p>
  </w:footnote>
  <w:footnote w:id="31">
    <w:p w14:paraId="3C5ED7FF" w14:textId="77777777" w:rsidR="009632D7" w:rsidRPr="005476B4" w:rsidRDefault="009632D7" w:rsidP="009632D7">
      <w:pPr>
        <w:spacing w:after="0" w:line="240" w:lineRule="auto"/>
        <w:ind w:left="709" w:hanging="709"/>
        <w:jc w:val="both"/>
      </w:pPr>
      <w:r>
        <w:rPr>
          <w:rStyle w:val="FootnoteReference"/>
          <w:rFonts w:eastAsiaTheme="minorHAnsi"/>
        </w:rPr>
        <w:footnoteRef/>
      </w:r>
      <w:r>
        <w:tab/>
      </w:r>
      <w:r>
        <w:rPr>
          <w:rFonts w:ascii="Times New Roman" w:hAnsi="Times New Roman"/>
          <w:sz w:val="20"/>
        </w:rPr>
        <w:t xml:space="preserve">Όσον αφορά τα άλλα κράτη μέλη, το ακαθάριστο δημόσιο χρέος υπερέβαινε επίσης την τιμή αναφοράς του 60 % στο τέλος του 2023 στη </w:t>
      </w:r>
      <w:r>
        <w:rPr>
          <w:rFonts w:ascii="Times New Roman" w:hAnsi="Times New Roman"/>
          <w:b/>
          <w:sz w:val="20"/>
        </w:rPr>
        <w:t>Γερμανία</w:t>
      </w:r>
      <w:r>
        <w:rPr>
          <w:rFonts w:ascii="Times New Roman" w:hAnsi="Times New Roman"/>
          <w:sz w:val="20"/>
        </w:rPr>
        <w:t xml:space="preserve">, την </w:t>
      </w:r>
      <w:r>
        <w:rPr>
          <w:rFonts w:ascii="Times New Roman" w:hAnsi="Times New Roman"/>
          <w:b/>
          <w:sz w:val="20"/>
        </w:rPr>
        <w:t>Ελλάδα</w:t>
      </w:r>
      <w:r>
        <w:rPr>
          <w:rFonts w:ascii="Times New Roman" w:hAnsi="Times New Roman"/>
          <w:sz w:val="20"/>
        </w:rPr>
        <w:t xml:space="preserve">, την </w:t>
      </w:r>
      <w:r>
        <w:rPr>
          <w:rFonts w:ascii="Times New Roman" w:hAnsi="Times New Roman"/>
          <w:b/>
          <w:sz w:val="20"/>
        </w:rPr>
        <w:t>Κροατία</w:t>
      </w:r>
      <w:r>
        <w:rPr>
          <w:rFonts w:ascii="Times New Roman" w:hAnsi="Times New Roman"/>
          <w:sz w:val="20"/>
        </w:rPr>
        <w:t xml:space="preserve">, την </w:t>
      </w:r>
      <w:r>
        <w:rPr>
          <w:rFonts w:ascii="Times New Roman" w:hAnsi="Times New Roman"/>
          <w:b/>
          <w:sz w:val="20"/>
        </w:rPr>
        <w:t>Κύπρο</w:t>
      </w:r>
      <w:r>
        <w:rPr>
          <w:rFonts w:ascii="Times New Roman" w:hAnsi="Times New Roman"/>
          <w:sz w:val="20"/>
        </w:rPr>
        <w:t xml:space="preserve">, την </w:t>
      </w:r>
      <w:r>
        <w:rPr>
          <w:rFonts w:ascii="Times New Roman" w:hAnsi="Times New Roman"/>
          <w:b/>
          <w:sz w:val="20"/>
        </w:rPr>
        <w:t xml:space="preserve">Αυστρία </w:t>
      </w:r>
      <w:r>
        <w:rPr>
          <w:rFonts w:ascii="Times New Roman" w:hAnsi="Times New Roman"/>
          <w:sz w:val="20"/>
        </w:rPr>
        <w:t xml:space="preserve">και την </w:t>
      </w:r>
      <w:r>
        <w:rPr>
          <w:rFonts w:ascii="Times New Roman" w:hAnsi="Times New Roman"/>
          <w:b/>
          <w:sz w:val="20"/>
        </w:rPr>
        <w:t>Πορτογαλία</w:t>
      </w:r>
      <w:r>
        <w:rPr>
          <w:rFonts w:ascii="Times New Roman" w:hAnsi="Times New Roman"/>
          <w:sz w:val="20"/>
        </w:rPr>
        <w:t>, και σε καθένα από αυτά ο δείκτης είχε μειωθεί από το τέλος του προηγούμενου έτους.</w:t>
      </w:r>
    </w:p>
  </w:footnote>
  <w:footnote w:id="32">
    <w:p w14:paraId="1A4DC6A6" w14:textId="2506B121" w:rsidR="00BC009C" w:rsidRPr="00952ADB" w:rsidRDefault="00BC009C">
      <w:pPr>
        <w:pStyle w:val="FootnoteText"/>
      </w:pPr>
      <w:r>
        <w:rPr>
          <w:rStyle w:val="FootnoteReference"/>
        </w:rPr>
        <w:footnoteRef/>
      </w:r>
      <w:r>
        <w:t xml:space="preserve"> </w:t>
      </w:r>
      <w:r>
        <w:tab/>
        <w:t xml:space="preserve">COM(2024) 601  PO/2024/4130. </w:t>
      </w:r>
    </w:p>
  </w:footnote>
  <w:footnote w:id="33">
    <w:p w14:paraId="34CF1311" w14:textId="77777777" w:rsidR="00C97C7C" w:rsidRPr="001923A6" w:rsidRDefault="00C97C7C" w:rsidP="00012701">
      <w:pPr>
        <w:pStyle w:val="FootnoteText"/>
      </w:pPr>
      <w:r>
        <w:rPr>
          <w:rStyle w:val="FootnoteReference"/>
        </w:rPr>
        <w:footnoteRef/>
      </w:r>
      <w:r>
        <w:tab/>
        <w:t>Ο δημοσιονομικός προσανατολισμός αποσκοπεί στην αξιολόγηση της οικονομικής ώθησης που απορρέει από τις δημοσιονομικές πολιτικές, τόσο αυτές που χρηματοδοτούνται σε εθνικό επίπεδο όσο και αυτές που χρηματοδοτούνται από τον προϋπολογισμό της ΕΕ.</w:t>
      </w:r>
    </w:p>
  </w:footnote>
  <w:footnote w:id="34">
    <w:p w14:paraId="26040CA2" w14:textId="21CC72BD" w:rsidR="009A42E7" w:rsidRPr="00012701" w:rsidRDefault="009A42E7" w:rsidP="00012701">
      <w:pPr>
        <w:spacing w:after="0" w:line="259" w:lineRule="auto"/>
        <w:ind w:left="709" w:hanging="709"/>
        <w:jc w:val="both"/>
        <w:rPr>
          <w:sz w:val="20"/>
          <w:szCs w:val="20"/>
        </w:rPr>
      </w:pPr>
      <w:r>
        <w:rPr>
          <w:rStyle w:val="FootnoteReference"/>
          <w:rFonts w:eastAsiaTheme="minorHAnsi"/>
        </w:rPr>
        <w:footnoteRef/>
      </w:r>
      <w:r>
        <w:rPr>
          <w:rFonts w:ascii="Times New Roman" w:hAnsi="Times New Roman"/>
          <w:sz w:val="20"/>
        </w:rPr>
        <w:t xml:space="preserve"> </w:t>
      </w:r>
      <w:r>
        <w:tab/>
      </w:r>
      <w:r>
        <w:rPr>
          <w:rFonts w:ascii="Times New Roman" w:hAnsi="Times New Roman"/>
          <w:sz w:val="20"/>
        </w:rPr>
        <w:t>Η αντίστοιχη προθεσμία υποβολής εκθέσεων στο πρόγραμμα διαβίβασης στοιχείων του ΕΣΛ είναι t + 12 μήνες, η οποία πρέπει να μειωθεί σε t + 11 μήνες από τον Σεπτέμβριο του 2024. Λαμβανομένης υπόψη της ανάγκης της Eurostat να επικυρώνει και να επεξεργάζεται τα δεδομένα, αυτό σημαίνει ότι τα στοιχεία δημοσιοποιούνται κατά την περίοδο Ιανουαρίου-Φεβρουαρίου του έτους t + 2.</w:t>
      </w:r>
    </w:p>
  </w:footnote>
  <w:footnote w:id="35">
    <w:p w14:paraId="4CED92B8" w14:textId="5AC0B7F8" w:rsidR="00766A12" w:rsidRPr="0032792E" w:rsidRDefault="00766A12" w:rsidP="00012701">
      <w:pPr>
        <w:pStyle w:val="FootnoteText"/>
      </w:pPr>
      <w:r>
        <w:rPr>
          <w:rStyle w:val="FootnoteReference"/>
        </w:rPr>
        <w:footnoteRef/>
      </w:r>
      <w:r>
        <w:tab/>
        <w:t>Η ανάλυση της βιωσιμότητας του χρέους επικαιροποιήθηκε σε σύγκριση με την έκθεση δημοσιονομικής βιωσιμότητας 2021 (European Economy-Institutional Papers 171) και πλέον αποτυπώνει τις πιο πρόσφατες προβλέψεις της Επιτροπής. Βλ. την ανακοίνωση σχετικά με τα κύρια στοιχεία της εαρινής δέσμης του Ευρωπαϊκού Εξαμήνου 2024 [COM(2024) 600 final] και τις συστάσεις της Επιτροπής για συστάσεις του Συμβουλίου [COM(2024) 601 έως 627]. Για την τελευταία αξιολόγηση από την Επιτροπή των κρατών μελών που αντιμετωπίζουν ανισορροπίες ή υπερβολικές ανισορροπίες, βλ. τις αντίστοιχες εμπεριστατωμένες επισκοπήσεις [SWD(2024) 80 έως 85 και 100 έως 105]. Για την αξιολόγηση των κινδύνων βιωσιμότητας του χρέους σε όλα τα κράτη μέλη που εξετάζονται στην παρούσα έκθεση, βλ. τα παραρτήματα σχετικά με την ανάλυση της βιωσιμότητας του χρέους στις εκθέσεις ανά χώρα [SWD(2024) 601 έως 627].</w:t>
      </w:r>
    </w:p>
  </w:footnote>
  <w:footnote w:id="36">
    <w:p w14:paraId="5C263C0C" w14:textId="77777777" w:rsidR="007C57B6" w:rsidRPr="00D05C3B" w:rsidRDefault="007C57B6" w:rsidP="007C57B6">
      <w:pPr>
        <w:pStyle w:val="FootnoteText"/>
      </w:pPr>
      <w:r>
        <w:rPr>
          <w:rStyle w:val="FootnoteReference"/>
        </w:rPr>
        <w:footnoteRef/>
      </w:r>
      <w:r>
        <w:t xml:space="preserve"> </w:t>
      </w:r>
      <w:hyperlink r:id="rId3" w:history="1">
        <w:r>
          <w:rPr>
            <w:rStyle w:val="Hyperlink"/>
            <w:color w:val="auto"/>
          </w:rPr>
          <w:t>https://www.riigikogu.ee/tegevus/eelnoud/eelnou/a17529fc-9cd3-46a0-bc61-2f0ef5c7edb4/2024.-aasta-lisaeelarve-seadus/</w:t>
        </w:r>
      </w:hyperlink>
      <w:r>
        <w:t>.</w:t>
      </w:r>
    </w:p>
  </w:footnote>
  <w:footnote w:id="37">
    <w:p w14:paraId="0F3845D2" w14:textId="650C3C28" w:rsidR="00215CC8" w:rsidRPr="00215CC8" w:rsidRDefault="00215CC8" w:rsidP="0022372C">
      <w:pPr>
        <w:pStyle w:val="FootnoteText"/>
      </w:pPr>
      <w:r>
        <w:rPr>
          <w:rStyle w:val="FootnoteReference"/>
        </w:rPr>
        <w:footnoteRef/>
      </w:r>
      <w:r>
        <w:tab/>
        <w:t xml:space="preserve">Κατά τον χρόνο δημοσίευσης της παρούσας έκθεσης, πραγματοποιούνται επαφές μεταξύ της εθνικής στατιστικής υπηρεσίας της Εσθονίας και της Eurostat για τον καθορισμό του χρόνου καταγραφής των στρατιωτικών δαπανών. Εκκρεμεί ανεξάρτητη απόφαση της Eurostat για το θέμα αυτό. </w:t>
      </w:r>
    </w:p>
  </w:footnote>
  <w:footnote w:id="38">
    <w:p w14:paraId="2021BD0A" w14:textId="77777777" w:rsidR="00381C5C" w:rsidRPr="009B60D0" w:rsidRDefault="00381C5C" w:rsidP="00381C5C">
      <w:pPr>
        <w:pStyle w:val="FootnoteText"/>
      </w:pPr>
      <w:r>
        <w:t>(</w:t>
      </w:r>
      <w:r>
        <w:rPr>
          <w:rStyle w:val="FootnoteReference"/>
        </w:rPr>
        <w:footnoteRef/>
      </w:r>
      <w:r>
        <w:t>)</w:t>
      </w:r>
      <w:r>
        <w:tab/>
        <w:t>Το ποσοστό αυτό αντιπροσωπεύει το επίπεδο του ετήσιου δημοσιονομικού κόστους των εν λόγω μέτρων, συμπεριλαμβανομένων των εσόδων και των δαπανών και, κατά περίπτωση, χωρίς τα έσοδα από φόρους επί των απροσδόκητων κερδών των προμηθευτών ενέργειας.</w:t>
      </w:r>
    </w:p>
  </w:footnote>
  <w:footnote w:id="39">
    <w:p w14:paraId="46D9C50A" w14:textId="242AFEB1" w:rsidR="00A07B8F" w:rsidRPr="00A07B8F" w:rsidRDefault="00A07B8F" w:rsidP="00675F75">
      <w:pPr>
        <w:pStyle w:val="FootnoteText"/>
        <w:ind w:left="284" w:hanging="284"/>
      </w:pPr>
      <w:r>
        <w:rPr>
          <w:rStyle w:val="FootnoteReference"/>
        </w:rPr>
        <w:footnoteRef/>
      </w:r>
      <w:r>
        <w:t xml:space="preserve"> Σύμφωνα με τις εαρινές προβλέψεις 2024 της Επιτροπής για τη Σλοβενία, οι εθνικά χρηματοδοτούμενες δαπάνες για την ανασυγκρότηση μετά τις πλημμύρες του Αυγούστου 2023 ανέρχονται στο 0,7 % του ΑΕΠ. </w:t>
      </w:r>
    </w:p>
  </w:footnote>
  <w:footnote w:id="40">
    <w:p w14:paraId="4EB9ED1F" w14:textId="77777777" w:rsidR="003A49FB" w:rsidRPr="009B60D0" w:rsidRDefault="003A49FB" w:rsidP="003A49FB">
      <w:pPr>
        <w:pStyle w:val="FootnoteText"/>
        <w:ind w:left="284" w:hanging="284"/>
      </w:pPr>
      <w:r>
        <w:rPr>
          <w:rStyle w:val="FootnoteReference"/>
        </w:rPr>
        <w:footnoteRef/>
      </w:r>
      <w:r>
        <w:tab/>
        <w:t>Για τη μέτρηση της συμβολής αυτής χρησιμοποιείται η μεταβολή των πρωτογενών δαπανών της γενικής κυβέρνησης, χωρίς (i) τις πρόσθετες δημοσιονομικές επιπτώσεις των μέτρων διακριτικής ευχέρειας στο σκέλος των εσόδων, (ii) τις έκτακτες δαπάνες, (iii) τις δαπάνες για την κυκλική ανεργία και (iv) τις δαπάνες που χρηματοδοτούνται με μη επιστρεπτέα στήριξη (επιχορηγήσεις) από τον μηχανισμό ανάκαμψης και ανθεκτικότητας και άλλα ταμεία της ΕΕ, σε σχέση με τον μεσοπρόθεσμο (10ετή) μέσο ρυθμό αύξησης του δυνητικού ονομαστικού ΑΕΠ, εκφραζόμενη ως ποσοστό του ονομαστικού ΑΕΠ.</w:t>
      </w:r>
    </w:p>
  </w:footnote>
  <w:footnote w:id="41">
    <w:p w14:paraId="423B5D73" w14:textId="77777777" w:rsidR="00B4181F" w:rsidRPr="009B60D0" w:rsidRDefault="00B4181F" w:rsidP="00B4181F">
      <w:pPr>
        <w:pStyle w:val="FootnoteText"/>
        <w:spacing w:before="120" w:after="120"/>
        <w:ind w:left="284" w:hanging="284"/>
      </w:pPr>
      <w:r>
        <w:rPr>
          <w:rStyle w:val="FootnoteReference"/>
        </w:rPr>
        <w:footnoteRef/>
      </w:r>
      <w:r>
        <w:tab/>
        <w:t>Το ποσοστό αυτό αντιπροσωπεύει το επίπεδο του ετήσιου δημοσιονομικού κόστους των εν λόγω μέτρων, συμπεριλαμβανομένων των εσόδων και των δαπανών και, κατά περίπτωση, χωρίς τα έσοδα από φόρους επί των απροσδόκητων κερδών των προμηθευτών ενέργειας.</w:t>
      </w:r>
    </w:p>
  </w:footnote>
  <w:footnote w:id="42">
    <w:p w14:paraId="15B614C1" w14:textId="77777777" w:rsidR="007230A0" w:rsidRPr="00E756CA" w:rsidRDefault="007230A0" w:rsidP="007230A0">
      <w:pPr>
        <w:pStyle w:val="FootnoteText"/>
      </w:pPr>
      <w:r>
        <w:rPr>
          <w:rStyle w:val="FootnoteReference"/>
        </w:rPr>
        <w:footnoteRef/>
      </w:r>
      <w:r>
        <w:tab/>
        <w:t>Η ταξινόμηση των κρατικών λειτουργιών (COFOG) ταξινομεί τα στοιχεία για τις δημόσιες δαπάνες από το ΕΣΛ με βάση τον σκοπό για τον οποίο χρησιμοποιούνται τα κεφάλαια.</w:t>
      </w:r>
    </w:p>
  </w:footnote>
  <w:footnote w:id="43">
    <w:p w14:paraId="0546FD5E" w14:textId="7D249871" w:rsidR="007230A0" w:rsidRPr="005E7962" w:rsidRDefault="007230A0" w:rsidP="007230A0">
      <w:pPr>
        <w:pStyle w:val="FootnoteText"/>
        <w:rPr>
          <w:lang w:val="en-IE"/>
        </w:rPr>
      </w:pPr>
      <w:r>
        <w:rPr>
          <w:rStyle w:val="FootnoteReference"/>
        </w:rPr>
        <w:footnoteRef/>
      </w:r>
      <w:r w:rsidRPr="005E7962">
        <w:rPr>
          <w:lang w:val="en-IE"/>
        </w:rPr>
        <w:tab/>
      </w:r>
      <w:r>
        <w:t>Βλ</w:t>
      </w:r>
      <w:r w:rsidRPr="005E7962">
        <w:rPr>
          <w:lang w:val="en-IE"/>
        </w:rPr>
        <w:t xml:space="preserve">. </w:t>
      </w:r>
      <w:r w:rsidRPr="005E7962">
        <w:rPr>
          <w:rStyle w:val="Footnote1"/>
          <w:lang w:val="en-IE"/>
        </w:rPr>
        <w:t xml:space="preserve">Eurostat (2023), </w:t>
      </w:r>
      <w:hyperlink r:id="rId4" w:history="1">
        <w:r w:rsidRPr="005E7962">
          <w:rPr>
            <w:rStyle w:val="Footnote1"/>
            <w:i/>
            <w:lang w:val="en-IE"/>
          </w:rPr>
          <w:t>Advice on recording of 2023 Superbonus</w:t>
        </w:r>
      </w:hyperlink>
      <w:r w:rsidRPr="005E7962">
        <w:rPr>
          <w:rStyle w:val="Footnote1"/>
          <w:lang w:val="en-IE"/>
        </w:rPr>
        <w:t xml:space="preserve"> </w:t>
      </w:r>
      <w:hyperlink r:id="rId5" w:history="1">
        <w:r w:rsidRPr="005E7962">
          <w:rPr>
            <w:rStyle w:val="Hyperlink"/>
            <w:lang w:val="en-IE"/>
          </w:rPr>
          <w:t>IT+Advice+on+recording+of+2023+Superbonus.pdf (europa.eu)</w:t>
        </w:r>
      </w:hyperlink>
      <w:r w:rsidRPr="005E7962">
        <w:rPr>
          <w:lang w:val="en-IE"/>
        </w:rPr>
        <w:t>.</w:t>
      </w:r>
    </w:p>
  </w:footnote>
  <w:footnote w:id="44">
    <w:p w14:paraId="0C9F0BA4" w14:textId="77777777" w:rsidR="00AA2B3F" w:rsidRPr="004609D0" w:rsidRDefault="00AA2B3F" w:rsidP="00AA2B3F">
      <w:pPr>
        <w:pStyle w:val="FootnoteText"/>
        <w:spacing w:before="120" w:after="120"/>
        <w:ind w:left="709" w:hanging="709"/>
      </w:pPr>
      <w:r>
        <w:rPr>
          <w:rStyle w:val="FootnoteReference"/>
        </w:rPr>
        <w:footnoteRef/>
      </w:r>
      <w:r>
        <w:tab/>
        <w:t>Κατά τη στρογγυλοποίηση στο πρώτο δεκαδικό ψηφίο, η διαφορά των εθνικά χρηματοδοτούμενων δημόσιων επενδύσεων μεταξύ 2024 και 2023 είναι 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16B4" w14:textId="77777777" w:rsidR="00281140" w:rsidRPr="00281140" w:rsidRDefault="00281140" w:rsidP="0028114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35AA" w14:textId="77777777" w:rsidR="00281140" w:rsidRPr="00281140" w:rsidRDefault="00281140" w:rsidP="0028114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BB02" w14:textId="77777777" w:rsidR="00281140" w:rsidRPr="00281140" w:rsidRDefault="00281140" w:rsidP="0028114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0AD0" w14:textId="77777777" w:rsidR="007C3F1A" w:rsidRDefault="007C3F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2C3B" w14:textId="77777777" w:rsidR="007C3F1A" w:rsidRDefault="007C3F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D2C2" w14:textId="77777777" w:rsidR="007C3F1A" w:rsidRDefault="007C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B2D"/>
    <w:multiLevelType w:val="hybridMultilevel"/>
    <w:tmpl w:val="CF6E602A"/>
    <w:lvl w:ilvl="0" w:tplc="3EB40B1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B6D298"/>
    <w:multiLevelType w:val="hybridMultilevel"/>
    <w:tmpl w:val="FFFFFFFF"/>
    <w:lvl w:ilvl="0" w:tplc="FCD409D0">
      <w:start w:val="1"/>
      <w:numFmt w:val="decimal"/>
      <w:lvlText w:val="%1."/>
      <w:lvlJc w:val="left"/>
      <w:pPr>
        <w:ind w:left="720" w:hanging="360"/>
      </w:pPr>
    </w:lvl>
    <w:lvl w:ilvl="1" w:tplc="F1ACDFE0">
      <w:start w:val="1"/>
      <w:numFmt w:val="lowerLetter"/>
      <w:lvlText w:val="%2."/>
      <w:lvlJc w:val="left"/>
      <w:pPr>
        <w:ind w:left="1440" w:hanging="360"/>
      </w:pPr>
    </w:lvl>
    <w:lvl w:ilvl="2" w:tplc="0ECE57AA">
      <w:start w:val="1"/>
      <w:numFmt w:val="lowerRoman"/>
      <w:lvlText w:val="%3."/>
      <w:lvlJc w:val="right"/>
      <w:pPr>
        <w:ind w:left="2160" w:hanging="180"/>
      </w:pPr>
    </w:lvl>
    <w:lvl w:ilvl="3" w:tplc="9B8E1770">
      <w:start w:val="10"/>
      <w:numFmt w:val="decimal"/>
      <w:lvlText w:val="%4."/>
      <w:lvlJc w:val="left"/>
      <w:pPr>
        <w:ind w:left="3240" w:hanging="360"/>
      </w:pPr>
      <w:rPr>
        <w:rFonts w:ascii="Times New Roman" w:hAnsi="Times New Roman" w:hint="default"/>
      </w:rPr>
    </w:lvl>
    <w:lvl w:ilvl="4" w:tplc="6D04BD7C">
      <w:start w:val="1"/>
      <w:numFmt w:val="lowerLetter"/>
      <w:lvlText w:val="%5."/>
      <w:lvlJc w:val="left"/>
      <w:pPr>
        <w:ind w:left="3600" w:hanging="360"/>
      </w:pPr>
    </w:lvl>
    <w:lvl w:ilvl="5" w:tplc="B9683B2A">
      <w:start w:val="1"/>
      <w:numFmt w:val="lowerRoman"/>
      <w:lvlText w:val="%6."/>
      <w:lvlJc w:val="right"/>
      <w:pPr>
        <w:ind w:left="4320" w:hanging="180"/>
      </w:pPr>
    </w:lvl>
    <w:lvl w:ilvl="6" w:tplc="3B687462">
      <w:start w:val="1"/>
      <w:numFmt w:val="decimal"/>
      <w:lvlText w:val="%7."/>
      <w:lvlJc w:val="left"/>
      <w:pPr>
        <w:ind w:left="5040" w:hanging="360"/>
      </w:pPr>
    </w:lvl>
    <w:lvl w:ilvl="7" w:tplc="45CCFA9C">
      <w:start w:val="1"/>
      <w:numFmt w:val="lowerLetter"/>
      <w:lvlText w:val="%8."/>
      <w:lvlJc w:val="left"/>
      <w:pPr>
        <w:ind w:left="5760" w:hanging="360"/>
      </w:pPr>
    </w:lvl>
    <w:lvl w:ilvl="8" w:tplc="E5DA7F2A">
      <w:start w:val="1"/>
      <w:numFmt w:val="lowerRoman"/>
      <w:lvlText w:val="%9."/>
      <w:lvlJc w:val="right"/>
      <w:pPr>
        <w:ind w:left="6480" w:hanging="180"/>
      </w:pPr>
    </w:lvl>
  </w:abstractNum>
  <w:abstractNum w:abstractNumId="2" w15:restartNumberingAfterBreak="0">
    <w:nsid w:val="07B8A24C"/>
    <w:multiLevelType w:val="hybridMultilevel"/>
    <w:tmpl w:val="FFFFFFFF"/>
    <w:lvl w:ilvl="0" w:tplc="772EA92C">
      <w:start w:val="1"/>
      <w:numFmt w:val="bullet"/>
      <w:lvlText w:val=""/>
      <w:lvlJc w:val="left"/>
      <w:pPr>
        <w:ind w:left="720" w:hanging="360"/>
      </w:pPr>
      <w:rPr>
        <w:rFonts w:ascii="Symbol" w:hAnsi="Symbol" w:hint="default"/>
      </w:rPr>
    </w:lvl>
    <w:lvl w:ilvl="1" w:tplc="8716F4E6">
      <w:start w:val="1"/>
      <w:numFmt w:val="bullet"/>
      <w:lvlText w:val="o"/>
      <w:lvlJc w:val="left"/>
      <w:pPr>
        <w:ind w:left="1440" w:hanging="360"/>
      </w:pPr>
      <w:rPr>
        <w:rFonts w:ascii="Courier New" w:hAnsi="Courier New" w:hint="default"/>
      </w:rPr>
    </w:lvl>
    <w:lvl w:ilvl="2" w:tplc="9E7217FA">
      <w:start w:val="1"/>
      <w:numFmt w:val="bullet"/>
      <w:lvlText w:val=""/>
      <w:lvlJc w:val="left"/>
      <w:pPr>
        <w:ind w:left="2160" w:hanging="360"/>
      </w:pPr>
      <w:rPr>
        <w:rFonts w:ascii="Wingdings" w:hAnsi="Wingdings" w:hint="default"/>
      </w:rPr>
    </w:lvl>
    <w:lvl w:ilvl="3" w:tplc="4B0A4ED4">
      <w:start w:val="1"/>
      <w:numFmt w:val="bullet"/>
      <w:lvlText w:val=""/>
      <w:lvlJc w:val="left"/>
      <w:pPr>
        <w:ind w:left="2880" w:hanging="360"/>
      </w:pPr>
      <w:rPr>
        <w:rFonts w:ascii="Symbol" w:hAnsi="Symbol" w:hint="default"/>
      </w:rPr>
    </w:lvl>
    <w:lvl w:ilvl="4" w:tplc="85B05A48">
      <w:start w:val="1"/>
      <w:numFmt w:val="bullet"/>
      <w:lvlText w:val="o"/>
      <w:lvlJc w:val="left"/>
      <w:pPr>
        <w:ind w:left="3600" w:hanging="360"/>
      </w:pPr>
      <w:rPr>
        <w:rFonts w:ascii="Courier New" w:hAnsi="Courier New" w:hint="default"/>
      </w:rPr>
    </w:lvl>
    <w:lvl w:ilvl="5" w:tplc="E5E05BCC">
      <w:start w:val="1"/>
      <w:numFmt w:val="bullet"/>
      <w:lvlText w:val=""/>
      <w:lvlJc w:val="left"/>
      <w:pPr>
        <w:ind w:left="4320" w:hanging="360"/>
      </w:pPr>
      <w:rPr>
        <w:rFonts w:ascii="Wingdings" w:hAnsi="Wingdings" w:hint="default"/>
      </w:rPr>
    </w:lvl>
    <w:lvl w:ilvl="6" w:tplc="3EF808C4">
      <w:start w:val="1"/>
      <w:numFmt w:val="bullet"/>
      <w:lvlText w:val=""/>
      <w:lvlJc w:val="left"/>
      <w:pPr>
        <w:ind w:left="5040" w:hanging="360"/>
      </w:pPr>
      <w:rPr>
        <w:rFonts w:ascii="Symbol" w:hAnsi="Symbol" w:hint="default"/>
      </w:rPr>
    </w:lvl>
    <w:lvl w:ilvl="7" w:tplc="882686BA">
      <w:start w:val="1"/>
      <w:numFmt w:val="bullet"/>
      <w:lvlText w:val="o"/>
      <w:lvlJc w:val="left"/>
      <w:pPr>
        <w:ind w:left="5760" w:hanging="360"/>
      </w:pPr>
      <w:rPr>
        <w:rFonts w:ascii="Courier New" w:hAnsi="Courier New" w:hint="default"/>
      </w:rPr>
    </w:lvl>
    <w:lvl w:ilvl="8" w:tplc="F93893B4">
      <w:start w:val="1"/>
      <w:numFmt w:val="bullet"/>
      <w:lvlText w:val=""/>
      <w:lvlJc w:val="left"/>
      <w:pPr>
        <w:ind w:left="6480" w:hanging="360"/>
      </w:pPr>
      <w:rPr>
        <w:rFonts w:ascii="Wingdings" w:hAnsi="Wingdings" w:hint="default"/>
      </w:rPr>
    </w:lvl>
  </w:abstractNum>
  <w:abstractNum w:abstractNumId="3" w15:restartNumberingAfterBreak="0">
    <w:nsid w:val="13A67B89"/>
    <w:multiLevelType w:val="hybridMultilevel"/>
    <w:tmpl w:val="F36AD6B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A1597E3"/>
    <w:multiLevelType w:val="hybridMultilevel"/>
    <w:tmpl w:val="FFFFFFFF"/>
    <w:lvl w:ilvl="0" w:tplc="75CA270A">
      <w:start w:val="12"/>
      <w:numFmt w:val="decimal"/>
      <w:lvlText w:val="%1."/>
      <w:lvlJc w:val="left"/>
      <w:pPr>
        <w:ind w:left="720" w:hanging="360"/>
      </w:pPr>
    </w:lvl>
    <w:lvl w:ilvl="1" w:tplc="30547BF8">
      <w:start w:val="1"/>
      <w:numFmt w:val="lowerLetter"/>
      <w:lvlText w:val="%2."/>
      <w:lvlJc w:val="left"/>
      <w:pPr>
        <w:ind w:left="1440" w:hanging="360"/>
      </w:pPr>
    </w:lvl>
    <w:lvl w:ilvl="2" w:tplc="521EDFC2">
      <w:start w:val="1"/>
      <w:numFmt w:val="lowerRoman"/>
      <w:lvlText w:val="%3."/>
      <w:lvlJc w:val="right"/>
      <w:pPr>
        <w:ind w:left="2160" w:hanging="180"/>
      </w:pPr>
    </w:lvl>
    <w:lvl w:ilvl="3" w:tplc="B9AEFF7E">
      <w:start w:val="1"/>
      <w:numFmt w:val="decimal"/>
      <w:lvlText w:val="%4."/>
      <w:lvlJc w:val="left"/>
      <w:pPr>
        <w:ind w:left="2880" w:hanging="360"/>
      </w:pPr>
    </w:lvl>
    <w:lvl w:ilvl="4" w:tplc="4B22B680">
      <w:start w:val="1"/>
      <w:numFmt w:val="lowerLetter"/>
      <w:lvlText w:val="%5."/>
      <w:lvlJc w:val="left"/>
      <w:pPr>
        <w:ind w:left="3600" w:hanging="360"/>
      </w:pPr>
    </w:lvl>
    <w:lvl w:ilvl="5" w:tplc="E7368324">
      <w:start w:val="1"/>
      <w:numFmt w:val="lowerRoman"/>
      <w:lvlText w:val="%6."/>
      <w:lvlJc w:val="right"/>
      <w:pPr>
        <w:ind w:left="4320" w:hanging="180"/>
      </w:pPr>
    </w:lvl>
    <w:lvl w:ilvl="6" w:tplc="8DEC3D72">
      <w:start w:val="1"/>
      <w:numFmt w:val="decimal"/>
      <w:lvlText w:val="%7."/>
      <w:lvlJc w:val="left"/>
      <w:pPr>
        <w:ind w:left="5040" w:hanging="360"/>
      </w:pPr>
    </w:lvl>
    <w:lvl w:ilvl="7" w:tplc="BEAA1B60">
      <w:start w:val="1"/>
      <w:numFmt w:val="lowerLetter"/>
      <w:lvlText w:val="%8."/>
      <w:lvlJc w:val="left"/>
      <w:pPr>
        <w:ind w:left="5760" w:hanging="360"/>
      </w:pPr>
    </w:lvl>
    <w:lvl w:ilvl="8" w:tplc="AD9A768A">
      <w:start w:val="1"/>
      <w:numFmt w:val="lowerRoman"/>
      <w:lvlText w:val="%9."/>
      <w:lvlJc w:val="right"/>
      <w:pPr>
        <w:ind w:left="6480" w:hanging="180"/>
      </w:pPr>
    </w:lvl>
  </w:abstractNum>
  <w:abstractNum w:abstractNumId="5" w15:restartNumberingAfterBreak="0">
    <w:nsid w:val="1FC9D3BA"/>
    <w:multiLevelType w:val="hybridMultilevel"/>
    <w:tmpl w:val="FFFFFFFF"/>
    <w:lvl w:ilvl="0" w:tplc="5F76C692">
      <w:start w:val="12"/>
      <w:numFmt w:val="decimal"/>
      <w:lvlText w:val="%1."/>
      <w:lvlJc w:val="left"/>
      <w:pPr>
        <w:ind w:left="720" w:hanging="360"/>
      </w:pPr>
    </w:lvl>
    <w:lvl w:ilvl="1" w:tplc="8C26F3BA">
      <w:start w:val="1"/>
      <w:numFmt w:val="lowerLetter"/>
      <w:lvlText w:val="%2."/>
      <w:lvlJc w:val="left"/>
      <w:pPr>
        <w:ind w:left="1440" w:hanging="360"/>
      </w:pPr>
    </w:lvl>
    <w:lvl w:ilvl="2" w:tplc="EB828020">
      <w:start w:val="1"/>
      <w:numFmt w:val="lowerRoman"/>
      <w:lvlText w:val="%3."/>
      <w:lvlJc w:val="right"/>
      <w:pPr>
        <w:ind w:left="2160" w:hanging="180"/>
      </w:pPr>
    </w:lvl>
    <w:lvl w:ilvl="3" w:tplc="B9684370">
      <w:start w:val="1"/>
      <w:numFmt w:val="decimal"/>
      <w:lvlText w:val="%4."/>
      <w:lvlJc w:val="left"/>
      <w:pPr>
        <w:ind w:left="2880" w:hanging="360"/>
      </w:pPr>
    </w:lvl>
    <w:lvl w:ilvl="4" w:tplc="9E70A5F4">
      <w:start w:val="1"/>
      <w:numFmt w:val="lowerLetter"/>
      <w:lvlText w:val="%5."/>
      <w:lvlJc w:val="left"/>
      <w:pPr>
        <w:ind w:left="3600" w:hanging="360"/>
      </w:pPr>
    </w:lvl>
    <w:lvl w:ilvl="5" w:tplc="FA3469CC">
      <w:start w:val="1"/>
      <w:numFmt w:val="lowerRoman"/>
      <w:lvlText w:val="%6."/>
      <w:lvlJc w:val="right"/>
      <w:pPr>
        <w:ind w:left="4320" w:hanging="180"/>
      </w:pPr>
    </w:lvl>
    <w:lvl w:ilvl="6" w:tplc="213EB1D0">
      <w:start w:val="1"/>
      <w:numFmt w:val="decimal"/>
      <w:lvlText w:val="%7."/>
      <w:lvlJc w:val="left"/>
      <w:pPr>
        <w:ind w:left="5040" w:hanging="360"/>
      </w:pPr>
    </w:lvl>
    <w:lvl w:ilvl="7" w:tplc="132A818C">
      <w:start w:val="1"/>
      <w:numFmt w:val="lowerLetter"/>
      <w:lvlText w:val="%8."/>
      <w:lvlJc w:val="left"/>
      <w:pPr>
        <w:ind w:left="5760" w:hanging="360"/>
      </w:pPr>
    </w:lvl>
    <w:lvl w:ilvl="8" w:tplc="3B6AA2F4">
      <w:start w:val="1"/>
      <w:numFmt w:val="lowerRoman"/>
      <w:lvlText w:val="%9."/>
      <w:lvlJc w:val="right"/>
      <w:pPr>
        <w:ind w:left="6480" w:hanging="180"/>
      </w:pPr>
    </w:lvl>
  </w:abstractNum>
  <w:abstractNum w:abstractNumId="6" w15:restartNumberingAfterBreak="0">
    <w:nsid w:val="243812C3"/>
    <w:multiLevelType w:val="hybridMultilevel"/>
    <w:tmpl w:val="89EC9F9A"/>
    <w:lvl w:ilvl="0" w:tplc="74567E74">
      <w:start w:val="18"/>
      <w:numFmt w:val="decimal"/>
      <w:lvlText w:val="%1."/>
      <w:lvlJc w:val="left"/>
      <w:pPr>
        <w:ind w:left="360" w:hanging="360"/>
      </w:pPr>
    </w:lvl>
    <w:lvl w:ilvl="1" w:tplc="85AECC9C">
      <w:start w:val="1"/>
      <w:numFmt w:val="lowerLetter"/>
      <w:lvlText w:val="%2."/>
      <w:lvlJc w:val="left"/>
      <w:pPr>
        <w:ind w:left="1440" w:hanging="360"/>
      </w:pPr>
    </w:lvl>
    <w:lvl w:ilvl="2" w:tplc="0B88D298">
      <w:start w:val="1"/>
      <w:numFmt w:val="lowerRoman"/>
      <w:lvlText w:val="%3."/>
      <w:lvlJc w:val="right"/>
      <w:pPr>
        <w:ind w:left="2160" w:hanging="180"/>
      </w:pPr>
    </w:lvl>
    <w:lvl w:ilvl="3" w:tplc="B8BA51EA">
      <w:start w:val="1"/>
      <w:numFmt w:val="decimal"/>
      <w:lvlText w:val="%4."/>
      <w:lvlJc w:val="left"/>
      <w:pPr>
        <w:ind w:left="2880" w:hanging="360"/>
      </w:pPr>
    </w:lvl>
    <w:lvl w:ilvl="4" w:tplc="F23A4B7E">
      <w:start w:val="1"/>
      <w:numFmt w:val="lowerLetter"/>
      <w:lvlText w:val="%5."/>
      <w:lvlJc w:val="left"/>
      <w:pPr>
        <w:ind w:left="3600" w:hanging="360"/>
      </w:pPr>
    </w:lvl>
    <w:lvl w:ilvl="5" w:tplc="B4A6C4CA">
      <w:start w:val="1"/>
      <w:numFmt w:val="lowerRoman"/>
      <w:lvlText w:val="%6."/>
      <w:lvlJc w:val="right"/>
      <w:pPr>
        <w:ind w:left="4320" w:hanging="180"/>
      </w:pPr>
    </w:lvl>
    <w:lvl w:ilvl="6" w:tplc="1494BBFC">
      <w:start w:val="1"/>
      <w:numFmt w:val="decimal"/>
      <w:lvlText w:val="%7."/>
      <w:lvlJc w:val="left"/>
      <w:pPr>
        <w:ind w:left="5040" w:hanging="360"/>
      </w:pPr>
    </w:lvl>
    <w:lvl w:ilvl="7" w:tplc="37BC722C">
      <w:start w:val="1"/>
      <w:numFmt w:val="lowerLetter"/>
      <w:lvlText w:val="%8."/>
      <w:lvlJc w:val="left"/>
      <w:pPr>
        <w:ind w:left="5760" w:hanging="360"/>
      </w:pPr>
    </w:lvl>
    <w:lvl w:ilvl="8" w:tplc="7CBCCFFA">
      <w:start w:val="1"/>
      <w:numFmt w:val="lowerRoman"/>
      <w:lvlText w:val="%9."/>
      <w:lvlJc w:val="right"/>
      <w:pPr>
        <w:ind w:left="6480" w:hanging="180"/>
      </w:pPr>
    </w:lvl>
  </w:abstractNum>
  <w:abstractNum w:abstractNumId="7" w15:restartNumberingAfterBreak="0">
    <w:nsid w:val="258D3A39"/>
    <w:multiLevelType w:val="hybridMultilevel"/>
    <w:tmpl w:val="CB8065A6"/>
    <w:lvl w:ilvl="0" w:tplc="F6187964">
      <w:start w:val="19"/>
      <w:numFmt w:val="decimal"/>
      <w:lvlText w:val="%1."/>
      <w:lvlJc w:val="left"/>
      <w:pPr>
        <w:ind w:left="360" w:hanging="360"/>
      </w:pPr>
    </w:lvl>
    <w:lvl w:ilvl="1" w:tplc="71A2E710">
      <w:start w:val="1"/>
      <w:numFmt w:val="lowerLetter"/>
      <w:lvlText w:val="%2."/>
      <w:lvlJc w:val="left"/>
      <w:pPr>
        <w:ind w:left="1440" w:hanging="360"/>
      </w:pPr>
    </w:lvl>
    <w:lvl w:ilvl="2" w:tplc="E7EE5CCC">
      <w:start w:val="1"/>
      <w:numFmt w:val="lowerRoman"/>
      <w:lvlText w:val="%3."/>
      <w:lvlJc w:val="right"/>
      <w:pPr>
        <w:ind w:left="2160" w:hanging="180"/>
      </w:pPr>
    </w:lvl>
    <w:lvl w:ilvl="3" w:tplc="7C0687C4">
      <w:start w:val="1"/>
      <w:numFmt w:val="decimal"/>
      <w:lvlText w:val="%4."/>
      <w:lvlJc w:val="left"/>
      <w:pPr>
        <w:ind w:left="2880" w:hanging="360"/>
      </w:pPr>
    </w:lvl>
    <w:lvl w:ilvl="4" w:tplc="F5E8573E">
      <w:start w:val="1"/>
      <w:numFmt w:val="lowerLetter"/>
      <w:lvlText w:val="%5."/>
      <w:lvlJc w:val="left"/>
      <w:pPr>
        <w:ind w:left="3600" w:hanging="360"/>
      </w:pPr>
    </w:lvl>
    <w:lvl w:ilvl="5" w:tplc="4706217A">
      <w:start w:val="1"/>
      <w:numFmt w:val="lowerRoman"/>
      <w:lvlText w:val="%6."/>
      <w:lvlJc w:val="right"/>
      <w:pPr>
        <w:ind w:left="4320" w:hanging="180"/>
      </w:pPr>
    </w:lvl>
    <w:lvl w:ilvl="6" w:tplc="C0701E64">
      <w:start w:val="1"/>
      <w:numFmt w:val="decimal"/>
      <w:lvlText w:val="%7."/>
      <w:lvlJc w:val="left"/>
      <w:pPr>
        <w:ind w:left="5040" w:hanging="360"/>
      </w:pPr>
    </w:lvl>
    <w:lvl w:ilvl="7" w:tplc="2D1C0F5E">
      <w:start w:val="1"/>
      <w:numFmt w:val="lowerLetter"/>
      <w:lvlText w:val="%8."/>
      <w:lvlJc w:val="left"/>
      <w:pPr>
        <w:ind w:left="5760" w:hanging="360"/>
      </w:pPr>
    </w:lvl>
    <w:lvl w:ilvl="8" w:tplc="CA7C74F2">
      <w:start w:val="1"/>
      <w:numFmt w:val="lowerRoman"/>
      <w:lvlText w:val="%9."/>
      <w:lvlJc w:val="right"/>
      <w:pPr>
        <w:ind w:left="6480" w:hanging="180"/>
      </w:pPr>
    </w:lvl>
  </w:abstractNum>
  <w:abstractNum w:abstractNumId="8" w15:restartNumberingAfterBreak="0">
    <w:nsid w:val="283FB315"/>
    <w:multiLevelType w:val="hybridMultilevel"/>
    <w:tmpl w:val="FFFFFFFF"/>
    <w:lvl w:ilvl="0" w:tplc="26D2A90E">
      <w:start w:val="11"/>
      <w:numFmt w:val="decimal"/>
      <w:lvlText w:val="%1)"/>
      <w:lvlJc w:val="left"/>
      <w:pPr>
        <w:ind w:left="720" w:hanging="360"/>
      </w:pPr>
    </w:lvl>
    <w:lvl w:ilvl="1" w:tplc="30A6C39A">
      <w:start w:val="1"/>
      <w:numFmt w:val="lowerLetter"/>
      <w:lvlText w:val="%2."/>
      <w:lvlJc w:val="left"/>
      <w:pPr>
        <w:ind w:left="1440" w:hanging="360"/>
      </w:pPr>
    </w:lvl>
    <w:lvl w:ilvl="2" w:tplc="9666705A">
      <w:start w:val="1"/>
      <w:numFmt w:val="lowerRoman"/>
      <w:lvlText w:val="%3."/>
      <w:lvlJc w:val="right"/>
      <w:pPr>
        <w:ind w:left="2160" w:hanging="180"/>
      </w:pPr>
    </w:lvl>
    <w:lvl w:ilvl="3" w:tplc="9A16EC62">
      <w:start w:val="1"/>
      <w:numFmt w:val="decimal"/>
      <w:lvlText w:val="%4."/>
      <w:lvlJc w:val="left"/>
      <w:pPr>
        <w:ind w:left="2880" w:hanging="360"/>
      </w:pPr>
    </w:lvl>
    <w:lvl w:ilvl="4" w:tplc="21481792">
      <w:start w:val="1"/>
      <w:numFmt w:val="lowerLetter"/>
      <w:lvlText w:val="%5."/>
      <w:lvlJc w:val="left"/>
      <w:pPr>
        <w:ind w:left="3600" w:hanging="360"/>
      </w:pPr>
    </w:lvl>
    <w:lvl w:ilvl="5" w:tplc="B698884E">
      <w:start w:val="1"/>
      <w:numFmt w:val="lowerRoman"/>
      <w:lvlText w:val="%6."/>
      <w:lvlJc w:val="right"/>
      <w:pPr>
        <w:ind w:left="4320" w:hanging="180"/>
      </w:pPr>
    </w:lvl>
    <w:lvl w:ilvl="6" w:tplc="A3FC94AA">
      <w:start w:val="1"/>
      <w:numFmt w:val="decimal"/>
      <w:lvlText w:val="%7."/>
      <w:lvlJc w:val="left"/>
      <w:pPr>
        <w:ind w:left="5040" w:hanging="360"/>
      </w:pPr>
    </w:lvl>
    <w:lvl w:ilvl="7" w:tplc="A10E37E6">
      <w:start w:val="1"/>
      <w:numFmt w:val="lowerLetter"/>
      <w:lvlText w:val="%8."/>
      <w:lvlJc w:val="left"/>
      <w:pPr>
        <w:ind w:left="5760" w:hanging="360"/>
      </w:pPr>
    </w:lvl>
    <w:lvl w:ilvl="8" w:tplc="F0243AFA">
      <w:start w:val="1"/>
      <w:numFmt w:val="lowerRoman"/>
      <w:lvlText w:val="%9."/>
      <w:lvlJc w:val="right"/>
      <w:pPr>
        <w:ind w:left="6480" w:hanging="180"/>
      </w:pPr>
    </w:lvl>
  </w:abstractNum>
  <w:abstractNum w:abstractNumId="9" w15:restartNumberingAfterBreak="0">
    <w:nsid w:val="28B0CE06"/>
    <w:multiLevelType w:val="hybridMultilevel"/>
    <w:tmpl w:val="FFFFFFFF"/>
    <w:lvl w:ilvl="0" w:tplc="1D905E70">
      <w:start w:val="1"/>
      <w:numFmt w:val="decimal"/>
      <w:lvlText w:val="%1."/>
      <w:lvlJc w:val="left"/>
      <w:pPr>
        <w:ind w:left="720" w:hanging="360"/>
      </w:pPr>
    </w:lvl>
    <w:lvl w:ilvl="1" w:tplc="5AD4DE6C">
      <w:start w:val="1"/>
      <w:numFmt w:val="lowerLetter"/>
      <w:lvlText w:val="%2."/>
      <w:lvlJc w:val="left"/>
      <w:pPr>
        <w:ind w:left="1440" w:hanging="360"/>
      </w:pPr>
    </w:lvl>
    <w:lvl w:ilvl="2" w:tplc="81CA83F6">
      <w:start w:val="1"/>
      <w:numFmt w:val="lowerRoman"/>
      <w:lvlText w:val="%3."/>
      <w:lvlJc w:val="right"/>
      <w:pPr>
        <w:ind w:left="2160" w:hanging="180"/>
      </w:pPr>
    </w:lvl>
    <w:lvl w:ilvl="3" w:tplc="D80A9AF4">
      <w:start w:val="9"/>
      <w:numFmt w:val="decimal"/>
      <w:lvlText w:val="%4."/>
      <w:lvlJc w:val="left"/>
      <w:pPr>
        <w:ind w:left="3240" w:hanging="360"/>
      </w:pPr>
      <w:rPr>
        <w:rFonts w:ascii="Times New Roman" w:hAnsi="Times New Roman" w:hint="default"/>
      </w:rPr>
    </w:lvl>
    <w:lvl w:ilvl="4" w:tplc="0950829A">
      <w:start w:val="1"/>
      <w:numFmt w:val="lowerLetter"/>
      <w:lvlText w:val="%5."/>
      <w:lvlJc w:val="left"/>
      <w:pPr>
        <w:ind w:left="3600" w:hanging="360"/>
      </w:pPr>
    </w:lvl>
    <w:lvl w:ilvl="5" w:tplc="F2622240">
      <w:start w:val="1"/>
      <w:numFmt w:val="lowerRoman"/>
      <w:lvlText w:val="%6."/>
      <w:lvlJc w:val="right"/>
      <w:pPr>
        <w:ind w:left="4320" w:hanging="180"/>
      </w:pPr>
    </w:lvl>
    <w:lvl w:ilvl="6" w:tplc="4F8E548E">
      <w:start w:val="1"/>
      <w:numFmt w:val="decimal"/>
      <w:lvlText w:val="%7."/>
      <w:lvlJc w:val="left"/>
      <w:pPr>
        <w:ind w:left="5040" w:hanging="360"/>
      </w:pPr>
    </w:lvl>
    <w:lvl w:ilvl="7" w:tplc="1B5257D8">
      <w:start w:val="1"/>
      <w:numFmt w:val="lowerLetter"/>
      <w:lvlText w:val="%8."/>
      <w:lvlJc w:val="left"/>
      <w:pPr>
        <w:ind w:left="5760" w:hanging="360"/>
      </w:pPr>
    </w:lvl>
    <w:lvl w:ilvl="8" w:tplc="63067A0E">
      <w:start w:val="1"/>
      <w:numFmt w:val="lowerRoman"/>
      <w:lvlText w:val="%9."/>
      <w:lvlJc w:val="right"/>
      <w:pPr>
        <w:ind w:left="6480" w:hanging="180"/>
      </w:pPr>
    </w:lvl>
  </w:abstractNum>
  <w:abstractNum w:abstractNumId="10" w15:restartNumberingAfterBreak="0">
    <w:nsid w:val="291C4A5E"/>
    <w:multiLevelType w:val="hybridMultilevel"/>
    <w:tmpl w:val="2E0E3A6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604A910E">
      <w:numFmt w:val="bullet"/>
      <w:lvlText w:val=""/>
      <w:lvlJc w:val="left"/>
      <w:pPr>
        <w:ind w:left="3240" w:hanging="720"/>
      </w:pPr>
      <w:rPr>
        <w:rFonts w:ascii="Symbol" w:eastAsiaTheme="minorEastAsia" w:hAnsi="Symbol" w:cstheme="minorBidi" w:hint="default"/>
        <w:color w:val="000000" w:themeColor="text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C00609"/>
    <w:multiLevelType w:val="hybridMultilevel"/>
    <w:tmpl w:val="3192FE9A"/>
    <w:lvl w:ilvl="0" w:tplc="8496F6E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0A0D63"/>
    <w:multiLevelType w:val="hybridMultilevel"/>
    <w:tmpl w:val="20581C50"/>
    <w:lvl w:ilvl="0" w:tplc="16A409E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F000000"/>
    <w:multiLevelType w:val="hybridMultilevel"/>
    <w:tmpl w:val="1F0020D3"/>
    <w:lvl w:ilvl="0" w:tplc="88604B30">
      <w:start w:val="1"/>
      <w:numFmt w:val="bullet"/>
      <w:pStyle w:val="ListBullet"/>
      <w:lvlText w:val="·"/>
      <w:lvlJc w:val="left"/>
      <w:pPr>
        <w:tabs>
          <w:tab w:val="left" w:pos="360"/>
        </w:tabs>
        <w:ind w:left="360" w:hanging="360"/>
      </w:pPr>
      <w:rPr>
        <w:rFonts w:ascii="Symbol" w:hAnsi="Symbol" w:hint="default"/>
      </w:rPr>
    </w:lvl>
    <w:lvl w:ilvl="1" w:tplc="F976C4D2">
      <w:start w:val="1"/>
      <w:numFmt w:val="bullet"/>
      <w:lvlText w:val="·"/>
      <w:lvlJc w:val="left"/>
      <w:pPr>
        <w:tabs>
          <w:tab w:val="left" w:pos="360"/>
        </w:tabs>
        <w:ind w:left="360" w:hanging="360"/>
      </w:pPr>
      <w:rPr>
        <w:rFonts w:ascii="Symbol" w:hAnsi="Symbol" w:hint="default"/>
      </w:rPr>
    </w:lvl>
    <w:lvl w:ilvl="2" w:tplc="5510DA90">
      <w:start w:val="1"/>
      <w:numFmt w:val="bullet"/>
      <w:lvlText w:val="·"/>
      <w:lvlJc w:val="left"/>
      <w:pPr>
        <w:tabs>
          <w:tab w:val="left" w:pos="360"/>
        </w:tabs>
        <w:ind w:left="360" w:hanging="360"/>
      </w:pPr>
      <w:rPr>
        <w:rFonts w:ascii="Symbol" w:hAnsi="Symbol" w:hint="default"/>
      </w:rPr>
    </w:lvl>
    <w:lvl w:ilvl="3" w:tplc="8A1840F8">
      <w:start w:val="1"/>
      <w:numFmt w:val="bullet"/>
      <w:lvlText w:val="·"/>
      <w:lvlJc w:val="left"/>
      <w:pPr>
        <w:tabs>
          <w:tab w:val="left" w:pos="360"/>
        </w:tabs>
        <w:ind w:left="360" w:hanging="360"/>
      </w:pPr>
      <w:rPr>
        <w:rFonts w:ascii="Symbol" w:hAnsi="Symbol" w:hint="default"/>
      </w:rPr>
    </w:lvl>
    <w:lvl w:ilvl="4" w:tplc="F7448E98">
      <w:start w:val="1"/>
      <w:numFmt w:val="bullet"/>
      <w:lvlText w:val="·"/>
      <w:lvlJc w:val="left"/>
      <w:pPr>
        <w:tabs>
          <w:tab w:val="left" w:pos="360"/>
        </w:tabs>
        <w:ind w:left="360" w:hanging="360"/>
      </w:pPr>
      <w:rPr>
        <w:rFonts w:ascii="Symbol" w:hAnsi="Symbol" w:hint="default"/>
      </w:rPr>
    </w:lvl>
    <w:lvl w:ilvl="5" w:tplc="F8CAFAB8">
      <w:start w:val="1"/>
      <w:numFmt w:val="bullet"/>
      <w:lvlText w:val="·"/>
      <w:lvlJc w:val="left"/>
      <w:pPr>
        <w:tabs>
          <w:tab w:val="left" w:pos="360"/>
        </w:tabs>
        <w:ind w:left="360" w:hanging="360"/>
      </w:pPr>
      <w:rPr>
        <w:rFonts w:ascii="Symbol" w:hAnsi="Symbol" w:hint="default"/>
      </w:rPr>
    </w:lvl>
    <w:lvl w:ilvl="6" w:tplc="EC840E8C">
      <w:start w:val="1"/>
      <w:numFmt w:val="bullet"/>
      <w:lvlText w:val="·"/>
      <w:lvlJc w:val="left"/>
      <w:pPr>
        <w:tabs>
          <w:tab w:val="left" w:pos="360"/>
        </w:tabs>
        <w:ind w:left="360" w:hanging="360"/>
      </w:pPr>
      <w:rPr>
        <w:rFonts w:ascii="Symbol" w:hAnsi="Symbol" w:hint="default"/>
      </w:rPr>
    </w:lvl>
    <w:lvl w:ilvl="7" w:tplc="4E46479C">
      <w:start w:val="1"/>
      <w:numFmt w:val="bullet"/>
      <w:lvlText w:val="·"/>
      <w:lvlJc w:val="left"/>
      <w:pPr>
        <w:tabs>
          <w:tab w:val="left" w:pos="360"/>
        </w:tabs>
        <w:ind w:left="360" w:hanging="360"/>
      </w:pPr>
      <w:rPr>
        <w:rFonts w:ascii="Symbol" w:hAnsi="Symbol" w:hint="default"/>
      </w:rPr>
    </w:lvl>
    <w:lvl w:ilvl="8" w:tplc="BCA8F6D2">
      <w:start w:val="1"/>
      <w:numFmt w:val="bullet"/>
      <w:lvlText w:val="·"/>
      <w:lvlJc w:val="left"/>
      <w:pPr>
        <w:tabs>
          <w:tab w:val="left" w:pos="360"/>
        </w:tabs>
        <w:ind w:left="360" w:hanging="360"/>
      </w:pPr>
      <w:rPr>
        <w:rFonts w:ascii="Symbol" w:hAnsi="Symbol" w:hint="default"/>
      </w:rPr>
    </w:lvl>
  </w:abstractNum>
  <w:abstractNum w:abstractNumId="14" w15:restartNumberingAfterBreak="0">
    <w:nsid w:val="2F000001"/>
    <w:multiLevelType w:val="multilevel"/>
    <w:tmpl w:val="276B1D78"/>
    <w:lvl w:ilvl="0">
      <w:start w:val="1"/>
      <w:numFmt w:val="decimal"/>
      <w:lvlRestart w:val="0"/>
      <w:pStyle w:val="ListNumber4"/>
      <w:lvlText w:val="(%1)"/>
      <w:lvlJc w:val="left"/>
      <w:pPr>
        <w:tabs>
          <w:tab w:val="left" w:pos="1560"/>
        </w:tabs>
        <w:ind w:left="1560" w:hanging="709"/>
      </w:pPr>
      <w:rPr>
        <w:rFonts w:cs="Times New Roman"/>
      </w:rPr>
    </w:lvl>
    <w:lvl w:ilvl="1">
      <w:start w:val="1"/>
      <w:numFmt w:val="lowerLetter"/>
      <w:pStyle w:val="ListNumber4Level2"/>
      <w:lvlText w:val="(%2)"/>
      <w:lvlJc w:val="left"/>
      <w:pPr>
        <w:tabs>
          <w:tab w:val="left" w:pos="2268"/>
        </w:tabs>
        <w:ind w:left="2268" w:hanging="708"/>
      </w:pPr>
      <w:rPr>
        <w:rFonts w:cs="Times New Roman"/>
      </w:rPr>
    </w:lvl>
    <w:lvl w:ilvl="2">
      <w:start w:val="1"/>
      <w:numFmt w:val="bullet"/>
      <w:pStyle w:val="ListNumber4Level3"/>
      <w:lvlText w:val="–"/>
      <w:lvlJc w:val="left"/>
      <w:pPr>
        <w:tabs>
          <w:tab w:val="left" w:pos="2977"/>
        </w:tabs>
        <w:ind w:left="2977" w:hanging="709"/>
      </w:pPr>
      <w:rPr>
        <w:rFonts w:ascii="Times New Roman" w:hAnsi="Times New Roman"/>
      </w:rPr>
    </w:lvl>
    <w:lvl w:ilvl="3">
      <w:start w:val="1"/>
      <w:numFmt w:val="bullet"/>
      <w:pStyle w:val="ListNumber4Level4"/>
      <w:lvlText w:val="·"/>
      <w:lvlJc w:val="left"/>
      <w:pPr>
        <w:tabs>
          <w:tab w:val="left" w:pos="3686"/>
        </w:tabs>
        <w:ind w:left="3686"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5" w15:restartNumberingAfterBreak="0">
    <w:nsid w:val="2F000002"/>
    <w:multiLevelType w:val="multilevel"/>
    <w:tmpl w:val="4F5BD66C"/>
    <w:lvl w:ilvl="0">
      <w:start w:val="1"/>
      <w:numFmt w:val="decimal"/>
      <w:lvlRestart w:val="0"/>
      <w:pStyle w:val="ListNumber3"/>
      <w:lvlText w:val="(%1)"/>
      <w:lvlJc w:val="left"/>
      <w:pPr>
        <w:tabs>
          <w:tab w:val="left" w:pos="1560"/>
        </w:tabs>
        <w:ind w:left="1560" w:hanging="709"/>
      </w:pPr>
      <w:rPr>
        <w:rFonts w:cs="Times New Roman"/>
      </w:rPr>
    </w:lvl>
    <w:lvl w:ilvl="1">
      <w:start w:val="1"/>
      <w:numFmt w:val="lowerLetter"/>
      <w:pStyle w:val="ListNumber3Level2"/>
      <w:lvlText w:val="(%2)"/>
      <w:lvlJc w:val="left"/>
      <w:pPr>
        <w:tabs>
          <w:tab w:val="left" w:pos="2268"/>
        </w:tabs>
        <w:ind w:left="2268" w:hanging="708"/>
      </w:pPr>
      <w:rPr>
        <w:rFonts w:cs="Times New Roman"/>
      </w:rPr>
    </w:lvl>
    <w:lvl w:ilvl="2">
      <w:start w:val="1"/>
      <w:numFmt w:val="bullet"/>
      <w:pStyle w:val="ListNumber3Level3"/>
      <w:lvlText w:val="–"/>
      <w:lvlJc w:val="left"/>
      <w:pPr>
        <w:tabs>
          <w:tab w:val="left" w:pos="2977"/>
        </w:tabs>
        <w:ind w:left="2977" w:hanging="709"/>
      </w:pPr>
      <w:rPr>
        <w:rFonts w:ascii="Times New Roman" w:hAnsi="Times New Roman"/>
      </w:rPr>
    </w:lvl>
    <w:lvl w:ilvl="3">
      <w:start w:val="1"/>
      <w:numFmt w:val="bullet"/>
      <w:pStyle w:val="ListNumber3Level4"/>
      <w:lvlText w:val="·"/>
      <w:lvlJc w:val="left"/>
      <w:pPr>
        <w:tabs>
          <w:tab w:val="left" w:pos="3686"/>
        </w:tabs>
        <w:ind w:left="3686"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6" w15:restartNumberingAfterBreak="0">
    <w:nsid w:val="2F000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000004"/>
    <w:multiLevelType w:val="hybridMultilevel"/>
    <w:tmpl w:val="4118DBC1"/>
    <w:lvl w:ilvl="0" w:tplc="D272EE82">
      <w:start w:val="1"/>
      <w:numFmt w:val="bullet"/>
      <w:lvlRestart w:val="0"/>
      <w:pStyle w:val="ListBullet2"/>
      <w:lvlText w:val="·"/>
      <w:lvlJc w:val="left"/>
      <w:pPr>
        <w:tabs>
          <w:tab w:val="left" w:pos="1134"/>
        </w:tabs>
        <w:ind w:left="1134" w:hanging="283"/>
      </w:pPr>
      <w:rPr>
        <w:rFonts w:ascii="Symbol" w:hAnsi="Symbol" w:hint="default"/>
      </w:rPr>
    </w:lvl>
    <w:lvl w:ilvl="1" w:tplc="B2BC65B4">
      <w:start w:val="1"/>
      <w:numFmt w:val="bullet"/>
      <w:lvlRestart w:val="0"/>
      <w:lvlText w:val="·"/>
      <w:lvlJc w:val="left"/>
      <w:pPr>
        <w:tabs>
          <w:tab w:val="left" w:pos="1134"/>
        </w:tabs>
        <w:ind w:left="1134" w:hanging="283"/>
      </w:pPr>
      <w:rPr>
        <w:rFonts w:ascii="Symbol" w:hAnsi="Symbol" w:hint="default"/>
      </w:rPr>
    </w:lvl>
    <w:lvl w:ilvl="2" w:tplc="3280D4D6">
      <w:start w:val="1"/>
      <w:numFmt w:val="bullet"/>
      <w:lvlRestart w:val="0"/>
      <w:lvlText w:val="·"/>
      <w:lvlJc w:val="left"/>
      <w:pPr>
        <w:tabs>
          <w:tab w:val="left" w:pos="1134"/>
        </w:tabs>
        <w:ind w:left="1134" w:hanging="283"/>
      </w:pPr>
      <w:rPr>
        <w:rFonts w:ascii="Symbol" w:hAnsi="Symbol" w:hint="default"/>
      </w:rPr>
    </w:lvl>
    <w:lvl w:ilvl="3" w:tplc="8FBCACAC">
      <w:start w:val="1"/>
      <w:numFmt w:val="bullet"/>
      <w:lvlRestart w:val="0"/>
      <w:lvlText w:val="·"/>
      <w:lvlJc w:val="left"/>
      <w:pPr>
        <w:tabs>
          <w:tab w:val="left" w:pos="1134"/>
        </w:tabs>
        <w:ind w:left="1134" w:hanging="283"/>
      </w:pPr>
      <w:rPr>
        <w:rFonts w:ascii="Symbol" w:hAnsi="Symbol" w:hint="default"/>
      </w:rPr>
    </w:lvl>
    <w:lvl w:ilvl="4" w:tplc="CEE82308">
      <w:start w:val="1"/>
      <w:numFmt w:val="bullet"/>
      <w:lvlRestart w:val="0"/>
      <w:lvlText w:val="·"/>
      <w:lvlJc w:val="left"/>
      <w:pPr>
        <w:tabs>
          <w:tab w:val="left" w:pos="1134"/>
        </w:tabs>
        <w:ind w:left="1134" w:hanging="283"/>
      </w:pPr>
      <w:rPr>
        <w:rFonts w:ascii="Symbol" w:hAnsi="Symbol" w:hint="default"/>
      </w:rPr>
    </w:lvl>
    <w:lvl w:ilvl="5" w:tplc="3B581D72">
      <w:start w:val="1"/>
      <w:numFmt w:val="bullet"/>
      <w:lvlRestart w:val="0"/>
      <w:lvlText w:val="·"/>
      <w:lvlJc w:val="left"/>
      <w:pPr>
        <w:tabs>
          <w:tab w:val="left" w:pos="1134"/>
        </w:tabs>
        <w:ind w:left="1134" w:hanging="283"/>
      </w:pPr>
      <w:rPr>
        <w:rFonts w:ascii="Symbol" w:hAnsi="Symbol" w:hint="default"/>
      </w:rPr>
    </w:lvl>
    <w:lvl w:ilvl="6" w:tplc="02B4329E">
      <w:start w:val="1"/>
      <w:numFmt w:val="bullet"/>
      <w:lvlRestart w:val="0"/>
      <w:lvlText w:val="·"/>
      <w:lvlJc w:val="left"/>
      <w:pPr>
        <w:tabs>
          <w:tab w:val="left" w:pos="1134"/>
        </w:tabs>
        <w:ind w:left="1134" w:hanging="283"/>
      </w:pPr>
      <w:rPr>
        <w:rFonts w:ascii="Symbol" w:hAnsi="Symbol" w:hint="default"/>
      </w:rPr>
    </w:lvl>
    <w:lvl w:ilvl="7" w:tplc="3482EF04">
      <w:start w:val="1"/>
      <w:numFmt w:val="bullet"/>
      <w:lvlRestart w:val="0"/>
      <w:lvlText w:val="·"/>
      <w:lvlJc w:val="left"/>
      <w:pPr>
        <w:tabs>
          <w:tab w:val="left" w:pos="1134"/>
        </w:tabs>
        <w:ind w:left="1134" w:hanging="283"/>
      </w:pPr>
      <w:rPr>
        <w:rFonts w:ascii="Symbol" w:hAnsi="Symbol" w:hint="default"/>
      </w:rPr>
    </w:lvl>
    <w:lvl w:ilvl="8" w:tplc="F88467C8">
      <w:start w:val="1"/>
      <w:numFmt w:val="bullet"/>
      <w:lvlRestart w:val="0"/>
      <w:lvlText w:val="·"/>
      <w:lvlJc w:val="left"/>
      <w:pPr>
        <w:tabs>
          <w:tab w:val="left" w:pos="1134"/>
        </w:tabs>
        <w:ind w:left="1134" w:hanging="283"/>
      </w:pPr>
      <w:rPr>
        <w:rFonts w:ascii="Symbol" w:hAnsi="Symbol" w:hint="default"/>
      </w:rPr>
    </w:lvl>
  </w:abstractNum>
  <w:abstractNum w:abstractNumId="18" w15:restartNumberingAfterBreak="0">
    <w:nsid w:val="2F000006"/>
    <w:multiLevelType w:val="multilevel"/>
    <w:tmpl w:val="2202C76C"/>
    <w:lvl w:ilvl="0">
      <w:start w:val="1"/>
      <w:numFmt w:val="decimal"/>
      <w:lvlRestart w:val="0"/>
      <w:pStyle w:val="Point0number"/>
      <w:lvlText w:val="(%1)"/>
      <w:lvlJc w:val="left"/>
      <w:pPr>
        <w:tabs>
          <w:tab w:val="left" w:pos="850"/>
        </w:tabs>
        <w:ind w:left="850" w:hanging="850"/>
      </w:pPr>
    </w:lvl>
    <w:lvl w:ilvl="1">
      <w:start w:val="1"/>
      <w:numFmt w:val="lowerLetter"/>
      <w:pStyle w:val="Point0letter"/>
      <w:lvlText w:val="(%2)"/>
      <w:lvlJc w:val="left"/>
      <w:pPr>
        <w:tabs>
          <w:tab w:val="left" w:pos="850"/>
        </w:tabs>
        <w:ind w:left="850" w:hanging="850"/>
      </w:pPr>
    </w:lvl>
    <w:lvl w:ilvl="2">
      <w:start w:val="1"/>
      <w:numFmt w:val="decimal"/>
      <w:pStyle w:val="Point1number"/>
      <w:lvlText w:val="(%3)"/>
      <w:lvlJc w:val="left"/>
      <w:pPr>
        <w:tabs>
          <w:tab w:val="left" w:pos="1417"/>
        </w:tabs>
        <w:ind w:left="1417" w:hanging="567"/>
      </w:pPr>
    </w:lvl>
    <w:lvl w:ilvl="3">
      <w:start w:val="1"/>
      <w:numFmt w:val="lowerLetter"/>
      <w:pStyle w:val="Point1letter"/>
      <w:lvlText w:val="(%4)"/>
      <w:lvlJc w:val="left"/>
      <w:pPr>
        <w:tabs>
          <w:tab w:val="left" w:pos="1417"/>
        </w:tabs>
        <w:ind w:left="1417" w:hanging="567"/>
      </w:pPr>
    </w:lvl>
    <w:lvl w:ilvl="4">
      <w:start w:val="1"/>
      <w:numFmt w:val="decimal"/>
      <w:pStyle w:val="Point2number"/>
      <w:lvlText w:val="(%5)"/>
      <w:lvlJc w:val="left"/>
      <w:pPr>
        <w:tabs>
          <w:tab w:val="left" w:pos="1984"/>
        </w:tabs>
        <w:ind w:left="1984" w:hanging="567"/>
      </w:pPr>
    </w:lvl>
    <w:lvl w:ilvl="5">
      <w:start w:val="1"/>
      <w:numFmt w:val="lowerLetter"/>
      <w:pStyle w:val="Point2letter"/>
      <w:lvlText w:val="(%6)"/>
      <w:lvlJc w:val="left"/>
      <w:pPr>
        <w:tabs>
          <w:tab w:val="left" w:pos="1984"/>
        </w:tabs>
        <w:ind w:left="1984" w:hanging="567"/>
      </w:pPr>
    </w:lvl>
    <w:lvl w:ilvl="6">
      <w:start w:val="1"/>
      <w:numFmt w:val="decimal"/>
      <w:pStyle w:val="Point3number"/>
      <w:lvlText w:val="(%7)"/>
      <w:lvlJc w:val="left"/>
      <w:pPr>
        <w:tabs>
          <w:tab w:val="left" w:pos="2551"/>
        </w:tabs>
        <w:ind w:left="2551" w:hanging="567"/>
      </w:pPr>
    </w:lvl>
    <w:lvl w:ilvl="7">
      <w:start w:val="1"/>
      <w:numFmt w:val="lowerLetter"/>
      <w:pStyle w:val="Point3letter"/>
      <w:lvlText w:val="(%8)"/>
      <w:lvlJc w:val="left"/>
      <w:pPr>
        <w:tabs>
          <w:tab w:val="left" w:pos="2551"/>
        </w:tabs>
        <w:ind w:left="2551" w:hanging="567"/>
      </w:pPr>
    </w:lvl>
    <w:lvl w:ilvl="8">
      <w:start w:val="1"/>
      <w:numFmt w:val="lowerLetter"/>
      <w:pStyle w:val="Point4letter"/>
      <w:lvlText w:val="(%9)"/>
      <w:lvlJc w:val="left"/>
      <w:pPr>
        <w:tabs>
          <w:tab w:val="left" w:pos="3118"/>
        </w:tabs>
        <w:ind w:left="3118" w:hanging="567"/>
      </w:pPr>
    </w:lvl>
  </w:abstractNum>
  <w:abstractNum w:abstractNumId="19" w15:restartNumberingAfterBreak="0">
    <w:nsid w:val="2F000007"/>
    <w:multiLevelType w:val="multilevel"/>
    <w:tmpl w:val="4A7284FF"/>
    <w:lvl w:ilvl="0">
      <w:start w:val="1"/>
      <w:numFmt w:val="decimal"/>
      <w:lvlRestart w:val="0"/>
      <w:pStyle w:val="NumPar1"/>
      <w:lvlText w:val="%1."/>
      <w:lvlJc w:val="left"/>
      <w:pPr>
        <w:tabs>
          <w:tab w:val="left" w:pos="850"/>
        </w:tabs>
        <w:ind w:left="850" w:hanging="850"/>
      </w:pPr>
    </w:lvl>
    <w:lvl w:ilvl="1">
      <w:start w:val="1"/>
      <w:numFmt w:val="decimal"/>
      <w:pStyle w:val="NumPar2"/>
      <w:lvlText w:val="%1.%2."/>
      <w:lvlJc w:val="left"/>
      <w:pPr>
        <w:tabs>
          <w:tab w:val="left" w:pos="850"/>
        </w:tabs>
        <w:ind w:left="850" w:hanging="850"/>
      </w:pPr>
    </w:lvl>
    <w:lvl w:ilvl="2">
      <w:start w:val="1"/>
      <w:numFmt w:val="decimal"/>
      <w:pStyle w:val="NumPar3"/>
      <w:lvlText w:val="%1.%2.%3."/>
      <w:lvlJc w:val="left"/>
      <w:pPr>
        <w:tabs>
          <w:tab w:val="left" w:pos="850"/>
        </w:tabs>
        <w:ind w:left="850" w:hanging="850"/>
      </w:pPr>
    </w:lvl>
    <w:lvl w:ilvl="3">
      <w:start w:val="1"/>
      <w:numFmt w:val="decimal"/>
      <w:pStyle w:val="NumPar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000008"/>
    <w:multiLevelType w:val="multilevel"/>
    <w:tmpl w:val="4A7997A1"/>
    <w:lvl w:ilvl="0">
      <w:start w:val="1"/>
      <w:numFmt w:val="decimal"/>
      <w:lvlRestart w:val="0"/>
      <w:pStyle w:val="ListNumber2"/>
      <w:lvlText w:val="(%1)"/>
      <w:lvlJc w:val="left"/>
      <w:pPr>
        <w:tabs>
          <w:tab w:val="left" w:pos="1560"/>
        </w:tabs>
        <w:ind w:left="1560" w:hanging="709"/>
      </w:pPr>
      <w:rPr>
        <w:rFonts w:cs="Times New Roman"/>
      </w:rPr>
    </w:lvl>
    <w:lvl w:ilvl="1">
      <w:start w:val="1"/>
      <w:numFmt w:val="lowerLetter"/>
      <w:pStyle w:val="ListNumber2Level2"/>
      <w:lvlText w:val="(%2)"/>
      <w:lvlJc w:val="left"/>
      <w:pPr>
        <w:tabs>
          <w:tab w:val="left" w:pos="2268"/>
        </w:tabs>
        <w:ind w:left="2268" w:hanging="708"/>
      </w:pPr>
      <w:rPr>
        <w:rFonts w:cs="Times New Roman"/>
      </w:rPr>
    </w:lvl>
    <w:lvl w:ilvl="2">
      <w:start w:val="1"/>
      <w:numFmt w:val="bullet"/>
      <w:pStyle w:val="ListNumber2Level3"/>
      <w:lvlText w:val="–"/>
      <w:lvlJc w:val="left"/>
      <w:pPr>
        <w:tabs>
          <w:tab w:val="left" w:pos="2977"/>
        </w:tabs>
        <w:ind w:left="2977" w:hanging="709"/>
      </w:pPr>
      <w:rPr>
        <w:rFonts w:ascii="Times New Roman" w:hAnsi="Times New Roman"/>
      </w:rPr>
    </w:lvl>
    <w:lvl w:ilvl="3">
      <w:start w:val="1"/>
      <w:numFmt w:val="bullet"/>
      <w:pStyle w:val="ListNumber2Level4"/>
      <w:lvlText w:val="·"/>
      <w:lvlJc w:val="left"/>
      <w:pPr>
        <w:tabs>
          <w:tab w:val="left" w:pos="3686"/>
        </w:tabs>
        <w:ind w:left="3686"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21" w15:restartNumberingAfterBreak="0">
    <w:nsid w:val="2F000009"/>
    <w:multiLevelType w:val="hybridMultilevel"/>
    <w:tmpl w:val="5AD20226"/>
    <w:lvl w:ilvl="0" w:tplc="A0926D10">
      <w:start w:val="1"/>
      <w:numFmt w:val="bullet"/>
      <w:lvlRestart w:val="0"/>
      <w:pStyle w:val="Bullet3"/>
      <w:lvlText w:val="·"/>
      <w:lvlJc w:val="left"/>
      <w:pPr>
        <w:tabs>
          <w:tab w:val="left" w:pos="2551"/>
        </w:tabs>
        <w:ind w:left="2551" w:hanging="567"/>
      </w:pPr>
      <w:rPr>
        <w:rFonts w:ascii="Symbol" w:hAnsi="Symbol" w:hint="default"/>
      </w:rPr>
    </w:lvl>
    <w:lvl w:ilvl="1" w:tplc="95068A76">
      <w:start w:val="1"/>
      <w:numFmt w:val="bullet"/>
      <w:lvlRestart w:val="0"/>
      <w:lvlText w:val="·"/>
      <w:lvlJc w:val="left"/>
      <w:pPr>
        <w:tabs>
          <w:tab w:val="left" w:pos="2551"/>
        </w:tabs>
        <w:ind w:left="2551" w:hanging="567"/>
      </w:pPr>
      <w:rPr>
        <w:rFonts w:ascii="Symbol" w:hAnsi="Symbol" w:hint="default"/>
      </w:rPr>
    </w:lvl>
    <w:lvl w:ilvl="2" w:tplc="61AA1A1C">
      <w:start w:val="1"/>
      <w:numFmt w:val="bullet"/>
      <w:lvlRestart w:val="0"/>
      <w:lvlText w:val="·"/>
      <w:lvlJc w:val="left"/>
      <w:pPr>
        <w:tabs>
          <w:tab w:val="left" w:pos="2551"/>
        </w:tabs>
        <w:ind w:left="2551" w:hanging="567"/>
      </w:pPr>
      <w:rPr>
        <w:rFonts w:ascii="Symbol" w:hAnsi="Symbol" w:hint="default"/>
      </w:rPr>
    </w:lvl>
    <w:lvl w:ilvl="3" w:tplc="14FC4D2A">
      <w:start w:val="1"/>
      <w:numFmt w:val="bullet"/>
      <w:lvlRestart w:val="0"/>
      <w:lvlText w:val="·"/>
      <w:lvlJc w:val="left"/>
      <w:pPr>
        <w:tabs>
          <w:tab w:val="left" w:pos="2551"/>
        </w:tabs>
        <w:ind w:left="2551" w:hanging="567"/>
      </w:pPr>
      <w:rPr>
        <w:rFonts w:ascii="Symbol" w:hAnsi="Symbol" w:hint="default"/>
      </w:rPr>
    </w:lvl>
    <w:lvl w:ilvl="4" w:tplc="99BC2D82">
      <w:start w:val="1"/>
      <w:numFmt w:val="bullet"/>
      <w:lvlRestart w:val="0"/>
      <w:lvlText w:val="·"/>
      <w:lvlJc w:val="left"/>
      <w:pPr>
        <w:tabs>
          <w:tab w:val="left" w:pos="2551"/>
        </w:tabs>
        <w:ind w:left="2551" w:hanging="567"/>
      </w:pPr>
      <w:rPr>
        <w:rFonts w:ascii="Symbol" w:hAnsi="Symbol" w:hint="default"/>
      </w:rPr>
    </w:lvl>
    <w:lvl w:ilvl="5" w:tplc="3466A05C">
      <w:start w:val="1"/>
      <w:numFmt w:val="bullet"/>
      <w:lvlRestart w:val="0"/>
      <w:lvlText w:val="·"/>
      <w:lvlJc w:val="left"/>
      <w:pPr>
        <w:tabs>
          <w:tab w:val="left" w:pos="2551"/>
        </w:tabs>
        <w:ind w:left="2551" w:hanging="567"/>
      </w:pPr>
      <w:rPr>
        <w:rFonts w:ascii="Symbol" w:hAnsi="Symbol" w:hint="default"/>
      </w:rPr>
    </w:lvl>
    <w:lvl w:ilvl="6" w:tplc="7F822B1E">
      <w:start w:val="1"/>
      <w:numFmt w:val="bullet"/>
      <w:lvlRestart w:val="0"/>
      <w:lvlText w:val="·"/>
      <w:lvlJc w:val="left"/>
      <w:pPr>
        <w:tabs>
          <w:tab w:val="left" w:pos="2551"/>
        </w:tabs>
        <w:ind w:left="2551" w:hanging="567"/>
      </w:pPr>
      <w:rPr>
        <w:rFonts w:ascii="Symbol" w:hAnsi="Symbol" w:hint="default"/>
      </w:rPr>
    </w:lvl>
    <w:lvl w:ilvl="7" w:tplc="6D780A98">
      <w:start w:val="1"/>
      <w:numFmt w:val="bullet"/>
      <w:lvlRestart w:val="0"/>
      <w:lvlText w:val="·"/>
      <w:lvlJc w:val="left"/>
      <w:pPr>
        <w:tabs>
          <w:tab w:val="left" w:pos="2551"/>
        </w:tabs>
        <w:ind w:left="2551" w:hanging="567"/>
      </w:pPr>
      <w:rPr>
        <w:rFonts w:ascii="Symbol" w:hAnsi="Symbol" w:hint="default"/>
      </w:rPr>
    </w:lvl>
    <w:lvl w:ilvl="8" w:tplc="C05AEBEE">
      <w:start w:val="1"/>
      <w:numFmt w:val="bullet"/>
      <w:lvlRestart w:val="0"/>
      <w:lvlText w:val="·"/>
      <w:lvlJc w:val="left"/>
      <w:pPr>
        <w:tabs>
          <w:tab w:val="left" w:pos="2551"/>
        </w:tabs>
        <w:ind w:left="2551" w:hanging="567"/>
      </w:pPr>
      <w:rPr>
        <w:rFonts w:ascii="Symbol" w:hAnsi="Symbol" w:hint="default"/>
      </w:rPr>
    </w:lvl>
  </w:abstractNum>
  <w:abstractNum w:abstractNumId="22" w15:restartNumberingAfterBreak="0">
    <w:nsid w:val="2F00000A"/>
    <w:multiLevelType w:val="hybridMultilevel"/>
    <w:tmpl w:val="378B4C4C"/>
    <w:lvl w:ilvl="0" w:tplc="FC9A26CE">
      <w:start w:val="1"/>
      <w:numFmt w:val="bullet"/>
      <w:lvlRestart w:val="0"/>
      <w:pStyle w:val="Tiret3"/>
      <w:lvlText w:val="–"/>
      <w:lvlJc w:val="left"/>
      <w:pPr>
        <w:tabs>
          <w:tab w:val="left" w:pos="2551"/>
        </w:tabs>
        <w:ind w:left="2551" w:hanging="567"/>
      </w:pPr>
    </w:lvl>
    <w:lvl w:ilvl="1" w:tplc="3250A71C">
      <w:start w:val="1"/>
      <w:numFmt w:val="bullet"/>
      <w:lvlRestart w:val="0"/>
      <w:lvlText w:val="–"/>
      <w:lvlJc w:val="left"/>
      <w:pPr>
        <w:tabs>
          <w:tab w:val="left" w:pos="2551"/>
        </w:tabs>
        <w:ind w:left="2551" w:hanging="567"/>
      </w:pPr>
    </w:lvl>
    <w:lvl w:ilvl="2" w:tplc="66A8C2F0">
      <w:start w:val="1"/>
      <w:numFmt w:val="bullet"/>
      <w:lvlRestart w:val="0"/>
      <w:lvlText w:val="–"/>
      <w:lvlJc w:val="left"/>
      <w:pPr>
        <w:tabs>
          <w:tab w:val="left" w:pos="2551"/>
        </w:tabs>
        <w:ind w:left="2551" w:hanging="567"/>
      </w:pPr>
    </w:lvl>
    <w:lvl w:ilvl="3" w:tplc="053C165A">
      <w:start w:val="1"/>
      <w:numFmt w:val="bullet"/>
      <w:lvlRestart w:val="0"/>
      <w:lvlText w:val="–"/>
      <w:lvlJc w:val="left"/>
      <w:pPr>
        <w:tabs>
          <w:tab w:val="left" w:pos="2551"/>
        </w:tabs>
        <w:ind w:left="2551" w:hanging="567"/>
      </w:pPr>
    </w:lvl>
    <w:lvl w:ilvl="4" w:tplc="F40887E2">
      <w:start w:val="1"/>
      <w:numFmt w:val="bullet"/>
      <w:lvlRestart w:val="0"/>
      <w:lvlText w:val="–"/>
      <w:lvlJc w:val="left"/>
      <w:pPr>
        <w:tabs>
          <w:tab w:val="left" w:pos="2551"/>
        </w:tabs>
        <w:ind w:left="2551" w:hanging="567"/>
      </w:pPr>
    </w:lvl>
    <w:lvl w:ilvl="5" w:tplc="940626F6">
      <w:start w:val="1"/>
      <w:numFmt w:val="bullet"/>
      <w:lvlRestart w:val="0"/>
      <w:lvlText w:val="–"/>
      <w:lvlJc w:val="left"/>
      <w:pPr>
        <w:tabs>
          <w:tab w:val="left" w:pos="2551"/>
        </w:tabs>
        <w:ind w:left="2551" w:hanging="567"/>
      </w:pPr>
    </w:lvl>
    <w:lvl w:ilvl="6" w:tplc="2B7EC984">
      <w:start w:val="1"/>
      <w:numFmt w:val="bullet"/>
      <w:lvlRestart w:val="0"/>
      <w:lvlText w:val="–"/>
      <w:lvlJc w:val="left"/>
      <w:pPr>
        <w:tabs>
          <w:tab w:val="left" w:pos="2551"/>
        </w:tabs>
        <w:ind w:left="2551" w:hanging="567"/>
      </w:pPr>
    </w:lvl>
    <w:lvl w:ilvl="7" w:tplc="472A979A">
      <w:start w:val="1"/>
      <w:numFmt w:val="bullet"/>
      <w:lvlRestart w:val="0"/>
      <w:lvlText w:val="–"/>
      <w:lvlJc w:val="left"/>
      <w:pPr>
        <w:tabs>
          <w:tab w:val="left" w:pos="2551"/>
        </w:tabs>
        <w:ind w:left="2551" w:hanging="567"/>
      </w:pPr>
    </w:lvl>
    <w:lvl w:ilvl="8" w:tplc="6D6408C4">
      <w:start w:val="1"/>
      <w:numFmt w:val="bullet"/>
      <w:lvlRestart w:val="0"/>
      <w:lvlText w:val="–"/>
      <w:lvlJc w:val="left"/>
      <w:pPr>
        <w:tabs>
          <w:tab w:val="left" w:pos="2551"/>
        </w:tabs>
        <w:ind w:left="2551" w:hanging="567"/>
      </w:pPr>
    </w:lvl>
  </w:abstractNum>
  <w:abstractNum w:abstractNumId="23" w15:restartNumberingAfterBreak="0">
    <w:nsid w:val="2F00000B"/>
    <w:multiLevelType w:val="hybridMultilevel"/>
    <w:tmpl w:val="403E1E2A"/>
    <w:lvl w:ilvl="0" w:tplc="0ABC0BFE">
      <w:start w:val="1"/>
      <w:numFmt w:val="bullet"/>
      <w:lvlRestart w:val="0"/>
      <w:pStyle w:val="ListBullet3"/>
      <w:lvlText w:val="·"/>
      <w:lvlJc w:val="left"/>
      <w:pPr>
        <w:tabs>
          <w:tab w:val="left" w:pos="1134"/>
        </w:tabs>
        <w:ind w:left="1134" w:hanging="283"/>
      </w:pPr>
      <w:rPr>
        <w:rFonts w:ascii="Symbol" w:hAnsi="Symbol" w:hint="default"/>
      </w:rPr>
    </w:lvl>
    <w:lvl w:ilvl="1" w:tplc="5E9263C6">
      <w:start w:val="1"/>
      <w:numFmt w:val="bullet"/>
      <w:lvlRestart w:val="0"/>
      <w:lvlText w:val="·"/>
      <w:lvlJc w:val="left"/>
      <w:pPr>
        <w:tabs>
          <w:tab w:val="left" w:pos="1134"/>
        </w:tabs>
        <w:ind w:left="1134" w:hanging="283"/>
      </w:pPr>
      <w:rPr>
        <w:rFonts w:ascii="Symbol" w:hAnsi="Symbol" w:hint="default"/>
      </w:rPr>
    </w:lvl>
    <w:lvl w:ilvl="2" w:tplc="0B947A2E">
      <w:start w:val="1"/>
      <w:numFmt w:val="bullet"/>
      <w:lvlRestart w:val="0"/>
      <w:lvlText w:val="·"/>
      <w:lvlJc w:val="left"/>
      <w:pPr>
        <w:tabs>
          <w:tab w:val="left" w:pos="1134"/>
        </w:tabs>
        <w:ind w:left="1134" w:hanging="283"/>
      </w:pPr>
      <w:rPr>
        <w:rFonts w:ascii="Symbol" w:hAnsi="Symbol" w:hint="default"/>
      </w:rPr>
    </w:lvl>
    <w:lvl w:ilvl="3" w:tplc="B1C0ADE2">
      <w:start w:val="1"/>
      <w:numFmt w:val="bullet"/>
      <w:lvlRestart w:val="0"/>
      <w:lvlText w:val="·"/>
      <w:lvlJc w:val="left"/>
      <w:pPr>
        <w:tabs>
          <w:tab w:val="left" w:pos="1134"/>
        </w:tabs>
        <w:ind w:left="1134" w:hanging="283"/>
      </w:pPr>
      <w:rPr>
        <w:rFonts w:ascii="Symbol" w:hAnsi="Symbol" w:hint="default"/>
      </w:rPr>
    </w:lvl>
    <w:lvl w:ilvl="4" w:tplc="32D0CCE8">
      <w:start w:val="1"/>
      <w:numFmt w:val="bullet"/>
      <w:lvlRestart w:val="0"/>
      <w:lvlText w:val="·"/>
      <w:lvlJc w:val="left"/>
      <w:pPr>
        <w:tabs>
          <w:tab w:val="left" w:pos="1134"/>
        </w:tabs>
        <w:ind w:left="1134" w:hanging="283"/>
      </w:pPr>
      <w:rPr>
        <w:rFonts w:ascii="Symbol" w:hAnsi="Symbol" w:hint="default"/>
      </w:rPr>
    </w:lvl>
    <w:lvl w:ilvl="5" w:tplc="65284012">
      <w:start w:val="1"/>
      <w:numFmt w:val="bullet"/>
      <w:lvlRestart w:val="0"/>
      <w:lvlText w:val="·"/>
      <w:lvlJc w:val="left"/>
      <w:pPr>
        <w:tabs>
          <w:tab w:val="left" w:pos="1134"/>
        </w:tabs>
        <w:ind w:left="1134" w:hanging="283"/>
      </w:pPr>
      <w:rPr>
        <w:rFonts w:ascii="Symbol" w:hAnsi="Symbol" w:hint="default"/>
      </w:rPr>
    </w:lvl>
    <w:lvl w:ilvl="6" w:tplc="58042B4E">
      <w:start w:val="1"/>
      <w:numFmt w:val="bullet"/>
      <w:lvlRestart w:val="0"/>
      <w:lvlText w:val="·"/>
      <w:lvlJc w:val="left"/>
      <w:pPr>
        <w:tabs>
          <w:tab w:val="left" w:pos="1134"/>
        </w:tabs>
        <w:ind w:left="1134" w:hanging="283"/>
      </w:pPr>
      <w:rPr>
        <w:rFonts w:ascii="Symbol" w:hAnsi="Symbol" w:hint="default"/>
      </w:rPr>
    </w:lvl>
    <w:lvl w:ilvl="7" w:tplc="CD0837DC">
      <w:start w:val="1"/>
      <w:numFmt w:val="bullet"/>
      <w:lvlRestart w:val="0"/>
      <w:lvlText w:val="·"/>
      <w:lvlJc w:val="left"/>
      <w:pPr>
        <w:tabs>
          <w:tab w:val="left" w:pos="1134"/>
        </w:tabs>
        <w:ind w:left="1134" w:hanging="283"/>
      </w:pPr>
      <w:rPr>
        <w:rFonts w:ascii="Symbol" w:hAnsi="Symbol" w:hint="default"/>
      </w:rPr>
    </w:lvl>
    <w:lvl w:ilvl="8" w:tplc="48843E5C">
      <w:start w:val="1"/>
      <w:numFmt w:val="bullet"/>
      <w:lvlRestart w:val="0"/>
      <w:lvlText w:val="·"/>
      <w:lvlJc w:val="left"/>
      <w:pPr>
        <w:tabs>
          <w:tab w:val="left" w:pos="1134"/>
        </w:tabs>
        <w:ind w:left="1134" w:hanging="283"/>
      </w:pPr>
      <w:rPr>
        <w:rFonts w:ascii="Symbol" w:hAnsi="Symbol" w:hint="default"/>
      </w:rPr>
    </w:lvl>
  </w:abstractNum>
  <w:abstractNum w:abstractNumId="24" w15:restartNumberingAfterBreak="0">
    <w:nsid w:val="2F00000C"/>
    <w:multiLevelType w:val="hybridMultilevel"/>
    <w:tmpl w:val="542E8946"/>
    <w:lvl w:ilvl="0" w:tplc="A0EAA204">
      <w:start w:val="1"/>
      <w:numFmt w:val="bullet"/>
      <w:lvlRestart w:val="0"/>
      <w:pStyle w:val="ListDash"/>
      <w:lvlText w:val="–"/>
      <w:lvlJc w:val="left"/>
      <w:pPr>
        <w:tabs>
          <w:tab w:val="left" w:pos="283"/>
        </w:tabs>
        <w:ind w:left="283" w:hanging="283"/>
      </w:pPr>
      <w:rPr>
        <w:rFonts w:ascii="Times New Roman" w:hAnsi="Times New Roman"/>
      </w:rPr>
    </w:lvl>
    <w:lvl w:ilvl="1" w:tplc="2522E236">
      <w:start w:val="1"/>
      <w:numFmt w:val="bullet"/>
      <w:lvlRestart w:val="0"/>
      <w:lvlText w:val="–"/>
      <w:lvlJc w:val="left"/>
      <w:pPr>
        <w:tabs>
          <w:tab w:val="left" w:pos="283"/>
        </w:tabs>
        <w:ind w:left="283" w:hanging="283"/>
      </w:pPr>
      <w:rPr>
        <w:rFonts w:ascii="Times New Roman" w:hAnsi="Times New Roman"/>
      </w:rPr>
    </w:lvl>
    <w:lvl w:ilvl="2" w:tplc="F0CE8DE0">
      <w:start w:val="1"/>
      <w:numFmt w:val="bullet"/>
      <w:lvlRestart w:val="0"/>
      <w:lvlText w:val="–"/>
      <w:lvlJc w:val="left"/>
      <w:pPr>
        <w:tabs>
          <w:tab w:val="left" w:pos="283"/>
        </w:tabs>
        <w:ind w:left="283" w:hanging="283"/>
      </w:pPr>
      <w:rPr>
        <w:rFonts w:ascii="Times New Roman" w:hAnsi="Times New Roman"/>
      </w:rPr>
    </w:lvl>
    <w:lvl w:ilvl="3" w:tplc="6E5EA20C">
      <w:start w:val="1"/>
      <w:numFmt w:val="bullet"/>
      <w:lvlRestart w:val="0"/>
      <w:lvlText w:val="–"/>
      <w:lvlJc w:val="left"/>
      <w:pPr>
        <w:tabs>
          <w:tab w:val="left" w:pos="283"/>
        </w:tabs>
        <w:ind w:left="283" w:hanging="283"/>
      </w:pPr>
      <w:rPr>
        <w:rFonts w:ascii="Times New Roman" w:hAnsi="Times New Roman"/>
      </w:rPr>
    </w:lvl>
    <w:lvl w:ilvl="4" w:tplc="3170FF50">
      <w:start w:val="1"/>
      <w:numFmt w:val="bullet"/>
      <w:lvlRestart w:val="0"/>
      <w:lvlText w:val="–"/>
      <w:lvlJc w:val="left"/>
      <w:pPr>
        <w:tabs>
          <w:tab w:val="left" w:pos="283"/>
        </w:tabs>
        <w:ind w:left="283" w:hanging="283"/>
      </w:pPr>
      <w:rPr>
        <w:rFonts w:ascii="Times New Roman" w:hAnsi="Times New Roman"/>
      </w:rPr>
    </w:lvl>
    <w:lvl w:ilvl="5" w:tplc="26EC99FE">
      <w:start w:val="1"/>
      <w:numFmt w:val="bullet"/>
      <w:lvlRestart w:val="0"/>
      <w:lvlText w:val="–"/>
      <w:lvlJc w:val="left"/>
      <w:pPr>
        <w:tabs>
          <w:tab w:val="left" w:pos="283"/>
        </w:tabs>
        <w:ind w:left="283" w:hanging="283"/>
      </w:pPr>
      <w:rPr>
        <w:rFonts w:ascii="Times New Roman" w:hAnsi="Times New Roman"/>
      </w:rPr>
    </w:lvl>
    <w:lvl w:ilvl="6" w:tplc="13DC32C6">
      <w:start w:val="1"/>
      <w:numFmt w:val="bullet"/>
      <w:lvlRestart w:val="0"/>
      <w:lvlText w:val="–"/>
      <w:lvlJc w:val="left"/>
      <w:pPr>
        <w:tabs>
          <w:tab w:val="left" w:pos="283"/>
        </w:tabs>
        <w:ind w:left="283" w:hanging="283"/>
      </w:pPr>
      <w:rPr>
        <w:rFonts w:ascii="Times New Roman" w:hAnsi="Times New Roman"/>
      </w:rPr>
    </w:lvl>
    <w:lvl w:ilvl="7" w:tplc="62224EEC">
      <w:start w:val="1"/>
      <w:numFmt w:val="bullet"/>
      <w:lvlRestart w:val="0"/>
      <w:lvlText w:val="–"/>
      <w:lvlJc w:val="left"/>
      <w:pPr>
        <w:tabs>
          <w:tab w:val="left" w:pos="283"/>
        </w:tabs>
        <w:ind w:left="283" w:hanging="283"/>
      </w:pPr>
      <w:rPr>
        <w:rFonts w:ascii="Times New Roman" w:hAnsi="Times New Roman"/>
      </w:rPr>
    </w:lvl>
    <w:lvl w:ilvl="8" w:tplc="35A8DDDE">
      <w:start w:val="1"/>
      <w:numFmt w:val="bullet"/>
      <w:lvlRestart w:val="0"/>
      <w:lvlText w:val="–"/>
      <w:lvlJc w:val="left"/>
      <w:pPr>
        <w:tabs>
          <w:tab w:val="left" w:pos="283"/>
        </w:tabs>
        <w:ind w:left="283" w:hanging="283"/>
      </w:pPr>
      <w:rPr>
        <w:rFonts w:ascii="Times New Roman" w:hAnsi="Times New Roman"/>
      </w:rPr>
    </w:lvl>
  </w:abstractNum>
  <w:abstractNum w:abstractNumId="25" w15:restartNumberingAfterBreak="0">
    <w:nsid w:val="2F00000D"/>
    <w:multiLevelType w:val="hybridMultilevel"/>
    <w:tmpl w:val="21366DF1"/>
    <w:lvl w:ilvl="0" w:tplc="A12489EC">
      <w:start w:val="1"/>
      <w:numFmt w:val="bullet"/>
      <w:lvlRestart w:val="0"/>
      <w:pStyle w:val="Tiret1"/>
      <w:lvlText w:val="–"/>
      <w:lvlJc w:val="left"/>
      <w:pPr>
        <w:tabs>
          <w:tab w:val="left" w:pos="1417"/>
        </w:tabs>
        <w:ind w:left="1417" w:hanging="567"/>
      </w:pPr>
    </w:lvl>
    <w:lvl w:ilvl="1" w:tplc="8A821E7A">
      <w:start w:val="1"/>
      <w:numFmt w:val="bullet"/>
      <w:lvlRestart w:val="0"/>
      <w:lvlText w:val="–"/>
      <w:lvlJc w:val="left"/>
      <w:pPr>
        <w:tabs>
          <w:tab w:val="left" w:pos="1417"/>
        </w:tabs>
        <w:ind w:left="1417" w:hanging="567"/>
      </w:pPr>
    </w:lvl>
    <w:lvl w:ilvl="2" w:tplc="AAEED68E">
      <w:start w:val="1"/>
      <w:numFmt w:val="bullet"/>
      <w:lvlRestart w:val="0"/>
      <w:lvlText w:val="–"/>
      <w:lvlJc w:val="left"/>
      <w:pPr>
        <w:tabs>
          <w:tab w:val="left" w:pos="1417"/>
        </w:tabs>
        <w:ind w:left="1417" w:hanging="567"/>
      </w:pPr>
    </w:lvl>
    <w:lvl w:ilvl="3" w:tplc="855EF9CE">
      <w:start w:val="1"/>
      <w:numFmt w:val="bullet"/>
      <w:lvlRestart w:val="0"/>
      <w:lvlText w:val="–"/>
      <w:lvlJc w:val="left"/>
      <w:pPr>
        <w:tabs>
          <w:tab w:val="left" w:pos="1417"/>
        </w:tabs>
        <w:ind w:left="1417" w:hanging="567"/>
      </w:pPr>
    </w:lvl>
    <w:lvl w:ilvl="4" w:tplc="DA047066">
      <w:start w:val="1"/>
      <w:numFmt w:val="bullet"/>
      <w:lvlRestart w:val="0"/>
      <w:lvlText w:val="–"/>
      <w:lvlJc w:val="left"/>
      <w:pPr>
        <w:tabs>
          <w:tab w:val="left" w:pos="1417"/>
        </w:tabs>
        <w:ind w:left="1417" w:hanging="567"/>
      </w:pPr>
    </w:lvl>
    <w:lvl w:ilvl="5" w:tplc="6BFC17CC">
      <w:start w:val="1"/>
      <w:numFmt w:val="bullet"/>
      <w:lvlRestart w:val="0"/>
      <w:lvlText w:val="–"/>
      <w:lvlJc w:val="left"/>
      <w:pPr>
        <w:tabs>
          <w:tab w:val="left" w:pos="1417"/>
        </w:tabs>
        <w:ind w:left="1417" w:hanging="567"/>
      </w:pPr>
    </w:lvl>
    <w:lvl w:ilvl="6" w:tplc="770A2136">
      <w:start w:val="1"/>
      <w:numFmt w:val="bullet"/>
      <w:lvlRestart w:val="0"/>
      <w:lvlText w:val="–"/>
      <w:lvlJc w:val="left"/>
      <w:pPr>
        <w:tabs>
          <w:tab w:val="left" w:pos="1417"/>
        </w:tabs>
        <w:ind w:left="1417" w:hanging="567"/>
      </w:pPr>
    </w:lvl>
    <w:lvl w:ilvl="7" w:tplc="8B5A9060">
      <w:start w:val="1"/>
      <w:numFmt w:val="bullet"/>
      <w:lvlRestart w:val="0"/>
      <w:lvlText w:val="–"/>
      <w:lvlJc w:val="left"/>
      <w:pPr>
        <w:tabs>
          <w:tab w:val="left" w:pos="1417"/>
        </w:tabs>
        <w:ind w:left="1417" w:hanging="567"/>
      </w:pPr>
    </w:lvl>
    <w:lvl w:ilvl="8" w:tplc="4EB28956">
      <w:start w:val="1"/>
      <w:numFmt w:val="bullet"/>
      <w:lvlRestart w:val="0"/>
      <w:lvlText w:val="–"/>
      <w:lvlJc w:val="left"/>
      <w:pPr>
        <w:tabs>
          <w:tab w:val="left" w:pos="1417"/>
        </w:tabs>
        <w:ind w:left="1417" w:hanging="567"/>
      </w:pPr>
    </w:lvl>
  </w:abstractNum>
  <w:abstractNum w:abstractNumId="26" w15:restartNumberingAfterBreak="0">
    <w:nsid w:val="2F00000E"/>
    <w:multiLevelType w:val="hybridMultilevel"/>
    <w:tmpl w:val="226BEA59"/>
    <w:lvl w:ilvl="0" w:tplc="65C236A6">
      <w:start w:val="1"/>
      <w:numFmt w:val="bullet"/>
      <w:lvlRestart w:val="0"/>
      <w:pStyle w:val="Tiret4"/>
      <w:lvlText w:val="–"/>
      <w:lvlJc w:val="left"/>
      <w:pPr>
        <w:tabs>
          <w:tab w:val="left" w:pos="3118"/>
        </w:tabs>
        <w:ind w:left="3118" w:hanging="567"/>
      </w:pPr>
    </w:lvl>
    <w:lvl w:ilvl="1" w:tplc="E0EC5DC8">
      <w:start w:val="1"/>
      <w:numFmt w:val="bullet"/>
      <w:lvlRestart w:val="0"/>
      <w:lvlText w:val="–"/>
      <w:lvlJc w:val="left"/>
      <w:pPr>
        <w:tabs>
          <w:tab w:val="left" w:pos="3118"/>
        </w:tabs>
        <w:ind w:left="3118" w:hanging="567"/>
      </w:pPr>
    </w:lvl>
    <w:lvl w:ilvl="2" w:tplc="1EC0EC7E">
      <w:start w:val="1"/>
      <w:numFmt w:val="bullet"/>
      <w:lvlRestart w:val="0"/>
      <w:lvlText w:val="–"/>
      <w:lvlJc w:val="left"/>
      <w:pPr>
        <w:tabs>
          <w:tab w:val="left" w:pos="3118"/>
        </w:tabs>
        <w:ind w:left="3118" w:hanging="567"/>
      </w:pPr>
    </w:lvl>
    <w:lvl w:ilvl="3" w:tplc="41A48A32">
      <w:start w:val="1"/>
      <w:numFmt w:val="bullet"/>
      <w:lvlRestart w:val="0"/>
      <w:lvlText w:val="–"/>
      <w:lvlJc w:val="left"/>
      <w:pPr>
        <w:tabs>
          <w:tab w:val="left" w:pos="3118"/>
        </w:tabs>
        <w:ind w:left="3118" w:hanging="567"/>
      </w:pPr>
    </w:lvl>
    <w:lvl w:ilvl="4" w:tplc="15F0F8EC">
      <w:start w:val="1"/>
      <w:numFmt w:val="bullet"/>
      <w:lvlRestart w:val="0"/>
      <w:lvlText w:val="–"/>
      <w:lvlJc w:val="left"/>
      <w:pPr>
        <w:tabs>
          <w:tab w:val="left" w:pos="3118"/>
        </w:tabs>
        <w:ind w:left="3118" w:hanging="567"/>
      </w:pPr>
    </w:lvl>
    <w:lvl w:ilvl="5" w:tplc="055CEACC">
      <w:start w:val="1"/>
      <w:numFmt w:val="bullet"/>
      <w:lvlRestart w:val="0"/>
      <w:lvlText w:val="–"/>
      <w:lvlJc w:val="left"/>
      <w:pPr>
        <w:tabs>
          <w:tab w:val="left" w:pos="3118"/>
        </w:tabs>
        <w:ind w:left="3118" w:hanging="567"/>
      </w:pPr>
    </w:lvl>
    <w:lvl w:ilvl="6" w:tplc="1466E380">
      <w:start w:val="1"/>
      <w:numFmt w:val="bullet"/>
      <w:lvlRestart w:val="0"/>
      <w:lvlText w:val="–"/>
      <w:lvlJc w:val="left"/>
      <w:pPr>
        <w:tabs>
          <w:tab w:val="left" w:pos="3118"/>
        </w:tabs>
        <w:ind w:left="3118" w:hanging="567"/>
      </w:pPr>
    </w:lvl>
    <w:lvl w:ilvl="7" w:tplc="526C5B02">
      <w:start w:val="1"/>
      <w:numFmt w:val="bullet"/>
      <w:lvlRestart w:val="0"/>
      <w:lvlText w:val="–"/>
      <w:lvlJc w:val="left"/>
      <w:pPr>
        <w:tabs>
          <w:tab w:val="left" w:pos="3118"/>
        </w:tabs>
        <w:ind w:left="3118" w:hanging="567"/>
      </w:pPr>
    </w:lvl>
    <w:lvl w:ilvl="8" w:tplc="D278BC82">
      <w:start w:val="1"/>
      <w:numFmt w:val="bullet"/>
      <w:lvlRestart w:val="0"/>
      <w:lvlText w:val="–"/>
      <w:lvlJc w:val="left"/>
      <w:pPr>
        <w:tabs>
          <w:tab w:val="left" w:pos="3118"/>
        </w:tabs>
        <w:ind w:left="3118" w:hanging="567"/>
      </w:pPr>
    </w:lvl>
  </w:abstractNum>
  <w:abstractNum w:abstractNumId="27" w15:restartNumberingAfterBreak="0">
    <w:nsid w:val="2F00000F"/>
    <w:multiLevelType w:val="hybridMultilevel"/>
    <w:tmpl w:val="40E69BA3"/>
    <w:lvl w:ilvl="0" w:tplc="CB6A278E">
      <w:start w:val="1"/>
      <w:numFmt w:val="bullet"/>
      <w:lvlRestart w:val="0"/>
      <w:pStyle w:val="Bullet0"/>
      <w:lvlText w:val="·"/>
      <w:lvlJc w:val="left"/>
      <w:pPr>
        <w:tabs>
          <w:tab w:val="left" w:pos="850"/>
        </w:tabs>
        <w:ind w:left="850" w:hanging="850"/>
      </w:pPr>
      <w:rPr>
        <w:rFonts w:ascii="Symbol" w:hAnsi="Symbol" w:hint="default"/>
      </w:rPr>
    </w:lvl>
    <w:lvl w:ilvl="1" w:tplc="BC78E204">
      <w:start w:val="1"/>
      <w:numFmt w:val="bullet"/>
      <w:lvlRestart w:val="0"/>
      <w:lvlText w:val="·"/>
      <w:lvlJc w:val="left"/>
      <w:pPr>
        <w:tabs>
          <w:tab w:val="left" w:pos="850"/>
        </w:tabs>
        <w:ind w:left="850" w:hanging="850"/>
      </w:pPr>
      <w:rPr>
        <w:rFonts w:ascii="Symbol" w:hAnsi="Symbol" w:hint="default"/>
      </w:rPr>
    </w:lvl>
    <w:lvl w:ilvl="2" w:tplc="371C7F12">
      <w:start w:val="1"/>
      <w:numFmt w:val="bullet"/>
      <w:lvlRestart w:val="0"/>
      <w:lvlText w:val="·"/>
      <w:lvlJc w:val="left"/>
      <w:pPr>
        <w:tabs>
          <w:tab w:val="left" w:pos="850"/>
        </w:tabs>
        <w:ind w:left="850" w:hanging="850"/>
      </w:pPr>
      <w:rPr>
        <w:rFonts w:ascii="Symbol" w:hAnsi="Symbol" w:hint="default"/>
      </w:rPr>
    </w:lvl>
    <w:lvl w:ilvl="3" w:tplc="3E164C1E">
      <w:start w:val="1"/>
      <w:numFmt w:val="bullet"/>
      <w:lvlRestart w:val="0"/>
      <w:lvlText w:val="·"/>
      <w:lvlJc w:val="left"/>
      <w:pPr>
        <w:tabs>
          <w:tab w:val="left" w:pos="850"/>
        </w:tabs>
        <w:ind w:left="850" w:hanging="850"/>
      </w:pPr>
      <w:rPr>
        <w:rFonts w:ascii="Symbol" w:hAnsi="Symbol" w:hint="default"/>
      </w:rPr>
    </w:lvl>
    <w:lvl w:ilvl="4" w:tplc="73F86740">
      <w:start w:val="1"/>
      <w:numFmt w:val="bullet"/>
      <w:lvlRestart w:val="0"/>
      <w:lvlText w:val="·"/>
      <w:lvlJc w:val="left"/>
      <w:pPr>
        <w:tabs>
          <w:tab w:val="left" w:pos="850"/>
        </w:tabs>
        <w:ind w:left="850" w:hanging="850"/>
      </w:pPr>
      <w:rPr>
        <w:rFonts w:ascii="Symbol" w:hAnsi="Symbol" w:hint="default"/>
      </w:rPr>
    </w:lvl>
    <w:lvl w:ilvl="5" w:tplc="5E14C148">
      <w:start w:val="1"/>
      <w:numFmt w:val="bullet"/>
      <w:lvlRestart w:val="0"/>
      <w:lvlText w:val="·"/>
      <w:lvlJc w:val="left"/>
      <w:pPr>
        <w:tabs>
          <w:tab w:val="left" w:pos="850"/>
        </w:tabs>
        <w:ind w:left="850" w:hanging="850"/>
      </w:pPr>
      <w:rPr>
        <w:rFonts w:ascii="Symbol" w:hAnsi="Symbol" w:hint="default"/>
      </w:rPr>
    </w:lvl>
    <w:lvl w:ilvl="6" w:tplc="72B4D94C">
      <w:start w:val="1"/>
      <w:numFmt w:val="bullet"/>
      <w:lvlRestart w:val="0"/>
      <w:lvlText w:val="·"/>
      <w:lvlJc w:val="left"/>
      <w:pPr>
        <w:tabs>
          <w:tab w:val="left" w:pos="850"/>
        </w:tabs>
        <w:ind w:left="850" w:hanging="850"/>
      </w:pPr>
      <w:rPr>
        <w:rFonts w:ascii="Symbol" w:hAnsi="Symbol" w:hint="default"/>
      </w:rPr>
    </w:lvl>
    <w:lvl w:ilvl="7" w:tplc="D5A25838">
      <w:start w:val="1"/>
      <w:numFmt w:val="bullet"/>
      <w:lvlRestart w:val="0"/>
      <w:lvlText w:val="·"/>
      <w:lvlJc w:val="left"/>
      <w:pPr>
        <w:tabs>
          <w:tab w:val="left" w:pos="850"/>
        </w:tabs>
        <w:ind w:left="850" w:hanging="850"/>
      </w:pPr>
      <w:rPr>
        <w:rFonts w:ascii="Symbol" w:hAnsi="Symbol" w:hint="default"/>
      </w:rPr>
    </w:lvl>
    <w:lvl w:ilvl="8" w:tplc="CA1C3FF8">
      <w:start w:val="1"/>
      <w:numFmt w:val="bullet"/>
      <w:lvlRestart w:val="0"/>
      <w:lvlText w:val="·"/>
      <w:lvlJc w:val="left"/>
      <w:pPr>
        <w:tabs>
          <w:tab w:val="left" w:pos="850"/>
        </w:tabs>
        <w:ind w:left="850" w:hanging="850"/>
      </w:pPr>
      <w:rPr>
        <w:rFonts w:ascii="Symbol" w:hAnsi="Symbol" w:hint="default"/>
      </w:rPr>
    </w:lvl>
  </w:abstractNum>
  <w:abstractNum w:abstractNumId="28" w15:restartNumberingAfterBreak="0">
    <w:nsid w:val="2F000010"/>
    <w:multiLevelType w:val="hybridMultilevel"/>
    <w:tmpl w:val="49F41C8B"/>
    <w:lvl w:ilvl="0" w:tplc="BB7C0C46">
      <w:start w:val="1"/>
      <w:numFmt w:val="bullet"/>
      <w:lvlRestart w:val="0"/>
      <w:pStyle w:val="Bullet4"/>
      <w:lvlText w:val="·"/>
      <w:lvlJc w:val="left"/>
      <w:pPr>
        <w:tabs>
          <w:tab w:val="left" w:pos="3118"/>
        </w:tabs>
        <w:ind w:left="3118" w:hanging="567"/>
      </w:pPr>
      <w:rPr>
        <w:rFonts w:ascii="Symbol" w:hAnsi="Symbol" w:hint="default"/>
      </w:rPr>
    </w:lvl>
    <w:lvl w:ilvl="1" w:tplc="589E22EA">
      <w:start w:val="1"/>
      <w:numFmt w:val="bullet"/>
      <w:lvlRestart w:val="0"/>
      <w:lvlText w:val="·"/>
      <w:lvlJc w:val="left"/>
      <w:pPr>
        <w:tabs>
          <w:tab w:val="left" w:pos="3118"/>
        </w:tabs>
        <w:ind w:left="3118" w:hanging="567"/>
      </w:pPr>
      <w:rPr>
        <w:rFonts w:ascii="Symbol" w:hAnsi="Symbol" w:hint="default"/>
      </w:rPr>
    </w:lvl>
    <w:lvl w:ilvl="2" w:tplc="F33286BC">
      <w:start w:val="1"/>
      <w:numFmt w:val="bullet"/>
      <w:lvlRestart w:val="0"/>
      <w:lvlText w:val="·"/>
      <w:lvlJc w:val="left"/>
      <w:pPr>
        <w:tabs>
          <w:tab w:val="left" w:pos="3118"/>
        </w:tabs>
        <w:ind w:left="3118" w:hanging="567"/>
      </w:pPr>
      <w:rPr>
        <w:rFonts w:ascii="Symbol" w:hAnsi="Symbol" w:hint="default"/>
      </w:rPr>
    </w:lvl>
    <w:lvl w:ilvl="3" w:tplc="58B6A592">
      <w:start w:val="1"/>
      <w:numFmt w:val="bullet"/>
      <w:lvlRestart w:val="0"/>
      <w:lvlText w:val="·"/>
      <w:lvlJc w:val="left"/>
      <w:pPr>
        <w:tabs>
          <w:tab w:val="left" w:pos="3118"/>
        </w:tabs>
        <w:ind w:left="3118" w:hanging="567"/>
      </w:pPr>
      <w:rPr>
        <w:rFonts w:ascii="Symbol" w:hAnsi="Symbol" w:hint="default"/>
      </w:rPr>
    </w:lvl>
    <w:lvl w:ilvl="4" w:tplc="3D125958">
      <w:start w:val="1"/>
      <w:numFmt w:val="bullet"/>
      <w:lvlRestart w:val="0"/>
      <w:lvlText w:val="·"/>
      <w:lvlJc w:val="left"/>
      <w:pPr>
        <w:tabs>
          <w:tab w:val="left" w:pos="3118"/>
        </w:tabs>
        <w:ind w:left="3118" w:hanging="567"/>
      </w:pPr>
      <w:rPr>
        <w:rFonts w:ascii="Symbol" w:hAnsi="Symbol" w:hint="default"/>
      </w:rPr>
    </w:lvl>
    <w:lvl w:ilvl="5" w:tplc="11E035B0">
      <w:start w:val="1"/>
      <w:numFmt w:val="bullet"/>
      <w:lvlRestart w:val="0"/>
      <w:lvlText w:val="·"/>
      <w:lvlJc w:val="left"/>
      <w:pPr>
        <w:tabs>
          <w:tab w:val="left" w:pos="3118"/>
        </w:tabs>
        <w:ind w:left="3118" w:hanging="567"/>
      </w:pPr>
      <w:rPr>
        <w:rFonts w:ascii="Symbol" w:hAnsi="Symbol" w:hint="default"/>
      </w:rPr>
    </w:lvl>
    <w:lvl w:ilvl="6" w:tplc="2C565D28">
      <w:start w:val="1"/>
      <w:numFmt w:val="bullet"/>
      <w:lvlRestart w:val="0"/>
      <w:lvlText w:val="·"/>
      <w:lvlJc w:val="left"/>
      <w:pPr>
        <w:tabs>
          <w:tab w:val="left" w:pos="3118"/>
        </w:tabs>
        <w:ind w:left="3118" w:hanging="567"/>
      </w:pPr>
      <w:rPr>
        <w:rFonts w:ascii="Symbol" w:hAnsi="Symbol" w:hint="default"/>
      </w:rPr>
    </w:lvl>
    <w:lvl w:ilvl="7" w:tplc="3D58C534">
      <w:start w:val="1"/>
      <w:numFmt w:val="bullet"/>
      <w:lvlRestart w:val="0"/>
      <w:lvlText w:val="·"/>
      <w:lvlJc w:val="left"/>
      <w:pPr>
        <w:tabs>
          <w:tab w:val="left" w:pos="3118"/>
        </w:tabs>
        <w:ind w:left="3118" w:hanging="567"/>
      </w:pPr>
      <w:rPr>
        <w:rFonts w:ascii="Symbol" w:hAnsi="Symbol" w:hint="default"/>
      </w:rPr>
    </w:lvl>
    <w:lvl w:ilvl="8" w:tplc="D7487BBA">
      <w:start w:val="1"/>
      <w:numFmt w:val="bullet"/>
      <w:lvlRestart w:val="0"/>
      <w:lvlText w:val="·"/>
      <w:lvlJc w:val="left"/>
      <w:pPr>
        <w:tabs>
          <w:tab w:val="left" w:pos="3118"/>
        </w:tabs>
        <w:ind w:left="3118" w:hanging="567"/>
      </w:pPr>
      <w:rPr>
        <w:rFonts w:ascii="Symbol" w:hAnsi="Symbol" w:hint="default"/>
      </w:rPr>
    </w:lvl>
  </w:abstractNum>
  <w:abstractNum w:abstractNumId="29" w15:restartNumberingAfterBreak="0">
    <w:nsid w:val="2F000011"/>
    <w:multiLevelType w:val="hybridMultilevel"/>
    <w:tmpl w:val="1F7E2088"/>
    <w:lvl w:ilvl="0" w:tplc="4CE4208A">
      <w:start w:val="1"/>
      <w:numFmt w:val="bullet"/>
      <w:lvlRestart w:val="0"/>
      <w:pStyle w:val="ListDash2"/>
      <w:lvlText w:val="–"/>
      <w:lvlJc w:val="left"/>
      <w:pPr>
        <w:tabs>
          <w:tab w:val="left" w:pos="1134"/>
        </w:tabs>
        <w:ind w:left="1134" w:hanging="283"/>
      </w:pPr>
      <w:rPr>
        <w:rFonts w:ascii="Times New Roman" w:hAnsi="Times New Roman"/>
      </w:rPr>
    </w:lvl>
    <w:lvl w:ilvl="1" w:tplc="C5280DCC">
      <w:start w:val="1"/>
      <w:numFmt w:val="bullet"/>
      <w:lvlRestart w:val="0"/>
      <w:lvlText w:val="–"/>
      <w:lvlJc w:val="left"/>
      <w:pPr>
        <w:tabs>
          <w:tab w:val="left" w:pos="1134"/>
        </w:tabs>
        <w:ind w:left="1134" w:hanging="283"/>
      </w:pPr>
      <w:rPr>
        <w:rFonts w:ascii="Times New Roman" w:hAnsi="Times New Roman"/>
      </w:rPr>
    </w:lvl>
    <w:lvl w:ilvl="2" w:tplc="CB7E4DA2">
      <w:start w:val="1"/>
      <w:numFmt w:val="bullet"/>
      <w:lvlRestart w:val="0"/>
      <w:lvlText w:val="–"/>
      <w:lvlJc w:val="left"/>
      <w:pPr>
        <w:tabs>
          <w:tab w:val="left" w:pos="1134"/>
        </w:tabs>
        <w:ind w:left="1134" w:hanging="283"/>
      </w:pPr>
      <w:rPr>
        <w:rFonts w:ascii="Times New Roman" w:hAnsi="Times New Roman"/>
      </w:rPr>
    </w:lvl>
    <w:lvl w:ilvl="3" w:tplc="BD202040">
      <w:start w:val="1"/>
      <w:numFmt w:val="bullet"/>
      <w:lvlRestart w:val="0"/>
      <w:lvlText w:val="–"/>
      <w:lvlJc w:val="left"/>
      <w:pPr>
        <w:tabs>
          <w:tab w:val="left" w:pos="1134"/>
        </w:tabs>
        <w:ind w:left="1134" w:hanging="283"/>
      </w:pPr>
      <w:rPr>
        <w:rFonts w:ascii="Times New Roman" w:hAnsi="Times New Roman"/>
      </w:rPr>
    </w:lvl>
    <w:lvl w:ilvl="4" w:tplc="9F589982">
      <w:start w:val="1"/>
      <w:numFmt w:val="bullet"/>
      <w:lvlRestart w:val="0"/>
      <w:lvlText w:val="–"/>
      <w:lvlJc w:val="left"/>
      <w:pPr>
        <w:tabs>
          <w:tab w:val="left" w:pos="1134"/>
        </w:tabs>
        <w:ind w:left="1134" w:hanging="283"/>
      </w:pPr>
      <w:rPr>
        <w:rFonts w:ascii="Times New Roman" w:hAnsi="Times New Roman"/>
      </w:rPr>
    </w:lvl>
    <w:lvl w:ilvl="5" w:tplc="7B3884C6">
      <w:start w:val="1"/>
      <w:numFmt w:val="bullet"/>
      <w:lvlRestart w:val="0"/>
      <w:lvlText w:val="–"/>
      <w:lvlJc w:val="left"/>
      <w:pPr>
        <w:tabs>
          <w:tab w:val="left" w:pos="1134"/>
        </w:tabs>
        <w:ind w:left="1134" w:hanging="283"/>
      </w:pPr>
      <w:rPr>
        <w:rFonts w:ascii="Times New Roman" w:hAnsi="Times New Roman"/>
      </w:rPr>
    </w:lvl>
    <w:lvl w:ilvl="6" w:tplc="38FC8F46">
      <w:start w:val="1"/>
      <w:numFmt w:val="bullet"/>
      <w:lvlRestart w:val="0"/>
      <w:lvlText w:val="–"/>
      <w:lvlJc w:val="left"/>
      <w:pPr>
        <w:tabs>
          <w:tab w:val="left" w:pos="1134"/>
        </w:tabs>
        <w:ind w:left="1134" w:hanging="283"/>
      </w:pPr>
      <w:rPr>
        <w:rFonts w:ascii="Times New Roman" w:hAnsi="Times New Roman"/>
      </w:rPr>
    </w:lvl>
    <w:lvl w:ilvl="7" w:tplc="1B200780">
      <w:start w:val="1"/>
      <w:numFmt w:val="bullet"/>
      <w:lvlRestart w:val="0"/>
      <w:lvlText w:val="–"/>
      <w:lvlJc w:val="left"/>
      <w:pPr>
        <w:tabs>
          <w:tab w:val="left" w:pos="1134"/>
        </w:tabs>
        <w:ind w:left="1134" w:hanging="283"/>
      </w:pPr>
      <w:rPr>
        <w:rFonts w:ascii="Times New Roman" w:hAnsi="Times New Roman"/>
      </w:rPr>
    </w:lvl>
    <w:lvl w:ilvl="8" w:tplc="F94ED398">
      <w:start w:val="1"/>
      <w:numFmt w:val="bullet"/>
      <w:lvlRestart w:val="0"/>
      <w:lvlText w:val="–"/>
      <w:lvlJc w:val="left"/>
      <w:pPr>
        <w:tabs>
          <w:tab w:val="left" w:pos="1134"/>
        </w:tabs>
        <w:ind w:left="1134" w:hanging="283"/>
      </w:pPr>
      <w:rPr>
        <w:rFonts w:ascii="Times New Roman" w:hAnsi="Times New Roman"/>
      </w:rPr>
    </w:lvl>
  </w:abstractNum>
  <w:abstractNum w:abstractNumId="30" w15:restartNumberingAfterBreak="0">
    <w:nsid w:val="2F000012"/>
    <w:multiLevelType w:val="hybridMultilevel"/>
    <w:tmpl w:val="3789E1CC"/>
    <w:lvl w:ilvl="0" w:tplc="BF3A9DE6">
      <w:start w:val="1"/>
      <w:numFmt w:val="bullet"/>
      <w:lvlRestart w:val="0"/>
      <w:pStyle w:val="Bullet1"/>
      <w:lvlText w:val="·"/>
      <w:lvlJc w:val="left"/>
      <w:pPr>
        <w:tabs>
          <w:tab w:val="left" w:pos="1417"/>
        </w:tabs>
        <w:ind w:left="1417" w:hanging="567"/>
      </w:pPr>
      <w:rPr>
        <w:rFonts w:ascii="Symbol" w:hAnsi="Symbol" w:hint="default"/>
      </w:rPr>
    </w:lvl>
    <w:lvl w:ilvl="1" w:tplc="18E09574">
      <w:start w:val="1"/>
      <w:numFmt w:val="bullet"/>
      <w:lvlRestart w:val="0"/>
      <w:lvlText w:val="·"/>
      <w:lvlJc w:val="left"/>
      <w:pPr>
        <w:tabs>
          <w:tab w:val="left" w:pos="1417"/>
        </w:tabs>
        <w:ind w:left="1417" w:hanging="567"/>
      </w:pPr>
      <w:rPr>
        <w:rFonts w:ascii="Symbol" w:hAnsi="Symbol" w:hint="default"/>
      </w:rPr>
    </w:lvl>
    <w:lvl w:ilvl="2" w:tplc="250CC6EA">
      <w:start w:val="1"/>
      <w:numFmt w:val="bullet"/>
      <w:lvlRestart w:val="0"/>
      <w:lvlText w:val="·"/>
      <w:lvlJc w:val="left"/>
      <w:pPr>
        <w:tabs>
          <w:tab w:val="left" w:pos="1417"/>
        </w:tabs>
        <w:ind w:left="1417" w:hanging="567"/>
      </w:pPr>
      <w:rPr>
        <w:rFonts w:ascii="Symbol" w:hAnsi="Symbol" w:hint="default"/>
      </w:rPr>
    </w:lvl>
    <w:lvl w:ilvl="3" w:tplc="7FFEA0B6">
      <w:start w:val="1"/>
      <w:numFmt w:val="bullet"/>
      <w:lvlRestart w:val="0"/>
      <w:lvlText w:val="·"/>
      <w:lvlJc w:val="left"/>
      <w:pPr>
        <w:tabs>
          <w:tab w:val="left" w:pos="1417"/>
        </w:tabs>
        <w:ind w:left="1417" w:hanging="567"/>
      </w:pPr>
      <w:rPr>
        <w:rFonts w:ascii="Symbol" w:hAnsi="Symbol" w:hint="default"/>
      </w:rPr>
    </w:lvl>
    <w:lvl w:ilvl="4" w:tplc="D222228E">
      <w:start w:val="1"/>
      <w:numFmt w:val="bullet"/>
      <w:lvlRestart w:val="0"/>
      <w:lvlText w:val="·"/>
      <w:lvlJc w:val="left"/>
      <w:pPr>
        <w:tabs>
          <w:tab w:val="left" w:pos="1417"/>
        </w:tabs>
        <w:ind w:left="1417" w:hanging="567"/>
      </w:pPr>
      <w:rPr>
        <w:rFonts w:ascii="Symbol" w:hAnsi="Symbol" w:hint="default"/>
      </w:rPr>
    </w:lvl>
    <w:lvl w:ilvl="5" w:tplc="E4261EBC">
      <w:start w:val="1"/>
      <w:numFmt w:val="bullet"/>
      <w:lvlRestart w:val="0"/>
      <w:lvlText w:val="·"/>
      <w:lvlJc w:val="left"/>
      <w:pPr>
        <w:tabs>
          <w:tab w:val="left" w:pos="1417"/>
        </w:tabs>
        <w:ind w:left="1417" w:hanging="567"/>
      </w:pPr>
      <w:rPr>
        <w:rFonts w:ascii="Symbol" w:hAnsi="Symbol" w:hint="default"/>
      </w:rPr>
    </w:lvl>
    <w:lvl w:ilvl="6" w:tplc="8F84549E">
      <w:start w:val="1"/>
      <w:numFmt w:val="bullet"/>
      <w:lvlRestart w:val="0"/>
      <w:lvlText w:val="·"/>
      <w:lvlJc w:val="left"/>
      <w:pPr>
        <w:tabs>
          <w:tab w:val="left" w:pos="1417"/>
        </w:tabs>
        <w:ind w:left="1417" w:hanging="567"/>
      </w:pPr>
      <w:rPr>
        <w:rFonts w:ascii="Symbol" w:hAnsi="Symbol" w:hint="default"/>
      </w:rPr>
    </w:lvl>
    <w:lvl w:ilvl="7" w:tplc="986CEE1C">
      <w:start w:val="1"/>
      <w:numFmt w:val="bullet"/>
      <w:lvlRestart w:val="0"/>
      <w:lvlText w:val="·"/>
      <w:lvlJc w:val="left"/>
      <w:pPr>
        <w:tabs>
          <w:tab w:val="left" w:pos="1417"/>
        </w:tabs>
        <w:ind w:left="1417" w:hanging="567"/>
      </w:pPr>
      <w:rPr>
        <w:rFonts w:ascii="Symbol" w:hAnsi="Symbol" w:hint="default"/>
      </w:rPr>
    </w:lvl>
    <w:lvl w:ilvl="8" w:tplc="46D82E4A">
      <w:start w:val="1"/>
      <w:numFmt w:val="bullet"/>
      <w:lvlRestart w:val="0"/>
      <w:lvlText w:val="·"/>
      <w:lvlJc w:val="left"/>
      <w:pPr>
        <w:tabs>
          <w:tab w:val="left" w:pos="1417"/>
        </w:tabs>
        <w:ind w:left="1417" w:hanging="567"/>
      </w:pPr>
      <w:rPr>
        <w:rFonts w:ascii="Symbol" w:hAnsi="Symbol" w:hint="default"/>
      </w:rPr>
    </w:lvl>
  </w:abstractNum>
  <w:abstractNum w:abstractNumId="31" w15:restartNumberingAfterBreak="0">
    <w:nsid w:val="2F000013"/>
    <w:multiLevelType w:val="hybridMultilevel"/>
    <w:tmpl w:val="234724AA"/>
    <w:lvl w:ilvl="0" w:tplc="597674A8">
      <w:start w:val="1"/>
      <w:numFmt w:val="bullet"/>
      <w:lvlRestart w:val="0"/>
      <w:pStyle w:val="Bullet2"/>
      <w:lvlText w:val="·"/>
      <w:lvlJc w:val="left"/>
      <w:pPr>
        <w:tabs>
          <w:tab w:val="left" w:pos="1984"/>
        </w:tabs>
        <w:ind w:left="1984" w:hanging="567"/>
      </w:pPr>
      <w:rPr>
        <w:rFonts w:ascii="Symbol" w:hAnsi="Symbol" w:hint="default"/>
      </w:rPr>
    </w:lvl>
    <w:lvl w:ilvl="1" w:tplc="ADF2CE5A">
      <w:start w:val="1"/>
      <w:numFmt w:val="bullet"/>
      <w:lvlRestart w:val="0"/>
      <w:lvlText w:val="·"/>
      <w:lvlJc w:val="left"/>
      <w:pPr>
        <w:tabs>
          <w:tab w:val="left" w:pos="1984"/>
        </w:tabs>
        <w:ind w:left="1984" w:hanging="567"/>
      </w:pPr>
      <w:rPr>
        <w:rFonts w:ascii="Symbol" w:hAnsi="Symbol" w:hint="default"/>
      </w:rPr>
    </w:lvl>
    <w:lvl w:ilvl="2" w:tplc="FE3CF168">
      <w:start w:val="1"/>
      <w:numFmt w:val="bullet"/>
      <w:lvlRestart w:val="0"/>
      <w:lvlText w:val="·"/>
      <w:lvlJc w:val="left"/>
      <w:pPr>
        <w:tabs>
          <w:tab w:val="left" w:pos="1984"/>
        </w:tabs>
        <w:ind w:left="1984" w:hanging="567"/>
      </w:pPr>
      <w:rPr>
        <w:rFonts w:ascii="Symbol" w:hAnsi="Symbol" w:hint="default"/>
      </w:rPr>
    </w:lvl>
    <w:lvl w:ilvl="3" w:tplc="E01C468C">
      <w:start w:val="1"/>
      <w:numFmt w:val="bullet"/>
      <w:lvlRestart w:val="0"/>
      <w:lvlText w:val="·"/>
      <w:lvlJc w:val="left"/>
      <w:pPr>
        <w:tabs>
          <w:tab w:val="left" w:pos="1984"/>
        </w:tabs>
        <w:ind w:left="1984" w:hanging="567"/>
      </w:pPr>
      <w:rPr>
        <w:rFonts w:ascii="Symbol" w:hAnsi="Symbol" w:hint="default"/>
      </w:rPr>
    </w:lvl>
    <w:lvl w:ilvl="4" w:tplc="ED2C612C">
      <w:start w:val="1"/>
      <w:numFmt w:val="bullet"/>
      <w:lvlRestart w:val="0"/>
      <w:lvlText w:val="·"/>
      <w:lvlJc w:val="left"/>
      <w:pPr>
        <w:tabs>
          <w:tab w:val="left" w:pos="1984"/>
        </w:tabs>
        <w:ind w:left="1984" w:hanging="567"/>
      </w:pPr>
      <w:rPr>
        <w:rFonts w:ascii="Symbol" w:hAnsi="Symbol" w:hint="default"/>
      </w:rPr>
    </w:lvl>
    <w:lvl w:ilvl="5" w:tplc="2BDE5CA8">
      <w:start w:val="1"/>
      <w:numFmt w:val="bullet"/>
      <w:lvlRestart w:val="0"/>
      <w:lvlText w:val="·"/>
      <w:lvlJc w:val="left"/>
      <w:pPr>
        <w:tabs>
          <w:tab w:val="left" w:pos="1984"/>
        </w:tabs>
        <w:ind w:left="1984" w:hanging="567"/>
      </w:pPr>
      <w:rPr>
        <w:rFonts w:ascii="Symbol" w:hAnsi="Symbol" w:hint="default"/>
      </w:rPr>
    </w:lvl>
    <w:lvl w:ilvl="6" w:tplc="0EEA7A32">
      <w:start w:val="1"/>
      <w:numFmt w:val="bullet"/>
      <w:lvlRestart w:val="0"/>
      <w:lvlText w:val="·"/>
      <w:lvlJc w:val="left"/>
      <w:pPr>
        <w:tabs>
          <w:tab w:val="left" w:pos="1984"/>
        </w:tabs>
        <w:ind w:left="1984" w:hanging="567"/>
      </w:pPr>
      <w:rPr>
        <w:rFonts w:ascii="Symbol" w:hAnsi="Symbol" w:hint="default"/>
      </w:rPr>
    </w:lvl>
    <w:lvl w:ilvl="7" w:tplc="3AA422F4">
      <w:start w:val="1"/>
      <w:numFmt w:val="bullet"/>
      <w:lvlRestart w:val="0"/>
      <w:lvlText w:val="·"/>
      <w:lvlJc w:val="left"/>
      <w:pPr>
        <w:tabs>
          <w:tab w:val="left" w:pos="1984"/>
        </w:tabs>
        <w:ind w:left="1984" w:hanging="567"/>
      </w:pPr>
      <w:rPr>
        <w:rFonts w:ascii="Symbol" w:hAnsi="Symbol" w:hint="default"/>
      </w:rPr>
    </w:lvl>
    <w:lvl w:ilvl="8" w:tplc="42424BF8">
      <w:start w:val="1"/>
      <w:numFmt w:val="bullet"/>
      <w:lvlRestart w:val="0"/>
      <w:lvlText w:val="·"/>
      <w:lvlJc w:val="left"/>
      <w:pPr>
        <w:tabs>
          <w:tab w:val="left" w:pos="1984"/>
        </w:tabs>
        <w:ind w:left="1984" w:hanging="567"/>
      </w:pPr>
      <w:rPr>
        <w:rFonts w:ascii="Symbol" w:hAnsi="Symbol" w:hint="default"/>
      </w:rPr>
    </w:lvl>
  </w:abstractNum>
  <w:abstractNum w:abstractNumId="32" w15:restartNumberingAfterBreak="0">
    <w:nsid w:val="2F000014"/>
    <w:multiLevelType w:val="hybridMultilevel"/>
    <w:tmpl w:val="39B81717"/>
    <w:lvl w:ilvl="0" w:tplc="E9E82C30">
      <w:start w:val="1"/>
      <w:numFmt w:val="bullet"/>
      <w:lvlRestart w:val="0"/>
      <w:pStyle w:val="Tiret0"/>
      <w:lvlText w:val="–"/>
      <w:lvlJc w:val="left"/>
      <w:pPr>
        <w:tabs>
          <w:tab w:val="left" w:pos="850"/>
        </w:tabs>
        <w:ind w:left="850" w:hanging="850"/>
      </w:pPr>
    </w:lvl>
    <w:lvl w:ilvl="1" w:tplc="7DE4F2BC">
      <w:start w:val="1"/>
      <w:numFmt w:val="bullet"/>
      <w:lvlRestart w:val="0"/>
      <w:lvlText w:val="–"/>
      <w:lvlJc w:val="left"/>
      <w:pPr>
        <w:tabs>
          <w:tab w:val="left" w:pos="850"/>
        </w:tabs>
        <w:ind w:left="850" w:hanging="850"/>
      </w:pPr>
    </w:lvl>
    <w:lvl w:ilvl="2" w:tplc="DF205652">
      <w:start w:val="1"/>
      <w:numFmt w:val="bullet"/>
      <w:lvlRestart w:val="0"/>
      <w:lvlText w:val="–"/>
      <w:lvlJc w:val="left"/>
      <w:pPr>
        <w:tabs>
          <w:tab w:val="left" w:pos="850"/>
        </w:tabs>
        <w:ind w:left="850" w:hanging="850"/>
      </w:pPr>
    </w:lvl>
    <w:lvl w:ilvl="3" w:tplc="ECA646B8">
      <w:start w:val="1"/>
      <w:numFmt w:val="bullet"/>
      <w:lvlRestart w:val="0"/>
      <w:lvlText w:val="–"/>
      <w:lvlJc w:val="left"/>
      <w:pPr>
        <w:tabs>
          <w:tab w:val="left" w:pos="850"/>
        </w:tabs>
        <w:ind w:left="850" w:hanging="850"/>
      </w:pPr>
    </w:lvl>
    <w:lvl w:ilvl="4" w:tplc="69E87D36">
      <w:start w:val="1"/>
      <w:numFmt w:val="bullet"/>
      <w:lvlRestart w:val="0"/>
      <w:lvlText w:val="–"/>
      <w:lvlJc w:val="left"/>
      <w:pPr>
        <w:tabs>
          <w:tab w:val="left" w:pos="850"/>
        </w:tabs>
        <w:ind w:left="850" w:hanging="850"/>
      </w:pPr>
    </w:lvl>
    <w:lvl w:ilvl="5" w:tplc="1D1C02FA">
      <w:start w:val="1"/>
      <w:numFmt w:val="bullet"/>
      <w:lvlRestart w:val="0"/>
      <w:lvlText w:val="–"/>
      <w:lvlJc w:val="left"/>
      <w:pPr>
        <w:tabs>
          <w:tab w:val="left" w:pos="850"/>
        </w:tabs>
        <w:ind w:left="850" w:hanging="850"/>
      </w:pPr>
    </w:lvl>
    <w:lvl w:ilvl="6" w:tplc="92A43F00">
      <w:start w:val="1"/>
      <w:numFmt w:val="bullet"/>
      <w:lvlRestart w:val="0"/>
      <w:lvlText w:val="–"/>
      <w:lvlJc w:val="left"/>
      <w:pPr>
        <w:tabs>
          <w:tab w:val="left" w:pos="850"/>
        </w:tabs>
        <w:ind w:left="850" w:hanging="850"/>
      </w:pPr>
    </w:lvl>
    <w:lvl w:ilvl="7" w:tplc="41ACB624">
      <w:start w:val="1"/>
      <w:numFmt w:val="bullet"/>
      <w:lvlRestart w:val="0"/>
      <w:lvlText w:val="–"/>
      <w:lvlJc w:val="left"/>
      <w:pPr>
        <w:tabs>
          <w:tab w:val="left" w:pos="850"/>
        </w:tabs>
        <w:ind w:left="850" w:hanging="850"/>
      </w:pPr>
    </w:lvl>
    <w:lvl w:ilvl="8" w:tplc="2C64423E">
      <w:start w:val="1"/>
      <w:numFmt w:val="bullet"/>
      <w:lvlRestart w:val="0"/>
      <w:lvlText w:val="–"/>
      <w:lvlJc w:val="left"/>
      <w:pPr>
        <w:tabs>
          <w:tab w:val="left" w:pos="850"/>
        </w:tabs>
        <w:ind w:left="850" w:hanging="850"/>
      </w:pPr>
    </w:lvl>
  </w:abstractNum>
  <w:abstractNum w:abstractNumId="33" w15:restartNumberingAfterBreak="0">
    <w:nsid w:val="2F000015"/>
    <w:multiLevelType w:val="multilevel"/>
    <w:tmpl w:val="4AF41588"/>
    <w:lvl w:ilvl="0">
      <w:start w:val="1"/>
      <w:numFmt w:val="decimal"/>
      <w:lvlRestart w:val="0"/>
      <w:pStyle w:val="ListNumber"/>
      <w:lvlText w:val="(%1)"/>
      <w:lvlJc w:val="left"/>
      <w:pPr>
        <w:tabs>
          <w:tab w:val="left" w:pos="709"/>
        </w:tabs>
        <w:ind w:left="709" w:hanging="709"/>
      </w:pPr>
      <w:rPr>
        <w:rFonts w:cs="Times New Roman"/>
      </w:rPr>
    </w:lvl>
    <w:lvl w:ilvl="1">
      <w:start w:val="1"/>
      <w:numFmt w:val="lowerLetter"/>
      <w:pStyle w:val="ListNumberLevel2"/>
      <w:lvlText w:val="(%2)"/>
      <w:lvlJc w:val="left"/>
      <w:pPr>
        <w:tabs>
          <w:tab w:val="left" w:pos="1417"/>
        </w:tabs>
        <w:ind w:left="1417" w:hanging="708"/>
      </w:pPr>
      <w:rPr>
        <w:rFonts w:cs="Times New Roman"/>
      </w:r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34" w15:restartNumberingAfterBreak="0">
    <w:nsid w:val="2F000016"/>
    <w:multiLevelType w:val="hybridMultilevel"/>
    <w:tmpl w:val="44B1CB16"/>
    <w:lvl w:ilvl="0" w:tplc="E67A5BCA">
      <w:start w:val="1"/>
      <w:numFmt w:val="bullet"/>
      <w:lvlRestart w:val="0"/>
      <w:pStyle w:val="ListDash1"/>
      <w:lvlText w:val="–"/>
      <w:lvlJc w:val="left"/>
      <w:pPr>
        <w:tabs>
          <w:tab w:val="left" w:pos="1134"/>
        </w:tabs>
        <w:ind w:left="1134" w:hanging="283"/>
      </w:pPr>
      <w:rPr>
        <w:rFonts w:ascii="Times New Roman" w:hAnsi="Times New Roman"/>
      </w:rPr>
    </w:lvl>
    <w:lvl w:ilvl="1" w:tplc="B8DE9A58">
      <w:start w:val="1"/>
      <w:numFmt w:val="bullet"/>
      <w:lvlRestart w:val="0"/>
      <w:lvlText w:val="–"/>
      <w:lvlJc w:val="left"/>
      <w:pPr>
        <w:tabs>
          <w:tab w:val="left" w:pos="1134"/>
        </w:tabs>
        <w:ind w:left="1134" w:hanging="283"/>
      </w:pPr>
      <w:rPr>
        <w:rFonts w:ascii="Times New Roman" w:hAnsi="Times New Roman"/>
      </w:rPr>
    </w:lvl>
    <w:lvl w:ilvl="2" w:tplc="A62C528A">
      <w:start w:val="1"/>
      <w:numFmt w:val="bullet"/>
      <w:lvlRestart w:val="0"/>
      <w:lvlText w:val="–"/>
      <w:lvlJc w:val="left"/>
      <w:pPr>
        <w:tabs>
          <w:tab w:val="left" w:pos="1134"/>
        </w:tabs>
        <w:ind w:left="1134" w:hanging="283"/>
      </w:pPr>
      <w:rPr>
        <w:rFonts w:ascii="Times New Roman" w:hAnsi="Times New Roman"/>
      </w:rPr>
    </w:lvl>
    <w:lvl w:ilvl="3" w:tplc="DD3CC916">
      <w:start w:val="1"/>
      <w:numFmt w:val="bullet"/>
      <w:lvlRestart w:val="0"/>
      <w:lvlText w:val="–"/>
      <w:lvlJc w:val="left"/>
      <w:pPr>
        <w:tabs>
          <w:tab w:val="left" w:pos="1134"/>
        </w:tabs>
        <w:ind w:left="1134" w:hanging="283"/>
      </w:pPr>
      <w:rPr>
        <w:rFonts w:ascii="Times New Roman" w:hAnsi="Times New Roman"/>
      </w:rPr>
    </w:lvl>
    <w:lvl w:ilvl="4" w:tplc="D87EEFCA">
      <w:start w:val="1"/>
      <w:numFmt w:val="bullet"/>
      <w:lvlRestart w:val="0"/>
      <w:lvlText w:val="–"/>
      <w:lvlJc w:val="left"/>
      <w:pPr>
        <w:tabs>
          <w:tab w:val="left" w:pos="1134"/>
        </w:tabs>
        <w:ind w:left="1134" w:hanging="283"/>
      </w:pPr>
      <w:rPr>
        <w:rFonts w:ascii="Times New Roman" w:hAnsi="Times New Roman"/>
      </w:rPr>
    </w:lvl>
    <w:lvl w:ilvl="5" w:tplc="D9541A1A">
      <w:start w:val="1"/>
      <w:numFmt w:val="bullet"/>
      <w:lvlRestart w:val="0"/>
      <w:lvlText w:val="–"/>
      <w:lvlJc w:val="left"/>
      <w:pPr>
        <w:tabs>
          <w:tab w:val="left" w:pos="1134"/>
        </w:tabs>
        <w:ind w:left="1134" w:hanging="283"/>
      </w:pPr>
      <w:rPr>
        <w:rFonts w:ascii="Times New Roman" w:hAnsi="Times New Roman"/>
      </w:rPr>
    </w:lvl>
    <w:lvl w:ilvl="6" w:tplc="B4FA57FC">
      <w:start w:val="1"/>
      <w:numFmt w:val="bullet"/>
      <w:lvlRestart w:val="0"/>
      <w:lvlText w:val="–"/>
      <w:lvlJc w:val="left"/>
      <w:pPr>
        <w:tabs>
          <w:tab w:val="left" w:pos="1134"/>
        </w:tabs>
        <w:ind w:left="1134" w:hanging="283"/>
      </w:pPr>
      <w:rPr>
        <w:rFonts w:ascii="Times New Roman" w:hAnsi="Times New Roman"/>
      </w:rPr>
    </w:lvl>
    <w:lvl w:ilvl="7" w:tplc="DAE87966">
      <w:start w:val="1"/>
      <w:numFmt w:val="bullet"/>
      <w:lvlRestart w:val="0"/>
      <w:lvlText w:val="–"/>
      <w:lvlJc w:val="left"/>
      <w:pPr>
        <w:tabs>
          <w:tab w:val="left" w:pos="1134"/>
        </w:tabs>
        <w:ind w:left="1134" w:hanging="283"/>
      </w:pPr>
      <w:rPr>
        <w:rFonts w:ascii="Times New Roman" w:hAnsi="Times New Roman"/>
      </w:rPr>
    </w:lvl>
    <w:lvl w:ilvl="8" w:tplc="AE08DE38">
      <w:start w:val="1"/>
      <w:numFmt w:val="bullet"/>
      <w:lvlRestart w:val="0"/>
      <w:lvlText w:val="–"/>
      <w:lvlJc w:val="left"/>
      <w:pPr>
        <w:tabs>
          <w:tab w:val="left" w:pos="1134"/>
        </w:tabs>
        <w:ind w:left="1134" w:hanging="283"/>
      </w:pPr>
      <w:rPr>
        <w:rFonts w:ascii="Times New Roman" w:hAnsi="Times New Roman"/>
      </w:rPr>
    </w:lvl>
  </w:abstractNum>
  <w:abstractNum w:abstractNumId="35" w15:restartNumberingAfterBreak="0">
    <w:nsid w:val="2F000017"/>
    <w:multiLevelType w:val="multilevel"/>
    <w:tmpl w:val="5A8C4582"/>
    <w:lvl w:ilvl="0">
      <w:start w:val="1"/>
      <w:numFmt w:val="decimal"/>
      <w:lvlRestart w:val="0"/>
      <w:pStyle w:val="Heading1"/>
      <w:lvlText w:val="%1."/>
      <w:lvlJc w:val="left"/>
      <w:pPr>
        <w:tabs>
          <w:tab w:val="left" w:pos="850"/>
        </w:tabs>
        <w:ind w:left="850" w:hanging="850"/>
      </w:pPr>
    </w:lvl>
    <w:lvl w:ilvl="1">
      <w:start w:val="1"/>
      <w:numFmt w:val="decimal"/>
      <w:pStyle w:val="Heading2"/>
      <w:lvlText w:val="%1.%2."/>
      <w:lvlJc w:val="left"/>
      <w:pPr>
        <w:tabs>
          <w:tab w:val="left" w:pos="850"/>
        </w:tabs>
        <w:ind w:left="850" w:hanging="850"/>
      </w:pPr>
    </w:lvl>
    <w:lvl w:ilvl="2">
      <w:start w:val="1"/>
      <w:numFmt w:val="decimal"/>
      <w:pStyle w:val="Heading3"/>
      <w:lvlText w:val="%1.%2.%3."/>
      <w:lvlJc w:val="left"/>
      <w:pPr>
        <w:tabs>
          <w:tab w:val="left" w:pos="850"/>
        </w:tabs>
        <w:ind w:left="850" w:hanging="850"/>
      </w:pPr>
    </w:lvl>
    <w:lvl w:ilvl="3">
      <w:start w:val="1"/>
      <w:numFmt w:val="decimal"/>
      <w:pStyle w:val="Heading4"/>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F000018"/>
    <w:multiLevelType w:val="hybridMultilevel"/>
    <w:tmpl w:val="5527992C"/>
    <w:lvl w:ilvl="0" w:tplc="5C7C8FE4">
      <w:start w:val="1"/>
      <w:numFmt w:val="bullet"/>
      <w:lvlRestart w:val="0"/>
      <w:pStyle w:val="Tiret2"/>
      <w:lvlText w:val="–"/>
      <w:lvlJc w:val="left"/>
      <w:pPr>
        <w:tabs>
          <w:tab w:val="left" w:pos="1984"/>
        </w:tabs>
        <w:ind w:left="1984" w:hanging="567"/>
      </w:pPr>
    </w:lvl>
    <w:lvl w:ilvl="1" w:tplc="AE00DF9E">
      <w:start w:val="1"/>
      <w:numFmt w:val="bullet"/>
      <w:lvlRestart w:val="0"/>
      <w:lvlText w:val="–"/>
      <w:lvlJc w:val="left"/>
      <w:pPr>
        <w:tabs>
          <w:tab w:val="left" w:pos="1984"/>
        </w:tabs>
        <w:ind w:left="1984" w:hanging="567"/>
      </w:pPr>
    </w:lvl>
    <w:lvl w:ilvl="2" w:tplc="3DE6EFF8">
      <w:start w:val="1"/>
      <w:numFmt w:val="bullet"/>
      <w:lvlRestart w:val="0"/>
      <w:lvlText w:val="–"/>
      <w:lvlJc w:val="left"/>
      <w:pPr>
        <w:tabs>
          <w:tab w:val="left" w:pos="1984"/>
        </w:tabs>
        <w:ind w:left="1984" w:hanging="567"/>
      </w:pPr>
    </w:lvl>
    <w:lvl w:ilvl="3" w:tplc="8FECEAB8">
      <w:start w:val="1"/>
      <w:numFmt w:val="bullet"/>
      <w:lvlRestart w:val="0"/>
      <w:lvlText w:val="–"/>
      <w:lvlJc w:val="left"/>
      <w:pPr>
        <w:tabs>
          <w:tab w:val="left" w:pos="1984"/>
        </w:tabs>
        <w:ind w:left="1984" w:hanging="567"/>
      </w:pPr>
    </w:lvl>
    <w:lvl w:ilvl="4" w:tplc="236897CE">
      <w:start w:val="1"/>
      <w:numFmt w:val="bullet"/>
      <w:lvlRestart w:val="0"/>
      <w:lvlText w:val="–"/>
      <w:lvlJc w:val="left"/>
      <w:pPr>
        <w:tabs>
          <w:tab w:val="left" w:pos="1984"/>
        </w:tabs>
        <w:ind w:left="1984" w:hanging="567"/>
      </w:pPr>
    </w:lvl>
    <w:lvl w:ilvl="5" w:tplc="2F0EAD2C">
      <w:start w:val="1"/>
      <w:numFmt w:val="bullet"/>
      <w:lvlRestart w:val="0"/>
      <w:lvlText w:val="–"/>
      <w:lvlJc w:val="left"/>
      <w:pPr>
        <w:tabs>
          <w:tab w:val="left" w:pos="1984"/>
        </w:tabs>
        <w:ind w:left="1984" w:hanging="567"/>
      </w:pPr>
    </w:lvl>
    <w:lvl w:ilvl="6" w:tplc="05D28942">
      <w:start w:val="1"/>
      <w:numFmt w:val="bullet"/>
      <w:lvlRestart w:val="0"/>
      <w:lvlText w:val="–"/>
      <w:lvlJc w:val="left"/>
      <w:pPr>
        <w:tabs>
          <w:tab w:val="left" w:pos="1984"/>
        </w:tabs>
        <w:ind w:left="1984" w:hanging="567"/>
      </w:pPr>
    </w:lvl>
    <w:lvl w:ilvl="7" w:tplc="4662956E">
      <w:start w:val="1"/>
      <w:numFmt w:val="bullet"/>
      <w:lvlRestart w:val="0"/>
      <w:lvlText w:val="–"/>
      <w:lvlJc w:val="left"/>
      <w:pPr>
        <w:tabs>
          <w:tab w:val="left" w:pos="1984"/>
        </w:tabs>
        <w:ind w:left="1984" w:hanging="567"/>
      </w:pPr>
    </w:lvl>
    <w:lvl w:ilvl="8" w:tplc="47226C2A">
      <w:start w:val="1"/>
      <w:numFmt w:val="bullet"/>
      <w:lvlRestart w:val="0"/>
      <w:lvlText w:val="–"/>
      <w:lvlJc w:val="left"/>
      <w:pPr>
        <w:tabs>
          <w:tab w:val="left" w:pos="1984"/>
        </w:tabs>
        <w:ind w:left="1984" w:hanging="567"/>
      </w:pPr>
    </w:lvl>
  </w:abstractNum>
  <w:abstractNum w:abstractNumId="37" w15:restartNumberingAfterBreak="0">
    <w:nsid w:val="2F000019"/>
    <w:multiLevelType w:val="hybridMultilevel"/>
    <w:tmpl w:val="40B9337A"/>
    <w:lvl w:ilvl="0" w:tplc="B70A9E92">
      <w:start w:val="1"/>
      <w:numFmt w:val="bullet"/>
      <w:lvlRestart w:val="0"/>
      <w:pStyle w:val="ListBullet1"/>
      <w:lvlText w:val="·"/>
      <w:lvlJc w:val="left"/>
      <w:pPr>
        <w:tabs>
          <w:tab w:val="left" w:pos="1134"/>
        </w:tabs>
        <w:ind w:left="1134" w:hanging="283"/>
      </w:pPr>
      <w:rPr>
        <w:rFonts w:ascii="Symbol" w:hAnsi="Symbol" w:hint="default"/>
      </w:rPr>
    </w:lvl>
    <w:lvl w:ilvl="1" w:tplc="B4521BC4">
      <w:start w:val="1"/>
      <w:numFmt w:val="bullet"/>
      <w:lvlRestart w:val="0"/>
      <w:lvlText w:val="·"/>
      <w:lvlJc w:val="left"/>
      <w:pPr>
        <w:tabs>
          <w:tab w:val="left" w:pos="1134"/>
        </w:tabs>
        <w:ind w:left="1134" w:hanging="283"/>
      </w:pPr>
      <w:rPr>
        <w:rFonts w:ascii="Symbol" w:hAnsi="Symbol" w:hint="default"/>
      </w:rPr>
    </w:lvl>
    <w:lvl w:ilvl="2" w:tplc="A96AF978">
      <w:start w:val="1"/>
      <w:numFmt w:val="bullet"/>
      <w:lvlRestart w:val="0"/>
      <w:lvlText w:val="·"/>
      <w:lvlJc w:val="left"/>
      <w:pPr>
        <w:tabs>
          <w:tab w:val="left" w:pos="1134"/>
        </w:tabs>
        <w:ind w:left="1134" w:hanging="283"/>
      </w:pPr>
      <w:rPr>
        <w:rFonts w:ascii="Symbol" w:hAnsi="Symbol" w:hint="default"/>
      </w:rPr>
    </w:lvl>
    <w:lvl w:ilvl="3" w:tplc="26F601E6">
      <w:start w:val="1"/>
      <w:numFmt w:val="bullet"/>
      <w:lvlRestart w:val="0"/>
      <w:lvlText w:val="·"/>
      <w:lvlJc w:val="left"/>
      <w:pPr>
        <w:tabs>
          <w:tab w:val="left" w:pos="1134"/>
        </w:tabs>
        <w:ind w:left="1134" w:hanging="283"/>
      </w:pPr>
      <w:rPr>
        <w:rFonts w:ascii="Symbol" w:hAnsi="Symbol" w:hint="default"/>
      </w:rPr>
    </w:lvl>
    <w:lvl w:ilvl="4" w:tplc="1D42E358">
      <w:start w:val="1"/>
      <w:numFmt w:val="bullet"/>
      <w:lvlRestart w:val="0"/>
      <w:lvlText w:val="·"/>
      <w:lvlJc w:val="left"/>
      <w:pPr>
        <w:tabs>
          <w:tab w:val="left" w:pos="1134"/>
        </w:tabs>
        <w:ind w:left="1134" w:hanging="283"/>
      </w:pPr>
      <w:rPr>
        <w:rFonts w:ascii="Symbol" w:hAnsi="Symbol" w:hint="default"/>
      </w:rPr>
    </w:lvl>
    <w:lvl w:ilvl="5" w:tplc="4C18C0F2">
      <w:start w:val="1"/>
      <w:numFmt w:val="bullet"/>
      <w:lvlRestart w:val="0"/>
      <w:lvlText w:val="·"/>
      <w:lvlJc w:val="left"/>
      <w:pPr>
        <w:tabs>
          <w:tab w:val="left" w:pos="1134"/>
        </w:tabs>
        <w:ind w:left="1134" w:hanging="283"/>
      </w:pPr>
      <w:rPr>
        <w:rFonts w:ascii="Symbol" w:hAnsi="Symbol" w:hint="default"/>
      </w:rPr>
    </w:lvl>
    <w:lvl w:ilvl="6" w:tplc="AC98BF5A">
      <w:start w:val="1"/>
      <w:numFmt w:val="bullet"/>
      <w:lvlRestart w:val="0"/>
      <w:lvlText w:val="·"/>
      <w:lvlJc w:val="left"/>
      <w:pPr>
        <w:tabs>
          <w:tab w:val="left" w:pos="1134"/>
        </w:tabs>
        <w:ind w:left="1134" w:hanging="283"/>
      </w:pPr>
      <w:rPr>
        <w:rFonts w:ascii="Symbol" w:hAnsi="Symbol" w:hint="default"/>
      </w:rPr>
    </w:lvl>
    <w:lvl w:ilvl="7" w:tplc="86307664">
      <w:start w:val="1"/>
      <w:numFmt w:val="bullet"/>
      <w:lvlRestart w:val="0"/>
      <w:lvlText w:val="·"/>
      <w:lvlJc w:val="left"/>
      <w:pPr>
        <w:tabs>
          <w:tab w:val="left" w:pos="1134"/>
        </w:tabs>
        <w:ind w:left="1134" w:hanging="283"/>
      </w:pPr>
      <w:rPr>
        <w:rFonts w:ascii="Symbol" w:hAnsi="Symbol" w:hint="default"/>
      </w:rPr>
    </w:lvl>
    <w:lvl w:ilvl="8" w:tplc="54BE65EC">
      <w:start w:val="1"/>
      <w:numFmt w:val="bullet"/>
      <w:lvlRestart w:val="0"/>
      <w:lvlText w:val="·"/>
      <w:lvlJc w:val="left"/>
      <w:pPr>
        <w:tabs>
          <w:tab w:val="left" w:pos="1134"/>
        </w:tabs>
        <w:ind w:left="1134" w:hanging="283"/>
      </w:pPr>
      <w:rPr>
        <w:rFonts w:ascii="Symbol" w:hAnsi="Symbol" w:hint="default"/>
      </w:rPr>
    </w:lvl>
  </w:abstractNum>
  <w:abstractNum w:abstractNumId="38" w15:restartNumberingAfterBreak="0">
    <w:nsid w:val="2F00001B"/>
    <w:multiLevelType w:val="hybridMultilevel"/>
    <w:tmpl w:val="48D9CEEB"/>
    <w:lvl w:ilvl="0" w:tplc="DC64975A">
      <w:start w:val="1"/>
      <w:numFmt w:val="bullet"/>
      <w:lvlRestart w:val="0"/>
      <w:pStyle w:val="ListDash3"/>
      <w:lvlText w:val="–"/>
      <w:lvlJc w:val="left"/>
      <w:pPr>
        <w:tabs>
          <w:tab w:val="left" w:pos="1134"/>
        </w:tabs>
        <w:ind w:left="1134" w:hanging="283"/>
      </w:pPr>
      <w:rPr>
        <w:rFonts w:ascii="Times New Roman" w:hAnsi="Times New Roman"/>
      </w:rPr>
    </w:lvl>
    <w:lvl w:ilvl="1" w:tplc="E076B228">
      <w:start w:val="1"/>
      <w:numFmt w:val="bullet"/>
      <w:lvlRestart w:val="0"/>
      <w:lvlText w:val="–"/>
      <w:lvlJc w:val="left"/>
      <w:pPr>
        <w:tabs>
          <w:tab w:val="left" w:pos="1134"/>
        </w:tabs>
        <w:ind w:left="1134" w:hanging="283"/>
      </w:pPr>
      <w:rPr>
        <w:rFonts w:ascii="Times New Roman" w:hAnsi="Times New Roman"/>
      </w:rPr>
    </w:lvl>
    <w:lvl w:ilvl="2" w:tplc="23B080C6">
      <w:start w:val="1"/>
      <w:numFmt w:val="bullet"/>
      <w:lvlRestart w:val="0"/>
      <w:lvlText w:val="–"/>
      <w:lvlJc w:val="left"/>
      <w:pPr>
        <w:tabs>
          <w:tab w:val="left" w:pos="1134"/>
        </w:tabs>
        <w:ind w:left="1134" w:hanging="283"/>
      </w:pPr>
      <w:rPr>
        <w:rFonts w:ascii="Times New Roman" w:hAnsi="Times New Roman"/>
      </w:rPr>
    </w:lvl>
    <w:lvl w:ilvl="3" w:tplc="CB9E07E4">
      <w:start w:val="1"/>
      <w:numFmt w:val="bullet"/>
      <w:lvlRestart w:val="0"/>
      <w:lvlText w:val="–"/>
      <w:lvlJc w:val="left"/>
      <w:pPr>
        <w:tabs>
          <w:tab w:val="left" w:pos="1134"/>
        </w:tabs>
        <w:ind w:left="1134" w:hanging="283"/>
      </w:pPr>
      <w:rPr>
        <w:rFonts w:ascii="Times New Roman" w:hAnsi="Times New Roman"/>
      </w:rPr>
    </w:lvl>
    <w:lvl w:ilvl="4" w:tplc="FF82CD8C">
      <w:start w:val="1"/>
      <w:numFmt w:val="bullet"/>
      <w:lvlRestart w:val="0"/>
      <w:lvlText w:val="–"/>
      <w:lvlJc w:val="left"/>
      <w:pPr>
        <w:tabs>
          <w:tab w:val="left" w:pos="1134"/>
        </w:tabs>
        <w:ind w:left="1134" w:hanging="283"/>
      </w:pPr>
      <w:rPr>
        <w:rFonts w:ascii="Times New Roman" w:hAnsi="Times New Roman"/>
      </w:rPr>
    </w:lvl>
    <w:lvl w:ilvl="5" w:tplc="F9DE5AF6">
      <w:start w:val="1"/>
      <w:numFmt w:val="bullet"/>
      <w:lvlRestart w:val="0"/>
      <w:lvlText w:val="–"/>
      <w:lvlJc w:val="left"/>
      <w:pPr>
        <w:tabs>
          <w:tab w:val="left" w:pos="1134"/>
        </w:tabs>
        <w:ind w:left="1134" w:hanging="283"/>
      </w:pPr>
      <w:rPr>
        <w:rFonts w:ascii="Times New Roman" w:hAnsi="Times New Roman"/>
      </w:rPr>
    </w:lvl>
    <w:lvl w:ilvl="6" w:tplc="FCC6C710">
      <w:start w:val="1"/>
      <w:numFmt w:val="bullet"/>
      <w:lvlRestart w:val="0"/>
      <w:lvlText w:val="–"/>
      <w:lvlJc w:val="left"/>
      <w:pPr>
        <w:tabs>
          <w:tab w:val="left" w:pos="1134"/>
        </w:tabs>
        <w:ind w:left="1134" w:hanging="283"/>
      </w:pPr>
      <w:rPr>
        <w:rFonts w:ascii="Times New Roman" w:hAnsi="Times New Roman"/>
      </w:rPr>
    </w:lvl>
    <w:lvl w:ilvl="7" w:tplc="237496E2">
      <w:start w:val="1"/>
      <w:numFmt w:val="bullet"/>
      <w:lvlRestart w:val="0"/>
      <w:lvlText w:val="–"/>
      <w:lvlJc w:val="left"/>
      <w:pPr>
        <w:tabs>
          <w:tab w:val="left" w:pos="1134"/>
        </w:tabs>
        <w:ind w:left="1134" w:hanging="283"/>
      </w:pPr>
      <w:rPr>
        <w:rFonts w:ascii="Times New Roman" w:hAnsi="Times New Roman"/>
      </w:rPr>
    </w:lvl>
    <w:lvl w:ilvl="8" w:tplc="F320C9A2">
      <w:start w:val="1"/>
      <w:numFmt w:val="bullet"/>
      <w:lvlRestart w:val="0"/>
      <w:lvlText w:val="–"/>
      <w:lvlJc w:val="left"/>
      <w:pPr>
        <w:tabs>
          <w:tab w:val="left" w:pos="1134"/>
        </w:tabs>
        <w:ind w:left="1134" w:hanging="283"/>
      </w:pPr>
      <w:rPr>
        <w:rFonts w:ascii="Times New Roman" w:hAnsi="Times New Roman"/>
      </w:rPr>
    </w:lvl>
  </w:abstractNum>
  <w:abstractNum w:abstractNumId="39" w15:restartNumberingAfterBreak="0">
    <w:nsid w:val="2F00001C"/>
    <w:multiLevelType w:val="multilevel"/>
    <w:tmpl w:val="399FBBC4"/>
    <w:lvl w:ilvl="0">
      <w:start w:val="1"/>
      <w:numFmt w:val="decimal"/>
      <w:lvlRestart w:val="0"/>
      <w:pStyle w:val="ListNumber1"/>
      <w:lvlText w:val="(%1)"/>
      <w:lvlJc w:val="left"/>
      <w:pPr>
        <w:tabs>
          <w:tab w:val="left" w:pos="1560"/>
        </w:tabs>
        <w:ind w:left="1560" w:hanging="709"/>
      </w:pPr>
      <w:rPr>
        <w:rFonts w:cs="Times New Roman"/>
      </w:rPr>
    </w:lvl>
    <w:lvl w:ilvl="1">
      <w:start w:val="1"/>
      <w:numFmt w:val="lowerLetter"/>
      <w:pStyle w:val="ListNumber1Level2"/>
      <w:lvlText w:val="(%2)"/>
      <w:lvlJc w:val="left"/>
      <w:pPr>
        <w:tabs>
          <w:tab w:val="left" w:pos="2268"/>
        </w:tabs>
        <w:ind w:left="2268" w:hanging="708"/>
      </w:pPr>
      <w:rPr>
        <w:rFonts w:cs="Times New Roman"/>
      </w:rPr>
    </w:lvl>
    <w:lvl w:ilvl="2">
      <w:start w:val="1"/>
      <w:numFmt w:val="bullet"/>
      <w:pStyle w:val="ListNumber1Level3"/>
      <w:lvlText w:val="–"/>
      <w:lvlJc w:val="left"/>
      <w:pPr>
        <w:tabs>
          <w:tab w:val="left" w:pos="2977"/>
        </w:tabs>
        <w:ind w:left="2977" w:hanging="709"/>
      </w:pPr>
      <w:rPr>
        <w:rFonts w:ascii="Times New Roman" w:hAnsi="Times New Roman"/>
      </w:rPr>
    </w:lvl>
    <w:lvl w:ilvl="3">
      <w:start w:val="1"/>
      <w:numFmt w:val="bullet"/>
      <w:pStyle w:val="ListNumber1Level4"/>
      <w:lvlText w:val="·"/>
      <w:lvlJc w:val="left"/>
      <w:pPr>
        <w:tabs>
          <w:tab w:val="left" w:pos="3686"/>
        </w:tabs>
        <w:ind w:left="3686"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40" w15:restartNumberingAfterBreak="0">
    <w:nsid w:val="2F00001D"/>
    <w:multiLevelType w:val="multilevel"/>
    <w:tmpl w:val="943406C0"/>
    <w:lvl w:ilvl="0">
      <w:start w:val="1"/>
      <w:numFmt w:val="decimal"/>
      <w:lvlRestart w:val="0"/>
      <w:pStyle w:val="Considrant"/>
      <w:lvlText w:val="(%1)"/>
      <w:lvlJc w:val="left"/>
      <w:pPr>
        <w:tabs>
          <w:tab w:val="left" w:pos="709"/>
        </w:tabs>
        <w:ind w:left="709" w:hanging="709"/>
      </w:pPr>
    </w:lvl>
    <w:lvl w:ilvl="1">
      <w:start w:val="1"/>
      <w:numFmt w:val="decimal"/>
      <w:lvlRestart w:val="0"/>
      <w:lvlText w:val="(%1)"/>
      <w:lvlJc w:val="left"/>
      <w:pPr>
        <w:tabs>
          <w:tab w:val="left" w:pos="709"/>
        </w:tabs>
        <w:ind w:left="709" w:hanging="709"/>
      </w:pPr>
    </w:lvl>
    <w:lvl w:ilvl="2">
      <w:start w:val="1"/>
      <w:numFmt w:val="decimal"/>
      <w:lvlRestart w:val="0"/>
      <w:lvlText w:val="(%1)"/>
      <w:lvlJc w:val="left"/>
      <w:pPr>
        <w:tabs>
          <w:tab w:val="left" w:pos="709"/>
        </w:tabs>
        <w:ind w:left="709" w:hanging="709"/>
      </w:pPr>
    </w:lvl>
    <w:lvl w:ilvl="3">
      <w:start w:val="1"/>
      <w:numFmt w:val="decimal"/>
      <w:lvlRestart w:val="0"/>
      <w:lvlText w:val="(%1)"/>
      <w:lvlJc w:val="left"/>
      <w:pPr>
        <w:tabs>
          <w:tab w:val="left" w:pos="709"/>
        </w:tabs>
        <w:ind w:left="709" w:hanging="709"/>
      </w:pPr>
    </w:lvl>
    <w:lvl w:ilvl="4">
      <w:start w:val="1"/>
      <w:numFmt w:val="decimal"/>
      <w:lvlRestart w:val="0"/>
      <w:lvlText w:val="(%1)"/>
      <w:lvlJc w:val="left"/>
      <w:pPr>
        <w:tabs>
          <w:tab w:val="left" w:pos="709"/>
        </w:tabs>
        <w:ind w:left="709" w:hanging="709"/>
      </w:pPr>
    </w:lvl>
    <w:lvl w:ilvl="5">
      <w:start w:val="1"/>
      <w:numFmt w:val="decimal"/>
      <w:lvlRestart w:val="0"/>
      <w:lvlText w:val="(%1)"/>
      <w:lvlJc w:val="left"/>
      <w:pPr>
        <w:tabs>
          <w:tab w:val="left" w:pos="709"/>
        </w:tabs>
        <w:ind w:left="709" w:hanging="709"/>
      </w:pPr>
    </w:lvl>
    <w:lvl w:ilvl="6">
      <w:start w:val="1"/>
      <w:numFmt w:val="decimal"/>
      <w:lvlRestart w:val="0"/>
      <w:lvlText w:val="(%1)"/>
      <w:lvlJc w:val="left"/>
      <w:pPr>
        <w:tabs>
          <w:tab w:val="left" w:pos="709"/>
        </w:tabs>
        <w:ind w:left="709" w:hanging="709"/>
      </w:pPr>
    </w:lvl>
    <w:lvl w:ilvl="7">
      <w:start w:val="1"/>
      <w:numFmt w:val="decimal"/>
      <w:lvlRestart w:val="0"/>
      <w:lvlText w:val="(%1)"/>
      <w:lvlJc w:val="left"/>
      <w:pPr>
        <w:tabs>
          <w:tab w:val="left" w:pos="709"/>
        </w:tabs>
        <w:ind w:left="709" w:hanging="709"/>
      </w:pPr>
    </w:lvl>
    <w:lvl w:ilvl="8">
      <w:start w:val="1"/>
      <w:numFmt w:val="decimal"/>
      <w:lvlRestart w:val="0"/>
      <w:lvlText w:val="(%1)"/>
      <w:lvlJc w:val="left"/>
      <w:pPr>
        <w:tabs>
          <w:tab w:val="left" w:pos="709"/>
        </w:tabs>
        <w:ind w:left="709" w:hanging="709"/>
      </w:pPr>
    </w:lvl>
  </w:abstractNum>
  <w:abstractNum w:abstractNumId="41" w15:restartNumberingAfterBreak="0">
    <w:nsid w:val="2F00001E"/>
    <w:multiLevelType w:val="hybridMultilevel"/>
    <w:tmpl w:val="5942B24C"/>
    <w:lvl w:ilvl="0" w:tplc="ACCA71DA">
      <w:start w:val="1"/>
      <w:numFmt w:val="bullet"/>
      <w:lvlRestart w:val="0"/>
      <w:pStyle w:val="ListDash4"/>
      <w:lvlText w:val="–"/>
      <w:lvlJc w:val="left"/>
      <w:pPr>
        <w:tabs>
          <w:tab w:val="left" w:pos="1134"/>
        </w:tabs>
        <w:ind w:left="1134" w:hanging="283"/>
      </w:pPr>
      <w:rPr>
        <w:rFonts w:ascii="Times New Roman" w:hAnsi="Times New Roman"/>
      </w:rPr>
    </w:lvl>
    <w:lvl w:ilvl="1" w:tplc="4B8A7996">
      <w:start w:val="1"/>
      <w:numFmt w:val="bullet"/>
      <w:lvlRestart w:val="0"/>
      <w:lvlText w:val="–"/>
      <w:lvlJc w:val="left"/>
      <w:pPr>
        <w:tabs>
          <w:tab w:val="left" w:pos="1134"/>
        </w:tabs>
        <w:ind w:left="1134" w:hanging="283"/>
      </w:pPr>
      <w:rPr>
        <w:rFonts w:ascii="Times New Roman" w:hAnsi="Times New Roman"/>
      </w:rPr>
    </w:lvl>
    <w:lvl w:ilvl="2" w:tplc="EBE084E0">
      <w:start w:val="1"/>
      <w:numFmt w:val="bullet"/>
      <w:lvlRestart w:val="0"/>
      <w:lvlText w:val="–"/>
      <w:lvlJc w:val="left"/>
      <w:pPr>
        <w:tabs>
          <w:tab w:val="left" w:pos="1134"/>
        </w:tabs>
        <w:ind w:left="1134" w:hanging="283"/>
      </w:pPr>
      <w:rPr>
        <w:rFonts w:ascii="Times New Roman" w:hAnsi="Times New Roman"/>
      </w:rPr>
    </w:lvl>
    <w:lvl w:ilvl="3" w:tplc="166A4F6E">
      <w:start w:val="1"/>
      <w:numFmt w:val="bullet"/>
      <w:lvlRestart w:val="0"/>
      <w:lvlText w:val="–"/>
      <w:lvlJc w:val="left"/>
      <w:pPr>
        <w:tabs>
          <w:tab w:val="left" w:pos="1134"/>
        </w:tabs>
        <w:ind w:left="1134" w:hanging="283"/>
      </w:pPr>
      <w:rPr>
        <w:rFonts w:ascii="Times New Roman" w:hAnsi="Times New Roman"/>
      </w:rPr>
    </w:lvl>
    <w:lvl w:ilvl="4" w:tplc="C4E2B502">
      <w:start w:val="1"/>
      <w:numFmt w:val="bullet"/>
      <w:lvlRestart w:val="0"/>
      <w:lvlText w:val="–"/>
      <w:lvlJc w:val="left"/>
      <w:pPr>
        <w:tabs>
          <w:tab w:val="left" w:pos="1134"/>
        </w:tabs>
        <w:ind w:left="1134" w:hanging="283"/>
      </w:pPr>
      <w:rPr>
        <w:rFonts w:ascii="Times New Roman" w:hAnsi="Times New Roman"/>
      </w:rPr>
    </w:lvl>
    <w:lvl w:ilvl="5" w:tplc="96E2C692">
      <w:start w:val="1"/>
      <w:numFmt w:val="bullet"/>
      <w:lvlRestart w:val="0"/>
      <w:lvlText w:val="–"/>
      <w:lvlJc w:val="left"/>
      <w:pPr>
        <w:tabs>
          <w:tab w:val="left" w:pos="1134"/>
        </w:tabs>
        <w:ind w:left="1134" w:hanging="283"/>
      </w:pPr>
      <w:rPr>
        <w:rFonts w:ascii="Times New Roman" w:hAnsi="Times New Roman"/>
      </w:rPr>
    </w:lvl>
    <w:lvl w:ilvl="6" w:tplc="6EE6CAF0">
      <w:start w:val="1"/>
      <w:numFmt w:val="bullet"/>
      <w:lvlRestart w:val="0"/>
      <w:lvlText w:val="–"/>
      <w:lvlJc w:val="left"/>
      <w:pPr>
        <w:tabs>
          <w:tab w:val="left" w:pos="1134"/>
        </w:tabs>
        <w:ind w:left="1134" w:hanging="283"/>
      </w:pPr>
      <w:rPr>
        <w:rFonts w:ascii="Times New Roman" w:hAnsi="Times New Roman"/>
      </w:rPr>
    </w:lvl>
    <w:lvl w:ilvl="7" w:tplc="103659CE">
      <w:start w:val="1"/>
      <w:numFmt w:val="bullet"/>
      <w:lvlRestart w:val="0"/>
      <w:lvlText w:val="–"/>
      <w:lvlJc w:val="left"/>
      <w:pPr>
        <w:tabs>
          <w:tab w:val="left" w:pos="1134"/>
        </w:tabs>
        <w:ind w:left="1134" w:hanging="283"/>
      </w:pPr>
      <w:rPr>
        <w:rFonts w:ascii="Times New Roman" w:hAnsi="Times New Roman"/>
      </w:rPr>
    </w:lvl>
    <w:lvl w:ilvl="8" w:tplc="8794DD6A">
      <w:start w:val="1"/>
      <w:numFmt w:val="bullet"/>
      <w:lvlRestart w:val="0"/>
      <w:lvlText w:val="–"/>
      <w:lvlJc w:val="left"/>
      <w:pPr>
        <w:tabs>
          <w:tab w:val="left" w:pos="1134"/>
        </w:tabs>
        <w:ind w:left="1134" w:hanging="283"/>
      </w:pPr>
      <w:rPr>
        <w:rFonts w:ascii="Times New Roman" w:hAnsi="Times New Roman"/>
      </w:rPr>
    </w:lvl>
  </w:abstractNum>
  <w:abstractNum w:abstractNumId="42" w15:restartNumberingAfterBreak="0">
    <w:nsid w:val="2F00001F"/>
    <w:multiLevelType w:val="hybridMultilevel"/>
    <w:tmpl w:val="4FC7DA49"/>
    <w:lvl w:ilvl="0" w:tplc="C5B40CEE">
      <w:start w:val="1"/>
      <w:numFmt w:val="bullet"/>
      <w:lvlRestart w:val="0"/>
      <w:pStyle w:val="ListBullet4"/>
      <w:lvlText w:val="·"/>
      <w:lvlJc w:val="left"/>
      <w:pPr>
        <w:tabs>
          <w:tab w:val="left" w:pos="1134"/>
        </w:tabs>
        <w:ind w:left="1134" w:hanging="283"/>
      </w:pPr>
      <w:rPr>
        <w:rFonts w:ascii="Symbol" w:hAnsi="Symbol" w:hint="default"/>
      </w:rPr>
    </w:lvl>
    <w:lvl w:ilvl="1" w:tplc="87CE6F1C">
      <w:start w:val="1"/>
      <w:numFmt w:val="bullet"/>
      <w:lvlRestart w:val="0"/>
      <w:lvlText w:val="·"/>
      <w:lvlJc w:val="left"/>
      <w:pPr>
        <w:tabs>
          <w:tab w:val="left" w:pos="1134"/>
        </w:tabs>
        <w:ind w:left="1134" w:hanging="283"/>
      </w:pPr>
      <w:rPr>
        <w:rFonts w:ascii="Symbol" w:hAnsi="Symbol" w:hint="default"/>
      </w:rPr>
    </w:lvl>
    <w:lvl w:ilvl="2" w:tplc="ECD2CB2E">
      <w:start w:val="1"/>
      <w:numFmt w:val="bullet"/>
      <w:lvlRestart w:val="0"/>
      <w:lvlText w:val="·"/>
      <w:lvlJc w:val="left"/>
      <w:pPr>
        <w:tabs>
          <w:tab w:val="left" w:pos="1134"/>
        </w:tabs>
        <w:ind w:left="1134" w:hanging="283"/>
      </w:pPr>
      <w:rPr>
        <w:rFonts w:ascii="Symbol" w:hAnsi="Symbol" w:hint="default"/>
      </w:rPr>
    </w:lvl>
    <w:lvl w:ilvl="3" w:tplc="170C8DC2">
      <w:start w:val="1"/>
      <w:numFmt w:val="bullet"/>
      <w:lvlRestart w:val="0"/>
      <w:lvlText w:val="·"/>
      <w:lvlJc w:val="left"/>
      <w:pPr>
        <w:tabs>
          <w:tab w:val="left" w:pos="1134"/>
        </w:tabs>
        <w:ind w:left="1134" w:hanging="283"/>
      </w:pPr>
      <w:rPr>
        <w:rFonts w:ascii="Symbol" w:hAnsi="Symbol" w:hint="default"/>
      </w:rPr>
    </w:lvl>
    <w:lvl w:ilvl="4" w:tplc="EEE46AA8">
      <w:start w:val="1"/>
      <w:numFmt w:val="bullet"/>
      <w:lvlRestart w:val="0"/>
      <w:lvlText w:val="·"/>
      <w:lvlJc w:val="left"/>
      <w:pPr>
        <w:tabs>
          <w:tab w:val="left" w:pos="1134"/>
        </w:tabs>
        <w:ind w:left="1134" w:hanging="283"/>
      </w:pPr>
      <w:rPr>
        <w:rFonts w:ascii="Symbol" w:hAnsi="Symbol" w:hint="default"/>
      </w:rPr>
    </w:lvl>
    <w:lvl w:ilvl="5" w:tplc="3E5EEFD4">
      <w:start w:val="1"/>
      <w:numFmt w:val="bullet"/>
      <w:lvlRestart w:val="0"/>
      <w:lvlText w:val="·"/>
      <w:lvlJc w:val="left"/>
      <w:pPr>
        <w:tabs>
          <w:tab w:val="left" w:pos="1134"/>
        </w:tabs>
        <w:ind w:left="1134" w:hanging="283"/>
      </w:pPr>
      <w:rPr>
        <w:rFonts w:ascii="Symbol" w:hAnsi="Symbol" w:hint="default"/>
      </w:rPr>
    </w:lvl>
    <w:lvl w:ilvl="6" w:tplc="24BA36CE">
      <w:start w:val="1"/>
      <w:numFmt w:val="bullet"/>
      <w:lvlRestart w:val="0"/>
      <w:lvlText w:val="·"/>
      <w:lvlJc w:val="left"/>
      <w:pPr>
        <w:tabs>
          <w:tab w:val="left" w:pos="1134"/>
        </w:tabs>
        <w:ind w:left="1134" w:hanging="283"/>
      </w:pPr>
      <w:rPr>
        <w:rFonts w:ascii="Symbol" w:hAnsi="Symbol" w:hint="default"/>
      </w:rPr>
    </w:lvl>
    <w:lvl w:ilvl="7" w:tplc="0DBC6224">
      <w:start w:val="1"/>
      <w:numFmt w:val="bullet"/>
      <w:lvlRestart w:val="0"/>
      <w:lvlText w:val="·"/>
      <w:lvlJc w:val="left"/>
      <w:pPr>
        <w:tabs>
          <w:tab w:val="left" w:pos="1134"/>
        </w:tabs>
        <w:ind w:left="1134" w:hanging="283"/>
      </w:pPr>
      <w:rPr>
        <w:rFonts w:ascii="Symbol" w:hAnsi="Symbol" w:hint="default"/>
      </w:rPr>
    </w:lvl>
    <w:lvl w:ilvl="8" w:tplc="789A1868">
      <w:start w:val="1"/>
      <w:numFmt w:val="bullet"/>
      <w:lvlRestart w:val="0"/>
      <w:lvlText w:val="·"/>
      <w:lvlJc w:val="left"/>
      <w:pPr>
        <w:tabs>
          <w:tab w:val="left" w:pos="1134"/>
        </w:tabs>
        <w:ind w:left="1134" w:hanging="283"/>
      </w:pPr>
      <w:rPr>
        <w:rFonts w:ascii="Symbol" w:hAnsi="Symbol" w:hint="default"/>
      </w:rPr>
    </w:lvl>
  </w:abstractNum>
  <w:abstractNum w:abstractNumId="43" w15:restartNumberingAfterBreak="0">
    <w:nsid w:val="32A08FCE"/>
    <w:multiLevelType w:val="hybridMultilevel"/>
    <w:tmpl w:val="FFFFFFFF"/>
    <w:lvl w:ilvl="0" w:tplc="B998A4BE">
      <w:start w:val="1"/>
      <w:numFmt w:val="decimal"/>
      <w:lvlText w:val="%1."/>
      <w:lvlJc w:val="left"/>
      <w:pPr>
        <w:ind w:left="720" w:hanging="360"/>
      </w:pPr>
    </w:lvl>
    <w:lvl w:ilvl="1" w:tplc="8038889C">
      <w:start w:val="1"/>
      <w:numFmt w:val="lowerLetter"/>
      <w:lvlText w:val="%2."/>
      <w:lvlJc w:val="left"/>
      <w:pPr>
        <w:ind w:left="1440" w:hanging="360"/>
      </w:pPr>
    </w:lvl>
    <w:lvl w:ilvl="2" w:tplc="53425A30">
      <w:start w:val="1"/>
      <w:numFmt w:val="lowerRoman"/>
      <w:lvlText w:val="%3."/>
      <w:lvlJc w:val="right"/>
      <w:pPr>
        <w:ind w:left="2160" w:hanging="180"/>
      </w:pPr>
    </w:lvl>
    <w:lvl w:ilvl="3" w:tplc="70945B48">
      <w:start w:val="8"/>
      <w:numFmt w:val="decimal"/>
      <w:lvlText w:val="%4."/>
      <w:lvlJc w:val="left"/>
      <w:pPr>
        <w:ind w:left="3240" w:hanging="360"/>
      </w:pPr>
      <w:rPr>
        <w:rFonts w:ascii="Times New Roman" w:hAnsi="Times New Roman" w:hint="default"/>
      </w:rPr>
    </w:lvl>
    <w:lvl w:ilvl="4" w:tplc="3134131E">
      <w:start w:val="1"/>
      <w:numFmt w:val="lowerLetter"/>
      <w:lvlText w:val="%5."/>
      <w:lvlJc w:val="left"/>
      <w:pPr>
        <w:ind w:left="3600" w:hanging="360"/>
      </w:pPr>
    </w:lvl>
    <w:lvl w:ilvl="5" w:tplc="A44C762C">
      <w:start w:val="1"/>
      <w:numFmt w:val="lowerRoman"/>
      <w:lvlText w:val="%6."/>
      <w:lvlJc w:val="right"/>
      <w:pPr>
        <w:ind w:left="4320" w:hanging="180"/>
      </w:pPr>
    </w:lvl>
    <w:lvl w:ilvl="6" w:tplc="0A1E91C2">
      <w:start w:val="1"/>
      <w:numFmt w:val="decimal"/>
      <w:lvlText w:val="%7."/>
      <w:lvlJc w:val="left"/>
      <w:pPr>
        <w:ind w:left="5040" w:hanging="360"/>
      </w:pPr>
    </w:lvl>
    <w:lvl w:ilvl="7" w:tplc="5282C32C">
      <w:start w:val="1"/>
      <w:numFmt w:val="lowerLetter"/>
      <w:lvlText w:val="%8."/>
      <w:lvlJc w:val="left"/>
      <w:pPr>
        <w:ind w:left="5760" w:hanging="360"/>
      </w:pPr>
    </w:lvl>
    <w:lvl w:ilvl="8" w:tplc="F446ED64">
      <w:start w:val="1"/>
      <w:numFmt w:val="lowerRoman"/>
      <w:lvlText w:val="%9."/>
      <w:lvlJc w:val="right"/>
      <w:pPr>
        <w:ind w:left="6480" w:hanging="180"/>
      </w:pPr>
    </w:lvl>
  </w:abstractNum>
  <w:abstractNum w:abstractNumId="44" w15:restartNumberingAfterBreak="0">
    <w:nsid w:val="364E180D"/>
    <w:multiLevelType w:val="hybridMultilevel"/>
    <w:tmpl w:val="7B3C2BE0"/>
    <w:lvl w:ilvl="0" w:tplc="9D2632F0">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36A4722E"/>
    <w:multiLevelType w:val="hybridMultilevel"/>
    <w:tmpl w:val="AE26541E"/>
    <w:lvl w:ilvl="0" w:tplc="18090017">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46" w15:restartNumberingAfterBreak="0">
    <w:nsid w:val="37CA5DB7"/>
    <w:multiLevelType w:val="hybridMultilevel"/>
    <w:tmpl w:val="FFFFFFFF"/>
    <w:lvl w:ilvl="0" w:tplc="C4825A0C">
      <w:start w:val="11"/>
      <w:numFmt w:val="decimal"/>
      <w:lvlText w:val="%1)"/>
      <w:lvlJc w:val="left"/>
      <w:pPr>
        <w:ind w:left="720" w:hanging="360"/>
      </w:pPr>
    </w:lvl>
    <w:lvl w:ilvl="1" w:tplc="E57C66C8">
      <w:start w:val="1"/>
      <w:numFmt w:val="lowerLetter"/>
      <w:lvlText w:val="%2."/>
      <w:lvlJc w:val="left"/>
      <w:pPr>
        <w:ind w:left="1440" w:hanging="360"/>
      </w:pPr>
    </w:lvl>
    <w:lvl w:ilvl="2" w:tplc="60B2F80C">
      <w:start w:val="1"/>
      <w:numFmt w:val="lowerRoman"/>
      <w:lvlText w:val="%3."/>
      <w:lvlJc w:val="right"/>
      <w:pPr>
        <w:ind w:left="2160" w:hanging="180"/>
      </w:pPr>
    </w:lvl>
    <w:lvl w:ilvl="3" w:tplc="80EEB860">
      <w:start w:val="1"/>
      <w:numFmt w:val="decimal"/>
      <w:lvlText w:val="%4."/>
      <w:lvlJc w:val="left"/>
      <w:pPr>
        <w:ind w:left="2880" w:hanging="360"/>
      </w:pPr>
    </w:lvl>
    <w:lvl w:ilvl="4" w:tplc="A9384546">
      <w:start w:val="1"/>
      <w:numFmt w:val="lowerLetter"/>
      <w:lvlText w:val="%5."/>
      <w:lvlJc w:val="left"/>
      <w:pPr>
        <w:ind w:left="3600" w:hanging="360"/>
      </w:pPr>
    </w:lvl>
    <w:lvl w:ilvl="5" w:tplc="0F767CE0">
      <w:start w:val="1"/>
      <w:numFmt w:val="lowerRoman"/>
      <w:lvlText w:val="%6."/>
      <w:lvlJc w:val="right"/>
      <w:pPr>
        <w:ind w:left="4320" w:hanging="180"/>
      </w:pPr>
    </w:lvl>
    <w:lvl w:ilvl="6" w:tplc="177C5E3C">
      <w:start w:val="1"/>
      <w:numFmt w:val="decimal"/>
      <w:lvlText w:val="%7."/>
      <w:lvlJc w:val="left"/>
      <w:pPr>
        <w:ind w:left="5040" w:hanging="360"/>
      </w:pPr>
    </w:lvl>
    <w:lvl w:ilvl="7" w:tplc="7B6A0F9C">
      <w:start w:val="1"/>
      <w:numFmt w:val="lowerLetter"/>
      <w:lvlText w:val="%8."/>
      <w:lvlJc w:val="left"/>
      <w:pPr>
        <w:ind w:left="5760" w:hanging="360"/>
      </w:pPr>
    </w:lvl>
    <w:lvl w:ilvl="8" w:tplc="1150806A">
      <w:start w:val="1"/>
      <w:numFmt w:val="lowerRoman"/>
      <w:lvlText w:val="%9."/>
      <w:lvlJc w:val="right"/>
      <w:pPr>
        <w:ind w:left="6480" w:hanging="180"/>
      </w:pPr>
    </w:lvl>
  </w:abstractNum>
  <w:abstractNum w:abstractNumId="47" w15:restartNumberingAfterBreak="0">
    <w:nsid w:val="388D3DE6"/>
    <w:multiLevelType w:val="hybridMultilevel"/>
    <w:tmpl w:val="9E1C00A6"/>
    <w:lvl w:ilvl="0" w:tplc="641297A4">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3C5D7F54"/>
    <w:multiLevelType w:val="hybridMultilevel"/>
    <w:tmpl w:val="3D3ED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3CDC0841"/>
    <w:multiLevelType w:val="hybridMultilevel"/>
    <w:tmpl w:val="C3D8A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401A8E7D"/>
    <w:multiLevelType w:val="hybridMultilevel"/>
    <w:tmpl w:val="CAC6C528"/>
    <w:lvl w:ilvl="0" w:tplc="3378E04E">
      <w:start w:val="13"/>
      <w:numFmt w:val="decimal"/>
      <w:lvlText w:val="%1."/>
      <w:lvlJc w:val="left"/>
      <w:pPr>
        <w:ind w:left="360" w:hanging="360"/>
      </w:pPr>
    </w:lvl>
    <w:lvl w:ilvl="1" w:tplc="C92066C0">
      <w:start w:val="1"/>
      <w:numFmt w:val="lowerLetter"/>
      <w:lvlText w:val="%2."/>
      <w:lvlJc w:val="left"/>
      <w:pPr>
        <w:ind w:left="1440" w:hanging="360"/>
      </w:pPr>
    </w:lvl>
    <w:lvl w:ilvl="2" w:tplc="3078CAC8">
      <w:start w:val="1"/>
      <w:numFmt w:val="lowerRoman"/>
      <w:lvlText w:val="%3."/>
      <w:lvlJc w:val="right"/>
      <w:pPr>
        <w:ind w:left="2160" w:hanging="180"/>
      </w:pPr>
    </w:lvl>
    <w:lvl w:ilvl="3" w:tplc="149CF87C">
      <w:start w:val="1"/>
      <w:numFmt w:val="decimal"/>
      <w:lvlText w:val="%4."/>
      <w:lvlJc w:val="left"/>
      <w:pPr>
        <w:ind w:left="2880" w:hanging="360"/>
      </w:pPr>
    </w:lvl>
    <w:lvl w:ilvl="4" w:tplc="654A5BF6">
      <w:start w:val="1"/>
      <w:numFmt w:val="lowerLetter"/>
      <w:lvlText w:val="%5."/>
      <w:lvlJc w:val="left"/>
      <w:pPr>
        <w:ind w:left="3600" w:hanging="360"/>
      </w:pPr>
    </w:lvl>
    <w:lvl w:ilvl="5" w:tplc="6EC036D4">
      <w:start w:val="1"/>
      <w:numFmt w:val="lowerRoman"/>
      <w:lvlText w:val="%6."/>
      <w:lvlJc w:val="right"/>
      <w:pPr>
        <w:ind w:left="4320" w:hanging="180"/>
      </w:pPr>
    </w:lvl>
    <w:lvl w:ilvl="6" w:tplc="EB084AFE">
      <w:start w:val="1"/>
      <w:numFmt w:val="decimal"/>
      <w:lvlText w:val="%7."/>
      <w:lvlJc w:val="left"/>
      <w:pPr>
        <w:ind w:left="5040" w:hanging="360"/>
      </w:pPr>
    </w:lvl>
    <w:lvl w:ilvl="7" w:tplc="73949508">
      <w:start w:val="1"/>
      <w:numFmt w:val="lowerLetter"/>
      <w:lvlText w:val="%8."/>
      <w:lvlJc w:val="left"/>
      <w:pPr>
        <w:ind w:left="5760" w:hanging="360"/>
      </w:pPr>
    </w:lvl>
    <w:lvl w:ilvl="8" w:tplc="C6E4B406">
      <w:start w:val="1"/>
      <w:numFmt w:val="lowerRoman"/>
      <w:lvlText w:val="%9."/>
      <w:lvlJc w:val="right"/>
      <w:pPr>
        <w:ind w:left="6480" w:hanging="180"/>
      </w:pPr>
    </w:lvl>
  </w:abstractNum>
  <w:abstractNum w:abstractNumId="51" w15:restartNumberingAfterBreak="0">
    <w:nsid w:val="4528FBBA"/>
    <w:multiLevelType w:val="hybridMultilevel"/>
    <w:tmpl w:val="1A020EE4"/>
    <w:lvl w:ilvl="0" w:tplc="862AA07E">
      <w:start w:val="1"/>
      <w:numFmt w:val="bullet"/>
      <w:lvlText w:val="-"/>
      <w:lvlJc w:val="left"/>
      <w:pPr>
        <w:ind w:left="720" w:hanging="360"/>
      </w:pPr>
      <w:rPr>
        <w:rFonts w:ascii="&quot;Aptos&quot;,sans-serif" w:hAnsi="&quot;Aptos&quot;,sans-serif" w:hint="default"/>
      </w:rPr>
    </w:lvl>
    <w:lvl w:ilvl="1" w:tplc="67F82C74">
      <w:start w:val="1"/>
      <w:numFmt w:val="bullet"/>
      <w:lvlText w:val="o"/>
      <w:lvlJc w:val="left"/>
      <w:pPr>
        <w:ind w:left="1440" w:hanging="360"/>
      </w:pPr>
      <w:rPr>
        <w:rFonts w:ascii="Courier New" w:hAnsi="Courier New" w:hint="default"/>
      </w:rPr>
    </w:lvl>
    <w:lvl w:ilvl="2" w:tplc="A36A9ADA">
      <w:start w:val="1"/>
      <w:numFmt w:val="bullet"/>
      <w:lvlText w:val=""/>
      <w:lvlJc w:val="left"/>
      <w:pPr>
        <w:ind w:left="2160" w:hanging="360"/>
      </w:pPr>
      <w:rPr>
        <w:rFonts w:ascii="Wingdings" w:hAnsi="Wingdings" w:hint="default"/>
      </w:rPr>
    </w:lvl>
    <w:lvl w:ilvl="3" w:tplc="0FB2815A">
      <w:start w:val="1"/>
      <w:numFmt w:val="bullet"/>
      <w:lvlText w:val=""/>
      <w:lvlJc w:val="left"/>
      <w:pPr>
        <w:ind w:left="2880" w:hanging="360"/>
      </w:pPr>
      <w:rPr>
        <w:rFonts w:ascii="Symbol" w:hAnsi="Symbol" w:hint="default"/>
      </w:rPr>
    </w:lvl>
    <w:lvl w:ilvl="4" w:tplc="FFFC2D5A">
      <w:start w:val="1"/>
      <w:numFmt w:val="bullet"/>
      <w:lvlText w:val="o"/>
      <w:lvlJc w:val="left"/>
      <w:pPr>
        <w:ind w:left="3600" w:hanging="360"/>
      </w:pPr>
      <w:rPr>
        <w:rFonts w:ascii="Courier New" w:hAnsi="Courier New" w:hint="default"/>
      </w:rPr>
    </w:lvl>
    <w:lvl w:ilvl="5" w:tplc="23F4CEFE">
      <w:start w:val="1"/>
      <w:numFmt w:val="bullet"/>
      <w:lvlText w:val=""/>
      <w:lvlJc w:val="left"/>
      <w:pPr>
        <w:ind w:left="4320" w:hanging="360"/>
      </w:pPr>
      <w:rPr>
        <w:rFonts w:ascii="Wingdings" w:hAnsi="Wingdings" w:hint="default"/>
      </w:rPr>
    </w:lvl>
    <w:lvl w:ilvl="6" w:tplc="69AA2CEA">
      <w:start w:val="1"/>
      <w:numFmt w:val="bullet"/>
      <w:lvlText w:val=""/>
      <w:lvlJc w:val="left"/>
      <w:pPr>
        <w:ind w:left="5040" w:hanging="360"/>
      </w:pPr>
      <w:rPr>
        <w:rFonts w:ascii="Symbol" w:hAnsi="Symbol" w:hint="default"/>
      </w:rPr>
    </w:lvl>
    <w:lvl w:ilvl="7" w:tplc="9848A204">
      <w:start w:val="1"/>
      <w:numFmt w:val="bullet"/>
      <w:lvlText w:val="o"/>
      <w:lvlJc w:val="left"/>
      <w:pPr>
        <w:ind w:left="5760" w:hanging="360"/>
      </w:pPr>
      <w:rPr>
        <w:rFonts w:ascii="Courier New" w:hAnsi="Courier New" w:hint="default"/>
      </w:rPr>
    </w:lvl>
    <w:lvl w:ilvl="8" w:tplc="F11C5B44">
      <w:start w:val="1"/>
      <w:numFmt w:val="bullet"/>
      <w:lvlText w:val=""/>
      <w:lvlJc w:val="left"/>
      <w:pPr>
        <w:ind w:left="6480" w:hanging="360"/>
      </w:pPr>
      <w:rPr>
        <w:rFonts w:ascii="Wingdings" w:hAnsi="Wingdings" w:hint="default"/>
      </w:rPr>
    </w:lvl>
  </w:abstractNum>
  <w:abstractNum w:abstractNumId="52" w15:restartNumberingAfterBreak="0">
    <w:nsid w:val="475A0D1C"/>
    <w:multiLevelType w:val="hybridMultilevel"/>
    <w:tmpl w:val="B546EAD8"/>
    <w:lvl w:ilvl="0" w:tplc="71347A20">
      <w:start w:val="1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7D279F0"/>
    <w:multiLevelType w:val="hybridMultilevel"/>
    <w:tmpl w:val="497EDAFA"/>
    <w:lvl w:ilvl="0" w:tplc="7E9CCEDE">
      <w:start w:val="11"/>
      <w:numFmt w:val="decimal"/>
      <w:lvlText w:val="%1."/>
      <w:lvlJc w:val="left"/>
      <w:pPr>
        <w:ind w:left="360" w:hanging="360"/>
      </w:pPr>
      <w:rPr>
        <w:rFonts w:ascii="Times New Roman" w:hAnsi="Times New Roman" w:cs="Times New Roman" w:hint="default"/>
        <w:sz w:val="24"/>
        <w:szCs w:val="24"/>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4" w15:restartNumberingAfterBreak="0">
    <w:nsid w:val="48983ABC"/>
    <w:multiLevelType w:val="hybridMultilevel"/>
    <w:tmpl w:val="35848E8A"/>
    <w:lvl w:ilvl="0" w:tplc="CCC06954">
      <w:start w:val="12"/>
      <w:numFmt w:val="decimal"/>
      <w:lvlText w:val="%1."/>
      <w:lvlJc w:val="left"/>
      <w:pPr>
        <w:ind w:left="36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4C4BDE0C"/>
    <w:multiLevelType w:val="hybridMultilevel"/>
    <w:tmpl w:val="FFFFFFFF"/>
    <w:lvl w:ilvl="0" w:tplc="639A9A66">
      <w:start w:val="1"/>
      <w:numFmt w:val="decimal"/>
      <w:lvlText w:val="%1)"/>
      <w:lvlJc w:val="left"/>
      <w:pPr>
        <w:ind w:left="720" w:hanging="360"/>
      </w:pPr>
    </w:lvl>
    <w:lvl w:ilvl="1" w:tplc="DE7A9348">
      <w:start w:val="1"/>
      <w:numFmt w:val="lowerLetter"/>
      <w:lvlText w:val="%2."/>
      <w:lvlJc w:val="left"/>
      <w:pPr>
        <w:ind w:left="1440" w:hanging="360"/>
      </w:pPr>
    </w:lvl>
    <w:lvl w:ilvl="2" w:tplc="D200F9F2">
      <w:start w:val="1"/>
      <w:numFmt w:val="lowerRoman"/>
      <w:lvlText w:val="%3."/>
      <w:lvlJc w:val="right"/>
      <w:pPr>
        <w:ind w:left="2160" w:hanging="180"/>
      </w:pPr>
    </w:lvl>
    <w:lvl w:ilvl="3" w:tplc="566AA64E">
      <w:start w:val="1"/>
      <w:numFmt w:val="decimal"/>
      <w:lvlText w:val="%4."/>
      <w:lvlJc w:val="left"/>
      <w:pPr>
        <w:ind w:left="2880" w:hanging="360"/>
      </w:pPr>
    </w:lvl>
    <w:lvl w:ilvl="4" w:tplc="6FAE07DC">
      <w:start w:val="1"/>
      <w:numFmt w:val="lowerLetter"/>
      <w:lvlText w:val="%5."/>
      <w:lvlJc w:val="left"/>
      <w:pPr>
        <w:ind w:left="3600" w:hanging="360"/>
      </w:pPr>
    </w:lvl>
    <w:lvl w:ilvl="5" w:tplc="E6BE9F88">
      <w:start w:val="1"/>
      <w:numFmt w:val="lowerRoman"/>
      <w:lvlText w:val="%6."/>
      <w:lvlJc w:val="right"/>
      <w:pPr>
        <w:ind w:left="4320" w:hanging="180"/>
      </w:pPr>
    </w:lvl>
    <w:lvl w:ilvl="6" w:tplc="BA5CF6C6">
      <w:start w:val="1"/>
      <w:numFmt w:val="decimal"/>
      <w:lvlText w:val="%7."/>
      <w:lvlJc w:val="left"/>
      <w:pPr>
        <w:ind w:left="5040" w:hanging="360"/>
      </w:pPr>
    </w:lvl>
    <w:lvl w:ilvl="7" w:tplc="944E191E">
      <w:start w:val="1"/>
      <w:numFmt w:val="lowerLetter"/>
      <w:lvlText w:val="%8."/>
      <w:lvlJc w:val="left"/>
      <w:pPr>
        <w:ind w:left="5760" w:hanging="360"/>
      </w:pPr>
    </w:lvl>
    <w:lvl w:ilvl="8" w:tplc="F5185398">
      <w:start w:val="1"/>
      <w:numFmt w:val="lowerRoman"/>
      <w:lvlText w:val="%9."/>
      <w:lvlJc w:val="right"/>
      <w:pPr>
        <w:ind w:left="6480" w:hanging="180"/>
      </w:pPr>
    </w:lvl>
  </w:abstractNum>
  <w:abstractNum w:abstractNumId="56" w15:restartNumberingAfterBreak="0">
    <w:nsid w:val="4FA54366"/>
    <w:multiLevelType w:val="hybridMultilevel"/>
    <w:tmpl w:val="3A3C60B0"/>
    <w:lvl w:ilvl="0" w:tplc="3046340C">
      <w:start w:val="15"/>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7" w15:restartNumberingAfterBreak="0">
    <w:nsid w:val="54B73AD7"/>
    <w:multiLevelType w:val="hybridMultilevel"/>
    <w:tmpl w:val="300E05C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58" w15:restartNumberingAfterBreak="0">
    <w:nsid w:val="560BBCC1"/>
    <w:multiLevelType w:val="hybridMultilevel"/>
    <w:tmpl w:val="FFFFFFFF"/>
    <w:lvl w:ilvl="0" w:tplc="D496110C">
      <w:start w:val="12"/>
      <w:numFmt w:val="decimal"/>
      <w:lvlText w:val="%1."/>
      <w:lvlJc w:val="left"/>
      <w:pPr>
        <w:ind w:left="720" w:hanging="360"/>
      </w:pPr>
    </w:lvl>
    <w:lvl w:ilvl="1" w:tplc="7A381C96">
      <w:start w:val="1"/>
      <w:numFmt w:val="lowerLetter"/>
      <w:lvlText w:val="%2."/>
      <w:lvlJc w:val="left"/>
      <w:pPr>
        <w:ind w:left="1440" w:hanging="360"/>
      </w:pPr>
    </w:lvl>
    <w:lvl w:ilvl="2" w:tplc="14A68BC8">
      <w:start w:val="1"/>
      <w:numFmt w:val="lowerRoman"/>
      <w:lvlText w:val="%3."/>
      <w:lvlJc w:val="right"/>
      <w:pPr>
        <w:ind w:left="2160" w:hanging="180"/>
      </w:pPr>
    </w:lvl>
    <w:lvl w:ilvl="3" w:tplc="1FBCC2D0">
      <w:start w:val="1"/>
      <w:numFmt w:val="decimal"/>
      <w:lvlText w:val="%4."/>
      <w:lvlJc w:val="left"/>
      <w:pPr>
        <w:ind w:left="2880" w:hanging="360"/>
      </w:pPr>
    </w:lvl>
    <w:lvl w:ilvl="4" w:tplc="344EFA1A">
      <w:start w:val="1"/>
      <w:numFmt w:val="lowerLetter"/>
      <w:lvlText w:val="%5."/>
      <w:lvlJc w:val="left"/>
      <w:pPr>
        <w:ind w:left="3600" w:hanging="360"/>
      </w:pPr>
    </w:lvl>
    <w:lvl w:ilvl="5" w:tplc="7F207E24">
      <w:start w:val="1"/>
      <w:numFmt w:val="lowerRoman"/>
      <w:lvlText w:val="%6."/>
      <w:lvlJc w:val="right"/>
      <w:pPr>
        <w:ind w:left="4320" w:hanging="180"/>
      </w:pPr>
    </w:lvl>
    <w:lvl w:ilvl="6" w:tplc="936C29A2">
      <w:start w:val="1"/>
      <w:numFmt w:val="decimal"/>
      <w:lvlText w:val="%7."/>
      <w:lvlJc w:val="left"/>
      <w:pPr>
        <w:ind w:left="5040" w:hanging="360"/>
      </w:pPr>
    </w:lvl>
    <w:lvl w:ilvl="7" w:tplc="AFAC04D6">
      <w:start w:val="1"/>
      <w:numFmt w:val="lowerLetter"/>
      <w:lvlText w:val="%8."/>
      <w:lvlJc w:val="left"/>
      <w:pPr>
        <w:ind w:left="5760" w:hanging="360"/>
      </w:pPr>
    </w:lvl>
    <w:lvl w:ilvl="8" w:tplc="00CCF43C">
      <w:start w:val="1"/>
      <w:numFmt w:val="lowerRoman"/>
      <w:lvlText w:val="%9."/>
      <w:lvlJc w:val="right"/>
      <w:pPr>
        <w:ind w:left="6480" w:hanging="180"/>
      </w:pPr>
    </w:lvl>
  </w:abstractNum>
  <w:abstractNum w:abstractNumId="59" w15:restartNumberingAfterBreak="0">
    <w:nsid w:val="56A3AB89"/>
    <w:multiLevelType w:val="hybridMultilevel"/>
    <w:tmpl w:val="3DEA8934"/>
    <w:lvl w:ilvl="0" w:tplc="34200B32">
      <w:start w:val="1"/>
      <w:numFmt w:val="bullet"/>
      <w:lvlText w:val="-"/>
      <w:lvlJc w:val="left"/>
      <w:pPr>
        <w:ind w:left="720" w:hanging="360"/>
      </w:pPr>
      <w:rPr>
        <w:rFonts w:ascii="Aptos" w:hAnsi="Aptos" w:hint="default"/>
      </w:rPr>
    </w:lvl>
    <w:lvl w:ilvl="1" w:tplc="C96E163E">
      <w:start w:val="1"/>
      <w:numFmt w:val="bullet"/>
      <w:lvlText w:val="o"/>
      <w:lvlJc w:val="left"/>
      <w:pPr>
        <w:ind w:left="1440" w:hanging="360"/>
      </w:pPr>
      <w:rPr>
        <w:rFonts w:ascii="Courier New" w:hAnsi="Courier New" w:cs="Times New Roman" w:hint="default"/>
      </w:rPr>
    </w:lvl>
    <w:lvl w:ilvl="2" w:tplc="A0FEA2E2">
      <w:start w:val="1"/>
      <w:numFmt w:val="bullet"/>
      <w:lvlText w:val=""/>
      <w:lvlJc w:val="left"/>
      <w:pPr>
        <w:ind w:left="2160" w:hanging="360"/>
      </w:pPr>
      <w:rPr>
        <w:rFonts w:ascii="Wingdings" w:hAnsi="Wingdings" w:hint="default"/>
      </w:rPr>
    </w:lvl>
    <w:lvl w:ilvl="3" w:tplc="38DE00BE">
      <w:start w:val="1"/>
      <w:numFmt w:val="bullet"/>
      <w:lvlText w:val=""/>
      <w:lvlJc w:val="left"/>
      <w:pPr>
        <w:ind w:left="2880" w:hanging="360"/>
      </w:pPr>
      <w:rPr>
        <w:rFonts w:ascii="Symbol" w:hAnsi="Symbol" w:hint="default"/>
      </w:rPr>
    </w:lvl>
    <w:lvl w:ilvl="4" w:tplc="CB32D6C0">
      <w:start w:val="1"/>
      <w:numFmt w:val="bullet"/>
      <w:lvlText w:val="o"/>
      <w:lvlJc w:val="left"/>
      <w:pPr>
        <w:ind w:left="3600" w:hanging="360"/>
      </w:pPr>
      <w:rPr>
        <w:rFonts w:ascii="Courier New" w:hAnsi="Courier New" w:cs="Times New Roman" w:hint="default"/>
      </w:rPr>
    </w:lvl>
    <w:lvl w:ilvl="5" w:tplc="4000B58A">
      <w:start w:val="1"/>
      <w:numFmt w:val="bullet"/>
      <w:lvlText w:val=""/>
      <w:lvlJc w:val="left"/>
      <w:pPr>
        <w:ind w:left="4320" w:hanging="360"/>
      </w:pPr>
      <w:rPr>
        <w:rFonts w:ascii="Wingdings" w:hAnsi="Wingdings" w:hint="default"/>
      </w:rPr>
    </w:lvl>
    <w:lvl w:ilvl="6" w:tplc="DE702A94">
      <w:start w:val="1"/>
      <w:numFmt w:val="bullet"/>
      <w:lvlText w:val=""/>
      <w:lvlJc w:val="left"/>
      <w:pPr>
        <w:ind w:left="5040" w:hanging="360"/>
      </w:pPr>
      <w:rPr>
        <w:rFonts w:ascii="Symbol" w:hAnsi="Symbol" w:hint="default"/>
      </w:rPr>
    </w:lvl>
    <w:lvl w:ilvl="7" w:tplc="F1D8936C">
      <w:start w:val="1"/>
      <w:numFmt w:val="bullet"/>
      <w:lvlText w:val="o"/>
      <w:lvlJc w:val="left"/>
      <w:pPr>
        <w:ind w:left="5760" w:hanging="360"/>
      </w:pPr>
      <w:rPr>
        <w:rFonts w:ascii="Courier New" w:hAnsi="Courier New" w:cs="Times New Roman" w:hint="default"/>
      </w:rPr>
    </w:lvl>
    <w:lvl w:ilvl="8" w:tplc="3F32BBA4">
      <w:start w:val="1"/>
      <w:numFmt w:val="bullet"/>
      <w:lvlText w:val=""/>
      <w:lvlJc w:val="left"/>
      <w:pPr>
        <w:ind w:left="6480" w:hanging="360"/>
      </w:pPr>
      <w:rPr>
        <w:rFonts w:ascii="Wingdings" w:hAnsi="Wingdings" w:hint="default"/>
      </w:rPr>
    </w:lvl>
  </w:abstractNum>
  <w:abstractNum w:abstractNumId="60" w15:restartNumberingAfterBreak="0">
    <w:nsid w:val="582230D2"/>
    <w:multiLevelType w:val="hybridMultilevel"/>
    <w:tmpl w:val="FFFFFFFF"/>
    <w:lvl w:ilvl="0" w:tplc="7F0C53E6">
      <w:start w:val="1"/>
      <w:numFmt w:val="bullet"/>
      <w:lvlText w:val="-"/>
      <w:lvlJc w:val="left"/>
      <w:pPr>
        <w:ind w:left="720" w:hanging="360"/>
      </w:pPr>
      <w:rPr>
        <w:rFonts w:ascii="Aptos" w:hAnsi="Aptos" w:hint="default"/>
      </w:rPr>
    </w:lvl>
    <w:lvl w:ilvl="1" w:tplc="0222270A">
      <w:start w:val="1"/>
      <w:numFmt w:val="bullet"/>
      <w:lvlText w:val="o"/>
      <w:lvlJc w:val="left"/>
      <w:pPr>
        <w:ind w:left="1440" w:hanging="360"/>
      </w:pPr>
      <w:rPr>
        <w:rFonts w:ascii="Courier New" w:hAnsi="Courier New" w:hint="default"/>
      </w:rPr>
    </w:lvl>
    <w:lvl w:ilvl="2" w:tplc="ECB43422">
      <w:start w:val="1"/>
      <w:numFmt w:val="bullet"/>
      <w:lvlText w:val=""/>
      <w:lvlJc w:val="left"/>
      <w:pPr>
        <w:ind w:left="2160" w:hanging="360"/>
      </w:pPr>
      <w:rPr>
        <w:rFonts w:ascii="Wingdings" w:hAnsi="Wingdings" w:hint="default"/>
      </w:rPr>
    </w:lvl>
    <w:lvl w:ilvl="3" w:tplc="6FBCF7F0">
      <w:start w:val="1"/>
      <w:numFmt w:val="bullet"/>
      <w:lvlText w:val=""/>
      <w:lvlJc w:val="left"/>
      <w:pPr>
        <w:ind w:left="2880" w:hanging="360"/>
      </w:pPr>
      <w:rPr>
        <w:rFonts w:ascii="Symbol" w:hAnsi="Symbol" w:hint="default"/>
      </w:rPr>
    </w:lvl>
    <w:lvl w:ilvl="4" w:tplc="67886806">
      <w:start w:val="1"/>
      <w:numFmt w:val="bullet"/>
      <w:lvlText w:val="o"/>
      <w:lvlJc w:val="left"/>
      <w:pPr>
        <w:ind w:left="3600" w:hanging="360"/>
      </w:pPr>
      <w:rPr>
        <w:rFonts w:ascii="Courier New" w:hAnsi="Courier New" w:hint="default"/>
      </w:rPr>
    </w:lvl>
    <w:lvl w:ilvl="5" w:tplc="345ACEAC">
      <w:start w:val="1"/>
      <w:numFmt w:val="bullet"/>
      <w:lvlText w:val=""/>
      <w:lvlJc w:val="left"/>
      <w:pPr>
        <w:ind w:left="4320" w:hanging="360"/>
      </w:pPr>
      <w:rPr>
        <w:rFonts w:ascii="Wingdings" w:hAnsi="Wingdings" w:hint="default"/>
      </w:rPr>
    </w:lvl>
    <w:lvl w:ilvl="6" w:tplc="5936CA4A">
      <w:start w:val="1"/>
      <w:numFmt w:val="bullet"/>
      <w:lvlText w:val=""/>
      <w:lvlJc w:val="left"/>
      <w:pPr>
        <w:ind w:left="5040" w:hanging="360"/>
      </w:pPr>
      <w:rPr>
        <w:rFonts w:ascii="Symbol" w:hAnsi="Symbol" w:hint="default"/>
      </w:rPr>
    </w:lvl>
    <w:lvl w:ilvl="7" w:tplc="0E9A76B8">
      <w:start w:val="1"/>
      <w:numFmt w:val="bullet"/>
      <w:lvlText w:val="o"/>
      <w:lvlJc w:val="left"/>
      <w:pPr>
        <w:ind w:left="5760" w:hanging="360"/>
      </w:pPr>
      <w:rPr>
        <w:rFonts w:ascii="Courier New" w:hAnsi="Courier New" w:hint="default"/>
      </w:rPr>
    </w:lvl>
    <w:lvl w:ilvl="8" w:tplc="0876E656">
      <w:start w:val="1"/>
      <w:numFmt w:val="bullet"/>
      <w:lvlText w:val=""/>
      <w:lvlJc w:val="left"/>
      <w:pPr>
        <w:ind w:left="6480" w:hanging="360"/>
      </w:pPr>
      <w:rPr>
        <w:rFonts w:ascii="Wingdings" w:hAnsi="Wingdings" w:hint="default"/>
      </w:rPr>
    </w:lvl>
  </w:abstractNum>
  <w:abstractNum w:abstractNumId="61" w15:restartNumberingAfterBreak="0">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62" w15:restartNumberingAfterBreak="0">
    <w:nsid w:val="60707A70"/>
    <w:multiLevelType w:val="hybridMultilevel"/>
    <w:tmpl w:val="FFFFFFFF"/>
    <w:lvl w:ilvl="0" w:tplc="1B2AA472">
      <w:start w:val="1"/>
      <w:numFmt w:val="bullet"/>
      <w:lvlText w:val="-"/>
      <w:lvlJc w:val="left"/>
      <w:pPr>
        <w:ind w:left="720" w:hanging="360"/>
      </w:pPr>
      <w:rPr>
        <w:rFonts w:ascii="Aptos" w:hAnsi="Aptos" w:hint="default"/>
      </w:rPr>
    </w:lvl>
    <w:lvl w:ilvl="1" w:tplc="1FCEA6E0">
      <w:start w:val="1"/>
      <w:numFmt w:val="bullet"/>
      <w:lvlText w:val="o"/>
      <w:lvlJc w:val="left"/>
      <w:pPr>
        <w:ind w:left="1440" w:hanging="360"/>
      </w:pPr>
      <w:rPr>
        <w:rFonts w:ascii="Courier New" w:hAnsi="Courier New" w:hint="default"/>
      </w:rPr>
    </w:lvl>
    <w:lvl w:ilvl="2" w:tplc="61EE6564">
      <w:start w:val="1"/>
      <w:numFmt w:val="bullet"/>
      <w:lvlText w:val=""/>
      <w:lvlJc w:val="left"/>
      <w:pPr>
        <w:ind w:left="2160" w:hanging="360"/>
      </w:pPr>
      <w:rPr>
        <w:rFonts w:ascii="Wingdings" w:hAnsi="Wingdings" w:hint="default"/>
      </w:rPr>
    </w:lvl>
    <w:lvl w:ilvl="3" w:tplc="0C3C9AF0">
      <w:start w:val="1"/>
      <w:numFmt w:val="bullet"/>
      <w:lvlText w:val=""/>
      <w:lvlJc w:val="left"/>
      <w:pPr>
        <w:ind w:left="2880" w:hanging="360"/>
      </w:pPr>
      <w:rPr>
        <w:rFonts w:ascii="Symbol" w:hAnsi="Symbol" w:hint="default"/>
      </w:rPr>
    </w:lvl>
    <w:lvl w:ilvl="4" w:tplc="8812BDE6">
      <w:start w:val="1"/>
      <w:numFmt w:val="bullet"/>
      <w:lvlText w:val="o"/>
      <w:lvlJc w:val="left"/>
      <w:pPr>
        <w:ind w:left="3600" w:hanging="360"/>
      </w:pPr>
      <w:rPr>
        <w:rFonts w:ascii="Courier New" w:hAnsi="Courier New" w:hint="default"/>
      </w:rPr>
    </w:lvl>
    <w:lvl w:ilvl="5" w:tplc="DB6EA734">
      <w:start w:val="1"/>
      <w:numFmt w:val="bullet"/>
      <w:lvlText w:val=""/>
      <w:lvlJc w:val="left"/>
      <w:pPr>
        <w:ind w:left="4320" w:hanging="360"/>
      </w:pPr>
      <w:rPr>
        <w:rFonts w:ascii="Wingdings" w:hAnsi="Wingdings" w:hint="default"/>
      </w:rPr>
    </w:lvl>
    <w:lvl w:ilvl="6" w:tplc="175EF6A2">
      <w:start w:val="1"/>
      <w:numFmt w:val="bullet"/>
      <w:lvlText w:val=""/>
      <w:lvlJc w:val="left"/>
      <w:pPr>
        <w:ind w:left="5040" w:hanging="360"/>
      </w:pPr>
      <w:rPr>
        <w:rFonts w:ascii="Symbol" w:hAnsi="Symbol" w:hint="default"/>
      </w:rPr>
    </w:lvl>
    <w:lvl w:ilvl="7" w:tplc="6102DD44">
      <w:start w:val="1"/>
      <w:numFmt w:val="bullet"/>
      <w:lvlText w:val="o"/>
      <w:lvlJc w:val="left"/>
      <w:pPr>
        <w:ind w:left="5760" w:hanging="360"/>
      </w:pPr>
      <w:rPr>
        <w:rFonts w:ascii="Courier New" w:hAnsi="Courier New" w:hint="default"/>
      </w:rPr>
    </w:lvl>
    <w:lvl w:ilvl="8" w:tplc="1728DB62">
      <w:start w:val="1"/>
      <w:numFmt w:val="bullet"/>
      <w:lvlText w:val=""/>
      <w:lvlJc w:val="left"/>
      <w:pPr>
        <w:ind w:left="6480" w:hanging="360"/>
      </w:pPr>
      <w:rPr>
        <w:rFonts w:ascii="Wingdings" w:hAnsi="Wingdings" w:hint="default"/>
      </w:rPr>
    </w:lvl>
  </w:abstractNum>
  <w:abstractNum w:abstractNumId="63" w15:restartNumberingAfterBreak="0">
    <w:nsid w:val="60BE3FAD"/>
    <w:multiLevelType w:val="hybridMultilevel"/>
    <w:tmpl w:val="FFFFFFFF"/>
    <w:lvl w:ilvl="0" w:tplc="10A4A348">
      <w:start w:val="12"/>
      <w:numFmt w:val="decimal"/>
      <w:lvlText w:val="%1."/>
      <w:lvlJc w:val="left"/>
      <w:pPr>
        <w:ind w:left="720" w:hanging="360"/>
      </w:pPr>
    </w:lvl>
    <w:lvl w:ilvl="1" w:tplc="B3AEA210">
      <w:start w:val="1"/>
      <w:numFmt w:val="lowerLetter"/>
      <w:lvlText w:val="%2."/>
      <w:lvlJc w:val="left"/>
      <w:pPr>
        <w:ind w:left="1440" w:hanging="360"/>
      </w:pPr>
    </w:lvl>
    <w:lvl w:ilvl="2" w:tplc="AB6A7860">
      <w:start w:val="1"/>
      <w:numFmt w:val="lowerRoman"/>
      <w:lvlText w:val="%3."/>
      <w:lvlJc w:val="right"/>
      <w:pPr>
        <w:ind w:left="2160" w:hanging="180"/>
      </w:pPr>
    </w:lvl>
    <w:lvl w:ilvl="3" w:tplc="9D86872A">
      <w:start w:val="1"/>
      <w:numFmt w:val="decimal"/>
      <w:lvlText w:val="%4."/>
      <w:lvlJc w:val="left"/>
      <w:pPr>
        <w:ind w:left="2880" w:hanging="360"/>
      </w:pPr>
    </w:lvl>
    <w:lvl w:ilvl="4" w:tplc="E0F83A0A">
      <w:start w:val="1"/>
      <w:numFmt w:val="lowerLetter"/>
      <w:lvlText w:val="%5."/>
      <w:lvlJc w:val="left"/>
      <w:pPr>
        <w:ind w:left="3600" w:hanging="360"/>
      </w:pPr>
    </w:lvl>
    <w:lvl w:ilvl="5" w:tplc="FEC8D4CA">
      <w:start w:val="1"/>
      <w:numFmt w:val="lowerRoman"/>
      <w:lvlText w:val="%6."/>
      <w:lvlJc w:val="right"/>
      <w:pPr>
        <w:ind w:left="4320" w:hanging="180"/>
      </w:pPr>
    </w:lvl>
    <w:lvl w:ilvl="6" w:tplc="D310B024">
      <w:start w:val="1"/>
      <w:numFmt w:val="decimal"/>
      <w:lvlText w:val="%7."/>
      <w:lvlJc w:val="left"/>
      <w:pPr>
        <w:ind w:left="5040" w:hanging="360"/>
      </w:pPr>
    </w:lvl>
    <w:lvl w:ilvl="7" w:tplc="D4A8AF94">
      <w:start w:val="1"/>
      <w:numFmt w:val="lowerLetter"/>
      <w:lvlText w:val="%8."/>
      <w:lvlJc w:val="left"/>
      <w:pPr>
        <w:ind w:left="5760" w:hanging="360"/>
      </w:pPr>
    </w:lvl>
    <w:lvl w:ilvl="8" w:tplc="568A7CD6">
      <w:start w:val="1"/>
      <w:numFmt w:val="lowerRoman"/>
      <w:lvlText w:val="%9."/>
      <w:lvlJc w:val="right"/>
      <w:pPr>
        <w:ind w:left="6480" w:hanging="180"/>
      </w:pPr>
    </w:lvl>
  </w:abstractNum>
  <w:abstractNum w:abstractNumId="64" w15:restartNumberingAfterBreak="0">
    <w:nsid w:val="632EE488"/>
    <w:multiLevelType w:val="hybridMultilevel"/>
    <w:tmpl w:val="FFFFFFFF"/>
    <w:lvl w:ilvl="0" w:tplc="D24A1AD0">
      <w:start w:val="11"/>
      <w:numFmt w:val="decimal"/>
      <w:lvlText w:val="%1)"/>
      <w:lvlJc w:val="left"/>
      <w:pPr>
        <w:ind w:left="720" w:hanging="360"/>
      </w:pPr>
    </w:lvl>
    <w:lvl w:ilvl="1" w:tplc="F27AB332">
      <w:start w:val="1"/>
      <w:numFmt w:val="lowerLetter"/>
      <w:lvlText w:val="%2."/>
      <w:lvlJc w:val="left"/>
      <w:pPr>
        <w:ind w:left="1440" w:hanging="360"/>
      </w:pPr>
    </w:lvl>
    <w:lvl w:ilvl="2" w:tplc="F3489BC8">
      <w:start w:val="1"/>
      <w:numFmt w:val="lowerRoman"/>
      <w:lvlText w:val="%3."/>
      <w:lvlJc w:val="right"/>
      <w:pPr>
        <w:ind w:left="2160" w:hanging="180"/>
      </w:pPr>
    </w:lvl>
    <w:lvl w:ilvl="3" w:tplc="D038A460">
      <w:start w:val="1"/>
      <w:numFmt w:val="decimal"/>
      <w:lvlText w:val="%4."/>
      <w:lvlJc w:val="left"/>
      <w:pPr>
        <w:ind w:left="2880" w:hanging="360"/>
      </w:pPr>
    </w:lvl>
    <w:lvl w:ilvl="4" w:tplc="9F3A21C2">
      <w:start w:val="1"/>
      <w:numFmt w:val="lowerLetter"/>
      <w:lvlText w:val="%5."/>
      <w:lvlJc w:val="left"/>
      <w:pPr>
        <w:ind w:left="3600" w:hanging="360"/>
      </w:pPr>
    </w:lvl>
    <w:lvl w:ilvl="5" w:tplc="563CD5D6">
      <w:start w:val="1"/>
      <w:numFmt w:val="lowerRoman"/>
      <w:lvlText w:val="%6."/>
      <w:lvlJc w:val="right"/>
      <w:pPr>
        <w:ind w:left="4320" w:hanging="180"/>
      </w:pPr>
    </w:lvl>
    <w:lvl w:ilvl="6" w:tplc="1F30DBE8">
      <w:start w:val="1"/>
      <w:numFmt w:val="decimal"/>
      <w:lvlText w:val="%7."/>
      <w:lvlJc w:val="left"/>
      <w:pPr>
        <w:ind w:left="5040" w:hanging="360"/>
      </w:pPr>
    </w:lvl>
    <w:lvl w:ilvl="7" w:tplc="CC8A8960">
      <w:start w:val="1"/>
      <w:numFmt w:val="lowerLetter"/>
      <w:lvlText w:val="%8."/>
      <w:lvlJc w:val="left"/>
      <w:pPr>
        <w:ind w:left="5760" w:hanging="360"/>
      </w:pPr>
    </w:lvl>
    <w:lvl w:ilvl="8" w:tplc="97483776">
      <w:start w:val="1"/>
      <w:numFmt w:val="lowerRoman"/>
      <w:lvlText w:val="%9."/>
      <w:lvlJc w:val="right"/>
      <w:pPr>
        <w:ind w:left="6480" w:hanging="180"/>
      </w:pPr>
    </w:lvl>
  </w:abstractNum>
  <w:abstractNum w:abstractNumId="65" w15:restartNumberingAfterBreak="0">
    <w:nsid w:val="63F57B46"/>
    <w:multiLevelType w:val="hybridMultilevel"/>
    <w:tmpl w:val="F558DD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6" w15:restartNumberingAfterBreak="0">
    <w:nsid w:val="678F1A79"/>
    <w:multiLevelType w:val="hybridMultilevel"/>
    <w:tmpl w:val="8A1CDA48"/>
    <w:lvl w:ilvl="0" w:tplc="6CE6284A">
      <w:start w:val="11"/>
      <w:numFmt w:val="decimal"/>
      <w:lvlText w:val="%1)"/>
      <w:lvlJc w:val="left"/>
      <w:pPr>
        <w:ind w:left="360" w:hanging="360"/>
      </w:pPr>
      <w:rPr>
        <w:rFonts w:hint="default"/>
        <w:sz w:val="24"/>
        <w:szCs w:val="24"/>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6A260C35"/>
    <w:multiLevelType w:val="hybridMultilevel"/>
    <w:tmpl w:val="0FA8F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CC16E4A"/>
    <w:multiLevelType w:val="hybridMultilevel"/>
    <w:tmpl w:val="C428D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70442D09"/>
    <w:multiLevelType w:val="hybridMultilevel"/>
    <w:tmpl w:val="DE445E24"/>
    <w:lvl w:ilvl="0" w:tplc="FFFFFFFF">
      <w:start w:val="13"/>
      <w:numFmt w:val="decimal"/>
      <w:lvlText w:val="%1."/>
      <w:lvlJc w:val="left"/>
      <w:pPr>
        <w:ind w:left="360" w:hanging="360"/>
      </w:pPr>
      <w:rPr>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77F2538E"/>
    <w:multiLevelType w:val="hybridMultilevel"/>
    <w:tmpl w:val="A3D0F548"/>
    <w:lvl w:ilvl="0" w:tplc="B8926882">
      <w:start w:val="11"/>
      <w:numFmt w:val="decimal"/>
      <w:lvlText w:val="%1."/>
      <w:lvlJc w:val="left"/>
      <w:pPr>
        <w:ind w:left="36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7CBE4812"/>
    <w:multiLevelType w:val="singleLevel"/>
    <w:tmpl w:val="23C821E4"/>
    <w:name w:val="Considérant"/>
    <w:lvl w:ilvl="0">
      <w:start w:val="1"/>
      <w:numFmt w:val="decimal"/>
      <w:lvlRestart w:val="0"/>
      <w:lvlText w:val="(%1)"/>
      <w:lvlJc w:val="left"/>
      <w:pPr>
        <w:tabs>
          <w:tab w:val="num" w:pos="709"/>
        </w:tabs>
        <w:ind w:left="709" w:hanging="709"/>
      </w:pPr>
    </w:lvl>
  </w:abstractNum>
  <w:num w:numId="1">
    <w:abstractNumId w:val="55"/>
  </w:num>
  <w:num w:numId="2">
    <w:abstractNumId w:val="2"/>
  </w:num>
  <w:num w:numId="3">
    <w:abstractNumId w:val="33"/>
  </w:num>
  <w:num w:numId="4">
    <w:abstractNumId w:val="39"/>
  </w:num>
  <w:num w:numId="5">
    <w:abstractNumId w:val="20"/>
  </w:num>
  <w:num w:numId="6">
    <w:abstractNumId w:val="15"/>
  </w:num>
  <w:num w:numId="7">
    <w:abstractNumId w:val="14"/>
  </w:num>
  <w:num w:numId="8">
    <w:abstractNumId w:val="37"/>
  </w:num>
  <w:num w:numId="9">
    <w:abstractNumId w:val="17"/>
  </w:num>
  <w:num w:numId="10">
    <w:abstractNumId w:val="23"/>
  </w:num>
  <w:num w:numId="11">
    <w:abstractNumId w:val="42"/>
  </w:num>
  <w:num w:numId="12">
    <w:abstractNumId w:val="24"/>
  </w:num>
  <w:num w:numId="13">
    <w:abstractNumId w:val="34"/>
  </w:num>
  <w:num w:numId="14">
    <w:abstractNumId w:val="29"/>
  </w:num>
  <w:num w:numId="15">
    <w:abstractNumId w:val="38"/>
  </w:num>
  <w:num w:numId="16">
    <w:abstractNumId w:val="41"/>
  </w:num>
  <w:num w:numId="17">
    <w:abstractNumId w:val="32"/>
  </w:num>
  <w:num w:numId="18">
    <w:abstractNumId w:val="25"/>
  </w:num>
  <w:num w:numId="19">
    <w:abstractNumId w:val="36"/>
  </w:num>
  <w:num w:numId="20">
    <w:abstractNumId w:val="22"/>
  </w:num>
  <w:num w:numId="21">
    <w:abstractNumId w:val="26"/>
  </w:num>
  <w:num w:numId="22">
    <w:abstractNumId w:val="19"/>
  </w:num>
  <w:num w:numId="23">
    <w:abstractNumId w:val="35"/>
  </w:num>
  <w:num w:numId="24">
    <w:abstractNumId w:val="18"/>
  </w:num>
  <w:num w:numId="25">
    <w:abstractNumId w:val="27"/>
  </w:num>
  <w:num w:numId="26">
    <w:abstractNumId w:val="30"/>
  </w:num>
  <w:num w:numId="27">
    <w:abstractNumId w:val="31"/>
  </w:num>
  <w:num w:numId="28">
    <w:abstractNumId w:val="21"/>
  </w:num>
  <w:num w:numId="29">
    <w:abstractNumId w:val="28"/>
  </w:num>
  <w:num w:numId="30">
    <w:abstractNumId w:val="40"/>
  </w:num>
  <w:num w:numId="31">
    <w:abstractNumId w:val="13"/>
  </w:num>
  <w:num w:numId="32">
    <w:abstractNumId w:val="16"/>
  </w:num>
  <w:num w:numId="33">
    <w:abstractNumId w:val="11"/>
  </w:num>
  <w:num w:numId="34">
    <w:abstractNumId w:val="56"/>
  </w:num>
  <w:num w:numId="35">
    <w:abstractNumId w:val="57"/>
  </w:num>
  <w:num w:numId="36">
    <w:abstractNumId w:val="12"/>
  </w:num>
  <w:num w:numId="37">
    <w:abstractNumId w:val="68"/>
  </w:num>
  <w:num w:numId="38">
    <w:abstractNumId w:val="59"/>
  </w:num>
  <w:num w:numId="39">
    <w:abstractNumId w:val="67"/>
  </w:num>
  <w:num w:numId="40">
    <w:abstractNumId w:val="45"/>
    <w:lvlOverride w:ilvl="0">
      <w:startOverride w:val="1"/>
    </w:lvlOverride>
    <w:lvlOverride w:ilvl="1"/>
    <w:lvlOverride w:ilvl="2"/>
    <w:lvlOverride w:ilvl="3"/>
    <w:lvlOverride w:ilvl="4"/>
    <w:lvlOverride w:ilvl="5"/>
    <w:lvlOverride w:ilvl="6"/>
    <w:lvlOverride w:ilvl="7"/>
    <w:lvlOverride w:ilvl="8"/>
  </w:num>
  <w:num w:numId="41">
    <w:abstractNumId w:val="3"/>
  </w:num>
  <w:num w:numId="42">
    <w:abstractNumId w:val="10"/>
  </w:num>
  <w:num w:numId="43">
    <w:abstractNumId w:val="69"/>
  </w:num>
  <w:num w:numId="44">
    <w:abstractNumId w:val="1"/>
  </w:num>
  <w:num w:numId="45">
    <w:abstractNumId w:val="9"/>
  </w:num>
  <w:num w:numId="46">
    <w:abstractNumId w:val="43"/>
  </w:num>
  <w:num w:numId="47">
    <w:abstractNumId w:val="54"/>
  </w:num>
  <w:num w:numId="48">
    <w:abstractNumId w:val="62"/>
  </w:num>
  <w:num w:numId="49">
    <w:abstractNumId w:val="60"/>
  </w:num>
  <w:num w:numId="50">
    <w:abstractNumId w:val="52"/>
  </w:num>
  <w:num w:numId="51">
    <w:abstractNumId w:val="45"/>
  </w:num>
  <w:num w:numId="52">
    <w:abstractNumId w:val="65"/>
  </w:num>
  <w:num w:numId="53">
    <w:abstractNumId w:val="48"/>
  </w:num>
  <w:num w:numId="54">
    <w:abstractNumId w:val="47"/>
  </w:num>
  <w:num w:numId="55">
    <w:abstractNumId w:val="49"/>
  </w:num>
  <w:num w:numId="56">
    <w:abstractNumId w:val="0"/>
  </w:num>
  <w:num w:numId="57">
    <w:abstractNumId w:val="51"/>
  </w:num>
  <w:num w:numId="58">
    <w:abstractNumId w:val="44"/>
  </w:num>
  <w:num w:numId="59">
    <w:abstractNumId w:val="50"/>
  </w:num>
  <w:num w:numId="60">
    <w:abstractNumId w:val="6"/>
  </w:num>
  <w:num w:numId="61">
    <w:abstractNumId w:val="7"/>
  </w:num>
  <w:num w:numId="62">
    <w:abstractNumId w:val="63"/>
  </w:num>
  <w:num w:numId="63">
    <w:abstractNumId w:val="58"/>
  </w:num>
  <w:num w:numId="64">
    <w:abstractNumId w:val="5"/>
  </w:num>
  <w:num w:numId="65">
    <w:abstractNumId w:val="70"/>
  </w:num>
  <w:num w:numId="66">
    <w:abstractNumId w:val="53"/>
  </w:num>
  <w:num w:numId="67">
    <w:abstractNumId w:val="4"/>
  </w:num>
  <w:num w:numId="68">
    <w:abstractNumId w:val="8"/>
  </w:num>
  <w:num w:numId="69">
    <w:abstractNumId w:val="64"/>
  </w:num>
  <w:num w:numId="70">
    <w:abstractNumId w:val="46"/>
  </w:num>
  <w:num w:numId="71">
    <w:abstractNumId w:val="6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revisionView w:markup="0"/>
  <w:defaultTabStop w:val="720"/>
  <w:hyphenationZone w:val="425"/>
  <w:displayHorizontalDrawingGridEvery w:val="0"/>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0B209E2-ADF4-404D-82F5-0B725BDE7016"/>
    <w:docVar w:name="LW_COVERPAGE_TYPE" w:val="1"/>
    <w:docVar w:name="LW_CROSSREFERENCE" w:val="&lt;UNUSED&gt;"/>
    <w:docVar w:name="LW_DocType" w:val="NORMAL"/>
    <w:docVar w:name="LW_EMISSION" w:val="19.6.2024"/>
    <w:docVar w:name="LW_EMISSION_ISODATE" w:val="2024-06-19"/>
    <w:docVar w:name="LW_EMISSION_LOCATION" w:val="BRX"/>
    <w:docVar w:name="LW_EMISSION_PREFIX" w:val="\u914?\u961?\u965?\u958?\u941?\u955?\u955?\u949?\u962?, "/>
    <w:docVar w:name="LW_EMISSION_SUFFIX" w:val=" "/>
    <w:docVar w:name="LW_ID_DOCTYPE_NONLW" w:val="CP-003"/>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4) 5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14?\u941?\u955?\u947?\u953?\u959?, \u932?\u963?\u949?\u967?\u943?\u945?, \u917?\u963?\u952?\u959?\u957?\u943?\u945?, \u921?\u963?\u960?\u945?\u957?\u943?\u945?, \u915?\u945?\u955?\u955?\u943?\u945?, \u921?\u964?\u945?\u955?\u943?\u945?, \u927?\u965?\u947?\u947?\u945?\u961?\u943?\u945?, \u924?\u940?\u955?\u964?\u945?, \u928?\u959?\u955?\u969?\u957?\u943?\u945?, \u931?\u955?\u959?\u946?\u949?\u957?\u943?\u945?, \u931?\u955?\u959?\u946?\u945?\u954?\u943?\u945? \u954?\u945?\u953? \u934?\u953?\u957?\u955?\u945?\u957?\u948?\u943?\u945? _x000b_ _x000b_\u904?\u954?\u952?\u949?\u963?\u951? \u960?\u959?\u965? \u963?\u965?\u957?\u964?\u940?\u967?\u952?\u951?\u954?\u949? \u963?\u973?\u956?\u966?\u969?\u957?\u945? \u956?\u949? \u964?\u959? \u940?\u961?\u952?\u961?\u959? 126 \u960?\u945?\u961?\u940?\u947?\u961?\u945?\u966?\u959?\u962? 3 \u964?\u951?\u962? \u931?\u965?\u957?\u952?\u942?\u954?\u951?\u962? \u947?\u953?\u945? \u964?\u951? \u955?\u949?\u953?\u964?\u959?\u965?\u961?\u947?\u943?\u945? \u964?\u951?\u962? \u917?\u965?\u961?\u969?\u960?\u945?\u970?\u954?\u942?\u962? \u904?\u957?\u969?\u963?\u951?\u962?"/>
    <w:docVar w:name="LW_TYPE.DOC.CP" w:val="\u917?\u922?\u920?\u917?\u931?\u919? \u932?\u919?\u931? \u917?\u928?\u921?\u932?\u929?\u927?\u928?\u919?\u931?"/>
    <w:docVar w:name="LwApiVersions" w:val="LW4CoDe 1.24.5.0; LW 9.0, Build 20240221"/>
  </w:docVars>
  <w:rsids>
    <w:rsidRoot w:val="006C0264"/>
    <w:rsid w:val="00000288"/>
    <w:rsid w:val="000005E2"/>
    <w:rsid w:val="0000063E"/>
    <w:rsid w:val="00000687"/>
    <w:rsid w:val="000006B8"/>
    <w:rsid w:val="000008C1"/>
    <w:rsid w:val="00000C95"/>
    <w:rsid w:val="00000CBE"/>
    <w:rsid w:val="00000E62"/>
    <w:rsid w:val="00000E96"/>
    <w:rsid w:val="00000F2A"/>
    <w:rsid w:val="000012C0"/>
    <w:rsid w:val="00001451"/>
    <w:rsid w:val="00001CA1"/>
    <w:rsid w:val="00001E3B"/>
    <w:rsid w:val="00002246"/>
    <w:rsid w:val="00002E31"/>
    <w:rsid w:val="00002EAD"/>
    <w:rsid w:val="00002EAE"/>
    <w:rsid w:val="00003076"/>
    <w:rsid w:val="000031B8"/>
    <w:rsid w:val="0000340D"/>
    <w:rsid w:val="00003D5A"/>
    <w:rsid w:val="00003E6C"/>
    <w:rsid w:val="000040D5"/>
    <w:rsid w:val="0000412E"/>
    <w:rsid w:val="0000437B"/>
    <w:rsid w:val="0000460B"/>
    <w:rsid w:val="00004A08"/>
    <w:rsid w:val="00004AF6"/>
    <w:rsid w:val="00004B49"/>
    <w:rsid w:val="00004CA7"/>
    <w:rsid w:val="00004E43"/>
    <w:rsid w:val="00004F15"/>
    <w:rsid w:val="000051C4"/>
    <w:rsid w:val="00005544"/>
    <w:rsid w:val="00005722"/>
    <w:rsid w:val="00005C98"/>
    <w:rsid w:val="00005E89"/>
    <w:rsid w:val="00005FA5"/>
    <w:rsid w:val="00006082"/>
    <w:rsid w:val="00006324"/>
    <w:rsid w:val="00006D3A"/>
    <w:rsid w:val="000070B2"/>
    <w:rsid w:val="000072B6"/>
    <w:rsid w:val="00007A52"/>
    <w:rsid w:val="00007A93"/>
    <w:rsid w:val="00007A9B"/>
    <w:rsid w:val="00007B2C"/>
    <w:rsid w:val="00007CA0"/>
    <w:rsid w:val="0001015C"/>
    <w:rsid w:val="00010345"/>
    <w:rsid w:val="000107F0"/>
    <w:rsid w:val="00010878"/>
    <w:rsid w:val="000108E4"/>
    <w:rsid w:val="00010990"/>
    <w:rsid w:val="00010B6A"/>
    <w:rsid w:val="00010C7F"/>
    <w:rsid w:val="00010E05"/>
    <w:rsid w:val="00010FBB"/>
    <w:rsid w:val="000110FD"/>
    <w:rsid w:val="000111DD"/>
    <w:rsid w:val="000117F3"/>
    <w:rsid w:val="00011AF8"/>
    <w:rsid w:val="00011B26"/>
    <w:rsid w:val="00011E56"/>
    <w:rsid w:val="0001205D"/>
    <w:rsid w:val="00012701"/>
    <w:rsid w:val="000128D0"/>
    <w:rsid w:val="00012C2D"/>
    <w:rsid w:val="00012CDB"/>
    <w:rsid w:val="00012F17"/>
    <w:rsid w:val="00012F2E"/>
    <w:rsid w:val="00013127"/>
    <w:rsid w:val="000133BF"/>
    <w:rsid w:val="0001348C"/>
    <w:rsid w:val="0001358E"/>
    <w:rsid w:val="000138EC"/>
    <w:rsid w:val="00013901"/>
    <w:rsid w:val="00013A40"/>
    <w:rsid w:val="00013B67"/>
    <w:rsid w:val="00013C57"/>
    <w:rsid w:val="00013C5B"/>
    <w:rsid w:val="00013DE5"/>
    <w:rsid w:val="00013E04"/>
    <w:rsid w:val="00013F07"/>
    <w:rsid w:val="00013F0A"/>
    <w:rsid w:val="00013F84"/>
    <w:rsid w:val="00013FFA"/>
    <w:rsid w:val="00013FFD"/>
    <w:rsid w:val="000140AC"/>
    <w:rsid w:val="00014163"/>
    <w:rsid w:val="000141B2"/>
    <w:rsid w:val="00014354"/>
    <w:rsid w:val="00014400"/>
    <w:rsid w:val="00014409"/>
    <w:rsid w:val="00014731"/>
    <w:rsid w:val="00014EAB"/>
    <w:rsid w:val="00014FC3"/>
    <w:rsid w:val="000150CA"/>
    <w:rsid w:val="00015116"/>
    <w:rsid w:val="00015338"/>
    <w:rsid w:val="000154D5"/>
    <w:rsid w:val="00015820"/>
    <w:rsid w:val="00015877"/>
    <w:rsid w:val="00015E4B"/>
    <w:rsid w:val="000160A5"/>
    <w:rsid w:val="00016243"/>
    <w:rsid w:val="000162DF"/>
    <w:rsid w:val="00016370"/>
    <w:rsid w:val="000164F9"/>
    <w:rsid w:val="00016971"/>
    <w:rsid w:val="00016A03"/>
    <w:rsid w:val="00016C8E"/>
    <w:rsid w:val="00016DD5"/>
    <w:rsid w:val="000170D3"/>
    <w:rsid w:val="00017353"/>
    <w:rsid w:val="00017AEE"/>
    <w:rsid w:val="00017F82"/>
    <w:rsid w:val="00020603"/>
    <w:rsid w:val="00020778"/>
    <w:rsid w:val="00020852"/>
    <w:rsid w:val="0002114B"/>
    <w:rsid w:val="0002139A"/>
    <w:rsid w:val="000214DC"/>
    <w:rsid w:val="00021A26"/>
    <w:rsid w:val="00021A77"/>
    <w:rsid w:val="00021E90"/>
    <w:rsid w:val="000221DA"/>
    <w:rsid w:val="000227B5"/>
    <w:rsid w:val="00022A04"/>
    <w:rsid w:val="00022B28"/>
    <w:rsid w:val="00022C92"/>
    <w:rsid w:val="00023412"/>
    <w:rsid w:val="000237D8"/>
    <w:rsid w:val="000237EB"/>
    <w:rsid w:val="000238E6"/>
    <w:rsid w:val="00023CAA"/>
    <w:rsid w:val="00023CFD"/>
    <w:rsid w:val="00023FE6"/>
    <w:rsid w:val="000241BC"/>
    <w:rsid w:val="0002459F"/>
    <w:rsid w:val="000249DB"/>
    <w:rsid w:val="00024D72"/>
    <w:rsid w:val="00024F4D"/>
    <w:rsid w:val="00025299"/>
    <w:rsid w:val="00025360"/>
    <w:rsid w:val="000254AD"/>
    <w:rsid w:val="000256C7"/>
    <w:rsid w:val="00025752"/>
    <w:rsid w:val="00025A80"/>
    <w:rsid w:val="00025E5A"/>
    <w:rsid w:val="00026325"/>
    <w:rsid w:val="000263EF"/>
    <w:rsid w:val="00026532"/>
    <w:rsid w:val="0002659B"/>
    <w:rsid w:val="000267B5"/>
    <w:rsid w:val="00027004"/>
    <w:rsid w:val="000271C1"/>
    <w:rsid w:val="0002723B"/>
    <w:rsid w:val="0002757C"/>
    <w:rsid w:val="000278AA"/>
    <w:rsid w:val="000279B5"/>
    <w:rsid w:val="00027A3C"/>
    <w:rsid w:val="00027CA3"/>
    <w:rsid w:val="00027F6C"/>
    <w:rsid w:val="00030166"/>
    <w:rsid w:val="00030297"/>
    <w:rsid w:val="000304A5"/>
    <w:rsid w:val="00030D13"/>
    <w:rsid w:val="00030F94"/>
    <w:rsid w:val="00031018"/>
    <w:rsid w:val="000313C9"/>
    <w:rsid w:val="00031589"/>
    <w:rsid w:val="0003184C"/>
    <w:rsid w:val="00031EB1"/>
    <w:rsid w:val="0003222B"/>
    <w:rsid w:val="0003240D"/>
    <w:rsid w:val="0003279B"/>
    <w:rsid w:val="00032D9D"/>
    <w:rsid w:val="00032F4D"/>
    <w:rsid w:val="00033772"/>
    <w:rsid w:val="00033A32"/>
    <w:rsid w:val="00033E85"/>
    <w:rsid w:val="00033EE9"/>
    <w:rsid w:val="00033FFC"/>
    <w:rsid w:val="00034052"/>
    <w:rsid w:val="0003410F"/>
    <w:rsid w:val="00034301"/>
    <w:rsid w:val="0003431F"/>
    <w:rsid w:val="0003433D"/>
    <w:rsid w:val="00034710"/>
    <w:rsid w:val="000347F8"/>
    <w:rsid w:val="000348D5"/>
    <w:rsid w:val="00034AC0"/>
    <w:rsid w:val="0003525F"/>
    <w:rsid w:val="0003553D"/>
    <w:rsid w:val="000355BD"/>
    <w:rsid w:val="000355EC"/>
    <w:rsid w:val="0003564F"/>
    <w:rsid w:val="00035775"/>
    <w:rsid w:val="000358F6"/>
    <w:rsid w:val="00035BC7"/>
    <w:rsid w:val="00035D20"/>
    <w:rsid w:val="00035E24"/>
    <w:rsid w:val="0003642B"/>
    <w:rsid w:val="000364DA"/>
    <w:rsid w:val="00036548"/>
    <w:rsid w:val="0003665A"/>
    <w:rsid w:val="00036938"/>
    <w:rsid w:val="00036C69"/>
    <w:rsid w:val="00036DA6"/>
    <w:rsid w:val="00036F08"/>
    <w:rsid w:val="000373A2"/>
    <w:rsid w:val="000373A5"/>
    <w:rsid w:val="000378A6"/>
    <w:rsid w:val="00037B79"/>
    <w:rsid w:val="00037BBA"/>
    <w:rsid w:val="00037C4E"/>
    <w:rsid w:val="00040012"/>
    <w:rsid w:val="0004054D"/>
    <w:rsid w:val="0004070C"/>
    <w:rsid w:val="00040ABC"/>
    <w:rsid w:val="00040D50"/>
    <w:rsid w:val="00041063"/>
    <w:rsid w:val="00041260"/>
    <w:rsid w:val="00041477"/>
    <w:rsid w:val="000414B6"/>
    <w:rsid w:val="000414E7"/>
    <w:rsid w:val="0004161F"/>
    <w:rsid w:val="00041772"/>
    <w:rsid w:val="000417B0"/>
    <w:rsid w:val="0004180D"/>
    <w:rsid w:val="00041826"/>
    <w:rsid w:val="00041E8C"/>
    <w:rsid w:val="00042167"/>
    <w:rsid w:val="0004242C"/>
    <w:rsid w:val="000428BA"/>
    <w:rsid w:val="00042956"/>
    <w:rsid w:val="00042CD6"/>
    <w:rsid w:val="00042F3D"/>
    <w:rsid w:val="00043029"/>
    <w:rsid w:val="00043190"/>
    <w:rsid w:val="00043281"/>
    <w:rsid w:val="0004364B"/>
    <w:rsid w:val="00043700"/>
    <w:rsid w:val="0004378E"/>
    <w:rsid w:val="00043C24"/>
    <w:rsid w:val="00043DC9"/>
    <w:rsid w:val="00044131"/>
    <w:rsid w:val="0004414B"/>
    <w:rsid w:val="000441F3"/>
    <w:rsid w:val="000442B5"/>
    <w:rsid w:val="00044353"/>
    <w:rsid w:val="00044655"/>
    <w:rsid w:val="00044776"/>
    <w:rsid w:val="000447BF"/>
    <w:rsid w:val="00044A41"/>
    <w:rsid w:val="00044AFF"/>
    <w:rsid w:val="000451C7"/>
    <w:rsid w:val="0004543D"/>
    <w:rsid w:val="000454AF"/>
    <w:rsid w:val="000455ED"/>
    <w:rsid w:val="000457F6"/>
    <w:rsid w:val="000457FC"/>
    <w:rsid w:val="00045FAC"/>
    <w:rsid w:val="0004663E"/>
    <w:rsid w:val="000466F7"/>
    <w:rsid w:val="00046E7A"/>
    <w:rsid w:val="00046F86"/>
    <w:rsid w:val="00046FC6"/>
    <w:rsid w:val="00046FD8"/>
    <w:rsid w:val="00047340"/>
    <w:rsid w:val="00047428"/>
    <w:rsid w:val="0004749E"/>
    <w:rsid w:val="0004753B"/>
    <w:rsid w:val="00047751"/>
    <w:rsid w:val="000479C7"/>
    <w:rsid w:val="000479DA"/>
    <w:rsid w:val="00047A75"/>
    <w:rsid w:val="00047AFF"/>
    <w:rsid w:val="000503EE"/>
    <w:rsid w:val="00050520"/>
    <w:rsid w:val="000505BA"/>
    <w:rsid w:val="00050A00"/>
    <w:rsid w:val="00050A6E"/>
    <w:rsid w:val="00050A7C"/>
    <w:rsid w:val="00050B5E"/>
    <w:rsid w:val="00050DEB"/>
    <w:rsid w:val="00050DFA"/>
    <w:rsid w:val="00051059"/>
    <w:rsid w:val="0005126E"/>
    <w:rsid w:val="000512D7"/>
    <w:rsid w:val="00051944"/>
    <w:rsid w:val="000519F4"/>
    <w:rsid w:val="00051B38"/>
    <w:rsid w:val="00051E2B"/>
    <w:rsid w:val="00051E77"/>
    <w:rsid w:val="0005230F"/>
    <w:rsid w:val="00052361"/>
    <w:rsid w:val="00052389"/>
    <w:rsid w:val="000523C5"/>
    <w:rsid w:val="0005243E"/>
    <w:rsid w:val="00052450"/>
    <w:rsid w:val="0005256A"/>
    <w:rsid w:val="00052620"/>
    <w:rsid w:val="00052817"/>
    <w:rsid w:val="00052B10"/>
    <w:rsid w:val="00052CA4"/>
    <w:rsid w:val="00052DD7"/>
    <w:rsid w:val="00052F0F"/>
    <w:rsid w:val="000530B0"/>
    <w:rsid w:val="0005339A"/>
    <w:rsid w:val="000533F1"/>
    <w:rsid w:val="00053489"/>
    <w:rsid w:val="00053570"/>
    <w:rsid w:val="0005366E"/>
    <w:rsid w:val="00054169"/>
    <w:rsid w:val="0005426E"/>
    <w:rsid w:val="00054663"/>
    <w:rsid w:val="00054673"/>
    <w:rsid w:val="0005478F"/>
    <w:rsid w:val="00054A90"/>
    <w:rsid w:val="0005541C"/>
    <w:rsid w:val="0005551F"/>
    <w:rsid w:val="00055ACF"/>
    <w:rsid w:val="000560A2"/>
    <w:rsid w:val="000560AD"/>
    <w:rsid w:val="0005613F"/>
    <w:rsid w:val="000563C8"/>
    <w:rsid w:val="00056561"/>
    <w:rsid w:val="00056765"/>
    <w:rsid w:val="000567A0"/>
    <w:rsid w:val="000568AF"/>
    <w:rsid w:val="00056C06"/>
    <w:rsid w:val="000570AB"/>
    <w:rsid w:val="000570E0"/>
    <w:rsid w:val="00057355"/>
    <w:rsid w:val="000573F7"/>
    <w:rsid w:val="000577B5"/>
    <w:rsid w:val="00057B63"/>
    <w:rsid w:val="00057B79"/>
    <w:rsid w:val="00057D4C"/>
    <w:rsid w:val="00057E43"/>
    <w:rsid w:val="00057EA6"/>
    <w:rsid w:val="0006064F"/>
    <w:rsid w:val="00060757"/>
    <w:rsid w:val="00060DA1"/>
    <w:rsid w:val="00060E48"/>
    <w:rsid w:val="00060F09"/>
    <w:rsid w:val="00061136"/>
    <w:rsid w:val="00061235"/>
    <w:rsid w:val="00061276"/>
    <w:rsid w:val="00061458"/>
    <w:rsid w:val="000614E1"/>
    <w:rsid w:val="00061517"/>
    <w:rsid w:val="000619A8"/>
    <w:rsid w:val="00061A53"/>
    <w:rsid w:val="00062158"/>
    <w:rsid w:val="00062505"/>
    <w:rsid w:val="00062B1F"/>
    <w:rsid w:val="00062FE3"/>
    <w:rsid w:val="00063952"/>
    <w:rsid w:val="00063E0D"/>
    <w:rsid w:val="00063EED"/>
    <w:rsid w:val="0006400D"/>
    <w:rsid w:val="0006401E"/>
    <w:rsid w:val="0006423A"/>
    <w:rsid w:val="0006480D"/>
    <w:rsid w:val="00064A36"/>
    <w:rsid w:val="00064B5B"/>
    <w:rsid w:val="000650AB"/>
    <w:rsid w:val="000650F9"/>
    <w:rsid w:val="000651CF"/>
    <w:rsid w:val="00065289"/>
    <w:rsid w:val="00065657"/>
    <w:rsid w:val="00065810"/>
    <w:rsid w:val="00065A14"/>
    <w:rsid w:val="000662F7"/>
    <w:rsid w:val="000667F7"/>
    <w:rsid w:val="00066911"/>
    <w:rsid w:val="00066C87"/>
    <w:rsid w:val="00066CBB"/>
    <w:rsid w:val="0006747D"/>
    <w:rsid w:val="00067548"/>
    <w:rsid w:val="0006764F"/>
    <w:rsid w:val="000677CE"/>
    <w:rsid w:val="00067B20"/>
    <w:rsid w:val="00067C2D"/>
    <w:rsid w:val="00067DF3"/>
    <w:rsid w:val="00067EA7"/>
    <w:rsid w:val="00070576"/>
    <w:rsid w:val="00070C0A"/>
    <w:rsid w:val="00070C4C"/>
    <w:rsid w:val="00070D3B"/>
    <w:rsid w:val="00070DB9"/>
    <w:rsid w:val="0007121B"/>
    <w:rsid w:val="00071268"/>
    <w:rsid w:val="000719F9"/>
    <w:rsid w:val="0007238D"/>
    <w:rsid w:val="0007243E"/>
    <w:rsid w:val="000724CE"/>
    <w:rsid w:val="00072774"/>
    <w:rsid w:val="000728F4"/>
    <w:rsid w:val="00072A91"/>
    <w:rsid w:val="00072D06"/>
    <w:rsid w:val="00072E44"/>
    <w:rsid w:val="00072EFB"/>
    <w:rsid w:val="000732E8"/>
    <w:rsid w:val="000736AA"/>
    <w:rsid w:val="0007376C"/>
    <w:rsid w:val="000737AA"/>
    <w:rsid w:val="00073B61"/>
    <w:rsid w:val="00073E9A"/>
    <w:rsid w:val="00073F04"/>
    <w:rsid w:val="00074203"/>
    <w:rsid w:val="0007441C"/>
    <w:rsid w:val="00074553"/>
    <w:rsid w:val="000745A2"/>
    <w:rsid w:val="000749FD"/>
    <w:rsid w:val="00074A40"/>
    <w:rsid w:val="00074A8F"/>
    <w:rsid w:val="00074E26"/>
    <w:rsid w:val="000750D3"/>
    <w:rsid w:val="0007520B"/>
    <w:rsid w:val="00075590"/>
    <w:rsid w:val="000755CE"/>
    <w:rsid w:val="00075AB5"/>
    <w:rsid w:val="00075C10"/>
    <w:rsid w:val="00075E41"/>
    <w:rsid w:val="0007603E"/>
    <w:rsid w:val="00076045"/>
    <w:rsid w:val="00076529"/>
    <w:rsid w:val="000769E3"/>
    <w:rsid w:val="00076A88"/>
    <w:rsid w:val="00076B3A"/>
    <w:rsid w:val="00076BC6"/>
    <w:rsid w:val="00076C72"/>
    <w:rsid w:val="00076C8F"/>
    <w:rsid w:val="00076DDE"/>
    <w:rsid w:val="00076E63"/>
    <w:rsid w:val="00077298"/>
    <w:rsid w:val="0007729B"/>
    <w:rsid w:val="00077796"/>
    <w:rsid w:val="00077B21"/>
    <w:rsid w:val="00077B56"/>
    <w:rsid w:val="00077C0A"/>
    <w:rsid w:val="00077E9B"/>
    <w:rsid w:val="00077FC5"/>
    <w:rsid w:val="00077FD6"/>
    <w:rsid w:val="0008001E"/>
    <w:rsid w:val="00080024"/>
    <w:rsid w:val="000801A5"/>
    <w:rsid w:val="00080498"/>
    <w:rsid w:val="0008066D"/>
    <w:rsid w:val="00080783"/>
    <w:rsid w:val="00080968"/>
    <w:rsid w:val="00080CB7"/>
    <w:rsid w:val="000810BE"/>
    <w:rsid w:val="00081255"/>
    <w:rsid w:val="000815EA"/>
    <w:rsid w:val="00081627"/>
    <w:rsid w:val="000816DC"/>
    <w:rsid w:val="00081BC9"/>
    <w:rsid w:val="00081BE3"/>
    <w:rsid w:val="00081CCA"/>
    <w:rsid w:val="00082037"/>
    <w:rsid w:val="00082108"/>
    <w:rsid w:val="0008227F"/>
    <w:rsid w:val="0008241C"/>
    <w:rsid w:val="000828CD"/>
    <w:rsid w:val="00082963"/>
    <w:rsid w:val="000829A3"/>
    <w:rsid w:val="000829AC"/>
    <w:rsid w:val="00082D01"/>
    <w:rsid w:val="00082D92"/>
    <w:rsid w:val="00082E13"/>
    <w:rsid w:val="00083318"/>
    <w:rsid w:val="000834DA"/>
    <w:rsid w:val="00083557"/>
    <w:rsid w:val="0008366F"/>
    <w:rsid w:val="00083903"/>
    <w:rsid w:val="00083A83"/>
    <w:rsid w:val="00083B2B"/>
    <w:rsid w:val="000842BC"/>
    <w:rsid w:val="00084422"/>
    <w:rsid w:val="00084624"/>
    <w:rsid w:val="0008489F"/>
    <w:rsid w:val="00084F7B"/>
    <w:rsid w:val="00084F9F"/>
    <w:rsid w:val="00084FBE"/>
    <w:rsid w:val="000852A4"/>
    <w:rsid w:val="00085352"/>
    <w:rsid w:val="0008568E"/>
    <w:rsid w:val="00085E39"/>
    <w:rsid w:val="000861F1"/>
    <w:rsid w:val="0008672B"/>
    <w:rsid w:val="00086C16"/>
    <w:rsid w:val="00087286"/>
    <w:rsid w:val="00087415"/>
    <w:rsid w:val="0008772C"/>
    <w:rsid w:val="000878A1"/>
    <w:rsid w:val="00087A04"/>
    <w:rsid w:val="00087E53"/>
    <w:rsid w:val="00087F24"/>
    <w:rsid w:val="000903C7"/>
    <w:rsid w:val="0009055B"/>
    <w:rsid w:val="0009083D"/>
    <w:rsid w:val="0009098E"/>
    <w:rsid w:val="00090BD3"/>
    <w:rsid w:val="00090F41"/>
    <w:rsid w:val="00091033"/>
    <w:rsid w:val="00091274"/>
    <w:rsid w:val="0009134E"/>
    <w:rsid w:val="0009138C"/>
    <w:rsid w:val="0009149D"/>
    <w:rsid w:val="000917D4"/>
    <w:rsid w:val="0009192D"/>
    <w:rsid w:val="00091BA3"/>
    <w:rsid w:val="00091C69"/>
    <w:rsid w:val="00091D8A"/>
    <w:rsid w:val="00091D9E"/>
    <w:rsid w:val="00092279"/>
    <w:rsid w:val="00092A49"/>
    <w:rsid w:val="00092B53"/>
    <w:rsid w:val="00092C12"/>
    <w:rsid w:val="00092C43"/>
    <w:rsid w:val="00092E7E"/>
    <w:rsid w:val="00092F1F"/>
    <w:rsid w:val="0009355B"/>
    <w:rsid w:val="000937E1"/>
    <w:rsid w:val="00093811"/>
    <w:rsid w:val="00093B40"/>
    <w:rsid w:val="00093C0F"/>
    <w:rsid w:val="00093CAB"/>
    <w:rsid w:val="00093E8A"/>
    <w:rsid w:val="00093F5F"/>
    <w:rsid w:val="00093FA3"/>
    <w:rsid w:val="000942B8"/>
    <w:rsid w:val="000942F4"/>
    <w:rsid w:val="0009456B"/>
    <w:rsid w:val="000946DC"/>
    <w:rsid w:val="00094891"/>
    <w:rsid w:val="00094AA7"/>
    <w:rsid w:val="00094EE0"/>
    <w:rsid w:val="00094FFE"/>
    <w:rsid w:val="00095145"/>
    <w:rsid w:val="00095211"/>
    <w:rsid w:val="00095413"/>
    <w:rsid w:val="00095983"/>
    <w:rsid w:val="00095A2B"/>
    <w:rsid w:val="00095C92"/>
    <w:rsid w:val="0009616E"/>
    <w:rsid w:val="00096491"/>
    <w:rsid w:val="000964CF"/>
    <w:rsid w:val="00096532"/>
    <w:rsid w:val="00096A27"/>
    <w:rsid w:val="00096B1E"/>
    <w:rsid w:val="00096B3C"/>
    <w:rsid w:val="00096BE9"/>
    <w:rsid w:val="00096C95"/>
    <w:rsid w:val="00096D6D"/>
    <w:rsid w:val="00097027"/>
    <w:rsid w:val="00097040"/>
    <w:rsid w:val="000971FB"/>
    <w:rsid w:val="00097476"/>
    <w:rsid w:val="00097498"/>
    <w:rsid w:val="0009774C"/>
    <w:rsid w:val="00097804"/>
    <w:rsid w:val="0009796E"/>
    <w:rsid w:val="00097C68"/>
    <w:rsid w:val="00097FD4"/>
    <w:rsid w:val="000A01BE"/>
    <w:rsid w:val="000A05CD"/>
    <w:rsid w:val="000A0722"/>
    <w:rsid w:val="000A0906"/>
    <w:rsid w:val="000A10A4"/>
    <w:rsid w:val="000A10C9"/>
    <w:rsid w:val="000A125D"/>
    <w:rsid w:val="000A1284"/>
    <w:rsid w:val="000A1429"/>
    <w:rsid w:val="000A14F5"/>
    <w:rsid w:val="000A1821"/>
    <w:rsid w:val="000A1871"/>
    <w:rsid w:val="000A1934"/>
    <w:rsid w:val="000A1F5B"/>
    <w:rsid w:val="000A207B"/>
    <w:rsid w:val="000A213A"/>
    <w:rsid w:val="000A223C"/>
    <w:rsid w:val="000A2663"/>
    <w:rsid w:val="000A26A2"/>
    <w:rsid w:val="000A2EB5"/>
    <w:rsid w:val="000A33EC"/>
    <w:rsid w:val="000A33FE"/>
    <w:rsid w:val="000A3469"/>
    <w:rsid w:val="000A349E"/>
    <w:rsid w:val="000A365B"/>
    <w:rsid w:val="000A38F4"/>
    <w:rsid w:val="000A3B9D"/>
    <w:rsid w:val="000A3E6F"/>
    <w:rsid w:val="000A42E8"/>
    <w:rsid w:val="000A435D"/>
    <w:rsid w:val="000A457E"/>
    <w:rsid w:val="000A49D7"/>
    <w:rsid w:val="000A50E8"/>
    <w:rsid w:val="000A530F"/>
    <w:rsid w:val="000A550B"/>
    <w:rsid w:val="000A56DF"/>
    <w:rsid w:val="000A5AB0"/>
    <w:rsid w:val="000A5EFE"/>
    <w:rsid w:val="000A678D"/>
    <w:rsid w:val="000A6AC9"/>
    <w:rsid w:val="000A6C5B"/>
    <w:rsid w:val="000A6CB5"/>
    <w:rsid w:val="000A6CD9"/>
    <w:rsid w:val="000A6E65"/>
    <w:rsid w:val="000A7014"/>
    <w:rsid w:val="000A7034"/>
    <w:rsid w:val="000A74E5"/>
    <w:rsid w:val="000A7930"/>
    <w:rsid w:val="000A79E0"/>
    <w:rsid w:val="000A7B22"/>
    <w:rsid w:val="000A7B56"/>
    <w:rsid w:val="000A7C04"/>
    <w:rsid w:val="000A7C68"/>
    <w:rsid w:val="000A7EBC"/>
    <w:rsid w:val="000B0219"/>
    <w:rsid w:val="000B02A2"/>
    <w:rsid w:val="000B04B8"/>
    <w:rsid w:val="000B07A0"/>
    <w:rsid w:val="000B08D5"/>
    <w:rsid w:val="000B0CD6"/>
    <w:rsid w:val="000B0DA8"/>
    <w:rsid w:val="000B0F82"/>
    <w:rsid w:val="000B1073"/>
    <w:rsid w:val="000B10D2"/>
    <w:rsid w:val="000B12D1"/>
    <w:rsid w:val="000B14DA"/>
    <w:rsid w:val="000B1911"/>
    <w:rsid w:val="000B19A9"/>
    <w:rsid w:val="000B1A98"/>
    <w:rsid w:val="000B1F20"/>
    <w:rsid w:val="000B1FDB"/>
    <w:rsid w:val="000B2775"/>
    <w:rsid w:val="000B27F7"/>
    <w:rsid w:val="000B2A98"/>
    <w:rsid w:val="000B2B50"/>
    <w:rsid w:val="000B2D51"/>
    <w:rsid w:val="000B2E33"/>
    <w:rsid w:val="000B2E5C"/>
    <w:rsid w:val="000B2FF2"/>
    <w:rsid w:val="000B30D6"/>
    <w:rsid w:val="000B312F"/>
    <w:rsid w:val="000B31EE"/>
    <w:rsid w:val="000B3332"/>
    <w:rsid w:val="000B34C9"/>
    <w:rsid w:val="000B3652"/>
    <w:rsid w:val="000B36FC"/>
    <w:rsid w:val="000B3741"/>
    <w:rsid w:val="000B3B4C"/>
    <w:rsid w:val="000B3BAB"/>
    <w:rsid w:val="000B3FB9"/>
    <w:rsid w:val="000B41BA"/>
    <w:rsid w:val="000B41DA"/>
    <w:rsid w:val="000B42F8"/>
    <w:rsid w:val="000B4691"/>
    <w:rsid w:val="000B48A2"/>
    <w:rsid w:val="000B4B30"/>
    <w:rsid w:val="000B4B73"/>
    <w:rsid w:val="000B5003"/>
    <w:rsid w:val="000B518D"/>
    <w:rsid w:val="000B567A"/>
    <w:rsid w:val="000B587F"/>
    <w:rsid w:val="000B5AA7"/>
    <w:rsid w:val="000B5DC4"/>
    <w:rsid w:val="000B60FD"/>
    <w:rsid w:val="000B6162"/>
    <w:rsid w:val="000B64B6"/>
    <w:rsid w:val="000B6575"/>
    <w:rsid w:val="000B6996"/>
    <w:rsid w:val="000B6D9A"/>
    <w:rsid w:val="000B70A1"/>
    <w:rsid w:val="000B70B5"/>
    <w:rsid w:val="000B7155"/>
    <w:rsid w:val="000B72F6"/>
    <w:rsid w:val="000B748B"/>
    <w:rsid w:val="000B77AA"/>
    <w:rsid w:val="000B799F"/>
    <w:rsid w:val="000C0158"/>
    <w:rsid w:val="000C035B"/>
    <w:rsid w:val="000C05A4"/>
    <w:rsid w:val="000C06D8"/>
    <w:rsid w:val="000C0BDA"/>
    <w:rsid w:val="000C0D1E"/>
    <w:rsid w:val="000C0DF7"/>
    <w:rsid w:val="000C0EA6"/>
    <w:rsid w:val="000C0EF5"/>
    <w:rsid w:val="000C0EFF"/>
    <w:rsid w:val="000C115C"/>
    <w:rsid w:val="000C1203"/>
    <w:rsid w:val="000C130D"/>
    <w:rsid w:val="000C14E0"/>
    <w:rsid w:val="000C16EC"/>
    <w:rsid w:val="000C17AA"/>
    <w:rsid w:val="000C1A97"/>
    <w:rsid w:val="000C1B97"/>
    <w:rsid w:val="000C21D8"/>
    <w:rsid w:val="000C2343"/>
    <w:rsid w:val="000C2547"/>
    <w:rsid w:val="000C2555"/>
    <w:rsid w:val="000C280D"/>
    <w:rsid w:val="000C2BBC"/>
    <w:rsid w:val="000C2C85"/>
    <w:rsid w:val="000C2F6D"/>
    <w:rsid w:val="000C313C"/>
    <w:rsid w:val="000C3183"/>
    <w:rsid w:val="000C34AC"/>
    <w:rsid w:val="000C34CE"/>
    <w:rsid w:val="000C3911"/>
    <w:rsid w:val="000C3B9B"/>
    <w:rsid w:val="000C400A"/>
    <w:rsid w:val="000C426E"/>
    <w:rsid w:val="000C4331"/>
    <w:rsid w:val="000C4359"/>
    <w:rsid w:val="000C4D97"/>
    <w:rsid w:val="000C52C8"/>
    <w:rsid w:val="000C5355"/>
    <w:rsid w:val="000C543F"/>
    <w:rsid w:val="000C59BF"/>
    <w:rsid w:val="000C5D99"/>
    <w:rsid w:val="000C6256"/>
    <w:rsid w:val="000C6505"/>
    <w:rsid w:val="000C66A9"/>
    <w:rsid w:val="000C6A91"/>
    <w:rsid w:val="000C6F3B"/>
    <w:rsid w:val="000C7337"/>
    <w:rsid w:val="000C760C"/>
    <w:rsid w:val="000C773E"/>
    <w:rsid w:val="000C77D7"/>
    <w:rsid w:val="000C7BFC"/>
    <w:rsid w:val="000C7CC2"/>
    <w:rsid w:val="000D0244"/>
    <w:rsid w:val="000D040B"/>
    <w:rsid w:val="000D1030"/>
    <w:rsid w:val="000D134B"/>
    <w:rsid w:val="000D1388"/>
    <w:rsid w:val="000D1454"/>
    <w:rsid w:val="000D15DF"/>
    <w:rsid w:val="000D1616"/>
    <w:rsid w:val="000D18A5"/>
    <w:rsid w:val="000D1996"/>
    <w:rsid w:val="000D1B0B"/>
    <w:rsid w:val="000D1D29"/>
    <w:rsid w:val="000D1DDF"/>
    <w:rsid w:val="000D1F0F"/>
    <w:rsid w:val="000D1F1B"/>
    <w:rsid w:val="000D23C3"/>
    <w:rsid w:val="000D254B"/>
    <w:rsid w:val="000D25C5"/>
    <w:rsid w:val="000D29F1"/>
    <w:rsid w:val="000D2B12"/>
    <w:rsid w:val="000D2B15"/>
    <w:rsid w:val="000D2CE8"/>
    <w:rsid w:val="000D337E"/>
    <w:rsid w:val="000D35F8"/>
    <w:rsid w:val="000D362D"/>
    <w:rsid w:val="000D3744"/>
    <w:rsid w:val="000D3F9A"/>
    <w:rsid w:val="000D4066"/>
    <w:rsid w:val="000D4353"/>
    <w:rsid w:val="000D435F"/>
    <w:rsid w:val="000D473C"/>
    <w:rsid w:val="000D49DC"/>
    <w:rsid w:val="000D4E93"/>
    <w:rsid w:val="000D534F"/>
    <w:rsid w:val="000D5770"/>
    <w:rsid w:val="000D57E9"/>
    <w:rsid w:val="000D5821"/>
    <w:rsid w:val="000D590E"/>
    <w:rsid w:val="000D59FB"/>
    <w:rsid w:val="000D5CD2"/>
    <w:rsid w:val="000D5E8E"/>
    <w:rsid w:val="000D5ED2"/>
    <w:rsid w:val="000D5F30"/>
    <w:rsid w:val="000D62C9"/>
    <w:rsid w:val="000D62EF"/>
    <w:rsid w:val="000D676D"/>
    <w:rsid w:val="000D6B5D"/>
    <w:rsid w:val="000D6B98"/>
    <w:rsid w:val="000D6DBF"/>
    <w:rsid w:val="000D7387"/>
    <w:rsid w:val="000D7503"/>
    <w:rsid w:val="000D7514"/>
    <w:rsid w:val="000D75DC"/>
    <w:rsid w:val="000D7742"/>
    <w:rsid w:val="000D782F"/>
    <w:rsid w:val="000D7ACF"/>
    <w:rsid w:val="000D7DEC"/>
    <w:rsid w:val="000D7F67"/>
    <w:rsid w:val="000E0206"/>
    <w:rsid w:val="000E03EB"/>
    <w:rsid w:val="000E04F7"/>
    <w:rsid w:val="000E0FD0"/>
    <w:rsid w:val="000E10E5"/>
    <w:rsid w:val="000E11F5"/>
    <w:rsid w:val="000E160C"/>
    <w:rsid w:val="000E172E"/>
    <w:rsid w:val="000E179A"/>
    <w:rsid w:val="000E18F3"/>
    <w:rsid w:val="000E1955"/>
    <w:rsid w:val="000E1A00"/>
    <w:rsid w:val="000E232F"/>
    <w:rsid w:val="000E2611"/>
    <w:rsid w:val="000E265A"/>
    <w:rsid w:val="000E291B"/>
    <w:rsid w:val="000E2A8E"/>
    <w:rsid w:val="000E3230"/>
    <w:rsid w:val="000E3653"/>
    <w:rsid w:val="000E37C9"/>
    <w:rsid w:val="000E3C4A"/>
    <w:rsid w:val="000E3E6F"/>
    <w:rsid w:val="000E40A5"/>
    <w:rsid w:val="000E4413"/>
    <w:rsid w:val="000E44E9"/>
    <w:rsid w:val="000E4532"/>
    <w:rsid w:val="000E4B35"/>
    <w:rsid w:val="000E4E15"/>
    <w:rsid w:val="000E4FDA"/>
    <w:rsid w:val="000E55B1"/>
    <w:rsid w:val="000E5823"/>
    <w:rsid w:val="000E5898"/>
    <w:rsid w:val="000E5FA2"/>
    <w:rsid w:val="000E6023"/>
    <w:rsid w:val="000E61F7"/>
    <w:rsid w:val="000E62CA"/>
    <w:rsid w:val="000E657B"/>
    <w:rsid w:val="000E675B"/>
    <w:rsid w:val="000E6894"/>
    <w:rsid w:val="000E6A5B"/>
    <w:rsid w:val="000E6F82"/>
    <w:rsid w:val="000E6FFE"/>
    <w:rsid w:val="000E717F"/>
    <w:rsid w:val="000E722F"/>
    <w:rsid w:val="000E7B80"/>
    <w:rsid w:val="000E7C42"/>
    <w:rsid w:val="000E7E22"/>
    <w:rsid w:val="000E7F03"/>
    <w:rsid w:val="000F094B"/>
    <w:rsid w:val="000F0E5B"/>
    <w:rsid w:val="000F11BC"/>
    <w:rsid w:val="000F11D8"/>
    <w:rsid w:val="000F1245"/>
    <w:rsid w:val="000F12F9"/>
    <w:rsid w:val="000F15DE"/>
    <w:rsid w:val="000F17A5"/>
    <w:rsid w:val="000F18C2"/>
    <w:rsid w:val="000F19B3"/>
    <w:rsid w:val="000F1B14"/>
    <w:rsid w:val="000F1BA5"/>
    <w:rsid w:val="000F1BD5"/>
    <w:rsid w:val="000F1FFD"/>
    <w:rsid w:val="000F21BF"/>
    <w:rsid w:val="000F2326"/>
    <w:rsid w:val="000F26CA"/>
    <w:rsid w:val="000F27B3"/>
    <w:rsid w:val="000F29EE"/>
    <w:rsid w:val="000F2A69"/>
    <w:rsid w:val="000F2AB6"/>
    <w:rsid w:val="000F2B1D"/>
    <w:rsid w:val="000F2D75"/>
    <w:rsid w:val="000F2E9B"/>
    <w:rsid w:val="000F32AF"/>
    <w:rsid w:val="000F345D"/>
    <w:rsid w:val="000F3884"/>
    <w:rsid w:val="000F398F"/>
    <w:rsid w:val="000F3CE7"/>
    <w:rsid w:val="000F4096"/>
    <w:rsid w:val="000F41B0"/>
    <w:rsid w:val="000F428B"/>
    <w:rsid w:val="000F474E"/>
    <w:rsid w:val="000F4CFD"/>
    <w:rsid w:val="000F4D17"/>
    <w:rsid w:val="000F4FDB"/>
    <w:rsid w:val="000F5096"/>
    <w:rsid w:val="000F50DD"/>
    <w:rsid w:val="000F5576"/>
    <w:rsid w:val="000F5642"/>
    <w:rsid w:val="000F56BC"/>
    <w:rsid w:val="000F5CB2"/>
    <w:rsid w:val="000F5D35"/>
    <w:rsid w:val="000F5E92"/>
    <w:rsid w:val="000F66E1"/>
    <w:rsid w:val="000F6AA9"/>
    <w:rsid w:val="000F6C4F"/>
    <w:rsid w:val="000F7462"/>
    <w:rsid w:val="000F788E"/>
    <w:rsid w:val="000F79AD"/>
    <w:rsid w:val="000F7B08"/>
    <w:rsid w:val="000F7CAB"/>
    <w:rsid w:val="00100131"/>
    <w:rsid w:val="001006C0"/>
    <w:rsid w:val="001006DC"/>
    <w:rsid w:val="00100823"/>
    <w:rsid w:val="0010085F"/>
    <w:rsid w:val="001009BA"/>
    <w:rsid w:val="00100B83"/>
    <w:rsid w:val="00100D0C"/>
    <w:rsid w:val="0010103C"/>
    <w:rsid w:val="0010107B"/>
    <w:rsid w:val="001013F0"/>
    <w:rsid w:val="00101475"/>
    <w:rsid w:val="0010164B"/>
    <w:rsid w:val="00101B2E"/>
    <w:rsid w:val="00101F87"/>
    <w:rsid w:val="00101FAC"/>
    <w:rsid w:val="00102009"/>
    <w:rsid w:val="0010204B"/>
    <w:rsid w:val="0010240F"/>
    <w:rsid w:val="001024A5"/>
    <w:rsid w:val="00102531"/>
    <w:rsid w:val="001025C1"/>
    <w:rsid w:val="00102775"/>
    <w:rsid w:val="00102C26"/>
    <w:rsid w:val="00102D35"/>
    <w:rsid w:val="00102DBC"/>
    <w:rsid w:val="00102DE9"/>
    <w:rsid w:val="0010314C"/>
    <w:rsid w:val="0010323F"/>
    <w:rsid w:val="001034A0"/>
    <w:rsid w:val="001034AD"/>
    <w:rsid w:val="0010365F"/>
    <w:rsid w:val="00103B11"/>
    <w:rsid w:val="00103B22"/>
    <w:rsid w:val="00103B2E"/>
    <w:rsid w:val="00103F1A"/>
    <w:rsid w:val="0010410A"/>
    <w:rsid w:val="00104216"/>
    <w:rsid w:val="00104419"/>
    <w:rsid w:val="00104481"/>
    <w:rsid w:val="001045F2"/>
    <w:rsid w:val="001046A6"/>
    <w:rsid w:val="00104C43"/>
    <w:rsid w:val="00104EC7"/>
    <w:rsid w:val="00105082"/>
    <w:rsid w:val="001054F7"/>
    <w:rsid w:val="00105705"/>
    <w:rsid w:val="001057B6"/>
    <w:rsid w:val="00105A4E"/>
    <w:rsid w:val="00105D33"/>
    <w:rsid w:val="00105DAD"/>
    <w:rsid w:val="00105DDD"/>
    <w:rsid w:val="00105EF1"/>
    <w:rsid w:val="00105F0F"/>
    <w:rsid w:val="001060A4"/>
    <w:rsid w:val="00106289"/>
    <w:rsid w:val="001062F3"/>
    <w:rsid w:val="001065A0"/>
    <w:rsid w:val="001065C5"/>
    <w:rsid w:val="00106A9D"/>
    <w:rsid w:val="00106AF9"/>
    <w:rsid w:val="00106C79"/>
    <w:rsid w:val="00106F79"/>
    <w:rsid w:val="0010707B"/>
    <w:rsid w:val="001070B3"/>
    <w:rsid w:val="001070E1"/>
    <w:rsid w:val="00107240"/>
    <w:rsid w:val="00107250"/>
    <w:rsid w:val="00107294"/>
    <w:rsid w:val="001073BB"/>
    <w:rsid w:val="00107553"/>
    <w:rsid w:val="001079AF"/>
    <w:rsid w:val="00107D16"/>
    <w:rsid w:val="001100BE"/>
    <w:rsid w:val="00110249"/>
    <w:rsid w:val="0011024B"/>
    <w:rsid w:val="001104B5"/>
    <w:rsid w:val="00110598"/>
    <w:rsid w:val="0011068D"/>
    <w:rsid w:val="00110996"/>
    <w:rsid w:val="00110EFA"/>
    <w:rsid w:val="00111184"/>
    <w:rsid w:val="0011144D"/>
    <w:rsid w:val="00111583"/>
    <w:rsid w:val="00111632"/>
    <w:rsid w:val="00112113"/>
    <w:rsid w:val="00112256"/>
    <w:rsid w:val="001123D3"/>
    <w:rsid w:val="001123F0"/>
    <w:rsid w:val="00112642"/>
    <w:rsid w:val="00112DD7"/>
    <w:rsid w:val="0011301D"/>
    <w:rsid w:val="001134F0"/>
    <w:rsid w:val="0011372E"/>
    <w:rsid w:val="00113AD7"/>
    <w:rsid w:val="00113DF4"/>
    <w:rsid w:val="001148C6"/>
    <w:rsid w:val="00114AB1"/>
    <w:rsid w:val="00114BF2"/>
    <w:rsid w:val="001151D8"/>
    <w:rsid w:val="00115374"/>
    <w:rsid w:val="001157CE"/>
    <w:rsid w:val="00115D74"/>
    <w:rsid w:val="00115E30"/>
    <w:rsid w:val="0011605C"/>
    <w:rsid w:val="00116065"/>
    <w:rsid w:val="00116254"/>
    <w:rsid w:val="00116891"/>
    <w:rsid w:val="00116A55"/>
    <w:rsid w:val="00116C68"/>
    <w:rsid w:val="00116EAA"/>
    <w:rsid w:val="00117053"/>
    <w:rsid w:val="001171CF"/>
    <w:rsid w:val="001174DF"/>
    <w:rsid w:val="00117FBF"/>
    <w:rsid w:val="001201A5"/>
    <w:rsid w:val="001201DA"/>
    <w:rsid w:val="001202E1"/>
    <w:rsid w:val="00120547"/>
    <w:rsid w:val="00120755"/>
    <w:rsid w:val="001208E5"/>
    <w:rsid w:val="00120ABF"/>
    <w:rsid w:val="00120AD8"/>
    <w:rsid w:val="00120F17"/>
    <w:rsid w:val="00120F6C"/>
    <w:rsid w:val="001213AC"/>
    <w:rsid w:val="00121457"/>
    <w:rsid w:val="00121480"/>
    <w:rsid w:val="00121507"/>
    <w:rsid w:val="0012170F"/>
    <w:rsid w:val="001217FB"/>
    <w:rsid w:val="00121A72"/>
    <w:rsid w:val="00121CB3"/>
    <w:rsid w:val="00121D38"/>
    <w:rsid w:val="00121F79"/>
    <w:rsid w:val="00121F85"/>
    <w:rsid w:val="00122033"/>
    <w:rsid w:val="001220B2"/>
    <w:rsid w:val="0012220D"/>
    <w:rsid w:val="00122381"/>
    <w:rsid w:val="001224E2"/>
    <w:rsid w:val="00122507"/>
    <w:rsid w:val="00122550"/>
    <w:rsid w:val="001225F4"/>
    <w:rsid w:val="00122C4C"/>
    <w:rsid w:val="00122CBD"/>
    <w:rsid w:val="00122E51"/>
    <w:rsid w:val="00122FED"/>
    <w:rsid w:val="0012351A"/>
    <w:rsid w:val="001235B1"/>
    <w:rsid w:val="00123845"/>
    <w:rsid w:val="00123C1F"/>
    <w:rsid w:val="00123FE5"/>
    <w:rsid w:val="0012400C"/>
    <w:rsid w:val="00124024"/>
    <w:rsid w:val="00124466"/>
    <w:rsid w:val="001244C9"/>
    <w:rsid w:val="0012471E"/>
    <w:rsid w:val="0012472F"/>
    <w:rsid w:val="00124827"/>
    <w:rsid w:val="001249DF"/>
    <w:rsid w:val="001249F7"/>
    <w:rsid w:val="00124C1E"/>
    <w:rsid w:val="00124C2B"/>
    <w:rsid w:val="00124D8D"/>
    <w:rsid w:val="00124E32"/>
    <w:rsid w:val="00124E64"/>
    <w:rsid w:val="00125174"/>
    <w:rsid w:val="001257F2"/>
    <w:rsid w:val="00125855"/>
    <w:rsid w:val="00125B55"/>
    <w:rsid w:val="00125B8A"/>
    <w:rsid w:val="00125BE0"/>
    <w:rsid w:val="001260C3"/>
    <w:rsid w:val="001265BB"/>
    <w:rsid w:val="0012682D"/>
    <w:rsid w:val="001269B5"/>
    <w:rsid w:val="001269F1"/>
    <w:rsid w:val="00126A43"/>
    <w:rsid w:val="00126E92"/>
    <w:rsid w:val="00126EB1"/>
    <w:rsid w:val="00126F3B"/>
    <w:rsid w:val="0012722D"/>
    <w:rsid w:val="001275D4"/>
    <w:rsid w:val="0012778B"/>
    <w:rsid w:val="00127857"/>
    <w:rsid w:val="00127899"/>
    <w:rsid w:val="00127DFA"/>
    <w:rsid w:val="001301C6"/>
    <w:rsid w:val="001301D9"/>
    <w:rsid w:val="001308B0"/>
    <w:rsid w:val="001308EA"/>
    <w:rsid w:val="00130939"/>
    <w:rsid w:val="00130BF5"/>
    <w:rsid w:val="00130DAD"/>
    <w:rsid w:val="001310E6"/>
    <w:rsid w:val="00131200"/>
    <w:rsid w:val="0013122C"/>
    <w:rsid w:val="00131268"/>
    <w:rsid w:val="001312C6"/>
    <w:rsid w:val="00131349"/>
    <w:rsid w:val="00131385"/>
    <w:rsid w:val="001313AA"/>
    <w:rsid w:val="00131498"/>
    <w:rsid w:val="0013179E"/>
    <w:rsid w:val="001317E4"/>
    <w:rsid w:val="00131A8A"/>
    <w:rsid w:val="00131ACC"/>
    <w:rsid w:val="001327F9"/>
    <w:rsid w:val="00132DAF"/>
    <w:rsid w:val="00133894"/>
    <w:rsid w:val="00133AD0"/>
    <w:rsid w:val="00133D64"/>
    <w:rsid w:val="001340C0"/>
    <w:rsid w:val="001342B9"/>
    <w:rsid w:val="00134638"/>
    <w:rsid w:val="00134749"/>
    <w:rsid w:val="0013482C"/>
    <w:rsid w:val="00134C3D"/>
    <w:rsid w:val="00134D93"/>
    <w:rsid w:val="00134E5F"/>
    <w:rsid w:val="00134F28"/>
    <w:rsid w:val="00134F60"/>
    <w:rsid w:val="0013512E"/>
    <w:rsid w:val="00135330"/>
    <w:rsid w:val="00135546"/>
    <w:rsid w:val="00135904"/>
    <w:rsid w:val="00135AFE"/>
    <w:rsid w:val="00136080"/>
    <w:rsid w:val="001360E7"/>
    <w:rsid w:val="001360F6"/>
    <w:rsid w:val="001367C8"/>
    <w:rsid w:val="00136BA5"/>
    <w:rsid w:val="00136DBE"/>
    <w:rsid w:val="001370AD"/>
    <w:rsid w:val="001375E9"/>
    <w:rsid w:val="00137B28"/>
    <w:rsid w:val="00137E7A"/>
    <w:rsid w:val="00137F5F"/>
    <w:rsid w:val="0014014F"/>
    <w:rsid w:val="001401CE"/>
    <w:rsid w:val="0014042D"/>
    <w:rsid w:val="00140552"/>
    <w:rsid w:val="0014062A"/>
    <w:rsid w:val="00140A10"/>
    <w:rsid w:val="00140AA8"/>
    <w:rsid w:val="00140DC7"/>
    <w:rsid w:val="00140E66"/>
    <w:rsid w:val="00140E98"/>
    <w:rsid w:val="00141130"/>
    <w:rsid w:val="001411BC"/>
    <w:rsid w:val="001412D5"/>
    <w:rsid w:val="001413FB"/>
    <w:rsid w:val="001414FD"/>
    <w:rsid w:val="00141C0C"/>
    <w:rsid w:val="0014204E"/>
    <w:rsid w:val="0014265A"/>
    <w:rsid w:val="0014281C"/>
    <w:rsid w:val="00142829"/>
    <w:rsid w:val="001428E7"/>
    <w:rsid w:val="00142B6B"/>
    <w:rsid w:val="00142B8B"/>
    <w:rsid w:val="00142DE0"/>
    <w:rsid w:val="00142F72"/>
    <w:rsid w:val="00142FCF"/>
    <w:rsid w:val="001431D1"/>
    <w:rsid w:val="001436CB"/>
    <w:rsid w:val="001439CC"/>
    <w:rsid w:val="00143D9C"/>
    <w:rsid w:val="00143EDC"/>
    <w:rsid w:val="00143FCF"/>
    <w:rsid w:val="00144024"/>
    <w:rsid w:val="00144293"/>
    <w:rsid w:val="001447AE"/>
    <w:rsid w:val="00144A24"/>
    <w:rsid w:val="00144D59"/>
    <w:rsid w:val="00144E21"/>
    <w:rsid w:val="0014500E"/>
    <w:rsid w:val="001450AA"/>
    <w:rsid w:val="001450E1"/>
    <w:rsid w:val="00145157"/>
    <w:rsid w:val="001451FA"/>
    <w:rsid w:val="00145B37"/>
    <w:rsid w:val="001466F5"/>
    <w:rsid w:val="0014685D"/>
    <w:rsid w:val="0014687D"/>
    <w:rsid w:val="00146AAA"/>
    <w:rsid w:val="00146EDF"/>
    <w:rsid w:val="00146F5C"/>
    <w:rsid w:val="001473E6"/>
    <w:rsid w:val="00147907"/>
    <w:rsid w:val="00147AFA"/>
    <w:rsid w:val="00147B41"/>
    <w:rsid w:val="00150370"/>
    <w:rsid w:val="00150D4E"/>
    <w:rsid w:val="00150F78"/>
    <w:rsid w:val="00151256"/>
    <w:rsid w:val="0015142D"/>
    <w:rsid w:val="0015152E"/>
    <w:rsid w:val="00151796"/>
    <w:rsid w:val="00151811"/>
    <w:rsid w:val="0015190E"/>
    <w:rsid w:val="00151B61"/>
    <w:rsid w:val="00151BCF"/>
    <w:rsid w:val="00151CE1"/>
    <w:rsid w:val="00151DA1"/>
    <w:rsid w:val="00151DB6"/>
    <w:rsid w:val="00151E93"/>
    <w:rsid w:val="001520CF"/>
    <w:rsid w:val="00152126"/>
    <w:rsid w:val="0015237F"/>
    <w:rsid w:val="0015241D"/>
    <w:rsid w:val="00152564"/>
    <w:rsid w:val="00152608"/>
    <w:rsid w:val="0015268F"/>
    <w:rsid w:val="00152A49"/>
    <w:rsid w:val="00152A63"/>
    <w:rsid w:val="00152E7C"/>
    <w:rsid w:val="00152F05"/>
    <w:rsid w:val="001531C8"/>
    <w:rsid w:val="00153340"/>
    <w:rsid w:val="0015358C"/>
    <w:rsid w:val="00153EFA"/>
    <w:rsid w:val="00153F7E"/>
    <w:rsid w:val="0015415B"/>
    <w:rsid w:val="001542DF"/>
    <w:rsid w:val="00154352"/>
    <w:rsid w:val="00154E44"/>
    <w:rsid w:val="00154E80"/>
    <w:rsid w:val="00154F0E"/>
    <w:rsid w:val="001550E1"/>
    <w:rsid w:val="001552E6"/>
    <w:rsid w:val="00155551"/>
    <w:rsid w:val="001556C0"/>
    <w:rsid w:val="001558A5"/>
    <w:rsid w:val="00155A4D"/>
    <w:rsid w:val="00155B80"/>
    <w:rsid w:val="00155C3C"/>
    <w:rsid w:val="00156127"/>
    <w:rsid w:val="001563B1"/>
    <w:rsid w:val="00156509"/>
    <w:rsid w:val="001565F3"/>
    <w:rsid w:val="001568FC"/>
    <w:rsid w:val="0015696B"/>
    <w:rsid w:val="00156CE3"/>
    <w:rsid w:val="00156F76"/>
    <w:rsid w:val="0015703E"/>
    <w:rsid w:val="00157369"/>
    <w:rsid w:val="00157513"/>
    <w:rsid w:val="00157525"/>
    <w:rsid w:val="0015757D"/>
    <w:rsid w:val="001578C0"/>
    <w:rsid w:val="001601A5"/>
    <w:rsid w:val="001601BA"/>
    <w:rsid w:val="001601C3"/>
    <w:rsid w:val="0016064F"/>
    <w:rsid w:val="0016065A"/>
    <w:rsid w:val="001607E5"/>
    <w:rsid w:val="001607FE"/>
    <w:rsid w:val="001609CE"/>
    <w:rsid w:val="00160CF6"/>
    <w:rsid w:val="00160F53"/>
    <w:rsid w:val="00161128"/>
    <w:rsid w:val="001612DB"/>
    <w:rsid w:val="00161334"/>
    <w:rsid w:val="0016138D"/>
    <w:rsid w:val="00161592"/>
    <w:rsid w:val="00161657"/>
    <w:rsid w:val="0016175E"/>
    <w:rsid w:val="00161BA9"/>
    <w:rsid w:val="001622A9"/>
    <w:rsid w:val="001622E9"/>
    <w:rsid w:val="00162487"/>
    <w:rsid w:val="00162663"/>
    <w:rsid w:val="0016273D"/>
    <w:rsid w:val="00162CB0"/>
    <w:rsid w:val="00162E14"/>
    <w:rsid w:val="00162F26"/>
    <w:rsid w:val="00162FCB"/>
    <w:rsid w:val="001630C7"/>
    <w:rsid w:val="001631F8"/>
    <w:rsid w:val="001634AE"/>
    <w:rsid w:val="001634F7"/>
    <w:rsid w:val="001635B2"/>
    <w:rsid w:val="00163704"/>
    <w:rsid w:val="00163802"/>
    <w:rsid w:val="00163A34"/>
    <w:rsid w:val="00163ABC"/>
    <w:rsid w:val="00163FF7"/>
    <w:rsid w:val="00164179"/>
    <w:rsid w:val="001643DC"/>
    <w:rsid w:val="00164422"/>
    <w:rsid w:val="00164521"/>
    <w:rsid w:val="001645DE"/>
    <w:rsid w:val="001646F2"/>
    <w:rsid w:val="00164790"/>
    <w:rsid w:val="0016481D"/>
    <w:rsid w:val="00164A72"/>
    <w:rsid w:val="00164CA7"/>
    <w:rsid w:val="00164D61"/>
    <w:rsid w:val="00165297"/>
    <w:rsid w:val="0016543E"/>
    <w:rsid w:val="00165487"/>
    <w:rsid w:val="0016574F"/>
    <w:rsid w:val="00165868"/>
    <w:rsid w:val="00165986"/>
    <w:rsid w:val="00165A94"/>
    <w:rsid w:val="00165B4F"/>
    <w:rsid w:val="00165D2E"/>
    <w:rsid w:val="00166457"/>
    <w:rsid w:val="00166786"/>
    <w:rsid w:val="00166BB6"/>
    <w:rsid w:val="00166BC1"/>
    <w:rsid w:val="00166C30"/>
    <w:rsid w:val="0016742F"/>
    <w:rsid w:val="0016743A"/>
    <w:rsid w:val="0016758B"/>
    <w:rsid w:val="00167783"/>
    <w:rsid w:val="00167933"/>
    <w:rsid w:val="00167CEB"/>
    <w:rsid w:val="00167D60"/>
    <w:rsid w:val="00167E70"/>
    <w:rsid w:val="00167F20"/>
    <w:rsid w:val="00170249"/>
    <w:rsid w:val="00170564"/>
    <w:rsid w:val="001706F0"/>
    <w:rsid w:val="00170B54"/>
    <w:rsid w:val="00170E3C"/>
    <w:rsid w:val="00171353"/>
    <w:rsid w:val="001714DD"/>
    <w:rsid w:val="00171C3B"/>
    <w:rsid w:val="001721EA"/>
    <w:rsid w:val="00172413"/>
    <w:rsid w:val="00172478"/>
    <w:rsid w:val="00172969"/>
    <w:rsid w:val="001733BA"/>
    <w:rsid w:val="001735D0"/>
    <w:rsid w:val="001735FA"/>
    <w:rsid w:val="00173AF8"/>
    <w:rsid w:val="0017430B"/>
    <w:rsid w:val="001743D2"/>
    <w:rsid w:val="0017469A"/>
    <w:rsid w:val="00174E41"/>
    <w:rsid w:val="00174F60"/>
    <w:rsid w:val="00175285"/>
    <w:rsid w:val="001752A3"/>
    <w:rsid w:val="001753EB"/>
    <w:rsid w:val="00175720"/>
    <w:rsid w:val="0017577C"/>
    <w:rsid w:val="001759BE"/>
    <w:rsid w:val="001760AD"/>
    <w:rsid w:val="00176276"/>
    <w:rsid w:val="00176346"/>
    <w:rsid w:val="0017654C"/>
    <w:rsid w:val="001765F3"/>
    <w:rsid w:val="00176A1E"/>
    <w:rsid w:val="00176D99"/>
    <w:rsid w:val="00176F8E"/>
    <w:rsid w:val="001770DF"/>
    <w:rsid w:val="0017798F"/>
    <w:rsid w:val="00177A41"/>
    <w:rsid w:val="00177D1D"/>
    <w:rsid w:val="001800E6"/>
    <w:rsid w:val="00180612"/>
    <w:rsid w:val="001806F3"/>
    <w:rsid w:val="00180836"/>
    <w:rsid w:val="001808A4"/>
    <w:rsid w:val="00180C08"/>
    <w:rsid w:val="00180C12"/>
    <w:rsid w:val="00180D6E"/>
    <w:rsid w:val="00180F37"/>
    <w:rsid w:val="0018109B"/>
    <w:rsid w:val="0018126F"/>
    <w:rsid w:val="00181291"/>
    <w:rsid w:val="00181299"/>
    <w:rsid w:val="00181486"/>
    <w:rsid w:val="0018171E"/>
    <w:rsid w:val="00182695"/>
    <w:rsid w:val="00182768"/>
    <w:rsid w:val="00182A5A"/>
    <w:rsid w:val="00182C7A"/>
    <w:rsid w:val="001830D6"/>
    <w:rsid w:val="001835AC"/>
    <w:rsid w:val="001836C7"/>
    <w:rsid w:val="001836F3"/>
    <w:rsid w:val="001839ED"/>
    <w:rsid w:val="00183D74"/>
    <w:rsid w:val="00183DD2"/>
    <w:rsid w:val="00183F6C"/>
    <w:rsid w:val="001841D4"/>
    <w:rsid w:val="001842BF"/>
    <w:rsid w:val="0018436C"/>
    <w:rsid w:val="00184412"/>
    <w:rsid w:val="001845D6"/>
    <w:rsid w:val="00184995"/>
    <w:rsid w:val="00184C42"/>
    <w:rsid w:val="00184C4F"/>
    <w:rsid w:val="00184CF8"/>
    <w:rsid w:val="00184EAF"/>
    <w:rsid w:val="00184EEE"/>
    <w:rsid w:val="001850F9"/>
    <w:rsid w:val="001854F0"/>
    <w:rsid w:val="00185550"/>
    <w:rsid w:val="00185AF4"/>
    <w:rsid w:val="00185B46"/>
    <w:rsid w:val="00185B93"/>
    <w:rsid w:val="00185C5C"/>
    <w:rsid w:val="00185F78"/>
    <w:rsid w:val="00186407"/>
    <w:rsid w:val="001867F3"/>
    <w:rsid w:val="00186A1B"/>
    <w:rsid w:val="00186CEC"/>
    <w:rsid w:val="00186ECC"/>
    <w:rsid w:val="001876E4"/>
    <w:rsid w:val="00187734"/>
    <w:rsid w:val="001878BE"/>
    <w:rsid w:val="00187B8C"/>
    <w:rsid w:val="00187F67"/>
    <w:rsid w:val="00190323"/>
    <w:rsid w:val="0019041E"/>
    <w:rsid w:val="00190478"/>
    <w:rsid w:val="0019060E"/>
    <w:rsid w:val="0019075F"/>
    <w:rsid w:val="00190984"/>
    <w:rsid w:val="00190D59"/>
    <w:rsid w:val="00191095"/>
    <w:rsid w:val="001914A1"/>
    <w:rsid w:val="00191578"/>
    <w:rsid w:val="00191844"/>
    <w:rsid w:val="00191850"/>
    <w:rsid w:val="0019195D"/>
    <w:rsid w:val="00191A26"/>
    <w:rsid w:val="0019203C"/>
    <w:rsid w:val="001920CD"/>
    <w:rsid w:val="00192202"/>
    <w:rsid w:val="0019270E"/>
    <w:rsid w:val="00192A77"/>
    <w:rsid w:val="00192F71"/>
    <w:rsid w:val="00192F7E"/>
    <w:rsid w:val="0019329B"/>
    <w:rsid w:val="001935B8"/>
    <w:rsid w:val="0019399C"/>
    <w:rsid w:val="001939D6"/>
    <w:rsid w:val="00193A17"/>
    <w:rsid w:val="00194061"/>
    <w:rsid w:val="0019442A"/>
    <w:rsid w:val="00194709"/>
    <w:rsid w:val="0019494A"/>
    <w:rsid w:val="00194AF4"/>
    <w:rsid w:val="0019510E"/>
    <w:rsid w:val="00195157"/>
    <w:rsid w:val="00195656"/>
    <w:rsid w:val="0019568A"/>
    <w:rsid w:val="00195AFB"/>
    <w:rsid w:val="00195D96"/>
    <w:rsid w:val="00195DF0"/>
    <w:rsid w:val="0019627B"/>
    <w:rsid w:val="00196737"/>
    <w:rsid w:val="00196AD8"/>
    <w:rsid w:val="00196B5B"/>
    <w:rsid w:val="00196F45"/>
    <w:rsid w:val="001970FB"/>
    <w:rsid w:val="00197348"/>
    <w:rsid w:val="00197394"/>
    <w:rsid w:val="0019742D"/>
    <w:rsid w:val="00197629"/>
    <w:rsid w:val="001976BD"/>
    <w:rsid w:val="00197807"/>
    <w:rsid w:val="00197E3D"/>
    <w:rsid w:val="001A031E"/>
    <w:rsid w:val="001A04BD"/>
    <w:rsid w:val="001A09E5"/>
    <w:rsid w:val="001A0B96"/>
    <w:rsid w:val="001A0D59"/>
    <w:rsid w:val="001A0EFB"/>
    <w:rsid w:val="001A1091"/>
    <w:rsid w:val="001A119F"/>
    <w:rsid w:val="001A180B"/>
    <w:rsid w:val="001A1BD2"/>
    <w:rsid w:val="001A1DB8"/>
    <w:rsid w:val="001A1F2B"/>
    <w:rsid w:val="001A2394"/>
    <w:rsid w:val="001A270D"/>
    <w:rsid w:val="001A2856"/>
    <w:rsid w:val="001A29F1"/>
    <w:rsid w:val="001A2A1F"/>
    <w:rsid w:val="001A2AF8"/>
    <w:rsid w:val="001A2BDA"/>
    <w:rsid w:val="001A3667"/>
    <w:rsid w:val="001A3685"/>
    <w:rsid w:val="001A3D44"/>
    <w:rsid w:val="001A3F46"/>
    <w:rsid w:val="001A3F7B"/>
    <w:rsid w:val="001A44B9"/>
    <w:rsid w:val="001A47BE"/>
    <w:rsid w:val="001A4CBC"/>
    <w:rsid w:val="001A4FCE"/>
    <w:rsid w:val="001A5294"/>
    <w:rsid w:val="001A530C"/>
    <w:rsid w:val="001A5396"/>
    <w:rsid w:val="001A5509"/>
    <w:rsid w:val="001A5645"/>
    <w:rsid w:val="001A566A"/>
    <w:rsid w:val="001A5886"/>
    <w:rsid w:val="001A59A0"/>
    <w:rsid w:val="001A5CB1"/>
    <w:rsid w:val="001A5E5A"/>
    <w:rsid w:val="001A5F96"/>
    <w:rsid w:val="001A611A"/>
    <w:rsid w:val="001A6196"/>
    <w:rsid w:val="001A61D3"/>
    <w:rsid w:val="001A6297"/>
    <w:rsid w:val="001A656C"/>
    <w:rsid w:val="001A657C"/>
    <w:rsid w:val="001A67D2"/>
    <w:rsid w:val="001A6833"/>
    <w:rsid w:val="001A6A95"/>
    <w:rsid w:val="001A6AAF"/>
    <w:rsid w:val="001A6C51"/>
    <w:rsid w:val="001A6F54"/>
    <w:rsid w:val="001A6FAD"/>
    <w:rsid w:val="001A7295"/>
    <w:rsid w:val="001A73BA"/>
    <w:rsid w:val="001A7969"/>
    <w:rsid w:val="001A797B"/>
    <w:rsid w:val="001A7A07"/>
    <w:rsid w:val="001A7CCF"/>
    <w:rsid w:val="001A7E30"/>
    <w:rsid w:val="001A7F77"/>
    <w:rsid w:val="001B0009"/>
    <w:rsid w:val="001B0318"/>
    <w:rsid w:val="001B0446"/>
    <w:rsid w:val="001B0500"/>
    <w:rsid w:val="001B064C"/>
    <w:rsid w:val="001B0C45"/>
    <w:rsid w:val="001B0C83"/>
    <w:rsid w:val="001B0E98"/>
    <w:rsid w:val="001B1109"/>
    <w:rsid w:val="001B1306"/>
    <w:rsid w:val="001B144F"/>
    <w:rsid w:val="001B1991"/>
    <w:rsid w:val="001B1CDC"/>
    <w:rsid w:val="001B1DDC"/>
    <w:rsid w:val="001B1DF8"/>
    <w:rsid w:val="001B1E74"/>
    <w:rsid w:val="001B26D1"/>
    <w:rsid w:val="001B2950"/>
    <w:rsid w:val="001B2DD9"/>
    <w:rsid w:val="001B2EEB"/>
    <w:rsid w:val="001B30EE"/>
    <w:rsid w:val="001B327F"/>
    <w:rsid w:val="001B34E7"/>
    <w:rsid w:val="001B3846"/>
    <w:rsid w:val="001B391E"/>
    <w:rsid w:val="001B399F"/>
    <w:rsid w:val="001B3B27"/>
    <w:rsid w:val="001B3F49"/>
    <w:rsid w:val="001B3F94"/>
    <w:rsid w:val="001B433E"/>
    <w:rsid w:val="001B435D"/>
    <w:rsid w:val="001B442B"/>
    <w:rsid w:val="001B4495"/>
    <w:rsid w:val="001B4893"/>
    <w:rsid w:val="001B48BE"/>
    <w:rsid w:val="001B4C2B"/>
    <w:rsid w:val="001B4EE3"/>
    <w:rsid w:val="001B50A2"/>
    <w:rsid w:val="001B54C7"/>
    <w:rsid w:val="001B5821"/>
    <w:rsid w:val="001B59A9"/>
    <w:rsid w:val="001B5A5C"/>
    <w:rsid w:val="001B5B0E"/>
    <w:rsid w:val="001B5BCC"/>
    <w:rsid w:val="001B5E69"/>
    <w:rsid w:val="001B61EB"/>
    <w:rsid w:val="001B64BC"/>
    <w:rsid w:val="001B6559"/>
    <w:rsid w:val="001B66A0"/>
    <w:rsid w:val="001B6885"/>
    <w:rsid w:val="001B6D78"/>
    <w:rsid w:val="001B729D"/>
    <w:rsid w:val="001B74F1"/>
    <w:rsid w:val="001B79DB"/>
    <w:rsid w:val="001B7F49"/>
    <w:rsid w:val="001C0110"/>
    <w:rsid w:val="001C01F1"/>
    <w:rsid w:val="001C0224"/>
    <w:rsid w:val="001C02B5"/>
    <w:rsid w:val="001C02E7"/>
    <w:rsid w:val="001C0355"/>
    <w:rsid w:val="001C04BB"/>
    <w:rsid w:val="001C05A4"/>
    <w:rsid w:val="001C08CC"/>
    <w:rsid w:val="001C09DC"/>
    <w:rsid w:val="001C0B81"/>
    <w:rsid w:val="001C0C36"/>
    <w:rsid w:val="001C0C44"/>
    <w:rsid w:val="001C0C73"/>
    <w:rsid w:val="001C0D00"/>
    <w:rsid w:val="001C0D67"/>
    <w:rsid w:val="001C0F7C"/>
    <w:rsid w:val="001C1253"/>
    <w:rsid w:val="001C12AA"/>
    <w:rsid w:val="001C13A7"/>
    <w:rsid w:val="001C1506"/>
    <w:rsid w:val="001C17E4"/>
    <w:rsid w:val="001C194C"/>
    <w:rsid w:val="001C1BA8"/>
    <w:rsid w:val="001C1C7E"/>
    <w:rsid w:val="001C1EFB"/>
    <w:rsid w:val="001C2252"/>
    <w:rsid w:val="001C2254"/>
    <w:rsid w:val="001C230D"/>
    <w:rsid w:val="001C2A2D"/>
    <w:rsid w:val="001C2BC2"/>
    <w:rsid w:val="001C2DC3"/>
    <w:rsid w:val="001C2E21"/>
    <w:rsid w:val="001C322A"/>
    <w:rsid w:val="001C335B"/>
    <w:rsid w:val="001C353C"/>
    <w:rsid w:val="001C4435"/>
    <w:rsid w:val="001C4D4E"/>
    <w:rsid w:val="001C4DD0"/>
    <w:rsid w:val="001C4F9F"/>
    <w:rsid w:val="001C4FAF"/>
    <w:rsid w:val="001C54E1"/>
    <w:rsid w:val="001C5B6B"/>
    <w:rsid w:val="001C5CB7"/>
    <w:rsid w:val="001C5E6D"/>
    <w:rsid w:val="001C5ED4"/>
    <w:rsid w:val="001C5FFD"/>
    <w:rsid w:val="001C6132"/>
    <w:rsid w:val="001C636B"/>
    <w:rsid w:val="001C6392"/>
    <w:rsid w:val="001C63B6"/>
    <w:rsid w:val="001C64E3"/>
    <w:rsid w:val="001C6575"/>
    <w:rsid w:val="001C681C"/>
    <w:rsid w:val="001C6A65"/>
    <w:rsid w:val="001C6B36"/>
    <w:rsid w:val="001C6D5C"/>
    <w:rsid w:val="001C6D9D"/>
    <w:rsid w:val="001C701C"/>
    <w:rsid w:val="001C7582"/>
    <w:rsid w:val="001C75DC"/>
    <w:rsid w:val="001C768A"/>
    <w:rsid w:val="001C7F39"/>
    <w:rsid w:val="001D06AE"/>
    <w:rsid w:val="001D06CD"/>
    <w:rsid w:val="001D087C"/>
    <w:rsid w:val="001D09DC"/>
    <w:rsid w:val="001D0C6A"/>
    <w:rsid w:val="001D0C78"/>
    <w:rsid w:val="001D0F86"/>
    <w:rsid w:val="001D145F"/>
    <w:rsid w:val="001D1462"/>
    <w:rsid w:val="001D1483"/>
    <w:rsid w:val="001D1704"/>
    <w:rsid w:val="001D190A"/>
    <w:rsid w:val="001D1A38"/>
    <w:rsid w:val="001D1A6E"/>
    <w:rsid w:val="001D1F12"/>
    <w:rsid w:val="001D1FC0"/>
    <w:rsid w:val="001D2803"/>
    <w:rsid w:val="001D2E00"/>
    <w:rsid w:val="001D2FAC"/>
    <w:rsid w:val="001D31EB"/>
    <w:rsid w:val="001D37BA"/>
    <w:rsid w:val="001D388D"/>
    <w:rsid w:val="001D3954"/>
    <w:rsid w:val="001D3A9E"/>
    <w:rsid w:val="001D3F4E"/>
    <w:rsid w:val="001D4276"/>
    <w:rsid w:val="001D4533"/>
    <w:rsid w:val="001D45FD"/>
    <w:rsid w:val="001D4A33"/>
    <w:rsid w:val="001D4AF5"/>
    <w:rsid w:val="001D4EC8"/>
    <w:rsid w:val="001D5006"/>
    <w:rsid w:val="001D590C"/>
    <w:rsid w:val="001D592F"/>
    <w:rsid w:val="001D5E14"/>
    <w:rsid w:val="001D5EC3"/>
    <w:rsid w:val="001D615F"/>
    <w:rsid w:val="001D633C"/>
    <w:rsid w:val="001D700E"/>
    <w:rsid w:val="001D7654"/>
    <w:rsid w:val="001D7706"/>
    <w:rsid w:val="001D778D"/>
    <w:rsid w:val="001D78AB"/>
    <w:rsid w:val="001D78EF"/>
    <w:rsid w:val="001D7B2E"/>
    <w:rsid w:val="001D7B80"/>
    <w:rsid w:val="001D7CA1"/>
    <w:rsid w:val="001D7CC4"/>
    <w:rsid w:val="001D7DCE"/>
    <w:rsid w:val="001D7E11"/>
    <w:rsid w:val="001D7E92"/>
    <w:rsid w:val="001D7FED"/>
    <w:rsid w:val="001E008B"/>
    <w:rsid w:val="001E056A"/>
    <w:rsid w:val="001E05F6"/>
    <w:rsid w:val="001E0717"/>
    <w:rsid w:val="001E0850"/>
    <w:rsid w:val="001E08B9"/>
    <w:rsid w:val="001E0AA2"/>
    <w:rsid w:val="001E0AE6"/>
    <w:rsid w:val="001E0F53"/>
    <w:rsid w:val="001E0F56"/>
    <w:rsid w:val="001E1275"/>
    <w:rsid w:val="001E1450"/>
    <w:rsid w:val="001E14DF"/>
    <w:rsid w:val="001E1500"/>
    <w:rsid w:val="001E1924"/>
    <w:rsid w:val="001E1B99"/>
    <w:rsid w:val="001E1BBC"/>
    <w:rsid w:val="001E1CF4"/>
    <w:rsid w:val="001E1EDA"/>
    <w:rsid w:val="001E1FA5"/>
    <w:rsid w:val="001E2475"/>
    <w:rsid w:val="001E2625"/>
    <w:rsid w:val="001E27A7"/>
    <w:rsid w:val="001E27F5"/>
    <w:rsid w:val="001E2A84"/>
    <w:rsid w:val="001E2BB1"/>
    <w:rsid w:val="001E2CE4"/>
    <w:rsid w:val="001E2D67"/>
    <w:rsid w:val="001E2E65"/>
    <w:rsid w:val="001E3384"/>
    <w:rsid w:val="001E36AF"/>
    <w:rsid w:val="001E394C"/>
    <w:rsid w:val="001E3F36"/>
    <w:rsid w:val="001E4382"/>
    <w:rsid w:val="001E43D8"/>
    <w:rsid w:val="001E43EC"/>
    <w:rsid w:val="001E4413"/>
    <w:rsid w:val="001E456E"/>
    <w:rsid w:val="001E4727"/>
    <w:rsid w:val="001E4BD4"/>
    <w:rsid w:val="001E4FD0"/>
    <w:rsid w:val="001E50CF"/>
    <w:rsid w:val="001E53FB"/>
    <w:rsid w:val="001E5539"/>
    <w:rsid w:val="001E55F3"/>
    <w:rsid w:val="001E5685"/>
    <w:rsid w:val="001E5843"/>
    <w:rsid w:val="001E5AE9"/>
    <w:rsid w:val="001E5E92"/>
    <w:rsid w:val="001E6082"/>
    <w:rsid w:val="001E6128"/>
    <w:rsid w:val="001E613C"/>
    <w:rsid w:val="001E6456"/>
    <w:rsid w:val="001E698B"/>
    <w:rsid w:val="001E6B37"/>
    <w:rsid w:val="001E6D98"/>
    <w:rsid w:val="001E7050"/>
    <w:rsid w:val="001E70A0"/>
    <w:rsid w:val="001E70D0"/>
    <w:rsid w:val="001E7108"/>
    <w:rsid w:val="001E7110"/>
    <w:rsid w:val="001E715D"/>
    <w:rsid w:val="001E72D1"/>
    <w:rsid w:val="001E7398"/>
    <w:rsid w:val="001E74BD"/>
    <w:rsid w:val="001E75CE"/>
    <w:rsid w:val="001E7643"/>
    <w:rsid w:val="001E79CB"/>
    <w:rsid w:val="001E7D3C"/>
    <w:rsid w:val="001F01A2"/>
    <w:rsid w:val="001F01F3"/>
    <w:rsid w:val="001F02E6"/>
    <w:rsid w:val="001F05BB"/>
    <w:rsid w:val="001F06C1"/>
    <w:rsid w:val="001F0794"/>
    <w:rsid w:val="001F07B4"/>
    <w:rsid w:val="001F10B1"/>
    <w:rsid w:val="001F130D"/>
    <w:rsid w:val="001F1708"/>
    <w:rsid w:val="001F183E"/>
    <w:rsid w:val="001F19BD"/>
    <w:rsid w:val="001F1B73"/>
    <w:rsid w:val="001F1D65"/>
    <w:rsid w:val="001F1FB6"/>
    <w:rsid w:val="001F22DB"/>
    <w:rsid w:val="001F23A7"/>
    <w:rsid w:val="001F23D4"/>
    <w:rsid w:val="001F23DE"/>
    <w:rsid w:val="001F25AB"/>
    <w:rsid w:val="001F28A0"/>
    <w:rsid w:val="001F2B06"/>
    <w:rsid w:val="001F2D90"/>
    <w:rsid w:val="001F3002"/>
    <w:rsid w:val="001F307D"/>
    <w:rsid w:val="001F31A0"/>
    <w:rsid w:val="001F32A3"/>
    <w:rsid w:val="001F338E"/>
    <w:rsid w:val="001F3659"/>
    <w:rsid w:val="001F36BB"/>
    <w:rsid w:val="001F3814"/>
    <w:rsid w:val="001F39E1"/>
    <w:rsid w:val="001F3BCC"/>
    <w:rsid w:val="001F3D57"/>
    <w:rsid w:val="001F407D"/>
    <w:rsid w:val="001F411A"/>
    <w:rsid w:val="001F416B"/>
    <w:rsid w:val="001F41D4"/>
    <w:rsid w:val="001F43BF"/>
    <w:rsid w:val="001F4681"/>
    <w:rsid w:val="001F46A8"/>
    <w:rsid w:val="001F46E6"/>
    <w:rsid w:val="001F4ACB"/>
    <w:rsid w:val="001F4E34"/>
    <w:rsid w:val="001F4F4B"/>
    <w:rsid w:val="001F5237"/>
    <w:rsid w:val="001F52F6"/>
    <w:rsid w:val="001F546B"/>
    <w:rsid w:val="001F564D"/>
    <w:rsid w:val="001F5B72"/>
    <w:rsid w:val="001F5DDC"/>
    <w:rsid w:val="001F5E3B"/>
    <w:rsid w:val="001F6084"/>
    <w:rsid w:val="001F62DC"/>
    <w:rsid w:val="001F6C83"/>
    <w:rsid w:val="001F7035"/>
    <w:rsid w:val="001F7045"/>
    <w:rsid w:val="001F718B"/>
    <w:rsid w:val="001F7281"/>
    <w:rsid w:val="001F75D6"/>
    <w:rsid w:val="001F7987"/>
    <w:rsid w:val="001F7A09"/>
    <w:rsid w:val="001F7E9B"/>
    <w:rsid w:val="001F7F09"/>
    <w:rsid w:val="00200160"/>
    <w:rsid w:val="002005FD"/>
    <w:rsid w:val="00200A86"/>
    <w:rsid w:val="00200B45"/>
    <w:rsid w:val="00200CD8"/>
    <w:rsid w:val="00200D2A"/>
    <w:rsid w:val="00200E25"/>
    <w:rsid w:val="002010A0"/>
    <w:rsid w:val="00201150"/>
    <w:rsid w:val="00201288"/>
    <w:rsid w:val="002016C6"/>
    <w:rsid w:val="00201974"/>
    <w:rsid w:val="00201998"/>
    <w:rsid w:val="002019B8"/>
    <w:rsid w:val="002019CC"/>
    <w:rsid w:val="00201A18"/>
    <w:rsid w:val="00201A1B"/>
    <w:rsid w:val="00201AFB"/>
    <w:rsid w:val="00201B3C"/>
    <w:rsid w:val="00201B44"/>
    <w:rsid w:val="00201E69"/>
    <w:rsid w:val="00201EBF"/>
    <w:rsid w:val="0020286C"/>
    <w:rsid w:val="00202899"/>
    <w:rsid w:val="0020293F"/>
    <w:rsid w:val="00202964"/>
    <w:rsid w:val="00202D88"/>
    <w:rsid w:val="0020319A"/>
    <w:rsid w:val="00203544"/>
    <w:rsid w:val="0020388E"/>
    <w:rsid w:val="002039C7"/>
    <w:rsid w:val="00203A7B"/>
    <w:rsid w:val="00203BB2"/>
    <w:rsid w:val="00203BE8"/>
    <w:rsid w:val="00203CA4"/>
    <w:rsid w:val="00203D8B"/>
    <w:rsid w:val="00203D9E"/>
    <w:rsid w:val="00203DC0"/>
    <w:rsid w:val="00204638"/>
    <w:rsid w:val="0020467F"/>
    <w:rsid w:val="002046DD"/>
    <w:rsid w:val="00204BAD"/>
    <w:rsid w:val="00204E53"/>
    <w:rsid w:val="00205141"/>
    <w:rsid w:val="002052DD"/>
    <w:rsid w:val="0020534A"/>
    <w:rsid w:val="002056C6"/>
    <w:rsid w:val="00205A61"/>
    <w:rsid w:val="00205B7B"/>
    <w:rsid w:val="00205BB7"/>
    <w:rsid w:val="00205C7A"/>
    <w:rsid w:val="00205EF6"/>
    <w:rsid w:val="00205F71"/>
    <w:rsid w:val="00206030"/>
    <w:rsid w:val="00206084"/>
    <w:rsid w:val="002062B6"/>
    <w:rsid w:val="00206337"/>
    <w:rsid w:val="00206649"/>
    <w:rsid w:val="0020687E"/>
    <w:rsid w:val="0020693C"/>
    <w:rsid w:val="002069BC"/>
    <w:rsid w:val="00206B25"/>
    <w:rsid w:val="00206C05"/>
    <w:rsid w:val="00206C3A"/>
    <w:rsid w:val="00207044"/>
    <w:rsid w:val="00207139"/>
    <w:rsid w:val="00207624"/>
    <w:rsid w:val="002078E9"/>
    <w:rsid w:val="0020798C"/>
    <w:rsid w:val="00207E7C"/>
    <w:rsid w:val="00210109"/>
    <w:rsid w:val="002102FB"/>
    <w:rsid w:val="002105A2"/>
    <w:rsid w:val="002108C0"/>
    <w:rsid w:val="00210B64"/>
    <w:rsid w:val="002111DD"/>
    <w:rsid w:val="00211246"/>
    <w:rsid w:val="002112E4"/>
    <w:rsid w:val="002113EC"/>
    <w:rsid w:val="002116F2"/>
    <w:rsid w:val="00211CFB"/>
    <w:rsid w:val="00211EAA"/>
    <w:rsid w:val="00212665"/>
    <w:rsid w:val="00212736"/>
    <w:rsid w:val="00212EEC"/>
    <w:rsid w:val="00212F7E"/>
    <w:rsid w:val="00212FC2"/>
    <w:rsid w:val="002137E2"/>
    <w:rsid w:val="00213C82"/>
    <w:rsid w:val="00213C9F"/>
    <w:rsid w:val="002142E2"/>
    <w:rsid w:val="00214834"/>
    <w:rsid w:val="00214E15"/>
    <w:rsid w:val="00214EDF"/>
    <w:rsid w:val="00215278"/>
    <w:rsid w:val="00215558"/>
    <w:rsid w:val="00215CC8"/>
    <w:rsid w:val="00215FC8"/>
    <w:rsid w:val="0021674B"/>
    <w:rsid w:val="00216B32"/>
    <w:rsid w:val="00216B76"/>
    <w:rsid w:val="0021703F"/>
    <w:rsid w:val="00217050"/>
    <w:rsid w:val="00217053"/>
    <w:rsid w:val="00217357"/>
    <w:rsid w:val="00217584"/>
    <w:rsid w:val="002178AA"/>
    <w:rsid w:val="00217995"/>
    <w:rsid w:val="0022000D"/>
    <w:rsid w:val="00220143"/>
    <w:rsid w:val="002201D7"/>
    <w:rsid w:val="00220472"/>
    <w:rsid w:val="002204EE"/>
    <w:rsid w:val="00220C3F"/>
    <w:rsid w:val="00220CA6"/>
    <w:rsid w:val="00220CC2"/>
    <w:rsid w:val="00220CC3"/>
    <w:rsid w:val="00220E1D"/>
    <w:rsid w:val="00220F22"/>
    <w:rsid w:val="00221306"/>
    <w:rsid w:val="0022135A"/>
    <w:rsid w:val="00221409"/>
    <w:rsid w:val="002214BA"/>
    <w:rsid w:val="00221604"/>
    <w:rsid w:val="0022166E"/>
    <w:rsid w:val="002216D4"/>
    <w:rsid w:val="0022182A"/>
    <w:rsid w:val="00221FFB"/>
    <w:rsid w:val="0022206F"/>
    <w:rsid w:val="00222215"/>
    <w:rsid w:val="00222708"/>
    <w:rsid w:val="00222755"/>
    <w:rsid w:val="00222824"/>
    <w:rsid w:val="00222877"/>
    <w:rsid w:val="00222B12"/>
    <w:rsid w:val="00223041"/>
    <w:rsid w:val="00223218"/>
    <w:rsid w:val="002233EB"/>
    <w:rsid w:val="002234CB"/>
    <w:rsid w:val="002235C4"/>
    <w:rsid w:val="0022372C"/>
    <w:rsid w:val="00223800"/>
    <w:rsid w:val="0022385F"/>
    <w:rsid w:val="00223911"/>
    <w:rsid w:val="00223B16"/>
    <w:rsid w:val="00223FC7"/>
    <w:rsid w:val="0022442B"/>
    <w:rsid w:val="002249FB"/>
    <w:rsid w:val="00224B0B"/>
    <w:rsid w:val="00225234"/>
    <w:rsid w:val="00225353"/>
    <w:rsid w:val="00225505"/>
    <w:rsid w:val="0022553F"/>
    <w:rsid w:val="00225CDE"/>
    <w:rsid w:val="00225D03"/>
    <w:rsid w:val="00225D70"/>
    <w:rsid w:val="00225FA7"/>
    <w:rsid w:val="0022602A"/>
    <w:rsid w:val="002260E6"/>
    <w:rsid w:val="002261F8"/>
    <w:rsid w:val="002262DB"/>
    <w:rsid w:val="002264BE"/>
    <w:rsid w:val="002264EA"/>
    <w:rsid w:val="0022726A"/>
    <w:rsid w:val="002274F9"/>
    <w:rsid w:val="002275E6"/>
    <w:rsid w:val="002277C7"/>
    <w:rsid w:val="0022780F"/>
    <w:rsid w:val="00227E90"/>
    <w:rsid w:val="00227FED"/>
    <w:rsid w:val="0023008A"/>
    <w:rsid w:val="00230290"/>
    <w:rsid w:val="002302F9"/>
    <w:rsid w:val="00230403"/>
    <w:rsid w:val="002305EF"/>
    <w:rsid w:val="002309DB"/>
    <w:rsid w:val="00231094"/>
    <w:rsid w:val="00231474"/>
    <w:rsid w:val="0023170C"/>
    <w:rsid w:val="00231938"/>
    <w:rsid w:val="00231998"/>
    <w:rsid w:val="002319A0"/>
    <w:rsid w:val="00231EE4"/>
    <w:rsid w:val="00231FE2"/>
    <w:rsid w:val="002324FB"/>
    <w:rsid w:val="002325DF"/>
    <w:rsid w:val="002326F7"/>
    <w:rsid w:val="00232900"/>
    <w:rsid w:val="00232B63"/>
    <w:rsid w:val="00232DFF"/>
    <w:rsid w:val="00233403"/>
    <w:rsid w:val="0023392A"/>
    <w:rsid w:val="00233B39"/>
    <w:rsid w:val="00233D64"/>
    <w:rsid w:val="00234729"/>
    <w:rsid w:val="00234DD0"/>
    <w:rsid w:val="00234E49"/>
    <w:rsid w:val="00234E96"/>
    <w:rsid w:val="0023525E"/>
    <w:rsid w:val="002353F8"/>
    <w:rsid w:val="00235575"/>
    <w:rsid w:val="002359F0"/>
    <w:rsid w:val="00235C97"/>
    <w:rsid w:val="00235D14"/>
    <w:rsid w:val="00235D35"/>
    <w:rsid w:val="00235E38"/>
    <w:rsid w:val="00236118"/>
    <w:rsid w:val="00236519"/>
    <w:rsid w:val="0023725F"/>
    <w:rsid w:val="00237274"/>
    <w:rsid w:val="00237474"/>
    <w:rsid w:val="002375C0"/>
    <w:rsid w:val="00237D91"/>
    <w:rsid w:val="002405BA"/>
    <w:rsid w:val="0024068E"/>
    <w:rsid w:val="002406CE"/>
    <w:rsid w:val="002407ED"/>
    <w:rsid w:val="0024093E"/>
    <w:rsid w:val="00240A27"/>
    <w:rsid w:val="00240E63"/>
    <w:rsid w:val="0024139E"/>
    <w:rsid w:val="00241B54"/>
    <w:rsid w:val="00241C3A"/>
    <w:rsid w:val="00241D16"/>
    <w:rsid w:val="00242074"/>
    <w:rsid w:val="00242145"/>
    <w:rsid w:val="00242424"/>
    <w:rsid w:val="00242453"/>
    <w:rsid w:val="00242806"/>
    <w:rsid w:val="002429EB"/>
    <w:rsid w:val="00242CDB"/>
    <w:rsid w:val="0024329B"/>
    <w:rsid w:val="00243462"/>
    <w:rsid w:val="00243491"/>
    <w:rsid w:val="002437F9"/>
    <w:rsid w:val="002438B4"/>
    <w:rsid w:val="00243C5C"/>
    <w:rsid w:val="00243E26"/>
    <w:rsid w:val="00243F45"/>
    <w:rsid w:val="00244145"/>
    <w:rsid w:val="00244257"/>
    <w:rsid w:val="002444AB"/>
    <w:rsid w:val="0024453F"/>
    <w:rsid w:val="00244AEC"/>
    <w:rsid w:val="00244DC1"/>
    <w:rsid w:val="00244DDD"/>
    <w:rsid w:val="00245260"/>
    <w:rsid w:val="0024528B"/>
    <w:rsid w:val="0024542C"/>
    <w:rsid w:val="00245A21"/>
    <w:rsid w:val="00245CF2"/>
    <w:rsid w:val="00246169"/>
    <w:rsid w:val="0024636D"/>
    <w:rsid w:val="00247098"/>
    <w:rsid w:val="0024748D"/>
    <w:rsid w:val="002475F6"/>
    <w:rsid w:val="00247809"/>
    <w:rsid w:val="00247899"/>
    <w:rsid w:val="002479F7"/>
    <w:rsid w:val="00247C7E"/>
    <w:rsid w:val="00250432"/>
    <w:rsid w:val="002504EB"/>
    <w:rsid w:val="002507E1"/>
    <w:rsid w:val="0025092C"/>
    <w:rsid w:val="00250A20"/>
    <w:rsid w:val="00250A8D"/>
    <w:rsid w:val="00250E98"/>
    <w:rsid w:val="00251090"/>
    <w:rsid w:val="00251177"/>
    <w:rsid w:val="0025134B"/>
    <w:rsid w:val="0025161D"/>
    <w:rsid w:val="00251AD8"/>
    <w:rsid w:val="00251DBC"/>
    <w:rsid w:val="00251F02"/>
    <w:rsid w:val="00251F07"/>
    <w:rsid w:val="00251FA8"/>
    <w:rsid w:val="002520B2"/>
    <w:rsid w:val="00252140"/>
    <w:rsid w:val="002521CA"/>
    <w:rsid w:val="00252355"/>
    <w:rsid w:val="002523A3"/>
    <w:rsid w:val="00252480"/>
    <w:rsid w:val="002526B0"/>
    <w:rsid w:val="002527A3"/>
    <w:rsid w:val="002527F8"/>
    <w:rsid w:val="0025289F"/>
    <w:rsid w:val="00252AB3"/>
    <w:rsid w:val="00252B3C"/>
    <w:rsid w:val="00252B75"/>
    <w:rsid w:val="00252E19"/>
    <w:rsid w:val="00253385"/>
    <w:rsid w:val="0025360B"/>
    <w:rsid w:val="00253A8E"/>
    <w:rsid w:val="00253B22"/>
    <w:rsid w:val="00253C1D"/>
    <w:rsid w:val="00253E69"/>
    <w:rsid w:val="002540C3"/>
    <w:rsid w:val="0025430F"/>
    <w:rsid w:val="002544C2"/>
    <w:rsid w:val="002547CD"/>
    <w:rsid w:val="0025480C"/>
    <w:rsid w:val="0025480D"/>
    <w:rsid w:val="00254811"/>
    <w:rsid w:val="00254827"/>
    <w:rsid w:val="0025485C"/>
    <w:rsid w:val="00254BB8"/>
    <w:rsid w:val="00254D5F"/>
    <w:rsid w:val="00255151"/>
    <w:rsid w:val="00255788"/>
    <w:rsid w:val="00255B70"/>
    <w:rsid w:val="00255FE3"/>
    <w:rsid w:val="00256032"/>
    <w:rsid w:val="002560CB"/>
    <w:rsid w:val="002566B7"/>
    <w:rsid w:val="00256950"/>
    <w:rsid w:val="00256B2F"/>
    <w:rsid w:val="00256BFB"/>
    <w:rsid w:val="00256FAD"/>
    <w:rsid w:val="0025708B"/>
    <w:rsid w:val="002573C9"/>
    <w:rsid w:val="00257479"/>
    <w:rsid w:val="002576A2"/>
    <w:rsid w:val="002577DB"/>
    <w:rsid w:val="002579AE"/>
    <w:rsid w:val="002579F5"/>
    <w:rsid w:val="00257A69"/>
    <w:rsid w:val="00257CB7"/>
    <w:rsid w:val="00257F00"/>
    <w:rsid w:val="002609AF"/>
    <w:rsid w:val="00260A86"/>
    <w:rsid w:val="00260A89"/>
    <w:rsid w:val="00261034"/>
    <w:rsid w:val="00261603"/>
    <w:rsid w:val="002616A3"/>
    <w:rsid w:val="0026173E"/>
    <w:rsid w:val="00261B37"/>
    <w:rsid w:val="00262099"/>
    <w:rsid w:val="00262631"/>
    <w:rsid w:val="00262721"/>
    <w:rsid w:val="0026291C"/>
    <w:rsid w:val="002629D5"/>
    <w:rsid w:val="00262A11"/>
    <w:rsid w:val="00263777"/>
    <w:rsid w:val="00263898"/>
    <w:rsid w:val="002639BE"/>
    <w:rsid w:val="00263B26"/>
    <w:rsid w:val="00263D07"/>
    <w:rsid w:val="00264304"/>
    <w:rsid w:val="002643BE"/>
    <w:rsid w:val="002644B6"/>
    <w:rsid w:val="002644FA"/>
    <w:rsid w:val="00264557"/>
    <w:rsid w:val="002645E6"/>
    <w:rsid w:val="00264968"/>
    <w:rsid w:val="00264A5B"/>
    <w:rsid w:val="00264DAF"/>
    <w:rsid w:val="00264F2D"/>
    <w:rsid w:val="002652F3"/>
    <w:rsid w:val="00265523"/>
    <w:rsid w:val="0026562F"/>
    <w:rsid w:val="00265887"/>
    <w:rsid w:val="002658C4"/>
    <w:rsid w:val="00265B39"/>
    <w:rsid w:val="00265FA9"/>
    <w:rsid w:val="002664AC"/>
    <w:rsid w:val="0026688A"/>
    <w:rsid w:val="002668E7"/>
    <w:rsid w:val="002669D8"/>
    <w:rsid w:val="00266AF4"/>
    <w:rsid w:val="00266B15"/>
    <w:rsid w:val="00266C15"/>
    <w:rsid w:val="00266D24"/>
    <w:rsid w:val="00266D4B"/>
    <w:rsid w:val="00267A4D"/>
    <w:rsid w:val="00267DF4"/>
    <w:rsid w:val="00270152"/>
    <w:rsid w:val="0027015E"/>
    <w:rsid w:val="002702BE"/>
    <w:rsid w:val="002707C7"/>
    <w:rsid w:val="00270883"/>
    <w:rsid w:val="00270D9F"/>
    <w:rsid w:val="0027129A"/>
    <w:rsid w:val="00271356"/>
    <w:rsid w:val="00271539"/>
    <w:rsid w:val="002717B2"/>
    <w:rsid w:val="00271866"/>
    <w:rsid w:val="00271903"/>
    <w:rsid w:val="00271AC4"/>
    <w:rsid w:val="00271F63"/>
    <w:rsid w:val="00271FA7"/>
    <w:rsid w:val="0027234F"/>
    <w:rsid w:val="002723E9"/>
    <w:rsid w:val="002724EA"/>
    <w:rsid w:val="00272565"/>
    <w:rsid w:val="00272621"/>
    <w:rsid w:val="00272636"/>
    <w:rsid w:val="00272794"/>
    <w:rsid w:val="00272C15"/>
    <w:rsid w:val="002735D7"/>
    <w:rsid w:val="00273753"/>
    <w:rsid w:val="002737D7"/>
    <w:rsid w:val="00273836"/>
    <w:rsid w:val="00273ACB"/>
    <w:rsid w:val="00273DAD"/>
    <w:rsid w:val="00274214"/>
    <w:rsid w:val="00274384"/>
    <w:rsid w:val="002744BC"/>
    <w:rsid w:val="0027480F"/>
    <w:rsid w:val="0027492A"/>
    <w:rsid w:val="00274B0F"/>
    <w:rsid w:val="00274E2D"/>
    <w:rsid w:val="00274EE1"/>
    <w:rsid w:val="0027509C"/>
    <w:rsid w:val="002752D3"/>
    <w:rsid w:val="002756F9"/>
    <w:rsid w:val="00275C9B"/>
    <w:rsid w:val="00275DC8"/>
    <w:rsid w:val="00276038"/>
    <w:rsid w:val="002760A5"/>
    <w:rsid w:val="00276119"/>
    <w:rsid w:val="00276294"/>
    <w:rsid w:val="002764F1"/>
    <w:rsid w:val="00276544"/>
    <w:rsid w:val="0027662C"/>
    <w:rsid w:val="0027696D"/>
    <w:rsid w:val="00276FC2"/>
    <w:rsid w:val="002770A9"/>
    <w:rsid w:val="002770C1"/>
    <w:rsid w:val="002775B9"/>
    <w:rsid w:val="0027774E"/>
    <w:rsid w:val="00277757"/>
    <w:rsid w:val="00277B31"/>
    <w:rsid w:val="00277E9C"/>
    <w:rsid w:val="002805B1"/>
    <w:rsid w:val="002805D8"/>
    <w:rsid w:val="00280836"/>
    <w:rsid w:val="0028093B"/>
    <w:rsid w:val="00280BAC"/>
    <w:rsid w:val="00281003"/>
    <w:rsid w:val="00281140"/>
    <w:rsid w:val="002813CE"/>
    <w:rsid w:val="002818BC"/>
    <w:rsid w:val="00281AD1"/>
    <w:rsid w:val="00281AEF"/>
    <w:rsid w:val="00281F17"/>
    <w:rsid w:val="00281FAC"/>
    <w:rsid w:val="002821E3"/>
    <w:rsid w:val="00282479"/>
    <w:rsid w:val="002824E8"/>
    <w:rsid w:val="00282589"/>
    <w:rsid w:val="00282963"/>
    <w:rsid w:val="002829C5"/>
    <w:rsid w:val="00282F79"/>
    <w:rsid w:val="00283374"/>
    <w:rsid w:val="0028340E"/>
    <w:rsid w:val="00283769"/>
    <w:rsid w:val="00283B39"/>
    <w:rsid w:val="00283D00"/>
    <w:rsid w:val="00283D07"/>
    <w:rsid w:val="00283D44"/>
    <w:rsid w:val="0028406A"/>
    <w:rsid w:val="0028463E"/>
    <w:rsid w:val="00284878"/>
    <w:rsid w:val="00284A85"/>
    <w:rsid w:val="00284D06"/>
    <w:rsid w:val="00284DEA"/>
    <w:rsid w:val="00285037"/>
    <w:rsid w:val="002855A0"/>
    <w:rsid w:val="00285705"/>
    <w:rsid w:val="00285753"/>
    <w:rsid w:val="00285925"/>
    <w:rsid w:val="00285B1B"/>
    <w:rsid w:val="00285E23"/>
    <w:rsid w:val="00285FAC"/>
    <w:rsid w:val="002860D7"/>
    <w:rsid w:val="002863DE"/>
    <w:rsid w:val="00286400"/>
    <w:rsid w:val="00286401"/>
    <w:rsid w:val="002865C6"/>
    <w:rsid w:val="00286ABA"/>
    <w:rsid w:val="00287043"/>
    <w:rsid w:val="002870AD"/>
    <w:rsid w:val="002870CF"/>
    <w:rsid w:val="002871A1"/>
    <w:rsid w:val="00287361"/>
    <w:rsid w:val="00287B0D"/>
    <w:rsid w:val="00287C6C"/>
    <w:rsid w:val="00287CEE"/>
    <w:rsid w:val="00287DCD"/>
    <w:rsid w:val="00287FB5"/>
    <w:rsid w:val="0029027B"/>
    <w:rsid w:val="0029036A"/>
    <w:rsid w:val="00290558"/>
    <w:rsid w:val="0029080F"/>
    <w:rsid w:val="0029095F"/>
    <w:rsid w:val="00290ABE"/>
    <w:rsid w:val="00290B32"/>
    <w:rsid w:val="00291045"/>
    <w:rsid w:val="0029122A"/>
    <w:rsid w:val="00291250"/>
    <w:rsid w:val="00291692"/>
    <w:rsid w:val="002916EA"/>
    <w:rsid w:val="00291949"/>
    <w:rsid w:val="00291961"/>
    <w:rsid w:val="00291B1C"/>
    <w:rsid w:val="00291D57"/>
    <w:rsid w:val="00291DD9"/>
    <w:rsid w:val="00291FD9"/>
    <w:rsid w:val="002921BC"/>
    <w:rsid w:val="0029227C"/>
    <w:rsid w:val="00292EBC"/>
    <w:rsid w:val="0029302F"/>
    <w:rsid w:val="0029322F"/>
    <w:rsid w:val="0029325C"/>
    <w:rsid w:val="00293262"/>
    <w:rsid w:val="0029349E"/>
    <w:rsid w:val="002934E8"/>
    <w:rsid w:val="00293566"/>
    <w:rsid w:val="002939D0"/>
    <w:rsid w:val="00293ADC"/>
    <w:rsid w:val="00293D74"/>
    <w:rsid w:val="00293E41"/>
    <w:rsid w:val="00293E95"/>
    <w:rsid w:val="00294484"/>
    <w:rsid w:val="002946BE"/>
    <w:rsid w:val="0029477E"/>
    <w:rsid w:val="00294799"/>
    <w:rsid w:val="00294929"/>
    <w:rsid w:val="00294964"/>
    <w:rsid w:val="00294DC0"/>
    <w:rsid w:val="0029571C"/>
    <w:rsid w:val="00295759"/>
    <w:rsid w:val="002959E5"/>
    <w:rsid w:val="00295A11"/>
    <w:rsid w:val="00295B67"/>
    <w:rsid w:val="00296066"/>
    <w:rsid w:val="0029613F"/>
    <w:rsid w:val="00296210"/>
    <w:rsid w:val="00296367"/>
    <w:rsid w:val="00296603"/>
    <w:rsid w:val="00296A68"/>
    <w:rsid w:val="00296BC5"/>
    <w:rsid w:val="00296C04"/>
    <w:rsid w:val="00296DDD"/>
    <w:rsid w:val="002970D6"/>
    <w:rsid w:val="002977FB"/>
    <w:rsid w:val="00297A71"/>
    <w:rsid w:val="00297E69"/>
    <w:rsid w:val="00297E7F"/>
    <w:rsid w:val="00297EC6"/>
    <w:rsid w:val="00297FD8"/>
    <w:rsid w:val="002A00C2"/>
    <w:rsid w:val="002A0198"/>
    <w:rsid w:val="002A02A2"/>
    <w:rsid w:val="002A051D"/>
    <w:rsid w:val="002A05AF"/>
    <w:rsid w:val="002A0850"/>
    <w:rsid w:val="002A09B6"/>
    <w:rsid w:val="002A0BD2"/>
    <w:rsid w:val="002A10BD"/>
    <w:rsid w:val="002A10E0"/>
    <w:rsid w:val="002A11B2"/>
    <w:rsid w:val="002A121C"/>
    <w:rsid w:val="002A1261"/>
    <w:rsid w:val="002A12BA"/>
    <w:rsid w:val="002A12DD"/>
    <w:rsid w:val="002A13C9"/>
    <w:rsid w:val="002A1467"/>
    <w:rsid w:val="002A14FC"/>
    <w:rsid w:val="002A1AD9"/>
    <w:rsid w:val="002A1D7B"/>
    <w:rsid w:val="002A2104"/>
    <w:rsid w:val="002A2524"/>
    <w:rsid w:val="002A25EE"/>
    <w:rsid w:val="002A281B"/>
    <w:rsid w:val="002A2FBE"/>
    <w:rsid w:val="002A2FEF"/>
    <w:rsid w:val="002A31A3"/>
    <w:rsid w:val="002A32F7"/>
    <w:rsid w:val="002A35E6"/>
    <w:rsid w:val="002A3795"/>
    <w:rsid w:val="002A389A"/>
    <w:rsid w:val="002A3910"/>
    <w:rsid w:val="002A3949"/>
    <w:rsid w:val="002A3CBF"/>
    <w:rsid w:val="002A3EFC"/>
    <w:rsid w:val="002A4067"/>
    <w:rsid w:val="002A52EE"/>
    <w:rsid w:val="002A54FD"/>
    <w:rsid w:val="002A56A2"/>
    <w:rsid w:val="002A5E81"/>
    <w:rsid w:val="002A5FCF"/>
    <w:rsid w:val="002A6262"/>
    <w:rsid w:val="002A644A"/>
    <w:rsid w:val="002A6628"/>
    <w:rsid w:val="002A67A7"/>
    <w:rsid w:val="002A6811"/>
    <w:rsid w:val="002A6849"/>
    <w:rsid w:val="002A6944"/>
    <w:rsid w:val="002A69CE"/>
    <w:rsid w:val="002A6A3D"/>
    <w:rsid w:val="002A6B42"/>
    <w:rsid w:val="002A6F56"/>
    <w:rsid w:val="002A7288"/>
    <w:rsid w:val="002A75DD"/>
    <w:rsid w:val="002A7638"/>
    <w:rsid w:val="002A77E7"/>
    <w:rsid w:val="002A7C75"/>
    <w:rsid w:val="002B0182"/>
    <w:rsid w:val="002B01BC"/>
    <w:rsid w:val="002B04CB"/>
    <w:rsid w:val="002B06E8"/>
    <w:rsid w:val="002B06FA"/>
    <w:rsid w:val="002B09D4"/>
    <w:rsid w:val="002B0E0C"/>
    <w:rsid w:val="002B1477"/>
    <w:rsid w:val="002B15C6"/>
    <w:rsid w:val="002B1958"/>
    <w:rsid w:val="002B199A"/>
    <w:rsid w:val="002B1A9E"/>
    <w:rsid w:val="002B1D84"/>
    <w:rsid w:val="002B1DB5"/>
    <w:rsid w:val="002B1F1B"/>
    <w:rsid w:val="002B1FC8"/>
    <w:rsid w:val="002B1FFA"/>
    <w:rsid w:val="002B202C"/>
    <w:rsid w:val="002B2986"/>
    <w:rsid w:val="002B2A57"/>
    <w:rsid w:val="002B2EB3"/>
    <w:rsid w:val="002B2F5D"/>
    <w:rsid w:val="002B30F9"/>
    <w:rsid w:val="002B376E"/>
    <w:rsid w:val="002B3AD1"/>
    <w:rsid w:val="002B40BD"/>
    <w:rsid w:val="002B44D2"/>
    <w:rsid w:val="002B4852"/>
    <w:rsid w:val="002B48CD"/>
    <w:rsid w:val="002B48E3"/>
    <w:rsid w:val="002B4BEF"/>
    <w:rsid w:val="002B4DBD"/>
    <w:rsid w:val="002B4E03"/>
    <w:rsid w:val="002B51DE"/>
    <w:rsid w:val="002B5447"/>
    <w:rsid w:val="002B5872"/>
    <w:rsid w:val="002B5939"/>
    <w:rsid w:val="002B5AD3"/>
    <w:rsid w:val="002B5E35"/>
    <w:rsid w:val="002B5FC7"/>
    <w:rsid w:val="002B6197"/>
    <w:rsid w:val="002B61B5"/>
    <w:rsid w:val="002B6630"/>
    <w:rsid w:val="002B673A"/>
    <w:rsid w:val="002B6C89"/>
    <w:rsid w:val="002B6CAD"/>
    <w:rsid w:val="002B71D7"/>
    <w:rsid w:val="002B738F"/>
    <w:rsid w:val="002B7479"/>
    <w:rsid w:val="002B77D2"/>
    <w:rsid w:val="002B7825"/>
    <w:rsid w:val="002B78A2"/>
    <w:rsid w:val="002C0016"/>
    <w:rsid w:val="002C013D"/>
    <w:rsid w:val="002C0623"/>
    <w:rsid w:val="002C0CD9"/>
    <w:rsid w:val="002C0E1D"/>
    <w:rsid w:val="002C0EAE"/>
    <w:rsid w:val="002C1327"/>
    <w:rsid w:val="002C1393"/>
    <w:rsid w:val="002C1731"/>
    <w:rsid w:val="002C17EC"/>
    <w:rsid w:val="002C1AEF"/>
    <w:rsid w:val="002C21C0"/>
    <w:rsid w:val="002C2530"/>
    <w:rsid w:val="002C27B0"/>
    <w:rsid w:val="002C2E53"/>
    <w:rsid w:val="002C2F19"/>
    <w:rsid w:val="002C3393"/>
    <w:rsid w:val="002C3438"/>
    <w:rsid w:val="002C348E"/>
    <w:rsid w:val="002C34E4"/>
    <w:rsid w:val="002C35DA"/>
    <w:rsid w:val="002C3A5C"/>
    <w:rsid w:val="002C3AE4"/>
    <w:rsid w:val="002C407D"/>
    <w:rsid w:val="002C425E"/>
    <w:rsid w:val="002C436B"/>
    <w:rsid w:val="002C449A"/>
    <w:rsid w:val="002C479D"/>
    <w:rsid w:val="002C486A"/>
    <w:rsid w:val="002C4885"/>
    <w:rsid w:val="002C48A3"/>
    <w:rsid w:val="002C4B9A"/>
    <w:rsid w:val="002C4C7F"/>
    <w:rsid w:val="002C4D4C"/>
    <w:rsid w:val="002C4E83"/>
    <w:rsid w:val="002C528F"/>
    <w:rsid w:val="002C541D"/>
    <w:rsid w:val="002C5769"/>
    <w:rsid w:val="002C57BE"/>
    <w:rsid w:val="002C5801"/>
    <w:rsid w:val="002C5A13"/>
    <w:rsid w:val="002C5B77"/>
    <w:rsid w:val="002C6310"/>
    <w:rsid w:val="002C6520"/>
    <w:rsid w:val="002C6529"/>
    <w:rsid w:val="002C66CB"/>
    <w:rsid w:val="002C6765"/>
    <w:rsid w:val="002C6ACB"/>
    <w:rsid w:val="002C6B9C"/>
    <w:rsid w:val="002C6C14"/>
    <w:rsid w:val="002C6F30"/>
    <w:rsid w:val="002C7272"/>
    <w:rsid w:val="002C7298"/>
    <w:rsid w:val="002C761A"/>
    <w:rsid w:val="002C7763"/>
    <w:rsid w:val="002C7B5F"/>
    <w:rsid w:val="002C7C65"/>
    <w:rsid w:val="002C7C9C"/>
    <w:rsid w:val="002C7F75"/>
    <w:rsid w:val="002C7FBA"/>
    <w:rsid w:val="002D00E1"/>
    <w:rsid w:val="002D016C"/>
    <w:rsid w:val="002D0EFF"/>
    <w:rsid w:val="002D0F20"/>
    <w:rsid w:val="002D0F49"/>
    <w:rsid w:val="002D0F4E"/>
    <w:rsid w:val="002D0FCF"/>
    <w:rsid w:val="002D1489"/>
    <w:rsid w:val="002D1BED"/>
    <w:rsid w:val="002D2806"/>
    <w:rsid w:val="002D2969"/>
    <w:rsid w:val="002D2AFF"/>
    <w:rsid w:val="002D3043"/>
    <w:rsid w:val="002D31C1"/>
    <w:rsid w:val="002D326C"/>
    <w:rsid w:val="002D3301"/>
    <w:rsid w:val="002D34DF"/>
    <w:rsid w:val="002D3553"/>
    <w:rsid w:val="002D37D3"/>
    <w:rsid w:val="002D384C"/>
    <w:rsid w:val="002D3A7D"/>
    <w:rsid w:val="002D3B6F"/>
    <w:rsid w:val="002D41B8"/>
    <w:rsid w:val="002D42F4"/>
    <w:rsid w:val="002D445E"/>
    <w:rsid w:val="002D44BC"/>
    <w:rsid w:val="002D458D"/>
    <w:rsid w:val="002D476D"/>
    <w:rsid w:val="002D4B3A"/>
    <w:rsid w:val="002D4BBF"/>
    <w:rsid w:val="002D4C69"/>
    <w:rsid w:val="002D51D1"/>
    <w:rsid w:val="002D56F0"/>
    <w:rsid w:val="002D5784"/>
    <w:rsid w:val="002D585E"/>
    <w:rsid w:val="002D5A5A"/>
    <w:rsid w:val="002D5FF9"/>
    <w:rsid w:val="002D624B"/>
    <w:rsid w:val="002D643F"/>
    <w:rsid w:val="002D64F0"/>
    <w:rsid w:val="002D653C"/>
    <w:rsid w:val="002D668E"/>
    <w:rsid w:val="002D670A"/>
    <w:rsid w:val="002D6966"/>
    <w:rsid w:val="002D6A55"/>
    <w:rsid w:val="002D6B87"/>
    <w:rsid w:val="002D6C54"/>
    <w:rsid w:val="002D6E3C"/>
    <w:rsid w:val="002D73C8"/>
    <w:rsid w:val="002D79EA"/>
    <w:rsid w:val="002D7A58"/>
    <w:rsid w:val="002D7E79"/>
    <w:rsid w:val="002E00D3"/>
    <w:rsid w:val="002E00E3"/>
    <w:rsid w:val="002E0151"/>
    <w:rsid w:val="002E01EB"/>
    <w:rsid w:val="002E0546"/>
    <w:rsid w:val="002E0573"/>
    <w:rsid w:val="002E0A2A"/>
    <w:rsid w:val="002E0E98"/>
    <w:rsid w:val="002E1013"/>
    <w:rsid w:val="002E111D"/>
    <w:rsid w:val="002E11BF"/>
    <w:rsid w:val="002E1243"/>
    <w:rsid w:val="002E129B"/>
    <w:rsid w:val="002E1419"/>
    <w:rsid w:val="002E19AB"/>
    <w:rsid w:val="002E216F"/>
    <w:rsid w:val="002E235B"/>
    <w:rsid w:val="002E25B5"/>
    <w:rsid w:val="002E26B5"/>
    <w:rsid w:val="002E26DA"/>
    <w:rsid w:val="002E2A12"/>
    <w:rsid w:val="002E2B35"/>
    <w:rsid w:val="002E2CA3"/>
    <w:rsid w:val="002E2E71"/>
    <w:rsid w:val="002E3407"/>
    <w:rsid w:val="002E394F"/>
    <w:rsid w:val="002E3984"/>
    <w:rsid w:val="002E3AB3"/>
    <w:rsid w:val="002E3DA7"/>
    <w:rsid w:val="002E3DEA"/>
    <w:rsid w:val="002E41CB"/>
    <w:rsid w:val="002E443C"/>
    <w:rsid w:val="002E46C4"/>
    <w:rsid w:val="002E4ACD"/>
    <w:rsid w:val="002E4F6A"/>
    <w:rsid w:val="002E512F"/>
    <w:rsid w:val="002E532E"/>
    <w:rsid w:val="002E5383"/>
    <w:rsid w:val="002E5409"/>
    <w:rsid w:val="002E5554"/>
    <w:rsid w:val="002E563A"/>
    <w:rsid w:val="002E5EF5"/>
    <w:rsid w:val="002E61BD"/>
    <w:rsid w:val="002E6235"/>
    <w:rsid w:val="002E6591"/>
    <w:rsid w:val="002E6872"/>
    <w:rsid w:val="002E6992"/>
    <w:rsid w:val="002E6DD9"/>
    <w:rsid w:val="002E70ED"/>
    <w:rsid w:val="002E710F"/>
    <w:rsid w:val="002E734C"/>
    <w:rsid w:val="002E73A0"/>
    <w:rsid w:val="002E77D5"/>
    <w:rsid w:val="002E7839"/>
    <w:rsid w:val="002E78B5"/>
    <w:rsid w:val="002E7E10"/>
    <w:rsid w:val="002E7E44"/>
    <w:rsid w:val="002E7EA2"/>
    <w:rsid w:val="002F008D"/>
    <w:rsid w:val="002F0317"/>
    <w:rsid w:val="002F0325"/>
    <w:rsid w:val="002F03AE"/>
    <w:rsid w:val="002F0968"/>
    <w:rsid w:val="002F0D17"/>
    <w:rsid w:val="002F0DB8"/>
    <w:rsid w:val="002F0F24"/>
    <w:rsid w:val="002F10A5"/>
    <w:rsid w:val="002F1228"/>
    <w:rsid w:val="002F1249"/>
    <w:rsid w:val="002F1546"/>
    <w:rsid w:val="002F16B6"/>
    <w:rsid w:val="002F193B"/>
    <w:rsid w:val="002F1AE9"/>
    <w:rsid w:val="002F1BDF"/>
    <w:rsid w:val="002F1D50"/>
    <w:rsid w:val="002F2003"/>
    <w:rsid w:val="002F248A"/>
    <w:rsid w:val="002F251E"/>
    <w:rsid w:val="002F2584"/>
    <w:rsid w:val="002F2C06"/>
    <w:rsid w:val="002F2CBF"/>
    <w:rsid w:val="002F2CF1"/>
    <w:rsid w:val="002F305D"/>
    <w:rsid w:val="002F315B"/>
    <w:rsid w:val="002F34C4"/>
    <w:rsid w:val="002F35E2"/>
    <w:rsid w:val="002F36D3"/>
    <w:rsid w:val="002F37C8"/>
    <w:rsid w:val="002F3B8C"/>
    <w:rsid w:val="002F3CE8"/>
    <w:rsid w:val="002F3F60"/>
    <w:rsid w:val="002F4532"/>
    <w:rsid w:val="002F4666"/>
    <w:rsid w:val="002F4AA0"/>
    <w:rsid w:val="002F4B5B"/>
    <w:rsid w:val="002F4D75"/>
    <w:rsid w:val="002F5209"/>
    <w:rsid w:val="002F5448"/>
    <w:rsid w:val="002F5632"/>
    <w:rsid w:val="002F58F2"/>
    <w:rsid w:val="002F590D"/>
    <w:rsid w:val="002F5A9F"/>
    <w:rsid w:val="002F5ADF"/>
    <w:rsid w:val="002F5B51"/>
    <w:rsid w:val="002F5B9E"/>
    <w:rsid w:val="002F5C86"/>
    <w:rsid w:val="002F5EE3"/>
    <w:rsid w:val="002F65FF"/>
    <w:rsid w:val="002F66DC"/>
    <w:rsid w:val="002F68DF"/>
    <w:rsid w:val="002F6B44"/>
    <w:rsid w:val="002F6CEC"/>
    <w:rsid w:val="002F6CF0"/>
    <w:rsid w:val="002F6D69"/>
    <w:rsid w:val="002F6FDA"/>
    <w:rsid w:val="002F762C"/>
    <w:rsid w:val="002F7659"/>
    <w:rsid w:val="002F7709"/>
    <w:rsid w:val="002F7965"/>
    <w:rsid w:val="0030002D"/>
    <w:rsid w:val="003002A3"/>
    <w:rsid w:val="003005C5"/>
    <w:rsid w:val="0030067B"/>
    <w:rsid w:val="0030089F"/>
    <w:rsid w:val="00300A42"/>
    <w:rsid w:val="00300A65"/>
    <w:rsid w:val="00301695"/>
    <w:rsid w:val="00301873"/>
    <w:rsid w:val="00301B4C"/>
    <w:rsid w:val="00301BB6"/>
    <w:rsid w:val="00301BD3"/>
    <w:rsid w:val="00301DC9"/>
    <w:rsid w:val="00301E17"/>
    <w:rsid w:val="00302363"/>
    <w:rsid w:val="00302379"/>
    <w:rsid w:val="00302429"/>
    <w:rsid w:val="00302AF1"/>
    <w:rsid w:val="00302BA4"/>
    <w:rsid w:val="00302C2F"/>
    <w:rsid w:val="00302D64"/>
    <w:rsid w:val="00302DBB"/>
    <w:rsid w:val="00302DD7"/>
    <w:rsid w:val="00302F02"/>
    <w:rsid w:val="00303182"/>
    <w:rsid w:val="00303291"/>
    <w:rsid w:val="00303485"/>
    <w:rsid w:val="003036FB"/>
    <w:rsid w:val="00303BB0"/>
    <w:rsid w:val="00303DAD"/>
    <w:rsid w:val="00303FAF"/>
    <w:rsid w:val="0030426A"/>
    <w:rsid w:val="00304355"/>
    <w:rsid w:val="003043ED"/>
    <w:rsid w:val="00304B00"/>
    <w:rsid w:val="00304B87"/>
    <w:rsid w:val="00304CD3"/>
    <w:rsid w:val="00304D1E"/>
    <w:rsid w:val="00304D73"/>
    <w:rsid w:val="00304EEC"/>
    <w:rsid w:val="00304F97"/>
    <w:rsid w:val="003053C6"/>
    <w:rsid w:val="00305568"/>
    <w:rsid w:val="00305744"/>
    <w:rsid w:val="00305C81"/>
    <w:rsid w:val="00305D16"/>
    <w:rsid w:val="00305D8B"/>
    <w:rsid w:val="003060BC"/>
    <w:rsid w:val="00306379"/>
    <w:rsid w:val="00306423"/>
    <w:rsid w:val="00306674"/>
    <w:rsid w:val="003066F5"/>
    <w:rsid w:val="0030685A"/>
    <w:rsid w:val="0030688D"/>
    <w:rsid w:val="00306B75"/>
    <w:rsid w:val="00306BF1"/>
    <w:rsid w:val="00306D68"/>
    <w:rsid w:val="00306DF8"/>
    <w:rsid w:val="00306E30"/>
    <w:rsid w:val="00307447"/>
    <w:rsid w:val="0030755A"/>
    <w:rsid w:val="00307990"/>
    <w:rsid w:val="003079B7"/>
    <w:rsid w:val="00310054"/>
    <w:rsid w:val="0031005F"/>
    <w:rsid w:val="00310218"/>
    <w:rsid w:val="0031030A"/>
    <w:rsid w:val="00310397"/>
    <w:rsid w:val="00310406"/>
    <w:rsid w:val="00310473"/>
    <w:rsid w:val="00310506"/>
    <w:rsid w:val="003105CD"/>
    <w:rsid w:val="00310880"/>
    <w:rsid w:val="00310881"/>
    <w:rsid w:val="003109E3"/>
    <w:rsid w:val="00310CF1"/>
    <w:rsid w:val="0031125E"/>
    <w:rsid w:val="00311443"/>
    <w:rsid w:val="00311643"/>
    <w:rsid w:val="00311688"/>
    <w:rsid w:val="00311B22"/>
    <w:rsid w:val="00311B81"/>
    <w:rsid w:val="00311DE3"/>
    <w:rsid w:val="003120AA"/>
    <w:rsid w:val="003123CB"/>
    <w:rsid w:val="003128ED"/>
    <w:rsid w:val="00312B4C"/>
    <w:rsid w:val="00312BDE"/>
    <w:rsid w:val="0031311B"/>
    <w:rsid w:val="00313363"/>
    <w:rsid w:val="0031385B"/>
    <w:rsid w:val="003138E4"/>
    <w:rsid w:val="003139F0"/>
    <w:rsid w:val="00313E03"/>
    <w:rsid w:val="00313E34"/>
    <w:rsid w:val="00313F4E"/>
    <w:rsid w:val="00313F78"/>
    <w:rsid w:val="003142C0"/>
    <w:rsid w:val="00314607"/>
    <w:rsid w:val="0031474D"/>
    <w:rsid w:val="0031477E"/>
    <w:rsid w:val="00314896"/>
    <w:rsid w:val="00314A6C"/>
    <w:rsid w:val="00314F05"/>
    <w:rsid w:val="00314F8E"/>
    <w:rsid w:val="003159F0"/>
    <w:rsid w:val="00315BC7"/>
    <w:rsid w:val="00315C92"/>
    <w:rsid w:val="003160DE"/>
    <w:rsid w:val="003162EA"/>
    <w:rsid w:val="00316313"/>
    <w:rsid w:val="00316420"/>
    <w:rsid w:val="0031663B"/>
    <w:rsid w:val="003170DD"/>
    <w:rsid w:val="0031725C"/>
    <w:rsid w:val="003172EF"/>
    <w:rsid w:val="00317569"/>
    <w:rsid w:val="00317856"/>
    <w:rsid w:val="00317ECA"/>
    <w:rsid w:val="003200D9"/>
    <w:rsid w:val="003204E2"/>
    <w:rsid w:val="00320747"/>
    <w:rsid w:val="00320748"/>
    <w:rsid w:val="0032085C"/>
    <w:rsid w:val="00320968"/>
    <w:rsid w:val="00320A37"/>
    <w:rsid w:val="00320AAB"/>
    <w:rsid w:val="00320E63"/>
    <w:rsid w:val="0032111A"/>
    <w:rsid w:val="0032119A"/>
    <w:rsid w:val="00321382"/>
    <w:rsid w:val="0032145D"/>
    <w:rsid w:val="0032153C"/>
    <w:rsid w:val="003217BF"/>
    <w:rsid w:val="003219A5"/>
    <w:rsid w:val="00321ACF"/>
    <w:rsid w:val="00321CC7"/>
    <w:rsid w:val="003220C0"/>
    <w:rsid w:val="00322349"/>
    <w:rsid w:val="0032290A"/>
    <w:rsid w:val="00322AEA"/>
    <w:rsid w:val="0032334E"/>
    <w:rsid w:val="003233E0"/>
    <w:rsid w:val="0032356E"/>
    <w:rsid w:val="00323609"/>
    <w:rsid w:val="00323900"/>
    <w:rsid w:val="00323C66"/>
    <w:rsid w:val="00323F9E"/>
    <w:rsid w:val="00324003"/>
    <w:rsid w:val="003241D8"/>
    <w:rsid w:val="00324228"/>
    <w:rsid w:val="003243A4"/>
    <w:rsid w:val="003243D2"/>
    <w:rsid w:val="00324638"/>
    <w:rsid w:val="0032473D"/>
    <w:rsid w:val="00324946"/>
    <w:rsid w:val="00324EE2"/>
    <w:rsid w:val="00325476"/>
    <w:rsid w:val="00325AB2"/>
    <w:rsid w:val="00325B1F"/>
    <w:rsid w:val="00325E3F"/>
    <w:rsid w:val="003260BE"/>
    <w:rsid w:val="003261FF"/>
    <w:rsid w:val="00326634"/>
    <w:rsid w:val="0032672A"/>
    <w:rsid w:val="00326747"/>
    <w:rsid w:val="0032680D"/>
    <w:rsid w:val="00326EEE"/>
    <w:rsid w:val="00327067"/>
    <w:rsid w:val="00327071"/>
    <w:rsid w:val="00327095"/>
    <w:rsid w:val="003270E2"/>
    <w:rsid w:val="003272FB"/>
    <w:rsid w:val="0032735F"/>
    <w:rsid w:val="00327423"/>
    <w:rsid w:val="00327481"/>
    <w:rsid w:val="00327922"/>
    <w:rsid w:val="0032792E"/>
    <w:rsid w:val="00327F75"/>
    <w:rsid w:val="00327FD2"/>
    <w:rsid w:val="0033015C"/>
    <w:rsid w:val="00330514"/>
    <w:rsid w:val="003305EA"/>
    <w:rsid w:val="00330759"/>
    <w:rsid w:val="003309E0"/>
    <w:rsid w:val="00330D93"/>
    <w:rsid w:val="00330D9C"/>
    <w:rsid w:val="00330E1C"/>
    <w:rsid w:val="00331273"/>
    <w:rsid w:val="003312F1"/>
    <w:rsid w:val="00331506"/>
    <w:rsid w:val="003315D8"/>
    <w:rsid w:val="003317E3"/>
    <w:rsid w:val="00332224"/>
    <w:rsid w:val="00332339"/>
    <w:rsid w:val="003323D8"/>
    <w:rsid w:val="00332409"/>
    <w:rsid w:val="0033271C"/>
    <w:rsid w:val="00332BCA"/>
    <w:rsid w:val="00333036"/>
    <w:rsid w:val="00333119"/>
    <w:rsid w:val="003333BA"/>
    <w:rsid w:val="0033342D"/>
    <w:rsid w:val="003334DA"/>
    <w:rsid w:val="003337B8"/>
    <w:rsid w:val="003337C8"/>
    <w:rsid w:val="0033385C"/>
    <w:rsid w:val="0033393F"/>
    <w:rsid w:val="00333A0C"/>
    <w:rsid w:val="00333DF1"/>
    <w:rsid w:val="00333F5C"/>
    <w:rsid w:val="00333FF7"/>
    <w:rsid w:val="0033419A"/>
    <w:rsid w:val="00334367"/>
    <w:rsid w:val="0033450E"/>
    <w:rsid w:val="00334515"/>
    <w:rsid w:val="0033485D"/>
    <w:rsid w:val="003349E2"/>
    <w:rsid w:val="00334AB2"/>
    <w:rsid w:val="00334E0C"/>
    <w:rsid w:val="00334E58"/>
    <w:rsid w:val="00334F86"/>
    <w:rsid w:val="00334FEB"/>
    <w:rsid w:val="00335009"/>
    <w:rsid w:val="0033518C"/>
    <w:rsid w:val="003353BB"/>
    <w:rsid w:val="00335436"/>
    <w:rsid w:val="00335534"/>
    <w:rsid w:val="0033555F"/>
    <w:rsid w:val="0033570C"/>
    <w:rsid w:val="003359A5"/>
    <w:rsid w:val="00335ADF"/>
    <w:rsid w:val="00335B54"/>
    <w:rsid w:val="00335BB2"/>
    <w:rsid w:val="00335F4F"/>
    <w:rsid w:val="00335F79"/>
    <w:rsid w:val="00336034"/>
    <w:rsid w:val="0033608E"/>
    <w:rsid w:val="00336293"/>
    <w:rsid w:val="003362DE"/>
    <w:rsid w:val="00336506"/>
    <w:rsid w:val="0033666A"/>
    <w:rsid w:val="00336CAE"/>
    <w:rsid w:val="00336E89"/>
    <w:rsid w:val="00336EB9"/>
    <w:rsid w:val="0033710E"/>
    <w:rsid w:val="00337196"/>
    <w:rsid w:val="003371B2"/>
    <w:rsid w:val="0033723B"/>
    <w:rsid w:val="0033733B"/>
    <w:rsid w:val="003379C9"/>
    <w:rsid w:val="003404CF"/>
    <w:rsid w:val="003407C2"/>
    <w:rsid w:val="00340CA4"/>
    <w:rsid w:val="00340FD0"/>
    <w:rsid w:val="003411CF"/>
    <w:rsid w:val="003414D1"/>
    <w:rsid w:val="00341547"/>
    <w:rsid w:val="00341620"/>
    <w:rsid w:val="00341859"/>
    <w:rsid w:val="00341B30"/>
    <w:rsid w:val="00341BF8"/>
    <w:rsid w:val="00341DAB"/>
    <w:rsid w:val="00341FE1"/>
    <w:rsid w:val="00342001"/>
    <w:rsid w:val="003420BA"/>
    <w:rsid w:val="00342965"/>
    <w:rsid w:val="0034330D"/>
    <w:rsid w:val="00343527"/>
    <w:rsid w:val="0034367E"/>
    <w:rsid w:val="00343872"/>
    <w:rsid w:val="00343ECC"/>
    <w:rsid w:val="00344092"/>
    <w:rsid w:val="00344233"/>
    <w:rsid w:val="00344238"/>
    <w:rsid w:val="00344493"/>
    <w:rsid w:val="00344A45"/>
    <w:rsid w:val="00344C69"/>
    <w:rsid w:val="00344CE8"/>
    <w:rsid w:val="00344D6E"/>
    <w:rsid w:val="00344FF2"/>
    <w:rsid w:val="00345060"/>
    <w:rsid w:val="003451B4"/>
    <w:rsid w:val="00345641"/>
    <w:rsid w:val="003456D8"/>
    <w:rsid w:val="003457A3"/>
    <w:rsid w:val="003458A7"/>
    <w:rsid w:val="00345968"/>
    <w:rsid w:val="00345C4E"/>
    <w:rsid w:val="00345F64"/>
    <w:rsid w:val="003462B0"/>
    <w:rsid w:val="003463AC"/>
    <w:rsid w:val="0034659F"/>
    <w:rsid w:val="003467A0"/>
    <w:rsid w:val="00346B9D"/>
    <w:rsid w:val="00346C1A"/>
    <w:rsid w:val="00346E07"/>
    <w:rsid w:val="00346E15"/>
    <w:rsid w:val="00347178"/>
    <w:rsid w:val="0034748B"/>
    <w:rsid w:val="00347533"/>
    <w:rsid w:val="0034758A"/>
    <w:rsid w:val="00347734"/>
    <w:rsid w:val="0034794F"/>
    <w:rsid w:val="00347A97"/>
    <w:rsid w:val="00347D80"/>
    <w:rsid w:val="00350233"/>
    <w:rsid w:val="00350357"/>
    <w:rsid w:val="0035051A"/>
    <w:rsid w:val="00350F46"/>
    <w:rsid w:val="00351087"/>
    <w:rsid w:val="0035113C"/>
    <w:rsid w:val="0035117F"/>
    <w:rsid w:val="003511F5"/>
    <w:rsid w:val="00351493"/>
    <w:rsid w:val="00351D78"/>
    <w:rsid w:val="00352014"/>
    <w:rsid w:val="003522B1"/>
    <w:rsid w:val="0035254D"/>
    <w:rsid w:val="0035280E"/>
    <w:rsid w:val="00352C28"/>
    <w:rsid w:val="00352D61"/>
    <w:rsid w:val="00352F83"/>
    <w:rsid w:val="00352FA7"/>
    <w:rsid w:val="00353853"/>
    <w:rsid w:val="00353B84"/>
    <w:rsid w:val="00353C57"/>
    <w:rsid w:val="00353D9D"/>
    <w:rsid w:val="00353E9C"/>
    <w:rsid w:val="0035465E"/>
    <w:rsid w:val="0035480E"/>
    <w:rsid w:val="00354B99"/>
    <w:rsid w:val="00354C1D"/>
    <w:rsid w:val="00354D94"/>
    <w:rsid w:val="00354FC3"/>
    <w:rsid w:val="00355856"/>
    <w:rsid w:val="00355C87"/>
    <w:rsid w:val="00355DD3"/>
    <w:rsid w:val="00355F0B"/>
    <w:rsid w:val="00355F35"/>
    <w:rsid w:val="003560DA"/>
    <w:rsid w:val="0035625A"/>
    <w:rsid w:val="003569CD"/>
    <w:rsid w:val="00356C16"/>
    <w:rsid w:val="00356DBE"/>
    <w:rsid w:val="003570E6"/>
    <w:rsid w:val="003571CA"/>
    <w:rsid w:val="003574A4"/>
    <w:rsid w:val="003575DA"/>
    <w:rsid w:val="003575F7"/>
    <w:rsid w:val="0035774B"/>
    <w:rsid w:val="0035775B"/>
    <w:rsid w:val="003577D3"/>
    <w:rsid w:val="003578A7"/>
    <w:rsid w:val="00357ABA"/>
    <w:rsid w:val="00357CDA"/>
    <w:rsid w:val="00357D41"/>
    <w:rsid w:val="00357EB1"/>
    <w:rsid w:val="00360101"/>
    <w:rsid w:val="003603B9"/>
    <w:rsid w:val="0036049A"/>
    <w:rsid w:val="00360595"/>
    <w:rsid w:val="00360649"/>
    <w:rsid w:val="0036089A"/>
    <w:rsid w:val="003609FD"/>
    <w:rsid w:val="00360B2B"/>
    <w:rsid w:val="00360DF1"/>
    <w:rsid w:val="00360E62"/>
    <w:rsid w:val="00360F62"/>
    <w:rsid w:val="00361099"/>
    <w:rsid w:val="003611BB"/>
    <w:rsid w:val="00361457"/>
    <w:rsid w:val="00361E48"/>
    <w:rsid w:val="00362098"/>
    <w:rsid w:val="00362369"/>
    <w:rsid w:val="0036238D"/>
    <w:rsid w:val="003624AC"/>
    <w:rsid w:val="00362576"/>
    <w:rsid w:val="003626EE"/>
    <w:rsid w:val="00362998"/>
    <w:rsid w:val="00362C8D"/>
    <w:rsid w:val="00362F5B"/>
    <w:rsid w:val="00363211"/>
    <w:rsid w:val="003632CB"/>
    <w:rsid w:val="0036333F"/>
    <w:rsid w:val="00363342"/>
    <w:rsid w:val="003634EE"/>
    <w:rsid w:val="0036370C"/>
    <w:rsid w:val="003637AE"/>
    <w:rsid w:val="003637C2"/>
    <w:rsid w:val="00363B85"/>
    <w:rsid w:val="00363DDE"/>
    <w:rsid w:val="00363EBC"/>
    <w:rsid w:val="003641F2"/>
    <w:rsid w:val="003643EE"/>
    <w:rsid w:val="003645CE"/>
    <w:rsid w:val="003648F6"/>
    <w:rsid w:val="00364CA2"/>
    <w:rsid w:val="00364D4D"/>
    <w:rsid w:val="00364D56"/>
    <w:rsid w:val="0036520F"/>
    <w:rsid w:val="00365354"/>
    <w:rsid w:val="00365735"/>
    <w:rsid w:val="0036588F"/>
    <w:rsid w:val="00365917"/>
    <w:rsid w:val="00365AFC"/>
    <w:rsid w:val="00365B03"/>
    <w:rsid w:val="00365C68"/>
    <w:rsid w:val="00365E7B"/>
    <w:rsid w:val="00366078"/>
    <w:rsid w:val="00366101"/>
    <w:rsid w:val="003661F1"/>
    <w:rsid w:val="0036623A"/>
    <w:rsid w:val="00366476"/>
    <w:rsid w:val="00366601"/>
    <w:rsid w:val="00366B2D"/>
    <w:rsid w:val="00366BE5"/>
    <w:rsid w:val="00366C15"/>
    <w:rsid w:val="00366F32"/>
    <w:rsid w:val="00366F5E"/>
    <w:rsid w:val="003671AD"/>
    <w:rsid w:val="003672C9"/>
    <w:rsid w:val="00367302"/>
    <w:rsid w:val="00367487"/>
    <w:rsid w:val="0036750B"/>
    <w:rsid w:val="0036773D"/>
    <w:rsid w:val="00367D86"/>
    <w:rsid w:val="00367E77"/>
    <w:rsid w:val="003701E5"/>
    <w:rsid w:val="003705EB"/>
    <w:rsid w:val="0037079A"/>
    <w:rsid w:val="0037079D"/>
    <w:rsid w:val="003709C7"/>
    <w:rsid w:val="00370B20"/>
    <w:rsid w:val="00370B73"/>
    <w:rsid w:val="00371558"/>
    <w:rsid w:val="0037155A"/>
    <w:rsid w:val="003715E2"/>
    <w:rsid w:val="003715E3"/>
    <w:rsid w:val="003716E7"/>
    <w:rsid w:val="003717B7"/>
    <w:rsid w:val="00371849"/>
    <w:rsid w:val="00371A40"/>
    <w:rsid w:val="00371B05"/>
    <w:rsid w:val="00371B75"/>
    <w:rsid w:val="00371BAA"/>
    <w:rsid w:val="00371BC7"/>
    <w:rsid w:val="003722AF"/>
    <w:rsid w:val="00372495"/>
    <w:rsid w:val="003725CC"/>
    <w:rsid w:val="00372823"/>
    <w:rsid w:val="003728F7"/>
    <w:rsid w:val="00373001"/>
    <w:rsid w:val="0037304B"/>
    <w:rsid w:val="003731A1"/>
    <w:rsid w:val="0037337F"/>
    <w:rsid w:val="00373671"/>
    <w:rsid w:val="00373729"/>
    <w:rsid w:val="00373EE9"/>
    <w:rsid w:val="00373F5C"/>
    <w:rsid w:val="00374347"/>
    <w:rsid w:val="00374460"/>
    <w:rsid w:val="00374598"/>
    <w:rsid w:val="0037474B"/>
    <w:rsid w:val="003748FB"/>
    <w:rsid w:val="00374CD4"/>
    <w:rsid w:val="00374ECB"/>
    <w:rsid w:val="0037547D"/>
    <w:rsid w:val="00375A95"/>
    <w:rsid w:val="00375CDD"/>
    <w:rsid w:val="00375CEC"/>
    <w:rsid w:val="00375D07"/>
    <w:rsid w:val="003764FE"/>
    <w:rsid w:val="003767A6"/>
    <w:rsid w:val="00376865"/>
    <w:rsid w:val="00376988"/>
    <w:rsid w:val="003769C1"/>
    <w:rsid w:val="00376A9E"/>
    <w:rsid w:val="00376C94"/>
    <w:rsid w:val="00377B21"/>
    <w:rsid w:val="00377CEF"/>
    <w:rsid w:val="00377D7F"/>
    <w:rsid w:val="00377DFB"/>
    <w:rsid w:val="00377EEA"/>
    <w:rsid w:val="0038002A"/>
    <w:rsid w:val="003804CE"/>
    <w:rsid w:val="00380608"/>
    <w:rsid w:val="00380623"/>
    <w:rsid w:val="00380643"/>
    <w:rsid w:val="003806D4"/>
    <w:rsid w:val="00380737"/>
    <w:rsid w:val="00380818"/>
    <w:rsid w:val="00380AD2"/>
    <w:rsid w:val="00380C4A"/>
    <w:rsid w:val="00380D54"/>
    <w:rsid w:val="00380F9B"/>
    <w:rsid w:val="00381046"/>
    <w:rsid w:val="00381086"/>
    <w:rsid w:val="00381113"/>
    <w:rsid w:val="003811B7"/>
    <w:rsid w:val="00381402"/>
    <w:rsid w:val="00381433"/>
    <w:rsid w:val="0038194A"/>
    <w:rsid w:val="00381C5C"/>
    <w:rsid w:val="00381CDD"/>
    <w:rsid w:val="00381E03"/>
    <w:rsid w:val="00381E30"/>
    <w:rsid w:val="00381EDA"/>
    <w:rsid w:val="00381F4F"/>
    <w:rsid w:val="003820DC"/>
    <w:rsid w:val="003821E4"/>
    <w:rsid w:val="00382259"/>
    <w:rsid w:val="00382297"/>
    <w:rsid w:val="003824F4"/>
    <w:rsid w:val="00382DB0"/>
    <w:rsid w:val="00382E3B"/>
    <w:rsid w:val="00383076"/>
    <w:rsid w:val="00383392"/>
    <w:rsid w:val="003835D4"/>
    <w:rsid w:val="00383A8D"/>
    <w:rsid w:val="00383AB0"/>
    <w:rsid w:val="00383DA0"/>
    <w:rsid w:val="003842B0"/>
    <w:rsid w:val="0038432F"/>
    <w:rsid w:val="003843C6"/>
    <w:rsid w:val="003845FF"/>
    <w:rsid w:val="00384A9C"/>
    <w:rsid w:val="00384D3B"/>
    <w:rsid w:val="00384E14"/>
    <w:rsid w:val="00384F0F"/>
    <w:rsid w:val="0038542A"/>
    <w:rsid w:val="00385697"/>
    <w:rsid w:val="00385747"/>
    <w:rsid w:val="00385BDD"/>
    <w:rsid w:val="00386049"/>
    <w:rsid w:val="003861F3"/>
    <w:rsid w:val="00386906"/>
    <w:rsid w:val="00386A71"/>
    <w:rsid w:val="00386B15"/>
    <w:rsid w:val="003875D4"/>
    <w:rsid w:val="00387E6D"/>
    <w:rsid w:val="00387F37"/>
    <w:rsid w:val="00387FB8"/>
    <w:rsid w:val="00390115"/>
    <w:rsid w:val="003901E8"/>
    <w:rsid w:val="0039034C"/>
    <w:rsid w:val="00390351"/>
    <w:rsid w:val="0039057F"/>
    <w:rsid w:val="003907D5"/>
    <w:rsid w:val="00390809"/>
    <w:rsid w:val="003908B0"/>
    <w:rsid w:val="0039104F"/>
    <w:rsid w:val="00391747"/>
    <w:rsid w:val="00391820"/>
    <w:rsid w:val="00391AA7"/>
    <w:rsid w:val="00391AE0"/>
    <w:rsid w:val="00391F02"/>
    <w:rsid w:val="003924D6"/>
    <w:rsid w:val="0039259B"/>
    <w:rsid w:val="003929EE"/>
    <w:rsid w:val="00392D5C"/>
    <w:rsid w:val="00392E1D"/>
    <w:rsid w:val="003933DC"/>
    <w:rsid w:val="0039342B"/>
    <w:rsid w:val="003934E3"/>
    <w:rsid w:val="00393B6F"/>
    <w:rsid w:val="00393D43"/>
    <w:rsid w:val="00393DD8"/>
    <w:rsid w:val="003940D4"/>
    <w:rsid w:val="0039455D"/>
    <w:rsid w:val="0039496E"/>
    <w:rsid w:val="0039510E"/>
    <w:rsid w:val="003953DA"/>
    <w:rsid w:val="003955B2"/>
    <w:rsid w:val="003955B8"/>
    <w:rsid w:val="00395633"/>
    <w:rsid w:val="003956AB"/>
    <w:rsid w:val="0039579E"/>
    <w:rsid w:val="0039581D"/>
    <w:rsid w:val="003958C9"/>
    <w:rsid w:val="00395AED"/>
    <w:rsid w:val="00395C32"/>
    <w:rsid w:val="00395CC0"/>
    <w:rsid w:val="00395F10"/>
    <w:rsid w:val="00395FC8"/>
    <w:rsid w:val="00396004"/>
    <w:rsid w:val="003962A0"/>
    <w:rsid w:val="003962FB"/>
    <w:rsid w:val="00396850"/>
    <w:rsid w:val="00396D92"/>
    <w:rsid w:val="003970F0"/>
    <w:rsid w:val="0039719C"/>
    <w:rsid w:val="003971A5"/>
    <w:rsid w:val="0039752F"/>
    <w:rsid w:val="0039755B"/>
    <w:rsid w:val="003978F4"/>
    <w:rsid w:val="00397CAC"/>
    <w:rsid w:val="003A08C9"/>
    <w:rsid w:val="003A0920"/>
    <w:rsid w:val="003A0A68"/>
    <w:rsid w:val="003A0EE0"/>
    <w:rsid w:val="003A1217"/>
    <w:rsid w:val="003A17E4"/>
    <w:rsid w:val="003A1AE2"/>
    <w:rsid w:val="003A24E4"/>
    <w:rsid w:val="003A257A"/>
    <w:rsid w:val="003A25A9"/>
    <w:rsid w:val="003A28E3"/>
    <w:rsid w:val="003A2E71"/>
    <w:rsid w:val="003A2F98"/>
    <w:rsid w:val="003A30C9"/>
    <w:rsid w:val="003A330B"/>
    <w:rsid w:val="003A346A"/>
    <w:rsid w:val="003A36B9"/>
    <w:rsid w:val="003A3780"/>
    <w:rsid w:val="003A37BC"/>
    <w:rsid w:val="003A3BFE"/>
    <w:rsid w:val="003A3D3F"/>
    <w:rsid w:val="003A4181"/>
    <w:rsid w:val="003A4623"/>
    <w:rsid w:val="003A49FB"/>
    <w:rsid w:val="003A4B39"/>
    <w:rsid w:val="003A522A"/>
    <w:rsid w:val="003A52BC"/>
    <w:rsid w:val="003A54B5"/>
    <w:rsid w:val="003A56EA"/>
    <w:rsid w:val="003A570D"/>
    <w:rsid w:val="003A60E5"/>
    <w:rsid w:val="003A6407"/>
    <w:rsid w:val="003A6B4D"/>
    <w:rsid w:val="003A6B7A"/>
    <w:rsid w:val="003A6D1D"/>
    <w:rsid w:val="003A6E6A"/>
    <w:rsid w:val="003A7491"/>
    <w:rsid w:val="003A7829"/>
    <w:rsid w:val="003A78C8"/>
    <w:rsid w:val="003A7A4B"/>
    <w:rsid w:val="003A7CA2"/>
    <w:rsid w:val="003A7CB7"/>
    <w:rsid w:val="003B0175"/>
    <w:rsid w:val="003B04E1"/>
    <w:rsid w:val="003B04F5"/>
    <w:rsid w:val="003B0651"/>
    <w:rsid w:val="003B0843"/>
    <w:rsid w:val="003B0887"/>
    <w:rsid w:val="003B13B8"/>
    <w:rsid w:val="003B1429"/>
    <w:rsid w:val="003B158B"/>
    <w:rsid w:val="003B1818"/>
    <w:rsid w:val="003B1B19"/>
    <w:rsid w:val="003B1C5D"/>
    <w:rsid w:val="003B1DC0"/>
    <w:rsid w:val="003B1F09"/>
    <w:rsid w:val="003B2C5E"/>
    <w:rsid w:val="003B2C63"/>
    <w:rsid w:val="003B2D48"/>
    <w:rsid w:val="003B2F05"/>
    <w:rsid w:val="003B321C"/>
    <w:rsid w:val="003B3220"/>
    <w:rsid w:val="003B3244"/>
    <w:rsid w:val="003B34B2"/>
    <w:rsid w:val="003B36BD"/>
    <w:rsid w:val="003B39DF"/>
    <w:rsid w:val="003B3D00"/>
    <w:rsid w:val="003B3E34"/>
    <w:rsid w:val="003B3EDD"/>
    <w:rsid w:val="003B43F5"/>
    <w:rsid w:val="003B4831"/>
    <w:rsid w:val="003B4C80"/>
    <w:rsid w:val="003B52C1"/>
    <w:rsid w:val="003B54DB"/>
    <w:rsid w:val="003B5601"/>
    <w:rsid w:val="003B5C75"/>
    <w:rsid w:val="003B6032"/>
    <w:rsid w:val="003B63FF"/>
    <w:rsid w:val="003B6641"/>
    <w:rsid w:val="003B6660"/>
    <w:rsid w:val="003B678C"/>
    <w:rsid w:val="003B6897"/>
    <w:rsid w:val="003B6A80"/>
    <w:rsid w:val="003B714B"/>
    <w:rsid w:val="003B73FE"/>
    <w:rsid w:val="003B7551"/>
    <w:rsid w:val="003B76BE"/>
    <w:rsid w:val="003B7835"/>
    <w:rsid w:val="003B7DE6"/>
    <w:rsid w:val="003B7FC9"/>
    <w:rsid w:val="003C00F2"/>
    <w:rsid w:val="003C0457"/>
    <w:rsid w:val="003C048B"/>
    <w:rsid w:val="003C04E9"/>
    <w:rsid w:val="003C075F"/>
    <w:rsid w:val="003C080A"/>
    <w:rsid w:val="003C0C49"/>
    <w:rsid w:val="003C0D00"/>
    <w:rsid w:val="003C0ED9"/>
    <w:rsid w:val="003C13D4"/>
    <w:rsid w:val="003C1841"/>
    <w:rsid w:val="003C1C38"/>
    <w:rsid w:val="003C1D4E"/>
    <w:rsid w:val="003C1DCC"/>
    <w:rsid w:val="003C2055"/>
    <w:rsid w:val="003C20A4"/>
    <w:rsid w:val="003C20F2"/>
    <w:rsid w:val="003C2192"/>
    <w:rsid w:val="003C219E"/>
    <w:rsid w:val="003C224F"/>
    <w:rsid w:val="003C2387"/>
    <w:rsid w:val="003C23E6"/>
    <w:rsid w:val="003C2527"/>
    <w:rsid w:val="003C2641"/>
    <w:rsid w:val="003C2751"/>
    <w:rsid w:val="003C2ABB"/>
    <w:rsid w:val="003C2BE7"/>
    <w:rsid w:val="003C2D36"/>
    <w:rsid w:val="003C2DAA"/>
    <w:rsid w:val="003C2E16"/>
    <w:rsid w:val="003C3151"/>
    <w:rsid w:val="003C3343"/>
    <w:rsid w:val="003C3745"/>
    <w:rsid w:val="003C3A15"/>
    <w:rsid w:val="003C3BB7"/>
    <w:rsid w:val="003C3C9B"/>
    <w:rsid w:val="003C40C9"/>
    <w:rsid w:val="003C41E9"/>
    <w:rsid w:val="003C43EE"/>
    <w:rsid w:val="003C459B"/>
    <w:rsid w:val="003C47D8"/>
    <w:rsid w:val="003C493C"/>
    <w:rsid w:val="003C4B93"/>
    <w:rsid w:val="003C4BE7"/>
    <w:rsid w:val="003C4F68"/>
    <w:rsid w:val="003C5244"/>
    <w:rsid w:val="003C53D6"/>
    <w:rsid w:val="003C549C"/>
    <w:rsid w:val="003C5619"/>
    <w:rsid w:val="003C566A"/>
    <w:rsid w:val="003C56D6"/>
    <w:rsid w:val="003C5949"/>
    <w:rsid w:val="003C5C21"/>
    <w:rsid w:val="003C6529"/>
    <w:rsid w:val="003C6777"/>
    <w:rsid w:val="003C6A87"/>
    <w:rsid w:val="003C6D03"/>
    <w:rsid w:val="003C6F44"/>
    <w:rsid w:val="003C6F6E"/>
    <w:rsid w:val="003C717E"/>
    <w:rsid w:val="003C73C2"/>
    <w:rsid w:val="003C746D"/>
    <w:rsid w:val="003C74B0"/>
    <w:rsid w:val="003C7652"/>
    <w:rsid w:val="003C78EA"/>
    <w:rsid w:val="003C79B1"/>
    <w:rsid w:val="003C7C17"/>
    <w:rsid w:val="003C7D98"/>
    <w:rsid w:val="003D0259"/>
    <w:rsid w:val="003D07A9"/>
    <w:rsid w:val="003D0857"/>
    <w:rsid w:val="003D0AD3"/>
    <w:rsid w:val="003D0BB6"/>
    <w:rsid w:val="003D11FB"/>
    <w:rsid w:val="003D164F"/>
    <w:rsid w:val="003D181F"/>
    <w:rsid w:val="003D1951"/>
    <w:rsid w:val="003D2106"/>
    <w:rsid w:val="003D2123"/>
    <w:rsid w:val="003D21EB"/>
    <w:rsid w:val="003D2288"/>
    <w:rsid w:val="003D2651"/>
    <w:rsid w:val="003D282D"/>
    <w:rsid w:val="003D295D"/>
    <w:rsid w:val="003D2C5B"/>
    <w:rsid w:val="003D2D96"/>
    <w:rsid w:val="003D2FDB"/>
    <w:rsid w:val="003D3547"/>
    <w:rsid w:val="003D39FE"/>
    <w:rsid w:val="003D3AE1"/>
    <w:rsid w:val="003D3D05"/>
    <w:rsid w:val="003D4080"/>
    <w:rsid w:val="003D42C8"/>
    <w:rsid w:val="003D48D4"/>
    <w:rsid w:val="003D496F"/>
    <w:rsid w:val="003D4DE8"/>
    <w:rsid w:val="003D590A"/>
    <w:rsid w:val="003D5C25"/>
    <w:rsid w:val="003D5C6F"/>
    <w:rsid w:val="003D5CC5"/>
    <w:rsid w:val="003D5E24"/>
    <w:rsid w:val="003D5F3A"/>
    <w:rsid w:val="003D6251"/>
    <w:rsid w:val="003D6872"/>
    <w:rsid w:val="003D6A6B"/>
    <w:rsid w:val="003D6AD6"/>
    <w:rsid w:val="003D70F3"/>
    <w:rsid w:val="003D7255"/>
    <w:rsid w:val="003D780B"/>
    <w:rsid w:val="003D7C79"/>
    <w:rsid w:val="003D7CD7"/>
    <w:rsid w:val="003D7D3B"/>
    <w:rsid w:val="003D7EE5"/>
    <w:rsid w:val="003E0908"/>
    <w:rsid w:val="003E0E40"/>
    <w:rsid w:val="003E112E"/>
    <w:rsid w:val="003E114E"/>
    <w:rsid w:val="003E1360"/>
    <w:rsid w:val="003E148A"/>
    <w:rsid w:val="003E153A"/>
    <w:rsid w:val="003E17FF"/>
    <w:rsid w:val="003E1B56"/>
    <w:rsid w:val="003E1BF3"/>
    <w:rsid w:val="003E1C89"/>
    <w:rsid w:val="003E1E6E"/>
    <w:rsid w:val="003E206B"/>
    <w:rsid w:val="003E20FF"/>
    <w:rsid w:val="003E23F8"/>
    <w:rsid w:val="003E240A"/>
    <w:rsid w:val="003E2805"/>
    <w:rsid w:val="003E28D9"/>
    <w:rsid w:val="003E2AFB"/>
    <w:rsid w:val="003E2C35"/>
    <w:rsid w:val="003E2D48"/>
    <w:rsid w:val="003E2E83"/>
    <w:rsid w:val="003E33BE"/>
    <w:rsid w:val="003E3493"/>
    <w:rsid w:val="003E3741"/>
    <w:rsid w:val="003E4161"/>
    <w:rsid w:val="003E46CF"/>
    <w:rsid w:val="003E480D"/>
    <w:rsid w:val="003E4880"/>
    <w:rsid w:val="003E4928"/>
    <w:rsid w:val="003E4FB0"/>
    <w:rsid w:val="003E5210"/>
    <w:rsid w:val="003E52BD"/>
    <w:rsid w:val="003E52CE"/>
    <w:rsid w:val="003E534A"/>
    <w:rsid w:val="003E557C"/>
    <w:rsid w:val="003E559E"/>
    <w:rsid w:val="003E57ED"/>
    <w:rsid w:val="003E5A25"/>
    <w:rsid w:val="003E5B14"/>
    <w:rsid w:val="003E6320"/>
    <w:rsid w:val="003E638A"/>
    <w:rsid w:val="003E6456"/>
    <w:rsid w:val="003E6945"/>
    <w:rsid w:val="003E69CC"/>
    <w:rsid w:val="003E6CAB"/>
    <w:rsid w:val="003E6D28"/>
    <w:rsid w:val="003E6E82"/>
    <w:rsid w:val="003E71FF"/>
    <w:rsid w:val="003E7482"/>
    <w:rsid w:val="003E752D"/>
    <w:rsid w:val="003E76AF"/>
    <w:rsid w:val="003E76D3"/>
    <w:rsid w:val="003E7741"/>
    <w:rsid w:val="003E77E8"/>
    <w:rsid w:val="003E7A83"/>
    <w:rsid w:val="003E7EFB"/>
    <w:rsid w:val="003E7FDC"/>
    <w:rsid w:val="003F0038"/>
    <w:rsid w:val="003F04BD"/>
    <w:rsid w:val="003F085D"/>
    <w:rsid w:val="003F0898"/>
    <w:rsid w:val="003F1434"/>
    <w:rsid w:val="003F17BF"/>
    <w:rsid w:val="003F17E8"/>
    <w:rsid w:val="003F19AB"/>
    <w:rsid w:val="003F1A8D"/>
    <w:rsid w:val="003F1AC5"/>
    <w:rsid w:val="003F1B29"/>
    <w:rsid w:val="003F21E5"/>
    <w:rsid w:val="003F2308"/>
    <w:rsid w:val="003F24CC"/>
    <w:rsid w:val="003F2610"/>
    <w:rsid w:val="003F285C"/>
    <w:rsid w:val="003F2939"/>
    <w:rsid w:val="003F2C8E"/>
    <w:rsid w:val="003F2DB5"/>
    <w:rsid w:val="003F2FA0"/>
    <w:rsid w:val="003F3066"/>
    <w:rsid w:val="003F3220"/>
    <w:rsid w:val="003F32E7"/>
    <w:rsid w:val="003F377C"/>
    <w:rsid w:val="003F3B7E"/>
    <w:rsid w:val="003F3D99"/>
    <w:rsid w:val="003F491D"/>
    <w:rsid w:val="003F4A1F"/>
    <w:rsid w:val="003F4B55"/>
    <w:rsid w:val="003F503E"/>
    <w:rsid w:val="003F508C"/>
    <w:rsid w:val="003F5282"/>
    <w:rsid w:val="003F53A0"/>
    <w:rsid w:val="003F5425"/>
    <w:rsid w:val="003F55D2"/>
    <w:rsid w:val="003F5947"/>
    <w:rsid w:val="003F5E9F"/>
    <w:rsid w:val="003F61B7"/>
    <w:rsid w:val="003F6224"/>
    <w:rsid w:val="003F63D7"/>
    <w:rsid w:val="003F6731"/>
    <w:rsid w:val="003F6AE7"/>
    <w:rsid w:val="003F6D5A"/>
    <w:rsid w:val="003F71D8"/>
    <w:rsid w:val="003F7447"/>
    <w:rsid w:val="003F7690"/>
    <w:rsid w:val="003F79CB"/>
    <w:rsid w:val="003F7AF9"/>
    <w:rsid w:val="003F7D50"/>
    <w:rsid w:val="0040008B"/>
    <w:rsid w:val="004003BD"/>
    <w:rsid w:val="00400494"/>
    <w:rsid w:val="00400592"/>
    <w:rsid w:val="00400951"/>
    <w:rsid w:val="00400CCB"/>
    <w:rsid w:val="00400D60"/>
    <w:rsid w:val="00400D73"/>
    <w:rsid w:val="00400DA7"/>
    <w:rsid w:val="00400DAA"/>
    <w:rsid w:val="00400E8C"/>
    <w:rsid w:val="00401045"/>
    <w:rsid w:val="004010BC"/>
    <w:rsid w:val="0040121A"/>
    <w:rsid w:val="004021C7"/>
    <w:rsid w:val="004021D4"/>
    <w:rsid w:val="0040272F"/>
    <w:rsid w:val="00402C17"/>
    <w:rsid w:val="00402C57"/>
    <w:rsid w:val="00403117"/>
    <w:rsid w:val="0040315D"/>
    <w:rsid w:val="0040330C"/>
    <w:rsid w:val="0040360B"/>
    <w:rsid w:val="00403CE6"/>
    <w:rsid w:val="0040426E"/>
    <w:rsid w:val="004042A8"/>
    <w:rsid w:val="00404652"/>
    <w:rsid w:val="004048DE"/>
    <w:rsid w:val="004049A0"/>
    <w:rsid w:val="00404C59"/>
    <w:rsid w:val="00404E10"/>
    <w:rsid w:val="00405027"/>
    <w:rsid w:val="004050E7"/>
    <w:rsid w:val="004051EE"/>
    <w:rsid w:val="0040551F"/>
    <w:rsid w:val="004055D6"/>
    <w:rsid w:val="0040565D"/>
    <w:rsid w:val="004058CE"/>
    <w:rsid w:val="00405D3B"/>
    <w:rsid w:val="00405E4E"/>
    <w:rsid w:val="004060A2"/>
    <w:rsid w:val="00406270"/>
    <w:rsid w:val="00406300"/>
    <w:rsid w:val="00406403"/>
    <w:rsid w:val="004068B5"/>
    <w:rsid w:val="00406C2D"/>
    <w:rsid w:val="00406DE0"/>
    <w:rsid w:val="00406F79"/>
    <w:rsid w:val="0040703F"/>
    <w:rsid w:val="004072C4"/>
    <w:rsid w:val="0040739E"/>
    <w:rsid w:val="00407510"/>
    <w:rsid w:val="004079E4"/>
    <w:rsid w:val="004079F6"/>
    <w:rsid w:val="00407D0E"/>
    <w:rsid w:val="00407FB1"/>
    <w:rsid w:val="0041000D"/>
    <w:rsid w:val="00410033"/>
    <w:rsid w:val="00410557"/>
    <w:rsid w:val="004105BC"/>
    <w:rsid w:val="00410658"/>
    <w:rsid w:val="0041073B"/>
    <w:rsid w:val="0041077F"/>
    <w:rsid w:val="0041086E"/>
    <w:rsid w:val="00410909"/>
    <w:rsid w:val="0041091D"/>
    <w:rsid w:val="00410A70"/>
    <w:rsid w:val="00410C6D"/>
    <w:rsid w:val="00410D8E"/>
    <w:rsid w:val="00410D96"/>
    <w:rsid w:val="00410E35"/>
    <w:rsid w:val="004110A6"/>
    <w:rsid w:val="00411128"/>
    <w:rsid w:val="0041124A"/>
    <w:rsid w:val="0041149A"/>
    <w:rsid w:val="004114AE"/>
    <w:rsid w:val="00411579"/>
    <w:rsid w:val="00411601"/>
    <w:rsid w:val="00411E62"/>
    <w:rsid w:val="00411F67"/>
    <w:rsid w:val="0041222C"/>
    <w:rsid w:val="00412317"/>
    <w:rsid w:val="00412387"/>
    <w:rsid w:val="00412410"/>
    <w:rsid w:val="00412800"/>
    <w:rsid w:val="004129F5"/>
    <w:rsid w:val="00412BD7"/>
    <w:rsid w:val="00412E43"/>
    <w:rsid w:val="004130EC"/>
    <w:rsid w:val="00413498"/>
    <w:rsid w:val="004134FB"/>
    <w:rsid w:val="004137FF"/>
    <w:rsid w:val="00413F4B"/>
    <w:rsid w:val="00413F68"/>
    <w:rsid w:val="00414AAC"/>
    <w:rsid w:val="00415045"/>
    <w:rsid w:val="004150C6"/>
    <w:rsid w:val="00415103"/>
    <w:rsid w:val="00415280"/>
    <w:rsid w:val="004152B6"/>
    <w:rsid w:val="004158B5"/>
    <w:rsid w:val="004158BF"/>
    <w:rsid w:val="004158E2"/>
    <w:rsid w:val="0041599A"/>
    <w:rsid w:val="00415CEE"/>
    <w:rsid w:val="00415FCA"/>
    <w:rsid w:val="0041615E"/>
    <w:rsid w:val="0041647A"/>
    <w:rsid w:val="0041652A"/>
    <w:rsid w:val="00416663"/>
    <w:rsid w:val="004167D5"/>
    <w:rsid w:val="004167EE"/>
    <w:rsid w:val="004168AC"/>
    <w:rsid w:val="00416C79"/>
    <w:rsid w:val="00416D07"/>
    <w:rsid w:val="00416E8A"/>
    <w:rsid w:val="00416F01"/>
    <w:rsid w:val="00416F54"/>
    <w:rsid w:val="00416F6F"/>
    <w:rsid w:val="004170FB"/>
    <w:rsid w:val="00417108"/>
    <w:rsid w:val="004173CD"/>
    <w:rsid w:val="0041740D"/>
    <w:rsid w:val="0041773A"/>
    <w:rsid w:val="00417AE6"/>
    <w:rsid w:val="00417D84"/>
    <w:rsid w:val="0042004E"/>
    <w:rsid w:val="004200C3"/>
    <w:rsid w:val="004202BD"/>
    <w:rsid w:val="004205CE"/>
    <w:rsid w:val="0042073D"/>
    <w:rsid w:val="00420BB8"/>
    <w:rsid w:val="00420F8E"/>
    <w:rsid w:val="004211F1"/>
    <w:rsid w:val="004218A4"/>
    <w:rsid w:val="00421985"/>
    <w:rsid w:val="00421CE4"/>
    <w:rsid w:val="00421E35"/>
    <w:rsid w:val="00422ACB"/>
    <w:rsid w:val="00422B35"/>
    <w:rsid w:val="00422D86"/>
    <w:rsid w:val="0042367C"/>
    <w:rsid w:val="00423782"/>
    <w:rsid w:val="00423A17"/>
    <w:rsid w:val="00423B73"/>
    <w:rsid w:val="00423D91"/>
    <w:rsid w:val="00423DC5"/>
    <w:rsid w:val="00423DD5"/>
    <w:rsid w:val="00423E47"/>
    <w:rsid w:val="00423EBC"/>
    <w:rsid w:val="00423EBE"/>
    <w:rsid w:val="004245AC"/>
    <w:rsid w:val="004246A1"/>
    <w:rsid w:val="00424767"/>
    <w:rsid w:val="004249E1"/>
    <w:rsid w:val="00424BEA"/>
    <w:rsid w:val="00424EA8"/>
    <w:rsid w:val="00424EAD"/>
    <w:rsid w:val="00424F35"/>
    <w:rsid w:val="00424F4E"/>
    <w:rsid w:val="00425098"/>
    <w:rsid w:val="004250A1"/>
    <w:rsid w:val="0042561F"/>
    <w:rsid w:val="004258C7"/>
    <w:rsid w:val="00425AC1"/>
    <w:rsid w:val="00426357"/>
    <w:rsid w:val="00426465"/>
    <w:rsid w:val="00426A1D"/>
    <w:rsid w:val="00426BC8"/>
    <w:rsid w:val="00426CEC"/>
    <w:rsid w:val="00426F3C"/>
    <w:rsid w:val="00426FFB"/>
    <w:rsid w:val="00427269"/>
    <w:rsid w:val="0042726E"/>
    <w:rsid w:val="004274B7"/>
    <w:rsid w:val="004274DF"/>
    <w:rsid w:val="00427930"/>
    <w:rsid w:val="00427C50"/>
    <w:rsid w:val="00427CB6"/>
    <w:rsid w:val="0043052F"/>
    <w:rsid w:val="00430776"/>
    <w:rsid w:val="004307A9"/>
    <w:rsid w:val="00430BCB"/>
    <w:rsid w:val="00430F35"/>
    <w:rsid w:val="00430F64"/>
    <w:rsid w:val="0043162E"/>
    <w:rsid w:val="004316E3"/>
    <w:rsid w:val="004318FC"/>
    <w:rsid w:val="00431FC9"/>
    <w:rsid w:val="004320F4"/>
    <w:rsid w:val="004321E0"/>
    <w:rsid w:val="004326BD"/>
    <w:rsid w:val="004326DA"/>
    <w:rsid w:val="0043273D"/>
    <w:rsid w:val="00432933"/>
    <w:rsid w:val="004329C0"/>
    <w:rsid w:val="00432A8C"/>
    <w:rsid w:val="00432C42"/>
    <w:rsid w:val="00432CE8"/>
    <w:rsid w:val="00432FF1"/>
    <w:rsid w:val="00433051"/>
    <w:rsid w:val="00433186"/>
    <w:rsid w:val="004331F0"/>
    <w:rsid w:val="004333F6"/>
    <w:rsid w:val="004334F4"/>
    <w:rsid w:val="00433556"/>
    <w:rsid w:val="00433BB3"/>
    <w:rsid w:val="00433DD5"/>
    <w:rsid w:val="00434028"/>
    <w:rsid w:val="0043429B"/>
    <w:rsid w:val="00434465"/>
    <w:rsid w:val="00434478"/>
    <w:rsid w:val="004346A6"/>
    <w:rsid w:val="00434807"/>
    <w:rsid w:val="00434821"/>
    <w:rsid w:val="00434A26"/>
    <w:rsid w:val="00434A48"/>
    <w:rsid w:val="00434AA3"/>
    <w:rsid w:val="00434C49"/>
    <w:rsid w:val="00434DF3"/>
    <w:rsid w:val="00434F0A"/>
    <w:rsid w:val="00435002"/>
    <w:rsid w:val="004351B4"/>
    <w:rsid w:val="00435259"/>
    <w:rsid w:val="004354CE"/>
    <w:rsid w:val="0043579F"/>
    <w:rsid w:val="004357C2"/>
    <w:rsid w:val="004358A8"/>
    <w:rsid w:val="00435C5D"/>
    <w:rsid w:val="00435F86"/>
    <w:rsid w:val="00436156"/>
    <w:rsid w:val="00436482"/>
    <w:rsid w:val="00436558"/>
    <w:rsid w:val="0043663A"/>
    <w:rsid w:val="0043672A"/>
    <w:rsid w:val="004368A8"/>
    <w:rsid w:val="00436AC6"/>
    <w:rsid w:val="00436AE2"/>
    <w:rsid w:val="00436D32"/>
    <w:rsid w:val="0043706C"/>
    <w:rsid w:val="0043709A"/>
    <w:rsid w:val="0043742E"/>
    <w:rsid w:val="00437934"/>
    <w:rsid w:val="00437A79"/>
    <w:rsid w:val="00437BDB"/>
    <w:rsid w:val="004400AB"/>
    <w:rsid w:val="00440754"/>
    <w:rsid w:val="0044090B"/>
    <w:rsid w:val="00440ADA"/>
    <w:rsid w:val="00440B11"/>
    <w:rsid w:val="00440B34"/>
    <w:rsid w:val="00440CAB"/>
    <w:rsid w:val="00440E44"/>
    <w:rsid w:val="00441B58"/>
    <w:rsid w:val="004422BB"/>
    <w:rsid w:val="00442342"/>
    <w:rsid w:val="00442A37"/>
    <w:rsid w:val="00442C6C"/>
    <w:rsid w:val="004430C9"/>
    <w:rsid w:val="004430F5"/>
    <w:rsid w:val="00443373"/>
    <w:rsid w:val="00443563"/>
    <w:rsid w:val="00443636"/>
    <w:rsid w:val="0044386A"/>
    <w:rsid w:val="00443968"/>
    <w:rsid w:val="00443EBF"/>
    <w:rsid w:val="00443F7C"/>
    <w:rsid w:val="00444061"/>
    <w:rsid w:val="00444172"/>
    <w:rsid w:val="004441D4"/>
    <w:rsid w:val="00444315"/>
    <w:rsid w:val="00444454"/>
    <w:rsid w:val="00444482"/>
    <w:rsid w:val="004446ED"/>
    <w:rsid w:val="00444748"/>
    <w:rsid w:val="004449AD"/>
    <w:rsid w:val="00444A12"/>
    <w:rsid w:val="00444D7F"/>
    <w:rsid w:val="00444E55"/>
    <w:rsid w:val="00445183"/>
    <w:rsid w:val="00445314"/>
    <w:rsid w:val="0044531F"/>
    <w:rsid w:val="0044546B"/>
    <w:rsid w:val="00445728"/>
    <w:rsid w:val="004457DA"/>
    <w:rsid w:val="00445829"/>
    <w:rsid w:val="00445AC6"/>
    <w:rsid w:val="00445D65"/>
    <w:rsid w:val="00445FFF"/>
    <w:rsid w:val="004461B9"/>
    <w:rsid w:val="00446643"/>
    <w:rsid w:val="00446981"/>
    <w:rsid w:val="00446A91"/>
    <w:rsid w:val="00446B99"/>
    <w:rsid w:val="00446F59"/>
    <w:rsid w:val="00446FB0"/>
    <w:rsid w:val="00447456"/>
    <w:rsid w:val="004474DA"/>
    <w:rsid w:val="00447784"/>
    <w:rsid w:val="00447D57"/>
    <w:rsid w:val="00447F71"/>
    <w:rsid w:val="00450020"/>
    <w:rsid w:val="0045027E"/>
    <w:rsid w:val="004503DA"/>
    <w:rsid w:val="00450882"/>
    <w:rsid w:val="004508F5"/>
    <w:rsid w:val="00450BFD"/>
    <w:rsid w:val="00450C37"/>
    <w:rsid w:val="00450CB5"/>
    <w:rsid w:val="00450CF5"/>
    <w:rsid w:val="00451355"/>
    <w:rsid w:val="0045159D"/>
    <w:rsid w:val="004517D6"/>
    <w:rsid w:val="00451917"/>
    <w:rsid w:val="00451DA3"/>
    <w:rsid w:val="00451FF4"/>
    <w:rsid w:val="0045207B"/>
    <w:rsid w:val="00452221"/>
    <w:rsid w:val="00452BCF"/>
    <w:rsid w:val="00452BD1"/>
    <w:rsid w:val="00452D65"/>
    <w:rsid w:val="00452FED"/>
    <w:rsid w:val="00453179"/>
    <w:rsid w:val="0045368A"/>
    <w:rsid w:val="004537B5"/>
    <w:rsid w:val="0045381C"/>
    <w:rsid w:val="00453A13"/>
    <w:rsid w:val="00453C1D"/>
    <w:rsid w:val="00453D41"/>
    <w:rsid w:val="00453E0D"/>
    <w:rsid w:val="00454022"/>
    <w:rsid w:val="00454077"/>
    <w:rsid w:val="004548D8"/>
    <w:rsid w:val="00454B64"/>
    <w:rsid w:val="00454CA0"/>
    <w:rsid w:val="00454E03"/>
    <w:rsid w:val="00454ECA"/>
    <w:rsid w:val="0045521F"/>
    <w:rsid w:val="00455366"/>
    <w:rsid w:val="0045536C"/>
    <w:rsid w:val="004556BB"/>
    <w:rsid w:val="004556D8"/>
    <w:rsid w:val="00456262"/>
    <w:rsid w:val="004562AD"/>
    <w:rsid w:val="0045648D"/>
    <w:rsid w:val="004564CA"/>
    <w:rsid w:val="0045683F"/>
    <w:rsid w:val="00456952"/>
    <w:rsid w:val="00456B00"/>
    <w:rsid w:val="00456D3A"/>
    <w:rsid w:val="00456EC6"/>
    <w:rsid w:val="00456F14"/>
    <w:rsid w:val="004570E2"/>
    <w:rsid w:val="00457154"/>
    <w:rsid w:val="004576D1"/>
    <w:rsid w:val="004578DE"/>
    <w:rsid w:val="004579B6"/>
    <w:rsid w:val="00460159"/>
    <w:rsid w:val="004603F6"/>
    <w:rsid w:val="004604B0"/>
    <w:rsid w:val="00460792"/>
    <w:rsid w:val="0046097B"/>
    <w:rsid w:val="00460A79"/>
    <w:rsid w:val="00460C21"/>
    <w:rsid w:val="00460E75"/>
    <w:rsid w:val="00460E91"/>
    <w:rsid w:val="00461068"/>
    <w:rsid w:val="004610E4"/>
    <w:rsid w:val="00461164"/>
    <w:rsid w:val="004611F3"/>
    <w:rsid w:val="004612A5"/>
    <w:rsid w:val="00461425"/>
    <w:rsid w:val="00461660"/>
    <w:rsid w:val="004616BF"/>
    <w:rsid w:val="00461D55"/>
    <w:rsid w:val="00462268"/>
    <w:rsid w:val="004622EF"/>
    <w:rsid w:val="004626D6"/>
    <w:rsid w:val="00462B95"/>
    <w:rsid w:val="00462BFB"/>
    <w:rsid w:val="004633B3"/>
    <w:rsid w:val="00463AB3"/>
    <w:rsid w:val="00464106"/>
    <w:rsid w:val="00464193"/>
    <w:rsid w:val="004648A1"/>
    <w:rsid w:val="0046493F"/>
    <w:rsid w:val="00464BEE"/>
    <w:rsid w:val="00464D63"/>
    <w:rsid w:val="00465374"/>
    <w:rsid w:val="0046557A"/>
    <w:rsid w:val="004657A1"/>
    <w:rsid w:val="004659B0"/>
    <w:rsid w:val="004659B4"/>
    <w:rsid w:val="00465AE3"/>
    <w:rsid w:val="00465F78"/>
    <w:rsid w:val="004661B9"/>
    <w:rsid w:val="004661C2"/>
    <w:rsid w:val="00466203"/>
    <w:rsid w:val="00466356"/>
    <w:rsid w:val="004663C0"/>
    <w:rsid w:val="00466407"/>
    <w:rsid w:val="00466792"/>
    <w:rsid w:val="00466917"/>
    <w:rsid w:val="00466CEF"/>
    <w:rsid w:val="004671AB"/>
    <w:rsid w:val="004672BA"/>
    <w:rsid w:val="004673EE"/>
    <w:rsid w:val="00467A4D"/>
    <w:rsid w:val="00467B42"/>
    <w:rsid w:val="00467C16"/>
    <w:rsid w:val="00467C7E"/>
    <w:rsid w:val="00467EDB"/>
    <w:rsid w:val="0047005B"/>
    <w:rsid w:val="0047022D"/>
    <w:rsid w:val="004706D1"/>
    <w:rsid w:val="004707B1"/>
    <w:rsid w:val="004707BA"/>
    <w:rsid w:val="00470903"/>
    <w:rsid w:val="00471294"/>
    <w:rsid w:val="00471939"/>
    <w:rsid w:val="00471C9F"/>
    <w:rsid w:val="00471F3F"/>
    <w:rsid w:val="004727D0"/>
    <w:rsid w:val="00472AA7"/>
    <w:rsid w:val="0047325E"/>
    <w:rsid w:val="004735DE"/>
    <w:rsid w:val="00473773"/>
    <w:rsid w:val="00473789"/>
    <w:rsid w:val="004738AC"/>
    <w:rsid w:val="004738CD"/>
    <w:rsid w:val="00473C27"/>
    <w:rsid w:val="00473D56"/>
    <w:rsid w:val="00473F62"/>
    <w:rsid w:val="00474067"/>
    <w:rsid w:val="00474423"/>
    <w:rsid w:val="0047490E"/>
    <w:rsid w:val="00474A29"/>
    <w:rsid w:val="00474B1A"/>
    <w:rsid w:val="00474C8A"/>
    <w:rsid w:val="00474E3E"/>
    <w:rsid w:val="00474FFF"/>
    <w:rsid w:val="0047505A"/>
    <w:rsid w:val="004750B9"/>
    <w:rsid w:val="004753D4"/>
    <w:rsid w:val="004754BD"/>
    <w:rsid w:val="0047556B"/>
    <w:rsid w:val="0047581F"/>
    <w:rsid w:val="0047598A"/>
    <w:rsid w:val="00475A22"/>
    <w:rsid w:val="00475CD3"/>
    <w:rsid w:val="00475E67"/>
    <w:rsid w:val="004761A7"/>
    <w:rsid w:val="0047640F"/>
    <w:rsid w:val="004764BC"/>
    <w:rsid w:val="00476520"/>
    <w:rsid w:val="00476674"/>
    <w:rsid w:val="0047684B"/>
    <w:rsid w:val="0047698D"/>
    <w:rsid w:val="00476B6D"/>
    <w:rsid w:val="00477183"/>
    <w:rsid w:val="0047731C"/>
    <w:rsid w:val="004774C7"/>
    <w:rsid w:val="004777A1"/>
    <w:rsid w:val="0047791C"/>
    <w:rsid w:val="00477955"/>
    <w:rsid w:val="00477B60"/>
    <w:rsid w:val="00477C70"/>
    <w:rsid w:val="00477DED"/>
    <w:rsid w:val="00477E3B"/>
    <w:rsid w:val="00477E9E"/>
    <w:rsid w:val="00477F1F"/>
    <w:rsid w:val="00477FFC"/>
    <w:rsid w:val="00478F7C"/>
    <w:rsid w:val="00480053"/>
    <w:rsid w:val="00480106"/>
    <w:rsid w:val="0048010A"/>
    <w:rsid w:val="004802C0"/>
    <w:rsid w:val="00480735"/>
    <w:rsid w:val="00480BFE"/>
    <w:rsid w:val="0048123D"/>
    <w:rsid w:val="004812DD"/>
    <w:rsid w:val="0048139C"/>
    <w:rsid w:val="00481E27"/>
    <w:rsid w:val="00481F08"/>
    <w:rsid w:val="0048261C"/>
    <w:rsid w:val="00482689"/>
    <w:rsid w:val="004826F7"/>
    <w:rsid w:val="004828FF"/>
    <w:rsid w:val="00482D51"/>
    <w:rsid w:val="00482DBA"/>
    <w:rsid w:val="004830C2"/>
    <w:rsid w:val="0048312B"/>
    <w:rsid w:val="00483491"/>
    <w:rsid w:val="004834AD"/>
    <w:rsid w:val="004837B1"/>
    <w:rsid w:val="0048380F"/>
    <w:rsid w:val="0048385E"/>
    <w:rsid w:val="00483B99"/>
    <w:rsid w:val="00483EB4"/>
    <w:rsid w:val="004841BE"/>
    <w:rsid w:val="0048423F"/>
    <w:rsid w:val="0048495D"/>
    <w:rsid w:val="00484A81"/>
    <w:rsid w:val="00484BF7"/>
    <w:rsid w:val="00484D2F"/>
    <w:rsid w:val="00484F7C"/>
    <w:rsid w:val="00485004"/>
    <w:rsid w:val="004853AA"/>
    <w:rsid w:val="00485746"/>
    <w:rsid w:val="004857CC"/>
    <w:rsid w:val="004857FA"/>
    <w:rsid w:val="00485ED3"/>
    <w:rsid w:val="00485EE5"/>
    <w:rsid w:val="0048601C"/>
    <w:rsid w:val="00486069"/>
    <w:rsid w:val="0048614C"/>
    <w:rsid w:val="00486558"/>
    <w:rsid w:val="00486A95"/>
    <w:rsid w:val="00486C83"/>
    <w:rsid w:val="00486DAD"/>
    <w:rsid w:val="00486DDB"/>
    <w:rsid w:val="00486ECD"/>
    <w:rsid w:val="00486F1D"/>
    <w:rsid w:val="0048700E"/>
    <w:rsid w:val="00487139"/>
    <w:rsid w:val="0048731A"/>
    <w:rsid w:val="00487981"/>
    <w:rsid w:val="004879E4"/>
    <w:rsid w:val="00487A2C"/>
    <w:rsid w:val="00487CA8"/>
    <w:rsid w:val="00487F41"/>
    <w:rsid w:val="00490156"/>
    <w:rsid w:val="00490A3E"/>
    <w:rsid w:val="00490E43"/>
    <w:rsid w:val="004915B5"/>
    <w:rsid w:val="00491A33"/>
    <w:rsid w:val="00491AEC"/>
    <w:rsid w:val="00491C8C"/>
    <w:rsid w:val="0049231D"/>
    <w:rsid w:val="0049253C"/>
    <w:rsid w:val="0049260F"/>
    <w:rsid w:val="0049261A"/>
    <w:rsid w:val="00492C8B"/>
    <w:rsid w:val="00492E5E"/>
    <w:rsid w:val="00492EB3"/>
    <w:rsid w:val="00492FA5"/>
    <w:rsid w:val="00493014"/>
    <w:rsid w:val="00493052"/>
    <w:rsid w:val="0049357F"/>
    <w:rsid w:val="00493AE5"/>
    <w:rsid w:val="00493AFB"/>
    <w:rsid w:val="00493D8F"/>
    <w:rsid w:val="00493E90"/>
    <w:rsid w:val="004944DC"/>
    <w:rsid w:val="0049461E"/>
    <w:rsid w:val="00494861"/>
    <w:rsid w:val="00494921"/>
    <w:rsid w:val="00494A77"/>
    <w:rsid w:val="00494B8A"/>
    <w:rsid w:val="00494C44"/>
    <w:rsid w:val="00494CDD"/>
    <w:rsid w:val="004951EC"/>
    <w:rsid w:val="00495266"/>
    <w:rsid w:val="0049584E"/>
    <w:rsid w:val="00495877"/>
    <w:rsid w:val="00495B26"/>
    <w:rsid w:val="004960D6"/>
    <w:rsid w:val="0049639E"/>
    <w:rsid w:val="004964C9"/>
    <w:rsid w:val="004965E3"/>
    <w:rsid w:val="00496871"/>
    <w:rsid w:val="00496C18"/>
    <w:rsid w:val="00496C80"/>
    <w:rsid w:val="00497042"/>
    <w:rsid w:val="004972D3"/>
    <w:rsid w:val="00497350"/>
    <w:rsid w:val="0049761C"/>
    <w:rsid w:val="004977E7"/>
    <w:rsid w:val="004977EB"/>
    <w:rsid w:val="0049783E"/>
    <w:rsid w:val="0049797E"/>
    <w:rsid w:val="004979D4"/>
    <w:rsid w:val="00497AEB"/>
    <w:rsid w:val="00497D94"/>
    <w:rsid w:val="004A0025"/>
    <w:rsid w:val="004A067C"/>
    <w:rsid w:val="004A085A"/>
    <w:rsid w:val="004A0B1E"/>
    <w:rsid w:val="004A0F07"/>
    <w:rsid w:val="004A17DB"/>
    <w:rsid w:val="004A1900"/>
    <w:rsid w:val="004A1AF2"/>
    <w:rsid w:val="004A1B09"/>
    <w:rsid w:val="004A1B9E"/>
    <w:rsid w:val="004A1C6C"/>
    <w:rsid w:val="004A1EB3"/>
    <w:rsid w:val="004A220A"/>
    <w:rsid w:val="004A2A45"/>
    <w:rsid w:val="004A2F01"/>
    <w:rsid w:val="004A32B1"/>
    <w:rsid w:val="004A331C"/>
    <w:rsid w:val="004A3379"/>
    <w:rsid w:val="004A352C"/>
    <w:rsid w:val="004A353B"/>
    <w:rsid w:val="004A3755"/>
    <w:rsid w:val="004A3A77"/>
    <w:rsid w:val="004A3AEA"/>
    <w:rsid w:val="004A45B4"/>
    <w:rsid w:val="004A4985"/>
    <w:rsid w:val="004A4B61"/>
    <w:rsid w:val="004A4B9A"/>
    <w:rsid w:val="004A4E3E"/>
    <w:rsid w:val="004A4EF1"/>
    <w:rsid w:val="004A51F8"/>
    <w:rsid w:val="004A52A3"/>
    <w:rsid w:val="004A5A30"/>
    <w:rsid w:val="004A5E87"/>
    <w:rsid w:val="004A6000"/>
    <w:rsid w:val="004A6551"/>
    <w:rsid w:val="004A688B"/>
    <w:rsid w:val="004A6B05"/>
    <w:rsid w:val="004A6F32"/>
    <w:rsid w:val="004A7339"/>
    <w:rsid w:val="004A774A"/>
    <w:rsid w:val="004A79A0"/>
    <w:rsid w:val="004A7D12"/>
    <w:rsid w:val="004A7F1C"/>
    <w:rsid w:val="004B01BD"/>
    <w:rsid w:val="004B02C6"/>
    <w:rsid w:val="004B093B"/>
    <w:rsid w:val="004B0CFE"/>
    <w:rsid w:val="004B0EAC"/>
    <w:rsid w:val="004B0F93"/>
    <w:rsid w:val="004B1186"/>
    <w:rsid w:val="004B1A6D"/>
    <w:rsid w:val="004B1AF5"/>
    <w:rsid w:val="004B1C48"/>
    <w:rsid w:val="004B1CE5"/>
    <w:rsid w:val="004B1DFC"/>
    <w:rsid w:val="004B205C"/>
    <w:rsid w:val="004B20C4"/>
    <w:rsid w:val="004B20FA"/>
    <w:rsid w:val="004B213B"/>
    <w:rsid w:val="004B2142"/>
    <w:rsid w:val="004B2397"/>
    <w:rsid w:val="004B247D"/>
    <w:rsid w:val="004B285A"/>
    <w:rsid w:val="004B2ABD"/>
    <w:rsid w:val="004B2B8F"/>
    <w:rsid w:val="004B2B9C"/>
    <w:rsid w:val="004B2C9E"/>
    <w:rsid w:val="004B2D9D"/>
    <w:rsid w:val="004B2FCC"/>
    <w:rsid w:val="004B3085"/>
    <w:rsid w:val="004B318B"/>
    <w:rsid w:val="004B3536"/>
    <w:rsid w:val="004B35BC"/>
    <w:rsid w:val="004B3753"/>
    <w:rsid w:val="004B3A3B"/>
    <w:rsid w:val="004B3D5E"/>
    <w:rsid w:val="004B414D"/>
    <w:rsid w:val="004B4247"/>
    <w:rsid w:val="004B4370"/>
    <w:rsid w:val="004B4583"/>
    <w:rsid w:val="004B47A2"/>
    <w:rsid w:val="004B4A28"/>
    <w:rsid w:val="004B4A63"/>
    <w:rsid w:val="004B4CB8"/>
    <w:rsid w:val="004B5030"/>
    <w:rsid w:val="004B51BF"/>
    <w:rsid w:val="004B546D"/>
    <w:rsid w:val="004B57EC"/>
    <w:rsid w:val="004B5885"/>
    <w:rsid w:val="004B59B9"/>
    <w:rsid w:val="004B5DA9"/>
    <w:rsid w:val="004B64FF"/>
    <w:rsid w:val="004B657F"/>
    <w:rsid w:val="004B6AB8"/>
    <w:rsid w:val="004B6AC3"/>
    <w:rsid w:val="004B6E01"/>
    <w:rsid w:val="004B72CF"/>
    <w:rsid w:val="004B74C1"/>
    <w:rsid w:val="004B7997"/>
    <w:rsid w:val="004B7EEB"/>
    <w:rsid w:val="004B7F15"/>
    <w:rsid w:val="004B7F4A"/>
    <w:rsid w:val="004C0004"/>
    <w:rsid w:val="004C000A"/>
    <w:rsid w:val="004C0298"/>
    <w:rsid w:val="004C02D8"/>
    <w:rsid w:val="004C0358"/>
    <w:rsid w:val="004C03B1"/>
    <w:rsid w:val="004C03CD"/>
    <w:rsid w:val="004C063E"/>
    <w:rsid w:val="004C0720"/>
    <w:rsid w:val="004C079B"/>
    <w:rsid w:val="004C0867"/>
    <w:rsid w:val="004C0886"/>
    <w:rsid w:val="004C0AF9"/>
    <w:rsid w:val="004C0D55"/>
    <w:rsid w:val="004C1071"/>
    <w:rsid w:val="004C1240"/>
    <w:rsid w:val="004C14BB"/>
    <w:rsid w:val="004C2668"/>
    <w:rsid w:val="004C298C"/>
    <w:rsid w:val="004C2A75"/>
    <w:rsid w:val="004C362C"/>
    <w:rsid w:val="004C37B6"/>
    <w:rsid w:val="004C38B4"/>
    <w:rsid w:val="004C3A98"/>
    <w:rsid w:val="004C3EE2"/>
    <w:rsid w:val="004C48B3"/>
    <w:rsid w:val="004C4910"/>
    <w:rsid w:val="004C4AAB"/>
    <w:rsid w:val="004C4BE8"/>
    <w:rsid w:val="004C4C42"/>
    <w:rsid w:val="004C4DAF"/>
    <w:rsid w:val="004C51D9"/>
    <w:rsid w:val="004C5413"/>
    <w:rsid w:val="004C5435"/>
    <w:rsid w:val="004C58C9"/>
    <w:rsid w:val="004C5AA9"/>
    <w:rsid w:val="004C5C70"/>
    <w:rsid w:val="004C5EEF"/>
    <w:rsid w:val="004C5F87"/>
    <w:rsid w:val="004C6216"/>
    <w:rsid w:val="004C6995"/>
    <w:rsid w:val="004C6A31"/>
    <w:rsid w:val="004C6B49"/>
    <w:rsid w:val="004C6E45"/>
    <w:rsid w:val="004C6F48"/>
    <w:rsid w:val="004C71E2"/>
    <w:rsid w:val="004C73CB"/>
    <w:rsid w:val="004C7535"/>
    <w:rsid w:val="004C788F"/>
    <w:rsid w:val="004C7A11"/>
    <w:rsid w:val="004D0109"/>
    <w:rsid w:val="004D01D0"/>
    <w:rsid w:val="004D01D1"/>
    <w:rsid w:val="004D032C"/>
    <w:rsid w:val="004D0344"/>
    <w:rsid w:val="004D05D2"/>
    <w:rsid w:val="004D06AC"/>
    <w:rsid w:val="004D0E0F"/>
    <w:rsid w:val="004D12F8"/>
    <w:rsid w:val="004D1584"/>
    <w:rsid w:val="004D1606"/>
    <w:rsid w:val="004D164B"/>
    <w:rsid w:val="004D177E"/>
    <w:rsid w:val="004D2162"/>
    <w:rsid w:val="004D2202"/>
    <w:rsid w:val="004D225A"/>
    <w:rsid w:val="004D2556"/>
    <w:rsid w:val="004D26B3"/>
    <w:rsid w:val="004D26C4"/>
    <w:rsid w:val="004D2709"/>
    <w:rsid w:val="004D27F3"/>
    <w:rsid w:val="004D2B47"/>
    <w:rsid w:val="004D2B9D"/>
    <w:rsid w:val="004D2D1B"/>
    <w:rsid w:val="004D342D"/>
    <w:rsid w:val="004D358F"/>
    <w:rsid w:val="004D3779"/>
    <w:rsid w:val="004D3935"/>
    <w:rsid w:val="004D3939"/>
    <w:rsid w:val="004D3A29"/>
    <w:rsid w:val="004D3AA6"/>
    <w:rsid w:val="004D3CC4"/>
    <w:rsid w:val="004D42DE"/>
    <w:rsid w:val="004D42E2"/>
    <w:rsid w:val="004D43BD"/>
    <w:rsid w:val="004D459C"/>
    <w:rsid w:val="004D4657"/>
    <w:rsid w:val="004D4AE2"/>
    <w:rsid w:val="004D4B8D"/>
    <w:rsid w:val="004D4DE3"/>
    <w:rsid w:val="004D4DFE"/>
    <w:rsid w:val="004D4FAA"/>
    <w:rsid w:val="004D527F"/>
    <w:rsid w:val="004D548D"/>
    <w:rsid w:val="004D5681"/>
    <w:rsid w:val="004D56D1"/>
    <w:rsid w:val="004D5850"/>
    <w:rsid w:val="004D59AE"/>
    <w:rsid w:val="004D5EE5"/>
    <w:rsid w:val="004D5FF0"/>
    <w:rsid w:val="004D642E"/>
    <w:rsid w:val="004D65AF"/>
    <w:rsid w:val="004D679E"/>
    <w:rsid w:val="004D6834"/>
    <w:rsid w:val="004D6BAC"/>
    <w:rsid w:val="004D70BD"/>
    <w:rsid w:val="004D7113"/>
    <w:rsid w:val="004D7142"/>
    <w:rsid w:val="004D7443"/>
    <w:rsid w:val="004D74B4"/>
    <w:rsid w:val="004D7975"/>
    <w:rsid w:val="004D7B4F"/>
    <w:rsid w:val="004E002F"/>
    <w:rsid w:val="004E0463"/>
    <w:rsid w:val="004E0827"/>
    <w:rsid w:val="004E08EE"/>
    <w:rsid w:val="004E0951"/>
    <w:rsid w:val="004E0ACC"/>
    <w:rsid w:val="004E1503"/>
    <w:rsid w:val="004E15D5"/>
    <w:rsid w:val="004E185D"/>
    <w:rsid w:val="004E1935"/>
    <w:rsid w:val="004E1CCA"/>
    <w:rsid w:val="004E1CF9"/>
    <w:rsid w:val="004E1F2F"/>
    <w:rsid w:val="004E2089"/>
    <w:rsid w:val="004E2725"/>
    <w:rsid w:val="004E28CB"/>
    <w:rsid w:val="004E2A21"/>
    <w:rsid w:val="004E2B20"/>
    <w:rsid w:val="004E2EDF"/>
    <w:rsid w:val="004E3769"/>
    <w:rsid w:val="004E37F7"/>
    <w:rsid w:val="004E3993"/>
    <w:rsid w:val="004E3DD1"/>
    <w:rsid w:val="004E3E49"/>
    <w:rsid w:val="004E3F71"/>
    <w:rsid w:val="004E43D2"/>
    <w:rsid w:val="004E45EF"/>
    <w:rsid w:val="004E4A4D"/>
    <w:rsid w:val="004E4B0F"/>
    <w:rsid w:val="004E4BC9"/>
    <w:rsid w:val="004E4BFD"/>
    <w:rsid w:val="004E5083"/>
    <w:rsid w:val="004E520C"/>
    <w:rsid w:val="004E522E"/>
    <w:rsid w:val="004E566E"/>
    <w:rsid w:val="004E57AA"/>
    <w:rsid w:val="004E62D8"/>
    <w:rsid w:val="004E64FE"/>
    <w:rsid w:val="004E6A15"/>
    <w:rsid w:val="004E6C58"/>
    <w:rsid w:val="004E6C93"/>
    <w:rsid w:val="004E6F1C"/>
    <w:rsid w:val="004E6F69"/>
    <w:rsid w:val="004E71B8"/>
    <w:rsid w:val="004E74C1"/>
    <w:rsid w:val="004E75BF"/>
    <w:rsid w:val="004E7A44"/>
    <w:rsid w:val="004E7A5A"/>
    <w:rsid w:val="004F00B9"/>
    <w:rsid w:val="004F03E1"/>
    <w:rsid w:val="004F050E"/>
    <w:rsid w:val="004F05B0"/>
    <w:rsid w:val="004F082D"/>
    <w:rsid w:val="004F0A14"/>
    <w:rsid w:val="004F0B4E"/>
    <w:rsid w:val="004F0D45"/>
    <w:rsid w:val="004F0D86"/>
    <w:rsid w:val="004F0D95"/>
    <w:rsid w:val="004F1674"/>
    <w:rsid w:val="004F18AE"/>
    <w:rsid w:val="004F20A0"/>
    <w:rsid w:val="004F242D"/>
    <w:rsid w:val="004F2E78"/>
    <w:rsid w:val="004F313B"/>
    <w:rsid w:val="004F3203"/>
    <w:rsid w:val="004F3619"/>
    <w:rsid w:val="004F3A58"/>
    <w:rsid w:val="004F3AAB"/>
    <w:rsid w:val="004F3BAC"/>
    <w:rsid w:val="004F3BBF"/>
    <w:rsid w:val="004F3D38"/>
    <w:rsid w:val="004F3D48"/>
    <w:rsid w:val="004F3FF2"/>
    <w:rsid w:val="004F41E2"/>
    <w:rsid w:val="004F455D"/>
    <w:rsid w:val="004F48DD"/>
    <w:rsid w:val="004F4998"/>
    <w:rsid w:val="004F4B55"/>
    <w:rsid w:val="004F50CF"/>
    <w:rsid w:val="004F51CB"/>
    <w:rsid w:val="004F52B8"/>
    <w:rsid w:val="004F5439"/>
    <w:rsid w:val="004F5928"/>
    <w:rsid w:val="004F5FC6"/>
    <w:rsid w:val="004F61D1"/>
    <w:rsid w:val="004F62D0"/>
    <w:rsid w:val="004F6315"/>
    <w:rsid w:val="004F64B5"/>
    <w:rsid w:val="004F686B"/>
    <w:rsid w:val="004F694F"/>
    <w:rsid w:val="004F6957"/>
    <w:rsid w:val="004F699B"/>
    <w:rsid w:val="004F6A60"/>
    <w:rsid w:val="004F6E42"/>
    <w:rsid w:val="004F700C"/>
    <w:rsid w:val="004F707A"/>
    <w:rsid w:val="004F7175"/>
    <w:rsid w:val="004F71C3"/>
    <w:rsid w:val="004F7235"/>
    <w:rsid w:val="004F7357"/>
    <w:rsid w:val="004F73B5"/>
    <w:rsid w:val="004F749A"/>
    <w:rsid w:val="004F7599"/>
    <w:rsid w:val="004F7933"/>
    <w:rsid w:val="004F7BE1"/>
    <w:rsid w:val="004F7DE0"/>
    <w:rsid w:val="004F7F94"/>
    <w:rsid w:val="005000A8"/>
    <w:rsid w:val="0050018C"/>
    <w:rsid w:val="005002CD"/>
    <w:rsid w:val="0050036C"/>
    <w:rsid w:val="0050052C"/>
    <w:rsid w:val="005006B3"/>
    <w:rsid w:val="00500915"/>
    <w:rsid w:val="00500AD5"/>
    <w:rsid w:val="00500C95"/>
    <w:rsid w:val="005013BD"/>
    <w:rsid w:val="00501425"/>
    <w:rsid w:val="005017C0"/>
    <w:rsid w:val="00502053"/>
    <w:rsid w:val="0050216E"/>
    <w:rsid w:val="00502373"/>
    <w:rsid w:val="0050249F"/>
    <w:rsid w:val="005024DE"/>
    <w:rsid w:val="00502776"/>
    <w:rsid w:val="005028DD"/>
    <w:rsid w:val="005028E2"/>
    <w:rsid w:val="0050333E"/>
    <w:rsid w:val="00503590"/>
    <w:rsid w:val="00503CC6"/>
    <w:rsid w:val="00503FA8"/>
    <w:rsid w:val="00504963"/>
    <w:rsid w:val="00504979"/>
    <w:rsid w:val="00504A8A"/>
    <w:rsid w:val="00504DEC"/>
    <w:rsid w:val="00504F06"/>
    <w:rsid w:val="00505150"/>
    <w:rsid w:val="005052CB"/>
    <w:rsid w:val="005053B0"/>
    <w:rsid w:val="005053FB"/>
    <w:rsid w:val="00505485"/>
    <w:rsid w:val="005054CF"/>
    <w:rsid w:val="0050584B"/>
    <w:rsid w:val="00505899"/>
    <w:rsid w:val="00505B3D"/>
    <w:rsid w:val="00505BD9"/>
    <w:rsid w:val="005065CB"/>
    <w:rsid w:val="00506710"/>
    <w:rsid w:val="00506850"/>
    <w:rsid w:val="0050770B"/>
    <w:rsid w:val="005077BF"/>
    <w:rsid w:val="005078C3"/>
    <w:rsid w:val="00507BF5"/>
    <w:rsid w:val="0051080A"/>
    <w:rsid w:val="00510A0A"/>
    <w:rsid w:val="00510B4D"/>
    <w:rsid w:val="00510D95"/>
    <w:rsid w:val="00510DAD"/>
    <w:rsid w:val="00511043"/>
    <w:rsid w:val="005111D0"/>
    <w:rsid w:val="005113DC"/>
    <w:rsid w:val="005114C5"/>
    <w:rsid w:val="00511A5A"/>
    <w:rsid w:val="00511CFC"/>
    <w:rsid w:val="00511E1E"/>
    <w:rsid w:val="00511EE4"/>
    <w:rsid w:val="00512228"/>
    <w:rsid w:val="005122E6"/>
    <w:rsid w:val="00512383"/>
    <w:rsid w:val="005123E7"/>
    <w:rsid w:val="0051260D"/>
    <w:rsid w:val="00512715"/>
    <w:rsid w:val="00512864"/>
    <w:rsid w:val="00512E14"/>
    <w:rsid w:val="00512E15"/>
    <w:rsid w:val="00513075"/>
    <w:rsid w:val="005130DD"/>
    <w:rsid w:val="00513239"/>
    <w:rsid w:val="00513387"/>
    <w:rsid w:val="00513454"/>
    <w:rsid w:val="00513508"/>
    <w:rsid w:val="00513609"/>
    <w:rsid w:val="00513619"/>
    <w:rsid w:val="00513924"/>
    <w:rsid w:val="00513C77"/>
    <w:rsid w:val="00513D5C"/>
    <w:rsid w:val="00514031"/>
    <w:rsid w:val="0051403B"/>
    <w:rsid w:val="0051407D"/>
    <w:rsid w:val="005140F7"/>
    <w:rsid w:val="0051418E"/>
    <w:rsid w:val="0051435F"/>
    <w:rsid w:val="0051472D"/>
    <w:rsid w:val="00514861"/>
    <w:rsid w:val="00514B6C"/>
    <w:rsid w:val="00515188"/>
    <w:rsid w:val="005151BD"/>
    <w:rsid w:val="005158F9"/>
    <w:rsid w:val="00515969"/>
    <w:rsid w:val="005159A5"/>
    <w:rsid w:val="00515A3F"/>
    <w:rsid w:val="00515C71"/>
    <w:rsid w:val="00515E17"/>
    <w:rsid w:val="00515FA9"/>
    <w:rsid w:val="005164C2"/>
    <w:rsid w:val="00516522"/>
    <w:rsid w:val="00516590"/>
    <w:rsid w:val="00516671"/>
    <w:rsid w:val="00516672"/>
    <w:rsid w:val="00516785"/>
    <w:rsid w:val="00516880"/>
    <w:rsid w:val="00516A7C"/>
    <w:rsid w:val="00516A8C"/>
    <w:rsid w:val="00516BF5"/>
    <w:rsid w:val="00517250"/>
    <w:rsid w:val="00517614"/>
    <w:rsid w:val="00517963"/>
    <w:rsid w:val="00517A5E"/>
    <w:rsid w:val="00517B36"/>
    <w:rsid w:val="00517BA4"/>
    <w:rsid w:val="00517FEB"/>
    <w:rsid w:val="005203F2"/>
    <w:rsid w:val="005204FF"/>
    <w:rsid w:val="00520510"/>
    <w:rsid w:val="00520576"/>
    <w:rsid w:val="005205CB"/>
    <w:rsid w:val="00520948"/>
    <w:rsid w:val="0052129D"/>
    <w:rsid w:val="005213A1"/>
    <w:rsid w:val="005213AE"/>
    <w:rsid w:val="0052146E"/>
    <w:rsid w:val="0052205C"/>
    <w:rsid w:val="0052209E"/>
    <w:rsid w:val="005223F9"/>
    <w:rsid w:val="00522849"/>
    <w:rsid w:val="005228FE"/>
    <w:rsid w:val="00522A36"/>
    <w:rsid w:val="00522A4C"/>
    <w:rsid w:val="00523022"/>
    <w:rsid w:val="005232CD"/>
    <w:rsid w:val="0052342F"/>
    <w:rsid w:val="00523443"/>
    <w:rsid w:val="00523496"/>
    <w:rsid w:val="005234A2"/>
    <w:rsid w:val="005234E0"/>
    <w:rsid w:val="00523A65"/>
    <w:rsid w:val="00523AB2"/>
    <w:rsid w:val="00523F17"/>
    <w:rsid w:val="005243D3"/>
    <w:rsid w:val="00524DA2"/>
    <w:rsid w:val="00524E65"/>
    <w:rsid w:val="0052509F"/>
    <w:rsid w:val="005250FC"/>
    <w:rsid w:val="005254B0"/>
    <w:rsid w:val="00525A54"/>
    <w:rsid w:val="00525C2F"/>
    <w:rsid w:val="00525C85"/>
    <w:rsid w:val="0052630A"/>
    <w:rsid w:val="00526354"/>
    <w:rsid w:val="00526367"/>
    <w:rsid w:val="0052637F"/>
    <w:rsid w:val="0052638C"/>
    <w:rsid w:val="00526D3B"/>
    <w:rsid w:val="005270B9"/>
    <w:rsid w:val="00527676"/>
    <w:rsid w:val="00527787"/>
    <w:rsid w:val="00527CEA"/>
    <w:rsid w:val="00527D3B"/>
    <w:rsid w:val="00527F1B"/>
    <w:rsid w:val="00530084"/>
    <w:rsid w:val="00530091"/>
    <w:rsid w:val="00530756"/>
    <w:rsid w:val="00530789"/>
    <w:rsid w:val="00530892"/>
    <w:rsid w:val="00530B40"/>
    <w:rsid w:val="00530B49"/>
    <w:rsid w:val="00530CC1"/>
    <w:rsid w:val="0053156D"/>
    <w:rsid w:val="005316BC"/>
    <w:rsid w:val="0053193C"/>
    <w:rsid w:val="00531BB0"/>
    <w:rsid w:val="00531CDA"/>
    <w:rsid w:val="0053204E"/>
    <w:rsid w:val="00532215"/>
    <w:rsid w:val="00532501"/>
    <w:rsid w:val="0053289C"/>
    <w:rsid w:val="005328B1"/>
    <w:rsid w:val="005330D0"/>
    <w:rsid w:val="005333B6"/>
    <w:rsid w:val="005337CF"/>
    <w:rsid w:val="005338AF"/>
    <w:rsid w:val="00533C06"/>
    <w:rsid w:val="00533F6A"/>
    <w:rsid w:val="00534254"/>
    <w:rsid w:val="00534992"/>
    <w:rsid w:val="00534A2D"/>
    <w:rsid w:val="00535102"/>
    <w:rsid w:val="00535416"/>
    <w:rsid w:val="005356DC"/>
    <w:rsid w:val="00535F0F"/>
    <w:rsid w:val="00535F4F"/>
    <w:rsid w:val="00536063"/>
    <w:rsid w:val="00536233"/>
    <w:rsid w:val="00536898"/>
    <w:rsid w:val="00536AF7"/>
    <w:rsid w:val="00536BCF"/>
    <w:rsid w:val="00536F84"/>
    <w:rsid w:val="005372F2"/>
    <w:rsid w:val="00537329"/>
    <w:rsid w:val="0053764B"/>
    <w:rsid w:val="0053772A"/>
    <w:rsid w:val="00537912"/>
    <w:rsid w:val="00537932"/>
    <w:rsid w:val="00537ACF"/>
    <w:rsid w:val="00537BA9"/>
    <w:rsid w:val="00537DCB"/>
    <w:rsid w:val="00537F32"/>
    <w:rsid w:val="00540407"/>
    <w:rsid w:val="0054096F"/>
    <w:rsid w:val="00540BB5"/>
    <w:rsid w:val="00541118"/>
    <w:rsid w:val="0054129C"/>
    <w:rsid w:val="0054144C"/>
    <w:rsid w:val="00541B8B"/>
    <w:rsid w:val="00541D4C"/>
    <w:rsid w:val="00541F40"/>
    <w:rsid w:val="00541F70"/>
    <w:rsid w:val="00542049"/>
    <w:rsid w:val="00542660"/>
    <w:rsid w:val="00542810"/>
    <w:rsid w:val="00542899"/>
    <w:rsid w:val="00542A0E"/>
    <w:rsid w:val="00542E85"/>
    <w:rsid w:val="00542E9F"/>
    <w:rsid w:val="00542F7B"/>
    <w:rsid w:val="0054303E"/>
    <w:rsid w:val="0054329C"/>
    <w:rsid w:val="00543404"/>
    <w:rsid w:val="00543551"/>
    <w:rsid w:val="005435CD"/>
    <w:rsid w:val="005437C0"/>
    <w:rsid w:val="005439C1"/>
    <w:rsid w:val="00543DC4"/>
    <w:rsid w:val="00543E32"/>
    <w:rsid w:val="00543E9F"/>
    <w:rsid w:val="00543F5E"/>
    <w:rsid w:val="0054402F"/>
    <w:rsid w:val="00544299"/>
    <w:rsid w:val="00544701"/>
    <w:rsid w:val="00544785"/>
    <w:rsid w:val="00544AB7"/>
    <w:rsid w:val="00544B92"/>
    <w:rsid w:val="00544BEA"/>
    <w:rsid w:val="00544CB1"/>
    <w:rsid w:val="00544F3E"/>
    <w:rsid w:val="0054519C"/>
    <w:rsid w:val="005455AF"/>
    <w:rsid w:val="00545626"/>
    <w:rsid w:val="00545716"/>
    <w:rsid w:val="0054575C"/>
    <w:rsid w:val="00545F53"/>
    <w:rsid w:val="00546003"/>
    <w:rsid w:val="00546541"/>
    <w:rsid w:val="005467BE"/>
    <w:rsid w:val="00546836"/>
    <w:rsid w:val="00546DD6"/>
    <w:rsid w:val="0054703F"/>
    <w:rsid w:val="005470BD"/>
    <w:rsid w:val="005472A8"/>
    <w:rsid w:val="005476B4"/>
    <w:rsid w:val="005476CA"/>
    <w:rsid w:val="00547901"/>
    <w:rsid w:val="00547B14"/>
    <w:rsid w:val="00547C28"/>
    <w:rsid w:val="00547C83"/>
    <w:rsid w:val="00547E89"/>
    <w:rsid w:val="00550260"/>
    <w:rsid w:val="005504A7"/>
    <w:rsid w:val="0055087E"/>
    <w:rsid w:val="00550AD7"/>
    <w:rsid w:val="00550BC3"/>
    <w:rsid w:val="005513E2"/>
    <w:rsid w:val="0055159F"/>
    <w:rsid w:val="00551B9C"/>
    <w:rsid w:val="00551C3F"/>
    <w:rsid w:val="00551E76"/>
    <w:rsid w:val="00551F49"/>
    <w:rsid w:val="00552293"/>
    <w:rsid w:val="005522D1"/>
    <w:rsid w:val="00552411"/>
    <w:rsid w:val="00552569"/>
    <w:rsid w:val="005527D7"/>
    <w:rsid w:val="00552EF0"/>
    <w:rsid w:val="00553015"/>
    <w:rsid w:val="00553107"/>
    <w:rsid w:val="005532FB"/>
    <w:rsid w:val="00553662"/>
    <w:rsid w:val="005537CA"/>
    <w:rsid w:val="00553868"/>
    <w:rsid w:val="00553A87"/>
    <w:rsid w:val="00553CC8"/>
    <w:rsid w:val="00553D2D"/>
    <w:rsid w:val="00553E34"/>
    <w:rsid w:val="00553EE2"/>
    <w:rsid w:val="00554150"/>
    <w:rsid w:val="005541C0"/>
    <w:rsid w:val="005542F7"/>
    <w:rsid w:val="005548AB"/>
    <w:rsid w:val="005549C6"/>
    <w:rsid w:val="00554A10"/>
    <w:rsid w:val="00554E72"/>
    <w:rsid w:val="00555080"/>
    <w:rsid w:val="00555280"/>
    <w:rsid w:val="00555539"/>
    <w:rsid w:val="005558CE"/>
    <w:rsid w:val="00556041"/>
    <w:rsid w:val="005563D6"/>
    <w:rsid w:val="005570B0"/>
    <w:rsid w:val="00557320"/>
    <w:rsid w:val="00557660"/>
    <w:rsid w:val="005577D5"/>
    <w:rsid w:val="005579EE"/>
    <w:rsid w:val="00557A19"/>
    <w:rsid w:val="00557E9D"/>
    <w:rsid w:val="00557FD9"/>
    <w:rsid w:val="0056015A"/>
    <w:rsid w:val="0056059D"/>
    <w:rsid w:val="00560697"/>
    <w:rsid w:val="005606AB"/>
    <w:rsid w:val="005607B8"/>
    <w:rsid w:val="00560837"/>
    <w:rsid w:val="0056097D"/>
    <w:rsid w:val="00560981"/>
    <w:rsid w:val="005609BB"/>
    <w:rsid w:val="00560A6F"/>
    <w:rsid w:val="00560BD0"/>
    <w:rsid w:val="00560C53"/>
    <w:rsid w:val="00561173"/>
    <w:rsid w:val="0056129A"/>
    <w:rsid w:val="0056130B"/>
    <w:rsid w:val="00561427"/>
    <w:rsid w:val="005614E9"/>
    <w:rsid w:val="005615E3"/>
    <w:rsid w:val="005616A6"/>
    <w:rsid w:val="00561735"/>
    <w:rsid w:val="00561B2D"/>
    <w:rsid w:val="00561EE6"/>
    <w:rsid w:val="00562066"/>
    <w:rsid w:val="005624F9"/>
    <w:rsid w:val="00562512"/>
    <w:rsid w:val="00562E9A"/>
    <w:rsid w:val="00562FA3"/>
    <w:rsid w:val="00563038"/>
    <w:rsid w:val="00563064"/>
    <w:rsid w:val="0056325B"/>
    <w:rsid w:val="00563824"/>
    <w:rsid w:val="00563910"/>
    <w:rsid w:val="00563A00"/>
    <w:rsid w:val="00563D9E"/>
    <w:rsid w:val="005640DE"/>
    <w:rsid w:val="0056444E"/>
    <w:rsid w:val="00564568"/>
    <w:rsid w:val="00564820"/>
    <w:rsid w:val="00564AA9"/>
    <w:rsid w:val="00564BB2"/>
    <w:rsid w:val="00564D7D"/>
    <w:rsid w:val="005653E4"/>
    <w:rsid w:val="00565B04"/>
    <w:rsid w:val="00565B2B"/>
    <w:rsid w:val="00565CCB"/>
    <w:rsid w:val="00565E76"/>
    <w:rsid w:val="00565EBA"/>
    <w:rsid w:val="005662FE"/>
    <w:rsid w:val="00566315"/>
    <w:rsid w:val="0056670D"/>
    <w:rsid w:val="0056686F"/>
    <w:rsid w:val="00566CC1"/>
    <w:rsid w:val="00566F09"/>
    <w:rsid w:val="005678C0"/>
    <w:rsid w:val="00567B3E"/>
    <w:rsid w:val="00567C73"/>
    <w:rsid w:val="00567C9E"/>
    <w:rsid w:val="0057026C"/>
    <w:rsid w:val="005703EF"/>
    <w:rsid w:val="005704F7"/>
    <w:rsid w:val="00570501"/>
    <w:rsid w:val="00570776"/>
    <w:rsid w:val="00570862"/>
    <w:rsid w:val="005708ED"/>
    <w:rsid w:val="00570DEE"/>
    <w:rsid w:val="0057128B"/>
    <w:rsid w:val="0057135C"/>
    <w:rsid w:val="0057144E"/>
    <w:rsid w:val="005715E6"/>
    <w:rsid w:val="00571607"/>
    <w:rsid w:val="0057171B"/>
    <w:rsid w:val="0057172A"/>
    <w:rsid w:val="00571964"/>
    <w:rsid w:val="00571968"/>
    <w:rsid w:val="00571B8C"/>
    <w:rsid w:val="00571BB5"/>
    <w:rsid w:val="00571DA5"/>
    <w:rsid w:val="00572079"/>
    <w:rsid w:val="005722BD"/>
    <w:rsid w:val="0057293B"/>
    <w:rsid w:val="00572A75"/>
    <w:rsid w:val="00572F66"/>
    <w:rsid w:val="00572FC2"/>
    <w:rsid w:val="0057348F"/>
    <w:rsid w:val="005737E4"/>
    <w:rsid w:val="00574239"/>
    <w:rsid w:val="0057439C"/>
    <w:rsid w:val="005743B7"/>
    <w:rsid w:val="00574460"/>
    <w:rsid w:val="00574545"/>
    <w:rsid w:val="00574AF0"/>
    <w:rsid w:val="005757E8"/>
    <w:rsid w:val="00575827"/>
    <w:rsid w:val="005759C6"/>
    <w:rsid w:val="00575A90"/>
    <w:rsid w:val="00575AE3"/>
    <w:rsid w:val="00575CBB"/>
    <w:rsid w:val="00575D93"/>
    <w:rsid w:val="00575E23"/>
    <w:rsid w:val="00575E3E"/>
    <w:rsid w:val="00575EB6"/>
    <w:rsid w:val="005764DC"/>
    <w:rsid w:val="00576918"/>
    <w:rsid w:val="005769BB"/>
    <w:rsid w:val="005769C4"/>
    <w:rsid w:val="00576A3F"/>
    <w:rsid w:val="00576C95"/>
    <w:rsid w:val="00576D3C"/>
    <w:rsid w:val="005770F7"/>
    <w:rsid w:val="00577127"/>
    <w:rsid w:val="00577248"/>
    <w:rsid w:val="005779C5"/>
    <w:rsid w:val="00577AB2"/>
    <w:rsid w:val="0057B833"/>
    <w:rsid w:val="0058046B"/>
    <w:rsid w:val="005805B4"/>
    <w:rsid w:val="005805D1"/>
    <w:rsid w:val="00580637"/>
    <w:rsid w:val="0058091E"/>
    <w:rsid w:val="0058093A"/>
    <w:rsid w:val="005809ED"/>
    <w:rsid w:val="00580B9E"/>
    <w:rsid w:val="00580D24"/>
    <w:rsid w:val="00580E58"/>
    <w:rsid w:val="00581132"/>
    <w:rsid w:val="00581407"/>
    <w:rsid w:val="0058170D"/>
    <w:rsid w:val="00581731"/>
    <w:rsid w:val="005817C1"/>
    <w:rsid w:val="00581937"/>
    <w:rsid w:val="00581D81"/>
    <w:rsid w:val="00581DC8"/>
    <w:rsid w:val="005828C0"/>
    <w:rsid w:val="005828E0"/>
    <w:rsid w:val="00582C05"/>
    <w:rsid w:val="005837AF"/>
    <w:rsid w:val="00583968"/>
    <w:rsid w:val="00583B53"/>
    <w:rsid w:val="00583D5C"/>
    <w:rsid w:val="005847FE"/>
    <w:rsid w:val="00584861"/>
    <w:rsid w:val="0058493A"/>
    <w:rsid w:val="00584C95"/>
    <w:rsid w:val="00584D97"/>
    <w:rsid w:val="005850E1"/>
    <w:rsid w:val="005851E4"/>
    <w:rsid w:val="005855F8"/>
    <w:rsid w:val="00585961"/>
    <w:rsid w:val="00585991"/>
    <w:rsid w:val="00585E09"/>
    <w:rsid w:val="00586022"/>
    <w:rsid w:val="0058623B"/>
    <w:rsid w:val="00586244"/>
    <w:rsid w:val="0058657F"/>
    <w:rsid w:val="00586911"/>
    <w:rsid w:val="00586BD5"/>
    <w:rsid w:val="00586C26"/>
    <w:rsid w:val="00586CCB"/>
    <w:rsid w:val="00586CDA"/>
    <w:rsid w:val="00586DC1"/>
    <w:rsid w:val="00587040"/>
    <w:rsid w:val="00587AD5"/>
    <w:rsid w:val="00587ADD"/>
    <w:rsid w:val="00587CD0"/>
    <w:rsid w:val="00587F0A"/>
    <w:rsid w:val="005900A2"/>
    <w:rsid w:val="005902CC"/>
    <w:rsid w:val="0059058C"/>
    <w:rsid w:val="005908B3"/>
    <w:rsid w:val="0059101E"/>
    <w:rsid w:val="00591155"/>
    <w:rsid w:val="00591644"/>
    <w:rsid w:val="005918EC"/>
    <w:rsid w:val="00591C6C"/>
    <w:rsid w:val="00591FDA"/>
    <w:rsid w:val="0059203D"/>
    <w:rsid w:val="00592316"/>
    <w:rsid w:val="00592594"/>
    <w:rsid w:val="0059271A"/>
    <w:rsid w:val="0059297A"/>
    <w:rsid w:val="00592B9B"/>
    <w:rsid w:val="00592EE5"/>
    <w:rsid w:val="00593288"/>
    <w:rsid w:val="00593962"/>
    <w:rsid w:val="00593A84"/>
    <w:rsid w:val="00593E79"/>
    <w:rsid w:val="00593E93"/>
    <w:rsid w:val="00593F70"/>
    <w:rsid w:val="00593FA8"/>
    <w:rsid w:val="005943EA"/>
    <w:rsid w:val="00594547"/>
    <w:rsid w:val="005947FB"/>
    <w:rsid w:val="00594A63"/>
    <w:rsid w:val="00594E9D"/>
    <w:rsid w:val="00594F41"/>
    <w:rsid w:val="0059513E"/>
    <w:rsid w:val="00595299"/>
    <w:rsid w:val="005953D0"/>
    <w:rsid w:val="005957F7"/>
    <w:rsid w:val="005959BD"/>
    <w:rsid w:val="00595A4B"/>
    <w:rsid w:val="00595C02"/>
    <w:rsid w:val="00595DB7"/>
    <w:rsid w:val="00596159"/>
    <w:rsid w:val="00596A4B"/>
    <w:rsid w:val="00597045"/>
    <w:rsid w:val="00597187"/>
    <w:rsid w:val="0059719B"/>
    <w:rsid w:val="005972DB"/>
    <w:rsid w:val="0059740C"/>
    <w:rsid w:val="0059742B"/>
    <w:rsid w:val="005A0321"/>
    <w:rsid w:val="005A047C"/>
    <w:rsid w:val="005A069D"/>
    <w:rsid w:val="005A09DB"/>
    <w:rsid w:val="005A0A67"/>
    <w:rsid w:val="005A0B54"/>
    <w:rsid w:val="005A0DA0"/>
    <w:rsid w:val="005A0FCE"/>
    <w:rsid w:val="005A15CC"/>
    <w:rsid w:val="005A18EA"/>
    <w:rsid w:val="005A1B97"/>
    <w:rsid w:val="005A1CD1"/>
    <w:rsid w:val="005A1E7B"/>
    <w:rsid w:val="005A230B"/>
    <w:rsid w:val="005A2758"/>
    <w:rsid w:val="005A2946"/>
    <w:rsid w:val="005A2A86"/>
    <w:rsid w:val="005A2BCA"/>
    <w:rsid w:val="005A2FC2"/>
    <w:rsid w:val="005A3079"/>
    <w:rsid w:val="005A30D1"/>
    <w:rsid w:val="005A314F"/>
    <w:rsid w:val="005A3945"/>
    <w:rsid w:val="005A3AFA"/>
    <w:rsid w:val="005A3F4D"/>
    <w:rsid w:val="005A41C3"/>
    <w:rsid w:val="005A41D1"/>
    <w:rsid w:val="005A441E"/>
    <w:rsid w:val="005A4AC2"/>
    <w:rsid w:val="005A541D"/>
    <w:rsid w:val="005A5B28"/>
    <w:rsid w:val="005A5B86"/>
    <w:rsid w:val="005A5CF0"/>
    <w:rsid w:val="005A62E4"/>
    <w:rsid w:val="005A6344"/>
    <w:rsid w:val="005A6549"/>
    <w:rsid w:val="005A6804"/>
    <w:rsid w:val="005A68E4"/>
    <w:rsid w:val="005A6921"/>
    <w:rsid w:val="005A6A45"/>
    <w:rsid w:val="005A6C73"/>
    <w:rsid w:val="005A72E8"/>
    <w:rsid w:val="005A74AB"/>
    <w:rsid w:val="005A7DBA"/>
    <w:rsid w:val="005A7FD4"/>
    <w:rsid w:val="005B00CD"/>
    <w:rsid w:val="005B0E5B"/>
    <w:rsid w:val="005B196C"/>
    <w:rsid w:val="005B1B26"/>
    <w:rsid w:val="005B1C2F"/>
    <w:rsid w:val="005B1CC8"/>
    <w:rsid w:val="005B203F"/>
    <w:rsid w:val="005B20B6"/>
    <w:rsid w:val="005B2206"/>
    <w:rsid w:val="005B224C"/>
    <w:rsid w:val="005B24B0"/>
    <w:rsid w:val="005B2511"/>
    <w:rsid w:val="005B293A"/>
    <w:rsid w:val="005B2970"/>
    <w:rsid w:val="005B2A48"/>
    <w:rsid w:val="005B2BB2"/>
    <w:rsid w:val="005B311A"/>
    <w:rsid w:val="005B32D2"/>
    <w:rsid w:val="005B351A"/>
    <w:rsid w:val="005B3683"/>
    <w:rsid w:val="005B36FE"/>
    <w:rsid w:val="005B373D"/>
    <w:rsid w:val="005B3769"/>
    <w:rsid w:val="005B37C1"/>
    <w:rsid w:val="005B3AD1"/>
    <w:rsid w:val="005B3E7C"/>
    <w:rsid w:val="005B4018"/>
    <w:rsid w:val="005B4357"/>
    <w:rsid w:val="005B463D"/>
    <w:rsid w:val="005B4D19"/>
    <w:rsid w:val="005B4FDB"/>
    <w:rsid w:val="005B5094"/>
    <w:rsid w:val="005B5358"/>
    <w:rsid w:val="005B5AC0"/>
    <w:rsid w:val="005B5E1E"/>
    <w:rsid w:val="005B615C"/>
    <w:rsid w:val="005B61E5"/>
    <w:rsid w:val="005B62FD"/>
    <w:rsid w:val="005B6715"/>
    <w:rsid w:val="005B6A82"/>
    <w:rsid w:val="005B6E15"/>
    <w:rsid w:val="005B6F98"/>
    <w:rsid w:val="005B72DF"/>
    <w:rsid w:val="005B746C"/>
    <w:rsid w:val="005B79E6"/>
    <w:rsid w:val="005B7B41"/>
    <w:rsid w:val="005B7BAD"/>
    <w:rsid w:val="005B7C64"/>
    <w:rsid w:val="005B7CE6"/>
    <w:rsid w:val="005B7E9C"/>
    <w:rsid w:val="005C0116"/>
    <w:rsid w:val="005C018A"/>
    <w:rsid w:val="005C048E"/>
    <w:rsid w:val="005C0529"/>
    <w:rsid w:val="005C079F"/>
    <w:rsid w:val="005C09D9"/>
    <w:rsid w:val="005C0A49"/>
    <w:rsid w:val="005C0BEA"/>
    <w:rsid w:val="005C0C92"/>
    <w:rsid w:val="005C0F5F"/>
    <w:rsid w:val="005C0FDC"/>
    <w:rsid w:val="005C14F0"/>
    <w:rsid w:val="005C1A0F"/>
    <w:rsid w:val="005C1BA1"/>
    <w:rsid w:val="005C203B"/>
    <w:rsid w:val="005C2360"/>
    <w:rsid w:val="005C23BA"/>
    <w:rsid w:val="005C282D"/>
    <w:rsid w:val="005C2EED"/>
    <w:rsid w:val="005C2EFC"/>
    <w:rsid w:val="005C2FA9"/>
    <w:rsid w:val="005C302B"/>
    <w:rsid w:val="005C3052"/>
    <w:rsid w:val="005C3089"/>
    <w:rsid w:val="005C3350"/>
    <w:rsid w:val="005C336E"/>
    <w:rsid w:val="005C36D7"/>
    <w:rsid w:val="005C3A0F"/>
    <w:rsid w:val="005C3C8C"/>
    <w:rsid w:val="005C3F39"/>
    <w:rsid w:val="005C4C50"/>
    <w:rsid w:val="005C4F6C"/>
    <w:rsid w:val="005C52D6"/>
    <w:rsid w:val="005C5749"/>
    <w:rsid w:val="005C5B19"/>
    <w:rsid w:val="005C5B59"/>
    <w:rsid w:val="005C5E01"/>
    <w:rsid w:val="005C6131"/>
    <w:rsid w:val="005C6338"/>
    <w:rsid w:val="005C6A0C"/>
    <w:rsid w:val="005C6B4E"/>
    <w:rsid w:val="005C6D0A"/>
    <w:rsid w:val="005C6DCE"/>
    <w:rsid w:val="005C6FCE"/>
    <w:rsid w:val="005C70BA"/>
    <w:rsid w:val="005C70C4"/>
    <w:rsid w:val="005C75CA"/>
    <w:rsid w:val="005C789E"/>
    <w:rsid w:val="005C7B5C"/>
    <w:rsid w:val="005C7B76"/>
    <w:rsid w:val="005C7BEC"/>
    <w:rsid w:val="005C7C39"/>
    <w:rsid w:val="005C7FBB"/>
    <w:rsid w:val="005D00FC"/>
    <w:rsid w:val="005D0100"/>
    <w:rsid w:val="005D011D"/>
    <w:rsid w:val="005D07B3"/>
    <w:rsid w:val="005D08C3"/>
    <w:rsid w:val="005D08DF"/>
    <w:rsid w:val="005D0C23"/>
    <w:rsid w:val="005D0DBA"/>
    <w:rsid w:val="005D1161"/>
    <w:rsid w:val="005D1202"/>
    <w:rsid w:val="005D135B"/>
    <w:rsid w:val="005D14A2"/>
    <w:rsid w:val="005D1A5C"/>
    <w:rsid w:val="005D1E6A"/>
    <w:rsid w:val="005D20F4"/>
    <w:rsid w:val="005D2257"/>
    <w:rsid w:val="005D225E"/>
    <w:rsid w:val="005D2470"/>
    <w:rsid w:val="005D293F"/>
    <w:rsid w:val="005D2B32"/>
    <w:rsid w:val="005D2FF6"/>
    <w:rsid w:val="005D300F"/>
    <w:rsid w:val="005D3056"/>
    <w:rsid w:val="005D3303"/>
    <w:rsid w:val="005D3335"/>
    <w:rsid w:val="005D3496"/>
    <w:rsid w:val="005D3694"/>
    <w:rsid w:val="005D3765"/>
    <w:rsid w:val="005D39A4"/>
    <w:rsid w:val="005D3A9B"/>
    <w:rsid w:val="005D3E5C"/>
    <w:rsid w:val="005D4030"/>
    <w:rsid w:val="005D4036"/>
    <w:rsid w:val="005D43A7"/>
    <w:rsid w:val="005D4472"/>
    <w:rsid w:val="005D449F"/>
    <w:rsid w:val="005D4564"/>
    <w:rsid w:val="005D45B1"/>
    <w:rsid w:val="005D4CDA"/>
    <w:rsid w:val="005D4CDD"/>
    <w:rsid w:val="005D4CE4"/>
    <w:rsid w:val="005D4F70"/>
    <w:rsid w:val="005D55BB"/>
    <w:rsid w:val="005D56AB"/>
    <w:rsid w:val="005D5731"/>
    <w:rsid w:val="005D58F8"/>
    <w:rsid w:val="005D5B9C"/>
    <w:rsid w:val="005D5DA9"/>
    <w:rsid w:val="005D5F57"/>
    <w:rsid w:val="005D5FF5"/>
    <w:rsid w:val="005D60A4"/>
    <w:rsid w:val="005D638E"/>
    <w:rsid w:val="005D65F3"/>
    <w:rsid w:val="005D6771"/>
    <w:rsid w:val="005D6861"/>
    <w:rsid w:val="005D68FF"/>
    <w:rsid w:val="005D6A19"/>
    <w:rsid w:val="005D6A49"/>
    <w:rsid w:val="005D7207"/>
    <w:rsid w:val="005D7536"/>
    <w:rsid w:val="005D778C"/>
    <w:rsid w:val="005D7C87"/>
    <w:rsid w:val="005E018C"/>
    <w:rsid w:val="005E046B"/>
    <w:rsid w:val="005E0747"/>
    <w:rsid w:val="005E0C33"/>
    <w:rsid w:val="005E0E4A"/>
    <w:rsid w:val="005E0E58"/>
    <w:rsid w:val="005E1203"/>
    <w:rsid w:val="005E129A"/>
    <w:rsid w:val="005E1796"/>
    <w:rsid w:val="005E1A5D"/>
    <w:rsid w:val="005E1AFC"/>
    <w:rsid w:val="005E1B65"/>
    <w:rsid w:val="005E219C"/>
    <w:rsid w:val="005E273A"/>
    <w:rsid w:val="005E2843"/>
    <w:rsid w:val="005E28C8"/>
    <w:rsid w:val="005E2915"/>
    <w:rsid w:val="005E2C7F"/>
    <w:rsid w:val="005E2D52"/>
    <w:rsid w:val="005E2FE9"/>
    <w:rsid w:val="005E3007"/>
    <w:rsid w:val="005E32F4"/>
    <w:rsid w:val="005E3308"/>
    <w:rsid w:val="005E336F"/>
    <w:rsid w:val="005E346B"/>
    <w:rsid w:val="005E38FB"/>
    <w:rsid w:val="005E3A36"/>
    <w:rsid w:val="005E42C9"/>
    <w:rsid w:val="005E46B8"/>
    <w:rsid w:val="005E4D00"/>
    <w:rsid w:val="005E50B4"/>
    <w:rsid w:val="005E5303"/>
    <w:rsid w:val="005E588D"/>
    <w:rsid w:val="005E66B2"/>
    <w:rsid w:val="005E698B"/>
    <w:rsid w:val="005E6B20"/>
    <w:rsid w:val="005E6E52"/>
    <w:rsid w:val="005E7012"/>
    <w:rsid w:val="005E7019"/>
    <w:rsid w:val="005E707D"/>
    <w:rsid w:val="005E75D2"/>
    <w:rsid w:val="005E75D8"/>
    <w:rsid w:val="005E7631"/>
    <w:rsid w:val="005E78E5"/>
    <w:rsid w:val="005E7904"/>
    <w:rsid w:val="005E7962"/>
    <w:rsid w:val="005E7991"/>
    <w:rsid w:val="005E7B15"/>
    <w:rsid w:val="005E7CAD"/>
    <w:rsid w:val="005E7D9F"/>
    <w:rsid w:val="005E7E5C"/>
    <w:rsid w:val="005F009E"/>
    <w:rsid w:val="005F0469"/>
    <w:rsid w:val="005F06B1"/>
    <w:rsid w:val="005F06C2"/>
    <w:rsid w:val="005F086E"/>
    <w:rsid w:val="005F09E6"/>
    <w:rsid w:val="005F0B78"/>
    <w:rsid w:val="005F0C6C"/>
    <w:rsid w:val="005F0DD7"/>
    <w:rsid w:val="005F0ED2"/>
    <w:rsid w:val="005F1525"/>
    <w:rsid w:val="005F1656"/>
    <w:rsid w:val="005F18EE"/>
    <w:rsid w:val="005F1A4B"/>
    <w:rsid w:val="005F1C91"/>
    <w:rsid w:val="005F1FBB"/>
    <w:rsid w:val="005F21A1"/>
    <w:rsid w:val="005F2717"/>
    <w:rsid w:val="005F2800"/>
    <w:rsid w:val="005F28A4"/>
    <w:rsid w:val="005F2C88"/>
    <w:rsid w:val="005F2CC3"/>
    <w:rsid w:val="005F32D1"/>
    <w:rsid w:val="005F358D"/>
    <w:rsid w:val="005F3720"/>
    <w:rsid w:val="005F3C02"/>
    <w:rsid w:val="005F3EC4"/>
    <w:rsid w:val="005F3F1D"/>
    <w:rsid w:val="005F3FE7"/>
    <w:rsid w:val="005F42FD"/>
    <w:rsid w:val="005F4345"/>
    <w:rsid w:val="005F4A15"/>
    <w:rsid w:val="005F4CD4"/>
    <w:rsid w:val="005F4EAE"/>
    <w:rsid w:val="005F5354"/>
    <w:rsid w:val="005F53D9"/>
    <w:rsid w:val="005F54CC"/>
    <w:rsid w:val="005F55C6"/>
    <w:rsid w:val="005F56DA"/>
    <w:rsid w:val="005F56F2"/>
    <w:rsid w:val="005F58C3"/>
    <w:rsid w:val="005F58FA"/>
    <w:rsid w:val="005F5975"/>
    <w:rsid w:val="005F59DA"/>
    <w:rsid w:val="005F5CF2"/>
    <w:rsid w:val="005F5DC9"/>
    <w:rsid w:val="005F5DF6"/>
    <w:rsid w:val="005F5E2F"/>
    <w:rsid w:val="005F5E37"/>
    <w:rsid w:val="005F61D9"/>
    <w:rsid w:val="005F63D6"/>
    <w:rsid w:val="005F6808"/>
    <w:rsid w:val="005F6929"/>
    <w:rsid w:val="005F6CBE"/>
    <w:rsid w:val="005F7399"/>
    <w:rsid w:val="005F7409"/>
    <w:rsid w:val="005F789F"/>
    <w:rsid w:val="005F7A0D"/>
    <w:rsid w:val="005F7B25"/>
    <w:rsid w:val="005F7B81"/>
    <w:rsid w:val="005F7B9B"/>
    <w:rsid w:val="005F7E56"/>
    <w:rsid w:val="005F7FB3"/>
    <w:rsid w:val="006005C9"/>
    <w:rsid w:val="00600B83"/>
    <w:rsid w:val="00600CB3"/>
    <w:rsid w:val="00600D86"/>
    <w:rsid w:val="00600F50"/>
    <w:rsid w:val="0060104F"/>
    <w:rsid w:val="006010F9"/>
    <w:rsid w:val="0060132E"/>
    <w:rsid w:val="006015E0"/>
    <w:rsid w:val="0060198D"/>
    <w:rsid w:val="00601A2D"/>
    <w:rsid w:val="00601CE3"/>
    <w:rsid w:val="00601E0E"/>
    <w:rsid w:val="0060230E"/>
    <w:rsid w:val="00602CEC"/>
    <w:rsid w:val="00602D77"/>
    <w:rsid w:val="006037E2"/>
    <w:rsid w:val="00603B0F"/>
    <w:rsid w:val="00603D06"/>
    <w:rsid w:val="0060428E"/>
    <w:rsid w:val="0060430D"/>
    <w:rsid w:val="00604559"/>
    <w:rsid w:val="006045B8"/>
    <w:rsid w:val="00604B0E"/>
    <w:rsid w:val="00604B25"/>
    <w:rsid w:val="00604B29"/>
    <w:rsid w:val="00604BAF"/>
    <w:rsid w:val="00605062"/>
    <w:rsid w:val="0060525E"/>
    <w:rsid w:val="0060535D"/>
    <w:rsid w:val="00605635"/>
    <w:rsid w:val="006057AA"/>
    <w:rsid w:val="0060581F"/>
    <w:rsid w:val="00605957"/>
    <w:rsid w:val="00605A6B"/>
    <w:rsid w:val="00605B26"/>
    <w:rsid w:val="00605BD7"/>
    <w:rsid w:val="006062A4"/>
    <w:rsid w:val="00606559"/>
    <w:rsid w:val="00606B4E"/>
    <w:rsid w:val="006070CE"/>
    <w:rsid w:val="006076B2"/>
    <w:rsid w:val="006078DB"/>
    <w:rsid w:val="00607B87"/>
    <w:rsid w:val="00607C48"/>
    <w:rsid w:val="00607E31"/>
    <w:rsid w:val="00610282"/>
    <w:rsid w:val="0061087D"/>
    <w:rsid w:val="00610E5C"/>
    <w:rsid w:val="0061138A"/>
    <w:rsid w:val="00611392"/>
    <w:rsid w:val="006114EA"/>
    <w:rsid w:val="006116AF"/>
    <w:rsid w:val="00611AA2"/>
    <w:rsid w:val="00611FA1"/>
    <w:rsid w:val="00611FC5"/>
    <w:rsid w:val="00612455"/>
    <w:rsid w:val="00612461"/>
    <w:rsid w:val="00612995"/>
    <w:rsid w:val="00612CF1"/>
    <w:rsid w:val="00612EF2"/>
    <w:rsid w:val="00612F94"/>
    <w:rsid w:val="006130AC"/>
    <w:rsid w:val="006131CA"/>
    <w:rsid w:val="006131DE"/>
    <w:rsid w:val="006132DA"/>
    <w:rsid w:val="00613316"/>
    <w:rsid w:val="0061343A"/>
    <w:rsid w:val="0061358C"/>
    <w:rsid w:val="006138DA"/>
    <w:rsid w:val="0061423C"/>
    <w:rsid w:val="006143FB"/>
    <w:rsid w:val="00614401"/>
    <w:rsid w:val="00614846"/>
    <w:rsid w:val="00614923"/>
    <w:rsid w:val="00615018"/>
    <w:rsid w:val="006151FE"/>
    <w:rsid w:val="00615358"/>
    <w:rsid w:val="006154C9"/>
    <w:rsid w:val="006156DF"/>
    <w:rsid w:val="00615726"/>
    <w:rsid w:val="0061578A"/>
    <w:rsid w:val="00615CF7"/>
    <w:rsid w:val="00615EB8"/>
    <w:rsid w:val="006160B4"/>
    <w:rsid w:val="006162AC"/>
    <w:rsid w:val="00616533"/>
    <w:rsid w:val="006168D1"/>
    <w:rsid w:val="006168F2"/>
    <w:rsid w:val="0061694B"/>
    <w:rsid w:val="006169D9"/>
    <w:rsid w:val="00616B29"/>
    <w:rsid w:val="00616C32"/>
    <w:rsid w:val="00616CF4"/>
    <w:rsid w:val="00616F25"/>
    <w:rsid w:val="00616F4A"/>
    <w:rsid w:val="00617539"/>
    <w:rsid w:val="0061789F"/>
    <w:rsid w:val="0061795B"/>
    <w:rsid w:val="00617A0B"/>
    <w:rsid w:val="00617A72"/>
    <w:rsid w:val="00617AA5"/>
    <w:rsid w:val="00617C83"/>
    <w:rsid w:val="00617CDC"/>
    <w:rsid w:val="00617FEF"/>
    <w:rsid w:val="006202B9"/>
    <w:rsid w:val="006205C5"/>
    <w:rsid w:val="0062064A"/>
    <w:rsid w:val="00620779"/>
    <w:rsid w:val="00620A13"/>
    <w:rsid w:val="00620A98"/>
    <w:rsid w:val="00620F6B"/>
    <w:rsid w:val="0062121E"/>
    <w:rsid w:val="00621252"/>
    <w:rsid w:val="006213EA"/>
    <w:rsid w:val="006213F9"/>
    <w:rsid w:val="006215C8"/>
    <w:rsid w:val="00621667"/>
    <w:rsid w:val="00621680"/>
    <w:rsid w:val="00621815"/>
    <w:rsid w:val="006218F0"/>
    <w:rsid w:val="0062198F"/>
    <w:rsid w:val="00621D03"/>
    <w:rsid w:val="00622775"/>
    <w:rsid w:val="0062289A"/>
    <w:rsid w:val="0062299B"/>
    <w:rsid w:val="00622AD0"/>
    <w:rsid w:val="00622BBF"/>
    <w:rsid w:val="00622CA2"/>
    <w:rsid w:val="00622D80"/>
    <w:rsid w:val="00622EE6"/>
    <w:rsid w:val="00623041"/>
    <w:rsid w:val="00623151"/>
    <w:rsid w:val="00623479"/>
    <w:rsid w:val="006239D9"/>
    <w:rsid w:val="00623DEC"/>
    <w:rsid w:val="00623E4C"/>
    <w:rsid w:val="00623F83"/>
    <w:rsid w:val="00624124"/>
    <w:rsid w:val="006241AE"/>
    <w:rsid w:val="006241FB"/>
    <w:rsid w:val="006242A6"/>
    <w:rsid w:val="00624633"/>
    <w:rsid w:val="0062467D"/>
    <w:rsid w:val="0062485F"/>
    <w:rsid w:val="00624D18"/>
    <w:rsid w:val="0062527D"/>
    <w:rsid w:val="0062552F"/>
    <w:rsid w:val="00625B7A"/>
    <w:rsid w:val="00625CDE"/>
    <w:rsid w:val="00626323"/>
    <w:rsid w:val="00626327"/>
    <w:rsid w:val="006263E3"/>
    <w:rsid w:val="00626428"/>
    <w:rsid w:val="00626B0C"/>
    <w:rsid w:val="00626C0E"/>
    <w:rsid w:val="00626C91"/>
    <w:rsid w:val="00626DFB"/>
    <w:rsid w:val="0062713D"/>
    <w:rsid w:val="0062789F"/>
    <w:rsid w:val="00627A75"/>
    <w:rsid w:val="006303BD"/>
    <w:rsid w:val="00630477"/>
    <w:rsid w:val="006305EB"/>
    <w:rsid w:val="0063078A"/>
    <w:rsid w:val="00630A10"/>
    <w:rsid w:val="00630A40"/>
    <w:rsid w:val="00630ED7"/>
    <w:rsid w:val="00630EFD"/>
    <w:rsid w:val="00631103"/>
    <w:rsid w:val="00631117"/>
    <w:rsid w:val="00631320"/>
    <w:rsid w:val="006316DE"/>
    <w:rsid w:val="0063180B"/>
    <w:rsid w:val="006319EA"/>
    <w:rsid w:val="00631B13"/>
    <w:rsid w:val="00631DA5"/>
    <w:rsid w:val="00631F2A"/>
    <w:rsid w:val="00631FF6"/>
    <w:rsid w:val="00632036"/>
    <w:rsid w:val="006320D0"/>
    <w:rsid w:val="006323BE"/>
    <w:rsid w:val="00632417"/>
    <w:rsid w:val="006325A0"/>
    <w:rsid w:val="00632A6D"/>
    <w:rsid w:val="0063333C"/>
    <w:rsid w:val="00633410"/>
    <w:rsid w:val="006338FD"/>
    <w:rsid w:val="00633DC9"/>
    <w:rsid w:val="00633E1A"/>
    <w:rsid w:val="00633ED0"/>
    <w:rsid w:val="00633EE6"/>
    <w:rsid w:val="00633FC0"/>
    <w:rsid w:val="006341E0"/>
    <w:rsid w:val="00634421"/>
    <w:rsid w:val="0063442A"/>
    <w:rsid w:val="006345C7"/>
    <w:rsid w:val="00634A35"/>
    <w:rsid w:val="00634C11"/>
    <w:rsid w:val="00634C2D"/>
    <w:rsid w:val="00634D96"/>
    <w:rsid w:val="006351F7"/>
    <w:rsid w:val="0063538F"/>
    <w:rsid w:val="006353B0"/>
    <w:rsid w:val="006353F3"/>
    <w:rsid w:val="0063574F"/>
    <w:rsid w:val="00635834"/>
    <w:rsid w:val="006358BA"/>
    <w:rsid w:val="00635BA9"/>
    <w:rsid w:val="006360E6"/>
    <w:rsid w:val="006362D0"/>
    <w:rsid w:val="00636409"/>
    <w:rsid w:val="006364C7"/>
    <w:rsid w:val="006365EF"/>
    <w:rsid w:val="00636640"/>
    <w:rsid w:val="00636D3A"/>
    <w:rsid w:val="00636FC9"/>
    <w:rsid w:val="0063720F"/>
    <w:rsid w:val="006373AF"/>
    <w:rsid w:val="00637931"/>
    <w:rsid w:val="00637B62"/>
    <w:rsid w:val="00637F86"/>
    <w:rsid w:val="0064002F"/>
    <w:rsid w:val="00640069"/>
    <w:rsid w:val="0064089C"/>
    <w:rsid w:val="00640A73"/>
    <w:rsid w:val="00640E32"/>
    <w:rsid w:val="00641069"/>
    <w:rsid w:val="006410A6"/>
    <w:rsid w:val="006410DD"/>
    <w:rsid w:val="006412B8"/>
    <w:rsid w:val="00641800"/>
    <w:rsid w:val="00641C19"/>
    <w:rsid w:val="00641C68"/>
    <w:rsid w:val="00641C78"/>
    <w:rsid w:val="00641CB8"/>
    <w:rsid w:val="00642288"/>
    <w:rsid w:val="00642380"/>
    <w:rsid w:val="006427DB"/>
    <w:rsid w:val="00642CC0"/>
    <w:rsid w:val="00642CC8"/>
    <w:rsid w:val="00642DF4"/>
    <w:rsid w:val="00643235"/>
    <w:rsid w:val="00643292"/>
    <w:rsid w:val="00643900"/>
    <w:rsid w:val="00643B5C"/>
    <w:rsid w:val="00643E8F"/>
    <w:rsid w:val="00643F56"/>
    <w:rsid w:val="00643FF5"/>
    <w:rsid w:val="0064459B"/>
    <w:rsid w:val="00644676"/>
    <w:rsid w:val="006446C0"/>
    <w:rsid w:val="006449EC"/>
    <w:rsid w:val="00644B08"/>
    <w:rsid w:val="00644D69"/>
    <w:rsid w:val="0064530A"/>
    <w:rsid w:val="006457A8"/>
    <w:rsid w:val="00646062"/>
    <w:rsid w:val="006461FC"/>
    <w:rsid w:val="006464F7"/>
    <w:rsid w:val="00646715"/>
    <w:rsid w:val="0064699D"/>
    <w:rsid w:val="00646DBE"/>
    <w:rsid w:val="00647336"/>
    <w:rsid w:val="00647482"/>
    <w:rsid w:val="006475B3"/>
    <w:rsid w:val="00647640"/>
    <w:rsid w:val="00647763"/>
    <w:rsid w:val="00647A04"/>
    <w:rsid w:val="00647B04"/>
    <w:rsid w:val="00647B88"/>
    <w:rsid w:val="00647E4D"/>
    <w:rsid w:val="006506B0"/>
    <w:rsid w:val="00650910"/>
    <w:rsid w:val="00650BC2"/>
    <w:rsid w:val="00650C86"/>
    <w:rsid w:val="0065116A"/>
    <w:rsid w:val="006512E2"/>
    <w:rsid w:val="006513E4"/>
    <w:rsid w:val="00651E73"/>
    <w:rsid w:val="00652096"/>
    <w:rsid w:val="0065260F"/>
    <w:rsid w:val="0065269F"/>
    <w:rsid w:val="006528C9"/>
    <w:rsid w:val="0065296A"/>
    <w:rsid w:val="006529CF"/>
    <w:rsid w:val="00652BA7"/>
    <w:rsid w:val="00652DAF"/>
    <w:rsid w:val="00652F3F"/>
    <w:rsid w:val="00653368"/>
    <w:rsid w:val="006539C2"/>
    <w:rsid w:val="00653AAE"/>
    <w:rsid w:val="00653C9D"/>
    <w:rsid w:val="00653E19"/>
    <w:rsid w:val="00653E29"/>
    <w:rsid w:val="00653E33"/>
    <w:rsid w:val="00654331"/>
    <w:rsid w:val="006543BF"/>
    <w:rsid w:val="006545D8"/>
    <w:rsid w:val="0065483A"/>
    <w:rsid w:val="0065483D"/>
    <w:rsid w:val="00654945"/>
    <w:rsid w:val="00654B0E"/>
    <w:rsid w:val="00654DCD"/>
    <w:rsid w:val="00654FCE"/>
    <w:rsid w:val="006550FD"/>
    <w:rsid w:val="00655273"/>
    <w:rsid w:val="00655427"/>
    <w:rsid w:val="006558DB"/>
    <w:rsid w:val="00655916"/>
    <w:rsid w:val="00655958"/>
    <w:rsid w:val="00655D2D"/>
    <w:rsid w:val="00655DEC"/>
    <w:rsid w:val="00655F8B"/>
    <w:rsid w:val="0065614E"/>
    <w:rsid w:val="00656265"/>
    <w:rsid w:val="00656BB1"/>
    <w:rsid w:val="006572BC"/>
    <w:rsid w:val="00657323"/>
    <w:rsid w:val="0065763F"/>
    <w:rsid w:val="006576D1"/>
    <w:rsid w:val="00657A7A"/>
    <w:rsid w:val="00657B89"/>
    <w:rsid w:val="00657D92"/>
    <w:rsid w:val="00657E2D"/>
    <w:rsid w:val="00660075"/>
    <w:rsid w:val="00660115"/>
    <w:rsid w:val="006602DE"/>
    <w:rsid w:val="00660635"/>
    <w:rsid w:val="006606B1"/>
    <w:rsid w:val="0066098A"/>
    <w:rsid w:val="00660E00"/>
    <w:rsid w:val="00660EB9"/>
    <w:rsid w:val="006618F1"/>
    <w:rsid w:val="00661B83"/>
    <w:rsid w:val="00661D21"/>
    <w:rsid w:val="00661DB0"/>
    <w:rsid w:val="006623F8"/>
    <w:rsid w:val="0066293B"/>
    <w:rsid w:val="00662CAF"/>
    <w:rsid w:val="00662D3E"/>
    <w:rsid w:val="00662E6A"/>
    <w:rsid w:val="00663643"/>
    <w:rsid w:val="0066366D"/>
    <w:rsid w:val="0066382A"/>
    <w:rsid w:val="00663DB3"/>
    <w:rsid w:val="0066408E"/>
    <w:rsid w:val="00664264"/>
    <w:rsid w:val="0066448B"/>
    <w:rsid w:val="00664771"/>
    <w:rsid w:val="006647BD"/>
    <w:rsid w:val="0066487D"/>
    <w:rsid w:val="00664A2F"/>
    <w:rsid w:val="00664D66"/>
    <w:rsid w:val="0066516E"/>
    <w:rsid w:val="00665309"/>
    <w:rsid w:val="006653A3"/>
    <w:rsid w:val="006653D7"/>
    <w:rsid w:val="006657F8"/>
    <w:rsid w:val="00665B0F"/>
    <w:rsid w:val="00665C07"/>
    <w:rsid w:val="00665D02"/>
    <w:rsid w:val="00665DFC"/>
    <w:rsid w:val="00666038"/>
    <w:rsid w:val="006660A6"/>
    <w:rsid w:val="006660BE"/>
    <w:rsid w:val="0066614E"/>
    <w:rsid w:val="006661C0"/>
    <w:rsid w:val="006662E7"/>
    <w:rsid w:val="006663AF"/>
    <w:rsid w:val="006663B5"/>
    <w:rsid w:val="0066681E"/>
    <w:rsid w:val="00666937"/>
    <w:rsid w:val="006669D6"/>
    <w:rsid w:val="00666B2F"/>
    <w:rsid w:val="00666E05"/>
    <w:rsid w:val="00667006"/>
    <w:rsid w:val="0066709B"/>
    <w:rsid w:val="0066758D"/>
    <w:rsid w:val="00667592"/>
    <w:rsid w:val="0066768E"/>
    <w:rsid w:val="0066783D"/>
    <w:rsid w:val="0066790D"/>
    <w:rsid w:val="00667926"/>
    <w:rsid w:val="00667C58"/>
    <w:rsid w:val="00667C72"/>
    <w:rsid w:val="0067022C"/>
    <w:rsid w:val="0067029F"/>
    <w:rsid w:val="00671005"/>
    <w:rsid w:val="0067103C"/>
    <w:rsid w:val="00671413"/>
    <w:rsid w:val="006717E4"/>
    <w:rsid w:val="00671834"/>
    <w:rsid w:val="006719BD"/>
    <w:rsid w:val="00671A8C"/>
    <w:rsid w:val="00671AE5"/>
    <w:rsid w:val="00671DD1"/>
    <w:rsid w:val="00671E4E"/>
    <w:rsid w:val="0067215B"/>
    <w:rsid w:val="006721A8"/>
    <w:rsid w:val="00672355"/>
    <w:rsid w:val="006729EC"/>
    <w:rsid w:val="00672D0F"/>
    <w:rsid w:val="00672D99"/>
    <w:rsid w:val="00672E64"/>
    <w:rsid w:val="006731E8"/>
    <w:rsid w:val="00673355"/>
    <w:rsid w:val="0067360F"/>
    <w:rsid w:val="00673731"/>
    <w:rsid w:val="0067374F"/>
    <w:rsid w:val="00673F32"/>
    <w:rsid w:val="0067408A"/>
    <w:rsid w:val="006743B2"/>
    <w:rsid w:val="006745B3"/>
    <w:rsid w:val="00674627"/>
    <w:rsid w:val="006749A8"/>
    <w:rsid w:val="00674BBD"/>
    <w:rsid w:val="00675707"/>
    <w:rsid w:val="006757C8"/>
    <w:rsid w:val="006757E2"/>
    <w:rsid w:val="006759D0"/>
    <w:rsid w:val="00675F75"/>
    <w:rsid w:val="0067603A"/>
    <w:rsid w:val="00676065"/>
    <w:rsid w:val="00676571"/>
    <w:rsid w:val="00676D89"/>
    <w:rsid w:val="00676E32"/>
    <w:rsid w:val="00676F1E"/>
    <w:rsid w:val="00676F8B"/>
    <w:rsid w:val="0067716F"/>
    <w:rsid w:val="006771F7"/>
    <w:rsid w:val="006773D3"/>
    <w:rsid w:val="00677BEA"/>
    <w:rsid w:val="00680126"/>
    <w:rsid w:val="00680430"/>
    <w:rsid w:val="006804F3"/>
    <w:rsid w:val="00680525"/>
    <w:rsid w:val="006808AC"/>
    <w:rsid w:val="00680C45"/>
    <w:rsid w:val="00680C97"/>
    <w:rsid w:val="0068111F"/>
    <w:rsid w:val="0068183E"/>
    <w:rsid w:val="006819C6"/>
    <w:rsid w:val="00681A4E"/>
    <w:rsid w:val="00681F76"/>
    <w:rsid w:val="00681FA6"/>
    <w:rsid w:val="00682314"/>
    <w:rsid w:val="0068251B"/>
    <w:rsid w:val="00682659"/>
    <w:rsid w:val="00682671"/>
    <w:rsid w:val="00682859"/>
    <w:rsid w:val="00682868"/>
    <w:rsid w:val="00682927"/>
    <w:rsid w:val="00682D88"/>
    <w:rsid w:val="00682EC5"/>
    <w:rsid w:val="006830E1"/>
    <w:rsid w:val="006831F5"/>
    <w:rsid w:val="00683402"/>
    <w:rsid w:val="006834FD"/>
    <w:rsid w:val="006839C3"/>
    <w:rsid w:val="00683ACC"/>
    <w:rsid w:val="00683B19"/>
    <w:rsid w:val="00683EE5"/>
    <w:rsid w:val="00684317"/>
    <w:rsid w:val="006844F2"/>
    <w:rsid w:val="0068463E"/>
    <w:rsid w:val="006846F8"/>
    <w:rsid w:val="006847CB"/>
    <w:rsid w:val="006848A1"/>
    <w:rsid w:val="00684C57"/>
    <w:rsid w:val="00684D74"/>
    <w:rsid w:val="00684E68"/>
    <w:rsid w:val="00684EB5"/>
    <w:rsid w:val="00684EE2"/>
    <w:rsid w:val="006853AA"/>
    <w:rsid w:val="00685408"/>
    <w:rsid w:val="006854A3"/>
    <w:rsid w:val="0068558E"/>
    <w:rsid w:val="00685E4C"/>
    <w:rsid w:val="00685F95"/>
    <w:rsid w:val="00685FF0"/>
    <w:rsid w:val="00686042"/>
    <w:rsid w:val="006862BF"/>
    <w:rsid w:val="00686330"/>
    <w:rsid w:val="006863FE"/>
    <w:rsid w:val="006864B9"/>
    <w:rsid w:val="0068670C"/>
    <w:rsid w:val="006869D1"/>
    <w:rsid w:val="00686A14"/>
    <w:rsid w:val="00686B00"/>
    <w:rsid w:val="00686E42"/>
    <w:rsid w:val="00687148"/>
    <w:rsid w:val="00687711"/>
    <w:rsid w:val="00687A41"/>
    <w:rsid w:val="00687AFA"/>
    <w:rsid w:val="00687D5A"/>
    <w:rsid w:val="0069007F"/>
    <w:rsid w:val="0069034E"/>
    <w:rsid w:val="00690E91"/>
    <w:rsid w:val="00691143"/>
    <w:rsid w:val="00691254"/>
    <w:rsid w:val="00691649"/>
    <w:rsid w:val="0069187E"/>
    <w:rsid w:val="00691985"/>
    <w:rsid w:val="006919C4"/>
    <w:rsid w:val="006919CB"/>
    <w:rsid w:val="00691AC5"/>
    <w:rsid w:val="00691D97"/>
    <w:rsid w:val="00691E72"/>
    <w:rsid w:val="00691EBE"/>
    <w:rsid w:val="00691FB7"/>
    <w:rsid w:val="00692152"/>
    <w:rsid w:val="006921D2"/>
    <w:rsid w:val="00692263"/>
    <w:rsid w:val="0069239F"/>
    <w:rsid w:val="006926A4"/>
    <w:rsid w:val="006926CD"/>
    <w:rsid w:val="006928C1"/>
    <w:rsid w:val="00692A78"/>
    <w:rsid w:val="00692BA0"/>
    <w:rsid w:val="00692D56"/>
    <w:rsid w:val="00692DEE"/>
    <w:rsid w:val="00692E5A"/>
    <w:rsid w:val="00693061"/>
    <w:rsid w:val="00693469"/>
    <w:rsid w:val="00693570"/>
    <w:rsid w:val="006936A1"/>
    <w:rsid w:val="006937D0"/>
    <w:rsid w:val="006938E8"/>
    <w:rsid w:val="00693AC2"/>
    <w:rsid w:val="0069421D"/>
    <w:rsid w:val="0069441E"/>
    <w:rsid w:val="00694B21"/>
    <w:rsid w:val="00694CF9"/>
    <w:rsid w:val="00694EDD"/>
    <w:rsid w:val="00695125"/>
    <w:rsid w:val="00695212"/>
    <w:rsid w:val="006952BC"/>
    <w:rsid w:val="006953B0"/>
    <w:rsid w:val="0069559C"/>
    <w:rsid w:val="006955EE"/>
    <w:rsid w:val="006959AF"/>
    <w:rsid w:val="00695A4E"/>
    <w:rsid w:val="006967C3"/>
    <w:rsid w:val="0069748B"/>
    <w:rsid w:val="00697502"/>
    <w:rsid w:val="006975F8"/>
    <w:rsid w:val="0069764E"/>
    <w:rsid w:val="006977DA"/>
    <w:rsid w:val="00697AD5"/>
    <w:rsid w:val="006A013C"/>
    <w:rsid w:val="006A0223"/>
    <w:rsid w:val="006A0350"/>
    <w:rsid w:val="006A0408"/>
    <w:rsid w:val="006A04AF"/>
    <w:rsid w:val="006A04BC"/>
    <w:rsid w:val="006A05FE"/>
    <w:rsid w:val="006A063F"/>
    <w:rsid w:val="006A0A58"/>
    <w:rsid w:val="006A0CF6"/>
    <w:rsid w:val="006A0DE5"/>
    <w:rsid w:val="006A1000"/>
    <w:rsid w:val="006A10C1"/>
    <w:rsid w:val="006A1128"/>
    <w:rsid w:val="006A16E8"/>
    <w:rsid w:val="006A1923"/>
    <w:rsid w:val="006A1AB6"/>
    <w:rsid w:val="006A1D8B"/>
    <w:rsid w:val="006A2180"/>
    <w:rsid w:val="006A27F3"/>
    <w:rsid w:val="006A2EA7"/>
    <w:rsid w:val="006A2F9B"/>
    <w:rsid w:val="006A31E4"/>
    <w:rsid w:val="006A34AA"/>
    <w:rsid w:val="006A34CD"/>
    <w:rsid w:val="006A367B"/>
    <w:rsid w:val="006A36E4"/>
    <w:rsid w:val="006A3DA5"/>
    <w:rsid w:val="006A408B"/>
    <w:rsid w:val="006A42AC"/>
    <w:rsid w:val="006A44F4"/>
    <w:rsid w:val="006A4830"/>
    <w:rsid w:val="006A49C1"/>
    <w:rsid w:val="006A4E6C"/>
    <w:rsid w:val="006A51FD"/>
    <w:rsid w:val="006A5255"/>
    <w:rsid w:val="006A53C1"/>
    <w:rsid w:val="006A553A"/>
    <w:rsid w:val="006A56AF"/>
    <w:rsid w:val="006A5ACD"/>
    <w:rsid w:val="006A5D95"/>
    <w:rsid w:val="006A5DE3"/>
    <w:rsid w:val="006A5EAD"/>
    <w:rsid w:val="006A5EEB"/>
    <w:rsid w:val="006A5F05"/>
    <w:rsid w:val="006A5F41"/>
    <w:rsid w:val="006A62B9"/>
    <w:rsid w:val="006A62E5"/>
    <w:rsid w:val="006A6645"/>
    <w:rsid w:val="006A6835"/>
    <w:rsid w:val="006A6966"/>
    <w:rsid w:val="006A6A83"/>
    <w:rsid w:val="006A6F4E"/>
    <w:rsid w:val="006A7041"/>
    <w:rsid w:val="006A7065"/>
    <w:rsid w:val="006A72B7"/>
    <w:rsid w:val="006A7438"/>
    <w:rsid w:val="006A7597"/>
    <w:rsid w:val="006A759F"/>
    <w:rsid w:val="006A7660"/>
    <w:rsid w:val="006A7C39"/>
    <w:rsid w:val="006A7C49"/>
    <w:rsid w:val="006B008F"/>
    <w:rsid w:val="006B026E"/>
    <w:rsid w:val="006B051B"/>
    <w:rsid w:val="006B05CA"/>
    <w:rsid w:val="006B090A"/>
    <w:rsid w:val="006B0931"/>
    <w:rsid w:val="006B0BD6"/>
    <w:rsid w:val="006B1064"/>
    <w:rsid w:val="006B106F"/>
    <w:rsid w:val="006B1101"/>
    <w:rsid w:val="006B157C"/>
    <w:rsid w:val="006B1620"/>
    <w:rsid w:val="006B1AC3"/>
    <w:rsid w:val="006B1B46"/>
    <w:rsid w:val="006B1F96"/>
    <w:rsid w:val="006B208E"/>
    <w:rsid w:val="006B23EC"/>
    <w:rsid w:val="006B2838"/>
    <w:rsid w:val="006B2BE5"/>
    <w:rsid w:val="006B304F"/>
    <w:rsid w:val="006B3098"/>
    <w:rsid w:val="006B34E1"/>
    <w:rsid w:val="006B37F4"/>
    <w:rsid w:val="006B3800"/>
    <w:rsid w:val="006B3A1F"/>
    <w:rsid w:val="006B3C42"/>
    <w:rsid w:val="006B3CDF"/>
    <w:rsid w:val="006B3CEF"/>
    <w:rsid w:val="006B4032"/>
    <w:rsid w:val="006B405D"/>
    <w:rsid w:val="006B4349"/>
    <w:rsid w:val="006B4826"/>
    <w:rsid w:val="006B4D1B"/>
    <w:rsid w:val="006B4DB6"/>
    <w:rsid w:val="006B5150"/>
    <w:rsid w:val="006B51CD"/>
    <w:rsid w:val="006B535E"/>
    <w:rsid w:val="006B5692"/>
    <w:rsid w:val="006B571F"/>
    <w:rsid w:val="006B57F2"/>
    <w:rsid w:val="006B59E3"/>
    <w:rsid w:val="006B5A83"/>
    <w:rsid w:val="006B5B78"/>
    <w:rsid w:val="006B6312"/>
    <w:rsid w:val="006B6896"/>
    <w:rsid w:val="006B6984"/>
    <w:rsid w:val="006B6C04"/>
    <w:rsid w:val="006B6E23"/>
    <w:rsid w:val="006B7661"/>
    <w:rsid w:val="006B77D1"/>
    <w:rsid w:val="006B79DA"/>
    <w:rsid w:val="006B7B36"/>
    <w:rsid w:val="006C0264"/>
    <w:rsid w:val="006C050E"/>
    <w:rsid w:val="006C06E5"/>
    <w:rsid w:val="006C06F2"/>
    <w:rsid w:val="006C0762"/>
    <w:rsid w:val="006C0879"/>
    <w:rsid w:val="006C088C"/>
    <w:rsid w:val="006C08D0"/>
    <w:rsid w:val="006C0B49"/>
    <w:rsid w:val="006C0C14"/>
    <w:rsid w:val="006C0C8C"/>
    <w:rsid w:val="006C0CC7"/>
    <w:rsid w:val="006C0D29"/>
    <w:rsid w:val="006C0F33"/>
    <w:rsid w:val="006C13B1"/>
    <w:rsid w:val="006C17C7"/>
    <w:rsid w:val="006C17ED"/>
    <w:rsid w:val="006C19C6"/>
    <w:rsid w:val="006C1B48"/>
    <w:rsid w:val="006C1CD6"/>
    <w:rsid w:val="006C1DF0"/>
    <w:rsid w:val="006C1E31"/>
    <w:rsid w:val="006C1E6A"/>
    <w:rsid w:val="006C1E99"/>
    <w:rsid w:val="006C1F48"/>
    <w:rsid w:val="006C2077"/>
    <w:rsid w:val="006C227B"/>
    <w:rsid w:val="006C2BD6"/>
    <w:rsid w:val="006C2D4C"/>
    <w:rsid w:val="006C2DDB"/>
    <w:rsid w:val="006C2F24"/>
    <w:rsid w:val="006C2F51"/>
    <w:rsid w:val="006C3058"/>
    <w:rsid w:val="006C3B2D"/>
    <w:rsid w:val="006C3C95"/>
    <w:rsid w:val="006C3D75"/>
    <w:rsid w:val="006C46E9"/>
    <w:rsid w:val="006C4A24"/>
    <w:rsid w:val="006C4A69"/>
    <w:rsid w:val="006C50A6"/>
    <w:rsid w:val="006C51F2"/>
    <w:rsid w:val="006C530D"/>
    <w:rsid w:val="006C544A"/>
    <w:rsid w:val="006C598B"/>
    <w:rsid w:val="006C5A8C"/>
    <w:rsid w:val="006C5DC2"/>
    <w:rsid w:val="006C61FF"/>
    <w:rsid w:val="006C6485"/>
    <w:rsid w:val="006C64FD"/>
    <w:rsid w:val="006C6508"/>
    <w:rsid w:val="006C6B33"/>
    <w:rsid w:val="006C6B5C"/>
    <w:rsid w:val="006C6E1C"/>
    <w:rsid w:val="006C6FD2"/>
    <w:rsid w:val="006C70F5"/>
    <w:rsid w:val="006C74EB"/>
    <w:rsid w:val="006C76DF"/>
    <w:rsid w:val="006C7B6C"/>
    <w:rsid w:val="006C7C6F"/>
    <w:rsid w:val="006C7FC7"/>
    <w:rsid w:val="006D0108"/>
    <w:rsid w:val="006D0499"/>
    <w:rsid w:val="006D088B"/>
    <w:rsid w:val="006D09D1"/>
    <w:rsid w:val="006D113F"/>
    <w:rsid w:val="006D117B"/>
    <w:rsid w:val="006D1208"/>
    <w:rsid w:val="006D12A1"/>
    <w:rsid w:val="006D1568"/>
    <w:rsid w:val="006D156D"/>
    <w:rsid w:val="006D1579"/>
    <w:rsid w:val="006D15A2"/>
    <w:rsid w:val="006D1923"/>
    <w:rsid w:val="006D1D3C"/>
    <w:rsid w:val="006D1D57"/>
    <w:rsid w:val="006D1FAE"/>
    <w:rsid w:val="006D225F"/>
    <w:rsid w:val="006D23AC"/>
    <w:rsid w:val="006D23DF"/>
    <w:rsid w:val="006D25CD"/>
    <w:rsid w:val="006D2783"/>
    <w:rsid w:val="006D287B"/>
    <w:rsid w:val="006D29DC"/>
    <w:rsid w:val="006D2AE7"/>
    <w:rsid w:val="006D2CEB"/>
    <w:rsid w:val="006D2F15"/>
    <w:rsid w:val="006D3267"/>
    <w:rsid w:val="006D327E"/>
    <w:rsid w:val="006D3311"/>
    <w:rsid w:val="006D333A"/>
    <w:rsid w:val="006D340C"/>
    <w:rsid w:val="006D3576"/>
    <w:rsid w:val="006D3628"/>
    <w:rsid w:val="006D393B"/>
    <w:rsid w:val="006D3D4A"/>
    <w:rsid w:val="006D3F5F"/>
    <w:rsid w:val="006D4576"/>
    <w:rsid w:val="006D4BB5"/>
    <w:rsid w:val="006D4E28"/>
    <w:rsid w:val="006D4F4D"/>
    <w:rsid w:val="006D4F6B"/>
    <w:rsid w:val="006D5243"/>
    <w:rsid w:val="006D5436"/>
    <w:rsid w:val="006D54E7"/>
    <w:rsid w:val="006D5745"/>
    <w:rsid w:val="006D58DC"/>
    <w:rsid w:val="006D58EF"/>
    <w:rsid w:val="006D5989"/>
    <w:rsid w:val="006D5CF8"/>
    <w:rsid w:val="006D5E15"/>
    <w:rsid w:val="006D5F9D"/>
    <w:rsid w:val="006D6028"/>
    <w:rsid w:val="006D6341"/>
    <w:rsid w:val="006D63BF"/>
    <w:rsid w:val="006D642A"/>
    <w:rsid w:val="006D6944"/>
    <w:rsid w:val="006D6F15"/>
    <w:rsid w:val="006D701D"/>
    <w:rsid w:val="006D72F5"/>
    <w:rsid w:val="006D7582"/>
    <w:rsid w:val="006D7BFF"/>
    <w:rsid w:val="006D7C8E"/>
    <w:rsid w:val="006D7E56"/>
    <w:rsid w:val="006D7FD1"/>
    <w:rsid w:val="006E0098"/>
    <w:rsid w:val="006E0146"/>
    <w:rsid w:val="006E026A"/>
    <w:rsid w:val="006E0442"/>
    <w:rsid w:val="006E063E"/>
    <w:rsid w:val="006E0933"/>
    <w:rsid w:val="006E09B5"/>
    <w:rsid w:val="006E0BAB"/>
    <w:rsid w:val="006E11C7"/>
    <w:rsid w:val="006E11D6"/>
    <w:rsid w:val="006E137E"/>
    <w:rsid w:val="006E14F6"/>
    <w:rsid w:val="006E1B9A"/>
    <w:rsid w:val="006E1BDE"/>
    <w:rsid w:val="006E1D04"/>
    <w:rsid w:val="006E1EA1"/>
    <w:rsid w:val="006E2389"/>
    <w:rsid w:val="006E2485"/>
    <w:rsid w:val="006E26E0"/>
    <w:rsid w:val="006E2A59"/>
    <w:rsid w:val="006E2A80"/>
    <w:rsid w:val="006E2C01"/>
    <w:rsid w:val="006E2C2E"/>
    <w:rsid w:val="006E30D4"/>
    <w:rsid w:val="006E32BC"/>
    <w:rsid w:val="006E3811"/>
    <w:rsid w:val="006E3AD2"/>
    <w:rsid w:val="006E3BB0"/>
    <w:rsid w:val="006E3D38"/>
    <w:rsid w:val="006E3E22"/>
    <w:rsid w:val="006E4083"/>
    <w:rsid w:val="006E41C7"/>
    <w:rsid w:val="006E4319"/>
    <w:rsid w:val="006E442F"/>
    <w:rsid w:val="006E45C5"/>
    <w:rsid w:val="006E48EC"/>
    <w:rsid w:val="006E4910"/>
    <w:rsid w:val="006E497F"/>
    <w:rsid w:val="006E4B79"/>
    <w:rsid w:val="006E4CDB"/>
    <w:rsid w:val="006E4EE6"/>
    <w:rsid w:val="006E52C0"/>
    <w:rsid w:val="006E52FA"/>
    <w:rsid w:val="006E5494"/>
    <w:rsid w:val="006E55AC"/>
    <w:rsid w:val="006E56CF"/>
    <w:rsid w:val="006E588A"/>
    <w:rsid w:val="006E59A9"/>
    <w:rsid w:val="006E59F8"/>
    <w:rsid w:val="006E5C25"/>
    <w:rsid w:val="006E5ECE"/>
    <w:rsid w:val="006E5F73"/>
    <w:rsid w:val="006E5FA3"/>
    <w:rsid w:val="006E618E"/>
    <w:rsid w:val="006E66D7"/>
    <w:rsid w:val="006E67DB"/>
    <w:rsid w:val="006E67E5"/>
    <w:rsid w:val="006E68AE"/>
    <w:rsid w:val="006E69E0"/>
    <w:rsid w:val="006E6A03"/>
    <w:rsid w:val="006E6A46"/>
    <w:rsid w:val="006E6A58"/>
    <w:rsid w:val="006E6AB7"/>
    <w:rsid w:val="006E6B75"/>
    <w:rsid w:val="006E6C0B"/>
    <w:rsid w:val="006E6DA1"/>
    <w:rsid w:val="006E6DA7"/>
    <w:rsid w:val="006E6E8A"/>
    <w:rsid w:val="006E702F"/>
    <w:rsid w:val="006E729E"/>
    <w:rsid w:val="006E733D"/>
    <w:rsid w:val="006E74B2"/>
    <w:rsid w:val="006E78CD"/>
    <w:rsid w:val="006E79B3"/>
    <w:rsid w:val="006E7A3A"/>
    <w:rsid w:val="006E7A7E"/>
    <w:rsid w:val="006E7AAF"/>
    <w:rsid w:val="006F0272"/>
    <w:rsid w:val="006F0389"/>
    <w:rsid w:val="006F0492"/>
    <w:rsid w:val="006F053E"/>
    <w:rsid w:val="006F056A"/>
    <w:rsid w:val="006F059C"/>
    <w:rsid w:val="006F0603"/>
    <w:rsid w:val="006F07CA"/>
    <w:rsid w:val="006F086D"/>
    <w:rsid w:val="006F09CA"/>
    <w:rsid w:val="006F0BA8"/>
    <w:rsid w:val="006F0EEF"/>
    <w:rsid w:val="006F10BA"/>
    <w:rsid w:val="006F1108"/>
    <w:rsid w:val="006F11BA"/>
    <w:rsid w:val="006F141E"/>
    <w:rsid w:val="006F1559"/>
    <w:rsid w:val="006F1619"/>
    <w:rsid w:val="006F176B"/>
    <w:rsid w:val="006F1817"/>
    <w:rsid w:val="006F1A38"/>
    <w:rsid w:val="006F1E05"/>
    <w:rsid w:val="006F1FD9"/>
    <w:rsid w:val="006F20E6"/>
    <w:rsid w:val="006F235F"/>
    <w:rsid w:val="006F2453"/>
    <w:rsid w:val="006F2867"/>
    <w:rsid w:val="006F298F"/>
    <w:rsid w:val="006F2C00"/>
    <w:rsid w:val="006F2F02"/>
    <w:rsid w:val="006F31ED"/>
    <w:rsid w:val="006F3B44"/>
    <w:rsid w:val="006F3DAD"/>
    <w:rsid w:val="006F3E1C"/>
    <w:rsid w:val="006F3E6B"/>
    <w:rsid w:val="006F402C"/>
    <w:rsid w:val="006F40A9"/>
    <w:rsid w:val="006F4382"/>
    <w:rsid w:val="006F464D"/>
    <w:rsid w:val="006F4D36"/>
    <w:rsid w:val="006F4DF6"/>
    <w:rsid w:val="006F5789"/>
    <w:rsid w:val="006F5934"/>
    <w:rsid w:val="006F59F0"/>
    <w:rsid w:val="006F5FA0"/>
    <w:rsid w:val="006F5FD8"/>
    <w:rsid w:val="006F65C4"/>
    <w:rsid w:val="006F66E8"/>
    <w:rsid w:val="006F66FE"/>
    <w:rsid w:val="006F69BE"/>
    <w:rsid w:val="006F69F1"/>
    <w:rsid w:val="006F6CBF"/>
    <w:rsid w:val="006F6EAF"/>
    <w:rsid w:val="006F6FD6"/>
    <w:rsid w:val="006F7003"/>
    <w:rsid w:val="006F7303"/>
    <w:rsid w:val="006F732B"/>
    <w:rsid w:val="006F7382"/>
    <w:rsid w:val="006F798D"/>
    <w:rsid w:val="006F7A09"/>
    <w:rsid w:val="006F7A57"/>
    <w:rsid w:val="006F7ABB"/>
    <w:rsid w:val="006F7F33"/>
    <w:rsid w:val="007000EE"/>
    <w:rsid w:val="00700579"/>
    <w:rsid w:val="007005CD"/>
    <w:rsid w:val="00700780"/>
    <w:rsid w:val="00700ACC"/>
    <w:rsid w:val="00700E9B"/>
    <w:rsid w:val="00700EA3"/>
    <w:rsid w:val="00701101"/>
    <w:rsid w:val="007011B3"/>
    <w:rsid w:val="00701328"/>
    <w:rsid w:val="0070138A"/>
    <w:rsid w:val="0070152F"/>
    <w:rsid w:val="007018F1"/>
    <w:rsid w:val="00701972"/>
    <w:rsid w:val="00701DC0"/>
    <w:rsid w:val="00702001"/>
    <w:rsid w:val="00702173"/>
    <w:rsid w:val="00702267"/>
    <w:rsid w:val="007022E6"/>
    <w:rsid w:val="00702D43"/>
    <w:rsid w:val="00702D9D"/>
    <w:rsid w:val="00702DFA"/>
    <w:rsid w:val="00703108"/>
    <w:rsid w:val="00703246"/>
    <w:rsid w:val="00703270"/>
    <w:rsid w:val="007038EA"/>
    <w:rsid w:val="00703B7B"/>
    <w:rsid w:val="00703ED7"/>
    <w:rsid w:val="0070417A"/>
    <w:rsid w:val="0070420E"/>
    <w:rsid w:val="007042BD"/>
    <w:rsid w:val="007042C9"/>
    <w:rsid w:val="007045A8"/>
    <w:rsid w:val="00704AD5"/>
    <w:rsid w:val="00704BBD"/>
    <w:rsid w:val="00705110"/>
    <w:rsid w:val="007053A2"/>
    <w:rsid w:val="007053C5"/>
    <w:rsid w:val="007053D6"/>
    <w:rsid w:val="007053E7"/>
    <w:rsid w:val="00705423"/>
    <w:rsid w:val="0070546A"/>
    <w:rsid w:val="007054B0"/>
    <w:rsid w:val="00705595"/>
    <w:rsid w:val="007055D2"/>
    <w:rsid w:val="00705663"/>
    <w:rsid w:val="007057B2"/>
    <w:rsid w:val="0070582A"/>
    <w:rsid w:val="007058A8"/>
    <w:rsid w:val="00705DA9"/>
    <w:rsid w:val="00705E90"/>
    <w:rsid w:val="00706033"/>
    <w:rsid w:val="007063C2"/>
    <w:rsid w:val="007064AF"/>
    <w:rsid w:val="0070660F"/>
    <w:rsid w:val="007068D3"/>
    <w:rsid w:val="00706C31"/>
    <w:rsid w:val="00706E15"/>
    <w:rsid w:val="0070715F"/>
    <w:rsid w:val="007078B6"/>
    <w:rsid w:val="00707C40"/>
    <w:rsid w:val="00707E3F"/>
    <w:rsid w:val="00707EA4"/>
    <w:rsid w:val="007100BE"/>
    <w:rsid w:val="0071033A"/>
    <w:rsid w:val="00710499"/>
    <w:rsid w:val="00710C92"/>
    <w:rsid w:val="00710D61"/>
    <w:rsid w:val="00710E20"/>
    <w:rsid w:val="007110E5"/>
    <w:rsid w:val="00711269"/>
    <w:rsid w:val="007112AF"/>
    <w:rsid w:val="0071137A"/>
    <w:rsid w:val="00711BD8"/>
    <w:rsid w:val="00711C5A"/>
    <w:rsid w:val="00712479"/>
    <w:rsid w:val="0071252E"/>
    <w:rsid w:val="00712CE2"/>
    <w:rsid w:val="00712CF6"/>
    <w:rsid w:val="00712DAF"/>
    <w:rsid w:val="00712F88"/>
    <w:rsid w:val="00713004"/>
    <w:rsid w:val="0071321F"/>
    <w:rsid w:val="00713253"/>
    <w:rsid w:val="007135DF"/>
    <w:rsid w:val="007139AB"/>
    <w:rsid w:val="007139FA"/>
    <w:rsid w:val="00713A3B"/>
    <w:rsid w:val="00713C70"/>
    <w:rsid w:val="00713DAC"/>
    <w:rsid w:val="0071438C"/>
    <w:rsid w:val="00714970"/>
    <w:rsid w:val="00714CFA"/>
    <w:rsid w:val="00714E10"/>
    <w:rsid w:val="00715446"/>
    <w:rsid w:val="00715B1F"/>
    <w:rsid w:val="007160A4"/>
    <w:rsid w:val="007162AB"/>
    <w:rsid w:val="00716557"/>
    <w:rsid w:val="00716618"/>
    <w:rsid w:val="00716868"/>
    <w:rsid w:val="00716B2A"/>
    <w:rsid w:val="00716BBF"/>
    <w:rsid w:val="0071765D"/>
    <w:rsid w:val="00717BA5"/>
    <w:rsid w:val="00717E98"/>
    <w:rsid w:val="00720419"/>
    <w:rsid w:val="00720781"/>
    <w:rsid w:val="00720A56"/>
    <w:rsid w:val="00720A8A"/>
    <w:rsid w:val="00720CDF"/>
    <w:rsid w:val="00720E72"/>
    <w:rsid w:val="007210C4"/>
    <w:rsid w:val="007211AD"/>
    <w:rsid w:val="0072131E"/>
    <w:rsid w:val="00721448"/>
    <w:rsid w:val="00721588"/>
    <w:rsid w:val="007215A3"/>
    <w:rsid w:val="0072162A"/>
    <w:rsid w:val="00721696"/>
    <w:rsid w:val="00721A24"/>
    <w:rsid w:val="00721B05"/>
    <w:rsid w:val="00721D03"/>
    <w:rsid w:val="00721D1E"/>
    <w:rsid w:val="007225C2"/>
    <w:rsid w:val="00722665"/>
    <w:rsid w:val="00722670"/>
    <w:rsid w:val="007227D7"/>
    <w:rsid w:val="00722A52"/>
    <w:rsid w:val="00722B3C"/>
    <w:rsid w:val="00722F8A"/>
    <w:rsid w:val="007230A0"/>
    <w:rsid w:val="00723650"/>
    <w:rsid w:val="00723E28"/>
    <w:rsid w:val="00723FAC"/>
    <w:rsid w:val="007241F0"/>
    <w:rsid w:val="0072440A"/>
    <w:rsid w:val="00724670"/>
    <w:rsid w:val="0072477F"/>
    <w:rsid w:val="0072490F"/>
    <w:rsid w:val="007249C3"/>
    <w:rsid w:val="007249D5"/>
    <w:rsid w:val="00724FF4"/>
    <w:rsid w:val="00725133"/>
    <w:rsid w:val="0072543E"/>
    <w:rsid w:val="007256ED"/>
    <w:rsid w:val="00725AFB"/>
    <w:rsid w:val="00725B2B"/>
    <w:rsid w:val="00725C52"/>
    <w:rsid w:val="00726004"/>
    <w:rsid w:val="007261E1"/>
    <w:rsid w:val="0072623E"/>
    <w:rsid w:val="00726491"/>
    <w:rsid w:val="00726680"/>
    <w:rsid w:val="007266D7"/>
    <w:rsid w:val="00726A3F"/>
    <w:rsid w:val="00726A56"/>
    <w:rsid w:val="00726A74"/>
    <w:rsid w:val="007270C9"/>
    <w:rsid w:val="0072714C"/>
    <w:rsid w:val="00727526"/>
    <w:rsid w:val="00727658"/>
    <w:rsid w:val="00727A0B"/>
    <w:rsid w:val="00727CA6"/>
    <w:rsid w:val="00727D20"/>
    <w:rsid w:val="00727DCB"/>
    <w:rsid w:val="007302AC"/>
    <w:rsid w:val="00730503"/>
    <w:rsid w:val="00730813"/>
    <w:rsid w:val="007308C5"/>
    <w:rsid w:val="00730941"/>
    <w:rsid w:val="00730B4B"/>
    <w:rsid w:val="00730D83"/>
    <w:rsid w:val="00730FC1"/>
    <w:rsid w:val="007312ED"/>
    <w:rsid w:val="007313A6"/>
    <w:rsid w:val="00731434"/>
    <w:rsid w:val="00731473"/>
    <w:rsid w:val="00731540"/>
    <w:rsid w:val="0073182E"/>
    <w:rsid w:val="00731849"/>
    <w:rsid w:val="007318EE"/>
    <w:rsid w:val="00732042"/>
    <w:rsid w:val="00732606"/>
    <w:rsid w:val="00732848"/>
    <w:rsid w:val="00732A09"/>
    <w:rsid w:val="00732B85"/>
    <w:rsid w:val="00732CDE"/>
    <w:rsid w:val="00733141"/>
    <w:rsid w:val="00733170"/>
    <w:rsid w:val="007332D0"/>
    <w:rsid w:val="007333A0"/>
    <w:rsid w:val="007334AF"/>
    <w:rsid w:val="007338CB"/>
    <w:rsid w:val="007338CE"/>
    <w:rsid w:val="00733B3D"/>
    <w:rsid w:val="00733B67"/>
    <w:rsid w:val="00733BD4"/>
    <w:rsid w:val="007340AA"/>
    <w:rsid w:val="00734249"/>
    <w:rsid w:val="0073426E"/>
    <w:rsid w:val="007342C4"/>
    <w:rsid w:val="00734320"/>
    <w:rsid w:val="00734325"/>
    <w:rsid w:val="0073461E"/>
    <w:rsid w:val="00734776"/>
    <w:rsid w:val="007347DE"/>
    <w:rsid w:val="007347EC"/>
    <w:rsid w:val="007348EF"/>
    <w:rsid w:val="00734F97"/>
    <w:rsid w:val="00735459"/>
    <w:rsid w:val="007359D3"/>
    <w:rsid w:val="00735B8C"/>
    <w:rsid w:val="00735BD7"/>
    <w:rsid w:val="00735D92"/>
    <w:rsid w:val="00735E35"/>
    <w:rsid w:val="00736181"/>
    <w:rsid w:val="00736339"/>
    <w:rsid w:val="007364B9"/>
    <w:rsid w:val="007364C5"/>
    <w:rsid w:val="0073665B"/>
    <w:rsid w:val="00736725"/>
    <w:rsid w:val="00736A99"/>
    <w:rsid w:val="00737199"/>
    <w:rsid w:val="00737729"/>
    <w:rsid w:val="007401C8"/>
    <w:rsid w:val="00740521"/>
    <w:rsid w:val="007408CF"/>
    <w:rsid w:val="007408FB"/>
    <w:rsid w:val="00740B66"/>
    <w:rsid w:val="00740BCC"/>
    <w:rsid w:val="00740BCD"/>
    <w:rsid w:val="00740DCE"/>
    <w:rsid w:val="00741311"/>
    <w:rsid w:val="0074139B"/>
    <w:rsid w:val="0074139F"/>
    <w:rsid w:val="00741A1E"/>
    <w:rsid w:val="00741EEF"/>
    <w:rsid w:val="00741FB3"/>
    <w:rsid w:val="00742168"/>
    <w:rsid w:val="0074234B"/>
    <w:rsid w:val="00742408"/>
    <w:rsid w:val="0074242E"/>
    <w:rsid w:val="0074275A"/>
    <w:rsid w:val="007428BD"/>
    <w:rsid w:val="00742D39"/>
    <w:rsid w:val="00742DC8"/>
    <w:rsid w:val="00742F6C"/>
    <w:rsid w:val="00742F79"/>
    <w:rsid w:val="00743567"/>
    <w:rsid w:val="00743606"/>
    <w:rsid w:val="007436E9"/>
    <w:rsid w:val="0074382F"/>
    <w:rsid w:val="00743A02"/>
    <w:rsid w:val="00743B00"/>
    <w:rsid w:val="00743B91"/>
    <w:rsid w:val="00743EB6"/>
    <w:rsid w:val="00744113"/>
    <w:rsid w:val="00744395"/>
    <w:rsid w:val="007444BF"/>
    <w:rsid w:val="00744796"/>
    <w:rsid w:val="00744D55"/>
    <w:rsid w:val="00744DB2"/>
    <w:rsid w:val="00744EE8"/>
    <w:rsid w:val="007455C6"/>
    <w:rsid w:val="007459CA"/>
    <w:rsid w:val="00745F15"/>
    <w:rsid w:val="007461AD"/>
    <w:rsid w:val="0074643A"/>
    <w:rsid w:val="007464FA"/>
    <w:rsid w:val="00746A28"/>
    <w:rsid w:val="007473BF"/>
    <w:rsid w:val="00747542"/>
    <w:rsid w:val="00747A41"/>
    <w:rsid w:val="00747D26"/>
    <w:rsid w:val="0075011E"/>
    <w:rsid w:val="00750182"/>
    <w:rsid w:val="007505C3"/>
    <w:rsid w:val="007506EC"/>
    <w:rsid w:val="007507E9"/>
    <w:rsid w:val="00750806"/>
    <w:rsid w:val="007509C9"/>
    <w:rsid w:val="007509E1"/>
    <w:rsid w:val="00750AC6"/>
    <w:rsid w:val="00750B8E"/>
    <w:rsid w:val="0075157A"/>
    <w:rsid w:val="0075172F"/>
    <w:rsid w:val="00751871"/>
    <w:rsid w:val="00751C2F"/>
    <w:rsid w:val="00751FB7"/>
    <w:rsid w:val="00752122"/>
    <w:rsid w:val="0075249F"/>
    <w:rsid w:val="00752A1D"/>
    <w:rsid w:val="00752A3C"/>
    <w:rsid w:val="00752A5B"/>
    <w:rsid w:val="00752A6C"/>
    <w:rsid w:val="00752B33"/>
    <w:rsid w:val="00752CE6"/>
    <w:rsid w:val="007532C6"/>
    <w:rsid w:val="007534D7"/>
    <w:rsid w:val="007536F9"/>
    <w:rsid w:val="007539E1"/>
    <w:rsid w:val="00753E0F"/>
    <w:rsid w:val="00753EB4"/>
    <w:rsid w:val="00754168"/>
    <w:rsid w:val="00754D01"/>
    <w:rsid w:val="007553BA"/>
    <w:rsid w:val="00755430"/>
    <w:rsid w:val="007554FC"/>
    <w:rsid w:val="0075578F"/>
    <w:rsid w:val="00755973"/>
    <w:rsid w:val="00755BB6"/>
    <w:rsid w:val="00755F88"/>
    <w:rsid w:val="00755FC4"/>
    <w:rsid w:val="007561C7"/>
    <w:rsid w:val="00756610"/>
    <w:rsid w:val="00756880"/>
    <w:rsid w:val="00756AF0"/>
    <w:rsid w:val="00756BD8"/>
    <w:rsid w:val="00756D0F"/>
    <w:rsid w:val="00756F87"/>
    <w:rsid w:val="0075725A"/>
    <w:rsid w:val="0075732D"/>
    <w:rsid w:val="00757950"/>
    <w:rsid w:val="007579B8"/>
    <w:rsid w:val="00757A13"/>
    <w:rsid w:val="00757CB9"/>
    <w:rsid w:val="00757DD4"/>
    <w:rsid w:val="0076011D"/>
    <w:rsid w:val="0076017E"/>
    <w:rsid w:val="00760627"/>
    <w:rsid w:val="00760694"/>
    <w:rsid w:val="007606FB"/>
    <w:rsid w:val="007607D6"/>
    <w:rsid w:val="00760A63"/>
    <w:rsid w:val="00760D07"/>
    <w:rsid w:val="00760E24"/>
    <w:rsid w:val="00761198"/>
    <w:rsid w:val="007618B2"/>
    <w:rsid w:val="00761CA9"/>
    <w:rsid w:val="00761F67"/>
    <w:rsid w:val="0076216B"/>
    <w:rsid w:val="00762175"/>
    <w:rsid w:val="00762371"/>
    <w:rsid w:val="0076255C"/>
    <w:rsid w:val="007628F4"/>
    <w:rsid w:val="00762A08"/>
    <w:rsid w:val="00762B42"/>
    <w:rsid w:val="00762B72"/>
    <w:rsid w:val="00762DD7"/>
    <w:rsid w:val="00763190"/>
    <w:rsid w:val="0076321D"/>
    <w:rsid w:val="007638DB"/>
    <w:rsid w:val="00763A06"/>
    <w:rsid w:val="00763C7B"/>
    <w:rsid w:val="00763E41"/>
    <w:rsid w:val="00763FFE"/>
    <w:rsid w:val="007640BB"/>
    <w:rsid w:val="0076412F"/>
    <w:rsid w:val="00764294"/>
    <w:rsid w:val="00764A27"/>
    <w:rsid w:val="00764AA2"/>
    <w:rsid w:val="00764CB2"/>
    <w:rsid w:val="00764EAB"/>
    <w:rsid w:val="00764ECF"/>
    <w:rsid w:val="00764F90"/>
    <w:rsid w:val="00764FE7"/>
    <w:rsid w:val="007651CC"/>
    <w:rsid w:val="00765367"/>
    <w:rsid w:val="007654AF"/>
    <w:rsid w:val="00765516"/>
    <w:rsid w:val="0076557E"/>
    <w:rsid w:val="00765914"/>
    <w:rsid w:val="00765C88"/>
    <w:rsid w:val="00765DC6"/>
    <w:rsid w:val="007660AD"/>
    <w:rsid w:val="00766470"/>
    <w:rsid w:val="00766A12"/>
    <w:rsid w:val="00766D0E"/>
    <w:rsid w:val="00766D9B"/>
    <w:rsid w:val="00766E1E"/>
    <w:rsid w:val="00766F01"/>
    <w:rsid w:val="00767087"/>
    <w:rsid w:val="00767280"/>
    <w:rsid w:val="007677CB"/>
    <w:rsid w:val="00767B96"/>
    <w:rsid w:val="00767EE0"/>
    <w:rsid w:val="007700F3"/>
    <w:rsid w:val="0077041E"/>
    <w:rsid w:val="00770443"/>
    <w:rsid w:val="00770646"/>
    <w:rsid w:val="00770772"/>
    <w:rsid w:val="00770A2F"/>
    <w:rsid w:val="00770F1B"/>
    <w:rsid w:val="00771082"/>
    <w:rsid w:val="007710BF"/>
    <w:rsid w:val="00771228"/>
    <w:rsid w:val="007712A9"/>
    <w:rsid w:val="007712E3"/>
    <w:rsid w:val="0077147A"/>
    <w:rsid w:val="00771766"/>
    <w:rsid w:val="00771C7B"/>
    <w:rsid w:val="00771FFB"/>
    <w:rsid w:val="0077208C"/>
    <w:rsid w:val="00772338"/>
    <w:rsid w:val="00772529"/>
    <w:rsid w:val="0077275E"/>
    <w:rsid w:val="00772BC3"/>
    <w:rsid w:val="00772C4A"/>
    <w:rsid w:val="00772F4A"/>
    <w:rsid w:val="00772FDB"/>
    <w:rsid w:val="007733CD"/>
    <w:rsid w:val="007735BC"/>
    <w:rsid w:val="00773745"/>
    <w:rsid w:val="0077380A"/>
    <w:rsid w:val="00773B1B"/>
    <w:rsid w:val="00773B9A"/>
    <w:rsid w:val="00773D11"/>
    <w:rsid w:val="00773FF8"/>
    <w:rsid w:val="00774066"/>
    <w:rsid w:val="00774869"/>
    <w:rsid w:val="00774D79"/>
    <w:rsid w:val="00774DB1"/>
    <w:rsid w:val="00775020"/>
    <w:rsid w:val="00775105"/>
    <w:rsid w:val="007752E7"/>
    <w:rsid w:val="007753F7"/>
    <w:rsid w:val="0077573A"/>
    <w:rsid w:val="00775898"/>
    <w:rsid w:val="00775A9F"/>
    <w:rsid w:val="00775F23"/>
    <w:rsid w:val="00776120"/>
    <w:rsid w:val="007761EA"/>
    <w:rsid w:val="0077627A"/>
    <w:rsid w:val="00776747"/>
    <w:rsid w:val="00776929"/>
    <w:rsid w:val="00776A12"/>
    <w:rsid w:val="00776A64"/>
    <w:rsid w:val="007771DC"/>
    <w:rsid w:val="007772CA"/>
    <w:rsid w:val="00777496"/>
    <w:rsid w:val="0077761B"/>
    <w:rsid w:val="007776AC"/>
    <w:rsid w:val="00777AC1"/>
    <w:rsid w:val="00777AD9"/>
    <w:rsid w:val="00777C09"/>
    <w:rsid w:val="00777C27"/>
    <w:rsid w:val="00777EBA"/>
    <w:rsid w:val="007800FF"/>
    <w:rsid w:val="0078015B"/>
    <w:rsid w:val="0078023F"/>
    <w:rsid w:val="0078057E"/>
    <w:rsid w:val="0078062E"/>
    <w:rsid w:val="007808FE"/>
    <w:rsid w:val="00780AEF"/>
    <w:rsid w:val="00781028"/>
    <w:rsid w:val="00781205"/>
    <w:rsid w:val="007812D7"/>
    <w:rsid w:val="00781622"/>
    <w:rsid w:val="00781A2B"/>
    <w:rsid w:val="00781C1A"/>
    <w:rsid w:val="00781EB6"/>
    <w:rsid w:val="007820C9"/>
    <w:rsid w:val="007820CA"/>
    <w:rsid w:val="007821BC"/>
    <w:rsid w:val="0078220A"/>
    <w:rsid w:val="0078230C"/>
    <w:rsid w:val="00782495"/>
    <w:rsid w:val="00782518"/>
    <w:rsid w:val="007826D2"/>
    <w:rsid w:val="007829CF"/>
    <w:rsid w:val="00782BFB"/>
    <w:rsid w:val="00782BFC"/>
    <w:rsid w:val="00782D40"/>
    <w:rsid w:val="007831AE"/>
    <w:rsid w:val="0078338C"/>
    <w:rsid w:val="00783392"/>
    <w:rsid w:val="00783B19"/>
    <w:rsid w:val="00783C06"/>
    <w:rsid w:val="00783CCA"/>
    <w:rsid w:val="00783D43"/>
    <w:rsid w:val="00784313"/>
    <w:rsid w:val="007845DD"/>
    <w:rsid w:val="00784A7E"/>
    <w:rsid w:val="00784C3B"/>
    <w:rsid w:val="00784C41"/>
    <w:rsid w:val="00784DD4"/>
    <w:rsid w:val="00784F8E"/>
    <w:rsid w:val="007854CB"/>
    <w:rsid w:val="0078550B"/>
    <w:rsid w:val="00785873"/>
    <w:rsid w:val="007859C9"/>
    <w:rsid w:val="00785A5B"/>
    <w:rsid w:val="00785ED1"/>
    <w:rsid w:val="00786213"/>
    <w:rsid w:val="00786313"/>
    <w:rsid w:val="0078634D"/>
    <w:rsid w:val="007863BD"/>
    <w:rsid w:val="007864DF"/>
    <w:rsid w:val="007865AF"/>
    <w:rsid w:val="00786674"/>
    <w:rsid w:val="0078686A"/>
    <w:rsid w:val="00786B30"/>
    <w:rsid w:val="00786D45"/>
    <w:rsid w:val="00786EE0"/>
    <w:rsid w:val="00787071"/>
    <w:rsid w:val="0078775B"/>
    <w:rsid w:val="0078787B"/>
    <w:rsid w:val="00787AC1"/>
    <w:rsid w:val="00787C3C"/>
    <w:rsid w:val="00787D92"/>
    <w:rsid w:val="00787F06"/>
    <w:rsid w:val="007904FD"/>
    <w:rsid w:val="00790537"/>
    <w:rsid w:val="0079069A"/>
    <w:rsid w:val="0079089B"/>
    <w:rsid w:val="00790A2D"/>
    <w:rsid w:val="00790AA1"/>
    <w:rsid w:val="00790F58"/>
    <w:rsid w:val="00790F73"/>
    <w:rsid w:val="007910B8"/>
    <w:rsid w:val="00791346"/>
    <w:rsid w:val="00791913"/>
    <w:rsid w:val="00791AA9"/>
    <w:rsid w:val="00791AED"/>
    <w:rsid w:val="00791EB3"/>
    <w:rsid w:val="007921FC"/>
    <w:rsid w:val="0079246D"/>
    <w:rsid w:val="007924CB"/>
    <w:rsid w:val="00792785"/>
    <w:rsid w:val="007928C6"/>
    <w:rsid w:val="00792B14"/>
    <w:rsid w:val="00792B62"/>
    <w:rsid w:val="00792D00"/>
    <w:rsid w:val="00792DD5"/>
    <w:rsid w:val="00792FD9"/>
    <w:rsid w:val="007932D9"/>
    <w:rsid w:val="00793442"/>
    <w:rsid w:val="00793FB7"/>
    <w:rsid w:val="00794163"/>
    <w:rsid w:val="00794247"/>
    <w:rsid w:val="00794608"/>
    <w:rsid w:val="00794A08"/>
    <w:rsid w:val="00794D26"/>
    <w:rsid w:val="007950F5"/>
    <w:rsid w:val="007952E2"/>
    <w:rsid w:val="0079535F"/>
    <w:rsid w:val="007953C2"/>
    <w:rsid w:val="00795510"/>
    <w:rsid w:val="007957A6"/>
    <w:rsid w:val="00795818"/>
    <w:rsid w:val="0079628C"/>
    <w:rsid w:val="0079632A"/>
    <w:rsid w:val="00796518"/>
    <w:rsid w:val="007965D9"/>
    <w:rsid w:val="007966A7"/>
    <w:rsid w:val="00796C34"/>
    <w:rsid w:val="00797036"/>
    <w:rsid w:val="00797770"/>
    <w:rsid w:val="0079791B"/>
    <w:rsid w:val="00797A63"/>
    <w:rsid w:val="00797ADC"/>
    <w:rsid w:val="007A0827"/>
    <w:rsid w:val="007A0AFE"/>
    <w:rsid w:val="007A19A1"/>
    <w:rsid w:val="007A1D27"/>
    <w:rsid w:val="007A1F6E"/>
    <w:rsid w:val="007A205D"/>
    <w:rsid w:val="007A2434"/>
    <w:rsid w:val="007A24AB"/>
    <w:rsid w:val="007A2682"/>
    <w:rsid w:val="007A2B42"/>
    <w:rsid w:val="007A2B9E"/>
    <w:rsid w:val="007A2DAE"/>
    <w:rsid w:val="007A3098"/>
    <w:rsid w:val="007A32C7"/>
    <w:rsid w:val="007A34FC"/>
    <w:rsid w:val="007A3943"/>
    <w:rsid w:val="007A3B64"/>
    <w:rsid w:val="007A3C86"/>
    <w:rsid w:val="007A3D8C"/>
    <w:rsid w:val="007A3DE5"/>
    <w:rsid w:val="007A4026"/>
    <w:rsid w:val="007A4272"/>
    <w:rsid w:val="007A4D01"/>
    <w:rsid w:val="007A4E25"/>
    <w:rsid w:val="007A4FD2"/>
    <w:rsid w:val="007A505C"/>
    <w:rsid w:val="007A5240"/>
    <w:rsid w:val="007A567A"/>
    <w:rsid w:val="007A5702"/>
    <w:rsid w:val="007A5726"/>
    <w:rsid w:val="007A576D"/>
    <w:rsid w:val="007A59B1"/>
    <w:rsid w:val="007A5A7F"/>
    <w:rsid w:val="007A5B12"/>
    <w:rsid w:val="007A5B3E"/>
    <w:rsid w:val="007A5E06"/>
    <w:rsid w:val="007A64CA"/>
    <w:rsid w:val="007A6ADD"/>
    <w:rsid w:val="007A6E4E"/>
    <w:rsid w:val="007A6FCA"/>
    <w:rsid w:val="007A72AA"/>
    <w:rsid w:val="007A756E"/>
    <w:rsid w:val="007A78C2"/>
    <w:rsid w:val="007A7A04"/>
    <w:rsid w:val="007A7A54"/>
    <w:rsid w:val="007A7A79"/>
    <w:rsid w:val="007A7ABC"/>
    <w:rsid w:val="007A7BBF"/>
    <w:rsid w:val="007A7CF3"/>
    <w:rsid w:val="007A7DC1"/>
    <w:rsid w:val="007B01F2"/>
    <w:rsid w:val="007B0300"/>
    <w:rsid w:val="007B060A"/>
    <w:rsid w:val="007B0670"/>
    <w:rsid w:val="007B075E"/>
    <w:rsid w:val="007B085A"/>
    <w:rsid w:val="007B08BE"/>
    <w:rsid w:val="007B0DBD"/>
    <w:rsid w:val="007B11E6"/>
    <w:rsid w:val="007B159D"/>
    <w:rsid w:val="007B16B8"/>
    <w:rsid w:val="007B16F4"/>
    <w:rsid w:val="007B175D"/>
    <w:rsid w:val="007B1828"/>
    <w:rsid w:val="007B1DD3"/>
    <w:rsid w:val="007B20F0"/>
    <w:rsid w:val="007B2238"/>
    <w:rsid w:val="007B2394"/>
    <w:rsid w:val="007B261A"/>
    <w:rsid w:val="007B27D4"/>
    <w:rsid w:val="007B298C"/>
    <w:rsid w:val="007B2BB0"/>
    <w:rsid w:val="007B3034"/>
    <w:rsid w:val="007B3226"/>
    <w:rsid w:val="007B328E"/>
    <w:rsid w:val="007B3371"/>
    <w:rsid w:val="007B3404"/>
    <w:rsid w:val="007B3495"/>
    <w:rsid w:val="007B3603"/>
    <w:rsid w:val="007B3746"/>
    <w:rsid w:val="007B374B"/>
    <w:rsid w:val="007B38BD"/>
    <w:rsid w:val="007B3DAB"/>
    <w:rsid w:val="007B4207"/>
    <w:rsid w:val="007B4289"/>
    <w:rsid w:val="007B452C"/>
    <w:rsid w:val="007B476E"/>
    <w:rsid w:val="007B4877"/>
    <w:rsid w:val="007B4D56"/>
    <w:rsid w:val="007B4F9B"/>
    <w:rsid w:val="007B515D"/>
    <w:rsid w:val="007B5601"/>
    <w:rsid w:val="007B5B60"/>
    <w:rsid w:val="007B5CEF"/>
    <w:rsid w:val="007B5DC4"/>
    <w:rsid w:val="007B5FC2"/>
    <w:rsid w:val="007B60E5"/>
    <w:rsid w:val="007B61AA"/>
    <w:rsid w:val="007B6553"/>
    <w:rsid w:val="007B6683"/>
    <w:rsid w:val="007B6779"/>
    <w:rsid w:val="007B6AA9"/>
    <w:rsid w:val="007B6EFE"/>
    <w:rsid w:val="007B760B"/>
    <w:rsid w:val="007B7620"/>
    <w:rsid w:val="007B774F"/>
    <w:rsid w:val="007B78F5"/>
    <w:rsid w:val="007B7ECB"/>
    <w:rsid w:val="007C00A1"/>
    <w:rsid w:val="007C04D8"/>
    <w:rsid w:val="007C07BA"/>
    <w:rsid w:val="007C0B1C"/>
    <w:rsid w:val="007C0DE1"/>
    <w:rsid w:val="007C1026"/>
    <w:rsid w:val="007C10A1"/>
    <w:rsid w:val="007C1327"/>
    <w:rsid w:val="007C1B18"/>
    <w:rsid w:val="007C2064"/>
    <w:rsid w:val="007C23A4"/>
    <w:rsid w:val="007C24CA"/>
    <w:rsid w:val="007C2688"/>
    <w:rsid w:val="007C26DC"/>
    <w:rsid w:val="007C27F4"/>
    <w:rsid w:val="007C292E"/>
    <w:rsid w:val="007C29FF"/>
    <w:rsid w:val="007C2B94"/>
    <w:rsid w:val="007C2F29"/>
    <w:rsid w:val="007C304C"/>
    <w:rsid w:val="007C36FE"/>
    <w:rsid w:val="007C392A"/>
    <w:rsid w:val="007C3D31"/>
    <w:rsid w:val="007C3F1A"/>
    <w:rsid w:val="007C4096"/>
    <w:rsid w:val="007C4320"/>
    <w:rsid w:val="007C4372"/>
    <w:rsid w:val="007C4444"/>
    <w:rsid w:val="007C449B"/>
    <w:rsid w:val="007C4616"/>
    <w:rsid w:val="007C4631"/>
    <w:rsid w:val="007C4686"/>
    <w:rsid w:val="007C49E1"/>
    <w:rsid w:val="007C4A09"/>
    <w:rsid w:val="007C4A41"/>
    <w:rsid w:val="007C4CB5"/>
    <w:rsid w:val="007C512F"/>
    <w:rsid w:val="007C5592"/>
    <w:rsid w:val="007C57B6"/>
    <w:rsid w:val="007C59C6"/>
    <w:rsid w:val="007C59F9"/>
    <w:rsid w:val="007C64FC"/>
    <w:rsid w:val="007C65BE"/>
    <w:rsid w:val="007C6686"/>
    <w:rsid w:val="007C670D"/>
    <w:rsid w:val="007C6761"/>
    <w:rsid w:val="007C67FA"/>
    <w:rsid w:val="007C68DB"/>
    <w:rsid w:val="007C69B3"/>
    <w:rsid w:val="007C7181"/>
    <w:rsid w:val="007C7251"/>
    <w:rsid w:val="007C72FC"/>
    <w:rsid w:val="007C73FE"/>
    <w:rsid w:val="007C752A"/>
    <w:rsid w:val="007C7702"/>
    <w:rsid w:val="007C7C7C"/>
    <w:rsid w:val="007C7D4F"/>
    <w:rsid w:val="007C7DB7"/>
    <w:rsid w:val="007C7F5C"/>
    <w:rsid w:val="007D0380"/>
    <w:rsid w:val="007D0394"/>
    <w:rsid w:val="007D066E"/>
    <w:rsid w:val="007D082A"/>
    <w:rsid w:val="007D0B38"/>
    <w:rsid w:val="007D0B3F"/>
    <w:rsid w:val="007D0B9C"/>
    <w:rsid w:val="007D0BC0"/>
    <w:rsid w:val="007D1145"/>
    <w:rsid w:val="007D123D"/>
    <w:rsid w:val="007D13DE"/>
    <w:rsid w:val="007D1606"/>
    <w:rsid w:val="007D1886"/>
    <w:rsid w:val="007D19E6"/>
    <w:rsid w:val="007D1B90"/>
    <w:rsid w:val="007D1F4D"/>
    <w:rsid w:val="007D208B"/>
    <w:rsid w:val="007D2141"/>
    <w:rsid w:val="007D231A"/>
    <w:rsid w:val="007D243E"/>
    <w:rsid w:val="007D2444"/>
    <w:rsid w:val="007D2554"/>
    <w:rsid w:val="007D27B9"/>
    <w:rsid w:val="007D27F4"/>
    <w:rsid w:val="007D281C"/>
    <w:rsid w:val="007D296D"/>
    <w:rsid w:val="007D2A74"/>
    <w:rsid w:val="007D2F66"/>
    <w:rsid w:val="007D3E4A"/>
    <w:rsid w:val="007D3EF7"/>
    <w:rsid w:val="007D407A"/>
    <w:rsid w:val="007D42A3"/>
    <w:rsid w:val="007D42BC"/>
    <w:rsid w:val="007D4773"/>
    <w:rsid w:val="007D495B"/>
    <w:rsid w:val="007D4A29"/>
    <w:rsid w:val="007D4B1D"/>
    <w:rsid w:val="007D4C96"/>
    <w:rsid w:val="007D4D36"/>
    <w:rsid w:val="007D4E1F"/>
    <w:rsid w:val="007D500C"/>
    <w:rsid w:val="007D5056"/>
    <w:rsid w:val="007D5105"/>
    <w:rsid w:val="007D5159"/>
    <w:rsid w:val="007D55F9"/>
    <w:rsid w:val="007D57FB"/>
    <w:rsid w:val="007D5A07"/>
    <w:rsid w:val="007D5CE7"/>
    <w:rsid w:val="007D5E78"/>
    <w:rsid w:val="007D6007"/>
    <w:rsid w:val="007D6446"/>
    <w:rsid w:val="007D6467"/>
    <w:rsid w:val="007D6636"/>
    <w:rsid w:val="007D66EF"/>
    <w:rsid w:val="007D67FA"/>
    <w:rsid w:val="007D6AE4"/>
    <w:rsid w:val="007D6BC5"/>
    <w:rsid w:val="007D6C8C"/>
    <w:rsid w:val="007D6D41"/>
    <w:rsid w:val="007D6E39"/>
    <w:rsid w:val="007D6FE9"/>
    <w:rsid w:val="007D7024"/>
    <w:rsid w:val="007D71BC"/>
    <w:rsid w:val="007D725E"/>
    <w:rsid w:val="007D74D2"/>
    <w:rsid w:val="007D779F"/>
    <w:rsid w:val="007D7F74"/>
    <w:rsid w:val="007E0115"/>
    <w:rsid w:val="007E0340"/>
    <w:rsid w:val="007E0D84"/>
    <w:rsid w:val="007E0FDD"/>
    <w:rsid w:val="007E10EC"/>
    <w:rsid w:val="007E1428"/>
    <w:rsid w:val="007E146E"/>
    <w:rsid w:val="007E1677"/>
    <w:rsid w:val="007E16DD"/>
    <w:rsid w:val="007E177B"/>
    <w:rsid w:val="007E1930"/>
    <w:rsid w:val="007E1AC2"/>
    <w:rsid w:val="007E1AD6"/>
    <w:rsid w:val="007E1B99"/>
    <w:rsid w:val="007E1DD4"/>
    <w:rsid w:val="007E1E8D"/>
    <w:rsid w:val="007E21DA"/>
    <w:rsid w:val="007E2476"/>
    <w:rsid w:val="007E248D"/>
    <w:rsid w:val="007E2688"/>
    <w:rsid w:val="007E2840"/>
    <w:rsid w:val="007E28CA"/>
    <w:rsid w:val="007E2A94"/>
    <w:rsid w:val="007E2BEA"/>
    <w:rsid w:val="007E2C22"/>
    <w:rsid w:val="007E2E3C"/>
    <w:rsid w:val="007E2F1E"/>
    <w:rsid w:val="007E31EE"/>
    <w:rsid w:val="007E326F"/>
    <w:rsid w:val="007E3545"/>
    <w:rsid w:val="007E3825"/>
    <w:rsid w:val="007E3AED"/>
    <w:rsid w:val="007E3B26"/>
    <w:rsid w:val="007E3C56"/>
    <w:rsid w:val="007E4007"/>
    <w:rsid w:val="007E466F"/>
    <w:rsid w:val="007E4AB0"/>
    <w:rsid w:val="007E5221"/>
    <w:rsid w:val="007E52DF"/>
    <w:rsid w:val="007E58C4"/>
    <w:rsid w:val="007E5970"/>
    <w:rsid w:val="007E5B16"/>
    <w:rsid w:val="007E5BEA"/>
    <w:rsid w:val="007E6895"/>
    <w:rsid w:val="007E6D06"/>
    <w:rsid w:val="007E7083"/>
    <w:rsid w:val="007E72B2"/>
    <w:rsid w:val="007E7565"/>
    <w:rsid w:val="007E771D"/>
    <w:rsid w:val="007E79C0"/>
    <w:rsid w:val="007E7C2D"/>
    <w:rsid w:val="007F05B4"/>
    <w:rsid w:val="007F098F"/>
    <w:rsid w:val="007F0D6A"/>
    <w:rsid w:val="007F0E29"/>
    <w:rsid w:val="007F1020"/>
    <w:rsid w:val="007F153C"/>
    <w:rsid w:val="007F161E"/>
    <w:rsid w:val="007F1AC6"/>
    <w:rsid w:val="007F1B57"/>
    <w:rsid w:val="007F1C3A"/>
    <w:rsid w:val="007F1E92"/>
    <w:rsid w:val="007F1EF9"/>
    <w:rsid w:val="007F20F3"/>
    <w:rsid w:val="007F2120"/>
    <w:rsid w:val="007F25DF"/>
    <w:rsid w:val="007F2893"/>
    <w:rsid w:val="007F2931"/>
    <w:rsid w:val="007F2F20"/>
    <w:rsid w:val="007F3085"/>
    <w:rsid w:val="007F322A"/>
    <w:rsid w:val="007F32DF"/>
    <w:rsid w:val="007F3513"/>
    <w:rsid w:val="007F358D"/>
    <w:rsid w:val="007F3792"/>
    <w:rsid w:val="007F39D2"/>
    <w:rsid w:val="007F39F9"/>
    <w:rsid w:val="007F3A7E"/>
    <w:rsid w:val="007F3B2D"/>
    <w:rsid w:val="007F3EBD"/>
    <w:rsid w:val="007F3FA2"/>
    <w:rsid w:val="007F40B8"/>
    <w:rsid w:val="007F42B4"/>
    <w:rsid w:val="007F448B"/>
    <w:rsid w:val="007F45B2"/>
    <w:rsid w:val="007F4711"/>
    <w:rsid w:val="007F4A7F"/>
    <w:rsid w:val="007F4C09"/>
    <w:rsid w:val="007F4E87"/>
    <w:rsid w:val="007F52A3"/>
    <w:rsid w:val="007F536B"/>
    <w:rsid w:val="007F5C0E"/>
    <w:rsid w:val="007F5CAD"/>
    <w:rsid w:val="007F5F0E"/>
    <w:rsid w:val="007F5F1C"/>
    <w:rsid w:val="007F5FD7"/>
    <w:rsid w:val="007F61FB"/>
    <w:rsid w:val="007F687B"/>
    <w:rsid w:val="007F689A"/>
    <w:rsid w:val="007F6A33"/>
    <w:rsid w:val="007F6B43"/>
    <w:rsid w:val="007F6DD3"/>
    <w:rsid w:val="007F6E8D"/>
    <w:rsid w:val="007F6E97"/>
    <w:rsid w:val="007F756B"/>
    <w:rsid w:val="007F76AC"/>
    <w:rsid w:val="007F7852"/>
    <w:rsid w:val="007F785E"/>
    <w:rsid w:val="007F7949"/>
    <w:rsid w:val="007F79BA"/>
    <w:rsid w:val="007F7E20"/>
    <w:rsid w:val="007F7EB3"/>
    <w:rsid w:val="008001E0"/>
    <w:rsid w:val="00800250"/>
    <w:rsid w:val="008003B3"/>
    <w:rsid w:val="00800412"/>
    <w:rsid w:val="00800625"/>
    <w:rsid w:val="00800708"/>
    <w:rsid w:val="00800868"/>
    <w:rsid w:val="008008AF"/>
    <w:rsid w:val="00800998"/>
    <w:rsid w:val="00800B09"/>
    <w:rsid w:val="008015A0"/>
    <w:rsid w:val="0080163B"/>
    <w:rsid w:val="00801702"/>
    <w:rsid w:val="008017F1"/>
    <w:rsid w:val="00801918"/>
    <w:rsid w:val="00801E4B"/>
    <w:rsid w:val="00801FBE"/>
    <w:rsid w:val="0080235C"/>
    <w:rsid w:val="008024EF"/>
    <w:rsid w:val="00802567"/>
    <w:rsid w:val="00802930"/>
    <w:rsid w:val="00802A78"/>
    <w:rsid w:val="00802AA3"/>
    <w:rsid w:val="00802B47"/>
    <w:rsid w:val="00802BB5"/>
    <w:rsid w:val="00802D4C"/>
    <w:rsid w:val="00803404"/>
    <w:rsid w:val="0080371D"/>
    <w:rsid w:val="008038D1"/>
    <w:rsid w:val="008039CB"/>
    <w:rsid w:val="00803E63"/>
    <w:rsid w:val="00803F2F"/>
    <w:rsid w:val="00803F62"/>
    <w:rsid w:val="00804048"/>
    <w:rsid w:val="0080421D"/>
    <w:rsid w:val="00804621"/>
    <w:rsid w:val="0080498D"/>
    <w:rsid w:val="00804E74"/>
    <w:rsid w:val="00804F7E"/>
    <w:rsid w:val="00804FE8"/>
    <w:rsid w:val="00805020"/>
    <w:rsid w:val="00805142"/>
    <w:rsid w:val="0080541D"/>
    <w:rsid w:val="0080547B"/>
    <w:rsid w:val="008057F1"/>
    <w:rsid w:val="008059D7"/>
    <w:rsid w:val="00805F6E"/>
    <w:rsid w:val="00806178"/>
    <w:rsid w:val="00806243"/>
    <w:rsid w:val="00806517"/>
    <w:rsid w:val="00806B3B"/>
    <w:rsid w:val="00806F7F"/>
    <w:rsid w:val="008070A8"/>
    <w:rsid w:val="00807124"/>
    <w:rsid w:val="008072FD"/>
    <w:rsid w:val="0080743C"/>
    <w:rsid w:val="008078AC"/>
    <w:rsid w:val="00807D63"/>
    <w:rsid w:val="00807D75"/>
    <w:rsid w:val="00807F47"/>
    <w:rsid w:val="00807F6C"/>
    <w:rsid w:val="00810542"/>
    <w:rsid w:val="00810796"/>
    <w:rsid w:val="00810833"/>
    <w:rsid w:val="00810919"/>
    <w:rsid w:val="00810CBF"/>
    <w:rsid w:val="00810F4B"/>
    <w:rsid w:val="0081110E"/>
    <w:rsid w:val="00811129"/>
    <w:rsid w:val="00811498"/>
    <w:rsid w:val="008115F7"/>
    <w:rsid w:val="008116E0"/>
    <w:rsid w:val="00811B6D"/>
    <w:rsid w:val="00811F7A"/>
    <w:rsid w:val="00811FFE"/>
    <w:rsid w:val="00812040"/>
    <w:rsid w:val="008120CE"/>
    <w:rsid w:val="008126D4"/>
    <w:rsid w:val="008129DF"/>
    <w:rsid w:val="00812B6F"/>
    <w:rsid w:val="00812C85"/>
    <w:rsid w:val="00812EF5"/>
    <w:rsid w:val="00813090"/>
    <w:rsid w:val="008132CA"/>
    <w:rsid w:val="008133F8"/>
    <w:rsid w:val="0081370F"/>
    <w:rsid w:val="0081374B"/>
    <w:rsid w:val="00813A7C"/>
    <w:rsid w:val="00813B05"/>
    <w:rsid w:val="00813D0E"/>
    <w:rsid w:val="00813E1E"/>
    <w:rsid w:val="0081437E"/>
    <w:rsid w:val="0081447E"/>
    <w:rsid w:val="008147C1"/>
    <w:rsid w:val="00814C0D"/>
    <w:rsid w:val="00814FE9"/>
    <w:rsid w:val="00815060"/>
    <w:rsid w:val="008153B0"/>
    <w:rsid w:val="008156D2"/>
    <w:rsid w:val="008156F2"/>
    <w:rsid w:val="00815875"/>
    <w:rsid w:val="00815B1D"/>
    <w:rsid w:val="00815F26"/>
    <w:rsid w:val="0081619C"/>
    <w:rsid w:val="008161B9"/>
    <w:rsid w:val="008163A1"/>
    <w:rsid w:val="008163DB"/>
    <w:rsid w:val="00816C35"/>
    <w:rsid w:val="00816DE6"/>
    <w:rsid w:val="00816ED5"/>
    <w:rsid w:val="00817134"/>
    <w:rsid w:val="008172B0"/>
    <w:rsid w:val="008177F6"/>
    <w:rsid w:val="008178C0"/>
    <w:rsid w:val="00817952"/>
    <w:rsid w:val="00817F4C"/>
    <w:rsid w:val="008205AD"/>
    <w:rsid w:val="008205CE"/>
    <w:rsid w:val="0082076B"/>
    <w:rsid w:val="00820992"/>
    <w:rsid w:val="00820A09"/>
    <w:rsid w:val="00820E5F"/>
    <w:rsid w:val="008212A2"/>
    <w:rsid w:val="008219F2"/>
    <w:rsid w:val="00821AE1"/>
    <w:rsid w:val="00821C27"/>
    <w:rsid w:val="00821C9F"/>
    <w:rsid w:val="00821F58"/>
    <w:rsid w:val="0082202E"/>
    <w:rsid w:val="0082217C"/>
    <w:rsid w:val="00822236"/>
    <w:rsid w:val="008228A0"/>
    <w:rsid w:val="00822921"/>
    <w:rsid w:val="00822A85"/>
    <w:rsid w:val="0082322D"/>
    <w:rsid w:val="008232B7"/>
    <w:rsid w:val="008234BB"/>
    <w:rsid w:val="0082359D"/>
    <w:rsid w:val="00823971"/>
    <w:rsid w:val="00823A83"/>
    <w:rsid w:val="00823AE8"/>
    <w:rsid w:val="00823B51"/>
    <w:rsid w:val="00823B6B"/>
    <w:rsid w:val="00823CEA"/>
    <w:rsid w:val="00823F69"/>
    <w:rsid w:val="008242F1"/>
    <w:rsid w:val="00824662"/>
    <w:rsid w:val="00824A1F"/>
    <w:rsid w:val="00824BEB"/>
    <w:rsid w:val="008255E1"/>
    <w:rsid w:val="00825961"/>
    <w:rsid w:val="00825C7A"/>
    <w:rsid w:val="00825CB2"/>
    <w:rsid w:val="00825D1B"/>
    <w:rsid w:val="00825EAA"/>
    <w:rsid w:val="00825F9E"/>
    <w:rsid w:val="00825FA8"/>
    <w:rsid w:val="00826170"/>
    <w:rsid w:val="008263F8"/>
    <w:rsid w:val="00826556"/>
    <w:rsid w:val="0082662B"/>
    <w:rsid w:val="00826707"/>
    <w:rsid w:val="008267B6"/>
    <w:rsid w:val="00826856"/>
    <w:rsid w:val="00826AF2"/>
    <w:rsid w:val="00826D4A"/>
    <w:rsid w:val="00826DD0"/>
    <w:rsid w:val="008270FA"/>
    <w:rsid w:val="00827228"/>
    <w:rsid w:val="008273FD"/>
    <w:rsid w:val="00827504"/>
    <w:rsid w:val="0082751F"/>
    <w:rsid w:val="008275D8"/>
    <w:rsid w:val="00827646"/>
    <w:rsid w:val="008277E6"/>
    <w:rsid w:val="00827DDE"/>
    <w:rsid w:val="00828C93"/>
    <w:rsid w:val="00830215"/>
    <w:rsid w:val="008306EF"/>
    <w:rsid w:val="00830806"/>
    <w:rsid w:val="008308AA"/>
    <w:rsid w:val="00830D5D"/>
    <w:rsid w:val="00830DDF"/>
    <w:rsid w:val="008311B6"/>
    <w:rsid w:val="008313E5"/>
    <w:rsid w:val="00831402"/>
    <w:rsid w:val="008316E6"/>
    <w:rsid w:val="00831A7C"/>
    <w:rsid w:val="00831E49"/>
    <w:rsid w:val="00831F03"/>
    <w:rsid w:val="00831F81"/>
    <w:rsid w:val="00832158"/>
    <w:rsid w:val="0083225A"/>
    <w:rsid w:val="00832343"/>
    <w:rsid w:val="00832672"/>
    <w:rsid w:val="00832786"/>
    <w:rsid w:val="00832966"/>
    <w:rsid w:val="008329F5"/>
    <w:rsid w:val="00832BA0"/>
    <w:rsid w:val="00832BD5"/>
    <w:rsid w:val="00832BF8"/>
    <w:rsid w:val="00832FBE"/>
    <w:rsid w:val="008331C1"/>
    <w:rsid w:val="00833238"/>
    <w:rsid w:val="0083364D"/>
    <w:rsid w:val="00833F51"/>
    <w:rsid w:val="00833F91"/>
    <w:rsid w:val="00834551"/>
    <w:rsid w:val="0083469B"/>
    <w:rsid w:val="0083489B"/>
    <w:rsid w:val="00834A2C"/>
    <w:rsid w:val="0083521A"/>
    <w:rsid w:val="00835973"/>
    <w:rsid w:val="00835C1F"/>
    <w:rsid w:val="00835CC2"/>
    <w:rsid w:val="00835D0F"/>
    <w:rsid w:val="008361FA"/>
    <w:rsid w:val="00836249"/>
    <w:rsid w:val="0083644D"/>
    <w:rsid w:val="008364C6"/>
    <w:rsid w:val="0083692E"/>
    <w:rsid w:val="008369B1"/>
    <w:rsid w:val="00836A09"/>
    <w:rsid w:val="00836A1D"/>
    <w:rsid w:val="00836BAF"/>
    <w:rsid w:val="00836C66"/>
    <w:rsid w:val="00836DDD"/>
    <w:rsid w:val="00837031"/>
    <w:rsid w:val="008370C2"/>
    <w:rsid w:val="00837293"/>
    <w:rsid w:val="008375B3"/>
    <w:rsid w:val="00837809"/>
    <w:rsid w:val="00837AF4"/>
    <w:rsid w:val="00837CCE"/>
    <w:rsid w:val="00837CD8"/>
    <w:rsid w:val="00837D10"/>
    <w:rsid w:val="00837E5D"/>
    <w:rsid w:val="00840233"/>
    <w:rsid w:val="00840335"/>
    <w:rsid w:val="00840740"/>
    <w:rsid w:val="008407BD"/>
    <w:rsid w:val="00840A4E"/>
    <w:rsid w:val="00840CAD"/>
    <w:rsid w:val="00840FC7"/>
    <w:rsid w:val="0084106C"/>
    <w:rsid w:val="008410FF"/>
    <w:rsid w:val="00841703"/>
    <w:rsid w:val="008419AF"/>
    <w:rsid w:val="00841DAD"/>
    <w:rsid w:val="00842040"/>
    <w:rsid w:val="008425A1"/>
    <w:rsid w:val="00842760"/>
    <w:rsid w:val="00842858"/>
    <w:rsid w:val="00842AB0"/>
    <w:rsid w:val="00842BFD"/>
    <w:rsid w:val="00842CB9"/>
    <w:rsid w:val="00842CCA"/>
    <w:rsid w:val="00843289"/>
    <w:rsid w:val="008432D3"/>
    <w:rsid w:val="00843467"/>
    <w:rsid w:val="008435AE"/>
    <w:rsid w:val="008436DE"/>
    <w:rsid w:val="0084382E"/>
    <w:rsid w:val="008438C5"/>
    <w:rsid w:val="008439C6"/>
    <w:rsid w:val="00843A21"/>
    <w:rsid w:val="00843ABB"/>
    <w:rsid w:val="00843B1C"/>
    <w:rsid w:val="00843CBC"/>
    <w:rsid w:val="00843E20"/>
    <w:rsid w:val="00844145"/>
    <w:rsid w:val="008441C7"/>
    <w:rsid w:val="008443AD"/>
    <w:rsid w:val="00844799"/>
    <w:rsid w:val="00844FA4"/>
    <w:rsid w:val="008451F2"/>
    <w:rsid w:val="008452D7"/>
    <w:rsid w:val="0084534B"/>
    <w:rsid w:val="008456ED"/>
    <w:rsid w:val="0084597F"/>
    <w:rsid w:val="00845A06"/>
    <w:rsid w:val="00845BE4"/>
    <w:rsid w:val="00846159"/>
    <w:rsid w:val="00846177"/>
    <w:rsid w:val="0084624C"/>
    <w:rsid w:val="00846541"/>
    <w:rsid w:val="00846D2D"/>
    <w:rsid w:val="00846E98"/>
    <w:rsid w:val="00847298"/>
    <w:rsid w:val="0084742F"/>
    <w:rsid w:val="00847934"/>
    <w:rsid w:val="00847AC1"/>
    <w:rsid w:val="00847AF2"/>
    <w:rsid w:val="00847F40"/>
    <w:rsid w:val="00847FA1"/>
    <w:rsid w:val="008501D9"/>
    <w:rsid w:val="008502C9"/>
    <w:rsid w:val="00850332"/>
    <w:rsid w:val="008508AB"/>
    <w:rsid w:val="00850AEE"/>
    <w:rsid w:val="00850B3E"/>
    <w:rsid w:val="00850BD3"/>
    <w:rsid w:val="0085149E"/>
    <w:rsid w:val="008515C5"/>
    <w:rsid w:val="008516A9"/>
    <w:rsid w:val="00851CA5"/>
    <w:rsid w:val="00851DBF"/>
    <w:rsid w:val="0085202F"/>
    <w:rsid w:val="00852174"/>
    <w:rsid w:val="0085226F"/>
    <w:rsid w:val="00852485"/>
    <w:rsid w:val="008526D5"/>
    <w:rsid w:val="0085289A"/>
    <w:rsid w:val="00852BA0"/>
    <w:rsid w:val="00852D2D"/>
    <w:rsid w:val="0085322A"/>
    <w:rsid w:val="00853BE3"/>
    <w:rsid w:val="00853F84"/>
    <w:rsid w:val="00854157"/>
    <w:rsid w:val="00854D2C"/>
    <w:rsid w:val="00855260"/>
    <w:rsid w:val="00855373"/>
    <w:rsid w:val="008553D5"/>
    <w:rsid w:val="008555C4"/>
    <w:rsid w:val="00855942"/>
    <w:rsid w:val="00855B80"/>
    <w:rsid w:val="00855FB9"/>
    <w:rsid w:val="0085618D"/>
    <w:rsid w:val="008562D6"/>
    <w:rsid w:val="0085632D"/>
    <w:rsid w:val="008563DE"/>
    <w:rsid w:val="00856637"/>
    <w:rsid w:val="008566AC"/>
    <w:rsid w:val="008566E4"/>
    <w:rsid w:val="00856869"/>
    <w:rsid w:val="00856AC9"/>
    <w:rsid w:val="00856BC5"/>
    <w:rsid w:val="00856F25"/>
    <w:rsid w:val="0085706C"/>
    <w:rsid w:val="00857144"/>
    <w:rsid w:val="0085719A"/>
    <w:rsid w:val="00857232"/>
    <w:rsid w:val="00857281"/>
    <w:rsid w:val="00857814"/>
    <w:rsid w:val="00857AB4"/>
    <w:rsid w:val="00857E5E"/>
    <w:rsid w:val="00857F47"/>
    <w:rsid w:val="00857F74"/>
    <w:rsid w:val="0086005F"/>
    <w:rsid w:val="008604BE"/>
    <w:rsid w:val="008605E5"/>
    <w:rsid w:val="00861608"/>
    <w:rsid w:val="008618D4"/>
    <w:rsid w:val="00861924"/>
    <w:rsid w:val="00861962"/>
    <w:rsid w:val="00861E9E"/>
    <w:rsid w:val="00861F61"/>
    <w:rsid w:val="008620E1"/>
    <w:rsid w:val="0086234E"/>
    <w:rsid w:val="00862830"/>
    <w:rsid w:val="008629A7"/>
    <w:rsid w:val="008629E2"/>
    <w:rsid w:val="00862B01"/>
    <w:rsid w:val="00862B77"/>
    <w:rsid w:val="008630CC"/>
    <w:rsid w:val="00863342"/>
    <w:rsid w:val="008633DA"/>
    <w:rsid w:val="00863535"/>
    <w:rsid w:val="008636C8"/>
    <w:rsid w:val="00863776"/>
    <w:rsid w:val="008637FB"/>
    <w:rsid w:val="008639B1"/>
    <w:rsid w:val="00863BA0"/>
    <w:rsid w:val="00863E5D"/>
    <w:rsid w:val="00864010"/>
    <w:rsid w:val="0086424A"/>
    <w:rsid w:val="00864937"/>
    <w:rsid w:val="00864C53"/>
    <w:rsid w:val="008651C1"/>
    <w:rsid w:val="008652B2"/>
    <w:rsid w:val="0086532E"/>
    <w:rsid w:val="00865BE7"/>
    <w:rsid w:val="008660A7"/>
    <w:rsid w:val="008660F8"/>
    <w:rsid w:val="00866333"/>
    <w:rsid w:val="008664D3"/>
    <w:rsid w:val="0086650A"/>
    <w:rsid w:val="0086657B"/>
    <w:rsid w:val="00866874"/>
    <w:rsid w:val="00866A5F"/>
    <w:rsid w:val="00867517"/>
    <w:rsid w:val="00867669"/>
    <w:rsid w:val="008677F4"/>
    <w:rsid w:val="00867863"/>
    <w:rsid w:val="00867AD3"/>
    <w:rsid w:val="00867D41"/>
    <w:rsid w:val="00867DFD"/>
    <w:rsid w:val="008700B2"/>
    <w:rsid w:val="008705FA"/>
    <w:rsid w:val="0087065A"/>
    <w:rsid w:val="00870B57"/>
    <w:rsid w:val="00870CEC"/>
    <w:rsid w:val="00870DDE"/>
    <w:rsid w:val="00870F78"/>
    <w:rsid w:val="00871142"/>
    <w:rsid w:val="0087115E"/>
    <w:rsid w:val="0087116B"/>
    <w:rsid w:val="008716EF"/>
    <w:rsid w:val="00871778"/>
    <w:rsid w:val="00871915"/>
    <w:rsid w:val="00871A04"/>
    <w:rsid w:val="00871DED"/>
    <w:rsid w:val="00871EF8"/>
    <w:rsid w:val="008723D8"/>
    <w:rsid w:val="00872742"/>
    <w:rsid w:val="00872778"/>
    <w:rsid w:val="008727EF"/>
    <w:rsid w:val="0087285D"/>
    <w:rsid w:val="008728C1"/>
    <w:rsid w:val="008729A0"/>
    <w:rsid w:val="00872DD0"/>
    <w:rsid w:val="00872E3C"/>
    <w:rsid w:val="00872E4A"/>
    <w:rsid w:val="0087336D"/>
    <w:rsid w:val="008734AE"/>
    <w:rsid w:val="008735C4"/>
    <w:rsid w:val="00873625"/>
    <w:rsid w:val="00873670"/>
    <w:rsid w:val="0087375E"/>
    <w:rsid w:val="00873957"/>
    <w:rsid w:val="00873B82"/>
    <w:rsid w:val="00873D24"/>
    <w:rsid w:val="00873E22"/>
    <w:rsid w:val="00873F46"/>
    <w:rsid w:val="00873FD7"/>
    <w:rsid w:val="00874086"/>
    <w:rsid w:val="008742C0"/>
    <w:rsid w:val="00874709"/>
    <w:rsid w:val="008747B2"/>
    <w:rsid w:val="008747F0"/>
    <w:rsid w:val="00874A35"/>
    <w:rsid w:val="00874F85"/>
    <w:rsid w:val="00875216"/>
    <w:rsid w:val="00875245"/>
    <w:rsid w:val="00875719"/>
    <w:rsid w:val="00875766"/>
    <w:rsid w:val="008759DD"/>
    <w:rsid w:val="00875C35"/>
    <w:rsid w:val="00875D54"/>
    <w:rsid w:val="00875D6C"/>
    <w:rsid w:val="00875DDE"/>
    <w:rsid w:val="00875E20"/>
    <w:rsid w:val="008763DB"/>
    <w:rsid w:val="008765F0"/>
    <w:rsid w:val="00876799"/>
    <w:rsid w:val="0087687B"/>
    <w:rsid w:val="00876881"/>
    <w:rsid w:val="0087692C"/>
    <w:rsid w:val="008769E1"/>
    <w:rsid w:val="00876AA2"/>
    <w:rsid w:val="00876DCA"/>
    <w:rsid w:val="00876EF1"/>
    <w:rsid w:val="00877024"/>
    <w:rsid w:val="0087707F"/>
    <w:rsid w:val="0087723D"/>
    <w:rsid w:val="0087762B"/>
    <w:rsid w:val="00877663"/>
    <w:rsid w:val="0087772B"/>
    <w:rsid w:val="0087779F"/>
    <w:rsid w:val="0087787A"/>
    <w:rsid w:val="00877C0D"/>
    <w:rsid w:val="00877CE4"/>
    <w:rsid w:val="00877D8B"/>
    <w:rsid w:val="00877E07"/>
    <w:rsid w:val="00877E43"/>
    <w:rsid w:val="00880147"/>
    <w:rsid w:val="0088015C"/>
    <w:rsid w:val="0088038E"/>
    <w:rsid w:val="00880499"/>
    <w:rsid w:val="00880790"/>
    <w:rsid w:val="00880818"/>
    <w:rsid w:val="0088099E"/>
    <w:rsid w:val="00880BDF"/>
    <w:rsid w:val="00881115"/>
    <w:rsid w:val="00881188"/>
    <w:rsid w:val="00881257"/>
    <w:rsid w:val="0088145E"/>
    <w:rsid w:val="008814BE"/>
    <w:rsid w:val="00881625"/>
    <w:rsid w:val="0088184F"/>
    <w:rsid w:val="00881B32"/>
    <w:rsid w:val="00881D63"/>
    <w:rsid w:val="00882068"/>
    <w:rsid w:val="008829C7"/>
    <w:rsid w:val="00882BDD"/>
    <w:rsid w:val="008834F1"/>
    <w:rsid w:val="00883A7D"/>
    <w:rsid w:val="0088419B"/>
    <w:rsid w:val="008846FE"/>
    <w:rsid w:val="0088491F"/>
    <w:rsid w:val="00884AAD"/>
    <w:rsid w:val="00884E72"/>
    <w:rsid w:val="00884EB8"/>
    <w:rsid w:val="00884FBE"/>
    <w:rsid w:val="008850F2"/>
    <w:rsid w:val="00885181"/>
    <w:rsid w:val="008851A4"/>
    <w:rsid w:val="00885267"/>
    <w:rsid w:val="008852F9"/>
    <w:rsid w:val="008854D5"/>
    <w:rsid w:val="008856E4"/>
    <w:rsid w:val="0088570C"/>
    <w:rsid w:val="00885890"/>
    <w:rsid w:val="00885913"/>
    <w:rsid w:val="00885B4D"/>
    <w:rsid w:val="00885DA3"/>
    <w:rsid w:val="00885F48"/>
    <w:rsid w:val="00885FC5"/>
    <w:rsid w:val="0088601F"/>
    <w:rsid w:val="00886322"/>
    <w:rsid w:val="00886614"/>
    <w:rsid w:val="0088676A"/>
    <w:rsid w:val="008868A4"/>
    <w:rsid w:val="008868E2"/>
    <w:rsid w:val="0088727D"/>
    <w:rsid w:val="00887325"/>
    <w:rsid w:val="008874E9"/>
    <w:rsid w:val="00887972"/>
    <w:rsid w:val="00887B9E"/>
    <w:rsid w:val="00890057"/>
    <w:rsid w:val="00890378"/>
    <w:rsid w:val="008903F3"/>
    <w:rsid w:val="008907B2"/>
    <w:rsid w:val="008907B5"/>
    <w:rsid w:val="00890C32"/>
    <w:rsid w:val="00890D62"/>
    <w:rsid w:val="00890F85"/>
    <w:rsid w:val="008914A3"/>
    <w:rsid w:val="0089154F"/>
    <w:rsid w:val="0089169C"/>
    <w:rsid w:val="00891781"/>
    <w:rsid w:val="00891A5C"/>
    <w:rsid w:val="00891C46"/>
    <w:rsid w:val="00891CB7"/>
    <w:rsid w:val="00892022"/>
    <w:rsid w:val="0089212B"/>
    <w:rsid w:val="0089228C"/>
    <w:rsid w:val="0089261F"/>
    <w:rsid w:val="00892794"/>
    <w:rsid w:val="00892965"/>
    <w:rsid w:val="00892CA7"/>
    <w:rsid w:val="00892D3F"/>
    <w:rsid w:val="00892D59"/>
    <w:rsid w:val="00893294"/>
    <w:rsid w:val="008936A5"/>
    <w:rsid w:val="008936F4"/>
    <w:rsid w:val="0089393B"/>
    <w:rsid w:val="008939B7"/>
    <w:rsid w:val="00893B86"/>
    <w:rsid w:val="00893F3A"/>
    <w:rsid w:val="00893F7E"/>
    <w:rsid w:val="00894617"/>
    <w:rsid w:val="00894854"/>
    <w:rsid w:val="008948D9"/>
    <w:rsid w:val="00894A86"/>
    <w:rsid w:val="00894D2A"/>
    <w:rsid w:val="008951FA"/>
    <w:rsid w:val="008953C4"/>
    <w:rsid w:val="008957EF"/>
    <w:rsid w:val="00895F90"/>
    <w:rsid w:val="008967A5"/>
    <w:rsid w:val="00896BC7"/>
    <w:rsid w:val="00896DB8"/>
    <w:rsid w:val="00896DDF"/>
    <w:rsid w:val="00897363"/>
    <w:rsid w:val="008975AE"/>
    <w:rsid w:val="00897C14"/>
    <w:rsid w:val="00897C4A"/>
    <w:rsid w:val="00897FF2"/>
    <w:rsid w:val="008A02B0"/>
    <w:rsid w:val="008A040C"/>
    <w:rsid w:val="008A0650"/>
    <w:rsid w:val="008A0861"/>
    <w:rsid w:val="008A0B58"/>
    <w:rsid w:val="008A0BC3"/>
    <w:rsid w:val="008A1034"/>
    <w:rsid w:val="008A114B"/>
    <w:rsid w:val="008A1256"/>
    <w:rsid w:val="008A1372"/>
    <w:rsid w:val="008A138A"/>
    <w:rsid w:val="008A14F3"/>
    <w:rsid w:val="008A165E"/>
    <w:rsid w:val="008A16E7"/>
    <w:rsid w:val="008A1CE0"/>
    <w:rsid w:val="008A245B"/>
    <w:rsid w:val="008A2828"/>
    <w:rsid w:val="008A2BF9"/>
    <w:rsid w:val="008A2C17"/>
    <w:rsid w:val="008A2EA0"/>
    <w:rsid w:val="008A3129"/>
    <w:rsid w:val="008A3349"/>
    <w:rsid w:val="008A3741"/>
    <w:rsid w:val="008A39F6"/>
    <w:rsid w:val="008A3A0E"/>
    <w:rsid w:val="008A3A27"/>
    <w:rsid w:val="008A3A5F"/>
    <w:rsid w:val="008A3D59"/>
    <w:rsid w:val="008A3E8B"/>
    <w:rsid w:val="008A3EA7"/>
    <w:rsid w:val="008A3FF6"/>
    <w:rsid w:val="008A4181"/>
    <w:rsid w:val="008A41F6"/>
    <w:rsid w:val="008A451C"/>
    <w:rsid w:val="008A4A97"/>
    <w:rsid w:val="008A4AF6"/>
    <w:rsid w:val="008A4E43"/>
    <w:rsid w:val="008A5181"/>
    <w:rsid w:val="008A52FC"/>
    <w:rsid w:val="008A5A15"/>
    <w:rsid w:val="008A67A9"/>
    <w:rsid w:val="008A6EB7"/>
    <w:rsid w:val="008A6EC9"/>
    <w:rsid w:val="008A6F71"/>
    <w:rsid w:val="008A7015"/>
    <w:rsid w:val="008A7157"/>
    <w:rsid w:val="008A71D4"/>
    <w:rsid w:val="008A7715"/>
    <w:rsid w:val="008A779B"/>
    <w:rsid w:val="008A7856"/>
    <w:rsid w:val="008A79B7"/>
    <w:rsid w:val="008A7ADA"/>
    <w:rsid w:val="008A7CDE"/>
    <w:rsid w:val="008A7F1F"/>
    <w:rsid w:val="008B004F"/>
    <w:rsid w:val="008B02AE"/>
    <w:rsid w:val="008B0633"/>
    <w:rsid w:val="008B06C1"/>
    <w:rsid w:val="008B07AF"/>
    <w:rsid w:val="008B086F"/>
    <w:rsid w:val="008B08E1"/>
    <w:rsid w:val="008B090B"/>
    <w:rsid w:val="008B0914"/>
    <w:rsid w:val="008B0BAA"/>
    <w:rsid w:val="008B1129"/>
    <w:rsid w:val="008B118F"/>
    <w:rsid w:val="008B1398"/>
    <w:rsid w:val="008B139E"/>
    <w:rsid w:val="008B19D8"/>
    <w:rsid w:val="008B19DC"/>
    <w:rsid w:val="008B1BB1"/>
    <w:rsid w:val="008B1C80"/>
    <w:rsid w:val="008B277B"/>
    <w:rsid w:val="008B2C9B"/>
    <w:rsid w:val="008B302B"/>
    <w:rsid w:val="008B3F8C"/>
    <w:rsid w:val="008B4105"/>
    <w:rsid w:val="008B4277"/>
    <w:rsid w:val="008B46BF"/>
    <w:rsid w:val="008B472D"/>
    <w:rsid w:val="008B4934"/>
    <w:rsid w:val="008B497A"/>
    <w:rsid w:val="008B4D33"/>
    <w:rsid w:val="008B519B"/>
    <w:rsid w:val="008B5380"/>
    <w:rsid w:val="008B5A62"/>
    <w:rsid w:val="008B5C17"/>
    <w:rsid w:val="008B5FD7"/>
    <w:rsid w:val="008B62DE"/>
    <w:rsid w:val="008B6376"/>
    <w:rsid w:val="008B6C8C"/>
    <w:rsid w:val="008B6D74"/>
    <w:rsid w:val="008B6F2F"/>
    <w:rsid w:val="008B71AB"/>
    <w:rsid w:val="008B72DB"/>
    <w:rsid w:val="008B76B0"/>
    <w:rsid w:val="008B780C"/>
    <w:rsid w:val="008B7B53"/>
    <w:rsid w:val="008B7BF0"/>
    <w:rsid w:val="008C0064"/>
    <w:rsid w:val="008C00DB"/>
    <w:rsid w:val="008C0646"/>
    <w:rsid w:val="008C0AF7"/>
    <w:rsid w:val="008C1204"/>
    <w:rsid w:val="008C127B"/>
    <w:rsid w:val="008C139C"/>
    <w:rsid w:val="008C14ED"/>
    <w:rsid w:val="008C1616"/>
    <w:rsid w:val="008C1846"/>
    <w:rsid w:val="008C187F"/>
    <w:rsid w:val="008C194C"/>
    <w:rsid w:val="008C1D76"/>
    <w:rsid w:val="008C1DA7"/>
    <w:rsid w:val="008C1F20"/>
    <w:rsid w:val="008C1F66"/>
    <w:rsid w:val="008C2430"/>
    <w:rsid w:val="008C2821"/>
    <w:rsid w:val="008C286F"/>
    <w:rsid w:val="008C2911"/>
    <w:rsid w:val="008C2CA8"/>
    <w:rsid w:val="008C2D2C"/>
    <w:rsid w:val="008C2D77"/>
    <w:rsid w:val="008C2F58"/>
    <w:rsid w:val="008C306B"/>
    <w:rsid w:val="008C30C0"/>
    <w:rsid w:val="008C30C6"/>
    <w:rsid w:val="008C341F"/>
    <w:rsid w:val="008C3A8B"/>
    <w:rsid w:val="008C3BB7"/>
    <w:rsid w:val="008C3D8A"/>
    <w:rsid w:val="008C3EC6"/>
    <w:rsid w:val="008C45F0"/>
    <w:rsid w:val="008C46DD"/>
    <w:rsid w:val="008C4C6D"/>
    <w:rsid w:val="008C4CD3"/>
    <w:rsid w:val="008C4CFA"/>
    <w:rsid w:val="008C4DD2"/>
    <w:rsid w:val="008C508E"/>
    <w:rsid w:val="008C520C"/>
    <w:rsid w:val="008C5275"/>
    <w:rsid w:val="008C52FB"/>
    <w:rsid w:val="008C53AE"/>
    <w:rsid w:val="008C5429"/>
    <w:rsid w:val="008C56D6"/>
    <w:rsid w:val="008C57E9"/>
    <w:rsid w:val="008C5DC4"/>
    <w:rsid w:val="008C5FDD"/>
    <w:rsid w:val="008C62BE"/>
    <w:rsid w:val="008C6543"/>
    <w:rsid w:val="008C6C13"/>
    <w:rsid w:val="008C6F37"/>
    <w:rsid w:val="008C6F3D"/>
    <w:rsid w:val="008C6F49"/>
    <w:rsid w:val="008C71C3"/>
    <w:rsid w:val="008C7208"/>
    <w:rsid w:val="008C774C"/>
    <w:rsid w:val="008C7AF4"/>
    <w:rsid w:val="008C7C3D"/>
    <w:rsid w:val="008C7D7F"/>
    <w:rsid w:val="008D0733"/>
    <w:rsid w:val="008D092F"/>
    <w:rsid w:val="008D0987"/>
    <w:rsid w:val="008D0C2A"/>
    <w:rsid w:val="008D0C34"/>
    <w:rsid w:val="008D0D10"/>
    <w:rsid w:val="008D0E28"/>
    <w:rsid w:val="008D126F"/>
    <w:rsid w:val="008D17AB"/>
    <w:rsid w:val="008D17D9"/>
    <w:rsid w:val="008D1A89"/>
    <w:rsid w:val="008D2339"/>
    <w:rsid w:val="008D260B"/>
    <w:rsid w:val="008D26F5"/>
    <w:rsid w:val="008D2C24"/>
    <w:rsid w:val="008D32C6"/>
    <w:rsid w:val="008D3328"/>
    <w:rsid w:val="008D34C2"/>
    <w:rsid w:val="008D3684"/>
    <w:rsid w:val="008D3B25"/>
    <w:rsid w:val="008D427E"/>
    <w:rsid w:val="008D4539"/>
    <w:rsid w:val="008D454E"/>
    <w:rsid w:val="008D4754"/>
    <w:rsid w:val="008D47F0"/>
    <w:rsid w:val="008D4899"/>
    <w:rsid w:val="008D4BDE"/>
    <w:rsid w:val="008D4D73"/>
    <w:rsid w:val="008D4E63"/>
    <w:rsid w:val="008D51AA"/>
    <w:rsid w:val="008D53A9"/>
    <w:rsid w:val="008D5631"/>
    <w:rsid w:val="008D58CF"/>
    <w:rsid w:val="008D5A4C"/>
    <w:rsid w:val="008D5E1B"/>
    <w:rsid w:val="008D5FE8"/>
    <w:rsid w:val="008D6410"/>
    <w:rsid w:val="008D6424"/>
    <w:rsid w:val="008D66C2"/>
    <w:rsid w:val="008D6918"/>
    <w:rsid w:val="008D6995"/>
    <w:rsid w:val="008D6A7C"/>
    <w:rsid w:val="008D6CFF"/>
    <w:rsid w:val="008D6EF8"/>
    <w:rsid w:val="008D6F59"/>
    <w:rsid w:val="008D6F7E"/>
    <w:rsid w:val="008D70E0"/>
    <w:rsid w:val="008D7466"/>
    <w:rsid w:val="008D7B27"/>
    <w:rsid w:val="008D7C75"/>
    <w:rsid w:val="008D7D13"/>
    <w:rsid w:val="008D7ECD"/>
    <w:rsid w:val="008E00D5"/>
    <w:rsid w:val="008E0553"/>
    <w:rsid w:val="008E0596"/>
    <w:rsid w:val="008E0C06"/>
    <w:rsid w:val="008E0DD9"/>
    <w:rsid w:val="008E148A"/>
    <w:rsid w:val="008E14B6"/>
    <w:rsid w:val="008E171F"/>
    <w:rsid w:val="008E1A71"/>
    <w:rsid w:val="008E22D6"/>
    <w:rsid w:val="008E25B5"/>
    <w:rsid w:val="008E280F"/>
    <w:rsid w:val="008E2C68"/>
    <w:rsid w:val="008E2E18"/>
    <w:rsid w:val="008E2F70"/>
    <w:rsid w:val="008E32EE"/>
    <w:rsid w:val="008E330A"/>
    <w:rsid w:val="008E3432"/>
    <w:rsid w:val="008E3523"/>
    <w:rsid w:val="008E39BC"/>
    <w:rsid w:val="008E3BAC"/>
    <w:rsid w:val="008E3CCB"/>
    <w:rsid w:val="008E3F9C"/>
    <w:rsid w:val="008E410A"/>
    <w:rsid w:val="008E4247"/>
    <w:rsid w:val="008E44BD"/>
    <w:rsid w:val="008E4535"/>
    <w:rsid w:val="008E45FE"/>
    <w:rsid w:val="008E487D"/>
    <w:rsid w:val="008E4A8F"/>
    <w:rsid w:val="008E5242"/>
    <w:rsid w:val="008E529E"/>
    <w:rsid w:val="008E55A7"/>
    <w:rsid w:val="008E578B"/>
    <w:rsid w:val="008E57D4"/>
    <w:rsid w:val="008E5A56"/>
    <w:rsid w:val="008E6176"/>
    <w:rsid w:val="008E6332"/>
    <w:rsid w:val="008E653F"/>
    <w:rsid w:val="008E6BD3"/>
    <w:rsid w:val="008E6CCC"/>
    <w:rsid w:val="008E7259"/>
    <w:rsid w:val="008E73FE"/>
    <w:rsid w:val="008E7608"/>
    <w:rsid w:val="008E77A2"/>
    <w:rsid w:val="008E77B6"/>
    <w:rsid w:val="008E77BB"/>
    <w:rsid w:val="008E785B"/>
    <w:rsid w:val="008E78BF"/>
    <w:rsid w:val="008E7C30"/>
    <w:rsid w:val="008E7E95"/>
    <w:rsid w:val="008E7F9F"/>
    <w:rsid w:val="008F018B"/>
    <w:rsid w:val="008F10CA"/>
    <w:rsid w:val="008F10CF"/>
    <w:rsid w:val="008F130B"/>
    <w:rsid w:val="008F139D"/>
    <w:rsid w:val="008F152D"/>
    <w:rsid w:val="008F17E3"/>
    <w:rsid w:val="008F1802"/>
    <w:rsid w:val="008F203F"/>
    <w:rsid w:val="008F2105"/>
    <w:rsid w:val="008F2244"/>
    <w:rsid w:val="008F2505"/>
    <w:rsid w:val="008F25CF"/>
    <w:rsid w:val="008F2687"/>
    <w:rsid w:val="008F2729"/>
    <w:rsid w:val="008F2931"/>
    <w:rsid w:val="008F2F83"/>
    <w:rsid w:val="008F31B6"/>
    <w:rsid w:val="008F35CE"/>
    <w:rsid w:val="008F375F"/>
    <w:rsid w:val="008F37DD"/>
    <w:rsid w:val="008F3B0A"/>
    <w:rsid w:val="008F3BC3"/>
    <w:rsid w:val="008F3D89"/>
    <w:rsid w:val="008F3E32"/>
    <w:rsid w:val="008F3F18"/>
    <w:rsid w:val="008F40A4"/>
    <w:rsid w:val="008F40E1"/>
    <w:rsid w:val="008F4716"/>
    <w:rsid w:val="008F4803"/>
    <w:rsid w:val="008F4A4E"/>
    <w:rsid w:val="008F4E51"/>
    <w:rsid w:val="008F50C4"/>
    <w:rsid w:val="008F516D"/>
    <w:rsid w:val="008F5415"/>
    <w:rsid w:val="008F567B"/>
    <w:rsid w:val="008F5B21"/>
    <w:rsid w:val="008F5B25"/>
    <w:rsid w:val="008F5B8D"/>
    <w:rsid w:val="008F5B91"/>
    <w:rsid w:val="008F5D36"/>
    <w:rsid w:val="008F6227"/>
    <w:rsid w:val="008F651D"/>
    <w:rsid w:val="008F65D1"/>
    <w:rsid w:val="008F65E5"/>
    <w:rsid w:val="008F670B"/>
    <w:rsid w:val="008F69F7"/>
    <w:rsid w:val="008F6BE4"/>
    <w:rsid w:val="008F6EB9"/>
    <w:rsid w:val="008F73E1"/>
    <w:rsid w:val="008F777D"/>
    <w:rsid w:val="008F77DF"/>
    <w:rsid w:val="008F7D52"/>
    <w:rsid w:val="0090038A"/>
    <w:rsid w:val="009004D2"/>
    <w:rsid w:val="0090059E"/>
    <w:rsid w:val="009007ED"/>
    <w:rsid w:val="0090122A"/>
    <w:rsid w:val="009014CB"/>
    <w:rsid w:val="00901566"/>
    <w:rsid w:val="0090156E"/>
    <w:rsid w:val="009017E1"/>
    <w:rsid w:val="0090198B"/>
    <w:rsid w:val="00901C90"/>
    <w:rsid w:val="00901CB5"/>
    <w:rsid w:val="00901CE2"/>
    <w:rsid w:val="00901E7C"/>
    <w:rsid w:val="00901FAD"/>
    <w:rsid w:val="0090204A"/>
    <w:rsid w:val="00902193"/>
    <w:rsid w:val="00902268"/>
    <w:rsid w:val="0090250B"/>
    <w:rsid w:val="00902F69"/>
    <w:rsid w:val="00902F8A"/>
    <w:rsid w:val="00903012"/>
    <w:rsid w:val="009030A8"/>
    <w:rsid w:val="0090314D"/>
    <w:rsid w:val="009033D4"/>
    <w:rsid w:val="009033E7"/>
    <w:rsid w:val="009035C0"/>
    <w:rsid w:val="0090378B"/>
    <w:rsid w:val="00903B90"/>
    <w:rsid w:val="00903D00"/>
    <w:rsid w:val="00903F8A"/>
    <w:rsid w:val="00904544"/>
    <w:rsid w:val="00904634"/>
    <w:rsid w:val="00904660"/>
    <w:rsid w:val="00904752"/>
    <w:rsid w:val="00904912"/>
    <w:rsid w:val="00904B8A"/>
    <w:rsid w:val="00904BAA"/>
    <w:rsid w:val="00904CDF"/>
    <w:rsid w:val="00904E26"/>
    <w:rsid w:val="00904F95"/>
    <w:rsid w:val="00904FFC"/>
    <w:rsid w:val="00905361"/>
    <w:rsid w:val="0090538B"/>
    <w:rsid w:val="009053E2"/>
    <w:rsid w:val="00905680"/>
    <w:rsid w:val="00905EDE"/>
    <w:rsid w:val="00906070"/>
    <w:rsid w:val="00906184"/>
    <w:rsid w:val="0090619B"/>
    <w:rsid w:val="009061A0"/>
    <w:rsid w:val="0090631D"/>
    <w:rsid w:val="0090648A"/>
    <w:rsid w:val="00906581"/>
    <w:rsid w:val="00906E34"/>
    <w:rsid w:val="00906E7A"/>
    <w:rsid w:val="00907065"/>
    <w:rsid w:val="0090723F"/>
    <w:rsid w:val="00907266"/>
    <w:rsid w:val="00907416"/>
    <w:rsid w:val="0090742D"/>
    <w:rsid w:val="0090761E"/>
    <w:rsid w:val="00907630"/>
    <w:rsid w:val="0090776B"/>
    <w:rsid w:val="00907A63"/>
    <w:rsid w:val="00907EEE"/>
    <w:rsid w:val="0091029C"/>
    <w:rsid w:val="00910834"/>
    <w:rsid w:val="009109F0"/>
    <w:rsid w:val="00910B11"/>
    <w:rsid w:val="00910E8E"/>
    <w:rsid w:val="00911131"/>
    <w:rsid w:val="009115DA"/>
    <w:rsid w:val="009117A1"/>
    <w:rsid w:val="009117D3"/>
    <w:rsid w:val="00911B7D"/>
    <w:rsid w:val="0091202C"/>
    <w:rsid w:val="00912313"/>
    <w:rsid w:val="009123BA"/>
    <w:rsid w:val="00912620"/>
    <w:rsid w:val="009128BB"/>
    <w:rsid w:val="009129C8"/>
    <w:rsid w:val="00912BC2"/>
    <w:rsid w:val="00912DA6"/>
    <w:rsid w:val="009130BF"/>
    <w:rsid w:val="0091341D"/>
    <w:rsid w:val="0091344E"/>
    <w:rsid w:val="009135B8"/>
    <w:rsid w:val="009137B7"/>
    <w:rsid w:val="009138C4"/>
    <w:rsid w:val="00913931"/>
    <w:rsid w:val="0091432F"/>
    <w:rsid w:val="0091433D"/>
    <w:rsid w:val="009143B4"/>
    <w:rsid w:val="009143CE"/>
    <w:rsid w:val="00914644"/>
    <w:rsid w:val="009147D3"/>
    <w:rsid w:val="0091496A"/>
    <w:rsid w:val="0091507F"/>
    <w:rsid w:val="00915142"/>
    <w:rsid w:val="009154DF"/>
    <w:rsid w:val="00915733"/>
    <w:rsid w:val="00915772"/>
    <w:rsid w:val="00915AB9"/>
    <w:rsid w:val="00915B1B"/>
    <w:rsid w:val="009161B8"/>
    <w:rsid w:val="00916625"/>
    <w:rsid w:val="009167A2"/>
    <w:rsid w:val="009167EB"/>
    <w:rsid w:val="009168D2"/>
    <w:rsid w:val="00916BFE"/>
    <w:rsid w:val="00916ECA"/>
    <w:rsid w:val="00916FAD"/>
    <w:rsid w:val="0091749C"/>
    <w:rsid w:val="0091799F"/>
    <w:rsid w:val="00917A90"/>
    <w:rsid w:val="00917C05"/>
    <w:rsid w:val="00920420"/>
    <w:rsid w:val="00920E30"/>
    <w:rsid w:val="00920E54"/>
    <w:rsid w:val="00920E7C"/>
    <w:rsid w:val="00920F71"/>
    <w:rsid w:val="0092125A"/>
    <w:rsid w:val="0092163A"/>
    <w:rsid w:val="00921A09"/>
    <w:rsid w:val="00921B71"/>
    <w:rsid w:val="00921C62"/>
    <w:rsid w:val="00922634"/>
    <w:rsid w:val="0092286E"/>
    <w:rsid w:val="00922A5C"/>
    <w:rsid w:val="00922AF2"/>
    <w:rsid w:val="00922C6D"/>
    <w:rsid w:val="00922EF1"/>
    <w:rsid w:val="00923707"/>
    <w:rsid w:val="00923C34"/>
    <w:rsid w:val="00923E1A"/>
    <w:rsid w:val="00924932"/>
    <w:rsid w:val="00925231"/>
    <w:rsid w:val="009255AA"/>
    <w:rsid w:val="00925729"/>
    <w:rsid w:val="009257D9"/>
    <w:rsid w:val="0092582A"/>
    <w:rsid w:val="009259DE"/>
    <w:rsid w:val="00925AEB"/>
    <w:rsid w:val="00925BCE"/>
    <w:rsid w:val="009261E9"/>
    <w:rsid w:val="009267D5"/>
    <w:rsid w:val="00926F22"/>
    <w:rsid w:val="00927027"/>
    <w:rsid w:val="00927044"/>
    <w:rsid w:val="0092738B"/>
    <w:rsid w:val="009273CD"/>
    <w:rsid w:val="00927440"/>
    <w:rsid w:val="00927F3B"/>
    <w:rsid w:val="00927FA1"/>
    <w:rsid w:val="0093007B"/>
    <w:rsid w:val="00930134"/>
    <w:rsid w:val="0093018D"/>
    <w:rsid w:val="00930400"/>
    <w:rsid w:val="009304FF"/>
    <w:rsid w:val="00930529"/>
    <w:rsid w:val="0093068D"/>
    <w:rsid w:val="0093079F"/>
    <w:rsid w:val="00930884"/>
    <w:rsid w:val="009308E3"/>
    <w:rsid w:val="00930BD7"/>
    <w:rsid w:val="00930E58"/>
    <w:rsid w:val="00930FD5"/>
    <w:rsid w:val="0093117C"/>
    <w:rsid w:val="00931339"/>
    <w:rsid w:val="009313E1"/>
    <w:rsid w:val="00931789"/>
    <w:rsid w:val="0093190E"/>
    <w:rsid w:val="009319B0"/>
    <w:rsid w:val="00931A5E"/>
    <w:rsid w:val="00931B4B"/>
    <w:rsid w:val="00931C38"/>
    <w:rsid w:val="00931EBE"/>
    <w:rsid w:val="009320B5"/>
    <w:rsid w:val="0093217D"/>
    <w:rsid w:val="00932197"/>
    <w:rsid w:val="00932276"/>
    <w:rsid w:val="00932375"/>
    <w:rsid w:val="0093255D"/>
    <w:rsid w:val="009326E9"/>
    <w:rsid w:val="00932AB9"/>
    <w:rsid w:val="00932D9F"/>
    <w:rsid w:val="0093313C"/>
    <w:rsid w:val="00933271"/>
    <w:rsid w:val="00933470"/>
    <w:rsid w:val="009337D0"/>
    <w:rsid w:val="00933AAC"/>
    <w:rsid w:val="00933AEC"/>
    <w:rsid w:val="00933B02"/>
    <w:rsid w:val="00933BEF"/>
    <w:rsid w:val="00933D62"/>
    <w:rsid w:val="00933E77"/>
    <w:rsid w:val="00933F47"/>
    <w:rsid w:val="00934303"/>
    <w:rsid w:val="00935134"/>
    <w:rsid w:val="00935235"/>
    <w:rsid w:val="0093556F"/>
    <w:rsid w:val="00935AAA"/>
    <w:rsid w:val="00935D74"/>
    <w:rsid w:val="00936387"/>
    <w:rsid w:val="00936620"/>
    <w:rsid w:val="009367D0"/>
    <w:rsid w:val="00936B8D"/>
    <w:rsid w:val="00936CD6"/>
    <w:rsid w:val="00936E6D"/>
    <w:rsid w:val="009372D1"/>
    <w:rsid w:val="00937302"/>
    <w:rsid w:val="00937458"/>
    <w:rsid w:val="00937629"/>
    <w:rsid w:val="0093762C"/>
    <w:rsid w:val="009376EA"/>
    <w:rsid w:val="00937716"/>
    <w:rsid w:val="00937C58"/>
    <w:rsid w:val="00937EBC"/>
    <w:rsid w:val="0094007B"/>
    <w:rsid w:val="00940837"/>
    <w:rsid w:val="00940860"/>
    <w:rsid w:val="00940E1D"/>
    <w:rsid w:val="00940E8F"/>
    <w:rsid w:val="00941125"/>
    <w:rsid w:val="009411F2"/>
    <w:rsid w:val="009413EF"/>
    <w:rsid w:val="00941451"/>
    <w:rsid w:val="00941554"/>
    <w:rsid w:val="00941734"/>
    <w:rsid w:val="009423B7"/>
    <w:rsid w:val="009429E2"/>
    <w:rsid w:val="00942DB1"/>
    <w:rsid w:val="00942F52"/>
    <w:rsid w:val="0094313F"/>
    <w:rsid w:val="0094338C"/>
    <w:rsid w:val="00943619"/>
    <w:rsid w:val="0094370C"/>
    <w:rsid w:val="00943B2C"/>
    <w:rsid w:val="00943D8E"/>
    <w:rsid w:val="00943F5D"/>
    <w:rsid w:val="009440E3"/>
    <w:rsid w:val="00944650"/>
    <w:rsid w:val="0094485A"/>
    <w:rsid w:val="009448CF"/>
    <w:rsid w:val="00944965"/>
    <w:rsid w:val="00944E44"/>
    <w:rsid w:val="00945017"/>
    <w:rsid w:val="00945141"/>
    <w:rsid w:val="00945208"/>
    <w:rsid w:val="00945549"/>
    <w:rsid w:val="00945E26"/>
    <w:rsid w:val="009465A5"/>
    <w:rsid w:val="00946617"/>
    <w:rsid w:val="00946891"/>
    <w:rsid w:val="009468C5"/>
    <w:rsid w:val="00946911"/>
    <w:rsid w:val="00946C3A"/>
    <w:rsid w:val="00946D76"/>
    <w:rsid w:val="00946ED3"/>
    <w:rsid w:val="009470DD"/>
    <w:rsid w:val="00947873"/>
    <w:rsid w:val="00947AC4"/>
    <w:rsid w:val="00947D44"/>
    <w:rsid w:val="00947DF5"/>
    <w:rsid w:val="00950CFA"/>
    <w:rsid w:val="00950DE3"/>
    <w:rsid w:val="00950DF3"/>
    <w:rsid w:val="009510F2"/>
    <w:rsid w:val="009516F4"/>
    <w:rsid w:val="0095170B"/>
    <w:rsid w:val="0095195D"/>
    <w:rsid w:val="00951A22"/>
    <w:rsid w:val="00951A29"/>
    <w:rsid w:val="00951A58"/>
    <w:rsid w:val="00951C61"/>
    <w:rsid w:val="00952236"/>
    <w:rsid w:val="0095232D"/>
    <w:rsid w:val="00952360"/>
    <w:rsid w:val="00952ADB"/>
    <w:rsid w:val="00952BB3"/>
    <w:rsid w:val="00952C0E"/>
    <w:rsid w:val="00952C17"/>
    <w:rsid w:val="00952DCA"/>
    <w:rsid w:val="00952EAD"/>
    <w:rsid w:val="00952FA7"/>
    <w:rsid w:val="009530F3"/>
    <w:rsid w:val="009531CA"/>
    <w:rsid w:val="009533B4"/>
    <w:rsid w:val="0095361D"/>
    <w:rsid w:val="0095386E"/>
    <w:rsid w:val="009538D9"/>
    <w:rsid w:val="00953C40"/>
    <w:rsid w:val="00953E64"/>
    <w:rsid w:val="00953E9E"/>
    <w:rsid w:val="00954096"/>
    <w:rsid w:val="009541C7"/>
    <w:rsid w:val="00954479"/>
    <w:rsid w:val="00954668"/>
    <w:rsid w:val="00954DE3"/>
    <w:rsid w:val="00954F4F"/>
    <w:rsid w:val="00955397"/>
    <w:rsid w:val="00955655"/>
    <w:rsid w:val="00955667"/>
    <w:rsid w:val="009556BB"/>
    <w:rsid w:val="009558A1"/>
    <w:rsid w:val="00955DB9"/>
    <w:rsid w:val="00955FDF"/>
    <w:rsid w:val="00956116"/>
    <w:rsid w:val="00956129"/>
    <w:rsid w:val="00956446"/>
    <w:rsid w:val="009564E5"/>
    <w:rsid w:val="009567A7"/>
    <w:rsid w:val="009567FA"/>
    <w:rsid w:val="00956B94"/>
    <w:rsid w:val="0095722A"/>
    <w:rsid w:val="0095725D"/>
    <w:rsid w:val="009572A8"/>
    <w:rsid w:val="009575AE"/>
    <w:rsid w:val="00957688"/>
    <w:rsid w:val="00957ABE"/>
    <w:rsid w:val="00957D05"/>
    <w:rsid w:val="00957DA7"/>
    <w:rsid w:val="00957E67"/>
    <w:rsid w:val="00957F28"/>
    <w:rsid w:val="009601C2"/>
    <w:rsid w:val="00960274"/>
    <w:rsid w:val="009603B5"/>
    <w:rsid w:val="0096054D"/>
    <w:rsid w:val="009605AC"/>
    <w:rsid w:val="00960922"/>
    <w:rsid w:val="00960B92"/>
    <w:rsid w:val="00960C8C"/>
    <w:rsid w:val="00960DE3"/>
    <w:rsid w:val="00960F98"/>
    <w:rsid w:val="00961305"/>
    <w:rsid w:val="009614FE"/>
    <w:rsid w:val="009617A7"/>
    <w:rsid w:val="009618BD"/>
    <w:rsid w:val="00961AB8"/>
    <w:rsid w:val="00962062"/>
    <w:rsid w:val="009621D4"/>
    <w:rsid w:val="00962ADF"/>
    <w:rsid w:val="00962EA4"/>
    <w:rsid w:val="00962FC3"/>
    <w:rsid w:val="009632D7"/>
    <w:rsid w:val="009634AC"/>
    <w:rsid w:val="009635B9"/>
    <w:rsid w:val="009639D9"/>
    <w:rsid w:val="00963BD0"/>
    <w:rsid w:val="00963D3D"/>
    <w:rsid w:val="00963D56"/>
    <w:rsid w:val="00964286"/>
    <w:rsid w:val="009642A0"/>
    <w:rsid w:val="00964509"/>
    <w:rsid w:val="009647C3"/>
    <w:rsid w:val="00964E17"/>
    <w:rsid w:val="009654B4"/>
    <w:rsid w:val="009655AB"/>
    <w:rsid w:val="00965A31"/>
    <w:rsid w:val="00965D03"/>
    <w:rsid w:val="0096634E"/>
    <w:rsid w:val="00966483"/>
    <w:rsid w:val="009665EC"/>
    <w:rsid w:val="00966834"/>
    <w:rsid w:val="009669E3"/>
    <w:rsid w:val="00966F36"/>
    <w:rsid w:val="00967000"/>
    <w:rsid w:val="009670EA"/>
    <w:rsid w:val="00967230"/>
    <w:rsid w:val="00967327"/>
    <w:rsid w:val="009676BA"/>
    <w:rsid w:val="0096788F"/>
    <w:rsid w:val="0096797C"/>
    <w:rsid w:val="009703C5"/>
    <w:rsid w:val="0097047E"/>
    <w:rsid w:val="00970578"/>
    <w:rsid w:val="00970620"/>
    <w:rsid w:val="00970630"/>
    <w:rsid w:val="009707E4"/>
    <w:rsid w:val="00970A93"/>
    <w:rsid w:val="00970DCF"/>
    <w:rsid w:val="00970E83"/>
    <w:rsid w:val="00971329"/>
    <w:rsid w:val="00971362"/>
    <w:rsid w:val="0097137F"/>
    <w:rsid w:val="0097149A"/>
    <w:rsid w:val="00971611"/>
    <w:rsid w:val="0097175C"/>
    <w:rsid w:val="00971883"/>
    <w:rsid w:val="00971A11"/>
    <w:rsid w:val="00971A50"/>
    <w:rsid w:val="00971CD5"/>
    <w:rsid w:val="00971E93"/>
    <w:rsid w:val="00971F30"/>
    <w:rsid w:val="00972716"/>
    <w:rsid w:val="00972724"/>
    <w:rsid w:val="00972821"/>
    <w:rsid w:val="0097318A"/>
    <w:rsid w:val="009732BD"/>
    <w:rsid w:val="009733BF"/>
    <w:rsid w:val="009736EC"/>
    <w:rsid w:val="00973895"/>
    <w:rsid w:val="009739BA"/>
    <w:rsid w:val="009739BC"/>
    <w:rsid w:val="00973A00"/>
    <w:rsid w:val="00973A11"/>
    <w:rsid w:val="00973BC2"/>
    <w:rsid w:val="00973C53"/>
    <w:rsid w:val="00973DA4"/>
    <w:rsid w:val="0097469E"/>
    <w:rsid w:val="00974706"/>
    <w:rsid w:val="00974711"/>
    <w:rsid w:val="00974813"/>
    <w:rsid w:val="00974815"/>
    <w:rsid w:val="00974E3A"/>
    <w:rsid w:val="00975128"/>
    <w:rsid w:val="0097527C"/>
    <w:rsid w:val="009753C6"/>
    <w:rsid w:val="009756BD"/>
    <w:rsid w:val="00975755"/>
    <w:rsid w:val="00975785"/>
    <w:rsid w:val="00975831"/>
    <w:rsid w:val="00975A79"/>
    <w:rsid w:val="00975AA1"/>
    <w:rsid w:val="00976310"/>
    <w:rsid w:val="0097638C"/>
    <w:rsid w:val="0097659C"/>
    <w:rsid w:val="009766D8"/>
    <w:rsid w:val="00976E7F"/>
    <w:rsid w:val="0097733C"/>
    <w:rsid w:val="009773A8"/>
    <w:rsid w:val="0097772B"/>
    <w:rsid w:val="0097786B"/>
    <w:rsid w:val="009778B0"/>
    <w:rsid w:val="00977B34"/>
    <w:rsid w:val="00977BF9"/>
    <w:rsid w:val="00977CDE"/>
    <w:rsid w:val="00977E2A"/>
    <w:rsid w:val="00977EF4"/>
    <w:rsid w:val="00977F80"/>
    <w:rsid w:val="00980179"/>
    <w:rsid w:val="009801F0"/>
    <w:rsid w:val="00980339"/>
    <w:rsid w:val="00980770"/>
    <w:rsid w:val="0098090B"/>
    <w:rsid w:val="00980CD0"/>
    <w:rsid w:val="00981025"/>
    <w:rsid w:val="0098134F"/>
    <w:rsid w:val="00981639"/>
    <w:rsid w:val="00981C70"/>
    <w:rsid w:val="0098224D"/>
    <w:rsid w:val="009823CD"/>
    <w:rsid w:val="00983046"/>
    <w:rsid w:val="00983157"/>
    <w:rsid w:val="00983263"/>
    <w:rsid w:val="0098349A"/>
    <w:rsid w:val="009834EC"/>
    <w:rsid w:val="009835E0"/>
    <w:rsid w:val="00983C77"/>
    <w:rsid w:val="00984032"/>
    <w:rsid w:val="009840F6"/>
    <w:rsid w:val="009844E0"/>
    <w:rsid w:val="00984527"/>
    <w:rsid w:val="009847F3"/>
    <w:rsid w:val="0098493C"/>
    <w:rsid w:val="009849D5"/>
    <w:rsid w:val="00984FE9"/>
    <w:rsid w:val="00985240"/>
    <w:rsid w:val="0098536D"/>
    <w:rsid w:val="009858A7"/>
    <w:rsid w:val="00985BB5"/>
    <w:rsid w:val="0098609D"/>
    <w:rsid w:val="0098635F"/>
    <w:rsid w:val="009865FC"/>
    <w:rsid w:val="00986659"/>
    <w:rsid w:val="00986765"/>
    <w:rsid w:val="00986F95"/>
    <w:rsid w:val="009872C5"/>
    <w:rsid w:val="009875CE"/>
    <w:rsid w:val="00987671"/>
    <w:rsid w:val="0098771D"/>
    <w:rsid w:val="009878A3"/>
    <w:rsid w:val="00987AAE"/>
    <w:rsid w:val="00987C1C"/>
    <w:rsid w:val="00987D96"/>
    <w:rsid w:val="00987DC3"/>
    <w:rsid w:val="00987E51"/>
    <w:rsid w:val="009902F8"/>
    <w:rsid w:val="00990337"/>
    <w:rsid w:val="0099051D"/>
    <w:rsid w:val="00990572"/>
    <w:rsid w:val="00990634"/>
    <w:rsid w:val="009906C9"/>
    <w:rsid w:val="00990B83"/>
    <w:rsid w:val="00990C2C"/>
    <w:rsid w:val="00990D25"/>
    <w:rsid w:val="00990D26"/>
    <w:rsid w:val="00991130"/>
    <w:rsid w:val="009915DA"/>
    <w:rsid w:val="00991B03"/>
    <w:rsid w:val="00991BB8"/>
    <w:rsid w:val="00991CE5"/>
    <w:rsid w:val="00991E49"/>
    <w:rsid w:val="009920C4"/>
    <w:rsid w:val="009920F8"/>
    <w:rsid w:val="00992165"/>
    <w:rsid w:val="00992175"/>
    <w:rsid w:val="009923CF"/>
    <w:rsid w:val="00992419"/>
    <w:rsid w:val="00992C92"/>
    <w:rsid w:val="00992ED0"/>
    <w:rsid w:val="00992EF9"/>
    <w:rsid w:val="0099359F"/>
    <w:rsid w:val="0099379B"/>
    <w:rsid w:val="009939FA"/>
    <w:rsid w:val="00993A42"/>
    <w:rsid w:val="00993B18"/>
    <w:rsid w:val="00993DFD"/>
    <w:rsid w:val="00993E5F"/>
    <w:rsid w:val="009941FA"/>
    <w:rsid w:val="009944D4"/>
    <w:rsid w:val="009945C9"/>
    <w:rsid w:val="009947D4"/>
    <w:rsid w:val="00994949"/>
    <w:rsid w:val="00994991"/>
    <w:rsid w:val="00994EC4"/>
    <w:rsid w:val="00994FBB"/>
    <w:rsid w:val="00995222"/>
    <w:rsid w:val="009954CE"/>
    <w:rsid w:val="00995732"/>
    <w:rsid w:val="00995B8B"/>
    <w:rsid w:val="00995BD3"/>
    <w:rsid w:val="00995FB8"/>
    <w:rsid w:val="00995FD7"/>
    <w:rsid w:val="00996223"/>
    <w:rsid w:val="00996391"/>
    <w:rsid w:val="009963D0"/>
    <w:rsid w:val="00996781"/>
    <w:rsid w:val="009967F3"/>
    <w:rsid w:val="009968C6"/>
    <w:rsid w:val="00996F38"/>
    <w:rsid w:val="00996FFC"/>
    <w:rsid w:val="00997292"/>
    <w:rsid w:val="009976B4"/>
    <w:rsid w:val="00997B0C"/>
    <w:rsid w:val="00997C6D"/>
    <w:rsid w:val="009A017D"/>
    <w:rsid w:val="009A0299"/>
    <w:rsid w:val="009A02AF"/>
    <w:rsid w:val="009A0460"/>
    <w:rsid w:val="009A069A"/>
    <w:rsid w:val="009A0775"/>
    <w:rsid w:val="009A08EA"/>
    <w:rsid w:val="009A0928"/>
    <w:rsid w:val="009A0C2F"/>
    <w:rsid w:val="009A0C9D"/>
    <w:rsid w:val="009A0D60"/>
    <w:rsid w:val="009A0D84"/>
    <w:rsid w:val="009A0F0E"/>
    <w:rsid w:val="009A0FA1"/>
    <w:rsid w:val="009A141C"/>
    <w:rsid w:val="009A17B2"/>
    <w:rsid w:val="009A1827"/>
    <w:rsid w:val="009A1980"/>
    <w:rsid w:val="009A1A15"/>
    <w:rsid w:val="009A1A59"/>
    <w:rsid w:val="009A1A6A"/>
    <w:rsid w:val="009A1BBE"/>
    <w:rsid w:val="009A218C"/>
    <w:rsid w:val="009A21C8"/>
    <w:rsid w:val="009A2227"/>
    <w:rsid w:val="009A24AE"/>
    <w:rsid w:val="009A2919"/>
    <w:rsid w:val="009A2D47"/>
    <w:rsid w:val="009A309F"/>
    <w:rsid w:val="009A3408"/>
    <w:rsid w:val="009A42E7"/>
    <w:rsid w:val="009A4409"/>
    <w:rsid w:val="009A4660"/>
    <w:rsid w:val="009A4A1D"/>
    <w:rsid w:val="009A4BF4"/>
    <w:rsid w:val="009A4C4E"/>
    <w:rsid w:val="009A4C91"/>
    <w:rsid w:val="009A4F5D"/>
    <w:rsid w:val="009A5325"/>
    <w:rsid w:val="009A5980"/>
    <w:rsid w:val="009A5FE1"/>
    <w:rsid w:val="009A63C2"/>
    <w:rsid w:val="009A6841"/>
    <w:rsid w:val="009A6888"/>
    <w:rsid w:val="009A74EB"/>
    <w:rsid w:val="009A784F"/>
    <w:rsid w:val="009A7CC3"/>
    <w:rsid w:val="009A7CE6"/>
    <w:rsid w:val="009B0011"/>
    <w:rsid w:val="009B006F"/>
    <w:rsid w:val="009B0136"/>
    <w:rsid w:val="009B02EE"/>
    <w:rsid w:val="009B0868"/>
    <w:rsid w:val="009B0FD8"/>
    <w:rsid w:val="009B1036"/>
    <w:rsid w:val="009B1293"/>
    <w:rsid w:val="009B148E"/>
    <w:rsid w:val="009B150B"/>
    <w:rsid w:val="009B189E"/>
    <w:rsid w:val="009B1C94"/>
    <w:rsid w:val="009B1D23"/>
    <w:rsid w:val="009B20B1"/>
    <w:rsid w:val="009B20E2"/>
    <w:rsid w:val="009B26CA"/>
    <w:rsid w:val="009B285E"/>
    <w:rsid w:val="009B2A38"/>
    <w:rsid w:val="009B2C5D"/>
    <w:rsid w:val="009B2E60"/>
    <w:rsid w:val="009B3359"/>
    <w:rsid w:val="009B3726"/>
    <w:rsid w:val="009B3758"/>
    <w:rsid w:val="009B3B0C"/>
    <w:rsid w:val="009B4167"/>
    <w:rsid w:val="009B42BC"/>
    <w:rsid w:val="009B440C"/>
    <w:rsid w:val="009B46EE"/>
    <w:rsid w:val="009B4A4D"/>
    <w:rsid w:val="009B4BC7"/>
    <w:rsid w:val="009B4C44"/>
    <w:rsid w:val="009B4C4A"/>
    <w:rsid w:val="009B4E17"/>
    <w:rsid w:val="009B4F4C"/>
    <w:rsid w:val="009B4F59"/>
    <w:rsid w:val="009B4F83"/>
    <w:rsid w:val="009B4FF3"/>
    <w:rsid w:val="009B51BF"/>
    <w:rsid w:val="009B51D3"/>
    <w:rsid w:val="009B5214"/>
    <w:rsid w:val="009B5886"/>
    <w:rsid w:val="009B6548"/>
    <w:rsid w:val="009B665F"/>
    <w:rsid w:val="009B66AB"/>
    <w:rsid w:val="009B68EE"/>
    <w:rsid w:val="009B6962"/>
    <w:rsid w:val="009B6CCD"/>
    <w:rsid w:val="009B6EE9"/>
    <w:rsid w:val="009B6FE2"/>
    <w:rsid w:val="009B74F8"/>
    <w:rsid w:val="009B7767"/>
    <w:rsid w:val="009B77A1"/>
    <w:rsid w:val="009B77FF"/>
    <w:rsid w:val="009B7812"/>
    <w:rsid w:val="009B7831"/>
    <w:rsid w:val="009B7A4E"/>
    <w:rsid w:val="009B7A51"/>
    <w:rsid w:val="009B7BD1"/>
    <w:rsid w:val="009B7C39"/>
    <w:rsid w:val="009B7FFC"/>
    <w:rsid w:val="009C0248"/>
    <w:rsid w:val="009C036C"/>
    <w:rsid w:val="009C05FD"/>
    <w:rsid w:val="009C09CF"/>
    <w:rsid w:val="009C09DD"/>
    <w:rsid w:val="009C0A42"/>
    <w:rsid w:val="009C0A90"/>
    <w:rsid w:val="009C0D2D"/>
    <w:rsid w:val="009C0E23"/>
    <w:rsid w:val="009C0E4D"/>
    <w:rsid w:val="009C1045"/>
    <w:rsid w:val="009C1100"/>
    <w:rsid w:val="009C1416"/>
    <w:rsid w:val="009C1D95"/>
    <w:rsid w:val="009C1DF6"/>
    <w:rsid w:val="009C262D"/>
    <w:rsid w:val="009C2AB2"/>
    <w:rsid w:val="009C2EC6"/>
    <w:rsid w:val="009C2F93"/>
    <w:rsid w:val="009C316F"/>
    <w:rsid w:val="009C36F4"/>
    <w:rsid w:val="009C3E82"/>
    <w:rsid w:val="009C3EDC"/>
    <w:rsid w:val="009C463C"/>
    <w:rsid w:val="009C4DC2"/>
    <w:rsid w:val="009C4E7D"/>
    <w:rsid w:val="009C511F"/>
    <w:rsid w:val="009C5309"/>
    <w:rsid w:val="009C5512"/>
    <w:rsid w:val="009C5615"/>
    <w:rsid w:val="009C5B4B"/>
    <w:rsid w:val="009C5E28"/>
    <w:rsid w:val="009C67CC"/>
    <w:rsid w:val="009C6BD0"/>
    <w:rsid w:val="009C6C6D"/>
    <w:rsid w:val="009C6D65"/>
    <w:rsid w:val="009C70EC"/>
    <w:rsid w:val="009C74AD"/>
    <w:rsid w:val="009C7876"/>
    <w:rsid w:val="009C7EF4"/>
    <w:rsid w:val="009C7F39"/>
    <w:rsid w:val="009D03E2"/>
    <w:rsid w:val="009D04AE"/>
    <w:rsid w:val="009D0BED"/>
    <w:rsid w:val="009D1438"/>
    <w:rsid w:val="009D152B"/>
    <w:rsid w:val="009D1941"/>
    <w:rsid w:val="009D2212"/>
    <w:rsid w:val="009D260A"/>
    <w:rsid w:val="009D2662"/>
    <w:rsid w:val="009D274D"/>
    <w:rsid w:val="009D2783"/>
    <w:rsid w:val="009D2A47"/>
    <w:rsid w:val="009D2DB4"/>
    <w:rsid w:val="009D2E18"/>
    <w:rsid w:val="009D2E78"/>
    <w:rsid w:val="009D2EB8"/>
    <w:rsid w:val="009D33CC"/>
    <w:rsid w:val="009D35C7"/>
    <w:rsid w:val="009D36CD"/>
    <w:rsid w:val="009D3911"/>
    <w:rsid w:val="009D3AAC"/>
    <w:rsid w:val="009D4358"/>
    <w:rsid w:val="009D44AD"/>
    <w:rsid w:val="009D44FB"/>
    <w:rsid w:val="009D4545"/>
    <w:rsid w:val="009D475D"/>
    <w:rsid w:val="009D479F"/>
    <w:rsid w:val="009D47B8"/>
    <w:rsid w:val="009D51C1"/>
    <w:rsid w:val="009D56F0"/>
    <w:rsid w:val="009D5887"/>
    <w:rsid w:val="009D58C6"/>
    <w:rsid w:val="009D5A6B"/>
    <w:rsid w:val="009D5B9B"/>
    <w:rsid w:val="009D621E"/>
    <w:rsid w:val="009D6401"/>
    <w:rsid w:val="009D6413"/>
    <w:rsid w:val="009D6608"/>
    <w:rsid w:val="009D66E0"/>
    <w:rsid w:val="009D6A53"/>
    <w:rsid w:val="009D6D00"/>
    <w:rsid w:val="009D6DBE"/>
    <w:rsid w:val="009D6F27"/>
    <w:rsid w:val="009D6FA0"/>
    <w:rsid w:val="009D6FC1"/>
    <w:rsid w:val="009D707B"/>
    <w:rsid w:val="009D734D"/>
    <w:rsid w:val="009D7580"/>
    <w:rsid w:val="009D7A03"/>
    <w:rsid w:val="009D7AD6"/>
    <w:rsid w:val="009D7BAF"/>
    <w:rsid w:val="009D7EB5"/>
    <w:rsid w:val="009D7FD5"/>
    <w:rsid w:val="009E018D"/>
    <w:rsid w:val="009E01FF"/>
    <w:rsid w:val="009E0234"/>
    <w:rsid w:val="009E0640"/>
    <w:rsid w:val="009E064C"/>
    <w:rsid w:val="009E0675"/>
    <w:rsid w:val="009E06DE"/>
    <w:rsid w:val="009E0922"/>
    <w:rsid w:val="009E0B90"/>
    <w:rsid w:val="009E0E33"/>
    <w:rsid w:val="009E0ECF"/>
    <w:rsid w:val="009E1098"/>
    <w:rsid w:val="009E110A"/>
    <w:rsid w:val="009E129C"/>
    <w:rsid w:val="009E15B7"/>
    <w:rsid w:val="009E16D3"/>
    <w:rsid w:val="009E16DB"/>
    <w:rsid w:val="009E1B05"/>
    <w:rsid w:val="009E1BA2"/>
    <w:rsid w:val="009E1CE2"/>
    <w:rsid w:val="009E1D98"/>
    <w:rsid w:val="009E1F4D"/>
    <w:rsid w:val="009E1F9E"/>
    <w:rsid w:val="009E215B"/>
    <w:rsid w:val="009E238E"/>
    <w:rsid w:val="009E24EA"/>
    <w:rsid w:val="009E286F"/>
    <w:rsid w:val="009E2A8B"/>
    <w:rsid w:val="009E2CBD"/>
    <w:rsid w:val="009E2E47"/>
    <w:rsid w:val="009E3172"/>
    <w:rsid w:val="009E327E"/>
    <w:rsid w:val="009E37C4"/>
    <w:rsid w:val="009E389A"/>
    <w:rsid w:val="009E3D9C"/>
    <w:rsid w:val="009E3DBE"/>
    <w:rsid w:val="009E40EB"/>
    <w:rsid w:val="009E4350"/>
    <w:rsid w:val="009E4576"/>
    <w:rsid w:val="009E463F"/>
    <w:rsid w:val="009E4EFB"/>
    <w:rsid w:val="009E5456"/>
    <w:rsid w:val="009E55AB"/>
    <w:rsid w:val="009E5617"/>
    <w:rsid w:val="009E5988"/>
    <w:rsid w:val="009E61E0"/>
    <w:rsid w:val="009E6206"/>
    <w:rsid w:val="009E622D"/>
    <w:rsid w:val="009E630B"/>
    <w:rsid w:val="009E638D"/>
    <w:rsid w:val="009E6408"/>
    <w:rsid w:val="009E682C"/>
    <w:rsid w:val="009E6913"/>
    <w:rsid w:val="009E692A"/>
    <w:rsid w:val="009E6A7C"/>
    <w:rsid w:val="009E6BB0"/>
    <w:rsid w:val="009E76DA"/>
    <w:rsid w:val="009E785A"/>
    <w:rsid w:val="009E7B8E"/>
    <w:rsid w:val="009E7D4C"/>
    <w:rsid w:val="009E7FDE"/>
    <w:rsid w:val="009ED87D"/>
    <w:rsid w:val="009F006C"/>
    <w:rsid w:val="009F0228"/>
    <w:rsid w:val="009F073F"/>
    <w:rsid w:val="009F076B"/>
    <w:rsid w:val="009F077C"/>
    <w:rsid w:val="009F088E"/>
    <w:rsid w:val="009F0998"/>
    <w:rsid w:val="009F09EA"/>
    <w:rsid w:val="009F0AC7"/>
    <w:rsid w:val="009F0F72"/>
    <w:rsid w:val="009F11C7"/>
    <w:rsid w:val="009F15F2"/>
    <w:rsid w:val="009F17D6"/>
    <w:rsid w:val="009F1821"/>
    <w:rsid w:val="009F19C0"/>
    <w:rsid w:val="009F1DF1"/>
    <w:rsid w:val="009F1F31"/>
    <w:rsid w:val="009F21C0"/>
    <w:rsid w:val="009F250A"/>
    <w:rsid w:val="009F2544"/>
    <w:rsid w:val="009F25B6"/>
    <w:rsid w:val="009F29F6"/>
    <w:rsid w:val="009F316E"/>
    <w:rsid w:val="009F3266"/>
    <w:rsid w:val="009F32C9"/>
    <w:rsid w:val="009F33F6"/>
    <w:rsid w:val="009F3468"/>
    <w:rsid w:val="009F348E"/>
    <w:rsid w:val="009F37A3"/>
    <w:rsid w:val="009F3B68"/>
    <w:rsid w:val="009F3E02"/>
    <w:rsid w:val="009F3E72"/>
    <w:rsid w:val="009F3F22"/>
    <w:rsid w:val="009F3F43"/>
    <w:rsid w:val="009F40B0"/>
    <w:rsid w:val="009F443E"/>
    <w:rsid w:val="009F4EC4"/>
    <w:rsid w:val="009F4EE4"/>
    <w:rsid w:val="009F4EEC"/>
    <w:rsid w:val="009F529E"/>
    <w:rsid w:val="009F53CA"/>
    <w:rsid w:val="009F551E"/>
    <w:rsid w:val="009F5918"/>
    <w:rsid w:val="009F5944"/>
    <w:rsid w:val="009F5993"/>
    <w:rsid w:val="009F59B2"/>
    <w:rsid w:val="009F5B30"/>
    <w:rsid w:val="009F5C11"/>
    <w:rsid w:val="009F5C18"/>
    <w:rsid w:val="009F5ECF"/>
    <w:rsid w:val="009F6021"/>
    <w:rsid w:val="009F62F0"/>
    <w:rsid w:val="009F67CE"/>
    <w:rsid w:val="009F6B3E"/>
    <w:rsid w:val="009F6DCC"/>
    <w:rsid w:val="009F70E8"/>
    <w:rsid w:val="009F723A"/>
    <w:rsid w:val="009F7618"/>
    <w:rsid w:val="009F773C"/>
    <w:rsid w:val="009F7A86"/>
    <w:rsid w:val="009F7AA1"/>
    <w:rsid w:val="009F7D09"/>
    <w:rsid w:val="00A003CE"/>
    <w:rsid w:val="00A00678"/>
    <w:rsid w:val="00A007BA"/>
    <w:rsid w:val="00A00BF5"/>
    <w:rsid w:val="00A00C72"/>
    <w:rsid w:val="00A00CD8"/>
    <w:rsid w:val="00A00E78"/>
    <w:rsid w:val="00A01007"/>
    <w:rsid w:val="00A01074"/>
    <w:rsid w:val="00A011A9"/>
    <w:rsid w:val="00A01355"/>
    <w:rsid w:val="00A0155E"/>
    <w:rsid w:val="00A01734"/>
    <w:rsid w:val="00A01AA7"/>
    <w:rsid w:val="00A01C7E"/>
    <w:rsid w:val="00A01D07"/>
    <w:rsid w:val="00A01EBA"/>
    <w:rsid w:val="00A01F88"/>
    <w:rsid w:val="00A01FC3"/>
    <w:rsid w:val="00A023C6"/>
    <w:rsid w:val="00A025A0"/>
    <w:rsid w:val="00A026DA"/>
    <w:rsid w:val="00A02703"/>
    <w:rsid w:val="00A02CD3"/>
    <w:rsid w:val="00A0355A"/>
    <w:rsid w:val="00A0356E"/>
    <w:rsid w:val="00A03798"/>
    <w:rsid w:val="00A038EE"/>
    <w:rsid w:val="00A0392E"/>
    <w:rsid w:val="00A03AF3"/>
    <w:rsid w:val="00A03D7B"/>
    <w:rsid w:val="00A03D87"/>
    <w:rsid w:val="00A03DB9"/>
    <w:rsid w:val="00A04046"/>
    <w:rsid w:val="00A04471"/>
    <w:rsid w:val="00A0452F"/>
    <w:rsid w:val="00A046A0"/>
    <w:rsid w:val="00A046B0"/>
    <w:rsid w:val="00A04CD4"/>
    <w:rsid w:val="00A04F91"/>
    <w:rsid w:val="00A050CA"/>
    <w:rsid w:val="00A05176"/>
    <w:rsid w:val="00A053DF"/>
    <w:rsid w:val="00A05596"/>
    <w:rsid w:val="00A055A8"/>
    <w:rsid w:val="00A05728"/>
    <w:rsid w:val="00A05739"/>
    <w:rsid w:val="00A05764"/>
    <w:rsid w:val="00A057FB"/>
    <w:rsid w:val="00A05BA1"/>
    <w:rsid w:val="00A05ECF"/>
    <w:rsid w:val="00A06235"/>
    <w:rsid w:val="00A0641D"/>
    <w:rsid w:val="00A06B4F"/>
    <w:rsid w:val="00A06BAD"/>
    <w:rsid w:val="00A06CA7"/>
    <w:rsid w:val="00A06F0B"/>
    <w:rsid w:val="00A06FC2"/>
    <w:rsid w:val="00A070A0"/>
    <w:rsid w:val="00A07104"/>
    <w:rsid w:val="00A07180"/>
    <w:rsid w:val="00A07505"/>
    <w:rsid w:val="00A07636"/>
    <w:rsid w:val="00A0783F"/>
    <w:rsid w:val="00A07B0A"/>
    <w:rsid w:val="00A07B8F"/>
    <w:rsid w:val="00A07DAE"/>
    <w:rsid w:val="00A07E3B"/>
    <w:rsid w:val="00A1021B"/>
    <w:rsid w:val="00A1023B"/>
    <w:rsid w:val="00A104AC"/>
    <w:rsid w:val="00A107DE"/>
    <w:rsid w:val="00A10857"/>
    <w:rsid w:val="00A10BA6"/>
    <w:rsid w:val="00A10C6E"/>
    <w:rsid w:val="00A10EE8"/>
    <w:rsid w:val="00A1102C"/>
    <w:rsid w:val="00A1105A"/>
    <w:rsid w:val="00A11323"/>
    <w:rsid w:val="00A11482"/>
    <w:rsid w:val="00A1154D"/>
    <w:rsid w:val="00A11CEE"/>
    <w:rsid w:val="00A11D53"/>
    <w:rsid w:val="00A11F51"/>
    <w:rsid w:val="00A121AF"/>
    <w:rsid w:val="00A127DB"/>
    <w:rsid w:val="00A128D5"/>
    <w:rsid w:val="00A12B75"/>
    <w:rsid w:val="00A130EA"/>
    <w:rsid w:val="00A13395"/>
    <w:rsid w:val="00A13582"/>
    <w:rsid w:val="00A136A2"/>
    <w:rsid w:val="00A138ED"/>
    <w:rsid w:val="00A139A3"/>
    <w:rsid w:val="00A13B33"/>
    <w:rsid w:val="00A13C20"/>
    <w:rsid w:val="00A13DAC"/>
    <w:rsid w:val="00A13EE8"/>
    <w:rsid w:val="00A14278"/>
    <w:rsid w:val="00A14490"/>
    <w:rsid w:val="00A14669"/>
    <w:rsid w:val="00A14682"/>
    <w:rsid w:val="00A14B38"/>
    <w:rsid w:val="00A14E8D"/>
    <w:rsid w:val="00A14EF2"/>
    <w:rsid w:val="00A14F3B"/>
    <w:rsid w:val="00A157FD"/>
    <w:rsid w:val="00A159D8"/>
    <w:rsid w:val="00A15CC4"/>
    <w:rsid w:val="00A15D36"/>
    <w:rsid w:val="00A15E1E"/>
    <w:rsid w:val="00A16152"/>
    <w:rsid w:val="00A161E0"/>
    <w:rsid w:val="00A16623"/>
    <w:rsid w:val="00A166EE"/>
    <w:rsid w:val="00A169CA"/>
    <w:rsid w:val="00A16A3A"/>
    <w:rsid w:val="00A16F27"/>
    <w:rsid w:val="00A175A4"/>
    <w:rsid w:val="00A1768E"/>
    <w:rsid w:val="00A1779C"/>
    <w:rsid w:val="00A177D5"/>
    <w:rsid w:val="00A17E85"/>
    <w:rsid w:val="00A201B0"/>
    <w:rsid w:val="00A20344"/>
    <w:rsid w:val="00A20B9A"/>
    <w:rsid w:val="00A20CFF"/>
    <w:rsid w:val="00A20E3E"/>
    <w:rsid w:val="00A21D2B"/>
    <w:rsid w:val="00A21D54"/>
    <w:rsid w:val="00A21F74"/>
    <w:rsid w:val="00A22148"/>
    <w:rsid w:val="00A22746"/>
    <w:rsid w:val="00A22869"/>
    <w:rsid w:val="00A228CD"/>
    <w:rsid w:val="00A22C50"/>
    <w:rsid w:val="00A22ED0"/>
    <w:rsid w:val="00A23024"/>
    <w:rsid w:val="00A233B8"/>
    <w:rsid w:val="00A23418"/>
    <w:rsid w:val="00A2357D"/>
    <w:rsid w:val="00A2359B"/>
    <w:rsid w:val="00A23913"/>
    <w:rsid w:val="00A2397A"/>
    <w:rsid w:val="00A23AAE"/>
    <w:rsid w:val="00A23CFA"/>
    <w:rsid w:val="00A24164"/>
    <w:rsid w:val="00A242D2"/>
    <w:rsid w:val="00A24328"/>
    <w:rsid w:val="00A24329"/>
    <w:rsid w:val="00A2432D"/>
    <w:rsid w:val="00A24796"/>
    <w:rsid w:val="00A248A7"/>
    <w:rsid w:val="00A24AD8"/>
    <w:rsid w:val="00A24C1B"/>
    <w:rsid w:val="00A24ECC"/>
    <w:rsid w:val="00A2504F"/>
    <w:rsid w:val="00A25B6E"/>
    <w:rsid w:val="00A25C6A"/>
    <w:rsid w:val="00A2620F"/>
    <w:rsid w:val="00A263F0"/>
    <w:rsid w:val="00A26414"/>
    <w:rsid w:val="00A264C6"/>
    <w:rsid w:val="00A267E3"/>
    <w:rsid w:val="00A26824"/>
    <w:rsid w:val="00A26A4C"/>
    <w:rsid w:val="00A26E36"/>
    <w:rsid w:val="00A27358"/>
    <w:rsid w:val="00A274F8"/>
    <w:rsid w:val="00A2752B"/>
    <w:rsid w:val="00A27B08"/>
    <w:rsid w:val="00A27E1B"/>
    <w:rsid w:val="00A27F60"/>
    <w:rsid w:val="00A3000E"/>
    <w:rsid w:val="00A30247"/>
    <w:rsid w:val="00A30295"/>
    <w:rsid w:val="00A304B2"/>
    <w:rsid w:val="00A305A4"/>
    <w:rsid w:val="00A305F7"/>
    <w:rsid w:val="00A30A3A"/>
    <w:rsid w:val="00A30E3B"/>
    <w:rsid w:val="00A3156E"/>
    <w:rsid w:val="00A3159C"/>
    <w:rsid w:val="00A31E54"/>
    <w:rsid w:val="00A31F60"/>
    <w:rsid w:val="00A320DC"/>
    <w:rsid w:val="00A32380"/>
    <w:rsid w:val="00A325F0"/>
    <w:rsid w:val="00A32673"/>
    <w:rsid w:val="00A326C2"/>
    <w:rsid w:val="00A3282B"/>
    <w:rsid w:val="00A328DF"/>
    <w:rsid w:val="00A32E4E"/>
    <w:rsid w:val="00A33017"/>
    <w:rsid w:val="00A331CB"/>
    <w:rsid w:val="00A3332F"/>
    <w:rsid w:val="00A33648"/>
    <w:rsid w:val="00A33DFA"/>
    <w:rsid w:val="00A33F75"/>
    <w:rsid w:val="00A34322"/>
    <w:rsid w:val="00A349F1"/>
    <w:rsid w:val="00A352D9"/>
    <w:rsid w:val="00A35344"/>
    <w:rsid w:val="00A358A5"/>
    <w:rsid w:val="00A35BAB"/>
    <w:rsid w:val="00A35BFB"/>
    <w:rsid w:val="00A35DDC"/>
    <w:rsid w:val="00A360BF"/>
    <w:rsid w:val="00A3619D"/>
    <w:rsid w:val="00A363E4"/>
    <w:rsid w:val="00A36BC0"/>
    <w:rsid w:val="00A36BDE"/>
    <w:rsid w:val="00A36C29"/>
    <w:rsid w:val="00A36C68"/>
    <w:rsid w:val="00A36D4D"/>
    <w:rsid w:val="00A3734B"/>
    <w:rsid w:val="00A37485"/>
    <w:rsid w:val="00A3749C"/>
    <w:rsid w:val="00A3756E"/>
    <w:rsid w:val="00A3791F"/>
    <w:rsid w:val="00A37AB0"/>
    <w:rsid w:val="00A37E5E"/>
    <w:rsid w:val="00A37FC9"/>
    <w:rsid w:val="00A40221"/>
    <w:rsid w:val="00A40490"/>
    <w:rsid w:val="00A408BF"/>
    <w:rsid w:val="00A4092E"/>
    <w:rsid w:val="00A40952"/>
    <w:rsid w:val="00A4096A"/>
    <w:rsid w:val="00A40AD9"/>
    <w:rsid w:val="00A40D4C"/>
    <w:rsid w:val="00A40FA7"/>
    <w:rsid w:val="00A41044"/>
    <w:rsid w:val="00A410CA"/>
    <w:rsid w:val="00A4118B"/>
    <w:rsid w:val="00A41274"/>
    <w:rsid w:val="00A41417"/>
    <w:rsid w:val="00A41524"/>
    <w:rsid w:val="00A41917"/>
    <w:rsid w:val="00A41AFA"/>
    <w:rsid w:val="00A41CA8"/>
    <w:rsid w:val="00A41EF9"/>
    <w:rsid w:val="00A41F9B"/>
    <w:rsid w:val="00A42054"/>
    <w:rsid w:val="00A4212D"/>
    <w:rsid w:val="00A4250A"/>
    <w:rsid w:val="00A426A6"/>
    <w:rsid w:val="00A427EC"/>
    <w:rsid w:val="00A428F2"/>
    <w:rsid w:val="00A42978"/>
    <w:rsid w:val="00A42B9C"/>
    <w:rsid w:val="00A42BA5"/>
    <w:rsid w:val="00A42D46"/>
    <w:rsid w:val="00A42D86"/>
    <w:rsid w:val="00A432AF"/>
    <w:rsid w:val="00A433EE"/>
    <w:rsid w:val="00A435FE"/>
    <w:rsid w:val="00A43BBE"/>
    <w:rsid w:val="00A44850"/>
    <w:rsid w:val="00A44899"/>
    <w:rsid w:val="00A44988"/>
    <w:rsid w:val="00A44A9A"/>
    <w:rsid w:val="00A44D9C"/>
    <w:rsid w:val="00A44FFD"/>
    <w:rsid w:val="00A4535D"/>
    <w:rsid w:val="00A45371"/>
    <w:rsid w:val="00A453DE"/>
    <w:rsid w:val="00A45978"/>
    <w:rsid w:val="00A45D1B"/>
    <w:rsid w:val="00A45E3A"/>
    <w:rsid w:val="00A46432"/>
    <w:rsid w:val="00A4647D"/>
    <w:rsid w:val="00A464B3"/>
    <w:rsid w:val="00A46799"/>
    <w:rsid w:val="00A4693A"/>
    <w:rsid w:val="00A46DAC"/>
    <w:rsid w:val="00A46FEB"/>
    <w:rsid w:val="00A47138"/>
    <w:rsid w:val="00A472FF"/>
    <w:rsid w:val="00A474AA"/>
    <w:rsid w:val="00A477CB"/>
    <w:rsid w:val="00A479D5"/>
    <w:rsid w:val="00A47B32"/>
    <w:rsid w:val="00A47CFD"/>
    <w:rsid w:val="00A47D2A"/>
    <w:rsid w:val="00A500D5"/>
    <w:rsid w:val="00A506D7"/>
    <w:rsid w:val="00A508B1"/>
    <w:rsid w:val="00A51360"/>
    <w:rsid w:val="00A5144B"/>
    <w:rsid w:val="00A515A1"/>
    <w:rsid w:val="00A51B0F"/>
    <w:rsid w:val="00A51B94"/>
    <w:rsid w:val="00A5231E"/>
    <w:rsid w:val="00A52653"/>
    <w:rsid w:val="00A52774"/>
    <w:rsid w:val="00A529B3"/>
    <w:rsid w:val="00A52A1A"/>
    <w:rsid w:val="00A52CD1"/>
    <w:rsid w:val="00A52F93"/>
    <w:rsid w:val="00A53276"/>
    <w:rsid w:val="00A5339C"/>
    <w:rsid w:val="00A53508"/>
    <w:rsid w:val="00A535A3"/>
    <w:rsid w:val="00A536A7"/>
    <w:rsid w:val="00A53702"/>
    <w:rsid w:val="00A53A0D"/>
    <w:rsid w:val="00A53B6D"/>
    <w:rsid w:val="00A540A3"/>
    <w:rsid w:val="00A54281"/>
    <w:rsid w:val="00A54291"/>
    <w:rsid w:val="00A548A3"/>
    <w:rsid w:val="00A54DC6"/>
    <w:rsid w:val="00A551DE"/>
    <w:rsid w:val="00A5548B"/>
    <w:rsid w:val="00A55519"/>
    <w:rsid w:val="00A55949"/>
    <w:rsid w:val="00A55A72"/>
    <w:rsid w:val="00A55E99"/>
    <w:rsid w:val="00A5613B"/>
    <w:rsid w:val="00A564ED"/>
    <w:rsid w:val="00A56963"/>
    <w:rsid w:val="00A56A87"/>
    <w:rsid w:val="00A56F0B"/>
    <w:rsid w:val="00A5705B"/>
    <w:rsid w:val="00A5736A"/>
    <w:rsid w:val="00A57550"/>
    <w:rsid w:val="00A57565"/>
    <w:rsid w:val="00A57693"/>
    <w:rsid w:val="00A57E25"/>
    <w:rsid w:val="00A57F4E"/>
    <w:rsid w:val="00A57F80"/>
    <w:rsid w:val="00A6024B"/>
    <w:rsid w:val="00A602D4"/>
    <w:rsid w:val="00A6031C"/>
    <w:rsid w:val="00A6038D"/>
    <w:rsid w:val="00A6047E"/>
    <w:rsid w:val="00A607A7"/>
    <w:rsid w:val="00A60D48"/>
    <w:rsid w:val="00A60FB9"/>
    <w:rsid w:val="00A6129A"/>
    <w:rsid w:val="00A612A0"/>
    <w:rsid w:val="00A61624"/>
    <w:rsid w:val="00A6199C"/>
    <w:rsid w:val="00A6223C"/>
    <w:rsid w:val="00A626CF"/>
    <w:rsid w:val="00A62A75"/>
    <w:rsid w:val="00A62B98"/>
    <w:rsid w:val="00A630FA"/>
    <w:rsid w:val="00A63150"/>
    <w:rsid w:val="00A631A5"/>
    <w:rsid w:val="00A639B5"/>
    <w:rsid w:val="00A63A58"/>
    <w:rsid w:val="00A64265"/>
    <w:rsid w:val="00A6499C"/>
    <w:rsid w:val="00A64BF1"/>
    <w:rsid w:val="00A64C50"/>
    <w:rsid w:val="00A64E67"/>
    <w:rsid w:val="00A6517F"/>
    <w:rsid w:val="00A651B7"/>
    <w:rsid w:val="00A658F4"/>
    <w:rsid w:val="00A65A74"/>
    <w:rsid w:val="00A65D1D"/>
    <w:rsid w:val="00A65F2A"/>
    <w:rsid w:val="00A6642B"/>
    <w:rsid w:val="00A6661F"/>
    <w:rsid w:val="00A66B86"/>
    <w:rsid w:val="00A66D7C"/>
    <w:rsid w:val="00A670FC"/>
    <w:rsid w:val="00A677D0"/>
    <w:rsid w:val="00A67BE5"/>
    <w:rsid w:val="00A67E6D"/>
    <w:rsid w:val="00A70251"/>
    <w:rsid w:val="00A70605"/>
    <w:rsid w:val="00A706B9"/>
    <w:rsid w:val="00A7075D"/>
    <w:rsid w:val="00A708DA"/>
    <w:rsid w:val="00A70B55"/>
    <w:rsid w:val="00A70B7D"/>
    <w:rsid w:val="00A71000"/>
    <w:rsid w:val="00A7138B"/>
    <w:rsid w:val="00A713BA"/>
    <w:rsid w:val="00A71793"/>
    <w:rsid w:val="00A71992"/>
    <w:rsid w:val="00A71A14"/>
    <w:rsid w:val="00A71A75"/>
    <w:rsid w:val="00A71E60"/>
    <w:rsid w:val="00A727C9"/>
    <w:rsid w:val="00A727FD"/>
    <w:rsid w:val="00A72A95"/>
    <w:rsid w:val="00A72E69"/>
    <w:rsid w:val="00A732CC"/>
    <w:rsid w:val="00A734AB"/>
    <w:rsid w:val="00A73BB6"/>
    <w:rsid w:val="00A73CA7"/>
    <w:rsid w:val="00A73DFF"/>
    <w:rsid w:val="00A73E17"/>
    <w:rsid w:val="00A73E1A"/>
    <w:rsid w:val="00A7407A"/>
    <w:rsid w:val="00A7475E"/>
    <w:rsid w:val="00A74CD0"/>
    <w:rsid w:val="00A74F9D"/>
    <w:rsid w:val="00A7519C"/>
    <w:rsid w:val="00A751A5"/>
    <w:rsid w:val="00A7524E"/>
    <w:rsid w:val="00A752CA"/>
    <w:rsid w:val="00A7530B"/>
    <w:rsid w:val="00A75499"/>
    <w:rsid w:val="00A7559C"/>
    <w:rsid w:val="00A75731"/>
    <w:rsid w:val="00A75870"/>
    <w:rsid w:val="00A75FED"/>
    <w:rsid w:val="00A7665A"/>
    <w:rsid w:val="00A7667A"/>
    <w:rsid w:val="00A76734"/>
    <w:rsid w:val="00A7678E"/>
    <w:rsid w:val="00A769ED"/>
    <w:rsid w:val="00A76BA3"/>
    <w:rsid w:val="00A772C7"/>
    <w:rsid w:val="00A779FD"/>
    <w:rsid w:val="00A77C0D"/>
    <w:rsid w:val="00A77CA8"/>
    <w:rsid w:val="00A801D0"/>
    <w:rsid w:val="00A80302"/>
    <w:rsid w:val="00A803AF"/>
    <w:rsid w:val="00A80717"/>
    <w:rsid w:val="00A80A9B"/>
    <w:rsid w:val="00A80D77"/>
    <w:rsid w:val="00A8169A"/>
    <w:rsid w:val="00A818E5"/>
    <w:rsid w:val="00A81D26"/>
    <w:rsid w:val="00A81D33"/>
    <w:rsid w:val="00A81E84"/>
    <w:rsid w:val="00A81FD6"/>
    <w:rsid w:val="00A824CF"/>
    <w:rsid w:val="00A824DB"/>
    <w:rsid w:val="00A826B4"/>
    <w:rsid w:val="00A82AAE"/>
    <w:rsid w:val="00A82B18"/>
    <w:rsid w:val="00A83093"/>
    <w:rsid w:val="00A830A1"/>
    <w:rsid w:val="00A83219"/>
    <w:rsid w:val="00A83251"/>
    <w:rsid w:val="00A83644"/>
    <w:rsid w:val="00A83845"/>
    <w:rsid w:val="00A839D1"/>
    <w:rsid w:val="00A83B91"/>
    <w:rsid w:val="00A83C80"/>
    <w:rsid w:val="00A8401C"/>
    <w:rsid w:val="00A84B58"/>
    <w:rsid w:val="00A84C43"/>
    <w:rsid w:val="00A84FAE"/>
    <w:rsid w:val="00A85255"/>
    <w:rsid w:val="00A85638"/>
    <w:rsid w:val="00A85695"/>
    <w:rsid w:val="00A8576C"/>
    <w:rsid w:val="00A85A74"/>
    <w:rsid w:val="00A85D4F"/>
    <w:rsid w:val="00A85F9A"/>
    <w:rsid w:val="00A8604C"/>
    <w:rsid w:val="00A862EA"/>
    <w:rsid w:val="00A86314"/>
    <w:rsid w:val="00A864F1"/>
    <w:rsid w:val="00A865FD"/>
    <w:rsid w:val="00A8666E"/>
    <w:rsid w:val="00A8667B"/>
    <w:rsid w:val="00A867D1"/>
    <w:rsid w:val="00A867E1"/>
    <w:rsid w:val="00A86A5C"/>
    <w:rsid w:val="00A86C77"/>
    <w:rsid w:val="00A8774A"/>
    <w:rsid w:val="00A87C23"/>
    <w:rsid w:val="00A87E28"/>
    <w:rsid w:val="00A87E53"/>
    <w:rsid w:val="00A9093E"/>
    <w:rsid w:val="00A90A5B"/>
    <w:rsid w:val="00A90DBD"/>
    <w:rsid w:val="00A90F24"/>
    <w:rsid w:val="00A9119F"/>
    <w:rsid w:val="00A9124C"/>
    <w:rsid w:val="00A919FB"/>
    <w:rsid w:val="00A91A28"/>
    <w:rsid w:val="00A91B7B"/>
    <w:rsid w:val="00A91C19"/>
    <w:rsid w:val="00A91CD9"/>
    <w:rsid w:val="00A92170"/>
    <w:rsid w:val="00A92228"/>
    <w:rsid w:val="00A922B1"/>
    <w:rsid w:val="00A9259A"/>
    <w:rsid w:val="00A92711"/>
    <w:rsid w:val="00A92791"/>
    <w:rsid w:val="00A9286F"/>
    <w:rsid w:val="00A928D6"/>
    <w:rsid w:val="00A930FD"/>
    <w:rsid w:val="00A937CB"/>
    <w:rsid w:val="00A9392D"/>
    <w:rsid w:val="00A93E6E"/>
    <w:rsid w:val="00A941A4"/>
    <w:rsid w:val="00A94648"/>
    <w:rsid w:val="00A94678"/>
    <w:rsid w:val="00A947D8"/>
    <w:rsid w:val="00A948C8"/>
    <w:rsid w:val="00A94E31"/>
    <w:rsid w:val="00A95118"/>
    <w:rsid w:val="00A95156"/>
    <w:rsid w:val="00A95255"/>
    <w:rsid w:val="00A952CD"/>
    <w:rsid w:val="00A95425"/>
    <w:rsid w:val="00A954A8"/>
    <w:rsid w:val="00A955A7"/>
    <w:rsid w:val="00A957D7"/>
    <w:rsid w:val="00A9601F"/>
    <w:rsid w:val="00A96089"/>
    <w:rsid w:val="00A96235"/>
    <w:rsid w:val="00A96275"/>
    <w:rsid w:val="00A96504"/>
    <w:rsid w:val="00A96BB5"/>
    <w:rsid w:val="00A96F71"/>
    <w:rsid w:val="00A97127"/>
    <w:rsid w:val="00A9778F"/>
    <w:rsid w:val="00A97AB0"/>
    <w:rsid w:val="00A97B2E"/>
    <w:rsid w:val="00A97CC2"/>
    <w:rsid w:val="00A97CDA"/>
    <w:rsid w:val="00A97E87"/>
    <w:rsid w:val="00A97FAC"/>
    <w:rsid w:val="00AA01CA"/>
    <w:rsid w:val="00AA0227"/>
    <w:rsid w:val="00AA02DD"/>
    <w:rsid w:val="00AA03AB"/>
    <w:rsid w:val="00AA0ACA"/>
    <w:rsid w:val="00AA0BC9"/>
    <w:rsid w:val="00AA117B"/>
    <w:rsid w:val="00AA17F4"/>
    <w:rsid w:val="00AA194F"/>
    <w:rsid w:val="00AA1FDB"/>
    <w:rsid w:val="00AA2047"/>
    <w:rsid w:val="00AA2381"/>
    <w:rsid w:val="00AA24C9"/>
    <w:rsid w:val="00AA2559"/>
    <w:rsid w:val="00AA26D3"/>
    <w:rsid w:val="00AA2B3F"/>
    <w:rsid w:val="00AA2BD9"/>
    <w:rsid w:val="00AA2FAE"/>
    <w:rsid w:val="00AA304A"/>
    <w:rsid w:val="00AA31C6"/>
    <w:rsid w:val="00AA33DB"/>
    <w:rsid w:val="00AA34A8"/>
    <w:rsid w:val="00AA37AC"/>
    <w:rsid w:val="00AA3B63"/>
    <w:rsid w:val="00AA3BD2"/>
    <w:rsid w:val="00AA41D7"/>
    <w:rsid w:val="00AA44ED"/>
    <w:rsid w:val="00AA463C"/>
    <w:rsid w:val="00AA48AB"/>
    <w:rsid w:val="00AA4DF4"/>
    <w:rsid w:val="00AA4E03"/>
    <w:rsid w:val="00AA4EF8"/>
    <w:rsid w:val="00AA5269"/>
    <w:rsid w:val="00AA5D40"/>
    <w:rsid w:val="00AA5DEC"/>
    <w:rsid w:val="00AA5E7D"/>
    <w:rsid w:val="00AA5EC4"/>
    <w:rsid w:val="00AA5EDF"/>
    <w:rsid w:val="00AA600E"/>
    <w:rsid w:val="00AA60F0"/>
    <w:rsid w:val="00AA63F4"/>
    <w:rsid w:val="00AA640C"/>
    <w:rsid w:val="00AA6615"/>
    <w:rsid w:val="00AA6ADF"/>
    <w:rsid w:val="00AA6EB9"/>
    <w:rsid w:val="00AA7115"/>
    <w:rsid w:val="00AA71D9"/>
    <w:rsid w:val="00AA7432"/>
    <w:rsid w:val="00AA7898"/>
    <w:rsid w:val="00AA78C8"/>
    <w:rsid w:val="00AA796C"/>
    <w:rsid w:val="00AA7E4E"/>
    <w:rsid w:val="00AB0058"/>
    <w:rsid w:val="00AB0D07"/>
    <w:rsid w:val="00AB118E"/>
    <w:rsid w:val="00AB140B"/>
    <w:rsid w:val="00AB152A"/>
    <w:rsid w:val="00AB15A0"/>
    <w:rsid w:val="00AB1699"/>
    <w:rsid w:val="00AB18F2"/>
    <w:rsid w:val="00AB1A7D"/>
    <w:rsid w:val="00AB1A97"/>
    <w:rsid w:val="00AB1BA6"/>
    <w:rsid w:val="00AB1C84"/>
    <w:rsid w:val="00AB2232"/>
    <w:rsid w:val="00AB23B0"/>
    <w:rsid w:val="00AB247C"/>
    <w:rsid w:val="00AB2546"/>
    <w:rsid w:val="00AB26A9"/>
    <w:rsid w:val="00AB30FA"/>
    <w:rsid w:val="00AB33B0"/>
    <w:rsid w:val="00AB3550"/>
    <w:rsid w:val="00AB3615"/>
    <w:rsid w:val="00AB36EC"/>
    <w:rsid w:val="00AB371F"/>
    <w:rsid w:val="00AB3A12"/>
    <w:rsid w:val="00AB3B2A"/>
    <w:rsid w:val="00AB3DAA"/>
    <w:rsid w:val="00AB3EB7"/>
    <w:rsid w:val="00AB3FF5"/>
    <w:rsid w:val="00AB4107"/>
    <w:rsid w:val="00AB411C"/>
    <w:rsid w:val="00AB41C3"/>
    <w:rsid w:val="00AB4466"/>
    <w:rsid w:val="00AB4766"/>
    <w:rsid w:val="00AB477D"/>
    <w:rsid w:val="00AB4B4D"/>
    <w:rsid w:val="00AB4DB7"/>
    <w:rsid w:val="00AB4FCE"/>
    <w:rsid w:val="00AB500E"/>
    <w:rsid w:val="00AB5304"/>
    <w:rsid w:val="00AB5427"/>
    <w:rsid w:val="00AB5554"/>
    <w:rsid w:val="00AB5F39"/>
    <w:rsid w:val="00AB615B"/>
    <w:rsid w:val="00AB6C81"/>
    <w:rsid w:val="00AB6D5E"/>
    <w:rsid w:val="00AB7064"/>
    <w:rsid w:val="00AB70CB"/>
    <w:rsid w:val="00AB7310"/>
    <w:rsid w:val="00AB73AF"/>
    <w:rsid w:val="00AB7936"/>
    <w:rsid w:val="00AB7941"/>
    <w:rsid w:val="00AB7B56"/>
    <w:rsid w:val="00AB7B65"/>
    <w:rsid w:val="00AC05F0"/>
    <w:rsid w:val="00AC09D2"/>
    <w:rsid w:val="00AC0BAE"/>
    <w:rsid w:val="00AC0C94"/>
    <w:rsid w:val="00AC0E74"/>
    <w:rsid w:val="00AC1450"/>
    <w:rsid w:val="00AC14A9"/>
    <w:rsid w:val="00AC187D"/>
    <w:rsid w:val="00AC1B7A"/>
    <w:rsid w:val="00AC228F"/>
    <w:rsid w:val="00AC24B7"/>
    <w:rsid w:val="00AC2612"/>
    <w:rsid w:val="00AC28F1"/>
    <w:rsid w:val="00AC2CA4"/>
    <w:rsid w:val="00AC2D10"/>
    <w:rsid w:val="00AC366E"/>
    <w:rsid w:val="00AC3847"/>
    <w:rsid w:val="00AC3906"/>
    <w:rsid w:val="00AC39F7"/>
    <w:rsid w:val="00AC3EE9"/>
    <w:rsid w:val="00AC40F8"/>
    <w:rsid w:val="00AC41CF"/>
    <w:rsid w:val="00AC4348"/>
    <w:rsid w:val="00AC44B3"/>
    <w:rsid w:val="00AC44FE"/>
    <w:rsid w:val="00AC4729"/>
    <w:rsid w:val="00AC4D5C"/>
    <w:rsid w:val="00AC4F78"/>
    <w:rsid w:val="00AC50B7"/>
    <w:rsid w:val="00AC54C7"/>
    <w:rsid w:val="00AC56D0"/>
    <w:rsid w:val="00AC58A3"/>
    <w:rsid w:val="00AC5BB9"/>
    <w:rsid w:val="00AC5D59"/>
    <w:rsid w:val="00AC5DC3"/>
    <w:rsid w:val="00AC5E81"/>
    <w:rsid w:val="00AC5F91"/>
    <w:rsid w:val="00AC5F99"/>
    <w:rsid w:val="00AC631E"/>
    <w:rsid w:val="00AC6439"/>
    <w:rsid w:val="00AC6642"/>
    <w:rsid w:val="00AC673D"/>
    <w:rsid w:val="00AC6E27"/>
    <w:rsid w:val="00AC730B"/>
    <w:rsid w:val="00AC739F"/>
    <w:rsid w:val="00AC775B"/>
    <w:rsid w:val="00AC7802"/>
    <w:rsid w:val="00AC7BC6"/>
    <w:rsid w:val="00AC7DC0"/>
    <w:rsid w:val="00AC7F41"/>
    <w:rsid w:val="00AC7F85"/>
    <w:rsid w:val="00AD02BB"/>
    <w:rsid w:val="00AD076D"/>
    <w:rsid w:val="00AD0844"/>
    <w:rsid w:val="00AD09A5"/>
    <w:rsid w:val="00AD0BF0"/>
    <w:rsid w:val="00AD0D5A"/>
    <w:rsid w:val="00AD0E88"/>
    <w:rsid w:val="00AD103A"/>
    <w:rsid w:val="00AD108A"/>
    <w:rsid w:val="00AD11A1"/>
    <w:rsid w:val="00AD125C"/>
    <w:rsid w:val="00AD1573"/>
    <w:rsid w:val="00AD18D3"/>
    <w:rsid w:val="00AD1D24"/>
    <w:rsid w:val="00AD1DED"/>
    <w:rsid w:val="00AD2258"/>
    <w:rsid w:val="00AD22E5"/>
    <w:rsid w:val="00AD22FF"/>
    <w:rsid w:val="00AD23B7"/>
    <w:rsid w:val="00AD25A6"/>
    <w:rsid w:val="00AD2A10"/>
    <w:rsid w:val="00AD3289"/>
    <w:rsid w:val="00AD403B"/>
    <w:rsid w:val="00AD4387"/>
    <w:rsid w:val="00AD440C"/>
    <w:rsid w:val="00AD46A5"/>
    <w:rsid w:val="00AD48D7"/>
    <w:rsid w:val="00AD4C57"/>
    <w:rsid w:val="00AD4CC3"/>
    <w:rsid w:val="00AD4D73"/>
    <w:rsid w:val="00AD5057"/>
    <w:rsid w:val="00AD5168"/>
    <w:rsid w:val="00AD5270"/>
    <w:rsid w:val="00AD5877"/>
    <w:rsid w:val="00AD5A3A"/>
    <w:rsid w:val="00AD5A52"/>
    <w:rsid w:val="00AD5C42"/>
    <w:rsid w:val="00AD5D19"/>
    <w:rsid w:val="00AD5D1B"/>
    <w:rsid w:val="00AD5F3B"/>
    <w:rsid w:val="00AD60BE"/>
    <w:rsid w:val="00AD6243"/>
    <w:rsid w:val="00AD6341"/>
    <w:rsid w:val="00AD6574"/>
    <w:rsid w:val="00AD6AE6"/>
    <w:rsid w:val="00AD6CE9"/>
    <w:rsid w:val="00AD6F3A"/>
    <w:rsid w:val="00AD7796"/>
    <w:rsid w:val="00AD77CB"/>
    <w:rsid w:val="00AD7DC3"/>
    <w:rsid w:val="00AE00F9"/>
    <w:rsid w:val="00AE037A"/>
    <w:rsid w:val="00AE05C4"/>
    <w:rsid w:val="00AE0C59"/>
    <w:rsid w:val="00AE0D13"/>
    <w:rsid w:val="00AE0EBC"/>
    <w:rsid w:val="00AE0F1E"/>
    <w:rsid w:val="00AE0F78"/>
    <w:rsid w:val="00AE15FB"/>
    <w:rsid w:val="00AE1658"/>
    <w:rsid w:val="00AE1B3F"/>
    <w:rsid w:val="00AE22D1"/>
    <w:rsid w:val="00AE23A1"/>
    <w:rsid w:val="00AE2401"/>
    <w:rsid w:val="00AE25EB"/>
    <w:rsid w:val="00AE25F2"/>
    <w:rsid w:val="00AE2AF8"/>
    <w:rsid w:val="00AE2B2B"/>
    <w:rsid w:val="00AE2FC4"/>
    <w:rsid w:val="00AE3166"/>
    <w:rsid w:val="00AE324E"/>
    <w:rsid w:val="00AE330B"/>
    <w:rsid w:val="00AE3631"/>
    <w:rsid w:val="00AE3715"/>
    <w:rsid w:val="00AE37E7"/>
    <w:rsid w:val="00AE381E"/>
    <w:rsid w:val="00AE3880"/>
    <w:rsid w:val="00AE38DA"/>
    <w:rsid w:val="00AE3996"/>
    <w:rsid w:val="00AE39F3"/>
    <w:rsid w:val="00AE3B1B"/>
    <w:rsid w:val="00AE3D60"/>
    <w:rsid w:val="00AE3E26"/>
    <w:rsid w:val="00AE3FAB"/>
    <w:rsid w:val="00AE408E"/>
    <w:rsid w:val="00AE42C9"/>
    <w:rsid w:val="00AE4864"/>
    <w:rsid w:val="00AE49CB"/>
    <w:rsid w:val="00AE4FCF"/>
    <w:rsid w:val="00AE52DE"/>
    <w:rsid w:val="00AE53C4"/>
    <w:rsid w:val="00AE557F"/>
    <w:rsid w:val="00AE57C8"/>
    <w:rsid w:val="00AE5815"/>
    <w:rsid w:val="00AE599E"/>
    <w:rsid w:val="00AE59F9"/>
    <w:rsid w:val="00AE5DFD"/>
    <w:rsid w:val="00AE6698"/>
    <w:rsid w:val="00AE66C1"/>
    <w:rsid w:val="00AE6739"/>
    <w:rsid w:val="00AE67EA"/>
    <w:rsid w:val="00AE6AB1"/>
    <w:rsid w:val="00AE6B5F"/>
    <w:rsid w:val="00AE6B9A"/>
    <w:rsid w:val="00AE6C74"/>
    <w:rsid w:val="00AE6CF7"/>
    <w:rsid w:val="00AE6DA3"/>
    <w:rsid w:val="00AE74D5"/>
    <w:rsid w:val="00AE783D"/>
    <w:rsid w:val="00AE7C57"/>
    <w:rsid w:val="00AE7DB0"/>
    <w:rsid w:val="00AE7DBA"/>
    <w:rsid w:val="00AE7DC5"/>
    <w:rsid w:val="00AF0060"/>
    <w:rsid w:val="00AF0E84"/>
    <w:rsid w:val="00AF0F4D"/>
    <w:rsid w:val="00AF11C1"/>
    <w:rsid w:val="00AF15DB"/>
    <w:rsid w:val="00AF171D"/>
    <w:rsid w:val="00AF1963"/>
    <w:rsid w:val="00AF1C87"/>
    <w:rsid w:val="00AF1D5C"/>
    <w:rsid w:val="00AF1F2C"/>
    <w:rsid w:val="00AF2445"/>
    <w:rsid w:val="00AF2720"/>
    <w:rsid w:val="00AF2A69"/>
    <w:rsid w:val="00AF2F88"/>
    <w:rsid w:val="00AF3332"/>
    <w:rsid w:val="00AF3583"/>
    <w:rsid w:val="00AF36DE"/>
    <w:rsid w:val="00AF3A35"/>
    <w:rsid w:val="00AF3CE2"/>
    <w:rsid w:val="00AF47F4"/>
    <w:rsid w:val="00AF483A"/>
    <w:rsid w:val="00AF4A98"/>
    <w:rsid w:val="00AF4D2B"/>
    <w:rsid w:val="00AF4FB6"/>
    <w:rsid w:val="00AF4FB8"/>
    <w:rsid w:val="00AF53EA"/>
    <w:rsid w:val="00AF5489"/>
    <w:rsid w:val="00AF55D3"/>
    <w:rsid w:val="00AF57F0"/>
    <w:rsid w:val="00AF584B"/>
    <w:rsid w:val="00AF5AB0"/>
    <w:rsid w:val="00AF5CDA"/>
    <w:rsid w:val="00AF60E9"/>
    <w:rsid w:val="00AF6296"/>
    <w:rsid w:val="00AF6459"/>
    <w:rsid w:val="00AF67A6"/>
    <w:rsid w:val="00AF6CD4"/>
    <w:rsid w:val="00AF7206"/>
    <w:rsid w:val="00AF72F1"/>
    <w:rsid w:val="00AF74B0"/>
    <w:rsid w:val="00AF7650"/>
    <w:rsid w:val="00AF76BF"/>
    <w:rsid w:val="00AF7F61"/>
    <w:rsid w:val="00B000E2"/>
    <w:rsid w:val="00B0023B"/>
    <w:rsid w:val="00B00588"/>
    <w:rsid w:val="00B00BE3"/>
    <w:rsid w:val="00B00CBA"/>
    <w:rsid w:val="00B00CBE"/>
    <w:rsid w:val="00B00E2A"/>
    <w:rsid w:val="00B00E4F"/>
    <w:rsid w:val="00B01559"/>
    <w:rsid w:val="00B01697"/>
    <w:rsid w:val="00B018CB"/>
    <w:rsid w:val="00B01A9D"/>
    <w:rsid w:val="00B01F31"/>
    <w:rsid w:val="00B02390"/>
    <w:rsid w:val="00B023A3"/>
    <w:rsid w:val="00B02574"/>
    <w:rsid w:val="00B02667"/>
    <w:rsid w:val="00B0270F"/>
    <w:rsid w:val="00B02721"/>
    <w:rsid w:val="00B029EB"/>
    <w:rsid w:val="00B02C26"/>
    <w:rsid w:val="00B02CD5"/>
    <w:rsid w:val="00B02E88"/>
    <w:rsid w:val="00B03386"/>
    <w:rsid w:val="00B033E9"/>
    <w:rsid w:val="00B036F9"/>
    <w:rsid w:val="00B038DC"/>
    <w:rsid w:val="00B03959"/>
    <w:rsid w:val="00B039DC"/>
    <w:rsid w:val="00B03A23"/>
    <w:rsid w:val="00B044E4"/>
    <w:rsid w:val="00B046B1"/>
    <w:rsid w:val="00B04B2E"/>
    <w:rsid w:val="00B04F53"/>
    <w:rsid w:val="00B05053"/>
    <w:rsid w:val="00B051AE"/>
    <w:rsid w:val="00B05415"/>
    <w:rsid w:val="00B0553F"/>
    <w:rsid w:val="00B05713"/>
    <w:rsid w:val="00B05919"/>
    <w:rsid w:val="00B05934"/>
    <w:rsid w:val="00B059E0"/>
    <w:rsid w:val="00B05A39"/>
    <w:rsid w:val="00B05BC9"/>
    <w:rsid w:val="00B05DC9"/>
    <w:rsid w:val="00B05EC6"/>
    <w:rsid w:val="00B05F3D"/>
    <w:rsid w:val="00B05F5C"/>
    <w:rsid w:val="00B05F88"/>
    <w:rsid w:val="00B06170"/>
    <w:rsid w:val="00B064A1"/>
    <w:rsid w:val="00B065CA"/>
    <w:rsid w:val="00B06B04"/>
    <w:rsid w:val="00B06B1E"/>
    <w:rsid w:val="00B06D42"/>
    <w:rsid w:val="00B0710A"/>
    <w:rsid w:val="00B07294"/>
    <w:rsid w:val="00B072D1"/>
    <w:rsid w:val="00B07439"/>
    <w:rsid w:val="00B077D3"/>
    <w:rsid w:val="00B1028A"/>
    <w:rsid w:val="00B1033E"/>
    <w:rsid w:val="00B10779"/>
    <w:rsid w:val="00B1081D"/>
    <w:rsid w:val="00B10EB8"/>
    <w:rsid w:val="00B10F08"/>
    <w:rsid w:val="00B113D8"/>
    <w:rsid w:val="00B11717"/>
    <w:rsid w:val="00B11742"/>
    <w:rsid w:val="00B120E7"/>
    <w:rsid w:val="00B12213"/>
    <w:rsid w:val="00B122AC"/>
    <w:rsid w:val="00B123C7"/>
    <w:rsid w:val="00B12598"/>
    <w:rsid w:val="00B1269D"/>
    <w:rsid w:val="00B127BB"/>
    <w:rsid w:val="00B12969"/>
    <w:rsid w:val="00B12B48"/>
    <w:rsid w:val="00B12B8B"/>
    <w:rsid w:val="00B12B8E"/>
    <w:rsid w:val="00B12C94"/>
    <w:rsid w:val="00B12D6D"/>
    <w:rsid w:val="00B131DA"/>
    <w:rsid w:val="00B13300"/>
    <w:rsid w:val="00B13336"/>
    <w:rsid w:val="00B13541"/>
    <w:rsid w:val="00B137AE"/>
    <w:rsid w:val="00B13C1B"/>
    <w:rsid w:val="00B13DA8"/>
    <w:rsid w:val="00B13E7E"/>
    <w:rsid w:val="00B143E7"/>
    <w:rsid w:val="00B14832"/>
    <w:rsid w:val="00B14B7C"/>
    <w:rsid w:val="00B14EEC"/>
    <w:rsid w:val="00B14F28"/>
    <w:rsid w:val="00B15695"/>
    <w:rsid w:val="00B15A0B"/>
    <w:rsid w:val="00B15A2D"/>
    <w:rsid w:val="00B15E40"/>
    <w:rsid w:val="00B15E61"/>
    <w:rsid w:val="00B15ED2"/>
    <w:rsid w:val="00B1614C"/>
    <w:rsid w:val="00B16518"/>
    <w:rsid w:val="00B1659B"/>
    <w:rsid w:val="00B1661B"/>
    <w:rsid w:val="00B16C73"/>
    <w:rsid w:val="00B16EAA"/>
    <w:rsid w:val="00B16F67"/>
    <w:rsid w:val="00B171E4"/>
    <w:rsid w:val="00B172BC"/>
    <w:rsid w:val="00B17344"/>
    <w:rsid w:val="00B1747D"/>
    <w:rsid w:val="00B1762F"/>
    <w:rsid w:val="00B17CA8"/>
    <w:rsid w:val="00B2041D"/>
    <w:rsid w:val="00B20A40"/>
    <w:rsid w:val="00B20B20"/>
    <w:rsid w:val="00B20FA5"/>
    <w:rsid w:val="00B2124A"/>
    <w:rsid w:val="00B21278"/>
    <w:rsid w:val="00B214AD"/>
    <w:rsid w:val="00B218EF"/>
    <w:rsid w:val="00B21969"/>
    <w:rsid w:val="00B21F17"/>
    <w:rsid w:val="00B221F9"/>
    <w:rsid w:val="00B2259E"/>
    <w:rsid w:val="00B226D6"/>
    <w:rsid w:val="00B22BAC"/>
    <w:rsid w:val="00B22E44"/>
    <w:rsid w:val="00B22EC9"/>
    <w:rsid w:val="00B22FA9"/>
    <w:rsid w:val="00B233AB"/>
    <w:rsid w:val="00B23449"/>
    <w:rsid w:val="00B234A9"/>
    <w:rsid w:val="00B23650"/>
    <w:rsid w:val="00B23E36"/>
    <w:rsid w:val="00B23F33"/>
    <w:rsid w:val="00B24194"/>
    <w:rsid w:val="00B24196"/>
    <w:rsid w:val="00B24246"/>
    <w:rsid w:val="00B242D7"/>
    <w:rsid w:val="00B249D5"/>
    <w:rsid w:val="00B24C64"/>
    <w:rsid w:val="00B24E1F"/>
    <w:rsid w:val="00B250C6"/>
    <w:rsid w:val="00B25242"/>
    <w:rsid w:val="00B252F3"/>
    <w:rsid w:val="00B25551"/>
    <w:rsid w:val="00B25745"/>
    <w:rsid w:val="00B25A89"/>
    <w:rsid w:val="00B25EC2"/>
    <w:rsid w:val="00B25F45"/>
    <w:rsid w:val="00B260DF"/>
    <w:rsid w:val="00B26144"/>
    <w:rsid w:val="00B261F0"/>
    <w:rsid w:val="00B26316"/>
    <w:rsid w:val="00B267B0"/>
    <w:rsid w:val="00B26801"/>
    <w:rsid w:val="00B26D6C"/>
    <w:rsid w:val="00B26E16"/>
    <w:rsid w:val="00B26ED6"/>
    <w:rsid w:val="00B26F98"/>
    <w:rsid w:val="00B27047"/>
    <w:rsid w:val="00B2708D"/>
    <w:rsid w:val="00B270C0"/>
    <w:rsid w:val="00B27418"/>
    <w:rsid w:val="00B276FC"/>
    <w:rsid w:val="00B27B8A"/>
    <w:rsid w:val="00B27DCD"/>
    <w:rsid w:val="00B27EA7"/>
    <w:rsid w:val="00B27FB8"/>
    <w:rsid w:val="00B27FC2"/>
    <w:rsid w:val="00B3003E"/>
    <w:rsid w:val="00B30974"/>
    <w:rsid w:val="00B30C03"/>
    <w:rsid w:val="00B30E4E"/>
    <w:rsid w:val="00B30F48"/>
    <w:rsid w:val="00B3103F"/>
    <w:rsid w:val="00B314FA"/>
    <w:rsid w:val="00B317E3"/>
    <w:rsid w:val="00B317EB"/>
    <w:rsid w:val="00B31833"/>
    <w:rsid w:val="00B318B3"/>
    <w:rsid w:val="00B31914"/>
    <w:rsid w:val="00B31F52"/>
    <w:rsid w:val="00B3218E"/>
    <w:rsid w:val="00B322E5"/>
    <w:rsid w:val="00B325F9"/>
    <w:rsid w:val="00B32F34"/>
    <w:rsid w:val="00B33115"/>
    <w:rsid w:val="00B331F6"/>
    <w:rsid w:val="00B33268"/>
    <w:rsid w:val="00B3327C"/>
    <w:rsid w:val="00B33619"/>
    <w:rsid w:val="00B33AC9"/>
    <w:rsid w:val="00B33BB0"/>
    <w:rsid w:val="00B33D37"/>
    <w:rsid w:val="00B33DE6"/>
    <w:rsid w:val="00B33ED1"/>
    <w:rsid w:val="00B3420D"/>
    <w:rsid w:val="00B34337"/>
    <w:rsid w:val="00B345CC"/>
    <w:rsid w:val="00B346BE"/>
    <w:rsid w:val="00B34959"/>
    <w:rsid w:val="00B34B12"/>
    <w:rsid w:val="00B34B72"/>
    <w:rsid w:val="00B34C9B"/>
    <w:rsid w:val="00B34CCD"/>
    <w:rsid w:val="00B34E0D"/>
    <w:rsid w:val="00B34F5F"/>
    <w:rsid w:val="00B34F83"/>
    <w:rsid w:val="00B358E9"/>
    <w:rsid w:val="00B35970"/>
    <w:rsid w:val="00B35C76"/>
    <w:rsid w:val="00B360AE"/>
    <w:rsid w:val="00B364DA"/>
    <w:rsid w:val="00B36518"/>
    <w:rsid w:val="00B365C4"/>
    <w:rsid w:val="00B36630"/>
    <w:rsid w:val="00B37094"/>
    <w:rsid w:val="00B370B2"/>
    <w:rsid w:val="00B371B2"/>
    <w:rsid w:val="00B37591"/>
    <w:rsid w:val="00B375DC"/>
    <w:rsid w:val="00B375DF"/>
    <w:rsid w:val="00B37839"/>
    <w:rsid w:val="00B37861"/>
    <w:rsid w:val="00B37DB6"/>
    <w:rsid w:val="00B37E12"/>
    <w:rsid w:val="00B37FE9"/>
    <w:rsid w:val="00B40576"/>
    <w:rsid w:val="00B40684"/>
    <w:rsid w:val="00B40AA0"/>
    <w:rsid w:val="00B40EA3"/>
    <w:rsid w:val="00B41109"/>
    <w:rsid w:val="00B41193"/>
    <w:rsid w:val="00B414AF"/>
    <w:rsid w:val="00B416BE"/>
    <w:rsid w:val="00B4181F"/>
    <w:rsid w:val="00B418B1"/>
    <w:rsid w:val="00B41C81"/>
    <w:rsid w:val="00B41CD9"/>
    <w:rsid w:val="00B41F35"/>
    <w:rsid w:val="00B41F90"/>
    <w:rsid w:val="00B42076"/>
    <w:rsid w:val="00B4263D"/>
    <w:rsid w:val="00B42685"/>
    <w:rsid w:val="00B42729"/>
    <w:rsid w:val="00B42BD8"/>
    <w:rsid w:val="00B42C43"/>
    <w:rsid w:val="00B42C6F"/>
    <w:rsid w:val="00B42D0E"/>
    <w:rsid w:val="00B42ED5"/>
    <w:rsid w:val="00B42ED8"/>
    <w:rsid w:val="00B42F0E"/>
    <w:rsid w:val="00B42F12"/>
    <w:rsid w:val="00B42FBF"/>
    <w:rsid w:val="00B4321E"/>
    <w:rsid w:val="00B4341C"/>
    <w:rsid w:val="00B437B1"/>
    <w:rsid w:val="00B439C2"/>
    <w:rsid w:val="00B43B24"/>
    <w:rsid w:val="00B44E63"/>
    <w:rsid w:val="00B44F0E"/>
    <w:rsid w:val="00B4503E"/>
    <w:rsid w:val="00B4533E"/>
    <w:rsid w:val="00B45C82"/>
    <w:rsid w:val="00B45EC2"/>
    <w:rsid w:val="00B45FD2"/>
    <w:rsid w:val="00B4603A"/>
    <w:rsid w:val="00B4683A"/>
    <w:rsid w:val="00B46B7D"/>
    <w:rsid w:val="00B46D30"/>
    <w:rsid w:val="00B46EBB"/>
    <w:rsid w:val="00B474C3"/>
    <w:rsid w:val="00B47842"/>
    <w:rsid w:val="00B4792E"/>
    <w:rsid w:val="00B479F0"/>
    <w:rsid w:val="00B50279"/>
    <w:rsid w:val="00B50430"/>
    <w:rsid w:val="00B5054E"/>
    <w:rsid w:val="00B50842"/>
    <w:rsid w:val="00B509D6"/>
    <w:rsid w:val="00B50C7E"/>
    <w:rsid w:val="00B50D13"/>
    <w:rsid w:val="00B50E6A"/>
    <w:rsid w:val="00B50F20"/>
    <w:rsid w:val="00B512F4"/>
    <w:rsid w:val="00B513C4"/>
    <w:rsid w:val="00B513EE"/>
    <w:rsid w:val="00B51460"/>
    <w:rsid w:val="00B51549"/>
    <w:rsid w:val="00B51D1B"/>
    <w:rsid w:val="00B51D25"/>
    <w:rsid w:val="00B52007"/>
    <w:rsid w:val="00B52587"/>
    <w:rsid w:val="00B525B5"/>
    <w:rsid w:val="00B527A4"/>
    <w:rsid w:val="00B527D2"/>
    <w:rsid w:val="00B528A1"/>
    <w:rsid w:val="00B5294F"/>
    <w:rsid w:val="00B52B3F"/>
    <w:rsid w:val="00B52DA8"/>
    <w:rsid w:val="00B53041"/>
    <w:rsid w:val="00B53055"/>
    <w:rsid w:val="00B53221"/>
    <w:rsid w:val="00B53502"/>
    <w:rsid w:val="00B535D9"/>
    <w:rsid w:val="00B53940"/>
    <w:rsid w:val="00B53995"/>
    <w:rsid w:val="00B53B28"/>
    <w:rsid w:val="00B53E6B"/>
    <w:rsid w:val="00B54109"/>
    <w:rsid w:val="00B548B2"/>
    <w:rsid w:val="00B54D45"/>
    <w:rsid w:val="00B550B8"/>
    <w:rsid w:val="00B5539A"/>
    <w:rsid w:val="00B55566"/>
    <w:rsid w:val="00B55751"/>
    <w:rsid w:val="00B558C7"/>
    <w:rsid w:val="00B55AFB"/>
    <w:rsid w:val="00B55DCA"/>
    <w:rsid w:val="00B55E29"/>
    <w:rsid w:val="00B55E3A"/>
    <w:rsid w:val="00B55FCB"/>
    <w:rsid w:val="00B55FE8"/>
    <w:rsid w:val="00B5626C"/>
    <w:rsid w:val="00B563DF"/>
    <w:rsid w:val="00B5682A"/>
    <w:rsid w:val="00B5685E"/>
    <w:rsid w:val="00B57418"/>
    <w:rsid w:val="00B574AF"/>
    <w:rsid w:val="00B57708"/>
    <w:rsid w:val="00B577A0"/>
    <w:rsid w:val="00B578FE"/>
    <w:rsid w:val="00B57A91"/>
    <w:rsid w:val="00B57ADE"/>
    <w:rsid w:val="00B57B53"/>
    <w:rsid w:val="00B57CDA"/>
    <w:rsid w:val="00B60567"/>
    <w:rsid w:val="00B6057B"/>
    <w:rsid w:val="00B6067C"/>
    <w:rsid w:val="00B60730"/>
    <w:rsid w:val="00B60823"/>
    <w:rsid w:val="00B6089A"/>
    <w:rsid w:val="00B609A3"/>
    <w:rsid w:val="00B60BE9"/>
    <w:rsid w:val="00B60EF2"/>
    <w:rsid w:val="00B6140A"/>
    <w:rsid w:val="00B6162A"/>
    <w:rsid w:val="00B61713"/>
    <w:rsid w:val="00B619AD"/>
    <w:rsid w:val="00B61FBD"/>
    <w:rsid w:val="00B62184"/>
    <w:rsid w:val="00B622B1"/>
    <w:rsid w:val="00B62428"/>
    <w:rsid w:val="00B624BE"/>
    <w:rsid w:val="00B624F4"/>
    <w:rsid w:val="00B6255A"/>
    <w:rsid w:val="00B62AAB"/>
    <w:rsid w:val="00B62B0A"/>
    <w:rsid w:val="00B62B1F"/>
    <w:rsid w:val="00B62DEC"/>
    <w:rsid w:val="00B62FD8"/>
    <w:rsid w:val="00B6317A"/>
    <w:rsid w:val="00B637EF"/>
    <w:rsid w:val="00B637FF"/>
    <w:rsid w:val="00B639F6"/>
    <w:rsid w:val="00B6401F"/>
    <w:rsid w:val="00B64119"/>
    <w:rsid w:val="00B642DF"/>
    <w:rsid w:val="00B64386"/>
    <w:rsid w:val="00B6455E"/>
    <w:rsid w:val="00B64C0A"/>
    <w:rsid w:val="00B64D04"/>
    <w:rsid w:val="00B65373"/>
    <w:rsid w:val="00B65795"/>
    <w:rsid w:val="00B657A9"/>
    <w:rsid w:val="00B65999"/>
    <w:rsid w:val="00B65BDC"/>
    <w:rsid w:val="00B65C36"/>
    <w:rsid w:val="00B65F84"/>
    <w:rsid w:val="00B665A8"/>
    <w:rsid w:val="00B66619"/>
    <w:rsid w:val="00B666D7"/>
    <w:rsid w:val="00B66A02"/>
    <w:rsid w:val="00B66B0F"/>
    <w:rsid w:val="00B66EC8"/>
    <w:rsid w:val="00B67343"/>
    <w:rsid w:val="00B67655"/>
    <w:rsid w:val="00B67BDC"/>
    <w:rsid w:val="00B67C60"/>
    <w:rsid w:val="00B67C8D"/>
    <w:rsid w:val="00B67E03"/>
    <w:rsid w:val="00B701F1"/>
    <w:rsid w:val="00B70278"/>
    <w:rsid w:val="00B707F5"/>
    <w:rsid w:val="00B7080E"/>
    <w:rsid w:val="00B710B2"/>
    <w:rsid w:val="00B711D5"/>
    <w:rsid w:val="00B7163F"/>
    <w:rsid w:val="00B717C5"/>
    <w:rsid w:val="00B717D3"/>
    <w:rsid w:val="00B718B3"/>
    <w:rsid w:val="00B71EEA"/>
    <w:rsid w:val="00B71FA6"/>
    <w:rsid w:val="00B720B4"/>
    <w:rsid w:val="00B72185"/>
    <w:rsid w:val="00B7247E"/>
    <w:rsid w:val="00B7270A"/>
    <w:rsid w:val="00B72817"/>
    <w:rsid w:val="00B72B8C"/>
    <w:rsid w:val="00B72CDE"/>
    <w:rsid w:val="00B72F7E"/>
    <w:rsid w:val="00B72F9E"/>
    <w:rsid w:val="00B730BE"/>
    <w:rsid w:val="00B732E2"/>
    <w:rsid w:val="00B73334"/>
    <w:rsid w:val="00B735E3"/>
    <w:rsid w:val="00B73AAB"/>
    <w:rsid w:val="00B73CC4"/>
    <w:rsid w:val="00B73D90"/>
    <w:rsid w:val="00B744F6"/>
    <w:rsid w:val="00B74528"/>
    <w:rsid w:val="00B74A29"/>
    <w:rsid w:val="00B74FFD"/>
    <w:rsid w:val="00B752E8"/>
    <w:rsid w:val="00B757EC"/>
    <w:rsid w:val="00B7581D"/>
    <w:rsid w:val="00B758C5"/>
    <w:rsid w:val="00B75B0F"/>
    <w:rsid w:val="00B75D38"/>
    <w:rsid w:val="00B7608F"/>
    <w:rsid w:val="00B76125"/>
    <w:rsid w:val="00B76264"/>
    <w:rsid w:val="00B76353"/>
    <w:rsid w:val="00B7648D"/>
    <w:rsid w:val="00B76A65"/>
    <w:rsid w:val="00B76D19"/>
    <w:rsid w:val="00B76FFE"/>
    <w:rsid w:val="00B7703A"/>
    <w:rsid w:val="00B77076"/>
    <w:rsid w:val="00B770B4"/>
    <w:rsid w:val="00B772D0"/>
    <w:rsid w:val="00B775FA"/>
    <w:rsid w:val="00B77704"/>
    <w:rsid w:val="00B77929"/>
    <w:rsid w:val="00B77DEE"/>
    <w:rsid w:val="00B80258"/>
    <w:rsid w:val="00B8065E"/>
    <w:rsid w:val="00B8083F"/>
    <w:rsid w:val="00B8085D"/>
    <w:rsid w:val="00B809F5"/>
    <w:rsid w:val="00B80F27"/>
    <w:rsid w:val="00B811FB"/>
    <w:rsid w:val="00B81268"/>
    <w:rsid w:val="00B81869"/>
    <w:rsid w:val="00B81BE4"/>
    <w:rsid w:val="00B81C02"/>
    <w:rsid w:val="00B81C1C"/>
    <w:rsid w:val="00B81C31"/>
    <w:rsid w:val="00B82167"/>
    <w:rsid w:val="00B82641"/>
    <w:rsid w:val="00B82D53"/>
    <w:rsid w:val="00B82F94"/>
    <w:rsid w:val="00B83326"/>
    <w:rsid w:val="00B834F8"/>
    <w:rsid w:val="00B83612"/>
    <w:rsid w:val="00B83717"/>
    <w:rsid w:val="00B83A51"/>
    <w:rsid w:val="00B83AC4"/>
    <w:rsid w:val="00B83C3F"/>
    <w:rsid w:val="00B83EF1"/>
    <w:rsid w:val="00B83F3F"/>
    <w:rsid w:val="00B840C0"/>
    <w:rsid w:val="00B846E8"/>
    <w:rsid w:val="00B8498F"/>
    <w:rsid w:val="00B849AA"/>
    <w:rsid w:val="00B85064"/>
    <w:rsid w:val="00B854EF"/>
    <w:rsid w:val="00B85951"/>
    <w:rsid w:val="00B85AF9"/>
    <w:rsid w:val="00B85EB7"/>
    <w:rsid w:val="00B85FA0"/>
    <w:rsid w:val="00B86018"/>
    <w:rsid w:val="00B8614B"/>
    <w:rsid w:val="00B8618B"/>
    <w:rsid w:val="00B86192"/>
    <w:rsid w:val="00B869E4"/>
    <w:rsid w:val="00B86B3A"/>
    <w:rsid w:val="00B86C10"/>
    <w:rsid w:val="00B86CD5"/>
    <w:rsid w:val="00B86ED7"/>
    <w:rsid w:val="00B87446"/>
    <w:rsid w:val="00B877D2"/>
    <w:rsid w:val="00B87ADA"/>
    <w:rsid w:val="00B87CDA"/>
    <w:rsid w:val="00B87D83"/>
    <w:rsid w:val="00B902DD"/>
    <w:rsid w:val="00B90615"/>
    <w:rsid w:val="00B906A9"/>
    <w:rsid w:val="00B90D7C"/>
    <w:rsid w:val="00B90E65"/>
    <w:rsid w:val="00B90E6D"/>
    <w:rsid w:val="00B90F68"/>
    <w:rsid w:val="00B9127A"/>
    <w:rsid w:val="00B91369"/>
    <w:rsid w:val="00B9186C"/>
    <w:rsid w:val="00B918C2"/>
    <w:rsid w:val="00B91D68"/>
    <w:rsid w:val="00B91F73"/>
    <w:rsid w:val="00B9212B"/>
    <w:rsid w:val="00B921DA"/>
    <w:rsid w:val="00B928EE"/>
    <w:rsid w:val="00B92AC9"/>
    <w:rsid w:val="00B93159"/>
    <w:rsid w:val="00B93386"/>
    <w:rsid w:val="00B9372D"/>
    <w:rsid w:val="00B93974"/>
    <w:rsid w:val="00B93AF3"/>
    <w:rsid w:val="00B93B07"/>
    <w:rsid w:val="00B93C9D"/>
    <w:rsid w:val="00B93E7F"/>
    <w:rsid w:val="00B93F33"/>
    <w:rsid w:val="00B93F89"/>
    <w:rsid w:val="00B93F91"/>
    <w:rsid w:val="00B942F7"/>
    <w:rsid w:val="00B94320"/>
    <w:rsid w:val="00B9437F"/>
    <w:rsid w:val="00B943C7"/>
    <w:rsid w:val="00B94432"/>
    <w:rsid w:val="00B944E5"/>
    <w:rsid w:val="00B94AFD"/>
    <w:rsid w:val="00B94DDD"/>
    <w:rsid w:val="00B95229"/>
    <w:rsid w:val="00B9552D"/>
    <w:rsid w:val="00B956A7"/>
    <w:rsid w:val="00B95815"/>
    <w:rsid w:val="00B9595A"/>
    <w:rsid w:val="00B95973"/>
    <w:rsid w:val="00B95A06"/>
    <w:rsid w:val="00B95A82"/>
    <w:rsid w:val="00B95B27"/>
    <w:rsid w:val="00B95B3D"/>
    <w:rsid w:val="00B95C6D"/>
    <w:rsid w:val="00B95E17"/>
    <w:rsid w:val="00B963AB"/>
    <w:rsid w:val="00B96681"/>
    <w:rsid w:val="00B969AD"/>
    <w:rsid w:val="00B96A52"/>
    <w:rsid w:val="00B96B5D"/>
    <w:rsid w:val="00B96D7D"/>
    <w:rsid w:val="00B96FB6"/>
    <w:rsid w:val="00B970E3"/>
    <w:rsid w:val="00B97113"/>
    <w:rsid w:val="00B97150"/>
    <w:rsid w:val="00B975A5"/>
    <w:rsid w:val="00B9760D"/>
    <w:rsid w:val="00B976AE"/>
    <w:rsid w:val="00B97A64"/>
    <w:rsid w:val="00B97AC8"/>
    <w:rsid w:val="00BA026E"/>
    <w:rsid w:val="00BA03FF"/>
    <w:rsid w:val="00BA0563"/>
    <w:rsid w:val="00BA073A"/>
    <w:rsid w:val="00BA0B99"/>
    <w:rsid w:val="00BA0C16"/>
    <w:rsid w:val="00BA0D2F"/>
    <w:rsid w:val="00BA11A4"/>
    <w:rsid w:val="00BA11C0"/>
    <w:rsid w:val="00BA139B"/>
    <w:rsid w:val="00BA13BD"/>
    <w:rsid w:val="00BA1656"/>
    <w:rsid w:val="00BA179A"/>
    <w:rsid w:val="00BA1B37"/>
    <w:rsid w:val="00BA1D01"/>
    <w:rsid w:val="00BA1F4A"/>
    <w:rsid w:val="00BA2079"/>
    <w:rsid w:val="00BA22AC"/>
    <w:rsid w:val="00BA2722"/>
    <w:rsid w:val="00BA29CE"/>
    <w:rsid w:val="00BA29EB"/>
    <w:rsid w:val="00BA2C40"/>
    <w:rsid w:val="00BA2C8F"/>
    <w:rsid w:val="00BA2CCE"/>
    <w:rsid w:val="00BA2CEE"/>
    <w:rsid w:val="00BA31EB"/>
    <w:rsid w:val="00BA3650"/>
    <w:rsid w:val="00BA38D7"/>
    <w:rsid w:val="00BA38DA"/>
    <w:rsid w:val="00BA3C8A"/>
    <w:rsid w:val="00BA3DDC"/>
    <w:rsid w:val="00BA3E23"/>
    <w:rsid w:val="00BA4852"/>
    <w:rsid w:val="00BA4F6D"/>
    <w:rsid w:val="00BA4F8C"/>
    <w:rsid w:val="00BA528D"/>
    <w:rsid w:val="00BA5660"/>
    <w:rsid w:val="00BA5720"/>
    <w:rsid w:val="00BA573C"/>
    <w:rsid w:val="00BA5751"/>
    <w:rsid w:val="00BA57D5"/>
    <w:rsid w:val="00BA59CB"/>
    <w:rsid w:val="00BA6187"/>
    <w:rsid w:val="00BA6486"/>
    <w:rsid w:val="00BA65A0"/>
    <w:rsid w:val="00BA6938"/>
    <w:rsid w:val="00BA6968"/>
    <w:rsid w:val="00BA6B1E"/>
    <w:rsid w:val="00BA6C41"/>
    <w:rsid w:val="00BA6E0A"/>
    <w:rsid w:val="00BA6E7D"/>
    <w:rsid w:val="00BA6F4B"/>
    <w:rsid w:val="00BA71CC"/>
    <w:rsid w:val="00BA72EE"/>
    <w:rsid w:val="00BA7872"/>
    <w:rsid w:val="00BA78C7"/>
    <w:rsid w:val="00BA7B48"/>
    <w:rsid w:val="00BA7C71"/>
    <w:rsid w:val="00BA7C7B"/>
    <w:rsid w:val="00BA7EEB"/>
    <w:rsid w:val="00BA7F4D"/>
    <w:rsid w:val="00BB0049"/>
    <w:rsid w:val="00BB0499"/>
    <w:rsid w:val="00BB0AA6"/>
    <w:rsid w:val="00BB0B7E"/>
    <w:rsid w:val="00BB0C31"/>
    <w:rsid w:val="00BB0D87"/>
    <w:rsid w:val="00BB0E5F"/>
    <w:rsid w:val="00BB11AA"/>
    <w:rsid w:val="00BB120F"/>
    <w:rsid w:val="00BB1D2E"/>
    <w:rsid w:val="00BB1E67"/>
    <w:rsid w:val="00BB2611"/>
    <w:rsid w:val="00BB26F1"/>
    <w:rsid w:val="00BB2719"/>
    <w:rsid w:val="00BB2783"/>
    <w:rsid w:val="00BB279A"/>
    <w:rsid w:val="00BB284A"/>
    <w:rsid w:val="00BB28F1"/>
    <w:rsid w:val="00BB28FF"/>
    <w:rsid w:val="00BB2A87"/>
    <w:rsid w:val="00BB2C36"/>
    <w:rsid w:val="00BB2E37"/>
    <w:rsid w:val="00BB3024"/>
    <w:rsid w:val="00BB3176"/>
    <w:rsid w:val="00BB31C9"/>
    <w:rsid w:val="00BB36A8"/>
    <w:rsid w:val="00BB375B"/>
    <w:rsid w:val="00BB3A8B"/>
    <w:rsid w:val="00BB3BB2"/>
    <w:rsid w:val="00BB3CBA"/>
    <w:rsid w:val="00BB3CCF"/>
    <w:rsid w:val="00BB3E4D"/>
    <w:rsid w:val="00BB436F"/>
    <w:rsid w:val="00BB444C"/>
    <w:rsid w:val="00BB4568"/>
    <w:rsid w:val="00BB4601"/>
    <w:rsid w:val="00BB4801"/>
    <w:rsid w:val="00BB4CE5"/>
    <w:rsid w:val="00BB4F8D"/>
    <w:rsid w:val="00BB5806"/>
    <w:rsid w:val="00BB58F6"/>
    <w:rsid w:val="00BB5A04"/>
    <w:rsid w:val="00BB5ABB"/>
    <w:rsid w:val="00BB60B5"/>
    <w:rsid w:val="00BB6168"/>
    <w:rsid w:val="00BB61C8"/>
    <w:rsid w:val="00BB63CE"/>
    <w:rsid w:val="00BB63EB"/>
    <w:rsid w:val="00BB689A"/>
    <w:rsid w:val="00BB6CBD"/>
    <w:rsid w:val="00BB6D31"/>
    <w:rsid w:val="00BB6FC3"/>
    <w:rsid w:val="00BB72C6"/>
    <w:rsid w:val="00BB76F3"/>
    <w:rsid w:val="00BB7883"/>
    <w:rsid w:val="00BB7FF0"/>
    <w:rsid w:val="00BC001B"/>
    <w:rsid w:val="00BC009C"/>
    <w:rsid w:val="00BC03F0"/>
    <w:rsid w:val="00BC05BB"/>
    <w:rsid w:val="00BC0694"/>
    <w:rsid w:val="00BC0753"/>
    <w:rsid w:val="00BC0EB5"/>
    <w:rsid w:val="00BC12FE"/>
    <w:rsid w:val="00BC1502"/>
    <w:rsid w:val="00BC1818"/>
    <w:rsid w:val="00BC18A1"/>
    <w:rsid w:val="00BC1948"/>
    <w:rsid w:val="00BC23DD"/>
    <w:rsid w:val="00BC281A"/>
    <w:rsid w:val="00BC2989"/>
    <w:rsid w:val="00BC29EE"/>
    <w:rsid w:val="00BC2A32"/>
    <w:rsid w:val="00BC2AE9"/>
    <w:rsid w:val="00BC2B8A"/>
    <w:rsid w:val="00BC3288"/>
    <w:rsid w:val="00BC360E"/>
    <w:rsid w:val="00BC37E2"/>
    <w:rsid w:val="00BC3819"/>
    <w:rsid w:val="00BC3958"/>
    <w:rsid w:val="00BC3C7A"/>
    <w:rsid w:val="00BC4033"/>
    <w:rsid w:val="00BC4391"/>
    <w:rsid w:val="00BC4616"/>
    <w:rsid w:val="00BC4704"/>
    <w:rsid w:val="00BC4738"/>
    <w:rsid w:val="00BC47DB"/>
    <w:rsid w:val="00BC4A2F"/>
    <w:rsid w:val="00BC4F3F"/>
    <w:rsid w:val="00BC5003"/>
    <w:rsid w:val="00BC504D"/>
    <w:rsid w:val="00BC50CC"/>
    <w:rsid w:val="00BC5238"/>
    <w:rsid w:val="00BC569A"/>
    <w:rsid w:val="00BC582F"/>
    <w:rsid w:val="00BC5AE8"/>
    <w:rsid w:val="00BC5C2B"/>
    <w:rsid w:val="00BC5D67"/>
    <w:rsid w:val="00BC5FAE"/>
    <w:rsid w:val="00BC6334"/>
    <w:rsid w:val="00BC6AB7"/>
    <w:rsid w:val="00BC6FF4"/>
    <w:rsid w:val="00BC7208"/>
    <w:rsid w:val="00BC7265"/>
    <w:rsid w:val="00BC7527"/>
    <w:rsid w:val="00BC7636"/>
    <w:rsid w:val="00BC7824"/>
    <w:rsid w:val="00BC7898"/>
    <w:rsid w:val="00BC7AD7"/>
    <w:rsid w:val="00BC7C32"/>
    <w:rsid w:val="00BD00AD"/>
    <w:rsid w:val="00BD04D6"/>
    <w:rsid w:val="00BD0563"/>
    <w:rsid w:val="00BD0A7F"/>
    <w:rsid w:val="00BD0D56"/>
    <w:rsid w:val="00BD0D92"/>
    <w:rsid w:val="00BD108D"/>
    <w:rsid w:val="00BD138C"/>
    <w:rsid w:val="00BD1914"/>
    <w:rsid w:val="00BD1F6F"/>
    <w:rsid w:val="00BD2190"/>
    <w:rsid w:val="00BD22C5"/>
    <w:rsid w:val="00BD26E4"/>
    <w:rsid w:val="00BD278D"/>
    <w:rsid w:val="00BD27D8"/>
    <w:rsid w:val="00BD2A8B"/>
    <w:rsid w:val="00BD2F89"/>
    <w:rsid w:val="00BD31A0"/>
    <w:rsid w:val="00BD3216"/>
    <w:rsid w:val="00BD33D6"/>
    <w:rsid w:val="00BD36CF"/>
    <w:rsid w:val="00BD37CC"/>
    <w:rsid w:val="00BD3833"/>
    <w:rsid w:val="00BD3836"/>
    <w:rsid w:val="00BD395A"/>
    <w:rsid w:val="00BD398C"/>
    <w:rsid w:val="00BD3A18"/>
    <w:rsid w:val="00BD3BF3"/>
    <w:rsid w:val="00BD3C4A"/>
    <w:rsid w:val="00BD3ED2"/>
    <w:rsid w:val="00BD425F"/>
    <w:rsid w:val="00BD430B"/>
    <w:rsid w:val="00BD452A"/>
    <w:rsid w:val="00BD461E"/>
    <w:rsid w:val="00BD478D"/>
    <w:rsid w:val="00BD50B9"/>
    <w:rsid w:val="00BD51B0"/>
    <w:rsid w:val="00BD52E9"/>
    <w:rsid w:val="00BD54E1"/>
    <w:rsid w:val="00BD562D"/>
    <w:rsid w:val="00BD56AF"/>
    <w:rsid w:val="00BD5B49"/>
    <w:rsid w:val="00BD5BCD"/>
    <w:rsid w:val="00BD60B8"/>
    <w:rsid w:val="00BD6108"/>
    <w:rsid w:val="00BD638E"/>
    <w:rsid w:val="00BD675B"/>
    <w:rsid w:val="00BD6D7A"/>
    <w:rsid w:val="00BD6F01"/>
    <w:rsid w:val="00BD6F5A"/>
    <w:rsid w:val="00BD6F66"/>
    <w:rsid w:val="00BD6FA2"/>
    <w:rsid w:val="00BD7346"/>
    <w:rsid w:val="00BD77C6"/>
    <w:rsid w:val="00BD7884"/>
    <w:rsid w:val="00BD7B38"/>
    <w:rsid w:val="00BD7E00"/>
    <w:rsid w:val="00BD7FE8"/>
    <w:rsid w:val="00BE01DD"/>
    <w:rsid w:val="00BE022D"/>
    <w:rsid w:val="00BE03D8"/>
    <w:rsid w:val="00BE042F"/>
    <w:rsid w:val="00BE0625"/>
    <w:rsid w:val="00BE0651"/>
    <w:rsid w:val="00BE06D6"/>
    <w:rsid w:val="00BE072E"/>
    <w:rsid w:val="00BE0877"/>
    <w:rsid w:val="00BE0A75"/>
    <w:rsid w:val="00BE0BD6"/>
    <w:rsid w:val="00BE0CEF"/>
    <w:rsid w:val="00BE0E59"/>
    <w:rsid w:val="00BE1043"/>
    <w:rsid w:val="00BE142B"/>
    <w:rsid w:val="00BE14B0"/>
    <w:rsid w:val="00BE1A06"/>
    <w:rsid w:val="00BE1A87"/>
    <w:rsid w:val="00BE1B7B"/>
    <w:rsid w:val="00BE1E44"/>
    <w:rsid w:val="00BE2330"/>
    <w:rsid w:val="00BE25B9"/>
    <w:rsid w:val="00BE28DE"/>
    <w:rsid w:val="00BE28F9"/>
    <w:rsid w:val="00BE2979"/>
    <w:rsid w:val="00BE2CB9"/>
    <w:rsid w:val="00BE2E18"/>
    <w:rsid w:val="00BE2FD2"/>
    <w:rsid w:val="00BE3369"/>
    <w:rsid w:val="00BE3572"/>
    <w:rsid w:val="00BE38D4"/>
    <w:rsid w:val="00BE3A39"/>
    <w:rsid w:val="00BE3B1A"/>
    <w:rsid w:val="00BE3EDA"/>
    <w:rsid w:val="00BE3EF2"/>
    <w:rsid w:val="00BE3F33"/>
    <w:rsid w:val="00BE40F3"/>
    <w:rsid w:val="00BE42C0"/>
    <w:rsid w:val="00BE56A1"/>
    <w:rsid w:val="00BE572E"/>
    <w:rsid w:val="00BE5ACB"/>
    <w:rsid w:val="00BE5E01"/>
    <w:rsid w:val="00BE607F"/>
    <w:rsid w:val="00BE6394"/>
    <w:rsid w:val="00BE66E8"/>
    <w:rsid w:val="00BE696E"/>
    <w:rsid w:val="00BE6C6B"/>
    <w:rsid w:val="00BE6DFF"/>
    <w:rsid w:val="00BE7043"/>
    <w:rsid w:val="00BE70EA"/>
    <w:rsid w:val="00BE7116"/>
    <w:rsid w:val="00BE713F"/>
    <w:rsid w:val="00BE71A3"/>
    <w:rsid w:val="00BE7488"/>
    <w:rsid w:val="00BE782B"/>
    <w:rsid w:val="00BE7E3F"/>
    <w:rsid w:val="00BE7F57"/>
    <w:rsid w:val="00BF0308"/>
    <w:rsid w:val="00BF06A5"/>
    <w:rsid w:val="00BF0758"/>
    <w:rsid w:val="00BF0871"/>
    <w:rsid w:val="00BF0991"/>
    <w:rsid w:val="00BF0C60"/>
    <w:rsid w:val="00BF0CE8"/>
    <w:rsid w:val="00BF0D8E"/>
    <w:rsid w:val="00BF1130"/>
    <w:rsid w:val="00BF11CE"/>
    <w:rsid w:val="00BF12F8"/>
    <w:rsid w:val="00BF173D"/>
    <w:rsid w:val="00BF1765"/>
    <w:rsid w:val="00BF1943"/>
    <w:rsid w:val="00BF1A61"/>
    <w:rsid w:val="00BF2000"/>
    <w:rsid w:val="00BF2272"/>
    <w:rsid w:val="00BF2C59"/>
    <w:rsid w:val="00BF2CAE"/>
    <w:rsid w:val="00BF2CB7"/>
    <w:rsid w:val="00BF2E76"/>
    <w:rsid w:val="00BF2FA7"/>
    <w:rsid w:val="00BF2FCB"/>
    <w:rsid w:val="00BF31CA"/>
    <w:rsid w:val="00BF34F6"/>
    <w:rsid w:val="00BF36AC"/>
    <w:rsid w:val="00BF3AF6"/>
    <w:rsid w:val="00BF3DC9"/>
    <w:rsid w:val="00BF4114"/>
    <w:rsid w:val="00BF41A2"/>
    <w:rsid w:val="00BF41AB"/>
    <w:rsid w:val="00BF4339"/>
    <w:rsid w:val="00BF447C"/>
    <w:rsid w:val="00BF4603"/>
    <w:rsid w:val="00BF4832"/>
    <w:rsid w:val="00BF484F"/>
    <w:rsid w:val="00BF499D"/>
    <w:rsid w:val="00BF4B70"/>
    <w:rsid w:val="00BF4EFA"/>
    <w:rsid w:val="00BF521B"/>
    <w:rsid w:val="00BF52F6"/>
    <w:rsid w:val="00BF552F"/>
    <w:rsid w:val="00BF5A4D"/>
    <w:rsid w:val="00BF5BCA"/>
    <w:rsid w:val="00BF5EE5"/>
    <w:rsid w:val="00BF5FD3"/>
    <w:rsid w:val="00BF60A8"/>
    <w:rsid w:val="00BF60FC"/>
    <w:rsid w:val="00BF6128"/>
    <w:rsid w:val="00BF668D"/>
    <w:rsid w:val="00BF678F"/>
    <w:rsid w:val="00BF682A"/>
    <w:rsid w:val="00BF6ABC"/>
    <w:rsid w:val="00BF6DF7"/>
    <w:rsid w:val="00BF6EFC"/>
    <w:rsid w:val="00BF7172"/>
    <w:rsid w:val="00BF7376"/>
    <w:rsid w:val="00BF7633"/>
    <w:rsid w:val="00BF7AF7"/>
    <w:rsid w:val="00BF7BAA"/>
    <w:rsid w:val="00C0026D"/>
    <w:rsid w:val="00C005CE"/>
    <w:rsid w:val="00C008D5"/>
    <w:rsid w:val="00C00CDC"/>
    <w:rsid w:val="00C00D31"/>
    <w:rsid w:val="00C00D8E"/>
    <w:rsid w:val="00C01085"/>
    <w:rsid w:val="00C01BD1"/>
    <w:rsid w:val="00C01D2F"/>
    <w:rsid w:val="00C01E24"/>
    <w:rsid w:val="00C01F41"/>
    <w:rsid w:val="00C02417"/>
    <w:rsid w:val="00C025D3"/>
    <w:rsid w:val="00C02646"/>
    <w:rsid w:val="00C026A5"/>
    <w:rsid w:val="00C02752"/>
    <w:rsid w:val="00C029BC"/>
    <w:rsid w:val="00C02D43"/>
    <w:rsid w:val="00C02D94"/>
    <w:rsid w:val="00C03082"/>
    <w:rsid w:val="00C03261"/>
    <w:rsid w:val="00C0349D"/>
    <w:rsid w:val="00C034BE"/>
    <w:rsid w:val="00C0356B"/>
    <w:rsid w:val="00C036A0"/>
    <w:rsid w:val="00C03B9D"/>
    <w:rsid w:val="00C03E62"/>
    <w:rsid w:val="00C0440E"/>
    <w:rsid w:val="00C04454"/>
    <w:rsid w:val="00C04584"/>
    <w:rsid w:val="00C04B29"/>
    <w:rsid w:val="00C04C73"/>
    <w:rsid w:val="00C04D7D"/>
    <w:rsid w:val="00C04E27"/>
    <w:rsid w:val="00C04ECA"/>
    <w:rsid w:val="00C050E7"/>
    <w:rsid w:val="00C0519C"/>
    <w:rsid w:val="00C051C8"/>
    <w:rsid w:val="00C054F3"/>
    <w:rsid w:val="00C0558C"/>
    <w:rsid w:val="00C055DD"/>
    <w:rsid w:val="00C056C3"/>
    <w:rsid w:val="00C0595F"/>
    <w:rsid w:val="00C05BA7"/>
    <w:rsid w:val="00C05CDC"/>
    <w:rsid w:val="00C05FA4"/>
    <w:rsid w:val="00C05FA7"/>
    <w:rsid w:val="00C06062"/>
    <w:rsid w:val="00C0615C"/>
    <w:rsid w:val="00C06293"/>
    <w:rsid w:val="00C0694D"/>
    <w:rsid w:val="00C06A3D"/>
    <w:rsid w:val="00C06AD0"/>
    <w:rsid w:val="00C06DF3"/>
    <w:rsid w:val="00C06E30"/>
    <w:rsid w:val="00C0723B"/>
    <w:rsid w:val="00C07369"/>
    <w:rsid w:val="00C0748A"/>
    <w:rsid w:val="00C075DF"/>
    <w:rsid w:val="00C07A34"/>
    <w:rsid w:val="00C07AEE"/>
    <w:rsid w:val="00C07B40"/>
    <w:rsid w:val="00C07D2A"/>
    <w:rsid w:val="00C07FD8"/>
    <w:rsid w:val="00C103A4"/>
    <w:rsid w:val="00C1064E"/>
    <w:rsid w:val="00C1089E"/>
    <w:rsid w:val="00C10ACE"/>
    <w:rsid w:val="00C10F43"/>
    <w:rsid w:val="00C10FBA"/>
    <w:rsid w:val="00C110B3"/>
    <w:rsid w:val="00C1129E"/>
    <w:rsid w:val="00C11571"/>
    <w:rsid w:val="00C11598"/>
    <w:rsid w:val="00C117AE"/>
    <w:rsid w:val="00C11CD5"/>
    <w:rsid w:val="00C11E3D"/>
    <w:rsid w:val="00C130C6"/>
    <w:rsid w:val="00C1328B"/>
    <w:rsid w:val="00C13392"/>
    <w:rsid w:val="00C13396"/>
    <w:rsid w:val="00C13656"/>
    <w:rsid w:val="00C13A38"/>
    <w:rsid w:val="00C13BF1"/>
    <w:rsid w:val="00C13CBB"/>
    <w:rsid w:val="00C13E5F"/>
    <w:rsid w:val="00C142B9"/>
    <w:rsid w:val="00C143D7"/>
    <w:rsid w:val="00C1456E"/>
    <w:rsid w:val="00C14900"/>
    <w:rsid w:val="00C149CA"/>
    <w:rsid w:val="00C14B72"/>
    <w:rsid w:val="00C14DD5"/>
    <w:rsid w:val="00C14F59"/>
    <w:rsid w:val="00C156C2"/>
    <w:rsid w:val="00C157DB"/>
    <w:rsid w:val="00C15B46"/>
    <w:rsid w:val="00C15E71"/>
    <w:rsid w:val="00C15F20"/>
    <w:rsid w:val="00C1601A"/>
    <w:rsid w:val="00C16190"/>
    <w:rsid w:val="00C1644E"/>
    <w:rsid w:val="00C1657B"/>
    <w:rsid w:val="00C169A5"/>
    <w:rsid w:val="00C16A3D"/>
    <w:rsid w:val="00C16B36"/>
    <w:rsid w:val="00C17249"/>
    <w:rsid w:val="00C1728C"/>
    <w:rsid w:val="00C17670"/>
    <w:rsid w:val="00C1784B"/>
    <w:rsid w:val="00C17CDB"/>
    <w:rsid w:val="00C20368"/>
    <w:rsid w:val="00C204CC"/>
    <w:rsid w:val="00C20504"/>
    <w:rsid w:val="00C20592"/>
    <w:rsid w:val="00C20C12"/>
    <w:rsid w:val="00C20F29"/>
    <w:rsid w:val="00C2124F"/>
    <w:rsid w:val="00C21A1E"/>
    <w:rsid w:val="00C21FFC"/>
    <w:rsid w:val="00C220C8"/>
    <w:rsid w:val="00C2277E"/>
    <w:rsid w:val="00C227E8"/>
    <w:rsid w:val="00C2281C"/>
    <w:rsid w:val="00C22D12"/>
    <w:rsid w:val="00C2316B"/>
    <w:rsid w:val="00C23213"/>
    <w:rsid w:val="00C2373A"/>
    <w:rsid w:val="00C237B9"/>
    <w:rsid w:val="00C23B84"/>
    <w:rsid w:val="00C23DF1"/>
    <w:rsid w:val="00C24104"/>
    <w:rsid w:val="00C243AB"/>
    <w:rsid w:val="00C24646"/>
    <w:rsid w:val="00C24667"/>
    <w:rsid w:val="00C24743"/>
    <w:rsid w:val="00C24AAF"/>
    <w:rsid w:val="00C25010"/>
    <w:rsid w:val="00C25300"/>
    <w:rsid w:val="00C2566C"/>
    <w:rsid w:val="00C258A4"/>
    <w:rsid w:val="00C258F1"/>
    <w:rsid w:val="00C259D2"/>
    <w:rsid w:val="00C25A8E"/>
    <w:rsid w:val="00C25F8A"/>
    <w:rsid w:val="00C2676B"/>
    <w:rsid w:val="00C268FF"/>
    <w:rsid w:val="00C26AC1"/>
    <w:rsid w:val="00C276E6"/>
    <w:rsid w:val="00C2787C"/>
    <w:rsid w:val="00C27884"/>
    <w:rsid w:val="00C27986"/>
    <w:rsid w:val="00C27E93"/>
    <w:rsid w:val="00C303F1"/>
    <w:rsid w:val="00C30484"/>
    <w:rsid w:val="00C308A2"/>
    <w:rsid w:val="00C30C41"/>
    <w:rsid w:val="00C30CE6"/>
    <w:rsid w:val="00C31185"/>
    <w:rsid w:val="00C31274"/>
    <w:rsid w:val="00C3128B"/>
    <w:rsid w:val="00C3141B"/>
    <w:rsid w:val="00C31743"/>
    <w:rsid w:val="00C3177B"/>
    <w:rsid w:val="00C317A2"/>
    <w:rsid w:val="00C318E2"/>
    <w:rsid w:val="00C318E8"/>
    <w:rsid w:val="00C319F0"/>
    <w:rsid w:val="00C31BD8"/>
    <w:rsid w:val="00C31CB4"/>
    <w:rsid w:val="00C31E63"/>
    <w:rsid w:val="00C32042"/>
    <w:rsid w:val="00C3206D"/>
    <w:rsid w:val="00C3230C"/>
    <w:rsid w:val="00C3234E"/>
    <w:rsid w:val="00C3254A"/>
    <w:rsid w:val="00C3257F"/>
    <w:rsid w:val="00C32B25"/>
    <w:rsid w:val="00C32B44"/>
    <w:rsid w:val="00C32D4E"/>
    <w:rsid w:val="00C334C2"/>
    <w:rsid w:val="00C3354B"/>
    <w:rsid w:val="00C3368A"/>
    <w:rsid w:val="00C3392C"/>
    <w:rsid w:val="00C33B49"/>
    <w:rsid w:val="00C34191"/>
    <w:rsid w:val="00C3426D"/>
    <w:rsid w:val="00C3449A"/>
    <w:rsid w:val="00C345DC"/>
    <w:rsid w:val="00C3484D"/>
    <w:rsid w:val="00C34ECB"/>
    <w:rsid w:val="00C35074"/>
    <w:rsid w:val="00C35847"/>
    <w:rsid w:val="00C3597F"/>
    <w:rsid w:val="00C35C8D"/>
    <w:rsid w:val="00C36348"/>
    <w:rsid w:val="00C3637A"/>
    <w:rsid w:val="00C364D0"/>
    <w:rsid w:val="00C36A88"/>
    <w:rsid w:val="00C36B26"/>
    <w:rsid w:val="00C36EC2"/>
    <w:rsid w:val="00C371B6"/>
    <w:rsid w:val="00C37426"/>
    <w:rsid w:val="00C3760C"/>
    <w:rsid w:val="00C37643"/>
    <w:rsid w:val="00C3782B"/>
    <w:rsid w:val="00C37D71"/>
    <w:rsid w:val="00C37F42"/>
    <w:rsid w:val="00C37FBC"/>
    <w:rsid w:val="00C40114"/>
    <w:rsid w:val="00C401C3"/>
    <w:rsid w:val="00C40607"/>
    <w:rsid w:val="00C40707"/>
    <w:rsid w:val="00C4074B"/>
    <w:rsid w:val="00C4082B"/>
    <w:rsid w:val="00C40855"/>
    <w:rsid w:val="00C40AAC"/>
    <w:rsid w:val="00C40AEB"/>
    <w:rsid w:val="00C40C04"/>
    <w:rsid w:val="00C414FA"/>
    <w:rsid w:val="00C41D08"/>
    <w:rsid w:val="00C42221"/>
    <w:rsid w:val="00C422B8"/>
    <w:rsid w:val="00C42373"/>
    <w:rsid w:val="00C42405"/>
    <w:rsid w:val="00C4254E"/>
    <w:rsid w:val="00C425E8"/>
    <w:rsid w:val="00C42749"/>
    <w:rsid w:val="00C4292E"/>
    <w:rsid w:val="00C42B8F"/>
    <w:rsid w:val="00C42BBB"/>
    <w:rsid w:val="00C42BE8"/>
    <w:rsid w:val="00C42C8C"/>
    <w:rsid w:val="00C42D2F"/>
    <w:rsid w:val="00C42DB3"/>
    <w:rsid w:val="00C42FC3"/>
    <w:rsid w:val="00C43167"/>
    <w:rsid w:val="00C431D9"/>
    <w:rsid w:val="00C432C5"/>
    <w:rsid w:val="00C4342E"/>
    <w:rsid w:val="00C4360F"/>
    <w:rsid w:val="00C43646"/>
    <w:rsid w:val="00C43A5D"/>
    <w:rsid w:val="00C43C75"/>
    <w:rsid w:val="00C43E73"/>
    <w:rsid w:val="00C43FC6"/>
    <w:rsid w:val="00C44077"/>
    <w:rsid w:val="00C440C9"/>
    <w:rsid w:val="00C44E28"/>
    <w:rsid w:val="00C44FA1"/>
    <w:rsid w:val="00C45043"/>
    <w:rsid w:val="00C451F0"/>
    <w:rsid w:val="00C45243"/>
    <w:rsid w:val="00C456A8"/>
    <w:rsid w:val="00C456C1"/>
    <w:rsid w:val="00C457AF"/>
    <w:rsid w:val="00C465CB"/>
    <w:rsid w:val="00C466AE"/>
    <w:rsid w:val="00C467C6"/>
    <w:rsid w:val="00C46CC2"/>
    <w:rsid w:val="00C46D18"/>
    <w:rsid w:val="00C46D34"/>
    <w:rsid w:val="00C46E62"/>
    <w:rsid w:val="00C473C0"/>
    <w:rsid w:val="00C47548"/>
    <w:rsid w:val="00C4765B"/>
    <w:rsid w:val="00C476AD"/>
    <w:rsid w:val="00C47828"/>
    <w:rsid w:val="00C47911"/>
    <w:rsid w:val="00C47AA8"/>
    <w:rsid w:val="00C47AD5"/>
    <w:rsid w:val="00C47D3C"/>
    <w:rsid w:val="00C50126"/>
    <w:rsid w:val="00C50252"/>
    <w:rsid w:val="00C5035E"/>
    <w:rsid w:val="00C508C0"/>
    <w:rsid w:val="00C50D2E"/>
    <w:rsid w:val="00C50E41"/>
    <w:rsid w:val="00C50EB4"/>
    <w:rsid w:val="00C51425"/>
    <w:rsid w:val="00C517D4"/>
    <w:rsid w:val="00C51B65"/>
    <w:rsid w:val="00C51E0E"/>
    <w:rsid w:val="00C51FF4"/>
    <w:rsid w:val="00C5245D"/>
    <w:rsid w:val="00C52593"/>
    <w:rsid w:val="00C5274D"/>
    <w:rsid w:val="00C52971"/>
    <w:rsid w:val="00C52A3A"/>
    <w:rsid w:val="00C52DCB"/>
    <w:rsid w:val="00C52E5D"/>
    <w:rsid w:val="00C52FCD"/>
    <w:rsid w:val="00C533F5"/>
    <w:rsid w:val="00C53618"/>
    <w:rsid w:val="00C53A2D"/>
    <w:rsid w:val="00C53BE2"/>
    <w:rsid w:val="00C53CB3"/>
    <w:rsid w:val="00C5499E"/>
    <w:rsid w:val="00C54FC4"/>
    <w:rsid w:val="00C55175"/>
    <w:rsid w:val="00C55398"/>
    <w:rsid w:val="00C5558E"/>
    <w:rsid w:val="00C558EE"/>
    <w:rsid w:val="00C55A15"/>
    <w:rsid w:val="00C55C82"/>
    <w:rsid w:val="00C560BD"/>
    <w:rsid w:val="00C564B5"/>
    <w:rsid w:val="00C56691"/>
    <w:rsid w:val="00C56A66"/>
    <w:rsid w:val="00C56CFE"/>
    <w:rsid w:val="00C56F86"/>
    <w:rsid w:val="00C57040"/>
    <w:rsid w:val="00C5718F"/>
    <w:rsid w:val="00C5769B"/>
    <w:rsid w:val="00C577A3"/>
    <w:rsid w:val="00C57892"/>
    <w:rsid w:val="00C578DD"/>
    <w:rsid w:val="00C57C43"/>
    <w:rsid w:val="00C57E36"/>
    <w:rsid w:val="00C60193"/>
    <w:rsid w:val="00C608F1"/>
    <w:rsid w:val="00C6099F"/>
    <w:rsid w:val="00C609DE"/>
    <w:rsid w:val="00C609F8"/>
    <w:rsid w:val="00C60B3D"/>
    <w:rsid w:val="00C612B3"/>
    <w:rsid w:val="00C61354"/>
    <w:rsid w:val="00C613CF"/>
    <w:rsid w:val="00C616A6"/>
    <w:rsid w:val="00C619CF"/>
    <w:rsid w:val="00C61A08"/>
    <w:rsid w:val="00C61C9F"/>
    <w:rsid w:val="00C62391"/>
    <w:rsid w:val="00C624DD"/>
    <w:rsid w:val="00C6293F"/>
    <w:rsid w:val="00C62ACD"/>
    <w:rsid w:val="00C62D73"/>
    <w:rsid w:val="00C62DCE"/>
    <w:rsid w:val="00C6301A"/>
    <w:rsid w:val="00C6310B"/>
    <w:rsid w:val="00C63306"/>
    <w:rsid w:val="00C635E2"/>
    <w:rsid w:val="00C636B3"/>
    <w:rsid w:val="00C636F4"/>
    <w:rsid w:val="00C63D74"/>
    <w:rsid w:val="00C63F46"/>
    <w:rsid w:val="00C64121"/>
    <w:rsid w:val="00C64243"/>
    <w:rsid w:val="00C64451"/>
    <w:rsid w:val="00C64826"/>
    <w:rsid w:val="00C64B06"/>
    <w:rsid w:val="00C64B6F"/>
    <w:rsid w:val="00C65289"/>
    <w:rsid w:val="00C6537D"/>
    <w:rsid w:val="00C65393"/>
    <w:rsid w:val="00C6541B"/>
    <w:rsid w:val="00C6546E"/>
    <w:rsid w:val="00C65598"/>
    <w:rsid w:val="00C65757"/>
    <w:rsid w:val="00C657A2"/>
    <w:rsid w:val="00C65C28"/>
    <w:rsid w:val="00C65C7E"/>
    <w:rsid w:val="00C65CE8"/>
    <w:rsid w:val="00C661CA"/>
    <w:rsid w:val="00C66210"/>
    <w:rsid w:val="00C66229"/>
    <w:rsid w:val="00C665CA"/>
    <w:rsid w:val="00C6677C"/>
    <w:rsid w:val="00C66E6A"/>
    <w:rsid w:val="00C66F1F"/>
    <w:rsid w:val="00C66F27"/>
    <w:rsid w:val="00C67224"/>
    <w:rsid w:val="00C67587"/>
    <w:rsid w:val="00C67620"/>
    <w:rsid w:val="00C67A98"/>
    <w:rsid w:val="00C67B4B"/>
    <w:rsid w:val="00C67DD8"/>
    <w:rsid w:val="00C67E2C"/>
    <w:rsid w:val="00C701B8"/>
    <w:rsid w:val="00C7068B"/>
    <w:rsid w:val="00C70762"/>
    <w:rsid w:val="00C707F5"/>
    <w:rsid w:val="00C708FF"/>
    <w:rsid w:val="00C70FAA"/>
    <w:rsid w:val="00C7176B"/>
    <w:rsid w:val="00C71C94"/>
    <w:rsid w:val="00C71E63"/>
    <w:rsid w:val="00C720D3"/>
    <w:rsid w:val="00C72169"/>
    <w:rsid w:val="00C7294A"/>
    <w:rsid w:val="00C72BBD"/>
    <w:rsid w:val="00C72C77"/>
    <w:rsid w:val="00C72D46"/>
    <w:rsid w:val="00C72EAE"/>
    <w:rsid w:val="00C73164"/>
    <w:rsid w:val="00C732BA"/>
    <w:rsid w:val="00C7349B"/>
    <w:rsid w:val="00C734FA"/>
    <w:rsid w:val="00C73925"/>
    <w:rsid w:val="00C7392A"/>
    <w:rsid w:val="00C7398A"/>
    <w:rsid w:val="00C739E6"/>
    <w:rsid w:val="00C73CA0"/>
    <w:rsid w:val="00C73D01"/>
    <w:rsid w:val="00C73F81"/>
    <w:rsid w:val="00C7419D"/>
    <w:rsid w:val="00C74404"/>
    <w:rsid w:val="00C744DA"/>
    <w:rsid w:val="00C7452E"/>
    <w:rsid w:val="00C74B78"/>
    <w:rsid w:val="00C74D9A"/>
    <w:rsid w:val="00C75126"/>
    <w:rsid w:val="00C75128"/>
    <w:rsid w:val="00C75154"/>
    <w:rsid w:val="00C752BE"/>
    <w:rsid w:val="00C75665"/>
    <w:rsid w:val="00C75686"/>
    <w:rsid w:val="00C758D6"/>
    <w:rsid w:val="00C759FC"/>
    <w:rsid w:val="00C75D0E"/>
    <w:rsid w:val="00C75D57"/>
    <w:rsid w:val="00C75DDC"/>
    <w:rsid w:val="00C75DED"/>
    <w:rsid w:val="00C75ECE"/>
    <w:rsid w:val="00C75FB6"/>
    <w:rsid w:val="00C76247"/>
    <w:rsid w:val="00C762DE"/>
    <w:rsid w:val="00C763D4"/>
    <w:rsid w:val="00C765B2"/>
    <w:rsid w:val="00C76A09"/>
    <w:rsid w:val="00C76B46"/>
    <w:rsid w:val="00C76C2A"/>
    <w:rsid w:val="00C76D31"/>
    <w:rsid w:val="00C76F05"/>
    <w:rsid w:val="00C77087"/>
    <w:rsid w:val="00C771C4"/>
    <w:rsid w:val="00C77226"/>
    <w:rsid w:val="00C77384"/>
    <w:rsid w:val="00C774DA"/>
    <w:rsid w:val="00C7762D"/>
    <w:rsid w:val="00C776EC"/>
    <w:rsid w:val="00C77719"/>
    <w:rsid w:val="00C777B6"/>
    <w:rsid w:val="00C777C0"/>
    <w:rsid w:val="00C77F29"/>
    <w:rsid w:val="00C80090"/>
    <w:rsid w:val="00C80128"/>
    <w:rsid w:val="00C80228"/>
    <w:rsid w:val="00C803AD"/>
    <w:rsid w:val="00C8048B"/>
    <w:rsid w:val="00C80593"/>
    <w:rsid w:val="00C8061F"/>
    <w:rsid w:val="00C80AD8"/>
    <w:rsid w:val="00C80BAE"/>
    <w:rsid w:val="00C80BAF"/>
    <w:rsid w:val="00C81068"/>
    <w:rsid w:val="00C8122D"/>
    <w:rsid w:val="00C8195E"/>
    <w:rsid w:val="00C81AAB"/>
    <w:rsid w:val="00C81DE3"/>
    <w:rsid w:val="00C82070"/>
    <w:rsid w:val="00C821EC"/>
    <w:rsid w:val="00C822A2"/>
    <w:rsid w:val="00C826E9"/>
    <w:rsid w:val="00C827EB"/>
    <w:rsid w:val="00C8282D"/>
    <w:rsid w:val="00C829ED"/>
    <w:rsid w:val="00C82A27"/>
    <w:rsid w:val="00C82FFC"/>
    <w:rsid w:val="00C830D8"/>
    <w:rsid w:val="00C8330F"/>
    <w:rsid w:val="00C833F5"/>
    <w:rsid w:val="00C8354C"/>
    <w:rsid w:val="00C83638"/>
    <w:rsid w:val="00C836B1"/>
    <w:rsid w:val="00C838F2"/>
    <w:rsid w:val="00C83B6D"/>
    <w:rsid w:val="00C83BB3"/>
    <w:rsid w:val="00C83BC0"/>
    <w:rsid w:val="00C83C72"/>
    <w:rsid w:val="00C83CB2"/>
    <w:rsid w:val="00C841A6"/>
    <w:rsid w:val="00C8422E"/>
    <w:rsid w:val="00C8445B"/>
    <w:rsid w:val="00C8465B"/>
    <w:rsid w:val="00C846AA"/>
    <w:rsid w:val="00C8470F"/>
    <w:rsid w:val="00C84924"/>
    <w:rsid w:val="00C84C7F"/>
    <w:rsid w:val="00C84F16"/>
    <w:rsid w:val="00C852D6"/>
    <w:rsid w:val="00C85622"/>
    <w:rsid w:val="00C8574D"/>
    <w:rsid w:val="00C85EDA"/>
    <w:rsid w:val="00C86251"/>
    <w:rsid w:val="00C86371"/>
    <w:rsid w:val="00C865AA"/>
    <w:rsid w:val="00C86A84"/>
    <w:rsid w:val="00C86CC1"/>
    <w:rsid w:val="00C870B4"/>
    <w:rsid w:val="00C872FF"/>
    <w:rsid w:val="00C8740E"/>
    <w:rsid w:val="00C87962"/>
    <w:rsid w:val="00C87A48"/>
    <w:rsid w:val="00C87A9F"/>
    <w:rsid w:val="00C87E14"/>
    <w:rsid w:val="00C87EDA"/>
    <w:rsid w:val="00C901E9"/>
    <w:rsid w:val="00C90490"/>
    <w:rsid w:val="00C9067D"/>
    <w:rsid w:val="00C9072C"/>
    <w:rsid w:val="00C9090F"/>
    <w:rsid w:val="00C90CDA"/>
    <w:rsid w:val="00C91033"/>
    <w:rsid w:val="00C910EC"/>
    <w:rsid w:val="00C916EE"/>
    <w:rsid w:val="00C9176F"/>
    <w:rsid w:val="00C917CC"/>
    <w:rsid w:val="00C919B2"/>
    <w:rsid w:val="00C91B16"/>
    <w:rsid w:val="00C91C69"/>
    <w:rsid w:val="00C91CBD"/>
    <w:rsid w:val="00C91E73"/>
    <w:rsid w:val="00C91EC2"/>
    <w:rsid w:val="00C9228B"/>
    <w:rsid w:val="00C92597"/>
    <w:rsid w:val="00C927B8"/>
    <w:rsid w:val="00C929FC"/>
    <w:rsid w:val="00C93181"/>
    <w:rsid w:val="00C933C7"/>
    <w:rsid w:val="00C93AA7"/>
    <w:rsid w:val="00C946FA"/>
    <w:rsid w:val="00C94A53"/>
    <w:rsid w:val="00C95004"/>
    <w:rsid w:val="00C951C6"/>
    <w:rsid w:val="00C953E8"/>
    <w:rsid w:val="00C95530"/>
    <w:rsid w:val="00C9561B"/>
    <w:rsid w:val="00C956BA"/>
    <w:rsid w:val="00C95859"/>
    <w:rsid w:val="00C95873"/>
    <w:rsid w:val="00C959FD"/>
    <w:rsid w:val="00C9607A"/>
    <w:rsid w:val="00C961F3"/>
    <w:rsid w:val="00C9634F"/>
    <w:rsid w:val="00C96548"/>
    <w:rsid w:val="00C96604"/>
    <w:rsid w:val="00C96751"/>
    <w:rsid w:val="00C96A80"/>
    <w:rsid w:val="00C96EA2"/>
    <w:rsid w:val="00C96FC6"/>
    <w:rsid w:val="00C97265"/>
    <w:rsid w:val="00C972A4"/>
    <w:rsid w:val="00C975C9"/>
    <w:rsid w:val="00C975E2"/>
    <w:rsid w:val="00C976E7"/>
    <w:rsid w:val="00C97BC9"/>
    <w:rsid w:val="00C97C7C"/>
    <w:rsid w:val="00C97C84"/>
    <w:rsid w:val="00C9F1F3"/>
    <w:rsid w:val="00CA01B1"/>
    <w:rsid w:val="00CA0844"/>
    <w:rsid w:val="00CA0851"/>
    <w:rsid w:val="00CA08A7"/>
    <w:rsid w:val="00CA0CE8"/>
    <w:rsid w:val="00CA1515"/>
    <w:rsid w:val="00CA1840"/>
    <w:rsid w:val="00CA1912"/>
    <w:rsid w:val="00CA1A3C"/>
    <w:rsid w:val="00CA2216"/>
    <w:rsid w:val="00CA2496"/>
    <w:rsid w:val="00CA2A12"/>
    <w:rsid w:val="00CA2AB0"/>
    <w:rsid w:val="00CA2C79"/>
    <w:rsid w:val="00CA2D6A"/>
    <w:rsid w:val="00CA30F1"/>
    <w:rsid w:val="00CA346B"/>
    <w:rsid w:val="00CA34EE"/>
    <w:rsid w:val="00CA3F82"/>
    <w:rsid w:val="00CA4167"/>
    <w:rsid w:val="00CA4217"/>
    <w:rsid w:val="00CA4972"/>
    <w:rsid w:val="00CA49EF"/>
    <w:rsid w:val="00CA4CBD"/>
    <w:rsid w:val="00CA4D7E"/>
    <w:rsid w:val="00CA4DC3"/>
    <w:rsid w:val="00CA5519"/>
    <w:rsid w:val="00CA5579"/>
    <w:rsid w:val="00CA5946"/>
    <w:rsid w:val="00CA5A5F"/>
    <w:rsid w:val="00CA6073"/>
    <w:rsid w:val="00CA6621"/>
    <w:rsid w:val="00CA6651"/>
    <w:rsid w:val="00CA6666"/>
    <w:rsid w:val="00CA66BD"/>
    <w:rsid w:val="00CA6AE8"/>
    <w:rsid w:val="00CA6C43"/>
    <w:rsid w:val="00CA7141"/>
    <w:rsid w:val="00CA7AF3"/>
    <w:rsid w:val="00CA7CDB"/>
    <w:rsid w:val="00CA7D19"/>
    <w:rsid w:val="00CA7DDB"/>
    <w:rsid w:val="00CA7DF9"/>
    <w:rsid w:val="00CB0000"/>
    <w:rsid w:val="00CB01EB"/>
    <w:rsid w:val="00CB0238"/>
    <w:rsid w:val="00CB05B9"/>
    <w:rsid w:val="00CB05EA"/>
    <w:rsid w:val="00CB06EA"/>
    <w:rsid w:val="00CB08E0"/>
    <w:rsid w:val="00CB09C1"/>
    <w:rsid w:val="00CB0B8C"/>
    <w:rsid w:val="00CB0CAA"/>
    <w:rsid w:val="00CB0CB2"/>
    <w:rsid w:val="00CB0E1A"/>
    <w:rsid w:val="00CB0E25"/>
    <w:rsid w:val="00CB110E"/>
    <w:rsid w:val="00CB11CE"/>
    <w:rsid w:val="00CB126C"/>
    <w:rsid w:val="00CB130A"/>
    <w:rsid w:val="00CB147D"/>
    <w:rsid w:val="00CB1552"/>
    <w:rsid w:val="00CB15A2"/>
    <w:rsid w:val="00CB1679"/>
    <w:rsid w:val="00CB17BD"/>
    <w:rsid w:val="00CB185F"/>
    <w:rsid w:val="00CB1A48"/>
    <w:rsid w:val="00CB1D02"/>
    <w:rsid w:val="00CB1D06"/>
    <w:rsid w:val="00CB2191"/>
    <w:rsid w:val="00CB252A"/>
    <w:rsid w:val="00CB26DE"/>
    <w:rsid w:val="00CB298C"/>
    <w:rsid w:val="00CB2AEF"/>
    <w:rsid w:val="00CB2B7A"/>
    <w:rsid w:val="00CB3032"/>
    <w:rsid w:val="00CB33B8"/>
    <w:rsid w:val="00CB344E"/>
    <w:rsid w:val="00CB34BC"/>
    <w:rsid w:val="00CB407E"/>
    <w:rsid w:val="00CB40FA"/>
    <w:rsid w:val="00CB43F2"/>
    <w:rsid w:val="00CB4481"/>
    <w:rsid w:val="00CB49E0"/>
    <w:rsid w:val="00CB4C1A"/>
    <w:rsid w:val="00CB4C85"/>
    <w:rsid w:val="00CB4FF4"/>
    <w:rsid w:val="00CB5301"/>
    <w:rsid w:val="00CB5487"/>
    <w:rsid w:val="00CB589E"/>
    <w:rsid w:val="00CB59AF"/>
    <w:rsid w:val="00CB5F02"/>
    <w:rsid w:val="00CB6415"/>
    <w:rsid w:val="00CB65B2"/>
    <w:rsid w:val="00CB6AE1"/>
    <w:rsid w:val="00CB6FA6"/>
    <w:rsid w:val="00CB6FEB"/>
    <w:rsid w:val="00CB7329"/>
    <w:rsid w:val="00CB7705"/>
    <w:rsid w:val="00CB777E"/>
    <w:rsid w:val="00CB779F"/>
    <w:rsid w:val="00CB79CC"/>
    <w:rsid w:val="00CB7B46"/>
    <w:rsid w:val="00CB7B67"/>
    <w:rsid w:val="00CB7D12"/>
    <w:rsid w:val="00CB7D28"/>
    <w:rsid w:val="00CB7FD1"/>
    <w:rsid w:val="00CC0073"/>
    <w:rsid w:val="00CC02A1"/>
    <w:rsid w:val="00CC04FB"/>
    <w:rsid w:val="00CC060B"/>
    <w:rsid w:val="00CC079C"/>
    <w:rsid w:val="00CC09D9"/>
    <w:rsid w:val="00CC0CB2"/>
    <w:rsid w:val="00CC0ED7"/>
    <w:rsid w:val="00CC0F50"/>
    <w:rsid w:val="00CC1106"/>
    <w:rsid w:val="00CC1149"/>
    <w:rsid w:val="00CC1A56"/>
    <w:rsid w:val="00CC1E68"/>
    <w:rsid w:val="00CC2305"/>
    <w:rsid w:val="00CC2B49"/>
    <w:rsid w:val="00CC2C63"/>
    <w:rsid w:val="00CC2DE4"/>
    <w:rsid w:val="00CC30EC"/>
    <w:rsid w:val="00CC31E5"/>
    <w:rsid w:val="00CC32F4"/>
    <w:rsid w:val="00CC337C"/>
    <w:rsid w:val="00CC34A0"/>
    <w:rsid w:val="00CC3A16"/>
    <w:rsid w:val="00CC3CD6"/>
    <w:rsid w:val="00CC3EF3"/>
    <w:rsid w:val="00CC3F4F"/>
    <w:rsid w:val="00CC4197"/>
    <w:rsid w:val="00CC443F"/>
    <w:rsid w:val="00CC4467"/>
    <w:rsid w:val="00CC45D3"/>
    <w:rsid w:val="00CC46EC"/>
    <w:rsid w:val="00CC46F1"/>
    <w:rsid w:val="00CC4712"/>
    <w:rsid w:val="00CC48D1"/>
    <w:rsid w:val="00CC4B11"/>
    <w:rsid w:val="00CC4BE4"/>
    <w:rsid w:val="00CC4CF8"/>
    <w:rsid w:val="00CC4EFF"/>
    <w:rsid w:val="00CC4F66"/>
    <w:rsid w:val="00CC523A"/>
    <w:rsid w:val="00CC53F8"/>
    <w:rsid w:val="00CC5422"/>
    <w:rsid w:val="00CC5530"/>
    <w:rsid w:val="00CC5537"/>
    <w:rsid w:val="00CC5616"/>
    <w:rsid w:val="00CC587E"/>
    <w:rsid w:val="00CC58A4"/>
    <w:rsid w:val="00CC5DCF"/>
    <w:rsid w:val="00CC5E4E"/>
    <w:rsid w:val="00CC5F4B"/>
    <w:rsid w:val="00CC5F89"/>
    <w:rsid w:val="00CC6018"/>
    <w:rsid w:val="00CC629D"/>
    <w:rsid w:val="00CC6473"/>
    <w:rsid w:val="00CC64A9"/>
    <w:rsid w:val="00CC6603"/>
    <w:rsid w:val="00CC6A47"/>
    <w:rsid w:val="00CC6AF3"/>
    <w:rsid w:val="00CC7352"/>
    <w:rsid w:val="00CC767A"/>
    <w:rsid w:val="00CC76CC"/>
    <w:rsid w:val="00CC77E7"/>
    <w:rsid w:val="00CC7A7D"/>
    <w:rsid w:val="00CC7D18"/>
    <w:rsid w:val="00CC7D97"/>
    <w:rsid w:val="00CC7F46"/>
    <w:rsid w:val="00CD027D"/>
    <w:rsid w:val="00CD0415"/>
    <w:rsid w:val="00CD050A"/>
    <w:rsid w:val="00CD0A1C"/>
    <w:rsid w:val="00CD0F01"/>
    <w:rsid w:val="00CD0F7D"/>
    <w:rsid w:val="00CD0F86"/>
    <w:rsid w:val="00CD13D3"/>
    <w:rsid w:val="00CD1402"/>
    <w:rsid w:val="00CD14D3"/>
    <w:rsid w:val="00CD1727"/>
    <w:rsid w:val="00CD1828"/>
    <w:rsid w:val="00CD1BD2"/>
    <w:rsid w:val="00CD2368"/>
    <w:rsid w:val="00CD237D"/>
    <w:rsid w:val="00CD2443"/>
    <w:rsid w:val="00CD2735"/>
    <w:rsid w:val="00CD295C"/>
    <w:rsid w:val="00CD2A10"/>
    <w:rsid w:val="00CD2E16"/>
    <w:rsid w:val="00CD3E02"/>
    <w:rsid w:val="00CD3E21"/>
    <w:rsid w:val="00CD4007"/>
    <w:rsid w:val="00CD434D"/>
    <w:rsid w:val="00CD44A3"/>
    <w:rsid w:val="00CD471E"/>
    <w:rsid w:val="00CD475C"/>
    <w:rsid w:val="00CD4841"/>
    <w:rsid w:val="00CD48E0"/>
    <w:rsid w:val="00CD4B0C"/>
    <w:rsid w:val="00CD4BB7"/>
    <w:rsid w:val="00CD4E5E"/>
    <w:rsid w:val="00CD4FBA"/>
    <w:rsid w:val="00CD4FD9"/>
    <w:rsid w:val="00CD55D9"/>
    <w:rsid w:val="00CD5635"/>
    <w:rsid w:val="00CD56A9"/>
    <w:rsid w:val="00CD585E"/>
    <w:rsid w:val="00CD5A2F"/>
    <w:rsid w:val="00CD5BDA"/>
    <w:rsid w:val="00CD5FE5"/>
    <w:rsid w:val="00CD6690"/>
    <w:rsid w:val="00CD69EA"/>
    <w:rsid w:val="00CD6F11"/>
    <w:rsid w:val="00CD6F12"/>
    <w:rsid w:val="00CD6F84"/>
    <w:rsid w:val="00CD7359"/>
    <w:rsid w:val="00CD73A2"/>
    <w:rsid w:val="00CD73EA"/>
    <w:rsid w:val="00CD7A0B"/>
    <w:rsid w:val="00CD7A6C"/>
    <w:rsid w:val="00CD7D26"/>
    <w:rsid w:val="00CD7EF0"/>
    <w:rsid w:val="00CE0008"/>
    <w:rsid w:val="00CE0090"/>
    <w:rsid w:val="00CE03A7"/>
    <w:rsid w:val="00CE048D"/>
    <w:rsid w:val="00CE0647"/>
    <w:rsid w:val="00CE0971"/>
    <w:rsid w:val="00CE0A2A"/>
    <w:rsid w:val="00CE0B7B"/>
    <w:rsid w:val="00CE0C3E"/>
    <w:rsid w:val="00CE1240"/>
    <w:rsid w:val="00CE13FB"/>
    <w:rsid w:val="00CE16D4"/>
    <w:rsid w:val="00CE177C"/>
    <w:rsid w:val="00CE1787"/>
    <w:rsid w:val="00CE1923"/>
    <w:rsid w:val="00CE1BE6"/>
    <w:rsid w:val="00CE1CBA"/>
    <w:rsid w:val="00CE215A"/>
    <w:rsid w:val="00CE231D"/>
    <w:rsid w:val="00CE250D"/>
    <w:rsid w:val="00CE2842"/>
    <w:rsid w:val="00CE2D74"/>
    <w:rsid w:val="00CE2E2E"/>
    <w:rsid w:val="00CE2F41"/>
    <w:rsid w:val="00CE3052"/>
    <w:rsid w:val="00CE30D4"/>
    <w:rsid w:val="00CE34F8"/>
    <w:rsid w:val="00CE368B"/>
    <w:rsid w:val="00CE3777"/>
    <w:rsid w:val="00CE37C5"/>
    <w:rsid w:val="00CE37FA"/>
    <w:rsid w:val="00CE39CA"/>
    <w:rsid w:val="00CE3A6F"/>
    <w:rsid w:val="00CE3D4F"/>
    <w:rsid w:val="00CE3DD6"/>
    <w:rsid w:val="00CE405C"/>
    <w:rsid w:val="00CE40B2"/>
    <w:rsid w:val="00CE446D"/>
    <w:rsid w:val="00CE44BC"/>
    <w:rsid w:val="00CE4594"/>
    <w:rsid w:val="00CE487B"/>
    <w:rsid w:val="00CE4BB6"/>
    <w:rsid w:val="00CE4CA5"/>
    <w:rsid w:val="00CE5224"/>
    <w:rsid w:val="00CE5249"/>
    <w:rsid w:val="00CE541A"/>
    <w:rsid w:val="00CE54A6"/>
    <w:rsid w:val="00CE5733"/>
    <w:rsid w:val="00CE5AED"/>
    <w:rsid w:val="00CE5CBC"/>
    <w:rsid w:val="00CE5D15"/>
    <w:rsid w:val="00CE5E18"/>
    <w:rsid w:val="00CE6068"/>
    <w:rsid w:val="00CE64AE"/>
    <w:rsid w:val="00CE67F7"/>
    <w:rsid w:val="00CE682A"/>
    <w:rsid w:val="00CE6D10"/>
    <w:rsid w:val="00CE6D11"/>
    <w:rsid w:val="00CE72C1"/>
    <w:rsid w:val="00CE73EC"/>
    <w:rsid w:val="00CE77F5"/>
    <w:rsid w:val="00CE793A"/>
    <w:rsid w:val="00CE7BA9"/>
    <w:rsid w:val="00CF0239"/>
    <w:rsid w:val="00CF03F0"/>
    <w:rsid w:val="00CF0702"/>
    <w:rsid w:val="00CF0755"/>
    <w:rsid w:val="00CF0BFD"/>
    <w:rsid w:val="00CF0CB1"/>
    <w:rsid w:val="00CF0D5E"/>
    <w:rsid w:val="00CF0E81"/>
    <w:rsid w:val="00CF129B"/>
    <w:rsid w:val="00CF17C2"/>
    <w:rsid w:val="00CF1E21"/>
    <w:rsid w:val="00CF1FE0"/>
    <w:rsid w:val="00CF2059"/>
    <w:rsid w:val="00CF20EA"/>
    <w:rsid w:val="00CF284B"/>
    <w:rsid w:val="00CF29CD"/>
    <w:rsid w:val="00CF2A77"/>
    <w:rsid w:val="00CF2B9E"/>
    <w:rsid w:val="00CF2F27"/>
    <w:rsid w:val="00CF30D6"/>
    <w:rsid w:val="00CF34C2"/>
    <w:rsid w:val="00CF35E8"/>
    <w:rsid w:val="00CF390D"/>
    <w:rsid w:val="00CF3C14"/>
    <w:rsid w:val="00CF3CA6"/>
    <w:rsid w:val="00CF4452"/>
    <w:rsid w:val="00CF44DA"/>
    <w:rsid w:val="00CF453C"/>
    <w:rsid w:val="00CF489E"/>
    <w:rsid w:val="00CF4FF8"/>
    <w:rsid w:val="00CF552C"/>
    <w:rsid w:val="00CF5E61"/>
    <w:rsid w:val="00CF5FE5"/>
    <w:rsid w:val="00CF6165"/>
    <w:rsid w:val="00CF6354"/>
    <w:rsid w:val="00CF63BA"/>
    <w:rsid w:val="00CF6920"/>
    <w:rsid w:val="00CF6AE8"/>
    <w:rsid w:val="00CF6C3B"/>
    <w:rsid w:val="00CF6EAA"/>
    <w:rsid w:val="00CF6FFE"/>
    <w:rsid w:val="00CF7570"/>
    <w:rsid w:val="00CF7913"/>
    <w:rsid w:val="00CF7F11"/>
    <w:rsid w:val="00CF7F5E"/>
    <w:rsid w:val="00D0014D"/>
    <w:rsid w:val="00D002A9"/>
    <w:rsid w:val="00D00671"/>
    <w:rsid w:val="00D00ACB"/>
    <w:rsid w:val="00D00F4A"/>
    <w:rsid w:val="00D0136D"/>
    <w:rsid w:val="00D01616"/>
    <w:rsid w:val="00D01D76"/>
    <w:rsid w:val="00D01F1D"/>
    <w:rsid w:val="00D020E3"/>
    <w:rsid w:val="00D022C0"/>
    <w:rsid w:val="00D02554"/>
    <w:rsid w:val="00D02BA0"/>
    <w:rsid w:val="00D02CA6"/>
    <w:rsid w:val="00D02D37"/>
    <w:rsid w:val="00D02DDC"/>
    <w:rsid w:val="00D02EA0"/>
    <w:rsid w:val="00D02F2B"/>
    <w:rsid w:val="00D037BB"/>
    <w:rsid w:val="00D038FC"/>
    <w:rsid w:val="00D039D3"/>
    <w:rsid w:val="00D03B76"/>
    <w:rsid w:val="00D03B9C"/>
    <w:rsid w:val="00D03EB5"/>
    <w:rsid w:val="00D040C1"/>
    <w:rsid w:val="00D043E2"/>
    <w:rsid w:val="00D04568"/>
    <w:rsid w:val="00D0468A"/>
    <w:rsid w:val="00D0469F"/>
    <w:rsid w:val="00D0488D"/>
    <w:rsid w:val="00D049E1"/>
    <w:rsid w:val="00D04D05"/>
    <w:rsid w:val="00D050DE"/>
    <w:rsid w:val="00D05270"/>
    <w:rsid w:val="00D0555E"/>
    <w:rsid w:val="00D0570C"/>
    <w:rsid w:val="00D05AEA"/>
    <w:rsid w:val="00D05DAC"/>
    <w:rsid w:val="00D05EDA"/>
    <w:rsid w:val="00D05EEB"/>
    <w:rsid w:val="00D05F39"/>
    <w:rsid w:val="00D060D4"/>
    <w:rsid w:val="00D06163"/>
    <w:rsid w:val="00D06466"/>
    <w:rsid w:val="00D06525"/>
    <w:rsid w:val="00D06558"/>
    <w:rsid w:val="00D069AE"/>
    <w:rsid w:val="00D06AA0"/>
    <w:rsid w:val="00D06B6C"/>
    <w:rsid w:val="00D06DAC"/>
    <w:rsid w:val="00D075D8"/>
    <w:rsid w:val="00D0786A"/>
    <w:rsid w:val="00D0794F"/>
    <w:rsid w:val="00D079A0"/>
    <w:rsid w:val="00D07C71"/>
    <w:rsid w:val="00D10072"/>
    <w:rsid w:val="00D1029D"/>
    <w:rsid w:val="00D1055D"/>
    <w:rsid w:val="00D10613"/>
    <w:rsid w:val="00D10C7B"/>
    <w:rsid w:val="00D124E4"/>
    <w:rsid w:val="00D1271B"/>
    <w:rsid w:val="00D12962"/>
    <w:rsid w:val="00D12971"/>
    <w:rsid w:val="00D12B8B"/>
    <w:rsid w:val="00D12EE6"/>
    <w:rsid w:val="00D13065"/>
    <w:rsid w:val="00D131DF"/>
    <w:rsid w:val="00D132C8"/>
    <w:rsid w:val="00D13746"/>
    <w:rsid w:val="00D137A5"/>
    <w:rsid w:val="00D13953"/>
    <w:rsid w:val="00D13C39"/>
    <w:rsid w:val="00D13DDC"/>
    <w:rsid w:val="00D13DF4"/>
    <w:rsid w:val="00D14098"/>
    <w:rsid w:val="00D1441B"/>
    <w:rsid w:val="00D144B5"/>
    <w:rsid w:val="00D1458E"/>
    <w:rsid w:val="00D146B4"/>
    <w:rsid w:val="00D14777"/>
    <w:rsid w:val="00D14C78"/>
    <w:rsid w:val="00D14DCA"/>
    <w:rsid w:val="00D154A1"/>
    <w:rsid w:val="00D15691"/>
    <w:rsid w:val="00D157E6"/>
    <w:rsid w:val="00D157FC"/>
    <w:rsid w:val="00D1583E"/>
    <w:rsid w:val="00D15E7D"/>
    <w:rsid w:val="00D161D2"/>
    <w:rsid w:val="00D1632A"/>
    <w:rsid w:val="00D16625"/>
    <w:rsid w:val="00D17037"/>
    <w:rsid w:val="00D17077"/>
    <w:rsid w:val="00D172F5"/>
    <w:rsid w:val="00D173D1"/>
    <w:rsid w:val="00D17464"/>
    <w:rsid w:val="00D17A49"/>
    <w:rsid w:val="00D17ABF"/>
    <w:rsid w:val="00D17D4C"/>
    <w:rsid w:val="00D17FD4"/>
    <w:rsid w:val="00D17FDC"/>
    <w:rsid w:val="00D20081"/>
    <w:rsid w:val="00D20362"/>
    <w:rsid w:val="00D2056F"/>
    <w:rsid w:val="00D20607"/>
    <w:rsid w:val="00D20CCC"/>
    <w:rsid w:val="00D20EF6"/>
    <w:rsid w:val="00D20F76"/>
    <w:rsid w:val="00D215B7"/>
    <w:rsid w:val="00D2173D"/>
    <w:rsid w:val="00D217D2"/>
    <w:rsid w:val="00D217F2"/>
    <w:rsid w:val="00D21826"/>
    <w:rsid w:val="00D21BF1"/>
    <w:rsid w:val="00D21D9E"/>
    <w:rsid w:val="00D22304"/>
    <w:rsid w:val="00D223C4"/>
    <w:rsid w:val="00D227B2"/>
    <w:rsid w:val="00D22800"/>
    <w:rsid w:val="00D22C58"/>
    <w:rsid w:val="00D22E73"/>
    <w:rsid w:val="00D2310E"/>
    <w:rsid w:val="00D2311F"/>
    <w:rsid w:val="00D231DB"/>
    <w:rsid w:val="00D235CE"/>
    <w:rsid w:val="00D23681"/>
    <w:rsid w:val="00D23BB9"/>
    <w:rsid w:val="00D23BFC"/>
    <w:rsid w:val="00D23C25"/>
    <w:rsid w:val="00D24745"/>
    <w:rsid w:val="00D24912"/>
    <w:rsid w:val="00D24A16"/>
    <w:rsid w:val="00D24BF7"/>
    <w:rsid w:val="00D24EC5"/>
    <w:rsid w:val="00D25143"/>
    <w:rsid w:val="00D25209"/>
    <w:rsid w:val="00D25350"/>
    <w:rsid w:val="00D253F9"/>
    <w:rsid w:val="00D254E1"/>
    <w:rsid w:val="00D2553F"/>
    <w:rsid w:val="00D25A40"/>
    <w:rsid w:val="00D25CDA"/>
    <w:rsid w:val="00D2616B"/>
    <w:rsid w:val="00D261D7"/>
    <w:rsid w:val="00D26A25"/>
    <w:rsid w:val="00D26FA7"/>
    <w:rsid w:val="00D2700E"/>
    <w:rsid w:val="00D273A9"/>
    <w:rsid w:val="00D273AE"/>
    <w:rsid w:val="00D274EF"/>
    <w:rsid w:val="00D276BD"/>
    <w:rsid w:val="00D27825"/>
    <w:rsid w:val="00D27884"/>
    <w:rsid w:val="00D27DF1"/>
    <w:rsid w:val="00D30692"/>
    <w:rsid w:val="00D306AF"/>
    <w:rsid w:val="00D30A6C"/>
    <w:rsid w:val="00D30CCB"/>
    <w:rsid w:val="00D30CD1"/>
    <w:rsid w:val="00D3109D"/>
    <w:rsid w:val="00D311BA"/>
    <w:rsid w:val="00D31396"/>
    <w:rsid w:val="00D314A4"/>
    <w:rsid w:val="00D314C8"/>
    <w:rsid w:val="00D31907"/>
    <w:rsid w:val="00D32075"/>
    <w:rsid w:val="00D3271A"/>
    <w:rsid w:val="00D330B4"/>
    <w:rsid w:val="00D338C9"/>
    <w:rsid w:val="00D33941"/>
    <w:rsid w:val="00D33986"/>
    <w:rsid w:val="00D339F7"/>
    <w:rsid w:val="00D33D07"/>
    <w:rsid w:val="00D33D60"/>
    <w:rsid w:val="00D33DC9"/>
    <w:rsid w:val="00D33E00"/>
    <w:rsid w:val="00D33EDD"/>
    <w:rsid w:val="00D34503"/>
    <w:rsid w:val="00D34712"/>
    <w:rsid w:val="00D348B2"/>
    <w:rsid w:val="00D34A0A"/>
    <w:rsid w:val="00D34CDF"/>
    <w:rsid w:val="00D3567B"/>
    <w:rsid w:val="00D35696"/>
    <w:rsid w:val="00D3577A"/>
    <w:rsid w:val="00D35B77"/>
    <w:rsid w:val="00D35BC0"/>
    <w:rsid w:val="00D35CC6"/>
    <w:rsid w:val="00D35DA4"/>
    <w:rsid w:val="00D35DBA"/>
    <w:rsid w:val="00D35EFD"/>
    <w:rsid w:val="00D36414"/>
    <w:rsid w:val="00D3641F"/>
    <w:rsid w:val="00D364FD"/>
    <w:rsid w:val="00D366BA"/>
    <w:rsid w:val="00D36971"/>
    <w:rsid w:val="00D369EE"/>
    <w:rsid w:val="00D36A5F"/>
    <w:rsid w:val="00D36BF7"/>
    <w:rsid w:val="00D36C06"/>
    <w:rsid w:val="00D3706A"/>
    <w:rsid w:val="00D376D5"/>
    <w:rsid w:val="00D37802"/>
    <w:rsid w:val="00D37A4E"/>
    <w:rsid w:val="00D37A87"/>
    <w:rsid w:val="00D37AC0"/>
    <w:rsid w:val="00D37B52"/>
    <w:rsid w:val="00D37CD3"/>
    <w:rsid w:val="00D37ED9"/>
    <w:rsid w:val="00D409F6"/>
    <w:rsid w:val="00D40C50"/>
    <w:rsid w:val="00D40D04"/>
    <w:rsid w:val="00D41029"/>
    <w:rsid w:val="00D416F9"/>
    <w:rsid w:val="00D4183C"/>
    <w:rsid w:val="00D418B0"/>
    <w:rsid w:val="00D41902"/>
    <w:rsid w:val="00D41C35"/>
    <w:rsid w:val="00D41E9D"/>
    <w:rsid w:val="00D41F6E"/>
    <w:rsid w:val="00D422D9"/>
    <w:rsid w:val="00D423A3"/>
    <w:rsid w:val="00D42616"/>
    <w:rsid w:val="00D427C2"/>
    <w:rsid w:val="00D42833"/>
    <w:rsid w:val="00D428E9"/>
    <w:rsid w:val="00D430D3"/>
    <w:rsid w:val="00D430E1"/>
    <w:rsid w:val="00D431EA"/>
    <w:rsid w:val="00D44067"/>
    <w:rsid w:val="00D441E4"/>
    <w:rsid w:val="00D442F5"/>
    <w:rsid w:val="00D44695"/>
    <w:rsid w:val="00D4515B"/>
    <w:rsid w:val="00D45161"/>
    <w:rsid w:val="00D45174"/>
    <w:rsid w:val="00D45CD5"/>
    <w:rsid w:val="00D45D78"/>
    <w:rsid w:val="00D45ED2"/>
    <w:rsid w:val="00D45EE1"/>
    <w:rsid w:val="00D46859"/>
    <w:rsid w:val="00D468BE"/>
    <w:rsid w:val="00D46CD0"/>
    <w:rsid w:val="00D470B6"/>
    <w:rsid w:val="00D471F6"/>
    <w:rsid w:val="00D477AF"/>
    <w:rsid w:val="00D477C3"/>
    <w:rsid w:val="00D47B78"/>
    <w:rsid w:val="00D47BD5"/>
    <w:rsid w:val="00D47BF1"/>
    <w:rsid w:val="00D47C50"/>
    <w:rsid w:val="00D47F68"/>
    <w:rsid w:val="00D50011"/>
    <w:rsid w:val="00D50A22"/>
    <w:rsid w:val="00D50A4A"/>
    <w:rsid w:val="00D50AD6"/>
    <w:rsid w:val="00D50DE2"/>
    <w:rsid w:val="00D51013"/>
    <w:rsid w:val="00D51062"/>
    <w:rsid w:val="00D5106D"/>
    <w:rsid w:val="00D512F7"/>
    <w:rsid w:val="00D5136D"/>
    <w:rsid w:val="00D513C1"/>
    <w:rsid w:val="00D514F2"/>
    <w:rsid w:val="00D51594"/>
    <w:rsid w:val="00D51633"/>
    <w:rsid w:val="00D51F1A"/>
    <w:rsid w:val="00D51F31"/>
    <w:rsid w:val="00D51F4A"/>
    <w:rsid w:val="00D52155"/>
    <w:rsid w:val="00D522C0"/>
    <w:rsid w:val="00D52393"/>
    <w:rsid w:val="00D523DB"/>
    <w:rsid w:val="00D52841"/>
    <w:rsid w:val="00D52B45"/>
    <w:rsid w:val="00D52BB4"/>
    <w:rsid w:val="00D52CF1"/>
    <w:rsid w:val="00D53021"/>
    <w:rsid w:val="00D530D5"/>
    <w:rsid w:val="00D53163"/>
    <w:rsid w:val="00D531C4"/>
    <w:rsid w:val="00D5326C"/>
    <w:rsid w:val="00D532C3"/>
    <w:rsid w:val="00D53795"/>
    <w:rsid w:val="00D53A67"/>
    <w:rsid w:val="00D53E7A"/>
    <w:rsid w:val="00D54015"/>
    <w:rsid w:val="00D541A1"/>
    <w:rsid w:val="00D543B2"/>
    <w:rsid w:val="00D548BE"/>
    <w:rsid w:val="00D54CD5"/>
    <w:rsid w:val="00D54CEB"/>
    <w:rsid w:val="00D55119"/>
    <w:rsid w:val="00D553F4"/>
    <w:rsid w:val="00D55723"/>
    <w:rsid w:val="00D55AE0"/>
    <w:rsid w:val="00D55DD3"/>
    <w:rsid w:val="00D56236"/>
    <w:rsid w:val="00D5651D"/>
    <w:rsid w:val="00D5667B"/>
    <w:rsid w:val="00D5687F"/>
    <w:rsid w:val="00D56D43"/>
    <w:rsid w:val="00D56DE0"/>
    <w:rsid w:val="00D57071"/>
    <w:rsid w:val="00D57220"/>
    <w:rsid w:val="00D573E3"/>
    <w:rsid w:val="00D5762F"/>
    <w:rsid w:val="00D577AA"/>
    <w:rsid w:val="00D577AC"/>
    <w:rsid w:val="00D5792C"/>
    <w:rsid w:val="00D57997"/>
    <w:rsid w:val="00D57B1A"/>
    <w:rsid w:val="00D57D4F"/>
    <w:rsid w:val="00D60026"/>
    <w:rsid w:val="00D60062"/>
    <w:rsid w:val="00D604E5"/>
    <w:rsid w:val="00D606B3"/>
    <w:rsid w:val="00D608B8"/>
    <w:rsid w:val="00D608BF"/>
    <w:rsid w:val="00D60CA8"/>
    <w:rsid w:val="00D60E10"/>
    <w:rsid w:val="00D60F25"/>
    <w:rsid w:val="00D61024"/>
    <w:rsid w:val="00D61108"/>
    <w:rsid w:val="00D61244"/>
    <w:rsid w:val="00D612C9"/>
    <w:rsid w:val="00D61AD3"/>
    <w:rsid w:val="00D61EFB"/>
    <w:rsid w:val="00D61FAC"/>
    <w:rsid w:val="00D62110"/>
    <w:rsid w:val="00D621D0"/>
    <w:rsid w:val="00D62339"/>
    <w:rsid w:val="00D6254F"/>
    <w:rsid w:val="00D626AE"/>
    <w:rsid w:val="00D6293C"/>
    <w:rsid w:val="00D62B68"/>
    <w:rsid w:val="00D62C32"/>
    <w:rsid w:val="00D62C78"/>
    <w:rsid w:val="00D62F37"/>
    <w:rsid w:val="00D631AB"/>
    <w:rsid w:val="00D631DB"/>
    <w:rsid w:val="00D636DA"/>
    <w:rsid w:val="00D637D3"/>
    <w:rsid w:val="00D639B0"/>
    <w:rsid w:val="00D63C44"/>
    <w:rsid w:val="00D63CD3"/>
    <w:rsid w:val="00D63D08"/>
    <w:rsid w:val="00D64321"/>
    <w:rsid w:val="00D6445B"/>
    <w:rsid w:val="00D64668"/>
    <w:rsid w:val="00D648D7"/>
    <w:rsid w:val="00D64AB9"/>
    <w:rsid w:val="00D64EC8"/>
    <w:rsid w:val="00D651CA"/>
    <w:rsid w:val="00D653C4"/>
    <w:rsid w:val="00D6598D"/>
    <w:rsid w:val="00D65B4A"/>
    <w:rsid w:val="00D65DE1"/>
    <w:rsid w:val="00D65F41"/>
    <w:rsid w:val="00D66227"/>
    <w:rsid w:val="00D668A3"/>
    <w:rsid w:val="00D66D28"/>
    <w:rsid w:val="00D6711F"/>
    <w:rsid w:val="00D67249"/>
    <w:rsid w:val="00D672CF"/>
    <w:rsid w:val="00D672E3"/>
    <w:rsid w:val="00D67629"/>
    <w:rsid w:val="00D67E8C"/>
    <w:rsid w:val="00D70235"/>
    <w:rsid w:val="00D702AD"/>
    <w:rsid w:val="00D702D4"/>
    <w:rsid w:val="00D70481"/>
    <w:rsid w:val="00D70F37"/>
    <w:rsid w:val="00D71259"/>
    <w:rsid w:val="00D71451"/>
    <w:rsid w:val="00D7145B"/>
    <w:rsid w:val="00D71719"/>
    <w:rsid w:val="00D71731"/>
    <w:rsid w:val="00D71A2B"/>
    <w:rsid w:val="00D71A77"/>
    <w:rsid w:val="00D71B6C"/>
    <w:rsid w:val="00D71E91"/>
    <w:rsid w:val="00D71EAB"/>
    <w:rsid w:val="00D728A9"/>
    <w:rsid w:val="00D7298D"/>
    <w:rsid w:val="00D72AB5"/>
    <w:rsid w:val="00D72AED"/>
    <w:rsid w:val="00D73191"/>
    <w:rsid w:val="00D7329A"/>
    <w:rsid w:val="00D7339C"/>
    <w:rsid w:val="00D734A9"/>
    <w:rsid w:val="00D7368E"/>
    <w:rsid w:val="00D7390C"/>
    <w:rsid w:val="00D73C1A"/>
    <w:rsid w:val="00D73D2F"/>
    <w:rsid w:val="00D73EC7"/>
    <w:rsid w:val="00D74326"/>
    <w:rsid w:val="00D744FA"/>
    <w:rsid w:val="00D74609"/>
    <w:rsid w:val="00D7500E"/>
    <w:rsid w:val="00D7509B"/>
    <w:rsid w:val="00D75217"/>
    <w:rsid w:val="00D757BD"/>
    <w:rsid w:val="00D75DBD"/>
    <w:rsid w:val="00D7606B"/>
    <w:rsid w:val="00D760D5"/>
    <w:rsid w:val="00D760EE"/>
    <w:rsid w:val="00D76114"/>
    <w:rsid w:val="00D7627D"/>
    <w:rsid w:val="00D76452"/>
    <w:rsid w:val="00D7662E"/>
    <w:rsid w:val="00D76AD6"/>
    <w:rsid w:val="00D76D13"/>
    <w:rsid w:val="00D76F2B"/>
    <w:rsid w:val="00D7721E"/>
    <w:rsid w:val="00D7746A"/>
    <w:rsid w:val="00D7754D"/>
    <w:rsid w:val="00D77744"/>
    <w:rsid w:val="00D77887"/>
    <w:rsid w:val="00D77C6C"/>
    <w:rsid w:val="00D77E61"/>
    <w:rsid w:val="00D77E65"/>
    <w:rsid w:val="00D77EF6"/>
    <w:rsid w:val="00D80093"/>
    <w:rsid w:val="00D80641"/>
    <w:rsid w:val="00D807D4"/>
    <w:rsid w:val="00D808F1"/>
    <w:rsid w:val="00D80C1F"/>
    <w:rsid w:val="00D80C45"/>
    <w:rsid w:val="00D80E35"/>
    <w:rsid w:val="00D80E51"/>
    <w:rsid w:val="00D8102F"/>
    <w:rsid w:val="00D81052"/>
    <w:rsid w:val="00D81347"/>
    <w:rsid w:val="00D8145E"/>
    <w:rsid w:val="00D81597"/>
    <w:rsid w:val="00D8168A"/>
    <w:rsid w:val="00D81A40"/>
    <w:rsid w:val="00D81C6B"/>
    <w:rsid w:val="00D82736"/>
    <w:rsid w:val="00D82B8F"/>
    <w:rsid w:val="00D82CFC"/>
    <w:rsid w:val="00D82E7A"/>
    <w:rsid w:val="00D82F8B"/>
    <w:rsid w:val="00D830BA"/>
    <w:rsid w:val="00D830E7"/>
    <w:rsid w:val="00D83B5B"/>
    <w:rsid w:val="00D83BF1"/>
    <w:rsid w:val="00D83C19"/>
    <w:rsid w:val="00D8448E"/>
    <w:rsid w:val="00D8468E"/>
    <w:rsid w:val="00D84AF9"/>
    <w:rsid w:val="00D84CC4"/>
    <w:rsid w:val="00D84CCB"/>
    <w:rsid w:val="00D85179"/>
    <w:rsid w:val="00D85215"/>
    <w:rsid w:val="00D85358"/>
    <w:rsid w:val="00D85568"/>
    <w:rsid w:val="00D855A9"/>
    <w:rsid w:val="00D856AA"/>
    <w:rsid w:val="00D857B4"/>
    <w:rsid w:val="00D85987"/>
    <w:rsid w:val="00D85B99"/>
    <w:rsid w:val="00D85E87"/>
    <w:rsid w:val="00D85EF1"/>
    <w:rsid w:val="00D86133"/>
    <w:rsid w:val="00D8659A"/>
    <w:rsid w:val="00D8670C"/>
    <w:rsid w:val="00D86FC0"/>
    <w:rsid w:val="00D87153"/>
    <w:rsid w:val="00D8732C"/>
    <w:rsid w:val="00D873D2"/>
    <w:rsid w:val="00D875E7"/>
    <w:rsid w:val="00D877F0"/>
    <w:rsid w:val="00D8781A"/>
    <w:rsid w:val="00D87962"/>
    <w:rsid w:val="00D87AD5"/>
    <w:rsid w:val="00D87D6A"/>
    <w:rsid w:val="00D87FFE"/>
    <w:rsid w:val="00D901C3"/>
    <w:rsid w:val="00D90601"/>
    <w:rsid w:val="00D90912"/>
    <w:rsid w:val="00D90B4A"/>
    <w:rsid w:val="00D90C23"/>
    <w:rsid w:val="00D90C28"/>
    <w:rsid w:val="00D90C2F"/>
    <w:rsid w:val="00D90D01"/>
    <w:rsid w:val="00D90DA0"/>
    <w:rsid w:val="00D91684"/>
    <w:rsid w:val="00D91853"/>
    <w:rsid w:val="00D91908"/>
    <w:rsid w:val="00D91998"/>
    <w:rsid w:val="00D91F12"/>
    <w:rsid w:val="00D91F7C"/>
    <w:rsid w:val="00D9207A"/>
    <w:rsid w:val="00D921DD"/>
    <w:rsid w:val="00D922DA"/>
    <w:rsid w:val="00D92491"/>
    <w:rsid w:val="00D92751"/>
    <w:rsid w:val="00D928C1"/>
    <w:rsid w:val="00D92DCC"/>
    <w:rsid w:val="00D93188"/>
    <w:rsid w:val="00D93367"/>
    <w:rsid w:val="00D9341F"/>
    <w:rsid w:val="00D934BA"/>
    <w:rsid w:val="00D93AC9"/>
    <w:rsid w:val="00D93B95"/>
    <w:rsid w:val="00D93F39"/>
    <w:rsid w:val="00D941CF"/>
    <w:rsid w:val="00D94212"/>
    <w:rsid w:val="00D94452"/>
    <w:rsid w:val="00D94F74"/>
    <w:rsid w:val="00D954F5"/>
    <w:rsid w:val="00D95578"/>
    <w:rsid w:val="00D955A7"/>
    <w:rsid w:val="00D95702"/>
    <w:rsid w:val="00D9596F"/>
    <w:rsid w:val="00D959CC"/>
    <w:rsid w:val="00D95BD8"/>
    <w:rsid w:val="00D95CA2"/>
    <w:rsid w:val="00D95FB0"/>
    <w:rsid w:val="00D95FF8"/>
    <w:rsid w:val="00D9656C"/>
    <w:rsid w:val="00D967E2"/>
    <w:rsid w:val="00D968D2"/>
    <w:rsid w:val="00D96B9C"/>
    <w:rsid w:val="00D96EEF"/>
    <w:rsid w:val="00D96FFF"/>
    <w:rsid w:val="00D97174"/>
    <w:rsid w:val="00D971A4"/>
    <w:rsid w:val="00D971A7"/>
    <w:rsid w:val="00D9725F"/>
    <w:rsid w:val="00D97AFB"/>
    <w:rsid w:val="00D97CD7"/>
    <w:rsid w:val="00D97F17"/>
    <w:rsid w:val="00D97F5C"/>
    <w:rsid w:val="00DA01DF"/>
    <w:rsid w:val="00DA0237"/>
    <w:rsid w:val="00DA031B"/>
    <w:rsid w:val="00DA03E3"/>
    <w:rsid w:val="00DA05C8"/>
    <w:rsid w:val="00DA0A94"/>
    <w:rsid w:val="00DA0AE1"/>
    <w:rsid w:val="00DA0C84"/>
    <w:rsid w:val="00DA0F56"/>
    <w:rsid w:val="00DA10B2"/>
    <w:rsid w:val="00DA13D6"/>
    <w:rsid w:val="00DA154E"/>
    <w:rsid w:val="00DA15A3"/>
    <w:rsid w:val="00DA15E4"/>
    <w:rsid w:val="00DA1694"/>
    <w:rsid w:val="00DA195A"/>
    <w:rsid w:val="00DA1E24"/>
    <w:rsid w:val="00DA202F"/>
    <w:rsid w:val="00DA215B"/>
    <w:rsid w:val="00DA2462"/>
    <w:rsid w:val="00DA2698"/>
    <w:rsid w:val="00DA315F"/>
    <w:rsid w:val="00DA3162"/>
    <w:rsid w:val="00DA31F1"/>
    <w:rsid w:val="00DA34C4"/>
    <w:rsid w:val="00DA3500"/>
    <w:rsid w:val="00DA35A2"/>
    <w:rsid w:val="00DA3967"/>
    <w:rsid w:val="00DA3C13"/>
    <w:rsid w:val="00DA3F7C"/>
    <w:rsid w:val="00DA420E"/>
    <w:rsid w:val="00DA45BA"/>
    <w:rsid w:val="00DA46C6"/>
    <w:rsid w:val="00DA494C"/>
    <w:rsid w:val="00DA4A3C"/>
    <w:rsid w:val="00DA4AE6"/>
    <w:rsid w:val="00DA4FAB"/>
    <w:rsid w:val="00DA50CF"/>
    <w:rsid w:val="00DA5294"/>
    <w:rsid w:val="00DA538C"/>
    <w:rsid w:val="00DA53EA"/>
    <w:rsid w:val="00DA54ED"/>
    <w:rsid w:val="00DA56D7"/>
    <w:rsid w:val="00DA5C3A"/>
    <w:rsid w:val="00DA5CD3"/>
    <w:rsid w:val="00DA5E2D"/>
    <w:rsid w:val="00DA604A"/>
    <w:rsid w:val="00DA6066"/>
    <w:rsid w:val="00DA6637"/>
    <w:rsid w:val="00DA679D"/>
    <w:rsid w:val="00DA6983"/>
    <w:rsid w:val="00DA6B46"/>
    <w:rsid w:val="00DA6B4E"/>
    <w:rsid w:val="00DA6B59"/>
    <w:rsid w:val="00DA6C3C"/>
    <w:rsid w:val="00DA6E03"/>
    <w:rsid w:val="00DA708A"/>
    <w:rsid w:val="00DA747B"/>
    <w:rsid w:val="00DA7552"/>
    <w:rsid w:val="00DA77A3"/>
    <w:rsid w:val="00DA7B3A"/>
    <w:rsid w:val="00DA7E28"/>
    <w:rsid w:val="00DA7E99"/>
    <w:rsid w:val="00DB0080"/>
    <w:rsid w:val="00DB00EF"/>
    <w:rsid w:val="00DB0794"/>
    <w:rsid w:val="00DB07F3"/>
    <w:rsid w:val="00DB0FCC"/>
    <w:rsid w:val="00DB1011"/>
    <w:rsid w:val="00DB12BE"/>
    <w:rsid w:val="00DB13C4"/>
    <w:rsid w:val="00DB16AB"/>
    <w:rsid w:val="00DB1739"/>
    <w:rsid w:val="00DB1780"/>
    <w:rsid w:val="00DB17B9"/>
    <w:rsid w:val="00DB1868"/>
    <w:rsid w:val="00DB19CC"/>
    <w:rsid w:val="00DB1A6B"/>
    <w:rsid w:val="00DB2188"/>
    <w:rsid w:val="00DB2434"/>
    <w:rsid w:val="00DB2820"/>
    <w:rsid w:val="00DB2A67"/>
    <w:rsid w:val="00DB2E08"/>
    <w:rsid w:val="00DB2E79"/>
    <w:rsid w:val="00DB2EB3"/>
    <w:rsid w:val="00DB2EEA"/>
    <w:rsid w:val="00DB2FFD"/>
    <w:rsid w:val="00DB317B"/>
    <w:rsid w:val="00DB31FC"/>
    <w:rsid w:val="00DB3805"/>
    <w:rsid w:val="00DB3A00"/>
    <w:rsid w:val="00DB3B02"/>
    <w:rsid w:val="00DB3E2C"/>
    <w:rsid w:val="00DB3EEE"/>
    <w:rsid w:val="00DB4401"/>
    <w:rsid w:val="00DB463F"/>
    <w:rsid w:val="00DB4697"/>
    <w:rsid w:val="00DB472F"/>
    <w:rsid w:val="00DB477E"/>
    <w:rsid w:val="00DB499A"/>
    <w:rsid w:val="00DB4AAF"/>
    <w:rsid w:val="00DB4C87"/>
    <w:rsid w:val="00DB4D38"/>
    <w:rsid w:val="00DB4D5F"/>
    <w:rsid w:val="00DB4F81"/>
    <w:rsid w:val="00DB4FB4"/>
    <w:rsid w:val="00DB5025"/>
    <w:rsid w:val="00DB5042"/>
    <w:rsid w:val="00DB516C"/>
    <w:rsid w:val="00DB558F"/>
    <w:rsid w:val="00DB5634"/>
    <w:rsid w:val="00DB56F7"/>
    <w:rsid w:val="00DB5726"/>
    <w:rsid w:val="00DB57E4"/>
    <w:rsid w:val="00DB58C6"/>
    <w:rsid w:val="00DB5B9B"/>
    <w:rsid w:val="00DB5BBA"/>
    <w:rsid w:val="00DB5FBF"/>
    <w:rsid w:val="00DB625C"/>
    <w:rsid w:val="00DB6402"/>
    <w:rsid w:val="00DB6E4F"/>
    <w:rsid w:val="00DB6EEE"/>
    <w:rsid w:val="00DB7031"/>
    <w:rsid w:val="00DB70EC"/>
    <w:rsid w:val="00DB7105"/>
    <w:rsid w:val="00DB7118"/>
    <w:rsid w:val="00DB712D"/>
    <w:rsid w:val="00DB7508"/>
    <w:rsid w:val="00DB7534"/>
    <w:rsid w:val="00DB76B7"/>
    <w:rsid w:val="00DB7940"/>
    <w:rsid w:val="00DB7A6B"/>
    <w:rsid w:val="00DB7A98"/>
    <w:rsid w:val="00DB7B2E"/>
    <w:rsid w:val="00DB7C32"/>
    <w:rsid w:val="00DB7EE7"/>
    <w:rsid w:val="00DB7FAE"/>
    <w:rsid w:val="00DC0149"/>
    <w:rsid w:val="00DC06F3"/>
    <w:rsid w:val="00DC07CB"/>
    <w:rsid w:val="00DC09E4"/>
    <w:rsid w:val="00DC0DAE"/>
    <w:rsid w:val="00DC0F21"/>
    <w:rsid w:val="00DC1490"/>
    <w:rsid w:val="00DC15D2"/>
    <w:rsid w:val="00DC170B"/>
    <w:rsid w:val="00DC19D8"/>
    <w:rsid w:val="00DC1AE5"/>
    <w:rsid w:val="00DC1D5B"/>
    <w:rsid w:val="00DC1DEB"/>
    <w:rsid w:val="00DC241B"/>
    <w:rsid w:val="00DC2CFD"/>
    <w:rsid w:val="00DC2D56"/>
    <w:rsid w:val="00DC2D93"/>
    <w:rsid w:val="00DC2D9C"/>
    <w:rsid w:val="00DC2DB2"/>
    <w:rsid w:val="00DC2F89"/>
    <w:rsid w:val="00DC3223"/>
    <w:rsid w:val="00DC3349"/>
    <w:rsid w:val="00DC3378"/>
    <w:rsid w:val="00DC37FF"/>
    <w:rsid w:val="00DC395B"/>
    <w:rsid w:val="00DC39EF"/>
    <w:rsid w:val="00DC3DF9"/>
    <w:rsid w:val="00DC3E3A"/>
    <w:rsid w:val="00DC4284"/>
    <w:rsid w:val="00DC431C"/>
    <w:rsid w:val="00DC452A"/>
    <w:rsid w:val="00DC45D5"/>
    <w:rsid w:val="00DC4CA0"/>
    <w:rsid w:val="00DC4E4C"/>
    <w:rsid w:val="00DC509E"/>
    <w:rsid w:val="00DC55AC"/>
    <w:rsid w:val="00DC571C"/>
    <w:rsid w:val="00DC578F"/>
    <w:rsid w:val="00DC5CF6"/>
    <w:rsid w:val="00DC5D54"/>
    <w:rsid w:val="00DC6230"/>
    <w:rsid w:val="00DC65C2"/>
    <w:rsid w:val="00DC6663"/>
    <w:rsid w:val="00DC67CE"/>
    <w:rsid w:val="00DC6808"/>
    <w:rsid w:val="00DC6A5A"/>
    <w:rsid w:val="00DC7104"/>
    <w:rsid w:val="00DC714F"/>
    <w:rsid w:val="00DC76D1"/>
    <w:rsid w:val="00DC7724"/>
    <w:rsid w:val="00DC77F7"/>
    <w:rsid w:val="00DC7C09"/>
    <w:rsid w:val="00DC7D5D"/>
    <w:rsid w:val="00DC7D7B"/>
    <w:rsid w:val="00DD04B7"/>
    <w:rsid w:val="00DD05C9"/>
    <w:rsid w:val="00DD0A01"/>
    <w:rsid w:val="00DD0B96"/>
    <w:rsid w:val="00DD0DF4"/>
    <w:rsid w:val="00DD0F09"/>
    <w:rsid w:val="00DD0FB5"/>
    <w:rsid w:val="00DD11E2"/>
    <w:rsid w:val="00DD1B63"/>
    <w:rsid w:val="00DD20A6"/>
    <w:rsid w:val="00DD2924"/>
    <w:rsid w:val="00DD2B32"/>
    <w:rsid w:val="00DD2DFA"/>
    <w:rsid w:val="00DD35B5"/>
    <w:rsid w:val="00DD3628"/>
    <w:rsid w:val="00DD369E"/>
    <w:rsid w:val="00DD3844"/>
    <w:rsid w:val="00DD3BD1"/>
    <w:rsid w:val="00DD3CC9"/>
    <w:rsid w:val="00DD45D6"/>
    <w:rsid w:val="00DD472C"/>
    <w:rsid w:val="00DD4785"/>
    <w:rsid w:val="00DD4803"/>
    <w:rsid w:val="00DD4D00"/>
    <w:rsid w:val="00DD4DC5"/>
    <w:rsid w:val="00DD4EAE"/>
    <w:rsid w:val="00DD4EFE"/>
    <w:rsid w:val="00DD5115"/>
    <w:rsid w:val="00DD5226"/>
    <w:rsid w:val="00DD535D"/>
    <w:rsid w:val="00DD542E"/>
    <w:rsid w:val="00DD5641"/>
    <w:rsid w:val="00DD58DC"/>
    <w:rsid w:val="00DD5975"/>
    <w:rsid w:val="00DD5A0A"/>
    <w:rsid w:val="00DD5B7E"/>
    <w:rsid w:val="00DD6193"/>
    <w:rsid w:val="00DD61F6"/>
    <w:rsid w:val="00DD67BC"/>
    <w:rsid w:val="00DD6A42"/>
    <w:rsid w:val="00DD740E"/>
    <w:rsid w:val="00DD7417"/>
    <w:rsid w:val="00DD7447"/>
    <w:rsid w:val="00DD74F1"/>
    <w:rsid w:val="00DD7612"/>
    <w:rsid w:val="00DD77F0"/>
    <w:rsid w:val="00DD7B22"/>
    <w:rsid w:val="00DD7C70"/>
    <w:rsid w:val="00DD7DE5"/>
    <w:rsid w:val="00DD7EF6"/>
    <w:rsid w:val="00DD7FC8"/>
    <w:rsid w:val="00DE0155"/>
    <w:rsid w:val="00DE0244"/>
    <w:rsid w:val="00DE02C8"/>
    <w:rsid w:val="00DE05C9"/>
    <w:rsid w:val="00DE06AB"/>
    <w:rsid w:val="00DE06EA"/>
    <w:rsid w:val="00DE0710"/>
    <w:rsid w:val="00DE0AB4"/>
    <w:rsid w:val="00DE0CEA"/>
    <w:rsid w:val="00DE0EA6"/>
    <w:rsid w:val="00DE1086"/>
    <w:rsid w:val="00DE1778"/>
    <w:rsid w:val="00DE17CE"/>
    <w:rsid w:val="00DE1B3D"/>
    <w:rsid w:val="00DE1CE8"/>
    <w:rsid w:val="00DE2101"/>
    <w:rsid w:val="00DE22F9"/>
    <w:rsid w:val="00DE247F"/>
    <w:rsid w:val="00DE24D3"/>
    <w:rsid w:val="00DE266D"/>
    <w:rsid w:val="00DE26ED"/>
    <w:rsid w:val="00DE2A0C"/>
    <w:rsid w:val="00DE2D33"/>
    <w:rsid w:val="00DE2E39"/>
    <w:rsid w:val="00DE311E"/>
    <w:rsid w:val="00DE34F8"/>
    <w:rsid w:val="00DE36AA"/>
    <w:rsid w:val="00DE3C2B"/>
    <w:rsid w:val="00DE3FA1"/>
    <w:rsid w:val="00DE428C"/>
    <w:rsid w:val="00DE443C"/>
    <w:rsid w:val="00DE46FC"/>
    <w:rsid w:val="00DE4720"/>
    <w:rsid w:val="00DE4AE0"/>
    <w:rsid w:val="00DE4D92"/>
    <w:rsid w:val="00DE4E15"/>
    <w:rsid w:val="00DE55D4"/>
    <w:rsid w:val="00DE56FD"/>
    <w:rsid w:val="00DE5B86"/>
    <w:rsid w:val="00DE5F90"/>
    <w:rsid w:val="00DE60DA"/>
    <w:rsid w:val="00DE653D"/>
    <w:rsid w:val="00DE65A7"/>
    <w:rsid w:val="00DE6646"/>
    <w:rsid w:val="00DE679F"/>
    <w:rsid w:val="00DE6B37"/>
    <w:rsid w:val="00DE6DF0"/>
    <w:rsid w:val="00DE6E13"/>
    <w:rsid w:val="00DE6E60"/>
    <w:rsid w:val="00DE6FEF"/>
    <w:rsid w:val="00DE7435"/>
    <w:rsid w:val="00DE7678"/>
    <w:rsid w:val="00DE76DB"/>
    <w:rsid w:val="00DE7B36"/>
    <w:rsid w:val="00DE7C37"/>
    <w:rsid w:val="00DE7EAF"/>
    <w:rsid w:val="00DF00B4"/>
    <w:rsid w:val="00DF0150"/>
    <w:rsid w:val="00DF0169"/>
    <w:rsid w:val="00DF053D"/>
    <w:rsid w:val="00DF0718"/>
    <w:rsid w:val="00DF0DEE"/>
    <w:rsid w:val="00DF1196"/>
    <w:rsid w:val="00DF119A"/>
    <w:rsid w:val="00DF13FB"/>
    <w:rsid w:val="00DF158C"/>
    <w:rsid w:val="00DF1B23"/>
    <w:rsid w:val="00DF1C20"/>
    <w:rsid w:val="00DF1F1E"/>
    <w:rsid w:val="00DF20A3"/>
    <w:rsid w:val="00DF20AA"/>
    <w:rsid w:val="00DF26F7"/>
    <w:rsid w:val="00DF2930"/>
    <w:rsid w:val="00DF2E22"/>
    <w:rsid w:val="00DF2F76"/>
    <w:rsid w:val="00DF33CD"/>
    <w:rsid w:val="00DF3914"/>
    <w:rsid w:val="00DF39BF"/>
    <w:rsid w:val="00DF3D29"/>
    <w:rsid w:val="00DF3E74"/>
    <w:rsid w:val="00DF4546"/>
    <w:rsid w:val="00DF4609"/>
    <w:rsid w:val="00DF48BE"/>
    <w:rsid w:val="00DF4AB1"/>
    <w:rsid w:val="00DF4B7D"/>
    <w:rsid w:val="00DF4C11"/>
    <w:rsid w:val="00DF4EC1"/>
    <w:rsid w:val="00DF51CB"/>
    <w:rsid w:val="00DF51E6"/>
    <w:rsid w:val="00DF5580"/>
    <w:rsid w:val="00DF56F9"/>
    <w:rsid w:val="00DF5872"/>
    <w:rsid w:val="00DF5A59"/>
    <w:rsid w:val="00DF5BB9"/>
    <w:rsid w:val="00DF5C51"/>
    <w:rsid w:val="00DF5D3C"/>
    <w:rsid w:val="00DF5E30"/>
    <w:rsid w:val="00DF5E8C"/>
    <w:rsid w:val="00DF5FBE"/>
    <w:rsid w:val="00DF6265"/>
    <w:rsid w:val="00DF6398"/>
    <w:rsid w:val="00DF6794"/>
    <w:rsid w:val="00DF6987"/>
    <w:rsid w:val="00DF6A54"/>
    <w:rsid w:val="00DF6EEA"/>
    <w:rsid w:val="00DF6F76"/>
    <w:rsid w:val="00DF728F"/>
    <w:rsid w:val="00DF72B7"/>
    <w:rsid w:val="00DF73FF"/>
    <w:rsid w:val="00DF74D7"/>
    <w:rsid w:val="00DF75AB"/>
    <w:rsid w:val="00DF761A"/>
    <w:rsid w:val="00DF76A9"/>
    <w:rsid w:val="00DF7BA5"/>
    <w:rsid w:val="00DF7F07"/>
    <w:rsid w:val="00DF7F44"/>
    <w:rsid w:val="00E003C3"/>
    <w:rsid w:val="00E003FE"/>
    <w:rsid w:val="00E00462"/>
    <w:rsid w:val="00E004AC"/>
    <w:rsid w:val="00E0051B"/>
    <w:rsid w:val="00E00792"/>
    <w:rsid w:val="00E009B4"/>
    <w:rsid w:val="00E00AC7"/>
    <w:rsid w:val="00E00C7E"/>
    <w:rsid w:val="00E00D31"/>
    <w:rsid w:val="00E00EE3"/>
    <w:rsid w:val="00E00F16"/>
    <w:rsid w:val="00E00FA0"/>
    <w:rsid w:val="00E011EC"/>
    <w:rsid w:val="00E01A32"/>
    <w:rsid w:val="00E01B83"/>
    <w:rsid w:val="00E01BA0"/>
    <w:rsid w:val="00E01D91"/>
    <w:rsid w:val="00E02098"/>
    <w:rsid w:val="00E022A9"/>
    <w:rsid w:val="00E022B0"/>
    <w:rsid w:val="00E022C4"/>
    <w:rsid w:val="00E02301"/>
    <w:rsid w:val="00E02634"/>
    <w:rsid w:val="00E027E7"/>
    <w:rsid w:val="00E02D2E"/>
    <w:rsid w:val="00E02EA0"/>
    <w:rsid w:val="00E02F13"/>
    <w:rsid w:val="00E03350"/>
    <w:rsid w:val="00E03617"/>
    <w:rsid w:val="00E03824"/>
    <w:rsid w:val="00E03A43"/>
    <w:rsid w:val="00E03A86"/>
    <w:rsid w:val="00E03B8D"/>
    <w:rsid w:val="00E03C1F"/>
    <w:rsid w:val="00E03D03"/>
    <w:rsid w:val="00E03F85"/>
    <w:rsid w:val="00E04002"/>
    <w:rsid w:val="00E042E0"/>
    <w:rsid w:val="00E045F8"/>
    <w:rsid w:val="00E04641"/>
    <w:rsid w:val="00E04736"/>
    <w:rsid w:val="00E0495E"/>
    <w:rsid w:val="00E04C06"/>
    <w:rsid w:val="00E04DA0"/>
    <w:rsid w:val="00E0522E"/>
    <w:rsid w:val="00E05289"/>
    <w:rsid w:val="00E056EB"/>
    <w:rsid w:val="00E05BAF"/>
    <w:rsid w:val="00E05D7C"/>
    <w:rsid w:val="00E05FCE"/>
    <w:rsid w:val="00E05FF0"/>
    <w:rsid w:val="00E0657C"/>
    <w:rsid w:val="00E06BA3"/>
    <w:rsid w:val="00E07047"/>
    <w:rsid w:val="00E07549"/>
    <w:rsid w:val="00E0767F"/>
    <w:rsid w:val="00E076D5"/>
    <w:rsid w:val="00E076E3"/>
    <w:rsid w:val="00E07A8C"/>
    <w:rsid w:val="00E07B13"/>
    <w:rsid w:val="00E07C2F"/>
    <w:rsid w:val="00E10288"/>
    <w:rsid w:val="00E10AD0"/>
    <w:rsid w:val="00E10C86"/>
    <w:rsid w:val="00E10CFA"/>
    <w:rsid w:val="00E10D02"/>
    <w:rsid w:val="00E110A0"/>
    <w:rsid w:val="00E11100"/>
    <w:rsid w:val="00E11115"/>
    <w:rsid w:val="00E1123E"/>
    <w:rsid w:val="00E11677"/>
    <w:rsid w:val="00E11790"/>
    <w:rsid w:val="00E11C37"/>
    <w:rsid w:val="00E121E5"/>
    <w:rsid w:val="00E12422"/>
    <w:rsid w:val="00E1273F"/>
    <w:rsid w:val="00E128EF"/>
    <w:rsid w:val="00E132D3"/>
    <w:rsid w:val="00E1352B"/>
    <w:rsid w:val="00E1361F"/>
    <w:rsid w:val="00E13658"/>
    <w:rsid w:val="00E13686"/>
    <w:rsid w:val="00E137A9"/>
    <w:rsid w:val="00E1403A"/>
    <w:rsid w:val="00E14292"/>
    <w:rsid w:val="00E1472F"/>
    <w:rsid w:val="00E14AAA"/>
    <w:rsid w:val="00E15002"/>
    <w:rsid w:val="00E1523C"/>
    <w:rsid w:val="00E1532A"/>
    <w:rsid w:val="00E15429"/>
    <w:rsid w:val="00E1555A"/>
    <w:rsid w:val="00E157F4"/>
    <w:rsid w:val="00E15815"/>
    <w:rsid w:val="00E15AD3"/>
    <w:rsid w:val="00E15B84"/>
    <w:rsid w:val="00E15C53"/>
    <w:rsid w:val="00E15CEB"/>
    <w:rsid w:val="00E15F37"/>
    <w:rsid w:val="00E1631F"/>
    <w:rsid w:val="00E165F9"/>
    <w:rsid w:val="00E16A4D"/>
    <w:rsid w:val="00E16D3D"/>
    <w:rsid w:val="00E16E99"/>
    <w:rsid w:val="00E17032"/>
    <w:rsid w:val="00E17352"/>
    <w:rsid w:val="00E17697"/>
    <w:rsid w:val="00E17A33"/>
    <w:rsid w:val="00E17A5C"/>
    <w:rsid w:val="00E17C02"/>
    <w:rsid w:val="00E17D72"/>
    <w:rsid w:val="00E20781"/>
    <w:rsid w:val="00E208BB"/>
    <w:rsid w:val="00E209AE"/>
    <w:rsid w:val="00E20C77"/>
    <w:rsid w:val="00E20CC5"/>
    <w:rsid w:val="00E20CF9"/>
    <w:rsid w:val="00E20E01"/>
    <w:rsid w:val="00E20EF2"/>
    <w:rsid w:val="00E20F5E"/>
    <w:rsid w:val="00E214E3"/>
    <w:rsid w:val="00E216C1"/>
    <w:rsid w:val="00E216D6"/>
    <w:rsid w:val="00E217E4"/>
    <w:rsid w:val="00E21891"/>
    <w:rsid w:val="00E218A9"/>
    <w:rsid w:val="00E21906"/>
    <w:rsid w:val="00E21945"/>
    <w:rsid w:val="00E21E33"/>
    <w:rsid w:val="00E21E78"/>
    <w:rsid w:val="00E2256C"/>
    <w:rsid w:val="00E22682"/>
    <w:rsid w:val="00E2285E"/>
    <w:rsid w:val="00E2294D"/>
    <w:rsid w:val="00E229F3"/>
    <w:rsid w:val="00E23457"/>
    <w:rsid w:val="00E23488"/>
    <w:rsid w:val="00E23499"/>
    <w:rsid w:val="00E239AE"/>
    <w:rsid w:val="00E23A09"/>
    <w:rsid w:val="00E23A27"/>
    <w:rsid w:val="00E23BBE"/>
    <w:rsid w:val="00E23D76"/>
    <w:rsid w:val="00E23E51"/>
    <w:rsid w:val="00E23F7B"/>
    <w:rsid w:val="00E24030"/>
    <w:rsid w:val="00E2407D"/>
    <w:rsid w:val="00E24367"/>
    <w:rsid w:val="00E243D0"/>
    <w:rsid w:val="00E24446"/>
    <w:rsid w:val="00E248F5"/>
    <w:rsid w:val="00E24A47"/>
    <w:rsid w:val="00E24B29"/>
    <w:rsid w:val="00E24B81"/>
    <w:rsid w:val="00E24D82"/>
    <w:rsid w:val="00E24DBD"/>
    <w:rsid w:val="00E253EB"/>
    <w:rsid w:val="00E253F4"/>
    <w:rsid w:val="00E258C6"/>
    <w:rsid w:val="00E2595E"/>
    <w:rsid w:val="00E25A7C"/>
    <w:rsid w:val="00E25B4B"/>
    <w:rsid w:val="00E25D98"/>
    <w:rsid w:val="00E25E24"/>
    <w:rsid w:val="00E25E9C"/>
    <w:rsid w:val="00E261F9"/>
    <w:rsid w:val="00E26536"/>
    <w:rsid w:val="00E269B1"/>
    <w:rsid w:val="00E26ABF"/>
    <w:rsid w:val="00E26BD4"/>
    <w:rsid w:val="00E26DA3"/>
    <w:rsid w:val="00E2702E"/>
    <w:rsid w:val="00E27236"/>
    <w:rsid w:val="00E27252"/>
    <w:rsid w:val="00E27611"/>
    <w:rsid w:val="00E277A1"/>
    <w:rsid w:val="00E27B50"/>
    <w:rsid w:val="00E3049D"/>
    <w:rsid w:val="00E304DF"/>
    <w:rsid w:val="00E305C5"/>
    <w:rsid w:val="00E307F8"/>
    <w:rsid w:val="00E30B00"/>
    <w:rsid w:val="00E30C1F"/>
    <w:rsid w:val="00E310C3"/>
    <w:rsid w:val="00E312DC"/>
    <w:rsid w:val="00E3132B"/>
    <w:rsid w:val="00E31618"/>
    <w:rsid w:val="00E319C7"/>
    <w:rsid w:val="00E31CBE"/>
    <w:rsid w:val="00E31F2F"/>
    <w:rsid w:val="00E32320"/>
    <w:rsid w:val="00E327CA"/>
    <w:rsid w:val="00E32A78"/>
    <w:rsid w:val="00E32B56"/>
    <w:rsid w:val="00E32CA1"/>
    <w:rsid w:val="00E33069"/>
    <w:rsid w:val="00E33263"/>
    <w:rsid w:val="00E3344A"/>
    <w:rsid w:val="00E336CD"/>
    <w:rsid w:val="00E33C3D"/>
    <w:rsid w:val="00E33C74"/>
    <w:rsid w:val="00E33D08"/>
    <w:rsid w:val="00E340B9"/>
    <w:rsid w:val="00E343AE"/>
    <w:rsid w:val="00E343DB"/>
    <w:rsid w:val="00E34484"/>
    <w:rsid w:val="00E34661"/>
    <w:rsid w:val="00E349DA"/>
    <w:rsid w:val="00E34C31"/>
    <w:rsid w:val="00E34DD3"/>
    <w:rsid w:val="00E3535D"/>
    <w:rsid w:val="00E357CC"/>
    <w:rsid w:val="00E35CF7"/>
    <w:rsid w:val="00E35F50"/>
    <w:rsid w:val="00E35F66"/>
    <w:rsid w:val="00E36208"/>
    <w:rsid w:val="00E364A3"/>
    <w:rsid w:val="00E36A72"/>
    <w:rsid w:val="00E36C93"/>
    <w:rsid w:val="00E36C9A"/>
    <w:rsid w:val="00E36F15"/>
    <w:rsid w:val="00E37096"/>
    <w:rsid w:val="00E3769E"/>
    <w:rsid w:val="00E377C0"/>
    <w:rsid w:val="00E378B4"/>
    <w:rsid w:val="00E37F28"/>
    <w:rsid w:val="00E37FD8"/>
    <w:rsid w:val="00E40156"/>
    <w:rsid w:val="00E401AB"/>
    <w:rsid w:val="00E403B1"/>
    <w:rsid w:val="00E4082D"/>
    <w:rsid w:val="00E40B73"/>
    <w:rsid w:val="00E40EFD"/>
    <w:rsid w:val="00E40F44"/>
    <w:rsid w:val="00E40F7A"/>
    <w:rsid w:val="00E4124A"/>
    <w:rsid w:val="00E41382"/>
    <w:rsid w:val="00E415FB"/>
    <w:rsid w:val="00E416E7"/>
    <w:rsid w:val="00E41708"/>
    <w:rsid w:val="00E41802"/>
    <w:rsid w:val="00E41A79"/>
    <w:rsid w:val="00E41ACD"/>
    <w:rsid w:val="00E41AFF"/>
    <w:rsid w:val="00E41B02"/>
    <w:rsid w:val="00E41BD7"/>
    <w:rsid w:val="00E41ED9"/>
    <w:rsid w:val="00E4228E"/>
    <w:rsid w:val="00E4229D"/>
    <w:rsid w:val="00E424B1"/>
    <w:rsid w:val="00E42557"/>
    <w:rsid w:val="00E42BF7"/>
    <w:rsid w:val="00E42D24"/>
    <w:rsid w:val="00E430A7"/>
    <w:rsid w:val="00E430D7"/>
    <w:rsid w:val="00E43257"/>
    <w:rsid w:val="00E432B0"/>
    <w:rsid w:val="00E4341A"/>
    <w:rsid w:val="00E43957"/>
    <w:rsid w:val="00E43C4A"/>
    <w:rsid w:val="00E43D7C"/>
    <w:rsid w:val="00E43E48"/>
    <w:rsid w:val="00E440A4"/>
    <w:rsid w:val="00E443F9"/>
    <w:rsid w:val="00E44537"/>
    <w:rsid w:val="00E44930"/>
    <w:rsid w:val="00E44A71"/>
    <w:rsid w:val="00E44C9E"/>
    <w:rsid w:val="00E44E39"/>
    <w:rsid w:val="00E44FFA"/>
    <w:rsid w:val="00E45197"/>
    <w:rsid w:val="00E4560F"/>
    <w:rsid w:val="00E45BC5"/>
    <w:rsid w:val="00E45D77"/>
    <w:rsid w:val="00E45DF7"/>
    <w:rsid w:val="00E45E6B"/>
    <w:rsid w:val="00E45FAE"/>
    <w:rsid w:val="00E46CF6"/>
    <w:rsid w:val="00E46E34"/>
    <w:rsid w:val="00E47192"/>
    <w:rsid w:val="00E473B5"/>
    <w:rsid w:val="00E474DB"/>
    <w:rsid w:val="00E475B6"/>
    <w:rsid w:val="00E47624"/>
    <w:rsid w:val="00E47907"/>
    <w:rsid w:val="00E47AAC"/>
    <w:rsid w:val="00E47AF8"/>
    <w:rsid w:val="00E47D51"/>
    <w:rsid w:val="00E47E04"/>
    <w:rsid w:val="00E5007F"/>
    <w:rsid w:val="00E501CE"/>
    <w:rsid w:val="00E50888"/>
    <w:rsid w:val="00E50905"/>
    <w:rsid w:val="00E50B98"/>
    <w:rsid w:val="00E50F40"/>
    <w:rsid w:val="00E50F58"/>
    <w:rsid w:val="00E51117"/>
    <w:rsid w:val="00E51BC6"/>
    <w:rsid w:val="00E51C1A"/>
    <w:rsid w:val="00E51C8C"/>
    <w:rsid w:val="00E51CB2"/>
    <w:rsid w:val="00E51CD6"/>
    <w:rsid w:val="00E51FDF"/>
    <w:rsid w:val="00E521B9"/>
    <w:rsid w:val="00E523B9"/>
    <w:rsid w:val="00E52461"/>
    <w:rsid w:val="00E524B3"/>
    <w:rsid w:val="00E52543"/>
    <w:rsid w:val="00E52859"/>
    <w:rsid w:val="00E528B7"/>
    <w:rsid w:val="00E5295E"/>
    <w:rsid w:val="00E529CA"/>
    <w:rsid w:val="00E52EF9"/>
    <w:rsid w:val="00E531BE"/>
    <w:rsid w:val="00E53269"/>
    <w:rsid w:val="00E5326B"/>
    <w:rsid w:val="00E53324"/>
    <w:rsid w:val="00E533D1"/>
    <w:rsid w:val="00E5374D"/>
    <w:rsid w:val="00E5399F"/>
    <w:rsid w:val="00E53CC0"/>
    <w:rsid w:val="00E53F6C"/>
    <w:rsid w:val="00E5419B"/>
    <w:rsid w:val="00E54332"/>
    <w:rsid w:val="00E5443F"/>
    <w:rsid w:val="00E546D5"/>
    <w:rsid w:val="00E54DE3"/>
    <w:rsid w:val="00E54E3A"/>
    <w:rsid w:val="00E54EC8"/>
    <w:rsid w:val="00E551D7"/>
    <w:rsid w:val="00E55359"/>
    <w:rsid w:val="00E5540B"/>
    <w:rsid w:val="00E55749"/>
    <w:rsid w:val="00E5597C"/>
    <w:rsid w:val="00E55A92"/>
    <w:rsid w:val="00E55A9E"/>
    <w:rsid w:val="00E55CD3"/>
    <w:rsid w:val="00E55CFE"/>
    <w:rsid w:val="00E562DA"/>
    <w:rsid w:val="00E56715"/>
    <w:rsid w:val="00E5683A"/>
    <w:rsid w:val="00E56A46"/>
    <w:rsid w:val="00E575C0"/>
    <w:rsid w:val="00E577AA"/>
    <w:rsid w:val="00E578C8"/>
    <w:rsid w:val="00E57DAF"/>
    <w:rsid w:val="00E57DD8"/>
    <w:rsid w:val="00E6002A"/>
    <w:rsid w:val="00E6095A"/>
    <w:rsid w:val="00E60973"/>
    <w:rsid w:val="00E60B82"/>
    <w:rsid w:val="00E60CBF"/>
    <w:rsid w:val="00E60D4C"/>
    <w:rsid w:val="00E60E27"/>
    <w:rsid w:val="00E60EC2"/>
    <w:rsid w:val="00E60FFF"/>
    <w:rsid w:val="00E61279"/>
    <w:rsid w:val="00E613AE"/>
    <w:rsid w:val="00E6148A"/>
    <w:rsid w:val="00E614EB"/>
    <w:rsid w:val="00E61630"/>
    <w:rsid w:val="00E61BEB"/>
    <w:rsid w:val="00E61C7A"/>
    <w:rsid w:val="00E61D2D"/>
    <w:rsid w:val="00E61D5C"/>
    <w:rsid w:val="00E623C6"/>
    <w:rsid w:val="00E62ACE"/>
    <w:rsid w:val="00E62C30"/>
    <w:rsid w:val="00E62E04"/>
    <w:rsid w:val="00E62F7F"/>
    <w:rsid w:val="00E62F8E"/>
    <w:rsid w:val="00E63079"/>
    <w:rsid w:val="00E631E6"/>
    <w:rsid w:val="00E639AF"/>
    <w:rsid w:val="00E63B5A"/>
    <w:rsid w:val="00E63CCD"/>
    <w:rsid w:val="00E63ED8"/>
    <w:rsid w:val="00E64039"/>
    <w:rsid w:val="00E644E5"/>
    <w:rsid w:val="00E6476A"/>
    <w:rsid w:val="00E64B2D"/>
    <w:rsid w:val="00E64EBC"/>
    <w:rsid w:val="00E64F9D"/>
    <w:rsid w:val="00E65169"/>
    <w:rsid w:val="00E6540E"/>
    <w:rsid w:val="00E655CA"/>
    <w:rsid w:val="00E659EB"/>
    <w:rsid w:val="00E66213"/>
    <w:rsid w:val="00E66422"/>
    <w:rsid w:val="00E664C4"/>
    <w:rsid w:val="00E665A3"/>
    <w:rsid w:val="00E665FA"/>
    <w:rsid w:val="00E66660"/>
    <w:rsid w:val="00E66779"/>
    <w:rsid w:val="00E66AD0"/>
    <w:rsid w:val="00E66BBA"/>
    <w:rsid w:val="00E66BCC"/>
    <w:rsid w:val="00E66E58"/>
    <w:rsid w:val="00E66F66"/>
    <w:rsid w:val="00E670E4"/>
    <w:rsid w:val="00E67993"/>
    <w:rsid w:val="00E67ADB"/>
    <w:rsid w:val="00E67D02"/>
    <w:rsid w:val="00E67DE6"/>
    <w:rsid w:val="00E7058E"/>
    <w:rsid w:val="00E70743"/>
    <w:rsid w:val="00E707C5"/>
    <w:rsid w:val="00E70835"/>
    <w:rsid w:val="00E70B7C"/>
    <w:rsid w:val="00E70C9A"/>
    <w:rsid w:val="00E70CD4"/>
    <w:rsid w:val="00E70DEE"/>
    <w:rsid w:val="00E70EB4"/>
    <w:rsid w:val="00E70F32"/>
    <w:rsid w:val="00E70F49"/>
    <w:rsid w:val="00E710A9"/>
    <w:rsid w:val="00E71382"/>
    <w:rsid w:val="00E71589"/>
    <w:rsid w:val="00E715D5"/>
    <w:rsid w:val="00E717A9"/>
    <w:rsid w:val="00E7180A"/>
    <w:rsid w:val="00E71B1C"/>
    <w:rsid w:val="00E71B84"/>
    <w:rsid w:val="00E71BF2"/>
    <w:rsid w:val="00E7235A"/>
    <w:rsid w:val="00E72450"/>
    <w:rsid w:val="00E72D2C"/>
    <w:rsid w:val="00E72E01"/>
    <w:rsid w:val="00E7312F"/>
    <w:rsid w:val="00E73325"/>
    <w:rsid w:val="00E733A9"/>
    <w:rsid w:val="00E7354C"/>
    <w:rsid w:val="00E736D9"/>
    <w:rsid w:val="00E737AD"/>
    <w:rsid w:val="00E7392E"/>
    <w:rsid w:val="00E73AE9"/>
    <w:rsid w:val="00E73D7F"/>
    <w:rsid w:val="00E73D8F"/>
    <w:rsid w:val="00E73EE4"/>
    <w:rsid w:val="00E7402E"/>
    <w:rsid w:val="00E7406E"/>
    <w:rsid w:val="00E74074"/>
    <w:rsid w:val="00E746C0"/>
    <w:rsid w:val="00E74745"/>
    <w:rsid w:val="00E74884"/>
    <w:rsid w:val="00E74A6B"/>
    <w:rsid w:val="00E74C09"/>
    <w:rsid w:val="00E74E08"/>
    <w:rsid w:val="00E74E92"/>
    <w:rsid w:val="00E74E96"/>
    <w:rsid w:val="00E75283"/>
    <w:rsid w:val="00E756CA"/>
    <w:rsid w:val="00E75704"/>
    <w:rsid w:val="00E75864"/>
    <w:rsid w:val="00E75B71"/>
    <w:rsid w:val="00E75C41"/>
    <w:rsid w:val="00E75CD9"/>
    <w:rsid w:val="00E75D59"/>
    <w:rsid w:val="00E75E0B"/>
    <w:rsid w:val="00E7614B"/>
    <w:rsid w:val="00E7648F"/>
    <w:rsid w:val="00E765A0"/>
    <w:rsid w:val="00E76989"/>
    <w:rsid w:val="00E771E1"/>
    <w:rsid w:val="00E77602"/>
    <w:rsid w:val="00E776F7"/>
    <w:rsid w:val="00E77701"/>
    <w:rsid w:val="00E7772A"/>
    <w:rsid w:val="00E77A38"/>
    <w:rsid w:val="00E77C07"/>
    <w:rsid w:val="00E77D03"/>
    <w:rsid w:val="00E77E69"/>
    <w:rsid w:val="00E77EB8"/>
    <w:rsid w:val="00E805E0"/>
    <w:rsid w:val="00E80BF8"/>
    <w:rsid w:val="00E80D4E"/>
    <w:rsid w:val="00E81011"/>
    <w:rsid w:val="00E8138A"/>
    <w:rsid w:val="00E817D8"/>
    <w:rsid w:val="00E81D6F"/>
    <w:rsid w:val="00E829D1"/>
    <w:rsid w:val="00E82B65"/>
    <w:rsid w:val="00E82B81"/>
    <w:rsid w:val="00E8305D"/>
    <w:rsid w:val="00E8325E"/>
    <w:rsid w:val="00E83328"/>
    <w:rsid w:val="00E834D7"/>
    <w:rsid w:val="00E836DC"/>
    <w:rsid w:val="00E83792"/>
    <w:rsid w:val="00E837AF"/>
    <w:rsid w:val="00E83842"/>
    <w:rsid w:val="00E839D9"/>
    <w:rsid w:val="00E83EC7"/>
    <w:rsid w:val="00E83F01"/>
    <w:rsid w:val="00E84107"/>
    <w:rsid w:val="00E84811"/>
    <w:rsid w:val="00E848E2"/>
    <w:rsid w:val="00E84979"/>
    <w:rsid w:val="00E84A1B"/>
    <w:rsid w:val="00E84ABC"/>
    <w:rsid w:val="00E8534E"/>
    <w:rsid w:val="00E85ADB"/>
    <w:rsid w:val="00E85B89"/>
    <w:rsid w:val="00E864DF"/>
    <w:rsid w:val="00E86571"/>
    <w:rsid w:val="00E86B75"/>
    <w:rsid w:val="00E86C92"/>
    <w:rsid w:val="00E874B6"/>
    <w:rsid w:val="00E87754"/>
    <w:rsid w:val="00E87895"/>
    <w:rsid w:val="00E87ABF"/>
    <w:rsid w:val="00E90090"/>
    <w:rsid w:val="00E90422"/>
    <w:rsid w:val="00E9062F"/>
    <w:rsid w:val="00E90660"/>
    <w:rsid w:val="00E9083D"/>
    <w:rsid w:val="00E90A4E"/>
    <w:rsid w:val="00E90C61"/>
    <w:rsid w:val="00E90C68"/>
    <w:rsid w:val="00E90DF5"/>
    <w:rsid w:val="00E9117A"/>
    <w:rsid w:val="00E91442"/>
    <w:rsid w:val="00E91549"/>
    <w:rsid w:val="00E9158C"/>
    <w:rsid w:val="00E91BB1"/>
    <w:rsid w:val="00E91D94"/>
    <w:rsid w:val="00E91F52"/>
    <w:rsid w:val="00E920D5"/>
    <w:rsid w:val="00E9236F"/>
    <w:rsid w:val="00E923F5"/>
    <w:rsid w:val="00E9247F"/>
    <w:rsid w:val="00E924FC"/>
    <w:rsid w:val="00E92563"/>
    <w:rsid w:val="00E92647"/>
    <w:rsid w:val="00E9281E"/>
    <w:rsid w:val="00E92F44"/>
    <w:rsid w:val="00E92FDD"/>
    <w:rsid w:val="00E93072"/>
    <w:rsid w:val="00E931CF"/>
    <w:rsid w:val="00E932FB"/>
    <w:rsid w:val="00E935CD"/>
    <w:rsid w:val="00E93E85"/>
    <w:rsid w:val="00E93F3D"/>
    <w:rsid w:val="00E9416C"/>
    <w:rsid w:val="00E94284"/>
    <w:rsid w:val="00E944B7"/>
    <w:rsid w:val="00E9470E"/>
    <w:rsid w:val="00E94955"/>
    <w:rsid w:val="00E94AF4"/>
    <w:rsid w:val="00E94D2D"/>
    <w:rsid w:val="00E94F9E"/>
    <w:rsid w:val="00E95218"/>
    <w:rsid w:val="00E9561D"/>
    <w:rsid w:val="00E95D4D"/>
    <w:rsid w:val="00E95DCA"/>
    <w:rsid w:val="00E95DE6"/>
    <w:rsid w:val="00E96723"/>
    <w:rsid w:val="00E96ABD"/>
    <w:rsid w:val="00E96C52"/>
    <w:rsid w:val="00E96DEA"/>
    <w:rsid w:val="00E96EFB"/>
    <w:rsid w:val="00E96F9F"/>
    <w:rsid w:val="00E970F2"/>
    <w:rsid w:val="00E975DB"/>
    <w:rsid w:val="00E976BC"/>
    <w:rsid w:val="00E97796"/>
    <w:rsid w:val="00E97B10"/>
    <w:rsid w:val="00E97B3C"/>
    <w:rsid w:val="00EA032B"/>
    <w:rsid w:val="00EA0481"/>
    <w:rsid w:val="00EA0493"/>
    <w:rsid w:val="00EA0767"/>
    <w:rsid w:val="00EA0C62"/>
    <w:rsid w:val="00EA0EB3"/>
    <w:rsid w:val="00EA12B7"/>
    <w:rsid w:val="00EA12FF"/>
    <w:rsid w:val="00EA1350"/>
    <w:rsid w:val="00EA17D1"/>
    <w:rsid w:val="00EA1845"/>
    <w:rsid w:val="00EA1860"/>
    <w:rsid w:val="00EA1DB5"/>
    <w:rsid w:val="00EA297C"/>
    <w:rsid w:val="00EA2D5D"/>
    <w:rsid w:val="00EA33B9"/>
    <w:rsid w:val="00EA36B0"/>
    <w:rsid w:val="00EA3767"/>
    <w:rsid w:val="00EA391F"/>
    <w:rsid w:val="00EA399C"/>
    <w:rsid w:val="00EA3DE0"/>
    <w:rsid w:val="00EA3F5C"/>
    <w:rsid w:val="00EA4131"/>
    <w:rsid w:val="00EA43CA"/>
    <w:rsid w:val="00EA4587"/>
    <w:rsid w:val="00EA4614"/>
    <w:rsid w:val="00EA477F"/>
    <w:rsid w:val="00EA48F8"/>
    <w:rsid w:val="00EA4B57"/>
    <w:rsid w:val="00EA4B99"/>
    <w:rsid w:val="00EA4CAD"/>
    <w:rsid w:val="00EA4DB2"/>
    <w:rsid w:val="00EA52D5"/>
    <w:rsid w:val="00EA5609"/>
    <w:rsid w:val="00EA5788"/>
    <w:rsid w:val="00EA57E5"/>
    <w:rsid w:val="00EA5886"/>
    <w:rsid w:val="00EA621E"/>
    <w:rsid w:val="00EA6282"/>
    <w:rsid w:val="00EA6350"/>
    <w:rsid w:val="00EA63AF"/>
    <w:rsid w:val="00EA6920"/>
    <w:rsid w:val="00EA6ACA"/>
    <w:rsid w:val="00EA6DAE"/>
    <w:rsid w:val="00EA6EB4"/>
    <w:rsid w:val="00EA722D"/>
    <w:rsid w:val="00EA734F"/>
    <w:rsid w:val="00EA7587"/>
    <w:rsid w:val="00EA77DC"/>
    <w:rsid w:val="00EA7B8B"/>
    <w:rsid w:val="00EA7D7F"/>
    <w:rsid w:val="00EA7DB2"/>
    <w:rsid w:val="00EB0192"/>
    <w:rsid w:val="00EB01B3"/>
    <w:rsid w:val="00EB0378"/>
    <w:rsid w:val="00EB0D2B"/>
    <w:rsid w:val="00EB0FB7"/>
    <w:rsid w:val="00EB147A"/>
    <w:rsid w:val="00EB1948"/>
    <w:rsid w:val="00EB2135"/>
    <w:rsid w:val="00EB2319"/>
    <w:rsid w:val="00EB24C0"/>
    <w:rsid w:val="00EB2702"/>
    <w:rsid w:val="00EB29C5"/>
    <w:rsid w:val="00EB2A05"/>
    <w:rsid w:val="00EB2B95"/>
    <w:rsid w:val="00EB2CFB"/>
    <w:rsid w:val="00EB2DD1"/>
    <w:rsid w:val="00EB351F"/>
    <w:rsid w:val="00EB355F"/>
    <w:rsid w:val="00EB35A3"/>
    <w:rsid w:val="00EB3849"/>
    <w:rsid w:val="00EB39E0"/>
    <w:rsid w:val="00EB410F"/>
    <w:rsid w:val="00EB41BF"/>
    <w:rsid w:val="00EB456C"/>
    <w:rsid w:val="00EB45A7"/>
    <w:rsid w:val="00EB4659"/>
    <w:rsid w:val="00EB486C"/>
    <w:rsid w:val="00EB48E2"/>
    <w:rsid w:val="00EB4B61"/>
    <w:rsid w:val="00EB4B95"/>
    <w:rsid w:val="00EB4EC9"/>
    <w:rsid w:val="00EB4F9D"/>
    <w:rsid w:val="00EB507B"/>
    <w:rsid w:val="00EB5D65"/>
    <w:rsid w:val="00EB60C6"/>
    <w:rsid w:val="00EB621B"/>
    <w:rsid w:val="00EB64B6"/>
    <w:rsid w:val="00EB6580"/>
    <w:rsid w:val="00EB6651"/>
    <w:rsid w:val="00EB6B76"/>
    <w:rsid w:val="00EB6BFD"/>
    <w:rsid w:val="00EB6E1D"/>
    <w:rsid w:val="00EB6F27"/>
    <w:rsid w:val="00EB74E1"/>
    <w:rsid w:val="00EB7D47"/>
    <w:rsid w:val="00EB7E89"/>
    <w:rsid w:val="00EB7EB2"/>
    <w:rsid w:val="00EB7F74"/>
    <w:rsid w:val="00EC0112"/>
    <w:rsid w:val="00EC0143"/>
    <w:rsid w:val="00EC0524"/>
    <w:rsid w:val="00EC084B"/>
    <w:rsid w:val="00EC0926"/>
    <w:rsid w:val="00EC09B1"/>
    <w:rsid w:val="00EC0BF0"/>
    <w:rsid w:val="00EC0D78"/>
    <w:rsid w:val="00EC0F56"/>
    <w:rsid w:val="00EC119B"/>
    <w:rsid w:val="00EC17D6"/>
    <w:rsid w:val="00EC19C0"/>
    <w:rsid w:val="00EC1AD1"/>
    <w:rsid w:val="00EC1D95"/>
    <w:rsid w:val="00EC1DA1"/>
    <w:rsid w:val="00EC1FBD"/>
    <w:rsid w:val="00EC2176"/>
    <w:rsid w:val="00EC2588"/>
    <w:rsid w:val="00EC27B3"/>
    <w:rsid w:val="00EC2C81"/>
    <w:rsid w:val="00EC2DCB"/>
    <w:rsid w:val="00EC30BD"/>
    <w:rsid w:val="00EC34C6"/>
    <w:rsid w:val="00EC3C01"/>
    <w:rsid w:val="00EC3C7B"/>
    <w:rsid w:val="00EC3D3A"/>
    <w:rsid w:val="00EC3FE0"/>
    <w:rsid w:val="00EC42DD"/>
    <w:rsid w:val="00EC4835"/>
    <w:rsid w:val="00EC4841"/>
    <w:rsid w:val="00EC4A9D"/>
    <w:rsid w:val="00EC4C53"/>
    <w:rsid w:val="00EC4CA5"/>
    <w:rsid w:val="00EC4FB3"/>
    <w:rsid w:val="00EC54E9"/>
    <w:rsid w:val="00EC5629"/>
    <w:rsid w:val="00EC58E3"/>
    <w:rsid w:val="00EC5BB8"/>
    <w:rsid w:val="00EC5C0B"/>
    <w:rsid w:val="00EC5DDA"/>
    <w:rsid w:val="00EC603A"/>
    <w:rsid w:val="00EC60D5"/>
    <w:rsid w:val="00EC6686"/>
    <w:rsid w:val="00EC69ED"/>
    <w:rsid w:val="00EC6C09"/>
    <w:rsid w:val="00EC6C30"/>
    <w:rsid w:val="00EC6CE0"/>
    <w:rsid w:val="00EC6F49"/>
    <w:rsid w:val="00EC72D8"/>
    <w:rsid w:val="00EC746C"/>
    <w:rsid w:val="00EC74CA"/>
    <w:rsid w:val="00EC7D28"/>
    <w:rsid w:val="00ED00D6"/>
    <w:rsid w:val="00ED00F6"/>
    <w:rsid w:val="00ED01E3"/>
    <w:rsid w:val="00ED055A"/>
    <w:rsid w:val="00ED0CDE"/>
    <w:rsid w:val="00ED0E5F"/>
    <w:rsid w:val="00ED0FDD"/>
    <w:rsid w:val="00ED0FF9"/>
    <w:rsid w:val="00ED10BC"/>
    <w:rsid w:val="00ED1115"/>
    <w:rsid w:val="00ED1170"/>
    <w:rsid w:val="00ED129B"/>
    <w:rsid w:val="00ED1407"/>
    <w:rsid w:val="00ED1671"/>
    <w:rsid w:val="00ED1817"/>
    <w:rsid w:val="00ED18E3"/>
    <w:rsid w:val="00ED19B1"/>
    <w:rsid w:val="00ED1AA7"/>
    <w:rsid w:val="00ED1BA5"/>
    <w:rsid w:val="00ED2334"/>
    <w:rsid w:val="00ED24C6"/>
    <w:rsid w:val="00ED24DB"/>
    <w:rsid w:val="00ED26E9"/>
    <w:rsid w:val="00ED276E"/>
    <w:rsid w:val="00ED2853"/>
    <w:rsid w:val="00ED296A"/>
    <w:rsid w:val="00ED2B3D"/>
    <w:rsid w:val="00ED2C71"/>
    <w:rsid w:val="00ED2E01"/>
    <w:rsid w:val="00ED31C3"/>
    <w:rsid w:val="00ED35A5"/>
    <w:rsid w:val="00ED3737"/>
    <w:rsid w:val="00ED3875"/>
    <w:rsid w:val="00ED3996"/>
    <w:rsid w:val="00ED39A7"/>
    <w:rsid w:val="00ED43BF"/>
    <w:rsid w:val="00ED440D"/>
    <w:rsid w:val="00ED46E0"/>
    <w:rsid w:val="00ED497F"/>
    <w:rsid w:val="00ED4A22"/>
    <w:rsid w:val="00ED506E"/>
    <w:rsid w:val="00ED53E3"/>
    <w:rsid w:val="00ED5EB7"/>
    <w:rsid w:val="00ED5F48"/>
    <w:rsid w:val="00ED63DB"/>
    <w:rsid w:val="00ED6611"/>
    <w:rsid w:val="00ED67AB"/>
    <w:rsid w:val="00ED67D1"/>
    <w:rsid w:val="00ED6851"/>
    <w:rsid w:val="00ED7124"/>
    <w:rsid w:val="00ED72D9"/>
    <w:rsid w:val="00ED74B7"/>
    <w:rsid w:val="00ED7524"/>
    <w:rsid w:val="00ED75A4"/>
    <w:rsid w:val="00ED7815"/>
    <w:rsid w:val="00ED7ACB"/>
    <w:rsid w:val="00ED7BF4"/>
    <w:rsid w:val="00ED7BFA"/>
    <w:rsid w:val="00EE0072"/>
    <w:rsid w:val="00EE034D"/>
    <w:rsid w:val="00EE055B"/>
    <w:rsid w:val="00EE05BB"/>
    <w:rsid w:val="00EE0B2F"/>
    <w:rsid w:val="00EE0C0E"/>
    <w:rsid w:val="00EE10D1"/>
    <w:rsid w:val="00EE170D"/>
    <w:rsid w:val="00EE1CF0"/>
    <w:rsid w:val="00EE1D0F"/>
    <w:rsid w:val="00EE1D25"/>
    <w:rsid w:val="00EE1D9D"/>
    <w:rsid w:val="00EE2126"/>
    <w:rsid w:val="00EE234E"/>
    <w:rsid w:val="00EE2377"/>
    <w:rsid w:val="00EE23E0"/>
    <w:rsid w:val="00EE2787"/>
    <w:rsid w:val="00EE27DC"/>
    <w:rsid w:val="00EE2E06"/>
    <w:rsid w:val="00EE2F2A"/>
    <w:rsid w:val="00EE32FB"/>
    <w:rsid w:val="00EE3851"/>
    <w:rsid w:val="00EE3BCC"/>
    <w:rsid w:val="00EE3C86"/>
    <w:rsid w:val="00EE3F35"/>
    <w:rsid w:val="00EE3F90"/>
    <w:rsid w:val="00EE4153"/>
    <w:rsid w:val="00EE456D"/>
    <w:rsid w:val="00EE458B"/>
    <w:rsid w:val="00EE466D"/>
    <w:rsid w:val="00EE483A"/>
    <w:rsid w:val="00EE499D"/>
    <w:rsid w:val="00EE4A79"/>
    <w:rsid w:val="00EE4C06"/>
    <w:rsid w:val="00EE4E32"/>
    <w:rsid w:val="00EE4F73"/>
    <w:rsid w:val="00EE521C"/>
    <w:rsid w:val="00EE5279"/>
    <w:rsid w:val="00EE527B"/>
    <w:rsid w:val="00EE532A"/>
    <w:rsid w:val="00EE562E"/>
    <w:rsid w:val="00EE6583"/>
    <w:rsid w:val="00EE6F7C"/>
    <w:rsid w:val="00EE782D"/>
    <w:rsid w:val="00EE7A77"/>
    <w:rsid w:val="00EE7BD2"/>
    <w:rsid w:val="00EE7CEA"/>
    <w:rsid w:val="00EF029C"/>
    <w:rsid w:val="00EF063C"/>
    <w:rsid w:val="00EF0C93"/>
    <w:rsid w:val="00EF0F9B"/>
    <w:rsid w:val="00EF12C5"/>
    <w:rsid w:val="00EF1AAC"/>
    <w:rsid w:val="00EF2209"/>
    <w:rsid w:val="00EF2D6B"/>
    <w:rsid w:val="00EF2DB6"/>
    <w:rsid w:val="00EF2E3B"/>
    <w:rsid w:val="00EF3285"/>
    <w:rsid w:val="00EF33F7"/>
    <w:rsid w:val="00EF35C6"/>
    <w:rsid w:val="00EF3617"/>
    <w:rsid w:val="00EF394D"/>
    <w:rsid w:val="00EF3976"/>
    <w:rsid w:val="00EF419B"/>
    <w:rsid w:val="00EF4401"/>
    <w:rsid w:val="00EF4432"/>
    <w:rsid w:val="00EF474D"/>
    <w:rsid w:val="00EF48F2"/>
    <w:rsid w:val="00EF4C0A"/>
    <w:rsid w:val="00EF4CF7"/>
    <w:rsid w:val="00EF51AD"/>
    <w:rsid w:val="00EF53C5"/>
    <w:rsid w:val="00EF5645"/>
    <w:rsid w:val="00EF58EE"/>
    <w:rsid w:val="00EF5AF3"/>
    <w:rsid w:val="00EF5B91"/>
    <w:rsid w:val="00EF5D4F"/>
    <w:rsid w:val="00EF5D86"/>
    <w:rsid w:val="00EF5FD9"/>
    <w:rsid w:val="00EF6027"/>
    <w:rsid w:val="00EF6110"/>
    <w:rsid w:val="00EF617F"/>
    <w:rsid w:val="00EF66E0"/>
    <w:rsid w:val="00EF674C"/>
    <w:rsid w:val="00EF67B5"/>
    <w:rsid w:val="00EF697A"/>
    <w:rsid w:val="00EF6A2F"/>
    <w:rsid w:val="00EF6A9E"/>
    <w:rsid w:val="00EF6B13"/>
    <w:rsid w:val="00EF72CA"/>
    <w:rsid w:val="00EF753F"/>
    <w:rsid w:val="00EF7A87"/>
    <w:rsid w:val="00EF7BB6"/>
    <w:rsid w:val="00F0035F"/>
    <w:rsid w:val="00F005B3"/>
    <w:rsid w:val="00F007DD"/>
    <w:rsid w:val="00F00D89"/>
    <w:rsid w:val="00F00DE0"/>
    <w:rsid w:val="00F00FA0"/>
    <w:rsid w:val="00F0119D"/>
    <w:rsid w:val="00F0121A"/>
    <w:rsid w:val="00F014B7"/>
    <w:rsid w:val="00F01594"/>
    <w:rsid w:val="00F01662"/>
    <w:rsid w:val="00F02162"/>
    <w:rsid w:val="00F021C2"/>
    <w:rsid w:val="00F023AC"/>
    <w:rsid w:val="00F025AA"/>
    <w:rsid w:val="00F02631"/>
    <w:rsid w:val="00F027EF"/>
    <w:rsid w:val="00F02A1D"/>
    <w:rsid w:val="00F02ABB"/>
    <w:rsid w:val="00F02ABC"/>
    <w:rsid w:val="00F02B6A"/>
    <w:rsid w:val="00F02B73"/>
    <w:rsid w:val="00F02BD0"/>
    <w:rsid w:val="00F02D8D"/>
    <w:rsid w:val="00F030EA"/>
    <w:rsid w:val="00F0337D"/>
    <w:rsid w:val="00F0338B"/>
    <w:rsid w:val="00F033BD"/>
    <w:rsid w:val="00F034AF"/>
    <w:rsid w:val="00F0378A"/>
    <w:rsid w:val="00F03993"/>
    <w:rsid w:val="00F03A88"/>
    <w:rsid w:val="00F03BC1"/>
    <w:rsid w:val="00F03DAC"/>
    <w:rsid w:val="00F0430B"/>
    <w:rsid w:val="00F0453C"/>
    <w:rsid w:val="00F045A6"/>
    <w:rsid w:val="00F049E8"/>
    <w:rsid w:val="00F04CC8"/>
    <w:rsid w:val="00F04E34"/>
    <w:rsid w:val="00F053C4"/>
    <w:rsid w:val="00F05900"/>
    <w:rsid w:val="00F05EBB"/>
    <w:rsid w:val="00F05F9D"/>
    <w:rsid w:val="00F063C9"/>
    <w:rsid w:val="00F06984"/>
    <w:rsid w:val="00F06DCD"/>
    <w:rsid w:val="00F06E4C"/>
    <w:rsid w:val="00F0705E"/>
    <w:rsid w:val="00F072A1"/>
    <w:rsid w:val="00F074B8"/>
    <w:rsid w:val="00F07AEA"/>
    <w:rsid w:val="00F07E43"/>
    <w:rsid w:val="00F07E9F"/>
    <w:rsid w:val="00F100A3"/>
    <w:rsid w:val="00F10110"/>
    <w:rsid w:val="00F101B0"/>
    <w:rsid w:val="00F10A5A"/>
    <w:rsid w:val="00F10AFF"/>
    <w:rsid w:val="00F10D48"/>
    <w:rsid w:val="00F10DF8"/>
    <w:rsid w:val="00F110D3"/>
    <w:rsid w:val="00F1123E"/>
    <w:rsid w:val="00F11384"/>
    <w:rsid w:val="00F11397"/>
    <w:rsid w:val="00F1145D"/>
    <w:rsid w:val="00F114AB"/>
    <w:rsid w:val="00F119EC"/>
    <w:rsid w:val="00F119EE"/>
    <w:rsid w:val="00F11BA5"/>
    <w:rsid w:val="00F11E6A"/>
    <w:rsid w:val="00F12677"/>
    <w:rsid w:val="00F1267E"/>
    <w:rsid w:val="00F12C1B"/>
    <w:rsid w:val="00F12D6D"/>
    <w:rsid w:val="00F12F06"/>
    <w:rsid w:val="00F1385F"/>
    <w:rsid w:val="00F13984"/>
    <w:rsid w:val="00F13D0A"/>
    <w:rsid w:val="00F14317"/>
    <w:rsid w:val="00F145EB"/>
    <w:rsid w:val="00F146A1"/>
    <w:rsid w:val="00F14768"/>
    <w:rsid w:val="00F149CE"/>
    <w:rsid w:val="00F14F93"/>
    <w:rsid w:val="00F15055"/>
    <w:rsid w:val="00F1507C"/>
    <w:rsid w:val="00F150E6"/>
    <w:rsid w:val="00F15334"/>
    <w:rsid w:val="00F153B1"/>
    <w:rsid w:val="00F15499"/>
    <w:rsid w:val="00F154AF"/>
    <w:rsid w:val="00F155F9"/>
    <w:rsid w:val="00F156CF"/>
    <w:rsid w:val="00F156DE"/>
    <w:rsid w:val="00F1570C"/>
    <w:rsid w:val="00F15717"/>
    <w:rsid w:val="00F15723"/>
    <w:rsid w:val="00F15B90"/>
    <w:rsid w:val="00F15F90"/>
    <w:rsid w:val="00F16306"/>
    <w:rsid w:val="00F1631C"/>
    <w:rsid w:val="00F165C7"/>
    <w:rsid w:val="00F16C76"/>
    <w:rsid w:val="00F16F60"/>
    <w:rsid w:val="00F17053"/>
    <w:rsid w:val="00F171CC"/>
    <w:rsid w:val="00F17234"/>
    <w:rsid w:val="00F17A7C"/>
    <w:rsid w:val="00F17A89"/>
    <w:rsid w:val="00F17D75"/>
    <w:rsid w:val="00F17DC5"/>
    <w:rsid w:val="00F17DD7"/>
    <w:rsid w:val="00F17F0F"/>
    <w:rsid w:val="00F20025"/>
    <w:rsid w:val="00F20564"/>
    <w:rsid w:val="00F206EB"/>
    <w:rsid w:val="00F20727"/>
    <w:rsid w:val="00F207CD"/>
    <w:rsid w:val="00F20DBA"/>
    <w:rsid w:val="00F20DD3"/>
    <w:rsid w:val="00F20E7F"/>
    <w:rsid w:val="00F210B2"/>
    <w:rsid w:val="00F21128"/>
    <w:rsid w:val="00F21344"/>
    <w:rsid w:val="00F21675"/>
    <w:rsid w:val="00F216EE"/>
    <w:rsid w:val="00F21A1B"/>
    <w:rsid w:val="00F21A29"/>
    <w:rsid w:val="00F21B7F"/>
    <w:rsid w:val="00F222CF"/>
    <w:rsid w:val="00F22335"/>
    <w:rsid w:val="00F22E63"/>
    <w:rsid w:val="00F233F9"/>
    <w:rsid w:val="00F236F5"/>
    <w:rsid w:val="00F2384E"/>
    <w:rsid w:val="00F23C86"/>
    <w:rsid w:val="00F243E0"/>
    <w:rsid w:val="00F24844"/>
    <w:rsid w:val="00F24984"/>
    <w:rsid w:val="00F24A12"/>
    <w:rsid w:val="00F25003"/>
    <w:rsid w:val="00F256F6"/>
    <w:rsid w:val="00F25839"/>
    <w:rsid w:val="00F2595B"/>
    <w:rsid w:val="00F25D3B"/>
    <w:rsid w:val="00F25F2B"/>
    <w:rsid w:val="00F26112"/>
    <w:rsid w:val="00F2617E"/>
    <w:rsid w:val="00F26222"/>
    <w:rsid w:val="00F26267"/>
    <w:rsid w:val="00F26492"/>
    <w:rsid w:val="00F265A9"/>
    <w:rsid w:val="00F26644"/>
    <w:rsid w:val="00F26951"/>
    <w:rsid w:val="00F26FD5"/>
    <w:rsid w:val="00F2714F"/>
    <w:rsid w:val="00F271CD"/>
    <w:rsid w:val="00F2746A"/>
    <w:rsid w:val="00F27851"/>
    <w:rsid w:val="00F27993"/>
    <w:rsid w:val="00F27ACD"/>
    <w:rsid w:val="00F27F02"/>
    <w:rsid w:val="00F3015F"/>
    <w:rsid w:val="00F307A0"/>
    <w:rsid w:val="00F30ECD"/>
    <w:rsid w:val="00F31102"/>
    <w:rsid w:val="00F3119F"/>
    <w:rsid w:val="00F31661"/>
    <w:rsid w:val="00F3173B"/>
    <w:rsid w:val="00F317CD"/>
    <w:rsid w:val="00F318EC"/>
    <w:rsid w:val="00F31CB7"/>
    <w:rsid w:val="00F31D2D"/>
    <w:rsid w:val="00F3295F"/>
    <w:rsid w:val="00F32CA5"/>
    <w:rsid w:val="00F3384C"/>
    <w:rsid w:val="00F33995"/>
    <w:rsid w:val="00F33A76"/>
    <w:rsid w:val="00F33EC4"/>
    <w:rsid w:val="00F33F5A"/>
    <w:rsid w:val="00F34078"/>
    <w:rsid w:val="00F340AC"/>
    <w:rsid w:val="00F34234"/>
    <w:rsid w:val="00F342B0"/>
    <w:rsid w:val="00F344D2"/>
    <w:rsid w:val="00F344DC"/>
    <w:rsid w:val="00F3491B"/>
    <w:rsid w:val="00F34B4B"/>
    <w:rsid w:val="00F351FB"/>
    <w:rsid w:val="00F352BD"/>
    <w:rsid w:val="00F355D8"/>
    <w:rsid w:val="00F35681"/>
    <w:rsid w:val="00F358D4"/>
    <w:rsid w:val="00F3594C"/>
    <w:rsid w:val="00F3597B"/>
    <w:rsid w:val="00F359DC"/>
    <w:rsid w:val="00F35B5F"/>
    <w:rsid w:val="00F35B6A"/>
    <w:rsid w:val="00F35EEF"/>
    <w:rsid w:val="00F35FF7"/>
    <w:rsid w:val="00F3605C"/>
    <w:rsid w:val="00F3625D"/>
    <w:rsid w:val="00F3667E"/>
    <w:rsid w:val="00F3697F"/>
    <w:rsid w:val="00F36ED7"/>
    <w:rsid w:val="00F37004"/>
    <w:rsid w:val="00F37029"/>
    <w:rsid w:val="00F37102"/>
    <w:rsid w:val="00F37482"/>
    <w:rsid w:val="00F3750C"/>
    <w:rsid w:val="00F37697"/>
    <w:rsid w:val="00F37C66"/>
    <w:rsid w:val="00F40404"/>
    <w:rsid w:val="00F40450"/>
    <w:rsid w:val="00F405D1"/>
    <w:rsid w:val="00F40685"/>
    <w:rsid w:val="00F40C16"/>
    <w:rsid w:val="00F40C54"/>
    <w:rsid w:val="00F40E52"/>
    <w:rsid w:val="00F40E80"/>
    <w:rsid w:val="00F40E98"/>
    <w:rsid w:val="00F4193C"/>
    <w:rsid w:val="00F419F7"/>
    <w:rsid w:val="00F41AC5"/>
    <w:rsid w:val="00F41C28"/>
    <w:rsid w:val="00F41C48"/>
    <w:rsid w:val="00F41C7A"/>
    <w:rsid w:val="00F41F9D"/>
    <w:rsid w:val="00F41FE0"/>
    <w:rsid w:val="00F42235"/>
    <w:rsid w:val="00F422D2"/>
    <w:rsid w:val="00F42388"/>
    <w:rsid w:val="00F4297B"/>
    <w:rsid w:val="00F42C77"/>
    <w:rsid w:val="00F42C86"/>
    <w:rsid w:val="00F4313E"/>
    <w:rsid w:val="00F437F3"/>
    <w:rsid w:val="00F43AC3"/>
    <w:rsid w:val="00F43BA2"/>
    <w:rsid w:val="00F43E82"/>
    <w:rsid w:val="00F44266"/>
    <w:rsid w:val="00F44296"/>
    <w:rsid w:val="00F44525"/>
    <w:rsid w:val="00F4467B"/>
    <w:rsid w:val="00F44775"/>
    <w:rsid w:val="00F449BA"/>
    <w:rsid w:val="00F44A22"/>
    <w:rsid w:val="00F44B3C"/>
    <w:rsid w:val="00F44D30"/>
    <w:rsid w:val="00F44EFD"/>
    <w:rsid w:val="00F4527E"/>
    <w:rsid w:val="00F453AE"/>
    <w:rsid w:val="00F4549F"/>
    <w:rsid w:val="00F45CE4"/>
    <w:rsid w:val="00F45F92"/>
    <w:rsid w:val="00F463EF"/>
    <w:rsid w:val="00F465D0"/>
    <w:rsid w:val="00F46868"/>
    <w:rsid w:val="00F46910"/>
    <w:rsid w:val="00F46E16"/>
    <w:rsid w:val="00F46EFE"/>
    <w:rsid w:val="00F46F99"/>
    <w:rsid w:val="00F47021"/>
    <w:rsid w:val="00F47048"/>
    <w:rsid w:val="00F47090"/>
    <w:rsid w:val="00F47369"/>
    <w:rsid w:val="00F47379"/>
    <w:rsid w:val="00F4753A"/>
    <w:rsid w:val="00F47788"/>
    <w:rsid w:val="00F47827"/>
    <w:rsid w:val="00F5019A"/>
    <w:rsid w:val="00F5052C"/>
    <w:rsid w:val="00F50590"/>
    <w:rsid w:val="00F50991"/>
    <w:rsid w:val="00F50E37"/>
    <w:rsid w:val="00F511DA"/>
    <w:rsid w:val="00F517BC"/>
    <w:rsid w:val="00F51B60"/>
    <w:rsid w:val="00F51C02"/>
    <w:rsid w:val="00F51C6B"/>
    <w:rsid w:val="00F522E2"/>
    <w:rsid w:val="00F525C4"/>
    <w:rsid w:val="00F5279A"/>
    <w:rsid w:val="00F52B3A"/>
    <w:rsid w:val="00F52DAF"/>
    <w:rsid w:val="00F52EA3"/>
    <w:rsid w:val="00F536F8"/>
    <w:rsid w:val="00F53A65"/>
    <w:rsid w:val="00F53BC5"/>
    <w:rsid w:val="00F53BD7"/>
    <w:rsid w:val="00F53C4F"/>
    <w:rsid w:val="00F53FCD"/>
    <w:rsid w:val="00F540B4"/>
    <w:rsid w:val="00F54164"/>
    <w:rsid w:val="00F5421A"/>
    <w:rsid w:val="00F542E8"/>
    <w:rsid w:val="00F54306"/>
    <w:rsid w:val="00F54511"/>
    <w:rsid w:val="00F54571"/>
    <w:rsid w:val="00F545A5"/>
    <w:rsid w:val="00F5461A"/>
    <w:rsid w:val="00F5489C"/>
    <w:rsid w:val="00F54DA6"/>
    <w:rsid w:val="00F55268"/>
    <w:rsid w:val="00F55349"/>
    <w:rsid w:val="00F553BD"/>
    <w:rsid w:val="00F5549D"/>
    <w:rsid w:val="00F555C2"/>
    <w:rsid w:val="00F5564C"/>
    <w:rsid w:val="00F556B3"/>
    <w:rsid w:val="00F55847"/>
    <w:rsid w:val="00F55954"/>
    <w:rsid w:val="00F55A14"/>
    <w:rsid w:val="00F5618C"/>
    <w:rsid w:val="00F561C4"/>
    <w:rsid w:val="00F5643E"/>
    <w:rsid w:val="00F56450"/>
    <w:rsid w:val="00F5652E"/>
    <w:rsid w:val="00F5665F"/>
    <w:rsid w:val="00F56D25"/>
    <w:rsid w:val="00F5704C"/>
    <w:rsid w:val="00F570CA"/>
    <w:rsid w:val="00F57167"/>
    <w:rsid w:val="00F57423"/>
    <w:rsid w:val="00F57758"/>
    <w:rsid w:val="00F57CA1"/>
    <w:rsid w:val="00F57D10"/>
    <w:rsid w:val="00F602E1"/>
    <w:rsid w:val="00F602E4"/>
    <w:rsid w:val="00F6079D"/>
    <w:rsid w:val="00F60A0B"/>
    <w:rsid w:val="00F60B5B"/>
    <w:rsid w:val="00F60C0B"/>
    <w:rsid w:val="00F60EA1"/>
    <w:rsid w:val="00F61034"/>
    <w:rsid w:val="00F610AF"/>
    <w:rsid w:val="00F61569"/>
    <w:rsid w:val="00F61A24"/>
    <w:rsid w:val="00F61B2B"/>
    <w:rsid w:val="00F61B94"/>
    <w:rsid w:val="00F61BB7"/>
    <w:rsid w:val="00F61DE2"/>
    <w:rsid w:val="00F61E30"/>
    <w:rsid w:val="00F6222E"/>
    <w:rsid w:val="00F62296"/>
    <w:rsid w:val="00F622FA"/>
    <w:rsid w:val="00F62432"/>
    <w:rsid w:val="00F62691"/>
    <w:rsid w:val="00F626E0"/>
    <w:rsid w:val="00F62C1C"/>
    <w:rsid w:val="00F6394E"/>
    <w:rsid w:val="00F63B99"/>
    <w:rsid w:val="00F63EE0"/>
    <w:rsid w:val="00F63F09"/>
    <w:rsid w:val="00F6427F"/>
    <w:rsid w:val="00F6449E"/>
    <w:rsid w:val="00F64845"/>
    <w:rsid w:val="00F64C96"/>
    <w:rsid w:val="00F65034"/>
    <w:rsid w:val="00F6528E"/>
    <w:rsid w:val="00F652C8"/>
    <w:rsid w:val="00F65478"/>
    <w:rsid w:val="00F65968"/>
    <w:rsid w:val="00F65D2F"/>
    <w:rsid w:val="00F65E6C"/>
    <w:rsid w:val="00F66251"/>
    <w:rsid w:val="00F66333"/>
    <w:rsid w:val="00F6648E"/>
    <w:rsid w:val="00F66574"/>
    <w:rsid w:val="00F6663B"/>
    <w:rsid w:val="00F66BEB"/>
    <w:rsid w:val="00F66C85"/>
    <w:rsid w:val="00F66FB6"/>
    <w:rsid w:val="00F66FF9"/>
    <w:rsid w:val="00F679DD"/>
    <w:rsid w:val="00F67A8D"/>
    <w:rsid w:val="00F67F55"/>
    <w:rsid w:val="00F70360"/>
    <w:rsid w:val="00F70384"/>
    <w:rsid w:val="00F705F5"/>
    <w:rsid w:val="00F70884"/>
    <w:rsid w:val="00F70AF2"/>
    <w:rsid w:val="00F70B0C"/>
    <w:rsid w:val="00F70B49"/>
    <w:rsid w:val="00F70D84"/>
    <w:rsid w:val="00F71169"/>
    <w:rsid w:val="00F712F8"/>
    <w:rsid w:val="00F713D5"/>
    <w:rsid w:val="00F71708"/>
    <w:rsid w:val="00F71B15"/>
    <w:rsid w:val="00F71B9F"/>
    <w:rsid w:val="00F71D2A"/>
    <w:rsid w:val="00F71F49"/>
    <w:rsid w:val="00F72054"/>
    <w:rsid w:val="00F72666"/>
    <w:rsid w:val="00F72A24"/>
    <w:rsid w:val="00F72E33"/>
    <w:rsid w:val="00F72EC7"/>
    <w:rsid w:val="00F72FA0"/>
    <w:rsid w:val="00F73279"/>
    <w:rsid w:val="00F7372F"/>
    <w:rsid w:val="00F738B0"/>
    <w:rsid w:val="00F73C56"/>
    <w:rsid w:val="00F73CB6"/>
    <w:rsid w:val="00F73D21"/>
    <w:rsid w:val="00F7411C"/>
    <w:rsid w:val="00F7459C"/>
    <w:rsid w:val="00F74925"/>
    <w:rsid w:val="00F74C5A"/>
    <w:rsid w:val="00F74CB9"/>
    <w:rsid w:val="00F74E67"/>
    <w:rsid w:val="00F74FCD"/>
    <w:rsid w:val="00F75062"/>
    <w:rsid w:val="00F7526A"/>
    <w:rsid w:val="00F75350"/>
    <w:rsid w:val="00F754B1"/>
    <w:rsid w:val="00F7573D"/>
    <w:rsid w:val="00F7574D"/>
    <w:rsid w:val="00F75858"/>
    <w:rsid w:val="00F75868"/>
    <w:rsid w:val="00F758D2"/>
    <w:rsid w:val="00F759AE"/>
    <w:rsid w:val="00F75A1B"/>
    <w:rsid w:val="00F75A7E"/>
    <w:rsid w:val="00F75FCF"/>
    <w:rsid w:val="00F75FE3"/>
    <w:rsid w:val="00F767FF"/>
    <w:rsid w:val="00F76A51"/>
    <w:rsid w:val="00F76C3A"/>
    <w:rsid w:val="00F76D39"/>
    <w:rsid w:val="00F7709D"/>
    <w:rsid w:val="00F770AD"/>
    <w:rsid w:val="00F77106"/>
    <w:rsid w:val="00F77863"/>
    <w:rsid w:val="00F77E4C"/>
    <w:rsid w:val="00F80250"/>
    <w:rsid w:val="00F80427"/>
    <w:rsid w:val="00F8047D"/>
    <w:rsid w:val="00F804AB"/>
    <w:rsid w:val="00F807EB"/>
    <w:rsid w:val="00F80B14"/>
    <w:rsid w:val="00F80CFE"/>
    <w:rsid w:val="00F80D81"/>
    <w:rsid w:val="00F80DC8"/>
    <w:rsid w:val="00F81219"/>
    <w:rsid w:val="00F81A4F"/>
    <w:rsid w:val="00F820E5"/>
    <w:rsid w:val="00F8225E"/>
    <w:rsid w:val="00F82D5F"/>
    <w:rsid w:val="00F83219"/>
    <w:rsid w:val="00F83966"/>
    <w:rsid w:val="00F83AA6"/>
    <w:rsid w:val="00F83C05"/>
    <w:rsid w:val="00F83C52"/>
    <w:rsid w:val="00F84093"/>
    <w:rsid w:val="00F8439A"/>
    <w:rsid w:val="00F844CD"/>
    <w:rsid w:val="00F84780"/>
    <w:rsid w:val="00F84901"/>
    <w:rsid w:val="00F84969"/>
    <w:rsid w:val="00F84993"/>
    <w:rsid w:val="00F84A4D"/>
    <w:rsid w:val="00F84B36"/>
    <w:rsid w:val="00F84F2D"/>
    <w:rsid w:val="00F850C7"/>
    <w:rsid w:val="00F85358"/>
    <w:rsid w:val="00F853EE"/>
    <w:rsid w:val="00F857B8"/>
    <w:rsid w:val="00F857C1"/>
    <w:rsid w:val="00F85939"/>
    <w:rsid w:val="00F85A28"/>
    <w:rsid w:val="00F85AEA"/>
    <w:rsid w:val="00F85D4B"/>
    <w:rsid w:val="00F85F72"/>
    <w:rsid w:val="00F860FB"/>
    <w:rsid w:val="00F86115"/>
    <w:rsid w:val="00F861A3"/>
    <w:rsid w:val="00F86402"/>
    <w:rsid w:val="00F865B5"/>
    <w:rsid w:val="00F8682F"/>
    <w:rsid w:val="00F868EF"/>
    <w:rsid w:val="00F869EB"/>
    <w:rsid w:val="00F86BA7"/>
    <w:rsid w:val="00F86C45"/>
    <w:rsid w:val="00F86ED3"/>
    <w:rsid w:val="00F8710A"/>
    <w:rsid w:val="00F8751D"/>
    <w:rsid w:val="00F87703"/>
    <w:rsid w:val="00F87953"/>
    <w:rsid w:val="00F87A4B"/>
    <w:rsid w:val="00F87ABE"/>
    <w:rsid w:val="00F906E2"/>
    <w:rsid w:val="00F90783"/>
    <w:rsid w:val="00F90885"/>
    <w:rsid w:val="00F90B88"/>
    <w:rsid w:val="00F91119"/>
    <w:rsid w:val="00F911A2"/>
    <w:rsid w:val="00F91428"/>
    <w:rsid w:val="00F91724"/>
    <w:rsid w:val="00F91B30"/>
    <w:rsid w:val="00F91DA4"/>
    <w:rsid w:val="00F9202E"/>
    <w:rsid w:val="00F92042"/>
    <w:rsid w:val="00F9236F"/>
    <w:rsid w:val="00F9248D"/>
    <w:rsid w:val="00F9263B"/>
    <w:rsid w:val="00F926F4"/>
    <w:rsid w:val="00F92B26"/>
    <w:rsid w:val="00F92BFE"/>
    <w:rsid w:val="00F92C82"/>
    <w:rsid w:val="00F92DEE"/>
    <w:rsid w:val="00F92FE8"/>
    <w:rsid w:val="00F93005"/>
    <w:rsid w:val="00F9318F"/>
    <w:rsid w:val="00F931FF"/>
    <w:rsid w:val="00F9330C"/>
    <w:rsid w:val="00F93385"/>
    <w:rsid w:val="00F9351D"/>
    <w:rsid w:val="00F937DD"/>
    <w:rsid w:val="00F93C6B"/>
    <w:rsid w:val="00F93EED"/>
    <w:rsid w:val="00F94143"/>
    <w:rsid w:val="00F9416E"/>
    <w:rsid w:val="00F94850"/>
    <w:rsid w:val="00F94894"/>
    <w:rsid w:val="00F948CD"/>
    <w:rsid w:val="00F94B28"/>
    <w:rsid w:val="00F95296"/>
    <w:rsid w:val="00F953E5"/>
    <w:rsid w:val="00F954DC"/>
    <w:rsid w:val="00F958FE"/>
    <w:rsid w:val="00F95B41"/>
    <w:rsid w:val="00F95B83"/>
    <w:rsid w:val="00F95D77"/>
    <w:rsid w:val="00F95E97"/>
    <w:rsid w:val="00F960E8"/>
    <w:rsid w:val="00F966A7"/>
    <w:rsid w:val="00F96A45"/>
    <w:rsid w:val="00F96C7B"/>
    <w:rsid w:val="00F96ED9"/>
    <w:rsid w:val="00F96EEA"/>
    <w:rsid w:val="00F9713D"/>
    <w:rsid w:val="00F97209"/>
    <w:rsid w:val="00F97587"/>
    <w:rsid w:val="00F975A8"/>
    <w:rsid w:val="00F979C6"/>
    <w:rsid w:val="00F97A8B"/>
    <w:rsid w:val="00F97B5E"/>
    <w:rsid w:val="00F97BAF"/>
    <w:rsid w:val="00FA00F5"/>
    <w:rsid w:val="00FA02FF"/>
    <w:rsid w:val="00FA0376"/>
    <w:rsid w:val="00FA0862"/>
    <w:rsid w:val="00FA0B52"/>
    <w:rsid w:val="00FA0BBA"/>
    <w:rsid w:val="00FA0E84"/>
    <w:rsid w:val="00FA0F6A"/>
    <w:rsid w:val="00FA113F"/>
    <w:rsid w:val="00FA1377"/>
    <w:rsid w:val="00FA148D"/>
    <w:rsid w:val="00FA152A"/>
    <w:rsid w:val="00FA15D5"/>
    <w:rsid w:val="00FA17A4"/>
    <w:rsid w:val="00FA19D9"/>
    <w:rsid w:val="00FA1A35"/>
    <w:rsid w:val="00FA1A4B"/>
    <w:rsid w:val="00FA1D4E"/>
    <w:rsid w:val="00FA1F21"/>
    <w:rsid w:val="00FA1F9C"/>
    <w:rsid w:val="00FA2224"/>
    <w:rsid w:val="00FA226E"/>
    <w:rsid w:val="00FA2382"/>
    <w:rsid w:val="00FA2413"/>
    <w:rsid w:val="00FA2427"/>
    <w:rsid w:val="00FA24A6"/>
    <w:rsid w:val="00FA2784"/>
    <w:rsid w:val="00FA2AB8"/>
    <w:rsid w:val="00FA3393"/>
    <w:rsid w:val="00FA36C0"/>
    <w:rsid w:val="00FA3A6F"/>
    <w:rsid w:val="00FA4383"/>
    <w:rsid w:val="00FA46FC"/>
    <w:rsid w:val="00FA4D63"/>
    <w:rsid w:val="00FA516C"/>
    <w:rsid w:val="00FA5319"/>
    <w:rsid w:val="00FA5363"/>
    <w:rsid w:val="00FA538C"/>
    <w:rsid w:val="00FA5422"/>
    <w:rsid w:val="00FA5591"/>
    <w:rsid w:val="00FA55DC"/>
    <w:rsid w:val="00FA5600"/>
    <w:rsid w:val="00FA58C2"/>
    <w:rsid w:val="00FA616E"/>
    <w:rsid w:val="00FA645A"/>
    <w:rsid w:val="00FA64C4"/>
    <w:rsid w:val="00FA64EB"/>
    <w:rsid w:val="00FA679C"/>
    <w:rsid w:val="00FA67CF"/>
    <w:rsid w:val="00FA6BFF"/>
    <w:rsid w:val="00FA6C11"/>
    <w:rsid w:val="00FA6D63"/>
    <w:rsid w:val="00FA6E1D"/>
    <w:rsid w:val="00FA6F5F"/>
    <w:rsid w:val="00FA708F"/>
    <w:rsid w:val="00FA7235"/>
    <w:rsid w:val="00FA7277"/>
    <w:rsid w:val="00FA7333"/>
    <w:rsid w:val="00FA73E1"/>
    <w:rsid w:val="00FA7488"/>
    <w:rsid w:val="00FA7529"/>
    <w:rsid w:val="00FA7556"/>
    <w:rsid w:val="00FA7559"/>
    <w:rsid w:val="00FA7A0E"/>
    <w:rsid w:val="00FA7A42"/>
    <w:rsid w:val="00FA7D71"/>
    <w:rsid w:val="00FA7E4B"/>
    <w:rsid w:val="00FB02F8"/>
    <w:rsid w:val="00FB06DC"/>
    <w:rsid w:val="00FB070B"/>
    <w:rsid w:val="00FB0D7A"/>
    <w:rsid w:val="00FB1166"/>
    <w:rsid w:val="00FB14D1"/>
    <w:rsid w:val="00FB1672"/>
    <w:rsid w:val="00FB1BB7"/>
    <w:rsid w:val="00FB1E0A"/>
    <w:rsid w:val="00FB28B7"/>
    <w:rsid w:val="00FB2C65"/>
    <w:rsid w:val="00FB334E"/>
    <w:rsid w:val="00FB3663"/>
    <w:rsid w:val="00FB38B6"/>
    <w:rsid w:val="00FB39CB"/>
    <w:rsid w:val="00FB3AC9"/>
    <w:rsid w:val="00FB3EF1"/>
    <w:rsid w:val="00FB4089"/>
    <w:rsid w:val="00FB41F1"/>
    <w:rsid w:val="00FB420E"/>
    <w:rsid w:val="00FB44A6"/>
    <w:rsid w:val="00FB4610"/>
    <w:rsid w:val="00FB47B0"/>
    <w:rsid w:val="00FB47D7"/>
    <w:rsid w:val="00FB4DEB"/>
    <w:rsid w:val="00FB52DA"/>
    <w:rsid w:val="00FB57BB"/>
    <w:rsid w:val="00FB5C8E"/>
    <w:rsid w:val="00FB5D99"/>
    <w:rsid w:val="00FB61B7"/>
    <w:rsid w:val="00FB627A"/>
    <w:rsid w:val="00FB6474"/>
    <w:rsid w:val="00FB66C8"/>
    <w:rsid w:val="00FB6986"/>
    <w:rsid w:val="00FB6A3E"/>
    <w:rsid w:val="00FB7187"/>
    <w:rsid w:val="00FB7207"/>
    <w:rsid w:val="00FB7313"/>
    <w:rsid w:val="00FB733A"/>
    <w:rsid w:val="00FB75E1"/>
    <w:rsid w:val="00FC00B4"/>
    <w:rsid w:val="00FC0250"/>
    <w:rsid w:val="00FC07E9"/>
    <w:rsid w:val="00FC0905"/>
    <w:rsid w:val="00FC0D5C"/>
    <w:rsid w:val="00FC1086"/>
    <w:rsid w:val="00FC12AC"/>
    <w:rsid w:val="00FC1408"/>
    <w:rsid w:val="00FC1479"/>
    <w:rsid w:val="00FC1973"/>
    <w:rsid w:val="00FC1A19"/>
    <w:rsid w:val="00FC1C4A"/>
    <w:rsid w:val="00FC1F79"/>
    <w:rsid w:val="00FC2442"/>
    <w:rsid w:val="00FC2895"/>
    <w:rsid w:val="00FC28CF"/>
    <w:rsid w:val="00FC2B24"/>
    <w:rsid w:val="00FC2D32"/>
    <w:rsid w:val="00FC33B1"/>
    <w:rsid w:val="00FC3762"/>
    <w:rsid w:val="00FC39A1"/>
    <w:rsid w:val="00FC39C4"/>
    <w:rsid w:val="00FC3AAF"/>
    <w:rsid w:val="00FC3BBF"/>
    <w:rsid w:val="00FC3F5B"/>
    <w:rsid w:val="00FC3FAC"/>
    <w:rsid w:val="00FC4B3F"/>
    <w:rsid w:val="00FC4DF8"/>
    <w:rsid w:val="00FC4EF5"/>
    <w:rsid w:val="00FC50E1"/>
    <w:rsid w:val="00FC541B"/>
    <w:rsid w:val="00FC598C"/>
    <w:rsid w:val="00FC5993"/>
    <w:rsid w:val="00FC5A9D"/>
    <w:rsid w:val="00FC5B6A"/>
    <w:rsid w:val="00FC5E4D"/>
    <w:rsid w:val="00FC6094"/>
    <w:rsid w:val="00FC60E7"/>
    <w:rsid w:val="00FC62FB"/>
    <w:rsid w:val="00FC63D1"/>
    <w:rsid w:val="00FC65CD"/>
    <w:rsid w:val="00FC663E"/>
    <w:rsid w:val="00FC6F68"/>
    <w:rsid w:val="00FC76A3"/>
    <w:rsid w:val="00FC76BC"/>
    <w:rsid w:val="00FC7867"/>
    <w:rsid w:val="00FCF372"/>
    <w:rsid w:val="00FD019A"/>
    <w:rsid w:val="00FD0330"/>
    <w:rsid w:val="00FD084B"/>
    <w:rsid w:val="00FD0A34"/>
    <w:rsid w:val="00FD0DE0"/>
    <w:rsid w:val="00FD0F37"/>
    <w:rsid w:val="00FD13C2"/>
    <w:rsid w:val="00FD13FF"/>
    <w:rsid w:val="00FD14D2"/>
    <w:rsid w:val="00FD1563"/>
    <w:rsid w:val="00FD158E"/>
    <w:rsid w:val="00FD165E"/>
    <w:rsid w:val="00FD1684"/>
    <w:rsid w:val="00FD1717"/>
    <w:rsid w:val="00FD1854"/>
    <w:rsid w:val="00FD1C84"/>
    <w:rsid w:val="00FD2193"/>
    <w:rsid w:val="00FD21FA"/>
    <w:rsid w:val="00FD25C1"/>
    <w:rsid w:val="00FD26D7"/>
    <w:rsid w:val="00FD2B7A"/>
    <w:rsid w:val="00FD2BE0"/>
    <w:rsid w:val="00FD2DEC"/>
    <w:rsid w:val="00FD2E7F"/>
    <w:rsid w:val="00FD3789"/>
    <w:rsid w:val="00FD3BD0"/>
    <w:rsid w:val="00FD3DD5"/>
    <w:rsid w:val="00FD4004"/>
    <w:rsid w:val="00FD41AC"/>
    <w:rsid w:val="00FD41C3"/>
    <w:rsid w:val="00FD44D0"/>
    <w:rsid w:val="00FD455F"/>
    <w:rsid w:val="00FD480C"/>
    <w:rsid w:val="00FD4F29"/>
    <w:rsid w:val="00FD5139"/>
    <w:rsid w:val="00FD5894"/>
    <w:rsid w:val="00FD67C8"/>
    <w:rsid w:val="00FD6A75"/>
    <w:rsid w:val="00FD6AF5"/>
    <w:rsid w:val="00FD6BB0"/>
    <w:rsid w:val="00FD70B5"/>
    <w:rsid w:val="00FD724E"/>
    <w:rsid w:val="00FD74D2"/>
    <w:rsid w:val="00FD7AD4"/>
    <w:rsid w:val="00FD7CE2"/>
    <w:rsid w:val="00FE04D2"/>
    <w:rsid w:val="00FE05C1"/>
    <w:rsid w:val="00FE086B"/>
    <w:rsid w:val="00FE0AA3"/>
    <w:rsid w:val="00FE0E05"/>
    <w:rsid w:val="00FE0FE5"/>
    <w:rsid w:val="00FE10D9"/>
    <w:rsid w:val="00FE1744"/>
    <w:rsid w:val="00FE1807"/>
    <w:rsid w:val="00FE18F8"/>
    <w:rsid w:val="00FE196A"/>
    <w:rsid w:val="00FE1981"/>
    <w:rsid w:val="00FE1A4D"/>
    <w:rsid w:val="00FE1E31"/>
    <w:rsid w:val="00FE1F5C"/>
    <w:rsid w:val="00FE2209"/>
    <w:rsid w:val="00FE2850"/>
    <w:rsid w:val="00FE2879"/>
    <w:rsid w:val="00FE2A5A"/>
    <w:rsid w:val="00FE2C16"/>
    <w:rsid w:val="00FE2CEC"/>
    <w:rsid w:val="00FE3026"/>
    <w:rsid w:val="00FE3030"/>
    <w:rsid w:val="00FE393E"/>
    <w:rsid w:val="00FE3BF3"/>
    <w:rsid w:val="00FE3E53"/>
    <w:rsid w:val="00FE3E5A"/>
    <w:rsid w:val="00FE40FD"/>
    <w:rsid w:val="00FE43E6"/>
    <w:rsid w:val="00FE44A4"/>
    <w:rsid w:val="00FE4EFD"/>
    <w:rsid w:val="00FE54F7"/>
    <w:rsid w:val="00FE5642"/>
    <w:rsid w:val="00FE56DD"/>
    <w:rsid w:val="00FE5760"/>
    <w:rsid w:val="00FE5874"/>
    <w:rsid w:val="00FE6370"/>
    <w:rsid w:val="00FE6796"/>
    <w:rsid w:val="00FE68C0"/>
    <w:rsid w:val="00FE6BA1"/>
    <w:rsid w:val="00FE6C82"/>
    <w:rsid w:val="00FE6E20"/>
    <w:rsid w:val="00FE6FEC"/>
    <w:rsid w:val="00FE7301"/>
    <w:rsid w:val="00FE759A"/>
    <w:rsid w:val="00FE7689"/>
    <w:rsid w:val="00FE7729"/>
    <w:rsid w:val="00FE79D3"/>
    <w:rsid w:val="00FE79E4"/>
    <w:rsid w:val="00FE7BD7"/>
    <w:rsid w:val="00FE7D35"/>
    <w:rsid w:val="00FE7E59"/>
    <w:rsid w:val="00FE7FA8"/>
    <w:rsid w:val="00FE7FDC"/>
    <w:rsid w:val="00FF056E"/>
    <w:rsid w:val="00FF0863"/>
    <w:rsid w:val="00FF098B"/>
    <w:rsid w:val="00FF0BC9"/>
    <w:rsid w:val="00FF0D0D"/>
    <w:rsid w:val="00FF0D81"/>
    <w:rsid w:val="00FF0DFD"/>
    <w:rsid w:val="00FF0FD0"/>
    <w:rsid w:val="00FF1100"/>
    <w:rsid w:val="00FF149F"/>
    <w:rsid w:val="00FF1744"/>
    <w:rsid w:val="00FF1A72"/>
    <w:rsid w:val="00FF1B2E"/>
    <w:rsid w:val="00FF1FF6"/>
    <w:rsid w:val="00FF202E"/>
    <w:rsid w:val="00FF2375"/>
    <w:rsid w:val="00FF2496"/>
    <w:rsid w:val="00FF25AE"/>
    <w:rsid w:val="00FF2910"/>
    <w:rsid w:val="00FF293F"/>
    <w:rsid w:val="00FF2A17"/>
    <w:rsid w:val="00FF2D9C"/>
    <w:rsid w:val="00FF30C3"/>
    <w:rsid w:val="00FF3281"/>
    <w:rsid w:val="00FF3879"/>
    <w:rsid w:val="00FF39DB"/>
    <w:rsid w:val="00FF3F9A"/>
    <w:rsid w:val="00FF4085"/>
    <w:rsid w:val="00FF41F4"/>
    <w:rsid w:val="00FF42BD"/>
    <w:rsid w:val="00FF48AE"/>
    <w:rsid w:val="00FF4AE1"/>
    <w:rsid w:val="00FF4B05"/>
    <w:rsid w:val="00FF4B0A"/>
    <w:rsid w:val="00FF4E4F"/>
    <w:rsid w:val="00FF4EAB"/>
    <w:rsid w:val="00FF5224"/>
    <w:rsid w:val="00FF5BEA"/>
    <w:rsid w:val="00FF5DCE"/>
    <w:rsid w:val="00FF627F"/>
    <w:rsid w:val="00FF6373"/>
    <w:rsid w:val="00FF65CC"/>
    <w:rsid w:val="00FF6617"/>
    <w:rsid w:val="00FF676A"/>
    <w:rsid w:val="00FF6782"/>
    <w:rsid w:val="00FF681F"/>
    <w:rsid w:val="00FF6B59"/>
    <w:rsid w:val="00FF6C72"/>
    <w:rsid w:val="00FF7029"/>
    <w:rsid w:val="00FF738F"/>
    <w:rsid w:val="00FF749D"/>
    <w:rsid w:val="00FF7796"/>
    <w:rsid w:val="00FF7800"/>
    <w:rsid w:val="00FF79A1"/>
    <w:rsid w:val="00FF7A28"/>
    <w:rsid w:val="00FF7D5C"/>
    <w:rsid w:val="01300E0E"/>
    <w:rsid w:val="0133AD80"/>
    <w:rsid w:val="01341D02"/>
    <w:rsid w:val="0154605C"/>
    <w:rsid w:val="0160E46B"/>
    <w:rsid w:val="016E8C43"/>
    <w:rsid w:val="017ACAEC"/>
    <w:rsid w:val="01889DB3"/>
    <w:rsid w:val="01ABCE29"/>
    <w:rsid w:val="01B2AFE2"/>
    <w:rsid w:val="01B303CB"/>
    <w:rsid w:val="01FA7C13"/>
    <w:rsid w:val="024DF6CC"/>
    <w:rsid w:val="02559251"/>
    <w:rsid w:val="02882A8C"/>
    <w:rsid w:val="02B5B7D0"/>
    <w:rsid w:val="02E825F0"/>
    <w:rsid w:val="02EB2A7A"/>
    <w:rsid w:val="030862AC"/>
    <w:rsid w:val="030A0FBE"/>
    <w:rsid w:val="0320A1C2"/>
    <w:rsid w:val="0334E8A7"/>
    <w:rsid w:val="03572767"/>
    <w:rsid w:val="0358CAAE"/>
    <w:rsid w:val="035AD3A1"/>
    <w:rsid w:val="035B589C"/>
    <w:rsid w:val="03606E01"/>
    <w:rsid w:val="036E47EA"/>
    <w:rsid w:val="0380B39B"/>
    <w:rsid w:val="0381BA13"/>
    <w:rsid w:val="03BA8D08"/>
    <w:rsid w:val="03D44D47"/>
    <w:rsid w:val="03E4C3A0"/>
    <w:rsid w:val="03EBEFB2"/>
    <w:rsid w:val="03F10EB4"/>
    <w:rsid w:val="04095187"/>
    <w:rsid w:val="040F2E14"/>
    <w:rsid w:val="042C44FF"/>
    <w:rsid w:val="0455FBB5"/>
    <w:rsid w:val="045646DA"/>
    <w:rsid w:val="04627C23"/>
    <w:rsid w:val="047A1F2B"/>
    <w:rsid w:val="04ADCA17"/>
    <w:rsid w:val="04B6B3FF"/>
    <w:rsid w:val="04C25C63"/>
    <w:rsid w:val="04C9C217"/>
    <w:rsid w:val="04D7A6E6"/>
    <w:rsid w:val="04ED3E37"/>
    <w:rsid w:val="04F33045"/>
    <w:rsid w:val="04F3B668"/>
    <w:rsid w:val="04F47F76"/>
    <w:rsid w:val="0502BADD"/>
    <w:rsid w:val="050C9AF0"/>
    <w:rsid w:val="0512FC67"/>
    <w:rsid w:val="051489B6"/>
    <w:rsid w:val="0523322A"/>
    <w:rsid w:val="05715AB1"/>
    <w:rsid w:val="05754A46"/>
    <w:rsid w:val="058D3313"/>
    <w:rsid w:val="05956B25"/>
    <w:rsid w:val="05DB781E"/>
    <w:rsid w:val="05E8E3A1"/>
    <w:rsid w:val="05F3DE85"/>
    <w:rsid w:val="063417BC"/>
    <w:rsid w:val="0644459B"/>
    <w:rsid w:val="0652B881"/>
    <w:rsid w:val="065BD3FC"/>
    <w:rsid w:val="065E5F95"/>
    <w:rsid w:val="0674DB7D"/>
    <w:rsid w:val="0691CED7"/>
    <w:rsid w:val="0694DEC8"/>
    <w:rsid w:val="069AD186"/>
    <w:rsid w:val="06C7A2DE"/>
    <w:rsid w:val="06DC8D18"/>
    <w:rsid w:val="06E37A8E"/>
    <w:rsid w:val="06EC99A6"/>
    <w:rsid w:val="06EE63E2"/>
    <w:rsid w:val="06FBA062"/>
    <w:rsid w:val="06FD6835"/>
    <w:rsid w:val="0703CB3F"/>
    <w:rsid w:val="071FFE24"/>
    <w:rsid w:val="074E3534"/>
    <w:rsid w:val="07685090"/>
    <w:rsid w:val="07687587"/>
    <w:rsid w:val="079FA6CB"/>
    <w:rsid w:val="07B301DD"/>
    <w:rsid w:val="07BFDE2E"/>
    <w:rsid w:val="07E3E578"/>
    <w:rsid w:val="07EAA274"/>
    <w:rsid w:val="083671A0"/>
    <w:rsid w:val="083B6EBA"/>
    <w:rsid w:val="0841EF6B"/>
    <w:rsid w:val="087A3C2D"/>
    <w:rsid w:val="087E0EE5"/>
    <w:rsid w:val="0896036A"/>
    <w:rsid w:val="08A5B409"/>
    <w:rsid w:val="08D76143"/>
    <w:rsid w:val="08EEE1AC"/>
    <w:rsid w:val="08F0746F"/>
    <w:rsid w:val="08F39CB0"/>
    <w:rsid w:val="08F97AF9"/>
    <w:rsid w:val="0916ADD5"/>
    <w:rsid w:val="0942B1DB"/>
    <w:rsid w:val="09866B49"/>
    <w:rsid w:val="09999069"/>
    <w:rsid w:val="09A7FB8C"/>
    <w:rsid w:val="09B48589"/>
    <w:rsid w:val="09D7F07F"/>
    <w:rsid w:val="09E21A83"/>
    <w:rsid w:val="09E8D8BD"/>
    <w:rsid w:val="0A0790CE"/>
    <w:rsid w:val="0A108945"/>
    <w:rsid w:val="0A191CC4"/>
    <w:rsid w:val="0A263A1A"/>
    <w:rsid w:val="0A8F2AC3"/>
    <w:rsid w:val="0A972D6D"/>
    <w:rsid w:val="0AA33929"/>
    <w:rsid w:val="0AB8D75B"/>
    <w:rsid w:val="0AEE3FA7"/>
    <w:rsid w:val="0B1D1B9D"/>
    <w:rsid w:val="0B21402A"/>
    <w:rsid w:val="0B355612"/>
    <w:rsid w:val="0B522AFC"/>
    <w:rsid w:val="0B556B6B"/>
    <w:rsid w:val="0B86393E"/>
    <w:rsid w:val="0B8793EC"/>
    <w:rsid w:val="0B8DB39E"/>
    <w:rsid w:val="0BB70593"/>
    <w:rsid w:val="0BD07590"/>
    <w:rsid w:val="0BD084F0"/>
    <w:rsid w:val="0BDCC170"/>
    <w:rsid w:val="0BDF8A0C"/>
    <w:rsid w:val="0BF5270D"/>
    <w:rsid w:val="0BF6C66E"/>
    <w:rsid w:val="0BFF7212"/>
    <w:rsid w:val="0C0AC4C0"/>
    <w:rsid w:val="0C51440F"/>
    <w:rsid w:val="0C54BC3C"/>
    <w:rsid w:val="0C5A5F01"/>
    <w:rsid w:val="0C637DFD"/>
    <w:rsid w:val="0C6CB860"/>
    <w:rsid w:val="0CA1FA72"/>
    <w:rsid w:val="0CD8FDCE"/>
    <w:rsid w:val="0CE80D96"/>
    <w:rsid w:val="0CE8ED0F"/>
    <w:rsid w:val="0CFA693B"/>
    <w:rsid w:val="0D0D8A35"/>
    <w:rsid w:val="0D255468"/>
    <w:rsid w:val="0D2C9AC6"/>
    <w:rsid w:val="0D32E975"/>
    <w:rsid w:val="0D4B8BA5"/>
    <w:rsid w:val="0D579006"/>
    <w:rsid w:val="0D621AE8"/>
    <w:rsid w:val="0D802883"/>
    <w:rsid w:val="0D9129C4"/>
    <w:rsid w:val="0D9A2806"/>
    <w:rsid w:val="0DA7999F"/>
    <w:rsid w:val="0DAE309B"/>
    <w:rsid w:val="0DB8EBD5"/>
    <w:rsid w:val="0DC6D37D"/>
    <w:rsid w:val="0DCD26F8"/>
    <w:rsid w:val="0DF0D88B"/>
    <w:rsid w:val="0E0A2ED1"/>
    <w:rsid w:val="0E148F67"/>
    <w:rsid w:val="0E21813F"/>
    <w:rsid w:val="0E2F067C"/>
    <w:rsid w:val="0E3A8779"/>
    <w:rsid w:val="0E68634D"/>
    <w:rsid w:val="0E6C8CA9"/>
    <w:rsid w:val="0E7B075B"/>
    <w:rsid w:val="0E9D22FB"/>
    <w:rsid w:val="0E9DE29E"/>
    <w:rsid w:val="0EA6163C"/>
    <w:rsid w:val="0EB235C4"/>
    <w:rsid w:val="0EB8C804"/>
    <w:rsid w:val="0EC956E0"/>
    <w:rsid w:val="0ECA7AA8"/>
    <w:rsid w:val="0EDA922B"/>
    <w:rsid w:val="0EDF85DA"/>
    <w:rsid w:val="0EE729E3"/>
    <w:rsid w:val="0EF52CE3"/>
    <w:rsid w:val="0F09FBFD"/>
    <w:rsid w:val="0F2BBFA3"/>
    <w:rsid w:val="0F37FF01"/>
    <w:rsid w:val="0F3D1FC1"/>
    <w:rsid w:val="0F4F7334"/>
    <w:rsid w:val="0F646E69"/>
    <w:rsid w:val="0F6494FF"/>
    <w:rsid w:val="0F6DE588"/>
    <w:rsid w:val="0F767875"/>
    <w:rsid w:val="0F7FB651"/>
    <w:rsid w:val="0F80653A"/>
    <w:rsid w:val="0F8DDC36"/>
    <w:rsid w:val="0FA65D5E"/>
    <w:rsid w:val="0FAF656B"/>
    <w:rsid w:val="0FB7B266"/>
    <w:rsid w:val="0FB7CF36"/>
    <w:rsid w:val="0FCF2896"/>
    <w:rsid w:val="0FCF618A"/>
    <w:rsid w:val="0FD4E583"/>
    <w:rsid w:val="0FF07CBE"/>
    <w:rsid w:val="0FF6CEB2"/>
    <w:rsid w:val="0FFF6E9B"/>
    <w:rsid w:val="1019FE9C"/>
    <w:rsid w:val="102101EF"/>
    <w:rsid w:val="102E4730"/>
    <w:rsid w:val="102F6030"/>
    <w:rsid w:val="1044956C"/>
    <w:rsid w:val="105D15ED"/>
    <w:rsid w:val="1062D8AA"/>
    <w:rsid w:val="107E826F"/>
    <w:rsid w:val="10D0FE7F"/>
    <w:rsid w:val="10DA5804"/>
    <w:rsid w:val="111C9610"/>
    <w:rsid w:val="112CA1C9"/>
    <w:rsid w:val="11372CD5"/>
    <w:rsid w:val="113B8BCF"/>
    <w:rsid w:val="1142FA66"/>
    <w:rsid w:val="11554DA6"/>
    <w:rsid w:val="1161DD68"/>
    <w:rsid w:val="116E9C3B"/>
    <w:rsid w:val="11915679"/>
    <w:rsid w:val="119B8842"/>
    <w:rsid w:val="119B8F2F"/>
    <w:rsid w:val="11A6B596"/>
    <w:rsid w:val="11B7108E"/>
    <w:rsid w:val="11BAEF64"/>
    <w:rsid w:val="11BDD0DB"/>
    <w:rsid w:val="11F36FB4"/>
    <w:rsid w:val="11FB2E03"/>
    <w:rsid w:val="12075F99"/>
    <w:rsid w:val="1217237F"/>
    <w:rsid w:val="1240EBCB"/>
    <w:rsid w:val="125CB519"/>
    <w:rsid w:val="126F1D3C"/>
    <w:rsid w:val="12A3E900"/>
    <w:rsid w:val="12CCEAE1"/>
    <w:rsid w:val="12D2DED4"/>
    <w:rsid w:val="12D86E7A"/>
    <w:rsid w:val="12E6FAFC"/>
    <w:rsid w:val="12ECFA0C"/>
    <w:rsid w:val="12F7CE3F"/>
    <w:rsid w:val="133430F1"/>
    <w:rsid w:val="133D085F"/>
    <w:rsid w:val="13440FC2"/>
    <w:rsid w:val="134A230D"/>
    <w:rsid w:val="13614A0E"/>
    <w:rsid w:val="1370E95B"/>
    <w:rsid w:val="1372E742"/>
    <w:rsid w:val="1373C0DE"/>
    <w:rsid w:val="138CA961"/>
    <w:rsid w:val="13D4ABF6"/>
    <w:rsid w:val="13E6C786"/>
    <w:rsid w:val="13F22CB8"/>
    <w:rsid w:val="1406BD2E"/>
    <w:rsid w:val="140F2E46"/>
    <w:rsid w:val="14148729"/>
    <w:rsid w:val="142BEEE8"/>
    <w:rsid w:val="142F080E"/>
    <w:rsid w:val="145E788E"/>
    <w:rsid w:val="1464E2B4"/>
    <w:rsid w:val="14675832"/>
    <w:rsid w:val="146BCCE6"/>
    <w:rsid w:val="148510EE"/>
    <w:rsid w:val="149F4EBD"/>
    <w:rsid w:val="14A8FFA1"/>
    <w:rsid w:val="14A92C16"/>
    <w:rsid w:val="14BB31C1"/>
    <w:rsid w:val="14DE58B6"/>
    <w:rsid w:val="14E1A217"/>
    <w:rsid w:val="14F8E817"/>
    <w:rsid w:val="14F913C8"/>
    <w:rsid w:val="150DEA15"/>
    <w:rsid w:val="151342DC"/>
    <w:rsid w:val="15367DBB"/>
    <w:rsid w:val="153F2501"/>
    <w:rsid w:val="15501A6F"/>
    <w:rsid w:val="155E549F"/>
    <w:rsid w:val="156A3DF0"/>
    <w:rsid w:val="157A06F7"/>
    <w:rsid w:val="15876A7F"/>
    <w:rsid w:val="15A6BDFE"/>
    <w:rsid w:val="15AAD294"/>
    <w:rsid w:val="15BC875D"/>
    <w:rsid w:val="16000D54"/>
    <w:rsid w:val="160BFDFD"/>
    <w:rsid w:val="160DAD05"/>
    <w:rsid w:val="163275E4"/>
    <w:rsid w:val="163DC563"/>
    <w:rsid w:val="16408AA1"/>
    <w:rsid w:val="164695E5"/>
    <w:rsid w:val="166B740B"/>
    <w:rsid w:val="16894C1A"/>
    <w:rsid w:val="169C1A21"/>
    <w:rsid w:val="16AADDE2"/>
    <w:rsid w:val="16BEC57F"/>
    <w:rsid w:val="16BF4DB2"/>
    <w:rsid w:val="16CBF2CA"/>
    <w:rsid w:val="16D8AC28"/>
    <w:rsid w:val="16D8C7FF"/>
    <w:rsid w:val="16E12CC6"/>
    <w:rsid w:val="16E4383E"/>
    <w:rsid w:val="17000D59"/>
    <w:rsid w:val="17244623"/>
    <w:rsid w:val="17291B6B"/>
    <w:rsid w:val="172F0A44"/>
    <w:rsid w:val="173BA38C"/>
    <w:rsid w:val="17843232"/>
    <w:rsid w:val="1792E920"/>
    <w:rsid w:val="17D52331"/>
    <w:rsid w:val="17DE9671"/>
    <w:rsid w:val="17EED3B6"/>
    <w:rsid w:val="181E570E"/>
    <w:rsid w:val="184529C7"/>
    <w:rsid w:val="18506136"/>
    <w:rsid w:val="186B158B"/>
    <w:rsid w:val="18774D95"/>
    <w:rsid w:val="18D93434"/>
    <w:rsid w:val="18EDDC65"/>
    <w:rsid w:val="18F38178"/>
    <w:rsid w:val="190D05D8"/>
    <w:rsid w:val="191A420A"/>
    <w:rsid w:val="1921F562"/>
    <w:rsid w:val="1942231E"/>
    <w:rsid w:val="19460A4A"/>
    <w:rsid w:val="198114FA"/>
    <w:rsid w:val="19838B72"/>
    <w:rsid w:val="198AD1F0"/>
    <w:rsid w:val="198C71A7"/>
    <w:rsid w:val="19A12F34"/>
    <w:rsid w:val="19B9A46F"/>
    <w:rsid w:val="19BD85B2"/>
    <w:rsid w:val="19DE07C3"/>
    <w:rsid w:val="19F1FA89"/>
    <w:rsid w:val="19F2E225"/>
    <w:rsid w:val="19FB6F8A"/>
    <w:rsid w:val="1A075E90"/>
    <w:rsid w:val="1A0C2AFB"/>
    <w:rsid w:val="1A118672"/>
    <w:rsid w:val="1A118E95"/>
    <w:rsid w:val="1A11966A"/>
    <w:rsid w:val="1A301E5F"/>
    <w:rsid w:val="1A312886"/>
    <w:rsid w:val="1A4AB16D"/>
    <w:rsid w:val="1A7CFB41"/>
    <w:rsid w:val="1A82247B"/>
    <w:rsid w:val="1AC33522"/>
    <w:rsid w:val="1AE1B3D4"/>
    <w:rsid w:val="1AE7A4B4"/>
    <w:rsid w:val="1AECCB3B"/>
    <w:rsid w:val="1AF501A4"/>
    <w:rsid w:val="1AF5085E"/>
    <w:rsid w:val="1B0D0EA2"/>
    <w:rsid w:val="1B302D61"/>
    <w:rsid w:val="1B4811AE"/>
    <w:rsid w:val="1B54F9FE"/>
    <w:rsid w:val="1B65C2B6"/>
    <w:rsid w:val="1B6B0DCF"/>
    <w:rsid w:val="1B7770A7"/>
    <w:rsid w:val="1B84657D"/>
    <w:rsid w:val="1B9A9041"/>
    <w:rsid w:val="1BB60F68"/>
    <w:rsid w:val="1BC31581"/>
    <w:rsid w:val="1BC84CC0"/>
    <w:rsid w:val="1BCBBBEF"/>
    <w:rsid w:val="1BF51F41"/>
    <w:rsid w:val="1C10ADE5"/>
    <w:rsid w:val="1C2B2ADA"/>
    <w:rsid w:val="1C381622"/>
    <w:rsid w:val="1C3A74EC"/>
    <w:rsid w:val="1C3B81D7"/>
    <w:rsid w:val="1C3CC249"/>
    <w:rsid w:val="1C5C4337"/>
    <w:rsid w:val="1C606FEC"/>
    <w:rsid w:val="1C7ECCC5"/>
    <w:rsid w:val="1C9B1886"/>
    <w:rsid w:val="1CC13D27"/>
    <w:rsid w:val="1CC36836"/>
    <w:rsid w:val="1CD8A9B4"/>
    <w:rsid w:val="1CD8FDDC"/>
    <w:rsid w:val="1CF9B404"/>
    <w:rsid w:val="1D0E2E51"/>
    <w:rsid w:val="1D49E1CD"/>
    <w:rsid w:val="1D6524D3"/>
    <w:rsid w:val="1D675A7A"/>
    <w:rsid w:val="1D8A21E0"/>
    <w:rsid w:val="1DA49172"/>
    <w:rsid w:val="1DB78FD0"/>
    <w:rsid w:val="1DCAFCE2"/>
    <w:rsid w:val="1DEFCFBF"/>
    <w:rsid w:val="1DF05BA4"/>
    <w:rsid w:val="1DF52E3C"/>
    <w:rsid w:val="1DFE8701"/>
    <w:rsid w:val="1E09E64A"/>
    <w:rsid w:val="1E40FC61"/>
    <w:rsid w:val="1E443CC5"/>
    <w:rsid w:val="1E57D39F"/>
    <w:rsid w:val="1E651107"/>
    <w:rsid w:val="1E686C9C"/>
    <w:rsid w:val="1E717232"/>
    <w:rsid w:val="1E858D1E"/>
    <w:rsid w:val="1E8B0DD0"/>
    <w:rsid w:val="1E9CC9E4"/>
    <w:rsid w:val="1EA5E519"/>
    <w:rsid w:val="1EB014B0"/>
    <w:rsid w:val="1ED21DE6"/>
    <w:rsid w:val="1ED5E375"/>
    <w:rsid w:val="1EF834F0"/>
    <w:rsid w:val="1F050C52"/>
    <w:rsid w:val="1F108243"/>
    <w:rsid w:val="1F166812"/>
    <w:rsid w:val="1F654F7C"/>
    <w:rsid w:val="1F687C00"/>
    <w:rsid w:val="1F7B60B4"/>
    <w:rsid w:val="1F9CE7ED"/>
    <w:rsid w:val="1F9F5280"/>
    <w:rsid w:val="1FC4ED7E"/>
    <w:rsid w:val="1FF4D591"/>
    <w:rsid w:val="20068C8F"/>
    <w:rsid w:val="200A7D67"/>
    <w:rsid w:val="204D4947"/>
    <w:rsid w:val="207C2357"/>
    <w:rsid w:val="20B36897"/>
    <w:rsid w:val="20D7FF21"/>
    <w:rsid w:val="20F014EC"/>
    <w:rsid w:val="20F6003B"/>
    <w:rsid w:val="2101D57E"/>
    <w:rsid w:val="21207224"/>
    <w:rsid w:val="21278609"/>
    <w:rsid w:val="21401ED5"/>
    <w:rsid w:val="2156E6FB"/>
    <w:rsid w:val="216DFEBD"/>
    <w:rsid w:val="217805AB"/>
    <w:rsid w:val="21912489"/>
    <w:rsid w:val="219BBB44"/>
    <w:rsid w:val="21B31258"/>
    <w:rsid w:val="21BCD739"/>
    <w:rsid w:val="21BD3EF3"/>
    <w:rsid w:val="21C122F9"/>
    <w:rsid w:val="21C5F3EC"/>
    <w:rsid w:val="21C71017"/>
    <w:rsid w:val="21D7C102"/>
    <w:rsid w:val="21EA3EC2"/>
    <w:rsid w:val="21F29B5B"/>
    <w:rsid w:val="21FF8F48"/>
    <w:rsid w:val="224A5B95"/>
    <w:rsid w:val="226F9993"/>
    <w:rsid w:val="2280EA15"/>
    <w:rsid w:val="2288727F"/>
    <w:rsid w:val="22AD3938"/>
    <w:rsid w:val="22B53156"/>
    <w:rsid w:val="22BBA464"/>
    <w:rsid w:val="22BC5493"/>
    <w:rsid w:val="22BE13A4"/>
    <w:rsid w:val="22BE8A3A"/>
    <w:rsid w:val="22CAC54F"/>
    <w:rsid w:val="22F37C42"/>
    <w:rsid w:val="23289250"/>
    <w:rsid w:val="2336DA14"/>
    <w:rsid w:val="233DF102"/>
    <w:rsid w:val="234FBF05"/>
    <w:rsid w:val="23C5AFA3"/>
    <w:rsid w:val="23D29EB2"/>
    <w:rsid w:val="23E23629"/>
    <w:rsid w:val="23E77B1E"/>
    <w:rsid w:val="240CB7DD"/>
    <w:rsid w:val="240F3A19"/>
    <w:rsid w:val="2431F8BD"/>
    <w:rsid w:val="2433F7E8"/>
    <w:rsid w:val="2434183F"/>
    <w:rsid w:val="244196D4"/>
    <w:rsid w:val="244C6F12"/>
    <w:rsid w:val="245101B7"/>
    <w:rsid w:val="2480FDE5"/>
    <w:rsid w:val="24AF32C3"/>
    <w:rsid w:val="24BBF3AE"/>
    <w:rsid w:val="24D80B58"/>
    <w:rsid w:val="24D9CB3D"/>
    <w:rsid w:val="24FDD6A0"/>
    <w:rsid w:val="25193087"/>
    <w:rsid w:val="251C3BDC"/>
    <w:rsid w:val="251E4F7D"/>
    <w:rsid w:val="25265A78"/>
    <w:rsid w:val="2544CBD2"/>
    <w:rsid w:val="25491F35"/>
    <w:rsid w:val="2551D6DF"/>
    <w:rsid w:val="25762D95"/>
    <w:rsid w:val="2576E2B1"/>
    <w:rsid w:val="25AFCA55"/>
    <w:rsid w:val="25B407A7"/>
    <w:rsid w:val="25C18457"/>
    <w:rsid w:val="25E2320A"/>
    <w:rsid w:val="261265EB"/>
    <w:rsid w:val="261E56C0"/>
    <w:rsid w:val="262890E6"/>
    <w:rsid w:val="262DA5BC"/>
    <w:rsid w:val="263A3BF7"/>
    <w:rsid w:val="264241B8"/>
    <w:rsid w:val="265CA612"/>
    <w:rsid w:val="2676287E"/>
    <w:rsid w:val="26782889"/>
    <w:rsid w:val="268D6F5A"/>
    <w:rsid w:val="26CC44B8"/>
    <w:rsid w:val="26D3359E"/>
    <w:rsid w:val="26E1CE93"/>
    <w:rsid w:val="26E5A269"/>
    <w:rsid w:val="26E642D8"/>
    <w:rsid w:val="26F2B403"/>
    <w:rsid w:val="2716057D"/>
    <w:rsid w:val="271782E9"/>
    <w:rsid w:val="27187470"/>
    <w:rsid w:val="2742FF91"/>
    <w:rsid w:val="274774C8"/>
    <w:rsid w:val="27528B7E"/>
    <w:rsid w:val="276CB2C4"/>
    <w:rsid w:val="27733A9A"/>
    <w:rsid w:val="2775E89E"/>
    <w:rsid w:val="27791BFC"/>
    <w:rsid w:val="27817170"/>
    <w:rsid w:val="27A327B6"/>
    <w:rsid w:val="27C9DC6A"/>
    <w:rsid w:val="28061ADD"/>
    <w:rsid w:val="280D6FF0"/>
    <w:rsid w:val="2811D687"/>
    <w:rsid w:val="283ED143"/>
    <w:rsid w:val="2848DC25"/>
    <w:rsid w:val="285B7E3D"/>
    <w:rsid w:val="28607B05"/>
    <w:rsid w:val="2867CD26"/>
    <w:rsid w:val="2880CAAB"/>
    <w:rsid w:val="2891318E"/>
    <w:rsid w:val="28AF373F"/>
    <w:rsid w:val="28B77EE4"/>
    <w:rsid w:val="28C4C0F2"/>
    <w:rsid w:val="28DA4BAF"/>
    <w:rsid w:val="28DF2D6F"/>
    <w:rsid w:val="28E8483E"/>
    <w:rsid w:val="28F01DDA"/>
    <w:rsid w:val="2907B410"/>
    <w:rsid w:val="29093330"/>
    <w:rsid w:val="29152D50"/>
    <w:rsid w:val="2925D8CF"/>
    <w:rsid w:val="2934753B"/>
    <w:rsid w:val="293A489B"/>
    <w:rsid w:val="295D2B80"/>
    <w:rsid w:val="295D46C2"/>
    <w:rsid w:val="296462F1"/>
    <w:rsid w:val="297F6DB3"/>
    <w:rsid w:val="2984FEB6"/>
    <w:rsid w:val="29A0EF1F"/>
    <w:rsid w:val="29C2E33E"/>
    <w:rsid w:val="29C4EB0D"/>
    <w:rsid w:val="29D89843"/>
    <w:rsid w:val="29F2A407"/>
    <w:rsid w:val="29F6F637"/>
    <w:rsid w:val="2A0F7ADC"/>
    <w:rsid w:val="2A14BB0B"/>
    <w:rsid w:val="2A37A27E"/>
    <w:rsid w:val="2A3D995D"/>
    <w:rsid w:val="2A45FC6D"/>
    <w:rsid w:val="2A4AD825"/>
    <w:rsid w:val="2A65F8C0"/>
    <w:rsid w:val="2A7FBF10"/>
    <w:rsid w:val="2A846DA9"/>
    <w:rsid w:val="2AA16F8D"/>
    <w:rsid w:val="2ACF47AE"/>
    <w:rsid w:val="2AE5B8D9"/>
    <w:rsid w:val="2B0A8AD2"/>
    <w:rsid w:val="2B15B13E"/>
    <w:rsid w:val="2B6EBBAB"/>
    <w:rsid w:val="2B88F440"/>
    <w:rsid w:val="2BA4CBB8"/>
    <w:rsid w:val="2BB74A02"/>
    <w:rsid w:val="2BC356F3"/>
    <w:rsid w:val="2BC42C9A"/>
    <w:rsid w:val="2BC56CA4"/>
    <w:rsid w:val="2C0AC568"/>
    <w:rsid w:val="2C2F69AE"/>
    <w:rsid w:val="2C44A094"/>
    <w:rsid w:val="2C58C666"/>
    <w:rsid w:val="2C5BBD55"/>
    <w:rsid w:val="2C6683AA"/>
    <w:rsid w:val="2C697FD6"/>
    <w:rsid w:val="2C71B74C"/>
    <w:rsid w:val="2C72193E"/>
    <w:rsid w:val="2C777D15"/>
    <w:rsid w:val="2CB1833C"/>
    <w:rsid w:val="2CE4F373"/>
    <w:rsid w:val="2CF7543E"/>
    <w:rsid w:val="2D153903"/>
    <w:rsid w:val="2D2D7F3F"/>
    <w:rsid w:val="2D33B665"/>
    <w:rsid w:val="2D3B85E1"/>
    <w:rsid w:val="2D5EA025"/>
    <w:rsid w:val="2D819065"/>
    <w:rsid w:val="2D88606E"/>
    <w:rsid w:val="2D99E241"/>
    <w:rsid w:val="2DA4173F"/>
    <w:rsid w:val="2DB4D1D6"/>
    <w:rsid w:val="2DC8EE3D"/>
    <w:rsid w:val="2DD0F9FC"/>
    <w:rsid w:val="2DD7FEEA"/>
    <w:rsid w:val="2DE7DC21"/>
    <w:rsid w:val="2E80FCFA"/>
    <w:rsid w:val="2EA11752"/>
    <w:rsid w:val="2EC77BED"/>
    <w:rsid w:val="2ED17F04"/>
    <w:rsid w:val="2EE86B26"/>
    <w:rsid w:val="2F007557"/>
    <w:rsid w:val="2F1861B3"/>
    <w:rsid w:val="2F34DC8F"/>
    <w:rsid w:val="2F6C8D43"/>
    <w:rsid w:val="2F7C304F"/>
    <w:rsid w:val="2F85D130"/>
    <w:rsid w:val="2F8A86D5"/>
    <w:rsid w:val="2F9D0D42"/>
    <w:rsid w:val="2FB093EB"/>
    <w:rsid w:val="2FB9FEDD"/>
    <w:rsid w:val="2FCAF470"/>
    <w:rsid w:val="2FDE0173"/>
    <w:rsid w:val="3017602C"/>
    <w:rsid w:val="302627D3"/>
    <w:rsid w:val="3029CB41"/>
    <w:rsid w:val="3039E844"/>
    <w:rsid w:val="30444466"/>
    <w:rsid w:val="3048DC45"/>
    <w:rsid w:val="304EC3D6"/>
    <w:rsid w:val="3073796A"/>
    <w:rsid w:val="308EB99D"/>
    <w:rsid w:val="30940B1F"/>
    <w:rsid w:val="3096FADE"/>
    <w:rsid w:val="309990C0"/>
    <w:rsid w:val="309991A1"/>
    <w:rsid w:val="30A35FD3"/>
    <w:rsid w:val="30C1AFE2"/>
    <w:rsid w:val="30C383D9"/>
    <w:rsid w:val="30C60D0A"/>
    <w:rsid w:val="30D1AE6F"/>
    <w:rsid w:val="30E072C6"/>
    <w:rsid w:val="311554ED"/>
    <w:rsid w:val="3141AD2E"/>
    <w:rsid w:val="315A8693"/>
    <w:rsid w:val="315C7CF0"/>
    <w:rsid w:val="31607281"/>
    <w:rsid w:val="316F6D55"/>
    <w:rsid w:val="31842BDF"/>
    <w:rsid w:val="31931C8B"/>
    <w:rsid w:val="31B72990"/>
    <w:rsid w:val="31D7B2F0"/>
    <w:rsid w:val="31EB7D44"/>
    <w:rsid w:val="31F7DD90"/>
    <w:rsid w:val="3202D8C7"/>
    <w:rsid w:val="3205B224"/>
    <w:rsid w:val="3227B459"/>
    <w:rsid w:val="322BAE52"/>
    <w:rsid w:val="3232EEF2"/>
    <w:rsid w:val="3245910A"/>
    <w:rsid w:val="32491364"/>
    <w:rsid w:val="326A2951"/>
    <w:rsid w:val="32895E21"/>
    <w:rsid w:val="32A3401C"/>
    <w:rsid w:val="32A8ACA1"/>
    <w:rsid w:val="32F82977"/>
    <w:rsid w:val="330F7A29"/>
    <w:rsid w:val="3321EF27"/>
    <w:rsid w:val="333E1B02"/>
    <w:rsid w:val="334C64EC"/>
    <w:rsid w:val="33540AA1"/>
    <w:rsid w:val="336C5134"/>
    <w:rsid w:val="337870E7"/>
    <w:rsid w:val="340C3586"/>
    <w:rsid w:val="34148F27"/>
    <w:rsid w:val="341AB969"/>
    <w:rsid w:val="3421B386"/>
    <w:rsid w:val="342843A2"/>
    <w:rsid w:val="34587157"/>
    <w:rsid w:val="3465E57E"/>
    <w:rsid w:val="34B50D3D"/>
    <w:rsid w:val="34D9652F"/>
    <w:rsid w:val="34E13E95"/>
    <w:rsid w:val="34F99BF8"/>
    <w:rsid w:val="34FAA3D7"/>
    <w:rsid w:val="35151D6A"/>
    <w:rsid w:val="351D5953"/>
    <w:rsid w:val="353F81FC"/>
    <w:rsid w:val="3554FA20"/>
    <w:rsid w:val="35662106"/>
    <w:rsid w:val="3567C910"/>
    <w:rsid w:val="359319FD"/>
    <w:rsid w:val="35A2131C"/>
    <w:rsid w:val="35B762BC"/>
    <w:rsid w:val="35DD1F0D"/>
    <w:rsid w:val="35F242D3"/>
    <w:rsid w:val="35FC7644"/>
    <w:rsid w:val="362F389B"/>
    <w:rsid w:val="363496B5"/>
    <w:rsid w:val="3677EEA3"/>
    <w:rsid w:val="367D2ADC"/>
    <w:rsid w:val="369B6ECB"/>
    <w:rsid w:val="36CB38C0"/>
    <w:rsid w:val="36D1425A"/>
    <w:rsid w:val="36F010A0"/>
    <w:rsid w:val="36F7D247"/>
    <w:rsid w:val="36F81092"/>
    <w:rsid w:val="36F88DE2"/>
    <w:rsid w:val="375F4CEC"/>
    <w:rsid w:val="377C1A54"/>
    <w:rsid w:val="378D8D10"/>
    <w:rsid w:val="37BF94B9"/>
    <w:rsid w:val="37D86D9F"/>
    <w:rsid w:val="37F8B633"/>
    <w:rsid w:val="37F906D3"/>
    <w:rsid w:val="3818A035"/>
    <w:rsid w:val="38242B32"/>
    <w:rsid w:val="384E30E7"/>
    <w:rsid w:val="3861BB00"/>
    <w:rsid w:val="38702E08"/>
    <w:rsid w:val="3871A4E0"/>
    <w:rsid w:val="387E690B"/>
    <w:rsid w:val="387ECCBF"/>
    <w:rsid w:val="38A4DDAE"/>
    <w:rsid w:val="38A8DF5C"/>
    <w:rsid w:val="38AD798A"/>
    <w:rsid w:val="38B1433A"/>
    <w:rsid w:val="38C93F5F"/>
    <w:rsid w:val="3922AE76"/>
    <w:rsid w:val="39699487"/>
    <w:rsid w:val="396B6F72"/>
    <w:rsid w:val="3973B75B"/>
    <w:rsid w:val="3981294D"/>
    <w:rsid w:val="39874F70"/>
    <w:rsid w:val="398D1BBF"/>
    <w:rsid w:val="39B15DC6"/>
    <w:rsid w:val="39EE81FF"/>
    <w:rsid w:val="39F9DEC9"/>
    <w:rsid w:val="3A00D758"/>
    <w:rsid w:val="3A162ACB"/>
    <w:rsid w:val="3A307298"/>
    <w:rsid w:val="3A40B636"/>
    <w:rsid w:val="3A5BC33D"/>
    <w:rsid w:val="3A6A8C9C"/>
    <w:rsid w:val="3A710AAE"/>
    <w:rsid w:val="3A7999CA"/>
    <w:rsid w:val="3A8DB993"/>
    <w:rsid w:val="3AAB8CE8"/>
    <w:rsid w:val="3AC4D21F"/>
    <w:rsid w:val="3AD3D332"/>
    <w:rsid w:val="3ADBE6FB"/>
    <w:rsid w:val="3ADCA958"/>
    <w:rsid w:val="3ADD3033"/>
    <w:rsid w:val="3AF7357B"/>
    <w:rsid w:val="3B114E6F"/>
    <w:rsid w:val="3B17CF69"/>
    <w:rsid w:val="3B29178E"/>
    <w:rsid w:val="3B4D5E72"/>
    <w:rsid w:val="3B714261"/>
    <w:rsid w:val="3B747304"/>
    <w:rsid w:val="3B8D0969"/>
    <w:rsid w:val="3BADD7F8"/>
    <w:rsid w:val="3BF3856B"/>
    <w:rsid w:val="3C0DBE4C"/>
    <w:rsid w:val="3C1B819B"/>
    <w:rsid w:val="3C44C699"/>
    <w:rsid w:val="3C5FB923"/>
    <w:rsid w:val="3C802776"/>
    <w:rsid w:val="3C9D728F"/>
    <w:rsid w:val="3CA22546"/>
    <w:rsid w:val="3CBD711E"/>
    <w:rsid w:val="3CC1E697"/>
    <w:rsid w:val="3CC85F0E"/>
    <w:rsid w:val="3CD5A179"/>
    <w:rsid w:val="3CEB738D"/>
    <w:rsid w:val="3CEEB3AB"/>
    <w:rsid w:val="3D0C7CA7"/>
    <w:rsid w:val="3D144EE8"/>
    <w:rsid w:val="3D223CF2"/>
    <w:rsid w:val="3D3D8CEE"/>
    <w:rsid w:val="3D4AB8FB"/>
    <w:rsid w:val="3D65B2EC"/>
    <w:rsid w:val="3D693CCD"/>
    <w:rsid w:val="3D6A3AF9"/>
    <w:rsid w:val="3D6B6D59"/>
    <w:rsid w:val="3D715EE8"/>
    <w:rsid w:val="3D833E8D"/>
    <w:rsid w:val="3D9057E9"/>
    <w:rsid w:val="3DA0FB2B"/>
    <w:rsid w:val="3DCB086A"/>
    <w:rsid w:val="3DCE3867"/>
    <w:rsid w:val="3DEC1783"/>
    <w:rsid w:val="3DEF1356"/>
    <w:rsid w:val="3E07CDDF"/>
    <w:rsid w:val="3E0D6F24"/>
    <w:rsid w:val="3E12F86C"/>
    <w:rsid w:val="3E1F0913"/>
    <w:rsid w:val="3E2EEFBE"/>
    <w:rsid w:val="3E458D1D"/>
    <w:rsid w:val="3E7ADD1C"/>
    <w:rsid w:val="3E7B20B0"/>
    <w:rsid w:val="3E8A892C"/>
    <w:rsid w:val="3E96AD53"/>
    <w:rsid w:val="3EAF4C07"/>
    <w:rsid w:val="3EC8DF94"/>
    <w:rsid w:val="3ED4D7D0"/>
    <w:rsid w:val="3EDDBE2B"/>
    <w:rsid w:val="3EFD4AA2"/>
    <w:rsid w:val="3F188643"/>
    <w:rsid w:val="3F676842"/>
    <w:rsid w:val="3F81A9C9"/>
    <w:rsid w:val="3FBEA9B5"/>
    <w:rsid w:val="3FC4224D"/>
    <w:rsid w:val="3FDB159D"/>
    <w:rsid w:val="4026E373"/>
    <w:rsid w:val="4040B6E2"/>
    <w:rsid w:val="407873F9"/>
    <w:rsid w:val="4083E571"/>
    <w:rsid w:val="4085B686"/>
    <w:rsid w:val="408C380B"/>
    <w:rsid w:val="409D72E2"/>
    <w:rsid w:val="40C08713"/>
    <w:rsid w:val="40C84CAD"/>
    <w:rsid w:val="40D28D4B"/>
    <w:rsid w:val="40D8CD09"/>
    <w:rsid w:val="40F0315C"/>
    <w:rsid w:val="40FF92C9"/>
    <w:rsid w:val="41005CD7"/>
    <w:rsid w:val="41193071"/>
    <w:rsid w:val="414FE0F4"/>
    <w:rsid w:val="4157462B"/>
    <w:rsid w:val="41591907"/>
    <w:rsid w:val="415C8419"/>
    <w:rsid w:val="418A2E94"/>
    <w:rsid w:val="418B7EF1"/>
    <w:rsid w:val="41AC8941"/>
    <w:rsid w:val="41AC89F3"/>
    <w:rsid w:val="41BC45B1"/>
    <w:rsid w:val="41BCCCDF"/>
    <w:rsid w:val="41F7AC44"/>
    <w:rsid w:val="4209B60B"/>
    <w:rsid w:val="42785C10"/>
    <w:rsid w:val="4282C394"/>
    <w:rsid w:val="42B0F6AC"/>
    <w:rsid w:val="42D457C7"/>
    <w:rsid w:val="42DF2D17"/>
    <w:rsid w:val="4312AAAF"/>
    <w:rsid w:val="4316FF59"/>
    <w:rsid w:val="431B8DF6"/>
    <w:rsid w:val="431F8A05"/>
    <w:rsid w:val="43280AE5"/>
    <w:rsid w:val="432FA7FA"/>
    <w:rsid w:val="43972AC2"/>
    <w:rsid w:val="43BD3062"/>
    <w:rsid w:val="43ECCD9F"/>
    <w:rsid w:val="43F88EAE"/>
    <w:rsid w:val="440EDA34"/>
    <w:rsid w:val="442284BC"/>
    <w:rsid w:val="443E98B2"/>
    <w:rsid w:val="446F03FA"/>
    <w:rsid w:val="447CA0C0"/>
    <w:rsid w:val="4482E114"/>
    <w:rsid w:val="44859497"/>
    <w:rsid w:val="44A3624D"/>
    <w:rsid w:val="44BAD8C7"/>
    <w:rsid w:val="44C2807D"/>
    <w:rsid w:val="44D4007B"/>
    <w:rsid w:val="44EAB94C"/>
    <w:rsid w:val="45070717"/>
    <w:rsid w:val="450AEE59"/>
    <w:rsid w:val="450FB1CD"/>
    <w:rsid w:val="453A7EEA"/>
    <w:rsid w:val="4540D725"/>
    <w:rsid w:val="458BA81C"/>
    <w:rsid w:val="45ADC3BB"/>
    <w:rsid w:val="45C05830"/>
    <w:rsid w:val="45D0AFA0"/>
    <w:rsid w:val="45D14F23"/>
    <w:rsid w:val="45D821BD"/>
    <w:rsid w:val="4606AFE5"/>
    <w:rsid w:val="4627FB94"/>
    <w:rsid w:val="464FA50E"/>
    <w:rsid w:val="4654651C"/>
    <w:rsid w:val="467D7BC1"/>
    <w:rsid w:val="4682F6A0"/>
    <w:rsid w:val="468AFC0F"/>
    <w:rsid w:val="469F4AE6"/>
    <w:rsid w:val="46AE0208"/>
    <w:rsid w:val="46C29872"/>
    <w:rsid w:val="46C99DA7"/>
    <w:rsid w:val="470B53A0"/>
    <w:rsid w:val="470D0AF4"/>
    <w:rsid w:val="4719E657"/>
    <w:rsid w:val="4727911D"/>
    <w:rsid w:val="472924B4"/>
    <w:rsid w:val="472E7EBB"/>
    <w:rsid w:val="476B895F"/>
    <w:rsid w:val="47A3BA00"/>
    <w:rsid w:val="47A857ED"/>
    <w:rsid w:val="47BADE93"/>
    <w:rsid w:val="47C84978"/>
    <w:rsid w:val="47CB11FC"/>
    <w:rsid w:val="47ECE391"/>
    <w:rsid w:val="481B7C30"/>
    <w:rsid w:val="482DB56C"/>
    <w:rsid w:val="4846CBBE"/>
    <w:rsid w:val="485E9728"/>
    <w:rsid w:val="48626806"/>
    <w:rsid w:val="486512BA"/>
    <w:rsid w:val="489F93BC"/>
    <w:rsid w:val="48D0CC62"/>
    <w:rsid w:val="48D5F9C5"/>
    <w:rsid w:val="493DFA2B"/>
    <w:rsid w:val="494B317D"/>
    <w:rsid w:val="4959B6CE"/>
    <w:rsid w:val="49619EE2"/>
    <w:rsid w:val="4984285E"/>
    <w:rsid w:val="4992AD50"/>
    <w:rsid w:val="49983B50"/>
    <w:rsid w:val="49996C89"/>
    <w:rsid w:val="49A10C65"/>
    <w:rsid w:val="49A1D7D2"/>
    <w:rsid w:val="49B08AC9"/>
    <w:rsid w:val="49F2F108"/>
    <w:rsid w:val="4A189A11"/>
    <w:rsid w:val="4A4FD06D"/>
    <w:rsid w:val="4A524D26"/>
    <w:rsid w:val="4A54CB11"/>
    <w:rsid w:val="4A5AAE56"/>
    <w:rsid w:val="4A6DD937"/>
    <w:rsid w:val="4A746977"/>
    <w:rsid w:val="4A7AF5A9"/>
    <w:rsid w:val="4A85B713"/>
    <w:rsid w:val="4AA12DA8"/>
    <w:rsid w:val="4AACE386"/>
    <w:rsid w:val="4AAFD3FF"/>
    <w:rsid w:val="4AB77CE9"/>
    <w:rsid w:val="4ABBCEA7"/>
    <w:rsid w:val="4ADB379B"/>
    <w:rsid w:val="4ADDC033"/>
    <w:rsid w:val="4AE760D5"/>
    <w:rsid w:val="4AEAF738"/>
    <w:rsid w:val="4AF91DE4"/>
    <w:rsid w:val="4AFA4FFC"/>
    <w:rsid w:val="4B02A7A9"/>
    <w:rsid w:val="4B104CC0"/>
    <w:rsid w:val="4B169C41"/>
    <w:rsid w:val="4B17CAC2"/>
    <w:rsid w:val="4B2774BC"/>
    <w:rsid w:val="4B2B3150"/>
    <w:rsid w:val="4B48213D"/>
    <w:rsid w:val="4B55401A"/>
    <w:rsid w:val="4B690C90"/>
    <w:rsid w:val="4B7634C9"/>
    <w:rsid w:val="4B8D87BB"/>
    <w:rsid w:val="4B8F2EA5"/>
    <w:rsid w:val="4BAD8607"/>
    <w:rsid w:val="4BC1E2AA"/>
    <w:rsid w:val="4BD46C50"/>
    <w:rsid w:val="4BDC08B7"/>
    <w:rsid w:val="4BEFE635"/>
    <w:rsid w:val="4BFF4233"/>
    <w:rsid w:val="4C2F87A6"/>
    <w:rsid w:val="4C36E7ED"/>
    <w:rsid w:val="4CAB03AF"/>
    <w:rsid w:val="4CC05910"/>
    <w:rsid w:val="4CC09773"/>
    <w:rsid w:val="4CEE61EF"/>
    <w:rsid w:val="4CF7B03B"/>
    <w:rsid w:val="4D00B5E1"/>
    <w:rsid w:val="4D3395CE"/>
    <w:rsid w:val="4D3EB9B0"/>
    <w:rsid w:val="4D66172B"/>
    <w:rsid w:val="4D83C43C"/>
    <w:rsid w:val="4D99F9CF"/>
    <w:rsid w:val="4DAE7057"/>
    <w:rsid w:val="4E2F006E"/>
    <w:rsid w:val="4E3CE71F"/>
    <w:rsid w:val="4E5B44AF"/>
    <w:rsid w:val="4E655CC0"/>
    <w:rsid w:val="4E7ECD03"/>
    <w:rsid w:val="4E88728F"/>
    <w:rsid w:val="4E97BE31"/>
    <w:rsid w:val="4EB8F991"/>
    <w:rsid w:val="4EBA8279"/>
    <w:rsid w:val="4EC20F57"/>
    <w:rsid w:val="4EFFB9B3"/>
    <w:rsid w:val="4F046888"/>
    <w:rsid w:val="4F48C27D"/>
    <w:rsid w:val="4F4BC647"/>
    <w:rsid w:val="4F4BFD40"/>
    <w:rsid w:val="4F723D1C"/>
    <w:rsid w:val="4F89E356"/>
    <w:rsid w:val="4F8A9618"/>
    <w:rsid w:val="4FA96EDE"/>
    <w:rsid w:val="4FB6977B"/>
    <w:rsid w:val="4FCC1A41"/>
    <w:rsid w:val="4FCE9EF9"/>
    <w:rsid w:val="4FDCC2DF"/>
    <w:rsid w:val="4FEB214D"/>
    <w:rsid w:val="5002864C"/>
    <w:rsid w:val="50047964"/>
    <w:rsid w:val="501A3560"/>
    <w:rsid w:val="501A44AF"/>
    <w:rsid w:val="501A5E8B"/>
    <w:rsid w:val="503F1128"/>
    <w:rsid w:val="50400A37"/>
    <w:rsid w:val="50524AF5"/>
    <w:rsid w:val="5072CE9D"/>
    <w:rsid w:val="5077B790"/>
    <w:rsid w:val="50885365"/>
    <w:rsid w:val="508CD829"/>
    <w:rsid w:val="50C34509"/>
    <w:rsid w:val="50F590A8"/>
    <w:rsid w:val="50FB9823"/>
    <w:rsid w:val="5107DD63"/>
    <w:rsid w:val="510D5BBE"/>
    <w:rsid w:val="51117182"/>
    <w:rsid w:val="5111A36C"/>
    <w:rsid w:val="513E9E59"/>
    <w:rsid w:val="514BD327"/>
    <w:rsid w:val="51A3BF0E"/>
    <w:rsid w:val="51CD9616"/>
    <w:rsid w:val="51DA036D"/>
    <w:rsid w:val="51EB4504"/>
    <w:rsid w:val="5212878E"/>
    <w:rsid w:val="524715DB"/>
    <w:rsid w:val="52A02AEB"/>
    <w:rsid w:val="52B88B5D"/>
    <w:rsid w:val="52C4F527"/>
    <w:rsid w:val="52C594F6"/>
    <w:rsid w:val="530AB5D7"/>
    <w:rsid w:val="53197AEA"/>
    <w:rsid w:val="533D3FF0"/>
    <w:rsid w:val="533EC58A"/>
    <w:rsid w:val="538D9161"/>
    <w:rsid w:val="5394B98A"/>
    <w:rsid w:val="53B4CADD"/>
    <w:rsid w:val="53C38E21"/>
    <w:rsid w:val="53DD8967"/>
    <w:rsid w:val="53DF198E"/>
    <w:rsid w:val="53F15FB0"/>
    <w:rsid w:val="540BD823"/>
    <w:rsid w:val="5441A8CE"/>
    <w:rsid w:val="5447509A"/>
    <w:rsid w:val="54490743"/>
    <w:rsid w:val="5454EB79"/>
    <w:rsid w:val="546602C4"/>
    <w:rsid w:val="546848B6"/>
    <w:rsid w:val="546AAD0B"/>
    <w:rsid w:val="548D45F7"/>
    <w:rsid w:val="5498AACF"/>
    <w:rsid w:val="549D6809"/>
    <w:rsid w:val="54C24DA5"/>
    <w:rsid w:val="54C341A3"/>
    <w:rsid w:val="54DA7032"/>
    <w:rsid w:val="54EC1CE7"/>
    <w:rsid w:val="54EF4D8E"/>
    <w:rsid w:val="54F53589"/>
    <w:rsid w:val="54FDCE6B"/>
    <w:rsid w:val="551C2C4B"/>
    <w:rsid w:val="551CB50C"/>
    <w:rsid w:val="55425CDF"/>
    <w:rsid w:val="555A0144"/>
    <w:rsid w:val="55638278"/>
    <w:rsid w:val="558E9FA2"/>
    <w:rsid w:val="55B926DC"/>
    <w:rsid w:val="55C048F5"/>
    <w:rsid w:val="55CD3FBC"/>
    <w:rsid w:val="55DB7428"/>
    <w:rsid w:val="55F3B179"/>
    <w:rsid w:val="55F4BEAB"/>
    <w:rsid w:val="55F5DDA7"/>
    <w:rsid w:val="55FCEDB7"/>
    <w:rsid w:val="563220C0"/>
    <w:rsid w:val="5635B6EC"/>
    <w:rsid w:val="56390E9E"/>
    <w:rsid w:val="56400198"/>
    <w:rsid w:val="56742B4B"/>
    <w:rsid w:val="567575E9"/>
    <w:rsid w:val="569FECCC"/>
    <w:rsid w:val="56D170D4"/>
    <w:rsid w:val="57438F6D"/>
    <w:rsid w:val="574A8FE4"/>
    <w:rsid w:val="574EDA32"/>
    <w:rsid w:val="575C1937"/>
    <w:rsid w:val="57793D54"/>
    <w:rsid w:val="5788F480"/>
    <w:rsid w:val="57A0E80C"/>
    <w:rsid w:val="57A3BB76"/>
    <w:rsid w:val="57D51EF6"/>
    <w:rsid w:val="57F116BA"/>
    <w:rsid w:val="580A9CDA"/>
    <w:rsid w:val="588A8DB7"/>
    <w:rsid w:val="58A6E31E"/>
    <w:rsid w:val="58C6C536"/>
    <w:rsid w:val="58ECBDD5"/>
    <w:rsid w:val="58F23759"/>
    <w:rsid w:val="590629D8"/>
    <w:rsid w:val="59074FF1"/>
    <w:rsid w:val="592294EC"/>
    <w:rsid w:val="5947AC5E"/>
    <w:rsid w:val="594C4402"/>
    <w:rsid w:val="596CDD1D"/>
    <w:rsid w:val="598B787A"/>
    <w:rsid w:val="5997E32E"/>
    <w:rsid w:val="59C9FF95"/>
    <w:rsid w:val="59CB6DE9"/>
    <w:rsid w:val="59DE3E54"/>
    <w:rsid w:val="59DF3A70"/>
    <w:rsid w:val="59ED16D9"/>
    <w:rsid w:val="59FE5D70"/>
    <w:rsid w:val="5A042B81"/>
    <w:rsid w:val="5A2E7C40"/>
    <w:rsid w:val="5A48BFA7"/>
    <w:rsid w:val="5A562AE5"/>
    <w:rsid w:val="5A597F11"/>
    <w:rsid w:val="5A7C8DF0"/>
    <w:rsid w:val="5A88016C"/>
    <w:rsid w:val="5AA28A55"/>
    <w:rsid w:val="5AADEA52"/>
    <w:rsid w:val="5AC5C6D5"/>
    <w:rsid w:val="5ACCB20E"/>
    <w:rsid w:val="5ADCDBC9"/>
    <w:rsid w:val="5B156BF4"/>
    <w:rsid w:val="5B1B6D00"/>
    <w:rsid w:val="5B3F6499"/>
    <w:rsid w:val="5B4351F1"/>
    <w:rsid w:val="5B4D4151"/>
    <w:rsid w:val="5B59DDB9"/>
    <w:rsid w:val="5B5FD79E"/>
    <w:rsid w:val="5B61F7BD"/>
    <w:rsid w:val="5B63EE3C"/>
    <w:rsid w:val="5B73D241"/>
    <w:rsid w:val="5B88A601"/>
    <w:rsid w:val="5B904186"/>
    <w:rsid w:val="5B995682"/>
    <w:rsid w:val="5BEDF4B1"/>
    <w:rsid w:val="5BF037CF"/>
    <w:rsid w:val="5C03BFB0"/>
    <w:rsid w:val="5C0FFCFB"/>
    <w:rsid w:val="5C1B89AB"/>
    <w:rsid w:val="5C2E7C4C"/>
    <w:rsid w:val="5C3A89AF"/>
    <w:rsid w:val="5C43E375"/>
    <w:rsid w:val="5C4E3CA2"/>
    <w:rsid w:val="5C5B446F"/>
    <w:rsid w:val="5C67BDF2"/>
    <w:rsid w:val="5C764EF8"/>
    <w:rsid w:val="5C7B625C"/>
    <w:rsid w:val="5C85F638"/>
    <w:rsid w:val="5CA631F6"/>
    <w:rsid w:val="5CAC0FBA"/>
    <w:rsid w:val="5CB179B8"/>
    <w:rsid w:val="5CBBE4FF"/>
    <w:rsid w:val="5CDB44A7"/>
    <w:rsid w:val="5CEE8585"/>
    <w:rsid w:val="5D207D26"/>
    <w:rsid w:val="5D37BA09"/>
    <w:rsid w:val="5D427F56"/>
    <w:rsid w:val="5D655122"/>
    <w:rsid w:val="5D79D3F0"/>
    <w:rsid w:val="5DC01F44"/>
    <w:rsid w:val="5DCA67CB"/>
    <w:rsid w:val="5DD8720A"/>
    <w:rsid w:val="5DD88794"/>
    <w:rsid w:val="5E01510C"/>
    <w:rsid w:val="5E0CCD1C"/>
    <w:rsid w:val="5E114E51"/>
    <w:rsid w:val="5E29E5F5"/>
    <w:rsid w:val="5E42F9A2"/>
    <w:rsid w:val="5E51B973"/>
    <w:rsid w:val="5E5BA599"/>
    <w:rsid w:val="5E67B571"/>
    <w:rsid w:val="5E772AA3"/>
    <w:rsid w:val="5E805279"/>
    <w:rsid w:val="5E820D20"/>
    <w:rsid w:val="5E83657A"/>
    <w:rsid w:val="5E844890"/>
    <w:rsid w:val="5EC08F6D"/>
    <w:rsid w:val="5EC74451"/>
    <w:rsid w:val="5ED30500"/>
    <w:rsid w:val="5ED62903"/>
    <w:rsid w:val="5EF43BBD"/>
    <w:rsid w:val="5EF944BE"/>
    <w:rsid w:val="5F1E7DC9"/>
    <w:rsid w:val="5F1FE927"/>
    <w:rsid w:val="5F2E5631"/>
    <w:rsid w:val="5F5CB41A"/>
    <w:rsid w:val="5F6EC023"/>
    <w:rsid w:val="5FA02DCD"/>
    <w:rsid w:val="5FBD191D"/>
    <w:rsid w:val="5FC0EA65"/>
    <w:rsid w:val="5FE270EA"/>
    <w:rsid w:val="5FF35FD3"/>
    <w:rsid w:val="6004C72A"/>
    <w:rsid w:val="600681D5"/>
    <w:rsid w:val="600A6948"/>
    <w:rsid w:val="6029FAF0"/>
    <w:rsid w:val="602A1560"/>
    <w:rsid w:val="60468B2E"/>
    <w:rsid w:val="6053153E"/>
    <w:rsid w:val="6060F7AB"/>
    <w:rsid w:val="6062CE8C"/>
    <w:rsid w:val="6077624F"/>
    <w:rsid w:val="6082D85B"/>
    <w:rsid w:val="60A0545C"/>
    <w:rsid w:val="60A3D17C"/>
    <w:rsid w:val="60AF26BB"/>
    <w:rsid w:val="60B8606B"/>
    <w:rsid w:val="60FDED43"/>
    <w:rsid w:val="61126B3E"/>
    <w:rsid w:val="612E63ED"/>
    <w:rsid w:val="614E2927"/>
    <w:rsid w:val="61603B3A"/>
    <w:rsid w:val="61694561"/>
    <w:rsid w:val="6183B26E"/>
    <w:rsid w:val="61C9CAC7"/>
    <w:rsid w:val="61CC2615"/>
    <w:rsid w:val="61D18CD5"/>
    <w:rsid w:val="61E99B68"/>
    <w:rsid w:val="61F22844"/>
    <w:rsid w:val="61F9FC91"/>
    <w:rsid w:val="62005F74"/>
    <w:rsid w:val="620F3D66"/>
    <w:rsid w:val="621A50A2"/>
    <w:rsid w:val="6234883D"/>
    <w:rsid w:val="624DBFFF"/>
    <w:rsid w:val="62611C78"/>
    <w:rsid w:val="626BAF80"/>
    <w:rsid w:val="629C913E"/>
    <w:rsid w:val="62B5F218"/>
    <w:rsid w:val="63042FDD"/>
    <w:rsid w:val="6307ECF4"/>
    <w:rsid w:val="630F6920"/>
    <w:rsid w:val="631A6ACA"/>
    <w:rsid w:val="632A0D80"/>
    <w:rsid w:val="632D321F"/>
    <w:rsid w:val="633B2694"/>
    <w:rsid w:val="63406AF9"/>
    <w:rsid w:val="634F32E3"/>
    <w:rsid w:val="6385D209"/>
    <w:rsid w:val="63947286"/>
    <w:rsid w:val="63A5DDA7"/>
    <w:rsid w:val="63A780F7"/>
    <w:rsid w:val="63B8205B"/>
    <w:rsid w:val="63BBD668"/>
    <w:rsid w:val="63C2BAC8"/>
    <w:rsid w:val="63C90092"/>
    <w:rsid w:val="63FB628F"/>
    <w:rsid w:val="64154C73"/>
    <w:rsid w:val="6428C473"/>
    <w:rsid w:val="6437A986"/>
    <w:rsid w:val="643ED75C"/>
    <w:rsid w:val="64494396"/>
    <w:rsid w:val="646F83F6"/>
    <w:rsid w:val="647DBD35"/>
    <w:rsid w:val="64B94ADA"/>
    <w:rsid w:val="64BC9266"/>
    <w:rsid w:val="654900EE"/>
    <w:rsid w:val="654B96A9"/>
    <w:rsid w:val="654C3742"/>
    <w:rsid w:val="6568CD71"/>
    <w:rsid w:val="656B1BCD"/>
    <w:rsid w:val="6571B692"/>
    <w:rsid w:val="657B83E1"/>
    <w:rsid w:val="659DCB34"/>
    <w:rsid w:val="65A9DA99"/>
    <w:rsid w:val="65B985BC"/>
    <w:rsid w:val="65BE897D"/>
    <w:rsid w:val="65C5102A"/>
    <w:rsid w:val="661104D0"/>
    <w:rsid w:val="66152665"/>
    <w:rsid w:val="661D9AE4"/>
    <w:rsid w:val="66686D7D"/>
    <w:rsid w:val="6674A724"/>
    <w:rsid w:val="66830DB4"/>
    <w:rsid w:val="669C0D9B"/>
    <w:rsid w:val="669F9EAC"/>
    <w:rsid w:val="66BAA070"/>
    <w:rsid w:val="66C89088"/>
    <w:rsid w:val="66D90CE9"/>
    <w:rsid w:val="67008D40"/>
    <w:rsid w:val="670572B3"/>
    <w:rsid w:val="6706EC2E"/>
    <w:rsid w:val="67118BA9"/>
    <w:rsid w:val="671648E3"/>
    <w:rsid w:val="67301774"/>
    <w:rsid w:val="67459EB9"/>
    <w:rsid w:val="67900997"/>
    <w:rsid w:val="67AB2E9A"/>
    <w:rsid w:val="67B38A99"/>
    <w:rsid w:val="67E35947"/>
    <w:rsid w:val="67EBE242"/>
    <w:rsid w:val="67FBE61F"/>
    <w:rsid w:val="680A6ABE"/>
    <w:rsid w:val="6816D64F"/>
    <w:rsid w:val="6818A4E9"/>
    <w:rsid w:val="68212F28"/>
    <w:rsid w:val="688356FA"/>
    <w:rsid w:val="6883BAFC"/>
    <w:rsid w:val="68879BF4"/>
    <w:rsid w:val="688F82D3"/>
    <w:rsid w:val="68A3F474"/>
    <w:rsid w:val="68AB6BAE"/>
    <w:rsid w:val="68D3E1F3"/>
    <w:rsid w:val="68DCBAC3"/>
    <w:rsid w:val="68F11ECF"/>
    <w:rsid w:val="68FC57D8"/>
    <w:rsid w:val="693AC4F6"/>
    <w:rsid w:val="694DCD68"/>
    <w:rsid w:val="6975B417"/>
    <w:rsid w:val="6992D0C6"/>
    <w:rsid w:val="69956AAE"/>
    <w:rsid w:val="69966FA6"/>
    <w:rsid w:val="69ACED49"/>
    <w:rsid w:val="69B095E1"/>
    <w:rsid w:val="69BA84AE"/>
    <w:rsid w:val="6A0D824B"/>
    <w:rsid w:val="6A169491"/>
    <w:rsid w:val="6A22E5D4"/>
    <w:rsid w:val="6A25119C"/>
    <w:rsid w:val="6A309EF6"/>
    <w:rsid w:val="6A5B344F"/>
    <w:rsid w:val="6A5BD841"/>
    <w:rsid w:val="6A610A38"/>
    <w:rsid w:val="6A6747AC"/>
    <w:rsid w:val="6A71025E"/>
    <w:rsid w:val="6A78CB55"/>
    <w:rsid w:val="6A7A40FA"/>
    <w:rsid w:val="6A810A97"/>
    <w:rsid w:val="6A984DA5"/>
    <w:rsid w:val="6AA79C3C"/>
    <w:rsid w:val="6AB129E9"/>
    <w:rsid w:val="6AB238D2"/>
    <w:rsid w:val="6AB6676F"/>
    <w:rsid w:val="6B00D133"/>
    <w:rsid w:val="6B107E28"/>
    <w:rsid w:val="6B164D45"/>
    <w:rsid w:val="6B22E382"/>
    <w:rsid w:val="6B44DBE9"/>
    <w:rsid w:val="6B6241AE"/>
    <w:rsid w:val="6B6BDE8A"/>
    <w:rsid w:val="6B769F7E"/>
    <w:rsid w:val="6B8317B2"/>
    <w:rsid w:val="6B992C6E"/>
    <w:rsid w:val="6BBC1A74"/>
    <w:rsid w:val="6BC0947E"/>
    <w:rsid w:val="6BE8EF70"/>
    <w:rsid w:val="6BEE2D77"/>
    <w:rsid w:val="6C006568"/>
    <w:rsid w:val="6C00D817"/>
    <w:rsid w:val="6C0201EF"/>
    <w:rsid w:val="6C49C2DA"/>
    <w:rsid w:val="6C5B1BE1"/>
    <w:rsid w:val="6C5EA839"/>
    <w:rsid w:val="6C694262"/>
    <w:rsid w:val="6C8028E3"/>
    <w:rsid w:val="6CACD00B"/>
    <w:rsid w:val="6CB61F61"/>
    <w:rsid w:val="6CCB0072"/>
    <w:rsid w:val="6CCDEB86"/>
    <w:rsid w:val="6CD77281"/>
    <w:rsid w:val="6CE26E7C"/>
    <w:rsid w:val="6CE37E92"/>
    <w:rsid w:val="6CE5486F"/>
    <w:rsid w:val="6CF966E2"/>
    <w:rsid w:val="6D0C61A6"/>
    <w:rsid w:val="6D18BD85"/>
    <w:rsid w:val="6D3893E3"/>
    <w:rsid w:val="6D44083D"/>
    <w:rsid w:val="6D462B41"/>
    <w:rsid w:val="6D61605F"/>
    <w:rsid w:val="6D913598"/>
    <w:rsid w:val="6D9403B2"/>
    <w:rsid w:val="6DC67CD5"/>
    <w:rsid w:val="6DCA355A"/>
    <w:rsid w:val="6DDFF597"/>
    <w:rsid w:val="6E0DDA16"/>
    <w:rsid w:val="6E3C4896"/>
    <w:rsid w:val="6E45FA55"/>
    <w:rsid w:val="6E4FA8DC"/>
    <w:rsid w:val="6E530972"/>
    <w:rsid w:val="6E540089"/>
    <w:rsid w:val="6E6E6902"/>
    <w:rsid w:val="6E7B62DD"/>
    <w:rsid w:val="6E7CEC21"/>
    <w:rsid w:val="6E885AAD"/>
    <w:rsid w:val="6EB90E70"/>
    <w:rsid w:val="6ECC8E79"/>
    <w:rsid w:val="6ECF38AE"/>
    <w:rsid w:val="6EDB49EF"/>
    <w:rsid w:val="6EDCFCDF"/>
    <w:rsid w:val="6F142C0E"/>
    <w:rsid w:val="6F1D0A05"/>
    <w:rsid w:val="6F2BF4AA"/>
    <w:rsid w:val="6F625B57"/>
    <w:rsid w:val="6F6A95C7"/>
    <w:rsid w:val="6F7A2467"/>
    <w:rsid w:val="6F87521C"/>
    <w:rsid w:val="6F92EA92"/>
    <w:rsid w:val="6F953E6E"/>
    <w:rsid w:val="6F9DF303"/>
    <w:rsid w:val="6FBB89E2"/>
    <w:rsid w:val="6FD51C62"/>
    <w:rsid w:val="6FD5D735"/>
    <w:rsid w:val="6FF898EA"/>
    <w:rsid w:val="7026F82D"/>
    <w:rsid w:val="702B8E29"/>
    <w:rsid w:val="7037491B"/>
    <w:rsid w:val="705475A1"/>
    <w:rsid w:val="705D3396"/>
    <w:rsid w:val="70640D29"/>
    <w:rsid w:val="70B3524A"/>
    <w:rsid w:val="70BF9225"/>
    <w:rsid w:val="70C7C50B"/>
    <w:rsid w:val="70D94A47"/>
    <w:rsid w:val="70F04019"/>
    <w:rsid w:val="7100D6B9"/>
    <w:rsid w:val="7155CD01"/>
    <w:rsid w:val="718AF314"/>
    <w:rsid w:val="718C70FC"/>
    <w:rsid w:val="7199BEF8"/>
    <w:rsid w:val="71A2B335"/>
    <w:rsid w:val="71BAA932"/>
    <w:rsid w:val="720A74C9"/>
    <w:rsid w:val="72120D34"/>
    <w:rsid w:val="723CACFA"/>
    <w:rsid w:val="7256B3D5"/>
    <w:rsid w:val="725F6DB4"/>
    <w:rsid w:val="727011FB"/>
    <w:rsid w:val="72724FC1"/>
    <w:rsid w:val="7281E7CD"/>
    <w:rsid w:val="72895B05"/>
    <w:rsid w:val="72AE84C5"/>
    <w:rsid w:val="72D9D885"/>
    <w:rsid w:val="72EFE64C"/>
    <w:rsid w:val="7311DD93"/>
    <w:rsid w:val="731DBD2A"/>
    <w:rsid w:val="732A6991"/>
    <w:rsid w:val="732B4DAA"/>
    <w:rsid w:val="7333D493"/>
    <w:rsid w:val="733AFEE9"/>
    <w:rsid w:val="73429633"/>
    <w:rsid w:val="735D38DF"/>
    <w:rsid w:val="73664C8F"/>
    <w:rsid w:val="73678509"/>
    <w:rsid w:val="736CB2D3"/>
    <w:rsid w:val="738CC561"/>
    <w:rsid w:val="738F7E30"/>
    <w:rsid w:val="739B7082"/>
    <w:rsid w:val="739E7CC4"/>
    <w:rsid w:val="73BA1D80"/>
    <w:rsid w:val="73BB522E"/>
    <w:rsid w:val="73C9DD2E"/>
    <w:rsid w:val="73F49A15"/>
    <w:rsid w:val="73F7D2D1"/>
    <w:rsid w:val="7414AFBC"/>
    <w:rsid w:val="742482EB"/>
    <w:rsid w:val="745DC5A4"/>
    <w:rsid w:val="749A2C98"/>
    <w:rsid w:val="74A7F5CB"/>
    <w:rsid w:val="74C87894"/>
    <w:rsid w:val="74CAD990"/>
    <w:rsid w:val="74D0EB63"/>
    <w:rsid w:val="74D87347"/>
    <w:rsid w:val="74D9B9B4"/>
    <w:rsid w:val="74E2F552"/>
    <w:rsid w:val="74FB52B4"/>
    <w:rsid w:val="752E6333"/>
    <w:rsid w:val="7562909D"/>
    <w:rsid w:val="75832487"/>
    <w:rsid w:val="75B189F6"/>
    <w:rsid w:val="75B8F117"/>
    <w:rsid w:val="76227ED8"/>
    <w:rsid w:val="7625F412"/>
    <w:rsid w:val="7626AA46"/>
    <w:rsid w:val="7651344E"/>
    <w:rsid w:val="766141DF"/>
    <w:rsid w:val="7667F9D6"/>
    <w:rsid w:val="766D4C65"/>
    <w:rsid w:val="767A9C9C"/>
    <w:rsid w:val="767B9758"/>
    <w:rsid w:val="76836320"/>
    <w:rsid w:val="7690D8A6"/>
    <w:rsid w:val="76AF8DCF"/>
    <w:rsid w:val="76B1ACA9"/>
    <w:rsid w:val="76DB84EC"/>
    <w:rsid w:val="76DEADD7"/>
    <w:rsid w:val="771525DC"/>
    <w:rsid w:val="7716C702"/>
    <w:rsid w:val="7719CDF0"/>
    <w:rsid w:val="771F2CC6"/>
    <w:rsid w:val="775B2CCB"/>
    <w:rsid w:val="776D5E84"/>
    <w:rsid w:val="776EEA11"/>
    <w:rsid w:val="777B7CC5"/>
    <w:rsid w:val="77A00C23"/>
    <w:rsid w:val="77A8FB00"/>
    <w:rsid w:val="77C22CC1"/>
    <w:rsid w:val="77C75988"/>
    <w:rsid w:val="77EA4B76"/>
    <w:rsid w:val="77FC55BC"/>
    <w:rsid w:val="780BF999"/>
    <w:rsid w:val="781279C8"/>
    <w:rsid w:val="7813615E"/>
    <w:rsid w:val="781D3D10"/>
    <w:rsid w:val="782F0D92"/>
    <w:rsid w:val="785A71A3"/>
    <w:rsid w:val="786A0217"/>
    <w:rsid w:val="788C7323"/>
    <w:rsid w:val="78CCB4B3"/>
    <w:rsid w:val="78F86D51"/>
    <w:rsid w:val="78FA8F6E"/>
    <w:rsid w:val="790D9F8D"/>
    <w:rsid w:val="796794A3"/>
    <w:rsid w:val="79696233"/>
    <w:rsid w:val="79A9A0D2"/>
    <w:rsid w:val="79ADF87F"/>
    <w:rsid w:val="79C75583"/>
    <w:rsid w:val="79C8963E"/>
    <w:rsid w:val="79CDBCBD"/>
    <w:rsid w:val="79DEE279"/>
    <w:rsid w:val="79F1860A"/>
    <w:rsid w:val="79F438BE"/>
    <w:rsid w:val="7A05D278"/>
    <w:rsid w:val="7A28D506"/>
    <w:rsid w:val="7A2BA81C"/>
    <w:rsid w:val="7A2C90D6"/>
    <w:rsid w:val="7A31A7EB"/>
    <w:rsid w:val="7A5EFA12"/>
    <w:rsid w:val="7A627EC7"/>
    <w:rsid w:val="7A67AFA9"/>
    <w:rsid w:val="7A6F8EF6"/>
    <w:rsid w:val="7A93B9FE"/>
    <w:rsid w:val="7ADAE2FC"/>
    <w:rsid w:val="7AF1A13A"/>
    <w:rsid w:val="7AF4DAA6"/>
    <w:rsid w:val="7AF74E05"/>
    <w:rsid w:val="7B39096B"/>
    <w:rsid w:val="7B4793FD"/>
    <w:rsid w:val="7B49C8E0"/>
    <w:rsid w:val="7B4BD5B5"/>
    <w:rsid w:val="7B4FDCD7"/>
    <w:rsid w:val="7B634206"/>
    <w:rsid w:val="7B634247"/>
    <w:rsid w:val="7B687E10"/>
    <w:rsid w:val="7B798F7D"/>
    <w:rsid w:val="7B8B8C7A"/>
    <w:rsid w:val="7BB03379"/>
    <w:rsid w:val="7BC0D01B"/>
    <w:rsid w:val="7BCBF805"/>
    <w:rsid w:val="7BD058F1"/>
    <w:rsid w:val="7C09AD69"/>
    <w:rsid w:val="7C208801"/>
    <w:rsid w:val="7C255192"/>
    <w:rsid w:val="7C322972"/>
    <w:rsid w:val="7C43ADF2"/>
    <w:rsid w:val="7C4ABA57"/>
    <w:rsid w:val="7C4C3565"/>
    <w:rsid w:val="7C5A5AC0"/>
    <w:rsid w:val="7C676929"/>
    <w:rsid w:val="7C76A462"/>
    <w:rsid w:val="7C76E70B"/>
    <w:rsid w:val="7C775912"/>
    <w:rsid w:val="7C9A5A8A"/>
    <w:rsid w:val="7CB15670"/>
    <w:rsid w:val="7CC6CBB2"/>
    <w:rsid w:val="7CCB1BB1"/>
    <w:rsid w:val="7CEDC37F"/>
    <w:rsid w:val="7D00D910"/>
    <w:rsid w:val="7D064A5E"/>
    <w:rsid w:val="7D2A6780"/>
    <w:rsid w:val="7D377707"/>
    <w:rsid w:val="7D4C6325"/>
    <w:rsid w:val="7D8408E0"/>
    <w:rsid w:val="7D9399D8"/>
    <w:rsid w:val="7D9FB91D"/>
    <w:rsid w:val="7DCDF775"/>
    <w:rsid w:val="7DE1F0B6"/>
    <w:rsid w:val="7DF089C9"/>
    <w:rsid w:val="7DF09BBA"/>
    <w:rsid w:val="7DF5445E"/>
    <w:rsid w:val="7DFE2253"/>
    <w:rsid w:val="7E2351A5"/>
    <w:rsid w:val="7E4B064C"/>
    <w:rsid w:val="7E5AA7DA"/>
    <w:rsid w:val="7E660016"/>
    <w:rsid w:val="7E6F3FF9"/>
    <w:rsid w:val="7EB30F47"/>
    <w:rsid w:val="7EB48D23"/>
    <w:rsid w:val="7EB5F8E3"/>
    <w:rsid w:val="7EB64D13"/>
    <w:rsid w:val="7EBF6045"/>
    <w:rsid w:val="7ECC0731"/>
    <w:rsid w:val="7EEC6DFA"/>
    <w:rsid w:val="7EF39AE0"/>
    <w:rsid w:val="7EFFF3EB"/>
    <w:rsid w:val="7F01DC83"/>
    <w:rsid w:val="7F19D73B"/>
    <w:rsid w:val="7F24E1CA"/>
    <w:rsid w:val="7F429A6E"/>
    <w:rsid w:val="7F85D81F"/>
    <w:rsid w:val="7F896DF0"/>
    <w:rsid w:val="7FC6DDFF"/>
    <w:rsid w:val="7FCC642C"/>
    <w:rsid w:val="7FDAEBBC"/>
    <w:rsid w:val="7FF275D3"/>
  </w:rsids>
  <m:mathPr>
    <m:mathFont m:val="Cambria Math"/>
    <m:brkBin m:val="before"/>
    <m:brkBinSub m:val="--"/>
    <m:smallFrac/>
    <m:dispDef/>
    <m:lMargin m:val="1440"/>
    <m:rMargin m:val="144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6A997"/>
  <w15:docId w15:val="{36DCC049-AE79-4E6D-ABEE-578EAC6D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5"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9" w:unhideWhenUsed="1"/>
    <w:lsdException w:name="toc 3" w:semiHidden="1" w:uiPriority="30" w:unhideWhenUsed="1"/>
    <w:lsdException w:name="toc 4" w:semiHidden="1" w:uiPriority="31" w:unhideWhenUsed="1"/>
    <w:lsdException w:name="toc 5" w:semiHidden="1" w:uiPriority="32" w:unhideWhenUsed="1"/>
    <w:lsdException w:name="toc 6" w:semiHidden="1" w:uiPriority="33" w:unhideWhenUsed="1"/>
    <w:lsdException w:name="toc 7" w:semiHidden="1" w:uiPriority="34" w:unhideWhenUsed="1"/>
    <w:lsdException w:name="toc 8" w:semiHidden="1" w:uiPriority="35" w:unhideWhenUsed="1"/>
    <w:lsdException w:name="toc 9" w:semiHidden="1" w:uiPriority="36"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7"/>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F4DF6"/>
  </w:style>
  <w:style w:type="paragraph" w:styleId="Heading1">
    <w:name w:val="heading 1"/>
    <w:basedOn w:val="Normal"/>
    <w:link w:val="Heading1Char"/>
    <w:uiPriority w:val="7"/>
    <w:qFormat/>
    <w:pPr>
      <w:numPr>
        <w:numId w:val="23"/>
      </w:numPr>
      <w:spacing w:before="360" w:after="120" w:line="240" w:lineRule="auto"/>
      <w:jc w:val="both"/>
      <w:outlineLvl w:val="0"/>
    </w:pPr>
    <w:rPr>
      <w:rFonts w:ascii="Times New Roman" w:eastAsia="Times New Roman" w:hAnsi="Times New Roman" w:cs="Times New Roman"/>
      <w:b/>
      <w:smallCaps/>
      <w:sz w:val="24"/>
      <w:szCs w:val="24"/>
      <w:lang w:eastAsia="en-GB"/>
    </w:rPr>
  </w:style>
  <w:style w:type="paragraph" w:styleId="Heading2">
    <w:name w:val="heading 2"/>
    <w:basedOn w:val="Normal"/>
    <w:link w:val="Heading2Char"/>
    <w:uiPriority w:val="8"/>
    <w:unhideWhenUsed/>
    <w:qFormat/>
    <w:pPr>
      <w:numPr>
        <w:ilvl w:val="1"/>
        <w:numId w:val="23"/>
      </w:numPr>
      <w:spacing w:before="120" w:after="120" w:line="240" w:lineRule="auto"/>
      <w:jc w:val="both"/>
      <w:outlineLvl w:val="1"/>
    </w:pPr>
    <w:rPr>
      <w:rFonts w:ascii="Times New Roman" w:eastAsia="Times New Roman" w:hAnsi="Times New Roman" w:cs="Times New Roman"/>
      <w:b/>
      <w:sz w:val="24"/>
      <w:szCs w:val="24"/>
      <w:lang w:eastAsia="en-GB"/>
    </w:rPr>
  </w:style>
  <w:style w:type="paragraph" w:styleId="Heading3">
    <w:name w:val="heading 3"/>
    <w:basedOn w:val="Normal"/>
    <w:link w:val="Heading3Char"/>
    <w:uiPriority w:val="9"/>
    <w:unhideWhenUsed/>
    <w:qFormat/>
    <w:pPr>
      <w:numPr>
        <w:ilvl w:val="2"/>
        <w:numId w:val="23"/>
      </w:numPr>
      <w:spacing w:before="120" w:after="120" w:line="240" w:lineRule="auto"/>
      <w:jc w:val="both"/>
      <w:outlineLvl w:val="2"/>
    </w:pPr>
    <w:rPr>
      <w:rFonts w:ascii="Times New Roman" w:eastAsia="Times New Roman" w:hAnsi="Times New Roman" w:cs="Times New Roman"/>
      <w:i/>
      <w:sz w:val="24"/>
      <w:szCs w:val="24"/>
      <w:lang w:eastAsia="en-GB"/>
    </w:rPr>
  </w:style>
  <w:style w:type="paragraph" w:styleId="Heading4">
    <w:name w:val="heading 4"/>
    <w:basedOn w:val="Normal"/>
    <w:link w:val="Heading4Char"/>
    <w:uiPriority w:val="10"/>
    <w:unhideWhenUsed/>
    <w:qFormat/>
    <w:pPr>
      <w:numPr>
        <w:ilvl w:val="3"/>
        <w:numId w:val="23"/>
      </w:numPr>
      <w:spacing w:before="120" w:after="120" w:line="240" w:lineRule="auto"/>
      <w:jc w:val="both"/>
      <w:outlineLvl w:val="3"/>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spacing w:after="0" w:line="240" w:lineRule="auto"/>
      <w:jc w:val="both"/>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szCs w:val="24"/>
      <w:lang w:eastAsia="en-GB"/>
    </w:rPr>
  </w:style>
  <w:style w:type="paragraph" w:styleId="TOCHeading">
    <w:name w:val="TOC Heading"/>
    <w:basedOn w:val="Normal"/>
    <w:next w:val="Normal"/>
    <w:uiPriority w:val="27"/>
    <w:unhideWhenUsed/>
    <w:qFormat/>
    <w:pPr>
      <w:spacing w:before="120" w:after="240" w:line="240" w:lineRule="auto"/>
      <w:jc w:val="center"/>
    </w:pPr>
    <w:rPr>
      <w:rFonts w:ascii="Times New Roman" w:eastAsia="Times New Roman" w:hAnsi="Times New Roman" w:cs="Times New Roman"/>
      <w:b/>
      <w:sz w:val="28"/>
      <w:szCs w:val="28"/>
      <w:lang w:eastAsia="en-GB"/>
    </w:rPr>
  </w:style>
  <w:style w:type="paragraph" w:styleId="TOC1">
    <w:name w:val="toc 1"/>
    <w:basedOn w:val="Normal"/>
    <w:next w:val="Normal"/>
    <w:uiPriority w:val="28"/>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4"/>
      <w:lang w:eastAsia="en-GB"/>
    </w:rPr>
  </w:style>
  <w:style w:type="paragraph" w:styleId="TOC2">
    <w:name w:val="toc 2"/>
    <w:basedOn w:val="Normal"/>
    <w:next w:val="Normal"/>
    <w:uiPriority w:val="2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4"/>
      <w:lang w:eastAsia="en-GB"/>
    </w:rPr>
  </w:style>
  <w:style w:type="paragraph" w:styleId="TOC3">
    <w:name w:val="toc 3"/>
    <w:basedOn w:val="Normal"/>
    <w:next w:val="Normal"/>
    <w:uiPriority w:val="30"/>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4"/>
      <w:lang w:eastAsia="en-GB"/>
    </w:rPr>
  </w:style>
  <w:style w:type="paragraph" w:styleId="TOC4">
    <w:name w:val="toc 4"/>
    <w:basedOn w:val="Normal"/>
    <w:next w:val="Normal"/>
    <w:uiPriority w:val="31"/>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4"/>
      <w:lang w:eastAsia="en-GB"/>
    </w:rPr>
  </w:style>
  <w:style w:type="paragraph" w:styleId="TOC5">
    <w:name w:val="toc 5"/>
    <w:basedOn w:val="Normal"/>
    <w:next w:val="Normal"/>
    <w:uiPriority w:val="32"/>
    <w:semiHidden/>
    <w:unhideWhenUsed/>
    <w:pPr>
      <w:tabs>
        <w:tab w:val="right" w:leader="dot" w:pos="9071"/>
      </w:tabs>
      <w:spacing w:before="300" w:after="120" w:line="240" w:lineRule="auto"/>
    </w:pPr>
    <w:rPr>
      <w:rFonts w:ascii="Times New Roman" w:eastAsia="Times New Roman" w:hAnsi="Times New Roman" w:cs="Times New Roman"/>
      <w:sz w:val="24"/>
      <w:szCs w:val="24"/>
      <w:lang w:eastAsia="en-GB"/>
    </w:rPr>
  </w:style>
  <w:style w:type="paragraph" w:styleId="TOC6">
    <w:name w:val="toc 6"/>
    <w:basedOn w:val="Normal"/>
    <w:next w:val="Normal"/>
    <w:uiPriority w:val="33"/>
    <w:semiHidden/>
    <w:unhideWhenUsed/>
    <w:pPr>
      <w:tabs>
        <w:tab w:val="right" w:leader="dot" w:pos="9071"/>
      </w:tabs>
      <w:spacing w:before="240" w:after="120" w:line="240" w:lineRule="auto"/>
    </w:pPr>
    <w:rPr>
      <w:rFonts w:ascii="Times New Roman" w:eastAsia="Times New Roman" w:hAnsi="Times New Roman" w:cs="Times New Roman"/>
      <w:sz w:val="24"/>
      <w:szCs w:val="24"/>
      <w:lang w:eastAsia="en-GB"/>
    </w:rPr>
  </w:style>
  <w:style w:type="paragraph" w:styleId="TOC7">
    <w:name w:val="toc 7"/>
    <w:basedOn w:val="Normal"/>
    <w:next w:val="Normal"/>
    <w:uiPriority w:val="34"/>
    <w:semiHidden/>
    <w:unhideWhenUsed/>
    <w:pPr>
      <w:tabs>
        <w:tab w:val="right" w:leader="dot" w:pos="9071"/>
      </w:tabs>
      <w:spacing w:before="180" w:after="120" w:line="240" w:lineRule="auto"/>
    </w:pPr>
    <w:rPr>
      <w:rFonts w:ascii="Times New Roman" w:eastAsia="Times New Roman" w:hAnsi="Times New Roman" w:cs="Times New Roman"/>
      <w:sz w:val="24"/>
      <w:szCs w:val="24"/>
      <w:lang w:eastAsia="en-GB"/>
    </w:rPr>
  </w:style>
  <w:style w:type="paragraph" w:styleId="TOC8">
    <w:name w:val="toc 8"/>
    <w:basedOn w:val="Normal"/>
    <w:next w:val="Normal"/>
    <w:uiPriority w:val="35"/>
    <w:semiHidden/>
    <w:unhideWhenUsed/>
    <w:pPr>
      <w:tabs>
        <w:tab w:val="right" w:leader="dot" w:pos="9071"/>
      </w:tabs>
      <w:spacing w:before="120" w:after="120" w:line="240" w:lineRule="auto"/>
    </w:pPr>
    <w:rPr>
      <w:rFonts w:ascii="Times New Roman" w:eastAsia="Times New Roman" w:hAnsi="Times New Roman" w:cs="Times New Roman"/>
      <w:sz w:val="24"/>
      <w:szCs w:val="24"/>
      <w:lang w:eastAsia="en-GB"/>
    </w:rPr>
  </w:style>
  <w:style w:type="paragraph" w:styleId="TOC9">
    <w:name w:val="toc 9"/>
    <w:basedOn w:val="Normal"/>
    <w:next w:val="Normal"/>
    <w:uiPriority w:val="36"/>
    <w:semiHidden/>
    <w:unhideWhenUsed/>
    <w:pPr>
      <w:tabs>
        <w:tab w:val="right" w:leader="dot" w:pos="9071"/>
      </w:tabs>
      <w:spacing w:before="120" w:after="120" w:line="240" w:lineRule="auto"/>
      <w:jc w:val="both"/>
    </w:pPr>
    <w:rPr>
      <w:rFonts w:ascii="Times New Roman" w:eastAsia="Times New Roman" w:hAnsi="Times New Roman" w:cs="Times New Roman"/>
      <w:sz w:val="24"/>
      <w:szCs w:val="24"/>
      <w:lang w:eastAsia="en-GB"/>
    </w:rPr>
  </w:style>
  <w:style w:type="table" w:styleId="TableGrid">
    <w:name w:val="Table Grid"/>
    <w:basedOn w:val="TableNormal"/>
    <w:uiPriority w:val="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000000"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szCs w:val="24"/>
    </w:rPr>
  </w:style>
  <w:style w:type="paragraph" w:styleId="Header">
    <w:name w:val="header"/>
    <w:basedOn w:val="Normal"/>
    <w:link w:val="HeaderChar"/>
    <w:unhideWhenUsed/>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har">
    <w:name w:val="Header Char"/>
    <w:basedOn w:val="DefaultParagraphFont"/>
    <w:link w:val="Header"/>
    <w:rPr>
      <w:rFonts w:ascii="Times New Roman" w:hAnsi="Times New Roman" w:cs="Times New Roman"/>
      <w:sz w:val="24"/>
      <w:szCs w:val="24"/>
    </w:rPr>
  </w:style>
  <w:style w:type="paragraph" w:styleId="Footer">
    <w:name w:val="footer"/>
    <w:basedOn w:val="Normal"/>
    <w:link w:val="FooterChar"/>
    <w:unhideWhenUsed/>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har">
    <w:name w:val="Footer Char"/>
    <w:basedOn w:val="DefaultParagraphFont"/>
    <w:link w:val="Footer"/>
    <w:rPr>
      <w:rFonts w:ascii="Times New Roman" w:hAnsi="Times New Roman" w:cs="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7"/>
    <w:rPr>
      <w:rFonts w:ascii="Times New Roman" w:eastAsia="Times New Roman" w:hAnsi="Times New Roman" w:cs="Times New Roman"/>
      <w:b/>
      <w:smallCaps/>
      <w:sz w:val="24"/>
      <w:szCs w:val="24"/>
      <w:lang w:eastAsia="en-GB"/>
    </w:rPr>
  </w:style>
  <w:style w:type="character" w:customStyle="1" w:styleId="Heading2Char">
    <w:name w:val="Heading 2 Char"/>
    <w:basedOn w:val="DefaultParagraphFont"/>
    <w:link w:val="Heading2"/>
    <w:uiPriority w:val="8"/>
    <w:rPr>
      <w:rFonts w:ascii="Times New Roman" w:eastAsia="Times New Roman" w:hAnsi="Times New Roman" w:cs="Times New Roman"/>
      <w:b/>
      <w:sz w:val="24"/>
      <w:szCs w:val="24"/>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i/>
      <w:sz w:val="24"/>
      <w:szCs w:val="24"/>
      <w:lang w:eastAsia="en-GB"/>
    </w:rPr>
  </w:style>
  <w:style w:type="character" w:customStyle="1" w:styleId="Heading4Char">
    <w:name w:val="Heading 4 Char"/>
    <w:basedOn w:val="DefaultParagraphFont"/>
    <w:link w:val="Heading4"/>
    <w:uiPriority w:val="10"/>
    <w:rPr>
      <w:rFonts w:ascii="Times New Roman" w:eastAsia="Times New Roman" w:hAnsi="Times New Roman" w:cs="Times New Roman"/>
      <w:sz w:val="24"/>
      <w:szCs w:val="24"/>
      <w:lang w:eastAsia="en-GB"/>
    </w:rPr>
  </w:style>
  <w:style w:type="paragraph" w:styleId="ListBullet">
    <w:name w:val="List Bullet"/>
    <w:basedOn w:val="Normal"/>
    <w:pPr>
      <w:numPr>
        <w:numId w:val="31"/>
      </w:numPr>
      <w:tabs>
        <w:tab w:val="clear" w:pos="360"/>
        <w:tab w:val="left"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character" w:styleId="Hyperlink">
    <w:name w:val="Hyperlink"/>
    <w:rPr>
      <w:color w:val="0000FF"/>
      <w:u w:val="single"/>
    </w:rPr>
  </w:style>
  <w:style w:type="paragraph" w:styleId="ListNumber">
    <w:name w:val="List Number"/>
    <w:basedOn w:val="Normal"/>
    <w:pPr>
      <w:numPr>
        <w:numId w:val="3"/>
      </w:numPr>
      <w:spacing w:before="120" w:after="120" w:line="240" w:lineRule="auto"/>
      <w:jc w:val="both"/>
    </w:pPr>
    <w:rPr>
      <w:rFonts w:ascii="Times New Roman" w:eastAsia="Times New Roman" w:hAnsi="Times New Roman" w:cs="Times New Roman"/>
      <w:sz w:val="24"/>
      <w:szCs w:val="24"/>
      <w:lang w:eastAsia="de-DE"/>
    </w:rPr>
  </w:style>
  <w:style w:type="paragraph" w:styleId="ListNumber2">
    <w:name w:val="List Number 2"/>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styleId="ListNumber3">
    <w:name w:val="List Number 3"/>
    <w:basedOn w:val="Normal"/>
    <w:pPr>
      <w:numPr>
        <w:numId w:val="6"/>
      </w:numPr>
      <w:spacing w:before="120" w:after="120" w:line="240" w:lineRule="auto"/>
      <w:jc w:val="both"/>
    </w:pPr>
    <w:rPr>
      <w:rFonts w:ascii="Times New Roman" w:eastAsia="Times New Roman" w:hAnsi="Times New Roman" w:cs="Times New Roman"/>
      <w:sz w:val="24"/>
      <w:szCs w:val="24"/>
      <w:lang w:eastAsia="de-DE"/>
    </w:rPr>
  </w:style>
  <w:style w:type="paragraph" w:styleId="ListNumber4">
    <w:name w:val="List Number 4"/>
    <w:basedOn w:val="Normal"/>
    <w:pPr>
      <w:numPr>
        <w:numId w:val="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4"/>
      </w:numPr>
    </w:pPr>
    <w:rPr>
      <w:lang w:eastAsia="de-DE"/>
    </w:rPr>
  </w:style>
  <w:style w:type="paragraph" w:customStyle="1" w:styleId="ListNumberLevel2">
    <w:name w:val="List Number (Level 2)"/>
    <w:basedOn w:val="Normal"/>
    <w:pPr>
      <w:numPr>
        <w:ilvl w:val="1"/>
        <w:numId w:val="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4"/>
      </w:numPr>
    </w:pPr>
    <w:rPr>
      <w:lang w:eastAsia="de-DE"/>
    </w:rPr>
  </w:style>
  <w:style w:type="paragraph" w:customStyle="1" w:styleId="ListNumber2Level2">
    <w:name w:val="List Number 2 (Level 2)"/>
    <w:basedOn w:val="Text2"/>
    <w:pPr>
      <w:numPr>
        <w:ilvl w:val="1"/>
        <w:numId w:val="5"/>
      </w:numPr>
    </w:pPr>
    <w:rPr>
      <w:lang w:eastAsia="de-DE"/>
    </w:rPr>
  </w:style>
  <w:style w:type="paragraph" w:customStyle="1" w:styleId="ListNumber3Level2">
    <w:name w:val="List Number 3 (Level 2)"/>
    <w:basedOn w:val="Text3"/>
    <w:pPr>
      <w:numPr>
        <w:ilvl w:val="1"/>
        <w:numId w:val="6"/>
      </w:numPr>
    </w:pPr>
    <w:rPr>
      <w:lang w:eastAsia="de-DE"/>
    </w:rPr>
  </w:style>
  <w:style w:type="paragraph" w:customStyle="1" w:styleId="ListNumber4Level2">
    <w:name w:val="List Number 4 (Level 2)"/>
    <w:basedOn w:val="Text4"/>
    <w:pPr>
      <w:numPr>
        <w:ilvl w:val="1"/>
        <w:numId w:val="7"/>
      </w:numPr>
    </w:pPr>
    <w:rPr>
      <w:lang w:eastAsia="de-DE"/>
    </w:rPr>
  </w:style>
  <w:style w:type="paragraph" w:customStyle="1" w:styleId="ListNumberLevel3">
    <w:name w:val="List Number (Level 3)"/>
    <w:basedOn w:val="Normal"/>
    <w:pPr>
      <w:numPr>
        <w:ilvl w:val="2"/>
        <w:numId w:val="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4"/>
      </w:numPr>
    </w:pPr>
    <w:rPr>
      <w:lang w:eastAsia="de-DE"/>
    </w:rPr>
  </w:style>
  <w:style w:type="paragraph" w:customStyle="1" w:styleId="ListNumber2Level3">
    <w:name w:val="List Number 2 (Level 3)"/>
    <w:basedOn w:val="Text2"/>
    <w:pPr>
      <w:numPr>
        <w:ilvl w:val="2"/>
        <w:numId w:val="5"/>
      </w:numPr>
    </w:pPr>
    <w:rPr>
      <w:lang w:eastAsia="de-DE"/>
    </w:rPr>
  </w:style>
  <w:style w:type="paragraph" w:customStyle="1" w:styleId="ListNumber3Level3">
    <w:name w:val="List Number 3 (Level 3)"/>
    <w:basedOn w:val="Text3"/>
    <w:pPr>
      <w:numPr>
        <w:ilvl w:val="2"/>
        <w:numId w:val="6"/>
      </w:numPr>
    </w:pPr>
    <w:rPr>
      <w:lang w:eastAsia="de-DE"/>
    </w:rPr>
  </w:style>
  <w:style w:type="paragraph" w:customStyle="1" w:styleId="ListNumber4Level3">
    <w:name w:val="List Number 4 (Level 3)"/>
    <w:basedOn w:val="Text4"/>
    <w:pPr>
      <w:numPr>
        <w:ilvl w:val="2"/>
        <w:numId w:val="7"/>
      </w:numPr>
    </w:pPr>
    <w:rPr>
      <w:lang w:eastAsia="de-DE"/>
    </w:rPr>
  </w:style>
  <w:style w:type="paragraph" w:customStyle="1" w:styleId="ListNumberLevel4">
    <w:name w:val="List Number (Level 4)"/>
    <w:basedOn w:val="Normal"/>
    <w:pPr>
      <w:numPr>
        <w:ilvl w:val="3"/>
        <w:numId w:val="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4"/>
      </w:numPr>
    </w:pPr>
    <w:rPr>
      <w:lang w:eastAsia="de-DE"/>
    </w:rPr>
  </w:style>
  <w:style w:type="paragraph" w:customStyle="1" w:styleId="ListNumber2Level4">
    <w:name w:val="List Number 2 (Level 4)"/>
    <w:basedOn w:val="Text2"/>
    <w:pPr>
      <w:numPr>
        <w:ilvl w:val="3"/>
        <w:numId w:val="5"/>
      </w:numPr>
    </w:pPr>
    <w:rPr>
      <w:lang w:eastAsia="de-DE"/>
    </w:rPr>
  </w:style>
  <w:style w:type="paragraph" w:customStyle="1" w:styleId="ListNumber3Level4">
    <w:name w:val="List Number 3 (Level 4)"/>
    <w:basedOn w:val="Text3"/>
    <w:pPr>
      <w:numPr>
        <w:ilvl w:val="3"/>
        <w:numId w:val="6"/>
      </w:numPr>
    </w:pPr>
    <w:rPr>
      <w:lang w:eastAsia="de-DE"/>
    </w:rPr>
  </w:style>
  <w:style w:type="paragraph" w:customStyle="1" w:styleId="ListNumber4Level4">
    <w:name w:val="List Number 4 (Level 4)"/>
    <w:basedOn w:val="Text4"/>
    <w:pPr>
      <w:numPr>
        <w:ilvl w:val="3"/>
        <w:numId w:val="7"/>
      </w:numPr>
    </w:pPr>
    <w:rPr>
      <w:lang w:eastAsia="de-DE"/>
    </w:rPr>
  </w:style>
  <w:style w:type="paragraph" w:customStyle="1" w:styleId="ListBullet1">
    <w:name w:val="List Bullet 1"/>
    <w:basedOn w:val="Normal"/>
    <w:pPr>
      <w:numPr>
        <w:numId w:val="8"/>
      </w:numPr>
      <w:spacing w:before="120" w:after="120" w:line="240" w:lineRule="auto"/>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9"/>
      </w:numPr>
      <w:spacing w:before="120" w:after="120" w:line="240" w:lineRule="auto"/>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1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1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1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1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16"/>
      </w:numPr>
      <w:spacing w:before="120" w:after="120" w:line="240" w:lineRule="auto"/>
      <w:jc w:val="both"/>
    </w:pPr>
    <w:rPr>
      <w:rFonts w:ascii="Times New Roman" w:eastAsia="Times New Roman" w:hAnsi="Times New Roman" w:cs="Times New Roman"/>
      <w:sz w:val="24"/>
      <w:szCs w:val="24"/>
      <w:lang w:eastAsia="de-DE"/>
    </w:rPr>
  </w:style>
  <w:style w:type="paragraph" w:styleId="BalloonText">
    <w:name w:val="Balloon Text"/>
    <w:basedOn w:val="Normal"/>
    <w:link w:val="BalloonTextChar"/>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Times New Roman" w:eastAsia="Times New Roman" w:hAnsi="Times New Roman" w:cs="Times New Roman"/>
      <w:b/>
      <w:sz w:val="20"/>
      <w:szCs w:val="20"/>
      <w:lang w:eastAsia="en-GB"/>
    </w:rPr>
  </w:style>
  <w:style w:type="paragraph" w:styleId="Revision">
    <w:name w:val="Revision"/>
    <w:semiHidden/>
    <w:rPr>
      <w:rFonts w:ascii="Times New Roman" w:eastAsia="Times New Roman" w:hAnsi="Times New Roman" w:cs="Times New Roman"/>
      <w:sz w:val="24"/>
      <w:szCs w:val="24"/>
    </w:rPr>
  </w:style>
  <w:style w:type="paragraph" w:styleId="Caption">
    <w:name w:val="caption"/>
    <w:basedOn w:val="Normal"/>
    <w:next w:val="Normal"/>
    <w:unhideWhenUsed/>
    <w:qFormat/>
    <w:pPr>
      <w:spacing w:before="120" w:after="120" w:line="240" w:lineRule="auto"/>
      <w:jc w:val="both"/>
    </w:pPr>
    <w:rPr>
      <w:rFonts w:ascii="Times New Roman" w:eastAsia="Times New Roman" w:hAnsi="Times New Roman" w:cs="Times New Roman"/>
      <w:b/>
      <w:sz w:val="20"/>
      <w:szCs w:val="20"/>
      <w:lang w:eastAsia="en-GB"/>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pBdr>
        <w:top w:val="single" w:sz="2" w:space="2" w:color="000000"/>
        <w:bottom w:val="single" w:sz="2" w:space="2" w:color="000000"/>
      </w:pBdr>
      <w:spacing w:after="240" w:line="240" w:lineRule="auto"/>
      <w:ind w:left="935" w:right="79" w:hanging="935"/>
    </w:pPr>
    <w:rPr>
      <w:rFonts w:ascii="Century Gothic" w:eastAsia="Times New Roman" w:hAnsi="Century Gothic" w:cs="Times New Roman"/>
      <w:color w:val="333399"/>
      <w:sz w:val="14"/>
      <w:szCs w:val="14"/>
      <w:lang w:eastAsia="en-GB"/>
    </w:rPr>
  </w:style>
  <w:style w:type="paragraph" w:customStyle="1" w:styleId="GraphSource">
    <w:name w:val="Graph Source"/>
    <w:basedOn w:val="Normal"/>
    <w:pPr>
      <w:pBdr>
        <w:top w:val="single" w:sz="2" w:space="2" w:color="000000"/>
        <w:bottom w:val="single" w:sz="2" w:space="2" w:color="000000"/>
      </w:pBdr>
      <w:spacing w:after="0" w:line="240" w:lineRule="auto"/>
      <w:ind w:right="79"/>
    </w:pPr>
    <w:rPr>
      <w:rFonts w:ascii="Century Gothic" w:eastAsia="Times New Roman" w:hAnsi="Century Gothic" w:cs="Times New Roman"/>
      <w:color w:val="000000"/>
      <w:sz w:val="14"/>
      <w:szCs w:val="14"/>
      <w:lang w:eastAsia="en-GB"/>
    </w:rPr>
  </w:style>
  <w:style w:type="paragraph" w:customStyle="1" w:styleId="GraphShape">
    <w:name w:val="Graph Shape"/>
    <w:basedOn w:val="Normal"/>
    <w:next w:val="Normal"/>
    <w:pPr>
      <w:spacing w:after="0" w:line="240" w:lineRule="auto"/>
    </w:pPr>
    <w:rPr>
      <w:rFonts w:ascii="Times New Roman" w:eastAsia="Times New Roman" w:hAnsi="Times New Roman" w:cs="Times New Roman"/>
      <w:color w:val="000000"/>
      <w:sz w:val="20"/>
      <w:szCs w:val="20"/>
      <w:lang w:eastAsia="en-GB"/>
    </w:rPr>
  </w:style>
  <w:style w:type="paragraph" w:styleId="FootnoteText">
    <w:name w:val="footnote text"/>
    <w:aliases w:val="Footnote Text Char2 Char,Footnote Text Char1 Char1 Char,Footnote Text Char2 Char Char Char,Footnote Text Char1 Char1 Char Char Char,Footnote Text Char Char Char1 Char Char Char,Plonk,fn,Char Char,f,Podrozdział,o,~FootnoteText, Char Char"/>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Char2 Char Char,Footnote Text Char1 Char1 Char Char,Footnote Text Char2 Char Char Char Char,Footnote Text Char1 Char1 Char Char Char Char,Footnote Text Char Char Char1 Char Char Char Char,Plonk Char,fn Char,f Char,o Char"/>
    <w:basedOn w:val="DefaultParagraphFont"/>
    <w:link w:val="FootnoteText"/>
    <w:uiPriority w:val="99"/>
    <w:qFormat/>
    <w:rPr>
      <w:rFonts w:ascii="Times New Roman" w:eastAsia="Times New Roman" w:hAnsi="Times New Roman" w:cs="Times New Roman"/>
      <w:sz w:val="20"/>
      <w:szCs w:val="20"/>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szCs w:val="24"/>
    </w:rPr>
  </w:style>
  <w:style w:type="character" w:styleId="FootnoteReference">
    <w:name w:val="footnote reference"/>
    <w:aliases w:val="Footnote symbol,Footnote reference number,Times 10 Point,Exposant 3 Point,EN Footnote Reference,note TESI,SUPERS,Nota,Footnote number,Char1,Ref,de nota al pie,EN Footnote text,Footnote Reference_LVL6,E...,numb,-E Fußnotenzeichen,ftref"/>
    <w:link w:val="FootnotesymbolCarZchn"/>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lang w:eastAsia="en-GB"/>
    </w:r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lang w:eastAsia="en-GB"/>
    </w:rPr>
  </w:style>
  <w:style w:type="paragraph" w:customStyle="1" w:styleId="NumPar1">
    <w:name w:val="NumPar 1"/>
    <w:basedOn w:val="Normal"/>
    <w:next w:val="Text1"/>
    <w:pPr>
      <w:numPr>
        <w:numId w:val="22"/>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2">
    <w:name w:val="NumPar 2"/>
    <w:basedOn w:val="Normal"/>
    <w:next w:val="Text1"/>
    <w:pPr>
      <w:numPr>
        <w:ilvl w:val="1"/>
        <w:numId w:val="22"/>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3">
    <w:name w:val="NumPar 3"/>
    <w:basedOn w:val="Normal"/>
    <w:next w:val="Text1"/>
    <w:pPr>
      <w:numPr>
        <w:ilvl w:val="2"/>
        <w:numId w:val="22"/>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NumPar4">
    <w:name w:val="NumPar 4"/>
    <w:basedOn w:val="Normal"/>
    <w:next w:val="Text1"/>
    <w:pPr>
      <w:numPr>
        <w:ilvl w:val="3"/>
        <w:numId w:val="22"/>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lang w:eastAsia="en-GB"/>
    </w:rPr>
  </w:style>
  <w:style w:type="paragraph" w:customStyle="1" w:styleId="ManualHeading1">
    <w:name w:val="Manual Heading 1"/>
    <w:basedOn w:val="Normal"/>
    <w:next w:val="Text1"/>
    <w:pPr>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en-GB"/>
    </w:rPr>
  </w:style>
  <w:style w:type="paragraph" w:customStyle="1" w:styleId="ManualHeading2">
    <w:name w:val="Manual Heading 2"/>
    <w:basedOn w:val="Normal"/>
    <w:next w:val="Text1"/>
    <w:pPr>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eastAsia="en-GB"/>
    </w:rPr>
  </w:style>
  <w:style w:type="paragraph" w:customStyle="1" w:styleId="ManualHeading3">
    <w:name w:val="Manual Heading 3"/>
    <w:basedOn w:val="Normal"/>
    <w:next w:val="Text1"/>
    <w:pPr>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eastAsia="en-GB"/>
    </w:rPr>
  </w:style>
  <w:style w:type="paragraph" w:customStyle="1" w:styleId="ManualHeading4">
    <w:name w:val="Manual Heading 4"/>
    <w:basedOn w:val="Normal"/>
    <w:next w:val="Text1"/>
    <w:pPr>
      <w:tabs>
        <w:tab w:val="left" w:pos="850"/>
      </w:tabs>
      <w:spacing w:before="120" w:after="120" w:line="240" w:lineRule="auto"/>
      <w:ind w:left="850" w:hanging="850"/>
      <w:jc w:val="both"/>
      <w:outlineLvl w:val="3"/>
    </w:pPr>
    <w:rPr>
      <w:rFonts w:ascii="Times New Roman" w:eastAsia="Times New Roman" w:hAnsi="Times New Roman" w:cs="Times New Roman"/>
      <w:sz w:val="24"/>
      <w:szCs w:val="24"/>
      <w:lang w:eastAsia="en-GB"/>
    </w:rPr>
  </w:style>
  <w:style w:type="paragraph" w:customStyle="1" w:styleId="ChapterTitle">
    <w:name w:val="ChapterTitle"/>
    <w:basedOn w:val="Normal"/>
    <w:next w:val="Normal"/>
    <w:pPr>
      <w:spacing w:before="120" w:after="360" w:line="240" w:lineRule="auto"/>
      <w:jc w:val="center"/>
    </w:pPr>
    <w:rPr>
      <w:rFonts w:ascii="Times New Roman" w:eastAsia="Times New Roman" w:hAnsi="Times New Roman" w:cs="Times New Roman"/>
      <w:b/>
      <w:sz w:val="32"/>
      <w:szCs w:val="32"/>
      <w:lang w:eastAsia="en-GB"/>
    </w:rPr>
  </w:style>
  <w:style w:type="paragraph" w:customStyle="1" w:styleId="PartTitle">
    <w:name w:val="PartTitle"/>
    <w:basedOn w:val="Normal"/>
    <w:next w:val="ChapterTitle"/>
    <w:pPr>
      <w:pageBreakBefore/>
      <w:spacing w:before="120" w:after="360" w:line="240" w:lineRule="auto"/>
      <w:jc w:val="center"/>
    </w:pPr>
    <w:rPr>
      <w:rFonts w:ascii="Times New Roman" w:eastAsia="Times New Roman" w:hAnsi="Times New Roman" w:cs="Times New Roman"/>
      <w:b/>
      <w:sz w:val="36"/>
      <w:szCs w:val="36"/>
      <w:lang w:eastAsia="en-GB"/>
    </w:rPr>
  </w:style>
  <w:style w:type="paragraph" w:customStyle="1" w:styleId="SectionTitle">
    <w:name w:val="SectionTitle"/>
    <w:basedOn w:val="Normal"/>
    <w:next w:val="Heading1"/>
    <w:pPr>
      <w:spacing w:before="120" w:after="360" w:line="240" w:lineRule="auto"/>
      <w:jc w:val="center"/>
    </w:pPr>
    <w:rPr>
      <w:rFonts w:ascii="Times New Roman" w:eastAsia="Times New Roman" w:hAnsi="Times New Roman" w:cs="Times New Roman"/>
      <w:b/>
      <w:smallCaps/>
      <w:sz w:val="28"/>
      <w:szCs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lang w:eastAsia="en-GB"/>
    </w:rPr>
  </w:style>
  <w:style w:type="character" w:customStyle="1" w:styleId="Marker1">
    <w:name w:val="Marker1"/>
    <w:rPr>
      <w:color w:val="008000"/>
      <w:shd w:val="clear" w:color="000000" w:fill="auto"/>
    </w:rPr>
  </w:style>
  <w:style w:type="character" w:customStyle="1" w:styleId="Marker2">
    <w:name w:val="Marker2"/>
    <w:rPr>
      <w:color w:val="FF0000"/>
      <w:shd w:val="clear" w:color="000000" w:fill="auto"/>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Bullet0">
    <w:name w:val="Bullet 0"/>
    <w:basedOn w:val="Normal"/>
    <w:pPr>
      <w:numPr>
        <w:numId w:val="25"/>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Bullet1">
    <w:name w:val="Bullet 1"/>
    <w:basedOn w:val="Normal"/>
    <w:pPr>
      <w:numPr>
        <w:numId w:val="26"/>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Bullet2">
    <w:name w:val="Bullet 2"/>
    <w:basedOn w:val="Normal"/>
    <w:pPr>
      <w:numPr>
        <w:numId w:val="27"/>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Bullet3">
    <w:name w:val="Bullet 3"/>
    <w:basedOn w:val="Normal"/>
    <w:pPr>
      <w:numPr>
        <w:numId w:val="28"/>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Bullet4">
    <w:name w:val="Bullet 4"/>
    <w:basedOn w:val="Normal"/>
    <w:pPr>
      <w:numPr>
        <w:numId w:val="29"/>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lang w:eastAsia="en-GB"/>
    </w:rPr>
  </w:style>
  <w:style w:type="paragraph" w:customStyle="1" w:styleId="Applicationdirecte">
    <w:name w:val="Application directe"/>
    <w:basedOn w:val="Normal"/>
    <w:pPr>
      <w:spacing w:before="480" w:after="120" w:line="240" w:lineRule="auto"/>
      <w:jc w:val="both"/>
    </w:pPr>
    <w:rPr>
      <w:rFonts w:ascii="Times New Roman" w:eastAsia="Times New Roman" w:hAnsi="Times New Roman" w:cs="Times New Roman"/>
      <w:sz w:val="24"/>
      <w:szCs w:val="24"/>
      <w:lang w:eastAsia="en-GB"/>
    </w:rPr>
  </w:style>
  <w:style w:type="paragraph" w:customStyle="1" w:styleId="Avertissementtitre">
    <w:name w:val="Avertissement titre"/>
    <w:basedOn w:val="Normal"/>
    <w:next w:val="Normal"/>
    <w:pPr>
      <w:spacing w:before="480" w:after="120" w:line="240" w:lineRule="auto"/>
      <w:jc w:val="both"/>
    </w:pPr>
    <w:rPr>
      <w:rFonts w:ascii="Times New Roman" w:eastAsia="Times New Roman" w:hAnsi="Times New Roman" w:cs="Times New Roman"/>
      <w:sz w:val="24"/>
      <w:szCs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lang w:eastAsia="en-GB"/>
    </w:rPr>
  </w:style>
  <w:style w:type="paragraph" w:customStyle="1" w:styleId="Confidentialit">
    <w:name w:val="Confidentialité"/>
    <w:basedOn w:val="Normal"/>
    <w:pPr>
      <w:spacing w:before="240" w:after="240" w:line="240" w:lineRule="auto"/>
      <w:ind w:left="5103"/>
    </w:pPr>
    <w:rPr>
      <w:rFonts w:ascii="Times New Roman" w:eastAsia="Times New Roman" w:hAnsi="Times New Roman" w:cs="Times New Roman"/>
      <w:i/>
      <w:sz w:val="32"/>
      <w:szCs w:val="32"/>
      <w:lang w:eastAsia="en-GB"/>
    </w:rPr>
  </w:style>
  <w:style w:type="paragraph" w:customStyle="1" w:styleId="Considrant">
    <w:name w:val="Considérant"/>
    <w:basedOn w:val="Normal"/>
    <w:pPr>
      <w:numPr>
        <w:numId w:val="30"/>
      </w:numPr>
      <w:spacing w:before="120" w:after="120" w:line="240" w:lineRule="auto"/>
      <w:jc w:val="both"/>
    </w:pPr>
    <w:rPr>
      <w:rFonts w:ascii="Times New Roman" w:eastAsia="Times New Roman" w:hAnsi="Times New Roman" w:cs="Times New Roman"/>
      <w:sz w:val="24"/>
      <w:szCs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lang w:eastAsia="en-GB"/>
    </w:rPr>
  </w:style>
  <w:style w:type="paragraph" w:customStyle="1" w:styleId="Datedadoption">
    <w:name w:val="Date d'adoption"/>
    <w:basedOn w:val="Normal"/>
    <w:pPr>
      <w:spacing w:before="360" w:after="0" w:line="240" w:lineRule="auto"/>
      <w:jc w:val="center"/>
    </w:pPr>
    <w:rPr>
      <w:rFonts w:ascii="Times New Roman" w:eastAsia="Times New Roman" w:hAnsi="Times New Roman" w:cs="Times New Roman"/>
      <w:b/>
      <w:sz w:val="24"/>
      <w:szCs w:val="24"/>
      <w:lang w:eastAsia="en-GB"/>
    </w:rPr>
  </w:style>
  <w:style w:type="paragraph" w:customStyle="1" w:styleId="Emission">
    <w:name w:val="Emission"/>
    <w:basedOn w:val="Normal"/>
    <w:pPr>
      <w:spacing w:after="0" w:line="240" w:lineRule="auto"/>
      <w:ind w:left="5103"/>
    </w:pPr>
    <w:rPr>
      <w:rFonts w:ascii="Times New Roman" w:eastAsia="Times New Roman" w:hAnsi="Times New Roman" w:cs="Times New Roman"/>
      <w:sz w:val="24"/>
      <w:szCs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lang w:eastAsia="en-GB"/>
    </w:rPr>
  </w:style>
  <w:style w:type="paragraph" w:customStyle="1" w:styleId="Fait">
    <w:name w:val="Fait à"/>
    <w:basedOn w:val="Normal"/>
    <w:pPr>
      <w:spacing w:before="120" w:after="0" w:line="240" w:lineRule="auto"/>
      <w:jc w:val="both"/>
    </w:pPr>
    <w:rPr>
      <w:rFonts w:ascii="Times New Roman" w:eastAsia="Times New Roman" w:hAnsi="Times New Roman" w:cs="Times New Roman"/>
      <w:sz w:val="24"/>
      <w:szCs w:val="24"/>
      <w:lang w:eastAsia="en-GB"/>
    </w:rPr>
  </w:style>
  <w:style w:type="paragraph" w:customStyle="1" w:styleId="Formuledadoption">
    <w:name w:val="Formule d'adoption"/>
    <w:basedOn w:val="Normal"/>
    <w:pPr>
      <w:spacing w:before="120" w:after="120" w:line="240" w:lineRule="auto"/>
      <w:jc w:val="both"/>
    </w:pPr>
    <w:rPr>
      <w:rFonts w:ascii="Times New Roman" w:eastAsia="Times New Roman" w:hAnsi="Times New Roman" w:cs="Times New Roman"/>
      <w:sz w:val="24"/>
      <w:szCs w:val="24"/>
      <w:lang w:eastAsia="en-GB"/>
    </w:rPr>
  </w:style>
  <w:style w:type="paragraph" w:customStyle="1" w:styleId="Institutionquiagit">
    <w:name w:val="Institution qui agit"/>
    <w:basedOn w:val="Normal"/>
    <w:next w:val="Normal"/>
    <w:pPr>
      <w:spacing w:before="600" w:after="120" w:line="240" w:lineRule="auto"/>
      <w:jc w:val="both"/>
    </w:pPr>
    <w:rPr>
      <w:rFonts w:ascii="Times New Roman" w:eastAsia="Times New Roman" w:hAnsi="Times New Roman" w:cs="Times New Roman"/>
      <w:sz w:val="24"/>
      <w:szCs w:val="24"/>
      <w:lang w:eastAsia="en-GB"/>
    </w:rPr>
  </w:style>
  <w:style w:type="paragraph" w:customStyle="1" w:styleId="Institutionquisigne">
    <w:name w:val="Institution qui signe"/>
    <w:basedOn w:val="Normal"/>
    <w:pPr>
      <w:tabs>
        <w:tab w:val="left" w:pos="4252"/>
      </w:tabs>
      <w:spacing w:before="720" w:after="0" w:line="240" w:lineRule="auto"/>
      <w:jc w:val="both"/>
    </w:pPr>
    <w:rPr>
      <w:rFonts w:ascii="Times New Roman" w:eastAsia="Times New Roman" w:hAnsi="Times New Roman" w:cs="Times New Roman"/>
      <w:i/>
      <w:sz w:val="24"/>
      <w:szCs w:val="24"/>
      <w:lang w:eastAsia="en-GB"/>
    </w:rPr>
  </w:style>
  <w:style w:type="paragraph" w:customStyle="1" w:styleId="Langue">
    <w:name w:val="Langue"/>
    <w:basedOn w:val="Normal"/>
    <w:pPr>
      <w:spacing w:after="600" w:line="240" w:lineRule="auto"/>
      <w:jc w:val="center"/>
    </w:pPr>
    <w:rPr>
      <w:rFonts w:ascii="Times New Roman" w:eastAsia="Times New Roman" w:hAnsi="Times New Roman" w:cs="Times New Roman"/>
      <w:b/>
      <w:caps/>
      <w:sz w:val="24"/>
      <w:szCs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lang w:eastAsia="en-GB"/>
    </w:rPr>
  </w:style>
  <w:style w:type="paragraph" w:customStyle="1" w:styleId="Rfrenceinterinstitutionnelle">
    <w:name w:val="Référence interinstitutionnelle"/>
    <w:basedOn w:val="Normal"/>
    <w:pPr>
      <w:spacing w:after="0" w:line="240" w:lineRule="auto"/>
      <w:ind w:left="5103"/>
    </w:pPr>
    <w:rPr>
      <w:rFonts w:ascii="Times New Roman" w:eastAsia="Times New Roman" w:hAnsi="Times New Roman" w:cs="Times New Roman"/>
      <w:sz w:val="24"/>
      <w:szCs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lang w:eastAsia="en-GB"/>
    </w:rPr>
  </w:style>
  <w:style w:type="paragraph" w:customStyle="1" w:styleId="Statut">
    <w:name w:val="Statut"/>
    <w:basedOn w:val="Normal"/>
    <w:pPr>
      <w:spacing w:before="360" w:after="0" w:line="240" w:lineRule="auto"/>
      <w:jc w:val="center"/>
    </w:pPr>
    <w:rPr>
      <w:rFonts w:ascii="Times New Roman" w:eastAsia="Times New Roman" w:hAnsi="Times New Roman" w:cs="Times New Roman"/>
      <w:sz w:val="24"/>
      <w:szCs w:val="24"/>
      <w:lang w:eastAsia="en-GB"/>
    </w:rPr>
  </w:style>
  <w:style w:type="paragraph" w:customStyle="1" w:styleId="Titrearticle">
    <w:name w:val="Titre article"/>
    <w:basedOn w:val="Normal"/>
    <w:next w:val="Normal"/>
    <w:pPr>
      <w:spacing w:before="360" w:after="120" w:line="240" w:lineRule="auto"/>
      <w:jc w:val="center"/>
    </w:pPr>
    <w:rPr>
      <w:rFonts w:ascii="Times New Roman" w:eastAsia="Times New Roman" w:hAnsi="Times New Roman" w:cs="Times New Roman"/>
      <w:i/>
      <w:sz w:val="24"/>
      <w:szCs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szCs w:val="24"/>
      <w:lang w:eastAsia="en-GB"/>
    </w:rPr>
  </w:style>
  <w:style w:type="character" w:customStyle="1" w:styleId="Added">
    <w:name w:val="Added"/>
    <w:rPr>
      <w:b/>
      <w:u w:val="single"/>
      <w:shd w:val="clear" w:color="000000" w:fill="auto"/>
    </w:rPr>
  </w:style>
  <w:style w:type="character" w:customStyle="1" w:styleId="Deleted">
    <w:name w:val="Deleted"/>
    <w:rPr>
      <w:strike/>
      <w:shd w:val="clear" w:color="000000" w:fill="auto"/>
    </w:rPr>
  </w:style>
  <w:style w:type="paragraph" w:customStyle="1" w:styleId="Address">
    <w:name w:val="Address"/>
    <w:basedOn w:val="Normal"/>
    <w:next w:val="Normal"/>
    <w:pPr>
      <w:spacing w:before="120" w:after="120" w:line="360" w:lineRule="auto"/>
      <w:ind w:left="3402"/>
    </w:pPr>
    <w:rPr>
      <w:rFonts w:ascii="Times New Roman" w:eastAsia="Times New Roman" w:hAnsi="Times New Roman" w:cs="Times New Roman"/>
      <w:sz w:val="24"/>
      <w:szCs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lang w:eastAsia="en-GB"/>
    </w:rPr>
  </w:style>
  <w:style w:type="paragraph" w:customStyle="1" w:styleId="DatedadoptionPagedecouverture">
    <w:name w:val="Date d'adoption (Page de couverture)"/>
    <w:basedOn w:val="Datedadoption"/>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pPr>
      <w:spacing w:after="240" w:line="240" w:lineRule="auto"/>
      <w:jc w:val="center"/>
    </w:pPr>
    <w:rPr>
      <w:rFonts w:ascii="Times New Roman" w:eastAsia="Times New Roman" w:hAnsi="Times New Roman" w:cs="Times New Roman"/>
      <w:b/>
      <w:i/>
      <w:sz w:val="24"/>
      <w:szCs w:val="24"/>
      <w:lang w:eastAsia="en-GB"/>
    </w:rPr>
  </w:style>
  <w:style w:type="paragraph" w:customStyle="1" w:styleId="Typeacteprincipal">
    <w:name w:val="Type acte principal"/>
    <w:basedOn w:val="Normal"/>
    <w:pPr>
      <w:spacing w:after="240" w:line="240" w:lineRule="auto"/>
      <w:jc w:val="center"/>
    </w:pPr>
    <w:rPr>
      <w:rFonts w:ascii="Times New Roman" w:eastAsia="Times New Roman" w:hAnsi="Times New Roman" w:cs="Times New Roman"/>
      <w:b/>
      <w:sz w:val="24"/>
      <w:szCs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style>
  <w:style w:type="paragraph" w:customStyle="1" w:styleId="TypeacteprincipalPagedecouverture">
    <w:name w:val="Type acte principal (Page de couverture)"/>
    <w:basedOn w:val="Typeacteprincipal"/>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lang w:eastAsia="en-GB"/>
    </w:rPr>
  </w:style>
  <w:style w:type="character" w:customStyle="1" w:styleId="TypedudocumentChar">
    <w:name w:val="Type du document Char"/>
    <w:link w:val="Typedudocument"/>
    <w:rPr>
      <w:rFonts w:ascii="Times New Roman" w:eastAsia="Times New Roman" w:hAnsi="Times New Roman" w:cs="Times New Roman"/>
      <w:b/>
      <w:sz w:val="24"/>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szCs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rFonts w:ascii="Times New Roman" w:eastAsia="Times New Roman" w:hAnsi="Times New Roman" w:cs="Times New Roman"/>
      <w:sz w:val="20"/>
      <w:szCs w:val="20"/>
      <w:vertAlign w:val="superscript"/>
      <w:lang w:eastAsia="en-GB"/>
    </w:rPr>
  </w:style>
  <w:style w:type="paragraph" w:customStyle="1" w:styleId="CM4">
    <w:name w:val="CM4"/>
    <w:basedOn w:val="Normal"/>
    <w:next w:val="Normal"/>
    <w:pPr>
      <w:autoSpaceDE w:val="0"/>
      <w:autoSpaceDN w:val="0"/>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FootnoteTextChar1">
    <w:name w:val="Footnote Text Char1"/>
    <w:basedOn w:val="DefaultParagraphFont"/>
    <w:uiPriority w:val="99"/>
    <w:rsid w:val="00EC6F49"/>
    <w:rPr>
      <w:rFonts w:ascii="Times New Roman" w:eastAsia="Times New Roman" w:hAnsi="Times New Roman" w:cs="Times New Roman"/>
      <w:sz w:val="20"/>
      <w:szCs w:val="20"/>
      <w:lang w:val="el-GR" w:eastAsia="ar-SA"/>
    </w:rPr>
  </w:style>
  <w:style w:type="character" w:customStyle="1" w:styleId="CommentTextChar4">
    <w:name w:val="Comment Text Char4"/>
    <w:basedOn w:val="DefaultParagraphFont"/>
    <w:rsid w:val="00EC6F49"/>
    <w:rPr>
      <w:rFonts w:ascii="Times New Roman" w:eastAsia="Times New Roman" w:hAnsi="Times New Roman" w:cs="Times New Roman"/>
      <w:sz w:val="20"/>
      <w:szCs w:val="20"/>
      <w:lang w:val="el-GR" w:eastAsia="ar-SA"/>
    </w:rPr>
  </w:style>
  <w:style w:type="character" w:customStyle="1" w:styleId="markedcontent">
    <w:name w:val="markedcontent"/>
    <w:basedOn w:val="DefaultParagraphFont"/>
    <w:rsid w:val="007F7949"/>
  </w:style>
  <w:style w:type="character" w:customStyle="1" w:styleId="normaltextrun">
    <w:name w:val="normaltextrun"/>
    <w:basedOn w:val="DefaultParagraphFont"/>
    <w:rsid w:val="00F33EC4"/>
  </w:style>
  <w:style w:type="paragraph" w:customStyle="1" w:styleId="norm">
    <w:name w:val="norm"/>
    <w:basedOn w:val="Normal"/>
    <w:uiPriority w:val="99"/>
    <w:semiHidden/>
    <w:rsid w:val="00030166"/>
    <w:pPr>
      <w:spacing w:before="100" w:beforeAutospacing="1" w:after="100" w:afterAutospacing="1" w:line="240" w:lineRule="auto"/>
    </w:pPr>
    <w:rPr>
      <w:rFonts w:ascii="Calibri" w:hAnsi="Calibri" w:cs="Calibri"/>
      <w:lang w:eastAsia="en-IE"/>
    </w:rPr>
  </w:style>
  <w:style w:type="character" w:styleId="Emphasis">
    <w:name w:val="Emphasis"/>
    <w:basedOn w:val="DefaultParagraphFont"/>
    <w:uiPriority w:val="20"/>
    <w:qFormat/>
    <w:rsid w:val="000164F9"/>
    <w:rPr>
      <w:i/>
      <w:iCs/>
    </w:rPr>
  </w:style>
  <w:style w:type="character" w:customStyle="1" w:styleId="findhit">
    <w:name w:val="findhit"/>
    <w:basedOn w:val="DefaultParagraphFont"/>
    <w:rsid w:val="00371BAA"/>
  </w:style>
  <w:style w:type="character" w:customStyle="1" w:styleId="superscript">
    <w:name w:val="superscript"/>
    <w:basedOn w:val="DefaultParagraphFont"/>
    <w:rsid w:val="0082202E"/>
  </w:style>
  <w:style w:type="paragraph" w:customStyle="1" w:styleId="paragraph">
    <w:name w:val="paragraph"/>
    <w:basedOn w:val="Normal"/>
    <w:rsid w:val="0065527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DefaultParagraphFont"/>
    <w:rsid w:val="00A44988"/>
  </w:style>
  <w:style w:type="character" w:customStyle="1" w:styleId="Mention">
    <w:name w:val="Mention"/>
    <w:basedOn w:val="DefaultParagraphFont"/>
    <w:uiPriority w:val="99"/>
    <w:unhideWhenUsed/>
    <w:rsid w:val="00E00FA0"/>
    <w:rPr>
      <w:color w:val="2B579A"/>
      <w:shd w:val="clear" w:color="auto" w:fill="E6E6E6"/>
    </w:rPr>
  </w:style>
  <w:style w:type="paragraph" w:customStyle="1" w:styleId="FootnoteText1">
    <w:name w:val="Footnote Text1"/>
    <w:basedOn w:val="Normal"/>
    <w:next w:val="FootnoteText"/>
    <w:uiPriority w:val="99"/>
    <w:unhideWhenUsed/>
    <w:rsid w:val="00D04D05"/>
    <w:pPr>
      <w:spacing w:after="0" w:line="240" w:lineRule="auto"/>
    </w:pPr>
    <w:rPr>
      <w:kern w:val="2"/>
      <w:sz w:val="20"/>
      <w:szCs w:val="20"/>
      <w14:ligatures w14:val="standardContextual"/>
    </w:rPr>
  </w:style>
  <w:style w:type="character" w:customStyle="1" w:styleId="CommentTextChar1">
    <w:name w:val="Comment Text Char1"/>
    <w:basedOn w:val="DefaultParagraphFont"/>
    <w:uiPriority w:val="99"/>
    <w:rsid w:val="00D04D05"/>
    <w:rPr>
      <w:sz w:val="20"/>
      <w:szCs w:val="20"/>
    </w:rPr>
  </w:style>
  <w:style w:type="character" w:customStyle="1" w:styleId="UnresolvedMention">
    <w:name w:val="Unresolved Mention"/>
    <w:basedOn w:val="DefaultParagraphFont"/>
    <w:uiPriority w:val="99"/>
    <w:semiHidden/>
    <w:unhideWhenUsed/>
    <w:rsid w:val="009A1A6A"/>
    <w:rPr>
      <w:color w:val="605E5C"/>
      <w:shd w:val="clear" w:color="auto" w:fill="E1DFDD"/>
    </w:rPr>
  </w:style>
  <w:style w:type="character" w:customStyle="1" w:styleId="Footnote1">
    <w:name w:val="Footnote|1_"/>
    <w:basedOn w:val="DefaultParagraphFont"/>
    <w:link w:val="Footnote10"/>
    <w:rsid w:val="003309E0"/>
    <w:rPr>
      <w:color w:val="231F20"/>
      <w:sz w:val="19"/>
    </w:rPr>
  </w:style>
  <w:style w:type="paragraph" w:customStyle="1" w:styleId="Footnote10">
    <w:name w:val="Footnote|1"/>
    <w:basedOn w:val="Normal"/>
    <w:link w:val="Footnote1"/>
    <w:rsid w:val="003309E0"/>
    <w:pPr>
      <w:widowControl w:val="0"/>
      <w:spacing w:after="0" w:line="264" w:lineRule="auto"/>
      <w:ind w:left="540"/>
    </w:pPr>
    <w:rPr>
      <w:color w:val="231F20"/>
      <w:sz w:val="19"/>
    </w:rPr>
  </w:style>
  <w:style w:type="character" w:customStyle="1" w:styleId="cf01">
    <w:name w:val="cf01"/>
    <w:basedOn w:val="DefaultParagraphFont"/>
    <w:rsid w:val="00BB3CBA"/>
    <w:rPr>
      <w:rFonts w:ascii="Segoe UI" w:hAnsi="Segoe UI" w:cs="Segoe UI" w:hint="default"/>
      <w:sz w:val="18"/>
      <w:szCs w:val="18"/>
    </w:rPr>
  </w:style>
  <w:style w:type="paragraph" w:styleId="NormalWeb">
    <w:name w:val="Normal (Web)"/>
    <w:basedOn w:val="Normal"/>
    <w:uiPriority w:val="99"/>
    <w:unhideWhenUsed/>
    <w:rsid w:val="0063720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637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978">
      <w:bodyDiv w:val="1"/>
      <w:marLeft w:val="0"/>
      <w:marRight w:val="0"/>
      <w:marTop w:val="0"/>
      <w:marBottom w:val="0"/>
      <w:divBdr>
        <w:top w:val="none" w:sz="0" w:space="0" w:color="auto"/>
        <w:left w:val="none" w:sz="0" w:space="0" w:color="auto"/>
        <w:bottom w:val="none" w:sz="0" w:space="0" w:color="auto"/>
        <w:right w:val="none" w:sz="0" w:space="0" w:color="auto"/>
      </w:divBdr>
    </w:div>
    <w:div w:id="49380388">
      <w:bodyDiv w:val="1"/>
      <w:marLeft w:val="0"/>
      <w:marRight w:val="0"/>
      <w:marTop w:val="0"/>
      <w:marBottom w:val="0"/>
      <w:divBdr>
        <w:top w:val="none" w:sz="0" w:space="0" w:color="auto"/>
        <w:left w:val="none" w:sz="0" w:space="0" w:color="auto"/>
        <w:bottom w:val="none" w:sz="0" w:space="0" w:color="auto"/>
        <w:right w:val="none" w:sz="0" w:space="0" w:color="auto"/>
      </w:divBdr>
    </w:div>
    <w:div w:id="74284829">
      <w:bodyDiv w:val="1"/>
      <w:marLeft w:val="0"/>
      <w:marRight w:val="0"/>
      <w:marTop w:val="0"/>
      <w:marBottom w:val="0"/>
      <w:divBdr>
        <w:top w:val="none" w:sz="0" w:space="0" w:color="auto"/>
        <w:left w:val="none" w:sz="0" w:space="0" w:color="auto"/>
        <w:bottom w:val="none" w:sz="0" w:space="0" w:color="auto"/>
        <w:right w:val="none" w:sz="0" w:space="0" w:color="auto"/>
      </w:divBdr>
    </w:div>
    <w:div w:id="74476930">
      <w:bodyDiv w:val="1"/>
      <w:marLeft w:val="0"/>
      <w:marRight w:val="0"/>
      <w:marTop w:val="0"/>
      <w:marBottom w:val="0"/>
      <w:divBdr>
        <w:top w:val="none" w:sz="0" w:space="0" w:color="auto"/>
        <w:left w:val="none" w:sz="0" w:space="0" w:color="auto"/>
        <w:bottom w:val="none" w:sz="0" w:space="0" w:color="auto"/>
        <w:right w:val="none" w:sz="0" w:space="0" w:color="auto"/>
      </w:divBdr>
    </w:div>
    <w:div w:id="83035968">
      <w:bodyDiv w:val="1"/>
      <w:marLeft w:val="0"/>
      <w:marRight w:val="0"/>
      <w:marTop w:val="0"/>
      <w:marBottom w:val="0"/>
      <w:divBdr>
        <w:top w:val="none" w:sz="0" w:space="0" w:color="auto"/>
        <w:left w:val="none" w:sz="0" w:space="0" w:color="auto"/>
        <w:bottom w:val="none" w:sz="0" w:space="0" w:color="auto"/>
        <w:right w:val="none" w:sz="0" w:space="0" w:color="auto"/>
      </w:divBdr>
    </w:div>
    <w:div w:id="101342951">
      <w:bodyDiv w:val="1"/>
      <w:marLeft w:val="0"/>
      <w:marRight w:val="0"/>
      <w:marTop w:val="0"/>
      <w:marBottom w:val="0"/>
      <w:divBdr>
        <w:top w:val="none" w:sz="0" w:space="0" w:color="auto"/>
        <w:left w:val="none" w:sz="0" w:space="0" w:color="auto"/>
        <w:bottom w:val="none" w:sz="0" w:space="0" w:color="auto"/>
        <w:right w:val="none" w:sz="0" w:space="0" w:color="auto"/>
      </w:divBdr>
    </w:div>
    <w:div w:id="120224115">
      <w:bodyDiv w:val="1"/>
      <w:marLeft w:val="0"/>
      <w:marRight w:val="0"/>
      <w:marTop w:val="0"/>
      <w:marBottom w:val="0"/>
      <w:divBdr>
        <w:top w:val="none" w:sz="0" w:space="0" w:color="auto"/>
        <w:left w:val="none" w:sz="0" w:space="0" w:color="auto"/>
        <w:bottom w:val="none" w:sz="0" w:space="0" w:color="auto"/>
        <w:right w:val="none" w:sz="0" w:space="0" w:color="auto"/>
      </w:divBdr>
    </w:div>
    <w:div w:id="132142992">
      <w:bodyDiv w:val="1"/>
      <w:marLeft w:val="0"/>
      <w:marRight w:val="0"/>
      <w:marTop w:val="0"/>
      <w:marBottom w:val="0"/>
      <w:divBdr>
        <w:top w:val="none" w:sz="0" w:space="0" w:color="auto"/>
        <w:left w:val="none" w:sz="0" w:space="0" w:color="auto"/>
        <w:bottom w:val="none" w:sz="0" w:space="0" w:color="auto"/>
        <w:right w:val="none" w:sz="0" w:space="0" w:color="auto"/>
      </w:divBdr>
    </w:div>
    <w:div w:id="145897989">
      <w:bodyDiv w:val="1"/>
      <w:marLeft w:val="0"/>
      <w:marRight w:val="0"/>
      <w:marTop w:val="0"/>
      <w:marBottom w:val="0"/>
      <w:divBdr>
        <w:top w:val="none" w:sz="0" w:space="0" w:color="auto"/>
        <w:left w:val="none" w:sz="0" w:space="0" w:color="auto"/>
        <w:bottom w:val="none" w:sz="0" w:space="0" w:color="auto"/>
        <w:right w:val="none" w:sz="0" w:space="0" w:color="auto"/>
      </w:divBdr>
    </w:div>
    <w:div w:id="176163364">
      <w:bodyDiv w:val="1"/>
      <w:marLeft w:val="0"/>
      <w:marRight w:val="0"/>
      <w:marTop w:val="0"/>
      <w:marBottom w:val="0"/>
      <w:divBdr>
        <w:top w:val="none" w:sz="0" w:space="0" w:color="auto"/>
        <w:left w:val="none" w:sz="0" w:space="0" w:color="auto"/>
        <w:bottom w:val="none" w:sz="0" w:space="0" w:color="auto"/>
        <w:right w:val="none" w:sz="0" w:space="0" w:color="auto"/>
      </w:divBdr>
    </w:div>
    <w:div w:id="185097586">
      <w:bodyDiv w:val="1"/>
      <w:marLeft w:val="0"/>
      <w:marRight w:val="0"/>
      <w:marTop w:val="0"/>
      <w:marBottom w:val="0"/>
      <w:divBdr>
        <w:top w:val="none" w:sz="0" w:space="0" w:color="auto"/>
        <w:left w:val="none" w:sz="0" w:space="0" w:color="auto"/>
        <w:bottom w:val="none" w:sz="0" w:space="0" w:color="auto"/>
        <w:right w:val="none" w:sz="0" w:space="0" w:color="auto"/>
      </w:divBdr>
    </w:div>
    <w:div w:id="216355708">
      <w:bodyDiv w:val="1"/>
      <w:marLeft w:val="0"/>
      <w:marRight w:val="0"/>
      <w:marTop w:val="0"/>
      <w:marBottom w:val="0"/>
      <w:divBdr>
        <w:top w:val="none" w:sz="0" w:space="0" w:color="auto"/>
        <w:left w:val="none" w:sz="0" w:space="0" w:color="auto"/>
        <w:bottom w:val="none" w:sz="0" w:space="0" w:color="auto"/>
        <w:right w:val="none" w:sz="0" w:space="0" w:color="auto"/>
      </w:divBdr>
    </w:div>
    <w:div w:id="223757416">
      <w:bodyDiv w:val="1"/>
      <w:marLeft w:val="0"/>
      <w:marRight w:val="0"/>
      <w:marTop w:val="0"/>
      <w:marBottom w:val="0"/>
      <w:divBdr>
        <w:top w:val="none" w:sz="0" w:space="0" w:color="auto"/>
        <w:left w:val="none" w:sz="0" w:space="0" w:color="auto"/>
        <w:bottom w:val="none" w:sz="0" w:space="0" w:color="auto"/>
        <w:right w:val="none" w:sz="0" w:space="0" w:color="auto"/>
      </w:divBdr>
    </w:div>
    <w:div w:id="228227351">
      <w:bodyDiv w:val="1"/>
      <w:marLeft w:val="0"/>
      <w:marRight w:val="0"/>
      <w:marTop w:val="0"/>
      <w:marBottom w:val="0"/>
      <w:divBdr>
        <w:top w:val="none" w:sz="0" w:space="0" w:color="auto"/>
        <w:left w:val="none" w:sz="0" w:space="0" w:color="auto"/>
        <w:bottom w:val="none" w:sz="0" w:space="0" w:color="auto"/>
        <w:right w:val="none" w:sz="0" w:space="0" w:color="auto"/>
      </w:divBdr>
    </w:div>
    <w:div w:id="228662243">
      <w:bodyDiv w:val="1"/>
      <w:marLeft w:val="0"/>
      <w:marRight w:val="0"/>
      <w:marTop w:val="0"/>
      <w:marBottom w:val="0"/>
      <w:divBdr>
        <w:top w:val="none" w:sz="0" w:space="0" w:color="auto"/>
        <w:left w:val="none" w:sz="0" w:space="0" w:color="auto"/>
        <w:bottom w:val="none" w:sz="0" w:space="0" w:color="auto"/>
        <w:right w:val="none" w:sz="0" w:space="0" w:color="auto"/>
      </w:divBdr>
    </w:div>
    <w:div w:id="232742686">
      <w:bodyDiv w:val="1"/>
      <w:marLeft w:val="0"/>
      <w:marRight w:val="0"/>
      <w:marTop w:val="0"/>
      <w:marBottom w:val="0"/>
      <w:divBdr>
        <w:top w:val="none" w:sz="0" w:space="0" w:color="auto"/>
        <w:left w:val="none" w:sz="0" w:space="0" w:color="auto"/>
        <w:bottom w:val="none" w:sz="0" w:space="0" w:color="auto"/>
        <w:right w:val="none" w:sz="0" w:space="0" w:color="auto"/>
      </w:divBdr>
    </w:div>
    <w:div w:id="239482265">
      <w:bodyDiv w:val="1"/>
      <w:marLeft w:val="0"/>
      <w:marRight w:val="0"/>
      <w:marTop w:val="0"/>
      <w:marBottom w:val="0"/>
      <w:divBdr>
        <w:top w:val="none" w:sz="0" w:space="0" w:color="auto"/>
        <w:left w:val="none" w:sz="0" w:space="0" w:color="auto"/>
        <w:bottom w:val="none" w:sz="0" w:space="0" w:color="auto"/>
        <w:right w:val="none" w:sz="0" w:space="0" w:color="auto"/>
      </w:divBdr>
    </w:div>
    <w:div w:id="248344399">
      <w:bodyDiv w:val="1"/>
      <w:marLeft w:val="0"/>
      <w:marRight w:val="0"/>
      <w:marTop w:val="0"/>
      <w:marBottom w:val="0"/>
      <w:divBdr>
        <w:top w:val="none" w:sz="0" w:space="0" w:color="auto"/>
        <w:left w:val="none" w:sz="0" w:space="0" w:color="auto"/>
        <w:bottom w:val="none" w:sz="0" w:space="0" w:color="auto"/>
        <w:right w:val="none" w:sz="0" w:space="0" w:color="auto"/>
      </w:divBdr>
    </w:div>
    <w:div w:id="254097926">
      <w:bodyDiv w:val="1"/>
      <w:marLeft w:val="0"/>
      <w:marRight w:val="0"/>
      <w:marTop w:val="0"/>
      <w:marBottom w:val="0"/>
      <w:divBdr>
        <w:top w:val="none" w:sz="0" w:space="0" w:color="auto"/>
        <w:left w:val="none" w:sz="0" w:space="0" w:color="auto"/>
        <w:bottom w:val="none" w:sz="0" w:space="0" w:color="auto"/>
        <w:right w:val="none" w:sz="0" w:space="0" w:color="auto"/>
      </w:divBdr>
    </w:div>
    <w:div w:id="278224481">
      <w:bodyDiv w:val="1"/>
      <w:marLeft w:val="0"/>
      <w:marRight w:val="0"/>
      <w:marTop w:val="0"/>
      <w:marBottom w:val="0"/>
      <w:divBdr>
        <w:top w:val="none" w:sz="0" w:space="0" w:color="auto"/>
        <w:left w:val="none" w:sz="0" w:space="0" w:color="auto"/>
        <w:bottom w:val="none" w:sz="0" w:space="0" w:color="auto"/>
        <w:right w:val="none" w:sz="0" w:space="0" w:color="auto"/>
      </w:divBdr>
    </w:div>
    <w:div w:id="280307872">
      <w:bodyDiv w:val="1"/>
      <w:marLeft w:val="0"/>
      <w:marRight w:val="0"/>
      <w:marTop w:val="0"/>
      <w:marBottom w:val="0"/>
      <w:divBdr>
        <w:top w:val="none" w:sz="0" w:space="0" w:color="auto"/>
        <w:left w:val="none" w:sz="0" w:space="0" w:color="auto"/>
        <w:bottom w:val="none" w:sz="0" w:space="0" w:color="auto"/>
        <w:right w:val="none" w:sz="0" w:space="0" w:color="auto"/>
      </w:divBdr>
    </w:div>
    <w:div w:id="291250543">
      <w:bodyDiv w:val="1"/>
      <w:marLeft w:val="0"/>
      <w:marRight w:val="0"/>
      <w:marTop w:val="0"/>
      <w:marBottom w:val="0"/>
      <w:divBdr>
        <w:top w:val="none" w:sz="0" w:space="0" w:color="auto"/>
        <w:left w:val="none" w:sz="0" w:space="0" w:color="auto"/>
        <w:bottom w:val="none" w:sz="0" w:space="0" w:color="auto"/>
        <w:right w:val="none" w:sz="0" w:space="0" w:color="auto"/>
      </w:divBdr>
    </w:div>
    <w:div w:id="298455953">
      <w:bodyDiv w:val="1"/>
      <w:marLeft w:val="0"/>
      <w:marRight w:val="0"/>
      <w:marTop w:val="0"/>
      <w:marBottom w:val="0"/>
      <w:divBdr>
        <w:top w:val="none" w:sz="0" w:space="0" w:color="auto"/>
        <w:left w:val="none" w:sz="0" w:space="0" w:color="auto"/>
        <w:bottom w:val="none" w:sz="0" w:space="0" w:color="auto"/>
        <w:right w:val="none" w:sz="0" w:space="0" w:color="auto"/>
      </w:divBdr>
    </w:div>
    <w:div w:id="314070086">
      <w:bodyDiv w:val="1"/>
      <w:marLeft w:val="0"/>
      <w:marRight w:val="0"/>
      <w:marTop w:val="0"/>
      <w:marBottom w:val="0"/>
      <w:divBdr>
        <w:top w:val="none" w:sz="0" w:space="0" w:color="auto"/>
        <w:left w:val="none" w:sz="0" w:space="0" w:color="auto"/>
        <w:bottom w:val="none" w:sz="0" w:space="0" w:color="auto"/>
        <w:right w:val="none" w:sz="0" w:space="0" w:color="auto"/>
      </w:divBdr>
    </w:div>
    <w:div w:id="356392675">
      <w:bodyDiv w:val="1"/>
      <w:marLeft w:val="0"/>
      <w:marRight w:val="0"/>
      <w:marTop w:val="0"/>
      <w:marBottom w:val="0"/>
      <w:divBdr>
        <w:top w:val="none" w:sz="0" w:space="0" w:color="auto"/>
        <w:left w:val="none" w:sz="0" w:space="0" w:color="auto"/>
        <w:bottom w:val="none" w:sz="0" w:space="0" w:color="auto"/>
        <w:right w:val="none" w:sz="0" w:space="0" w:color="auto"/>
      </w:divBdr>
    </w:div>
    <w:div w:id="364713964">
      <w:bodyDiv w:val="1"/>
      <w:marLeft w:val="0"/>
      <w:marRight w:val="0"/>
      <w:marTop w:val="0"/>
      <w:marBottom w:val="0"/>
      <w:divBdr>
        <w:top w:val="none" w:sz="0" w:space="0" w:color="auto"/>
        <w:left w:val="none" w:sz="0" w:space="0" w:color="auto"/>
        <w:bottom w:val="none" w:sz="0" w:space="0" w:color="auto"/>
        <w:right w:val="none" w:sz="0" w:space="0" w:color="auto"/>
      </w:divBdr>
    </w:div>
    <w:div w:id="380059823">
      <w:bodyDiv w:val="1"/>
      <w:marLeft w:val="0"/>
      <w:marRight w:val="0"/>
      <w:marTop w:val="0"/>
      <w:marBottom w:val="0"/>
      <w:divBdr>
        <w:top w:val="none" w:sz="0" w:space="0" w:color="auto"/>
        <w:left w:val="none" w:sz="0" w:space="0" w:color="auto"/>
        <w:bottom w:val="none" w:sz="0" w:space="0" w:color="auto"/>
        <w:right w:val="none" w:sz="0" w:space="0" w:color="auto"/>
      </w:divBdr>
    </w:div>
    <w:div w:id="391659081">
      <w:bodyDiv w:val="1"/>
      <w:marLeft w:val="0"/>
      <w:marRight w:val="0"/>
      <w:marTop w:val="0"/>
      <w:marBottom w:val="0"/>
      <w:divBdr>
        <w:top w:val="none" w:sz="0" w:space="0" w:color="auto"/>
        <w:left w:val="none" w:sz="0" w:space="0" w:color="auto"/>
        <w:bottom w:val="none" w:sz="0" w:space="0" w:color="auto"/>
        <w:right w:val="none" w:sz="0" w:space="0" w:color="auto"/>
      </w:divBdr>
    </w:div>
    <w:div w:id="391735386">
      <w:bodyDiv w:val="1"/>
      <w:marLeft w:val="0"/>
      <w:marRight w:val="0"/>
      <w:marTop w:val="0"/>
      <w:marBottom w:val="0"/>
      <w:divBdr>
        <w:top w:val="none" w:sz="0" w:space="0" w:color="auto"/>
        <w:left w:val="none" w:sz="0" w:space="0" w:color="auto"/>
        <w:bottom w:val="none" w:sz="0" w:space="0" w:color="auto"/>
        <w:right w:val="none" w:sz="0" w:space="0" w:color="auto"/>
      </w:divBdr>
    </w:div>
    <w:div w:id="405764518">
      <w:bodyDiv w:val="1"/>
      <w:marLeft w:val="0"/>
      <w:marRight w:val="0"/>
      <w:marTop w:val="0"/>
      <w:marBottom w:val="0"/>
      <w:divBdr>
        <w:top w:val="none" w:sz="0" w:space="0" w:color="auto"/>
        <w:left w:val="none" w:sz="0" w:space="0" w:color="auto"/>
        <w:bottom w:val="none" w:sz="0" w:space="0" w:color="auto"/>
        <w:right w:val="none" w:sz="0" w:space="0" w:color="auto"/>
      </w:divBdr>
    </w:div>
    <w:div w:id="415320745">
      <w:bodyDiv w:val="1"/>
      <w:marLeft w:val="0"/>
      <w:marRight w:val="0"/>
      <w:marTop w:val="0"/>
      <w:marBottom w:val="0"/>
      <w:divBdr>
        <w:top w:val="none" w:sz="0" w:space="0" w:color="auto"/>
        <w:left w:val="none" w:sz="0" w:space="0" w:color="auto"/>
        <w:bottom w:val="none" w:sz="0" w:space="0" w:color="auto"/>
        <w:right w:val="none" w:sz="0" w:space="0" w:color="auto"/>
      </w:divBdr>
    </w:div>
    <w:div w:id="417482069">
      <w:bodyDiv w:val="1"/>
      <w:marLeft w:val="0"/>
      <w:marRight w:val="0"/>
      <w:marTop w:val="0"/>
      <w:marBottom w:val="0"/>
      <w:divBdr>
        <w:top w:val="none" w:sz="0" w:space="0" w:color="auto"/>
        <w:left w:val="none" w:sz="0" w:space="0" w:color="auto"/>
        <w:bottom w:val="none" w:sz="0" w:space="0" w:color="auto"/>
        <w:right w:val="none" w:sz="0" w:space="0" w:color="auto"/>
      </w:divBdr>
    </w:div>
    <w:div w:id="447965684">
      <w:bodyDiv w:val="1"/>
      <w:marLeft w:val="0"/>
      <w:marRight w:val="0"/>
      <w:marTop w:val="0"/>
      <w:marBottom w:val="0"/>
      <w:divBdr>
        <w:top w:val="none" w:sz="0" w:space="0" w:color="auto"/>
        <w:left w:val="none" w:sz="0" w:space="0" w:color="auto"/>
        <w:bottom w:val="none" w:sz="0" w:space="0" w:color="auto"/>
        <w:right w:val="none" w:sz="0" w:space="0" w:color="auto"/>
      </w:divBdr>
    </w:div>
    <w:div w:id="466358334">
      <w:bodyDiv w:val="1"/>
      <w:marLeft w:val="0"/>
      <w:marRight w:val="0"/>
      <w:marTop w:val="0"/>
      <w:marBottom w:val="0"/>
      <w:divBdr>
        <w:top w:val="none" w:sz="0" w:space="0" w:color="auto"/>
        <w:left w:val="none" w:sz="0" w:space="0" w:color="auto"/>
        <w:bottom w:val="none" w:sz="0" w:space="0" w:color="auto"/>
        <w:right w:val="none" w:sz="0" w:space="0" w:color="auto"/>
      </w:divBdr>
    </w:div>
    <w:div w:id="468936845">
      <w:bodyDiv w:val="1"/>
      <w:marLeft w:val="0"/>
      <w:marRight w:val="0"/>
      <w:marTop w:val="0"/>
      <w:marBottom w:val="0"/>
      <w:divBdr>
        <w:top w:val="none" w:sz="0" w:space="0" w:color="auto"/>
        <w:left w:val="none" w:sz="0" w:space="0" w:color="auto"/>
        <w:bottom w:val="none" w:sz="0" w:space="0" w:color="auto"/>
        <w:right w:val="none" w:sz="0" w:space="0" w:color="auto"/>
      </w:divBdr>
    </w:div>
    <w:div w:id="481384798">
      <w:bodyDiv w:val="1"/>
      <w:marLeft w:val="0"/>
      <w:marRight w:val="0"/>
      <w:marTop w:val="0"/>
      <w:marBottom w:val="0"/>
      <w:divBdr>
        <w:top w:val="none" w:sz="0" w:space="0" w:color="auto"/>
        <w:left w:val="none" w:sz="0" w:space="0" w:color="auto"/>
        <w:bottom w:val="none" w:sz="0" w:space="0" w:color="auto"/>
        <w:right w:val="none" w:sz="0" w:space="0" w:color="auto"/>
      </w:divBdr>
    </w:div>
    <w:div w:id="512383754">
      <w:bodyDiv w:val="1"/>
      <w:marLeft w:val="0"/>
      <w:marRight w:val="0"/>
      <w:marTop w:val="0"/>
      <w:marBottom w:val="0"/>
      <w:divBdr>
        <w:top w:val="none" w:sz="0" w:space="0" w:color="auto"/>
        <w:left w:val="none" w:sz="0" w:space="0" w:color="auto"/>
        <w:bottom w:val="none" w:sz="0" w:space="0" w:color="auto"/>
        <w:right w:val="none" w:sz="0" w:space="0" w:color="auto"/>
      </w:divBdr>
    </w:div>
    <w:div w:id="519006262">
      <w:bodyDiv w:val="1"/>
      <w:marLeft w:val="0"/>
      <w:marRight w:val="0"/>
      <w:marTop w:val="0"/>
      <w:marBottom w:val="0"/>
      <w:divBdr>
        <w:top w:val="none" w:sz="0" w:space="0" w:color="auto"/>
        <w:left w:val="none" w:sz="0" w:space="0" w:color="auto"/>
        <w:bottom w:val="none" w:sz="0" w:space="0" w:color="auto"/>
        <w:right w:val="none" w:sz="0" w:space="0" w:color="auto"/>
      </w:divBdr>
    </w:div>
    <w:div w:id="526799120">
      <w:bodyDiv w:val="1"/>
      <w:marLeft w:val="0"/>
      <w:marRight w:val="0"/>
      <w:marTop w:val="0"/>
      <w:marBottom w:val="0"/>
      <w:divBdr>
        <w:top w:val="none" w:sz="0" w:space="0" w:color="auto"/>
        <w:left w:val="none" w:sz="0" w:space="0" w:color="auto"/>
        <w:bottom w:val="none" w:sz="0" w:space="0" w:color="auto"/>
        <w:right w:val="none" w:sz="0" w:space="0" w:color="auto"/>
      </w:divBdr>
    </w:div>
    <w:div w:id="539627908">
      <w:bodyDiv w:val="1"/>
      <w:marLeft w:val="0"/>
      <w:marRight w:val="0"/>
      <w:marTop w:val="0"/>
      <w:marBottom w:val="0"/>
      <w:divBdr>
        <w:top w:val="none" w:sz="0" w:space="0" w:color="auto"/>
        <w:left w:val="none" w:sz="0" w:space="0" w:color="auto"/>
        <w:bottom w:val="none" w:sz="0" w:space="0" w:color="auto"/>
        <w:right w:val="none" w:sz="0" w:space="0" w:color="auto"/>
      </w:divBdr>
    </w:div>
    <w:div w:id="541089602">
      <w:bodyDiv w:val="1"/>
      <w:marLeft w:val="0"/>
      <w:marRight w:val="0"/>
      <w:marTop w:val="0"/>
      <w:marBottom w:val="0"/>
      <w:divBdr>
        <w:top w:val="none" w:sz="0" w:space="0" w:color="auto"/>
        <w:left w:val="none" w:sz="0" w:space="0" w:color="auto"/>
        <w:bottom w:val="none" w:sz="0" w:space="0" w:color="auto"/>
        <w:right w:val="none" w:sz="0" w:space="0" w:color="auto"/>
      </w:divBdr>
    </w:div>
    <w:div w:id="541791693">
      <w:bodyDiv w:val="1"/>
      <w:marLeft w:val="0"/>
      <w:marRight w:val="0"/>
      <w:marTop w:val="0"/>
      <w:marBottom w:val="0"/>
      <w:divBdr>
        <w:top w:val="none" w:sz="0" w:space="0" w:color="auto"/>
        <w:left w:val="none" w:sz="0" w:space="0" w:color="auto"/>
        <w:bottom w:val="none" w:sz="0" w:space="0" w:color="auto"/>
        <w:right w:val="none" w:sz="0" w:space="0" w:color="auto"/>
      </w:divBdr>
    </w:div>
    <w:div w:id="551624579">
      <w:bodyDiv w:val="1"/>
      <w:marLeft w:val="0"/>
      <w:marRight w:val="0"/>
      <w:marTop w:val="0"/>
      <w:marBottom w:val="0"/>
      <w:divBdr>
        <w:top w:val="none" w:sz="0" w:space="0" w:color="auto"/>
        <w:left w:val="none" w:sz="0" w:space="0" w:color="auto"/>
        <w:bottom w:val="none" w:sz="0" w:space="0" w:color="auto"/>
        <w:right w:val="none" w:sz="0" w:space="0" w:color="auto"/>
      </w:divBdr>
    </w:div>
    <w:div w:id="571358132">
      <w:bodyDiv w:val="1"/>
      <w:marLeft w:val="0"/>
      <w:marRight w:val="0"/>
      <w:marTop w:val="0"/>
      <w:marBottom w:val="0"/>
      <w:divBdr>
        <w:top w:val="none" w:sz="0" w:space="0" w:color="auto"/>
        <w:left w:val="none" w:sz="0" w:space="0" w:color="auto"/>
        <w:bottom w:val="none" w:sz="0" w:space="0" w:color="auto"/>
        <w:right w:val="none" w:sz="0" w:space="0" w:color="auto"/>
      </w:divBdr>
    </w:div>
    <w:div w:id="602417524">
      <w:bodyDiv w:val="1"/>
      <w:marLeft w:val="0"/>
      <w:marRight w:val="0"/>
      <w:marTop w:val="0"/>
      <w:marBottom w:val="0"/>
      <w:divBdr>
        <w:top w:val="none" w:sz="0" w:space="0" w:color="auto"/>
        <w:left w:val="none" w:sz="0" w:space="0" w:color="auto"/>
        <w:bottom w:val="none" w:sz="0" w:space="0" w:color="auto"/>
        <w:right w:val="none" w:sz="0" w:space="0" w:color="auto"/>
      </w:divBdr>
    </w:div>
    <w:div w:id="614747890">
      <w:bodyDiv w:val="1"/>
      <w:marLeft w:val="0"/>
      <w:marRight w:val="0"/>
      <w:marTop w:val="0"/>
      <w:marBottom w:val="0"/>
      <w:divBdr>
        <w:top w:val="none" w:sz="0" w:space="0" w:color="auto"/>
        <w:left w:val="none" w:sz="0" w:space="0" w:color="auto"/>
        <w:bottom w:val="none" w:sz="0" w:space="0" w:color="auto"/>
        <w:right w:val="none" w:sz="0" w:space="0" w:color="auto"/>
      </w:divBdr>
    </w:div>
    <w:div w:id="636032258">
      <w:bodyDiv w:val="1"/>
      <w:marLeft w:val="0"/>
      <w:marRight w:val="0"/>
      <w:marTop w:val="0"/>
      <w:marBottom w:val="0"/>
      <w:divBdr>
        <w:top w:val="none" w:sz="0" w:space="0" w:color="auto"/>
        <w:left w:val="none" w:sz="0" w:space="0" w:color="auto"/>
        <w:bottom w:val="none" w:sz="0" w:space="0" w:color="auto"/>
        <w:right w:val="none" w:sz="0" w:space="0" w:color="auto"/>
      </w:divBdr>
    </w:div>
    <w:div w:id="641270792">
      <w:bodyDiv w:val="1"/>
      <w:marLeft w:val="0"/>
      <w:marRight w:val="0"/>
      <w:marTop w:val="0"/>
      <w:marBottom w:val="0"/>
      <w:divBdr>
        <w:top w:val="none" w:sz="0" w:space="0" w:color="auto"/>
        <w:left w:val="none" w:sz="0" w:space="0" w:color="auto"/>
        <w:bottom w:val="none" w:sz="0" w:space="0" w:color="auto"/>
        <w:right w:val="none" w:sz="0" w:space="0" w:color="auto"/>
      </w:divBdr>
    </w:div>
    <w:div w:id="652029921">
      <w:bodyDiv w:val="1"/>
      <w:marLeft w:val="0"/>
      <w:marRight w:val="0"/>
      <w:marTop w:val="0"/>
      <w:marBottom w:val="0"/>
      <w:divBdr>
        <w:top w:val="none" w:sz="0" w:space="0" w:color="auto"/>
        <w:left w:val="none" w:sz="0" w:space="0" w:color="auto"/>
        <w:bottom w:val="none" w:sz="0" w:space="0" w:color="auto"/>
        <w:right w:val="none" w:sz="0" w:space="0" w:color="auto"/>
      </w:divBdr>
    </w:div>
    <w:div w:id="653533425">
      <w:bodyDiv w:val="1"/>
      <w:marLeft w:val="0"/>
      <w:marRight w:val="0"/>
      <w:marTop w:val="0"/>
      <w:marBottom w:val="0"/>
      <w:divBdr>
        <w:top w:val="none" w:sz="0" w:space="0" w:color="auto"/>
        <w:left w:val="none" w:sz="0" w:space="0" w:color="auto"/>
        <w:bottom w:val="none" w:sz="0" w:space="0" w:color="auto"/>
        <w:right w:val="none" w:sz="0" w:space="0" w:color="auto"/>
      </w:divBdr>
    </w:div>
    <w:div w:id="655231053">
      <w:bodyDiv w:val="1"/>
      <w:marLeft w:val="0"/>
      <w:marRight w:val="0"/>
      <w:marTop w:val="0"/>
      <w:marBottom w:val="0"/>
      <w:divBdr>
        <w:top w:val="none" w:sz="0" w:space="0" w:color="auto"/>
        <w:left w:val="none" w:sz="0" w:space="0" w:color="auto"/>
        <w:bottom w:val="none" w:sz="0" w:space="0" w:color="auto"/>
        <w:right w:val="none" w:sz="0" w:space="0" w:color="auto"/>
      </w:divBdr>
    </w:div>
    <w:div w:id="661735382">
      <w:bodyDiv w:val="1"/>
      <w:marLeft w:val="0"/>
      <w:marRight w:val="0"/>
      <w:marTop w:val="0"/>
      <w:marBottom w:val="0"/>
      <w:divBdr>
        <w:top w:val="none" w:sz="0" w:space="0" w:color="auto"/>
        <w:left w:val="none" w:sz="0" w:space="0" w:color="auto"/>
        <w:bottom w:val="none" w:sz="0" w:space="0" w:color="auto"/>
        <w:right w:val="none" w:sz="0" w:space="0" w:color="auto"/>
      </w:divBdr>
    </w:div>
    <w:div w:id="679892341">
      <w:bodyDiv w:val="1"/>
      <w:marLeft w:val="0"/>
      <w:marRight w:val="0"/>
      <w:marTop w:val="0"/>
      <w:marBottom w:val="0"/>
      <w:divBdr>
        <w:top w:val="none" w:sz="0" w:space="0" w:color="auto"/>
        <w:left w:val="none" w:sz="0" w:space="0" w:color="auto"/>
        <w:bottom w:val="none" w:sz="0" w:space="0" w:color="auto"/>
        <w:right w:val="none" w:sz="0" w:space="0" w:color="auto"/>
      </w:divBdr>
    </w:div>
    <w:div w:id="693267174">
      <w:bodyDiv w:val="1"/>
      <w:marLeft w:val="0"/>
      <w:marRight w:val="0"/>
      <w:marTop w:val="0"/>
      <w:marBottom w:val="0"/>
      <w:divBdr>
        <w:top w:val="none" w:sz="0" w:space="0" w:color="auto"/>
        <w:left w:val="none" w:sz="0" w:space="0" w:color="auto"/>
        <w:bottom w:val="none" w:sz="0" w:space="0" w:color="auto"/>
        <w:right w:val="none" w:sz="0" w:space="0" w:color="auto"/>
      </w:divBdr>
    </w:div>
    <w:div w:id="736170651">
      <w:bodyDiv w:val="1"/>
      <w:marLeft w:val="0"/>
      <w:marRight w:val="0"/>
      <w:marTop w:val="0"/>
      <w:marBottom w:val="0"/>
      <w:divBdr>
        <w:top w:val="none" w:sz="0" w:space="0" w:color="auto"/>
        <w:left w:val="none" w:sz="0" w:space="0" w:color="auto"/>
        <w:bottom w:val="none" w:sz="0" w:space="0" w:color="auto"/>
        <w:right w:val="none" w:sz="0" w:space="0" w:color="auto"/>
      </w:divBdr>
    </w:div>
    <w:div w:id="737898233">
      <w:bodyDiv w:val="1"/>
      <w:marLeft w:val="0"/>
      <w:marRight w:val="0"/>
      <w:marTop w:val="0"/>
      <w:marBottom w:val="0"/>
      <w:divBdr>
        <w:top w:val="none" w:sz="0" w:space="0" w:color="auto"/>
        <w:left w:val="none" w:sz="0" w:space="0" w:color="auto"/>
        <w:bottom w:val="none" w:sz="0" w:space="0" w:color="auto"/>
        <w:right w:val="none" w:sz="0" w:space="0" w:color="auto"/>
      </w:divBdr>
    </w:div>
    <w:div w:id="742410366">
      <w:bodyDiv w:val="1"/>
      <w:marLeft w:val="0"/>
      <w:marRight w:val="0"/>
      <w:marTop w:val="0"/>
      <w:marBottom w:val="0"/>
      <w:divBdr>
        <w:top w:val="none" w:sz="0" w:space="0" w:color="auto"/>
        <w:left w:val="none" w:sz="0" w:space="0" w:color="auto"/>
        <w:bottom w:val="none" w:sz="0" w:space="0" w:color="auto"/>
        <w:right w:val="none" w:sz="0" w:space="0" w:color="auto"/>
      </w:divBdr>
    </w:div>
    <w:div w:id="748698911">
      <w:bodyDiv w:val="1"/>
      <w:marLeft w:val="0"/>
      <w:marRight w:val="0"/>
      <w:marTop w:val="0"/>
      <w:marBottom w:val="0"/>
      <w:divBdr>
        <w:top w:val="none" w:sz="0" w:space="0" w:color="auto"/>
        <w:left w:val="none" w:sz="0" w:space="0" w:color="auto"/>
        <w:bottom w:val="none" w:sz="0" w:space="0" w:color="auto"/>
        <w:right w:val="none" w:sz="0" w:space="0" w:color="auto"/>
      </w:divBdr>
    </w:div>
    <w:div w:id="750812651">
      <w:bodyDiv w:val="1"/>
      <w:marLeft w:val="0"/>
      <w:marRight w:val="0"/>
      <w:marTop w:val="0"/>
      <w:marBottom w:val="0"/>
      <w:divBdr>
        <w:top w:val="none" w:sz="0" w:space="0" w:color="auto"/>
        <w:left w:val="none" w:sz="0" w:space="0" w:color="auto"/>
        <w:bottom w:val="none" w:sz="0" w:space="0" w:color="auto"/>
        <w:right w:val="none" w:sz="0" w:space="0" w:color="auto"/>
      </w:divBdr>
    </w:div>
    <w:div w:id="767045242">
      <w:bodyDiv w:val="1"/>
      <w:marLeft w:val="0"/>
      <w:marRight w:val="0"/>
      <w:marTop w:val="0"/>
      <w:marBottom w:val="0"/>
      <w:divBdr>
        <w:top w:val="none" w:sz="0" w:space="0" w:color="auto"/>
        <w:left w:val="none" w:sz="0" w:space="0" w:color="auto"/>
        <w:bottom w:val="none" w:sz="0" w:space="0" w:color="auto"/>
        <w:right w:val="none" w:sz="0" w:space="0" w:color="auto"/>
      </w:divBdr>
    </w:div>
    <w:div w:id="778378924">
      <w:bodyDiv w:val="1"/>
      <w:marLeft w:val="0"/>
      <w:marRight w:val="0"/>
      <w:marTop w:val="0"/>
      <w:marBottom w:val="0"/>
      <w:divBdr>
        <w:top w:val="none" w:sz="0" w:space="0" w:color="auto"/>
        <w:left w:val="none" w:sz="0" w:space="0" w:color="auto"/>
        <w:bottom w:val="none" w:sz="0" w:space="0" w:color="auto"/>
        <w:right w:val="none" w:sz="0" w:space="0" w:color="auto"/>
      </w:divBdr>
    </w:div>
    <w:div w:id="788547861">
      <w:bodyDiv w:val="1"/>
      <w:marLeft w:val="0"/>
      <w:marRight w:val="0"/>
      <w:marTop w:val="0"/>
      <w:marBottom w:val="0"/>
      <w:divBdr>
        <w:top w:val="none" w:sz="0" w:space="0" w:color="auto"/>
        <w:left w:val="none" w:sz="0" w:space="0" w:color="auto"/>
        <w:bottom w:val="none" w:sz="0" w:space="0" w:color="auto"/>
        <w:right w:val="none" w:sz="0" w:space="0" w:color="auto"/>
      </w:divBdr>
    </w:div>
    <w:div w:id="790590369">
      <w:bodyDiv w:val="1"/>
      <w:marLeft w:val="0"/>
      <w:marRight w:val="0"/>
      <w:marTop w:val="0"/>
      <w:marBottom w:val="0"/>
      <w:divBdr>
        <w:top w:val="none" w:sz="0" w:space="0" w:color="auto"/>
        <w:left w:val="none" w:sz="0" w:space="0" w:color="auto"/>
        <w:bottom w:val="none" w:sz="0" w:space="0" w:color="auto"/>
        <w:right w:val="none" w:sz="0" w:space="0" w:color="auto"/>
      </w:divBdr>
    </w:div>
    <w:div w:id="799155995">
      <w:bodyDiv w:val="1"/>
      <w:marLeft w:val="0"/>
      <w:marRight w:val="0"/>
      <w:marTop w:val="0"/>
      <w:marBottom w:val="0"/>
      <w:divBdr>
        <w:top w:val="none" w:sz="0" w:space="0" w:color="auto"/>
        <w:left w:val="none" w:sz="0" w:space="0" w:color="auto"/>
        <w:bottom w:val="none" w:sz="0" w:space="0" w:color="auto"/>
        <w:right w:val="none" w:sz="0" w:space="0" w:color="auto"/>
      </w:divBdr>
    </w:div>
    <w:div w:id="804856761">
      <w:bodyDiv w:val="1"/>
      <w:marLeft w:val="0"/>
      <w:marRight w:val="0"/>
      <w:marTop w:val="0"/>
      <w:marBottom w:val="0"/>
      <w:divBdr>
        <w:top w:val="none" w:sz="0" w:space="0" w:color="auto"/>
        <w:left w:val="none" w:sz="0" w:space="0" w:color="auto"/>
        <w:bottom w:val="none" w:sz="0" w:space="0" w:color="auto"/>
        <w:right w:val="none" w:sz="0" w:space="0" w:color="auto"/>
      </w:divBdr>
    </w:div>
    <w:div w:id="838421952">
      <w:bodyDiv w:val="1"/>
      <w:marLeft w:val="0"/>
      <w:marRight w:val="0"/>
      <w:marTop w:val="0"/>
      <w:marBottom w:val="0"/>
      <w:divBdr>
        <w:top w:val="none" w:sz="0" w:space="0" w:color="auto"/>
        <w:left w:val="none" w:sz="0" w:space="0" w:color="auto"/>
        <w:bottom w:val="none" w:sz="0" w:space="0" w:color="auto"/>
        <w:right w:val="none" w:sz="0" w:space="0" w:color="auto"/>
      </w:divBdr>
    </w:div>
    <w:div w:id="839198677">
      <w:bodyDiv w:val="1"/>
      <w:marLeft w:val="0"/>
      <w:marRight w:val="0"/>
      <w:marTop w:val="0"/>
      <w:marBottom w:val="0"/>
      <w:divBdr>
        <w:top w:val="none" w:sz="0" w:space="0" w:color="auto"/>
        <w:left w:val="none" w:sz="0" w:space="0" w:color="auto"/>
        <w:bottom w:val="none" w:sz="0" w:space="0" w:color="auto"/>
        <w:right w:val="none" w:sz="0" w:space="0" w:color="auto"/>
      </w:divBdr>
    </w:div>
    <w:div w:id="844321279">
      <w:bodyDiv w:val="1"/>
      <w:marLeft w:val="0"/>
      <w:marRight w:val="0"/>
      <w:marTop w:val="0"/>
      <w:marBottom w:val="0"/>
      <w:divBdr>
        <w:top w:val="none" w:sz="0" w:space="0" w:color="auto"/>
        <w:left w:val="none" w:sz="0" w:space="0" w:color="auto"/>
        <w:bottom w:val="none" w:sz="0" w:space="0" w:color="auto"/>
        <w:right w:val="none" w:sz="0" w:space="0" w:color="auto"/>
      </w:divBdr>
    </w:div>
    <w:div w:id="845173112">
      <w:bodyDiv w:val="1"/>
      <w:marLeft w:val="0"/>
      <w:marRight w:val="0"/>
      <w:marTop w:val="0"/>
      <w:marBottom w:val="0"/>
      <w:divBdr>
        <w:top w:val="none" w:sz="0" w:space="0" w:color="auto"/>
        <w:left w:val="none" w:sz="0" w:space="0" w:color="auto"/>
        <w:bottom w:val="none" w:sz="0" w:space="0" w:color="auto"/>
        <w:right w:val="none" w:sz="0" w:space="0" w:color="auto"/>
      </w:divBdr>
    </w:div>
    <w:div w:id="889263703">
      <w:bodyDiv w:val="1"/>
      <w:marLeft w:val="0"/>
      <w:marRight w:val="0"/>
      <w:marTop w:val="0"/>
      <w:marBottom w:val="0"/>
      <w:divBdr>
        <w:top w:val="none" w:sz="0" w:space="0" w:color="auto"/>
        <w:left w:val="none" w:sz="0" w:space="0" w:color="auto"/>
        <w:bottom w:val="none" w:sz="0" w:space="0" w:color="auto"/>
        <w:right w:val="none" w:sz="0" w:space="0" w:color="auto"/>
      </w:divBdr>
    </w:div>
    <w:div w:id="891384346">
      <w:bodyDiv w:val="1"/>
      <w:marLeft w:val="0"/>
      <w:marRight w:val="0"/>
      <w:marTop w:val="0"/>
      <w:marBottom w:val="0"/>
      <w:divBdr>
        <w:top w:val="none" w:sz="0" w:space="0" w:color="auto"/>
        <w:left w:val="none" w:sz="0" w:space="0" w:color="auto"/>
        <w:bottom w:val="none" w:sz="0" w:space="0" w:color="auto"/>
        <w:right w:val="none" w:sz="0" w:space="0" w:color="auto"/>
      </w:divBdr>
    </w:div>
    <w:div w:id="900335626">
      <w:bodyDiv w:val="1"/>
      <w:marLeft w:val="0"/>
      <w:marRight w:val="0"/>
      <w:marTop w:val="0"/>
      <w:marBottom w:val="0"/>
      <w:divBdr>
        <w:top w:val="none" w:sz="0" w:space="0" w:color="auto"/>
        <w:left w:val="none" w:sz="0" w:space="0" w:color="auto"/>
        <w:bottom w:val="none" w:sz="0" w:space="0" w:color="auto"/>
        <w:right w:val="none" w:sz="0" w:space="0" w:color="auto"/>
      </w:divBdr>
    </w:div>
    <w:div w:id="910040905">
      <w:bodyDiv w:val="1"/>
      <w:marLeft w:val="0"/>
      <w:marRight w:val="0"/>
      <w:marTop w:val="0"/>
      <w:marBottom w:val="0"/>
      <w:divBdr>
        <w:top w:val="none" w:sz="0" w:space="0" w:color="auto"/>
        <w:left w:val="none" w:sz="0" w:space="0" w:color="auto"/>
        <w:bottom w:val="none" w:sz="0" w:space="0" w:color="auto"/>
        <w:right w:val="none" w:sz="0" w:space="0" w:color="auto"/>
      </w:divBdr>
    </w:div>
    <w:div w:id="916671201">
      <w:bodyDiv w:val="1"/>
      <w:marLeft w:val="0"/>
      <w:marRight w:val="0"/>
      <w:marTop w:val="0"/>
      <w:marBottom w:val="0"/>
      <w:divBdr>
        <w:top w:val="none" w:sz="0" w:space="0" w:color="auto"/>
        <w:left w:val="none" w:sz="0" w:space="0" w:color="auto"/>
        <w:bottom w:val="none" w:sz="0" w:space="0" w:color="auto"/>
        <w:right w:val="none" w:sz="0" w:space="0" w:color="auto"/>
      </w:divBdr>
    </w:div>
    <w:div w:id="922832796">
      <w:bodyDiv w:val="1"/>
      <w:marLeft w:val="0"/>
      <w:marRight w:val="0"/>
      <w:marTop w:val="0"/>
      <w:marBottom w:val="0"/>
      <w:divBdr>
        <w:top w:val="none" w:sz="0" w:space="0" w:color="auto"/>
        <w:left w:val="none" w:sz="0" w:space="0" w:color="auto"/>
        <w:bottom w:val="none" w:sz="0" w:space="0" w:color="auto"/>
        <w:right w:val="none" w:sz="0" w:space="0" w:color="auto"/>
      </w:divBdr>
    </w:div>
    <w:div w:id="930703382">
      <w:bodyDiv w:val="1"/>
      <w:marLeft w:val="0"/>
      <w:marRight w:val="0"/>
      <w:marTop w:val="0"/>
      <w:marBottom w:val="0"/>
      <w:divBdr>
        <w:top w:val="none" w:sz="0" w:space="0" w:color="auto"/>
        <w:left w:val="none" w:sz="0" w:space="0" w:color="auto"/>
        <w:bottom w:val="none" w:sz="0" w:space="0" w:color="auto"/>
        <w:right w:val="none" w:sz="0" w:space="0" w:color="auto"/>
      </w:divBdr>
    </w:div>
    <w:div w:id="958681757">
      <w:bodyDiv w:val="1"/>
      <w:marLeft w:val="0"/>
      <w:marRight w:val="0"/>
      <w:marTop w:val="0"/>
      <w:marBottom w:val="0"/>
      <w:divBdr>
        <w:top w:val="none" w:sz="0" w:space="0" w:color="auto"/>
        <w:left w:val="none" w:sz="0" w:space="0" w:color="auto"/>
        <w:bottom w:val="none" w:sz="0" w:space="0" w:color="auto"/>
        <w:right w:val="none" w:sz="0" w:space="0" w:color="auto"/>
      </w:divBdr>
    </w:div>
    <w:div w:id="961113596">
      <w:bodyDiv w:val="1"/>
      <w:marLeft w:val="0"/>
      <w:marRight w:val="0"/>
      <w:marTop w:val="0"/>
      <w:marBottom w:val="0"/>
      <w:divBdr>
        <w:top w:val="none" w:sz="0" w:space="0" w:color="auto"/>
        <w:left w:val="none" w:sz="0" w:space="0" w:color="auto"/>
        <w:bottom w:val="none" w:sz="0" w:space="0" w:color="auto"/>
        <w:right w:val="none" w:sz="0" w:space="0" w:color="auto"/>
      </w:divBdr>
    </w:div>
    <w:div w:id="983513108">
      <w:bodyDiv w:val="1"/>
      <w:marLeft w:val="0"/>
      <w:marRight w:val="0"/>
      <w:marTop w:val="0"/>
      <w:marBottom w:val="0"/>
      <w:divBdr>
        <w:top w:val="none" w:sz="0" w:space="0" w:color="auto"/>
        <w:left w:val="none" w:sz="0" w:space="0" w:color="auto"/>
        <w:bottom w:val="none" w:sz="0" w:space="0" w:color="auto"/>
        <w:right w:val="none" w:sz="0" w:space="0" w:color="auto"/>
      </w:divBdr>
    </w:div>
    <w:div w:id="1001397199">
      <w:bodyDiv w:val="1"/>
      <w:marLeft w:val="0"/>
      <w:marRight w:val="0"/>
      <w:marTop w:val="0"/>
      <w:marBottom w:val="0"/>
      <w:divBdr>
        <w:top w:val="none" w:sz="0" w:space="0" w:color="auto"/>
        <w:left w:val="none" w:sz="0" w:space="0" w:color="auto"/>
        <w:bottom w:val="none" w:sz="0" w:space="0" w:color="auto"/>
        <w:right w:val="none" w:sz="0" w:space="0" w:color="auto"/>
      </w:divBdr>
    </w:div>
    <w:div w:id="1008482943">
      <w:bodyDiv w:val="1"/>
      <w:marLeft w:val="0"/>
      <w:marRight w:val="0"/>
      <w:marTop w:val="0"/>
      <w:marBottom w:val="0"/>
      <w:divBdr>
        <w:top w:val="none" w:sz="0" w:space="0" w:color="auto"/>
        <w:left w:val="none" w:sz="0" w:space="0" w:color="auto"/>
        <w:bottom w:val="none" w:sz="0" w:space="0" w:color="auto"/>
        <w:right w:val="none" w:sz="0" w:space="0" w:color="auto"/>
      </w:divBdr>
    </w:div>
    <w:div w:id="1016732540">
      <w:bodyDiv w:val="1"/>
      <w:marLeft w:val="0"/>
      <w:marRight w:val="0"/>
      <w:marTop w:val="0"/>
      <w:marBottom w:val="0"/>
      <w:divBdr>
        <w:top w:val="none" w:sz="0" w:space="0" w:color="auto"/>
        <w:left w:val="none" w:sz="0" w:space="0" w:color="auto"/>
        <w:bottom w:val="none" w:sz="0" w:space="0" w:color="auto"/>
        <w:right w:val="none" w:sz="0" w:space="0" w:color="auto"/>
      </w:divBdr>
    </w:div>
    <w:div w:id="1027020709">
      <w:bodyDiv w:val="1"/>
      <w:marLeft w:val="0"/>
      <w:marRight w:val="0"/>
      <w:marTop w:val="0"/>
      <w:marBottom w:val="0"/>
      <w:divBdr>
        <w:top w:val="none" w:sz="0" w:space="0" w:color="auto"/>
        <w:left w:val="none" w:sz="0" w:space="0" w:color="auto"/>
        <w:bottom w:val="none" w:sz="0" w:space="0" w:color="auto"/>
        <w:right w:val="none" w:sz="0" w:space="0" w:color="auto"/>
      </w:divBdr>
    </w:div>
    <w:div w:id="1059858735">
      <w:bodyDiv w:val="1"/>
      <w:marLeft w:val="0"/>
      <w:marRight w:val="0"/>
      <w:marTop w:val="0"/>
      <w:marBottom w:val="0"/>
      <w:divBdr>
        <w:top w:val="none" w:sz="0" w:space="0" w:color="auto"/>
        <w:left w:val="none" w:sz="0" w:space="0" w:color="auto"/>
        <w:bottom w:val="none" w:sz="0" w:space="0" w:color="auto"/>
        <w:right w:val="none" w:sz="0" w:space="0" w:color="auto"/>
      </w:divBdr>
    </w:div>
    <w:div w:id="1063984226">
      <w:bodyDiv w:val="1"/>
      <w:marLeft w:val="0"/>
      <w:marRight w:val="0"/>
      <w:marTop w:val="0"/>
      <w:marBottom w:val="0"/>
      <w:divBdr>
        <w:top w:val="none" w:sz="0" w:space="0" w:color="auto"/>
        <w:left w:val="none" w:sz="0" w:space="0" w:color="auto"/>
        <w:bottom w:val="none" w:sz="0" w:space="0" w:color="auto"/>
        <w:right w:val="none" w:sz="0" w:space="0" w:color="auto"/>
      </w:divBdr>
    </w:div>
    <w:div w:id="1066606322">
      <w:bodyDiv w:val="1"/>
      <w:marLeft w:val="0"/>
      <w:marRight w:val="0"/>
      <w:marTop w:val="0"/>
      <w:marBottom w:val="0"/>
      <w:divBdr>
        <w:top w:val="none" w:sz="0" w:space="0" w:color="auto"/>
        <w:left w:val="none" w:sz="0" w:space="0" w:color="auto"/>
        <w:bottom w:val="none" w:sz="0" w:space="0" w:color="auto"/>
        <w:right w:val="none" w:sz="0" w:space="0" w:color="auto"/>
      </w:divBdr>
    </w:div>
    <w:div w:id="1106802382">
      <w:bodyDiv w:val="1"/>
      <w:marLeft w:val="0"/>
      <w:marRight w:val="0"/>
      <w:marTop w:val="0"/>
      <w:marBottom w:val="0"/>
      <w:divBdr>
        <w:top w:val="none" w:sz="0" w:space="0" w:color="auto"/>
        <w:left w:val="none" w:sz="0" w:space="0" w:color="auto"/>
        <w:bottom w:val="none" w:sz="0" w:space="0" w:color="auto"/>
        <w:right w:val="none" w:sz="0" w:space="0" w:color="auto"/>
      </w:divBdr>
    </w:div>
    <w:div w:id="1110200011">
      <w:bodyDiv w:val="1"/>
      <w:marLeft w:val="0"/>
      <w:marRight w:val="0"/>
      <w:marTop w:val="0"/>
      <w:marBottom w:val="0"/>
      <w:divBdr>
        <w:top w:val="none" w:sz="0" w:space="0" w:color="auto"/>
        <w:left w:val="none" w:sz="0" w:space="0" w:color="auto"/>
        <w:bottom w:val="none" w:sz="0" w:space="0" w:color="auto"/>
        <w:right w:val="none" w:sz="0" w:space="0" w:color="auto"/>
      </w:divBdr>
    </w:div>
    <w:div w:id="1124688035">
      <w:bodyDiv w:val="1"/>
      <w:marLeft w:val="0"/>
      <w:marRight w:val="0"/>
      <w:marTop w:val="0"/>
      <w:marBottom w:val="0"/>
      <w:divBdr>
        <w:top w:val="none" w:sz="0" w:space="0" w:color="auto"/>
        <w:left w:val="none" w:sz="0" w:space="0" w:color="auto"/>
        <w:bottom w:val="none" w:sz="0" w:space="0" w:color="auto"/>
        <w:right w:val="none" w:sz="0" w:space="0" w:color="auto"/>
      </w:divBdr>
    </w:div>
    <w:div w:id="1133407142">
      <w:bodyDiv w:val="1"/>
      <w:marLeft w:val="0"/>
      <w:marRight w:val="0"/>
      <w:marTop w:val="0"/>
      <w:marBottom w:val="0"/>
      <w:divBdr>
        <w:top w:val="none" w:sz="0" w:space="0" w:color="auto"/>
        <w:left w:val="none" w:sz="0" w:space="0" w:color="auto"/>
        <w:bottom w:val="none" w:sz="0" w:space="0" w:color="auto"/>
        <w:right w:val="none" w:sz="0" w:space="0" w:color="auto"/>
      </w:divBdr>
    </w:div>
    <w:div w:id="1152024350">
      <w:bodyDiv w:val="1"/>
      <w:marLeft w:val="0"/>
      <w:marRight w:val="0"/>
      <w:marTop w:val="0"/>
      <w:marBottom w:val="0"/>
      <w:divBdr>
        <w:top w:val="none" w:sz="0" w:space="0" w:color="auto"/>
        <w:left w:val="none" w:sz="0" w:space="0" w:color="auto"/>
        <w:bottom w:val="none" w:sz="0" w:space="0" w:color="auto"/>
        <w:right w:val="none" w:sz="0" w:space="0" w:color="auto"/>
      </w:divBdr>
    </w:div>
    <w:div w:id="1156140679">
      <w:bodyDiv w:val="1"/>
      <w:marLeft w:val="0"/>
      <w:marRight w:val="0"/>
      <w:marTop w:val="0"/>
      <w:marBottom w:val="0"/>
      <w:divBdr>
        <w:top w:val="none" w:sz="0" w:space="0" w:color="auto"/>
        <w:left w:val="none" w:sz="0" w:space="0" w:color="auto"/>
        <w:bottom w:val="none" w:sz="0" w:space="0" w:color="auto"/>
        <w:right w:val="none" w:sz="0" w:space="0" w:color="auto"/>
      </w:divBdr>
    </w:div>
    <w:div w:id="1162739814">
      <w:bodyDiv w:val="1"/>
      <w:marLeft w:val="0"/>
      <w:marRight w:val="0"/>
      <w:marTop w:val="0"/>
      <w:marBottom w:val="0"/>
      <w:divBdr>
        <w:top w:val="none" w:sz="0" w:space="0" w:color="auto"/>
        <w:left w:val="none" w:sz="0" w:space="0" w:color="auto"/>
        <w:bottom w:val="none" w:sz="0" w:space="0" w:color="auto"/>
        <w:right w:val="none" w:sz="0" w:space="0" w:color="auto"/>
      </w:divBdr>
    </w:div>
    <w:div w:id="1182278195">
      <w:bodyDiv w:val="1"/>
      <w:marLeft w:val="0"/>
      <w:marRight w:val="0"/>
      <w:marTop w:val="0"/>
      <w:marBottom w:val="0"/>
      <w:divBdr>
        <w:top w:val="none" w:sz="0" w:space="0" w:color="auto"/>
        <w:left w:val="none" w:sz="0" w:space="0" w:color="auto"/>
        <w:bottom w:val="none" w:sz="0" w:space="0" w:color="auto"/>
        <w:right w:val="none" w:sz="0" w:space="0" w:color="auto"/>
      </w:divBdr>
    </w:div>
    <w:div w:id="1228150396">
      <w:bodyDiv w:val="1"/>
      <w:marLeft w:val="0"/>
      <w:marRight w:val="0"/>
      <w:marTop w:val="0"/>
      <w:marBottom w:val="0"/>
      <w:divBdr>
        <w:top w:val="none" w:sz="0" w:space="0" w:color="auto"/>
        <w:left w:val="none" w:sz="0" w:space="0" w:color="auto"/>
        <w:bottom w:val="none" w:sz="0" w:space="0" w:color="auto"/>
        <w:right w:val="none" w:sz="0" w:space="0" w:color="auto"/>
      </w:divBdr>
    </w:div>
    <w:div w:id="1229265882">
      <w:bodyDiv w:val="1"/>
      <w:marLeft w:val="0"/>
      <w:marRight w:val="0"/>
      <w:marTop w:val="0"/>
      <w:marBottom w:val="0"/>
      <w:divBdr>
        <w:top w:val="none" w:sz="0" w:space="0" w:color="auto"/>
        <w:left w:val="none" w:sz="0" w:space="0" w:color="auto"/>
        <w:bottom w:val="none" w:sz="0" w:space="0" w:color="auto"/>
        <w:right w:val="none" w:sz="0" w:space="0" w:color="auto"/>
      </w:divBdr>
    </w:div>
    <w:div w:id="1245577429">
      <w:bodyDiv w:val="1"/>
      <w:marLeft w:val="0"/>
      <w:marRight w:val="0"/>
      <w:marTop w:val="0"/>
      <w:marBottom w:val="0"/>
      <w:divBdr>
        <w:top w:val="none" w:sz="0" w:space="0" w:color="auto"/>
        <w:left w:val="none" w:sz="0" w:space="0" w:color="auto"/>
        <w:bottom w:val="none" w:sz="0" w:space="0" w:color="auto"/>
        <w:right w:val="none" w:sz="0" w:space="0" w:color="auto"/>
      </w:divBdr>
    </w:div>
    <w:div w:id="1261526607">
      <w:bodyDiv w:val="1"/>
      <w:marLeft w:val="0"/>
      <w:marRight w:val="0"/>
      <w:marTop w:val="0"/>
      <w:marBottom w:val="0"/>
      <w:divBdr>
        <w:top w:val="none" w:sz="0" w:space="0" w:color="auto"/>
        <w:left w:val="none" w:sz="0" w:space="0" w:color="auto"/>
        <w:bottom w:val="none" w:sz="0" w:space="0" w:color="auto"/>
        <w:right w:val="none" w:sz="0" w:space="0" w:color="auto"/>
      </w:divBdr>
    </w:div>
    <w:div w:id="1265461635">
      <w:bodyDiv w:val="1"/>
      <w:marLeft w:val="0"/>
      <w:marRight w:val="0"/>
      <w:marTop w:val="0"/>
      <w:marBottom w:val="0"/>
      <w:divBdr>
        <w:top w:val="none" w:sz="0" w:space="0" w:color="auto"/>
        <w:left w:val="none" w:sz="0" w:space="0" w:color="auto"/>
        <w:bottom w:val="none" w:sz="0" w:space="0" w:color="auto"/>
        <w:right w:val="none" w:sz="0" w:space="0" w:color="auto"/>
      </w:divBdr>
    </w:div>
    <w:div w:id="1281959521">
      <w:bodyDiv w:val="1"/>
      <w:marLeft w:val="0"/>
      <w:marRight w:val="0"/>
      <w:marTop w:val="0"/>
      <w:marBottom w:val="0"/>
      <w:divBdr>
        <w:top w:val="none" w:sz="0" w:space="0" w:color="auto"/>
        <w:left w:val="none" w:sz="0" w:space="0" w:color="auto"/>
        <w:bottom w:val="none" w:sz="0" w:space="0" w:color="auto"/>
        <w:right w:val="none" w:sz="0" w:space="0" w:color="auto"/>
      </w:divBdr>
    </w:div>
    <w:div w:id="1291861852">
      <w:bodyDiv w:val="1"/>
      <w:marLeft w:val="0"/>
      <w:marRight w:val="0"/>
      <w:marTop w:val="0"/>
      <w:marBottom w:val="0"/>
      <w:divBdr>
        <w:top w:val="none" w:sz="0" w:space="0" w:color="auto"/>
        <w:left w:val="none" w:sz="0" w:space="0" w:color="auto"/>
        <w:bottom w:val="none" w:sz="0" w:space="0" w:color="auto"/>
        <w:right w:val="none" w:sz="0" w:space="0" w:color="auto"/>
      </w:divBdr>
    </w:div>
    <w:div w:id="1296332067">
      <w:bodyDiv w:val="1"/>
      <w:marLeft w:val="0"/>
      <w:marRight w:val="0"/>
      <w:marTop w:val="0"/>
      <w:marBottom w:val="0"/>
      <w:divBdr>
        <w:top w:val="none" w:sz="0" w:space="0" w:color="auto"/>
        <w:left w:val="none" w:sz="0" w:space="0" w:color="auto"/>
        <w:bottom w:val="none" w:sz="0" w:space="0" w:color="auto"/>
        <w:right w:val="none" w:sz="0" w:space="0" w:color="auto"/>
      </w:divBdr>
    </w:div>
    <w:div w:id="1325476669">
      <w:bodyDiv w:val="1"/>
      <w:marLeft w:val="0"/>
      <w:marRight w:val="0"/>
      <w:marTop w:val="0"/>
      <w:marBottom w:val="0"/>
      <w:divBdr>
        <w:top w:val="none" w:sz="0" w:space="0" w:color="auto"/>
        <w:left w:val="none" w:sz="0" w:space="0" w:color="auto"/>
        <w:bottom w:val="none" w:sz="0" w:space="0" w:color="auto"/>
        <w:right w:val="none" w:sz="0" w:space="0" w:color="auto"/>
      </w:divBdr>
    </w:div>
    <w:div w:id="1333600696">
      <w:bodyDiv w:val="1"/>
      <w:marLeft w:val="0"/>
      <w:marRight w:val="0"/>
      <w:marTop w:val="0"/>
      <w:marBottom w:val="0"/>
      <w:divBdr>
        <w:top w:val="none" w:sz="0" w:space="0" w:color="auto"/>
        <w:left w:val="none" w:sz="0" w:space="0" w:color="auto"/>
        <w:bottom w:val="none" w:sz="0" w:space="0" w:color="auto"/>
        <w:right w:val="none" w:sz="0" w:space="0" w:color="auto"/>
      </w:divBdr>
    </w:div>
    <w:div w:id="1338387705">
      <w:bodyDiv w:val="1"/>
      <w:marLeft w:val="0"/>
      <w:marRight w:val="0"/>
      <w:marTop w:val="0"/>
      <w:marBottom w:val="0"/>
      <w:divBdr>
        <w:top w:val="none" w:sz="0" w:space="0" w:color="auto"/>
        <w:left w:val="none" w:sz="0" w:space="0" w:color="auto"/>
        <w:bottom w:val="none" w:sz="0" w:space="0" w:color="auto"/>
        <w:right w:val="none" w:sz="0" w:space="0" w:color="auto"/>
      </w:divBdr>
    </w:div>
    <w:div w:id="1340695611">
      <w:bodyDiv w:val="1"/>
      <w:marLeft w:val="0"/>
      <w:marRight w:val="0"/>
      <w:marTop w:val="0"/>
      <w:marBottom w:val="0"/>
      <w:divBdr>
        <w:top w:val="none" w:sz="0" w:space="0" w:color="auto"/>
        <w:left w:val="none" w:sz="0" w:space="0" w:color="auto"/>
        <w:bottom w:val="none" w:sz="0" w:space="0" w:color="auto"/>
        <w:right w:val="none" w:sz="0" w:space="0" w:color="auto"/>
      </w:divBdr>
    </w:div>
    <w:div w:id="1341855610">
      <w:bodyDiv w:val="1"/>
      <w:marLeft w:val="0"/>
      <w:marRight w:val="0"/>
      <w:marTop w:val="0"/>
      <w:marBottom w:val="0"/>
      <w:divBdr>
        <w:top w:val="none" w:sz="0" w:space="0" w:color="auto"/>
        <w:left w:val="none" w:sz="0" w:space="0" w:color="auto"/>
        <w:bottom w:val="none" w:sz="0" w:space="0" w:color="auto"/>
        <w:right w:val="none" w:sz="0" w:space="0" w:color="auto"/>
      </w:divBdr>
    </w:div>
    <w:div w:id="1367871779">
      <w:bodyDiv w:val="1"/>
      <w:marLeft w:val="0"/>
      <w:marRight w:val="0"/>
      <w:marTop w:val="0"/>
      <w:marBottom w:val="0"/>
      <w:divBdr>
        <w:top w:val="none" w:sz="0" w:space="0" w:color="auto"/>
        <w:left w:val="none" w:sz="0" w:space="0" w:color="auto"/>
        <w:bottom w:val="none" w:sz="0" w:space="0" w:color="auto"/>
        <w:right w:val="none" w:sz="0" w:space="0" w:color="auto"/>
      </w:divBdr>
    </w:div>
    <w:div w:id="1393846099">
      <w:bodyDiv w:val="1"/>
      <w:marLeft w:val="0"/>
      <w:marRight w:val="0"/>
      <w:marTop w:val="0"/>
      <w:marBottom w:val="0"/>
      <w:divBdr>
        <w:top w:val="none" w:sz="0" w:space="0" w:color="auto"/>
        <w:left w:val="none" w:sz="0" w:space="0" w:color="auto"/>
        <w:bottom w:val="none" w:sz="0" w:space="0" w:color="auto"/>
        <w:right w:val="none" w:sz="0" w:space="0" w:color="auto"/>
      </w:divBdr>
    </w:div>
    <w:div w:id="1461339911">
      <w:bodyDiv w:val="1"/>
      <w:marLeft w:val="0"/>
      <w:marRight w:val="0"/>
      <w:marTop w:val="0"/>
      <w:marBottom w:val="0"/>
      <w:divBdr>
        <w:top w:val="none" w:sz="0" w:space="0" w:color="auto"/>
        <w:left w:val="none" w:sz="0" w:space="0" w:color="auto"/>
        <w:bottom w:val="none" w:sz="0" w:space="0" w:color="auto"/>
        <w:right w:val="none" w:sz="0" w:space="0" w:color="auto"/>
      </w:divBdr>
    </w:div>
    <w:div w:id="1466266730">
      <w:bodyDiv w:val="1"/>
      <w:marLeft w:val="0"/>
      <w:marRight w:val="0"/>
      <w:marTop w:val="0"/>
      <w:marBottom w:val="0"/>
      <w:divBdr>
        <w:top w:val="none" w:sz="0" w:space="0" w:color="auto"/>
        <w:left w:val="none" w:sz="0" w:space="0" w:color="auto"/>
        <w:bottom w:val="none" w:sz="0" w:space="0" w:color="auto"/>
        <w:right w:val="none" w:sz="0" w:space="0" w:color="auto"/>
      </w:divBdr>
    </w:div>
    <w:div w:id="1489786316">
      <w:bodyDiv w:val="1"/>
      <w:marLeft w:val="0"/>
      <w:marRight w:val="0"/>
      <w:marTop w:val="0"/>
      <w:marBottom w:val="0"/>
      <w:divBdr>
        <w:top w:val="none" w:sz="0" w:space="0" w:color="auto"/>
        <w:left w:val="none" w:sz="0" w:space="0" w:color="auto"/>
        <w:bottom w:val="none" w:sz="0" w:space="0" w:color="auto"/>
        <w:right w:val="none" w:sz="0" w:space="0" w:color="auto"/>
      </w:divBdr>
    </w:div>
    <w:div w:id="1518619628">
      <w:bodyDiv w:val="1"/>
      <w:marLeft w:val="0"/>
      <w:marRight w:val="0"/>
      <w:marTop w:val="0"/>
      <w:marBottom w:val="0"/>
      <w:divBdr>
        <w:top w:val="none" w:sz="0" w:space="0" w:color="auto"/>
        <w:left w:val="none" w:sz="0" w:space="0" w:color="auto"/>
        <w:bottom w:val="none" w:sz="0" w:space="0" w:color="auto"/>
        <w:right w:val="none" w:sz="0" w:space="0" w:color="auto"/>
      </w:divBdr>
    </w:div>
    <w:div w:id="1531525981">
      <w:bodyDiv w:val="1"/>
      <w:marLeft w:val="0"/>
      <w:marRight w:val="0"/>
      <w:marTop w:val="0"/>
      <w:marBottom w:val="0"/>
      <w:divBdr>
        <w:top w:val="none" w:sz="0" w:space="0" w:color="auto"/>
        <w:left w:val="none" w:sz="0" w:space="0" w:color="auto"/>
        <w:bottom w:val="none" w:sz="0" w:space="0" w:color="auto"/>
        <w:right w:val="none" w:sz="0" w:space="0" w:color="auto"/>
      </w:divBdr>
    </w:div>
    <w:div w:id="1531915813">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47908441">
      <w:bodyDiv w:val="1"/>
      <w:marLeft w:val="0"/>
      <w:marRight w:val="0"/>
      <w:marTop w:val="0"/>
      <w:marBottom w:val="0"/>
      <w:divBdr>
        <w:top w:val="none" w:sz="0" w:space="0" w:color="auto"/>
        <w:left w:val="none" w:sz="0" w:space="0" w:color="auto"/>
        <w:bottom w:val="none" w:sz="0" w:space="0" w:color="auto"/>
        <w:right w:val="none" w:sz="0" w:space="0" w:color="auto"/>
      </w:divBdr>
    </w:div>
    <w:div w:id="1581020009">
      <w:bodyDiv w:val="1"/>
      <w:marLeft w:val="0"/>
      <w:marRight w:val="0"/>
      <w:marTop w:val="0"/>
      <w:marBottom w:val="0"/>
      <w:divBdr>
        <w:top w:val="none" w:sz="0" w:space="0" w:color="auto"/>
        <w:left w:val="none" w:sz="0" w:space="0" w:color="auto"/>
        <w:bottom w:val="none" w:sz="0" w:space="0" w:color="auto"/>
        <w:right w:val="none" w:sz="0" w:space="0" w:color="auto"/>
      </w:divBdr>
    </w:div>
    <w:div w:id="1593902525">
      <w:bodyDiv w:val="1"/>
      <w:marLeft w:val="0"/>
      <w:marRight w:val="0"/>
      <w:marTop w:val="0"/>
      <w:marBottom w:val="0"/>
      <w:divBdr>
        <w:top w:val="none" w:sz="0" w:space="0" w:color="auto"/>
        <w:left w:val="none" w:sz="0" w:space="0" w:color="auto"/>
        <w:bottom w:val="none" w:sz="0" w:space="0" w:color="auto"/>
        <w:right w:val="none" w:sz="0" w:space="0" w:color="auto"/>
      </w:divBdr>
    </w:div>
    <w:div w:id="1597060765">
      <w:bodyDiv w:val="1"/>
      <w:marLeft w:val="0"/>
      <w:marRight w:val="0"/>
      <w:marTop w:val="0"/>
      <w:marBottom w:val="0"/>
      <w:divBdr>
        <w:top w:val="none" w:sz="0" w:space="0" w:color="auto"/>
        <w:left w:val="none" w:sz="0" w:space="0" w:color="auto"/>
        <w:bottom w:val="none" w:sz="0" w:space="0" w:color="auto"/>
        <w:right w:val="none" w:sz="0" w:space="0" w:color="auto"/>
      </w:divBdr>
    </w:div>
    <w:div w:id="1622607760">
      <w:bodyDiv w:val="1"/>
      <w:marLeft w:val="0"/>
      <w:marRight w:val="0"/>
      <w:marTop w:val="0"/>
      <w:marBottom w:val="0"/>
      <w:divBdr>
        <w:top w:val="none" w:sz="0" w:space="0" w:color="auto"/>
        <w:left w:val="none" w:sz="0" w:space="0" w:color="auto"/>
        <w:bottom w:val="none" w:sz="0" w:space="0" w:color="auto"/>
        <w:right w:val="none" w:sz="0" w:space="0" w:color="auto"/>
      </w:divBdr>
    </w:div>
    <w:div w:id="1625037853">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4257178">
      <w:bodyDiv w:val="1"/>
      <w:marLeft w:val="0"/>
      <w:marRight w:val="0"/>
      <w:marTop w:val="0"/>
      <w:marBottom w:val="0"/>
      <w:divBdr>
        <w:top w:val="none" w:sz="0" w:space="0" w:color="auto"/>
        <w:left w:val="none" w:sz="0" w:space="0" w:color="auto"/>
        <w:bottom w:val="none" w:sz="0" w:space="0" w:color="auto"/>
        <w:right w:val="none" w:sz="0" w:space="0" w:color="auto"/>
      </w:divBdr>
    </w:div>
    <w:div w:id="1695301769">
      <w:bodyDiv w:val="1"/>
      <w:marLeft w:val="0"/>
      <w:marRight w:val="0"/>
      <w:marTop w:val="0"/>
      <w:marBottom w:val="0"/>
      <w:divBdr>
        <w:top w:val="none" w:sz="0" w:space="0" w:color="auto"/>
        <w:left w:val="none" w:sz="0" w:space="0" w:color="auto"/>
        <w:bottom w:val="none" w:sz="0" w:space="0" w:color="auto"/>
        <w:right w:val="none" w:sz="0" w:space="0" w:color="auto"/>
      </w:divBdr>
    </w:div>
    <w:div w:id="1704332048">
      <w:bodyDiv w:val="1"/>
      <w:marLeft w:val="0"/>
      <w:marRight w:val="0"/>
      <w:marTop w:val="0"/>
      <w:marBottom w:val="0"/>
      <w:divBdr>
        <w:top w:val="none" w:sz="0" w:space="0" w:color="auto"/>
        <w:left w:val="none" w:sz="0" w:space="0" w:color="auto"/>
        <w:bottom w:val="none" w:sz="0" w:space="0" w:color="auto"/>
        <w:right w:val="none" w:sz="0" w:space="0" w:color="auto"/>
      </w:divBdr>
    </w:div>
    <w:div w:id="1708140618">
      <w:bodyDiv w:val="1"/>
      <w:marLeft w:val="0"/>
      <w:marRight w:val="0"/>
      <w:marTop w:val="0"/>
      <w:marBottom w:val="0"/>
      <w:divBdr>
        <w:top w:val="none" w:sz="0" w:space="0" w:color="auto"/>
        <w:left w:val="none" w:sz="0" w:space="0" w:color="auto"/>
        <w:bottom w:val="none" w:sz="0" w:space="0" w:color="auto"/>
        <w:right w:val="none" w:sz="0" w:space="0" w:color="auto"/>
      </w:divBdr>
    </w:div>
    <w:div w:id="1729107189">
      <w:bodyDiv w:val="1"/>
      <w:marLeft w:val="0"/>
      <w:marRight w:val="0"/>
      <w:marTop w:val="0"/>
      <w:marBottom w:val="0"/>
      <w:divBdr>
        <w:top w:val="none" w:sz="0" w:space="0" w:color="auto"/>
        <w:left w:val="none" w:sz="0" w:space="0" w:color="auto"/>
        <w:bottom w:val="none" w:sz="0" w:space="0" w:color="auto"/>
        <w:right w:val="none" w:sz="0" w:space="0" w:color="auto"/>
      </w:divBdr>
    </w:div>
    <w:div w:id="1734619994">
      <w:bodyDiv w:val="1"/>
      <w:marLeft w:val="0"/>
      <w:marRight w:val="0"/>
      <w:marTop w:val="0"/>
      <w:marBottom w:val="0"/>
      <w:divBdr>
        <w:top w:val="none" w:sz="0" w:space="0" w:color="auto"/>
        <w:left w:val="none" w:sz="0" w:space="0" w:color="auto"/>
        <w:bottom w:val="none" w:sz="0" w:space="0" w:color="auto"/>
        <w:right w:val="none" w:sz="0" w:space="0" w:color="auto"/>
      </w:divBdr>
    </w:div>
    <w:div w:id="1752850963">
      <w:bodyDiv w:val="1"/>
      <w:marLeft w:val="0"/>
      <w:marRight w:val="0"/>
      <w:marTop w:val="0"/>
      <w:marBottom w:val="0"/>
      <w:divBdr>
        <w:top w:val="none" w:sz="0" w:space="0" w:color="auto"/>
        <w:left w:val="none" w:sz="0" w:space="0" w:color="auto"/>
        <w:bottom w:val="none" w:sz="0" w:space="0" w:color="auto"/>
        <w:right w:val="none" w:sz="0" w:space="0" w:color="auto"/>
      </w:divBdr>
    </w:div>
    <w:div w:id="1800880861">
      <w:bodyDiv w:val="1"/>
      <w:marLeft w:val="0"/>
      <w:marRight w:val="0"/>
      <w:marTop w:val="0"/>
      <w:marBottom w:val="0"/>
      <w:divBdr>
        <w:top w:val="none" w:sz="0" w:space="0" w:color="auto"/>
        <w:left w:val="none" w:sz="0" w:space="0" w:color="auto"/>
        <w:bottom w:val="none" w:sz="0" w:space="0" w:color="auto"/>
        <w:right w:val="none" w:sz="0" w:space="0" w:color="auto"/>
      </w:divBdr>
    </w:div>
    <w:div w:id="1804927912">
      <w:bodyDiv w:val="1"/>
      <w:marLeft w:val="0"/>
      <w:marRight w:val="0"/>
      <w:marTop w:val="0"/>
      <w:marBottom w:val="0"/>
      <w:divBdr>
        <w:top w:val="none" w:sz="0" w:space="0" w:color="auto"/>
        <w:left w:val="none" w:sz="0" w:space="0" w:color="auto"/>
        <w:bottom w:val="none" w:sz="0" w:space="0" w:color="auto"/>
        <w:right w:val="none" w:sz="0" w:space="0" w:color="auto"/>
      </w:divBdr>
    </w:div>
    <w:div w:id="1805587067">
      <w:bodyDiv w:val="1"/>
      <w:marLeft w:val="0"/>
      <w:marRight w:val="0"/>
      <w:marTop w:val="0"/>
      <w:marBottom w:val="0"/>
      <w:divBdr>
        <w:top w:val="none" w:sz="0" w:space="0" w:color="auto"/>
        <w:left w:val="none" w:sz="0" w:space="0" w:color="auto"/>
        <w:bottom w:val="none" w:sz="0" w:space="0" w:color="auto"/>
        <w:right w:val="none" w:sz="0" w:space="0" w:color="auto"/>
      </w:divBdr>
    </w:div>
    <w:div w:id="1859851743">
      <w:bodyDiv w:val="1"/>
      <w:marLeft w:val="0"/>
      <w:marRight w:val="0"/>
      <w:marTop w:val="0"/>
      <w:marBottom w:val="0"/>
      <w:divBdr>
        <w:top w:val="none" w:sz="0" w:space="0" w:color="auto"/>
        <w:left w:val="none" w:sz="0" w:space="0" w:color="auto"/>
        <w:bottom w:val="none" w:sz="0" w:space="0" w:color="auto"/>
        <w:right w:val="none" w:sz="0" w:space="0" w:color="auto"/>
      </w:divBdr>
    </w:div>
    <w:div w:id="1869222147">
      <w:bodyDiv w:val="1"/>
      <w:marLeft w:val="0"/>
      <w:marRight w:val="0"/>
      <w:marTop w:val="0"/>
      <w:marBottom w:val="0"/>
      <w:divBdr>
        <w:top w:val="none" w:sz="0" w:space="0" w:color="auto"/>
        <w:left w:val="none" w:sz="0" w:space="0" w:color="auto"/>
        <w:bottom w:val="none" w:sz="0" w:space="0" w:color="auto"/>
        <w:right w:val="none" w:sz="0" w:space="0" w:color="auto"/>
      </w:divBdr>
      <w:divsChild>
        <w:div w:id="1714650330">
          <w:marLeft w:val="0"/>
          <w:marRight w:val="0"/>
          <w:marTop w:val="0"/>
          <w:marBottom w:val="0"/>
          <w:divBdr>
            <w:top w:val="none" w:sz="0" w:space="0" w:color="auto"/>
            <w:left w:val="none" w:sz="0" w:space="0" w:color="auto"/>
            <w:bottom w:val="none" w:sz="0" w:space="0" w:color="auto"/>
            <w:right w:val="none" w:sz="0" w:space="0" w:color="auto"/>
          </w:divBdr>
        </w:div>
        <w:div w:id="2113624420">
          <w:marLeft w:val="0"/>
          <w:marRight w:val="0"/>
          <w:marTop w:val="0"/>
          <w:marBottom w:val="0"/>
          <w:divBdr>
            <w:top w:val="none" w:sz="0" w:space="0" w:color="auto"/>
            <w:left w:val="none" w:sz="0" w:space="0" w:color="auto"/>
            <w:bottom w:val="none" w:sz="0" w:space="0" w:color="auto"/>
            <w:right w:val="none" w:sz="0" w:space="0" w:color="auto"/>
          </w:divBdr>
        </w:div>
      </w:divsChild>
    </w:div>
    <w:div w:id="1883900100">
      <w:bodyDiv w:val="1"/>
      <w:marLeft w:val="0"/>
      <w:marRight w:val="0"/>
      <w:marTop w:val="0"/>
      <w:marBottom w:val="0"/>
      <w:divBdr>
        <w:top w:val="none" w:sz="0" w:space="0" w:color="auto"/>
        <w:left w:val="none" w:sz="0" w:space="0" w:color="auto"/>
        <w:bottom w:val="none" w:sz="0" w:space="0" w:color="auto"/>
        <w:right w:val="none" w:sz="0" w:space="0" w:color="auto"/>
      </w:divBdr>
    </w:div>
    <w:div w:id="1914122816">
      <w:bodyDiv w:val="1"/>
      <w:marLeft w:val="0"/>
      <w:marRight w:val="0"/>
      <w:marTop w:val="0"/>
      <w:marBottom w:val="0"/>
      <w:divBdr>
        <w:top w:val="none" w:sz="0" w:space="0" w:color="auto"/>
        <w:left w:val="none" w:sz="0" w:space="0" w:color="auto"/>
        <w:bottom w:val="none" w:sz="0" w:space="0" w:color="auto"/>
        <w:right w:val="none" w:sz="0" w:space="0" w:color="auto"/>
      </w:divBdr>
    </w:div>
    <w:div w:id="1922174722">
      <w:bodyDiv w:val="1"/>
      <w:marLeft w:val="0"/>
      <w:marRight w:val="0"/>
      <w:marTop w:val="0"/>
      <w:marBottom w:val="0"/>
      <w:divBdr>
        <w:top w:val="none" w:sz="0" w:space="0" w:color="auto"/>
        <w:left w:val="none" w:sz="0" w:space="0" w:color="auto"/>
        <w:bottom w:val="none" w:sz="0" w:space="0" w:color="auto"/>
        <w:right w:val="none" w:sz="0" w:space="0" w:color="auto"/>
      </w:divBdr>
    </w:div>
    <w:div w:id="1925532288">
      <w:bodyDiv w:val="1"/>
      <w:marLeft w:val="0"/>
      <w:marRight w:val="0"/>
      <w:marTop w:val="0"/>
      <w:marBottom w:val="0"/>
      <w:divBdr>
        <w:top w:val="none" w:sz="0" w:space="0" w:color="auto"/>
        <w:left w:val="none" w:sz="0" w:space="0" w:color="auto"/>
        <w:bottom w:val="none" w:sz="0" w:space="0" w:color="auto"/>
        <w:right w:val="none" w:sz="0" w:space="0" w:color="auto"/>
      </w:divBdr>
    </w:div>
    <w:div w:id="1932424146">
      <w:bodyDiv w:val="1"/>
      <w:marLeft w:val="0"/>
      <w:marRight w:val="0"/>
      <w:marTop w:val="0"/>
      <w:marBottom w:val="0"/>
      <w:divBdr>
        <w:top w:val="none" w:sz="0" w:space="0" w:color="auto"/>
        <w:left w:val="none" w:sz="0" w:space="0" w:color="auto"/>
        <w:bottom w:val="none" w:sz="0" w:space="0" w:color="auto"/>
        <w:right w:val="none" w:sz="0" w:space="0" w:color="auto"/>
      </w:divBdr>
    </w:div>
    <w:div w:id="1932933301">
      <w:bodyDiv w:val="1"/>
      <w:marLeft w:val="0"/>
      <w:marRight w:val="0"/>
      <w:marTop w:val="0"/>
      <w:marBottom w:val="0"/>
      <w:divBdr>
        <w:top w:val="none" w:sz="0" w:space="0" w:color="auto"/>
        <w:left w:val="none" w:sz="0" w:space="0" w:color="auto"/>
        <w:bottom w:val="none" w:sz="0" w:space="0" w:color="auto"/>
        <w:right w:val="none" w:sz="0" w:space="0" w:color="auto"/>
      </w:divBdr>
    </w:div>
    <w:div w:id="1940024677">
      <w:bodyDiv w:val="1"/>
      <w:marLeft w:val="0"/>
      <w:marRight w:val="0"/>
      <w:marTop w:val="0"/>
      <w:marBottom w:val="0"/>
      <w:divBdr>
        <w:top w:val="none" w:sz="0" w:space="0" w:color="auto"/>
        <w:left w:val="none" w:sz="0" w:space="0" w:color="auto"/>
        <w:bottom w:val="none" w:sz="0" w:space="0" w:color="auto"/>
        <w:right w:val="none" w:sz="0" w:space="0" w:color="auto"/>
      </w:divBdr>
    </w:div>
    <w:div w:id="1959991871">
      <w:bodyDiv w:val="1"/>
      <w:marLeft w:val="0"/>
      <w:marRight w:val="0"/>
      <w:marTop w:val="0"/>
      <w:marBottom w:val="0"/>
      <w:divBdr>
        <w:top w:val="none" w:sz="0" w:space="0" w:color="auto"/>
        <w:left w:val="none" w:sz="0" w:space="0" w:color="auto"/>
        <w:bottom w:val="none" w:sz="0" w:space="0" w:color="auto"/>
        <w:right w:val="none" w:sz="0" w:space="0" w:color="auto"/>
      </w:divBdr>
    </w:div>
    <w:div w:id="1962107506">
      <w:bodyDiv w:val="1"/>
      <w:marLeft w:val="0"/>
      <w:marRight w:val="0"/>
      <w:marTop w:val="0"/>
      <w:marBottom w:val="0"/>
      <w:divBdr>
        <w:top w:val="none" w:sz="0" w:space="0" w:color="auto"/>
        <w:left w:val="none" w:sz="0" w:space="0" w:color="auto"/>
        <w:bottom w:val="none" w:sz="0" w:space="0" w:color="auto"/>
        <w:right w:val="none" w:sz="0" w:space="0" w:color="auto"/>
      </w:divBdr>
    </w:div>
    <w:div w:id="1971014173">
      <w:bodyDiv w:val="1"/>
      <w:marLeft w:val="0"/>
      <w:marRight w:val="0"/>
      <w:marTop w:val="0"/>
      <w:marBottom w:val="0"/>
      <w:divBdr>
        <w:top w:val="none" w:sz="0" w:space="0" w:color="auto"/>
        <w:left w:val="none" w:sz="0" w:space="0" w:color="auto"/>
        <w:bottom w:val="none" w:sz="0" w:space="0" w:color="auto"/>
        <w:right w:val="none" w:sz="0" w:space="0" w:color="auto"/>
      </w:divBdr>
    </w:div>
    <w:div w:id="1973752004">
      <w:bodyDiv w:val="1"/>
      <w:marLeft w:val="0"/>
      <w:marRight w:val="0"/>
      <w:marTop w:val="0"/>
      <w:marBottom w:val="0"/>
      <w:divBdr>
        <w:top w:val="none" w:sz="0" w:space="0" w:color="auto"/>
        <w:left w:val="none" w:sz="0" w:space="0" w:color="auto"/>
        <w:bottom w:val="none" w:sz="0" w:space="0" w:color="auto"/>
        <w:right w:val="none" w:sz="0" w:space="0" w:color="auto"/>
      </w:divBdr>
    </w:div>
    <w:div w:id="1974359679">
      <w:bodyDiv w:val="1"/>
      <w:marLeft w:val="0"/>
      <w:marRight w:val="0"/>
      <w:marTop w:val="0"/>
      <w:marBottom w:val="0"/>
      <w:divBdr>
        <w:top w:val="none" w:sz="0" w:space="0" w:color="auto"/>
        <w:left w:val="none" w:sz="0" w:space="0" w:color="auto"/>
        <w:bottom w:val="none" w:sz="0" w:space="0" w:color="auto"/>
        <w:right w:val="none" w:sz="0" w:space="0" w:color="auto"/>
      </w:divBdr>
    </w:div>
    <w:div w:id="1987855725">
      <w:bodyDiv w:val="1"/>
      <w:marLeft w:val="0"/>
      <w:marRight w:val="0"/>
      <w:marTop w:val="0"/>
      <w:marBottom w:val="0"/>
      <w:divBdr>
        <w:top w:val="none" w:sz="0" w:space="0" w:color="auto"/>
        <w:left w:val="none" w:sz="0" w:space="0" w:color="auto"/>
        <w:bottom w:val="none" w:sz="0" w:space="0" w:color="auto"/>
        <w:right w:val="none" w:sz="0" w:space="0" w:color="auto"/>
      </w:divBdr>
    </w:div>
    <w:div w:id="2008243562">
      <w:bodyDiv w:val="1"/>
      <w:marLeft w:val="0"/>
      <w:marRight w:val="0"/>
      <w:marTop w:val="0"/>
      <w:marBottom w:val="0"/>
      <w:divBdr>
        <w:top w:val="none" w:sz="0" w:space="0" w:color="auto"/>
        <w:left w:val="none" w:sz="0" w:space="0" w:color="auto"/>
        <w:bottom w:val="none" w:sz="0" w:space="0" w:color="auto"/>
        <w:right w:val="none" w:sz="0" w:space="0" w:color="auto"/>
      </w:divBdr>
    </w:div>
    <w:div w:id="2010014599">
      <w:bodyDiv w:val="1"/>
      <w:marLeft w:val="0"/>
      <w:marRight w:val="0"/>
      <w:marTop w:val="0"/>
      <w:marBottom w:val="0"/>
      <w:divBdr>
        <w:top w:val="none" w:sz="0" w:space="0" w:color="auto"/>
        <w:left w:val="none" w:sz="0" w:space="0" w:color="auto"/>
        <w:bottom w:val="none" w:sz="0" w:space="0" w:color="auto"/>
        <w:right w:val="none" w:sz="0" w:space="0" w:color="auto"/>
      </w:divBdr>
    </w:div>
    <w:div w:id="2018994080">
      <w:bodyDiv w:val="1"/>
      <w:marLeft w:val="0"/>
      <w:marRight w:val="0"/>
      <w:marTop w:val="0"/>
      <w:marBottom w:val="0"/>
      <w:divBdr>
        <w:top w:val="none" w:sz="0" w:space="0" w:color="auto"/>
        <w:left w:val="none" w:sz="0" w:space="0" w:color="auto"/>
        <w:bottom w:val="none" w:sz="0" w:space="0" w:color="auto"/>
        <w:right w:val="none" w:sz="0" w:space="0" w:color="auto"/>
      </w:divBdr>
    </w:div>
    <w:div w:id="2029867293">
      <w:bodyDiv w:val="1"/>
      <w:marLeft w:val="0"/>
      <w:marRight w:val="0"/>
      <w:marTop w:val="0"/>
      <w:marBottom w:val="0"/>
      <w:divBdr>
        <w:top w:val="none" w:sz="0" w:space="0" w:color="auto"/>
        <w:left w:val="none" w:sz="0" w:space="0" w:color="auto"/>
        <w:bottom w:val="none" w:sz="0" w:space="0" w:color="auto"/>
        <w:right w:val="none" w:sz="0" w:space="0" w:color="auto"/>
      </w:divBdr>
    </w:div>
    <w:div w:id="2031451760">
      <w:bodyDiv w:val="1"/>
      <w:marLeft w:val="0"/>
      <w:marRight w:val="0"/>
      <w:marTop w:val="0"/>
      <w:marBottom w:val="0"/>
      <w:divBdr>
        <w:top w:val="none" w:sz="0" w:space="0" w:color="auto"/>
        <w:left w:val="none" w:sz="0" w:space="0" w:color="auto"/>
        <w:bottom w:val="none" w:sz="0" w:space="0" w:color="auto"/>
        <w:right w:val="none" w:sz="0" w:space="0" w:color="auto"/>
      </w:divBdr>
    </w:div>
    <w:div w:id="2061322908">
      <w:bodyDiv w:val="1"/>
      <w:marLeft w:val="0"/>
      <w:marRight w:val="0"/>
      <w:marTop w:val="0"/>
      <w:marBottom w:val="0"/>
      <w:divBdr>
        <w:top w:val="none" w:sz="0" w:space="0" w:color="auto"/>
        <w:left w:val="none" w:sz="0" w:space="0" w:color="auto"/>
        <w:bottom w:val="none" w:sz="0" w:space="0" w:color="auto"/>
        <w:right w:val="none" w:sz="0" w:space="0" w:color="auto"/>
      </w:divBdr>
    </w:div>
    <w:div w:id="2064526023">
      <w:bodyDiv w:val="1"/>
      <w:marLeft w:val="0"/>
      <w:marRight w:val="0"/>
      <w:marTop w:val="0"/>
      <w:marBottom w:val="0"/>
      <w:divBdr>
        <w:top w:val="none" w:sz="0" w:space="0" w:color="auto"/>
        <w:left w:val="none" w:sz="0" w:space="0" w:color="auto"/>
        <w:bottom w:val="none" w:sz="0" w:space="0" w:color="auto"/>
        <w:right w:val="none" w:sz="0" w:space="0" w:color="auto"/>
      </w:divBdr>
    </w:div>
    <w:div w:id="2085370575">
      <w:bodyDiv w:val="1"/>
      <w:marLeft w:val="0"/>
      <w:marRight w:val="0"/>
      <w:marTop w:val="0"/>
      <w:marBottom w:val="0"/>
      <w:divBdr>
        <w:top w:val="none" w:sz="0" w:space="0" w:color="auto"/>
        <w:left w:val="none" w:sz="0" w:space="0" w:color="auto"/>
        <w:bottom w:val="none" w:sz="0" w:space="0" w:color="auto"/>
        <w:right w:val="none" w:sz="0" w:space="0" w:color="auto"/>
      </w:divBdr>
    </w:div>
    <w:div w:id="2093433831">
      <w:bodyDiv w:val="1"/>
      <w:marLeft w:val="0"/>
      <w:marRight w:val="0"/>
      <w:marTop w:val="0"/>
      <w:marBottom w:val="0"/>
      <w:divBdr>
        <w:top w:val="none" w:sz="0" w:space="0" w:color="auto"/>
        <w:left w:val="none" w:sz="0" w:space="0" w:color="auto"/>
        <w:bottom w:val="none" w:sz="0" w:space="0" w:color="auto"/>
        <w:right w:val="none" w:sz="0" w:space="0" w:color="auto"/>
      </w:divBdr>
    </w:div>
    <w:div w:id="2124952960">
      <w:bodyDiv w:val="1"/>
      <w:marLeft w:val="0"/>
      <w:marRight w:val="0"/>
      <w:marTop w:val="0"/>
      <w:marBottom w:val="0"/>
      <w:divBdr>
        <w:top w:val="none" w:sz="0" w:space="0" w:color="auto"/>
        <w:left w:val="none" w:sz="0" w:space="0" w:color="auto"/>
        <w:bottom w:val="none" w:sz="0" w:space="0" w:color="auto"/>
        <w:right w:val="none" w:sz="0" w:space="0" w:color="auto"/>
      </w:divBdr>
    </w:div>
    <w:div w:id="21258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eelnoud/eelnou/a17529fc-9cd3-46a0-bc61-2f0ef5c7edb4/2024.-aasta-lisaeelarve-seadus/" TargetMode="External"/><Relationship Id="rId2" Type="http://schemas.openxmlformats.org/officeDocument/2006/relationships/hyperlink" Target="http://data.europa.eu/eli/C/2024/2807/oj" TargetMode="External"/><Relationship Id="rId1" Type="http://schemas.openxmlformats.org/officeDocument/2006/relationships/hyperlink" Target="https://ec.europa.eu/eurostat/web/government-finance-statistics/excessive-deficit-procedure/edp-notification-tables?etrans=el" TargetMode="External"/><Relationship Id="rId5" Type="http://schemas.openxmlformats.org/officeDocument/2006/relationships/hyperlink" Target="https://ec.europa.eu/eurostat/documents/1015035/16177999/IT+Advice+on+recording+of+2023+Superbonus.pdf" TargetMode="External"/><Relationship Id="rId4" Type="http://schemas.openxmlformats.org/officeDocument/2006/relationships/hyperlink" Target="https://ec.europa.eu/eurostat/documents/1015035/16177999/IT+Advice+on+recording+of+2023+Superbon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48cd52f-b46b-4611-a611-1f804cc55ba9" xsi:nil="true"/>
    <SharedWithUsers xmlns="ee00aed3-c832-4f67-975b-fd0d79c6c939">
      <UserInfo>
        <DisplayName>VANDERMEULEN Valerie (ECFIN)</DisplayName>
        <AccountId>217</AccountId>
        <AccountType/>
      </UserInfo>
      <UserInfo>
        <DisplayName>GOMEZ-OLIVEROS DURAN Leyre (ECFIN)</DisplayName>
        <AccountId>170</AccountId>
        <AccountType/>
      </UserInfo>
      <UserInfo>
        <DisplayName>MOHL Philipp (ECFIN)</DisplayName>
        <AccountId>122</AccountId>
        <AccountType/>
      </UserInfo>
      <UserInfo>
        <DisplayName>CARDOSO Pedro (ECFIN)</DisplayName>
        <AccountId>119</AccountId>
        <AccountType/>
      </UserInfo>
      <UserInfo>
        <DisplayName>FRAYNE Christine (ECFIN)</DisplayName>
        <AccountId>224</AccountId>
        <AccountType/>
      </UserInfo>
      <UserInfo>
        <DisplayName>MAZUR Jakub (ECFIN)</DisplayName>
        <AccountId>159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BF9CE7B864144AB9135903AF2016F" ma:contentTypeVersion="7" ma:contentTypeDescription="Create a new document." ma:contentTypeScope="" ma:versionID="e39966292950fbb0dbe105b03cb3b530">
  <xsd:schema xmlns:xsd="http://www.w3.org/2001/XMLSchema" xmlns:xs="http://www.w3.org/2001/XMLSchema" xmlns:p="http://schemas.microsoft.com/office/2006/metadata/properties" xmlns:ns2="248cd52f-b46b-4611-a611-1f804cc55ba9" xmlns:ns3="ee00aed3-c832-4f67-975b-fd0d79c6c939" targetNamespace="http://schemas.microsoft.com/office/2006/metadata/properties" ma:root="true" ma:fieldsID="29e4256f64c497cb87a812a517a903fd" ns2:_="" ns3:_="">
    <xsd:import namespace="248cd52f-b46b-4611-a611-1f804cc55ba9"/>
    <xsd:import namespace="ee00aed3-c832-4f67-975b-fd0d79c6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cd52f-b46b-4611-a611-1f804cc5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Draft"/>
          <xsd:enumeration value="Info"/>
          <xsd:enumeration value="Pending CAB approval"/>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ee00aed3-c832-4f67-975b-fd0d79c6c9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E9F33-5371-489D-AB99-956E4A96155F}">
  <ds:schemaRefs>
    <ds:schemaRef ds:uri="http://purl.org/dc/dcmitype/"/>
    <ds:schemaRef ds:uri="http://www.w3.org/XML/1998/namespace"/>
    <ds:schemaRef ds:uri="http://purl.org/dc/terms/"/>
    <ds:schemaRef ds:uri="248cd52f-b46b-4611-a611-1f804cc55ba9"/>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e00aed3-c832-4f67-975b-fd0d79c6c939"/>
    <ds:schemaRef ds:uri="http://purl.org/dc/elements/1.1/"/>
  </ds:schemaRefs>
</ds:datastoreItem>
</file>

<file path=customXml/itemProps2.xml><?xml version="1.0" encoding="utf-8"?>
<ds:datastoreItem xmlns:ds="http://schemas.openxmlformats.org/officeDocument/2006/customXml" ds:itemID="{D5B1F33E-FA75-412B-9F90-DC8801C69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cd52f-b46b-4611-a611-1f804cc55ba9"/>
    <ds:schemaRef ds:uri="ee00aed3-c832-4f67-975b-fd0d79c6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30EAA-264D-4F3C-A68E-50B8CBD382E3}">
  <ds:schemaRefs>
    <ds:schemaRef ds:uri="http://schemas.microsoft.com/sharepoint/v3/contenttype/forms"/>
  </ds:schemaRefs>
</ds:datastoreItem>
</file>

<file path=customXml/itemProps4.xml><?xml version="1.0" encoding="utf-8"?>
<ds:datastoreItem xmlns:ds="http://schemas.openxmlformats.org/officeDocument/2006/customXml" ds:itemID="{F784F87D-6451-4873-AB2C-8543A829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22032</Words>
  <Characters>125583</Characters>
  <Application>Microsoft Office Word</Application>
  <DocSecurity>0</DocSecurity>
  <Lines>1046</Lines>
  <Paragraphs>294</Paragraphs>
  <MMClips>0</MMClips>
  <ScaleCrop>false</ScaleCrop>
  <Manager/>
  <Company/>
  <LinksUpToDate>false</LinksUpToDate>
  <CharactersWithSpaces>147321</CharactersWithSpaces>
  <SharedDoc>false</SharedDoc>
  <HLinks>
    <vt:vector size="30" baseType="variant">
      <vt:variant>
        <vt:i4>2687037</vt:i4>
      </vt:variant>
      <vt:variant>
        <vt:i4>15</vt:i4>
      </vt:variant>
      <vt:variant>
        <vt:i4>0</vt:i4>
      </vt:variant>
      <vt:variant>
        <vt:i4>5</vt:i4>
      </vt:variant>
      <vt:variant>
        <vt:lpwstr>https://ec.europa.eu/eurostat/documents/1015035/16177999/IT+Advice+on+recording+of+2023+Superbonus.pdf</vt:lpwstr>
      </vt:variant>
      <vt:variant>
        <vt:lpwstr/>
      </vt:variant>
      <vt:variant>
        <vt:i4>2687037</vt:i4>
      </vt:variant>
      <vt:variant>
        <vt:i4>12</vt:i4>
      </vt:variant>
      <vt:variant>
        <vt:i4>0</vt:i4>
      </vt:variant>
      <vt:variant>
        <vt:i4>5</vt:i4>
      </vt:variant>
      <vt:variant>
        <vt:lpwstr>https://ec.europa.eu/eurostat/documents/1015035/16177999/IT+Advice+on+recording+of+2023+Superbonus.pdf</vt:lpwstr>
      </vt:variant>
      <vt:variant>
        <vt:lpwstr/>
      </vt:variant>
      <vt:variant>
        <vt:i4>4718681</vt:i4>
      </vt:variant>
      <vt:variant>
        <vt:i4>9</vt:i4>
      </vt:variant>
      <vt:variant>
        <vt:i4>0</vt:i4>
      </vt:variant>
      <vt:variant>
        <vt:i4>5</vt:i4>
      </vt:variant>
      <vt:variant>
        <vt:lpwstr>https://www.riigikogu.ee/tegevus/eelnoud/eelnou/a17529fc-9cd3-46a0-bc61-2f0ef5c7edb4/2024.-aasta-lisaeelarve-seadus/</vt:lpwstr>
      </vt:variant>
      <vt:variant>
        <vt:lpwstr/>
      </vt:variant>
      <vt:variant>
        <vt:i4>720917</vt:i4>
      </vt:variant>
      <vt:variant>
        <vt:i4>3</vt:i4>
      </vt:variant>
      <vt:variant>
        <vt:i4>0</vt:i4>
      </vt:variant>
      <vt:variant>
        <vt:i4>5</vt:i4>
      </vt:variant>
      <vt:variant>
        <vt:lpwstr>http://data.europa.eu/eli/C/2024/2807/oj</vt:lpwstr>
      </vt:variant>
      <vt:variant>
        <vt:lpwstr/>
      </vt:variant>
      <vt:variant>
        <vt:i4>8192096</vt:i4>
      </vt:variant>
      <vt:variant>
        <vt:i4>0</vt:i4>
      </vt:variant>
      <vt:variant>
        <vt:i4>0</vt:i4>
      </vt:variant>
      <vt:variant>
        <vt:i4>5</vt:i4>
      </vt:variant>
      <vt:variant>
        <vt:lpwstr>https://ec.europa.eu/eurostat/web/government-finance-statistics/excessive-deficit-procedure/edp-notification-tables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cp:lastPrinted>2024-06-21T11:57:00Z</cp:lastPrinted>
  <dcterms:created xsi:type="dcterms:W3CDTF">2024-06-18T19:56:00Z</dcterms:created>
  <dcterms:modified xsi:type="dcterms:W3CDTF">2024-07-26T07:39:00Z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CP-003</vt:lpwstr>
  </property>
  <property fmtid="{D5CDD505-2E9C-101B-9397-08002B2CF9AE}" pid="7" name="Last edited using">
    <vt:lpwstr>LW 9.0, Build 20230317</vt:lpwstr>
  </property>
  <property fmtid="{D5CDD505-2E9C-101B-9397-08002B2CF9AE}" pid="8" name="Created using">
    <vt:lpwstr>LW 7.0.1, Build 20190916</vt:lpwstr>
  </property>
  <property fmtid="{D5CDD505-2E9C-101B-9397-08002B2CF9AE}" pid="9" name="ContentTypeId">
    <vt:lpwstr>0x010100756BF9CE7B864144AB9135903AF2016F</vt:lpwstr>
  </property>
  <property fmtid="{D5CDD505-2E9C-101B-9397-08002B2CF9AE}" pid="10" name="MSIP_Label_6bd9ddd1-4d20-43f6-abfa-fc3c07406f94_Enabled">
    <vt:lpwstr>true</vt:lpwstr>
  </property>
  <property fmtid="{D5CDD505-2E9C-101B-9397-08002B2CF9AE}" pid="11" name="MSIP_Label_6bd9ddd1-4d20-43f6-abfa-fc3c07406f94_SetDate">
    <vt:lpwstr>2022-05-13T06:33:44Z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24d20efe-f645-4e9d-91f1-89d987fb433e</vt:lpwstr>
  </property>
  <property fmtid="{D5CDD505-2E9C-101B-9397-08002B2CF9AE}" pid="16" name="MSIP_Label_6bd9ddd1-4d20-43f6-abfa-fc3c07406f94_ContentBits">
    <vt:lpwstr>0</vt:lpwstr>
  </property>
  <property fmtid="{D5CDD505-2E9C-101B-9397-08002B2CF9AE}" pid="17" name="MediaServiceImageTags">
    <vt:lpwstr/>
  </property>
  <property name="OP_sanitized" fmtid="{D5CDD505-2E9C-101B-9397-08002B2CF9AE}" pid="18">
    <vt:lpwstr>True</vt:lpwstr>
  </property>
</Properties>
</file>