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C439" w14:textId="7E3F9712" w:rsidR="00486C11" w:rsidRPr="00450B0A" w:rsidRDefault="00097901" w:rsidP="00097901">
      <w:pPr>
        <w:pStyle w:val="Pagedecouverture"/>
        <w:rPr>
          <w:noProof/>
        </w:rPr>
      </w:pPr>
      <w:bookmarkStart w:id="0" w:name="LW_BM_COVERPAGE"/>
      <w:r>
        <w:rPr>
          <w:noProof/>
        </w:rPr>
        <w:pict w14:anchorId="7B589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C08C4C0-D36C-41B8-BD53-5F00A8E815F0" style="width:455.25pt;height:324pt">
            <v:imagedata r:id="rId11" o:title=""/>
          </v:shape>
        </w:pict>
      </w:r>
    </w:p>
    <w:bookmarkEnd w:id="0"/>
    <w:p w14:paraId="08BF400C" w14:textId="77777777" w:rsidR="00FB7D07" w:rsidRDefault="00FB7D07" w:rsidP="00FB7D07">
      <w:pPr>
        <w:rPr>
          <w:noProof/>
        </w:rPr>
        <w:sectPr w:rsidR="00FB7D07" w:rsidSect="0009790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A1D14B1" w14:textId="38AFA33E" w:rsidR="00E423CE" w:rsidRPr="00E423CE" w:rsidRDefault="00E423CE" w:rsidP="00E423CE">
      <w:pPr>
        <w:pStyle w:val="Typedudocument"/>
        <w:rPr>
          <w:noProof/>
        </w:rPr>
      </w:pPr>
      <w:bookmarkStart w:id="1" w:name="_GoBack"/>
      <w:bookmarkEnd w:id="1"/>
      <w:r w:rsidRPr="00E423CE">
        <w:rPr>
          <w:noProof/>
        </w:rPr>
        <w:lastRenderedPageBreak/>
        <w:t>ΑΝΑΚΟΙΝΩΣΗ ΤΗΣ ΕΠΙΤΡΟΠΗΣ ΠΡΟΣ ΤΟ ΕΥΡΩΠΑΪΚΟ ΚΟΙΝΟΒΟΥΛΙΟ ΚΑΙ ΤΟ ΣΥΜΒΟΥΛΙΟ</w:t>
      </w:r>
    </w:p>
    <w:p w14:paraId="39B9B3A9" w14:textId="242E3788" w:rsidR="00E423CE" w:rsidRPr="00E423CE" w:rsidRDefault="00E423CE" w:rsidP="00E423CE">
      <w:pPr>
        <w:pStyle w:val="Titreobjet"/>
        <w:rPr>
          <w:noProof/>
        </w:rPr>
      </w:pPr>
      <w:r w:rsidRPr="00E423CE">
        <w:rPr>
          <w:noProof/>
        </w:rPr>
        <w:t>Βιώσιμη αλιεία στην ΕΕ: τρέχουσα κατάσταση και κατευθύνσεις για το 2025</w:t>
      </w:r>
    </w:p>
    <w:p w14:paraId="35E7F7BE" w14:textId="7BEFCDDE" w:rsidR="00AC0378" w:rsidRPr="00450B0A" w:rsidRDefault="001D6309" w:rsidP="101444AA">
      <w:pPr>
        <w:pStyle w:val="Heading1"/>
        <w:numPr>
          <w:ilvl w:val="0"/>
          <w:numId w:val="7"/>
        </w:numPr>
        <w:rPr>
          <w:noProof/>
          <w:szCs w:val="24"/>
        </w:rPr>
      </w:pPr>
      <w:r>
        <w:rPr>
          <w:noProof/>
        </w:rPr>
        <w:t>Εισαγωγή</w:t>
      </w:r>
    </w:p>
    <w:p w14:paraId="1F181342" w14:textId="35D3D82F"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Η παρούσα ανακοίνωση παρέχει πληροφορίες σχετικά με την κατάσταση της ευρωπαϊκής αλιείας, η οποία αποτέλεσε αντικείμενο παρακολούθησης το 2023. Παρέχει επίσης κατευθύνσεις για τις προτάσεις της Επιτροπής και τις διαβουλεύσεις με τρίτες χώρες σχετικά με τις αλιευτικές δυνατότητες για το 2025. Στόχος είναι η βελτίωση της ανθεκτικότητας των αλιέων, η τόνωση της αποκατάστασης των ιχθυαποθεμάτων με σκοπό την επίτευξη επιπέδων μέγιστης βιώσιμης απόδοσης (ΜΒΑ) και η διατήρηση των υγιών αποθεμάτων σε επίπεδο ΜΒΑ.</w:t>
      </w:r>
    </w:p>
    <w:p w14:paraId="49202E13" w14:textId="40004818" w:rsidR="000E4469" w:rsidRPr="00450B0A" w:rsidRDefault="5C25F0F7">
      <w:pPr>
        <w:jc w:val="both"/>
        <w:rPr>
          <w:rFonts w:ascii="Times New Roman" w:eastAsia="Times New Roman" w:hAnsi="Times New Roman" w:cs="Times New Roman"/>
          <w:noProof/>
          <w:sz w:val="24"/>
          <w:szCs w:val="24"/>
        </w:rPr>
      </w:pPr>
      <w:r>
        <w:rPr>
          <w:rFonts w:ascii="Times New Roman" w:hAnsi="Times New Roman"/>
          <w:b/>
          <w:noProof/>
          <w:sz w:val="24"/>
        </w:rPr>
        <w:t>Σήμερα υπεραλιεύονται πολύ λιγότερα ιχθυαποθέματα σε σύγκριση με το 2003. Οι αλιείς διαπιστώνουν τα κοινωνικοοικονομικά οφέλη που προκύπτουν από τη διαχείριση αποθεμάτων σε υγιέστερα επίπεδα, η οποία εφαρμόζεται εδώ και κάποιο χρονικό διάστημα.</w:t>
      </w:r>
      <w:r>
        <w:rPr>
          <w:rFonts w:ascii="Times New Roman" w:hAnsi="Times New Roman"/>
          <w:noProof/>
          <w:sz w:val="24"/>
        </w:rPr>
        <w:t xml:space="preserve"> Η ενέργεια παραμένει ένα από τα σημαντικότερα στοιχεία κόστους του αλιευτικού στόλου της ΕΕ κατά την περίοδο 2023-2024, παρά το γεγονός ότι η μείωση των τιμών των καυσίμων εξακολουθεί να υπονομεύει τα οφέλη που επιτεύχθηκαν. Ως εκ τούτου, οι εν εξελίξει δράσεις</w:t>
      </w:r>
      <w:r>
        <w:rPr>
          <w:rStyle w:val="FootnoteReference"/>
          <w:rFonts w:ascii="Times New Roman" w:eastAsiaTheme="minorEastAsia" w:hAnsi="Times New Roman" w:cs="Times New Roman"/>
          <w:noProof/>
          <w:sz w:val="24"/>
          <w:szCs w:val="24"/>
          <w:lang w:val="en-IE"/>
        </w:rPr>
        <w:footnoteReference w:id="2"/>
      </w:r>
      <w:r>
        <w:rPr>
          <w:rFonts w:ascii="Times New Roman" w:hAnsi="Times New Roman"/>
          <w:noProof/>
          <w:sz w:val="24"/>
        </w:rPr>
        <w:t xml:space="preserve"> που προτείνει η Επιτροπή για τη στήριξη της ενεργειακής μετάβασης του τομέα της αλιείας και της υδατοκαλλιέργειας είναι απαραίτητες για την ενίσχυση της κοινωνικοοικονομικής ανθεκτικότητάς του μέσω της στήριξης του τομέα για τη μείωση της εξάρτησής του από τη χρήση ορυκτών καυσίμων.</w:t>
      </w:r>
    </w:p>
    <w:p w14:paraId="706D74A5" w14:textId="5CD67729" w:rsidR="00B15BC4" w:rsidRPr="00450B0A" w:rsidRDefault="5EE75F66"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Οι βασικές προκλήσεις στον τομέα της αλιείας και της υδατοκαλλιέργειας της ΕΕ, οι δράσεις που προτείνονται για την αντιμετώπισή τους και οι ανάγκες βελτίωσης της ανθεκτικότητας της αλιείας της ΕΕ περιγράφονται στη </w:t>
      </w:r>
      <w:r>
        <w:rPr>
          <w:rFonts w:ascii="Times New Roman" w:hAnsi="Times New Roman"/>
          <w:b/>
          <w:noProof/>
          <w:sz w:val="24"/>
        </w:rPr>
        <w:t>δέσμη μέτρων για την αλιεία και τους ωκεανούς</w:t>
      </w:r>
      <w:r>
        <w:rPr>
          <w:rStyle w:val="FootnoteReference"/>
          <w:rFonts w:ascii="Times New Roman" w:eastAsia="Times New Roman" w:hAnsi="Times New Roman" w:cs="Times New Roman"/>
          <w:noProof/>
          <w:sz w:val="24"/>
          <w:szCs w:val="24"/>
        </w:rPr>
        <w:footnoteReference w:id="3"/>
      </w:r>
      <w:r>
        <w:rPr>
          <w:rFonts w:ascii="Times New Roman" w:hAnsi="Times New Roman"/>
          <w:noProof/>
          <w:sz w:val="24"/>
        </w:rPr>
        <w:t>, που συνοδεύτηκε από τη συμβολή των ενδιαφερόμενων μελών και εντατικό διάλογο με αυτά.</w:t>
      </w:r>
      <w:r>
        <w:rPr>
          <w:rFonts w:ascii="Times New Roman" w:hAnsi="Times New Roman"/>
          <w:b/>
          <w:noProof/>
          <w:sz w:val="24"/>
        </w:rPr>
        <w:t xml:space="preserve"> </w:t>
      </w:r>
      <w:r>
        <w:rPr>
          <w:rFonts w:ascii="Times New Roman" w:hAnsi="Times New Roman"/>
          <w:noProof/>
          <w:sz w:val="24"/>
        </w:rPr>
        <w:t>Είναι πλέον καιρός να κοιτάξουμε πέρα από αυτές τις άμεσες προκλήσεις και ανάγκες και να λάβουμε μια ευρύτερη οπτική γωνία, να αξιολογήσουμε την κατάσταση στον τομέα της αλιείας και της υδατοκαλλιέργειας της ΕΕ με βάση τα διαθέσιμα στοιχεία, καθώς και τις απόψεις των κρατών μελών και των ενδιαφερόμενων μερών.</w:t>
      </w:r>
      <w:r>
        <w:rPr>
          <w:rFonts w:ascii="Times New Roman" w:hAnsi="Times New Roman"/>
          <w:noProof/>
          <w:color w:val="CC3595"/>
          <w:sz w:val="24"/>
        </w:rPr>
        <w:t xml:space="preserve"> </w:t>
      </w:r>
      <w:r>
        <w:rPr>
          <w:rFonts w:ascii="Times New Roman" w:hAnsi="Times New Roman"/>
          <w:noProof/>
          <w:sz w:val="24"/>
        </w:rPr>
        <w:t>Με βάση τις παρατηρήσεις που ελήφθησαν σχετικά με τη δέσμη μέτρων και τα εμπόδια που εντοπίστηκαν από διάφορα ενδιαφερόμενα μέρη για την ομαλή μετάβαση στην ενεργειακή απόδοση στον τομέα και για την επιτυχή εφαρμογή όλων των στοιχείων της ΚΑΠ, η Επιτροπή δρομολογεί την πλήρη αξιολόγηση του κανονισμού για την κοινή αλιευτική πολιτική (στο εξής: κανονισμός ΚΑΠ)</w:t>
      </w:r>
      <w:r>
        <w:rPr>
          <w:rStyle w:val="FootnoteReference"/>
          <w:rFonts w:ascii="Times New Roman" w:eastAsia="Times New Roman" w:hAnsi="Times New Roman" w:cs="Times New Roman"/>
          <w:noProof/>
          <w:sz w:val="24"/>
          <w:szCs w:val="24"/>
        </w:rPr>
        <w:footnoteReference w:id="4"/>
      </w:r>
      <w:r>
        <w:rPr>
          <w:rFonts w:ascii="Times New Roman" w:hAnsi="Times New Roman"/>
          <w:noProof/>
          <w:sz w:val="24"/>
        </w:rPr>
        <w:t xml:space="preserve">. </w:t>
      </w:r>
    </w:p>
    <w:p w14:paraId="3F0377C3" w14:textId="551EED07" w:rsidR="00CD49C8" w:rsidRPr="00450B0A" w:rsidRDefault="75AB12AD" w:rsidP="055F1019">
      <w:pPr>
        <w:jc w:val="both"/>
        <w:rPr>
          <w:rFonts w:ascii="Times New Roman" w:eastAsia="Times New Roman" w:hAnsi="Times New Roman" w:cs="Times New Roman"/>
          <w:noProof/>
          <w:sz w:val="24"/>
          <w:szCs w:val="24"/>
        </w:rPr>
      </w:pPr>
      <w:r>
        <w:rPr>
          <w:rFonts w:ascii="Times New Roman" w:hAnsi="Times New Roman"/>
          <w:noProof/>
          <w:sz w:val="24"/>
        </w:rPr>
        <w:t>Στο πλαίσιο αυτής της αξιολόγησης θα εξεταστούν τα 10 έτη εφαρμογής του κανονισμού ΚΑΠ (2014-2024). Θα εξεταστούν οι εξελίξεις στις πολιτικές για την αλιεία, την υδατοκαλλιέργεια, το περιβάλλον, το εμπόριο, τη διεύρυνση, την υγεία, την καλή διαβίωση των ζώων και την έρευνα, τις πρόσφατες πολιτικές εξελίξεις, το μεταβαλλόμενο γεωπολιτικό πλαίσιο και τις επιπτώσεις στην αλιευτική πολιτική της ΕΕ. Η εν λόγω αξιολόγηση θα καλύψει επίσης την αναδιαμορφωμένη δυναμική των αλιευτικών σχέσεων στην εξωτερική διάσταση της κοινής αλιευτικής πολιτικής (ΚΑΠ), συμπεριλαμβανομένων της αποχώρησης του Ηνωμένου Βασιλείου από την ΕΕ και των σχέσεων με τα παράκτια κράτη του βορειοανατολικού Ατλαντικού και μεταξύ αυτών. Η εν λόγω αξιολόγηση είναι απαραίτητη ώστε να σχηματιστεί ολοκληρωμένη εικόνα σχετικά με τις επιδόσεις του κανονισμού και των μέσων και για την προετοιμασία του εδάφους για τα επόμενα έτη.</w:t>
      </w:r>
      <w:bookmarkStart w:id="2" w:name="_Hlk132741266"/>
    </w:p>
    <w:bookmarkEnd w:id="2"/>
    <w:p w14:paraId="7317B796" w14:textId="77777777" w:rsidR="00616704" w:rsidRPr="00450B0A" w:rsidRDefault="001D6309" w:rsidP="101444AA">
      <w:pPr>
        <w:pStyle w:val="Heading1"/>
        <w:numPr>
          <w:ilvl w:val="0"/>
          <w:numId w:val="7"/>
        </w:numPr>
        <w:rPr>
          <w:noProof/>
          <w:szCs w:val="24"/>
        </w:rPr>
      </w:pPr>
      <w:r>
        <w:rPr>
          <w:noProof/>
        </w:rPr>
        <w:t>Πρόοδος στην επίτευξη βιώσιμης αλιείας στην ΕΕ</w:t>
      </w:r>
    </w:p>
    <w:p w14:paraId="250E51C2" w14:textId="106E91F2" w:rsidR="00B26833" w:rsidRPr="00450B0A" w:rsidRDefault="432EFFFB" w:rsidP="366F6422">
      <w:pPr>
        <w:pStyle w:val="Text2"/>
        <w:ind w:left="0"/>
        <w:rPr>
          <w:noProof/>
          <w:color w:val="000000"/>
        </w:rPr>
      </w:pPr>
      <w:r>
        <w:rPr>
          <w:noProof/>
          <w:color w:val="000000"/>
        </w:rPr>
        <w:t>Ένα απόθεμα αλιεύεται με βιώσιμο τρόπο, στο επίπεδο της ΜΒΑ του, όταν η αναλογία μεταξύ της πραγματικής θνησιμότητας λόγω αλιείας (F) και της θνησιμότητας λόγω αλιείας σε επίπεδο ΜΒΑ (F</w:t>
      </w:r>
      <w:r>
        <w:rPr>
          <w:noProof/>
          <w:color w:val="000000"/>
          <w:vertAlign w:val="subscript"/>
        </w:rPr>
        <w:t>MSY</w:t>
      </w:r>
      <w:r>
        <w:rPr>
          <w:noProof/>
          <w:color w:val="000000"/>
        </w:rPr>
        <w:t>) είναι μικρότερη ή ίση με ένα</w:t>
      </w:r>
      <w:r>
        <w:rPr>
          <w:rStyle w:val="FootnoteReference"/>
          <w:noProof/>
          <w:color w:val="000000"/>
        </w:rPr>
        <w:footnoteReference w:id="5"/>
      </w:r>
      <w:r>
        <w:rPr>
          <w:noProof/>
          <w:color w:val="000000"/>
        </w:rPr>
        <w:t xml:space="preserve">. </w:t>
      </w:r>
      <w:r>
        <w:rPr>
          <w:noProof/>
        </w:rPr>
        <w:t xml:space="preserve">Χάρη στα μέτρα που έλαβαν οι αλιείς και οι εθνικές διοικήσεις και στη δέσμευση του Ευρωπαϊκού Κοινοβουλίου, του Συμβουλίου και της Επιτροπής για υπεύθυνη διαχείριση της αλιείας, η αλιεία έχει καταστεί πιο βιώσιμη, ενώ πλέον υπεραλιεύονται πολύ λιγότερα αποθέματα στην ΕΕ. </w:t>
      </w:r>
    </w:p>
    <w:p w14:paraId="710B07B0" w14:textId="5C654CEF" w:rsidR="007B3E1E" w:rsidRPr="006B0267" w:rsidRDefault="5FFC5192" w:rsidP="3666E496">
      <w:pPr>
        <w:jc w:val="both"/>
        <w:rPr>
          <w:rFonts w:ascii="Times New Roman" w:eastAsia="Times New Roman" w:hAnsi="Times New Roman" w:cs="Times New Roman"/>
          <w:noProof/>
          <w:sz w:val="24"/>
          <w:szCs w:val="24"/>
          <w:highlight w:val="yellow"/>
        </w:rPr>
      </w:pPr>
      <w:r>
        <w:rPr>
          <w:rFonts w:ascii="Times New Roman" w:hAnsi="Times New Roman"/>
          <w:noProof/>
          <w:sz w:val="24"/>
        </w:rPr>
        <w:t>Η αποστολή της ΕΕ «Αποκατάσταση των ωκεανών και των υδάτων μας έως το 2030</w:t>
      </w:r>
      <w:r>
        <w:rPr>
          <w:rStyle w:val="FootnoteReference"/>
          <w:rFonts w:ascii="Times New Roman" w:eastAsia="Times New Roman" w:hAnsi="Times New Roman" w:cs="Times New Roman"/>
          <w:noProof/>
          <w:sz w:val="24"/>
          <w:szCs w:val="24"/>
        </w:rPr>
        <w:footnoteReference w:id="6"/>
      </w:r>
      <w:r>
        <w:rPr>
          <w:rFonts w:ascii="Times New Roman" w:hAnsi="Times New Roman"/>
          <w:noProof/>
          <w:sz w:val="24"/>
        </w:rPr>
        <w:t>», συμβάλλει σε ένα ευρύ φάσμα λύσεων για την προστασία και την αποκατάσταση των θαλάσσιων οικοσυστημάτων και των οικοσυστημάτων γλυκών υδάτων και της βιοποικιλότητάς τους, την αντιμετώπιση της ρύπανσης και τη στήριξη της βιώσιμης αλιείας. Ως εκ τούτου, συμβάλλει επίσης στην εφαρμογή του σχεδίου δράσης της ΕΕ για τη θάλασσα</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xml:space="preserve">. </w:t>
      </w:r>
    </w:p>
    <w:p w14:paraId="2DC56B51" w14:textId="430669C7" w:rsidR="29CCC508" w:rsidRPr="00450B0A" w:rsidRDefault="2EE51D7E" w:rsidP="366F6422">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Κάθε χρόνο, η Επιστημονική, Τεχνική και Οικονομική Επιτροπή Αλιείας (ΕΤΟΕΑ) επικαιροποιεί τις διαθέσιμες πληροφορίες σχετικά με τα επίπεδα των ιχθυαποθεμάτων σε σχέση με τους στόχους της κοινής αλιευτικής πολιτικής. Το 2003 η μέση θνησιμότητα λόγω αλιείας στον βορειοανατολικό Ατλαντικό</w:t>
      </w:r>
      <w:r>
        <w:rPr>
          <w:rStyle w:val="FootnoteReference"/>
          <w:rFonts w:ascii="Times New Roman" w:eastAsia="Times New Roman" w:hAnsi="Times New Roman" w:cs="Times New Roman"/>
          <w:noProof/>
          <w:sz w:val="24"/>
          <w:szCs w:val="24"/>
        </w:rPr>
        <w:footnoteReference w:id="8"/>
      </w:r>
      <w:r>
        <w:rPr>
          <w:rFonts w:ascii="Times New Roman" w:hAnsi="Times New Roman"/>
          <w:noProof/>
          <w:sz w:val="24"/>
        </w:rPr>
        <w:t xml:space="preserve">  ήταν 53 % </w:t>
      </w:r>
      <w:r>
        <w:rPr>
          <w:rFonts w:ascii="Times New Roman" w:hAnsi="Times New Roman"/>
          <w:b/>
          <w:noProof/>
          <w:sz w:val="24"/>
        </w:rPr>
        <w:t xml:space="preserve">πάνω </w:t>
      </w:r>
      <w:r>
        <w:rPr>
          <w:rFonts w:ascii="Times New Roman" w:hAnsi="Times New Roman"/>
          <w:noProof/>
          <w:sz w:val="24"/>
        </w:rPr>
        <w:t>από τον στόχο του δείκτη F</w:t>
      </w:r>
      <w:r>
        <w:rPr>
          <w:rFonts w:ascii="Times New Roman" w:hAnsi="Times New Roman"/>
          <w:noProof/>
          <w:sz w:val="24"/>
          <w:vertAlign w:val="subscript"/>
        </w:rPr>
        <w:t>MSY</w:t>
      </w:r>
      <w:r>
        <w:rPr>
          <w:rFonts w:ascii="Times New Roman" w:hAnsi="Times New Roman"/>
          <w:noProof/>
          <w:sz w:val="24"/>
        </w:rPr>
        <w:t xml:space="preserve">. Η τελευταία αξιολόγηση δείχνει ότι το ποσοστό θνησιμότητας μειώθηκε σταδιακά και έφτασε στο 42 % </w:t>
      </w:r>
      <w:r>
        <w:rPr>
          <w:rFonts w:ascii="Times New Roman" w:hAnsi="Times New Roman"/>
          <w:b/>
          <w:noProof/>
          <w:sz w:val="24"/>
        </w:rPr>
        <w:t xml:space="preserve">κάτω </w:t>
      </w:r>
      <w:r>
        <w:rPr>
          <w:rFonts w:ascii="Times New Roman" w:hAnsi="Times New Roman"/>
          <w:noProof/>
          <w:sz w:val="24"/>
        </w:rPr>
        <w:t>από τον δείκτη</w:t>
      </w:r>
      <w:r>
        <w:rPr>
          <w:rFonts w:ascii="Times New Roman" w:hAnsi="Times New Roman"/>
          <w:b/>
          <w:noProof/>
          <w:sz w:val="24"/>
        </w:rPr>
        <w:t xml:space="preserve"> </w:t>
      </w:r>
      <w:r>
        <w:rPr>
          <w:rFonts w:ascii="Times New Roman" w:hAnsi="Times New Roman"/>
          <w:noProof/>
          <w:sz w:val="24"/>
        </w:rPr>
        <w:t>F</w:t>
      </w:r>
      <w:r>
        <w:rPr>
          <w:rFonts w:ascii="Times New Roman" w:hAnsi="Times New Roman"/>
          <w:noProof/>
          <w:sz w:val="24"/>
          <w:vertAlign w:val="subscript"/>
        </w:rPr>
        <w:t>MSY</w:t>
      </w:r>
      <w:r>
        <w:rPr>
          <w:rFonts w:ascii="Times New Roman" w:hAnsi="Times New Roman"/>
          <w:noProof/>
          <w:sz w:val="24"/>
        </w:rPr>
        <w:t xml:space="preserve"> το 2022. Παρατηρούνται μεγάλες διακυμάνσεις εντός αυτού του μέσου όρου. 25 αποθέματα εξακολουθούν να αλιεύονται πάνω από τον δείκτη F</w:t>
      </w:r>
      <w:r>
        <w:rPr>
          <w:rFonts w:ascii="Times New Roman" w:hAnsi="Times New Roman"/>
          <w:noProof/>
          <w:sz w:val="24"/>
          <w:vertAlign w:val="subscript"/>
        </w:rPr>
        <w:t>MSY</w:t>
      </w:r>
      <w:r>
        <w:rPr>
          <w:rFonts w:ascii="Times New Roman" w:hAnsi="Times New Roman"/>
          <w:noProof/>
          <w:sz w:val="24"/>
        </w:rPr>
        <w:t xml:space="preserve">, ενώ 58 αλιεύονται εντός της εν λόγω τιμής. Τα ποσοστά θνησιμότητας λόγω αλιείας έχουν μειωθεί απότομα σε όλες τις περιοχές, φθάνοντας στα χαμηλότερα επίπεδα στις </w:t>
      </w:r>
      <w:r>
        <w:rPr>
          <w:rFonts w:ascii="Times New Roman" w:hAnsi="Times New Roman"/>
          <w:b/>
          <w:noProof/>
          <w:sz w:val="24"/>
        </w:rPr>
        <w:t>παράκτιες περιοχές του Βισκαϊκού Κόλπου και της Ιβηρικής Θάλασσας</w:t>
      </w:r>
      <w:r>
        <w:rPr>
          <w:rFonts w:ascii="Times New Roman" w:hAnsi="Times New Roman"/>
          <w:noProof/>
          <w:sz w:val="24"/>
        </w:rPr>
        <w:t xml:space="preserve"> και σε ό,τι αφορά τα </w:t>
      </w:r>
      <w:r>
        <w:rPr>
          <w:rFonts w:ascii="Times New Roman" w:hAnsi="Times New Roman"/>
          <w:b/>
          <w:noProof/>
          <w:sz w:val="24"/>
        </w:rPr>
        <w:t>ευρέως κατανεμημένα αποθέματα</w:t>
      </w:r>
      <w:r>
        <w:rPr>
          <w:rFonts w:ascii="Times New Roman" w:hAnsi="Times New Roman"/>
          <w:noProof/>
          <w:sz w:val="24"/>
        </w:rPr>
        <w:t xml:space="preserve"> (π.χ. σκουμπρί, προσφυγάκι, σαφρίδι και ρέγγα). Στη Βόρεια Θάλασσα, το μέσο ποσοστό θνησιμότητας εξακολουθεί να είναι υψηλότερο απ’ ό,τι σε άλλες περιοχές.</w:t>
      </w:r>
    </w:p>
    <w:p w14:paraId="6D8042A7" w14:textId="4C7D29C8" w:rsidR="00047D5C" w:rsidRPr="00450B0A" w:rsidRDefault="79C8E3AB" w:rsidP="366F6422">
      <w:pPr>
        <w:pStyle w:val="Text2"/>
        <w:ind w:left="0"/>
        <w:rPr>
          <w:noProof/>
        </w:rPr>
      </w:pPr>
      <w:r>
        <w:rPr>
          <w:noProof/>
        </w:rPr>
        <w:t xml:space="preserve">Στη </w:t>
      </w:r>
      <w:r>
        <w:rPr>
          <w:b/>
          <w:noProof/>
        </w:rPr>
        <w:t>Μεσόγειο και στον Εύξεινο Πόντο</w:t>
      </w:r>
      <w:r>
        <w:rPr>
          <w:noProof/>
        </w:rPr>
        <w:t>, η διάμεση τιμή F/F</w:t>
      </w:r>
      <w:r>
        <w:rPr>
          <w:noProof/>
          <w:vertAlign w:val="subscript"/>
        </w:rPr>
        <w:t>MSY</w:t>
      </w:r>
      <w:r>
        <w:rPr>
          <w:noProof/>
        </w:rPr>
        <w:t xml:space="preserve"> ανήλθε σε μέγιστη τιμή 1,90 το 2007, σταθεροποιήθηκε στο 1,87 μεταξύ 2008-2011, και έκτοτε μειώθηκε. Κατά την τελευταία τριετία, ο δείκτης F/F</w:t>
      </w:r>
      <w:r>
        <w:rPr>
          <w:noProof/>
          <w:vertAlign w:val="subscript"/>
        </w:rPr>
        <w:t>MSY</w:t>
      </w:r>
      <w:r>
        <w:rPr>
          <w:noProof/>
        </w:rPr>
        <w:t xml:space="preserve"> μειώθηκε από 1,59 σε 1,20 το 2022, φθάνοντας στο χαμηλότερο επίπεδο από το 2003. Η τάση αυτή είναι σταθερή σε όλες τις υποπεριοχές. Ωστόσο, η αλιευτική πίεση στη Μεσόγειο και στον Εύξεινο Πόντο εξακολουθεί να υπερβαίνει κατά 20 % το διάμεσο επίπεδο που θεωρείται βιώσιμο. </w:t>
      </w:r>
    </w:p>
    <w:p w14:paraId="76DC72E9" w14:textId="62756885" w:rsidR="00AC0378" w:rsidRPr="00450B0A" w:rsidRDefault="001D6309" w:rsidP="366F6422">
      <w:pPr>
        <w:jc w:val="both"/>
        <w:rPr>
          <w:rFonts w:ascii="Times New Roman" w:eastAsia="Times New Roman" w:hAnsi="Times New Roman" w:cs="Times New Roman"/>
          <w:noProof/>
          <w:sz w:val="24"/>
          <w:szCs w:val="24"/>
        </w:rPr>
      </w:pPr>
      <w:r>
        <w:rPr>
          <w:rFonts w:ascii="Times New Roman" w:hAnsi="Times New Roman"/>
          <w:noProof/>
          <w:sz w:val="24"/>
        </w:rPr>
        <w:t>Κατά μέσο όρο, τα αποθέματα στον Βορειοανατολικό Ατλαντικό βρίσκονται πλέον εντός του εύρους τιμών που συνάδει με τους στόχους πολιτικής σχετικά με το ποσοστό θνησιμότητας λόγω αλιείας. Αν και το 2023 σημειώθηκε ικανοποιητική πρόοδος όσον αφορά την επίτευξη βιωσιμότητας, απαιτείται μεγαλύτερη πρόοδος, ιδίως στη Μεσόγειο και τον Εύξεινο Πόντο.</w:t>
      </w:r>
    </w:p>
    <w:p w14:paraId="520EB83A" w14:textId="34CBE2B6" w:rsidR="130393D1" w:rsidRPr="00450B0A" w:rsidRDefault="544730B6" w:rsidP="101444AA">
      <w:pPr>
        <w:jc w:val="both"/>
        <w:rPr>
          <w:rFonts w:ascii="Times New Roman" w:eastAsia="Times New Roman" w:hAnsi="Times New Roman" w:cs="Times New Roman"/>
          <w:noProof/>
          <w:sz w:val="24"/>
          <w:szCs w:val="24"/>
        </w:rPr>
      </w:pPr>
      <w:r>
        <w:rPr>
          <w:rFonts w:ascii="Times New Roman" w:hAnsi="Times New Roman"/>
          <w:noProof/>
          <w:sz w:val="24"/>
        </w:rPr>
        <w:t>Η επιστημονική κοινότητα μελετά ενεργά σε ποιο βαθμό άλλοι παράγοντες εκτός της αλιείας, όπως η υπερθέρμανση των ωκεανών, η οξίνιση, η ρύπανση και η αποξυγόνωση των θαλασσών ενδέχεται να έχουν οδηγήσει στη μείωση της παραγωγικότητας της αλιείας, αν και εξακολουθούν να υφίστανται κενά γνώσεων. Αυτό που είναι γνωστό με κάποια βεβαιότητα, εκτός από τις αλλαγές κατανομής των ειδών που προκαλούνται από το κλίμα</w:t>
      </w:r>
      <w:r>
        <w:rPr>
          <w:rFonts w:ascii="Times New Roman" w:eastAsia="Times New Roman" w:hAnsi="Times New Roman" w:cs="Times New Roman"/>
          <w:noProof/>
          <w:sz w:val="24"/>
          <w:szCs w:val="24"/>
          <w:vertAlign w:val="superscript"/>
        </w:rPr>
        <w:footnoteReference w:id="9"/>
      </w:r>
      <w:r>
        <w:rPr>
          <w:rFonts w:ascii="Times New Roman" w:hAnsi="Times New Roman"/>
          <w:noProof/>
          <w:sz w:val="24"/>
        </w:rPr>
        <w:t>, είναι ότι τα πλαγκτονικά είδη καθώς και η χρονική στιγμή και η έκταση των εξανθήσεων πλαγκτού έχουν αλλάξει</w:t>
      </w:r>
      <w:r>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Σημειώθηκε επίσης μεγάλη μείωση της αφθονίας πλαγκτού</w:t>
      </w:r>
      <w:r>
        <w:rPr>
          <w:rStyle w:val="FootnoteReference"/>
          <w:rFonts w:ascii="Times New Roman" w:eastAsia="Times New Roman" w:hAnsi="Times New Roman" w:cs="Times New Roman"/>
          <w:noProof/>
          <w:sz w:val="24"/>
          <w:szCs w:val="24"/>
        </w:rPr>
        <w:footnoteReference w:id="11"/>
      </w:r>
      <w:r>
        <w:rPr>
          <w:rFonts w:ascii="Times New Roman" w:hAnsi="Times New Roman"/>
          <w:noProof/>
          <w:sz w:val="24"/>
        </w:rPr>
        <w:t xml:space="preserve"> κατά την περίοδο 2015-2019 και των εισροών θρεπτικών ουσιών από τη γη</w:t>
      </w:r>
      <w:r>
        <w:rPr>
          <w:rStyle w:val="FootnoteReference"/>
          <w:rFonts w:ascii="Times New Roman" w:eastAsia="Times New Roman" w:hAnsi="Times New Roman" w:cs="Times New Roman"/>
          <w:noProof/>
          <w:sz w:val="24"/>
          <w:szCs w:val="24"/>
        </w:rPr>
        <w:footnoteReference w:id="12"/>
      </w:r>
      <w:r>
        <w:rPr>
          <w:rFonts w:ascii="Times New Roman" w:hAnsi="Times New Roman"/>
          <w:noProof/>
          <w:sz w:val="24"/>
        </w:rPr>
        <w:t>. Οι αλλαγές αυτές ενδέχεται να επηρέασαν αρνητικά την παραγωγικότητα των ιχθυαποθεμάτων.</w:t>
      </w:r>
    </w:p>
    <w:p w14:paraId="777FC21B" w14:textId="14EE22E0" w:rsidR="6CA512B8" w:rsidRPr="00450B0A" w:rsidRDefault="6CA512B8" w:rsidP="101444AA">
      <w:pPr>
        <w:spacing w:after="0"/>
        <w:jc w:val="both"/>
        <w:rPr>
          <w:rFonts w:ascii="Times New Roman" w:eastAsia="Calibri" w:hAnsi="Times New Roman" w:cs="Times New Roman"/>
          <w:noProof/>
          <w:sz w:val="24"/>
          <w:szCs w:val="24"/>
        </w:rPr>
      </w:pPr>
      <w:r>
        <w:rPr>
          <w:rFonts w:ascii="Times New Roman" w:hAnsi="Times New Roman"/>
          <w:noProof/>
          <w:sz w:val="24"/>
        </w:rPr>
        <w:t>Στη Μεσόγειο, οι κεντρικές και ανατολικές περιοχές θεωρούνται πιο ευάλωτες στην κλιματική αλλαγή λόγω της αυξημένης πίεσης από χωροκατακτητικά είδη τροπικής προέλευσης (όπως τα λεσσεψιανά και άλλα είδη), των υψηλότερων θερμοκρασιών των υδάτων και της μικρότερης κυκλοφορίας των ωκεανών, γεγονός που οδηγεί σε χαμηλότερα επίπεδα διαλελυμένου οξυγόνου.</w:t>
      </w:r>
    </w:p>
    <w:p w14:paraId="71710FBE" w14:textId="038E25A4" w:rsidR="6CA512B8" w:rsidRPr="00450B0A" w:rsidRDefault="6CA512B8" w:rsidP="101444AA">
      <w:pPr>
        <w:spacing w:after="0"/>
        <w:ind w:left="1440"/>
        <w:jc w:val="both"/>
        <w:rPr>
          <w:rFonts w:ascii="Times New Roman" w:eastAsia="Calibri" w:hAnsi="Times New Roman" w:cs="Times New Roman"/>
          <w:noProof/>
          <w:sz w:val="24"/>
          <w:szCs w:val="24"/>
        </w:rPr>
      </w:pPr>
      <w:r>
        <w:rPr>
          <w:rFonts w:ascii="Times New Roman" w:hAnsi="Times New Roman"/>
          <w:noProof/>
          <w:sz w:val="24"/>
        </w:rPr>
        <w:t xml:space="preserve"> </w:t>
      </w:r>
    </w:p>
    <w:p w14:paraId="3A5CFCDD" w14:textId="19C20B2C" w:rsidR="00AC0378" w:rsidRPr="00450B0A" w:rsidRDefault="626E4A0F" w:rsidP="4C1DFF91">
      <w:pPr>
        <w:pStyle w:val="Heading2"/>
        <w:numPr>
          <w:ilvl w:val="1"/>
          <w:numId w:val="7"/>
        </w:numPr>
        <w:rPr>
          <w:noProof/>
        </w:rPr>
      </w:pPr>
      <w:r>
        <w:rPr>
          <w:noProof/>
        </w:rPr>
        <w:t xml:space="preserve"> Αλιευτικές δυνατότητες για το 2024</w:t>
      </w:r>
    </w:p>
    <w:p w14:paraId="1C5D6A94" w14:textId="2BED2EA7" w:rsidR="00AC0378" w:rsidRPr="00450B0A" w:rsidRDefault="29EF7F58" w:rsidP="13D482FB">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Οι αλιευτικές δυνατότητες αποτελούν σημαντικό μέσο για τη βιώσιμη διαχείριση της αλιείας. </w:t>
      </w:r>
      <w:r>
        <w:rPr>
          <w:rFonts w:ascii="Times New Roman" w:hAnsi="Times New Roman"/>
          <w:noProof/>
          <w:color w:val="000000" w:themeColor="text1"/>
          <w:sz w:val="24"/>
        </w:rPr>
        <w:t>Στον Ατλαντικό ωκεανό, στη Βαλτική θάλασσα και στο Skagerrak/Kattegat, οι αλιευτικές δυνατότητες ορίζονται κυρίως ως όρια αλιευμάτων, γνωστά ως συνολικά επιτρεπόμενα αλιεύματα (ή TAC).</w:t>
      </w:r>
    </w:p>
    <w:p w14:paraId="13E7661A" w14:textId="5160F889" w:rsidR="00AC0378" w:rsidRPr="00450B0A" w:rsidRDefault="73A587C9" w:rsidP="055F1019">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Η </w:t>
      </w:r>
      <w:r>
        <w:rPr>
          <w:rFonts w:ascii="Times New Roman" w:hAnsi="Times New Roman"/>
          <w:b/>
          <w:noProof/>
          <w:sz w:val="24"/>
        </w:rPr>
        <w:t>περιβαλλοντική κατάσταση</w:t>
      </w:r>
      <w:r>
        <w:rPr>
          <w:rFonts w:ascii="Times New Roman" w:hAnsi="Times New Roman"/>
          <w:noProof/>
          <w:sz w:val="24"/>
        </w:rPr>
        <w:t xml:space="preserve"> στη </w:t>
      </w:r>
      <w:r>
        <w:rPr>
          <w:rFonts w:ascii="Times New Roman" w:hAnsi="Times New Roman"/>
          <w:b/>
          <w:noProof/>
          <w:sz w:val="24"/>
        </w:rPr>
        <w:t>Βαλτική θάλασσα και στους ποταμούς της διαφέρει ριζικά</w:t>
      </w:r>
      <w:r>
        <w:rPr>
          <w:rFonts w:ascii="Times New Roman" w:hAnsi="Times New Roman"/>
          <w:noProof/>
          <w:sz w:val="24"/>
        </w:rPr>
        <w:t xml:space="preserve"> από την κατάσταση σε άλλες θαλάσσιες λεκάνες και εξακολουθεί να επηρεάζει τα ιχθυαποθέματα και την ανάπτυξή τους. Η Βαλτική θάλασσα αντιμετωπίζει σήμερα </w:t>
      </w:r>
      <w:r>
        <w:rPr>
          <w:rFonts w:ascii="Times New Roman" w:hAnsi="Times New Roman"/>
          <w:b/>
          <w:noProof/>
          <w:sz w:val="24"/>
        </w:rPr>
        <w:t>πολλαπλές πιέσεις</w:t>
      </w:r>
      <w:r>
        <w:rPr>
          <w:rFonts w:ascii="Times New Roman" w:hAnsi="Times New Roman"/>
          <w:noProof/>
          <w:sz w:val="24"/>
        </w:rPr>
        <w:t>, οι οποίες έχουν οδηγήσει σε μείωση της βιοποικιλότητας</w:t>
      </w:r>
      <w:r>
        <w:rPr>
          <w:rStyle w:val="FootnoteReference"/>
          <w:rFonts w:ascii="Times New Roman" w:eastAsia="Times New Roman" w:hAnsi="Times New Roman" w:cs="Times New Roman"/>
          <w:noProof/>
          <w:sz w:val="24"/>
          <w:szCs w:val="24"/>
          <w:lang w:val="en-IE"/>
        </w:rPr>
        <w:footnoteReference w:id="13"/>
      </w:r>
      <w:r>
        <w:rPr>
          <w:rFonts w:ascii="Times New Roman" w:hAnsi="Times New Roman"/>
          <w:noProof/>
          <w:sz w:val="24"/>
        </w:rPr>
        <w:t>. Αυτές οι πιέσεις περιλαμβάνουν την υψηλή ρύπανση από τον ευτροφισμό και σταθερά υψηλά επίπεδα ρύπων. Αυτό οφείλεται, εν μέρει, στη μη εφαρμογή της νομοθεσίας της ΕΕ</w:t>
      </w:r>
      <w:r>
        <w:rPr>
          <w:rStyle w:val="FootnoteReference"/>
          <w:rFonts w:ascii="Times New Roman" w:eastAsia="Times New Roman" w:hAnsi="Times New Roman" w:cs="Times New Roman"/>
          <w:noProof/>
          <w:sz w:val="24"/>
          <w:szCs w:val="24"/>
        </w:rPr>
        <w:footnoteReference w:id="14"/>
      </w:r>
      <w:r>
        <w:rPr>
          <w:rFonts w:ascii="Times New Roman" w:hAnsi="Times New Roman"/>
          <w:noProof/>
          <w:sz w:val="24"/>
        </w:rPr>
        <w:t>. Μια πιθανή λύση που βασίζεται στη φύση και διερευνάται επί του παρόντος είναι η χρήση μυδιών, τα οποία μπορούν να αντιστρέψουν γρήγορα τον ευτροφισμό, να αποκαταστήσουν τις αποξυγονωμένες «νεκρές ζώνες» και να δεσμεύσουν τον άνθρακα εξίσου αποτελεσματικά με τα δάση στη γη. Εκτός από αυτές τις εξωτερικές πιέσεις, οι ελλείψεις στην εφαρμογή των κανόνων της ΕΕ για τη ζύγιση και την καταγραφή των αλιευμάτων μπορεί, επίσης, να διαδραματίσουν σημαντικό ρόλο στη μείωση των ιχθυαποθεμάτων της Βαλτικής θάλασσας.</w:t>
      </w:r>
      <w:r>
        <w:rPr>
          <w:rFonts w:ascii="Times New Roman" w:hAnsi="Times New Roman"/>
          <w:b/>
          <w:noProof/>
          <w:sz w:val="24"/>
        </w:rPr>
        <w:t xml:space="preserve"> </w:t>
      </w:r>
    </w:p>
    <w:p w14:paraId="19777E47" w14:textId="175D1049" w:rsidR="00AC0378" w:rsidRPr="00450B0A" w:rsidRDefault="1FE26B3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Τέσσερις από τους δέκα τύπους αλιείας (ρέγγα της δυτικής Βαλτικής, τα δύο αποθέματα γάδου και το απόθεμα σολομού στην κεντρική λεκάνη) δεν αποτελούν πλέον στόχο και μπορούν να εκφορτώνονται μόνο ως παρεμπίπτοντα αλιεύματα. Οι εναπομείναντες στοχευόμενοι τύποι αλιείας είναι το λοιπό πελαγικό απόθεμα (παπαλίνα και ρέγγα στην κεντρική Βαλτική θάλασσα, στον Βοθνιακό Κόλπο και στον Κόλπο της Ρίγας) και το φασί Ατλαντικού, με όρια αλιευμάτων που καθορίζονται σύμφωνα με τη ΜΒΑ, και ο σολομός στον Βοθνιακό Κόλπο και στον Κόλπο της Φινλανδίας, με όρια αλιευμάτων που καθορίζονται σύμφωνα με την προληπτική προσέγγιση. </w:t>
      </w:r>
    </w:p>
    <w:p w14:paraId="46CE7466" w14:textId="46768418" w:rsidR="00AC0378" w:rsidRPr="00450B0A" w:rsidRDefault="6F3C46D1" w:rsidP="00616704">
      <w:pPr>
        <w:spacing w:after="120"/>
        <w:jc w:val="both"/>
        <w:rPr>
          <w:rFonts w:ascii="Times New Roman" w:eastAsia="Times New Roman" w:hAnsi="Times New Roman" w:cs="Times New Roman"/>
          <w:noProof/>
          <w:sz w:val="24"/>
          <w:szCs w:val="24"/>
        </w:rPr>
      </w:pPr>
      <w:r>
        <w:rPr>
          <w:rFonts w:ascii="Times New Roman" w:hAnsi="Times New Roman"/>
          <w:noProof/>
          <w:sz w:val="24"/>
        </w:rPr>
        <w:t>Το πολυετές σχέδιο για τη Βαλτική θάλασσα</w:t>
      </w:r>
      <w:r>
        <w:rPr>
          <w:rStyle w:val="FootnoteReference"/>
          <w:rFonts w:ascii="Times New Roman" w:eastAsia="Times New Roman" w:hAnsi="Times New Roman" w:cs="Times New Roman"/>
          <w:noProof/>
          <w:sz w:val="24"/>
          <w:szCs w:val="24"/>
        </w:rPr>
        <w:footnoteReference w:id="15"/>
      </w:r>
      <w:r>
        <w:rPr>
          <w:rFonts w:ascii="Times New Roman" w:hAnsi="Times New Roman"/>
          <w:noProof/>
          <w:sz w:val="24"/>
        </w:rPr>
        <w:t xml:space="preserve"> παρέχει πολλά εργαλεία προκειμένου να συμβάλει στην αποκατάσταση των αποθεμάτων ιχθύων, συμπεριλαμβανομένων της αναστολής της στοχευόμενης αλιείας, του καθορισμού TAC κάτω από τα μέγιστα συνιστώμενα επίπεδα, της απαγόρευσης της αλιείας κατά τη διάρκεια των περιόδων αναπαραγωγής και του περιορισμού της ερασιτεχνικής αλιείας. Ωστόσο,</w:t>
      </w:r>
      <w:bookmarkStart w:id="4" w:name="_Hlk136090368"/>
      <w:r>
        <w:rPr>
          <w:rFonts w:ascii="Times New Roman" w:hAnsi="Times New Roman"/>
          <w:noProof/>
          <w:sz w:val="24"/>
        </w:rPr>
        <w:t xml:space="preserve"> εάν τα κράτη μέλη δεν υλοποιήσουν και θέσουν πλήρως σε εφαρμογή τη νομοθεσία της ΕΕ,</w:t>
      </w:r>
      <w:bookmarkEnd w:id="4"/>
      <w:r>
        <w:rPr>
          <w:rFonts w:ascii="Times New Roman" w:hAnsi="Times New Roman"/>
          <w:noProof/>
          <w:sz w:val="24"/>
        </w:rPr>
        <w:t>, τα ιχθυαποθέματα δεν θα ανακάμψουν. Στην υπουργική δήλωση του 2020 «</w:t>
      </w:r>
      <w:r>
        <w:rPr>
          <w:rFonts w:ascii="Times New Roman" w:hAnsi="Times New Roman"/>
          <w:i/>
          <w:iCs/>
          <w:noProof/>
          <w:sz w:val="24"/>
        </w:rPr>
        <w:t>Our Baltic</w:t>
      </w:r>
      <w:r>
        <w:rPr>
          <w:rFonts w:ascii="Times New Roman" w:hAnsi="Times New Roman"/>
          <w:noProof/>
          <w:sz w:val="24"/>
        </w:rPr>
        <w:t>» (Η Βαλτική μας), αναλήφθηκε δέσμευση για την πλήρη εφαρμογή του δικαίου της ΕΕ· είναι εξαιρετικά σημαντικό, πλέον, να υλοποιηθεί η εν λόγω εφαρμογή του δικαίου</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rPr>
        <w:t>. Η 2η έκδοση της πρωτοβουλίας «</w:t>
      </w:r>
      <w:r>
        <w:rPr>
          <w:rFonts w:ascii="Times New Roman" w:hAnsi="Times New Roman"/>
          <w:i/>
          <w:noProof/>
          <w:sz w:val="24"/>
        </w:rPr>
        <w:t>Our Baltic</w:t>
      </w:r>
      <w:r>
        <w:rPr>
          <w:rFonts w:ascii="Times New Roman" w:hAnsi="Times New Roman"/>
          <w:noProof/>
          <w:sz w:val="24"/>
        </w:rPr>
        <w:t>» πραγματοποιήθηκε στις 29 Σεπτεμβρίου 2023, συμπεριλαμβανομένης έκθεσης προόδου σχετικά με τις δεσμεύσεις που αναλήφθηκαν το 2020</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rPr>
        <w:t xml:space="preserve">. </w:t>
      </w:r>
    </w:p>
    <w:p w14:paraId="25CEF99B" w14:textId="350FBFCE" w:rsidR="00F80B85" w:rsidRPr="00450B0A" w:rsidRDefault="41224C5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Για να ξεπεραστούν οι επιπτώσεις της ρύπανσης, του ευτροφισμού και της κλιματικής αλλαγής στα θαλάσσια οικοσυστήματα, την αλιεία και την υδατοκαλλιέργεια, είναι σημαντικό να ξεκινήσουμε με τη συμβολή της επιστημονικής κοινότητας. Η επιστήμη παρέχει στους υπευθύνους χάραξης πολιτικής τη δυνατότητα να λαμβάνουν τεκμηριωμένες αποφάσεις και να εφαρμόζουν πλήρως την </w:t>
      </w:r>
      <w:r>
        <w:rPr>
          <w:rFonts w:ascii="Times New Roman" w:hAnsi="Times New Roman"/>
          <w:b/>
          <w:noProof/>
          <w:sz w:val="24"/>
        </w:rPr>
        <w:t>οικοσυστημική προσέγγιση στη διαχείριση της αλιείας και της υδατοκαλλιέργειας</w:t>
      </w:r>
      <w:r>
        <w:rPr>
          <w:rFonts w:ascii="Times New Roman" w:hAnsi="Times New Roman"/>
          <w:noProof/>
          <w:sz w:val="24"/>
        </w:rPr>
        <w:t>, η οποία αποτελεί μία από τις βασικές αρχές της ΚΑΠ και έναν από τους καλύτερους τρόπους για την επίτευξη των στόχων της.</w:t>
      </w:r>
    </w:p>
    <w:p w14:paraId="51CB3260" w14:textId="14F4D950" w:rsidR="00A43D33" w:rsidRPr="00450B0A" w:rsidRDefault="08800382" w:rsidP="540C8F5D">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Τα ύδατα της ΕΕ στον </w:t>
      </w:r>
      <w:r>
        <w:rPr>
          <w:rFonts w:ascii="Times New Roman" w:hAnsi="Times New Roman"/>
          <w:b/>
          <w:noProof/>
          <w:sz w:val="24"/>
        </w:rPr>
        <w:t>Ατλαντικό και στο Skagerrak/Kattegat</w:t>
      </w:r>
      <w:r>
        <w:rPr>
          <w:rFonts w:ascii="Times New Roman" w:hAnsi="Times New Roman"/>
          <w:noProof/>
          <w:sz w:val="24"/>
        </w:rPr>
        <w:t xml:space="preserve"> παρουσιάζουν χαμηλότερες πιέσεις στα ιχθυαποθέματα και διαφορετικές περιβαλλοντικές συνθήκες. Σε αυτές τις θαλάσσιες λεκάνες, η ΕΕ διαχειρίστηκε τα 29 ιχθυαποθέματα με βιώσιμο τρόπο, επιτυγχάνοντας πολλαπλά θετικά αποτελέσματα με υψηλότερα TAC για 5 εξ αυτών το 2024. Οι αλιείς στον Βισκαϊκό Κόλπο έχουν καταβάλει σημαντικές προσπάθειες για την καλή διαχείριση των ιχθυαποθεμάτων, κάτι που οδήγησε σε αλιεία που υπόκειται σε διαχείριση σύμφωνα με τη ΜΒΑ επί σειρά ετών, όπως φαίνεται στην έκθεση της ΕΤΟΕΑ του 2022. Ωστόσο, παρά τις προσπάθειές τους, στον τομέα αυτό σημειώθηκε σημαντική μείωση των αλιευτικών δυνατοτήτων για το 2024, λόγω της νομικής υποχρέωσης να παραμείνουν αυτά σε επίπεδα ΜΒΑ. </w:t>
      </w:r>
    </w:p>
    <w:p w14:paraId="0F8932FA" w14:textId="38AD519B" w:rsidR="00AC0378" w:rsidRPr="00450B0A" w:rsidRDefault="5D5F01F8"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Τα περισσότερα αποθέματα της ΕΕ είναι πλέον κοινά με </w:t>
      </w:r>
      <w:r>
        <w:rPr>
          <w:rFonts w:ascii="Times New Roman" w:hAnsi="Times New Roman"/>
          <w:b/>
          <w:noProof/>
          <w:sz w:val="24"/>
        </w:rPr>
        <w:t>παράκτια κράτη του βορειοανατολικού Ατλαντικού</w:t>
      </w:r>
      <w:r>
        <w:rPr>
          <w:rFonts w:ascii="Times New Roman" w:hAnsi="Times New Roman"/>
          <w:noProof/>
          <w:sz w:val="24"/>
        </w:rPr>
        <w:t xml:space="preserve">. Για περισσότερα από 85 TAC </w:t>
      </w:r>
      <w:r>
        <w:rPr>
          <w:rFonts w:ascii="Times New Roman" w:hAnsi="Times New Roman"/>
          <w:b/>
          <w:noProof/>
          <w:sz w:val="24"/>
        </w:rPr>
        <w:t>από κοινού με το Ηνωμένο Βασίλειο</w:t>
      </w:r>
      <w:r>
        <w:rPr>
          <w:rFonts w:ascii="Times New Roman" w:hAnsi="Times New Roman"/>
          <w:noProof/>
          <w:sz w:val="24"/>
        </w:rPr>
        <w:t>, η ΕΕ και το Ηνωμένο Βασίλειο συμφώνησαν TAC για το 2024 με βάση τις βέλτιστες επιστημονικές γνωμοδοτήσεις, εντός της προθεσμίας που ορίζεται στη συμφωνία εμπορίου και συνεργασίας</w:t>
      </w:r>
      <w:r>
        <w:rPr>
          <w:rStyle w:val="FootnoteReference"/>
          <w:rFonts w:ascii="Times New Roman" w:eastAsia="Times New Roman" w:hAnsi="Times New Roman" w:cs="Times New Roman"/>
          <w:noProof/>
          <w:sz w:val="24"/>
          <w:szCs w:val="24"/>
        </w:rPr>
        <w:footnoteReference w:id="18"/>
      </w:r>
      <w:r>
        <w:rPr>
          <w:rFonts w:ascii="Times New Roman" w:hAnsi="Times New Roman"/>
          <w:noProof/>
          <w:sz w:val="24"/>
        </w:rPr>
        <w:t>. Τα περισσότερα TAC καθορίστηκαν σύμφωνα με τη ΜΒΑ, όπου υπήρχε διαθέσιμη γνωμοδότηση. Δέκα αποθέματα έλαβαν γνωμοδότηση για μηδενικά αλιεύματα το 2024 από το Διεθνές Συμβούλιο για την Εξερεύνηση των Θαλασσών (ICES). Για εννέα από τα αποθέματα αυτά, η ΕΕ και το Ηνωμένο Βασίλειο συμφώνησαν να καθορίσουν χαμηλά TAC παρεμπιπτόντων αλιευμάτων για το 2024, ώστε να αποφευχθούν καταστάσεις περιοριστικής ποσόστωσης σε μικτούς τύπους αλιείας, σύμφωνα με το νομικό πλαίσιο της ΕΕ. Για ένα απόθεμα, η ΕΕ και το Ηνωμένο Βασίλειο συμφώνησαν να καθορίσουν TAC επιστημονικής παρακολούθησης για το 2024, κατόπιν γνωμοδότησης του ICES σχετικά με το TAC</w:t>
      </w:r>
      <w:r>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 xml:space="preserve">. </w:t>
      </w:r>
    </w:p>
    <w:p w14:paraId="3363F784" w14:textId="6C2080B2" w:rsidR="00AC0378" w:rsidRPr="00450B0A" w:rsidRDefault="67D27C2C"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Η βελτίωση της διαχείρισης των κοινών αποθεμάτων που συμφωνήθηκε από την ΕΕ και το Ηνωμένο Βασίλειο στο πλαίσιο της ειδικής επιτροπής αλιείας, ιδίως η ευθυγράμμιση των περιοχών διαχείρισης με τις μονάδες αξιολόγησης που χρησιμοποιεί το ICES, διαδραμάτισε καθοριστικό ρόλο στη βελτίωση της βιώσιμης διαχείρισης των κοινών αποθεμάτων και στην επίτευξη ταχείας και ικανοποιητικής συμφωνίας</w:t>
      </w:r>
      <w:r>
        <w:rPr>
          <w:rStyle w:val="FootnoteReference"/>
          <w:rFonts w:ascii="Times New Roman" w:eastAsia="Times New Roman" w:hAnsi="Times New Roman" w:cs="Times New Roman"/>
          <w:noProof/>
          <w:sz w:val="24"/>
          <w:szCs w:val="24"/>
        </w:rPr>
        <w:footnoteReference w:id="20"/>
      </w:r>
      <w:r>
        <w:rPr>
          <w:rFonts w:ascii="Times New Roman" w:hAnsi="Times New Roman"/>
          <w:noProof/>
          <w:sz w:val="24"/>
        </w:rPr>
        <w:t>.</w:t>
      </w:r>
    </w:p>
    <w:p w14:paraId="1D1B5A66" w14:textId="3DF6EB90" w:rsidR="00AC0378" w:rsidRPr="00450B0A" w:rsidRDefault="5414C148">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Τα περισσότερα αποθέματα που είναι κοινά μεταξύ της </w:t>
      </w:r>
      <w:r>
        <w:rPr>
          <w:rFonts w:ascii="Times New Roman" w:hAnsi="Times New Roman"/>
          <w:b/>
          <w:noProof/>
          <w:sz w:val="24"/>
        </w:rPr>
        <w:t>ΕΕ, της Νορβηγίας και του Ηνωμένου Βασιλείου</w:t>
      </w:r>
      <w:r>
        <w:rPr>
          <w:rFonts w:ascii="Times New Roman" w:hAnsi="Times New Roman"/>
          <w:noProof/>
          <w:sz w:val="24"/>
        </w:rPr>
        <w:t xml:space="preserve"> στη Βόρεια Θάλασσα, παρουσιάζουν θετική τάση. Για το 2024 η ΕΕ, η Νορβηγία και το Ηνωμένο Βασίλειο συμφώνησαν να καθορίσουν TAC για τα εν λόγω αποθέματα σύμφωνα με τη γνωμοδότηση για τη ΜΒΑ. Η συμφωνία για τα TAC περιλαμβάνει αύξηση για τον γάδο, η οποία έχει οριστεί χαμηλότερα σε σχέση με τη γνωμοδότηση όσον αφορά τη ΜΒΑ, για προληπτικούς λόγους. Τα TAC για δύο άλλα αποθέματα καθορίστηκαν κάτω από την τιμή του σημείου ΜΒΑ, ώστε να ληφθεί υπόψη η αλληλεπίδρασή τους με τον γάδο στους μικτούς τύπους αλιείας. Τα TAC για τη ρέγγα της Βόρειας Θάλασσας καθορίστηκαν σύμφωνα με τις επιστημονικές γνωμοδοτήσεις, ενώ τα μέρη συμφώνησαν να συνεχίσουν τον περιορισμό των αλιευμάτων στο Skagerrak-Kattegat, ώστε να μετριαστούν οι επιπτώσεις στο εξαντλημένο απόθεμα ρέγγας της δυτικής Βαλτικής. Τα TAC για τα δύο υπό αξιολόγηση </w:t>
      </w:r>
      <w:r>
        <w:rPr>
          <w:rFonts w:ascii="Times New Roman" w:hAnsi="Times New Roman"/>
          <w:b/>
          <w:noProof/>
          <w:sz w:val="24"/>
        </w:rPr>
        <w:t>αποθέματα που αποτέλεσαν αντικείμενο διμερούς διαχείρισης με τη Νορβηγία</w:t>
      </w:r>
      <w:r>
        <w:rPr>
          <w:rFonts w:ascii="Times New Roman" w:hAnsi="Times New Roman"/>
          <w:noProof/>
          <w:sz w:val="24"/>
        </w:rPr>
        <w:t xml:space="preserve"> στο Skagerrak-Kattegat καθορίστηκαν σύμφωνα με τη ΜΒΑ ή την προληπτική γνωμοδότηση</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w:t>
      </w:r>
    </w:p>
    <w:p w14:paraId="3D67AD8F" w14:textId="46ABAB8A" w:rsidR="00AC0378" w:rsidRPr="00450B0A" w:rsidRDefault="553653D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Για το σκουμπρί, το προσφυγάκι και τη ρέγγα Ατλαντικού-Σκανδιναβίας, αποθέματα που </w:t>
      </w:r>
      <w:r>
        <w:rPr>
          <w:rFonts w:ascii="Times New Roman" w:hAnsi="Times New Roman"/>
          <w:b/>
          <w:noProof/>
          <w:sz w:val="24"/>
        </w:rPr>
        <w:t>κατανέμονται ευρέως</w:t>
      </w:r>
      <w:r>
        <w:rPr>
          <w:rFonts w:ascii="Times New Roman" w:hAnsi="Times New Roman"/>
          <w:noProof/>
          <w:sz w:val="24"/>
        </w:rPr>
        <w:t xml:space="preserve"> στον βορειοανατολικό Ατλαντικό</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τα παράκτια κράτη</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xml:space="preserve"> συμφώνησαν να καθορίσουν συνολικά TAC για το 2024 σε επίπεδο ΜΒΑ. Ωστόσο, ελλείψει συμφωνιών κατανομής και λόγω μονομερών ενεργειών από ορισμένα μέρη, συμπεριλαμβανομένων των υπερβολικών μεταφορών από έτος σε έτος, το άθροισμα των ποσοστώσεων από τα παράκτια κράτη και τα αλιευτικά μέρη εξακολουθεί να υπερβαίνει τα συνολικά συμφωνηθέντα TAC. </w:t>
      </w:r>
      <w:bookmarkStart w:id="5" w:name="_Hlk135661612"/>
      <w:r>
        <w:rPr>
          <w:rFonts w:ascii="Times New Roman" w:hAnsi="Times New Roman"/>
          <w:noProof/>
          <w:sz w:val="24"/>
        </w:rPr>
        <w:t xml:space="preserve">Αυτό υπονομεύει περαιτέρω τη βιωσιμότητα των εν λόγω αποθεμάτων, παρεμποδίζει την πρόοδο που έχει σημειωθεί όσον αφορά την επίτευξη συμφωνιών παράκτιων κρατών και, γενικότερα, έχει πιέσει τη συνεργασία σε αυτά τα φόρουμ. </w:t>
      </w:r>
      <w:bookmarkEnd w:id="5"/>
      <w:r>
        <w:rPr>
          <w:rFonts w:ascii="Times New Roman" w:hAnsi="Times New Roman"/>
          <w:noProof/>
          <w:sz w:val="24"/>
        </w:rPr>
        <w:t>Η ΕΕ παραμένει προσηλωμένη στην επίτευξη βιώσιμης έκβασης των συζητήσεων για τη ρέγγα. Εξακολουθεί να συμμετέχει ενεργά σε συζητήσεις με άλλα παράκτια κράτη και αλιευτικά μέρη με στόχο τη σύναψη νέων συνολικών ρυθμίσεων επιμερισμού για τη βιώσιμη διαχείριση των εν λόγω αποθεμάτων.</w:t>
      </w:r>
    </w:p>
    <w:p w14:paraId="4D7A0AC2" w14:textId="3E881190" w:rsidR="00AC0378" w:rsidRPr="00450B0A" w:rsidRDefault="2775AE23"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Μεσόγειος και ο Εύξεινος Πόντος</w:t>
      </w:r>
      <w:r>
        <w:rPr>
          <w:rFonts w:ascii="Times New Roman" w:hAnsi="Times New Roman"/>
          <w:noProof/>
          <w:sz w:val="24"/>
        </w:rPr>
        <w:t xml:space="preserve"> φιλοξενούν πολυειδικού τύπου αλιεία, ενώ πολλά αποθέματα είναι κοινά με τρίτες χώρες. Το ποσοστό θνησιμότητας λόγω αλιείας προσεγγίζει ένα βιώσιμο επίπεδο για ορισμένα αποθέματα. Το 2021, 26 αποθέματα πέτυχαν τον δείκτη F</w:t>
      </w:r>
      <w:r>
        <w:rPr>
          <w:rFonts w:ascii="Times New Roman" w:hAnsi="Times New Roman"/>
          <w:noProof/>
          <w:sz w:val="24"/>
          <w:vertAlign w:val="subscript"/>
        </w:rPr>
        <w:t>MSY</w:t>
      </w:r>
      <w:r>
        <w:rPr>
          <w:rFonts w:ascii="Times New Roman" w:hAnsi="Times New Roman"/>
          <w:noProof/>
          <w:sz w:val="24"/>
        </w:rPr>
        <w:t xml:space="preserve"> ή χαμηλότερα επίπεδα, αλλά 38 αποθέματα εξακολουθούν να αλιεύονται πάνω από βιώσιμα επίπεδα. </w:t>
      </w:r>
      <w:bookmarkStart w:id="6" w:name="_Hlk132739563"/>
      <w:bookmarkStart w:id="7" w:name="_Hlk135596938"/>
      <w:r>
        <w:rPr>
          <w:rFonts w:ascii="Times New Roman" w:hAnsi="Times New Roman"/>
          <w:noProof/>
          <w:sz w:val="24"/>
        </w:rPr>
        <w:t>Πρέπει να συνεχιστεί η δράση για τη μείωση της αλιείας</w:t>
      </w:r>
      <w:bookmarkEnd w:id="6"/>
      <w:r>
        <w:rPr>
          <w:rFonts w:ascii="Times New Roman" w:hAnsi="Times New Roman"/>
          <w:noProof/>
          <w:sz w:val="24"/>
        </w:rPr>
        <w:t xml:space="preserve"> και την επίτευξη της ΜΒΑ. Για τον σκοπό αυτό, τα κράτη πρέπει να εφαρμόσουν το πολυετές σχέδιο για τη Δυτική Μεσόγειο</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xml:space="preserve"> και τη στρατηγική για το 2030 της Γενικής Επιτροπής Αλιείας για τη Μεσόγειο (ΓΕΑΜ)</w:t>
      </w:r>
      <w:r>
        <w:rPr>
          <w:rStyle w:val="FootnoteReference"/>
          <w:rFonts w:ascii="Times New Roman" w:eastAsia="Times New Roman" w:hAnsi="Times New Roman" w:cs="Times New Roman"/>
          <w:noProof/>
          <w:sz w:val="24"/>
          <w:szCs w:val="24"/>
        </w:rPr>
        <w:footnoteReference w:id="25"/>
      </w:r>
      <w:r>
        <w:rPr>
          <w:rFonts w:ascii="Times New Roman" w:hAnsi="Times New Roman"/>
          <w:noProof/>
          <w:sz w:val="24"/>
        </w:rPr>
        <w:t xml:space="preserve">. </w:t>
      </w:r>
      <w:bookmarkEnd w:id="7"/>
      <w:r>
        <w:rPr>
          <w:rFonts w:ascii="Times New Roman" w:hAnsi="Times New Roman"/>
          <w:noProof/>
          <w:sz w:val="24"/>
        </w:rPr>
        <w:t>Για το 2024 οι αλιευτικές δυνατότητες συνάδουν με ένα σημαντικό σύνολο μέτρων που εγκρίθηκαν στον κανονισμό για τις αλιευτικές δυνατότητες του 2023 όσον αφορά την εφαρμογή του πολυετούς σχεδίου για τη Δυτική Μεσόγειο.</w:t>
      </w:r>
    </w:p>
    <w:p w14:paraId="5DFB9D13" w14:textId="35DBDEFE" w:rsidR="00AC0378" w:rsidRPr="00450B0A" w:rsidRDefault="1AB85B2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Κατά τη μεταβατική φάση του πολυετούς σχεδίου για τη </w:t>
      </w:r>
      <w:r>
        <w:rPr>
          <w:rFonts w:ascii="Times New Roman" w:hAnsi="Times New Roman"/>
          <w:b/>
          <w:noProof/>
          <w:sz w:val="24"/>
        </w:rPr>
        <w:t>Δυτική Μεσόγειο</w:t>
      </w:r>
      <w:r>
        <w:rPr>
          <w:rFonts w:ascii="Times New Roman" w:hAnsi="Times New Roman"/>
          <w:noProof/>
          <w:sz w:val="24"/>
        </w:rPr>
        <w:t xml:space="preserve"> και για την επίτευξη της ΜΒΑ έως το 2025, οι αλιευτικές δυνατότητες για το 2024</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rPr>
        <w:t xml:space="preserve"> ακολουθούν </w:t>
      </w:r>
      <w:r>
        <w:rPr>
          <w:rFonts w:ascii="Times New Roman" w:hAnsi="Times New Roman"/>
          <w:b/>
          <w:noProof/>
          <w:sz w:val="24"/>
        </w:rPr>
        <w:t>ολοκληρωμένη προσέγγιση</w:t>
      </w:r>
      <w:r>
        <w:rPr>
          <w:rFonts w:ascii="Times New Roman" w:hAnsi="Times New Roman"/>
          <w:noProof/>
          <w:sz w:val="24"/>
        </w:rPr>
        <w:t>. Η προσέγγιση αυτή βασίζεται σε εργαλεία διαχείρισης και αναπτύσσει τον μηχανισμό αντιστάθμισης που ενθαρρύνει τα κράτη να χρησιμοποιούν πιο επιλεκτικά εργαλεία και να απαγορεύουν την αλιεία σε ορισμένες περιοχές. Τα κράτη μέλη ενθαρρύνονται να συνεχίσουν να κάνουν χρήση αυτού του μηχανισμού. Το Συμβούλιο έχει επίσης καθορίσει ανώτατα όρια αλιευμάτων για το 2024 για τις πλέον υπεραλιευόμενες γαρίδες βαθέων υδάτων και έχει διατηρήσει ανώτατα όρια αλιευτικής προσπάθειας για τα παραγαδιάρικα σκάφη.</w:t>
      </w:r>
    </w:p>
    <w:p w14:paraId="183A148D" w14:textId="3BDF4349" w:rsidR="00AC0378" w:rsidRPr="00450B0A" w:rsidRDefault="001D630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Οι εντατικές εργασίες στο πλαίσιο της </w:t>
      </w:r>
      <w:r>
        <w:rPr>
          <w:rFonts w:ascii="Times New Roman" w:hAnsi="Times New Roman"/>
          <w:b/>
          <w:noProof/>
          <w:sz w:val="24"/>
        </w:rPr>
        <w:t>ΓΕΑΜ</w:t>
      </w:r>
      <w:r>
        <w:rPr>
          <w:rFonts w:ascii="Times New Roman" w:hAnsi="Times New Roman"/>
          <w:noProof/>
          <w:sz w:val="24"/>
        </w:rPr>
        <w:t xml:space="preserve">, που υποστηρίζονται από τη σταθερή θέση της ΕΕ στις περιφερειακές οργανώσεις διαχείρισης αλιείας (ΠΟΔΑ), οδήγησαν στην έκδοση σημαντικών αποφάσεων. Κυρίως, οδήγησαν σε δύο πολυετή σχέδια διαχείρισης και στη θέσπιση ανώτατων ορίων αλιευμάτων για το κυνηγό στη Μεσόγειο θάλασσα, στην παγίωση των μέτρων διαχείρισης για το ευρωπαϊκό χέλι στη Μεσόγειο θάλασσα σε όλους τους οικοτόπους, συμπεριλαμβανομένων των γλυκών υδάτων, και σε περαιτέρω μέτρα για τη μείωση της θνησιμότητας λόγω αλιείας για το υαλόχελο. </w:t>
      </w:r>
    </w:p>
    <w:p w14:paraId="18C5D1A0" w14:textId="74A4676E" w:rsidR="00AC0378" w:rsidRPr="00450B0A" w:rsidRDefault="6EADFA5A"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Η ΓΕΑΜ συνέχισε, επίσης, να εφαρμόζει τα δύο μακροπρόθεσμα σχέδια διαχείρισης της Αδριατικής για την παροχή υψηλών μακροπρόθεσμων αποδόσεων, που συνάδουν με τη ΜΒΑ. Για τη συνέχιση της εφαρμογής του πολυετούς σχεδίου για τα μικρά πελαγικά είδη, η ΓΕΑΜ καθόρισε χαμηλότερα όρια αλιευμάτων για το 2024 για τον γαύρο και τη σαρδέλα, καθώς και πάγωμα της αλιευτικής ικανότητας για τις πελαγικές μηχανότρατες και τα σκάφη γρι-γρι. Όσον αφορά το πολυετές σχέδιο για τα βενθοπελαγικά αποθέματα στην Αδριατική, η ΓΕΑΜ καθόρισε ανώτατο όριο αλιευτικής προσπάθειας τόσο για τις τράτες βυθού όσο και για τις δοκότρατες, προκειμένου να επιτευχθεί η ΜΒΑ το 2026 και για τα 5 βασικά αποθέματα (μπακαλιάρος μερλούκιος, καραβίδα, γλώσσα, κόκκινη γαρίδα βαθέων υδάτων και κουτσομούρα). Εγκρίθηκαν χαμηλότερα όρια αλιευμάτων στο πλαίσιο των τεσσάρων πολυετών σχεδίων για τη διαχείριση της γαρίδας βαθέων υδάτων στο Ιόνιο Πέλαγος, στη Θάλασσα της Ανατολικής Μεσογείου και στο στενό της Σικελίας (συμπεριλαμβανομένης της διαχείρισης της αλιευτικής προσπάθειας για τον μπακαλιάρο μερλούκιο). Η ΓΕΑΜ θέσπισε όρια συγκομιδής για το κόκκινο κοράλλι. Όσον αφορά τον Εύξεινο Πόντο, ορίστηκε TAC για το καλκάνι βάσει του σχεδίου της ΓΕΑΜ, καθώς και ανεξάρτητη ποσόστωση της ΕΕ για την παπαλίνα.</w:t>
      </w:r>
    </w:p>
    <w:p w14:paraId="1E50E8E2" w14:textId="3861461F" w:rsidR="00DF660B" w:rsidRPr="00450B0A" w:rsidRDefault="1131CED6">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Η ΕΕ συμφώνησε σχετικά με μέτρα για το </w:t>
      </w:r>
      <w:r>
        <w:rPr>
          <w:rFonts w:ascii="Times New Roman" w:hAnsi="Times New Roman"/>
          <w:b/>
          <w:noProof/>
          <w:sz w:val="24"/>
        </w:rPr>
        <w:t>ευρωπαϊκό χέλι</w:t>
      </w:r>
      <w:r>
        <w:rPr>
          <w:rStyle w:val="FootnoteReference"/>
          <w:rFonts w:ascii="Times New Roman" w:eastAsia="Times New Roman" w:hAnsi="Times New Roman" w:cs="Times New Roman"/>
          <w:b/>
          <w:bCs/>
          <w:noProof/>
          <w:sz w:val="24"/>
          <w:szCs w:val="24"/>
        </w:rPr>
        <w:footnoteReference w:id="27"/>
      </w:r>
      <w:r>
        <w:rPr>
          <w:rFonts w:ascii="Times New Roman" w:hAnsi="Times New Roman"/>
          <w:b/>
          <w:noProof/>
          <w:sz w:val="24"/>
        </w:rPr>
        <w:t xml:space="preserve"> στα θαλάσσια και παρακείμενα υφάλμυρα ύδατα στον βορειοανατολικό Ατλαντικό (συμπεριλαμβανομένης της Βαλτικής θάλασσας)</w:t>
      </w:r>
      <w:r>
        <w:rPr>
          <w:rFonts w:ascii="Times New Roman" w:hAnsi="Times New Roman"/>
          <w:noProof/>
          <w:sz w:val="24"/>
        </w:rPr>
        <w:t>, συνεχίζοντας την εξάμηνη περίοδο απαγόρευσης της αλιείας. Συμφώνησε επίσης για μια περίοδο απαγόρευσης που θα συμπίπτει με τη μετανάστευση των νεαρών χελιών και θα προστατεύει τα ώριμα για αναπαραγωγή χέλια κατά τη μετακίνηση μεταξύ της θάλασσας και των ποταμών. Τα εν λόγω μέτρα θα αποτελέσουν αντικείμενο αυξημένης παρακολούθησης κατά τη διάρκεια του 2024. Η Επιτροπή θα συνεχίσει να παρακολουθεί στενά την πρόοδο όσον αφορά την εφαρμογή των μέτρων που προβλέπονται στην κοινή δήλωση</w:t>
      </w:r>
      <w:r>
        <w:rPr>
          <w:rFonts w:ascii="Times New Roman" w:eastAsia="Times New Roman" w:hAnsi="Times New Roman" w:cs="Times New Roman"/>
          <w:noProof/>
          <w:sz w:val="24"/>
          <w:szCs w:val="24"/>
          <w:vertAlign w:val="superscript"/>
        </w:rPr>
        <w:footnoteReference w:id="28"/>
      </w:r>
      <w:r>
        <w:rPr>
          <w:rFonts w:ascii="Times New Roman" w:hAnsi="Times New Roman"/>
          <w:noProof/>
          <w:sz w:val="24"/>
        </w:rPr>
        <w:t xml:space="preserve"> για την ενίσχυση της ανασύστασης του αποθέματος ευρωπαϊκού χελιού, η οποία υπεγράφη από την Επιτροπή και ορισμένα κράτη μέλη</w:t>
      </w:r>
      <w:r>
        <w:rPr>
          <w:rStyle w:val="FootnoteReference"/>
          <w:rFonts w:ascii="Times New Roman" w:eastAsia="Times New Roman" w:hAnsi="Times New Roman" w:cs="Times New Roman"/>
          <w:noProof/>
          <w:sz w:val="24"/>
          <w:szCs w:val="24"/>
        </w:rPr>
        <w:footnoteReference w:id="29"/>
      </w:r>
      <w:r>
        <w:rPr>
          <w:rFonts w:ascii="Times New Roman" w:hAnsi="Times New Roman"/>
          <w:noProof/>
          <w:sz w:val="24"/>
        </w:rPr>
        <w:t xml:space="preserve">. </w:t>
      </w:r>
    </w:p>
    <w:p w14:paraId="55C30320" w14:textId="1F75BA31" w:rsidR="00AC0378" w:rsidRPr="00450B0A" w:rsidRDefault="001D6309" w:rsidP="00967949">
      <w:pPr>
        <w:pStyle w:val="Heading1"/>
        <w:numPr>
          <w:ilvl w:val="0"/>
          <w:numId w:val="7"/>
        </w:numPr>
        <w:rPr>
          <w:noProof/>
          <w:szCs w:val="24"/>
        </w:rPr>
      </w:pPr>
      <w:r>
        <w:rPr>
          <w:noProof/>
        </w:rPr>
        <w:t>Κατάσταση του στόλου της ΕΕ</w:t>
      </w:r>
    </w:p>
    <w:p w14:paraId="355BD198" w14:textId="136DF765" w:rsidR="00AC0378" w:rsidRPr="00450B0A" w:rsidRDefault="5B51FFA5" w:rsidP="13D482FB">
      <w:pPr>
        <w:jc w:val="both"/>
        <w:rPr>
          <w:rFonts w:ascii="Times New Roman" w:eastAsia="Times New Roman" w:hAnsi="Times New Roman" w:cs="Times New Roman"/>
          <w:noProof/>
          <w:sz w:val="24"/>
          <w:szCs w:val="24"/>
        </w:rPr>
      </w:pPr>
      <w:r>
        <w:rPr>
          <w:rFonts w:ascii="Times New Roman" w:hAnsi="Times New Roman"/>
          <w:noProof/>
          <w:sz w:val="24"/>
        </w:rPr>
        <w:t>Τα κράτη μέλη πρέπει να διατηρούν τους στόλους κάτω από τα εθνικά ανώτατα όρια που έχουν καθοριστεί όσον αφορά την ικανότητα των σκαφών [όσον αφορά την ολική χωρητικότητα (GT) και την ισχύ κινητήρα (kW)]. Τα κράτη μέλη που διαθέτουν τμήματα στόλου με σαφή έλλειψη ισορροπίας πρέπει να υποβάλουν σχέδια δράσης που καθορίζουν στόχους προσαρμογής και εργαλεία για την επίτευξη ισορροπίας με σαφές χρονοδιάγραμμα εφαρμογής. Οποιαδήποτε ικανότητα που αντιστοιχεί στα αλιευτικά σκάφη που αποσύρονται με δημόσια ενίσχυση δεν αναπληρώνεται</w:t>
      </w:r>
      <w:r>
        <w:rPr>
          <w:rStyle w:val="FootnoteReference"/>
          <w:rFonts w:ascii="Times New Roman" w:eastAsia="Times New Roman" w:hAnsi="Times New Roman" w:cs="Times New Roman"/>
          <w:noProof/>
          <w:sz w:val="24"/>
          <w:szCs w:val="24"/>
        </w:rPr>
        <w:footnoteReference w:id="30"/>
      </w:r>
      <w:r>
        <w:rPr>
          <w:rFonts w:ascii="Times New Roman" w:hAnsi="Times New Roman"/>
          <w:noProof/>
          <w:sz w:val="24"/>
        </w:rPr>
        <w:t>.</w:t>
      </w:r>
    </w:p>
    <w:p w14:paraId="1E848E6F" w14:textId="4C51FFF6" w:rsidR="00AC0378" w:rsidRPr="00450B0A" w:rsidRDefault="7470D170" w:rsidP="13D482FB">
      <w:pPr>
        <w:jc w:val="both"/>
        <w:rPr>
          <w:rFonts w:ascii="Times New Roman" w:eastAsia="Times New Roman" w:hAnsi="Times New Roman" w:cs="Times New Roman"/>
          <w:noProof/>
          <w:sz w:val="24"/>
          <w:szCs w:val="24"/>
        </w:rPr>
      </w:pPr>
      <w:r>
        <w:rPr>
          <w:rFonts w:ascii="Times New Roman" w:hAnsi="Times New Roman"/>
          <w:noProof/>
          <w:sz w:val="24"/>
        </w:rPr>
        <w:t>Από το 2022 ο αριθμός των σκαφών, η ολική χωρητικότητα και η ισχύς κινητήρα έχουν μειωθεί κατά 0,44 %, 0,52 % και 0,10 %, αντίστοιχα. Ως εκ τούτου, έως τις 31 Δεκεμβρίου 2023, ο στόλος που νηολογήθηκε στην ΕΕ</w:t>
      </w:r>
      <w:r>
        <w:rPr>
          <w:rStyle w:val="FootnoteReference"/>
          <w:rFonts w:ascii="Times New Roman" w:eastAsia="Times New Roman" w:hAnsi="Times New Roman" w:cs="Times New Roman"/>
          <w:noProof/>
          <w:sz w:val="24"/>
          <w:szCs w:val="24"/>
        </w:rPr>
        <w:footnoteReference w:id="31"/>
      </w:r>
      <w:r>
        <w:rPr>
          <w:rFonts w:ascii="Times New Roman" w:hAnsi="Times New Roman"/>
          <w:noProof/>
          <w:sz w:val="24"/>
        </w:rPr>
        <w:t xml:space="preserve"> περιλάμβανε 71 608 σκάφη χωρητικότητας 1 305 115 GT και ισχύος 5 226 554 kW.</w:t>
      </w:r>
    </w:p>
    <w:p w14:paraId="29322C95" w14:textId="35F62141" w:rsidR="003B2888" w:rsidRDefault="5B51FFA5" w:rsidP="055F1019">
      <w:pPr>
        <w:jc w:val="both"/>
        <w:rPr>
          <w:rFonts w:ascii="Times New Roman" w:eastAsia="Times New Roman" w:hAnsi="Times New Roman" w:cs="Times New Roman"/>
          <w:noProof/>
          <w:sz w:val="24"/>
          <w:szCs w:val="24"/>
        </w:rPr>
      </w:pPr>
      <w:r>
        <w:rPr>
          <w:rFonts w:ascii="Times New Roman" w:hAnsi="Times New Roman"/>
          <w:noProof/>
          <w:sz w:val="24"/>
        </w:rPr>
        <w:t>Τα κράτη μέλη ανέφεραν στις εκθέσεις τους για το 2023 ότι οι στόλοι τους είναι κάτω από τα ανώτατα όρια και πληρούν τις απαιτήσεις του άρθρου 22 του κανονισμού ΚΑΠ. Ωστόσο, εξακολουθούν να υπάρχουν ανησυχίες σχετικά με την ακρίβεια και την αξιοπιστία των δεδομένων στα οποία βασίζονται οι εθνικές εκθέσεις και την ακρίβεια των σχεδίων δράσης των κρατών μελών. Ορισμένα κράτη μέλη θεωρούν ότι δεν χρειάζεται να υποβάλουν σχέδια δράσης παρά το γεγονός ότι διαθέτουν τμήματα του στόλου με «ερυθρούς» δείκτες,</w:t>
      </w:r>
      <w:r>
        <w:rPr>
          <w:rStyle w:val="FootnoteReference"/>
          <w:rFonts w:ascii="Times New Roman" w:eastAsia="Times New Roman" w:hAnsi="Times New Roman" w:cs="Times New Roman"/>
          <w:noProof/>
          <w:sz w:val="24"/>
          <w:szCs w:val="24"/>
        </w:rPr>
        <w:footnoteReference w:id="32"/>
      </w:r>
      <w:r>
        <w:rPr>
          <w:rFonts w:ascii="Times New Roman" w:hAnsi="Times New Roman"/>
          <w:noProof/>
          <w:sz w:val="24"/>
        </w:rPr>
        <w:t xml:space="preserve"> που δείχνουν ότι τα τμήματα αυτά δεν είναι σε ισορροπία. </w:t>
      </w:r>
    </w:p>
    <w:p w14:paraId="604819FF" w14:textId="52DAFE42" w:rsidR="003B2888" w:rsidRDefault="65DC35FD" w:rsidP="4C1DFF91">
      <w:pPr>
        <w:jc w:val="both"/>
        <w:rPr>
          <w:rFonts w:ascii="Times New Roman" w:eastAsia="Times New Roman" w:hAnsi="Times New Roman" w:cs="Times New Roman"/>
          <w:noProof/>
          <w:sz w:val="24"/>
          <w:szCs w:val="24"/>
        </w:rPr>
      </w:pPr>
      <w:r>
        <w:rPr>
          <w:rFonts w:ascii="Times New Roman" w:hAnsi="Times New Roman"/>
          <w:noProof/>
          <w:sz w:val="24"/>
        </w:rPr>
        <w:t xml:space="preserve">Χρησιμοποιούνται διαφορετικές παράμετροι για την αξιολόγηση του κατά πόσον ένας στόλος βρίσκεται σε ισορροπία. Για παράδειγμα, τα μη επικερδή ή υποχρησιμοποιούμενα τμήματα του στόλου μπορεί να υποδεικνύουν ότι τα τμήματα του στόλου είναι τακτικά ή μόνιμα ακινητοποιημένα και ανενεργά. Ομοίως, εάν πολλά σκάφη αλιεύουν λιγότερο χρόνο απ’ ό,τι θα μπορούσαν, τότε το τμήμα του στόλου μπορεί να είναι υπερβολικά μεγάλο για τους διαθέσιμους πόρους από τους οποίους εξαρτώνται τα σκάφη. </w:t>
      </w:r>
    </w:p>
    <w:p w14:paraId="52AA3BEC" w14:textId="78FDBA93" w:rsidR="00030A2D" w:rsidRPr="00450B0A" w:rsidRDefault="36BFE39F" w:rsidP="13D482FB">
      <w:pPr>
        <w:jc w:val="both"/>
        <w:rPr>
          <w:rFonts w:ascii="Times New Roman" w:eastAsia="Times New Roman" w:hAnsi="Times New Roman" w:cs="Times New Roman"/>
          <w:noProof/>
          <w:sz w:val="24"/>
          <w:szCs w:val="24"/>
        </w:rPr>
      </w:pPr>
      <w:r>
        <w:rPr>
          <w:rFonts w:ascii="Times New Roman" w:hAnsi="Times New Roman"/>
          <w:noProof/>
          <w:sz w:val="24"/>
        </w:rPr>
        <w:t>Αρκετά τμήματα εξακολουθούν να μη διαθέτουν στοιχεία για να αξιολογήσουν πλήρως εάν είναι σε ισορροπία. Τα κράτη μέλη καλούνται να εντείνουν τις προσπάθειές τους για τη συλλογή δεδομένων, ιδίως σε τομείς όπου οι πληροφορίες είναι περιορισμένες, όπως οι εξόχως απόκεντρες περιοχές. Για τον σκοπό αυτό, η Επιτροπή εργάζεται για την έγκριση ειδικών κατευθυντήριων γραμμών για την αξιολόγηση της ισορροπίας ορισμένων τμημάτων του στόλου στις εξόχως απόκεντρες περιοχές, εισάγοντας εναλλακτικές μεθόδους για την κατάρτιση ορισμένων δεικτών που χρησιμοποιούνται για την αξιολόγηση της ισορροπίας. Στην ανακοίνωση για την ΚΑΠ του 2023</w:t>
      </w:r>
      <w:r>
        <w:rPr>
          <w:rStyle w:val="FootnoteReference"/>
          <w:rFonts w:ascii="Times New Roman" w:eastAsia="Times New Roman" w:hAnsi="Times New Roman" w:cs="Times New Roman"/>
          <w:noProof/>
          <w:sz w:val="24"/>
          <w:szCs w:val="24"/>
        </w:rPr>
        <w:footnoteReference w:id="33"/>
      </w:r>
      <w:r>
        <w:rPr>
          <w:rFonts w:ascii="Times New Roman" w:hAnsi="Times New Roman"/>
          <w:noProof/>
          <w:sz w:val="24"/>
        </w:rPr>
        <w:t>, η Επιτροπή κάλεσε τα κράτη μέλη να αυξήσουν τη διαφάνεια και την ευελιξία στη διαχείριση της αλιευτικής τους ικανότητας και να εξετάσουν το ενδεχόμενο της πιθανής ανακατανομής της αχρησιμοποίητης αλιευτικής ικανότητας για διαρθρωτικές επενδύσεις επί του σκάφους. Για τα τμήματα του στόλου που δεν βρίσκονται σε ισορροπία, τα κράτη μέλη καταρτίζουν νέα ή επικαιροποιημένα σχέδια δράσης στο πλαίσιο των εθνικών τους εκθέσεων για τον στόλο.</w:t>
      </w:r>
    </w:p>
    <w:p w14:paraId="185A3B1B" w14:textId="1A2C3983" w:rsidR="00AC0378" w:rsidRPr="00450B0A" w:rsidRDefault="001D6309" w:rsidP="00967949">
      <w:pPr>
        <w:pStyle w:val="Heading1"/>
        <w:numPr>
          <w:ilvl w:val="0"/>
          <w:numId w:val="7"/>
        </w:numPr>
        <w:rPr>
          <w:noProof/>
        </w:rPr>
      </w:pPr>
      <w:r>
        <w:rPr>
          <w:noProof/>
        </w:rPr>
        <w:t>Κοινωνικοοικονομικές επιδόσεις</w:t>
      </w:r>
    </w:p>
    <w:p w14:paraId="08F28548" w14:textId="01CCE498" w:rsidR="34D99955" w:rsidRPr="00450B0A" w:rsidRDefault="3AA1FE65" w:rsidP="055F1019">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Μετά την εκτίναξη των τιμών των καυσίμων στα 1,2 EUR ανά λίτρο το 2022, οι τιμές μειώθηκαν σταδιακά σε 0,8-0,9 EUR ανά λίτρο το πρώτο τρίμηνο του 2024. Σε τρέχουσες τιμές, ο αλιευτικός στόλος της ΕΕ μπορεί να αναμένει ότι θα παράγει ακαθάριστη προστιθέμενη αξία περίπου 2,5 δισ. EUR, θα καλύπτει τις λειτουργικές δαπάνες του και θα διατηρεί θέσεις εργασίας και μισθούς για περίπου 122 000 αλιείς. Πρόκειται για σημαντική βελτίωση σε σύγκριση με το 2022, όταν οι περισσότεροι αλιευτικοί στόλοι της ΕΕ δεν ήταν σε θέση να καλύψουν τις λειτουργικές δαπάνες τους. </w:t>
      </w:r>
    </w:p>
    <w:p w14:paraId="5C63A118" w14:textId="6FA583C1" w:rsidR="34D99955" w:rsidRPr="00450B0A" w:rsidRDefault="59DCE416" w:rsidP="366F6422">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Αν και συνολικά οι περισσότεροι εθνικοί στόλοι αναμένεται να είναι κερδοφόροι το 2024, από κοινωνικοοικονομική ανάλυση προκύπτει ότι ορισμένα τμήματα του στόλου θα αντιμετωπίσουν δύσκολες συνθήκες, ιδίως εκείνα που εξαρτώνται από τα υπεραλιευόμενα αποθέματα και χρησιμοποιούν ενεργοβόρα αλιευτικά εργαλεία. Αντιθέτως, τα τμήματα του στόλου που εξαρτώνται από αποθέματα τα οποία αποτελούν αντικείμενο βιώσιμης εκμετάλλευσης και έχουν αυξήσει την ενεργειακή τους απόδοση, τείνουν να έχουν καλύτερες επιδόσεις και να αποφέρουν υψηλότερους μισθούς για τα πληρώματά τους. Αυτό καταδεικνύει τα σημαντικά κοινωνικοοικονομικά οφέλη όσον αφορά τη διατήρηση των αποθεμάτων και την ενεργειακή απόδοση των αλιευτικών στόλων της ΕΕ. </w:t>
      </w:r>
    </w:p>
    <w:p w14:paraId="252A80D1" w14:textId="32D707A6" w:rsidR="00967949" w:rsidRPr="00450B0A" w:rsidRDefault="76FDF240" w:rsidP="4C1DFF91">
      <w:pPr>
        <w:jc w:val="both"/>
        <w:rPr>
          <w:rFonts w:ascii="Times New Roman" w:hAnsi="Times New Roman" w:cs="Times New Roman"/>
          <w:noProof/>
          <w:sz w:val="24"/>
          <w:szCs w:val="24"/>
        </w:rPr>
      </w:pPr>
      <w:r>
        <w:rPr>
          <w:rFonts w:ascii="Times New Roman" w:hAnsi="Times New Roman"/>
          <w:noProof/>
          <w:sz w:val="24"/>
        </w:rPr>
        <w:t>Αν και οι τιμές των καυσίμων έχουν μειωθεί, η ενέργεια παραμένει ένα από τα σημαντικότερα στοιχεία κόστους για τον αλιευτικό στόλο της ΕΕ το 2024. Αυτή η ευάλωτη θέση οφείλεται στο υψηλό επίπεδο ενεργειακής έντασης πολλών στόλων και στο υψηλό επίπεδο εξάρτησης από τα ορυκτά καύσιμα. Όσον αφορά αυτή την πτυχή, η Επιτροπή πρότεινε διάφορες δράσεις στην ανακοίνωση σχετικά με την ενεργειακή μετάβαση της αλιείας και της υδατοκαλλιέργειας της ΕΕ</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για να βοηθήσει τους αλιευτικούς στόλους της ΕΕ να επιταχύνουν την ενεργειακή τους μετάβαση και να επιτύχουν τον στόχο της κλιματικής ουδετερότητας έως το 2050. Οι δράσεις περιλάμβαναν τη δημιουργία της εταιρικής σχέσης για την ενεργειακή μετάβαση της αλιείας και της υδατοκαλλιέργειας της ΕΕ</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και την έκδοση οδηγού προς τα ενδιαφερόμενα μέρη και τα κράτη μέλη σχετικά με τον βέλτιστο τρόπο χρήσης του Ευρωπαϊκού Ταμείου Θάλασσας, Αλιείας και Υδατοκαλλιέργειας (ΕΤΘΑΥ) και άλλων υφιστάμενων ταμείων της ΕΕ για τη στήριξη της ενεργειακής μετάβασης. </w:t>
      </w:r>
    </w:p>
    <w:p w14:paraId="254C40D9" w14:textId="24FBFD65" w:rsidR="00AC0378" w:rsidRPr="00450B0A" w:rsidRDefault="001D6309" w:rsidP="00967949">
      <w:pPr>
        <w:pStyle w:val="Heading1"/>
        <w:numPr>
          <w:ilvl w:val="0"/>
          <w:numId w:val="48"/>
        </w:numPr>
        <w:rPr>
          <w:noProof/>
          <w:szCs w:val="24"/>
        </w:rPr>
      </w:pPr>
      <w:r>
        <w:rPr>
          <w:noProof/>
        </w:rPr>
        <w:t>Υποχρέωση εκφόρτωσης</w:t>
      </w:r>
    </w:p>
    <w:p w14:paraId="1D24222A" w14:textId="3DA9DF7B" w:rsidR="000A48FC" w:rsidRPr="00450B0A" w:rsidRDefault="21279A64" w:rsidP="617A4AC7">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 xml:space="preserve">Η υποχρέωση εκφόρτωσης αποτελεί ένα από τα βασικά στοιχεία της ΚΑΠ. Σκοπός της είναι να διασφαλιστεί ότι οι θαλάσσιοι βιολογικοί πόροι αξιοποιούνται με βιώσιμο τρόπο, με στόχο την αύξηση της επιλεκτικής αλιείας, ώστε τα ανεπιθύμητα αλιεύματα να μην αλιεύονται εξαρχής και να εξαλειφθούν οι απορρίψεις. </w:t>
      </w:r>
    </w:p>
    <w:p w14:paraId="6E43F40E" w14:textId="568C26E2" w:rsidR="006C5F9B" w:rsidRPr="00450B0A" w:rsidRDefault="7129CE2C" w:rsidP="366F6422">
      <w:pPr>
        <w:spacing w:before="200"/>
        <w:jc w:val="both"/>
        <w:rPr>
          <w:rFonts w:ascii="Times New Roman" w:eastAsia="Times New Roman" w:hAnsi="Times New Roman" w:cs="Times New Roman"/>
          <w:noProof/>
          <w:sz w:val="24"/>
          <w:szCs w:val="24"/>
        </w:rPr>
      </w:pPr>
      <w:r>
        <w:rPr>
          <w:rFonts w:ascii="Times New Roman" w:hAnsi="Times New Roman"/>
          <w:noProof/>
          <w:sz w:val="24"/>
        </w:rPr>
        <w:t>Ωστόσο, τα κράτη μέλη χρησιμοποιούν κυρίως παραδοσιακές τεχνικές παρακολούθησης, όπως επιθεωρήσεις εν πλω, επιθεωρήσεις κατά την εκφόρτωση και εναέρια επιτήρηση. Τα εργαλεία αυτά δεν επαρκούν από μόνα τους για την αντιμετώπιση του ζητήματος των παράνομων απορρίψεων αλιευμάτων κατά τη διάρκεια της αλιείας στη θάλασσα</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rPr>
        <w:t xml:space="preserve"> και υπάρχουν πράγματι ενδείξεις παράνομων και μη τεκμηριωμένων απορρίψεων. </w:t>
      </w:r>
    </w:p>
    <w:p w14:paraId="302D6B1B" w14:textId="2F54AA10" w:rsidR="000A48FC" w:rsidRPr="00450B0A" w:rsidRDefault="360A5E3A">
      <w:pPr>
        <w:spacing w:before="200"/>
        <w:jc w:val="both"/>
        <w:rPr>
          <w:rFonts w:ascii="Times New Roman" w:eastAsia="Times New Roman" w:hAnsi="Times New Roman" w:cs="Times New Roman"/>
          <w:noProof/>
          <w:sz w:val="24"/>
          <w:szCs w:val="24"/>
        </w:rPr>
      </w:pPr>
      <w:r>
        <w:rPr>
          <w:rFonts w:ascii="Times New Roman" w:hAnsi="Times New Roman"/>
          <w:noProof/>
          <w:sz w:val="24"/>
        </w:rPr>
        <w:t>Στις 22 Νοεμβρίου 2023 το Ευρωπαϊκό Κοινοβούλιο και το Συμβούλιο ενέκριναν νέους κανόνες ελέγχου της ΕΕ, οι οποίοι θα συμβάλουν στην αποτελεσματική παρακολούθηση της συμμόρφωσης με την υποχρέωση εκφόρτωσης</w:t>
      </w:r>
      <w:r>
        <w:rPr>
          <w:rStyle w:val="FootnoteReference"/>
          <w:rFonts w:ascii="Times New Roman" w:eastAsia="Times New Roman" w:hAnsi="Times New Roman" w:cs="Times New Roman"/>
          <w:noProof/>
          <w:sz w:val="24"/>
          <w:szCs w:val="24"/>
        </w:rPr>
        <w:footnoteReference w:id="37"/>
      </w:r>
      <w:r>
        <w:rPr>
          <w:rFonts w:ascii="Times New Roman" w:hAnsi="Times New Roman"/>
          <w:noProof/>
          <w:sz w:val="24"/>
        </w:rPr>
        <w:t>. Σε αυτούς περιλαμβάνεται η υποχρέωση για τα μεγαλύτερα σκάφη, τα οποία ενέχουν υψηλό κίνδυνο μη συμμόρφωσης με την υποχρέωση εκφόρτωσης, να εγκαταστήσουν συστήματα ηλεκτρονικής παρακολούθησης εξ αποστάσεως επί του σκάφους, συμπεριλαμβανομένων συσκευών τηλεοπτικής λήψης κλειστού κυκλώματος, έως τις 10 Ιανουαρίου 2028 το αργότερο. Ωστόσο, οι νέοι κανόνες δεν καθιστούν υποχρεωτική τη χρήση καμερών επί σκαφών συνολικού μήκους μικρότερου των 18 μέτρων.  Ως εκ τούτου, είναι αναγκαίο να διερευνηθεί ο τρόπος με τον οποίο θα ελέγχονται τα εν λόγω σκάφη και ο τρόπος με τον οποίο θα διασφαλιστεί η συμμόρφωση με την υποχρέωση εκφόρτωσης για την πληθώρα σκαφών του στόλου της ΕΕ μήκους κάτω των 18 μέτρων και για εκείνα που θεωρούνται κάτω του «υψηλού κινδύνου».</w:t>
      </w:r>
    </w:p>
    <w:p w14:paraId="6F32FE52" w14:textId="1609B5CA" w:rsidR="5FA3FA93" w:rsidRPr="00450B0A" w:rsidRDefault="0CA7CF35" w:rsidP="055F1019">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Η ακριβής καταγραφή των αλιευμάτων είναι απαραίτητη για τις αξιολογήσεις αποθεμάτων, καθώς οι επιστήμονες χρησιμοποιούν τα δεδομένα που καταγράφονται στα ημερολόγια αλιείας και συλλέγονται βάσει του πλαισίου συλλογής δεδομένων</w:t>
      </w:r>
      <w:r>
        <w:rPr>
          <w:rStyle w:val="FootnoteReference"/>
          <w:rFonts w:ascii="Times New Roman" w:eastAsia="Times New Roman" w:hAnsi="Times New Roman" w:cs="Times New Roman"/>
          <w:noProof/>
          <w:color w:val="000000" w:themeColor="text1"/>
          <w:sz w:val="24"/>
          <w:szCs w:val="24"/>
        </w:rPr>
        <w:footnoteReference w:id="38"/>
      </w:r>
      <w:r>
        <w:rPr>
          <w:rFonts w:ascii="Times New Roman" w:hAnsi="Times New Roman"/>
          <w:noProof/>
          <w:color w:val="000000" w:themeColor="text1"/>
          <w:sz w:val="24"/>
        </w:rPr>
        <w:t xml:space="preserve"> για την υποστήριξη των επιστημονικών γνωμοδοτήσεων. Όπως επισημαίνεται στην ανακοίνωση για την ΚΑΠ του 2023</w:t>
      </w:r>
      <w:r>
        <w:rPr>
          <w:rStyle w:val="FootnoteReference"/>
          <w:rFonts w:ascii="Times New Roman" w:eastAsia="Times New Roman" w:hAnsi="Times New Roman" w:cs="Times New Roman"/>
          <w:noProof/>
          <w:color w:val="000000" w:themeColor="text1"/>
          <w:sz w:val="24"/>
          <w:szCs w:val="24"/>
        </w:rPr>
        <w:footnoteReference w:id="39"/>
      </w:r>
      <w:r>
        <w:rPr>
          <w:rFonts w:ascii="Times New Roman" w:hAnsi="Times New Roman"/>
          <w:noProof/>
          <w:color w:val="000000" w:themeColor="text1"/>
          <w:sz w:val="24"/>
        </w:rPr>
        <w:t xml:space="preserve">, η ακρίβεια των δεδομένων είναι επίσης απαραίτητη για τις αξιολογήσεις που βοηθούν την Επιτροπή να αποφασίσει αν η δράση της ΕΕ θα πρέπει να συνεχιστεί ή να προσαρμοστεί. </w:t>
      </w:r>
    </w:p>
    <w:p w14:paraId="02A39EFA" w14:textId="38EBA478" w:rsidR="000A48FC" w:rsidRPr="00450B0A" w:rsidRDefault="05D24631" w:rsidP="3666E496">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Η υποχρέωση εκφόρτωσης απαιτεί επίσης τη «</w:t>
      </w:r>
      <w:r>
        <w:rPr>
          <w:rFonts w:ascii="Times New Roman" w:hAnsi="Times New Roman"/>
          <w:i/>
          <w:noProof/>
          <w:sz w:val="24"/>
        </w:rPr>
        <w:t>λεπτομερή και ακριβή τεκμηρίωση όλων των ταξιδιών</w:t>
      </w:r>
      <w:r>
        <w:rPr>
          <w:rFonts w:ascii="Times New Roman" w:hAnsi="Times New Roman"/>
          <w:noProof/>
          <w:sz w:val="24"/>
        </w:rPr>
        <w:t>»</w:t>
      </w:r>
      <w:r>
        <w:rPr>
          <w:rStyle w:val="FootnoteReference"/>
          <w:rFonts w:ascii="Times New Roman" w:eastAsia="Times New Roman" w:hAnsi="Times New Roman" w:cs="Times New Roman"/>
          <w:i/>
          <w:iCs/>
          <w:noProof/>
          <w:sz w:val="24"/>
          <w:szCs w:val="24"/>
        </w:rPr>
        <w:footnoteReference w:id="40"/>
      </w:r>
      <w:r>
        <w:rPr>
          <w:rFonts w:ascii="Times New Roman" w:hAnsi="Times New Roman"/>
          <w:noProof/>
          <w:sz w:val="24"/>
        </w:rPr>
        <w:t xml:space="preserve"> και την «</w:t>
      </w:r>
      <w:r>
        <w:rPr>
          <w:rFonts w:ascii="Times New Roman" w:hAnsi="Times New Roman"/>
          <w:i/>
          <w:noProof/>
          <w:sz w:val="24"/>
        </w:rPr>
        <w:t>προσμέτρηση των αλιευμάτων στις ποσοστώσεις, κατά περίπτωση</w:t>
      </w:r>
      <w:r>
        <w:rPr>
          <w:rFonts w:ascii="Times New Roman" w:hAnsi="Times New Roman"/>
          <w:noProof/>
          <w:sz w:val="24"/>
        </w:rPr>
        <w:t>»</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rPr>
        <w:t xml:space="preserve">. Η ζύγιση και η καταγραφή των εκφορτωθέντων αλιευμάτων είναι ουσιαστικής σημασίας για την παρακολούθηση της απορρόφησης των ποσοστώσεων και είναι θεμελιώδους σημασίας για την επιτυχή διαχείριση της αλιείας. Οι επαληθεύσεις που διενήργησε η Επιτροπή επί σειρά ετών κατέδειξαν ότι τα κράτη μέλη δεν διασφαλίζουν πάντοτε ότι τα αλιεύματα ζυγίζονται σύμφωνα με τους κανόνες της ΕΕ και ότι συχνά υπάρχει ανακριβής αναφορά, σε εκτεταμένο βαθμό, των πραγματικών εκφορτωθεισών ποσοτήτων. </w:t>
      </w:r>
    </w:p>
    <w:p w14:paraId="1C15E83E" w14:textId="0AD34D49" w:rsidR="00AC0378" w:rsidRPr="00450B0A" w:rsidRDefault="64689F8F"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Τα ενδιαφερόμενα μέρη καταβάλλουν προσπάθειες για την αντιμετώπιση αυτών των ζητημάτων. Ερευνητικά έργα και συνεργασία μεταξύ επιστημόνων και αλιέων έχουν αποκομίσει πολύτιμα διδάγματα σχετικά με πιο επιλεκτικές αλιευτικές μεθόδους και εργαλεία, καθώς και σχετικά με τη διαχείριση των απορρίψεων στο πλαίσιο των κανόνων της υποχρέωσης εκφόρτωσης. Το Ευρωπαϊκό Ταμείο Θάλασσας και Αλιείας</w:t>
      </w:r>
      <w:bookmarkStart w:id="8" w:name="_Hlk135643723"/>
      <w:r>
        <w:rPr>
          <w:rFonts w:ascii="Times New Roman" w:hAnsi="Times New Roman"/>
          <w:noProof/>
          <w:color w:val="000000"/>
          <w:sz w:val="24"/>
        </w:rPr>
        <w:t xml:space="preserve"> </w:t>
      </w:r>
      <w:r>
        <w:rPr>
          <w:rFonts w:ascii="Times New Roman" w:hAnsi="Times New Roman"/>
          <w:noProof/>
          <w:color w:val="000000" w:themeColor="text1"/>
          <w:sz w:val="24"/>
        </w:rPr>
        <w:t>(</w:t>
      </w:r>
      <w:r>
        <w:rPr>
          <w:rFonts w:ascii="Times New Roman" w:hAnsi="Times New Roman"/>
          <w:b/>
          <w:noProof/>
          <w:color w:val="000000"/>
          <w:sz w:val="24"/>
        </w:rPr>
        <w:t>ΕΤΘΑ</w:t>
      </w:r>
      <w:r>
        <w:rPr>
          <w:rFonts w:ascii="Times New Roman" w:hAnsi="Times New Roman"/>
          <w:noProof/>
          <w:color w:val="000000" w:themeColor="text1"/>
          <w:sz w:val="24"/>
        </w:rPr>
        <w:t>)</w:t>
      </w:r>
      <w:r>
        <w:rPr>
          <w:rFonts w:ascii="Times New Roman" w:hAnsi="Times New Roman"/>
          <w:b/>
          <w:noProof/>
          <w:color w:val="000000"/>
          <w:sz w:val="24"/>
        </w:rPr>
        <w:t xml:space="preserve"> </w:t>
      </w:r>
      <w:r>
        <w:rPr>
          <w:rFonts w:ascii="Times New Roman" w:hAnsi="Times New Roman"/>
          <w:noProof/>
          <w:color w:val="000000"/>
          <w:sz w:val="24"/>
        </w:rPr>
        <w:t xml:space="preserve">και το </w:t>
      </w:r>
      <w:r>
        <w:rPr>
          <w:rFonts w:ascii="Times New Roman" w:hAnsi="Times New Roman"/>
          <w:b/>
          <w:noProof/>
          <w:color w:val="000000" w:themeColor="text1"/>
          <w:sz w:val="24"/>
        </w:rPr>
        <w:t>ΕΤΘΑΥ</w:t>
      </w:r>
      <w:r>
        <w:rPr>
          <w:rFonts w:ascii="Times New Roman" w:hAnsi="Times New Roman"/>
          <w:noProof/>
          <w:color w:val="000000" w:themeColor="text1"/>
          <w:sz w:val="24"/>
        </w:rPr>
        <w:t xml:space="preserve"> παρέχουν χρηματοδοτική στήριξη για την υλοποίηση της υποχρέωσης εκφόρτωσης</w:t>
      </w:r>
      <w:r>
        <w:rPr>
          <w:rFonts w:ascii="Times New Roman" w:hAnsi="Times New Roman"/>
          <w:noProof/>
          <w:color w:val="000000"/>
          <w:sz w:val="24"/>
        </w:rPr>
        <w:t>, με υψηλό ποσοστό δημόσιας ενίσχυσης</w:t>
      </w:r>
      <w:r>
        <w:rPr>
          <w:rFonts w:ascii="Times New Roman" w:hAnsi="Times New Roman"/>
          <w:noProof/>
          <w:color w:val="000000" w:themeColor="text1"/>
          <w:sz w:val="24"/>
        </w:rPr>
        <w:t>.</w:t>
      </w:r>
      <w:r>
        <w:rPr>
          <w:rFonts w:ascii="Times New Roman" w:hAnsi="Times New Roman"/>
          <w:noProof/>
          <w:color w:val="000000"/>
          <w:sz w:val="24"/>
        </w:rPr>
        <w:t xml:space="preserve"> </w:t>
      </w:r>
      <w:r>
        <w:rPr>
          <w:rFonts w:ascii="Times New Roman" w:hAnsi="Times New Roman"/>
          <w:noProof/>
          <w:sz w:val="24"/>
        </w:rPr>
        <w:t>Στο τέλος του</w:t>
      </w:r>
      <w:r>
        <w:rPr>
          <w:rFonts w:ascii="Times New Roman" w:hAnsi="Times New Roman"/>
          <w:noProof/>
          <w:color w:val="000000"/>
          <w:sz w:val="24"/>
        </w:rPr>
        <w:t xml:space="preserve"> 2023</w:t>
      </w:r>
      <w:r>
        <w:rPr>
          <w:rStyle w:val="FootnoteReference"/>
          <w:rFonts w:ascii="Times New Roman" w:eastAsia="Times New Roman" w:hAnsi="Times New Roman" w:cs="Times New Roman"/>
          <w:noProof/>
          <w:color w:val="000000"/>
          <w:sz w:val="24"/>
          <w:szCs w:val="24"/>
        </w:rPr>
        <w:footnoteReference w:id="42"/>
      </w:r>
      <w:r>
        <w:rPr>
          <w:rFonts w:ascii="Times New Roman" w:hAnsi="Times New Roman"/>
          <w:noProof/>
          <w:color w:val="000000"/>
          <w:sz w:val="24"/>
        </w:rPr>
        <w:t xml:space="preserve"> τα κράτη μέλη είχαν επιλέξει </w:t>
      </w:r>
      <w:r>
        <w:rPr>
          <w:rFonts w:ascii="Times New Roman" w:hAnsi="Times New Roman"/>
          <w:noProof/>
          <w:color w:val="000000" w:themeColor="text1"/>
          <w:sz w:val="24"/>
        </w:rPr>
        <w:t>302</w:t>
      </w:r>
      <w:r>
        <w:rPr>
          <w:rFonts w:ascii="Times New Roman" w:hAnsi="Times New Roman"/>
          <w:noProof/>
          <w:color w:val="000000"/>
          <w:sz w:val="24"/>
        </w:rPr>
        <w:t xml:space="preserve"> δράσεις με συνολική χρηματοδότηση από το ΕΤΘΑΥ ύψους 58,2</w:t>
      </w:r>
      <w:r>
        <w:rPr>
          <w:rFonts w:ascii="Times New Roman" w:hAnsi="Times New Roman"/>
          <w:noProof/>
          <w:color w:val="000000" w:themeColor="text1"/>
          <w:sz w:val="24"/>
        </w:rPr>
        <w:t xml:space="preserve"> εκατ. EUR για την υποχρέωση εκφόρτωσης</w:t>
      </w:r>
      <w:r>
        <w:rPr>
          <w:rFonts w:ascii="Times New Roman" w:hAnsi="Times New Roman"/>
          <w:noProof/>
          <w:color w:val="000000"/>
          <w:sz w:val="24"/>
        </w:rPr>
        <w:t>.</w:t>
      </w:r>
      <w:r>
        <w:rPr>
          <w:rFonts w:ascii="Times New Roman" w:hAnsi="Times New Roman"/>
          <w:noProof/>
          <w:color w:val="000000" w:themeColor="text1"/>
          <w:sz w:val="24"/>
        </w:rPr>
        <w:t xml:space="preserve"> </w:t>
      </w:r>
      <w:bookmarkEnd w:id="8"/>
      <w:r>
        <w:rPr>
          <w:rFonts w:ascii="Times New Roman" w:hAnsi="Times New Roman"/>
          <w:noProof/>
          <w:sz w:val="24"/>
        </w:rPr>
        <w:t>Οι περισσότερες δράσεις αποσκοπούσαν στην αύξηση της προστιθέμενης αξίας ή της ποιότητας των ανεπιθύμητων αλιευμάτων</w:t>
      </w:r>
      <w:r>
        <w:rPr>
          <w:rStyle w:val="FootnoteReference"/>
          <w:rFonts w:ascii="Times New Roman" w:eastAsia="Times New Roman" w:hAnsi="Times New Roman" w:cs="Times New Roman"/>
          <w:noProof/>
          <w:color w:val="000000"/>
          <w:sz w:val="24"/>
          <w:szCs w:val="24"/>
        </w:rPr>
        <w:footnoteReference w:id="43"/>
      </w:r>
      <w:r>
        <w:rPr>
          <w:rFonts w:ascii="Times New Roman" w:hAnsi="Times New Roman"/>
          <w:noProof/>
          <w:sz w:val="24"/>
        </w:rPr>
        <w:t>, στη μείωση των επιπτώσεων της αλιείας στο θαλάσσιο περιβάλλον και στην εξάλειψη των απορρίψεων</w:t>
      </w:r>
      <w:r>
        <w:rPr>
          <w:rStyle w:val="FootnoteReference"/>
          <w:rFonts w:ascii="Times New Roman" w:eastAsia="Times New Roman" w:hAnsi="Times New Roman" w:cs="Times New Roman"/>
          <w:noProof/>
          <w:color w:val="000000"/>
          <w:sz w:val="24"/>
          <w:szCs w:val="24"/>
        </w:rPr>
        <w:footnoteReference w:id="44"/>
      </w:r>
      <w:r>
        <w:rPr>
          <w:rFonts w:ascii="Times New Roman" w:hAnsi="Times New Roman"/>
          <w:noProof/>
          <w:sz w:val="24"/>
        </w:rPr>
        <w:t>.</w:t>
      </w:r>
    </w:p>
    <w:p w14:paraId="576EFD14" w14:textId="313573EC" w:rsidR="006C5F9B" w:rsidRPr="00450B0A" w:rsidRDefault="708F431A"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Παρά τις προσπάθειες που έχουν καταβληθεί, απαιτούνται πολύ περισσότερα για την εφαρμογή της υποχρέωσης εκφόρτωσης, πέντε έτη μετά την πλήρη έναρξη ισχύος της. Τον Ιανουάριο του 2024 η Επιτροπή δρομολόγησε μελέτη στην οποία βασίζεται η αξιολόγηση της υποχρέωσης εκφόρτωσης. Η μελέτη θα συγκεντρώσει στοιχεία για την αξιολόγηση του τρόπου με τον οποίο έχει εκτελεστεί η υποχρέωση εκφόρτωσης και των λόγων για τους οποίους λειτουργεί όπως λειτουργεί. </w:t>
      </w:r>
    </w:p>
    <w:p w14:paraId="7A47D693" w14:textId="7B48FE0B" w:rsidR="00AC0378" w:rsidRPr="00450B0A" w:rsidRDefault="001D6309" w:rsidP="00967949">
      <w:pPr>
        <w:pStyle w:val="Heading1"/>
        <w:numPr>
          <w:ilvl w:val="0"/>
          <w:numId w:val="48"/>
        </w:numPr>
        <w:rPr>
          <w:noProof/>
          <w:szCs w:val="24"/>
        </w:rPr>
      </w:pPr>
      <w:r>
        <w:rPr>
          <w:noProof/>
        </w:rPr>
        <w:t>Βασικά μηνύματα και κατευθύνσεις για τις προτάσεις σχετικά με τις αλιευτικές δυνατότητες για το 2024</w:t>
      </w:r>
    </w:p>
    <w:p w14:paraId="30FFC8AE" w14:textId="3397CB47" w:rsidR="00AC0378" w:rsidRPr="00450B0A" w:rsidRDefault="001D6309" w:rsidP="00967949">
      <w:pPr>
        <w:pStyle w:val="Heading2"/>
        <w:numPr>
          <w:ilvl w:val="1"/>
          <w:numId w:val="48"/>
        </w:numPr>
        <w:spacing w:after="120"/>
        <w:rPr>
          <w:noProof/>
          <w:szCs w:val="24"/>
        </w:rPr>
      </w:pPr>
      <w:r>
        <w:rPr>
          <w:noProof/>
        </w:rPr>
        <w:t>Βασικά στάδια για τον καθορισμό των επόμενων αλιευτικών δυνατοτήτων</w:t>
      </w:r>
    </w:p>
    <w:p w14:paraId="5FC277AD" w14:textId="56BD4B7B" w:rsidR="00AC0378" w:rsidRPr="00450B0A" w:rsidRDefault="14723D05" w:rsidP="055F1019">
      <w:pPr>
        <w:jc w:val="both"/>
        <w:rPr>
          <w:rFonts w:ascii="Times New Roman" w:eastAsia="Times New Roman" w:hAnsi="Times New Roman" w:cs="Times New Roman"/>
          <w:noProof/>
          <w:sz w:val="24"/>
          <w:szCs w:val="24"/>
        </w:rPr>
      </w:pPr>
      <w:r>
        <w:rPr>
          <w:rFonts w:ascii="Times New Roman" w:hAnsi="Times New Roman"/>
          <w:noProof/>
          <w:sz w:val="24"/>
        </w:rPr>
        <w:t>Κατά την προετοιμασία των προτάσεών της για τις αλιευτικές δυνατότητες του 2025, η Επιτροπή θα λάβει υπόψη τα πορίσματα της απόφασης που εξέδωσε το Δικαστήριο στις 11 Ιανουαρίου 2024 στην υπόθεση C-330/22</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Θα συντάξει επίσης τις προτάσεις της με βάση τις επιστημονικές γνωμοδοτήσεις του ICES και της ΕΤΟΕΑ, συμπεριλαμβανομένων των παραμέτρων που αφορούν τα οικοσυστήματα, εφόσον αυτές περιέχονται σε επιστημονικές γνωμοδοτήσεις, τις αποφάσεις που λαμβάνονται κατά τη διάρκεια διεθνών διαπραγματεύσεων με τρίτες χώρες, τις αποφάσεις που λαμβάνονται από τις ΠΟΔΑ και μια κοινωνικοοικονομική ανάλυση, καθώς και την έναρξη ισχύος της μόνιμης φάσης του πολυετούς σχεδίου για τη Δυτική Μεσόγειο από τον Ιανουάριο του 2025. </w:t>
      </w:r>
    </w:p>
    <w:p w14:paraId="42761817" w14:textId="18132FF4" w:rsidR="00AC0378" w:rsidRPr="00450B0A" w:rsidRDefault="001D6309" w:rsidP="13D482FB">
      <w:pPr>
        <w:jc w:val="both"/>
        <w:rPr>
          <w:rFonts w:ascii="Times New Roman" w:eastAsia="Times New Roman" w:hAnsi="Times New Roman" w:cs="Times New Roman"/>
          <w:noProof/>
          <w:sz w:val="24"/>
          <w:szCs w:val="24"/>
        </w:rPr>
      </w:pPr>
      <w:bookmarkStart w:id="9" w:name="_Hlk135826214"/>
      <w:r>
        <w:rPr>
          <w:rFonts w:ascii="Times New Roman" w:hAnsi="Times New Roman"/>
          <w:noProof/>
          <w:sz w:val="24"/>
        </w:rPr>
        <w:t>Η Επιτροπή θα καλύψει όσο το δυνατόν περισσότερα αποθέματα στις προτάσεις της, λαμβάνοντας υπόψη την διαθεσιμότητα και το χρονοδιάγραμμα της επιστημονικής γνωμοδότησης.</w:t>
      </w:r>
    </w:p>
    <w:bookmarkEnd w:id="9"/>
    <w:p w14:paraId="478707F1" w14:textId="28A56AF9"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Η Επιτροπή καλεί τα κράτη μέλη και τα ενδιαφερόμενα μέρη να εκτιμήσουν τις επιστημονικές γνωμοδοτήσεις αμέσως μόλις αυτές δημοσιοποιηθούν. Τα ενδιαφερόμενα μέρη μπορούν να υποβάλουν τα σχόλιά τους ή συστάσεις μέσω γνωμοδοτικών συμβουλίων, εθνικών αρχών και μεμονωμένα στην Επιτροπή. </w:t>
      </w:r>
    </w:p>
    <w:p w14:paraId="22487D5F" w14:textId="16556087"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Η Επιτροπή θα διεξαγάγει σειρά διαβουλεύσεων με το Ηνωμένο Βασίλειο, τη Νορβηγία και άλλα παράκτια κράτη, αρχής γενομένης από τον Οκτώβριο. Στόχος είναι η έγκαιρη ολοκλήρωση των διαπραγματεύσεων ώστε να ενσωματωθούν τα αποτελέσματα των διαβουλεύσεων στις συζητήσεις του Συμβουλίου Γεωργίας και Αλιείας τον Δεκέμβριο του 2024. </w:t>
      </w:r>
    </w:p>
    <w:p w14:paraId="730A937D" w14:textId="6464E7D8" w:rsidR="004820AD" w:rsidRPr="00450B0A" w:rsidRDefault="78249858" w:rsidP="13D482FB">
      <w:pPr>
        <w:jc w:val="both"/>
        <w:rPr>
          <w:rFonts w:ascii="Times New Roman" w:eastAsia="Times New Roman" w:hAnsi="Times New Roman" w:cs="Times New Roman"/>
          <w:noProof/>
          <w:sz w:val="24"/>
          <w:szCs w:val="24"/>
        </w:rPr>
      </w:pPr>
      <w:r>
        <w:rPr>
          <w:rFonts w:ascii="Times New Roman" w:hAnsi="Times New Roman"/>
          <w:noProof/>
          <w:sz w:val="24"/>
        </w:rPr>
        <w:t>Παράλληλα με τον καθορισμό των αλιευτικών δυνατοτήτων, η Επιτροπή θα εργαστεί καθ’ όλη τη διάρκεια του έτους για την επίτευξη προόδου όσον αφορά τις ρυθμίσεις καταμερισμού για τα αποθέματα ευρείας κατανομής που είναι κοινά με τρίτες χώρες, στις οποίες δεν υφίστανται τέτοιου είδους ρυθμίσεις, προκειμένου να διασφαλιστεί η αλίευση των κοινών αποθεμάτων με βιώσιμο τρόπο.</w:t>
      </w:r>
    </w:p>
    <w:p w14:paraId="29350AB7" w14:textId="4CD3A9A9" w:rsidR="00AC0378" w:rsidRPr="00450B0A" w:rsidRDefault="001D6309" w:rsidP="00967949">
      <w:pPr>
        <w:pStyle w:val="Heading2"/>
        <w:numPr>
          <w:ilvl w:val="1"/>
          <w:numId w:val="48"/>
        </w:numPr>
        <w:spacing w:after="120"/>
        <w:rPr>
          <w:noProof/>
          <w:szCs w:val="24"/>
        </w:rPr>
      </w:pPr>
      <w:r>
        <w:rPr>
          <w:noProof/>
        </w:rPr>
        <w:t>Καθορισμός των αλιευτικών δυνατοτήτων για διαφορετικές θαλάσσιες λεκάνες</w:t>
      </w:r>
    </w:p>
    <w:p w14:paraId="4361E70D" w14:textId="1F3AFF4E" w:rsidR="0011434B" w:rsidRPr="00450B0A" w:rsidRDefault="413421E8"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Όσον αφορά τα αποθέματα που τελούν αποκλειστικά υπό τη διαχείριση της ΕΕ στη </w:t>
      </w:r>
      <w:r>
        <w:rPr>
          <w:rFonts w:ascii="Times New Roman" w:hAnsi="Times New Roman"/>
          <w:b/>
          <w:noProof/>
          <w:sz w:val="24"/>
        </w:rPr>
        <w:t>Βαλτική θάλασσα, στο Skagerrak/Kattegat και στον Ατλαντικό</w:t>
      </w:r>
      <w:r>
        <w:rPr>
          <w:rFonts w:ascii="Times New Roman" w:hAnsi="Times New Roman"/>
          <w:noProof/>
          <w:sz w:val="24"/>
        </w:rPr>
        <w:t>, η Επιτροπή θα προτείνει TAC και ποσοστώσεις σύμφωνα με τη ΜΒΑ όταν θα είναι διαθέσιμη η εν λόγω γνωμοδότηση. Στις περιπτώσεις κατά τις οποίες τα σχέδια διαχείρισης παρέχουν ευελιξία για τον καθορισμό ορίων αλιευμάτων, η Επιτροπή μπορεί να προτείνει τη χρήση του ανώτερου εύρους της ΜΒΑ για υγιή αποθέματα, υπό την προϋπόθεση ότι οι επιστημονικές γνωμοδοτήσεις το κρίνουν αναγκαίο για την επίτευξη των στόχων των πολυετών σχεδίων ειδικά για τους μικτούς τύπους αλιείας. Όταν η βιομάζα έχει μειωθεί τόσο πολύ ώστε να μην υπερβαίνει τα ασφαλή βιολογικά όρια, η Επιτροπή προτείνει</w:t>
      </w:r>
      <w:bookmarkStart w:id="10" w:name="_Hlk135726625"/>
      <w:r>
        <w:rPr>
          <w:rFonts w:ascii="Times New Roman" w:hAnsi="Times New Roman"/>
          <w:noProof/>
          <w:sz w:val="24"/>
        </w:rPr>
        <w:t xml:space="preserve"> </w:t>
      </w:r>
      <w:bookmarkEnd w:id="10"/>
      <w:r>
        <w:rPr>
          <w:rFonts w:ascii="Times New Roman" w:hAnsi="Times New Roman"/>
          <w:noProof/>
          <w:sz w:val="24"/>
        </w:rPr>
        <w:t xml:space="preserve">την ανασύσταση των αποθεμάτων και τη συμπερίληψη διορθωτικών μέτρων, σύμφωνα με κάθε πολυετές σχέδιο. Θα εστιάσει τη δράση της στη διασφάλιση πλήρους αξιολόγησης της ΜΒΑ για άλλα βασικά αποθέματα το συντομότερο δυνατόν. </w:t>
      </w:r>
    </w:p>
    <w:p w14:paraId="72E8E9F7" w14:textId="102A0DC8" w:rsidR="00AC0378" w:rsidRPr="00450B0A" w:rsidRDefault="00874646"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Η Επιτροπή θα αφαιρεί επίσης, από τη γνωμοδότηση του ICES, τις εξαιρέσεις </w:t>
      </w:r>
      <w:r>
        <w:rPr>
          <w:rFonts w:ascii="Times New Roman" w:hAnsi="Times New Roman"/>
          <w:i/>
          <w:noProof/>
          <w:sz w:val="24"/>
        </w:rPr>
        <w:t>de minimis</w:t>
      </w:r>
      <w:r>
        <w:rPr>
          <w:rFonts w:ascii="Times New Roman" w:hAnsi="Times New Roman"/>
          <w:noProof/>
          <w:sz w:val="24"/>
        </w:rPr>
        <w:t xml:space="preserve"> ή τις εξαιρέσεις που συνδέονται με υψηλό ποσοστό επιβίωσης, κατά περίπτωση. Η Επιτροπή θα αξιολογεί επίσης την πρόοδο των κρατών μελών όσον αφορά την εφαρμογή των ισχυόντων μέτρων μείωσης των παρεμπιπτόντων αλιευμάτων που έχουν εγκριθεί παράλληλα</w:t>
      </w:r>
      <w:r>
        <w:rPr>
          <w:noProof/>
        </w:rPr>
        <w:t xml:space="preserve"> </w:t>
      </w:r>
      <w:bookmarkStart w:id="11" w:name="_Hlk135726678"/>
      <w:r>
        <w:rPr>
          <w:rFonts w:ascii="Times New Roman" w:hAnsi="Times New Roman"/>
          <w:noProof/>
          <w:sz w:val="24"/>
        </w:rPr>
        <w:t>με τα TAC αναπόφευκτων παρεμπιπτόντων αλιευμάτων, με στόχο τον μετριασμό ενδεχόμενων καταστάσεων περιοριστικής ποσόστωσης.</w:t>
      </w:r>
      <w:bookmarkEnd w:id="11"/>
    </w:p>
    <w:p w14:paraId="6C64A09D" w14:textId="65248CF4" w:rsidR="00D07FD0" w:rsidRPr="00450B0A" w:rsidRDefault="7A5C9C5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Όπου είναι δυνατόν, η Επιτροπή θα συνεχίσει να κινείται προς ένα σύστημα πολυετών TAC για τα αποθέματα υπό την αποκλειστική διαχείριση της ΕΕ. Για δύο αποθέματα υπό την αποκλειστική διαχείριση της ΕΕ, έχουν καθοριστεί πολυετή TAC για το 2024 και το 2025. Με αυτόν τον τρόπο, θα αυξηθεί η αποτελεσματικότητα και η προβλεψιμότητα για τον αλιευτικό κλάδο της ΕΕ όσον αφορά τα αποθέματα που επιλέγονται σε στενή διαβούλευση με τα κράτη μέλη, τα ενδιαφερόμενα μέρη και το ICES. Τα κράτη μέλη καλούνται να καταγράψουν τα αποθέματα προτεραιότητας για τα οποία συνιστούν διετή TAC. Κατόπιν αξιολόγησης, η Επιτροπή θα ζητήσει από το ICES να αξιολογήσει τα αποθέματα που έχουν προσδιοριστεί: </w:t>
      </w:r>
    </w:p>
    <w:p w14:paraId="127ABD26" w14:textId="77777777" w:rsidR="00967949" w:rsidRPr="00450B0A" w:rsidRDefault="3C5A2901"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βάσει των κριτηρίων πολυετούς γνωμοδότησης του ICES· </w:t>
      </w:r>
    </w:p>
    <w:p w14:paraId="6B73C607" w14:textId="77777777" w:rsidR="00967949" w:rsidRPr="00450B0A" w:rsidRDefault="001D6309"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όσον αφορά τη σκοπιμότητα της παροχής πολυετούς γνωμοδότησης· και </w:t>
      </w:r>
    </w:p>
    <w:p w14:paraId="1B0859B6" w14:textId="1FA62F05" w:rsidR="00AC0378" w:rsidRPr="00450B0A" w:rsidRDefault="3E08C142"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όσον αφορά τις πιθανές επιπτώσεις αυτών των πολυετών γνωμοδοτήσεων.</w:t>
      </w:r>
    </w:p>
    <w:p w14:paraId="2A664AA0" w14:textId="77777777" w:rsidR="00D07FD0" w:rsidRPr="00450B0A" w:rsidRDefault="00D07FD0" w:rsidP="13D482FB">
      <w:pPr>
        <w:pStyle w:val="ListParagraph"/>
        <w:ind w:left="2160"/>
        <w:jc w:val="both"/>
        <w:rPr>
          <w:rFonts w:ascii="Times New Roman" w:hAnsi="Times New Roman"/>
          <w:noProof/>
          <w:sz w:val="24"/>
          <w:szCs w:val="24"/>
        </w:rPr>
      </w:pPr>
    </w:p>
    <w:p w14:paraId="6F028E03" w14:textId="432DF949" w:rsidR="00AC0378" w:rsidRPr="00450B0A" w:rsidRDefault="29C62025"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Για τα κοινά αποθέματα που τελούν υπό διαχείριση με το </w:t>
      </w:r>
      <w:r>
        <w:rPr>
          <w:rFonts w:ascii="Times New Roman" w:hAnsi="Times New Roman"/>
          <w:b/>
          <w:noProof/>
          <w:sz w:val="24"/>
        </w:rPr>
        <w:t>Ηνωμένο Βασίλειο, τη Νορβηγία και άλλα παράκτια κράτη</w:t>
      </w:r>
      <w:r>
        <w:rPr>
          <w:rFonts w:ascii="Times New Roman" w:hAnsi="Times New Roman"/>
          <w:noProof/>
          <w:sz w:val="24"/>
        </w:rPr>
        <w:t>, η ΕΕ θα ακολουθήσει την ίδια προσέγγιση όπως και για τα αποθέματα που τελούν υπό την αποκλειστική διαχείριση της ΕΕ. Θα βασίσει τη θέση της στις βέλτιστες διαθέσιμες επιστημονικές γνωμοδοτήσεις, με στόχο τον καθορισμό αλιευτικών δυνατοτήτων σύμφωνα με τα επίπεδα ΜΒΑ και τη διαπραγμάτευση με το Ηνωμένο Βασίλειο, τη Νορβηγία και άλλα παράκτια κράτη, κατά περίπτωση, μέτρων διατήρησης. Το Συμβούλιο της Ευρωπαϊκής Ένωσης θα συνεχίσει να συνεργάζεται με το Ηνωμένο Βασίλειο σχετικά με τις κοινές δεσμεύσεις ΕΕ–Ηνωμένου Βασιλείου που αναλήφθηκαν στο πλαίσιο της ειδικής επιτροπής αλιείας και με το Ηνωμένο Βασίλειο και τη Νορβηγία, ώστε να δοθεί συνέχεια στις τριμερείς δεσμεύσεις που έχουν αναληφθεί για την επίτευξη βιώσιμης αλιείας και διαχείρισης των κοινών αποθεμάτων. Η ΕΕ παραμένει προσηλωμένη στην εξεύρεση βιώσιμων, ισορροπημένων και ολοκληρωμένων ρυθμίσεων κοινής χρήσης για τα αποθέματα ευρείας κατανομής τα οποία τελούν υπό κοινή διαχείριση με άλλα παράκτια κράτη.</w:t>
      </w:r>
    </w:p>
    <w:p w14:paraId="500EE9D2" w14:textId="3E66865E" w:rsidR="00AC0378" w:rsidRPr="00450B0A" w:rsidRDefault="001D6309">
      <w:pPr>
        <w:ind w:left="-20" w:right="-20"/>
        <w:jc w:val="both"/>
        <w:rPr>
          <w:rFonts w:ascii="Times New Roman" w:eastAsia="Times New Roman" w:hAnsi="Times New Roman" w:cs="Times New Roman"/>
          <w:noProof/>
          <w:sz w:val="24"/>
          <w:szCs w:val="24"/>
        </w:rPr>
      </w:pPr>
      <w:r>
        <w:rPr>
          <w:rFonts w:ascii="Times New Roman" w:hAnsi="Times New Roman"/>
          <w:noProof/>
          <w:sz w:val="24"/>
        </w:rPr>
        <w:t>Για τη Μεσόγειο και τον Εύξεινο Πόντο, είναι σημαντικό τα κράτη μέλη να επιδιώξουν τους στόχους που ορίζονται στο πολυετές σχέδιο της ΕΕ για τη Δυτική Μεσόγειο και στα σχέδια της ΓΕΑΜ σύμφωνα με τη στρατηγική του 2030. Η Επιτροπή ενθαρρύνει τα κράτη μέλη να εφαρμόσουν συνοδευτικά μέτρα στο πλαίσιο των προγραμμάτων του ΕΤΘΑΥ. Την 1η Ιανουαρίου 2025 θα λήξει η μεταβατική φάση του πολυετούς σχεδίου της ΕΕ για τη Δυτική Μεσόγειο και το σχέδιο θα εισέλθει στη φάση πλήρους εφαρμογής. Αυτό σημαίνει ότι το εύρος τιμών F</w:t>
      </w:r>
      <w:r>
        <w:rPr>
          <w:rFonts w:ascii="Times New Roman" w:hAnsi="Times New Roman"/>
          <w:noProof/>
          <w:sz w:val="24"/>
          <w:vertAlign w:val="subscript"/>
        </w:rPr>
        <w:t>MSY</w:t>
      </w:r>
      <w:r>
        <w:rPr>
          <w:rFonts w:ascii="Times New Roman" w:hAnsi="Times New Roman"/>
          <w:noProof/>
          <w:sz w:val="24"/>
        </w:rPr>
        <w:t xml:space="preserve"> στο πολυετές σχέδιο θα μπορούσε να χρησιμοποιηθεί, εάν τα αποθέματα υπερβαίνουν τα προληπτικά σημεία αναφοράς, για την πιθανή εφαρμογή ευέλικτων μέτρων στους μικτούς τύπους αλιείας. Η πρόταση για τις αλιευτικές δυνατότητες θα πρέπει να περιλαμβάνει τα διαθέσιμα εργαλεία διαχείρισης, το εύρος τιμών F</w:t>
      </w:r>
      <w:r>
        <w:rPr>
          <w:rFonts w:ascii="Times New Roman" w:hAnsi="Times New Roman"/>
          <w:noProof/>
          <w:sz w:val="24"/>
          <w:vertAlign w:val="subscript"/>
        </w:rPr>
        <w:t>MSY</w:t>
      </w:r>
      <w:r>
        <w:rPr>
          <w:rFonts w:ascii="Times New Roman" w:hAnsi="Times New Roman"/>
          <w:noProof/>
          <w:sz w:val="24"/>
        </w:rPr>
        <w:t xml:space="preserve"> και τον μηχανισμό αντιστάθμισης για τη βελτίωση της επιλεκτικότητας των αλιευτικών εργαλείων και της απαγόρευσης αλιείας σε συγκεκριμένες περιοχές. Η ΕΤΟΕΑ αξιολογεί ετησίως την πρόοδο στην εφαρμογή του πολυετούς σχεδίου. Η Επιτροπή έχει επίσης ξεκινήσει εργασίες για κάθε πτυχή της βιωσιμότητας με σκοπό τον Ιούλιο του 2024 να υποβάλει έκθεση σχετικά με τα αποτελέσματα και τον αντίκτυπο του πολυετούς σχεδίου για τη Δυτική Μεσόγειο στα σχετικά αποθέματα και τους τύπους αλιείας. </w:t>
      </w:r>
    </w:p>
    <w:p w14:paraId="672D0A4F" w14:textId="7E3D901F" w:rsidR="00AC0378" w:rsidRPr="00450B0A" w:rsidRDefault="46316B63" w:rsidP="13D482FB">
      <w:pPr>
        <w:jc w:val="both"/>
        <w:rPr>
          <w:rFonts w:ascii="Times New Roman" w:eastAsia="Times New Roman" w:hAnsi="Times New Roman" w:cs="Times New Roman"/>
          <w:noProof/>
          <w:sz w:val="24"/>
          <w:szCs w:val="24"/>
        </w:rPr>
      </w:pPr>
      <w:r>
        <w:rPr>
          <w:rFonts w:ascii="Times New Roman" w:hAnsi="Times New Roman"/>
          <w:b/>
          <w:noProof/>
          <w:sz w:val="24"/>
        </w:rPr>
        <w:t>Η διαχείριση των κοινών αποθεμάτων</w:t>
      </w:r>
      <w:r>
        <w:rPr>
          <w:rFonts w:ascii="Times New Roman" w:hAnsi="Times New Roman"/>
          <w:noProof/>
          <w:sz w:val="24"/>
        </w:rPr>
        <w:t xml:space="preserve"> είναι επίσης απαραίτητη για τη διασφάλιση της βιώσιμης αλιείας στα διεθνή ύδατα και για την εξασφάλιση ισότιμων όρων ανταγωνισμού στη Μεσόγειο και στον Εύξεινο Πόντο. Για τον σκοπό αυτό, η πρόταση για τις αλιευτικές δυνατότητες το 2025 θα καλύψει τα τρέχοντα μέτρα της ΓΕΑΜ και τα πρόσθετα μέτρα που θα εγκριθούν κατά την ετήσια σύνοδο της ΓΕΑΜ τον Νοέμβριο,</w:t>
      </w:r>
      <w:r>
        <w:rPr>
          <w:noProof/>
        </w:rPr>
        <w:t xml:space="preserve"> </w:t>
      </w:r>
      <w:bookmarkStart w:id="12" w:name="_Int_2mUYsfax"/>
      <w:r>
        <w:rPr>
          <w:rFonts w:ascii="Times New Roman" w:hAnsi="Times New Roman"/>
          <w:noProof/>
          <w:sz w:val="24"/>
        </w:rPr>
        <w:t>συμπεριλαμβανομένων σημαντικών μέτρων για την εφαρμογή των πολυετών σχεδίων για τα μικρά πελαγικά είδη και τα βενθοπελαγικά είδη της Αδριατικής, και μακροπρόθεσμα μέτρα για το ευρωπαϊκό χέλι και τα κόκκινα κοράλλια.</w:t>
      </w:r>
      <w:bookmarkEnd w:id="12"/>
      <w:r>
        <w:rPr>
          <w:rFonts w:ascii="Times New Roman" w:hAnsi="Times New Roman"/>
          <w:noProof/>
          <w:sz w:val="24"/>
        </w:rPr>
        <w:t xml:space="preserve"> Για τα είδη του Εύξεινου Πόντου, η Επιτροπή θα προτείνει TAC και ποσοστώσεις για το καλκάνι και την παπαλίνα, σύμφωνα με τα μέτρα που θα εγκριθούν κατά την ετήσια σύνοδο της ΓΕΑΜ, με βάση τα αποτελέσματα των πιλοτικών μελετών και των ερευνητικών προγραμμάτων της ΓΕΑΜ. </w:t>
      </w:r>
    </w:p>
    <w:p w14:paraId="21BFD24F" w14:textId="1ACEFC83" w:rsidR="00C76199" w:rsidRPr="00450B0A" w:rsidRDefault="0356FEE5">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Η πρόοδος που έχει σημειωθεί στη Μεσόγειο και στον Εύξεινο Πόντο πρέπει να συνεχιστεί και να επιταχυνθεί, με βάση τα αποτελέσματα της διάσκεψης υψηλού επιπέδου της ΓΕΑΜ τον Οκτώβριο του 2023 και του Φόρουμ για τα ψάρια του 2024. Πρέπει να δοθεί μεγαλύτερη έμφαση σε αυτά στη σύνοδο κορυφής που διοργανώνεται από τη ΓΕΑΜ και τον FAO για την αλιεία μικρής κλίμακας (Ιούλιος 2024) και στην περιφερειακή διάσκεψη για την υδατοκαλλιέργεια (Δεκέμβριος 2024). Αυτά θα αποτελέσουν σημαντικά ορόσημα στη διαδικασία προετοιμασίας της επόμενης υπουργικής δήλωσης MedFish4Ever στο πλαίσιο της επόμενης υπουργικής διάσκεψης το 2026. Όλα τα κράτη μέλη πρέπει να συνεχίσουν τη δράση τους για την επίτευξη βιώσιμων ιχθυαποθεμάτων, καθώς αυτό αποτελεί τη βάση για έναν ανθεκτικό αλιευτικό τομέα, καθώς και για την προστασία των οικοσυστημάτων σε αυτές τις θαλάσσιες λεκάνες. </w:t>
      </w:r>
    </w:p>
    <w:p w14:paraId="39DC44B4" w14:textId="2E360725" w:rsidR="00C76199" w:rsidRPr="00450B0A" w:rsidRDefault="4BB60EC0" w:rsidP="13D482FB">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Υπάρχει επείγουσα ανάγκη βελτίωσης της προστασίας του </w:t>
      </w:r>
      <w:r>
        <w:rPr>
          <w:rFonts w:ascii="Times New Roman" w:hAnsi="Times New Roman"/>
          <w:b/>
          <w:noProof/>
          <w:sz w:val="24"/>
        </w:rPr>
        <w:t>ευρωπαϊκού χελιού</w:t>
      </w:r>
      <w:r>
        <w:rPr>
          <w:rFonts w:ascii="Times New Roman" w:hAnsi="Times New Roman"/>
          <w:noProof/>
          <w:sz w:val="24"/>
        </w:rPr>
        <w:t>. Εκτός από τη στενή παρακολούθηση της εφαρμογής των αλιευτικών δυνατοτήτων του 2024 και την αξιολόγηση των μέτρων για το 2025 για τα θαλάσσια ύδατα, η Επιτροπή καλεί εκ νέου τα κράτη μέλη στο πλαίσιο του σχεδίου δράσης της ΕΕ για τη θάλασσα να επικαιροποιήσουν τα σχέδιά τους για τη διαχείριση του χελιού στο πλαίσιο του κανονισμού για το χέλι</w:t>
      </w:r>
      <w:r>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xml:space="preserve">, σύμφωνα με τις νομικές υποχρεώσεις τους που απορρέουν από το περιβαλλοντικό δίκαιο της ΕΕ. Είναι σημαντικό να ενισχυθούν τα μέτρα στα εσωτερικά ύδατα, ώστε να δημιουργηθούν ίσοι όροι ανταγωνισμού, δεδομένου ότι το ποσοστό θνησιμότητας χελιού στα εσωτερικά ύδατα είναι σημαντικό και απαιτεί επειγόντως τη λήψη διορθωτικών μέτρων. Για να διευκολυνθεί αυτός ο διάλογος και η διαδικασία, η Επιτροπή διοργάνωσε τεχνικό εργαστήριο για τη διαχείριση του χελιού στις 24 Απριλίου 2024 στο πλαίσιο του σχεδίου δράσης για τη θάλασσα. Η ΓΕΑΜ επεξεργάζεται επί του παρόντος μελλοντικά μακροπρόθεσμα μέτρα για το ευρωπαϊκό χέλι, που καλύπτουν όλους τους οικοτόπους, συμπεριλαμβανομένων των εσωτερικών υδάτων. </w:t>
      </w:r>
    </w:p>
    <w:p w14:paraId="579ED6CB" w14:textId="42116DB2" w:rsidR="00AC0378" w:rsidRPr="00450B0A" w:rsidRDefault="2BB3BA37" w:rsidP="13D482FB">
      <w:pPr>
        <w:pStyle w:val="Heading1"/>
        <w:numPr>
          <w:ilvl w:val="0"/>
          <w:numId w:val="0"/>
        </w:numPr>
        <w:rPr>
          <w:noProof/>
          <w:szCs w:val="24"/>
        </w:rPr>
      </w:pPr>
      <w:r>
        <w:rPr>
          <w:noProof/>
        </w:rPr>
        <w:t>7. Συμπέρασμα</w:t>
      </w:r>
    </w:p>
    <w:p w14:paraId="3166FAAA" w14:textId="18A5B3AD" w:rsidR="00BC1D89" w:rsidRDefault="596FEAA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Η συνολική βιωσιμότητα της αλιείας της ΕΕ βελτιώθηκε περαιτέρω το 2023, χάρη στη συνέχιση της δράσης. Αυτό ισχύει ιδίως στα ύδατα της ΕΕ στον Ατλαντικό. Ωστόσο, η κατάσταση στη Βαλτική θάλασσα παραμένει εξαιρετικά ανησυχητική, καθώς οι πληθυσμοί των προηγουμένως σημαντικών εμπορικών αποθεμάτων εξακολουθούν να μειώνονται, λόγω πολλαπλών πηγών πίεσης.  Για τη Μεσόγειο και τον Εύξεινο Πόντο, παρά τις πρόσφατες βελτιώσεις στην κατάσταση ορισμένων αποθεμάτων, απαιτείται περισσότερη δράση και μεγαλύτερη δέσμευση για την αντιμετώπιση της κατάστασης.</w:t>
      </w:r>
    </w:p>
    <w:p w14:paraId="3EFF1C72" w14:textId="79057CA0" w:rsidR="008F38FD" w:rsidRPr="00450B0A" w:rsidRDefault="008F38F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Η κλιματική αλλαγή επηρεάζει τις ανθρώπινες δραστηριότητες και την ένταση των πιέσεων, καθώς και τους δεσμούς μεταξύ τους. Για την αντιμετώπιση της πίεσης που ασκείται στα ιχθυαποθέματα, είναι ζωτικής σημασίας τα κράτη μέλη να εφαρμόσουν πλήρως τη νομοθεσία της ΕΕ και όλα τα ενδιαφερόμενα μέρη να αναλάβουν συντονισμένη δράση για τη μείωση της πίεσης που ασκείται στα ιχθυαποθέματα. Η ΕΕ καταπολεμά τη θαλάσσια ρύπανση μέσω σειράς νομοθετικών και πολιτικών πρωτοβουλιών στο ευρύ πλαίσιο του σχεδίου δράσης για μηδενική ρύπανση</w:t>
      </w:r>
      <w:r>
        <w:rPr>
          <w:rStyle w:val="FootnoteReference"/>
          <w:rFonts w:ascii="Times New Roman" w:eastAsia="Times New Roman" w:hAnsi="Times New Roman" w:cs="Times New Roman"/>
          <w:noProof/>
          <w:sz w:val="24"/>
          <w:szCs w:val="24"/>
        </w:rPr>
        <w:footnoteReference w:id="47"/>
      </w:r>
      <w:r>
        <w:rPr>
          <w:rFonts w:ascii="Times New Roman" w:hAnsi="Times New Roman"/>
          <w:noProof/>
          <w:sz w:val="24"/>
        </w:rPr>
        <w:t>.</w:t>
      </w:r>
    </w:p>
    <w:p w14:paraId="34A83049" w14:textId="0015AB41" w:rsidR="00BC1D89" w:rsidRPr="00450B0A" w:rsidRDefault="6F384018"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Οι προτάσεις της Επιτροπής για τις αλιευτικές δυνατότητες του 2025 θα έχουν ως στόχο να δώσουν τη δυνατότητα στα αποθέματα να ανακάμψουν, και να σταθεροποιηθούν τα ιχθυαποθέματα που έχουν φθάσει σε βιώσιμα επίπεδα και να ενισχύσουν την ανθεκτικότητα των αλιέων. </w:t>
      </w:r>
    </w:p>
    <w:p w14:paraId="03A30B28" w14:textId="401B9291" w:rsidR="00AC0378" w:rsidRPr="00450B0A" w:rsidRDefault="433243F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Ο ακμάζων αλιευτικός τομέας είναι στοιχείο καίριας σημασίας για τη διατήρηση των ευρωπαϊκών παράκτιων κοινοτήτων και τη διαχείριση της μετάβασης σε πιο βιώσιμα συστήματα τροφίμων. </w:t>
      </w:r>
      <w:bookmarkStart w:id="13" w:name="_Hlk133352959"/>
      <w:r>
        <w:rPr>
          <w:rFonts w:ascii="Times New Roman" w:hAnsi="Times New Roman"/>
          <w:noProof/>
          <w:sz w:val="24"/>
        </w:rPr>
        <w:t>Όπως αναφέρεται στη δέσμη μέτρων για την αλιεία και τους ωκεανούς, είναι υψίστης σημασίας να αναλάβουμε κοινή δέσμευση για να καταστήσουμε τις θαλάσσιες περιοχές μας και την ευρωπαϊκή αλιεία κατάλληλες για το μέλλον.</w:t>
      </w:r>
    </w:p>
    <w:bookmarkEnd w:id="13"/>
    <w:p w14:paraId="20EFB61B" w14:textId="05C6DE27" w:rsidR="00AC0378" w:rsidRPr="00450B0A" w:rsidRDefault="001D630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Η Επιτροπή καλεί τα κράτη μέλη, τα γνωμοδοτικά συμβούλια, τα ενδιαφερόμενα μέρη και το κοινό να υποβάλουν τα σχόλιά τους επί της παρούσας ανακοίνωσης έως τις 31 Αυγούστου 2024.</w:t>
      </w:r>
    </w:p>
    <w:p w14:paraId="2729E29B" w14:textId="77777777" w:rsidR="00AC0378" w:rsidRPr="00450B0A" w:rsidRDefault="001D6309" w:rsidP="13D482FB">
      <w:pPr>
        <w:spacing w:after="120"/>
        <w:jc w:val="both"/>
        <w:rPr>
          <w:rFonts w:ascii="Times New Roman" w:eastAsia="Times New Roman" w:hAnsi="Times New Roman" w:cs="Times New Roman"/>
          <w:noProof/>
          <w:sz w:val="24"/>
          <w:szCs w:val="24"/>
        </w:rPr>
      </w:pPr>
      <w:r>
        <w:rPr>
          <w:noProof/>
        </w:rPr>
        <w:br w:type="page"/>
      </w:r>
    </w:p>
    <w:p w14:paraId="0CE72203" w14:textId="61EACD76" w:rsidR="00AC0378" w:rsidRPr="00450B0A" w:rsidRDefault="5B51FFA5" w:rsidP="13D482FB">
      <w:pPr>
        <w:keepNext/>
        <w:tabs>
          <w:tab w:val="num" w:pos="850"/>
        </w:tabs>
        <w:spacing w:before="240" w:after="120"/>
        <w:ind w:left="851" w:hanging="851"/>
        <w:jc w:val="both"/>
        <w:outlineLvl w:val="0"/>
        <w:rPr>
          <w:rFonts w:ascii="Times New Roman" w:eastAsia="Times New Roman" w:hAnsi="Times New Roman" w:cs="Times New Roman"/>
          <w:noProof/>
          <w:sz w:val="24"/>
          <w:szCs w:val="24"/>
        </w:rPr>
      </w:pPr>
      <w:r>
        <w:rPr>
          <w:rFonts w:ascii="Times New Roman" w:hAnsi="Times New Roman"/>
          <w:b/>
          <w:smallCaps/>
          <w:noProof/>
          <w:sz w:val="24"/>
        </w:rPr>
        <w:t>Προβλεπόμενο χρονοδιάγραμμα εργασιών</w:t>
      </w:r>
      <w:r>
        <w:rPr>
          <w:rStyle w:val="FootnoteReference"/>
          <w:rFonts w:ascii="Times New Roman" w:eastAsia="Times New Roman" w:hAnsi="Times New Roman" w:cs="Times New Roman"/>
          <w:noProof/>
          <w:sz w:val="24"/>
          <w:szCs w:val="24"/>
        </w:rPr>
        <w:footnoteReference w:id="4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6796"/>
      </w:tblGrid>
      <w:tr w:rsidR="00AC0378" w:rsidRPr="00450B0A" w14:paraId="6DC6117E" w14:textId="77777777" w:rsidTr="23FD45F6">
        <w:trPr>
          <w:trHeight w:val="300"/>
        </w:trPr>
        <w:tc>
          <w:tcPr>
            <w:tcW w:w="2436" w:type="dxa"/>
            <w:shd w:val="clear" w:color="auto" w:fill="auto"/>
          </w:tcPr>
          <w:p w14:paraId="1A108E6E"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Πότε</w:t>
            </w:r>
          </w:p>
        </w:tc>
        <w:tc>
          <w:tcPr>
            <w:tcW w:w="6744" w:type="dxa"/>
            <w:shd w:val="clear" w:color="auto" w:fill="auto"/>
          </w:tcPr>
          <w:p w14:paraId="0834D46D"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Περί τίνος πρόκειται;</w:t>
            </w:r>
          </w:p>
        </w:tc>
      </w:tr>
      <w:tr w:rsidR="00AC0378" w:rsidRPr="00450B0A" w14:paraId="2284B0CF" w14:textId="77777777" w:rsidTr="23FD45F6">
        <w:trPr>
          <w:trHeight w:val="300"/>
        </w:trPr>
        <w:tc>
          <w:tcPr>
            <w:tcW w:w="0" w:type="auto"/>
            <w:shd w:val="clear" w:color="auto" w:fill="auto"/>
          </w:tcPr>
          <w:p w14:paraId="6299FBF1" w14:textId="4A67BAE8"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Μάιος – Νοέμβριος 2024</w:t>
            </w:r>
          </w:p>
        </w:tc>
        <w:tc>
          <w:tcPr>
            <w:tcW w:w="0" w:type="auto"/>
            <w:shd w:val="clear" w:color="auto" w:fill="auto"/>
          </w:tcPr>
          <w:p w14:paraId="48633F6A"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Επιστημονική γνωμοδότηση του ICES</w:t>
            </w:r>
          </w:p>
        </w:tc>
      </w:tr>
      <w:tr w:rsidR="00AC0378" w:rsidRPr="00450B0A" w14:paraId="2211DF96" w14:textId="77777777" w:rsidTr="23FD45F6">
        <w:trPr>
          <w:trHeight w:val="300"/>
        </w:trPr>
        <w:tc>
          <w:tcPr>
            <w:tcW w:w="0" w:type="auto"/>
            <w:shd w:val="clear" w:color="auto" w:fill="auto"/>
          </w:tcPr>
          <w:p w14:paraId="577FACDF" w14:textId="087A287B"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Ιούνιος – τέλη Αυγούστου 2024</w:t>
            </w:r>
          </w:p>
        </w:tc>
        <w:tc>
          <w:tcPr>
            <w:tcW w:w="0" w:type="auto"/>
            <w:shd w:val="clear" w:color="auto" w:fill="auto"/>
          </w:tcPr>
          <w:p w14:paraId="5817BF4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Δημόσια διαβούλευση σχετικά με την ανακοίνωση</w:t>
            </w:r>
          </w:p>
        </w:tc>
      </w:tr>
      <w:tr w:rsidR="00AC0378" w:rsidRPr="00450B0A" w14:paraId="075ECBEE" w14:textId="77777777" w:rsidTr="23FD45F6">
        <w:trPr>
          <w:trHeight w:val="300"/>
        </w:trPr>
        <w:tc>
          <w:tcPr>
            <w:tcW w:w="0" w:type="auto"/>
            <w:shd w:val="clear" w:color="auto" w:fill="auto"/>
          </w:tcPr>
          <w:p w14:paraId="22BB3A56" w14:textId="25EA586D"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Τέλη Αυγούστου 2024</w:t>
            </w:r>
          </w:p>
        </w:tc>
        <w:tc>
          <w:tcPr>
            <w:tcW w:w="0" w:type="auto"/>
            <w:shd w:val="clear" w:color="auto" w:fill="auto"/>
          </w:tcPr>
          <w:p w14:paraId="03B9BB9B" w14:textId="73423560"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Η Επιτροπή εγκρίνει την πρόταση για τις αλιευτικές δυνατότητες στη Βαλτική θάλασσα</w:t>
            </w:r>
          </w:p>
        </w:tc>
      </w:tr>
      <w:tr w:rsidR="055F1019" w14:paraId="08BF7515" w14:textId="77777777" w:rsidTr="23FD45F6">
        <w:trPr>
          <w:trHeight w:val="300"/>
        </w:trPr>
        <w:tc>
          <w:tcPr>
            <w:tcW w:w="2368" w:type="dxa"/>
            <w:shd w:val="clear" w:color="auto" w:fill="auto"/>
          </w:tcPr>
          <w:p w14:paraId="23A47D5C" w14:textId="2E84AF0B" w:rsidR="001D6309"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Μέσα Σεπτεμβρίου 2024</w:t>
            </w:r>
          </w:p>
        </w:tc>
        <w:tc>
          <w:tcPr>
            <w:tcW w:w="6812" w:type="dxa"/>
            <w:shd w:val="clear" w:color="auto" w:fill="auto"/>
          </w:tcPr>
          <w:p w14:paraId="34A4AA73" w14:textId="5C79FBFC" w:rsidR="023673A1"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Η Επιτροπή εγκρίνει την πρόταση για τις αλιευτικές δυνατότητες στη Μεσόγειο θάλασσα και στον Εύξεινο Πόντο</w:t>
            </w:r>
          </w:p>
        </w:tc>
      </w:tr>
      <w:tr w:rsidR="00AC0378" w:rsidRPr="00450B0A" w14:paraId="171D15E8" w14:textId="77777777" w:rsidTr="23FD45F6">
        <w:trPr>
          <w:trHeight w:val="300"/>
        </w:trPr>
        <w:tc>
          <w:tcPr>
            <w:tcW w:w="0" w:type="auto"/>
            <w:shd w:val="clear" w:color="auto" w:fill="auto"/>
          </w:tcPr>
          <w:p w14:paraId="5AC219CA" w14:textId="2A4F1BD3" w:rsidR="00AC0378" w:rsidRPr="00450B0A" w:rsidRDefault="44D2E18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Οκτώβριος – Δεκέμβριος 2024</w:t>
            </w:r>
          </w:p>
        </w:tc>
        <w:tc>
          <w:tcPr>
            <w:tcW w:w="0" w:type="auto"/>
            <w:shd w:val="clear" w:color="auto" w:fill="auto"/>
          </w:tcPr>
          <w:p w14:paraId="63643A4A" w14:textId="0A78078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Ετήσιες διαβουλεύσεις σχετικά με τις αλιευτικές δυνατότητες με τα μέρη στον βορειοανατολικό Ατλαντικό</w:t>
            </w:r>
          </w:p>
        </w:tc>
      </w:tr>
      <w:tr w:rsidR="00AC0378" w:rsidRPr="00450B0A" w14:paraId="405569E5" w14:textId="77777777" w:rsidTr="23FD45F6">
        <w:trPr>
          <w:trHeight w:val="300"/>
        </w:trPr>
        <w:tc>
          <w:tcPr>
            <w:tcW w:w="0" w:type="auto"/>
            <w:shd w:val="clear" w:color="auto" w:fill="auto"/>
          </w:tcPr>
          <w:p w14:paraId="57935532" w14:textId="560616C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Οκτώβριος 2024</w:t>
            </w:r>
          </w:p>
        </w:tc>
        <w:tc>
          <w:tcPr>
            <w:tcW w:w="0" w:type="auto"/>
            <w:shd w:val="clear" w:color="auto" w:fill="auto"/>
          </w:tcPr>
          <w:p w14:paraId="4A383E53" w14:textId="39C580B6"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Σύνοδος του Συμβουλίου για τις αλιευτικές δυνατότητες στη Βαλτική θάλασσα</w:t>
            </w:r>
          </w:p>
          <w:p w14:paraId="6ABBC3DA" w14:textId="46078D7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Διαβουλεύσεις των παράκτιων κρατών σχετικά με τα αποθέματα ευρείας κατανομής στον βορειοανατολικό Ατλαντικό</w:t>
            </w:r>
          </w:p>
        </w:tc>
      </w:tr>
      <w:tr w:rsidR="00AC0378" w:rsidRPr="00450B0A" w14:paraId="71500549" w14:textId="77777777" w:rsidTr="23FD45F6">
        <w:trPr>
          <w:trHeight w:val="300"/>
        </w:trPr>
        <w:tc>
          <w:tcPr>
            <w:tcW w:w="0" w:type="auto"/>
            <w:shd w:val="clear" w:color="auto" w:fill="auto"/>
          </w:tcPr>
          <w:p w14:paraId="27CC5F05" w14:textId="42A3F15C"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Τέλη Οκτωβρίου 2024</w:t>
            </w:r>
          </w:p>
        </w:tc>
        <w:tc>
          <w:tcPr>
            <w:tcW w:w="0" w:type="auto"/>
            <w:shd w:val="clear" w:color="auto" w:fill="auto"/>
          </w:tcPr>
          <w:p w14:paraId="6665FAB6" w14:textId="68E7A89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rPr>
              <w:t>Η Επιτροπή εγκρίνει την πρόταση για τις αλιευτικές δυνατότητες στον Ατλαντικό / στη Βόρεια Θάλασσα</w:t>
            </w:r>
            <w:r>
              <w:rPr>
                <w:rFonts w:ascii="Times New Roman" w:hAnsi="Times New Roman"/>
                <w:noProof/>
                <w:sz w:val="24"/>
              </w:rPr>
              <w:t xml:space="preserve"> </w:t>
            </w:r>
          </w:p>
        </w:tc>
      </w:tr>
      <w:tr w:rsidR="00AC0378" w:rsidRPr="00450B0A" w14:paraId="3D9C31B3" w14:textId="77777777" w:rsidTr="23FD45F6">
        <w:trPr>
          <w:trHeight w:val="300"/>
        </w:trPr>
        <w:tc>
          <w:tcPr>
            <w:tcW w:w="0" w:type="auto"/>
            <w:shd w:val="clear" w:color="auto" w:fill="auto"/>
          </w:tcPr>
          <w:p w14:paraId="25E7B450" w14:textId="11CF3532" w:rsidR="00AC0378" w:rsidRPr="00450B0A" w:rsidRDefault="003C0701"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 xml:space="preserve"> 4-8 Νοεμβρίου 2024</w:t>
            </w:r>
          </w:p>
        </w:tc>
        <w:tc>
          <w:tcPr>
            <w:tcW w:w="0" w:type="auto"/>
            <w:shd w:val="clear" w:color="auto" w:fill="auto"/>
          </w:tcPr>
          <w:p w14:paraId="44FD1F0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 xml:space="preserve">Ετήσια σύνοδος της ΓΕΑΜ </w:t>
            </w:r>
          </w:p>
        </w:tc>
      </w:tr>
      <w:tr w:rsidR="00913544" w:rsidRPr="00450B0A" w14:paraId="59912E5A" w14:textId="77777777" w:rsidTr="23FD45F6">
        <w:trPr>
          <w:trHeight w:val="300"/>
        </w:trPr>
        <w:tc>
          <w:tcPr>
            <w:tcW w:w="0" w:type="auto"/>
            <w:shd w:val="clear" w:color="auto" w:fill="auto"/>
          </w:tcPr>
          <w:p w14:paraId="48213B67" w14:textId="455E075E"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12-15 Νοεμβρίου 2024</w:t>
            </w:r>
          </w:p>
        </w:tc>
        <w:tc>
          <w:tcPr>
            <w:tcW w:w="0" w:type="auto"/>
            <w:shd w:val="clear" w:color="auto" w:fill="auto"/>
          </w:tcPr>
          <w:p w14:paraId="3DF0CA64" w14:textId="6965341D"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Ετήσια συνεδρίαση της NEAFC</w:t>
            </w:r>
          </w:p>
        </w:tc>
      </w:tr>
      <w:tr w:rsidR="00AC0378" w:rsidRPr="00450B0A" w14:paraId="2C6B6106" w14:textId="77777777" w:rsidTr="23FD45F6">
        <w:trPr>
          <w:trHeight w:val="300"/>
        </w:trPr>
        <w:tc>
          <w:tcPr>
            <w:tcW w:w="0" w:type="auto"/>
            <w:shd w:val="clear" w:color="auto" w:fill="auto"/>
          </w:tcPr>
          <w:p w14:paraId="2C2B77EB" w14:textId="55388A3E"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1η Δεκεμβρίου 2024</w:t>
            </w:r>
          </w:p>
        </w:tc>
        <w:tc>
          <w:tcPr>
            <w:tcW w:w="0" w:type="auto"/>
            <w:shd w:val="clear" w:color="auto" w:fill="auto"/>
          </w:tcPr>
          <w:p w14:paraId="1AA44EAF"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Γνωμοδότηση της ΕΤΟΕΑ σχετικά με την αξιολόγηση και τη διαχείριση των αποθεμάτων</w:t>
            </w:r>
          </w:p>
        </w:tc>
      </w:tr>
      <w:tr w:rsidR="00AC0378" w:rsidRPr="003C0701" w14:paraId="0750CAEA" w14:textId="77777777" w:rsidTr="23FD45F6">
        <w:trPr>
          <w:trHeight w:val="300"/>
        </w:trPr>
        <w:tc>
          <w:tcPr>
            <w:tcW w:w="0" w:type="auto"/>
            <w:shd w:val="clear" w:color="auto" w:fill="auto"/>
          </w:tcPr>
          <w:p w14:paraId="2E75E7AA" w14:textId="751C468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Δεκέμβριος 2024</w:t>
            </w:r>
          </w:p>
        </w:tc>
        <w:tc>
          <w:tcPr>
            <w:tcW w:w="0" w:type="auto"/>
            <w:shd w:val="clear" w:color="auto" w:fill="auto"/>
          </w:tcPr>
          <w:p w14:paraId="7C453F58" w14:textId="69ADCA43"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Σύνοδος του Συμβουλίου σχετικά με τις αλιευτικές δυνατότητες στον Ατλαντικό / στη Βόρεια Θάλασσα</w:t>
            </w:r>
          </w:p>
          <w:p w14:paraId="079C03F7" w14:textId="5BE53E6B" w:rsidR="00AC0378" w:rsidRPr="003C0701"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Σύνοδος του Συμβουλίου σχετικά με τις αλιευτικές δυνατότητες στη Μεσόγειο και στον Εύξεινο Πόντο</w:t>
            </w:r>
          </w:p>
        </w:tc>
      </w:tr>
    </w:tbl>
    <w:p w14:paraId="41851E9E" w14:textId="77777777" w:rsidR="00AC0378" w:rsidRPr="003C0701" w:rsidRDefault="00AC0378" w:rsidP="13D482FB">
      <w:pPr>
        <w:spacing w:after="0"/>
        <w:jc w:val="both"/>
        <w:rPr>
          <w:rFonts w:ascii="Times New Roman" w:eastAsia="Times New Roman" w:hAnsi="Times New Roman" w:cs="Times New Roman"/>
          <w:noProof/>
          <w:sz w:val="24"/>
          <w:szCs w:val="24"/>
        </w:rPr>
      </w:pPr>
    </w:p>
    <w:p w14:paraId="2AF4624D" w14:textId="77777777" w:rsidR="00AC0378" w:rsidRPr="003C0701" w:rsidRDefault="00AC0378" w:rsidP="13D482FB">
      <w:pPr>
        <w:jc w:val="both"/>
        <w:rPr>
          <w:rFonts w:ascii="Times New Roman" w:eastAsia="Times New Roman" w:hAnsi="Times New Roman" w:cs="Times New Roman"/>
          <w:noProof/>
          <w:sz w:val="24"/>
          <w:szCs w:val="24"/>
        </w:rPr>
      </w:pPr>
    </w:p>
    <w:p w14:paraId="7C6BE1B6" w14:textId="77777777" w:rsidR="00AC0378" w:rsidRPr="003C0701" w:rsidRDefault="00AC0378" w:rsidP="13D482FB">
      <w:pPr>
        <w:jc w:val="both"/>
        <w:rPr>
          <w:rFonts w:ascii="Times New Roman" w:eastAsia="Times New Roman" w:hAnsi="Times New Roman" w:cs="Times New Roman"/>
          <w:noProof/>
          <w:sz w:val="24"/>
          <w:szCs w:val="24"/>
        </w:rPr>
      </w:pPr>
    </w:p>
    <w:p w14:paraId="51BEF6BB" w14:textId="77777777" w:rsidR="00AC0378" w:rsidRPr="003C0701" w:rsidRDefault="00AC0378" w:rsidP="13D482FB">
      <w:pPr>
        <w:jc w:val="both"/>
        <w:rPr>
          <w:rFonts w:ascii="Times New Roman" w:eastAsia="Times New Roman" w:hAnsi="Times New Roman" w:cs="Times New Roman"/>
          <w:noProof/>
          <w:sz w:val="24"/>
          <w:szCs w:val="24"/>
        </w:rPr>
      </w:pPr>
    </w:p>
    <w:p w14:paraId="260C4844" w14:textId="77777777" w:rsidR="00AC0378" w:rsidRPr="003C0701" w:rsidRDefault="00AC0378" w:rsidP="13D482FB">
      <w:pPr>
        <w:rPr>
          <w:rFonts w:ascii="Times New Roman" w:eastAsia="Times New Roman" w:hAnsi="Times New Roman" w:cs="Times New Roman"/>
          <w:noProof/>
          <w:sz w:val="24"/>
          <w:szCs w:val="24"/>
        </w:rPr>
      </w:pPr>
    </w:p>
    <w:sectPr w:rsidR="00AC0378" w:rsidRPr="003C0701" w:rsidSect="00FB7D0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106A" w14:textId="77777777" w:rsidR="00146D5A" w:rsidRPr="003C0701" w:rsidRDefault="00146D5A">
      <w:pPr>
        <w:spacing w:after="0" w:line="240" w:lineRule="auto"/>
      </w:pPr>
      <w:r>
        <w:separator/>
      </w:r>
    </w:p>
  </w:endnote>
  <w:endnote w:type="continuationSeparator" w:id="0">
    <w:p w14:paraId="1A126253" w14:textId="77777777" w:rsidR="00146D5A" w:rsidRPr="003C0701" w:rsidRDefault="00146D5A">
      <w:pPr>
        <w:spacing w:after="0" w:line="240" w:lineRule="auto"/>
      </w:pPr>
      <w:r>
        <w:continuationSeparator/>
      </w:r>
    </w:p>
  </w:endnote>
  <w:endnote w:type="continuationNotice" w:id="1">
    <w:p w14:paraId="5AA893F9" w14:textId="77777777" w:rsidR="00146D5A" w:rsidRPr="003C0701" w:rsidRDefault="00146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A2C9" w14:textId="79B85EEA" w:rsidR="00097901" w:rsidRPr="00097901" w:rsidRDefault="00097901" w:rsidP="00097901">
    <w:pPr>
      <w:pStyle w:val="FooterCoverPage"/>
      <w:rPr>
        <w:rFonts w:ascii="Arial" w:hAnsi="Arial" w:cs="Arial"/>
        <w:b/>
        <w:sz w:val="48"/>
      </w:rPr>
    </w:pPr>
    <w:r w:rsidRPr="00097901">
      <w:rPr>
        <w:rFonts w:ascii="Arial" w:hAnsi="Arial" w:cs="Arial"/>
        <w:b/>
        <w:sz w:val="48"/>
      </w:rPr>
      <w:t>EL</w:t>
    </w:r>
    <w:r w:rsidRPr="00097901">
      <w:rPr>
        <w:rFonts w:ascii="Arial" w:hAnsi="Arial" w:cs="Arial"/>
        <w:b/>
        <w:sz w:val="48"/>
      </w:rPr>
      <w:tab/>
    </w:r>
    <w:r w:rsidRPr="00097901">
      <w:rPr>
        <w:rFonts w:ascii="Arial" w:hAnsi="Arial" w:cs="Arial"/>
        <w:b/>
        <w:sz w:val="48"/>
      </w:rPr>
      <w:tab/>
    </w:r>
    <w:r w:rsidRPr="00097901">
      <w:tab/>
    </w:r>
    <w:r w:rsidRPr="0009790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F5AB" w14:textId="08582031" w:rsidR="00097901" w:rsidRPr="00097901" w:rsidRDefault="00097901" w:rsidP="00097901">
    <w:pPr>
      <w:pStyle w:val="FooterCoverPage"/>
      <w:rPr>
        <w:rFonts w:ascii="Arial" w:hAnsi="Arial" w:cs="Arial"/>
        <w:b/>
        <w:sz w:val="48"/>
      </w:rPr>
    </w:pPr>
    <w:r w:rsidRPr="00097901">
      <w:rPr>
        <w:rFonts w:ascii="Arial" w:hAnsi="Arial" w:cs="Arial"/>
        <w:b/>
        <w:sz w:val="48"/>
      </w:rPr>
      <w:t>EL</w:t>
    </w:r>
    <w:r w:rsidRPr="00097901">
      <w:rPr>
        <w:rFonts w:ascii="Arial" w:hAnsi="Arial" w:cs="Arial"/>
        <w:b/>
        <w:sz w:val="48"/>
      </w:rPr>
      <w:tab/>
    </w:r>
    <w:r w:rsidRPr="00097901">
      <w:rPr>
        <w:rFonts w:ascii="Arial" w:hAnsi="Arial" w:cs="Arial"/>
        <w:b/>
        <w:sz w:val="48"/>
      </w:rPr>
      <w:tab/>
    </w:r>
    <w:r w:rsidRPr="00097901">
      <w:tab/>
    </w:r>
    <w:r w:rsidRPr="0009790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3457" w14:textId="77777777" w:rsidR="00097901" w:rsidRPr="00097901" w:rsidRDefault="00097901" w:rsidP="0009790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57F8" w14:textId="77777777" w:rsidR="00FB7D07" w:rsidRDefault="00FB7D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59395"/>
      <w:docPartObj>
        <w:docPartGallery w:val="Page Numbers (Bottom of Page)"/>
        <w:docPartUnique/>
      </w:docPartObj>
    </w:sdtPr>
    <w:sdtEndPr/>
    <w:sdtContent>
      <w:p w14:paraId="29055928" w14:textId="7A69D3C4" w:rsidR="00FB7D07" w:rsidRPr="003C0701" w:rsidRDefault="00FB7D0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7901">
          <w:rPr>
            <w:noProof/>
          </w:rPr>
          <w:t>1</w:t>
        </w:r>
        <w:r>
          <w:rPr>
            <w:color w:val="2B579A"/>
            <w:shd w:val="clear" w:color="auto" w:fill="E6E6E6"/>
          </w:rPr>
          <w:fldChar w:fldCharType="end"/>
        </w:r>
      </w:p>
    </w:sdtContent>
  </w:sdt>
  <w:p w14:paraId="4D3A0A74" w14:textId="77777777" w:rsidR="00FB7D07" w:rsidRPr="003C0701" w:rsidRDefault="00FB7D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91B7" w14:textId="77777777" w:rsidR="00FB7D07" w:rsidRDefault="00FB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2761" w14:textId="77777777" w:rsidR="00146D5A" w:rsidRPr="003C0701" w:rsidRDefault="00146D5A">
      <w:pPr>
        <w:spacing w:after="0" w:line="240" w:lineRule="auto"/>
      </w:pPr>
      <w:r>
        <w:separator/>
      </w:r>
    </w:p>
  </w:footnote>
  <w:footnote w:type="continuationSeparator" w:id="0">
    <w:p w14:paraId="4014228A" w14:textId="77777777" w:rsidR="00146D5A" w:rsidRPr="003C0701" w:rsidRDefault="00146D5A">
      <w:pPr>
        <w:spacing w:after="0" w:line="240" w:lineRule="auto"/>
      </w:pPr>
      <w:r>
        <w:continuationSeparator/>
      </w:r>
    </w:p>
  </w:footnote>
  <w:footnote w:type="continuationNotice" w:id="1">
    <w:p w14:paraId="7D4148E2" w14:textId="77777777" w:rsidR="00146D5A" w:rsidRPr="003C0701" w:rsidRDefault="00146D5A">
      <w:pPr>
        <w:spacing w:after="0" w:line="240" w:lineRule="auto"/>
      </w:pPr>
    </w:p>
  </w:footnote>
  <w:footnote w:id="2">
    <w:p w14:paraId="65DA9A2E" w14:textId="23916762" w:rsidR="00F13ADB" w:rsidRPr="00F06979" w:rsidRDefault="00F13ADB" w:rsidP="00F13ADB">
      <w:pPr>
        <w:pStyle w:val="FootnoteText"/>
        <w:spacing w:after="0"/>
      </w:pPr>
      <w:r>
        <w:rPr>
          <w:rStyle w:val="FootnoteReference"/>
        </w:rPr>
        <w:footnoteRef/>
      </w:r>
      <w:r>
        <w:t xml:space="preserve"> COM(2023) 100 final.</w:t>
      </w:r>
    </w:p>
  </w:footnote>
  <w:footnote w:id="3">
    <w:p w14:paraId="600C4980" w14:textId="32B976B0" w:rsidR="00F13ADB" w:rsidRPr="00F06979" w:rsidRDefault="00F13ADB" w:rsidP="00F13ADB">
      <w:pPr>
        <w:pStyle w:val="FootnoteText"/>
        <w:spacing w:after="0"/>
      </w:pPr>
      <w:r>
        <w:rPr>
          <w:rStyle w:val="FootnoteReference"/>
        </w:rPr>
        <w:footnoteRef/>
      </w:r>
      <w:r>
        <w:t xml:space="preserve"> COM(2023) 100 final· COM(2023) 101 final· COM(2023) 102 final· COM(2023) 103 final.</w:t>
      </w:r>
    </w:p>
  </w:footnote>
  <w:footnote w:id="4">
    <w:p w14:paraId="2AA63CBB" w14:textId="7267C461" w:rsidR="00F13ADB" w:rsidRPr="00F13ADB" w:rsidRDefault="00F13ADB">
      <w:pPr>
        <w:pStyle w:val="FootnoteText"/>
      </w:pPr>
      <w:r>
        <w:rPr>
          <w:rStyle w:val="FootnoteReference"/>
        </w:rPr>
        <w:footnoteRef/>
      </w:r>
      <w:r>
        <w:t xml:space="preserve"> Κανονισμός (ΕΕ) αριθ. 1380/2013 του Ευρωπαϊκού Κοινοβουλίου και του Συμβουλίου, της 11ης Δεκεμβρίου 2013, σχετικά με την Κοινή Αλιευτική Πολιτική, την τροποποίηση των κανονισμών του Συμβουλίου (ΕΚ) αριθ. 1954/2003 και (ΕΚ) αριθ. 1224/2009 και την κατάργηση των κανονισμών του Συμβουλίου (ΕΚ) αριθ. 2371/2002 και (ΕΚ) αριθ. 639/2004 και της απόφασης 2004/585/ΕΚ του Συμβουλίου.</w:t>
      </w:r>
    </w:p>
  </w:footnote>
  <w:footnote w:id="5">
    <w:p w14:paraId="5671D6E0" w14:textId="746F830A" w:rsidR="0045793D" w:rsidRPr="006B0267" w:rsidRDefault="0045793D" w:rsidP="00FC57D3">
      <w:pPr>
        <w:pStyle w:val="FootnoteText"/>
        <w:spacing w:after="0"/>
      </w:pPr>
      <w:r>
        <w:rPr>
          <w:rStyle w:val="FootnoteReference"/>
        </w:rPr>
        <w:footnoteRef/>
      </w:r>
      <w:r>
        <w:t xml:space="preserve"> </w:t>
      </w:r>
      <w:bookmarkStart w:id="3" w:name="_Hlk132736636"/>
      <w:r>
        <w:t>Για λεπτομερή ανάλυση του δείκτη F</w:t>
      </w:r>
      <w:r>
        <w:rPr>
          <w:vertAlign w:val="subscript"/>
        </w:rPr>
        <w:t>MSY</w:t>
      </w:r>
      <w:r>
        <w:t xml:space="preserve"> και της κατάστασης βιομάζας των ιχθυαποθεμάτων σε όλες τις θαλάσσιες λεκάνες, βλ. ενότητα 1 του συνοδευτικού εγγράφου εργασίας των υπηρεσιών της Επιτροπής</w:t>
      </w:r>
      <w:bookmarkEnd w:id="3"/>
      <w:r>
        <w:t>.</w:t>
      </w:r>
    </w:p>
  </w:footnote>
  <w:footnote w:id="6">
    <w:p w14:paraId="18949695" w14:textId="4623BDAB" w:rsidR="00F13ADB" w:rsidRPr="00F13ADB" w:rsidRDefault="00F13ADB" w:rsidP="00F13ADB">
      <w:pPr>
        <w:pStyle w:val="FootnoteText"/>
        <w:spacing w:after="0"/>
      </w:pPr>
      <w:r>
        <w:rPr>
          <w:rStyle w:val="FootnoteReference"/>
        </w:rPr>
        <w:footnoteRef/>
      </w:r>
      <w:r>
        <w:t xml:space="preserve"> </w:t>
      </w:r>
      <w:hyperlink r:id="rId1" w:history="1">
        <w:r>
          <w:rPr>
            <w:rStyle w:val="Hyperlink"/>
          </w:rPr>
          <w:t>https://research-and-innovation.ec.europa.eu/funding/funding-opportunities/funding-programmes-and-open-calls/horizon-europe/eu-missions-horizon-europe/restore-our-ocean-and-waters_en?etransnolive=1&amp;prefLang=el</w:t>
        </w:r>
      </w:hyperlink>
    </w:p>
  </w:footnote>
  <w:footnote w:id="7">
    <w:p w14:paraId="354543D1" w14:textId="38868537" w:rsidR="00F13ADB" w:rsidRPr="00F13ADB" w:rsidRDefault="00F13ADB" w:rsidP="00F13ADB">
      <w:pPr>
        <w:pStyle w:val="FootnoteText"/>
        <w:spacing w:after="0"/>
      </w:pPr>
      <w:r>
        <w:rPr>
          <w:rStyle w:val="FootnoteReference"/>
        </w:rPr>
        <w:footnoteRef/>
      </w:r>
      <w:r>
        <w:t xml:space="preserve"> COM(2023) 102 final.</w:t>
      </w:r>
    </w:p>
  </w:footnote>
  <w:footnote w:id="8">
    <w:p w14:paraId="3543AE1C" w14:textId="01A7B300" w:rsidR="00F13ADB" w:rsidRPr="00F13ADB" w:rsidRDefault="00F13ADB" w:rsidP="00F13ADB">
      <w:pPr>
        <w:pStyle w:val="FootnoteText"/>
        <w:spacing w:after="0"/>
      </w:pPr>
      <w:r>
        <w:rPr>
          <w:rStyle w:val="FootnoteReference"/>
        </w:rPr>
        <w:footnoteRef/>
      </w:r>
      <w:r>
        <w:t xml:space="preserve"> Στην παρούσα ενότητα, ο όρος «βορειοανατολικός Ατλαντικός» αναφέρεται στα αποθέματα της ζώνης 27 του Οργανισμού Τροφίμων και Γεωργίας (FAO).</w:t>
      </w:r>
    </w:p>
  </w:footnote>
  <w:footnote w:id="9">
    <w:p w14:paraId="25427DAD" w14:textId="5F3596A9" w:rsidR="443BF565" w:rsidRPr="00967949" w:rsidRDefault="443BF565" w:rsidP="00FC57D3">
      <w:pPr>
        <w:spacing w:after="0"/>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hyperlink r:id="rId2" w:history="1">
        <w:r>
          <w:rPr>
            <w:rStyle w:val="Hyperlink"/>
            <w:rFonts w:ascii="Times New Roman" w:hAnsi="Times New Roman"/>
            <w:sz w:val="20"/>
          </w:rPr>
          <w:t>https://oceans-and-fisheries.ec.europa.eu/policy/common-fisheries-policy-cfp_en?prefLang=el</w:t>
        </w:r>
      </w:hyperlink>
    </w:p>
  </w:footnote>
  <w:footnote w:id="10">
    <w:p w14:paraId="1B8B31ED" w14:textId="70E4117D" w:rsidR="003D7EED" w:rsidRPr="003D7EED" w:rsidRDefault="003D7EED" w:rsidP="00F13ADB">
      <w:pPr>
        <w:pStyle w:val="FootnoteText"/>
        <w:spacing w:after="0"/>
      </w:pPr>
      <w:r>
        <w:rPr>
          <w:rStyle w:val="FootnoteReference"/>
        </w:rPr>
        <w:footnoteRef/>
      </w:r>
      <w:r>
        <w:t xml:space="preserve"> </w:t>
      </w:r>
      <w:r>
        <w:rPr>
          <w:color w:val="333333"/>
          <w:shd w:val="clear" w:color="auto" w:fill="FFFFFF"/>
        </w:rPr>
        <w:t xml:space="preserve">Τα παρασυρόμενα μικροσκοπικά φύκη και ζώα αποτελούν τη βάση του πελαγικού τροφικού ιστού και αποτελούν άμεση ή έμμεση πηγή τροφής για ψάρια, οστρακοειδή και θαλάσσια πτηνά. </w:t>
      </w:r>
      <w:hyperlink r:id="rId3" w:history="1">
        <w:r>
          <w:rPr>
            <w:rStyle w:val="Hyperlink"/>
          </w:rPr>
          <w:t>https://oap.ospar.org/en/ospar-assessments/quality-status-reports/qsr-2023/indicator-assessments/changes-plankton-biomass-abundance/</w:t>
        </w:r>
      </w:hyperlink>
      <w:r>
        <w:rPr>
          <w:rStyle w:val="Hyperlink"/>
        </w:rPr>
        <w:t xml:space="preserve"> </w:t>
      </w:r>
    </w:p>
  </w:footnote>
  <w:footnote w:id="11">
    <w:p w14:paraId="30C0AE3D" w14:textId="3E526106" w:rsidR="00F13ADB" w:rsidRPr="00F13ADB" w:rsidRDefault="00F13ADB" w:rsidP="00F13ADB">
      <w:pPr>
        <w:pStyle w:val="FootnoteText"/>
        <w:spacing w:after="0"/>
      </w:pPr>
      <w:r>
        <w:rPr>
          <w:rStyle w:val="FootnoteReference"/>
        </w:rPr>
        <w:footnoteRef/>
      </w:r>
      <w:r>
        <w:t xml:space="preserve"> </w:t>
      </w:r>
      <w:hyperlink r:id="rId4" w:history="1">
        <w:r>
          <w:rPr>
            <w:rStyle w:val="Hyperlink"/>
          </w:rPr>
          <w:t>https://oap.ospar.org/en/ospar-assessments/quality-status-reports/qsr-2023/indicator-assessments/changes-plankton-biomass-abundance/</w:t>
        </w:r>
      </w:hyperlink>
    </w:p>
  </w:footnote>
  <w:footnote w:id="12">
    <w:p w14:paraId="0CC53F6E" w14:textId="5D00A430" w:rsidR="00F13ADB" w:rsidRPr="00F13ADB" w:rsidRDefault="00F13ADB" w:rsidP="00F13ADB">
      <w:pPr>
        <w:pStyle w:val="FootnoteText"/>
        <w:spacing w:after="0"/>
      </w:pPr>
      <w:r>
        <w:rPr>
          <w:rStyle w:val="FootnoteReference"/>
        </w:rPr>
        <w:footnoteRef/>
      </w:r>
      <w:r>
        <w:t xml:space="preserve"> </w:t>
      </w:r>
      <w:hyperlink r:id="rId5" w:history="1">
        <w:r>
          <w:rPr>
            <w:rStyle w:val="Hyperlink"/>
          </w:rPr>
          <w:t>https://oap.ospar.org/en/ospar-assessments/quality-status-reports/qsr-2023/indicator-assessments/changes-plankton-biomass-abundance/</w:t>
        </w:r>
      </w:hyperlink>
    </w:p>
  </w:footnote>
  <w:footnote w:id="13">
    <w:p w14:paraId="29251048" w14:textId="46BE19F9" w:rsidR="001E640F" w:rsidRPr="006B0267" w:rsidRDefault="001E640F" w:rsidP="00F13ADB">
      <w:pPr>
        <w:pStyle w:val="FootnoteText"/>
        <w:spacing w:after="0"/>
      </w:pPr>
      <w:r>
        <w:rPr>
          <w:rStyle w:val="FootnoteReference"/>
        </w:rPr>
        <w:footnoteRef/>
      </w:r>
      <w:r>
        <w:t xml:space="preserve"> Έκθεση ποιότητας της HELCOM 2023</w:t>
      </w:r>
      <w:r>
        <w:rPr>
          <w:rFonts w:ascii="Calibri" w:hAnsi="Calibri"/>
        </w:rPr>
        <w:t xml:space="preserve"> (HOLAS 3): </w:t>
      </w:r>
      <w:hyperlink r:id="rId6" w:history="1">
        <w:r>
          <w:rPr>
            <w:rStyle w:val="Hyperlink"/>
            <w:rFonts w:ascii="Calibri" w:hAnsi="Calibri"/>
          </w:rPr>
          <w:t xml:space="preserve">https://helcom.fi/wp-content/uploads/2023/10/State-of-the-Baltic-Sea-2023.pdf </w:t>
        </w:r>
      </w:hyperlink>
    </w:p>
  </w:footnote>
  <w:footnote w:id="14">
    <w:p w14:paraId="1A0A8AFA" w14:textId="79027107" w:rsidR="00E8087A" w:rsidRPr="003C0701" w:rsidRDefault="00E8087A" w:rsidP="00166034">
      <w:pPr>
        <w:pStyle w:val="FootnoteText"/>
        <w:spacing w:after="0"/>
      </w:pPr>
      <w:r>
        <w:rPr>
          <w:rStyle w:val="FootnoteReference"/>
        </w:rPr>
        <w:footnoteRef/>
      </w:r>
      <w:r>
        <w:t xml:space="preserve"> Ειδικότερα, η οδηγία για τη νιτρορύπανση, η οδηγία για την επεξεργασία των αστικών λυμάτων, η οδηγία-πλαίσιο για τη θαλάσσια στρατηγική, η οδηγία-πλαίσιο για τα ύδατα, οι οδηγίες για τους οικοτόπους και τα πτηνά, η οδηγία-πλαίσιο για τα απόβλητα, η οδηγία για τον θαλάσσιο χωροταξικό σχεδιασμό, η οδηγία για τα πλαστικά μίας χρήσης, ο κανονισμός για την κοινή αλιευτική πολιτική, η ολοκληρωμένη θαλάσσια πολιτική και η κοινή γεωργική πολιτική.</w:t>
      </w:r>
    </w:p>
  </w:footnote>
  <w:footnote w:id="15">
    <w:p w14:paraId="218257B0" w14:textId="5CA0C087" w:rsidR="00AC0378" w:rsidRPr="003C0701" w:rsidRDefault="001D6309" w:rsidP="000E4469">
      <w:pPr>
        <w:pStyle w:val="FootnoteText"/>
        <w:spacing w:after="0"/>
      </w:pPr>
      <w:r>
        <w:rPr>
          <w:rStyle w:val="FootnoteReference"/>
        </w:rPr>
        <w:footnoteRef/>
      </w:r>
      <w:r>
        <w:t xml:space="preserve"> Κανονισμός (ΕΕ) 2016/1139 του Ευρωπαϊκού Κοινοβουλίου και του Συμβουλίου, της 6ης Ιουλίου 2016, για τη θέσπιση πολυετούς σχεδίου για τα αποθέματα γάδου, ρέγγας και παπαλίνας της Βαλτικής θάλασσας και για τις αλιευτικές δραστηριότητες εκμετάλλευσης των εν λόγω αποθεμάτων, για την τροποποίηση του κανονισμού (ΕΚ) αριθ. 2187/2005 του Συμβουλίου και για την κατάργηση του κανονισμού (ΕΚ) αριθ. 1098/2007 του Συμβουλίου (ΕΕ L 191 της 15.7.2016, σ. 1).</w:t>
      </w:r>
    </w:p>
  </w:footnote>
  <w:footnote w:id="16">
    <w:p w14:paraId="5E8E7CB6" w14:textId="1E06EDB0" w:rsidR="000D5CE8" w:rsidRPr="003C0701" w:rsidRDefault="00E8087A" w:rsidP="000E4469">
      <w:pPr>
        <w:pStyle w:val="FootnoteText"/>
        <w:spacing w:after="0"/>
      </w:pPr>
      <w:r>
        <w:rPr>
          <w:rStyle w:val="FootnoteReference"/>
        </w:rPr>
        <w:footnoteRef/>
      </w:r>
      <w:r>
        <w:t xml:space="preserve"> </w:t>
      </w:r>
      <w:hyperlink r:id="rId7" w:history="1">
        <w:r>
          <w:rPr>
            <w:rStyle w:val="Hyperlink"/>
          </w:rPr>
          <w:t>https://commission.europa.eu/system/files/2020-09/ministerial_declaration_our_baltic_conference.pdf</w:t>
        </w:r>
      </w:hyperlink>
    </w:p>
  </w:footnote>
  <w:footnote w:id="17">
    <w:p w14:paraId="6C1CC295" w14:textId="0AD928F8" w:rsidR="00FC6159" w:rsidRPr="00FC6159" w:rsidRDefault="00FC6159" w:rsidP="000E4469">
      <w:pPr>
        <w:pStyle w:val="FootnoteText"/>
        <w:spacing w:after="0"/>
      </w:pPr>
      <w:r>
        <w:rPr>
          <w:rStyle w:val="FootnoteReference"/>
        </w:rPr>
        <w:footnoteRef/>
      </w:r>
      <w:r>
        <w:t xml:space="preserve"> </w:t>
      </w:r>
      <w:hyperlink r:id="rId8" w:history="1">
        <w:r>
          <w:rPr>
            <w:rStyle w:val="Hyperlink"/>
          </w:rPr>
          <w:t>https://op.europa.eu/el/publication-detail/-/publication/2e76afa1-5695-11ee-9220-01aa75ed71a1</w:t>
        </w:r>
      </w:hyperlink>
    </w:p>
  </w:footnote>
  <w:footnote w:id="18">
    <w:p w14:paraId="365056D8" w14:textId="1491A722" w:rsidR="00166034" w:rsidRPr="00166034" w:rsidRDefault="00166034" w:rsidP="000E4469">
      <w:pPr>
        <w:pStyle w:val="FootnoteText"/>
        <w:spacing w:after="0"/>
      </w:pPr>
      <w:r>
        <w:rPr>
          <w:rStyle w:val="FootnoteReference"/>
        </w:rPr>
        <w:footnoteRef/>
      </w:r>
      <w:r>
        <w:t xml:space="preserve"> Συμφωνία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(ΕΕ L 149 της 30.4.2021, σ. 10).</w:t>
      </w:r>
    </w:p>
  </w:footnote>
  <w:footnote w:id="19">
    <w:p w14:paraId="7C286344" w14:textId="4CA51FFE" w:rsidR="00D9697D" w:rsidRPr="003C0701" w:rsidRDefault="00D9697D" w:rsidP="000E4469">
      <w:pPr>
        <w:pStyle w:val="FootnoteText"/>
        <w:spacing w:after="0"/>
      </w:pPr>
      <w:r>
        <w:rPr>
          <w:rStyle w:val="FootnoteReference"/>
        </w:rPr>
        <w:footnoteRef/>
      </w:r>
      <w:r>
        <w:t xml:space="preserve"> </w:t>
      </w:r>
      <w:r>
        <w:tab/>
        <w:t xml:space="preserve">Written Record of fisheries consultations between the United Kingdom and the European Union for 2024 [Γραπτά πρακτικά των διαβουλεύσεων για θέματα αλιείας μεταξύ του Ηνωμένου Βασιλείου και της Ευρωπαϊκής Ένωσης για το 2023]:: </w:t>
      </w:r>
      <w:hyperlink r:id="rId9" w:history="1">
        <w:r>
          <w:rPr>
            <w:rStyle w:val="Hyperlink"/>
          </w:rPr>
          <w:t>https://oceans-and-fisheries.ec.europa.eu/system/files/2023-12/2024-eu-uk-fisheries-consultations_en.pdf</w:t>
        </w:r>
      </w:hyperlink>
      <w:r>
        <w:rPr>
          <w:rStyle w:val="Hyperlink"/>
          <w:color w:val="auto"/>
          <w:u w:val="none"/>
        </w:rPr>
        <w:t>.</w:t>
      </w:r>
    </w:p>
  </w:footnote>
  <w:footnote w:id="20">
    <w:p w14:paraId="52047C47" w14:textId="506DE3DC" w:rsidR="00D9697D" w:rsidRPr="003C0701" w:rsidRDefault="00D9697D" w:rsidP="00A6185B">
      <w:pPr>
        <w:pStyle w:val="FootnoteText"/>
        <w:spacing w:after="0"/>
      </w:pPr>
      <w:r>
        <w:rPr>
          <w:rStyle w:val="FootnoteReference"/>
        </w:rPr>
        <w:footnoteRef/>
      </w:r>
      <w:r>
        <w:t xml:space="preserve"> </w:t>
      </w:r>
      <w:r>
        <w:tab/>
        <w:t xml:space="preserve">Για τα πρακτικά των συνεδριάσεων της ειδικής επιτροπής αλιείας, βλ.: </w:t>
      </w:r>
      <w:hyperlink r:id="rId10" w:history="1">
        <w:r>
          <w:rPr>
            <w:rStyle w:val="Hyperlink"/>
          </w:rPr>
          <w:t>https://commission.europa.eu/strategy-and-policy/relations-non-eu-countries/relations-united-kingdom/eu-uk-trade-and-cooperation-agreement/meetings-eu-uk-partnership-council-and-specialised-committees-under-trade-and-cooperation-agreement/specialised-committee-fisheries_en?prefLang=el</w:t>
        </w:r>
      </w:hyperlink>
      <w:r>
        <w:t>.</w:t>
      </w:r>
    </w:p>
  </w:footnote>
  <w:footnote w:id="21">
    <w:p w14:paraId="57120326" w14:textId="6DF805E8" w:rsidR="00D9697D" w:rsidRPr="003C0701" w:rsidRDefault="00D9697D" w:rsidP="00541AF7">
      <w:pPr>
        <w:pStyle w:val="FootnoteText"/>
        <w:spacing w:after="0"/>
      </w:pPr>
      <w:r>
        <w:rPr>
          <w:rStyle w:val="FootnoteReference"/>
        </w:rPr>
        <w:footnoteRef/>
      </w:r>
      <w:r>
        <w:t xml:space="preserve"> </w:t>
      </w:r>
      <w:r>
        <w:tab/>
        <w:t xml:space="preserve">Πρακτικά συμπερασμάτων των διαβουλεύσεων για θέματα αλιείας μεταξύ της Νορβηγίας και της Ευρωπαϊκής Ένωσης σχετικά με τη ρύθμιση της αλιείας στο Skagerrak και στο Kattegat για το 2024: </w:t>
      </w:r>
      <w:hyperlink r:id="rId11" w:history="1">
        <w:r>
          <w:rPr>
            <w:rStyle w:val="Hyperlink"/>
          </w:rPr>
          <w:t>https://oceans-and-fisheries.ec.europa.eu/document/download/675ccb20-4b1c-456e-b13c-8e7b853002e3_en?filename=2023-12-08-EU-NO-Skagerrak-Agreed-Record-2024.pdf</w:t>
        </w:r>
      </w:hyperlink>
      <w:r>
        <w:t>.</w:t>
      </w:r>
    </w:p>
  </w:footnote>
  <w:footnote w:id="22">
    <w:p w14:paraId="2C697BFD" w14:textId="36617052" w:rsidR="00541AF7" w:rsidRPr="00541AF7" w:rsidRDefault="00541AF7" w:rsidP="00541AF7">
      <w:pPr>
        <w:pStyle w:val="FootnoteText"/>
        <w:spacing w:after="0"/>
      </w:pPr>
      <w:r>
        <w:rPr>
          <w:rStyle w:val="FootnoteReference"/>
        </w:rPr>
        <w:footnoteRef/>
      </w:r>
      <w:r>
        <w:t xml:space="preserve"> </w:t>
      </w:r>
      <w:r>
        <w:tab/>
        <w:t>https://www.ices.dk/community/groups/pages/wgwide.aspx, η ομάδα εργασίας για τα αποθέματα ευρείας κατανομής (WGWIDE) συγκεντρώνει και αναλύει δεδομένα σχετικά με τα μεγάλα αποθέματα πελαγικών ειδών, καθώς και άλλων ευρέως κατανεμημένων και άκρως μεταναστευτικών ειδών.</w:t>
      </w:r>
    </w:p>
  </w:footnote>
  <w:footnote w:id="23">
    <w:p w14:paraId="34D3BE92" w14:textId="7B9D60F8" w:rsidR="00370512" w:rsidRPr="00370512" w:rsidRDefault="00370512" w:rsidP="00541AF7">
      <w:pPr>
        <w:pStyle w:val="FootnoteText"/>
        <w:spacing w:after="0"/>
      </w:pPr>
      <w:r>
        <w:rPr>
          <w:rStyle w:val="FootnoteReference"/>
        </w:rPr>
        <w:footnoteRef/>
      </w:r>
      <w:r>
        <w:tab/>
        <w:t>Τα παράκτια κράτη του βορειοανατολικού Ατλαντικού που διαχειρίζονται τα αποθέματα αυτά είναι τα κράτη μέλη της Ευρωπαϊκής Ένωσης, το Ηνωμένο Βασίλειο, η Νορβηγία, η Ισλανδία, οι Φερόες Νήσοι, η Γροιλανδία και η Ρωσική Ομοσπονδία.</w:t>
      </w:r>
    </w:p>
  </w:footnote>
  <w:footnote w:id="24">
    <w:p w14:paraId="27670CD5" w14:textId="6DB86B8D" w:rsidR="009A34D1" w:rsidRPr="003C0701" w:rsidRDefault="009A34D1" w:rsidP="00B42797">
      <w:pPr>
        <w:pStyle w:val="FootnoteText"/>
        <w:spacing w:after="0"/>
      </w:pPr>
      <w:r>
        <w:rPr>
          <w:rStyle w:val="FootnoteReference"/>
        </w:rPr>
        <w:footnoteRef/>
      </w:r>
      <w:r>
        <w:tab/>
        <w:t>Κανονισμός (ΕΕ) 2019/1022 του Ευρωπαϊκού Κοινοβουλίου και του Συμβουλίου, της 20ής Ιουνίου 2019, για τη θέσπιση πολυετούς σχεδίου σχετικά με τις αλιευτικές δραστηριότητες εκμετάλλευσης βενθοπελαγικών αποθεμάτων στη δυτική Μεσόγειο Θάλασσα και για την τροποποίηση του κανονισμού (ΕΕ) αριθ. 508/2014 (ΕΕ L 172 της 26.6.2019, σ. 1).</w:t>
      </w:r>
    </w:p>
  </w:footnote>
  <w:footnote w:id="25">
    <w:p w14:paraId="37642125" w14:textId="1E10FD9D" w:rsidR="009A34D1" w:rsidRPr="003C0701" w:rsidRDefault="009A34D1" w:rsidP="00B42797">
      <w:pPr>
        <w:pStyle w:val="FootnoteText"/>
        <w:spacing w:after="0"/>
      </w:pPr>
      <w:r>
        <w:rPr>
          <w:rStyle w:val="FootnoteReference"/>
        </w:rPr>
        <w:footnoteRef/>
      </w:r>
      <w:r>
        <w:t xml:space="preserve"> </w:t>
      </w:r>
      <w:r>
        <w:tab/>
        <w:t xml:space="preserve">Στρατηγική της ΓΕΑΜ για το 2030 για τη βιώσιμη αλιεία και υδατοκαλλιέργεια στη Μεσόγειο και τον Εύξεινο Πόντο. </w:t>
      </w:r>
      <w:hyperlink r:id="rId12" w:history="1">
        <w:r>
          <w:rPr>
            <w:rStyle w:val="Hyperlink"/>
          </w:rPr>
          <w:t>https://www.fao.org/documents/card/en/c/cb7562en</w:t>
        </w:r>
      </w:hyperlink>
      <w:r>
        <w:rPr>
          <w:rStyle w:val="Hyperlink"/>
        </w:rPr>
        <w:t>.</w:t>
      </w:r>
    </w:p>
  </w:footnote>
  <w:footnote w:id="26">
    <w:p w14:paraId="484D1EE9" w14:textId="4FA7B8DE" w:rsidR="00541AF7" w:rsidRPr="00541AF7" w:rsidRDefault="00541AF7" w:rsidP="00166034">
      <w:pPr>
        <w:pStyle w:val="FootnoteText"/>
        <w:spacing w:after="0"/>
      </w:pPr>
      <w:r>
        <w:rPr>
          <w:rStyle w:val="FootnoteReference"/>
        </w:rPr>
        <w:footnoteRef/>
      </w:r>
      <w:r>
        <w:t xml:space="preserve"> </w:t>
      </w:r>
      <w:r>
        <w:tab/>
        <w:t>Κανονισμός (ΕΕ) 2024/259 του Συμβουλίου, της 10ης Ιανουαρίου 2024, σχετικά με τον καθορισμό για το 2024 των αλιευτικών δυνατοτήτων που ισχύουν στη Μεσόγειο θάλασσα και στον Εύξεινο Πόντο για ορισμένα αποθέματα ιχθύων και ομάδες αποθεμάτων ιχθύων (ΕΕ L 2024/259 της 11.1.2024).</w:t>
      </w:r>
    </w:p>
  </w:footnote>
  <w:footnote w:id="27">
    <w:p w14:paraId="640D97D0" w14:textId="7BED1358" w:rsidR="00B42797" w:rsidRPr="00B42797" w:rsidRDefault="00B42797" w:rsidP="00166034">
      <w:pPr>
        <w:pStyle w:val="FootnoteText"/>
        <w:spacing w:after="0"/>
      </w:pPr>
      <w:r>
        <w:rPr>
          <w:rStyle w:val="FootnoteReference"/>
        </w:rPr>
        <w:footnoteRef/>
      </w:r>
      <w:r>
        <w:t xml:space="preserve"> </w:t>
      </w:r>
      <w:r>
        <w:tab/>
        <w:t>Άρθρο 13 του κανονισμού (ΕΕ) 2024/257.</w:t>
      </w:r>
    </w:p>
  </w:footnote>
  <w:footnote w:id="28">
    <w:p w14:paraId="1D62EA49" w14:textId="1C313A57" w:rsidR="3666E496" w:rsidRPr="006B0267" w:rsidRDefault="3666E496" w:rsidP="006B0267">
      <w:pPr>
        <w:spacing w:after="0"/>
        <w:rPr>
          <w:rStyle w:val="Hyperlink"/>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hyperlink r:id="rId13" w:history="1">
        <w:r>
          <w:rPr>
            <w:rStyle w:val="Hyperlink"/>
            <w:rFonts w:ascii="Times New Roman" w:hAnsi="Times New Roman"/>
            <w:sz w:val="20"/>
          </w:rPr>
          <w:t>https://data.consilium.europa.eu/doc/document/ST-5374-2023-ADD-1-REV-1/el/pdf</w:t>
        </w:r>
      </w:hyperlink>
      <w:r>
        <w:rPr>
          <w:rFonts w:ascii="Times New Roman" w:hAnsi="Times New Roman"/>
          <w:sz w:val="20"/>
        </w:rPr>
        <w:t xml:space="preserve"> </w:t>
      </w:r>
    </w:p>
  </w:footnote>
  <w:footnote w:id="29">
    <w:p w14:paraId="06CBDD12" w14:textId="2C0821B8" w:rsidR="00F13ADB" w:rsidRPr="00F13ADB" w:rsidRDefault="00F13ADB" w:rsidP="00F13ADB">
      <w:pPr>
        <w:pStyle w:val="FootnoteText"/>
        <w:spacing w:after="0"/>
      </w:pPr>
      <w:r>
        <w:rPr>
          <w:rStyle w:val="FootnoteReference"/>
        </w:rPr>
        <w:footnoteRef/>
      </w:r>
      <w:r>
        <w:t xml:space="preserve"> Αυστρία, Κροατία, Κύπρος, Τσεχική Δημοκρατία, Εσθονία, Φινλανδία, Γερμανία, Ελλάδα, Ουγγαρία, Ιρλανδία, Λιθουανία, Λουξεμβούργο, Μάλτα, Πορτογαλία, Ρουμανία, Σλοβακία.</w:t>
      </w:r>
    </w:p>
  </w:footnote>
  <w:footnote w:id="30">
    <w:p w14:paraId="7CB888EC" w14:textId="36D83323" w:rsidR="00F13ADB" w:rsidRPr="00F13ADB" w:rsidRDefault="00F13ADB" w:rsidP="00F13ADB">
      <w:pPr>
        <w:pStyle w:val="FootnoteText"/>
        <w:spacing w:after="0"/>
      </w:pPr>
      <w:r>
        <w:rPr>
          <w:rStyle w:val="FootnoteReference"/>
        </w:rPr>
        <w:footnoteRef/>
      </w:r>
      <w:r>
        <w:t xml:space="preserve"> Άρθρο 22 του κανονισμού ΚΑΠ -— Κανονισμός (ΕΕ) αριθ. 1380/2013 του Ευρωπαϊκού Κοινοβουλίου και του Συμβουλίου, της 11ης Δεκεμβρίου 2013, σχετικά με την Κοινή Αλιευτική Πολιτική, την τροποποίηση των κανονισμών του Συμβουλίου (ΕΚ) αριθ. 1954/2003 και (ΕΚ) αριθ. 1224/2009 και την κατάργηση των κανονισμών του Συμβουλίου (ΕΚ) αριθ. 2371/2002 και (ΕΚ) αριθ. 639/2004 και της απόφασης 2004/585/ΕΚ του Συμβουλίου.</w:t>
      </w:r>
    </w:p>
  </w:footnote>
  <w:footnote w:id="31">
    <w:p w14:paraId="17585326" w14:textId="4A8E137F" w:rsidR="0043036C" w:rsidRPr="006B0267" w:rsidRDefault="0043036C" w:rsidP="000A48FC">
      <w:pPr>
        <w:pStyle w:val="FootnoteText"/>
        <w:spacing w:after="0"/>
      </w:pPr>
      <w:r>
        <w:rPr>
          <w:rStyle w:val="FootnoteReference"/>
        </w:rPr>
        <w:footnoteRef/>
      </w:r>
      <w:r>
        <w:tab/>
        <w:t>Συμπεριλαμβανομένου του στόλου που αλιεύει σε εξόχως απόκεντρες περιοχές.</w:t>
      </w:r>
    </w:p>
  </w:footnote>
  <w:footnote w:id="32">
    <w:p w14:paraId="7C1901D7" w14:textId="47944BA8" w:rsidR="005E6A8B" w:rsidRPr="006B0267" w:rsidRDefault="005E6A8B" w:rsidP="003B2888">
      <w:pPr>
        <w:pStyle w:val="FootnoteText"/>
        <w:spacing w:after="0"/>
      </w:pPr>
      <w:r>
        <w:rPr>
          <w:rStyle w:val="FootnoteReference"/>
        </w:rPr>
        <w:footnoteRef/>
      </w:r>
      <w:r>
        <w:tab/>
        <w:t xml:space="preserve">Οι «κόκκινοι» δείκτες καταδεικνύουν ότι τμήματα του στόλου δεν είναι σε ισορροπία σε σχέση με τις αλιευτικές δυνατότητες. Οι «πράσινοι» δείκτες καταδεικνύουν ότι ένα τμήμα του στόλου είναι σε ισορροπία σε σχέση με τις αλιευτικές δυνατότητες. </w:t>
      </w:r>
    </w:p>
  </w:footnote>
  <w:footnote w:id="33">
    <w:p w14:paraId="327A8FF4" w14:textId="750DE4AA" w:rsidR="008D1720" w:rsidRPr="00F06979" w:rsidRDefault="008D1720" w:rsidP="003B2888">
      <w:pPr>
        <w:pStyle w:val="FootnoteText"/>
        <w:spacing w:after="0"/>
      </w:pPr>
      <w:r>
        <w:rPr>
          <w:rStyle w:val="FootnoteReference"/>
        </w:rPr>
        <w:footnoteRef/>
      </w:r>
      <w:r>
        <w:t xml:space="preserve"> </w:t>
      </w:r>
      <w:r>
        <w:tab/>
        <w:t>Ανακοίνωση της Επιτροπής προς το Ευρωπαϊκό Κοινοβούλιο και το Συμβούλιο, με τίτλο «Η κοινή αλιευτική πολιτική σήμερα και αύριο: ένα σύμφωνο για την αλιεία και τους ωκεανούς με στόχο τη βιώσιμη, επιστημονικά τεκμηριωμένη, καινοτόμο και συμπεριληπτική διαχείριση της αλιείας» COM(2023) 103.</w:t>
      </w:r>
    </w:p>
  </w:footnote>
  <w:footnote w:id="34">
    <w:p w14:paraId="35A987C9" w14:textId="0C34C0E3" w:rsidR="00F13ADB" w:rsidRPr="00F06979" w:rsidRDefault="00F13ADB" w:rsidP="00F13ADB">
      <w:pPr>
        <w:pStyle w:val="FootnoteText"/>
        <w:spacing w:after="0"/>
      </w:pPr>
      <w:r>
        <w:rPr>
          <w:rStyle w:val="FootnoteReference"/>
        </w:rPr>
        <w:footnoteRef/>
      </w:r>
      <w:r>
        <w:t xml:space="preserve"> COM(2023) 100 final (</w:t>
      </w:r>
      <w:hyperlink r:id="rId14" w:history="1">
        <w:r>
          <w:rPr>
            <w:rStyle w:val="Hyperlink"/>
          </w:rPr>
          <w:t>chrome-extension://efaidnbmnnnibpcajpcglclefindmkaj/https://eur-lex.europa.eu/legal-content/EL/TXT/PDF/?uri=CELEX:52023DC0100</w:t>
        </w:r>
      </w:hyperlink>
      <w:r>
        <w:t>)</w:t>
      </w:r>
    </w:p>
  </w:footnote>
  <w:footnote w:id="35">
    <w:p w14:paraId="37EC3BA9" w14:textId="11BB19E8" w:rsidR="003B2888" w:rsidRPr="004120E7" w:rsidRDefault="003B2888" w:rsidP="006B0267">
      <w:pPr>
        <w:pStyle w:val="FootnoteText"/>
        <w:spacing w:after="0"/>
      </w:pPr>
      <w:r>
        <w:rPr>
          <w:rStyle w:val="FootnoteReference"/>
        </w:rPr>
        <w:footnoteRef/>
      </w:r>
      <w:r>
        <w:tab/>
      </w:r>
      <w:hyperlink r:id="rId15" w:history="1">
        <w:r>
          <w:rPr>
            <w:rStyle w:val="Hyperlink"/>
          </w:rPr>
          <w:t>Εταιρική σχέση για την ενεργειακή μετάβαση — Ευρωπαϊκή Επιτροπή (europa.eu)</w:t>
        </w:r>
      </w:hyperlink>
    </w:p>
  </w:footnote>
  <w:footnote w:id="36">
    <w:p w14:paraId="764D22B3" w14:textId="77777777" w:rsidR="006C5F9B" w:rsidRPr="006B0267" w:rsidRDefault="006C5F9B" w:rsidP="000641C7">
      <w:pPr>
        <w:pStyle w:val="FootnoteText"/>
        <w:spacing w:after="0"/>
      </w:pPr>
      <w:r>
        <w:rPr>
          <w:rStyle w:val="FootnoteReference"/>
        </w:rPr>
        <w:footnoteRef/>
      </w:r>
      <w:r>
        <w:tab/>
        <w:t>Αρκετά κράτη μέλη συμφώνησαν να συμμετάσχουν σε πιλοτικό έργο REM υπό τον συντονισμό της EFCA, προκειμένου να μάθουν βέλτιστες πρακτικές σχετικά με τους ελέγχους REM (ένα ή δύο σκάφη ανά κράτος μέλος). Η Δανία χρησιμοποιεί εργαλεία REM στον στόλο αλιείας καραβίδας που δραστηριοποιείται στο Kattegat, ενώ οι Κάτω Χώρες εφαρμόζουν πλήρως τεκμηριωμένο πρόγραμμα αλιείας σε λίγα σκάφη στη Βόρεια Θάλασσα. Κανένα έργο δεν χρησιμοποιείται για σκοπούς ελέγχου και επιβολής.</w:t>
      </w:r>
    </w:p>
  </w:footnote>
  <w:footnote w:id="37">
    <w:p w14:paraId="2508FE8A" w14:textId="5B8E151E" w:rsidR="000A48FC" w:rsidRPr="00F13ADB" w:rsidRDefault="000A48FC" w:rsidP="000641C7">
      <w:pPr>
        <w:pStyle w:val="FootnoteText"/>
        <w:spacing w:after="0"/>
      </w:pPr>
      <w:r>
        <w:rPr>
          <w:rStyle w:val="FootnoteReference"/>
        </w:rPr>
        <w:footnoteRef/>
      </w:r>
      <w:r>
        <w:tab/>
        <w:t>Κανονισμός (ΕΕ) 2023/2842 του Ευρωπαϊκού Κοινοβουλίου και του Συμβουλίου, της 22ας Νοεμβρίου 2023, για την τροποποίηση του κανονισμού (ΕΚ) αριθ. 1224/2009 του Συμβουλίου, καθώς και για την τροποποίηση των κανονισμών (ΕΚ) αριθ. 1967/2006 και (ΕΚ) αριθ. 1005/2008 του Συμβουλίου και των κανονισμών (ΕΕ) 2016/1139, (ΕΕ) 2017/2403 και (ΕΕ) 2019/473 του Ευρωπαϊκού Κοινοβουλίου και του Συμβουλίου όσον αφορά τον έλεγχο της αλιείας (ΕΕ L, 2023/2842 της 20.12.2023).</w:t>
      </w:r>
    </w:p>
  </w:footnote>
  <w:footnote w:id="38">
    <w:p w14:paraId="0A6AB65B" w14:textId="5B8BE3A7" w:rsidR="540C8F5D" w:rsidRPr="00F13ADB" w:rsidRDefault="540C8F5D" w:rsidP="000641C7">
      <w:pPr>
        <w:pStyle w:val="FootnoteText"/>
        <w:spacing w:after="0"/>
      </w:pPr>
      <w:r>
        <w:rPr>
          <w:rStyle w:val="FootnoteReference"/>
        </w:rPr>
        <w:footnoteRef/>
      </w:r>
      <w:r>
        <w:tab/>
        <w:t>Κανονισμός (ΕΕ) 2017/1004 του Ευρωπαϊκού Κοινοβουλίου και του Συμβουλίου, της 17ης Μαΐου 2017, σχετικά με τη θέσπιση ενωσιακού πλαισίου για τη συλλογή, διαχείριση και χρήση δεδομένων στον τομέα της αλιείας και τη στήριξη όσον αφορά τις επιστημονικές γνωμοδοτήσεις για την κοινή αλιευτική πολιτική και για την κατάργηση του κανονισμού (ΕΚ) αριθ. 199/2008 του Συμβουλίου (ΕΕ L 157 της 20.6.2017, σ. 1).</w:t>
      </w:r>
    </w:p>
  </w:footnote>
  <w:footnote w:id="39">
    <w:p w14:paraId="06C8DFE2" w14:textId="23B6EF10" w:rsidR="540C8F5D" w:rsidRPr="00F13ADB" w:rsidRDefault="540C8F5D" w:rsidP="000641C7">
      <w:pPr>
        <w:pStyle w:val="FootnoteText"/>
        <w:spacing w:after="0"/>
      </w:pPr>
      <w:r>
        <w:rPr>
          <w:rStyle w:val="FootnoteReference"/>
        </w:rPr>
        <w:footnoteRef/>
      </w:r>
      <w:r>
        <w:t xml:space="preserve"> </w:t>
      </w:r>
      <w:r>
        <w:tab/>
        <w:t>Ανακοίνωση της Επιτροπής προς το Ευρωπαϊκό Κοινοβούλιο και το Συμβούλιο, με τίτλο «Η κοινή αλιευτική πολιτική σήμερα και αύριο: ένα σύμφωνο για την αλιεία και τους ωκεανούς με στόχο τη βιώσιμη, επιστημονικά τεκμηριωμένη, καινοτόμο και συμπεριληπτική διαχείριση της αλιείας» COM(2023) 103.</w:t>
      </w:r>
    </w:p>
  </w:footnote>
  <w:footnote w:id="40">
    <w:p w14:paraId="0B676973" w14:textId="68EC2669" w:rsidR="00F13ADB" w:rsidRPr="00F13ADB" w:rsidRDefault="00F13ADB" w:rsidP="00F13ADB">
      <w:pPr>
        <w:pStyle w:val="FootnoteText"/>
        <w:spacing w:after="0"/>
      </w:pPr>
      <w:r>
        <w:rPr>
          <w:rStyle w:val="FootnoteReference"/>
        </w:rPr>
        <w:footnoteRef/>
      </w:r>
      <w:r>
        <w:t xml:space="preserve"> Άρθρο 15 παράγραφος 13 του κανονισμού (ΕΕ) αριθ. 1380/2013 του Ευρωπαϊκού Κοινοβουλίου και του Συμβουλίου.</w:t>
      </w:r>
    </w:p>
  </w:footnote>
  <w:footnote w:id="41">
    <w:p w14:paraId="3E408A70" w14:textId="60028E27" w:rsidR="7E9E7A59" w:rsidRPr="00F13ADB" w:rsidRDefault="7E9E7A59" w:rsidP="00F13ADB">
      <w:pPr>
        <w:spacing w:after="0"/>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Άρθρο 15 παράγραφος 1 του κανονισμού (ΕΕ) αριθ. 1380/2013 του Ευρωπαϊκού Κοινοβουλίου και του Συμβουλίου. </w:t>
      </w:r>
    </w:p>
  </w:footnote>
  <w:footnote w:id="42">
    <w:p w14:paraId="7C2602D8" w14:textId="510C0710" w:rsidR="00AC0378" w:rsidRPr="00F13ADB" w:rsidRDefault="001D6309" w:rsidP="003A4864">
      <w:pPr>
        <w:pStyle w:val="FootnoteText"/>
        <w:spacing w:after="0"/>
      </w:pPr>
      <w:r>
        <w:rPr>
          <w:rStyle w:val="FootnoteReference"/>
        </w:rPr>
        <w:footnoteRef/>
      </w:r>
      <w:r>
        <w:t xml:space="preserve"> </w:t>
      </w:r>
      <w:r>
        <w:tab/>
        <w:t>Θα ακολουθήσει η έκθεση υλοποίησης του ΕΤΘΑΥ για το 2023, δημοσίευση της Γενικής Διεύθυνσης Θαλάσσιας Πολιτικής και Αλιείας.</w:t>
      </w:r>
    </w:p>
  </w:footnote>
  <w:footnote w:id="43">
    <w:p w14:paraId="5948008B" w14:textId="69B6FE10" w:rsidR="00AC0378" w:rsidRPr="00F13ADB" w:rsidRDefault="001D6309" w:rsidP="008D18AB">
      <w:pPr>
        <w:pStyle w:val="FootnoteText"/>
        <w:spacing w:after="0"/>
      </w:pPr>
      <w:r>
        <w:rPr>
          <w:rStyle w:val="FootnoteReference"/>
        </w:rPr>
        <w:footnoteRef/>
      </w:r>
      <w:r>
        <w:tab/>
        <w:t>Άρθρο 42 του κανονισμού ΕΤΘΑ.</w:t>
      </w:r>
    </w:p>
  </w:footnote>
  <w:footnote w:id="44">
    <w:p w14:paraId="3A49B9E0" w14:textId="000BD447" w:rsidR="00AC0378" w:rsidRPr="00F13ADB" w:rsidRDefault="001D6309" w:rsidP="008D18AB">
      <w:pPr>
        <w:pStyle w:val="FootnoteText"/>
        <w:spacing w:after="0"/>
      </w:pPr>
      <w:r>
        <w:rPr>
          <w:rStyle w:val="FootnoteReference"/>
        </w:rPr>
        <w:footnoteRef/>
      </w:r>
      <w:r>
        <w:tab/>
        <w:t>Άρθρα 38 και 39 του κανονισμού ΕΤΘΑ.</w:t>
      </w:r>
    </w:p>
  </w:footnote>
  <w:footnote w:id="45">
    <w:p w14:paraId="163CF014" w14:textId="7E7177CE" w:rsidR="001E4C7F" w:rsidRPr="00501741" w:rsidRDefault="001E4C7F">
      <w:pPr>
        <w:pStyle w:val="FootnoteText"/>
      </w:pPr>
      <w:r>
        <w:rPr>
          <w:rStyle w:val="FootnoteReference"/>
        </w:rPr>
        <w:footnoteRef/>
      </w:r>
      <w:r>
        <w:tab/>
        <w:t xml:space="preserve">Απόφαση της 11ης Ιανουαρίου 2024, </w:t>
      </w:r>
      <w:r>
        <w:rPr>
          <w:i/>
        </w:rPr>
        <w:t>Friends of the Irish Environment</w:t>
      </w:r>
      <w:r>
        <w:t xml:space="preserve"> (Αλιευτικές δυνατότητες άνω του μηδενός), C-330/22, EU:C:2024:19. Η απόφαση αποφαίνεται σχετικά με το κύρος του κανονισμού (ΕΕ) 2020/123 του Συμβουλίου περί καθορισμού, για το 2020, για ορισμένα αποθέματα ιχθύων και ομάδες αποθεμάτων ιχθύων, των αλιευτικών δυνατοτήτων, σε συνδυασμό με τα άρθρα 9, 10, 15 και 16 του κανονισμού 1380/2013 και τα άρθρα 1 έως 5, 8 και 10 του κανονισμού (ΕΕ) 2019/472.</w:t>
      </w:r>
    </w:p>
  </w:footnote>
  <w:footnote w:id="46">
    <w:p w14:paraId="69BCE45D" w14:textId="61885CC4" w:rsidR="00F13ADB" w:rsidRPr="00F13ADB" w:rsidRDefault="00F13ADB" w:rsidP="00F13ADB">
      <w:pPr>
        <w:pStyle w:val="FootnoteText"/>
        <w:spacing w:after="0"/>
      </w:pPr>
      <w:r>
        <w:rPr>
          <w:rStyle w:val="FootnoteReference"/>
        </w:rPr>
        <w:footnoteRef/>
      </w:r>
      <w:r>
        <w:t xml:space="preserve"> Κανονισμός (ΕΚ) αριθ. 1100/2007 του Συμβουλίου, της 18ης Σεπτεμβρίου 2007, για τη θέσπιση μέτρων για την ανασύσταση του αποθέματος ευρωπαϊκού χελιού.</w:t>
      </w:r>
    </w:p>
  </w:footnote>
  <w:footnote w:id="47">
    <w:p w14:paraId="628B0055" w14:textId="4EBBD38C" w:rsidR="008F38FD" w:rsidRDefault="008F38FD" w:rsidP="008F38FD">
      <w:pPr>
        <w:pStyle w:val="FootnoteText"/>
      </w:pPr>
      <w:r>
        <w:rPr>
          <w:rStyle w:val="FootnoteReference"/>
        </w:rPr>
        <w:footnoteRef/>
      </w:r>
      <w:r>
        <w:t xml:space="preserve">  Σε αυτές περιλαμβάνονται ο καθορισμός ορίων για τα θαλάσσια απορρίμματα, τον υποθαλάσσιο θόρυβο, τις θρεπτικές ουσίες και τις ρυπογόνες ουσίες στο πλαίσιο της οδηγίας-πλαισίου για τη θαλάσσια στρατηγική (ΟΠΘΣ) και η εφαρμογή μέτρων για την επίτευξή τους. Βλ. COM(2021) 400 final. </w:t>
      </w:r>
    </w:p>
  </w:footnote>
  <w:footnote w:id="48">
    <w:p w14:paraId="6F423560" w14:textId="3F48735D" w:rsidR="00AC0378" w:rsidRPr="003C0701" w:rsidRDefault="001D6309">
      <w:pPr>
        <w:pStyle w:val="FootnoteText"/>
        <w:ind w:left="142" w:hanging="142"/>
      </w:pPr>
      <w:r>
        <w:rPr>
          <w:rStyle w:val="FootnoteReference"/>
        </w:rPr>
        <w:footnoteRef/>
      </w:r>
      <w:r>
        <w:t xml:space="preserve"> Για τα αποθέματα που τελούν υπό τη διαχείριση των ΠΟΔΑ στα ενωσιακά ύδατα και σε ορισμένα μη ενωσιακά ύδατα, οι αλιευτικές δυνατότητες εγκρίνονται μετά την ετήσια συνεδρίαση των ΠΟΔΑ, με την αναθεώρηση του κανονισμού του Συμβουλίου για τον καθορισμό των αλιευτικών δυνατοτήτων.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9BB4" w14:textId="77777777" w:rsidR="00097901" w:rsidRPr="00097901" w:rsidRDefault="00097901" w:rsidP="0009790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00DF" w14:textId="77777777" w:rsidR="00097901" w:rsidRPr="00097901" w:rsidRDefault="00097901" w:rsidP="0009790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52D5" w14:textId="77777777" w:rsidR="00097901" w:rsidRPr="00097901" w:rsidRDefault="00097901" w:rsidP="0009790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1748" w14:textId="77777777" w:rsidR="00FB7D07" w:rsidRDefault="00FB7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6BFA" w14:textId="77777777" w:rsidR="00FB7D07" w:rsidRDefault="00FB7D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A0D3" w14:textId="77777777" w:rsidR="00FB7D07" w:rsidRDefault="00FB7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097C1B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97351"/>
    <w:multiLevelType w:val="multilevel"/>
    <w:tmpl w:val="D318EE7C"/>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B46CF5"/>
    <w:multiLevelType w:val="hybridMultilevel"/>
    <w:tmpl w:val="94C4D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F3DE9"/>
    <w:multiLevelType w:val="hybridMultilevel"/>
    <w:tmpl w:val="8D0434AE"/>
    <w:lvl w:ilvl="0" w:tplc="51B01FA8">
      <w:start w:val="1"/>
      <w:numFmt w:val="decimal"/>
      <w:lvlText w:val="%1."/>
      <w:lvlJc w:val="left"/>
      <w:pPr>
        <w:ind w:left="360" w:hanging="360"/>
      </w:pPr>
    </w:lvl>
    <w:lvl w:ilvl="1" w:tplc="C1BCEC68">
      <w:start w:val="1"/>
      <w:numFmt w:val="lowerLetter"/>
      <w:lvlText w:val="%2."/>
      <w:lvlJc w:val="left"/>
      <w:pPr>
        <w:ind w:left="1080" w:hanging="360"/>
      </w:pPr>
    </w:lvl>
    <w:lvl w:ilvl="2" w:tplc="022EFEEE">
      <w:start w:val="1"/>
      <w:numFmt w:val="lowerRoman"/>
      <w:lvlText w:val="%3."/>
      <w:lvlJc w:val="right"/>
      <w:pPr>
        <w:ind w:left="1800" w:hanging="180"/>
      </w:pPr>
    </w:lvl>
    <w:lvl w:ilvl="3" w:tplc="77E630F4">
      <w:start w:val="1"/>
      <w:numFmt w:val="decimal"/>
      <w:lvlText w:val="%4."/>
      <w:lvlJc w:val="left"/>
      <w:pPr>
        <w:ind w:left="2520" w:hanging="360"/>
      </w:pPr>
    </w:lvl>
    <w:lvl w:ilvl="4" w:tplc="4F3C430C">
      <w:start w:val="1"/>
      <w:numFmt w:val="lowerLetter"/>
      <w:lvlText w:val="%5."/>
      <w:lvlJc w:val="left"/>
      <w:pPr>
        <w:ind w:left="3240" w:hanging="360"/>
      </w:pPr>
    </w:lvl>
    <w:lvl w:ilvl="5" w:tplc="8CD40494">
      <w:start w:val="1"/>
      <w:numFmt w:val="lowerRoman"/>
      <w:lvlText w:val="%6."/>
      <w:lvlJc w:val="right"/>
      <w:pPr>
        <w:ind w:left="3960" w:hanging="180"/>
      </w:pPr>
    </w:lvl>
    <w:lvl w:ilvl="6" w:tplc="DB640B9A">
      <w:start w:val="1"/>
      <w:numFmt w:val="decimal"/>
      <w:lvlText w:val="%7."/>
      <w:lvlJc w:val="left"/>
      <w:pPr>
        <w:ind w:left="4680" w:hanging="360"/>
      </w:pPr>
    </w:lvl>
    <w:lvl w:ilvl="7" w:tplc="5434B330">
      <w:start w:val="1"/>
      <w:numFmt w:val="lowerLetter"/>
      <w:lvlText w:val="%8."/>
      <w:lvlJc w:val="left"/>
      <w:pPr>
        <w:ind w:left="5400" w:hanging="360"/>
      </w:pPr>
    </w:lvl>
    <w:lvl w:ilvl="8" w:tplc="AFEC703A">
      <w:start w:val="1"/>
      <w:numFmt w:val="lowerRoman"/>
      <w:lvlText w:val="%9."/>
      <w:lvlJc w:val="right"/>
      <w:pPr>
        <w:ind w:left="6120" w:hanging="180"/>
      </w:pPr>
    </w:lvl>
  </w:abstractNum>
  <w:abstractNum w:abstractNumId="5" w15:restartNumberingAfterBreak="0">
    <w:nsid w:val="13600CF3"/>
    <w:multiLevelType w:val="hybridMultilevel"/>
    <w:tmpl w:val="167605F4"/>
    <w:lvl w:ilvl="0" w:tplc="361C5C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87E0D"/>
    <w:multiLevelType w:val="hybridMultilevel"/>
    <w:tmpl w:val="0248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0341D"/>
    <w:multiLevelType w:val="hybridMultilevel"/>
    <w:tmpl w:val="DAF0A4A4"/>
    <w:lvl w:ilvl="0" w:tplc="D14AA5B0">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0F2531"/>
    <w:multiLevelType w:val="hybridMultilevel"/>
    <w:tmpl w:val="08167D38"/>
    <w:lvl w:ilvl="0" w:tplc="3D601DE4">
      <w:start w:val="1"/>
      <w:numFmt w:val="decimal"/>
      <w:lvlText w:val="%1."/>
      <w:lvlJc w:val="left"/>
      <w:pPr>
        <w:ind w:left="720" w:hanging="360"/>
      </w:pPr>
    </w:lvl>
    <w:lvl w:ilvl="1" w:tplc="135AAAC2">
      <w:start w:val="1"/>
      <w:numFmt w:val="lowerLetter"/>
      <w:lvlText w:val="%2."/>
      <w:lvlJc w:val="left"/>
      <w:pPr>
        <w:ind w:left="1440" w:hanging="360"/>
      </w:pPr>
    </w:lvl>
    <w:lvl w:ilvl="2" w:tplc="579C4E18">
      <w:start w:val="1"/>
      <w:numFmt w:val="lowerRoman"/>
      <w:lvlText w:val="%3."/>
      <w:lvlJc w:val="right"/>
      <w:pPr>
        <w:ind w:left="2160" w:hanging="180"/>
      </w:pPr>
    </w:lvl>
    <w:lvl w:ilvl="3" w:tplc="446C4310">
      <w:start w:val="1"/>
      <w:numFmt w:val="decimal"/>
      <w:lvlText w:val="%4."/>
      <w:lvlJc w:val="left"/>
      <w:pPr>
        <w:ind w:left="2880" w:hanging="360"/>
      </w:pPr>
    </w:lvl>
    <w:lvl w:ilvl="4" w:tplc="1B0CE804">
      <w:start w:val="1"/>
      <w:numFmt w:val="lowerLetter"/>
      <w:lvlText w:val="%5."/>
      <w:lvlJc w:val="left"/>
      <w:pPr>
        <w:ind w:left="3600" w:hanging="360"/>
      </w:pPr>
    </w:lvl>
    <w:lvl w:ilvl="5" w:tplc="5DF03FA2">
      <w:start w:val="1"/>
      <w:numFmt w:val="lowerRoman"/>
      <w:lvlText w:val="%6."/>
      <w:lvlJc w:val="right"/>
      <w:pPr>
        <w:ind w:left="4320" w:hanging="180"/>
      </w:pPr>
    </w:lvl>
    <w:lvl w:ilvl="6" w:tplc="841EDB44">
      <w:start w:val="1"/>
      <w:numFmt w:val="decimal"/>
      <w:lvlText w:val="%7."/>
      <w:lvlJc w:val="left"/>
      <w:pPr>
        <w:ind w:left="5040" w:hanging="360"/>
      </w:pPr>
    </w:lvl>
    <w:lvl w:ilvl="7" w:tplc="4094FA50">
      <w:start w:val="1"/>
      <w:numFmt w:val="lowerLetter"/>
      <w:lvlText w:val="%8."/>
      <w:lvlJc w:val="left"/>
      <w:pPr>
        <w:ind w:left="5760" w:hanging="360"/>
      </w:pPr>
    </w:lvl>
    <w:lvl w:ilvl="8" w:tplc="551A3070">
      <w:start w:val="1"/>
      <w:numFmt w:val="lowerRoman"/>
      <w:lvlText w:val="%9."/>
      <w:lvlJc w:val="right"/>
      <w:pPr>
        <w:ind w:left="6480" w:hanging="180"/>
      </w:pPr>
    </w:lvl>
  </w:abstractNum>
  <w:abstractNum w:abstractNumId="9" w15:restartNumberingAfterBreak="0">
    <w:nsid w:val="1BCE5E8C"/>
    <w:multiLevelType w:val="hybridMultilevel"/>
    <w:tmpl w:val="CDE8D290"/>
    <w:lvl w:ilvl="0" w:tplc="79D2C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E7ED0"/>
    <w:multiLevelType w:val="multilevel"/>
    <w:tmpl w:val="A51E01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1" w15:restartNumberingAfterBreak="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306"/>
    <w:multiLevelType w:val="multilevel"/>
    <w:tmpl w:val="40FA0C42"/>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6B60E8"/>
    <w:multiLevelType w:val="hybridMultilevel"/>
    <w:tmpl w:val="5FF4895C"/>
    <w:lvl w:ilvl="0" w:tplc="182EFC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8A0"/>
    <w:multiLevelType w:val="hybridMultilevel"/>
    <w:tmpl w:val="EAF43944"/>
    <w:lvl w:ilvl="0" w:tplc="1809001B">
      <w:start w:val="1"/>
      <w:numFmt w:val="lowerRoman"/>
      <w:lvlText w:val="%1."/>
      <w:lvlJc w:val="righ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5" w15:restartNumberingAfterBreak="0">
    <w:nsid w:val="2DE55F4E"/>
    <w:multiLevelType w:val="hybridMultilevel"/>
    <w:tmpl w:val="D6923C78"/>
    <w:lvl w:ilvl="0" w:tplc="1A78CFF6">
      <w:start w:val="1"/>
      <w:numFmt w:val="bullet"/>
      <w:lvlText w:val="·"/>
      <w:lvlJc w:val="left"/>
      <w:pPr>
        <w:ind w:left="720" w:hanging="360"/>
      </w:pPr>
      <w:rPr>
        <w:rFonts w:ascii="Symbol" w:hAnsi="Symbol" w:hint="default"/>
      </w:rPr>
    </w:lvl>
    <w:lvl w:ilvl="1" w:tplc="A860F134">
      <w:start w:val="1"/>
      <w:numFmt w:val="bullet"/>
      <w:lvlText w:val="o"/>
      <w:lvlJc w:val="left"/>
      <w:pPr>
        <w:ind w:left="1440" w:hanging="360"/>
      </w:pPr>
      <w:rPr>
        <w:rFonts w:ascii="Courier New" w:hAnsi="Courier New" w:hint="default"/>
      </w:rPr>
    </w:lvl>
    <w:lvl w:ilvl="2" w:tplc="1E9495C4">
      <w:start w:val="1"/>
      <w:numFmt w:val="bullet"/>
      <w:lvlText w:val=""/>
      <w:lvlJc w:val="left"/>
      <w:pPr>
        <w:ind w:left="2160" w:hanging="360"/>
      </w:pPr>
      <w:rPr>
        <w:rFonts w:ascii="Wingdings" w:hAnsi="Wingdings" w:hint="default"/>
      </w:rPr>
    </w:lvl>
    <w:lvl w:ilvl="3" w:tplc="FC249A0A">
      <w:start w:val="1"/>
      <w:numFmt w:val="bullet"/>
      <w:lvlText w:val=""/>
      <w:lvlJc w:val="left"/>
      <w:pPr>
        <w:ind w:left="2880" w:hanging="360"/>
      </w:pPr>
      <w:rPr>
        <w:rFonts w:ascii="Symbol" w:hAnsi="Symbol" w:hint="default"/>
      </w:rPr>
    </w:lvl>
    <w:lvl w:ilvl="4" w:tplc="196A650C">
      <w:start w:val="1"/>
      <w:numFmt w:val="bullet"/>
      <w:lvlText w:val="o"/>
      <w:lvlJc w:val="left"/>
      <w:pPr>
        <w:ind w:left="3600" w:hanging="360"/>
      </w:pPr>
      <w:rPr>
        <w:rFonts w:ascii="Courier New" w:hAnsi="Courier New" w:hint="default"/>
      </w:rPr>
    </w:lvl>
    <w:lvl w:ilvl="5" w:tplc="0C4AC20E">
      <w:start w:val="1"/>
      <w:numFmt w:val="bullet"/>
      <w:lvlText w:val=""/>
      <w:lvlJc w:val="left"/>
      <w:pPr>
        <w:ind w:left="4320" w:hanging="360"/>
      </w:pPr>
      <w:rPr>
        <w:rFonts w:ascii="Wingdings" w:hAnsi="Wingdings" w:hint="default"/>
      </w:rPr>
    </w:lvl>
    <w:lvl w:ilvl="6" w:tplc="1488F45A">
      <w:start w:val="1"/>
      <w:numFmt w:val="bullet"/>
      <w:lvlText w:val=""/>
      <w:lvlJc w:val="left"/>
      <w:pPr>
        <w:ind w:left="5040" w:hanging="360"/>
      </w:pPr>
      <w:rPr>
        <w:rFonts w:ascii="Symbol" w:hAnsi="Symbol" w:hint="default"/>
      </w:rPr>
    </w:lvl>
    <w:lvl w:ilvl="7" w:tplc="E144A6D0">
      <w:start w:val="1"/>
      <w:numFmt w:val="bullet"/>
      <w:lvlText w:val="o"/>
      <w:lvlJc w:val="left"/>
      <w:pPr>
        <w:ind w:left="5760" w:hanging="360"/>
      </w:pPr>
      <w:rPr>
        <w:rFonts w:ascii="Courier New" w:hAnsi="Courier New" w:hint="default"/>
      </w:rPr>
    </w:lvl>
    <w:lvl w:ilvl="8" w:tplc="05F87A8C">
      <w:start w:val="1"/>
      <w:numFmt w:val="bullet"/>
      <w:lvlText w:val=""/>
      <w:lvlJc w:val="left"/>
      <w:pPr>
        <w:ind w:left="6480" w:hanging="360"/>
      </w:pPr>
      <w:rPr>
        <w:rFonts w:ascii="Wingdings" w:hAnsi="Wingdings" w:hint="default"/>
      </w:rPr>
    </w:lvl>
  </w:abstractNum>
  <w:abstractNum w:abstractNumId="16" w15:restartNumberingAfterBreak="0">
    <w:nsid w:val="2F6163C8"/>
    <w:multiLevelType w:val="hybridMultilevel"/>
    <w:tmpl w:val="B88EB34C"/>
    <w:lvl w:ilvl="0" w:tplc="F5C65224">
      <w:start w:val="1"/>
      <w:numFmt w:val="decimal"/>
      <w:lvlText w:val="%1."/>
      <w:lvlJc w:val="left"/>
      <w:pPr>
        <w:ind w:left="360" w:hanging="360"/>
      </w:pPr>
    </w:lvl>
    <w:lvl w:ilvl="1" w:tplc="C3422BDA">
      <w:start w:val="1"/>
      <w:numFmt w:val="lowerLetter"/>
      <w:lvlText w:val="%2."/>
      <w:lvlJc w:val="left"/>
      <w:pPr>
        <w:ind w:left="1080" w:hanging="360"/>
      </w:pPr>
    </w:lvl>
    <w:lvl w:ilvl="2" w:tplc="9B8856B2">
      <w:start w:val="1"/>
      <w:numFmt w:val="lowerRoman"/>
      <w:lvlText w:val="%3."/>
      <w:lvlJc w:val="right"/>
      <w:pPr>
        <w:ind w:left="1800" w:hanging="180"/>
      </w:pPr>
    </w:lvl>
    <w:lvl w:ilvl="3" w:tplc="489E2268">
      <w:start w:val="1"/>
      <w:numFmt w:val="decimal"/>
      <w:lvlText w:val="%4."/>
      <w:lvlJc w:val="left"/>
      <w:pPr>
        <w:ind w:left="2520" w:hanging="360"/>
      </w:pPr>
    </w:lvl>
    <w:lvl w:ilvl="4" w:tplc="62E6A750">
      <w:start w:val="1"/>
      <w:numFmt w:val="lowerLetter"/>
      <w:lvlText w:val="%5."/>
      <w:lvlJc w:val="left"/>
      <w:pPr>
        <w:ind w:left="3240" w:hanging="360"/>
      </w:pPr>
    </w:lvl>
    <w:lvl w:ilvl="5" w:tplc="39445D26">
      <w:start w:val="1"/>
      <w:numFmt w:val="lowerRoman"/>
      <w:lvlText w:val="%6."/>
      <w:lvlJc w:val="right"/>
      <w:pPr>
        <w:ind w:left="3960" w:hanging="180"/>
      </w:pPr>
    </w:lvl>
    <w:lvl w:ilvl="6" w:tplc="EF285CFC">
      <w:start w:val="1"/>
      <w:numFmt w:val="decimal"/>
      <w:lvlText w:val="%7."/>
      <w:lvlJc w:val="left"/>
      <w:pPr>
        <w:ind w:left="4680" w:hanging="360"/>
      </w:pPr>
    </w:lvl>
    <w:lvl w:ilvl="7" w:tplc="C2A23BCA">
      <w:start w:val="1"/>
      <w:numFmt w:val="lowerLetter"/>
      <w:lvlText w:val="%8."/>
      <w:lvlJc w:val="left"/>
      <w:pPr>
        <w:ind w:left="5400" w:hanging="360"/>
      </w:pPr>
    </w:lvl>
    <w:lvl w:ilvl="8" w:tplc="FF0CF482">
      <w:start w:val="1"/>
      <w:numFmt w:val="lowerRoman"/>
      <w:lvlText w:val="%9."/>
      <w:lvlJc w:val="right"/>
      <w:pPr>
        <w:ind w:left="6120" w:hanging="180"/>
      </w:pPr>
    </w:lvl>
  </w:abstractNum>
  <w:abstractNum w:abstractNumId="17" w15:restartNumberingAfterBreak="0">
    <w:nsid w:val="34D22C19"/>
    <w:multiLevelType w:val="hybridMultilevel"/>
    <w:tmpl w:val="8A8CAC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7FC"/>
    <w:multiLevelType w:val="hybridMultilevel"/>
    <w:tmpl w:val="FB78BA16"/>
    <w:lvl w:ilvl="0" w:tplc="4C38806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145132"/>
    <w:multiLevelType w:val="hybridMultilevel"/>
    <w:tmpl w:val="BECC2A82"/>
    <w:lvl w:ilvl="0" w:tplc="6342305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437F32D7"/>
    <w:multiLevelType w:val="hybridMultilevel"/>
    <w:tmpl w:val="880466AC"/>
    <w:lvl w:ilvl="0" w:tplc="CAE665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FB4B6E"/>
    <w:multiLevelType w:val="hybridMultilevel"/>
    <w:tmpl w:val="B3BE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6A72A"/>
    <w:multiLevelType w:val="hybridMultilevel"/>
    <w:tmpl w:val="5F5E3068"/>
    <w:lvl w:ilvl="0" w:tplc="5E7AE626">
      <w:start w:val="1"/>
      <w:numFmt w:val="decimal"/>
      <w:lvlText w:val="%1."/>
      <w:lvlJc w:val="left"/>
      <w:pPr>
        <w:ind w:left="360" w:hanging="360"/>
      </w:pPr>
    </w:lvl>
    <w:lvl w:ilvl="1" w:tplc="ECF639CC">
      <w:start w:val="1"/>
      <w:numFmt w:val="lowerLetter"/>
      <w:lvlText w:val="%2."/>
      <w:lvlJc w:val="left"/>
      <w:pPr>
        <w:ind w:left="1080" w:hanging="360"/>
      </w:pPr>
    </w:lvl>
    <w:lvl w:ilvl="2" w:tplc="AF549482">
      <w:start w:val="1"/>
      <w:numFmt w:val="lowerRoman"/>
      <w:lvlText w:val="%3."/>
      <w:lvlJc w:val="right"/>
      <w:pPr>
        <w:ind w:left="1800" w:hanging="180"/>
      </w:pPr>
    </w:lvl>
    <w:lvl w:ilvl="3" w:tplc="A830EAB0">
      <w:start w:val="1"/>
      <w:numFmt w:val="decimal"/>
      <w:lvlText w:val="%4."/>
      <w:lvlJc w:val="left"/>
      <w:pPr>
        <w:ind w:left="2520" w:hanging="360"/>
      </w:pPr>
    </w:lvl>
    <w:lvl w:ilvl="4" w:tplc="26F600D0">
      <w:start w:val="1"/>
      <w:numFmt w:val="lowerLetter"/>
      <w:lvlText w:val="%5."/>
      <w:lvlJc w:val="left"/>
      <w:pPr>
        <w:ind w:left="3240" w:hanging="360"/>
      </w:pPr>
    </w:lvl>
    <w:lvl w:ilvl="5" w:tplc="8BD4EAF8">
      <w:start w:val="1"/>
      <w:numFmt w:val="lowerRoman"/>
      <w:lvlText w:val="%6."/>
      <w:lvlJc w:val="right"/>
      <w:pPr>
        <w:ind w:left="3960" w:hanging="180"/>
      </w:pPr>
    </w:lvl>
    <w:lvl w:ilvl="6" w:tplc="AF18BCDC">
      <w:start w:val="1"/>
      <w:numFmt w:val="decimal"/>
      <w:lvlText w:val="%7."/>
      <w:lvlJc w:val="left"/>
      <w:pPr>
        <w:ind w:left="4680" w:hanging="360"/>
      </w:pPr>
    </w:lvl>
    <w:lvl w:ilvl="7" w:tplc="EAA2CFFA">
      <w:start w:val="1"/>
      <w:numFmt w:val="lowerLetter"/>
      <w:lvlText w:val="%8."/>
      <w:lvlJc w:val="left"/>
      <w:pPr>
        <w:ind w:left="5400" w:hanging="360"/>
      </w:pPr>
    </w:lvl>
    <w:lvl w:ilvl="8" w:tplc="26667200">
      <w:start w:val="1"/>
      <w:numFmt w:val="lowerRoman"/>
      <w:lvlText w:val="%9."/>
      <w:lvlJc w:val="right"/>
      <w:pPr>
        <w:ind w:left="6120" w:hanging="180"/>
      </w:pPr>
    </w:lvl>
  </w:abstractNum>
  <w:abstractNum w:abstractNumId="23" w15:restartNumberingAfterBreak="0">
    <w:nsid w:val="4C2F7B2C"/>
    <w:multiLevelType w:val="hybridMultilevel"/>
    <w:tmpl w:val="12A6BFD2"/>
    <w:lvl w:ilvl="0" w:tplc="093817E8">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4" w15:restartNumberingAfterBreak="0">
    <w:nsid w:val="4D5506FC"/>
    <w:multiLevelType w:val="multilevel"/>
    <w:tmpl w:val="3F3C4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384079"/>
    <w:multiLevelType w:val="hybridMultilevel"/>
    <w:tmpl w:val="6D1E7CDA"/>
    <w:lvl w:ilvl="0" w:tplc="1438256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D197D"/>
    <w:multiLevelType w:val="hybridMultilevel"/>
    <w:tmpl w:val="32A8C71A"/>
    <w:lvl w:ilvl="0" w:tplc="AE50E0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B1362"/>
    <w:multiLevelType w:val="hybridMultilevel"/>
    <w:tmpl w:val="FF62DF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CAA1FC9"/>
    <w:multiLevelType w:val="hybridMultilevel"/>
    <w:tmpl w:val="4BAC9C52"/>
    <w:lvl w:ilvl="0" w:tplc="36605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B7F"/>
    <w:multiLevelType w:val="multilevel"/>
    <w:tmpl w:val="38A69A18"/>
    <w:lvl w:ilvl="0">
      <w:start w:val="1"/>
      <w:numFmt w:val="decimal"/>
      <w:pStyle w:val="Heading1"/>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64298"/>
    <w:multiLevelType w:val="multilevel"/>
    <w:tmpl w:val="EE6C33B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64049C05"/>
    <w:multiLevelType w:val="hybridMultilevel"/>
    <w:tmpl w:val="025E1168"/>
    <w:lvl w:ilvl="0" w:tplc="05D2B70A">
      <w:start w:val="1"/>
      <w:numFmt w:val="decimal"/>
      <w:lvlText w:val="%1."/>
      <w:lvlJc w:val="left"/>
      <w:pPr>
        <w:ind w:left="360" w:hanging="360"/>
      </w:pPr>
    </w:lvl>
    <w:lvl w:ilvl="1" w:tplc="9CB8C9D4">
      <w:start w:val="1"/>
      <w:numFmt w:val="lowerLetter"/>
      <w:lvlText w:val="%2."/>
      <w:lvlJc w:val="left"/>
      <w:pPr>
        <w:ind w:left="1080" w:hanging="360"/>
      </w:pPr>
    </w:lvl>
    <w:lvl w:ilvl="2" w:tplc="58345E0A">
      <w:start w:val="1"/>
      <w:numFmt w:val="lowerRoman"/>
      <w:lvlText w:val="%3."/>
      <w:lvlJc w:val="right"/>
      <w:pPr>
        <w:ind w:left="1800" w:hanging="180"/>
      </w:pPr>
    </w:lvl>
    <w:lvl w:ilvl="3" w:tplc="0186B08C">
      <w:start w:val="1"/>
      <w:numFmt w:val="decimal"/>
      <w:lvlText w:val="%4."/>
      <w:lvlJc w:val="left"/>
      <w:pPr>
        <w:ind w:left="2520" w:hanging="360"/>
      </w:pPr>
    </w:lvl>
    <w:lvl w:ilvl="4" w:tplc="82DEFF0E">
      <w:start w:val="1"/>
      <w:numFmt w:val="lowerLetter"/>
      <w:lvlText w:val="%5."/>
      <w:lvlJc w:val="left"/>
      <w:pPr>
        <w:ind w:left="3240" w:hanging="360"/>
      </w:pPr>
    </w:lvl>
    <w:lvl w:ilvl="5" w:tplc="43B84D00">
      <w:start w:val="1"/>
      <w:numFmt w:val="lowerRoman"/>
      <w:lvlText w:val="%6."/>
      <w:lvlJc w:val="right"/>
      <w:pPr>
        <w:ind w:left="3960" w:hanging="180"/>
      </w:pPr>
    </w:lvl>
    <w:lvl w:ilvl="6" w:tplc="547A257C">
      <w:start w:val="1"/>
      <w:numFmt w:val="decimal"/>
      <w:lvlText w:val="%7."/>
      <w:lvlJc w:val="left"/>
      <w:pPr>
        <w:ind w:left="4680" w:hanging="360"/>
      </w:pPr>
    </w:lvl>
    <w:lvl w:ilvl="7" w:tplc="788E7494">
      <w:start w:val="1"/>
      <w:numFmt w:val="lowerLetter"/>
      <w:lvlText w:val="%8."/>
      <w:lvlJc w:val="left"/>
      <w:pPr>
        <w:ind w:left="5400" w:hanging="360"/>
      </w:pPr>
    </w:lvl>
    <w:lvl w:ilvl="8" w:tplc="D1506E86">
      <w:start w:val="1"/>
      <w:numFmt w:val="lowerRoman"/>
      <w:lvlText w:val="%9."/>
      <w:lvlJc w:val="right"/>
      <w:pPr>
        <w:ind w:left="6120" w:hanging="180"/>
      </w:pPr>
    </w:lvl>
  </w:abstractNum>
  <w:abstractNum w:abstractNumId="32" w15:restartNumberingAfterBreak="0">
    <w:nsid w:val="6C635AFA"/>
    <w:multiLevelType w:val="hybridMultilevel"/>
    <w:tmpl w:val="ED36EE78"/>
    <w:lvl w:ilvl="0" w:tplc="B24A3FF6">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E0E7312"/>
    <w:multiLevelType w:val="hybridMultilevel"/>
    <w:tmpl w:val="54084E34"/>
    <w:lvl w:ilvl="0" w:tplc="B24A3FF6">
      <w:start w:val="1"/>
      <w:numFmt w:val="decimal"/>
      <w:lvlText w:val="%1."/>
      <w:lvlJc w:val="left"/>
      <w:pPr>
        <w:ind w:left="360" w:hanging="360"/>
      </w:pPr>
    </w:lvl>
    <w:lvl w:ilvl="1" w:tplc="4C00F20C">
      <w:start w:val="1"/>
      <w:numFmt w:val="lowerLetter"/>
      <w:lvlText w:val="%2."/>
      <w:lvlJc w:val="left"/>
      <w:pPr>
        <w:ind w:left="1080" w:hanging="360"/>
      </w:pPr>
    </w:lvl>
    <w:lvl w:ilvl="2" w:tplc="6516972A">
      <w:start w:val="1"/>
      <w:numFmt w:val="lowerRoman"/>
      <w:lvlText w:val="%3."/>
      <w:lvlJc w:val="right"/>
      <w:pPr>
        <w:ind w:left="1800" w:hanging="180"/>
      </w:pPr>
    </w:lvl>
    <w:lvl w:ilvl="3" w:tplc="8BE41AF8">
      <w:start w:val="1"/>
      <w:numFmt w:val="decimal"/>
      <w:lvlText w:val="%4."/>
      <w:lvlJc w:val="left"/>
      <w:pPr>
        <w:ind w:left="2520" w:hanging="360"/>
      </w:pPr>
    </w:lvl>
    <w:lvl w:ilvl="4" w:tplc="F508EEEA">
      <w:start w:val="1"/>
      <w:numFmt w:val="lowerLetter"/>
      <w:lvlText w:val="%5."/>
      <w:lvlJc w:val="left"/>
      <w:pPr>
        <w:ind w:left="3240" w:hanging="360"/>
      </w:pPr>
    </w:lvl>
    <w:lvl w:ilvl="5" w:tplc="1FAEC6E0">
      <w:start w:val="1"/>
      <w:numFmt w:val="lowerRoman"/>
      <w:lvlText w:val="%6."/>
      <w:lvlJc w:val="right"/>
      <w:pPr>
        <w:ind w:left="3960" w:hanging="180"/>
      </w:pPr>
    </w:lvl>
    <w:lvl w:ilvl="6" w:tplc="FB7EDE86">
      <w:start w:val="1"/>
      <w:numFmt w:val="decimal"/>
      <w:lvlText w:val="%7."/>
      <w:lvlJc w:val="left"/>
      <w:pPr>
        <w:ind w:left="4680" w:hanging="360"/>
      </w:pPr>
    </w:lvl>
    <w:lvl w:ilvl="7" w:tplc="6082BBE0">
      <w:start w:val="1"/>
      <w:numFmt w:val="lowerLetter"/>
      <w:lvlText w:val="%8."/>
      <w:lvlJc w:val="left"/>
      <w:pPr>
        <w:ind w:left="5400" w:hanging="360"/>
      </w:pPr>
    </w:lvl>
    <w:lvl w:ilvl="8" w:tplc="257A4372">
      <w:start w:val="1"/>
      <w:numFmt w:val="lowerRoman"/>
      <w:lvlText w:val="%9."/>
      <w:lvlJc w:val="right"/>
      <w:pPr>
        <w:ind w:left="6120" w:hanging="180"/>
      </w:pPr>
    </w:lvl>
  </w:abstractNum>
  <w:abstractNum w:abstractNumId="34" w15:restartNumberingAfterBreak="0">
    <w:nsid w:val="6F90AF62"/>
    <w:multiLevelType w:val="hybridMultilevel"/>
    <w:tmpl w:val="B9709578"/>
    <w:lvl w:ilvl="0" w:tplc="A238C740">
      <w:start w:val="1"/>
      <w:numFmt w:val="decimal"/>
      <w:lvlText w:val="%1."/>
      <w:lvlJc w:val="left"/>
      <w:pPr>
        <w:ind w:left="360" w:hanging="360"/>
      </w:pPr>
    </w:lvl>
    <w:lvl w:ilvl="1" w:tplc="7F704F66">
      <w:start w:val="1"/>
      <w:numFmt w:val="lowerLetter"/>
      <w:lvlText w:val="%2."/>
      <w:lvlJc w:val="left"/>
      <w:pPr>
        <w:ind w:left="1080" w:hanging="360"/>
      </w:pPr>
    </w:lvl>
    <w:lvl w:ilvl="2" w:tplc="4B5EB636">
      <w:start w:val="1"/>
      <w:numFmt w:val="lowerRoman"/>
      <w:lvlText w:val="%3."/>
      <w:lvlJc w:val="right"/>
      <w:pPr>
        <w:ind w:left="1800" w:hanging="180"/>
      </w:pPr>
    </w:lvl>
    <w:lvl w:ilvl="3" w:tplc="ADA662F8">
      <w:start w:val="1"/>
      <w:numFmt w:val="decimal"/>
      <w:lvlText w:val="%4."/>
      <w:lvlJc w:val="left"/>
      <w:pPr>
        <w:ind w:left="2520" w:hanging="360"/>
      </w:pPr>
    </w:lvl>
    <w:lvl w:ilvl="4" w:tplc="4DB6D03A">
      <w:start w:val="1"/>
      <w:numFmt w:val="lowerLetter"/>
      <w:lvlText w:val="%5."/>
      <w:lvlJc w:val="left"/>
      <w:pPr>
        <w:ind w:left="3240" w:hanging="360"/>
      </w:pPr>
    </w:lvl>
    <w:lvl w:ilvl="5" w:tplc="D15A19C0">
      <w:start w:val="1"/>
      <w:numFmt w:val="lowerRoman"/>
      <w:lvlText w:val="%6."/>
      <w:lvlJc w:val="right"/>
      <w:pPr>
        <w:ind w:left="3960" w:hanging="180"/>
      </w:pPr>
    </w:lvl>
    <w:lvl w:ilvl="6" w:tplc="5A26EA9C">
      <w:start w:val="1"/>
      <w:numFmt w:val="decimal"/>
      <w:lvlText w:val="%7."/>
      <w:lvlJc w:val="left"/>
      <w:pPr>
        <w:ind w:left="4680" w:hanging="360"/>
      </w:pPr>
    </w:lvl>
    <w:lvl w:ilvl="7" w:tplc="0C902E34">
      <w:start w:val="1"/>
      <w:numFmt w:val="lowerLetter"/>
      <w:lvlText w:val="%8."/>
      <w:lvlJc w:val="left"/>
      <w:pPr>
        <w:ind w:left="5400" w:hanging="360"/>
      </w:pPr>
    </w:lvl>
    <w:lvl w:ilvl="8" w:tplc="C7328038">
      <w:start w:val="1"/>
      <w:numFmt w:val="lowerRoman"/>
      <w:lvlText w:val="%9."/>
      <w:lvlJc w:val="right"/>
      <w:pPr>
        <w:ind w:left="6120" w:hanging="180"/>
      </w:pPr>
    </w:lvl>
  </w:abstractNum>
  <w:abstractNum w:abstractNumId="35" w15:restartNumberingAfterBreak="0">
    <w:nsid w:val="704F5006"/>
    <w:multiLevelType w:val="hybridMultilevel"/>
    <w:tmpl w:val="E56A94B6"/>
    <w:lvl w:ilvl="0" w:tplc="063EBF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B0B54"/>
    <w:multiLevelType w:val="multilevel"/>
    <w:tmpl w:val="7EE8253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7" w15:restartNumberingAfterBreak="0">
    <w:nsid w:val="7E86F184"/>
    <w:multiLevelType w:val="hybridMultilevel"/>
    <w:tmpl w:val="583682CA"/>
    <w:lvl w:ilvl="0" w:tplc="1F3A3DA2">
      <w:start w:val="1"/>
      <w:numFmt w:val="decimal"/>
      <w:lvlText w:val="%1."/>
      <w:lvlJc w:val="left"/>
      <w:pPr>
        <w:ind w:left="360" w:hanging="360"/>
      </w:pPr>
    </w:lvl>
    <w:lvl w:ilvl="1" w:tplc="F8AEBB42">
      <w:start w:val="1"/>
      <w:numFmt w:val="lowerLetter"/>
      <w:lvlText w:val="%2."/>
      <w:lvlJc w:val="left"/>
      <w:pPr>
        <w:ind w:left="1080" w:hanging="360"/>
      </w:pPr>
    </w:lvl>
    <w:lvl w:ilvl="2" w:tplc="57B66A7C">
      <w:start w:val="1"/>
      <w:numFmt w:val="lowerRoman"/>
      <w:lvlText w:val="%3."/>
      <w:lvlJc w:val="right"/>
      <w:pPr>
        <w:ind w:left="1800" w:hanging="180"/>
      </w:pPr>
    </w:lvl>
    <w:lvl w:ilvl="3" w:tplc="A14A250A">
      <w:start w:val="1"/>
      <w:numFmt w:val="decimal"/>
      <w:lvlText w:val="%4."/>
      <w:lvlJc w:val="left"/>
      <w:pPr>
        <w:ind w:left="2520" w:hanging="360"/>
      </w:pPr>
    </w:lvl>
    <w:lvl w:ilvl="4" w:tplc="678E1334">
      <w:start w:val="1"/>
      <w:numFmt w:val="lowerLetter"/>
      <w:lvlText w:val="%5."/>
      <w:lvlJc w:val="left"/>
      <w:pPr>
        <w:ind w:left="3240" w:hanging="360"/>
      </w:pPr>
    </w:lvl>
    <w:lvl w:ilvl="5" w:tplc="3A540672">
      <w:start w:val="1"/>
      <w:numFmt w:val="lowerRoman"/>
      <w:lvlText w:val="%6."/>
      <w:lvlJc w:val="right"/>
      <w:pPr>
        <w:ind w:left="3960" w:hanging="180"/>
      </w:pPr>
    </w:lvl>
    <w:lvl w:ilvl="6" w:tplc="8906557E">
      <w:start w:val="1"/>
      <w:numFmt w:val="decimal"/>
      <w:lvlText w:val="%7."/>
      <w:lvlJc w:val="left"/>
      <w:pPr>
        <w:ind w:left="4680" w:hanging="360"/>
      </w:pPr>
    </w:lvl>
    <w:lvl w:ilvl="7" w:tplc="176623DC">
      <w:start w:val="1"/>
      <w:numFmt w:val="lowerLetter"/>
      <w:lvlText w:val="%8."/>
      <w:lvlJc w:val="left"/>
      <w:pPr>
        <w:ind w:left="5400" w:hanging="360"/>
      </w:pPr>
    </w:lvl>
    <w:lvl w:ilvl="8" w:tplc="011C0D7A">
      <w:start w:val="1"/>
      <w:numFmt w:val="lowerRoman"/>
      <w:lvlText w:val="%9."/>
      <w:lvlJc w:val="right"/>
      <w:pPr>
        <w:ind w:left="6120" w:hanging="180"/>
      </w:pPr>
    </w:lvl>
  </w:abstractNum>
  <w:num w:numId="1">
    <w:abstractNumId w:val="33"/>
  </w:num>
  <w:num w:numId="2">
    <w:abstractNumId w:val="34"/>
  </w:num>
  <w:num w:numId="3">
    <w:abstractNumId w:val="22"/>
  </w:num>
  <w:num w:numId="4">
    <w:abstractNumId w:val="4"/>
  </w:num>
  <w:num w:numId="5">
    <w:abstractNumId w:val="16"/>
  </w:num>
  <w:num w:numId="6">
    <w:abstractNumId w:val="37"/>
  </w:num>
  <w:num w:numId="7">
    <w:abstractNumId w:val="30"/>
  </w:num>
  <w:num w:numId="8">
    <w:abstractNumId w:val="31"/>
  </w:num>
  <w:num w:numId="9">
    <w:abstractNumId w:val="8"/>
  </w:num>
  <w:num w:numId="10">
    <w:abstractNumId w:val="15"/>
  </w:num>
  <w:num w:numId="11">
    <w:abstractNumId w:val="12"/>
  </w:num>
  <w:num w:numId="12">
    <w:abstractNumId w:val="11"/>
  </w:num>
  <w:num w:numId="13">
    <w:abstractNumId w:val="3"/>
  </w:num>
  <w:num w:numId="14">
    <w:abstractNumId w:val="9"/>
  </w:num>
  <w:num w:numId="15">
    <w:abstractNumId w:val="26"/>
  </w:num>
  <w:num w:numId="16">
    <w:abstractNumId w:val="5"/>
  </w:num>
  <w:num w:numId="17">
    <w:abstractNumId w:val="23"/>
  </w:num>
  <w:num w:numId="18">
    <w:abstractNumId w:val="12"/>
  </w:num>
  <w:num w:numId="19">
    <w:abstractNumId w:val="12"/>
    <w:lvlOverride w:ilvl="0">
      <w:startOverride w:val="3"/>
    </w:lvlOverride>
    <w:lvlOverride w:ilvl="1"/>
  </w:num>
  <w:num w:numId="20">
    <w:abstractNumId w:val="0"/>
  </w:num>
  <w:num w:numId="21">
    <w:abstractNumId w:val="12"/>
  </w:num>
  <w:num w:numId="22">
    <w:abstractNumId w:val="36"/>
  </w:num>
  <w:num w:numId="23">
    <w:abstractNumId w:val="19"/>
  </w:num>
  <w:num w:numId="24">
    <w:abstractNumId w:val="13"/>
  </w:num>
  <w:num w:numId="25">
    <w:abstractNumId w:val="7"/>
  </w:num>
  <w:num w:numId="26">
    <w:abstractNumId w:val="28"/>
  </w:num>
  <w:num w:numId="27">
    <w:abstractNumId w:val="20"/>
  </w:num>
  <w:num w:numId="28">
    <w:abstractNumId w:val="12"/>
  </w:num>
  <w:num w:numId="29">
    <w:abstractNumId w:val="25"/>
  </w:num>
  <w:num w:numId="30">
    <w:abstractNumId w:val="2"/>
  </w:num>
  <w:num w:numId="31">
    <w:abstractNumId w:val="29"/>
  </w:num>
  <w:num w:numId="32">
    <w:abstractNumId w:val="29"/>
    <w:lvlOverride w:ilvl="0">
      <w:startOverride w:val="2"/>
    </w:lvlOverride>
    <w:lvlOverride w:ilvl="1">
      <w:startOverride w:val="1"/>
    </w:lvlOverride>
  </w:num>
  <w:num w:numId="33">
    <w:abstractNumId w:val="29"/>
  </w:num>
  <w:num w:numId="34">
    <w:abstractNumId w:val="29"/>
  </w:num>
  <w:num w:numId="35">
    <w:abstractNumId w:val="29"/>
  </w:num>
  <w:num w:numId="36">
    <w:abstractNumId w:val="24"/>
  </w:num>
  <w:num w:numId="37">
    <w:abstractNumId w:val="18"/>
  </w:num>
  <w:num w:numId="38">
    <w:abstractNumId w:val="1"/>
  </w:num>
  <w:num w:numId="39">
    <w:abstractNumId w:val="21"/>
  </w:num>
  <w:num w:numId="4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9"/>
  </w:num>
  <w:num w:numId="43">
    <w:abstractNumId w:val="6"/>
  </w:num>
  <w:num w:numId="44">
    <w:abstractNumId w:val="35"/>
  </w:num>
  <w:num w:numId="45">
    <w:abstractNumId w:val="17"/>
  </w:num>
  <w:num w:numId="46">
    <w:abstractNumId w:val="27"/>
  </w:num>
  <w:num w:numId="47">
    <w:abstractNumId w:val="32"/>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C08C4C0-D36C-41B8-BD53-5F00A8E815F0"/>
    <w:docVar w:name="LW_COVERPAGE_TYPE" w:val="1"/>
    <w:docVar w:name="LW_CROSSREFERENCE" w:val="{SWD(2024) 139 final}"/>
    <w:docVar w:name="LW_DocType" w:val="NORMAL"/>
    <w:docVar w:name="LW_EMISSION" w:val="7.6.2024"/>
    <w:docVar w:name="LW_EMISSION_ISODATE" w:val="2024-06-07"/>
    <w:docVar w:name="LW_EMISSION_LOCATION" w:val="BRX"/>
    <w:docVar w:name="LW_EMISSION_PREFIX" w:val="\u914?\u961?\u965?\u958?\u941?\u955?\u955?\u949?\u962?, "/>
    <w:docVar w:name="LW_EMISSION_SUFFIX" w:val=" "/>
    <w:docVar w:name="LW_ID_DOCTYPE_NONLW" w:val="CP-012"/>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4) 2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14?\u953?\u974?\u963?\u953?\u956?\u951? \u945?\u955?\u953?\u949?\u943?\u945? \u963?\u964?\u951?\u957? \u917?\u917?: \u964?\u961?\u941?\u967?\u959?\u965?\u963?\u945? \u954?\u945?\u964?\u940?\u963?\u964?\u945?\u963?\u951? \u954?\u945?\u953? \u954?\u945?\u964?\u949?\u965?\u952?\u973?\u957?\u963?\u949?\u953?\u962? \u947?\u953?\u945? \u964?\u959? 2025"/>
    <w:docVar w:name="LW_TYPE.DOC.CP" w:val="\u913?\u925?\u913?\u922?\u927?\u921?\u925?\u937?\u931?\u919? \u932?\u919?\u931? \u917?\u928?\u921?\u932?\u929?\u927?\u928?\u919?\u931? \u928?\u929?\u927?\u931? \u932?\u927? \u917?\u933?\u929?\u937?\u928?\u913?\u938?\u922?\u927? \u922?\u927?\u921?\u925?\u927?\u914?\u927?\u933?\u923?\u921?\u927? \u922?\u913?\u921? \u932?\u927? \u931?\u933?\u924?\u914?\u927?\u933?\u923?\u921?\u927?"/>
    <w:docVar w:name="LW_TYPE.DOC.CP.USERTEXT" w:val="&lt;EMPTY&gt;"/>
    <w:docVar w:name="LwApiVersions" w:val="LW4CoDe 1.24.5.0; LW 9.0, Build 20240221"/>
  </w:docVars>
  <w:rsids>
    <w:rsidRoot w:val="00AC0378"/>
    <w:rsid w:val="00000828"/>
    <w:rsid w:val="00000D31"/>
    <w:rsid w:val="00000D5F"/>
    <w:rsid w:val="00001078"/>
    <w:rsid w:val="00003377"/>
    <w:rsid w:val="000046D5"/>
    <w:rsid w:val="00004EFE"/>
    <w:rsid w:val="00005111"/>
    <w:rsid w:val="00005206"/>
    <w:rsid w:val="00007FA4"/>
    <w:rsid w:val="00010405"/>
    <w:rsid w:val="00010E51"/>
    <w:rsid w:val="000112A2"/>
    <w:rsid w:val="00011D84"/>
    <w:rsid w:val="0001241B"/>
    <w:rsid w:val="000134EA"/>
    <w:rsid w:val="000164B9"/>
    <w:rsid w:val="00016B21"/>
    <w:rsid w:val="0001F4CD"/>
    <w:rsid w:val="0002166F"/>
    <w:rsid w:val="000223C5"/>
    <w:rsid w:val="000242EB"/>
    <w:rsid w:val="00026132"/>
    <w:rsid w:val="00027C1B"/>
    <w:rsid w:val="0003019D"/>
    <w:rsid w:val="00030A2D"/>
    <w:rsid w:val="00032569"/>
    <w:rsid w:val="00032B65"/>
    <w:rsid w:val="000331DA"/>
    <w:rsid w:val="00033D42"/>
    <w:rsid w:val="00036EF1"/>
    <w:rsid w:val="000409C4"/>
    <w:rsid w:val="00040FD7"/>
    <w:rsid w:val="00042DEB"/>
    <w:rsid w:val="00045C57"/>
    <w:rsid w:val="00045E3D"/>
    <w:rsid w:val="00047D5C"/>
    <w:rsid w:val="0005048D"/>
    <w:rsid w:val="00054668"/>
    <w:rsid w:val="00054F66"/>
    <w:rsid w:val="00056B0C"/>
    <w:rsid w:val="00056EBF"/>
    <w:rsid w:val="000574E8"/>
    <w:rsid w:val="00057FE1"/>
    <w:rsid w:val="000607F4"/>
    <w:rsid w:val="000617CA"/>
    <w:rsid w:val="000641C7"/>
    <w:rsid w:val="000664B5"/>
    <w:rsid w:val="00066829"/>
    <w:rsid w:val="0007025C"/>
    <w:rsid w:val="00071327"/>
    <w:rsid w:val="000719BF"/>
    <w:rsid w:val="0007364F"/>
    <w:rsid w:val="00074A90"/>
    <w:rsid w:val="00075205"/>
    <w:rsid w:val="00077074"/>
    <w:rsid w:val="00080490"/>
    <w:rsid w:val="00080B66"/>
    <w:rsid w:val="000812C1"/>
    <w:rsid w:val="000816D4"/>
    <w:rsid w:val="00084054"/>
    <w:rsid w:val="00084568"/>
    <w:rsid w:val="00085435"/>
    <w:rsid w:val="00085F4E"/>
    <w:rsid w:val="000909C8"/>
    <w:rsid w:val="00091A73"/>
    <w:rsid w:val="00092948"/>
    <w:rsid w:val="0009307B"/>
    <w:rsid w:val="00093853"/>
    <w:rsid w:val="0009430C"/>
    <w:rsid w:val="000974B1"/>
    <w:rsid w:val="00097901"/>
    <w:rsid w:val="00097B36"/>
    <w:rsid w:val="000A3DD4"/>
    <w:rsid w:val="000A48FC"/>
    <w:rsid w:val="000A56C0"/>
    <w:rsid w:val="000A6B4B"/>
    <w:rsid w:val="000B00F8"/>
    <w:rsid w:val="000B3874"/>
    <w:rsid w:val="000B3F8D"/>
    <w:rsid w:val="000B685C"/>
    <w:rsid w:val="000B79A3"/>
    <w:rsid w:val="000B7BB0"/>
    <w:rsid w:val="000B7E95"/>
    <w:rsid w:val="000C000F"/>
    <w:rsid w:val="000C07F0"/>
    <w:rsid w:val="000C3538"/>
    <w:rsid w:val="000C3D1F"/>
    <w:rsid w:val="000C48D0"/>
    <w:rsid w:val="000C5599"/>
    <w:rsid w:val="000C68FE"/>
    <w:rsid w:val="000C6E46"/>
    <w:rsid w:val="000D3FCB"/>
    <w:rsid w:val="000D45D1"/>
    <w:rsid w:val="000D4BD4"/>
    <w:rsid w:val="000D5CE8"/>
    <w:rsid w:val="000D655F"/>
    <w:rsid w:val="000DA091"/>
    <w:rsid w:val="000E0794"/>
    <w:rsid w:val="000E0877"/>
    <w:rsid w:val="000E0924"/>
    <w:rsid w:val="000E2E0C"/>
    <w:rsid w:val="000E388F"/>
    <w:rsid w:val="000E4059"/>
    <w:rsid w:val="000E4469"/>
    <w:rsid w:val="000E63EA"/>
    <w:rsid w:val="000E6681"/>
    <w:rsid w:val="000E66D0"/>
    <w:rsid w:val="000E76D9"/>
    <w:rsid w:val="000E7AC1"/>
    <w:rsid w:val="000E7B06"/>
    <w:rsid w:val="000F0324"/>
    <w:rsid w:val="000F1EC7"/>
    <w:rsid w:val="000F41CA"/>
    <w:rsid w:val="000F4320"/>
    <w:rsid w:val="000F596B"/>
    <w:rsid w:val="000F5FC7"/>
    <w:rsid w:val="000F6076"/>
    <w:rsid w:val="000F6397"/>
    <w:rsid w:val="000F7761"/>
    <w:rsid w:val="000F7950"/>
    <w:rsid w:val="001001E3"/>
    <w:rsid w:val="00100E8F"/>
    <w:rsid w:val="00101EFD"/>
    <w:rsid w:val="001023D7"/>
    <w:rsid w:val="001039E8"/>
    <w:rsid w:val="00103E7F"/>
    <w:rsid w:val="00104B8E"/>
    <w:rsid w:val="0010507D"/>
    <w:rsid w:val="001123B3"/>
    <w:rsid w:val="0011434B"/>
    <w:rsid w:val="00114EBE"/>
    <w:rsid w:val="00115AB3"/>
    <w:rsid w:val="00116B53"/>
    <w:rsid w:val="00116BEE"/>
    <w:rsid w:val="00120443"/>
    <w:rsid w:val="00120D80"/>
    <w:rsid w:val="00121040"/>
    <w:rsid w:val="00121855"/>
    <w:rsid w:val="00125069"/>
    <w:rsid w:val="00127143"/>
    <w:rsid w:val="0012732F"/>
    <w:rsid w:val="0012E8E0"/>
    <w:rsid w:val="00130B0A"/>
    <w:rsid w:val="00131028"/>
    <w:rsid w:val="00132035"/>
    <w:rsid w:val="00134017"/>
    <w:rsid w:val="001350CD"/>
    <w:rsid w:val="00135AE4"/>
    <w:rsid w:val="001372F6"/>
    <w:rsid w:val="00141C92"/>
    <w:rsid w:val="001436C7"/>
    <w:rsid w:val="00143F0E"/>
    <w:rsid w:val="00146D5A"/>
    <w:rsid w:val="00147DB0"/>
    <w:rsid w:val="00150B08"/>
    <w:rsid w:val="00153305"/>
    <w:rsid w:val="0015477A"/>
    <w:rsid w:val="0015571F"/>
    <w:rsid w:val="0015630A"/>
    <w:rsid w:val="00156687"/>
    <w:rsid w:val="00157534"/>
    <w:rsid w:val="0015A4E0"/>
    <w:rsid w:val="00162058"/>
    <w:rsid w:val="00162773"/>
    <w:rsid w:val="001630BC"/>
    <w:rsid w:val="00165890"/>
    <w:rsid w:val="00166034"/>
    <w:rsid w:val="00167CD9"/>
    <w:rsid w:val="001729EE"/>
    <w:rsid w:val="00172CEB"/>
    <w:rsid w:val="00173200"/>
    <w:rsid w:val="00173333"/>
    <w:rsid w:val="001752E6"/>
    <w:rsid w:val="0017631A"/>
    <w:rsid w:val="00177D62"/>
    <w:rsid w:val="00180E2A"/>
    <w:rsid w:val="0018135D"/>
    <w:rsid w:val="0018170F"/>
    <w:rsid w:val="00181B52"/>
    <w:rsid w:val="001823BB"/>
    <w:rsid w:val="00183614"/>
    <w:rsid w:val="00186CDB"/>
    <w:rsid w:val="00187717"/>
    <w:rsid w:val="00187FA3"/>
    <w:rsid w:val="001907B3"/>
    <w:rsid w:val="00190D7E"/>
    <w:rsid w:val="001911CE"/>
    <w:rsid w:val="00191EF0"/>
    <w:rsid w:val="001942DA"/>
    <w:rsid w:val="00194BFF"/>
    <w:rsid w:val="00194D3C"/>
    <w:rsid w:val="00194F1E"/>
    <w:rsid w:val="00197A75"/>
    <w:rsid w:val="001A0256"/>
    <w:rsid w:val="001A04FF"/>
    <w:rsid w:val="001A145A"/>
    <w:rsid w:val="001A2D67"/>
    <w:rsid w:val="001A31CE"/>
    <w:rsid w:val="001A3DFD"/>
    <w:rsid w:val="001A51DE"/>
    <w:rsid w:val="001B125C"/>
    <w:rsid w:val="001B160D"/>
    <w:rsid w:val="001B1AC1"/>
    <w:rsid w:val="001B65AF"/>
    <w:rsid w:val="001B6688"/>
    <w:rsid w:val="001B6842"/>
    <w:rsid w:val="001B6F0F"/>
    <w:rsid w:val="001B7DAC"/>
    <w:rsid w:val="001C02B6"/>
    <w:rsid w:val="001C0A93"/>
    <w:rsid w:val="001C1598"/>
    <w:rsid w:val="001C2B23"/>
    <w:rsid w:val="001C3A18"/>
    <w:rsid w:val="001C70B5"/>
    <w:rsid w:val="001CD9ED"/>
    <w:rsid w:val="001D0EF5"/>
    <w:rsid w:val="001D1318"/>
    <w:rsid w:val="001D1934"/>
    <w:rsid w:val="001D43A1"/>
    <w:rsid w:val="001D5830"/>
    <w:rsid w:val="001D5C19"/>
    <w:rsid w:val="001D5D96"/>
    <w:rsid w:val="001D6309"/>
    <w:rsid w:val="001D63AF"/>
    <w:rsid w:val="001D7074"/>
    <w:rsid w:val="001E29DC"/>
    <w:rsid w:val="001E3255"/>
    <w:rsid w:val="001E33DB"/>
    <w:rsid w:val="001E4402"/>
    <w:rsid w:val="001E4C7F"/>
    <w:rsid w:val="001E56DC"/>
    <w:rsid w:val="001E5A3F"/>
    <w:rsid w:val="001E640F"/>
    <w:rsid w:val="001F17AA"/>
    <w:rsid w:val="001F1DAE"/>
    <w:rsid w:val="001F22F6"/>
    <w:rsid w:val="001F3283"/>
    <w:rsid w:val="001F4654"/>
    <w:rsid w:val="001F626F"/>
    <w:rsid w:val="00202AEC"/>
    <w:rsid w:val="00202F84"/>
    <w:rsid w:val="002037ED"/>
    <w:rsid w:val="00203B8E"/>
    <w:rsid w:val="002043D9"/>
    <w:rsid w:val="0020587B"/>
    <w:rsid w:val="00211EC8"/>
    <w:rsid w:val="00220051"/>
    <w:rsid w:val="002211ED"/>
    <w:rsid w:val="0022249E"/>
    <w:rsid w:val="002227E2"/>
    <w:rsid w:val="002234F7"/>
    <w:rsid w:val="0022367F"/>
    <w:rsid w:val="00227349"/>
    <w:rsid w:val="0022761A"/>
    <w:rsid w:val="002302F5"/>
    <w:rsid w:val="002304C4"/>
    <w:rsid w:val="002315A9"/>
    <w:rsid w:val="0023167A"/>
    <w:rsid w:val="00234663"/>
    <w:rsid w:val="00234A14"/>
    <w:rsid w:val="00235626"/>
    <w:rsid w:val="002358EF"/>
    <w:rsid w:val="00235B65"/>
    <w:rsid w:val="00240F02"/>
    <w:rsid w:val="00245FA5"/>
    <w:rsid w:val="00247259"/>
    <w:rsid w:val="0024728E"/>
    <w:rsid w:val="00250799"/>
    <w:rsid w:val="00252E1F"/>
    <w:rsid w:val="00255E94"/>
    <w:rsid w:val="002607D4"/>
    <w:rsid w:val="00260B16"/>
    <w:rsid w:val="00263AF2"/>
    <w:rsid w:val="00264D4F"/>
    <w:rsid w:val="00265191"/>
    <w:rsid w:val="0026564C"/>
    <w:rsid w:val="0026CE35"/>
    <w:rsid w:val="00270903"/>
    <w:rsid w:val="0027177E"/>
    <w:rsid w:val="002739E2"/>
    <w:rsid w:val="0027561A"/>
    <w:rsid w:val="00277107"/>
    <w:rsid w:val="00277E32"/>
    <w:rsid w:val="00280103"/>
    <w:rsid w:val="00280A69"/>
    <w:rsid w:val="00281636"/>
    <w:rsid w:val="00282543"/>
    <w:rsid w:val="00282DEA"/>
    <w:rsid w:val="002836AF"/>
    <w:rsid w:val="00283766"/>
    <w:rsid w:val="002860C3"/>
    <w:rsid w:val="00286F26"/>
    <w:rsid w:val="00291D25"/>
    <w:rsid w:val="00295046"/>
    <w:rsid w:val="00296352"/>
    <w:rsid w:val="002A0E9C"/>
    <w:rsid w:val="002A6BAB"/>
    <w:rsid w:val="002A6D71"/>
    <w:rsid w:val="002A7018"/>
    <w:rsid w:val="002B08FE"/>
    <w:rsid w:val="002B1604"/>
    <w:rsid w:val="002B7D47"/>
    <w:rsid w:val="002C0010"/>
    <w:rsid w:val="002C12DA"/>
    <w:rsid w:val="002C1F66"/>
    <w:rsid w:val="002C49FE"/>
    <w:rsid w:val="002D2184"/>
    <w:rsid w:val="002D27C1"/>
    <w:rsid w:val="002D3619"/>
    <w:rsid w:val="002D42FA"/>
    <w:rsid w:val="002D5EC6"/>
    <w:rsid w:val="002E1431"/>
    <w:rsid w:val="002E62B3"/>
    <w:rsid w:val="002E697C"/>
    <w:rsid w:val="002E6FB3"/>
    <w:rsid w:val="002E78C8"/>
    <w:rsid w:val="002E7BCA"/>
    <w:rsid w:val="002F1591"/>
    <w:rsid w:val="002F25F9"/>
    <w:rsid w:val="002F2A99"/>
    <w:rsid w:val="002F57C4"/>
    <w:rsid w:val="002F610F"/>
    <w:rsid w:val="003004A3"/>
    <w:rsid w:val="00300F03"/>
    <w:rsid w:val="0030126B"/>
    <w:rsid w:val="00301515"/>
    <w:rsid w:val="00301BAB"/>
    <w:rsid w:val="00304923"/>
    <w:rsid w:val="00306692"/>
    <w:rsid w:val="00306A34"/>
    <w:rsid w:val="00307D0A"/>
    <w:rsid w:val="003117D5"/>
    <w:rsid w:val="00315382"/>
    <w:rsid w:val="00316C2B"/>
    <w:rsid w:val="0032017B"/>
    <w:rsid w:val="00321B4E"/>
    <w:rsid w:val="003232E7"/>
    <w:rsid w:val="00324F32"/>
    <w:rsid w:val="00325334"/>
    <w:rsid w:val="003257A3"/>
    <w:rsid w:val="003259F3"/>
    <w:rsid w:val="00327D7B"/>
    <w:rsid w:val="00331DF8"/>
    <w:rsid w:val="00331FEA"/>
    <w:rsid w:val="0033304E"/>
    <w:rsid w:val="00333F9B"/>
    <w:rsid w:val="00334C36"/>
    <w:rsid w:val="00336959"/>
    <w:rsid w:val="00337F18"/>
    <w:rsid w:val="0034093C"/>
    <w:rsid w:val="00340E62"/>
    <w:rsid w:val="00341E85"/>
    <w:rsid w:val="0034228F"/>
    <w:rsid w:val="00344DB4"/>
    <w:rsid w:val="0034621C"/>
    <w:rsid w:val="00346AE4"/>
    <w:rsid w:val="003472FA"/>
    <w:rsid w:val="00352F33"/>
    <w:rsid w:val="00353502"/>
    <w:rsid w:val="003537E0"/>
    <w:rsid w:val="003551F5"/>
    <w:rsid w:val="00356811"/>
    <w:rsid w:val="0035695C"/>
    <w:rsid w:val="00357F3F"/>
    <w:rsid w:val="003619D9"/>
    <w:rsid w:val="00362AC7"/>
    <w:rsid w:val="00364360"/>
    <w:rsid w:val="00370512"/>
    <w:rsid w:val="00371282"/>
    <w:rsid w:val="003718E3"/>
    <w:rsid w:val="00371BD7"/>
    <w:rsid w:val="003722EC"/>
    <w:rsid w:val="003770B3"/>
    <w:rsid w:val="00380D58"/>
    <w:rsid w:val="00381B10"/>
    <w:rsid w:val="0038299E"/>
    <w:rsid w:val="00384CB9"/>
    <w:rsid w:val="00384F4E"/>
    <w:rsid w:val="00387290"/>
    <w:rsid w:val="0038AAFA"/>
    <w:rsid w:val="00390640"/>
    <w:rsid w:val="003926FF"/>
    <w:rsid w:val="00392EEF"/>
    <w:rsid w:val="003937AA"/>
    <w:rsid w:val="00393A88"/>
    <w:rsid w:val="00393B3A"/>
    <w:rsid w:val="00393C77"/>
    <w:rsid w:val="003945C1"/>
    <w:rsid w:val="00394742"/>
    <w:rsid w:val="003974B3"/>
    <w:rsid w:val="003977A3"/>
    <w:rsid w:val="003A0342"/>
    <w:rsid w:val="003A0948"/>
    <w:rsid w:val="003A2C2D"/>
    <w:rsid w:val="003A4864"/>
    <w:rsid w:val="003A6B35"/>
    <w:rsid w:val="003A74C7"/>
    <w:rsid w:val="003A7507"/>
    <w:rsid w:val="003A796A"/>
    <w:rsid w:val="003B0232"/>
    <w:rsid w:val="003B2888"/>
    <w:rsid w:val="003B2D5D"/>
    <w:rsid w:val="003B4F72"/>
    <w:rsid w:val="003BB470"/>
    <w:rsid w:val="003C0701"/>
    <w:rsid w:val="003C0724"/>
    <w:rsid w:val="003C1748"/>
    <w:rsid w:val="003C1B0A"/>
    <w:rsid w:val="003C43F0"/>
    <w:rsid w:val="003C4928"/>
    <w:rsid w:val="003C524C"/>
    <w:rsid w:val="003C6773"/>
    <w:rsid w:val="003C75D3"/>
    <w:rsid w:val="003C782B"/>
    <w:rsid w:val="003D17B1"/>
    <w:rsid w:val="003D3E9E"/>
    <w:rsid w:val="003D41BA"/>
    <w:rsid w:val="003D4BB7"/>
    <w:rsid w:val="003D51F0"/>
    <w:rsid w:val="003D61CB"/>
    <w:rsid w:val="003D62AB"/>
    <w:rsid w:val="003D6985"/>
    <w:rsid w:val="003D7937"/>
    <w:rsid w:val="003D7EED"/>
    <w:rsid w:val="003E2E1C"/>
    <w:rsid w:val="003E4971"/>
    <w:rsid w:val="003E6672"/>
    <w:rsid w:val="003F100C"/>
    <w:rsid w:val="003F13D7"/>
    <w:rsid w:val="003F28BF"/>
    <w:rsid w:val="003F2E66"/>
    <w:rsid w:val="003F64FC"/>
    <w:rsid w:val="003F66B8"/>
    <w:rsid w:val="003F7097"/>
    <w:rsid w:val="003F735F"/>
    <w:rsid w:val="003F7A50"/>
    <w:rsid w:val="003F7B78"/>
    <w:rsid w:val="003F7CF1"/>
    <w:rsid w:val="00401639"/>
    <w:rsid w:val="00402EA5"/>
    <w:rsid w:val="00403C59"/>
    <w:rsid w:val="00404BEA"/>
    <w:rsid w:val="004078AC"/>
    <w:rsid w:val="00410BBA"/>
    <w:rsid w:val="004120E7"/>
    <w:rsid w:val="00414F89"/>
    <w:rsid w:val="00417ACC"/>
    <w:rsid w:val="00421EF7"/>
    <w:rsid w:val="004224DD"/>
    <w:rsid w:val="00423751"/>
    <w:rsid w:val="00424142"/>
    <w:rsid w:val="0043036C"/>
    <w:rsid w:val="004327E6"/>
    <w:rsid w:val="004349EC"/>
    <w:rsid w:val="00435D1A"/>
    <w:rsid w:val="004362DD"/>
    <w:rsid w:val="0043686C"/>
    <w:rsid w:val="00442100"/>
    <w:rsid w:val="004473E6"/>
    <w:rsid w:val="00450A4F"/>
    <w:rsid w:val="00450B0A"/>
    <w:rsid w:val="00450BD7"/>
    <w:rsid w:val="00453216"/>
    <w:rsid w:val="00454077"/>
    <w:rsid w:val="004549B0"/>
    <w:rsid w:val="00455F84"/>
    <w:rsid w:val="0045793D"/>
    <w:rsid w:val="00460191"/>
    <w:rsid w:val="00462365"/>
    <w:rsid w:val="004634A1"/>
    <w:rsid w:val="004641FA"/>
    <w:rsid w:val="00464C95"/>
    <w:rsid w:val="004651A4"/>
    <w:rsid w:val="00466235"/>
    <w:rsid w:val="004672B8"/>
    <w:rsid w:val="004677C0"/>
    <w:rsid w:val="00471E88"/>
    <w:rsid w:val="00472645"/>
    <w:rsid w:val="00472F3A"/>
    <w:rsid w:val="00473D58"/>
    <w:rsid w:val="0047418A"/>
    <w:rsid w:val="00474964"/>
    <w:rsid w:val="0047527B"/>
    <w:rsid w:val="004820AD"/>
    <w:rsid w:val="00483E4E"/>
    <w:rsid w:val="00484BDE"/>
    <w:rsid w:val="00486746"/>
    <w:rsid w:val="00486C11"/>
    <w:rsid w:val="00487F6D"/>
    <w:rsid w:val="0049056D"/>
    <w:rsid w:val="00490ECB"/>
    <w:rsid w:val="00491714"/>
    <w:rsid w:val="00492B81"/>
    <w:rsid w:val="00493BA0"/>
    <w:rsid w:val="00494CCC"/>
    <w:rsid w:val="00496664"/>
    <w:rsid w:val="004A03D8"/>
    <w:rsid w:val="004A099C"/>
    <w:rsid w:val="004A32F2"/>
    <w:rsid w:val="004A6AE8"/>
    <w:rsid w:val="004A6DB8"/>
    <w:rsid w:val="004A7FBD"/>
    <w:rsid w:val="004B0D49"/>
    <w:rsid w:val="004B2EC9"/>
    <w:rsid w:val="004B3F0F"/>
    <w:rsid w:val="004B56E4"/>
    <w:rsid w:val="004B59A6"/>
    <w:rsid w:val="004B6C9A"/>
    <w:rsid w:val="004C13CF"/>
    <w:rsid w:val="004C2E88"/>
    <w:rsid w:val="004C310D"/>
    <w:rsid w:val="004C55EC"/>
    <w:rsid w:val="004C77B5"/>
    <w:rsid w:val="004D0425"/>
    <w:rsid w:val="004D1C65"/>
    <w:rsid w:val="004D26B3"/>
    <w:rsid w:val="004D2F3B"/>
    <w:rsid w:val="004D3A0C"/>
    <w:rsid w:val="004D4BF1"/>
    <w:rsid w:val="004D7099"/>
    <w:rsid w:val="004E17D3"/>
    <w:rsid w:val="004E19B7"/>
    <w:rsid w:val="004E48A3"/>
    <w:rsid w:val="004E4A54"/>
    <w:rsid w:val="004E7FBA"/>
    <w:rsid w:val="004F0812"/>
    <w:rsid w:val="004F08C0"/>
    <w:rsid w:val="004F1008"/>
    <w:rsid w:val="004F12E0"/>
    <w:rsid w:val="00501741"/>
    <w:rsid w:val="00503C6C"/>
    <w:rsid w:val="0050528C"/>
    <w:rsid w:val="00507887"/>
    <w:rsid w:val="00512A96"/>
    <w:rsid w:val="005165CB"/>
    <w:rsid w:val="00516687"/>
    <w:rsid w:val="00521CD3"/>
    <w:rsid w:val="00521CFC"/>
    <w:rsid w:val="00522DBE"/>
    <w:rsid w:val="00524571"/>
    <w:rsid w:val="005245AE"/>
    <w:rsid w:val="00524756"/>
    <w:rsid w:val="00524D2D"/>
    <w:rsid w:val="00526EE1"/>
    <w:rsid w:val="00527F90"/>
    <w:rsid w:val="00530204"/>
    <w:rsid w:val="00531C20"/>
    <w:rsid w:val="0053407E"/>
    <w:rsid w:val="00534B23"/>
    <w:rsid w:val="0053502D"/>
    <w:rsid w:val="00535976"/>
    <w:rsid w:val="00536E9B"/>
    <w:rsid w:val="00537BB2"/>
    <w:rsid w:val="005402D4"/>
    <w:rsid w:val="00541AF7"/>
    <w:rsid w:val="00543973"/>
    <w:rsid w:val="00544150"/>
    <w:rsid w:val="00544962"/>
    <w:rsid w:val="005449C9"/>
    <w:rsid w:val="005508A4"/>
    <w:rsid w:val="00552BBA"/>
    <w:rsid w:val="0055586C"/>
    <w:rsid w:val="00555CA1"/>
    <w:rsid w:val="00560EB9"/>
    <w:rsid w:val="0056201B"/>
    <w:rsid w:val="005620BD"/>
    <w:rsid w:val="00562357"/>
    <w:rsid w:val="0056268A"/>
    <w:rsid w:val="00563101"/>
    <w:rsid w:val="00564655"/>
    <w:rsid w:val="00564CCF"/>
    <w:rsid w:val="00566CE6"/>
    <w:rsid w:val="005670EA"/>
    <w:rsid w:val="00570982"/>
    <w:rsid w:val="0057561C"/>
    <w:rsid w:val="00577DA9"/>
    <w:rsid w:val="005826F5"/>
    <w:rsid w:val="00583576"/>
    <w:rsid w:val="005839DE"/>
    <w:rsid w:val="0058417F"/>
    <w:rsid w:val="00587025"/>
    <w:rsid w:val="00587610"/>
    <w:rsid w:val="005902C2"/>
    <w:rsid w:val="005944A3"/>
    <w:rsid w:val="005945A3"/>
    <w:rsid w:val="005950E7"/>
    <w:rsid w:val="00596DF1"/>
    <w:rsid w:val="005A1799"/>
    <w:rsid w:val="005A21C1"/>
    <w:rsid w:val="005A2659"/>
    <w:rsid w:val="005A3253"/>
    <w:rsid w:val="005A32A2"/>
    <w:rsid w:val="005A52B1"/>
    <w:rsid w:val="005A7DA7"/>
    <w:rsid w:val="005B0D0D"/>
    <w:rsid w:val="005B111C"/>
    <w:rsid w:val="005B15B6"/>
    <w:rsid w:val="005B1F66"/>
    <w:rsid w:val="005B33F4"/>
    <w:rsid w:val="005B3B36"/>
    <w:rsid w:val="005B4542"/>
    <w:rsid w:val="005C0ECB"/>
    <w:rsid w:val="005C1530"/>
    <w:rsid w:val="005C2AD5"/>
    <w:rsid w:val="005C2EBD"/>
    <w:rsid w:val="005C418D"/>
    <w:rsid w:val="005C547C"/>
    <w:rsid w:val="005C5C3A"/>
    <w:rsid w:val="005C64B9"/>
    <w:rsid w:val="005C6B27"/>
    <w:rsid w:val="005C6F23"/>
    <w:rsid w:val="005C781D"/>
    <w:rsid w:val="005D27DF"/>
    <w:rsid w:val="005D44CB"/>
    <w:rsid w:val="005D4824"/>
    <w:rsid w:val="005D53D0"/>
    <w:rsid w:val="005D551F"/>
    <w:rsid w:val="005D5582"/>
    <w:rsid w:val="005D5601"/>
    <w:rsid w:val="005D631A"/>
    <w:rsid w:val="005D6793"/>
    <w:rsid w:val="005D789D"/>
    <w:rsid w:val="005E0C1D"/>
    <w:rsid w:val="005E10C0"/>
    <w:rsid w:val="005E5FA8"/>
    <w:rsid w:val="005E63E3"/>
    <w:rsid w:val="005E6A32"/>
    <w:rsid w:val="005E6A8B"/>
    <w:rsid w:val="005E7D1E"/>
    <w:rsid w:val="005F0B0B"/>
    <w:rsid w:val="005F19BB"/>
    <w:rsid w:val="005F29A2"/>
    <w:rsid w:val="005F5976"/>
    <w:rsid w:val="005F6DCD"/>
    <w:rsid w:val="005F7928"/>
    <w:rsid w:val="006010C4"/>
    <w:rsid w:val="00601E8F"/>
    <w:rsid w:val="00603A15"/>
    <w:rsid w:val="00605BA2"/>
    <w:rsid w:val="00607732"/>
    <w:rsid w:val="00611C44"/>
    <w:rsid w:val="00613A02"/>
    <w:rsid w:val="006159DD"/>
    <w:rsid w:val="00615DA0"/>
    <w:rsid w:val="0061642F"/>
    <w:rsid w:val="00616704"/>
    <w:rsid w:val="00616B91"/>
    <w:rsid w:val="0061782A"/>
    <w:rsid w:val="00620370"/>
    <w:rsid w:val="0062141F"/>
    <w:rsid w:val="006219AA"/>
    <w:rsid w:val="00621AB9"/>
    <w:rsid w:val="0062240F"/>
    <w:rsid w:val="006230C9"/>
    <w:rsid w:val="00623E7F"/>
    <w:rsid w:val="0063046A"/>
    <w:rsid w:val="00631149"/>
    <w:rsid w:val="00631314"/>
    <w:rsid w:val="00631594"/>
    <w:rsid w:val="00632585"/>
    <w:rsid w:val="00632870"/>
    <w:rsid w:val="006351D7"/>
    <w:rsid w:val="00635302"/>
    <w:rsid w:val="00640B0F"/>
    <w:rsid w:val="006417DF"/>
    <w:rsid w:val="00641F44"/>
    <w:rsid w:val="006474F5"/>
    <w:rsid w:val="00651442"/>
    <w:rsid w:val="00651CD1"/>
    <w:rsid w:val="00652BB8"/>
    <w:rsid w:val="006560AA"/>
    <w:rsid w:val="00656150"/>
    <w:rsid w:val="00656DBB"/>
    <w:rsid w:val="006575ED"/>
    <w:rsid w:val="006579CF"/>
    <w:rsid w:val="00657AE7"/>
    <w:rsid w:val="00661176"/>
    <w:rsid w:val="0066121D"/>
    <w:rsid w:val="00661EF4"/>
    <w:rsid w:val="00662F37"/>
    <w:rsid w:val="00663715"/>
    <w:rsid w:val="00663BFF"/>
    <w:rsid w:val="0066557E"/>
    <w:rsid w:val="00665672"/>
    <w:rsid w:val="00667403"/>
    <w:rsid w:val="006677CA"/>
    <w:rsid w:val="006735C1"/>
    <w:rsid w:val="00674329"/>
    <w:rsid w:val="006754FF"/>
    <w:rsid w:val="006774A7"/>
    <w:rsid w:val="00680BD0"/>
    <w:rsid w:val="00680DB2"/>
    <w:rsid w:val="006820C1"/>
    <w:rsid w:val="006822DD"/>
    <w:rsid w:val="00682EE9"/>
    <w:rsid w:val="00683C98"/>
    <w:rsid w:val="00684A05"/>
    <w:rsid w:val="00686E15"/>
    <w:rsid w:val="00690E20"/>
    <w:rsid w:val="006914C1"/>
    <w:rsid w:val="00693133"/>
    <w:rsid w:val="006933EB"/>
    <w:rsid w:val="00694EDC"/>
    <w:rsid w:val="0069566A"/>
    <w:rsid w:val="006A0101"/>
    <w:rsid w:val="006A12D0"/>
    <w:rsid w:val="006A1500"/>
    <w:rsid w:val="006A20A2"/>
    <w:rsid w:val="006A339D"/>
    <w:rsid w:val="006A386F"/>
    <w:rsid w:val="006A3BF2"/>
    <w:rsid w:val="006A5B70"/>
    <w:rsid w:val="006A7FF0"/>
    <w:rsid w:val="006A9E55"/>
    <w:rsid w:val="006B0267"/>
    <w:rsid w:val="006B2262"/>
    <w:rsid w:val="006B5786"/>
    <w:rsid w:val="006B5E0F"/>
    <w:rsid w:val="006B5E86"/>
    <w:rsid w:val="006B7C4B"/>
    <w:rsid w:val="006C154B"/>
    <w:rsid w:val="006C5CE8"/>
    <w:rsid w:val="006C5DB6"/>
    <w:rsid w:val="006C5F9B"/>
    <w:rsid w:val="006C6C7A"/>
    <w:rsid w:val="006C723D"/>
    <w:rsid w:val="006C7242"/>
    <w:rsid w:val="006D10B4"/>
    <w:rsid w:val="006D1225"/>
    <w:rsid w:val="006D5151"/>
    <w:rsid w:val="006D5E2C"/>
    <w:rsid w:val="006D5ECD"/>
    <w:rsid w:val="006D726B"/>
    <w:rsid w:val="006D7E29"/>
    <w:rsid w:val="006E0DA5"/>
    <w:rsid w:val="006E27AE"/>
    <w:rsid w:val="006E3E4F"/>
    <w:rsid w:val="006E4388"/>
    <w:rsid w:val="006E45E5"/>
    <w:rsid w:val="006F2E1C"/>
    <w:rsid w:val="006F34C5"/>
    <w:rsid w:val="006F3560"/>
    <w:rsid w:val="006F363A"/>
    <w:rsid w:val="006F3A14"/>
    <w:rsid w:val="0070063F"/>
    <w:rsid w:val="00703071"/>
    <w:rsid w:val="007040A4"/>
    <w:rsid w:val="00704953"/>
    <w:rsid w:val="00704F2E"/>
    <w:rsid w:val="00706744"/>
    <w:rsid w:val="0070756B"/>
    <w:rsid w:val="00707D79"/>
    <w:rsid w:val="00710C6F"/>
    <w:rsid w:val="007117BA"/>
    <w:rsid w:val="00716A9C"/>
    <w:rsid w:val="007218E3"/>
    <w:rsid w:val="007220B0"/>
    <w:rsid w:val="00723113"/>
    <w:rsid w:val="00723A74"/>
    <w:rsid w:val="00723C87"/>
    <w:rsid w:val="007241D3"/>
    <w:rsid w:val="00724A75"/>
    <w:rsid w:val="0073005E"/>
    <w:rsid w:val="00730FAA"/>
    <w:rsid w:val="00731360"/>
    <w:rsid w:val="007327C2"/>
    <w:rsid w:val="00733AAB"/>
    <w:rsid w:val="007352A6"/>
    <w:rsid w:val="007367BE"/>
    <w:rsid w:val="007370FE"/>
    <w:rsid w:val="00740599"/>
    <w:rsid w:val="007412A1"/>
    <w:rsid w:val="00741A94"/>
    <w:rsid w:val="0074224F"/>
    <w:rsid w:val="007430BE"/>
    <w:rsid w:val="007433FA"/>
    <w:rsid w:val="00744522"/>
    <w:rsid w:val="00750438"/>
    <w:rsid w:val="00750B62"/>
    <w:rsid w:val="00750DC0"/>
    <w:rsid w:val="00751090"/>
    <w:rsid w:val="00751CCA"/>
    <w:rsid w:val="007561E7"/>
    <w:rsid w:val="0075F10F"/>
    <w:rsid w:val="00760213"/>
    <w:rsid w:val="0076106B"/>
    <w:rsid w:val="007618A4"/>
    <w:rsid w:val="00767D70"/>
    <w:rsid w:val="007703F1"/>
    <w:rsid w:val="00770806"/>
    <w:rsid w:val="00770F3C"/>
    <w:rsid w:val="007809DD"/>
    <w:rsid w:val="00780B65"/>
    <w:rsid w:val="007830BB"/>
    <w:rsid w:val="00783AE7"/>
    <w:rsid w:val="00784946"/>
    <w:rsid w:val="00784B59"/>
    <w:rsid w:val="00792531"/>
    <w:rsid w:val="00792BD7"/>
    <w:rsid w:val="00793D0E"/>
    <w:rsid w:val="007947EE"/>
    <w:rsid w:val="00794FC7"/>
    <w:rsid w:val="00796D46"/>
    <w:rsid w:val="00797221"/>
    <w:rsid w:val="007972CD"/>
    <w:rsid w:val="007A0D32"/>
    <w:rsid w:val="007A1466"/>
    <w:rsid w:val="007A15CD"/>
    <w:rsid w:val="007A1F03"/>
    <w:rsid w:val="007A4AE4"/>
    <w:rsid w:val="007A5969"/>
    <w:rsid w:val="007A6E92"/>
    <w:rsid w:val="007A745D"/>
    <w:rsid w:val="007B11B1"/>
    <w:rsid w:val="007B2A7A"/>
    <w:rsid w:val="007B3E1E"/>
    <w:rsid w:val="007B3EC8"/>
    <w:rsid w:val="007B4647"/>
    <w:rsid w:val="007B4718"/>
    <w:rsid w:val="007B6ADD"/>
    <w:rsid w:val="007C09D1"/>
    <w:rsid w:val="007C16C2"/>
    <w:rsid w:val="007C1C75"/>
    <w:rsid w:val="007C2320"/>
    <w:rsid w:val="007C3FB9"/>
    <w:rsid w:val="007C478E"/>
    <w:rsid w:val="007C4B92"/>
    <w:rsid w:val="007C57CB"/>
    <w:rsid w:val="007D118A"/>
    <w:rsid w:val="007D2EB6"/>
    <w:rsid w:val="007D7050"/>
    <w:rsid w:val="007E1233"/>
    <w:rsid w:val="007E1D5F"/>
    <w:rsid w:val="007E2DB0"/>
    <w:rsid w:val="007E2DB5"/>
    <w:rsid w:val="007E3A84"/>
    <w:rsid w:val="007E4AAA"/>
    <w:rsid w:val="007E4E50"/>
    <w:rsid w:val="007E4F92"/>
    <w:rsid w:val="007E7A2D"/>
    <w:rsid w:val="007EF7FC"/>
    <w:rsid w:val="007F260E"/>
    <w:rsid w:val="007F299D"/>
    <w:rsid w:val="007F7882"/>
    <w:rsid w:val="008000EB"/>
    <w:rsid w:val="00800CCE"/>
    <w:rsid w:val="008012B3"/>
    <w:rsid w:val="00801574"/>
    <w:rsid w:val="00801A0E"/>
    <w:rsid w:val="00802960"/>
    <w:rsid w:val="00802D61"/>
    <w:rsid w:val="008031E9"/>
    <w:rsid w:val="0080406C"/>
    <w:rsid w:val="008060C8"/>
    <w:rsid w:val="008068F3"/>
    <w:rsid w:val="00815B1C"/>
    <w:rsid w:val="00816CC2"/>
    <w:rsid w:val="00817478"/>
    <w:rsid w:val="00817D91"/>
    <w:rsid w:val="0082104D"/>
    <w:rsid w:val="008218E6"/>
    <w:rsid w:val="008227BA"/>
    <w:rsid w:val="008230FF"/>
    <w:rsid w:val="00827993"/>
    <w:rsid w:val="00827B2E"/>
    <w:rsid w:val="00830503"/>
    <w:rsid w:val="00833357"/>
    <w:rsid w:val="00833438"/>
    <w:rsid w:val="0083554D"/>
    <w:rsid w:val="008410D3"/>
    <w:rsid w:val="008429B1"/>
    <w:rsid w:val="00842A1F"/>
    <w:rsid w:val="008433EF"/>
    <w:rsid w:val="00844C1B"/>
    <w:rsid w:val="008453B6"/>
    <w:rsid w:val="00847A1A"/>
    <w:rsid w:val="008540EA"/>
    <w:rsid w:val="00854BE6"/>
    <w:rsid w:val="00857CF2"/>
    <w:rsid w:val="00857F2A"/>
    <w:rsid w:val="008612A8"/>
    <w:rsid w:val="008630B4"/>
    <w:rsid w:val="008645C2"/>
    <w:rsid w:val="00864EDA"/>
    <w:rsid w:val="00865FF5"/>
    <w:rsid w:val="008669E1"/>
    <w:rsid w:val="008678B6"/>
    <w:rsid w:val="00867CD6"/>
    <w:rsid w:val="00870407"/>
    <w:rsid w:val="0087074B"/>
    <w:rsid w:val="00871947"/>
    <w:rsid w:val="00872A84"/>
    <w:rsid w:val="00873635"/>
    <w:rsid w:val="00874089"/>
    <w:rsid w:val="00874646"/>
    <w:rsid w:val="00874DD8"/>
    <w:rsid w:val="00875341"/>
    <w:rsid w:val="00876031"/>
    <w:rsid w:val="00880B03"/>
    <w:rsid w:val="0088125F"/>
    <w:rsid w:val="00883F03"/>
    <w:rsid w:val="0088627D"/>
    <w:rsid w:val="00890711"/>
    <w:rsid w:val="00893E09"/>
    <w:rsid w:val="00897A34"/>
    <w:rsid w:val="008A1D68"/>
    <w:rsid w:val="008A261C"/>
    <w:rsid w:val="008A322F"/>
    <w:rsid w:val="008A38F5"/>
    <w:rsid w:val="008A3A37"/>
    <w:rsid w:val="008A6735"/>
    <w:rsid w:val="008B0558"/>
    <w:rsid w:val="008B06FE"/>
    <w:rsid w:val="008B1628"/>
    <w:rsid w:val="008B2BE2"/>
    <w:rsid w:val="008B2D31"/>
    <w:rsid w:val="008B34F9"/>
    <w:rsid w:val="008B3566"/>
    <w:rsid w:val="008B50BA"/>
    <w:rsid w:val="008B56D4"/>
    <w:rsid w:val="008B5A0D"/>
    <w:rsid w:val="008B6F8A"/>
    <w:rsid w:val="008C0EF6"/>
    <w:rsid w:val="008C3902"/>
    <w:rsid w:val="008C5240"/>
    <w:rsid w:val="008C619E"/>
    <w:rsid w:val="008C64CC"/>
    <w:rsid w:val="008C7C95"/>
    <w:rsid w:val="008C7FA0"/>
    <w:rsid w:val="008D1720"/>
    <w:rsid w:val="008D18AB"/>
    <w:rsid w:val="008D2D44"/>
    <w:rsid w:val="008D2F3D"/>
    <w:rsid w:val="008D3A0C"/>
    <w:rsid w:val="008D4BE6"/>
    <w:rsid w:val="008D5C91"/>
    <w:rsid w:val="008D6456"/>
    <w:rsid w:val="008D6C5D"/>
    <w:rsid w:val="008D6DE2"/>
    <w:rsid w:val="008E007B"/>
    <w:rsid w:val="008E193D"/>
    <w:rsid w:val="008E21AB"/>
    <w:rsid w:val="008E2C13"/>
    <w:rsid w:val="008E4712"/>
    <w:rsid w:val="008E59E2"/>
    <w:rsid w:val="008E64EE"/>
    <w:rsid w:val="008E70A0"/>
    <w:rsid w:val="008E7EA0"/>
    <w:rsid w:val="008F0976"/>
    <w:rsid w:val="008F0A59"/>
    <w:rsid w:val="008F1958"/>
    <w:rsid w:val="008F23B2"/>
    <w:rsid w:val="008F38FD"/>
    <w:rsid w:val="008F5D49"/>
    <w:rsid w:val="008F6D92"/>
    <w:rsid w:val="008F72E8"/>
    <w:rsid w:val="00900A31"/>
    <w:rsid w:val="00900D9C"/>
    <w:rsid w:val="00901B79"/>
    <w:rsid w:val="00902F66"/>
    <w:rsid w:val="009033C8"/>
    <w:rsid w:val="009045AF"/>
    <w:rsid w:val="0090632E"/>
    <w:rsid w:val="00907A08"/>
    <w:rsid w:val="00910F84"/>
    <w:rsid w:val="009110C5"/>
    <w:rsid w:val="00913544"/>
    <w:rsid w:val="0091391F"/>
    <w:rsid w:val="0091430F"/>
    <w:rsid w:val="00916BED"/>
    <w:rsid w:val="0092006E"/>
    <w:rsid w:val="00922381"/>
    <w:rsid w:val="00922D32"/>
    <w:rsid w:val="009313C1"/>
    <w:rsid w:val="009319F5"/>
    <w:rsid w:val="009327C1"/>
    <w:rsid w:val="00933E76"/>
    <w:rsid w:val="00934066"/>
    <w:rsid w:val="00934544"/>
    <w:rsid w:val="00934DC1"/>
    <w:rsid w:val="0093562D"/>
    <w:rsid w:val="00935BAE"/>
    <w:rsid w:val="00942CD9"/>
    <w:rsid w:val="00946574"/>
    <w:rsid w:val="00947837"/>
    <w:rsid w:val="00947E44"/>
    <w:rsid w:val="00952187"/>
    <w:rsid w:val="00952C2C"/>
    <w:rsid w:val="009530CC"/>
    <w:rsid w:val="009534BF"/>
    <w:rsid w:val="00953A17"/>
    <w:rsid w:val="009544F7"/>
    <w:rsid w:val="0095454B"/>
    <w:rsid w:val="009558C6"/>
    <w:rsid w:val="00955B06"/>
    <w:rsid w:val="009568D2"/>
    <w:rsid w:val="00957486"/>
    <w:rsid w:val="00960FB0"/>
    <w:rsid w:val="00961660"/>
    <w:rsid w:val="009617B4"/>
    <w:rsid w:val="009622D0"/>
    <w:rsid w:val="00963375"/>
    <w:rsid w:val="00963DD9"/>
    <w:rsid w:val="00964A3A"/>
    <w:rsid w:val="00964B6C"/>
    <w:rsid w:val="00964E22"/>
    <w:rsid w:val="00965776"/>
    <w:rsid w:val="009665BF"/>
    <w:rsid w:val="00967691"/>
    <w:rsid w:val="00967949"/>
    <w:rsid w:val="00972F9F"/>
    <w:rsid w:val="00973ED8"/>
    <w:rsid w:val="0097570E"/>
    <w:rsid w:val="00976B7C"/>
    <w:rsid w:val="00976F13"/>
    <w:rsid w:val="009776A4"/>
    <w:rsid w:val="00980613"/>
    <w:rsid w:val="00981FD5"/>
    <w:rsid w:val="00982924"/>
    <w:rsid w:val="00982B58"/>
    <w:rsid w:val="00982BBD"/>
    <w:rsid w:val="00982DA1"/>
    <w:rsid w:val="00983C09"/>
    <w:rsid w:val="00985ABC"/>
    <w:rsid w:val="00986854"/>
    <w:rsid w:val="00991649"/>
    <w:rsid w:val="00991951"/>
    <w:rsid w:val="0099199E"/>
    <w:rsid w:val="00991E1C"/>
    <w:rsid w:val="00993885"/>
    <w:rsid w:val="009950DE"/>
    <w:rsid w:val="00995242"/>
    <w:rsid w:val="0099553F"/>
    <w:rsid w:val="009955AE"/>
    <w:rsid w:val="00997801"/>
    <w:rsid w:val="009A1EC2"/>
    <w:rsid w:val="009A1FE1"/>
    <w:rsid w:val="009A23EA"/>
    <w:rsid w:val="009A26E3"/>
    <w:rsid w:val="009A34D1"/>
    <w:rsid w:val="009A3F06"/>
    <w:rsid w:val="009A542D"/>
    <w:rsid w:val="009A54A1"/>
    <w:rsid w:val="009A59F7"/>
    <w:rsid w:val="009B0CAB"/>
    <w:rsid w:val="009B2013"/>
    <w:rsid w:val="009B3716"/>
    <w:rsid w:val="009B57B8"/>
    <w:rsid w:val="009B69D2"/>
    <w:rsid w:val="009B76D2"/>
    <w:rsid w:val="009C0E24"/>
    <w:rsid w:val="009C1431"/>
    <w:rsid w:val="009C30BE"/>
    <w:rsid w:val="009C4DD8"/>
    <w:rsid w:val="009C4E41"/>
    <w:rsid w:val="009C56A5"/>
    <w:rsid w:val="009C634C"/>
    <w:rsid w:val="009C6907"/>
    <w:rsid w:val="009C72A8"/>
    <w:rsid w:val="009D01C0"/>
    <w:rsid w:val="009D0A7B"/>
    <w:rsid w:val="009D1861"/>
    <w:rsid w:val="009D1CE6"/>
    <w:rsid w:val="009D1FA8"/>
    <w:rsid w:val="009D2160"/>
    <w:rsid w:val="009D606F"/>
    <w:rsid w:val="009D6098"/>
    <w:rsid w:val="009D649F"/>
    <w:rsid w:val="009D7C97"/>
    <w:rsid w:val="009E19A4"/>
    <w:rsid w:val="009E2582"/>
    <w:rsid w:val="009E2A86"/>
    <w:rsid w:val="009E6411"/>
    <w:rsid w:val="009E6D96"/>
    <w:rsid w:val="009E739C"/>
    <w:rsid w:val="009E7587"/>
    <w:rsid w:val="009F0644"/>
    <w:rsid w:val="009F175A"/>
    <w:rsid w:val="009F45D3"/>
    <w:rsid w:val="009F6A3B"/>
    <w:rsid w:val="009F6AA5"/>
    <w:rsid w:val="00A01392"/>
    <w:rsid w:val="00A01DE2"/>
    <w:rsid w:val="00A01DE7"/>
    <w:rsid w:val="00A03BA2"/>
    <w:rsid w:val="00A03F14"/>
    <w:rsid w:val="00A063F3"/>
    <w:rsid w:val="00A06B3B"/>
    <w:rsid w:val="00A10BBE"/>
    <w:rsid w:val="00A12484"/>
    <w:rsid w:val="00A12887"/>
    <w:rsid w:val="00A14DDD"/>
    <w:rsid w:val="00A174F9"/>
    <w:rsid w:val="00A23A4C"/>
    <w:rsid w:val="00A23CB6"/>
    <w:rsid w:val="00A2432A"/>
    <w:rsid w:val="00A2538B"/>
    <w:rsid w:val="00A2844B"/>
    <w:rsid w:val="00A30E50"/>
    <w:rsid w:val="00A31948"/>
    <w:rsid w:val="00A3197F"/>
    <w:rsid w:val="00A34008"/>
    <w:rsid w:val="00A35A7E"/>
    <w:rsid w:val="00A379F7"/>
    <w:rsid w:val="00A37D3D"/>
    <w:rsid w:val="00A401C5"/>
    <w:rsid w:val="00A40F9B"/>
    <w:rsid w:val="00A419E1"/>
    <w:rsid w:val="00A4208A"/>
    <w:rsid w:val="00A43D33"/>
    <w:rsid w:val="00A44550"/>
    <w:rsid w:val="00A510AA"/>
    <w:rsid w:val="00A5168C"/>
    <w:rsid w:val="00A529B6"/>
    <w:rsid w:val="00A5435C"/>
    <w:rsid w:val="00A57653"/>
    <w:rsid w:val="00A60226"/>
    <w:rsid w:val="00A6185B"/>
    <w:rsid w:val="00A61C04"/>
    <w:rsid w:val="00A626FD"/>
    <w:rsid w:val="00A63AAA"/>
    <w:rsid w:val="00A65BB3"/>
    <w:rsid w:val="00A6632C"/>
    <w:rsid w:val="00A66AD9"/>
    <w:rsid w:val="00A66C91"/>
    <w:rsid w:val="00A66E5B"/>
    <w:rsid w:val="00A6744A"/>
    <w:rsid w:val="00A75056"/>
    <w:rsid w:val="00A75EA7"/>
    <w:rsid w:val="00A760C5"/>
    <w:rsid w:val="00A80907"/>
    <w:rsid w:val="00A82076"/>
    <w:rsid w:val="00A82898"/>
    <w:rsid w:val="00A833C4"/>
    <w:rsid w:val="00A873D0"/>
    <w:rsid w:val="00A87D64"/>
    <w:rsid w:val="00A91780"/>
    <w:rsid w:val="00A9209C"/>
    <w:rsid w:val="00A92CEE"/>
    <w:rsid w:val="00A9525E"/>
    <w:rsid w:val="00A975D2"/>
    <w:rsid w:val="00AA7E99"/>
    <w:rsid w:val="00AB356E"/>
    <w:rsid w:val="00AB4702"/>
    <w:rsid w:val="00AB7072"/>
    <w:rsid w:val="00AC0378"/>
    <w:rsid w:val="00AC09F7"/>
    <w:rsid w:val="00AC35AC"/>
    <w:rsid w:val="00AC431C"/>
    <w:rsid w:val="00AC485B"/>
    <w:rsid w:val="00AC5945"/>
    <w:rsid w:val="00AC59A7"/>
    <w:rsid w:val="00AD0436"/>
    <w:rsid w:val="00AD04A5"/>
    <w:rsid w:val="00AD071D"/>
    <w:rsid w:val="00AD1B03"/>
    <w:rsid w:val="00AD1C46"/>
    <w:rsid w:val="00AD4A52"/>
    <w:rsid w:val="00AD4D37"/>
    <w:rsid w:val="00AD6F97"/>
    <w:rsid w:val="00AE36B4"/>
    <w:rsid w:val="00AF1316"/>
    <w:rsid w:val="00AF1C90"/>
    <w:rsid w:val="00AF2D61"/>
    <w:rsid w:val="00AF33EF"/>
    <w:rsid w:val="00AF4F60"/>
    <w:rsid w:val="00AF6E83"/>
    <w:rsid w:val="00B034DA"/>
    <w:rsid w:val="00B05E3F"/>
    <w:rsid w:val="00B079EB"/>
    <w:rsid w:val="00B07E53"/>
    <w:rsid w:val="00B1011A"/>
    <w:rsid w:val="00B11EBA"/>
    <w:rsid w:val="00B15218"/>
    <w:rsid w:val="00B15BC4"/>
    <w:rsid w:val="00B1F400"/>
    <w:rsid w:val="00B232FF"/>
    <w:rsid w:val="00B2330E"/>
    <w:rsid w:val="00B26833"/>
    <w:rsid w:val="00B274F5"/>
    <w:rsid w:val="00B30154"/>
    <w:rsid w:val="00B327E4"/>
    <w:rsid w:val="00B340EE"/>
    <w:rsid w:val="00B3607A"/>
    <w:rsid w:val="00B378FF"/>
    <w:rsid w:val="00B42797"/>
    <w:rsid w:val="00B444FE"/>
    <w:rsid w:val="00B44962"/>
    <w:rsid w:val="00B45C45"/>
    <w:rsid w:val="00B50F3B"/>
    <w:rsid w:val="00B5190C"/>
    <w:rsid w:val="00B51A30"/>
    <w:rsid w:val="00B52EA5"/>
    <w:rsid w:val="00B530E0"/>
    <w:rsid w:val="00B53474"/>
    <w:rsid w:val="00B53B6C"/>
    <w:rsid w:val="00B54FAE"/>
    <w:rsid w:val="00B560DE"/>
    <w:rsid w:val="00B57034"/>
    <w:rsid w:val="00B5782F"/>
    <w:rsid w:val="00B57F43"/>
    <w:rsid w:val="00B60530"/>
    <w:rsid w:val="00B6083E"/>
    <w:rsid w:val="00B60EFC"/>
    <w:rsid w:val="00B61283"/>
    <w:rsid w:val="00B6335C"/>
    <w:rsid w:val="00B63454"/>
    <w:rsid w:val="00B634D0"/>
    <w:rsid w:val="00B64698"/>
    <w:rsid w:val="00B64A8F"/>
    <w:rsid w:val="00B670EA"/>
    <w:rsid w:val="00B719BD"/>
    <w:rsid w:val="00B735C2"/>
    <w:rsid w:val="00B738B1"/>
    <w:rsid w:val="00B74269"/>
    <w:rsid w:val="00B752D9"/>
    <w:rsid w:val="00B76278"/>
    <w:rsid w:val="00B772B7"/>
    <w:rsid w:val="00B7761D"/>
    <w:rsid w:val="00B8065B"/>
    <w:rsid w:val="00B8082E"/>
    <w:rsid w:val="00B82BC6"/>
    <w:rsid w:val="00B83C8A"/>
    <w:rsid w:val="00B83E88"/>
    <w:rsid w:val="00B8471B"/>
    <w:rsid w:val="00B853D4"/>
    <w:rsid w:val="00B87C91"/>
    <w:rsid w:val="00B928CA"/>
    <w:rsid w:val="00B94179"/>
    <w:rsid w:val="00B9511A"/>
    <w:rsid w:val="00B953AE"/>
    <w:rsid w:val="00B958BF"/>
    <w:rsid w:val="00B95C41"/>
    <w:rsid w:val="00B96875"/>
    <w:rsid w:val="00B972E3"/>
    <w:rsid w:val="00BA1C8B"/>
    <w:rsid w:val="00BA1E12"/>
    <w:rsid w:val="00BA52B7"/>
    <w:rsid w:val="00BB2F5D"/>
    <w:rsid w:val="00BB3B26"/>
    <w:rsid w:val="00BB5971"/>
    <w:rsid w:val="00BB673B"/>
    <w:rsid w:val="00BC0686"/>
    <w:rsid w:val="00BC1D89"/>
    <w:rsid w:val="00BC268D"/>
    <w:rsid w:val="00BC3B5E"/>
    <w:rsid w:val="00BC3CAE"/>
    <w:rsid w:val="00BC634E"/>
    <w:rsid w:val="00BC6AA3"/>
    <w:rsid w:val="00BC6E8D"/>
    <w:rsid w:val="00BD1857"/>
    <w:rsid w:val="00BD1D28"/>
    <w:rsid w:val="00BD2CB1"/>
    <w:rsid w:val="00BD3DF2"/>
    <w:rsid w:val="00BD4710"/>
    <w:rsid w:val="00BD6981"/>
    <w:rsid w:val="00BE2418"/>
    <w:rsid w:val="00BE2834"/>
    <w:rsid w:val="00BE3311"/>
    <w:rsid w:val="00BE4B83"/>
    <w:rsid w:val="00BE59A1"/>
    <w:rsid w:val="00BE5C0B"/>
    <w:rsid w:val="00BE692C"/>
    <w:rsid w:val="00BF1423"/>
    <w:rsid w:val="00BF15FC"/>
    <w:rsid w:val="00BF5690"/>
    <w:rsid w:val="00BF6498"/>
    <w:rsid w:val="00BF6A43"/>
    <w:rsid w:val="00C01936"/>
    <w:rsid w:val="00C06590"/>
    <w:rsid w:val="00C078F9"/>
    <w:rsid w:val="00C1117C"/>
    <w:rsid w:val="00C1218D"/>
    <w:rsid w:val="00C156CC"/>
    <w:rsid w:val="00C15B51"/>
    <w:rsid w:val="00C17BBB"/>
    <w:rsid w:val="00C17CA7"/>
    <w:rsid w:val="00C17E92"/>
    <w:rsid w:val="00C2103B"/>
    <w:rsid w:val="00C217B3"/>
    <w:rsid w:val="00C2388C"/>
    <w:rsid w:val="00C274EC"/>
    <w:rsid w:val="00C27939"/>
    <w:rsid w:val="00C27DAC"/>
    <w:rsid w:val="00C27F16"/>
    <w:rsid w:val="00C303BA"/>
    <w:rsid w:val="00C303C5"/>
    <w:rsid w:val="00C32043"/>
    <w:rsid w:val="00C32761"/>
    <w:rsid w:val="00C35851"/>
    <w:rsid w:val="00C36F32"/>
    <w:rsid w:val="00C377A1"/>
    <w:rsid w:val="00C415D1"/>
    <w:rsid w:val="00C434D1"/>
    <w:rsid w:val="00C44A30"/>
    <w:rsid w:val="00C46775"/>
    <w:rsid w:val="00C473B4"/>
    <w:rsid w:val="00C4C8B7"/>
    <w:rsid w:val="00C50160"/>
    <w:rsid w:val="00C503FA"/>
    <w:rsid w:val="00C53872"/>
    <w:rsid w:val="00C541D7"/>
    <w:rsid w:val="00C606BA"/>
    <w:rsid w:val="00C61819"/>
    <w:rsid w:val="00C61B4D"/>
    <w:rsid w:val="00C63F67"/>
    <w:rsid w:val="00C64764"/>
    <w:rsid w:val="00C64998"/>
    <w:rsid w:val="00C67403"/>
    <w:rsid w:val="00C67A0B"/>
    <w:rsid w:val="00C7024D"/>
    <w:rsid w:val="00C70351"/>
    <w:rsid w:val="00C70446"/>
    <w:rsid w:val="00C70F0B"/>
    <w:rsid w:val="00C70F89"/>
    <w:rsid w:val="00C7137E"/>
    <w:rsid w:val="00C723E4"/>
    <w:rsid w:val="00C72745"/>
    <w:rsid w:val="00C737EC"/>
    <w:rsid w:val="00C7393E"/>
    <w:rsid w:val="00C7422D"/>
    <w:rsid w:val="00C74F88"/>
    <w:rsid w:val="00C76199"/>
    <w:rsid w:val="00C776F1"/>
    <w:rsid w:val="00C80E81"/>
    <w:rsid w:val="00C8377B"/>
    <w:rsid w:val="00C83873"/>
    <w:rsid w:val="00C83E75"/>
    <w:rsid w:val="00C844E8"/>
    <w:rsid w:val="00C84695"/>
    <w:rsid w:val="00C9294C"/>
    <w:rsid w:val="00C93349"/>
    <w:rsid w:val="00C96B24"/>
    <w:rsid w:val="00C96F38"/>
    <w:rsid w:val="00C970C1"/>
    <w:rsid w:val="00CA0707"/>
    <w:rsid w:val="00CA259B"/>
    <w:rsid w:val="00CA2FD8"/>
    <w:rsid w:val="00CA37BC"/>
    <w:rsid w:val="00CA5031"/>
    <w:rsid w:val="00CA6E76"/>
    <w:rsid w:val="00CA7F2C"/>
    <w:rsid w:val="00CB13B6"/>
    <w:rsid w:val="00CB13D0"/>
    <w:rsid w:val="00CB371A"/>
    <w:rsid w:val="00CB37F7"/>
    <w:rsid w:val="00CB3C6B"/>
    <w:rsid w:val="00CB4077"/>
    <w:rsid w:val="00CB447A"/>
    <w:rsid w:val="00CB7D66"/>
    <w:rsid w:val="00CC5FA5"/>
    <w:rsid w:val="00CD49C8"/>
    <w:rsid w:val="00CD59B4"/>
    <w:rsid w:val="00CD670A"/>
    <w:rsid w:val="00CD6B92"/>
    <w:rsid w:val="00CD7059"/>
    <w:rsid w:val="00CE175A"/>
    <w:rsid w:val="00CE2989"/>
    <w:rsid w:val="00CE2BB4"/>
    <w:rsid w:val="00CE508F"/>
    <w:rsid w:val="00CE6B89"/>
    <w:rsid w:val="00CF0136"/>
    <w:rsid w:val="00CF070F"/>
    <w:rsid w:val="00CF1172"/>
    <w:rsid w:val="00CF22CD"/>
    <w:rsid w:val="00CF26A6"/>
    <w:rsid w:val="00CF39BC"/>
    <w:rsid w:val="00CF3C59"/>
    <w:rsid w:val="00CF4CB1"/>
    <w:rsid w:val="00CF63CA"/>
    <w:rsid w:val="00CF670D"/>
    <w:rsid w:val="00CF79B8"/>
    <w:rsid w:val="00D01CDA"/>
    <w:rsid w:val="00D02388"/>
    <w:rsid w:val="00D02AB6"/>
    <w:rsid w:val="00D05992"/>
    <w:rsid w:val="00D05CEC"/>
    <w:rsid w:val="00D06896"/>
    <w:rsid w:val="00D07818"/>
    <w:rsid w:val="00D07FD0"/>
    <w:rsid w:val="00D11137"/>
    <w:rsid w:val="00D11C12"/>
    <w:rsid w:val="00D158E9"/>
    <w:rsid w:val="00D21ED8"/>
    <w:rsid w:val="00D22123"/>
    <w:rsid w:val="00D23C00"/>
    <w:rsid w:val="00D262CC"/>
    <w:rsid w:val="00D27527"/>
    <w:rsid w:val="00D3026E"/>
    <w:rsid w:val="00D320AA"/>
    <w:rsid w:val="00D32CA9"/>
    <w:rsid w:val="00D34100"/>
    <w:rsid w:val="00D349A1"/>
    <w:rsid w:val="00D3711C"/>
    <w:rsid w:val="00D37D45"/>
    <w:rsid w:val="00D427BB"/>
    <w:rsid w:val="00D43EB0"/>
    <w:rsid w:val="00D47DAE"/>
    <w:rsid w:val="00D47F6D"/>
    <w:rsid w:val="00D51DD8"/>
    <w:rsid w:val="00D51FA0"/>
    <w:rsid w:val="00D52A51"/>
    <w:rsid w:val="00D54ABF"/>
    <w:rsid w:val="00D54C5A"/>
    <w:rsid w:val="00D55108"/>
    <w:rsid w:val="00D60349"/>
    <w:rsid w:val="00D61BDE"/>
    <w:rsid w:val="00D64319"/>
    <w:rsid w:val="00D64C77"/>
    <w:rsid w:val="00D65097"/>
    <w:rsid w:val="00D67972"/>
    <w:rsid w:val="00D703B8"/>
    <w:rsid w:val="00D713BB"/>
    <w:rsid w:val="00D71F1B"/>
    <w:rsid w:val="00D72A03"/>
    <w:rsid w:val="00D741EB"/>
    <w:rsid w:val="00D74B4D"/>
    <w:rsid w:val="00D75CD6"/>
    <w:rsid w:val="00D77479"/>
    <w:rsid w:val="00D81B49"/>
    <w:rsid w:val="00D81BF9"/>
    <w:rsid w:val="00D81F68"/>
    <w:rsid w:val="00D824FE"/>
    <w:rsid w:val="00D82543"/>
    <w:rsid w:val="00D83E43"/>
    <w:rsid w:val="00D84F41"/>
    <w:rsid w:val="00D8532F"/>
    <w:rsid w:val="00D8669D"/>
    <w:rsid w:val="00D875C7"/>
    <w:rsid w:val="00D91871"/>
    <w:rsid w:val="00D94F9C"/>
    <w:rsid w:val="00D9697D"/>
    <w:rsid w:val="00D9DFDB"/>
    <w:rsid w:val="00DA26A5"/>
    <w:rsid w:val="00DB0A11"/>
    <w:rsid w:val="00DB0B44"/>
    <w:rsid w:val="00DB0BB7"/>
    <w:rsid w:val="00DB1BE6"/>
    <w:rsid w:val="00DB22F7"/>
    <w:rsid w:val="00DB3C30"/>
    <w:rsid w:val="00DB6B53"/>
    <w:rsid w:val="00DB7535"/>
    <w:rsid w:val="00DB75E2"/>
    <w:rsid w:val="00DB7692"/>
    <w:rsid w:val="00DB7A81"/>
    <w:rsid w:val="00DC4897"/>
    <w:rsid w:val="00DC4ACE"/>
    <w:rsid w:val="00DC4B37"/>
    <w:rsid w:val="00DC4C53"/>
    <w:rsid w:val="00DC5B11"/>
    <w:rsid w:val="00DC6B87"/>
    <w:rsid w:val="00DD250A"/>
    <w:rsid w:val="00DD2940"/>
    <w:rsid w:val="00DD30D4"/>
    <w:rsid w:val="00DD70DE"/>
    <w:rsid w:val="00DD72EA"/>
    <w:rsid w:val="00DE00A6"/>
    <w:rsid w:val="00DE0ADB"/>
    <w:rsid w:val="00DE0F3B"/>
    <w:rsid w:val="00DE31C6"/>
    <w:rsid w:val="00DE339C"/>
    <w:rsid w:val="00DE404F"/>
    <w:rsid w:val="00DE5E96"/>
    <w:rsid w:val="00DF0B57"/>
    <w:rsid w:val="00DF1E73"/>
    <w:rsid w:val="00DF3685"/>
    <w:rsid w:val="00DF660B"/>
    <w:rsid w:val="00DF7780"/>
    <w:rsid w:val="00E001B6"/>
    <w:rsid w:val="00E011F6"/>
    <w:rsid w:val="00E05B34"/>
    <w:rsid w:val="00E05FE2"/>
    <w:rsid w:val="00E0608C"/>
    <w:rsid w:val="00E0689B"/>
    <w:rsid w:val="00E073BB"/>
    <w:rsid w:val="00E1074E"/>
    <w:rsid w:val="00E11895"/>
    <w:rsid w:val="00E12532"/>
    <w:rsid w:val="00E129DB"/>
    <w:rsid w:val="00E16162"/>
    <w:rsid w:val="00E17A97"/>
    <w:rsid w:val="00E17FD6"/>
    <w:rsid w:val="00E23371"/>
    <w:rsid w:val="00E23F2A"/>
    <w:rsid w:val="00E26E92"/>
    <w:rsid w:val="00E270FC"/>
    <w:rsid w:val="00E27131"/>
    <w:rsid w:val="00E3001F"/>
    <w:rsid w:val="00E30189"/>
    <w:rsid w:val="00E311F4"/>
    <w:rsid w:val="00E33448"/>
    <w:rsid w:val="00E35272"/>
    <w:rsid w:val="00E36166"/>
    <w:rsid w:val="00E36781"/>
    <w:rsid w:val="00E40794"/>
    <w:rsid w:val="00E423CE"/>
    <w:rsid w:val="00E44E97"/>
    <w:rsid w:val="00E467C8"/>
    <w:rsid w:val="00E47793"/>
    <w:rsid w:val="00E51496"/>
    <w:rsid w:val="00E52400"/>
    <w:rsid w:val="00E60CD7"/>
    <w:rsid w:val="00E66826"/>
    <w:rsid w:val="00E66C51"/>
    <w:rsid w:val="00E6722D"/>
    <w:rsid w:val="00E67709"/>
    <w:rsid w:val="00E7039A"/>
    <w:rsid w:val="00E70706"/>
    <w:rsid w:val="00E71BAB"/>
    <w:rsid w:val="00E7278C"/>
    <w:rsid w:val="00E74C34"/>
    <w:rsid w:val="00E75367"/>
    <w:rsid w:val="00E75616"/>
    <w:rsid w:val="00E8087A"/>
    <w:rsid w:val="00E8172C"/>
    <w:rsid w:val="00E81EC5"/>
    <w:rsid w:val="00E820A5"/>
    <w:rsid w:val="00E82505"/>
    <w:rsid w:val="00E83022"/>
    <w:rsid w:val="00E83513"/>
    <w:rsid w:val="00E8424B"/>
    <w:rsid w:val="00E84B96"/>
    <w:rsid w:val="00E8512F"/>
    <w:rsid w:val="00E86330"/>
    <w:rsid w:val="00E91F86"/>
    <w:rsid w:val="00E92034"/>
    <w:rsid w:val="00E92F47"/>
    <w:rsid w:val="00EA10D2"/>
    <w:rsid w:val="00EA16F4"/>
    <w:rsid w:val="00EA3583"/>
    <w:rsid w:val="00EA3D9D"/>
    <w:rsid w:val="00EA4865"/>
    <w:rsid w:val="00EA4ABB"/>
    <w:rsid w:val="00EA4D7D"/>
    <w:rsid w:val="00EA64E9"/>
    <w:rsid w:val="00EA7CB6"/>
    <w:rsid w:val="00EB2DD6"/>
    <w:rsid w:val="00EB7518"/>
    <w:rsid w:val="00EC0154"/>
    <w:rsid w:val="00EC0901"/>
    <w:rsid w:val="00EC0A44"/>
    <w:rsid w:val="00EC23A4"/>
    <w:rsid w:val="00EC569C"/>
    <w:rsid w:val="00EC6885"/>
    <w:rsid w:val="00ED123A"/>
    <w:rsid w:val="00ED1F56"/>
    <w:rsid w:val="00ED2440"/>
    <w:rsid w:val="00ED56DD"/>
    <w:rsid w:val="00ED5766"/>
    <w:rsid w:val="00ED5A94"/>
    <w:rsid w:val="00ED6ABC"/>
    <w:rsid w:val="00ED6C70"/>
    <w:rsid w:val="00ED6F9E"/>
    <w:rsid w:val="00EDD829"/>
    <w:rsid w:val="00EE1E3B"/>
    <w:rsid w:val="00EE570F"/>
    <w:rsid w:val="00EE6A3F"/>
    <w:rsid w:val="00EE7CBA"/>
    <w:rsid w:val="00EF0E5D"/>
    <w:rsid w:val="00EF18A3"/>
    <w:rsid w:val="00EF336C"/>
    <w:rsid w:val="00EF5C77"/>
    <w:rsid w:val="00EF6677"/>
    <w:rsid w:val="00F0040A"/>
    <w:rsid w:val="00F0052A"/>
    <w:rsid w:val="00F008F6"/>
    <w:rsid w:val="00F01114"/>
    <w:rsid w:val="00F026B6"/>
    <w:rsid w:val="00F06979"/>
    <w:rsid w:val="00F07012"/>
    <w:rsid w:val="00F07A23"/>
    <w:rsid w:val="00F0C55B"/>
    <w:rsid w:val="00F1074F"/>
    <w:rsid w:val="00F13ADB"/>
    <w:rsid w:val="00F14E70"/>
    <w:rsid w:val="00F15DBC"/>
    <w:rsid w:val="00F16440"/>
    <w:rsid w:val="00F23818"/>
    <w:rsid w:val="00F23AFB"/>
    <w:rsid w:val="00F24085"/>
    <w:rsid w:val="00F25FF6"/>
    <w:rsid w:val="00F276F3"/>
    <w:rsid w:val="00F27858"/>
    <w:rsid w:val="00F30FCD"/>
    <w:rsid w:val="00F31426"/>
    <w:rsid w:val="00F318F3"/>
    <w:rsid w:val="00F32E00"/>
    <w:rsid w:val="00F337F1"/>
    <w:rsid w:val="00F33E27"/>
    <w:rsid w:val="00F35A54"/>
    <w:rsid w:val="00F37FBB"/>
    <w:rsid w:val="00F40777"/>
    <w:rsid w:val="00F407BF"/>
    <w:rsid w:val="00F40C60"/>
    <w:rsid w:val="00F40CFA"/>
    <w:rsid w:val="00F413F4"/>
    <w:rsid w:val="00F416EC"/>
    <w:rsid w:val="00F4343E"/>
    <w:rsid w:val="00F44525"/>
    <w:rsid w:val="00F468AB"/>
    <w:rsid w:val="00F47C3A"/>
    <w:rsid w:val="00F505A7"/>
    <w:rsid w:val="00F50974"/>
    <w:rsid w:val="00F53475"/>
    <w:rsid w:val="00F55FCA"/>
    <w:rsid w:val="00F57DE1"/>
    <w:rsid w:val="00F61485"/>
    <w:rsid w:val="00F624E5"/>
    <w:rsid w:val="00F62DFC"/>
    <w:rsid w:val="00F6428D"/>
    <w:rsid w:val="00F66B48"/>
    <w:rsid w:val="00F678C2"/>
    <w:rsid w:val="00F67A09"/>
    <w:rsid w:val="00F710C5"/>
    <w:rsid w:val="00F7261E"/>
    <w:rsid w:val="00F7397A"/>
    <w:rsid w:val="00F746FF"/>
    <w:rsid w:val="00F74D2A"/>
    <w:rsid w:val="00F74FC5"/>
    <w:rsid w:val="00F75D0B"/>
    <w:rsid w:val="00F80B85"/>
    <w:rsid w:val="00F81F17"/>
    <w:rsid w:val="00F8247D"/>
    <w:rsid w:val="00F82A4F"/>
    <w:rsid w:val="00F83AAE"/>
    <w:rsid w:val="00F84D26"/>
    <w:rsid w:val="00F85BA6"/>
    <w:rsid w:val="00F86350"/>
    <w:rsid w:val="00F87B3C"/>
    <w:rsid w:val="00F91EB8"/>
    <w:rsid w:val="00F92426"/>
    <w:rsid w:val="00F928BA"/>
    <w:rsid w:val="00F92C62"/>
    <w:rsid w:val="00F9455C"/>
    <w:rsid w:val="00F9745E"/>
    <w:rsid w:val="00FA01CC"/>
    <w:rsid w:val="00FA0A21"/>
    <w:rsid w:val="00FA2C74"/>
    <w:rsid w:val="00FA384E"/>
    <w:rsid w:val="00FA408C"/>
    <w:rsid w:val="00FA4462"/>
    <w:rsid w:val="00FA51E8"/>
    <w:rsid w:val="00FA63F9"/>
    <w:rsid w:val="00FA6A14"/>
    <w:rsid w:val="00FA7806"/>
    <w:rsid w:val="00FA7812"/>
    <w:rsid w:val="00FB2973"/>
    <w:rsid w:val="00FB2CDA"/>
    <w:rsid w:val="00FB2D2A"/>
    <w:rsid w:val="00FB2E03"/>
    <w:rsid w:val="00FB3729"/>
    <w:rsid w:val="00FB65C0"/>
    <w:rsid w:val="00FB7AE8"/>
    <w:rsid w:val="00FB7D07"/>
    <w:rsid w:val="00FBB752"/>
    <w:rsid w:val="00FC0126"/>
    <w:rsid w:val="00FC01C0"/>
    <w:rsid w:val="00FC0591"/>
    <w:rsid w:val="00FC0A0D"/>
    <w:rsid w:val="00FC0FC7"/>
    <w:rsid w:val="00FC1742"/>
    <w:rsid w:val="00FC2E28"/>
    <w:rsid w:val="00FC57D3"/>
    <w:rsid w:val="00FC5F8F"/>
    <w:rsid w:val="00FC6159"/>
    <w:rsid w:val="00FC71F5"/>
    <w:rsid w:val="00FC7A6A"/>
    <w:rsid w:val="00FC7AE1"/>
    <w:rsid w:val="00FD080F"/>
    <w:rsid w:val="00FD0F3E"/>
    <w:rsid w:val="00FD10D9"/>
    <w:rsid w:val="00FD369F"/>
    <w:rsid w:val="00FD38B5"/>
    <w:rsid w:val="00FD3E85"/>
    <w:rsid w:val="00FD3F4A"/>
    <w:rsid w:val="00FE0905"/>
    <w:rsid w:val="00FE31EA"/>
    <w:rsid w:val="00FE320A"/>
    <w:rsid w:val="00FE6DAE"/>
    <w:rsid w:val="00FE6DDC"/>
    <w:rsid w:val="00FE7691"/>
    <w:rsid w:val="00FF3D31"/>
    <w:rsid w:val="00FF5175"/>
    <w:rsid w:val="01000EF8"/>
    <w:rsid w:val="01016755"/>
    <w:rsid w:val="0107E037"/>
    <w:rsid w:val="01153588"/>
    <w:rsid w:val="011D582B"/>
    <w:rsid w:val="011F56C0"/>
    <w:rsid w:val="01256CB7"/>
    <w:rsid w:val="01257E78"/>
    <w:rsid w:val="01390D58"/>
    <w:rsid w:val="013D5CCA"/>
    <w:rsid w:val="013F15DC"/>
    <w:rsid w:val="014B7C80"/>
    <w:rsid w:val="0150A02D"/>
    <w:rsid w:val="015A631B"/>
    <w:rsid w:val="015F1E08"/>
    <w:rsid w:val="016876EC"/>
    <w:rsid w:val="016A242C"/>
    <w:rsid w:val="018FC2B0"/>
    <w:rsid w:val="019BD026"/>
    <w:rsid w:val="01C5EFC9"/>
    <w:rsid w:val="01CB27F7"/>
    <w:rsid w:val="01CE555A"/>
    <w:rsid w:val="01CECEDE"/>
    <w:rsid w:val="01DDDD68"/>
    <w:rsid w:val="01E40473"/>
    <w:rsid w:val="01EBDF99"/>
    <w:rsid w:val="01FBDC53"/>
    <w:rsid w:val="01FC47FE"/>
    <w:rsid w:val="0207C94E"/>
    <w:rsid w:val="020DE4B1"/>
    <w:rsid w:val="02115208"/>
    <w:rsid w:val="0211BAED"/>
    <w:rsid w:val="0215CEEE"/>
    <w:rsid w:val="02170AF5"/>
    <w:rsid w:val="022C77CE"/>
    <w:rsid w:val="0230B6DD"/>
    <w:rsid w:val="023673A1"/>
    <w:rsid w:val="0237B2A1"/>
    <w:rsid w:val="0238F318"/>
    <w:rsid w:val="023DECD4"/>
    <w:rsid w:val="0240DFF8"/>
    <w:rsid w:val="0249AE89"/>
    <w:rsid w:val="024D3E65"/>
    <w:rsid w:val="02577C65"/>
    <w:rsid w:val="0273B399"/>
    <w:rsid w:val="02770DE5"/>
    <w:rsid w:val="0287738E"/>
    <w:rsid w:val="0288FCE2"/>
    <w:rsid w:val="02920C08"/>
    <w:rsid w:val="02971F85"/>
    <w:rsid w:val="0299D3B4"/>
    <w:rsid w:val="029A45E7"/>
    <w:rsid w:val="029ABF0A"/>
    <w:rsid w:val="029B4733"/>
    <w:rsid w:val="02A19291"/>
    <w:rsid w:val="02A835D2"/>
    <w:rsid w:val="02ADB4AD"/>
    <w:rsid w:val="02AF267C"/>
    <w:rsid w:val="02B22F58"/>
    <w:rsid w:val="02BA3988"/>
    <w:rsid w:val="02CCBF51"/>
    <w:rsid w:val="02CEE18C"/>
    <w:rsid w:val="02E06B5A"/>
    <w:rsid w:val="02E84657"/>
    <w:rsid w:val="02F262D9"/>
    <w:rsid w:val="030E6998"/>
    <w:rsid w:val="031A6B50"/>
    <w:rsid w:val="032973E6"/>
    <w:rsid w:val="032BBA4B"/>
    <w:rsid w:val="0337893C"/>
    <w:rsid w:val="033F8C40"/>
    <w:rsid w:val="035597C8"/>
    <w:rsid w:val="0356FEE5"/>
    <w:rsid w:val="03614F64"/>
    <w:rsid w:val="0361E3C6"/>
    <w:rsid w:val="037051D7"/>
    <w:rsid w:val="03800FC8"/>
    <w:rsid w:val="03824337"/>
    <w:rsid w:val="03932CE4"/>
    <w:rsid w:val="0398185F"/>
    <w:rsid w:val="039AF223"/>
    <w:rsid w:val="03A265E8"/>
    <w:rsid w:val="03AB81D8"/>
    <w:rsid w:val="03D943A1"/>
    <w:rsid w:val="03DA93CD"/>
    <w:rsid w:val="03DB1E3D"/>
    <w:rsid w:val="03E384AB"/>
    <w:rsid w:val="03ED26C3"/>
    <w:rsid w:val="03F202FA"/>
    <w:rsid w:val="03F6805F"/>
    <w:rsid w:val="03F84469"/>
    <w:rsid w:val="03FB4F03"/>
    <w:rsid w:val="04036FAC"/>
    <w:rsid w:val="0404C018"/>
    <w:rsid w:val="0413CD2A"/>
    <w:rsid w:val="04163326"/>
    <w:rsid w:val="0421556B"/>
    <w:rsid w:val="042633B5"/>
    <w:rsid w:val="042AC960"/>
    <w:rsid w:val="042C1023"/>
    <w:rsid w:val="04321F4C"/>
    <w:rsid w:val="043318C8"/>
    <w:rsid w:val="043E9805"/>
    <w:rsid w:val="0447A84E"/>
    <w:rsid w:val="04489936"/>
    <w:rsid w:val="045824E8"/>
    <w:rsid w:val="045EEA51"/>
    <w:rsid w:val="04685F87"/>
    <w:rsid w:val="04692B25"/>
    <w:rsid w:val="0474C87B"/>
    <w:rsid w:val="047FFC7E"/>
    <w:rsid w:val="04818370"/>
    <w:rsid w:val="0484DF57"/>
    <w:rsid w:val="0488F23A"/>
    <w:rsid w:val="0494B0F7"/>
    <w:rsid w:val="04978497"/>
    <w:rsid w:val="0497B2CB"/>
    <w:rsid w:val="04A67B53"/>
    <w:rsid w:val="04AF7BC0"/>
    <w:rsid w:val="04D2CD85"/>
    <w:rsid w:val="04DA5B87"/>
    <w:rsid w:val="04DBD845"/>
    <w:rsid w:val="04E1167F"/>
    <w:rsid w:val="04E68CC8"/>
    <w:rsid w:val="04EC9583"/>
    <w:rsid w:val="04F0DEB0"/>
    <w:rsid w:val="04F12906"/>
    <w:rsid w:val="04F3E52E"/>
    <w:rsid w:val="0514CDAB"/>
    <w:rsid w:val="0517E200"/>
    <w:rsid w:val="051F600B"/>
    <w:rsid w:val="05244BA7"/>
    <w:rsid w:val="0527B281"/>
    <w:rsid w:val="05444087"/>
    <w:rsid w:val="0544EA89"/>
    <w:rsid w:val="0545BA84"/>
    <w:rsid w:val="054BFB5E"/>
    <w:rsid w:val="054DC195"/>
    <w:rsid w:val="055B0164"/>
    <w:rsid w:val="055F1019"/>
    <w:rsid w:val="05653625"/>
    <w:rsid w:val="057357EF"/>
    <w:rsid w:val="057FA6BB"/>
    <w:rsid w:val="059C2255"/>
    <w:rsid w:val="05C63472"/>
    <w:rsid w:val="05D24631"/>
    <w:rsid w:val="05E59532"/>
    <w:rsid w:val="05E8249D"/>
    <w:rsid w:val="05EA68E6"/>
    <w:rsid w:val="05FA55B7"/>
    <w:rsid w:val="0604B664"/>
    <w:rsid w:val="06078C45"/>
    <w:rsid w:val="06126AE9"/>
    <w:rsid w:val="062A8E89"/>
    <w:rsid w:val="062CC47B"/>
    <w:rsid w:val="062EC12E"/>
    <w:rsid w:val="062F6914"/>
    <w:rsid w:val="063D954F"/>
    <w:rsid w:val="064256C7"/>
    <w:rsid w:val="065578F1"/>
    <w:rsid w:val="0656BDAC"/>
    <w:rsid w:val="06644F86"/>
    <w:rsid w:val="0665EDE1"/>
    <w:rsid w:val="066A811A"/>
    <w:rsid w:val="066E4E40"/>
    <w:rsid w:val="06785EA1"/>
    <w:rsid w:val="0679B578"/>
    <w:rsid w:val="0679DFF9"/>
    <w:rsid w:val="06999677"/>
    <w:rsid w:val="06AADD28"/>
    <w:rsid w:val="06B34C3D"/>
    <w:rsid w:val="06B4139F"/>
    <w:rsid w:val="06BF92CF"/>
    <w:rsid w:val="06C61DB3"/>
    <w:rsid w:val="06CCDE73"/>
    <w:rsid w:val="06DB7BE6"/>
    <w:rsid w:val="06E2F419"/>
    <w:rsid w:val="06EF6ED8"/>
    <w:rsid w:val="06F80E15"/>
    <w:rsid w:val="070FD73E"/>
    <w:rsid w:val="07153A66"/>
    <w:rsid w:val="0715AFDF"/>
    <w:rsid w:val="0716D4A8"/>
    <w:rsid w:val="072F74ED"/>
    <w:rsid w:val="073C48CD"/>
    <w:rsid w:val="0743B6A3"/>
    <w:rsid w:val="074BB366"/>
    <w:rsid w:val="07560B58"/>
    <w:rsid w:val="075C5F73"/>
    <w:rsid w:val="0774655E"/>
    <w:rsid w:val="0776772F"/>
    <w:rsid w:val="077C1CCB"/>
    <w:rsid w:val="077C2860"/>
    <w:rsid w:val="077D2EAC"/>
    <w:rsid w:val="079469E2"/>
    <w:rsid w:val="07972B53"/>
    <w:rsid w:val="07975BCF"/>
    <w:rsid w:val="07A6592D"/>
    <w:rsid w:val="07AB16F1"/>
    <w:rsid w:val="07B13BE8"/>
    <w:rsid w:val="07C8B25E"/>
    <w:rsid w:val="07D240DC"/>
    <w:rsid w:val="07D54BF4"/>
    <w:rsid w:val="07D595A8"/>
    <w:rsid w:val="07DB7716"/>
    <w:rsid w:val="07DD37C0"/>
    <w:rsid w:val="07E15336"/>
    <w:rsid w:val="07ED5ED8"/>
    <w:rsid w:val="07F69648"/>
    <w:rsid w:val="0809F6F4"/>
    <w:rsid w:val="083208FD"/>
    <w:rsid w:val="0848CF5D"/>
    <w:rsid w:val="08502EC9"/>
    <w:rsid w:val="085BF490"/>
    <w:rsid w:val="0865AD23"/>
    <w:rsid w:val="086AA2F2"/>
    <w:rsid w:val="08800382"/>
    <w:rsid w:val="0880C446"/>
    <w:rsid w:val="088FC17B"/>
    <w:rsid w:val="0893BEC5"/>
    <w:rsid w:val="0897BBCE"/>
    <w:rsid w:val="089E7CEB"/>
    <w:rsid w:val="08A2306B"/>
    <w:rsid w:val="08AB14DE"/>
    <w:rsid w:val="08AD6B8E"/>
    <w:rsid w:val="08AED322"/>
    <w:rsid w:val="08B13C38"/>
    <w:rsid w:val="08B5DFB3"/>
    <w:rsid w:val="08B789EF"/>
    <w:rsid w:val="08D0E9F5"/>
    <w:rsid w:val="08D35F97"/>
    <w:rsid w:val="08ED8866"/>
    <w:rsid w:val="08F0E321"/>
    <w:rsid w:val="0909990D"/>
    <w:rsid w:val="09120BF7"/>
    <w:rsid w:val="091967AF"/>
    <w:rsid w:val="091CABEF"/>
    <w:rsid w:val="0924FAB3"/>
    <w:rsid w:val="093C6257"/>
    <w:rsid w:val="09473DE1"/>
    <w:rsid w:val="095F4E5A"/>
    <w:rsid w:val="0979066A"/>
    <w:rsid w:val="0979EC76"/>
    <w:rsid w:val="099D67BB"/>
    <w:rsid w:val="09B25FBF"/>
    <w:rsid w:val="09BB0F76"/>
    <w:rsid w:val="09CB7003"/>
    <w:rsid w:val="09D3DCE2"/>
    <w:rsid w:val="09DE9C94"/>
    <w:rsid w:val="09E64CE1"/>
    <w:rsid w:val="09E83ECE"/>
    <w:rsid w:val="09E963DE"/>
    <w:rsid w:val="09EBCB9E"/>
    <w:rsid w:val="0A070305"/>
    <w:rsid w:val="0A09DAD3"/>
    <w:rsid w:val="0A09E378"/>
    <w:rsid w:val="0A0AB126"/>
    <w:rsid w:val="0A0B23D9"/>
    <w:rsid w:val="0A0E20B2"/>
    <w:rsid w:val="0A100CF2"/>
    <w:rsid w:val="0A175F45"/>
    <w:rsid w:val="0A22C457"/>
    <w:rsid w:val="0A240EC8"/>
    <w:rsid w:val="0A27ACD6"/>
    <w:rsid w:val="0A34B524"/>
    <w:rsid w:val="0A37737E"/>
    <w:rsid w:val="0A42C7AB"/>
    <w:rsid w:val="0A4D50A1"/>
    <w:rsid w:val="0A4D7D64"/>
    <w:rsid w:val="0A5F829D"/>
    <w:rsid w:val="0A635DE1"/>
    <w:rsid w:val="0A6FB0AC"/>
    <w:rsid w:val="0A7560FE"/>
    <w:rsid w:val="0A7ABE68"/>
    <w:rsid w:val="0A86E6C0"/>
    <w:rsid w:val="0A948F49"/>
    <w:rsid w:val="0A9B9316"/>
    <w:rsid w:val="0AA48382"/>
    <w:rsid w:val="0AAAF232"/>
    <w:rsid w:val="0AAB9A87"/>
    <w:rsid w:val="0AAC2310"/>
    <w:rsid w:val="0ABBE7E4"/>
    <w:rsid w:val="0AD8B7B5"/>
    <w:rsid w:val="0ADD8102"/>
    <w:rsid w:val="0AEAECA8"/>
    <w:rsid w:val="0AED0A78"/>
    <w:rsid w:val="0AF7D84F"/>
    <w:rsid w:val="0AFC0375"/>
    <w:rsid w:val="0B005320"/>
    <w:rsid w:val="0B053A67"/>
    <w:rsid w:val="0B0DE3B3"/>
    <w:rsid w:val="0B0E866C"/>
    <w:rsid w:val="0B110672"/>
    <w:rsid w:val="0B148B89"/>
    <w:rsid w:val="0B1F832A"/>
    <w:rsid w:val="0B2B0CCA"/>
    <w:rsid w:val="0B304EFD"/>
    <w:rsid w:val="0B4492E5"/>
    <w:rsid w:val="0B4B1AAB"/>
    <w:rsid w:val="0B535321"/>
    <w:rsid w:val="0B54B32D"/>
    <w:rsid w:val="0B5665BE"/>
    <w:rsid w:val="0B5976FE"/>
    <w:rsid w:val="0B5E1F06"/>
    <w:rsid w:val="0B6B82B5"/>
    <w:rsid w:val="0BBE71FA"/>
    <w:rsid w:val="0BC02B4C"/>
    <w:rsid w:val="0BF62E9F"/>
    <w:rsid w:val="0BF8DF6F"/>
    <w:rsid w:val="0BFD737E"/>
    <w:rsid w:val="0BFDAD5A"/>
    <w:rsid w:val="0C0CAB43"/>
    <w:rsid w:val="0C114A28"/>
    <w:rsid w:val="0C13EC98"/>
    <w:rsid w:val="0C16A7E4"/>
    <w:rsid w:val="0C2865D4"/>
    <w:rsid w:val="0C2AB3EB"/>
    <w:rsid w:val="0C35FE5A"/>
    <w:rsid w:val="0C3A3DF2"/>
    <w:rsid w:val="0C42829D"/>
    <w:rsid w:val="0C4D97DF"/>
    <w:rsid w:val="0C581583"/>
    <w:rsid w:val="0C5ED20B"/>
    <w:rsid w:val="0C62D8E6"/>
    <w:rsid w:val="0C642ACA"/>
    <w:rsid w:val="0C74DF13"/>
    <w:rsid w:val="0C7A65C5"/>
    <w:rsid w:val="0CA49AAC"/>
    <w:rsid w:val="0CA7CF35"/>
    <w:rsid w:val="0CAA56CD"/>
    <w:rsid w:val="0CB64B44"/>
    <w:rsid w:val="0CC1CD31"/>
    <w:rsid w:val="0CCB1DA4"/>
    <w:rsid w:val="0CCB328A"/>
    <w:rsid w:val="0CE3047C"/>
    <w:rsid w:val="0D0905D5"/>
    <w:rsid w:val="0D203B82"/>
    <w:rsid w:val="0D374ED5"/>
    <w:rsid w:val="0D3F1C02"/>
    <w:rsid w:val="0D4DE6E6"/>
    <w:rsid w:val="0D517B72"/>
    <w:rsid w:val="0D56D5A9"/>
    <w:rsid w:val="0D678EFB"/>
    <w:rsid w:val="0D709DE8"/>
    <w:rsid w:val="0D84DEAE"/>
    <w:rsid w:val="0D89841E"/>
    <w:rsid w:val="0D8D8509"/>
    <w:rsid w:val="0D9C5895"/>
    <w:rsid w:val="0D9E8C79"/>
    <w:rsid w:val="0DA25162"/>
    <w:rsid w:val="0DACCF9E"/>
    <w:rsid w:val="0DC182DA"/>
    <w:rsid w:val="0DC44EAC"/>
    <w:rsid w:val="0DED2875"/>
    <w:rsid w:val="0DF6E01F"/>
    <w:rsid w:val="0DFE60CF"/>
    <w:rsid w:val="0E02EA4D"/>
    <w:rsid w:val="0E06F2A5"/>
    <w:rsid w:val="0E36EA45"/>
    <w:rsid w:val="0E428ADA"/>
    <w:rsid w:val="0E44274A"/>
    <w:rsid w:val="0E457878"/>
    <w:rsid w:val="0E46272E"/>
    <w:rsid w:val="0E48D6BB"/>
    <w:rsid w:val="0E5D124F"/>
    <w:rsid w:val="0E5DF4B2"/>
    <w:rsid w:val="0E5E9B5A"/>
    <w:rsid w:val="0E60B783"/>
    <w:rsid w:val="0E8FFAD8"/>
    <w:rsid w:val="0E940296"/>
    <w:rsid w:val="0EB20DB7"/>
    <w:rsid w:val="0EBD2566"/>
    <w:rsid w:val="0EBDEB0D"/>
    <w:rsid w:val="0EC0BC03"/>
    <w:rsid w:val="0ECE2FE5"/>
    <w:rsid w:val="0ED8C088"/>
    <w:rsid w:val="0EDAF3F2"/>
    <w:rsid w:val="0EDDA809"/>
    <w:rsid w:val="0EEB1604"/>
    <w:rsid w:val="0F017DAC"/>
    <w:rsid w:val="0F125C1E"/>
    <w:rsid w:val="0F141958"/>
    <w:rsid w:val="0F14691B"/>
    <w:rsid w:val="0F1B5488"/>
    <w:rsid w:val="0F1D82D7"/>
    <w:rsid w:val="0F225D44"/>
    <w:rsid w:val="0F2337CA"/>
    <w:rsid w:val="0F237AD5"/>
    <w:rsid w:val="0F23D4B1"/>
    <w:rsid w:val="0F2FC495"/>
    <w:rsid w:val="0F444193"/>
    <w:rsid w:val="0F44DF32"/>
    <w:rsid w:val="0F4C8CE2"/>
    <w:rsid w:val="0F6AFB7E"/>
    <w:rsid w:val="0F7764BE"/>
    <w:rsid w:val="0F7C35E3"/>
    <w:rsid w:val="0F7F9433"/>
    <w:rsid w:val="0F96DFD5"/>
    <w:rsid w:val="0F979EE0"/>
    <w:rsid w:val="0FADD445"/>
    <w:rsid w:val="0FBE312B"/>
    <w:rsid w:val="0FD1DA8C"/>
    <w:rsid w:val="0FD3C443"/>
    <w:rsid w:val="0FDEF326"/>
    <w:rsid w:val="0FE1FD28"/>
    <w:rsid w:val="0FEA0FD1"/>
    <w:rsid w:val="0FEA3746"/>
    <w:rsid w:val="0FEA5201"/>
    <w:rsid w:val="0FEACB0E"/>
    <w:rsid w:val="0FEC8D42"/>
    <w:rsid w:val="0FF07D12"/>
    <w:rsid w:val="0FF53114"/>
    <w:rsid w:val="1008A2F2"/>
    <w:rsid w:val="100D1A46"/>
    <w:rsid w:val="10115560"/>
    <w:rsid w:val="1013286A"/>
    <w:rsid w:val="101444AA"/>
    <w:rsid w:val="1014E6C0"/>
    <w:rsid w:val="1018B586"/>
    <w:rsid w:val="101C886E"/>
    <w:rsid w:val="1023E997"/>
    <w:rsid w:val="1028D476"/>
    <w:rsid w:val="10354641"/>
    <w:rsid w:val="103D2D68"/>
    <w:rsid w:val="104EB828"/>
    <w:rsid w:val="104F1799"/>
    <w:rsid w:val="10501D1D"/>
    <w:rsid w:val="105450A7"/>
    <w:rsid w:val="10710150"/>
    <w:rsid w:val="10810347"/>
    <w:rsid w:val="1091DFC7"/>
    <w:rsid w:val="10AE00DB"/>
    <w:rsid w:val="10AF3DC7"/>
    <w:rsid w:val="10C143BB"/>
    <w:rsid w:val="10C502B7"/>
    <w:rsid w:val="10D0EBD1"/>
    <w:rsid w:val="10D9DF8A"/>
    <w:rsid w:val="10DB26BD"/>
    <w:rsid w:val="10DCB8F3"/>
    <w:rsid w:val="10E5E750"/>
    <w:rsid w:val="10EE34D9"/>
    <w:rsid w:val="10FAC2A4"/>
    <w:rsid w:val="10FB8DD7"/>
    <w:rsid w:val="11107617"/>
    <w:rsid w:val="111FBD6C"/>
    <w:rsid w:val="11292537"/>
    <w:rsid w:val="1131CED6"/>
    <w:rsid w:val="1140C51D"/>
    <w:rsid w:val="1159F5F5"/>
    <w:rsid w:val="11608464"/>
    <w:rsid w:val="11A22BF1"/>
    <w:rsid w:val="11A8841C"/>
    <w:rsid w:val="11AD79CE"/>
    <w:rsid w:val="11B01603"/>
    <w:rsid w:val="11B46428"/>
    <w:rsid w:val="11C1944F"/>
    <w:rsid w:val="11C302C4"/>
    <w:rsid w:val="11C5C66A"/>
    <w:rsid w:val="11CE679B"/>
    <w:rsid w:val="11D94B28"/>
    <w:rsid w:val="11DBF64D"/>
    <w:rsid w:val="11DF5153"/>
    <w:rsid w:val="11E9AE79"/>
    <w:rsid w:val="11FEF7CA"/>
    <w:rsid w:val="1200DB0F"/>
    <w:rsid w:val="1206826C"/>
    <w:rsid w:val="12156D4D"/>
    <w:rsid w:val="121ECEC8"/>
    <w:rsid w:val="122350C3"/>
    <w:rsid w:val="122579BA"/>
    <w:rsid w:val="1230014C"/>
    <w:rsid w:val="1233A000"/>
    <w:rsid w:val="12342F67"/>
    <w:rsid w:val="1238B29A"/>
    <w:rsid w:val="1241BFF0"/>
    <w:rsid w:val="12473907"/>
    <w:rsid w:val="12479056"/>
    <w:rsid w:val="124DCC84"/>
    <w:rsid w:val="12524733"/>
    <w:rsid w:val="125D0126"/>
    <w:rsid w:val="126C9D6B"/>
    <w:rsid w:val="126FF12D"/>
    <w:rsid w:val="1272A0C5"/>
    <w:rsid w:val="12873731"/>
    <w:rsid w:val="128FC1A1"/>
    <w:rsid w:val="1298552C"/>
    <w:rsid w:val="129D51AB"/>
    <w:rsid w:val="12A0A162"/>
    <w:rsid w:val="12FA6A78"/>
    <w:rsid w:val="12FCE79F"/>
    <w:rsid w:val="13010AB1"/>
    <w:rsid w:val="130275FA"/>
    <w:rsid w:val="130393D1"/>
    <w:rsid w:val="130405C4"/>
    <w:rsid w:val="13044B40"/>
    <w:rsid w:val="1305436C"/>
    <w:rsid w:val="130A149A"/>
    <w:rsid w:val="131C1857"/>
    <w:rsid w:val="131CF3F4"/>
    <w:rsid w:val="1332A8C3"/>
    <w:rsid w:val="1332B20D"/>
    <w:rsid w:val="134648CD"/>
    <w:rsid w:val="1348B713"/>
    <w:rsid w:val="134E0739"/>
    <w:rsid w:val="134FC06A"/>
    <w:rsid w:val="135233DB"/>
    <w:rsid w:val="13676A80"/>
    <w:rsid w:val="1379D967"/>
    <w:rsid w:val="138262DE"/>
    <w:rsid w:val="1383A809"/>
    <w:rsid w:val="139E35F0"/>
    <w:rsid w:val="13AE6515"/>
    <w:rsid w:val="13B8E238"/>
    <w:rsid w:val="13CE89A8"/>
    <w:rsid w:val="13D482FB"/>
    <w:rsid w:val="13D70F75"/>
    <w:rsid w:val="13E07E14"/>
    <w:rsid w:val="13E656E7"/>
    <w:rsid w:val="13ED46F5"/>
    <w:rsid w:val="13F0D333"/>
    <w:rsid w:val="13F8E933"/>
    <w:rsid w:val="13F8FA05"/>
    <w:rsid w:val="13FDFE70"/>
    <w:rsid w:val="140AA078"/>
    <w:rsid w:val="14110591"/>
    <w:rsid w:val="141286E3"/>
    <w:rsid w:val="1412A3E4"/>
    <w:rsid w:val="142234CD"/>
    <w:rsid w:val="142C057E"/>
    <w:rsid w:val="14335D83"/>
    <w:rsid w:val="143579CE"/>
    <w:rsid w:val="143DC4A5"/>
    <w:rsid w:val="14405802"/>
    <w:rsid w:val="14434E23"/>
    <w:rsid w:val="144760BD"/>
    <w:rsid w:val="14497E46"/>
    <w:rsid w:val="145C9DD5"/>
    <w:rsid w:val="14723D05"/>
    <w:rsid w:val="149322BF"/>
    <w:rsid w:val="14A27A44"/>
    <w:rsid w:val="14B28915"/>
    <w:rsid w:val="14B776B6"/>
    <w:rsid w:val="14B92FC4"/>
    <w:rsid w:val="14C3A9F3"/>
    <w:rsid w:val="14C88C03"/>
    <w:rsid w:val="14C92108"/>
    <w:rsid w:val="14EEDD03"/>
    <w:rsid w:val="15051D81"/>
    <w:rsid w:val="150AA494"/>
    <w:rsid w:val="150E2F11"/>
    <w:rsid w:val="150F1491"/>
    <w:rsid w:val="1514D105"/>
    <w:rsid w:val="15220A82"/>
    <w:rsid w:val="1537DA35"/>
    <w:rsid w:val="1538525D"/>
    <w:rsid w:val="153A2880"/>
    <w:rsid w:val="153D8B40"/>
    <w:rsid w:val="15506709"/>
    <w:rsid w:val="1551F34F"/>
    <w:rsid w:val="155CD105"/>
    <w:rsid w:val="1561C062"/>
    <w:rsid w:val="158B4B26"/>
    <w:rsid w:val="158F2AE7"/>
    <w:rsid w:val="15913B3B"/>
    <w:rsid w:val="15ADEB7A"/>
    <w:rsid w:val="15BE5AE6"/>
    <w:rsid w:val="15EE4550"/>
    <w:rsid w:val="15FAD218"/>
    <w:rsid w:val="160F74EA"/>
    <w:rsid w:val="16184DB8"/>
    <w:rsid w:val="161CFAF1"/>
    <w:rsid w:val="161F14C4"/>
    <w:rsid w:val="162F6074"/>
    <w:rsid w:val="164AF34D"/>
    <w:rsid w:val="1655C471"/>
    <w:rsid w:val="16614A86"/>
    <w:rsid w:val="16640470"/>
    <w:rsid w:val="16727772"/>
    <w:rsid w:val="16771726"/>
    <w:rsid w:val="168CF4E4"/>
    <w:rsid w:val="16939C9C"/>
    <w:rsid w:val="169B4794"/>
    <w:rsid w:val="169E2C7E"/>
    <w:rsid w:val="16ABC7BD"/>
    <w:rsid w:val="16C228FC"/>
    <w:rsid w:val="16C3922B"/>
    <w:rsid w:val="16C7FCDF"/>
    <w:rsid w:val="16CC30D8"/>
    <w:rsid w:val="16CD9570"/>
    <w:rsid w:val="16CECBA8"/>
    <w:rsid w:val="16DE3E45"/>
    <w:rsid w:val="16EBB364"/>
    <w:rsid w:val="16EC3184"/>
    <w:rsid w:val="16EC6A45"/>
    <w:rsid w:val="16F38DB4"/>
    <w:rsid w:val="16F55B19"/>
    <w:rsid w:val="170B2C3C"/>
    <w:rsid w:val="171C4BE7"/>
    <w:rsid w:val="1721096D"/>
    <w:rsid w:val="17245956"/>
    <w:rsid w:val="172CD2D7"/>
    <w:rsid w:val="172E53AF"/>
    <w:rsid w:val="174D7DCB"/>
    <w:rsid w:val="174FD99E"/>
    <w:rsid w:val="1753B646"/>
    <w:rsid w:val="175760AE"/>
    <w:rsid w:val="177261E6"/>
    <w:rsid w:val="178EA8E4"/>
    <w:rsid w:val="179654BC"/>
    <w:rsid w:val="17A2E06A"/>
    <w:rsid w:val="17A4A71A"/>
    <w:rsid w:val="17AFB0A5"/>
    <w:rsid w:val="17B29175"/>
    <w:rsid w:val="17B75697"/>
    <w:rsid w:val="17BC4E3B"/>
    <w:rsid w:val="17CB3AD7"/>
    <w:rsid w:val="17D33429"/>
    <w:rsid w:val="17E1B2BB"/>
    <w:rsid w:val="17EB7028"/>
    <w:rsid w:val="17F8079E"/>
    <w:rsid w:val="17F9D954"/>
    <w:rsid w:val="18127683"/>
    <w:rsid w:val="1817C4CC"/>
    <w:rsid w:val="181850E9"/>
    <w:rsid w:val="18185F8F"/>
    <w:rsid w:val="181D82C1"/>
    <w:rsid w:val="1821C3B3"/>
    <w:rsid w:val="183E56BD"/>
    <w:rsid w:val="184B79C1"/>
    <w:rsid w:val="184B8393"/>
    <w:rsid w:val="18537579"/>
    <w:rsid w:val="185DD553"/>
    <w:rsid w:val="1879398B"/>
    <w:rsid w:val="1888686F"/>
    <w:rsid w:val="18980C95"/>
    <w:rsid w:val="18A0D01F"/>
    <w:rsid w:val="18A2762E"/>
    <w:rsid w:val="18A6FF3C"/>
    <w:rsid w:val="18B3CEAF"/>
    <w:rsid w:val="18B6E59A"/>
    <w:rsid w:val="18B9D99F"/>
    <w:rsid w:val="18BA54A0"/>
    <w:rsid w:val="18C9422F"/>
    <w:rsid w:val="18EBBB22"/>
    <w:rsid w:val="18ECE2B5"/>
    <w:rsid w:val="19078ED5"/>
    <w:rsid w:val="190B4046"/>
    <w:rsid w:val="1912B3E3"/>
    <w:rsid w:val="1914DA4D"/>
    <w:rsid w:val="192834B4"/>
    <w:rsid w:val="193321B2"/>
    <w:rsid w:val="193BCD07"/>
    <w:rsid w:val="193F0226"/>
    <w:rsid w:val="19513644"/>
    <w:rsid w:val="19551B19"/>
    <w:rsid w:val="1955C4CC"/>
    <w:rsid w:val="19669484"/>
    <w:rsid w:val="196A24D8"/>
    <w:rsid w:val="196CE793"/>
    <w:rsid w:val="197347E7"/>
    <w:rsid w:val="1976C2B3"/>
    <w:rsid w:val="198AFB88"/>
    <w:rsid w:val="19906678"/>
    <w:rsid w:val="19934761"/>
    <w:rsid w:val="19967176"/>
    <w:rsid w:val="199A4B5D"/>
    <w:rsid w:val="199BA532"/>
    <w:rsid w:val="199BD819"/>
    <w:rsid w:val="19B7B010"/>
    <w:rsid w:val="19C4D312"/>
    <w:rsid w:val="19CB3D5E"/>
    <w:rsid w:val="19D90B56"/>
    <w:rsid w:val="19DBE2EE"/>
    <w:rsid w:val="19E00AB5"/>
    <w:rsid w:val="1A00F490"/>
    <w:rsid w:val="1A05F0CA"/>
    <w:rsid w:val="1A0739FA"/>
    <w:rsid w:val="1A0DB40E"/>
    <w:rsid w:val="1A0E5EA9"/>
    <w:rsid w:val="1A119AFC"/>
    <w:rsid w:val="1A18C060"/>
    <w:rsid w:val="1A256B33"/>
    <w:rsid w:val="1A28F708"/>
    <w:rsid w:val="1A29F7A4"/>
    <w:rsid w:val="1A3DE9E7"/>
    <w:rsid w:val="1A3FFF4B"/>
    <w:rsid w:val="1A55EB6D"/>
    <w:rsid w:val="1A56B6B5"/>
    <w:rsid w:val="1A60C1D3"/>
    <w:rsid w:val="1A7140C0"/>
    <w:rsid w:val="1A7466EC"/>
    <w:rsid w:val="1A8526B2"/>
    <w:rsid w:val="1A8DA9BF"/>
    <w:rsid w:val="1A9BE377"/>
    <w:rsid w:val="1AB11C30"/>
    <w:rsid w:val="1AB85B26"/>
    <w:rsid w:val="1AC76AE6"/>
    <w:rsid w:val="1AC932BA"/>
    <w:rsid w:val="1ACC03FF"/>
    <w:rsid w:val="1AD8D6D0"/>
    <w:rsid w:val="1ADEDC64"/>
    <w:rsid w:val="1B0B8FA9"/>
    <w:rsid w:val="1B1C99A8"/>
    <w:rsid w:val="1B377593"/>
    <w:rsid w:val="1B3F0C2E"/>
    <w:rsid w:val="1B401FDE"/>
    <w:rsid w:val="1B477AA0"/>
    <w:rsid w:val="1B51D7D8"/>
    <w:rsid w:val="1B54A1A3"/>
    <w:rsid w:val="1B58444D"/>
    <w:rsid w:val="1B72D13B"/>
    <w:rsid w:val="1B863399"/>
    <w:rsid w:val="1B957182"/>
    <w:rsid w:val="1B97034E"/>
    <w:rsid w:val="1BA5FB16"/>
    <w:rsid w:val="1BB04DE5"/>
    <w:rsid w:val="1BB18974"/>
    <w:rsid w:val="1BB8DE06"/>
    <w:rsid w:val="1BBF1ECD"/>
    <w:rsid w:val="1BD40B16"/>
    <w:rsid w:val="1BDEB280"/>
    <w:rsid w:val="1BED921C"/>
    <w:rsid w:val="1BF935FE"/>
    <w:rsid w:val="1BF95598"/>
    <w:rsid w:val="1BF9C10D"/>
    <w:rsid w:val="1BFF44CC"/>
    <w:rsid w:val="1C1B6ABA"/>
    <w:rsid w:val="1C1C06E0"/>
    <w:rsid w:val="1C1CB9B6"/>
    <w:rsid w:val="1C413125"/>
    <w:rsid w:val="1C5A4354"/>
    <w:rsid w:val="1C5DD8D1"/>
    <w:rsid w:val="1C645524"/>
    <w:rsid w:val="1C700498"/>
    <w:rsid w:val="1C8A2C42"/>
    <w:rsid w:val="1C9E7A50"/>
    <w:rsid w:val="1CAB4C61"/>
    <w:rsid w:val="1CB5C07B"/>
    <w:rsid w:val="1CBA110E"/>
    <w:rsid w:val="1CC2B8D3"/>
    <w:rsid w:val="1CC62A4B"/>
    <w:rsid w:val="1CF0126D"/>
    <w:rsid w:val="1D038705"/>
    <w:rsid w:val="1D07D801"/>
    <w:rsid w:val="1D0A23B5"/>
    <w:rsid w:val="1D0EB252"/>
    <w:rsid w:val="1D1736D4"/>
    <w:rsid w:val="1D1792D7"/>
    <w:rsid w:val="1D183872"/>
    <w:rsid w:val="1D21F666"/>
    <w:rsid w:val="1D361A88"/>
    <w:rsid w:val="1D3AB62C"/>
    <w:rsid w:val="1D3B5C4F"/>
    <w:rsid w:val="1D4F5045"/>
    <w:rsid w:val="1D579899"/>
    <w:rsid w:val="1D61146C"/>
    <w:rsid w:val="1D786920"/>
    <w:rsid w:val="1D9F69B4"/>
    <w:rsid w:val="1DA27DBD"/>
    <w:rsid w:val="1DAA3EA0"/>
    <w:rsid w:val="1DB92E12"/>
    <w:rsid w:val="1DBEBCE1"/>
    <w:rsid w:val="1DC82965"/>
    <w:rsid w:val="1DD0A856"/>
    <w:rsid w:val="1DDF3968"/>
    <w:rsid w:val="1DE3B8D7"/>
    <w:rsid w:val="1DF535C6"/>
    <w:rsid w:val="1DFC4EB3"/>
    <w:rsid w:val="1DFDB0DA"/>
    <w:rsid w:val="1DFEE3FB"/>
    <w:rsid w:val="1E05838F"/>
    <w:rsid w:val="1E072DC4"/>
    <w:rsid w:val="1E0BD4F9"/>
    <w:rsid w:val="1E11B54F"/>
    <w:rsid w:val="1E125C62"/>
    <w:rsid w:val="1E1C896F"/>
    <w:rsid w:val="1E652362"/>
    <w:rsid w:val="1E6C1275"/>
    <w:rsid w:val="1E764446"/>
    <w:rsid w:val="1E788A9E"/>
    <w:rsid w:val="1E85BA9F"/>
    <w:rsid w:val="1E979DE9"/>
    <w:rsid w:val="1E9B10FE"/>
    <w:rsid w:val="1EAB5271"/>
    <w:rsid w:val="1EADFE22"/>
    <w:rsid w:val="1EB106C2"/>
    <w:rsid w:val="1ECFD941"/>
    <w:rsid w:val="1EDAC87E"/>
    <w:rsid w:val="1EDFBBDF"/>
    <w:rsid w:val="1EF117BC"/>
    <w:rsid w:val="1F49D427"/>
    <w:rsid w:val="1F49E4B2"/>
    <w:rsid w:val="1F4BFC85"/>
    <w:rsid w:val="1F604E61"/>
    <w:rsid w:val="1F62AA19"/>
    <w:rsid w:val="1F668A40"/>
    <w:rsid w:val="1F67DB6F"/>
    <w:rsid w:val="1F6C911D"/>
    <w:rsid w:val="1F7E1687"/>
    <w:rsid w:val="1FA026F6"/>
    <w:rsid w:val="1FA2CC17"/>
    <w:rsid w:val="1FA4E683"/>
    <w:rsid w:val="1FD26E71"/>
    <w:rsid w:val="1FD4532A"/>
    <w:rsid w:val="1FD56883"/>
    <w:rsid w:val="1FE26B3D"/>
    <w:rsid w:val="1FE81875"/>
    <w:rsid w:val="1FED3041"/>
    <w:rsid w:val="1FEEB555"/>
    <w:rsid w:val="200C012A"/>
    <w:rsid w:val="200D1086"/>
    <w:rsid w:val="201F84A3"/>
    <w:rsid w:val="20220E0D"/>
    <w:rsid w:val="202E4BF2"/>
    <w:rsid w:val="202E5719"/>
    <w:rsid w:val="2034D20A"/>
    <w:rsid w:val="20384976"/>
    <w:rsid w:val="203E7A67"/>
    <w:rsid w:val="20539102"/>
    <w:rsid w:val="2058F4DC"/>
    <w:rsid w:val="20666961"/>
    <w:rsid w:val="206E6E18"/>
    <w:rsid w:val="207698DF"/>
    <w:rsid w:val="20854A5E"/>
    <w:rsid w:val="208834B1"/>
    <w:rsid w:val="208DE1A2"/>
    <w:rsid w:val="209841EA"/>
    <w:rsid w:val="209B8B55"/>
    <w:rsid w:val="209DDE98"/>
    <w:rsid w:val="20AAD1AA"/>
    <w:rsid w:val="20B0A1BB"/>
    <w:rsid w:val="20B1619C"/>
    <w:rsid w:val="20BB3CD3"/>
    <w:rsid w:val="20C65C7A"/>
    <w:rsid w:val="20C9EA31"/>
    <w:rsid w:val="20D67B83"/>
    <w:rsid w:val="20D6AE47"/>
    <w:rsid w:val="20D7C324"/>
    <w:rsid w:val="20F74B3B"/>
    <w:rsid w:val="20FA3AD5"/>
    <w:rsid w:val="21026911"/>
    <w:rsid w:val="210B680D"/>
    <w:rsid w:val="210D4111"/>
    <w:rsid w:val="21148B12"/>
    <w:rsid w:val="211909AD"/>
    <w:rsid w:val="21279A64"/>
    <w:rsid w:val="212EF476"/>
    <w:rsid w:val="213478D3"/>
    <w:rsid w:val="213EA90E"/>
    <w:rsid w:val="2156AC83"/>
    <w:rsid w:val="215F1521"/>
    <w:rsid w:val="2162F2D6"/>
    <w:rsid w:val="216F6624"/>
    <w:rsid w:val="21719176"/>
    <w:rsid w:val="217E47F2"/>
    <w:rsid w:val="219577ED"/>
    <w:rsid w:val="2197E6D2"/>
    <w:rsid w:val="21AA123B"/>
    <w:rsid w:val="21B33247"/>
    <w:rsid w:val="21B42EF4"/>
    <w:rsid w:val="21B66B13"/>
    <w:rsid w:val="21BCAC78"/>
    <w:rsid w:val="21CFA702"/>
    <w:rsid w:val="21DF357F"/>
    <w:rsid w:val="21E30023"/>
    <w:rsid w:val="21EC4229"/>
    <w:rsid w:val="21EF827C"/>
    <w:rsid w:val="21F0059D"/>
    <w:rsid w:val="21F4726E"/>
    <w:rsid w:val="22131103"/>
    <w:rsid w:val="2213EBB9"/>
    <w:rsid w:val="2244717D"/>
    <w:rsid w:val="224D2B84"/>
    <w:rsid w:val="224D4CD2"/>
    <w:rsid w:val="225BCB39"/>
    <w:rsid w:val="225C3CD3"/>
    <w:rsid w:val="2262E8D9"/>
    <w:rsid w:val="226B24D0"/>
    <w:rsid w:val="226F4AF5"/>
    <w:rsid w:val="22710656"/>
    <w:rsid w:val="227359C8"/>
    <w:rsid w:val="227BCA14"/>
    <w:rsid w:val="22967944"/>
    <w:rsid w:val="22AAD377"/>
    <w:rsid w:val="22BDE05E"/>
    <w:rsid w:val="22C36A7E"/>
    <w:rsid w:val="22C92D17"/>
    <w:rsid w:val="22D7AB05"/>
    <w:rsid w:val="22DD00C8"/>
    <w:rsid w:val="22E01C65"/>
    <w:rsid w:val="22E2F2C3"/>
    <w:rsid w:val="22EA7426"/>
    <w:rsid w:val="22F03247"/>
    <w:rsid w:val="22F0DB20"/>
    <w:rsid w:val="23065F3A"/>
    <w:rsid w:val="2310AEB7"/>
    <w:rsid w:val="2310C113"/>
    <w:rsid w:val="231A30D6"/>
    <w:rsid w:val="232AAF8F"/>
    <w:rsid w:val="23313EF3"/>
    <w:rsid w:val="2333203A"/>
    <w:rsid w:val="23354EE4"/>
    <w:rsid w:val="23482FB8"/>
    <w:rsid w:val="2349A1ED"/>
    <w:rsid w:val="235DACBD"/>
    <w:rsid w:val="235E5A69"/>
    <w:rsid w:val="236633A0"/>
    <w:rsid w:val="238DBFD6"/>
    <w:rsid w:val="23A277D8"/>
    <w:rsid w:val="23B10855"/>
    <w:rsid w:val="23B6A01E"/>
    <w:rsid w:val="23BB2BC4"/>
    <w:rsid w:val="23C1CBC1"/>
    <w:rsid w:val="23D1315B"/>
    <w:rsid w:val="23DC5BCF"/>
    <w:rsid w:val="23DEBB35"/>
    <w:rsid w:val="23E59A2D"/>
    <w:rsid w:val="23FD45F6"/>
    <w:rsid w:val="23FFE1C4"/>
    <w:rsid w:val="241444C8"/>
    <w:rsid w:val="2414C43D"/>
    <w:rsid w:val="241BD3A0"/>
    <w:rsid w:val="243366E2"/>
    <w:rsid w:val="24359E85"/>
    <w:rsid w:val="243E80D0"/>
    <w:rsid w:val="2458C99F"/>
    <w:rsid w:val="245A0FE0"/>
    <w:rsid w:val="245A1D30"/>
    <w:rsid w:val="2465EDDF"/>
    <w:rsid w:val="247333DD"/>
    <w:rsid w:val="247C6CFF"/>
    <w:rsid w:val="24A17813"/>
    <w:rsid w:val="24CDB24F"/>
    <w:rsid w:val="24D7ABE8"/>
    <w:rsid w:val="24DBB2EE"/>
    <w:rsid w:val="24F34FF0"/>
    <w:rsid w:val="250C9230"/>
    <w:rsid w:val="250FF537"/>
    <w:rsid w:val="251386A5"/>
    <w:rsid w:val="251587D8"/>
    <w:rsid w:val="25295ED0"/>
    <w:rsid w:val="2539E61D"/>
    <w:rsid w:val="25411969"/>
    <w:rsid w:val="254E5754"/>
    <w:rsid w:val="25605940"/>
    <w:rsid w:val="2566BA8C"/>
    <w:rsid w:val="256ADEE2"/>
    <w:rsid w:val="256FFDF0"/>
    <w:rsid w:val="2582939F"/>
    <w:rsid w:val="25856000"/>
    <w:rsid w:val="25859C66"/>
    <w:rsid w:val="2589EFE7"/>
    <w:rsid w:val="25919021"/>
    <w:rsid w:val="259FA3CA"/>
    <w:rsid w:val="25B8FA7B"/>
    <w:rsid w:val="25BDE1DB"/>
    <w:rsid w:val="25C3A0D4"/>
    <w:rsid w:val="25CDE54C"/>
    <w:rsid w:val="25CFFF03"/>
    <w:rsid w:val="25D53FE8"/>
    <w:rsid w:val="25E1BB96"/>
    <w:rsid w:val="25E51531"/>
    <w:rsid w:val="25EF96CF"/>
    <w:rsid w:val="26057386"/>
    <w:rsid w:val="2618943D"/>
    <w:rsid w:val="261B7F92"/>
    <w:rsid w:val="261FCE52"/>
    <w:rsid w:val="2626B221"/>
    <w:rsid w:val="262A3093"/>
    <w:rsid w:val="262A98D2"/>
    <w:rsid w:val="26310A7F"/>
    <w:rsid w:val="263587D3"/>
    <w:rsid w:val="2636B7BE"/>
    <w:rsid w:val="263C232D"/>
    <w:rsid w:val="2648DCBC"/>
    <w:rsid w:val="26510ED7"/>
    <w:rsid w:val="2656279F"/>
    <w:rsid w:val="2656C4D1"/>
    <w:rsid w:val="2666D1A1"/>
    <w:rsid w:val="2668CD81"/>
    <w:rsid w:val="266E8901"/>
    <w:rsid w:val="266F250E"/>
    <w:rsid w:val="26782734"/>
    <w:rsid w:val="2685C56E"/>
    <w:rsid w:val="268922B6"/>
    <w:rsid w:val="26A7C8C2"/>
    <w:rsid w:val="26A91099"/>
    <w:rsid w:val="26B0DD68"/>
    <w:rsid w:val="26BBA97A"/>
    <w:rsid w:val="26CE0168"/>
    <w:rsid w:val="26D0288C"/>
    <w:rsid w:val="26DA189A"/>
    <w:rsid w:val="26E0F4FA"/>
    <w:rsid w:val="26EB7482"/>
    <w:rsid w:val="271A4528"/>
    <w:rsid w:val="27297477"/>
    <w:rsid w:val="2732AFE5"/>
    <w:rsid w:val="27333CA2"/>
    <w:rsid w:val="2756764A"/>
    <w:rsid w:val="275CA535"/>
    <w:rsid w:val="275E6E8A"/>
    <w:rsid w:val="2765ABC6"/>
    <w:rsid w:val="276CA923"/>
    <w:rsid w:val="27723682"/>
    <w:rsid w:val="2775AE23"/>
    <w:rsid w:val="2782EFAF"/>
    <w:rsid w:val="2786168E"/>
    <w:rsid w:val="278EF93B"/>
    <w:rsid w:val="279BDCD1"/>
    <w:rsid w:val="279FCD1B"/>
    <w:rsid w:val="27AADB8E"/>
    <w:rsid w:val="27B2DE0C"/>
    <w:rsid w:val="27BA9732"/>
    <w:rsid w:val="27C2C7CD"/>
    <w:rsid w:val="27CCD754"/>
    <w:rsid w:val="27D1B4CB"/>
    <w:rsid w:val="27DCCEB8"/>
    <w:rsid w:val="27E9A422"/>
    <w:rsid w:val="27F1F800"/>
    <w:rsid w:val="27F63093"/>
    <w:rsid w:val="27F85F28"/>
    <w:rsid w:val="2801D40E"/>
    <w:rsid w:val="2807B462"/>
    <w:rsid w:val="2808DB17"/>
    <w:rsid w:val="28099274"/>
    <w:rsid w:val="281182F4"/>
    <w:rsid w:val="28381A5E"/>
    <w:rsid w:val="2842B279"/>
    <w:rsid w:val="28439923"/>
    <w:rsid w:val="2846D695"/>
    <w:rsid w:val="284FC201"/>
    <w:rsid w:val="28586FFC"/>
    <w:rsid w:val="2862AE46"/>
    <w:rsid w:val="28639DF4"/>
    <w:rsid w:val="287967E7"/>
    <w:rsid w:val="289030AE"/>
    <w:rsid w:val="2898DBC1"/>
    <w:rsid w:val="28A4FDFF"/>
    <w:rsid w:val="28B98200"/>
    <w:rsid w:val="28BF4CA0"/>
    <w:rsid w:val="28D0FAF0"/>
    <w:rsid w:val="28D7E311"/>
    <w:rsid w:val="28F35B3F"/>
    <w:rsid w:val="29087984"/>
    <w:rsid w:val="2925CEEC"/>
    <w:rsid w:val="292AB042"/>
    <w:rsid w:val="292B7E13"/>
    <w:rsid w:val="29598B98"/>
    <w:rsid w:val="2962E962"/>
    <w:rsid w:val="2969BD75"/>
    <w:rsid w:val="296B5393"/>
    <w:rsid w:val="296CB512"/>
    <w:rsid w:val="2975D25E"/>
    <w:rsid w:val="2988FB3E"/>
    <w:rsid w:val="298BBCF5"/>
    <w:rsid w:val="298DC861"/>
    <w:rsid w:val="29943ACB"/>
    <w:rsid w:val="29AD4138"/>
    <w:rsid w:val="29B24255"/>
    <w:rsid w:val="29C62025"/>
    <w:rsid w:val="29CCC508"/>
    <w:rsid w:val="29CFBC4A"/>
    <w:rsid w:val="29D1191E"/>
    <w:rsid w:val="29D40ACD"/>
    <w:rsid w:val="29D50702"/>
    <w:rsid w:val="29DF59D1"/>
    <w:rsid w:val="29E37858"/>
    <w:rsid w:val="29E477F6"/>
    <w:rsid w:val="29E5B582"/>
    <w:rsid w:val="29EBEFE7"/>
    <w:rsid w:val="29ECE24A"/>
    <w:rsid w:val="29EF7F58"/>
    <w:rsid w:val="29FF6A72"/>
    <w:rsid w:val="2A018D83"/>
    <w:rsid w:val="2A030462"/>
    <w:rsid w:val="2A16D1DA"/>
    <w:rsid w:val="2A17E4E8"/>
    <w:rsid w:val="2A1E5994"/>
    <w:rsid w:val="2A2049D9"/>
    <w:rsid w:val="2A26215D"/>
    <w:rsid w:val="2A2B7132"/>
    <w:rsid w:val="2A3E41F6"/>
    <w:rsid w:val="2A606FD8"/>
    <w:rsid w:val="2A62B2A6"/>
    <w:rsid w:val="2A637F71"/>
    <w:rsid w:val="2A66B5B2"/>
    <w:rsid w:val="2A7678D0"/>
    <w:rsid w:val="2A78F7D0"/>
    <w:rsid w:val="2A7AF6BD"/>
    <w:rsid w:val="2A8DF84B"/>
    <w:rsid w:val="2A960E9C"/>
    <w:rsid w:val="2AB578C9"/>
    <w:rsid w:val="2AC011ED"/>
    <w:rsid w:val="2AC07E4D"/>
    <w:rsid w:val="2AD53A3D"/>
    <w:rsid w:val="2B07D058"/>
    <w:rsid w:val="2B1036DB"/>
    <w:rsid w:val="2B115F98"/>
    <w:rsid w:val="2B1583CA"/>
    <w:rsid w:val="2B162993"/>
    <w:rsid w:val="2B1F9FD0"/>
    <w:rsid w:val="2B34BF98"/>
    <w:rsid w:val="2B35DA84"/>
    <w:rsid w:val="2B38B94A"/>
    <w:rsid w:val="2B406168"/>
    <w:rsid w:val="2B47716C"/>
    <w:rsid w:val="2B4CCAF7"/>
    <w:rsid w:val="2B51EB45"/>
    <w:rsid w:val="2B5C2051"/>
    <w:rsid w:val="2B6108D8"/>
    <w:rsid w:val="2B651805"/>
    <w:rsid w:val="2B65670E"/>
    <w:rsid w:val="2B903AF1"/>
    <w:rsid w:val="2BA444E9"/>
    <w:rsid w:val="2BAF9EE8"/>
    <w:rsid w:val="2BB3BA37"/>
    <w:rsid w:val="2BB44251"/>
    <w:rsid w:val="2BC23172"/>
    <w:rsid w:val="2BE077A3"/>
    <w:rsid w:val="2BE2ECE4"/>
    <w:rsid w:val="2BE4BCC8"/>
    <w:rsid w:val="2BE5707F"/>
    <w:rsid w:val="2BFCF588"/>
    <w:rsid w:val="2BFFB2E0"/>
    <w:rsid w:val="2C253773"/>
    <w:rsid w:val="2C3871D4"/>
    <w:rsid w:val="2C3EE8B4"/>
    <w:rsid w:val="2C41558D"/>
    <w:rsid w:val="2C53C949"/>
    <w:rsid w:val="2C6CD1DF"/>
    <w:rsid w:val="2C70FAB8"/>
    <w:rsid w:val="2C73EC0B"/>
    <w:rsid w:val="2C762EC1"/>
    <w:rsid w:val="2C9B696B"/>
    <w:rsid w:val="2C9F1418"/>
    <w:rsid w:val="2CA155E6"/>
    <w:rsid w:val="2CA1898F"/>
    <w:rsid w:val="2CA3B35C"/>
    <w:rsid w:val="2CBB3CA7"/>
    <w:rsid w:val="2CC91654"/>
    <w:rsid w:val="2CD4EE56"/>
    <w:rsid w:val="2CDC9627"/>
    <w:rsid w:val="2CE67269"/>
    <w:rsid w:val="2CE95A59"/>
    <w:rsid w:val="2D0CA7C4"/>
    <w:rsid w:val="2D15B737"/>
    <w:rsid w:val="2D16D67C"/>
    <w:rsid w:val="2D1744E1"/>
    <w:rsid w:val="2D2357A4"/>
    <w:rsid w:val="2D262CD0"/>
    <w:rsid w:val="2D2FCF1C"/>
    <w:rsid w:val="2D3E686F"/>
    <w:rsid w:val="2D45F9FD"/>
    <w:rsid w:val="2D4ED2E6"/>
    <w:rsid w:val="2D57EA9B"/>
    <w:rsid w:val="2D59E9B4"/>
    <w:rsid w:val="2D639101"/>
    <w:rsid w:val="2D67D768"/>
    <w:rsid w:val="2D68552E"/>
    <w:rsid w:val="2D7A4B2B"/>
    <w:rsid w:val="2D7C98AD"/>
    <w:rsid w:val="2D91B372"/>
    <w:rsid w:val="2DBB30CA"/>
    <w:rsid w:val="2DBBA547"/>
    <w:rsid w:val="2DC4E16A"/>
    <w:rsid w:val="2DCF1980"/>
    <w:rsid w:val="2DEC5BE6"/>
    <w:rsid w:val="2DF9060F"/>
    <w:rsid w:val="2E11729D"/>
    <w:rsid w:val="2E176ABC"/>
    <w:rsid w:val="2E1FAAA7"/>
    <w:rsid w:val="2E2624EA"/>
    <w:rsid w:val="2E31C9B9"/>
    <w:rsid w:val="2E3DCCD3"/>
    <w:rsid w:val="2E405B55"/>
    <w:rsid w:val="2E4075AF"/>
    <w:rsid w:val="2E50A674"/>
    <w:rsid w:val="2E5A5D05"/>
    <w:rsid w:val="2E5CE6D0"/>
    <w:rsid w:val="2E610C17"/>
    <w:rsid w:val="2E7934F0"/>
    <w:rsid w:val="2E84AE3E"/>
    <w:rsid w:val="2E89748D"/>
    <w:rsid w:val="2E8FAE9C"/>
    <w:rsid w:val="2E9C9B50"/>
    <w:rsid w:val="2EAE8DCE"/>
    <w:rsid w:val="2EB2184D"/>
    <w:rsid w:val="2EC40879"/>
    <w:rsid w:val="2EC5FE7F"/>
    <w:rsid w:val="2EC7DBB3"/>
    <w:rsid w:val="2EDC555B"/>
    <w:rsid w:val="2EE51D7E"/>
    <w:rsid w:val="2EE64565"/>
    <w:rsid w:val="2F007DD2"/>
    <w:rsid w:val="2F04333C"/>
    <w:rsid w:val="2F1A3360"/>
    <w:rsid w:val="2F2550A0"/>
    <w:rsid w:val="2F33340D"/>
    <w:rsid w:val="2F33663C"/>
    <w:rsid w:val="2F3A1C83"/>
    <w:rsid w:val="2F5379F4"/>
    <w:rsid w:val="2F5FACF4"/>
    <w:rsid w:val="2F66772B"/>
    <w:rsid w:val="2F6D0D9E"/>
    <w:rsid w:val="2F7C63A7"/>
    <w:rsid w:val="2F7EFC96"/>
    <w:rsid w:val="2F8B23F3"/>
    <w:rsid w:val="2F8CA844"/>
    <w:rsid w:val="2F968416"/>
    <w:rsid w:val="2F98DAF6"/>
    <w:rsid w:val="2F9CF670"/>
    <w:rsid w:val="2FA3C808"/>
    <w:rsid w:val="2FAE53CA"/>
    <w:rsid w:val="2FB20A6E"/>
    <w:rsid w:val="2FB4A48B"/>
    <w:rsid w:val="2FB90761"/>
    <w:rsid w:val="2FBB3B53"/>
    <w:rsid w:val="2FC6F085"/>
    <w:rsid w:val="2FE1D61C"/>
    <w:rsid w:val="2FF3E6B6"/>
    <w:rsid w:val="300A9055"/>
    <w:rsid w:val="301C5E19"/>
    <w:rsid w:val="302F9174"/>
    <w:rsid w:val="3032CE48"/>
    <w:rsid w:val="3035AD25"/>
    <w:rsid w:val="30392FC5"/>
    <w:rsid w:val="304200F4"/>
    <w:rsid w:val="304A5F9B"/>
    <w:rsid w:val="3067179A"/>
    <w:rsid w:val="3068ED8C"/>
    <w:rsid w:val="308B1A5A"/>
    <w:rsid w:val="308F8B5D"/>
    <w:rsid w:val="3096A0F1"/>
    <w:rsid w:val="309EDB67"/>
    <w:rsid w:val="309F5DA2"/>
    <w:rsid w:val="30C129DA"/>
    <w:rsid w:val="30C7A680"/>
    <w:rsid w:val="30CD19F3"/>
    <w:rsid w:val="30CE6F92"/>
    <w:rsid w:val="30D084DC"/>
    <w:rsid w:val="30E73711"/>
    <w:rsid w:val="30EE7D30"/>
    <w:rsid w:val="30EF5B93"/>
    <w:rsid w:val="30FBA516"/>
    <w:rsid w:val="30FCA500"/>
    <w:rsid w:val="30FD931C"/>
    <w:rsid w:val="310505CC"/>
    <w:rsid w:val="31219AE9"/>
    <w:rsid w:val="31269AEE"/>
    <w:rsid w:val="3126B987"/>
    <w:rsid w:val="313D609F"/>
    <w:rsid w:val="3144DA3C"/>
    <w:rsid w:val="3145F500"/>
    <w:rsid w:val="31473245"/>
    <w:rsid w:val="314F5B1A"/>
    <w:rsid w:val="3155B5A4"/>
    <w:rsid w:val="3160AE01"/>
    <w:rsid w:val="31669015"/>
    <w:rsid w:val="3168FE33"/>
    <w:rsid w:val="316EE01E"/>
    <w:rsid w:val="317CCC34"/>
    <w:rsid w:val="317DA67D"/>
    <w:rsid w:val="318A9DC1"/>
    <w:rsid w:val="318BA0DC"/>
    <w:rsid w:val="319C5CF2"/>
    <w:rsid w:val="319D9F40"/>
    <w:rsid w:val="319FEF10"/>
    <w:rsid w:val="31A21FFC"/>
    <w:rsid w:val="31B23C65"/>
    <w:rsid w:val="31B48FB2"/>
    <w:rsid w:val="31B5C7B7"/>
    <w:rsid w:val="31C4A04C"/>
    <w:rsid w:val="31C96673"/>
    <w:rsid w:val="31CAC5AB"/>
    <w:rsid w:val="31CACF02"/>
    <w:rsid w:val="31D2F03B"/>
    <w:rsid w:val="31E62FFC"/>
    <w:rsid w:val="31F63C4B"/>
    <w:rsid w:val="3205C3B2"/>
    <w:rsid w:val="321C18E9"/>
    <w:rsid w:val="321D94E8"/>
    <w:rsid w:val="3222F6CD"/>
    <w:rsid w:val="322E70F8"/>
    <w:rsid w:val="322F8E09"/>
    <w:rsid w:val="32334944"/>
    <w:rsid w:val="3233912B"/>
    <w:rsid w:val="323F64A7"/>
    <w:rsid w:val="32402033"/>
    <w:rsid w:val="3248A563"/>
    <w:rsid w:val="325C0799"/>
    <w:rsid w:val="3273C174"/>
    <w:rsid w:val="32787792"/>
    <w:rsid w:val="32841143"/>
    <w:rsid w:val="3287C86C"/>
    <w:rsid w:val="328AEA9C"/>
    <w:rsid w:val="328D667A"/>
    <w:rsid w:val="329A5F58"/>
    <w:rsid w:val="32B0EE06"/>
    <w:rsid w:val="32BB71DA"/>
    <w:rsid w:val="32BE88AF"/>
    <w:rsid w:val="32E31F24"/>
    <w:rsid w:val="32EA95F7"/>
    <w:rsid w:val="32FCED3A"/>
    <w:rsid w:val="3301BF8A"/>
    <w:rsid w:val="33051E62"/>
    <w:rsid w:val="3306630E"/>
    <w:rsid w:val="3308131B"/>
    <w:rsid w:val="3310D313"/>
    <w:rsid w:val="33162F3C"/>
    <w:rsid w:val="3320A8B2"/>
    <w:rsid w:val="333B84BA"/>
    <w:rsid w:val="333DF360"/>
    <w:rsid w:val="334DE7B2"/>
    <w:rsid w:val="334F5B8E"/>
    <w:rsid w:val="336B5368"/>
    <w:rsid w:val="336F5A3F"/>
    <w:rsid w:val="337417B4"/>
    <w:rsid w:val="33768C73"/>
    <w:rsid w:val="3382E819"/>
    <w:rsid w:val="3393BE61"/>
    <w:rsid w:val="339A1659"/>
    <w:rsid w:val="339A944F"/>
    <w:rsid w:val="33A14333"/>
    <w:rsid w:val="33AA7506"/>
    <w:rsid w:val="33B0DCFB"/>
    <w:rsid w:val="33C06B87"/>
    <w:rsid w:val="33CF19A5"/>
    <w:rsid w:val="33D1F28B"/>
    <w:rsid w:val="33D7700C"/>
    <w:rsid w:val="34104803"/>
    <w:rsid w:val="3412440D"/>
    <w:rsid w:val="341517A9"/>
    <w:rsid w:val="3426CE4B"/>
    <w:rsid w:val="3430C447"/>
    <w:rsid w:val="343B716C"/>
    <w:rsid w:val="3446F0A9"/>
    <w:rsid w:val="344DAB70"/>
    <w:rsid w:val="344F411B"/>
    <w:rsid w:val="3453FDD8"/>
    <w:rsid w:val="3456065D"/>
    <w:rsid w:val="3462C9D6"/>
    <w:rsid w:val="34630809"/>
    <w:rsid w:val="346913FF"/>
    <w:rsid w:val="346B1C21"/>
    <w:rsid w:val="34752DD6"/>
    <w:rsid w:val="34A3E37C"/>
    <w:rsid w:val="34ACA374"/>
    <w:rsid w:val="34B04314"/>
    <w:rsid w:val="34B9DD54"/>
    <w:rsid w:val="34C47679"/>
    <w:rsid w:val="34D79B8E"/>
    <w:rsid w:val="34D99955"/>
    <w:rsid w:val="34D9C0BE"/>
    <w:rsid w:val="34E2EDD4"/>
    <w:rsid w:val="34EC1C61"/>
    <w:rsid w:val="34F4F6A5"/>
    <w:rsid w:val="34F6A848"/>
    <w:rsid w:val="35046402"/>
    <w:rsid w:val="3504D728"/>
    <w:rsid w:val="350B1FD8"/>
    <w:rsid w:val="350F646B"/>
    <w:rsid w:val="350FEB86"/>
    <w:rsid w:val="352AAB03"/>
    <w:rsid w:val="353F1E47"/>
    <w:rsid w:val="353F769E"/>
    <w:rsid w:val="3544C895"/>
    <w:rsid w:val="35584ED5"/>
    <w:rsid w:val="355A5F14"/>
    <w:rsid w:val="355E316E"/>
    <w:rsid w:val="3577B77F"/>
    <w:rsid w:val="35A11CAC"/>
    <w:rsid w:val="35AE52C8"/>
    <w:rsid w:val="35B10E02"/>
    <w:rsid w:val="35C00034"/>
    <w:rsid w:val="35C6B868"/>
    <w:rsid w:val="35DB69F8"/>
    <w:rsid w:val="35DEDD19"/>
    <w:rsid w:val="35FCFCA3"/>
    <w:rsid w:val="35FEAE65"/>
    <w:rsid w:val="36067E6F"/>
    <w:rsid w:val="3609B82D"/>
    <w:rsid w:val="360A5E3A"/>
    <w:rsid w:val="360FA633"/>
    <w:rsid w:val="3625C3A4"/>
    <w:rsid w:val="3639CA42"/>
    <w:rsid w:val="363FBBC3"/>
    <w:rsid w:val="3640E571"/>
    <w:rsid w:val="3641C4AF"/>
    <w:rsid w:val="3643F5B8"/>
    <w:rsid w:val="3650EEB6"/>
    <w:rsid w:val="365C9FD2"/>
    <w:rsid w:val="3663216B"/>
    <w:rsid w:val="3666E496"/>
    <w:rsid w:val="36696633"/>
    <w:rsid w:val="366F6422"/>
    <w:rsid w:val="3678BBF7"/>
    <w:rsid w:val="3686377B"/>
    <w:rsid w:val="3686C7A9"/>
    <w:rsid w:val="3688CB42"/>
    <w:rsid w:val="368AC00F"/>
    <w:rsid w:val="36987704"/>
    <w:rsid w:val="369E4581"/>
    <w:rsid w:val="36A9D2A1"/>
    <w:rsid w:val="36A9EBAD"/>
    <w:rsid w:val="36B85611"/>
    <w:rsid w:val="36B9DD36"/>
    <w:rsid w:val="36BFE39F"/>
    <w:rsid w:val="36C18B93"/>
    <w:rsid w:val="36D63976"/>
    <w:rsid w:val="36DC8CCF"/>
    <w:rsid w:val="36F41DCF"/>
    <w:rsid w:val="371CF6A1"/>
    <w:rsid w:val="371FBC98"/>
    <w:rsid w:val="37275E7F"/>
    <w:rsid w:val="372D9F30"/>
    <w:rsid w:val="374105EC"/>
    <w:rsid w:val="37460991"/>
    <w:rsid w:val="3746E066"/>
    <w:rsid w:val="3751BE3D"/>
    <w:rsid w:val="375DF774"/>
    <w:rsid w:val="3764F3C8"/>
    <w:rsid w:val="376FD7D2"/>
    <w:rsid w:val="37825352"/>
    <w:rsid w:val="378450C0"/>
    <w:rsid w:val="37A59E7D"/>
    <w:rsid w:val="37B785B4"/>
    <w:rsid w:val="37CA7455"/>
    <w:rsid w:val="37E154FD"/>
    <w:rsid w:val="3800B757"/>
    <w:rsid w:val="380567BE"/>
    <w:rsid w:val="3808D681"/>
    <w:rsid w:val="380B3483"/>
    <w:rsid w:val="381DA21C"/>
    <w:rsid w:val="38261C59"/>
    <w:rsid w:val="382A8C8C"/>
    <w:rsid w:val="384278CB"/>
    <w:rsid w:val="38474483"/>
    <w:rsid w:val="384A79BA"/>
    <w:rsid w:val="38573EC6"/>
    <w:rsid w:val="3874774C"/>
    <w:rsid w:val="3875DBC2"/>
    <w:rsid w:val="38792111"/>
    <w:rsid w:val="387B0A10"/>
    <w:rsid w:val="387F2178"/>
    <w:rsid w:val="38902C61"/>
    <w:rsid w:val="38925020"/>
    <w:rsid w:val="389A040F"/>
    <w:rsid w:val="389E66C3"/>
    <w:rsid w:val="38A997DA"/>
    <w:rsid w:val="38AE1DCC"/>
    <w:rsid w:val="38AFBEA8"/>
    <w:rsid w:val="38C6C6D2"/>
    <w:rsid w:val="38CE8B27"/>
    <w:rsid w:val="38D46F81"/>
    <w:rsid w:val="38D89665"/>
    <w:rsid w:val="38DF0DF6"/>
    <w:rsid w:val="38E0AAF4"/>
    <w:rsid w:val="38E57AD5"/>
    <w:rsid w:val="38EAF044"/>
    <w:rsid w:val="38EE5763"/>
    <w:rsid w:val="38F60204"/>
    <w:rsid w:val="390CBB38"/>
    <w:rsid w:val="3916E040"/>
    <w:rsid w:val="39202121"/>
    <w:rsid w:val="392DF2FC"/>
    <w:rsid w:val="392EFA29"/>
    <w:rsid w:val="393CFD44"/>
    <w:rsid w:val="393F4D4E"/>
    <w:rsid w:val="39415791"/>
    <w:rsid w:val="3943A06D"/>
    <w:rsid w:val="395721BC"/>
    <w:rsid w:val="395BA6F8"/>
    <w:rsid w:val="3960B171"/>
    <w:rsid w:val="3962AFB4"/>
    <w:rsid w:val="3963CD45"/>
    <w:rsid w:val="396B4C67"/>
    <w:rsid w:val="396FCDE6"/>
    <w:rsid w:val="39741018"/>
    <w:rsid w:val="3981CDE5"/>
    <w:rsid w:val="3992FD19"/>
    <w:rsid w:val="39A38900"/>
    <w:rsid w:val="39A650CC"/>
    <w:rsid w:val="39B79CF6"/>
    <w:rsid w:val="39BF69F7"/>
    <w:rsid w:val="39CB992A"/>
    <w:rsid w:val="39D5BC9F"/>
    <w:rsid w:val="39D63A76"/>
    <w:rsid w:val="39D6C7CE"/>
    <w:rsid w:val="39D8A8BC"/>
    <w:rsid w:val="39D9135B"/>
    <w:rsid w:val="39DD0EDB"/>
    <w:rsid w:val="39DD752B"/>
    <w:rsid w:val="39EB8F73"/>
    <w:rsid w:val="39F1FD10"/>
    <w:rsid w:val="39FC3406"/>
    <w:rsid w:val="3A096E7F"/>
    <w:rsid w:val="3A21F5F9"/>
    <w:rsid w:val="3A2FE59E"/>
    <w:rsid w:val="3A3174AC"/>
    <w:rsid w:val="3A3178F8"/>
    <w:rsid w:val="3A4CF654"/>
    <w:rsid w:val="3A53EEE3"/>
    <w:rsid w:val="3A683BED"/>
    <w:rsid w:val="3A709514"/>
    <w:rsid w:val="3A760913"/>
    <w:rsid w:val="3A97F867"/>
    <w:rsid w:val="3A9A298B"/>
    <w:rsid w:val="3AA1FE65"/>
    <w:rsid w:val="3AB9AEB3"/>
    <w:rsid w:val="3ACA0091"/>
    <w:rsid w:val="3AD11F73"/>
    <w:rsid w:val="3AF8649C"/>
    <w:rsid w:val="3B09794C"/>
    <w:rsid w:val="3B12F9BC"/>
    <w:rsid w:val="3B15E32B"/>
    <w:rsid w:val="3B2488C3"/>
    <w:rsid w:val="3B28F8F1"/>
    <w:rsid w:val="3B29D560"/>
    <w:rsid w:val="3B30991E"/>
    <w:rsid w:val="3B41D5D8"/>
    <w:rsid w:val="3B4691A0"/>
    <w:rsid w:val="3B4E2613"/>
    <w:rsid w:val="3B594449"/>
    <w:rsid w:val="3B5D3CF0"/>
    <w:rsid w:val="3B6CA1FF"/>
    <w:rsid w:val="3B771901"/>
    <w:rsid w:val="3B9CE987"/>
    <w:rsid w:val="3BA40687"/>
    <w:rsid w:val="3BA5217A"/>
    <w:rsid w:val="3BB5E0C8"/>
    <w:rsid w:val="3BCD15DD"/>
    <w:rsid w:val="3BDC3E22"/>
    <w:rsid w:val="3BDEDDD5"/>
    <w:rsid w:val="3BE01DBC"/>
    <w:rsid w:val="3BE067E1"/>
    <w:rsid w:val="3BE9C9C3"/>
    <w:rsid w:val="3BFB4DD5"/>
    <w:rsid w:val="3C0476A7"/>
    <w:rsid w:val="3C0A4A11"/>
    <w:rsid w:val="3C0ED502"/>
    <w:rsid w:val="3C0F48AB"/>
    <w:rsid w:val="3C105E30"/>
    <w:rsid w:val="3C1A690A"/>
    <w:rsid w:val="3C1BD5B0"/>
    <w:rsid w:val="3C2B109F"/>
    <w:rsid w:val="3C337F7F"/>
    <w:rsid w:val="3C35E64D"/>
    <w:rsid w:val="3C413B23"/>
    <w:rsid w:val="3C4A17A1"/>
    <w:rsid w:val="3C545C95"/>
    <w:rsid w:val="3C5A2901"/>
    <w:rsid w:val="3C5AC354"/>
    <w:rsid w:val="3C5B8086"/>
    <w:rsid w:val="3C61CAD5"/>
    <w:rsid w:val="3C8D4962"/>
    <w:rsid w:val="3C92368E"/>
    <w:rsid w:val="3CB4B927"/>
    <w:rsid w:val="3CB59645"/>
    <w:rsid w:val="3CC4E9BF"/>
    <w:rsid w:val="3CCA7739"/>
    <w:rsid w:val="3CCFF261"/>
    <w:rsid w:val="3CD4EF8C"/>
    <w:rsid w:val="3CD6EEFB"/>
    <w:rsid w:val="3CDC9C92"/>
    <w:rsid w:val="3CE9EA14"/>
    <w:rsid w:val="3CF90D51"/>
    <w:rsid w:val="3D10B8A4"/>
    <w:rsid w:val="3D1A555A"/>
    <w:rsid w:val="3D1CE186"/>
    <w:rsid w:val="3D262014"/>
    <w:rsid w:val="3D34A38C"/>
    <w:rsid w:val="3D3D49C4"/>
    <w:rsid w:val="3D4E8061"/>
    <w:rsid w:val="3D51DC55"/>
    <w:rsid w:val="3D52A964"/>
    <w:rsid w:val="3D5C065E"/>
    <w:rsid w:val="3D75FBEB"/>
    <w:rsid w:val="3D7B0DE4"/>
    <w:rsid w:val="3D7D08FD"/>
    <w:rsid w:val="3D802F2B"/>
    <w:rsid w:val="3D853699"/>
    <w:rsid w:val="3D8B7AAF"/>
    <w:rsid w:val="3DA150FC"/>
    <w:rsid w:val="3DA77848"/>
    <w:rsid w:val="3DAD75D0"/>
    <w:rsid w:val="3DAD92F3"/>
    <w:rsid w:val="3DAEF727"/>
    <w:rsid w:val="3DB621EA"/>
    <w:rsid w:val="3DCC1CFA"/>
    <w:rsid w:val="3DDC2413"/>
    <w:rsid w:val="3DE1427A"/>
    <w:rsid w:val="3DEAAEE6"/>
    <w:rsid w:val="3DF93B8B"/>
    <w:rsid w:val="3E07D6B3"/>
    <w:rsid w:val="3E08C142"/>
    <w:rsid w:val="3E1302A5"/>
    <w:rsid w:val="3E283F41"/>
    <w:rsid w:val="3E2F0FF8"/>
    <w:rsid w:val="3E353E26"/>
    <w:rsid w:val="3E3A187E"/>
    <w:rsid w:val="3E3B30D0"/>
    <w:rsid w:val="3E499C92"/>
    <w:rsid w:val="3E4A2C03"/>
    <w:rsid w:val="3E609764"/>
    <w:rsid w:val="3E6A3FAC"/>
    <w:rsid w:val="3E6DD94A"/>
    <w:rsid w:val="3E81CA6A"/>
    <w:rsid w:val="3E82FAB6"/>
    <w:rsid w:val="3E849317"/>
    <w:rsid w:val="3E89DE6D"/>
    <w:rsid w:val="3EA3101C"/>
    <w:rsid w:val="3EA917A0"/>
    <w:rsid w:val="3EB4D9EE"/>
    <w:rsid w:val="3EB9BB3E"/>
    <w:rsid w:val="3EC4E332"/>
    <w:rsid w:val="3EC8D992"/>
    <w:rsid w:val="3EDFE5BB"/>
    <w:rsid w:val="3EEC73B8"/>
    <w:rsid w:val="3EFD9AFB"/>
    <w:rsid w:val="3EFEEBF0"/>
    <w:rsid w:val="3F00DF52"/>
    <w:rsid w:val="3F06F149"/>
    <w:rsid w:val="3F0F5530"/>
    <w:rsid w:val="3F1C5DBF"/>
    <w:rsid w:val="3F1F46F7"/>
    <w:rsid w:val="3F3691E5"/>
    <w:rsid w:val="3F39C744"/>
    <w:rsid w:val="3F3B6DF7"/>
    <w:rsid w:val="3F4478FF"/>
    <w:rsid w:val="3F5928B6"/>
    <w:rsid w:val="3F594FF1"/>
    <w:rsid w:val="3F5CE75C"/>
    <w:rsid w:val="3F76111B"/>
    <w:rsid w:val="3F7AEF5B"/>
    <w:rsid w:val="3F80DBBB"/>
    <w:rsid w:val="3F837886"/>
    <w:rsid w:val="3F865F56"/>
    <w:rsid w:val="3F9C4B83"/>
    <w:rsid w:val="3FA29FC4"/>
    <w:rsid w:val="3FA6268D"/>
    <w:rsid w:val="3FB5C324"/>
    <w:rsid w:val="3FB89A13"/>
    <w:rsid w:val="3FC36640"/>
    <w:rsid w:val="3FC8926D"/>
    <w:rsid w:val="3FCF9871"/>
    <w:rsid w:val="3FD8060A"/>
    <w:rsid w:val="3FE3D348"/>
    <w:rsid w:val="3FE6C79C"/>
    <w:rsid w:val="3FEA3ACB"/>
    <w:rsid w:val="3FEC66E2"/>
    <w:rsid w:val="3FF35FB0"/>
    <w:rsid w:val="3FF8D295"/>
    <w:rsid w:val="40044772"/>
    <w:rsid w:val="401D3D0C"/>
    <w:rsid w:val="402043F4"/>
    <w:rsid w:val="403781F2"/>
    <w:rsid w:val="403A711E"/>
    <w:rsid w:val="403EE07D"/>
    <w:rsid w:val="40483544"/>
    <w:rsid w:val="40558B9F"/>
    <w:rsid w:val="4067B59B"/>
    <w:rsid w:val="406FE9B4"/>
    <w:rsid w:val="407DC3B7"/>
    <w:rsid w:val="40853CE6"/>
    <w:rsid w:val="40884062"/>
    <w:rsid w:val="4089FE44"/>
    <w:rsid w:val="4099B492"/>
    <w:rsid w:val="409C011C"/>
    <w:rsid w:val="409F05CC"/>
    <w:rsid w:val="40A6CB4A"/>
    <w:rsid w:val="40AD9CAD"/>
    <w:rsid w:val="40BF8ED0"/>
    <w:rsid w:val="40CC1A86"/>
    <w:rsid w:val="40CFB0C0"/>
    <w:rsid w:val="40D9C23D"/>
    <w:rsid w:val="40F036E7"/>
    <w:rsid w:val="41050908"/>
    <w:rsid w:val="41069977"/>
    <w:rsid w:val="4120B6A9"/>
    <w:rsid w:val="41224C59"/>
    <w:rsid w:val="4127B1A5"/>
    <w:rsid w:val="413421E8"/>
    <w:rsid w:val="41398117"/>
    <w:rsid w:val="4144DF6A"/>
    <w:rsid w:val="41481962"/>
    <w:rsid w:val="414DBF56"/>
    <w:rsid w:val="4158EA0F"/>
    <w:rsid w:val="4159A278"/>
    <w:rsid w:val="41600045"/>
    <w:rsid w:val="41615982"/>
    <w:rsid w:val="416A9AEB"/>
    <w:rsid w:val="417E47CF"/>
    <w:rsid w:val="41809788"/>
    <w:rsid w:val="41875989"/>
    <w:rsid w:val="41883743"/>
    <w:rsid w:val="419EF593"/>
    <w:rsid w:val="41AF9005"/>
    <w:rsid w:val="41B391E8"/>
    <w:rsid w:val="41B6F189"/>
    <w:rsid w:val="41BA0D91"/>
    <w:rsid w:val="41C0BCA8"/>
    <w:rsid w:val="41C14217"/>
    <w:rsid w:val="41CA4984"/>
    <w:rsid w:val="41CD60B6"/>
    <w:rsid w:val="41D9214D"/>
    <w:rsid w:val="41E02F72"/>
    <w:rsid w:val="41E73D30"/>
    <w:rsid w:val="41F1D291"/>
    <w:rsid w:val="41FB8CA3"/>
    <w:rsid w:val="41FCF3DB"/>
    <w:rsid w:val="420C193C"/>
    <w:rsid w:val="421103D2"/>
    <w:rsid w:val="4220C723"/>
    <w:rsid w:val="4234B03A"/>
    <w:rsid w:val="423D2796"/>
    <w:rsid w:val="4251C8DD"/>
    <w:rsid w:val="426945BE"/>
    <w:rsid w:val="4269B669"/>
    <w:rsid w:val="426E64DD"/>
    <w:rsid w:val="42713D76"/>
    <w:rsid w:val="427E377F"/>
    <w:rsid w:val="427F946E"/>
    <w:rsid w:val="428665C0"/>
    <w:rsid w:val="4292DDA9"/>
    <w:rsid w:val="429C51E1"/>
    <w:rsid w:val="42A86CE1"/>
    <w:rsid w:val="42B2831E"/>
    <w:rsid w:val="42BBE223"/>
    <w:rsid w:val="42C34300"/>
    <w:rsid w:val="42D29F85"/>
    <w:rsid w:val="42ED8865"/>
    <w:rsid w:val="42F03AD5"/>
    <w:rsid w:val="42F2281F"/>
    <w:rsid w:val="4302B4BF"/>
    <w:rsid w:val="4303E9FA"/>
    <w:rsid w:val="43074F55"/>
    <w:rsid w:val="430E537F"/>
    <w:rsid w:val="4322670B"/>
    <w:rsid w:val="4323C40C"/>
    <w:rsid w:val="432407A4"/>
    <w:rsid w:val="432EFFFB"/>
    <w:rsid w:val="4330A10C"/>
    <w:rsid w:val="433243F6"/>
    <w:rsid w:val="433D0A21"/>
    <w:rsid w:val="434166AF"/>
    <w:rsid w:val="434B7EB4"/>
    <w:rsid w:val="436440D1"/>
    <w:rsid w:val="436C7FB1"/>
    <w:rsid w:val="438DE8A5"/>
    <w:rsid w:val="43901472"/>
    <w:rsid w:val="43C668E3"/>
    <w:rsid w:val="43CBB061"/>
    <w:rsid w:val="43D5DEF9"/>
    <w:rsid w:val="43D6EE5C"/>
    <w:rsid w:val="43D7F321"/>
    <w:rsid w:val="43D8B24D"/>
    <w:rsid w:val="43E53D6F"/>
    <w:rsid w:val="43E6CC92"/>
    <w:rsid w:val="43ED0AF6"/>
    <w:rsid w:val="43EFB6B4"/>
    <w:rsid w:val="43F12C3E"/>
    <w:rsid w:val="43F1B970"/>
    <w:rsid w:val="43F2566C"/>
    <w:rsid w:val="43F4EED7"/>
    <w:rsid w:val="4417CA97"/>
    <w:rsid w:val="4427AED8"/>
    <w:rsid w:val="442F8C83"/>
    <w:rsid w:val="44302652"/>
    <w:rsid w:val="44302D0B"/>
    <w:rsid w:val="44347D6C"/>
    <w:rsid w:val="44376316"/>
    <w:rsid w:val="443BF565"/>
    <w:rsid w:val="4443F833"/>
    <w:rsid w:val="44442CDE"/>
    <w:rsid w:val="44469AEA"/>
    <w:rsid w:val="4449FB65"/>
    <w:rsid w:val="444D2C9F"/>
    <w:rsid w:val="444E0A98"/>
    <w:rsid w:val="4450151E"/>
    <w:rsid w:val="446BD287"/>
    <w:rsid w:val="447AFF40"/>
    <w:rsid w:val="4483E9E9"/>
    <w:rsid w:val="4485FD59"/>
    <w:rsid w:val="4486DA87"/>
    <w:rsid w:val="44A06863"/>
    <w:rsid w:val="44A3D67A"/>
    <w:rsid w:val="44A4E20C"/>
    <w:rsid w:val="44A575C8"/>
    <w:rsid w:val="44BFF46D"/>
    <w:rsid w:val="44C6D16C"/>
    <w:rsid w:val="44D2E189"/>
    <w:rsid w:val="44D4992D"/>
    <w:rsid w:val="44D79E27"/>
    <w:rsid w:val="44FB0955"/>
    <w:rsid w:val="45066302"/>
    <w:rsid w:val="450AF315"/>
    <w:rsid w:val="4510DE4B"/>
    <w:rsid w:val="4518F591"/>
    <w:rsid w:val="45237E35"/>
    <w:rsid w:val="45238E18"/>
    <w:rsid w:val="4523BFFA"/>
    <w:rsid w:val="4535E09A"/>
    <w:rsid w:val="453FC6E3"/>
    <w:rsid w:val="456225DD"/>
    <w:rsid w:val="456315DB"/>
    <w:rsid w:val="457092F4"/>
    <w:rsid w:val="4582F655"/>
    <w:rsid w:val="459D3810"/>
    <w:rsid w:val="459F70FE"/>
    <w:rsid w:val="45A3F207"/>
    <w:rsid w:val="45BEA527"/>
    <w:rsid w:val="45C3A920"/>
    <w:rsid w:val="45CDE864"/>
    <w:rsid w:val="45D3F2A3"/>
    <w:rsid w:val="45DD218B"/>
    <w:rsid w:val="45E97471"/>
    <w:rsid w:val="45EF3C24"/>
    <w:rsid w:val="45FBA9D2"/>
    <w:rsid w:val="461617FD"/>
    <w:rsid w:val="461F60EE"/>
    <w:rsid w:val="4620EC87"/>
    <w:rsid w:val="4622F8C8"/>
    <w:rsid w:val="46245DD2"/>
    <w:rsid w:val="4630189F"/>
    <w:rsid w:val="46316B63"/>
    <w:rsid w:val="4659485C"/>
    <w:rsid w:val="465DC30E"/>
    <w:rsid w:val="466379A6"/>
    <w:rsid w:val="46640A22"/>
    <w:rsid w:val="46673B6A"/>
    <w:rsid w:val="466B8A05"/>
    <w:rsid w:val="466C218D"/>
    <w:rsid w:val="4670BEB0"/>
    <w:rsid w:val="467A7AD9"/>
    <w:rsid w:val="46818395"/>
    <w:rsid w:val="468C0268"/>
    <w:rsid w:val="4697BC2B"/>
    <w:rsid w:val="469C4F6C"/>
    <w:rsid w:val="46A6C376"/>
    <w:rsid w:val="46BCB378"/>
    <w:rsid w:val="46C91C28"/>
    <w:rsid w:val="46CF5BE2"/>
    <w:rsid w:val="46E338CD"/>
    <w:rsid w:val="46FA8CFA"/>
    <w:rsid w:val="4700FD48"/>
    <w:rsid w:val="47049255"/>
    <w:rsid w:val="4720AAC3"/>
    <w:rsid w:val="4721111D"/>
    <w:rsid w:val="4723DCFB"/>
    <w:rsid w:val="47245C9D"/>
    <w:rsid w:val="472DADE5"/>
    <w:rsid w:val="4736D85F"/>
    <w:rsid w:val="4741D600"/>
    <w:rsid w:val="47473AC6"/>
    <w:rsid w:val="474C5323"/>
    <w:rsid w:val="4752C53E"/>
    <w:rsid w:val="475A919E"/>
    <w:rsid w:val="475F4F9A"/>
    <w:rsid w:val="47651C72"/>
    <w:rsid w:val="4766B497"/>
    <w:rsid w:val="4768AFB6"/>
    <w:rsid w:val="4772C214"/>
    <w:rsid w:val="4780FAFF"/>
    <w:rsid w:val="47896EA6"/>
    <w:rsid w:val="47A46E2F"/>
    <w:rsid w:val="47B227DE"/>
    <w:rsid w:val="47C0DB80"/>
    <w:rsid w:val="47CA0C2F"/>
    <w:rsid w:val="47D645AF"/>
    <w:rsid w:val="47D942A5"/>
    <w:rsid w:val="47E05A2A"/>
    <w:rsid w:val="47F17D43"/>
    <w:rsid w:val="4806121A"/>
    <w:rsid w:val="4807AECF"/>
    <w:rsid w:val="48181B1D"/>
    <w:rsid w:val="481A544D"/>
    <w:rsid w:val="482B9DBC"/>
    <w:rsid w:val="484D12C3"/>
    <w:rsid w:val="484E2761"/>
    <w:rsid w:val="48573B74"/>
    <w:rsid w:val="485DC4D8"/>
    <w:rsid w:val="4863EAA1"/>
    <w:rsid w:val="48754B88"/>
    <w:rsid w:val="487DCA3E"/>
    <w:rsid w:val="4880545C"/>
    <w:rsid w:val="488761E3"/>
    <w:rsid w:val="4891BBAE"/>
    <w:rsid w:val="489A493D"/>
    <w:rsid w:val="48ACBD6C"/>
    <w:rsid w:val="48B76D47"/>
    <w:rsid w:val="48B7D617"/>
    <w:rsid w:val="48C461BE"/>
    <w:rsid w:val="48C537BE"/>
    <w:rsid w:val="48D0C87B"/>
    <w:rsid w:val="48E19CC6"/>
    <w:rsid w:val="48E3206B"/>
    <w:rsid w:val="48E5DCE4"/>
    <w:rsid w:val="49030A13"/>
    <w:rsid w:val="49103BAD"/>
    <w:rsid w:val="49202167"/>
    <w:rsid w:val="4929FA43"/>
    <w:rsid w:val="4930313A"/>
    <w:rsid w:val="493280B8"/>
    <w:rsid w:val="493AF36A"/>
    <w:rsid w:val="4940D30B"/>
    <w:rsid w:val="49565A07"/>
    <w:rsid w:val="4956AC71"/>
    <w:rsid w:val="495BE30B"/>
    <w:rsid w:val="497BF2E3"/>
    <w:rsid w:val="497C7F56"/>
    <w:rsid w:val="498DD715"/>
    <w:rsid w:val="49934928"/>
    <w:rsid w:val="49A33C49"/>
    <w:rsid w:val="49BB263C"/>
    <w:rsid w:val="49C085FA"/>
    <w:rsid w:val="49C17B06"/>
    <w:rsid w:val="49CC6250"/>
    <w:rsid w:val="49CDFB73"/>
    <w:rsid w:val="49D21AF6"/>
    <w:rsid w:val="49D31B13"/>
    <w:rsid w:val="49E1B259"/>
    <w:rsid w:val="49F0B8B6"/>
    <w:rsid w:val="4A155914"/>
    <w:rsid w:val="4A1BE13E"/>
    <w:rsid w:val="4A1D1E37"/>
    <w:rsid w:val="4A345ECD"/>
    <w:rsid w:val="4A48CAFC"/>
    <w:rsid w:val="4A4ABA7D"/>
    <w:rsid w:val="4A4EE891"/>
    <w:rsid w:val="4A5EC85A"/>
    <w:rsid w:val="4A66395B"/>
    <w:rsid w:val="4A7433C5"/>
    <w:rsid w:val="4A757719"/>
    <w:rsid w:val="4A7654E3"/>
    <w:rsid w:val="4A7858EB"/>
    <w:rsid w:val="4A882067"/>
    <w:rsid w:val="4A8BA940"/>
    <w:rsid w:val="4A8ED7EB"/>
    <w:rsid w:val="4A9B13D0"/>
    <w:rsid w:val="4A9D078C"/>
    <w:rsid w:val="4ABF56A2"/>
    <w:rsid w:val="4AC7321A"/>
    <w:rsid w:val="4AD060C3"/>
    <w:rsid w:val="4AD17366"/>
    <w:rsid w:val="4AD2D5B0"/>
    <w:rsid w:val="4AD5C175"/>
    <w:rsid w:val="4ADA9387"/>
    <w:rsid w:val="4AE6B520"/>
    <w:rsid w:val="4AE79F6E"/>
    <w:rsid w:val="4AF22A68"/>
    <w:rsid w:val="4AF23828"/>
    <w:rsid w:val="4AF8F4BD"/>
    <w:rsid w:val="4B1D1FA2"/>
    <w:rsid w:val="4B202667"/>
    <w:rsid w:val="4B20BA69"/>
    <w:rsid w:val="4B253546"/>
    <w:rsid w:val="4B38D318"/>
    <w:rsid w:val="4B3B3D71"/>
    <w:rsid w:val="4B4D982C"/>
    <w:rsid w:val="4B53D4EA"/>
    <w:rsid w:val="4B806732"/>
    <w:rsid w:val="4B826269"/>
    <w:rsid w:val="4B870A24"/>
    <w:rsid w:val="4B8B7889"/>
    <w:rsid w:val="4B986E5A"/>
    <w:rsid w:val="4B9910F6"/>
    <w:rsid w:val="4B9A4DCF"/>
    <w:rsid w:val="4BA656E9"/>
    <w:rsid w:val="4BB60EC0"/>
    <w:rsid w:val="4BB9E82F"/>
    <w:rsid w:val="4BC149C1"/>
    <w:rsid w:val="4BC6714A"/>
    <w:rsid w:val="4BCEC206"/>
    <w:rsid w:val="4BD29B71"/>
    <w:rsid w:val="4BD568E6"/>
    <w:rsid w:val="4BE6E613"/>
    <w:rsid w:val="4BE7AD17"/>
    <w:rsid w:val="4BE9B662"/>
    <w:rsid w:val="4BEDEECF"/>
    <w:rsid w:val="4BF1E55F"/>
    <w:rsid w:val="4C09684F"/>
    <w:rsid w:val="4C190C5D"/>
    <w:rsid w:val="4C1ABDA9"/>
    <w:rsid w:val="4C1DFF91"/>
    <w:rsid w:val="4C1ED56A"/>
    <w:rsid w:val="4C253B8B"/>
    <w:rsid w:val="4C2681FA"/>
    <w:rsid w:val="4C3D2415"/>
    <w:rsid w:val="4C4E14CF"/>
    <w:rsid w:val="4C5B2703"/>
    <w:rsid w:val="4C658281"/>
    <w:rsid w:val="4C6A8416"/>
    <w:rsid w:val="4C718E86"/>
    <w:rsid w:val="4C855DA5"/>
    <w:rsid w:val="4C8CBFBD"/>
    <w:rsid w:val="4C91FEB6"/>
    <w:rsid w:val="4C95D756"/>
    <w:rsid w:val="4C9E0535"/>
    <w:rsid w:val="4CA93B9B"/>
    <w:rsid w:val="4CB3B9D3"/>
    <w:rsid w:val="4CBA9773"/>
    <w:rsid w:val="4CCD6355"/>
    <w:rsid w:val="4CD75615"/>
    <w:rsid w:val="4CDD224F"/>
    <w:rsid w:val="4CE7636C"/>
    <w:rsid w:val="4CEB28D5"/>
    <w:rsid w:val="4CFC74C2"/>
    <w:rsid w:val="4D004467"/>
    <w:rsid w:val="4D0AD5B4"/>
    <w:rsid w:val="4D28A7F9"/>
    <w:rsid w:val="4D28D3C1"/>
    <w:rsid w:val="4D2D74A1"/>
    <w:rsid w:val="4D355929"/>
    <w:rsid w:val="4D44F0D4"/>
    <w:rsid w:val="4D51496D"/>
    <w:rsid w:val="4D51C96F"/>
    <w:rsid w:val="4D58D13A"/>
    <w:rsid w:val="4D6BFF8F"/>
    <w:rsid w:val="4D7616B7"/>
    <w:rsid w:val="4D8D3AF9"/>
    <w:rsid w:val="4D9158F8"/>
    <w:rsid w:val="4DA6CA91"/>
    <w:rsid w:val="4DBB1E92"/>
    <w:rsid w:val="4DC34F8B"/>
    <w:rsid w:val="4DC3C4AA"/>
    <w:rsid w:val="4DC40825"/>
    <w:rsid w:val="4DD7E8CF"/>
    <w:rsid w:val="4DDD6FE7"/>
    <w:rsid w:val="4DE455A0"/>
    <w:rsid w:val="4DE7382C"/>
    <w:rsid w:val="4DF874C5"/>
    <w:rsid w:val="4E0EA93D"/>
    <w:rsid w:val="4E1F260E"/>
    <w:rsid w:val="4E1F6942"/>
    <w:rsid w:val="4E22B414"/>
    <w:rsid w:val="4E2ABFD3"/>
    <w:rsid w:val="4E400920"/>
    <w:rsid w:val="4E50C4DC"/>
    <w:rsid w:val="4E66BA4B"/>
    <w:rsid w:val="4E691014"/>
    <w:rsid w:val="4E7CA6E7"/>
    <w:rsid w:val="4E81E11E"/>
    <w:rsid w:val="4E820116"/>
    <w:rsid w:val="4E8FD304"/>
    <w:rsid w:val="4E9577E4"/>
    <w:rsid w:val="4E9FCFA1"/>
    <w:rsid w:val="4EAA3494"/>
    <w:rsid w:val="4EAB48FB"/>
    <w:rsid w:val="4EB162B2"/>
    <w:rsid w:val="4EBED9B5"/>
    <w:rsid w:val="4EC27147"/>
    <w:rsid w:val="4EC28D9D"/>
    <w:rsid w:val="4ED743EC"/>
    <w:rsid w:val="4ED8EEF0"/>
    <w:rsid w:val="4EE00AFF"/>
    <w:rsid w:val="4EE3B228"/>
    <w:rsid w:val="4EF0FE88"/>
    <w:rsid w:val="4F02E7DF"/>
    <w:rsid w:val="4F0C8FD4"/>
    <w:rsid w:val="4F12B11F"/>
    <w:rsid w:val="4F15C687"/>
    <w:rsid w:val="4F1689B6"/>
    <w:rsid w:val="4F25E878"/>
    <w:rsid w:val="4F2B8A6B"/>
    <w:rsid w:val="4F4125D6"/>
    <w:rsid w:val="4F5AAE0E"/>
    <w:rsid w:val="4F661042"/>
    <w:rsid w:val="4F70B9CD"/>
    <w:rsid w:val="4F72ED1A"/>
    <w:rsid w:val="4F7D38A9"/>
    <w:rsid w:val="4F7D3CC9"/>
    <w:rsid w:val="4F94F692"/>
    <w:rsid w:val="4F991738"/>
    <w:rsid w:val="4F9DA58F"/>
    <w:rsid w:val="4FAE8B9F"/>
    <w:rsid w:val="4FC4AA8D"/>
    <w:rsid w:val="4FCE821A"/>
    <w:rsid w:val="4FCF842B"/>
    <w:rsid w:val="4FD0D249"/>
    <w:rsid w:val="4FD12F52"/>
    <w:rsid w:val="4FD20CDA"/>
    <w:rsid w:val="4FDFEFC2"/>
    <w:rsid w:val="4FEAB125"/>
    <w:rsid w:val="4FF945F0"/>
    <w:rsid w:val="501BA1C1"/>
    <w:rsid w:val="5023A3E2"/>
    <w:rsid w:val="50283C94"/>
    <w:rsid w:val="50393B0E"/>
    <w:rsid w:val="5039C5EE"/>
    <w:rsid w:val="5044EFCA"/>
    <w:rsid w:val="5054DEB1"/>
    <w:rsid w:val="5056829F"/>
    <w:rsid w:val="50612707"/>
    <w:rsid w:val="50672C45"/>
    <w:rsid w:val="5073BEEA"/>
    <w:rsid w:val="507E5298"/>
    <w:rsid w:val="50810027"/>
    <w:rsid w:val="508312AC"/>
    <w:rsid w:val="508A0D9A"/>
    <w:rsid w:val="509242D3"/>
    <w:rsid w:val="5096642A"/>
    <w:rsid w:val="50969A59"/>
    <w:rsid w:val="50A1CD61"/>
    <w:rsid w:val="50A3A051"/>
    <w:rsid w:val="50AB3AC9"/>
    <w:rsid w:val="50B656B8"/>
    <w:rsid w:val="50CE0E7D"/>
    <w:rsid w:val="50E0E7EE"/>
    <w:rsid w:val="50EF826A"/>
    <w:rsid w:val="50F480AD"/>
    <w:rsid w:val="50F7A853"/>
    <w:rsid w:val="50F84048"/>
    <w:rsid w:val="50FA13E2"/>
    <w:rsid w:val="511ACCFA"/>
    <w:rsid w:val="511EDBB5"/>
    <w:rsid w:val="51241DE7"/>
    <w:rsid w:val="5129125D"/>
    <w:rsid w:val="512D304A"/>
    <w:rsid w:val="5130351D"/>
    <w:rsid w:val="5132DC84"/>
    <w:rsid w:val="513B5485"/>
    <w:rsid w:val="5142E604"/>
    <w:rsid w:val="5146A8F5"/>
    <w:rsid w:val="51669FCE"/>
    <w:rsid w:val="516A65FD"/>
    <w:rsid w:val="516B6F7E"/>
    <w:rsid w:val="518A97A8"/>
    <w:rsid w:val="51ACF000"/>
    <w:rsid w:val="51B57487"/>
    <w:rsid w:val="51BD770A"/>
    <w:rsid w:val="51BFE682"/>
    <w:rsid w:val="51C0C408"/>
    <w:rsid w:val="51CFE738"/>
    <w:rsid w:val="51D5FAEE"/>
    <w:rsid w:val="51E8EE98"/>
    <w:rsid w:val="51FDCCA9"/>
    <w:rsid w:val="5200C154"/>
    <w:rsid w:val="5201B504"/>
    <w:rsid w:val="5204A2D4"/>
    <w:rsid w:val="521F6081"/>
    <w:rsid w:val="5234B137"/>
    <w:rsid w:val="523D4902"/>
    <w:rsid w:val="52539B25"/>
    <w:rsid w:val="526042FC"/>
    <w:rsid w:val="52638FF2"/>
    <w:rsid w:val="52650742"/>
    <w:rsid w:val="526B2827"/>
    <w:rsid w:val="526BF96C"/>
    <w:rsid w:val="52721550"/>
    <w:rsid w:val="5275E566"/>
    <w:rsid w:val="52891D67"/>
    <w:rsid w:val="528E838D"/>
    <w:rsid w:val="529307F7"/>
    <w:rsid w:val="52A31A41"/>
    <w:rsid w:val="52B67835"/>
    <w:rsid w:val="52BD42EA"/>
    <w:rsid w:val="52BDB4A7"/>
    <w:rsid w:val="52CA4940"/>
    <w:rsid w:val="52D5568D"/>
    <w:rsid w:val="52E4E225"/>
    <w:rsid w:val="52EEFE63"/>
    <w:rsid w:val="52F62D78"/>
    <w:rsid w:val="5301403A"/>
    <w:rsid w:val="53120FEF"/>
    <w:rsid w:val="531FDB51"/>
    <w:rsid w:val="53271012"/>
    <w:rsid w:val="5331166E"/>
    <w:rsid w:val="5333ADAF"/>
    <w:rsid w:val="5334346E"/>
    <w:rsid w:val="53363922"/>
    <w:rsid w:val="5338D458"/>
    <w:rsid w:val="53413B5D"/>
    <w:rsid w:val="5343B8B3"/>
    <w:rsid w:val="534412AB"/>
    <w:rsid w:val="5351F885"/>
    <w:rsid w:val="5357EE8D"/>
    <w:rsid w:val="5364DFFF"/>
    <w:rsid w:val="536B2DB7"/>
    <w:rsid w:val="536E27C5"/>
    <w:rsid w:val="537ADA6F"/>
    <w:rsid w:val="537EB008"/>
    <w:rsid w:val="5384617F"/>
    <w:rsid w:val="53897629"/>
    <w:rsid w:val="53960765"/>
    <w:rsid w:val="539A53B0"/>
    <w:rsid w:val="53A60427"/>
    <w:rsid w:val="53A7A0E8"/>
    <w:rsid w:val="53AF97AE"/>
    <w:rsid w:val="53AFEC0F"/>
    <w:rsid w:val="53B22B6C"/>
    <w:rsid w:val="53B3CE61"/>
    <w:rsid w:val="53BD0D07"/>
    <w:rsid w:val="53D47206"/>
    <w:rsid w:val="53EF5762"/>
    <w:rsid w:val="53FA2192"/>
    <w:rsid w:val="540C8F5D"/>
    <w:rsid w:val="54108178"/>
    <w:rsid w:val="5410A595"/>
    <w:rsid w:val="5414C148"/>
    <w:rsid w:val="5414C604"/>
    <w:rsid w:val="541BE726"/>
    <w:rsid w:val="541E2948"/>
    <w:rsid w:val="541FB67F"/>
    <w:rsid w:val="5424736D"/>
    <w:rsid w:val="5429637F"/>
    <w:rsid w:val="542EB35F"/>
    <w:rsid w:val="54318867"/>
    <w:rsid w:val="544730B6"/>
    <w:rsid w:val="544B5093"/>
    <w:rsid w:val="544F5409"/>
    <w:rsid w:val="5458026D"/>
    <w:rsid w:val="546E8518"/>
    <w:rsid w:val="5479BDED"/>
    <w:rsid w:val="547E0020"/>
    <w:rsid w:val="547F7FF2"/>
    <w:rsid w:val="5486F7AE"/>
    <w:rsid w:val="54900ED6"/>
    <w:rsid w:val="54A8BF7C"/>
    <w:rsid w:val="54B94FDA"/>
    <w:rsid w:val="54BA2B6E"/>
    <w:rsid w:val="54C1A8CE"/>
    <w:rsid w:val="54C88117"/>
    <w:rsid w:val="54D302D6"/>
    <w:rsid w:val="54DC3557"/>
    <w:rsid w:val="54DDE206"/>
    <w:rsid w:val="54E560ED"/>
    <w:rsid w:val="54E95EEF"/>
    <w:rsid w:val="54EC9DA2"/>
    <w:rsid w:val="54ECE1B4"/>
    <w:rsid w:val="54F8229C"/>
    <w:rsid w:val="54FE4753"/>
    <w:rsid w:val="55062FB7"/>
    <w:rsid w:val="550AA46A"/>
    <w:rsid w:val="550D875A"/>
    <w:rsid w:val="550D9BB0"/>
    <w:rsid w:val="551B3972"/>
    <w:rsid w:val="5531D7C6"/>
    <w:rsid w:val="553653DE"/>
    <w:rsid w:val="5545C680"/>
    <w:rsid w:val="5546E12A"/>
    <w:rsid w:val="554C1F62"/>
    <w:rsid w:val="554EC589"/>
    <w:rsid w:val="5554C9B4"/>
    <w:rsid w:val="5577E2C1"/>
    <w:rsid w:val="557BDC0C"/>
    <w:rsid w:val="558F0F3E"/>
    <w:rsid w:val="558FD294"/>
    <w:rsid w:val="5599B5BD"/>
    <w:rsid w:val="55B09665"/>
    <w:rsid w:val="55B87189"/>
    <w:rsid w:val="55BB6FA3"/>
    <w:rsid w:val="55C23224"/>
    <w:rsid w:val="55C986D9"/>
    <w:rsid w:val="55DD21A8"/>
    <w:rsid w:val="55F446E4"/>
    <w:rsid w:val="5606D670"/>
    <w:rsid w:val="5607F0AD"/>
    <w:rsid w:val="560880DE"/>
    <w:rsid w:val="5609E4C1"/>
    <w:rsid w:val="562850DD"/>
    <w:rsid w:val="5629053A"/>
    <w:rsid w:val="5632949F"/>
    <w:rsid w:val="5648A7F3"/>
    <w:rsid w:val="564B1FEC"/>
    <w:rsid w:val="56525E52"/>
    <w:rsid w:val="5671281B"/>
    <w:rsid w:val="5671D307"/>
    <w:rsid w:val="56A028A5"/>
    <w:rsid w:val="56A37341"/>
    <w:rsid w:val="56A4A773"/>
    <w:rsid w:val="56A57391"/>
    <w:rsid w:val="56A797B0"/>
    <w:rsid w:val="56B00D4A"/>
    <w:rsid w:val="56B1D120"/>
    <w:rsid w:val="56BC1FB4"/>
    <w:rsid w:val="56C6CD71"/>
    <w:rsid w:val="56CD9A92"/>
    <w:rsid w:val="56DCCDDB"/>
    <w:rsid w:val="56DD6F9A"/>
    <w:rsid w:val="56DE4473"/>
    <w:rsid w:val="56E29D2A"/>
    <w:rsid w:val="56E45F39"/>
    <w:rsid w:val="56E704D2"/>
    <w:rsid w:val="56EBFAAA"/>
    <w:rsid w:val="56EE4373"/>
    <w:rsid w:val="56F44D45"/>
    <w:rsid w:val="56F95A13"/>
    <w:rsid w:val="571BA4BE"/>
    <w:rsid w:val="57280CD1"/>
    <w:rsid w:val="572A2CB8"/>
    <w:rsid w:val="5734B97A"/>
    <w:rsid w:val="573BD59E"/>
    <w:rsid w:val="5742BD08"/>
    <w:rsid w:val="5753A496"/>
    <w:rsid w:val="577C4B61"/>
    <w:rsid w:val="5782B623"/>
    <w:rsid w:val="5784534D"/>
    <w:rsid w:val="57938241"/>
    <w:rsid w:val="5796BB86"/>
    <w:rsid w:val="579E0B97"/>
    <w:rsid w:val="57A168F2"/>
    <w:rsid w:val="57A5B522"/>
    <w:rsid w:val="57A7067B"/>
    <w:rsid w:val="57A97828"/>
    <w:rsid w:val="57AA83B8"/>
    <w:rsid w:val="57B5EE68"/>
    <w:rsid w:val="57BC6554"/>
    <w:rsid w:val="57C8CC76"/>
    <w:rsid w:val="57CC7250"/>
    <w:rsid w:val="57D89DC0"/>
    <w:rsid w:val="57E0F0FE"/>
    <w:rsid w:val="57EBBA34"/>
    <w:rsid w:val="57F117A2"/>
    <w:rsid w:val="57F7F657"/>
    <w:rsid w:val="57FF675A"/>
    <w:rsid w:val="5804D4ED"/>
    <w:rsid w:val="58170C6C"/>
    <w:rsid w:val="581941E5"/>
    <w:rsid w:val="5820D461"/>
    <w:rsid w:val="58308A9C"/>
    <w:rsid w:val="5832F453"/>
    <w:rsid w:val="583C063F"/>
    <w:rsid w:val="583E0DA3"/>
    <w:rsid w:val="583F570C"/>
    <w:rsid w:val="584BE732"/>
    <w:rsid w:val="58600639"/>
    <w:rsid w:val="5860A527"/>
    <w:rsid w:val="58629DD2"/>
    <w:rsid w:val="5869D724"/>
    <w:rsid w:val="58754776"/>
    <w:rsid w:val="5875D6B8"/>
    <w:rsid w:val="58823709"/>
    <w:rsid w:val="588EE596"/>
    <w:rsid w:val="58A477BE"/>
    <w:rsid w:val="58A4A1A5"/>
    <w:rsid w:val="58A4D51B"/>
    <w:rsid w:val="58A71485"/>
    <w:rsid w:val="58C1585B"/>
    <w:rsid w:val="58D18351"/>
    <w:rsid w:val="58D41EBD"/>
    <w:rsid w:val="58D6971C"/>
    <w:rsid w:val="58DE4170"/>
    <w:rsid w:val="58E276D4"/>
    <w:rsid w:val="58F3CA2B"/>
    <w:rsid w:val="590440E7"/>
    <w:rsid w:val="590CA112"/>
    <w:rsid w:val="59134993"/>
    <w:rsid w:val="591C9B87"/>
    <w:rsid w:val="5924CA1C"/>
    <w:rsid w:val="592A0BE3"/>
    <w:rsid w:val="594F2B9D"/>
    <w:rsid w:val="594F89FA"/>
    <w:rsid w:val="5951EEC1"/>
    <w:rsid w:val="59558C6F"/>
    <w:rsid w:val="59597B95"/>
    <w:rsid w:val="595BB910"/>
    <w:rsid w:val="5961892D"/>
    <w:rsid w:val="596613C7"/>
    <w:rsid w:val="596E6524"/>
    <w:rsid w:val="596FEAA9"/>
    <w:rsid w:val="5970E64E"/>
    <w:rsid w:val="59808D5B"/>
    <w:rsid w:val="598EF966"/>
    <w:rsid w:val="5991A42F"/>
    <w:rsid w:val="59AA4F17"/>
    <w:rsid w:val="59B8A432"/>
    <w:rsid w:val="59C4EBC2"/>
    <w:rsid w:val="59C84270"/>
    <w:rsid w:val="59CBED41"/>
    <w:rsid w:val="59D3940C"/>
    <w:rsid w:val="59DCE416"/>
    <w:rsid w:val="59F48802"/>
    <w:rsid w:val="59FB1FE1"/>
    <w:rsid w:val="5A0787AB"/>
    <w:rsid w:val="5A08902C"/>
    <w:rsid w:val="5A19E91B"/>
    <w:rsid w:val="5A219BA5"/>
    <w:rsid w:val="5A27D7EA"/>
    <w:rsid w:val="5A2EB21A"/>
    <w:rsid w:val="5A2FB65C"/>
    <w:rsid w:val="5A326D77"/>
    <w:rsid w:val="5A3532F8"/>
    <w:rsid w:val="5A3FA988"/>
    <w:rsid w:val="5A5E048B"/>
    <w:rsid w:val="5A66333B"/>
    <w:rsid w:val="5A6DCE64"/>
    <w:rsid w:val="5A73D8F2"/>
    <w:rsid w:val="5A8178C9"/>
    <w:rsid w:val="5A890505"/>
    <w:rsid w:val="5A8C7DAC"/>
    <w:rsid w:val="5A9BB41C"/>
    <w:rsid w:val="5A9E68C1"/>
    <w:rsid w:val="5AA44B0F"/>
    <w:rsid w:val="5AB2BBDB"/>
    <w:rsid w:val="5AB876E7"/>
    <w:rsid w:val="5ABD46AB"/>
    <w:rsid w:val="5AC198F9"/>
    <w:rsid w:val="5AC20A3D"/>
    <w:rsid w:val="5AC42D87"/>
    <w:rsid w:val="5AC62F78"/>
    <w:rsid w:val="5ACA6188"/>
    <w:rsid w:val="5ACF2298"/>
    <w:rsid w:val="5AD22E1C"/>
    <w:rsid w:val="5AE3C195"/>
    <w:rsid w:val="5AE893F9"/>
    <w:rsid w:val="5AF22AE0"/>
    <w:rsid w:val="5AF38A67"/>
    <w:rsid w:val="5AFA1831"/>
    <w:rsid w:val="5B0EA5F6"/>
    <w:rsid w:val="5B102D6B"/>
    <w:rsid w:val="5B106122"/>
    <w:rsid w:val="5B15099C"/>
    <w:rsid w:val="5B15C46E"/>
    <w:rsid w:val="5B35B256"/>
    <w:rsid w:val="5B36FDBC"/>
    <w:rsid w:val="5B3A6D6C"/>
    <w:rsid w:val="5B43B556"/>
    <w:rsid w:val="5B472D17"/>
    <w:rsid w:val="5B48BE4C"/>
    <w:rsid w:val="5B51360F"/>
    <w:rsid w:val="5B51FFA5"/>
    <w:rsid w:val="5B60BB91"/>
    <w:rsid w:val="5B613A56"/>
    <w:rsid w:val="5B80C00D"/>
    <w:rsid w:val="5B820F27"/>
    <w:rsid w:val="5B8D6406"/>
    <w:rsid w:val="5B8DF0A4"/>
    <w:rsid w:val="5B8FD0DE"/>
    <w:rsid w:val="5B9330B9"/>
    <w:rsid w:val="5B9B29C9"/>
    <w:rsid w:val="5BA565AA"/>
    <w:rsid w:val="5BB1D9B0"/>
    <w:rsid w:val="5BB81D96"/>
    <w:rsid w:val="5BBB729E"/>
    <w:rsid w:val="5BC5E189"/>
    <w:rsid w:val="5BC762ED"/>
    <w:rsid w:val="5BDA8CFE"/>
    <w:rsid w:val="5BF345F2"/>
    <w:rsid w:val="5BFD9658"/>
    <w:rsid w:val="5C0CEA4A"/>
    <w:rsid w:val="5C172188"/>
    <w:rsid w:val="5C25F0F7"/>
    <w:rsid w:val="5C281F11"/>
    <w:rsid w:val="5C2CE520"/>
    <w:rsid w:val="5C2E13C8"/>
    <w:rsid w:val="5C2F58CA"/>
    <w:rsid w:val="5C39230E"/>
    <w:rsid w:val="5C4E536C"/>
    <w:rsid w:val="5C564F3E"/>
    <w:rsid w:val="5C68CDC1"/>
    <w:rsid w:val="5C6E1050"/>
    <w:rsid w:val="5C6FCA5F"/>
    <w:rsid w:val="5C7BA64B"/>
    <w:rsid w:val="5C8686E5"/>
    <w:rsid w:val="5C88B929"/>
    <w:rsid w:val="5C8B7070"/>
    <w:rsid w:val="5C921BD1"/>
    <w:rsid w:val="5C9505EE"/>
    <w:rsid w:val="5C9BE1F2"/>
    <w:rsid w:val="5C9C53D0"/>
    <w:rsid w:val="5CF85031"/>
    <w:rsid w:val="5D031BAB"/>
    <w:rsid w:val="5D046F7F"/>
    <w:rsid w:val="5D098238"/>
    <w:rsid w:val="5D0B34CE"/>
    <w:rsid w:val="5D0D8E42"/>
    <w:rsid w:val="5D203039"/>
    <w:rsid w:val="5D32D4DA"/>
    <w:rsid w:val="5D356304"/>
    <w:rsid w:val="5D41360B"/>
    <w:rsid w:val="5D4525DD"/>
    <w:rsid w:val="5D4AE0FD"/>
    <w:rsid w:val="5D5F01F8"/>
    <w:rsid w:val="5D5F71DB"/>
    <w:rsid w:val="5D65F25B"/>
    <w:rsid w:val="5D6A4B5D"/>
    <w:rsid w:val="5D6C080A"/>
    <w:rsid w:val="5D6F3EB9"/>
    <w:rsid w:val="5D73058F"/>
    <w:rsid w:val="5D7B7258"/>
    <w:rsid w:val="5D7C7B72"/>
    <w:rsid w:val="5D7F07FC"/>
    <w:rsid w:val="5D8136DF"/>
    <w:rsid w:val="5D8C1263"/>
    <w:rsid w:val="5D99C9CA"/>
    <w:rsid w:val="5D9C4BF3"/>
    <w:rsid w:val="5D9EEFFB"/>
    <w:rsid w:val="5DA228E3"/>
    <w:rsid w:val="5DA6B128"/>
    <w:rsid w:val="5DD13440"/>
    <w:rsid w:val="5DDA9008"/>
    <w:rsid w:val="5DE332CC"/>
    <w:rsid w:val="5DEB7340"/>
    <w:rsid w:val="5DEE6546"/>
    <w:rsid w:val="5DF25D0F"/>
    <w:rsid w:val="5E04B11D"/>
    <w:rsid w:val="5E130BFF"/>
    <w:rsid w:val="5E1B20DB"/>
    <w:rsid w:val="5E1F86AF"/>
    <w:rsid w:val="5E396911"/>
    <w:rsid w:val="5E3FBCBA"/>
    <w:rsid w:val="5E4D61F5"/>
    <w:rsid w:val="5E4DC61F"/>
    <w:rsid w:val="5E55177D"/>
    <w:rsid w:val="5E7AF807"/>
    <w:rsid w:val="5E7D9908"/>
    <w:rsid w:val="5E7FBDEF"/>
    <w:rsid w:val="5E821345"/>
    <w:rsid w:val="5E8F1306"/>
    <w:rsid w:val="5E9439F3"/>
    <w:rsid w:val="5E9F46ED"/>
    <w:rsid w:val="5EA41870"/>
    <w:rsid w:val="5EA7AC4D"/>
    <w:rsid w:val="5EA99A7E"/>
    <w:rsid w:val="5EAE5237"/>
    <w:rsid w:val="5EB74957"/>
    <w:rsid w:val="5EB7D1ED"/>
    <w:rsid w:val="5EB9D6C7"/>
    <w:rsid w:val="5EBF4F7E"/>
    <w:rsid w:val="5ECBA54A"/>
    <w:rsid w:val="5EE47BEE"/>
    <w:rsid w:val="5EE75F66"/>
    <w:rsid w:val="5EE9FFFE"/>
    <w:rsid w:val="5EFBB21B"/>
    <w:rsid w:val="5F07C7FD"/>
    <w:rsid w:val="5F0FFC71"/>
    <w:rsid w:val="5F10B111"/>
    <w:rsid w:val="5F10F648"/>
    <w:rsid w:val="5F145351"/>
    <w:rsid w:val="5F1631AB"/>
    <w:rsid w:val="5F18EE66"/>
    <w:rsid w:val="5F1DC314"/>
    <w:rsid w:val="5F236CA3"/>
    <w:rsid w:val="5F2B998E"/>
    <w:rsid w:val="5F318FDF"/>
    <w:rsid w:val="5F3C7A21"/>
    <w:rsid w:val="5F4A6141"/>
    <w:rsid w:val="5F4E6C53"/>
    <w:rsid w:val="5F51D0D8"/>
    <w:rsid w:val="5F640165"/>
    <w:rsid w:val="5F768227"/>
    <w:rsid w:val="5F8115BD"/>
    <w:rsid w:val="5F84CE37"/>
    <w:rsid w:val="5F862CFE"/>
    <w:rsid w:val="5F8BC7DB"/>
    <w:rsid w:val="5F8ED961"/>
    <w:rsid w:val="5F9265B7"/>
    <w:rsid w:val="5F979EAA"/>
    <w:rsid w:val="5FA3FA93"/>
    <w:rsid w:val="5FA4EAB5"/>
    <w:rsid w:val="5FAD6B2B"/>
    <w:rsid w:val="5FC4DF73"/>
    <w:rsid w:val="5FCFCC7B"/>
    <w:rsid w:val="5FD76789"/>
    <w:rsid w:val="5FDFAC70"/>
    <w:rsid w:val="5FF0AF9D"/>
    <w:rsid w:val="5FFC5192"/>
    <w:rsid w:val="5FFF7F72"/>
    <w:rsid w:val="600D2AF3"/>
    <w:rsid w:val="6015AE19"/>
    <w:rsid w:val="601C0712"/>
    <w:rsid w:val="60237488"/>
    <w:rsid w:val="60239EE9"/>
    <w:rsid w:val="6026F128"/>
    <w:rsid w:val="6027F707"/>
    <w:rsid w:val="6042CBAE"/>
    <w:rsid w:val="60456ADF"/>
    <w:rsid w:val="6060B532"/>
    <w:rsid w:val="6066DEC8"/>
    <w:rsid w:val="60689A65"/>
    <w:rsid w:val="606BB70C"/>
    <w:rsid w:val="607245CD"/>
    <w:rsid w:val="6079E8F4"/>
    <w:rsid w:val="60819DE7"/>
    <w:rsid w:val="60861F03"/>
    <w:rsid w:val="60906386"/>
    <w:rsid w:val="6094965C"/>
    <w:rsid w:val="60A0ED17"/>
    <w:rsid w:val="60AC8853"/>
    <w:rsid w:val="60C1B1A1"/>
    <w:rsid w:val="60D159FB"/>
    <w:rsid w:val="60DF7118"/>
    <w:rsid w:val="60E95E2E"/>
    <w:rsid w:val="60F3490C"/>
    <w:rsid w:val="60F71483"/>
    <w:rsid w:val="6100D26E"/>
    <w:rsid w:val="61114304"/>
    <w:rsid w:val="611BB0C8"/>
    <w:rsid w:val="612A4917"/>
    <w:rsid w:val="6139F487"/>
    <w:rsid w:val="6152CFA9"/>
    <w:rsid w:val="615BD2FB"/>
    <w:rsid w:val="616C509D"/>
    <w:rsid w:val="61780E2E"/>
    <w:rsid w:val="617A4AC7"/>
    <w:rsid w:val="617F7D3C"/>
    <w:rsid w:val="6192477F"/>
    <w:rsid w:val="619C61FA"/>
    <w:rsid w:val="61A16CC8"/>
    <w:rsid w:val="61AD0224"/>
    <w:rsid w:val="61B721B0"/>
    <w:rsid w:val="61C65E2A"/>
    <w:rsid w:val="61CF5A23"/>
    <w:rsid w:val="61D81019"/>
    <w:rsid w:val="61EEE68F"/>
    <w:rsid w:val="61F3577B"/>
    <w:rsid w:val="61F6F040"/>
    <w:rsid w:val="621073A2"/>
    <w:rsid w:val="62194CD8"/>
    <w:rsid w:val="6224487C"/>
    <w:rsid w:val="62253B87"/>
    <w:rsid w:val="62362818"/>
    <w:rsid w:val="6236522E"/>
    <w:rsid w:val="623B84A8"/>
    <w:rsid w:val="626E4A0F"/>
    <w:rsid w:val="627DA485"/>
    <w:rsid w:val="628661E1"/>
    <w:rsid w:val="62874019"/>
    <w:rsid w:val="6290D12D"/>
    <w:rsid w:val="62A86A22"/>
    <w:rsid w:val="62AAD97C"/>
    <w:rsid w:val="62ADF51F"/>
    <w:rsid w:val="62B15301"/>
    <w:rsid w:val="62B77ADB"/>
    <w:rsid w:val="62B9F625"/>
    <w:rsid w:val="62CF51A4"/>
    <w:rsid w:val="62EF2984"/>
    <w:rsid w:val="62F53123"/>
    <w:rsid w:val="62F9B11E"/>
    <w:rsid w:val="6305D5D6"/>
    <w:rsid w:val="630B87EC"/>
    <w:rsid w:val="631AFF14"/>
    <w:rsid w:val="634A93CD"/>
    <w:rsid w:val="635187C7"/>
    <w:rsid w:val="635812B0"/>
    <w:rsid w:val="636845A5"/>
    <w:rsid w:val="637C0A27"/>
    <w:rsid w:val="637FAA16"/>
    <w:rsid w:val="63872874"/>
    <w:rsid w:val="638C0B02"/>
    <w:rsid w:val="638FC849"/>
    <w:rsid w:val="639D3A1F"/>
    <w:rsid w:val="63B02DA4"/>
    <w:rsid w:val="63B34CD7"/>
    <w:rsid w:val="63CE0B83"/>
    <w:rsid w:val="63CF5CB9"/>
    <w:rsid w:val="63D77FDB"/>
    <w:rsid w:val="63DCDF87"/>
    <w:rsid w:val="63EF6667"/>
    <w:rsid w:val="640BBCC2"/>
    <w:rsid w:val="64153505"/>
    <w:rsid w:val="641865C4"/>
    <w:rsid w:val="641BCF45"/>
    <w:rsid w:val="641EA678"/>
    <w:rsid w:val="643C41D0"/>
    <w:rsid w:val="645A5E1C"/>
    <w:rsid w:val="645AF7EB"/>
    <w:rsid w:val="6462E3D7"/>
    <w:rsid w:val="6463B314"/>
    <w:rsid w:val="64689F8F"/>
    <w:rsid w:val="646F1CCF"/>
    <w:rsid w:val="647F629D"/>
    <w:rsid w:val="648EF468"/>
    <w:rsid w:val="6492C784"/>
    <w:rsid w:val="649459F9"/>
    <w:rsid w:val="649D1B70"/>
    <w:rsid w:val="649D5D8D"/>
    <w:rsid w:val="649E9D4A"/>
    <w:rsid w:val="64A0F57D"/>
    <w:rsid w:val="64A8FE6F"/>
    <w:rsid w:val="64B8101B"/>
    <w:rsid w:val="64BAD41C"/>
    <w:rsid w:val="64C5EA58"/>
    <w:rsid w:val="64CAAD8F"/>
    <w:rsid w:val="64CF30AB"/>
    <w:rsid w:val="64D2F53A"/>
    <w:rsid w:val="64D4A769"/>
    <w:rsid w:val="64E723AC"/>
    <w:rsid w:val="64F66C8E"/>
    <w:rsid w:val="64F7CC90"/>
    <w:rsid w:val="64FFC2A3"/>
    <w:rsid w:val="6508C7BE"/>
    <w:rsid w:val="651070AA"/>
    <w:rsid w:val="651709C2"/>
    <w:rsid w:val="651FC10D"/>
    <w:rsid w:val="652017ED"/>
    <w:rsid w:val="652FF4EA"/>
    <w:rsid w:val="65328A09"/>
    <w:rsid w:val="65351B14"/>
    <w:rsid w:val="65550E78"/>
    <w:rsid w:val="65607F03"/>
    <w:rsid w:val="6560A67D"/>
    <w:rsid w:val="656164B8"/>
    <w:rsid w:val="65726F32"/>
    <w:rsid w:val="65743B58"/>
    <w:rsid w:val="65795F40"/>
    <w:rsid w:val="657B448A"/>
    <w:rsid w:val="65860D28"/>
    <w:rsid w:val="65863A51"/>
    <w:rsid w:val="65903AB3"/>
    <w:rsid w:val="65921F56"/>
    <w:rsid w:val="659E9EB0"/>
    <w:rsid w:val="65B41FEA"/>
    <w:rsid w:val="65B4C07F"/>
    <w:rsid w:val="65CEC109"/>
    <w:rsid w:val="65D7F371"/>
    <w:rsid w:val="65DC35FD"/>
    <w:rsid w:val="65FEC9D0"/>
    <w:rsid w:val="6606E02E"/>
    <w:rsid w:val="660A568D"/>
    <w:rsid w:val="660ECDB4"/>
    <w:rsid w:val="6611D53F"/>
    <w:rsid w:val="6612FFF7"/>
    <w:rsid w:val="6614E760"/>
    <w:rsid w:val="662499F7"/>
    <w:rsid w:val="662A7617"/>
    <w:rsid w:val="66451394"/>
    <w:rsid w:val="6650ED2A"/>
    <w:rsid w:val="66577319"/>
    <w:rsid w:val="6660C4F7"/>
    <w:rsid w:val="666662AC"/>
    <w:rsid w:val="66677EFF"/>
    <w:rsid w:val="66694740"/>
    <w:rsid w:val="668F2387"/>
    <w:rsid w:val="66BF479A"/>
    <w:rsid w:val="66BF5E76"/>
    <w:rsid w:val="66D82386"/>
    <w:rsid w:val="66E2FFCD"/>
    <w:rsid w:val="66F646C1"/>
    <w:rsid w:val="66F93E15"/>
    <w:rsid w:val="6704BBEF"/>
    <w:rsid w:val="670F1577"/>
    <w:rsid w:val="670F3B1E"/>
    <w:rsid w:val="671097E4"/>
    <w:rsid w:val="6712974C"/>
    <w:rsid w:val="6715A108"/>
    <w:rsid w:val="67312A56"/>
    <w:rsid w:val="6737A434"/>
    <w:rsid w:val="673A6F11"/>
    <w:rsid w:val="67556089"/>
    <w:rsid w:val="675E37AF"/>
    <w:rsid w:val="6760FE2C"/>
    <w:rsid w:val="6763472B"/>
    <w:rsid w:val="67695A63"/>
    <w:rsid w:val="676E1D94"/>
    <w:rsid w:val="679828BB"/>
    <w:rsid w:val="679CA982"/>
    <w:rsid w:val="67A2B08F"/>
    <w:rsid w:val="67A55498"/>
    <w:rsid w:val="67C972C0"/>
    <w:rsid w:val="67CADFC3"/>
    <w:rsid w:val="67CC328E"/>
    <w:rsid w:val="67CCED17"/>
    <w:rsid w:val="67D27C2C"/>
    <w:rsid w:val="67EE02A0"/>
    <w:rsid w:val="67F87FD5"/>
    <w:rsid w:val="67FAB923"/>
    <w:rsid w:val="67FF2E2C"/>
    <w:rsid w:val="680388C1"/>
    <w:rsid w:val="6809AB5B"/>
    <w:rsid w:val="681925D5"/>
    <w:rsid w:val="6821B976"/>
    <w:rsid w:val="6827DA91"/>
    <w:rsid w:val="684441BC"/>
    <w:rsid w:val="684A6E9F"/>
    <w:rsid w:val="68530484"/>
    <w:rsid w:val="68548109"/>
    <w:rsid w:val="68557D2E"/>
    <w:rsid w:val="68589461"/>
    <w:rsid w:val="68618505"/>
    <w:rsid w:val="68664F5A"/>
    <w:rsid w:val="6869A45B"/>
    <w:rsid w:val="6870799F"/>
    <w:rsid w:val="687BC32C"/>
    <w:rsid w:val="688C013D"/>
    <w:rsid w:val="689BF264"/>
    <w:rsid w:val="68A28280"/>
    <w:rsid w:val="68A2FDA0"/>
    <w:rsid w:val="68B95E0D"/>
    <w:rsid w:val="68B9F95F"/>
    <w:rsid w:val="68BBB5CC"/>
    <w:rsid w:val="68C3908A"/>
    <w:rsid w:val="68C43932"/>
    <w:rsid w:val="68E8B07E"/>
    <w:rsid w:val="68ECACAB"/>
    <w:rsid w:val="68ED9CAE"/>
    <w:rsid w:val="68F545F1"/>
    <w:rsid w:val="68F69780"/>
    <w:rsid w:val="68FE02A4"/>
    <w:rsid w:val="6920D934"/>
    <w:rsid w:val="693B5C02"/>
    <w:rsid w:val="694274C7"/>
    <w:rsid w:val="6944BEF0"/>
    <w:rsid w:val="694A1B03"/>
    <w:rsid w:val="694BD065"/>
    <w:rsid w:val="6955B660"/>
    <w:rsid w:val="6957AB2D"/>
    <w:rsid w:val="6959D958"/>
    <w:rsid w:val="6965675F"/>
    <w:rsid w:val="69725EC5"/>
    <w:rsid w:val="69742635"/>
    <w:rsid w:val="697DB3C8"/>
    <w:rsid w:val="6984EEA0"/>
    <w:rsid w:val="69856666"/>
    <w:rsid w:val="69986133"/>
    <w:rsid w:val="6998A189"/>
    <w:rsid w:val="699B522C"/>
    <w:rsid w:val="699D2F32"/>
    <w:rsid w:val="69A44D89"/>
    <w:rsid w:val="69AC0AC0"/>
    <w:rsid w:val="69C88FE9"/>
    <w:rsid w:val="69C95DD2"/>
    <w:rsid w:val="69DB612C"/>
    <w:rsid w:val="69F9C9F2"/>
    <w:rsid w:val="6A0251B7"/>
    <w:rsid w:val="6A1F273F"/>
    <w:rsid w:val="6A2B80F7"/>
    <w:rsid w:val="6A315E3C"/>
    <w:rsid w:val="6A45D339"/>
    <w:rsid w:val="6A5440C6"/>
    <w:rsid w:val="6A54BB9A"/>
    <w:rsid w:val="6A610409"/>
    <w:rsid w:val="6A615C05"/>
    <w:rsid w:val="6A6BF65E"/>
    <w:rsid w:val="6A720FD3"/>
    <w:rsid w:val="6A7212C5"/>
    <w:rsid w:val="6A7F76C8"/>
    <w:rsid w:val="6A80AFBC"/>
    <w:rsid w:val="6A883A11"/>
    <w:rsid w:val="6A943113"/>
    <w:rsid w:val="6A970A9F"/>
    <w:rsid w:val="6ABE5491"/>
    <w:rsid w:val="6ABECE3D"/>
    <w:rsid w:val="6AC50DE7"/>
    <w:rsid w:val="6AC74BAF"/>
    <w:rsid w:val="6ACB77D1"/>
    <w:rsid w:val="6AF2703D"/>
    <w:rsid w:val="6AF49273"/>
    <w:rsid w:val="6AF4E9CE"/>
    <w:rsid w:val="6B0572C9"/>
    <w:rsid w:val="6B0EA2C6"/>
    <w:rsid w:val="6B1E8C76"/>
    <w:rsid w:val="6B2312CD"/>
    <w:rsid w:val="6B270A56"/>
    <w:rsid w:val="6B2806C4"/>
    <w:rsid w:val="6B397C23"/>
    <w:rsid w:val="6B409481"/>
    <w:rsid w:val="6B4B568C"/>
    <w:rsid w:val="6B508809"/>
    <w:rsid w:val="6B5CD2F6"/>
    <w:rsid w:val="6B6094DF"/>
    <w:rsid w:val="6B79D387"/>
    <w:rsid w:val="6B7FE3A6"/>
    <w:rsid w:val="6BAD0C46"/>
    <w:rsid w:val="6BC6DC26"/>
    <w:rsid w:val="6BC7752C"/>
    <w:rsid w:val="6BCE1444"/>
    <w:rsid w:val="6BCE2652"/>
    <w:rsid w:val="6BCEC90F"/>
    <w:rsid w:val="6BD60CEB"/>
    <w:rsid w:val="6BDB7D45"/>
    <w:rsid w:val="6BE8B3D7"/>
    <w:rsid w:val="6BEABC24"/>
    <w:rsid w:val="6BF597E3"/>
    <w:rsid w:val="6C057485"/>
    <w:rsid w:val="6C08DCBC"/>
    <w:rsid w:val="6C1461A1"/>
    <w:rsid w:val="6C1B2E0B"/>
    <w:rsid w:val="6C1B991B"/>
    <w:rsid w:val="6C1CCBAD"/>
    <w:rsid w:val="6C268852"/>
    <w:rsid w:val="6C28F730"/>
    <w:rsid w:val="6C2CF540"/>
    <w:rsid w:val="6C2D2E16"/>
    <w:rsid w:val="6C3053E0"/>
    <w:rsid w:val="6C30C875"/>
    <w:rsid w:val="6C34EBD5"/>
    <w:rsid w:val="6C3B9C03"/>
    <w:rsid w:val="6C3CB994"/>
    <w:rsid w:val="6C50CD87"/>
    <w:rsid w:val="6C63FA1B"/>
    <w:rsid w:val="6C7621B2"/>
    <w:rsid w:val="6C7A07C2"/>
    <w:rsid w:val="6C7E0F38"/>
    <w:rsid w:val="6C919223"/>
    <w:rsid w:val="6C94737A"/>
    <w:rsid w:val="6C99B79B"/>
    <w:rsid w:val="6C9D03E1"/>
    <w:rsid w:val="6CA512B8"/>
    <w:rsid w:val="6CA7473A"/>
    <w:rsid w:val="6CAA0872"/>
    <w:rsid w:val="6CBC31B8"/>
    <w:rsid w:val="6CC89A90"/>
    <w:rsid w:val="6CD072D8"/>
    <w:rsid w:val="6CD54172"/>
    <w:rsid w:val="6CE59565"/>
    <w:rsid w:val="6CEB1BA7"/>
    <w:rsid w:val="6CF9C19D"/>
    <w:rsid w:val="6CFE301B"/>
    <w:rsid w:val="6D0C4D54"/>
    <w:rsid w:val="6D123C42"/>
    <w:rsid w:val="6D1971B1"/>
    <w:rsid w:val="6D1FA0DC"/>
    <w:rsid w:val="6D21EAB5"/>
    <w:rsid w:val="6D407564"/>
    <w:rsid w:val="6D4255A7"/>
    <w:rsid w:val="6D483283"/>
    <w:rsid w:val="6D49AA99"/>
    <w:rsid w:val="6D5C18C7"/>
    <w:rsid w:val="6D5F475B"/>
    <w:rsid w:val="6D69F6B3"/>
    <w:rsid w:val="6D74D0B0"/>
    <w:rsid w:val="6D79BB06"/>
    <w:rsid w:val="6D897C05"/>
    <w:rsid w:val="6D8E6FBD"/>
    <w:rsid w:val="6DA087E1"/>
    <w:rsid w:val="6DA258DC"/>
    <w:rsid w:val="6DB7D995"/>
    <w:rsid w:val="6DE1DC12"/>
    <w:rsid w:val="6DE51D42"/>
    <w:rsid w:val="6DEE55ED"/>
    <w:rsid w:val="6DFDB1D4"/>
    <w:rsid w:val="6E05370E"/>
    <w:rsid w:val="6E083B1C"/>
    <w:rsid w:val="6E0AF888"/>
    <w:rsid w:val="6E181F21"/>
    <w:rsid w:val="6E1EA154"/>
    <w:rsid w:val="6E2D9A76"/>
    <w:rsid w:val="6E3A03B2"/>
    <w:rsid w:val="6E3E6E67"/>
    <w:rsid w:val="6E453293"/>
    <w:rsid w:val="6E5169EB"/>
    <w:rsid w:val="6E6F3A92"/>
    <w:rsid w:val="6E7318EA"/>
    <w:rsid w:val="6E7D0CC5"/>
    <w:rsid w:val="6E7E1E20"/>
    <w:rsid w:val="6E8754F7"/>
    <w:rsid w:val="6E9A55D2"/>
    <w:rsid w:val="6EA2BCEC"/>
    <w:rsid w:val="6EA3B8CB"/>
    <w:rsid w:val="6EA6022C"/>
    <w:rsid w:val="6EA66D7E"/>
    <w:rsid w:val="6EADFA5A"/>
    <w:rsid w:val="6EB165B2"/>
    <w:rsid w:val="6EB77184"/>
    <w:rsid w:val="6EBCD25B"/>
    <w:rsid w:val="6ED102DC"/>
    <w:rsid w:val="6ED1220B"/>
    <w:rsid w:val="6EDD6D75"/>
    <w:rsid w:val="6EE159D5"/>
    <w:rsid w:val="6EED5965"/>
    <w:rsid w:val="6EF2D65F"/>
    <w:rsid w:val="6F05C714"/>
    <w:rsid w:val="6F05FBE7"/>
    <w:rsid w:val="6F384018"/>
    <w:rsid w:val="6F3C46D1"/>
    <w:rsid w:val="6F417E84"/>
    <w:rsid w:val="6F41BD2C"/>
    <w:rsid w:val="6F43110C"/>
    <w:rsid w:val="6F456A78"/>
    <w:rsid w:val="6F4C39D9"/>
    <w:rsid w:val="6F4E687C"/>
    <w:rsid w:val="6F650FAA"/>
    <w:rsid w:val="6F67F4A2"/>
    <w:rsid w:val="6F6EA104"/>
    <w:rsid w:val="6F734511"/>
    <w:rsid w:val="6F77D332"/>
    <w:rsid w:val="6F78D8FB"/>
    <w:rsid w:val="6F82C0F1"/>
    <w:rsid w:val="6F88FE8F"/>
    <w:rsid w:val="6F92F30F"/>
    <w:rsid w:val="6F93A3BD"/>
    <w:rsid w:val="6FA656B4"/>
    <w:rsid w:val="6FA82B6C"/>
    <w:rsid w:val="6FA96733"/>
    <w:rsid w:val="6FAE0205"/>
    <w:rsid w:val="6FAE41CE"/>
    <w:rsid w:val="6FB0B033"/>
    <w:rsid w:val="6FB3992F"/>
    <w:rsid w:val="6FB3CD11"/>
    <w:rsid w:val="6FB70695"/>
    <w:rsid w:val="6FB83000"/>
    <w:rsid w:val="6FCAF6EE"/>
    <w:rsid w:val="6FDD6726"/>
    <w:rsid w:val="6FE14606"/>
    <w:rsid w:val="6FE91F4E"/>
    <w:rsid w:val="6FEC68AB"/>
    <w:rsid w:val="6FEE4A1A"/>
    <w:rsid w:val="6FF04788"/>
    <w:rsid w:val="6FF9EB17"/>
    <w:rsid w:val="700624FF"/>
    <w:rsid w:val="7020215D"/>
    <w:rsid w:val="7043BE41"/>
    <w:rsid w:val="7048370B"/>
    <w:rsid w:val="705522F4"/>
    <w:rsid w:val="705C4175"/>
    <w:rsid w:val="707463BB"/>
    <w:rsid w:val="707E530D"/>
    <w:rsid w:val="708F431A"/>
    <w:rsid w:val="70A206C5"/>
    <w:rsid w:val="70ADCEC8"/>
    <w:rsid w:val="70AF9AAD"/>
    <w:rsid w:val="70BEE43F"/>
    <w:rsid w:val="70D09BF6"/>
    <w:rsid w:val="70ED30C9"/>
    <w:rsid w:val="71006F01"/>
    <w:rsid w:val="710958A4"/>
    <w:rsid w:val="7110D3D9"/>
    <w:rsid w:val="7117D80E"/>
    <w:rsid w:val="71185F3C"/>
    <w:rsid w:val="712665DC"/>
    <w:rsid w:val="7129CE2C"/>
    <w:rsid w:val="71365675"/>
    <w:rsid w:val="713F2B47"/>
    <w:rsid w:val="7149FFBD"/>
    <w:rsid w:val="714C1FD1"/>
    <w:rsid w:val="714D6E21"/>
    <w:rsid w:val="714D9F8A"/>
    <w:rsid w:val="71566E32"/>
    <w:rsid w:val="715B2D42"/>
    <w:rsid w:val="715E9710"/>
    <w:rsid w:val="7179CB3B"/>
    <w:rsid w:val="7187A3CA"/>
    <w:rsid w:val="718B7569"/>
    <w:rsid w:val="718BE7E5"/>
    <w:rsid w:val="71997194"/>
    <w:rsid w:val="71A481D4"/>
    <w:rsid w:val="71B19DBB"/>
    <w:rsid w:val="71B3ABA9"/>
    <w:rsid w:val="71CCFB82"/>
    <w:rsid w:val="71D9612F"/>
    <w:rsid w:val="71E436BE"/>
    <w:rsid w:val="71F930FD"/>
    <w:rsid w:val="720F88D9"/>
    <w:rsid w:val="7212BBBF"/>
    <w:rsid w:val="7217A973"/>
    <w:rsid w:val="72321339"/>
    <w:rsid w:val="7237033F"/>
    <w:rsid w:val="7240C6E6"/>
    <w:rsid w:val="7243D99D"/>
    <w:rsid w:val="724C7326"/>
    <w:rsid w:val="724EE780"/>
    <w:rsid w:val="7253A8FF"/>
    <w:rsid w:val="72557C90"/>
    <w:rsid w:val="72593D7F"/>
    <w:rsid w:val="72603591"/>
    <w:rsid w:val="72691F8D"/>
    <w:rsid w:val="726B866D"/>
    <w:rsid w:val="7270D25E"/>
    <w:rsid w:val="72775391"/>
    <w:rsid w:val="727D21B8"/>
    <w:rsid w:val="727D877C"/>
    <w:rsid w:val="727EC220"/>
    <w:rsid w:val="72877406"/>
    <w:rsid w:val="72940260"/>
    <w:rsid w:val="72955AA9"/>
    <w:rsid w:val="729F9564"/>
    <w:rsid w:val="72AD2ABD"/>
    <w:rsid w:val="72B2E070"/>
    <w:rsid w:val="72B4FCA4"/>
    <w:rsid w:val="72B95ED6"/>
    <w:rsid w:val="72BA994C"/>
    <w:rsid w:val="72BBD35A"/>
    <w:rsid w:val="72CC4BFF"/>
    <w:rsid w:val="72D53D0A"/>
    <w:rsid w:val="72E56336"/>
    <w:rsid w:val="72F36EE5"/>
    <w:rsid w:val="72FB99C1"/>
    <w:rsid w:val="7326A0AC"/>
    <w:rsid w:val="73288925"/>
    <w:rsid w:val="733AB46A"/>
    <w:rsid w:val="733BDACB"/>
    <w:rsid w:val="73505A02"/>
    <w:rsid w:val="735D6660"/>
    <w:rsid w:val="73663BD8"/>
    <w:rsid w:val="7372394B"/>
    <w:rsid w:val="737246C5"/>
    <w:rsid w:val="73762E0F"/>
    <w:rsid w:val="73866042"/>
    <w:rsid w:val="73964418"/>
    <w:rsid w:val="73A587C9"/>
    <w:rsid w:val="73C5C1CE"/>
    <w:rsid w:val="73CF390B"/>
    <w:rsid w:val="73D8D3B5"/>
    <w:rsid w:val="73E13B16"/>
    <w:rsid w:val="73E6CC02"/>
    <w:rsid w:val="73EA0533"/>
    <w:rsid w:val="73EF2E34"/>
    <w:rsid w:val="73F42F13"/>
    <w:rsid w:val="740150E6"/>
    <w:rsid w:val="7401988D"/>
    <w:rsid w:val="74091080"/>
    <w:rsid w:val="740AB68F"/>
    <w:rsid w:val="740B74C4"/>
    <w:rsid w:val="740BBEA0"/>
    <w:rsid w:val="741D2CA2"/>
    <w:rsid w:val="742ADCDD"/>
    <w:rsid w:val="7430E88C"/>
    <w:rsid w:val="7432B5B0"/>
    <w:rsid w:val="7440E963"/>
    <w:rsid w:val="7448FB1E"/>
    <w:rsid w:val="7470D170"/>
    <w:rsid w:val="74813397"/>
    <w:rsid w:val="74878467"/>
    <w:rsid w:val="748F96CC"/>
    <w:rsid w:val="74977D50"/>
    <w:rsid w:val="74AA0FDB"/>
    <w:rsid w:val="74AAC125"/>
    <w:rsid w:val="74B405C6"/>
    <w:rsid w:val="74B432FA"/>
    <w:rsid w:val="74B48553"/>
    <w:rsid w:val="74B67222"/>
    <w:rsid w:val="74BCFFFA"/>
    <w:rsid w:val="74C565B7"/>
    <w:rsid w:val="74C9224F"/>
    <w:rsid w:val="74CC181F"/>
    <w:rsid w:val="74CD07C4"/>
    <w:rsid w:val="74E2E6CA"/>
    <w:rsid w:val="74E779C1"/>
    <w:rsid w:val="74E7AE13"/>
    <w:rsid w:val="74EFDADE"/>
    <w:rsid w:val="74F4B82E"/>
    <w:rsid w:val="74F8159E"/>
    <w:rsid w:val="74FBE557"/>
    <w:rsid w:val="74FD8E74"/>
    <w:rsid w:val="74FF8EC0"/>
    <w:rsid w:val="75009B9F"/>
    <w:rsid w:val="75021B84"/>
    <w:rsid w:val="7507EE4C"/>
    <w:rsid w:val="751210CC"/>
    <w:rsid w:val="7517FB1A"/>
    <w:rsid w:val="753BF22C"/>
    <w:rsid w:val="7547299B"/>
    <w:rsid w:val="7548734D"/>
    <w:rsid w:val="7556DA6A"/>
    <w:rsid w:val="757AE1EA"/>
    <w:rsid w:val="758468D8"/>
    <w:rsid w:val="7597D653"/>
    <w:rsid w:val="75AB12AD"/>
    <w:rsid w:val="75C83216"/>
    <w:rsid w:val="75CC6B37"/>
    <w:rsid w:val="75D3A8FC"/>
    <w:rsid w:val="75EE79F6"/>
    <w:rsid w:val="75F77B35"/>
    <w:rsid w:val="761D74C0"/>
    <w:rsid w:val="7620CF29"/>
    <w:rsid w:val="762C320E"/>
    <w:rsid w:val="76438254"/>
    <w:rsid w:val="76556B06"/>
    <w:rsid w:val="76587EFB"/>
    <w:rsid w:val="76595DD9"/>
    <w:rsid w:val="765E7C14"/>
    <w:rsid w:val="7664B308"/>
    <w:rsid w:val="76797836"/>
    <w:rsid w:val="768473FC"/>
    <w:rsid w:val="76909ACE"/>
    <w:rsid w:val="76963223"/>
    <w:rsid w:val="76A55270"/>
    <w:rsid w:val="76A84B98"/>
    <w:rsid w:val="76B1D0BC"/>
    <w:rsid w:val="76BFC3B8"/>
    <w:rsid w:val="76C30873"/>
    <w:rsid w:val="76D6DECF"/>
    <w:rsid w:val="76D9B54A"/>
    <w:rsid w:val="76EE2594"/>
    <w:rsid w:val="76EE4B25"/>
    <w:rsid w:val="76EF5DCA"/>
    <w:rsid w:val="76FDF240"/>
    <w:rsid w:val="7701F2A0"/>
    <w:rsid w:val="7705062D"/>
    <w:rsid w:val="77072356"/>
    <w:rsid w:val="77214580"/>
    <w:rsid w:val="7726BE0F"/>
    <w:rsid w:val="772A8FBA"/>
    <w:rsid w:val="7733A6B4"/>
    <w:rsid w:val="77352156"/>
    <w:rsid w:val="7740CFA5"/>
    <w:rsid w:val="7747E956"/>
    <w:rsid w:val="774A5E47"/>
    <w:rsid w:val="7751FFF8"/>
    <w:rsid w:val="77587DBC"/>
    <w:rsid w:val="77632BEB"/>
    <w:rsid w:val="776A6897"/>
    <w:rsid w:val="7773CD1D"/>
    <w:rsid w:val="77994837"/>
    <w:rsid w:val="7799EBFE"/>
    <w:rsid w:val="779C9383"/>
    <w:rsid w:val="779EE52E"/>
    <w:rsid w:val="779F34F9"/>
    <w:rsid w:val="77A1EB14"/>
    <w:rsid w:val="77A9379D"/>
    <w:rsid w:val="77B28E93"/>
    <w:rsid w:val="77B33B8F"/>
    <w:rsid w:val="77B7B28E"/>
    <w:rsid w:val="77BF47D4"/>
    <w:rsid w:val="77C285AC"/>
    <w:rsid w:val="77CDD960"/>
    <w:rsid w:val="77D35C19"/>
    <w:rsid w:val="77FA6D7F"/>
    <w:rsid w:val="77FD85E1"/>
    <w:rsid w:val="780084AE"/>
    <w:rsid w:val="78160488"/>
    <w:rsid w:val="78206424"/>
    <w:rsid w:val="78249858"/>
    <w:rsid w:val="782FB660"/>
    <w:rsid w:val="785FFDEC"/>
    <w:rsid w:val="7860AE84"/>
    <w:rsid w:val="786F1117"/>
    <w:rsid w:val="78767FE0"/>
    <w:rsid w:val="787ECA5D"/>
    <w:rsid w:val="7884EB19"/>
    <w:rsid w:val="788890A3"/>
    <w:rsid w:val="789951E9"/>
    <w:rsid w:val="789BC3D0"/>
    <w:rsid w:val="78A1E9DD"/>
    <w:rsid w:val="78A548FC"/>
    <w:rsid w:val="78A880B8"/>
    <w:rsid w:val="78B128B8"/>
    <w:rsid w:val="78B29DF0"/>
    <w:rsid w:val="78B4D44A"/>
    <w:rsid w:val="78B7E314"/>
    <w:rsid w:val="78C01290"/>
    <w:rsid w:val="78C38BB3"/>
    <w:rsid w:val="78C5E4EB"/>
    <w:rsid w:val="78D08F92"/>
    <w:rsid w:val="78DAB930"/>
    <w:rsid w:val="78F36DDA"/>
    <w:rsid w:val="78F450C2"/>
    <w:rsid w:val="78FDEAFD"/>
    <w:rsid w:val="790A0B10"/>
    <w:rsid w:val="790A8694"/>
    <w:rsid w:val="790CBA58"/>
    <w:rsid w:val="791A0556"/>
    <w:rsid w:val="791A8279"/>
    <w:rsid w:val="7929066F"/>
    <w:rsid w:val="793F70DD"/>
    <w:rsid w:val="79492FB3"/>
    <w:rsid w:val="795C9240"/>
    <w:rsid w:val="796157EA"/>
    <w:rsid w:val="7961874F"/>
    <w:rsid w:val="7964A97D"/>
    <w:rsid w:val="79652D7A"/>
    <w:rsid w:val="796AE967"/>
    <w:rsid w:val="796B8887"/>
    <w:rsid w:val="7970F57C"/>
    <w:rsid w:val="797D3D2A"/>
    <w:rsid w:val="798242E9"/>
    <w:rsid w:val="7986F667"/>
    <w:rsid w:val="79A047ED"/>
    <w:rsid w:val="79A861DE"/>
    <w:rsid w:val="79BAA8B7"/>
    <w:rsid w:val="79C8E3AB"/>
    <w:rsid w:val="79CB27A6"/>
    <w:rsid w:val="79CDDE22"/>
    <w:rsid w:val="79D21495"/>
    <w:rsid w:val="79E67E2D"/>
    <w:rsid w:val="79EE48BB"/>
    <w:rsid w:val="79FADDA1"/>
    <w:rsid w:val="7A06AA33"/>
    <w:rsid w:val="7A0CA062"/>
    <w:rsid w:val="7A113E86"/>
    <w:rsid w:val="7A27135A"/>
    <w:rsid w:val="7A312030"/>
    <w:rsid w:val="7A5B54DC"/>
    <w:rsid w:val="7A5C9C59"/>
    <w:rsid w:val="7A5F1831"/>
    <w:rsid w:val="7A62D8C2"/>
    <w:rsid w:val="7A67FFD2"/>
    <w:rsid w:val="7A6A8A7F"/>
    <w:rsid w:val="7A6AA143"/>
    <w:rsid w:val="7A77964B"/>
    <w:rsid w:val="7A7C82B7"/>
    <w:rsid w:val="7A818F05"/>
    <w:rsid w:val="7A8E6ECB"/>
    <w:rsid w:val="7A8FEA27"/>
    <w:rsid w:val="7AA6C5E2"/>
    <w:rsid w:val="7AAAF948"/>
    <w:rsid w:val="7AB804B7"/>
    <w:rsid w:val="7AE06E85"/>
    <w:rsid w:val="7AE5A9F6"/>
    <w:rsid w:val="7AF31C14"/>
    <w:rsid w:val="7AF8582C"/>
    <w:rsid w:val="7AFAC715"/>
    <w:rsid w:val="7AFAE2A7"/>
    <w:rsid w:val="7B09A0F1"/>
    <w:rsid w:val="7B0D3DE3"/>
    <w:rsid w:val="7B1DAAB5"/>
    <w:rsid w:val="7B1E4599"/>
    <w:rsid w:val="7B28042C"/>
    <w:rsid w:val="7B397141"/>
    <w:rsid w:val="7B39BB26"/>
    <w:rsid w:val="7B39F3EC"/>
    <w:rsid w:val="7B3B289D"/>
    <w:rsid w:val="7B3F81A2"/>
    <w:rsid w:val="7B4238C7"/>
    <w:rsid w:val="7B469027"/>
    <w:rsid w:val="7B8395B7"/>
    <w:rsid w:val="7B882025"/>
    <w:rsid w:val="7B890C7B"/>
    <w:rsid w:val="7B893F87"/>
    <w:rsid w:val="7B8FBF02"/>
    <w:rsid w:val="7B938980"/>
    <w:rsid w:val="7BA9EE94"/>
    <w:rsid w:val="7BAB6520"/>
    <w:rsid w:val="7BC559D2"/>
    <w:rsid w:val="7BC748D5"/>
    <w:rsid w:val="7BE63F5A"/>
    <w:rsid w:val="7BEB5553"/>
    <w:rsid w:val="7BED2BE8"/>
    <w:rsid w:val="7BF0293E"/>
    <w:rsid w:val="7BFBFF5A"/>
    <w:rsid w:val="7C194B01"/>
    <w:rsid w:val="7C222495"/>
    <w:rsid w:val="7C4047E1"/>
    <w:rsid w:val="7C44E2A5"/>
    <w:rsid w:val="7C63CB88"/>
    <w:rsid w:val="7C7707AB"/>
    <w:rsid w:val="7C80DAEC"/>
    <w:rsid w:val="7C820AB3"/>
    <w:rsid w:val="7C85194F"/>
    <w:rsid w:val="7C91C67D"/>
    <w:rsid w:val="7C9A361C"/>
    <w:rsid w:val="7C9E81EC"/>
    <w:rsid w:val="7CA72031"/>
    <w:rsid w:val="7CB2EEA1"/>
    <w:rsid w:val="7CB859EC"/>
    <w:rsid w:val="7CCC130A"/>
    <w:rsid w:val="7CD9DEBC"/>
    <w:rsid w:val="7CDC5FD2"/>
    <w:rsid w:val="7CDF42DB"/>
    <w:rsid w:val="7CF522A8"/>
    <w:rsid w:val="7D00A060"/>
    <w:rsid w:val="7D143131"/>
    <w:rsid w:val="7D155646"/>
    <w:rsid w:val="7D159288"/>
    <w:rsid w:val="7D1B1993"/>
    <w:rsid w:val="7D2A54EF"/>
    <w:rsid w:val="7D2D7669"/>
    <w:rsid w:val="7D31F0B1"/>
    <w:rsid w:val="7D3322DA"/>
    <w:rsid w:val="7D39F8A3"/>
    <w:rsid w:val="7D3FF4A3"/>
    <w:rsid w:val="7D42F951"/>
    <w:rsid w:val="7D525C50"/>
    <w:rsid w:val="7D6FD7B9"/>
    <w:rsid w:val="7D836B67"/>
    <w:rsid w:val="7D8E4133"/>
    <w:rsid w:val="7D9270EE"/>
    <w:rsid w:val="7D9D46BB"/>
    <w:rsid w:val="7DA0CF12"/>
    <w:rsid w:val="7DA1E78F"/>
    <w:rsid w:val="7DB344D0"/>
    <w:rsid w:val="7DB53F2B"/>
    <w:rsid w:val="7DC7061D"/>
    <w:rsid w:val="7DCC9898"/>
    <w:rsid w:val="7DD5F8F4"/>
    <w:rsid w:val="7DE2480B"/>
    <w:rsid w:val="7DE3F15A"/>
    <w:rsid w:val="7DECBCB1"/>
    <w:rsid w:val="7DED0EB0"/>
    <w:rsid w:val="7DF8B731"/>
    <w:rsid w:val="7DF94FD2"/>
    <w:rsid w:val="7E0A8C62"/>
    <w:rsid w:val="7E2F035B"/>
    <w:rsid w:val="7E3D3102"/>
    <w:rsid w:val="7E4015F7"/>
    <w:rsid w:val="7E508CEB"/>
    <w:rsid w:val="7E58F274"/>
    <w:rsid w:val="7E5AF841"/>
    <w:rsid w:val="7E5CCB49"/>
    <w:rsid w:val="7E6784FC"/>
    <w:rsid w:val="7E6E676C"/>
    <w:rsid w:val="7E7487B6"/>
    <w:rsid w:val="7E74E0D8"/>
    <w:rsid w:val="7E7CDFC3"/>
    <w:rsid w:val="7E8426DB"/>
    <w:rsid w:val="7E853A59"/>
    <w:rsid w:val="7E9DD60E"/>
    <w:rsid w:val="7E9E7A59"/>
    <w:rsid w:val="7EA05BC5"/>
    <w:rsid w:val="7EACD5AB"/>
    <w:rsid w:val="7EB28CA4"/>
    <w:rsid w:val="7EB683E0"/>
    <w:rsid w:val="7EC162B4"/>
    <w:rsid w:val="7EC48A0A"/>
    <w:rsid w:val="7EC4E5C5"/>
    <w:rsid w:val="7EC9F9D3"/>
    <w:rsid w:val="7ECC1F71"/>
    <w:rsid w:val="7ECD5BFD"/>
    <w:rsid w:val="7ECEF33B"/>
    <w:rsid w:val="7ED0E995"/>
    <w:rsid w:val="7ED3627A"/>
    <w:rsid w:val="7EDDB147"/>
    <w:rsid w:val="7EDF9D15"/>
    <w:rsid w:val="7EE0DF83"/>
    <w:rsid w:val="7EE5E34F"/>
    <w:rsid w:val="7EE8992B"/>
    <w:rsid w:val="7EEB4265"/>
    <w:rsid w:val="7EF43BAF"/>
    <w:rsid w:val="7F1037DE"/>
    <w:rsid w:val="7F1D3485"/>
    <w:rsid w:val="7F257A94"/>
    <w:rsid w:val="7F2A2217"/>
    <w:rsid w:val="7F2EC5FF"/>
    <w:rsid w:val="7F466799"/>
    <w:rsid w:val="7F4B2967"/>
    <w:rsid w:val="7F510A6D"/>
    <w:rsid w:val="7F52C291"/>
    <w:rsid w:val="7F55CD19"/>
    <w:rsid w:val="7F6023C4"/>
    <w:rsid w:val="7F683DCA"/>
    <w:rsid w:val="7F7D9A08"/>
    <w:rsid w:val="7F811FB9"/>
    <w:rsid w:val="7F88E8E2"/>
    <w:rsid w:val="7F9053CD"/>
    <w:rsid w:val="7F94BEFC"/>
    <w:rsid w:val="7F9659D7"/>
    <w:rsid w:val="7F9E9CC6"/>
    <w:rsid w:val="7FB43CB4"/>
    <w:rsid w:val="7FB91202"/>
    <w:rsid w:val="7FBFB279"/>
    <w:rsid w:val="7FC73083"/>
    <w:rsid w:val="7FCBD3C4"/>
    <w:rsid w:val="7FCD55D8"/>
    <w:rsid w:val="7FCE53CA"/>
    <w:rsid w:val="7FD6B19B"/>
    <w:rsid w:val="7FDC24EA"/>
    <w:rsid w:val="7FDFD5DA"/>
    <w:rsid w:val="7FE53623"/>
    <w:rsid w:val="7FE7F831"/>
    <w:rsid w:val="7FEE74D3"/>
    <w:rsid w:val="7FFD1E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8ABC67"/>
  <w15:chartTrackingRefBased/>
  <w15:docId w15:val="{D41D03FB-D64A-4FE1-B0E4-7B1635B9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3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3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3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rsid w:val="00040F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aliases w:val="Footnote text,Char,Char1,Char1 Char,Char2,Char3,Char11,Char1 Char2,Char21,Char4,Char12,Char1 Char3,Char22,Char5,Char13,Char1 Char4,Char23,Char6,Char14,Char1 Char5,Char24,Char7,Char15,Char1 Char6,Char25,Char8,fn,ft, Char, Char1, Char1 Char"/>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stylish,Appel note de bas de page,16 Point,Superscript 6 Point,Ref,de nota al pie,Footnote Reference Superscript,Footnote symbol,Footnote Reference Number,E FNZ,-E Fußnotenzeichen,Footnote#,Footnote,Times 10 Point,Exposant 3 Point,fr"/>
    <w:link w:val="CharCharChar"/>
    <w:uiPriority w:val="99"/>
    <w:qFormat/>
    <w:rPr>
      <w:shd w:val="clear" w:color="auto" w:fill="auto"/>
      <w:vertAlign w:val="superscript"/>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p1,L"/>
    <w:basedOn w:val="Normal"/>
    <w:link w:val="ListParagraphChar"/>
    <w:uiPriority w:val="34"/>
    <w:qFormat/>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5">
    <w:name w:val="List Bullet 5"/>
    <w:basedOn w:val="Normal"/>
    <w:autoRedefine/>
    <w:pPr>
      <w:numPr>
        <w:numId w:val="20"/>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opre">
    <w:name w:val="acopre"/>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style>
  <w:style w:type="paragraph" w:styleId="ListBullet">
    <w:name w:val="List Bullet"/>
    <w:basedOn w:val="Normal"/>
    <w:uiPriority w:val="99"/>
    <w:semiHidden/>
    <w:unhideWhenUsed/>
    <w:pPr>
      <w:numPr>
        <w:numId w:val="38"/>
      </w:numPr>
      <w:contextualSpacing/>
    </w:pPr>
  </w:style>
  <w:style w:type="character" w:customStyle="1" w:styleId="markedcontent">
    <w:name w:val="markedcontent"/>
    <w:basedOn w:val="DefaultParagraphFont"/>
  </w:style>
  <w:style w:type="character" w:customStyle="1" w:styleId="st">
    <w:name w:val="st"/>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Calibri" w:eastAsia="Times New Roman" w:hAnsi="Calibri" w:cs="Times New Roman"/>
    </w:rPr>
  </w:style>
  <w:style w:type="paragraph" w:customStyle="1" w:styleId="CharCharChar">
    <w:name w:val="Char Char Char"/>
    <w:basedOn w:val="Normal"/>
    <w:link w:val="FootnoteReference"/>
    <w:uiPriority w:val="99"/>
    <w:pPr>
      <w:spacing w:after="160" w:line="240" w:lineRule="exact"/>
    </w:pPr>
    <w:rPr>
      <w:vertAlign w:val="superscript"/>
    </w:rPr>
  </w:style>
  <w:style w:type="paragraph" w:styleId="Caption">
    <w:name w:val="caption"/>
    <w:basedOn w:val="Normal"/>
    <w:next w:val="Normal"/>
    <w:qFormat/>
    <w:pPr>
      <w:widowControl w:val="0"/>
      <w:spacing w:before="120" w:after="120" w:line="240" w:lineRule="auto"/>
      <w:jc w:val="center"/>
    </w:pPr>
    <w:rPr>
      <w:rFonts w:ascii="Verdana" w:eastAsia="Times New Roman" w:hAnsi="Verdana" w:cs="Times New Roman"/>
      <w:b/>
      <w:sz w:val="20"/>
      <w:szCs w:val="20"/>
    </w:rPr>
  </w:style>
  <w:style w:type="character" w:styleId="Emphasis">
    <w:name w:val="Emphasis"/>
    <w:basedOn w:val="DefaultParagraphFont"/>
    <w:uiPriority w:val="20"/>
    <w:qFormat/>
    <w:rPr>
      <w:i/>
      <w:iCs/>
    </w:rPr>
  </w:style>
  <w:style w:type="paragraph" w:customStyle="1" w:styleId="Text1">
    <w:name w:val="Text 1"/>
    <w:basedOn w:val="Normal"/>
    <w:uiPriority w:val="1"/>
    <w:pPr>
      <w:spacing w:after="240" w:line="240" w:lineRule="auto"/>
      <w:ind w:left="482"/>
      <w:jc w:val="both"/>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D7099"/>
    <w:rPr>
      <w:color w:val="605E5C"/>
      <w:shd w:val="clear" w:color="auto" w:fill="E1DFDD"/>
    </w:rPr>
  </w:style>
  <w:style w:type="character" w:customStyle="1" w:styleId="UnresolvedMention2">
    <w:name w:val="Unresolved Mention2"/>
    <w:basedOn w:val="DefaultParagraphFont"/>
    <w:uiPriority w:val="99"/>
    <w:semiHidden/>
    <w:unhideWhenUsed/>
    <w:rsid w:val="00260B16"/>
    <w:rPr>
      <w:color w:val="605E5C"/>
      <w:shd w:val="clear" w:color="auto" w:fill="E1DFDD"/>
    </w:rPr>
  </w:style>
  <w:style w:type="table" w:styleId="TableGrid">
    <w:name w:val="Table Grid"/>
    <w:basedOn w:val="TableNormal"/>
    <w:uiPriority w:val="39"/>
    <w:rsid w:val="0034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040FD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040FD7"/>
    <w:pPr>
      <w:spacing w:after="0"/>
      <w:ind w:left="5103"/>
    </w:pPr>
    <w:rPr>
      <w:rFonts w:ascii="Times New Roman" w:hAnsi="Times New Roman" w:cs="Times New Roman"/>
      <w:sz w:val="28"/>
    </w:rPr>
  </w:style>
  <w:style w:type="paragraph" w:customStyle="1" w:styleId="DateMarking">
    <w:name w:val="DateMarking"/>
    <w:basedOn w:val="Normal"/>
    <w:rsid w:val="00040FD7"/>
    <w:pPr>
      <w:spacing w:after="0"/>
      <w:ind w:left="5103"/>
    </w:pPr>
    <w:rPr>
      <w:rFonts w:ascii="Times New Roman" w:hAnsi="Times New Roman" w:cs="Times New Roman"/>
      <w:i/>
      <w:sz w:val="28"/>
    </w:rPr>
  </w:style>
  <w:style w:type="paragraph" w:customStyle="1" w:styleId="ReleasableTo">
    <w:name w:val="ReleasableTo"/>
    <w:basedOn w:val="Normal"/>
    <w:rsid w:val="00040FD7"/>
    <w:pPr>
      <w:spacing w:after="0"/>
      <w:ind w:left="5103"/>
    </w:pPr>
    <w:rPr>
      <w:rFonts w:ascii="Times New Roman" w:hAnsi="Times New Roman" w:cs="Times New Roman"/>
      <w:i/>
      <w:sz w:val="28"/>
    </w:rPr>
  </w:style>
  <w:style w:type="character" w:customStyle="1" w:styleId="UnresolvedMention">
    <w:name w:val="Unresolved Mention"/>
    <w:basedOn w:val="DefaultParagraphFont"/>
    <w:uiPriority w:val="99"/>
    <w:semiHidden/>
    <w:unhideWhenUsed/>
    <w:rsid w:val="00BE5C0B"/>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618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383">
      <w:bodyDiv w:val="1"/>
      <w:marLeft w:val="0"/>
      <w:marRight w:val="0"/>
      <w:marTop w:val="0"/>
      <w:marBottom w:val="0"/>
      <w:divBdr>
        <w:top w:val="none" w:sz="0" w:space="0" w:color="auto"/>
        <w:left w:val="none" w:sz="0" w:space="0" w:color="auto"/>
        <w:bottom w:val="none" w:sz="0" w:space="0" w:color="auto"/>
        <w:right w:val="none" w:sz="0" w:space="0" w:color="auto"/>
      </w:divBdr>
    </w:div>
    <w:div w:id="122579248">
      <w:bodyDiv w:val="1"/>
      <w:marLeft w:val="0"/>
      <w:marRight w:val="0"/>
      <w:marTop w:val="0"/>
      <w:marBottom w:val="0"/>
      <w:divBdr>
        <w:top w:val="none" w:sz="0" w:space="0" w:color="auto"/>
        <w:left w:val="none" w:sz="0" w:space="0" w:color="auto"/>
        <w:bottom w:val="none" w:sz="0" w:space="0" w:color="auto"/>
        <w:right w:val="none" w:sz="0" w:space="0" w:color="auto"/>
      </w:divBdr>
    </w:div>
    <w:div w:id="251666390">
      <w:bodyDiv w:val="1"/>
      <w:marLeft w:val="0"/>
      <w:marRight w:val="0"/>
      <w:marTop w:val="0"/>
      <w:marBottom w:val="0"/>
      <w:divBdr>
        <w:top w:val="none" w:sz="0" w:space="0" w:color="auto"/>
        <w:left w:val="none" w:sz="0" w:space="0" w:color="auto"/>
        <w:bottom w:val="none" w:sz="0" w:space="0" w:color="auto"/>
        <w:right w:val="none" w:sz="0" w:space="0" w:color="auto"/>
      </w:divBdr>
    </w:div>
    <w:div w:id="261303843">
      <w:bodyDiv w:val="1"/>
      <w:marLeft w:val="0"/>
      <w:marRight w:val="0"/>
      <w:marTop w:val="0"/>
      <w:marBottom w:val="0"/>
      <w:divBdr>
        <w:top w:val="none" w:sz="0" w:space="0" w:color="auto"/>
        <w:left w:val="none" w:sz="0" w:space="0" w:color="auto"/>
        <w:bottom w:val="none" w:sz="0" w:space="0" w:color="auto"/>
        <w:right w:val="none" w:sz="0" w:space="0" w:color="auto"/>
      </w:divBdr>
    </w:div>
    <w:div w:id="270556874">
      <w:bodyDiv w:val="1"/>
      <w:marLeft w:val="0"/>
      <w:marRight w:val="0"/>
      <w:marTop w:val="0"/>
      <w:marBottom w:val="0"/>
      <w:divBdr>
        <w:top w:val="none" w:sz="0" w:space="0" w:color="auto"/>
        <w:left w:val="none" w:sz="0" w:space="0" w:color="auto"/>
        <w:bottom w:val="none" w:sz="0" w:space="0" w:color="auto"/>
        <w:right w:val="none" w:sz="0" w:space="0" w:color="auto"/>
      </w:divBdr>
    </w:div>
    <w:div w:id="322203173">
      <w:bodyDiv w:val="1"/>
      <w:marLeft w:val="0"/>
      <w:marRight w:val="0"/>
      <w:marTop w:val="0"/>
      <w:marBottom w:val="0"/>
      <w:divBdr>
        <w:top w:val="none" w:sz="0" w:space="0" w:color="auto"/>
        <w:left w:val="none" w:sz="0" w:space="0" w:color="auto"/>
        <w:bottom w:val="none" w:sz="0" w:space="0" w:color="auto"/>
        <w:right w:val="none" w:sz="0" w:space="0" w:color="auto"/>
      </w:divBdr>
    </w:div>
    <w:div w:id="323776394">
      <w:bodyDiv w:val="1"/>
      <w:marLeft w:val="0"/>
      <w:marRight w:val="0"/>
      <w:marTop w:val="0"/>
      <w:marBottom w:val="0"/>
      <w:divBdr>
        <w:top w:val="none" w:sz="0" w:space="0" w:color="auto"/>
        <w:left w:val="none" w:sz="0" w:space="0" w:color="auto"/>
        <w:bottom w:val="none" w:sz="0" w:space="0" w:color="auto"/>
        <w:right w:val="none" w:sz="0" w:space="0" w:color="auto"/>
      </w:divBdr>
    </w:div>
    <w:div w:id="451871096">
      <w:bodyDiv w:val="1"/>
      <w:marLeft w:val="0"/>
      <w:marRight w:val="0"/>
      <w:marTop w:val="0"/>
      <w:marBottom w:val="0"/>
      <w:divBdr>
        <w:top w:val="none" w:sz="0" w:space="0" w:color="auto"/>
        <w:left w:val="none" w:sz="0" w:space="0" w:color="auto"/>
        <w:bottom w:val="none" w:sz="0" w:space="0" w:color="auto"/>
        <w:right w:val="none" w:sz="0" w:space="0" w:color="auto"/>
      </w:divBdr>
    </w:div>
    <w:div w:id="477184491">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883060483">
      <w:bodyDiv w:val="1"/>
      <w:marLeft w:val="0"/>
      <w:marRight w:val="0"/>
      <w:marTop w:val="0"/>
      <w:marBottom w:val="0"/>
      <w:divBdr>
        <w:top w:val="none" w:sz="0" w:space="0" w:color="auto"/>
        <w:left w:val="none" w:sz="0" w:space="0" w:color="auto"/>
        <w:bottom w:val="none" w:sz="0" w:space="0" w:color="auto"/>
        <w:right w:val="none" w:sz="0" w:space="0" w:color="auto"/>
      </w:divBdr>
    </w:div>
    <w:div w:id="904952954">
      <w:bodyDiv w:val="1"/>
      <w:marLeft w:val="0"/>
      <w:marRight w:val="0"/>
      <w:marTop w:val="0"/>
      <w:marBottom w:val="0"/>
      <w:divBdr>
        <w:top w:val="none" w:sz="0" w:space="0" w:color="auto"/>
        <w:left w:val="none" w:sz="0" w:space="0" w:color="auto"/>
        <w:bottom w:val="none" w:sz="0" w:space="0" w:color="auto"/>
        <w:right w:val="none" w:sz="0" w:space="0" w:color="auto"/>
      </w:divBdr>
    </w:div>
    <w:div w:id="992413310">
      <w:bodyDiv w:val="1"/>
      <w:marLeft w:val="0"/>
      <w:marRight w:val="0"/>
      <w:marTop w:val="0"/>
      <w:marBottom w:val="0"/>
      <w:divBdr>
        <w:top w:val="none" w:sz="0" w:space="0" w:color="auto"/>
        <w:left w:val="none" w:sz="0" w:space="0" w:color="auto"/>
        <w:bottom w:val="none" w:sz="0" w:space="0" w:color="auto"/>
        <w:right w:val="none" w:sz="0" w:space="0" w:color="auto"/>
      </w:divBdr>
    </w:div>
    <w:div w:id="1017847862">
      <w:bodyDiv w:val="1"/>
      <w:marLeft w:val="0"/>
      <w:marRight w:val="0"/>
      <w:marTop w:val="0"/>
      <w:marBottom w:val="0"/>
      <w:divBdr>
        <w:top w:val="none" w:sz="0" w:space="0" w:color="auto"/>
        <w:left w:val="none" w:sz="0" w:space="0" w:color="auto"/>
        <w:bottom w:val="none" w:sz="0" w:space="0" w:color="auto"/>
        <w:right w:val="none" w:sz="0" w:space="0" w:color="auto"/>
      </w:divBdr>
    </w:div>
    <w:div w:id="1057974876">
      <w:bodyDiv w:val="1"/>
      <w:marLeft w:val="0"/>
      <w:marRight w:val="0"/>
      <w:marTop w:val="0"/>
      <w:marBottom w:val="0"/>
      <w:divBdr>
        <w:top w:val="none" w:sz="0" w:space="0" w:color="auto"/>
        <w:left w:val="none" w:sz="0" w:space="0" w:color="auto"/>
        <w:bottom w:val="none" w:sz="0" w:space="0" w:color="auto"/>
        <w:right w:val="none" w:sz="0" w:space="0" w:color="auto"/>
      </w:divBdr>
    </w:div>
    <w:div w:id="1103763751">
      <w:bodyDiv w:val="1"/>
      <w:marLeft w:val="0"/>
      <w:marRight w:val="0"/>
      <w:marTop w:val="0"/>
      <w:marBottom w:val="0"/>
      <w:divBdr>
        <w:top w:val="none" w:sz="0" w:space="0" w:color="auto"/>
        <w:left w:val="none" w:sz="0" w:space="0" w:color="auto"/>
        <w:bottom w:val="none" w:sz="0" w:space="0" w:color="auto"/>
        <w:right w:val="none" w:sz="0" w:space="0" w:color="auto"/>
      </w:divBdr>
    </w:div>
    <w:div w:id="1125074455">
      <w:bodyDiv w:val="1"/>
      <w:marLeft w:val="0"/>
      <w:marRight w:val="0"/>
      <w:marTop w:val="0"/>
      <w:marBottom w:val="0"/>
      <w:divBdr>
        <w:top w:val="none" w:sz="0" w:space="0" w:color="auto"/>
        <w:left w:val="none" w:sz="0" w:space="0" w:color="auto"/>
        <w:bottom w:val="none" w:sz="0" w:space="0" w:color="auto"/>
        <w:right w:val="none" w:sz="0" w:space="0" w:color="auto"/>
      </w:divBdr>
    </w:div>
    <w:div w:id="1197081627">
      <w:bodyDiv w:val="1"/>
      <w:marLeft w:val="0"/>
      <w:marRight w:val="0"/>
      <w:marTop w:val="0"/>
      <w:marBottom w:val="0"/>
      <w:divBdr>
        <w:top w:val="none" w:sz="0" w:space="0" w:color="auto"/>
        <w:left w:val="none" w:sz="0" w:space="0" w:color="auto"/>
        <w:bottom w:val="none" w:sz="0" w:space="0" w:color="auto"/>
        <w:right w:val="none" w:sz="0" w:space="0" w:color="auto"/>
      </w:divBdr>
    </w:div>
    <w:div w:id="1283925164">
      <w:bodyDiv w:val="1"/>
      <w:marLeft w:val="0"/>
      <w:marRight w:val="0"/>
      <w:marTop w:val="0"/>
      <w:marBottom w:val="0"/>
      <w:divBdr>
        <w:top w:val="none" w:sz="0" w:space="0" w:color="auto"/>
        <w:left w:val="none" w:sz="0" w:space="0" w:color="auto"/>
        <w:bottom w:val="none" w:sz="0" w:space="0" w:color="auto"/>
        <w:right w:val="none" w:sz="0" w:space="0" w:color="auto"/>
      </w:divBdr>
    </w:div>
    <w:div w:id="1313369724">
      <w:bodyDiv w:val="1"/>
      <w:marLeft w:val="0"/>
      <w:marRight w:val="0"/>
      <w:marTop w:val="0"/>
      <w:marBottom w:val="0"/>
      <w:divBdr>
        <w:top w:val="none" w:sz="0" w:space="0" w:color="auto"/>
        <w:left w:val="none" w:sz="0" w:space="0" w:color="auto"/>
        <w:bottom w:val="none" w:sz="0" w:space="0" w:color="auto"/>
        <w:right w:val="none" w:sz="0" w:space="0" w:color="auto"/>
      </w:divBdr>
    </w:div>
    <w:div w:id="1528906502">
      <w:bodyDiv w:val="1"/>
      <w:marLeft w:val="0"/>
      <w:marRight w:val="0"/>
      <w:marTop w:val="0"/>
      <w:marBottom w:val="0"/>
      <w:divBdr>
        <w:top w:val="none" w:sz="0" w:space="0" w:color="auto"/>
        <w:left w:val="none" w:sz="0" w:space="0" w:color="auto"/>
        <w:bottom w:val="none" w:sz="0" w:space="0" w:color="auto"/>
        <w:right w:val="none" w:sz="0" w:space="0" w:color="auto"/>
      </w:divBdr>
    </w:div>
    <w:div w:id="1548838931">
      <w:bodyDiv w:val="1"/>
      <w:marLeft w:val="0"/>
      <w:marRight w:val="0"/>
      <w:marTop w:val="0"/>
      <w:marBottom w:val="0"/>
      <w:divBdr>
        <w:top w:val="none" w:sz="0" w:space="0" w:color="auto"/>
        <w:left w:val="none" w:sz="0" w:space="0" w:color="auto"/>
        <w:bottom w:val="none" w:sz="0" w:space="0" w:color="auto"/>
        <w:right w:val="none" w:sz="0" w:space="0" w:color="auto"/>
      </w:divBdr>
    </w:div>
    <w:div w:id="1565796316">
      <w:bodyDiv w:val="1"/>
      <w:marLeft w:val="0"/>
      <w:marRight w:val="0"/>
      <w:marTop w:val="0"/>
      <w:marBottom w:val="0"/>
      <w:divBdr>
        <w:top w:val="none" w:sz="0" w:space="0" w:color="auto"/>
        <w:left w:val="none" w:sz="0" w:space="0" w:color="auto"/>
        <w:bottom w:val="none" w:sz="0" w:space="0" w:color="auto"/>
        <w:right w:val="none" w:sz="0" w:space="0" w:color="auto"/>
      </w:divBdr>
    </w:div>
    <w:div w:id="1779791607">
      <w:bodyDiv w:val="1"/>
      <w:marLeft w:val="0"/>
      <w:marRight w:val="0"/>
      <w:marTop w:val="0"/>
      <w:marBottom w:val="0"/>
      <w:divBdr>
        <w:top w:val="none" w:sz="0" w:space="0" w:color="auto"/>
        <w:left w:val="none" w:sz="0" w:space="0" w:color="auto"/>
        <w:bottom w:val="none" w:sz="0" w:space="0" w:color="auto"/>
        <w:right w:val="none" w:sz="0" w:space="0" w:color="auto"/>
      </w:divBdr>
    </w:div>
    <w:div w:id="1864635533">
      <w:bodyDiv w:val="1"/>
      <w:marLeft w:val="0"/>
      <w:marRight w:val="0"/>
      <w:marTop w:val="0"/>
      <w:marBottom w:val="0"/>
      <w:divBdr>
        <w:top w:val="none" w:sz="0" w:space="0" w:color="auto"/>
        <w:left w:val="none" w:sz="0" w:space="0" w:color="auto"/>
        <w:bottom w:val="none" w:sz="0" w:space="0" w:color="auto"/>
        <w:right w:val="none" w:sz="0" w:space="0" w:color="auto"/>
      </w:divBdr>
    </w:div>
    <w:div w:id="1915387771">
      <w:bodyDiv w:val="1"/>
      <w:marLeft w:val="0"/>
      <w:marRight w:val="0"/>
      <w:marTop w:val="0"/>
      <w:marBottom w:val="0"/>
      <w:divBdr>
        <w:top w:val="none" w:sz="0" w:space="0" w:color="auto"/>
        <w:left w:val="none" w:sz="0" w:space="0" w:color="auto"/>
        <w:bottom w:val="none" w:sz="0" w:space="0" w:color="auto"/>
        <w:right w:val="none" w:sz="0" w:space="0" w:color="auto"/>
      </w:divBdr>
    </w:div>
    <w:div w:id="1917784057">
      <w:bodyDiv w:val="1"/>
      <w:marLeft w:val="0"/>
      <w:marRight w:val="0"/>
      <w:marTop w:val="0"/>
      <w:marBottom w:val="0"/>
      <w:divBdr>
        <w:top w:val="none" w:sz="0" w:space="0" w:color="auto"/>
        <w:left w:val="none" w:sz="0" w:space="0" w:color="auto"/>
        <w:bottom w:val="none" w:sz="0" w:space="0" w:color="auto"/>
        <w:right w:val="none" w:sz="0" w:space="0" w:color="auto"/>
      </w:divBdr>
    </w:div>
    <w:div w:id="1932081391">
      <w:bodyDiv w:val="1"/>
      <w:marLeft w:val="0"/>
      <w:marRight w:val="0"/>
      <w:marTop w:val="0"/>
      <w:marBottom w:val="0"/>
      <w:divBdr>
        <w:top w:val="none" w:sz="0" w:space="0" w:color="auto"/>
        <w:left w:val="none" w:sz="0" w:space="0" w:color="auto"/>
        <w:bottom w:val="none" w:sz="0" w:space="0" w:color="auto"/>
        <w:right w:val="none" w:sz="0" w:space="0" w:color="auto"/>
      </w:divBdr>
    </w:div>
    <w:div w:id="2052681612">
      <w:bodyDiv w:val="1"/>
      <w:marLeft w:val="0"/>
      <w:marRight w:val="0"/>
      <w:marTop w:val="0"/>
      <w:marBottom w:val="0"/>
      <w:divBdr>
        <w:top w:val="none" w:sz="0" w:space="0" w:color="auto"/>
        <w:left w:val="none" w:sz="0" w:space="0" w:color="auto"/>
        <w:bottom w:val="none" w:sz="0" w:space="0" w:color="auto"/>
        <w:right w:val="none" w:sz="0" w:space="0" w:color="auto"/>
      </w:divBdr>
    </w:div>
    <w:div w:id="2083676498">
      <w:bodyDiv w:val="1"/>
      <w:marLeft w:val="0"/>
      <w:marRight w:val="0"/>
      <w:marTop w:val="0"/>
      <w:marBottom w:val="0"/>
      <w:divBdr>
        <w:top w:val="none" w:sz="0" w:space="0" w:color="auto"/>
        <w:left w:val="none" w:sz="0" w:space="0" w:color="auto"/>
        <w:bottom w:val="none" w:sz="0" w:space="0" w:color="auto"/>
        <w:right w:val="none" w:sz="0" w:space="0" w:color="auto"/>
      </w:divBdr>
    </w:div>
    <w:div w:id="20938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l/publication-detail/-/publication/2e76afa1-5695-11ee-9220-01aa75ed71a1" TargetMode="External"/><Relationship Id="rId13" Type="http://schemas.openxmlformats.org/officeDocument/2006/relationships/hyperlink" Target="https://data.consilium.europa.eu/doc/document/ST-5374-2023-ADD-1-REV-1/el/pdf" TargetMode="External"/><Relationship Id="rId3" Type="http://schemas.openxmlformats.org/officeDocument/2006/relationships/hyperlink" Target="https://oap.ospar.org/en/ospar-assessments/quality-status-reports/qsr-2023/indicator-assessments/changes-plankton-biomass-abundance/" TargetMode="External"/><Relationship Id="rId7" Type="http://schemas.openxmlformats.org/officeDocument/2006/relationships/hyperlink" Target="https://commission.europa.eu/system/files/2020-09/ministerial_declaration_our_baltic_conference.pdf" TargetMode="External"/><Relationship Id="rId12" Type="http://schemas.openxmlformats.org/officeDocument/2006/relationships/hyperlink" Target="https://www.fao.org/documents/card/en/c/cb7562en" TargetMode="External"/><Relationship Id="rId2" Type="http://schemas.openxmlformats.org/officeDocument/2006/relationships/hyperlink" Target="https://cinea.ec.europa.eu/publications/climate-change-and-common-fisheries-policy_en?prefLang=el" TargetMode="External"/><Relationship Id="rId1" Type="http://schemas.openxmlformats.org/officeDocument/2006/relationships/hyperlink" Target="https://research-and-innovation.ec.europa.eu/funding/funding-opportunities/funding-programmes-and-open-calls/horizon-europe/eu-missions-horizon-europe/restore-our-ocean-and-waters_en?prefLang=el" TargetMode="External"/><Relationship Id="rId6" Type="http://schemas.openxmlformats.org/officeDocument/2006/relationships/hyperlink" Target="https://helcom.fi/wp-content/uploads/2023/10/State-of-the-Baltic-Sea-2023.pdf" TargetMode="External"/><Relationship Id="rId11" Type="http://schemas.openxmlformats.org/officeDocument/2006/relationships/hyperlink" Target="https://oceans-and-fisheries.ec.europa.eu/document/download/675ccb20-4b1c-456e-b13c-8e7b853002e3_en?filename=2023-12-08-EU-NO-Skagerrak-Agreed-Record-2024.pdf" TargetMode="External"/><Relationship Id="rId5" Type="http://schemas.openxmlformats.org/officeDocument/2006/relationships/hyperlink" Target="https://oap.ospar.org/en/ospar-assessments/quality-status-reports/qsr-2023/indicator-assessments/changes-plankton-biomass-abundance/" TargetMode="External"/><Relationship Id="rId15" Type="http://schemas.openxmlformats.org/officeDocument/2006/relationships/hyperlink" Target="https://blue-economy-observatory.ec.europa.eu/energy-transition-partnership_en?prefLang=el" TargetMode="External"/><Relationship Id="rId10" Type="http://schemas.openxmlformats.org/officeDocument/2006/relationships/hyperlink" Target="https://commission.europa.eu/strategy-and-policy/relations-non-eu-countries/relations-united-kingdom/eu-uk-trade-and-cooperation-agreement/meetings-eu-uk-partnership-council-and-specialised-committees-under-trade-and-cooperation-agreement/specialised-committee-fisheries_el?etrans=el" TargetMode="External"/><Relationship Id="rId4" Type="http://schemas.openxmlformats.org/officeDocument/2006/relationships/hyperlink" Target="https://oap.ospar.org/en/ospar-assessments/quality-status-reports/qsr-2023/indicator-assessments/changes-plankton-biomass-abundance/" TargetMode="External"/><Relationship Id="rId9" Type="http://schemas.openxmlformats.org/officeDocument/2006/relationships/hyperlink" Target="https://oceans-and-fisheries.ec.europa.eu/system/files/2023-12/2024-eu-uk-fisheries-consultations_en.pdf" TargetMode="External"/><Relationship Id="rId14" Type="http://schemas.openxmlformats.org/officeDocument/2006/relationships/hyperlink" Target="https://eur-lex.europa.eu/legal-content/EL/TXT/PDF/?uri=CELEX:52023DC0100" TargetMode="External"/></Relationships>
</file>

<file path=word/documenttasks/documenttasks1.xml><?xml version="1.0" encoding="utf-8"?>
<t:Tasks xmlns:t="http://schemas.microsoft.com/office/tasks/2019/documenttasks" xmlns:oel="http://schemas.microsoft.com/office/2019/extlst">
  <t:Task id="{70E8238D-6F17-42FA-8635-2D3BC2FC7F19}">
    <t:Anchor>
      <t:Comment id="568741668"/>
    </t:Anchor>
    <t:History>
      <t:Event id="{431D52CF-5073-4901-B2D1-828EA910E017}" time="2024-03-21T08:53:08.995Z">
        <t:Attribution userId="S::evelien.ranshuysen@ec.europa.eu::ffe8a644-bacc-4691-a5df-4b303117bb6e" userProvider="AD" userName="RANSHUYSEN-ESSAT Evelien (MARE)"/>
        <t:Anchor>
          <t:Comment id="568741668"/>
        </t:Anchor>
        <t:Create/>
      </t:Event>
      <t:Event id="{9AE2B8D8-3097-4A64-9BA1-221BC3BA4B2F}" time="2024-03-21T08:53:08.995Z">
        <t:Attribution userId="S::evelien.ranshuysen@ec.europa.eu::ffe8a644-bacc-4691-a5df-4b303117bb6e" userProvider="AD" userName="RANSHUYSEN-ESSAT Evelien (MARE)"/>
        <t:Anchor>
          <t:Comment id="568741668"/>
        </t:Anchor>
        <t:Assign userId="S::Kenneth.PATTERSON@ec.europa.eu::80d6b819-b57e-47a7-91bc-2a9fa02da888" userProvider="AD" userName="PATTERSON Kenneth (MARE)"/>
      </t:Event>
      <t:Event id="{3AC41584-0045-4074-8B86-19B1C8FAB983}" time="2024-03-21T08:53:08.995Z">
        <t:Attribution userId="S::evelien.ranshuysen@ec.europa.eu::ffe8a644-bacc-4691-a5df-4b303117bb6e" userProvider="AD" userName="RANSHUYSEN-ESSAT Evelien (MARE)"/>
        <t:Anchor>
          <t:Comment id="568741668"/>
        </t:Anchor>
        <t:SetTitle title="@PATTERSON Kenneth (MARE) the NEA Fmsy figures can already be updated with the JRC report we received, please do so/or Martin please as this is important to already inform MBM of this afternoon"/>
      </t:Event>
    </t:History>
  </t:Task>
  <t:Task id="{206AC6C3-01E8-4A68-B374-1A83CD74C0F6}">
    <t:Anchor>
      <t:Comment id="12537108"/>
    </t:Anchor>
    <t:History>
      <t:Event id="{74941B73-1103-4A29-96C0-FF1A272B3565}" time="2024-03-22T14:05:46.782Z">
        <t:Attribution userId="S::kenneth.patterson@ec.europa.eu::80d6b819-b57e-47a7-91bc-2a9fa02da888" userProvider="AD" userName="PATTERSON Kenneth (MARE)"/>
        <t:Anchor>
          <t:Comment id="1777426466"/>
        </t:Anchor>
        <t:Create/>
      </t:Event>
      <t:Event id="{E7523827-C9F4-42A4-838C-EA194B977122}" time="2024-03-22T14:05:46.782Z">
        <t:Attribution userId="S::kenneth.patterson@ec.europa.eu::80d6b819-b57e-47a7-91bc-2a9fa02da888" userProvider="AD" userName="PATTERSON Kenneth (MARE)"/>
        <t:Anchor>
          <t:Comment id="1777426466"/>
        </t:Anchor>
        <t:Assign userId="S::Giacomo-Chato.OSIO@ec.europa.eu::860a614c-6fbb-4eae-82a9-5b459209829d" userProvider="AD" userName="OSIO Giacomo Chato (MARE)"/>
      </t:Event>
      <t:Event id="{02F88BAE-BFB4-4C2E-899D-D12AEE2CA2BB}" time="2024-03-22T14:05:46.782Z">
        <t:Attribution userId="S::kenneth.patterson@ec.europa.eu::80d6b819-b57e-47a7-91bc-2a9fa02da888" userProvider="AD" userName="PATTERSON Kenneth (MARE)"/>
        <t:Anchor>
          <t:Comment id="1777426466"/>
        </t:Anchor>
        <t:SetTitle title="Model median percentile was 1.20 for the Med @OSIO Giacomo Chato (M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ARES_TRANSFERRED_BY xmlns="9872877a-2c26-4a09-bc31-c5480212e136" xsi:nil="true"/>
    <EC_Collab_DocumentLanguage xmlns="9872877a-2c26-4a09-bc31-c5480212e136">EN</EC_Collab_DocumentLanguage>
    <EC_Collab_Reference xmlns="9872877a-2c26-4a09-bc31-c5480212e136" xsi:nil="true"/>
    <EC_ARES_DATE_TRANSFERRED xmlns="9872877a-2c26-4a09-bc31-c5480212e136" xsi:nil="true"/>
    <EC_ARES_NUMBER xmlns="9872877a-2c26-4a09-bc31-c5480212e136">
      <Url xsi:nil="true"/>
      <Description xsi:nil="true"/>
    </EC_ARES_NUMBER>
    <EC_Collab_Status xmlns="9872877a-2c26-4a09-bc31-c5480212e136">Not Started</EC_Collab_Status>
    <SharedWithUsers xmlns="9872877a-2c26-4a09-bc31-c5480212e136">
      <UserInfo>
        <DisplayName>ANDUJAR VAZQUEZ Anabel (MARE)</DisplayName>
        <AccountId>603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609275282FDBDC44A460D864DB2442E100E6D351A38444394097558B54BFB7F5A7" ma:contentTypeVersion="17" ma:contentTypeDescription="Create a new document in this library." ma:contentTypeScope="" ma:versionID="89ebc7808cf36979ff42dc82a4de9f82">
  <xsd:schema xmlns:xsd="http://www.w3.org/2001/XMLSchema" xmlns:xs="http://www.w3.org/2001/XMLSchema" xmlns:p="http://schemas.microsoft.com/office/2006/metadata/properties" xmlns:ns2="http://schemas.microsoft.com/sharepoint/v3/fields" xmlns:ns3="9872877a-2c26-4a09-bc31-c5480212e136" xmlns:ns4="a34b7f94-ab0d-4526-afeb-99db304a721b" targetNamespace="http://schemas.microsoft.com/office/2006/metadata/properties" ma:root="true" ma:fieldsID="28c5336fdf3f83856b26b01243236de0" ns2:_="" ns3:_="" ns4:_="">
    <xsd:import namespace="http://schemas.microsoft.com/sharepoint/v3/fields"/>
    <xsd:import namespace="9872877a-2c26-4a09-bc31-c5480212e136"/>
    <xsd:import namespace="a34b7f94-ab0d-4526-afeb-99db304a721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872877a-2c26-4a09-bc31-c5480212e136" elementFormDefault="qualified">
    <xsd:import namespace="http://schemas.microsoft.com/office/2006/documentManagement/types"/>
    <xsd:import namespace="http://schemas.microsoft.com/office/infopath/2007/PartnerControls"/>
    <xsd:element name="EC_Collab_Reference" ma:index="9" nillable="true" ma:displayName="Reference" ma:internalName="EC_Collab_Reference" ma:readOnly="false">
      <xsd:simpleType>
        <xsd:restriction base="dms:Text"/>
      </xsd:simpleType>
    </xsd:element>
    <xsd:element name="EC_Collab_DocumentLanguage" ma:index="11"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2"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3"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4" nillable="true" ma:displayName="Transferred to Ares" ma:format="DateTime" ma:internalName="EC_ARES_DATE_TRANSFERRED" ma:readOnly="false">
      <xsd:simpleType>
        <xsd:restriction base="dms:DateTime"/>
      </xsd:simpleType>
    </xsd:element>
    <xsd:element name="EC_ARES_TRANSFERRED_BY" ma:index="15" nillable="true" ma:displayName="Transferred By" ma:internalName="EC_ARES_TRANSFERRED_BY" ma:readOnly="false">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b7f94-ab0d-4526-afeb-99db304a721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ma:index="5" ma:displayName="Subject"/>
        <xsd:element ref="dc:description" minOccurs="0" maxOccurs="1" ma:index="8"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EC3B-91E1-4699-831C-5670E16E9C6E}">
  <ds:schemaRefs>
    <ds:schemaRef ds:uri="http://schemas.microsoft.com/sharepoint/v3/contenttype/forms"/>
  </ds:schemaRefs>
</ds:datastoreItem>
</file>

<file path=customXml/itemProps2.xml><?xml version="1.0" encoding="utf-8"?>
<ds:datastoreItem xmlns:ds="http://schemas.openxmlformats.org/officeDocument/2006/customXml" ds:itemID="{4840787E-2154-440D-84C2-5D088DA54E3E}">
  <ds:schemaRefs>
    <ds:schemaRef ds:uri="http://schemas.microsoft.com/office/2006/metadata/properties"/>
    <ds:schemaRef ds:uri="http://schemas.microsoft.com/office/infopath/2007/PartnerControls"/>
    <ds:schemaRef ds:uri="http://schemas.microsoft.com/sharepoint/v3/fields"/>
    <ds:schemaRef ds:uri="9872877a-2c26-4a09-bc31-c5480212e136"/>
  </ds:schemaRefs>
</ds:datastoreItem>
</file>

<file path=customXml/itemProps3.xml><?xml version="1.0" encoding="utf-8"?>
<ds:datastoreItem xmlns:ds="http://schemas.openxmlformats.org/officeDocument/2006/customXml" ds:itemID="{B7E53C35-408E-4023-9006-6A02A030E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72877a-2c26-4a09-bc31-c5480212e136"/>
    <ds:schemaRef ds:uri="a34b7f94-ab0d-4526-afeb-99db304a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24EA8-E7FE-4958-9DF9-3908CA75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2024-05-22T15:32:00Z</dcterms:created>
  <dcterms:modified xsi:type="dcterms:W3CDTF">2024-05-31T10:52:00Z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2023-05-30T11:26:04Z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6df8216d-0247-4534-8c05-91006c7c82d1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ContentTypeId">
    <vt:lpwstr>0x010100609275282FDBDC44A460D864DB2442E100E6D351A38444394097558B54BFB7F5A7</vt:lpwstr>
  </property>
  <property name="OP_sanitized" fmtid="{D5CDD505-2E9C-101B-9397-08002B2CF9AE}" pid="16">
    <vt:lpwstr>True</vt:lpwstr>
  </property>
</Properties>
</file>