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08C8C" w14:textId="0FA54A96" w:rsidR="0095756A" w:rsidRPr="008867A3" w:rsidRDefault="002F2036" w:rsidP="002F2036">
      <w:pPr>
        <w:pStyle w:val="Pagedecouverture"/>
        <w:rPr>
          <w:noProof/>
        </w:rPr>
      </w:pPr>
      <w:r>
        <w:rPr>
          <w:noProof/>
        </w:rPr>
        <w:pict w14:anchorId="7FACC3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C0A12AAA-DDF2-432F-B435-0FB4715EE3B1" style="width:455.25pt;height:369.75pt">
            <v:imagedata r:id="rId11" o:title=""/>
          </v:shape>
        </w:pict>
      </w:r>
    </w:p>
    <w:p w14:paraId="7C208C8D" w14:textId="77777777" w:rsidR="0095756A" w:rsidRPr="008867A3" w:rsidRDefault="0095756A" w:rsidP="0095756A">
      <w:pPr>
        <w:rPr>
          <w:noProof/>
        </w:rPr>
        <w:sectPr w:rsidR="0095756A" w:rsidRPr="008867A3" w:rsidSect="002F2036">
          <w:footerReference w:type="default" r:id="rId12"/>
          <w:pgSz w:w="11907" w:h="16839"/>
          <w:pgMar w:top="1134" w:right="1417" w:bottom="1134" w:left="1417" w:header="709" w:footer="709" w:gutter="0"/>
          <w:pgNumType w:start="0"/>
          <w:cols w:space="720"/>
          <w:docGrid w:linePitch="360"/>
        </w:sectPr>
      </w:pPr>
    </w:p>
    <w:p w14:paraId="7C208C8E" w14:textId="77777777" w:rsidR="0095756A" w:rsidRPr="008867A3" w:rsidRDefault="0095756A" w:rsidP="008B545C">
      <w:pPr>
        <w:pStyle w:val="Exposdesmotifstitre"/>
        <w:rPr>
          <w:noProof/>
        </w:rPr>
      </w:pPr>
      <w:bookmarkStart w:id="0" w:name="_GoBack"/>
      <w:bookmarkEnd w:id="0"/>
      <w:r w:rsidRPr="008867A3">
        <w:rPr>
          <w:noProof/>
        </w:rPr>
        <w:lastRenderedPageBreak/>
        <w:t>ΑΙΤΙΟΛΟΓΙΚΗ ΕΚΘΕΣΗ</w:t>
      </w:r>
    </w:p>
    <w:p w14:paraId="7C208C8F" w14:textId="77777777" w:rsidR="0095756A" w:rsidRPr="008867A3" w:rsidRDefault="0095756A" w:rsidP="008B545C">
      <w:pPr>
        <w:pStyle w:val="ManualHeading1"/>
        <w:rPr>
          <w:noProof/>
        </w:rPr>
      </w:pPr>
      <w:r w:rsidRPr="008867A3">
        <w:rPr>
          <w:noProof/>
        </w:rPr>
        <w:t>1.</w:t>
      </w:r>
      <w:r w:rsidRPr="008867A3">
        <w:rPr>
          <w:noProof/>
        </w:rPr>
        <w:tab/>
        <w:t>ΠΛΑΙΣΙΟ ΤΗΣ ΠΡΟΤΑΣΗΣ</w:t>
      </w:r>
    </w:p>
    <w:p w14:paraId="7C208C90" w14:textId="77777777" w:rsidR="0095756A" w:rsidRPr="008867A3" w:rsidRDefault="0095756A" w:rsidP="00322D6B">
      <w:pPr>
        <w:pStyle w:val="ManualHeading2"/>
        <w:rPr>
          <w:noProof/>
        </w:rPr>
      </w:pPr>
      <w:r w:rsidRPr="008867A3">
        <w:rPr>
          <w:noProof/>
          <w:u w:color="000000"/>
          <w:bdr w:val="nil"/>
        </w:rPr>
        <w:t>•</w:t>
      </w:r>
      <w:r w:rsidRPr="008867A3">
        <w:rPr>
          <w:noProof/>
        </w:rPr>
        <w:tab/>
        <w:t>Αιτιολόγηση και στόχοι της πρότασης</w:t>
      </w:r>
    </w:p>
    <w:p w14:paraId="7C208C91" w14:textId="77777777" w:rsidR="00621712" w:rsidRPr="008867A3" w:rsidRDefault="00322D6B" w:rsidP="00322D6B">
      <w:pPr>
        <w:rPr>
          <w:noProof/>
        </w:rPr>
      </w:pPr>
      <w:r w:rsidRPr="008867A3">
        <w:rPr>
          <w:noProof/>
        </w:rPr>
        <w:t>Η παρούσα πρόταση αποτελεί μέρος της δέσμης νομοθετικών μέτρων σχετικά με την πρωτοβουλία για τον ΦΠΑ στην ψηφιακή εποχή, μαζί με πρόταση οδηγίας του Συμβουλίου για την τροποποίηση της οδηγίας 2006/112/ΕΚ όσον αφορά τους κανόνες ΦΠΑ για την ψηφιακή εποχή</w:t>
      </w:r>
      <w:r w:rsidRPr="008867A3">
        <w:rPr>
          <w:rStyle w:val="FootnoteReference"/>
          <w:noProof/>
        </w:rPr>
        <w:footnoteReference w:id="2"/>
      </w:r>
      <w:r w:rsidRPr="008867A3">
        <w:rPr>
          <w:noProof/>
        </w:rPr>
        <w:t>, καθώς και την πρόταση εκτελεστικού κανονισμού του Συμβουλίου για την τροποποίηση του εκτελεστικού κανονισμού (ΕΕ) αριθ. 282/2011 όσον αφορά τις απαιτήσεις παροχής πληροφοριών για ορισμένα καθεστώτα ΦΠΑ</w:t>
      </w:r>
      <w:r w:rsidRPr="008867A3">
        <w:rPr>
          <w:rStyle w:val="FootnoteReference"/>
          <w:noProof/>
        </w:rPr>
        <w:footnoteReference w:id="3"/>
      </w:r>
      <w:r w:rsidRPr="008867A3">
        <w:rPr>
          <w:noProof/>
        </w:rPr>
        <w:t>. Το πλαίσιο της παρούσας πρωτοβουλίας στο σύνολό της παρουσιάζεται διεξοδικά στην αιτιολογική έκθεση της πρότασης οδηγίας του Συμβουλίου για την τροποποίηση της οδηγίας 2006/112/ΕΚ</w:t>
      </w:r>
      <w:r w:rsidRPr="008867A3">
        <w:rPr>
          <w:rStyle w:val="FootnoteReference"/>
          <w:noProof/>
        </w:rPr>
        <w:footnoteReference w:id="4"/>
      </w:r>
      <w:r w:rsidRPr="008867A3">
        <w:rPr>
          <w:noProof/>
        </w:rPr>
        <w:t xml:space="preserve">. </w:t>
      </w:r>
    </w:p>
    <w:p w14:paraId="7C208C92" w14:textId="77777777" w:rsidR="00322D6B" w:rsidRPr="008867A3" w:rsidRDefault="00322D6B" w:rsidP="00322D6B">
      <w:pPr>
        <w:rPr>
          <w:noProof/>
        </w:rPr>
      </w:pPr>
      <w:r w:rsidRPr="008867A3">
        <w:rPr>
          <w:noProof/>
        </w:rPr>
        <w:t>Στην παρούσα αιτιολογική έκθεση περιγράφονται οι απαιτούμενες τροποποιήσεις του κανονισμού (ΕΕ) αριθ. 904/2010 του Συμβουλίου για τη διοικητική συνεργασία και την καταπολέμηση της απάτης στον τομέα του ΦΠΑ, οι οποίες απορρέουν από αλλαγές στην οδηγία ΦΠΑ.</w:t>
      </w:r>
    </w:p>
    <w:p w14:paraId="7C208C93" w14:textId="77777777" w:rsidR="00322D6B" w:rsidRPr="008867A3" w:rsidRDefault="00322D6B" w:rsidP="00322D6B">
      <w:pPr>
        <w:rPr>
          <w:noProof/>
        </w:rPr>
      </w:pPr>
      <w:r w:rsidRPr="008867A3">
        <w:rPr>
          <w:noProof/>
        </w:rPr>
        <w:t>Η πρόταση τροποποίησης του κανονισμού (ΕΕ) αριθ. 904/2010 του Συμβουλίου αποτελεί σημαντικό μέρος της δέσμης μέτρων. Η δέσμη μέτρων για τον ΦΠΑ στην ψηφιακή εποχή εκσυγχρονίζει τον τρόπο με τον οποίο δηλώνονται οι διασυνοριακές συναλλαγές εντός της ενιαίας αγοράς για τους σκοπούς του ΦΠΑ, με σκοπό τη χρήση καθιερωμένης τεχνολογίας και την αντιμετώπιση της απάτης στον τομέα του ΦΠΑ. Ο τρόπος με τον οποίο συλλέγονται επί του παρόντος συγκεντρωτικά δεδομένα μέσω των ανακεφαλαιωτικών πινάκων</w:t>
      </w:r>
      <w:r w:rsidRPr="008867A3">
        <w:rPr>
          <w:rStyle w:val="FootnoteReference"/>
          <w:noProof/>
        </w:rPr>
        <w:footnoteReference w:id="5"/>
      </w:r>
      <w:r w:rsidRPr="008867A3">
        <w:rPr>
          <w:noProof/>
        </w:rPr>
        <w:t xml:space="preserve"> και ανταλλάσσονται δεδομένα μέσω του συστήματος ανταλλαγής πληροφοριών για τον ΦΠΑ χρησιμοποιείται από την καθιέρωση της ενιαίας αγοράς το 1993. Δεν είναι πλέον κατάλληλος για τον επιδιωκόμενο σκοπό, δεδομένης της κλίμακας των διασυνοριακών συναλλαγών και του επιπέδου της απάτης στον τομέα του ΦΠΑ. Με την τροποποιημένη οδηγία ΦΠΑ, οι ανακεφαλαιωτικοί πίνακες αντικαθίστανται με νέες υποχρεώσεις υποβολής στοιχείων βάσει συναλλαγών. Για να συμπληρωθούν οι εν λόγω αλλαγές, ο τροποποιημένος κανονισμός προβλέπει τους αναγκαίους πρακτικούς κανόνες σχετικά με τον τρόπο ανταλλαγής αυτών των δεδομένων που άρχισαν να συλλέγονται πρόσφατα μεταξύ των κρατών μελών, την απαιτούμενη υποδομή ΤΠ, καθώς και σχετικά με τους κανόνες προστασίας των δεδομένων προσωπικού χαρακτήρα που θα διέπουν τις νέες ανταλλαγές. Αυτά τα λεπτομερή στοιχεία είναι αναγκαία για τη διασφάλιση της ομαλής εφαρμογής των νέων κανόνων και για την εξασφάλιση της δυνατότητας μείωσης των περιπτώσεων απάτης στον τομέα του ΦΠΑ.</w:t>
      </w:r>
    </w:p>
    <w:p w14:paraId="7C208C94" w14:textId="77777777" w:rsidR="00322D6B" w:rsidRPr="008867A3" w:rsidRDefault="00322D6B" w:rsidP="00322D6B">
      <w:pPr>
        <w:rPr>
          <w:noProof/>
        </w:rPr>
      </w:pPr>
      <w:r w:rsidRPr="008867A3">
        <w:rPr>
          <w:noProof/>
        </w:rPr>
        <w:t>Σύμφωνα με τη δομή της πρωτοβουλίας για τον ΦΠΑ στην ψηφιακή εποχή, είναι σκόπιμο να επισημανθούν τα ακόλουθα μέρη της δέσμης μέτρων:</w:t>
      </w:r>
    </w:p>
    <w:p w14:paraId="7C208C95" w14:textId="77777777" w:rsidR="00621712" w:rsidRPr="008867A3" w:rsidRDefault="00621712" w:rsidP="00621712">
      <w:pPr>
        <w:autoSpaceDE w:val="0"/>
        <w:autoSpaceDN w:val="0"/>
        <w:adjustRightInd w:val="0"/>
        <w:spacing w:before="0" w:after="0"/>
        <w:rPr>
          <w:noProof/>
        </w:rPr>
      </w:pPr>
      <w:r w:rsidRPr="008867A3">
        <w:rPr>
          <w:noProof/>
        </w:rPr>
        <w:t>Η παρούσα δέσμη μέτρων θέτει τρεις βασικούς στόχους:</w:t>
      </w:r>
    </w:p>
    <w:p w14:paraId="7C208C96" w14:textId="45C863F5" w:rsidR="00621712" w:rsidRPr="008867A3" w:rsidRDefault="005F3296" w:rsidP="005F3296">
      <w:pPr>
        <w:pStyle w:val="Point0"/>
        <w:rPr>
          <w:noProof/>
        </w:rPr>
      </w:pPr>
      <w:r w:rsidRPr="008867A3">
        <w:rPr>
          <w:noProof/>
        </w:rPr>
        <w:t>1)</w:t>
      </w:r>
      <w:r w:rsidRPr="008867A3">
        <w:rPr>
          <w:noProof/>
        </w:rPr>
        <w:tab/>
      </w:r>
      <w:r w:rsidR="00621712" w:rsidRPr="008867A3">
        <w:rPr>
          <w:noProof/>
        </w:rPr>
        <w:t xml:space="preserve">εκσυγχρονισμός των </w:t>
      </w:r>
      <w:r w:rsidR="00621712" w:rsidRPr="008867A3">
        <w:rPr>
          <w:b/>
          <w:noProof/>
        </w:rPr>
        <w:t>υποχρεώσεων υποβολής στοιχείων ΦΠΑ</w:t>
      </w:r>
      <w:r w:rsidR="00621712" w:rsidRPr="008867A3">
        <w:rPr>
          <w:rStyle w:val="FootnoteReference"/>
          <w:b/>
          <w:noProof/>
        </w:rPr>
        <w:footnoteReference w:id="6"/>
      </w:r>
      <w:r w:rsidR="00621712" w:rsidRPr="008867A3">
        <w:rPr>
          <w:noProof/>
        </w:rPr>
        <w:t>, με τη θέσπιση απαιτήσεων ψηφιακής υποβολής στοιχείων, οι οποίες θα τυποποιήσουν τις πληροφορίες που πρέπει να υποβάλλουν οι υποκείμενοι στον φόρο για κάθε συναλλαγή στις φορολογικές αρχές σε ηλεκτρονική μορφή. Ταυτόχρονα, θα επιβάλει τη χρήση ηλεκτρονικής τιμολόγησης για τις διασυνοριακές συναλλαγές·</w:t>
      </w:r>
    </w:p>
    <w:p w14:paraId="7C208C97" w14:textId="3C0FE480" w:rsidR="00621712" w:rsidRPr="008867A3" w:rsidRDefault="005F3296" w:rsidP="005F3296">
      <w:pPr>
        <w:pStyle w:val="Point0"/>
        <w:rPr>
          <w:noProof/>
        </w:rPr>
      </w:pPr>
      <w:r w:rsidRPr="008867A3">
        <w:rPr>
          <w:noProof/>
        </w:rPr>
        <w:t>2)</w:t>
      </w:r>
      <w:r w:rsidRPr="008867A3">
        <w:rPr>
          <w:noProof/>
        </w:rPr>
        <w:tab/>
      </w:r>
      <w:r w:rsidR="00621712" w:rsidRPr="008867A3">
        <w:rPr>
          <w:noProof/>
        </w:rPr>
        <w:t xml:space="preserve">αντιμετώπιση των προκλήσεων της </w:t>
      </w:r>
      <w:r w:rsidR="00621712" w:rsidRPr="008867A3">
        <w:rPr>
          <w:b/>
          <w:noProof/>
        </w:rPr>
        <w:t>οικονομίας πλατφορμών</w:t>
      </w:r>
      <w:r w:rsidR="00621712" w:rsidRPr="008867A3">
        <w:rPr>
          <w:rStyle w:val="FootnoteReference"/>
          <w:b/>
          <w:noProof/>
        </w:rPr>
        <w:footnoteReference w:id="7"/>
      </w:r>
      <w:r w:rsidR="00621712" w:rsidRPr="008867A3">
        <w:rPr>
          <w:noProof/>
        </w:rPr>
        <w:t>, με την επικαιροποίηση των κανόνων ΦΠΑ που ισχύουν για την οικονομία των πλατφορμών προκειμένου να αντιμετωπιστεί το ζήτημα της ίσης μεταχείρισης, διασαφήνιση των κανόνων για τον τόπο παροχής υπηρεσιών που ισχύουν για τις εν λόγω συναλλαγές και ενίσχυση του ρόλου των πλατφορμών στην είσπραξη του ΦΠΑ όταν διευκολύνουν την παροχή υπηρεσιών βραχυχρόνιας μίσθωσης ακινήτων ή μεταφοράς επιβατών· και</w:t>
      </w:r>
    </w:p>
    <w:p w14:paraId="7C208C98" w14:textId="65B87170" w:rsidR="00621712" w:rsidRPr="008867A3" w:rsidRDefault="005F3296" w:rsidP="005F3296">
      <w:pPr>
        <w:pStyle w:val="Point0"/>
        <w:rPr>
          <w:noProof/>
        </w:rPr>
      </w:pPr>
      <w:r w:rsidRPr="008867A3">
        <w:rPr>
          <w:noProof/>
        </w:rPr>
        <w:t>3)</w:t>
      </w:r>
      <w:r w:rsidRPr="008867A3">
        <w:rPr>
          <w:noProof/>
        </w:rPr>
        <w:tab/>
      </w:r>
      <w:r w:rsidR="00621712" w:rsidRPr="008867A3">
        <w:rPr>
          <w:noProof/>
        </w:rPr>
        <w:t xml:space="preserve">αποφυγή της ανάγκης πολλαπλών </w:t>
      </w:r>
      <w:r w:rsidR="00621712" w:rsidRPr="008867A3">
        <w:rPr>
          <w:b/>
          <w:noProof/>
        </w:rPr>
        <w:t>εγγραφών στα μητρώα ΦΠΑ</w:t>
      </w:r>
      <w:r w:rsidR="00621712" w:rsidRPr="008867A3">
        <w:rPr>
          <w:noProof/>
        </w:rPr>
        <w:t xml:space="preserve"> στην ΕΕ και βελτίωση της λειτουργίας του εργαλείου που εφαρμόζεται για τη δήλωση και την καταβολή του ΦΠΑ που οφείλεται για τις εξ αποστάσεως πωλήσεις αγαθών</w:t>
      </w:r>
      <w:r w:rsidR="00621712" w:rsidRPr="008867A3">
        <w:rPr>
          <w:rStyle w:val="FootnoteReference"/>
          <w:noProof/>
        </w:rPr>
        <w:footnoteReference w:id="8"/>
      </w:r>
      <w:r w:rsidR="00621712" w:rsidRPr="008867A3">
        <w:rPr>
          <w:noProof/>
        </w:rPr>
        <w:t>, με τη θέσπιση της ενιαίας εγγραφής στα μητρώα ΦΠΑ. Αυτό σημαίνει βελτίωση και επέκταση των υφιστάμενων συστημάτων της μονοαπευθυντικής θυρίδας (OSS) / της μονοαπευθυντικής θυρίδας εισαγωγών (IOSS) και της αντιστροφής της επιβάρυνσης, προκειμένου να περιοριστούν στο ελάχιστο οι περιπτώσεις στις οποίες ο υποκείμενος στον φόρο υποχρεούται να εγγραφεί στα σχετικά μητρώα άλλου κράτους μέλους.</w:t>
      </w:r>
    </w:p>
    <w:p w14:paraId="7C208C99" w14:textId="77777777" w:rsidR="0095756A" w:rsidRPr="008867A3" w:rsidRDefault="0095756A" w:rsidP="008B545C">
      <w:pPr>
        <w:pStyle w:val="ManualHeading2"/>
        <w:rPr>
          <w:noProof/>
          <w:u w:color="000000"/>
          <w:bdr w:val="nil"/>
        </w:rPr>
      </w:pPr>
      <w:r w:rsidRPr="008867A3">
        <w:rPr>
          <w:noProof/>
          <w:u w:color="000000"/>
          <w:bdr w:val="nil"/>
        </w:rPr>
        <w:t>•</w:t>
      </w:r>
      <w:r w:rsidRPr="008867A3">
        <w:rPr>
          <w:noProof/>
        </w:rPr>
        <w:tab/>
        <w:t>Συνέπεια με τις ισχύουσες διατάξεις στον τομέα πολιτικής</w:t>
      </w:r>
    </w:p>
    <w:p w14:paraId="7C208C9A" w14:textId="77777777" w:rsidR="0095756A" w:rsidRPr="008867A3" w:rsidRDefault="00A100BC" w:rsidP="00A100BC">
      <w:pPr>
        <w:rPr>
          <w:noProof/>
        </w:rPr>
      </w:pPr>
      <w:r w:rsidRPr="008867A3">
        <w:rPr>
          <w:noProof/>
        </w:rPr>
        <w:t>Η παρούσα πρόταση αποτελεί μέρος της δέσμης νομοθετικών μέτρων σχετικά με την πρωτοβουλία για τον ΦΠΑ στην ψηφιακή εποχή. Η συνέπεια της δέσμης μέτρων στο σύνολό της παρουσιάζεται διεξοδικά στην αιτιολογική έκθεση της πρότασης οδηγίας του Συμβουλίου για την τροποποίηση της οδηγίας 2006/112/ΕΚ</w:t>
      </w:r>
      <w:r w:rsidRPr="008867A3">
        <w:rPr>
          <w:rStyle w:val="FootnoteReference"/>
          <w:noProof/>
        </w:rPr>
        <w:footnoteReference w:id="9"/>
      </w:r>
      <w:r w:rsidRPr="008867A3">
        <w:rPr>
          <w:noProof/>
        </w:rPr>
        <w:t>.</w:t>
      </w:r>
    </w:p>
    <w:p w14:paraId="7C208C9B" w14:textId="77777777" w:rsidR="0095756A" w:rsidRPr="008867A3" w:rsidRDefault="0095756A" w:rsidP="008B545C">
      <w:pPr>
        <w:pStyle w:val="ManualHeading2"/>
        <w:rPr>
          <w:noProof/>
        </w:rPr>
      </w:pPr>
      <w:r w:rsidRPr="008867A3">
        <w:rPr>
          <w:noProof/>
          <w:u w:color="000000"/>
          <w:bdr w:val="nil"/>
        </w:rPr>
        <w:t>•</w:t>
      </w:r>
      <w:r w:rsidRPr="008867A3">
        <w:rPr>
          <w:noProof/>
        </w:rPr>
        <w:tab/>
        <w:t>Συνέπεια με άλλες πολιτικές της Ένωσης</w:t>
      </w:r>
    </w:p>
    <w:p w14:paraId="7C208C9C" w14:textId="77777777" w:rsidR="0095756A" w:rsidRPr="008867A3" w:rsidRDefault="00A100BC" w:rsidP="00A100BC">
      <w:pPr>
        <w:rPr>
          <w:noProof/>
        </w:rPr>
      </w:pPr>
      <w:r w:rsidRPr="008867A3">
        <w:rPr>
          <w:noProof/>
        </w:rPr>
        <w:t>Η παρούσα πρόταση αποτελεί μέρος της δέσμης νομοθετικών μέτρων σχετικά με την πρωτοβουλία για τον ΦΠΑ στην ψηφιακή εποχή. Η συνέπεια της δέσμης μέτρων στο σύνολό της παρουσιάζεται διεξοδικά στην αιτιολογική έκθεση της πρότασης οδηγίας του Συμβουλίου για την τροποποίηση της οδηγίας 2006/112/ΕΚ.</w:t>
      </w:r>
    </w:p>
    <w:p w14:paraId="7C208C9D" w14:textId="77777777" w:rsidR="0095756A" w:rsidRPr="008867A3" w:rsidRDefault="0095756A" w:rsidP="008B545C">
      <w:pPr>
        <w:pStyle w:val="ManualHeading1"/>
        <w:rPr>
          <w:noProof/>
        </w:rPr>
      </w:pPr>
      <w:r w:rsidRPr="008867A3">
        <w:rPr>
          <w:noProof/>
        </w:rPr>
        <w:t>2.</w:t>
      </w:r>
      <w:r w:rsidRPr="008867A3">
        <w:rPr>
          <w:noProof/>
        </w:rPr>
        <w:tab/>
        <w:t>ΝΟΜΙΚΗ ΒΑΣΗ, ΕΠΙΚΟΥΡΙΚΟΤΗΤΑ ΚΑΙ ΑΝΑΛΟΓΙΚΟΤΗΤΑ</w:t>
      </w:r>
    </w:p>
    <w:p w14:paraId="7C208C9E" w14:textId="77777777" w:rsidR="0095756A" w:rsidRPr="008867A3" w:rsidRDefault="0095756A" w:rsidP="008B545C">
      <w:pPr>
        <w:pStyle w:val="ManualHeading2"/>
        <w:rPr>
          <w:noProof/>
          <w:u w:color="000000"/>
          <w:bdr w:val="nil"/>
        </w:rPr>
      </w:pPr>
      <w:r w:rsidRPr="008867A3">
        <w:rPr>
          <w:noProof/>
          <w:u w:color="000000"/>
          <w:bdr w:val="nil"/>
        </w:rPr>
        <w:t>•</w:t>
      </w:r>
      <w:r w:rsidRPr="008867A3">
        <w:rPr>
          <w:noProof/>
        </w:rPr>
        <w:tab/>
      </w:r>
      <w:r w:rsidRPr="008867A3">
        <w:rPr>
          <w:noProof/>
          <w:u w:color="000000"/>
          <w:bdr w:val="nil"/>
        </w:rPr>
        <w:t>Νομική βάση</w:t>
      </w:r>
    </w:p>
    <w:p w14:paraId="7C208C9F" w14:textId="77777777" w:rsidR="0095756A" w:rsidRPr="008867A3" w:rsidRDefault="00A100BC" w:rsidP="00A100BC">
      <w:pPr>
        <w:rPr>
          <w:noProof/>
        </w:rPr>
      </w:pPr>
      <w:r w:rsidRPr="008867A3">
        <w:rPr>
          <w:noProof/>
        </w:rPr>
        <w:t>Ο παρών κανονισμός τροποποιεί τον κανονισμό (ΕΕ) αριθ. 904/2010 του Συμβουλίου βάσει του άρθρου 113 της Συνθήκης για τη λειτουργία της Ευρωπαϊκής Ένωσης. Το εν λόγω άρθρο προβλέπει ότι το Συμβούλιο, αποφασίζοντας ομόφωνα σύμφωνα με ειδική νομοθετική διαδικασία και μετά από διαβούλευση με το Ευρωπαϊκό Κοινοβούλιο και την Οικονομική και Κοινωνική Επιτροπή, εκδίδει διατάξεις για την εναρμόνιση των κανόνων των κρατών μελών στον τομέα των έμμεσων φόρων.</w:t>
      </w:r>
    </w:p>
    <w:p w14:paraId="7C208CA0" w14:textId="77777777" w:rsidR="0095756A" w:rsidRPr="008867A3" w:rsidRDefault="0095756A" w:rsidP="008B545C">
      <w:pPr>
        <w:pStyle w:val="ManualHeading2"/>
        <w:rPr>
          <w:noProof/>
          <w:u w:color="000000"/>
          <w:bdr w:val="nil"/>
        </w:rPr>
      </w:pPr>
      <w:r w:rsidRPr="008867A3">
        <w:rPr>
          <w:noProof/>
          <w:u w:color="000000"/>
          <w:bdr w:val="nil"/>
        </w:rPr>
        <w:t>•</w:t>
      </w:r>
      <w:r w:rsidRPr="008867A3">
        <w:rPr>
          <w:noProof/>
        </w:rPr>
        <w:tab/>
      </w:r>
      <w:r w:rsidRPr="008867A3">
        <w:rPr>
          <w:noProof/>
          <w:u w:color="000000"/>
          <w:bdr w:val="nil"/>
        </w:rPr>
        <w:t xml:space="preserve">Επικουρικότητα (σε περίπτωση μη αποκλειστικής αρμοδιότητας) </w:t>
      </w:r>
    </w:p>
    <w:p w14:paraId="7C208CA1" w14:textId="77777777" w:rsidR="0094577E" w:rsidRPr="008867A3" w:rsidRDefault="0094577E" w:rsidP="0094577E">
      <w:pPr>
        <w:rPr>
          <w:noProof/>
        </w:rPr>
      </w:pPr>
      <w:r w:rsidRPr="008867A3">
        <w:rPr>
          <w:noProof/>
        </w:rPr>
        <w:t xml:space="preserve">Τα κράτη μέλη είναι πρωταρχικά υπεύθυνα για τη διαχείριση, την είσπραξη και τον έλεγχο του ΦΠΑ. Ωστόσο, η απάτη στον τομέα του ΦΠΑ συνδέεται συχνά με διασυνοριακές συναλλαγές εντός της ενιαίας αγοράς ή αφορά εμπόρους που είναι εγκατεστημένοι σε διαφορετικά κράτη μέλη από το κράτος μέλος στον οποίο οφείλεται ο ΦΠΑ. Η απάτη στον τομέα του ΦΠΑ επηρεάζει αρνητικά τη λειτουργία της ενιαίας αγοράς και προκαλεί σημαντικές απώλειες στον προϋπολογισμό της ΕΕ. </w:t>
      </w:r>
    </w:p>
    <w:p w14:paraId="7C208CA2" w14:textId="77777777" w:rsidR="0094577E" w:rsidRPr="008867A3" w:rsidRDefault="0094577E" w:rsidP="0094577E">
      <w:pPr>
        <w:rPr>
          <w:noProof/>
        </w:rPr>
      </w:pPr>
      <w:r w:rsidRPr="008867A3">
        <w:rPr>
          <w:noProof/>
        </w:rPr>
        <w:t xml:space="preserve">Τα μέσα συνεργασίας της ΕΕ που παρέχουν τη δυνατότητα ανταλλαγής πληροφοριών μεταξύ των φορολογικών διοικήσεων είναι απολύτως αναγκαία για τον ορθό έλεγχο των διασυνοριακών συναλλαγών και την καταπολέμηση της απάτης στον τομέα του ΦΠΑ. </w:t>
      </w:r>
    </w:p>
    <w:p w14:paraId="7C208CA3" w14:textId="77777777" w:rsidR="0094577E" w:rsidRPr="008867A3" w:rsidRDefault="0094577E" w:rsidP="0094577E">
      <w:pPr>
        <w:rPr>
          <w:noProof/>
        </w:rPr>
      </w:pPr>
      <w:r w:rsidRPr="008867A3">
        <w:rPr>
          <w:noProof/>
        </w:rPr>
        <w:t xml:space="preserve">Η παρούσα πρωτοβουλία συνάδει με την αρχή της επικουρικότητας, δεδομένου ότι οι στόχοι που επιδιώκονται με την παρούσα πρωτοβουλία δεν μπορούν να επιτευχθούν από τα ίδια τα κράτη μέλη. Ως εκ τούτου, είναι αναγκαίο η Επιτροπή, η οποία είναι υπεύθυνη για τη διασφάλιση της ομαλής λειτουργίας της ενιαίας αγοράς και για την προώθηση των γενικών συμφερόντων της ΕΕ, να προτείνει μέτρα για τη βελτίωση της κατάστασης. </w:t>
      </w:r>
    </w:p>
    <w:p w14:paraId="7C208CA4" w14:textId="77777777" w:rsidR="0095756A" w:rsidRPr="008867A3" w:rsidRDefault="0094577E" w:rsidP="0094577E">
      <w:pPr>
        <w:rPr>
          <w:noProof/>
        </w:rPr>
      </w:pPr>
      <w:r w:rsidRPr="008867A3">
        <w:rPr>
          <w:noProof/>
        </w:rPr>
        <w:t>Ο στόχος αυτός δεν μπορεί να επιτευχθεί αποκλειστικά και μόνο σε επίπεδο κρατών μελών ούτε με τη χρήση μη νομοθετικών μέσων. Η ανάληψη δράσης σε επίπεδο ΕΕ σε σχέση με τα μέσα διοικητικής συνεργασίας θα προσδώσει προστιθέμενη αξία πέραν και επιπλέον των στόχων που μπορούν να επιτευχθούν σε εθνικό επίπεδο, δεδομένου ότι απαιτούνται τροποποιήσεις του κανονισμού (ΕΕ) αριθ. 904/2010 του Συμβουλίου για τη διοικητική συνεργασία και την καταπολέμηση της απάτης στον τομέα του φόρου προστιθέμενης αξίας.</w:t>
      </w:r>
    </w:p>
    <w:p w14:paraId="7C208CA5" w14:textId="77777777" w:rsidR="0095756A" w:rsidRPr="008867A3" w:rsidRDefault="0095756A" w:rsidP="008B545C">
      <w:pPr>
        <w:pStyle w:val="ManualHeading2"/>
        <w:rPr>
          <w:noProof/>
          <w:u w:color="000000"/>
          <w:bdr w:val="nil"/>
        </w:rPr>
      </w:pPr>
      <w:r w:rsidRPr="008867A3">
        <w:rPr>
          <w:noProof/>
          <w:u w:color="000000"/>
          <w:bdr w:val="nil"/>
        </w:rPr>
        <w:t>•</w:t>
      </w:r>
      <w:r w:rsidRPr="008867A3">
        <w:rPr>
          <w:noProof/>
        </w:rPr>
        <w:tab/>
      </w:r>
      <w:r w:rsidRPr="008867A3">
        <w:rPr>
          <w:noProof/>
          <w:u w:color="000000"/>
          <w:bdr w:val="nil"/>
        </w:rPr>
        <w:t>Αναλογικότητα</w:t>
      </w:r>
    </w:p>
    <w:p w14:paraId="7C208CA6" w14:textId="77777777" w:rsidR="00D124D3" w:rsidRPr="008867A3" w:rsidRDefault="00D124D3" w:rsidP="00D124D3">
      <w:pPr>
        <w:rPr>
          <w:noProof/>
        </w:rPr>
      </w:pPr>
      <w:r w:rsidRPr="008867A3">
        <w:rPr>
          <w:noProof/>
        </w:rPr>
        <w:t>Η πρόταση βασίζεται σε μεγάλο βαθμό στο υφιστάμενο νομικό πλαίσιο για τη διοικητική συνεργασία στον τομέα του ΦΠΑ και προσθέτει στοιχεία σε αυτό μόνο όπου κρίνεται αναγκαία η ενίσχυση του πλαισίου. Όλα τα προτεινόμενα μέτρα έχουν σχεδιαστεί κατά τρόπο ώστε να ανταποκρίνονται στις νέες απαιτήσεις ψηφιακής υποβολής στοιχείων και στις ανάγκες των κρατών μελών. Οι νέες διατάξεις, παρότι αναμένεται να έχουν θετικές επιπτώσεις στην καταπολέμηση της απάτης στον τομέα του ΦΠΑ, δεν θα συνεπάγονται σημαντικό πρόσθετο κόστος για τις επιχειρήσεις και τις διοικήσεις, με εξαίρεση ορισμένες εξελίξεις ΤΠ για τις φορολογικές διοικήσεις. Ακόμη και σε αυτές τις περιπτώσεις, το σχετικό κόστος ανάπτυξης θα εξακολουθήσει να είναι περιορισμένο.</w:t>
      </w:r>
    </w:p>
    <w:p w14:paraId="7C208CA7" w14:textId="77777777" w:rsidR="00D124D3" w:rsidRPr="008867A3" w:rsidRDefault="00D124D3" w:rsidP="00D124D3">
      <w:pPr>
        <w:rPr>
          <w:noProof/>
        </w:rPr>
      </w:pPr>
      <w:r w:rsidRPr="008867A3">
        <w:rPr>
          <w:noProof/>
        </w:rPr>
        <w:t xml:space="preserve">Θα δημιουργηθεί κεντρικό ηλεκτρονικό σύστημα πληροφοριών για τον ΦΠΑ (στο εξής: κεντρικό VIES). Το σύστημα αυτό θα παρέχει στα κράτη μέλη τη δυνατότητα να διαβιβάζουν πληροφορίες για τον ΦΠΑ τις οποίες αποθηκεύουν σε εθνικό επίπεδο, συμβάλλοντας με τον τρόπο αυτόν στην αποτελεσματική καταπολέμηση της απάτης στον τομέα του ΦΠΑ. Το κεντρικό VIES θα έχει τη δυνατότητα να συγκεντρώνει ανά υποκείμενο στον φόρο πληροφορίες σχετικά με τις διασυνοριακές συναλλαγές μεταξύ επιχειρήσεων (B2B) που διαβιβάζονται από τα κράτη μέλη. Θα παρέχει επίσης τη δυνατότητα διασταύρωσης των δεδομένων των ενδοκοινοτικών παραδόσεων αγαθών ή παροχών υπηρεσιών που δηλώθηκαν με τα δεδομένα των ενδοκοινοτικών αποκτήσεων που έχουν διαβιβαστεί. Επιπλέον, θα επιτρέπει την επεξεργασία των πληροφοριών που διαβιβάζουν τα κράτη μέλη με άλλες πληροφορίες για τον ΦΠΑ που ανταλλάσσονται βάσει του κανονισμού (ΕΕ) αριθ. 904/2010, όπως τελωνειακά δεδομένα ή δεδομένα για τις πληρωμές, καθώς και τη διατήρηση των πληροφοριών αυτών μόνο για το χρονικό διάστημα που απαιτείται για τη διενέργεια ελέγχων ΦΠΑ από τις φορολογικές αρχές. </w:t>
      </w:r>
    </w:p>
    <w:p w14:paraId="7C208CA8" w14:textId="77777777" w:rsidR="00D124D3" w:rsidRPr="008867A3" w:rsidRDefault="00D124D3" w:rsidP="00D124D3">
      <w:pPr>
        <w:rPr>
          <w:noProof/>
        </w:rPr>
      </w:pPr>
      <w:r w:rsidRPr="008867A3">
        <w:rPr>
          <w:noProof/>
        </w:rPr>
        <w:t>Οι πληροφορίες θα διατηρούνται στο κεντρικό VIES για περίοδο πέντε ετών, ώστε να παρέχεται στα κράτη μέλη εύλογο χρονικό διάστημα για τη διενέργεια ελέγχων ΦΠΑ. Μετά την παρέλευση της περιόδου αυτής, τα δεδομένα θα διαγράφονται οριστικά.</w:t>
      </w:r>
    </w:p>
    <w:p w14:paraId="7C208CA9" w14:textId="77777777" w:rsidR="00D124D3" w:rsidRPr="008867A3" w:rsidRDefault="008B545C" w:rsidP="00D124D3">
      <w:pPr>
        <w:rPr>
          <w:noProof/>
        </w:rPr>
      </w:pPr>
      <w:r w:rsidRPr="008867A3">
        <w:rPr>
          <w:noProof/>
        </w:rPr>
        <w:t>Το κεντρικό VIES θα είναι προσβάσιμο μόνο για εξουσιοδοτημένους υπαλλήλους που διορίζονται από τα κράτη μέλη τους, και για τους σκοπούς του ελέγχου της ορθής εφαρμογής της νομοθεσίας για τον ΦΠΑ και της καταπολέμησης της απάτης στον τομέα του ΦΠΑ. Όσον αφορά την αποθήκευση, το κεντρικό VIES θα διασφαλίζει κατάλληλο επίπεδο ασφάλειας, σύμφωνα με τους κανόνες που διέπουν την επεξεργασία πληροφοριών προσωπικού χαρακτήρα από τα θεσμικά όργανα της ΕΕ.</w:t>
      </w:r>
    </w:p>
    <w:p w14:paraId="7C208CAA" w14:textId="77777777" w:rsidR="00D124D3" w:rsidRPr="008867A3" w:rsidRDefault="00D124D3" w:rsidP="00D124D3">
      <w:pPr>
        <w:rPr>
          <w:noProof/>
        </w:rPr>
      </w:pPr>
      <w:r w:rsidRPr="008867A3">
        <w:rPr>
          <w:noProof/>
        </w:rPr>
        <w:t>Η ανταλλαγή πληροφοριών μεταξύ των εθνικών φορολογικών αρχών και του κεντρικού VIES θα πραγματοποιείται μέσω ενός ασφαλούς κοινού δικτύου επικοινωνιών. Το δίκτυο αυτό υποστηρίζει επί του παρόντος την ανταλλαγή πληροφοριών μεταξύ των φορολογικών και των τελωνειακών αρχών και παρέχει όλα τα αναγκαία χαρακτηριστικά ασφάλειας (συμπεριλαμβανομένης της κρυπτογράφησης των πληροφοριών).</w:t>
      </w:r>
    </w:p>
    <w:p w14:paraId="7C208CAB" w14:textId="77777777" w:rsidR="00D124D3" w:rsidRPr="008867A3" w:rsidRDefault="008B545C" w:rsidP="00D124D3">
      <w:pPr>
        <w:rPr>
          <w:noProof/>
        </w:rPr>
      </w:pPr>
      <w:r w:rsidRPr="008867A3">
        <w:rPr>
          <w:noProof/>
        </w:rPr>
        <w:t>Ως εκ τούτου, η παρούσα πρόταση θα συνεχίσει να εφαρμόζει τις διασφαλίσεις που προβλέπονται στον κανονισμό (ΕΕ) αριθ. 904/2010 και στο ευρωπαϊκό πλαίσιο για την προστασία των δεδομένων. Ο γενικός σκοπός της ανταλλαγής και της ανάλυσης αυτών των σχετικών με τον ΦΠΑ πληροφοριών εξακολουθεί να είναι η διασφάλιση της ορθής εφαρμογής της νομοθεσίας για τον ΦΠΑ και η καταπολέμηση της απάτης στον τομέα του ΦΠΑ. Η καταπολέμηση της απάτης στον τομέα του ΦΠΑ αποτελεί σημαντικό στόχο γενικού δημόσιου συμφέροντος της ΕΕ και των κρατών μελών της, όπως αναφέρεται στο άρθρο 23 παράγραφος 1 στοιχείο ε) του γενικού κανονισμού για την προστασία δεδομένων και στο άρθρο 20 παράγραφος 1 στοιχείο β) του κανονισμού (ΕΕ) 2018/1725. Για την υποστήριξη αυτού του σημαντικού στόχου και της αποτελεσματικότητας των φορολογικών αρχών κατά την επιδίωξη του στόχου αυτού, για το κεντρικό VIES θα ισχύουν οι περιορισμοί που προβλέπονται στο άρθρο 55 παράγραφος 5 του κανονισμού (ΕΕ) αριθ. 904/2010.</w:t>
      </w:r>
    </w:p>
    <w:p w14:paraId="7C208CAC" w14:textId="77777777" w:rsidR="0095756A" w:rsidRPr="008867A3" w:rsidRDefault="008B545C" w:rsidP="00D124D3">
      <w:pPr>
        <w:rPr>
          <w:noProof/>
        </w:rPr>
      </w:pPr>
      <w:r w:rsidRPr="008867A3">
        <w:rPr>
          <w:noProof/>
        </w:rPr>
        <w:t>Οι νέες διατάξεις δεν υπερβαίνουν τα απολύτως αναγκαία όρια για την ενίσχυση της αποτελεσματικότητας των μέσων διοικητικής συνεργασίας κατά την επαλήθευση των διασυνοριακών συναλλαγών και την προώθηση της καταπολέμησης της απάτης στον τομέα του ΦΠΑ, υπό το πρίσμα των προτεινόμενων απαιτήσεων ψηφιακής υποβολής στοιχείων και άλλων αλλαγών που εισάγονται με τη δέσμη μέτρων για τον ΦΠΑ στην ψηφιακή εποχή.</w:t>
      </w:r>
    </w:p>
    <w:p w14:paraId="7C208CAD" w14:textId="77777777" w:rsidR="0095756A" w:rsidRPr="008867A3" w:rsidRDefault="0095756A" w:rsidP="008B545C">
      <w:pPr>
        <w:pStyle w:val="ManualHeading2"/>
        <w:rPr>
          <w:noProof/>
          <w:u w:color="000000"/>
          <w:bdr w:val="nil"/>
        </w:rPr>
      </w:pPr>
      <w:r w:rsidRPr="008867A3">
        <w:rPr>
          <w:noProof/>
          <w:u w:color="000000"/>
          <w:bdr w:val="nil"/>
        </w:rPr>
        <w:t>•</w:t>
      </w:r>
      <w:r w:rsidRPr="008867A3">
        <w:rPr>
          <w:noProof/>
        </w:rPr>
        <w:tab/>
      </w:r>
      <w:r w:rsidRPr="008867A3">
        <w:rPr>
          <w:noProof/>
          <w:u w:color="000000"/>
          <w:bdr w:val="nil"/>
        </w:rPr>
        <w:t>Επιλογή της νομικής πράξης</w:t>
      </w:r>
    </w:p>
    <w:p w14:paraId="7C208CAE" w14:textId="77777777" w:rsidR="0095756A" w:rsidRPr="008867A3" w:rsidRDefault="00FE5635" w:rsidP="00FE5635">
      <w:pPr>
        <w:rPr>
          <w:noProof/>
        </w:rPr>
      </w:pPr>
      <w:r w:rsidRPr="008867A3">
        <w:rPr>
          <w:noProof/>
        </w:rPr>
        <w:t>Για την τροποποίηση του ισχύοντος κανονισμού (ΕΕ) αριθ. 904/2010 είναι αναγκαία η έκδοση κανονισμού του Συμβουλίου.</w:t>
      </w:r>
    </w:p>
    <w:p w14:paraId="7C208CAF" w14:textId="77777777" w:rsidR="0095756A" w:rsidRPr="008867A3" w:rsidRDefault="0095756A" w:rsidP="008B545C">
      <w:pPr>
        <w:pStyle w:val="ManualHeading1"/>
        <w:rPr>
          <w:noProof/>
        </w:rPr>
      </w:pPr>
      <w:r w:rsidRPr="008867A3">
        <w:rPr>
          <w:noProof/>
        </w:rPr>
        <w:t>3.</w:t>
      </w:r>
      <w:r w:rsidRPr="008867A3">
        <w:rPr>
          <w:noProof/>
        </w:rPr>
        <w:tab/>
        <w:t>ΑΠΟΤΕΛΕΣΜΑΤΑ ΤΩΝ ΕΚ ΤΩΝ ΥΣΤΕΡΩΝ ΑΞΙΟΛΟΓΗΣΕΩΝ, ΤΩΝ ΔΙΑΒΟΥΛΕΥΣΕΩΝ ΜΕ ΤΑ ΕΝΔΙΑΦΕΡΟΜΕΝΑ ΜΕΡΗ ΚΑΙ ΤΩΝ ΕΚΤΙΜΗΣΕΩΝ ΕΠΙΠΤΩΣΕΩΝ</w:t>
      </w:r>
    </w:p>
    <w:p w14:paraId="7C208CB0" w14:textId="77777777" w:rsidR="0095756A" w:rsidRPr="008867A3" w:rsidRDefault="0095756A" w:rsidP="008B545C">
      <w:pPr>
        <w:pStyle w:val="ManualHeading2"/>
        <w:rPr>
          <w:noProof/>
          <w:u w:color="000000"/>
          <w:bdr w:val="nil"/>
        </w:rPr>
      </w:pPr>
      <w:r w:rsidRPr="008867A3">
        <w:rPr>
          <w:noProof/>
          <w:u w:color="000000"/>
          <w:bdr w:val="nil"/>
        </w:rPr>
        <w:t>•</w:t>
      </w:r>
      <w:r w:rsidRPr="008867A3">
        <w:rPr>
          <w:noProof/>
        </w:rPr>
        <w:tab/>
      </w:r>
      <w:r w:rsidRPr="008867A3">
        <w:rPr>
          <w:noProof/>
          <w:u w:color="000000"/>
          <w:bdr w:val="nil"/>
        </w:rPr>
        <w:t>Εκ των υστέρων αξιολογήσεις / έλεγχοι καταλληλότητας της ισχύουσας νομοθεσίας</w:t>
      </w:r>
    </w:p>
    <w:p w14:paraId="7C208CB1" w14:textId="77777777" w:rsidR="00C317F5" w:rsidRPr="008867A3" w:rsidRDefault="00C317F5" w:rsidP="00C317F5">
      <w:pPr>
        <w:rPr>
          <w:noProof/>
        </w:rPr>
      </w:pPr>
      <w:r w:rsidRPr="008867A3">
        <w:rPr>
          <w:noProof/>
        </w:rPr>
        <w:t>Το 2017 διενεργήθηκε αξιολόγηση της χρήσης του υφιστάμενου πλαισίου της ΕΕ για τη διοικητική συνεργασία και την καταπολέμηση της απάτης στον τομέα του ΦΠΑ που προβλέπεται στον κανονισμό (ΕΕ) αριθ. 904/2010</w:t>
      </w:r>
      <w:r w:rsidRPr="008867A3">
        <w:rPr>
          <w:rStyle w:val="FootnoteReference"/>
          <w:noProof/>
        </w:rPr>
        <w:footnoteReference w:id="10"/>
      </w:r>
      <w:r w:rsidRPr="008867A3">
        <w:rPr>
          <w:noProof/>
        </w:rPr>
        <w:t xml:space="preserve">. Συνολικά, τα κράτη μέλη έχουν θετική άποψη για το νομικό και πρακτικό πλαίσιο που εφαρμόστηκε με τον κανονισμό (ΕΕ) αριθ. 904/2010. </w:t>
      </w:r>
    </w:p>
    <w:p w14:paraId="7C208CB2" w14:textId="77777777" w:rsidR="0095756A" w:rsidRPr="008867A3" w:rsidRDefault="008B545C" w:rsidP="00C317F5">
      <w:pPr>
        <w:rPr>
          <w:noProof/>
        </w:rPr>
      </w:pPr>
      <w:r w:rsidRPr="008867A3">
        <w:rPr>
          <w:noProof/>
        </w:rPr>
        <w:t xml:space="preserve">Σε συνέχεια των αλλαγών στις απαιτήσεις υποβολής στοιχείων για τις διασυνοριακές συναλλαγές που προβλέπονται στην οδηγία ΦΠΑ, πρέπει να επέλθουν αλλαγές στο νομικό πλαίσιο διοικητικής συνεργασίας. Η εισαγωγή νέων απαιτήσεων ψηφιακής υποβολής στοιχείων αυξάνει σημαντικά τόσο τον όγκο των δεδομένων που θα πρέπει να ανταλλάσσονται μεταξύ των κρατών μελών όσο και τη συχνότητα των ανταλλαγών. Ως εκ τούτου, στο κεφάλαιο V του κανονισμού με τίτλο </w:t>
      </w:r>
      <w:r w:rsidRPr="008867A3">
        <w:rPr>
          <w:i/>
          <w:noProof/>
        </w:rPr>
        <w:t>Αποθήκευση και ανταλλαγή ειδικών πληροφοριών</w:t>
      </w:r>
      <w:r w:rsidRPr="008867A3">
        <w:rPr>
          <w:noProof/>
        </w:rPr>
        <w:t xml:space="preserve"> εισάγεται νέο μέρος, το οποίο θα εξασφαλίσει τη δυνατότητα πραγματοποίησης των ανταλλαγών αυτών μέσω ενός νέου ηλεκτρονικού συστήματος που ονομάζεται «κεντρικό VIES».</w:t>
      </w:r>
    </w:p>
    <w:p w14:paraId="7C208CB3" w14:textId="77777777" w:rsidR="0095756A" w:rsidRPr="008867A3" w:rsidRDefault="0095756A" w:rsidP="008B545C">
      <w:pPr>
        <w:pStyle w:val="ManualHeading2"/>
        <w:rPr>
          <w:noProof/>
          <w:u w:color="000000"/>
          <w:bdr w:val="nil"/>
        </w:rPr>
      </w:pPr>
      <w:r w:rsidRPr="008867A3">
        <w:rPr>
          <w:noProof/>
          <w:u w:color="000000"/>
          <w:bdr w:val="nil"/>
        </w:rPr>
        <w:t>•</w:t>
      </w:r>
      <w:r w:rsidRPr="008867A3">
        <w:rPr>
          <w:noProof/>
        </w:rPr>
        <w:tab/>
      </w:r>
      <w:r w:rsidRPr="008867A3">
        <w:rPr>
          <w:noProof/>
          <w:u w:color="000000"/>
          <w:bdr w:val="nil"/>
        </w:rPr>
        <w:t>Διαβουλεύσεις με τα ενδιαφερόμενα μέρη</w:t>
      </w:r>
    </w:p>
    <w:p w14:paraId="7C208CB4" w14:textId="77777777" w:rsidR="007A5638" w:rsidRPr="008867A3" w:rsidRDefault="007A5638" w:rsidP="000A4AD4">
      <w:pPr>
        <w:rPr>
          <w:noProof/>
        </w:rPr>
      </w:pPr>
      <w:r w:rsidRPr="008867A3">
        <w:rPr>
          <w:noProof/>
        </w:rPr>
        <w:t>Εκτενείς πληροφορίες όσον αφορά τις διαβουλεύσεις με τα ενδιαφερόμενα μέρη παρέχονται στην αιτιολογική έκθεση της πρότασης για την τροποποίηση της οδηγίας ΦΠΑ.</w:t>
      </w:r>
    </w:p>
    <w:p w14:paraId="7C208CB5" w14:textId="77777777" w:rsidR="0095756A" w:rsidRPr="008867A3" w:rsidRDefault="003A2955" w:rsidP="000A4AD4">
      <w:pPr>
        <w:rPr>
          <w:noProof/>
        </w:rPr>
      </w:pPr>
      <w:r w:rsidRPr="008867A3">
        <w:rPr>
          <w:noProof/>
        </w:rPr>
        <w:t>Διοργανώθηκαν δύο εργαστήρια Fiscalis προκειμένου να συγκεντρωθούν παρατηρήσεις από τα κράτη μέλη σχετικά με την προσαρμογή του πλαισίου διοικητικής συνεργασίας στον τομέα του ΦΠΑ για την υποστήριξη των νέων απαιτήσεων ψηφιακής υποβολής στοιχείων. Στο πλαίσιο του πρώτου εργαστηρίου, το οποίο πραγματοποιήθηκε τον Νοέμβριο του 2021, συγκεντρώθηκαν οι απόψεις εμπειρογνωμόνων σε θέματα καταπολέμησης της απάτης στον τομέα του ΦΠΑ, καθώς και υπαλλήλων συνδέσμων του Eurofisc. Το δεύτερο εργαστήριο, το οποίο πραγματοποιήθηκε τον Απρίλιο του 2022, επικεντρώθηκε στους προϊσταμένους των αρμόδιων υπηρεσιών διασύνδεσης των κρατών μελών. Και στις δύο περιπτώσεις, οι εκπρόσωποι των κρατών μελών υπογράμμισαν τη σημασία των νέων απαιτήσεων ψηφιακής υποβολής στοιχείων όταν συνοδεύονται από κατάλληλο σύστημα ανταλλαγής πληροφοριών για τον ΦΠΑ. Διαπιστώθηκε ότι είναι σαφής η ανάγκη αυτοματοποίησης της διασταύρωσης των δεδομένων στο πλαίσιο των απαιτήσεων ψηφιακής υποβολής στοιχείων, π.χ. μεταξύ των παραδόσεων αγαθών ή παροχών υπηρεσιών που δηλώνονται και των αποκτήσεων. Διαπιστώθηκε επίσης ευρεία συναίνεση ως προς το ότι η χρήση ενός κεντρικού συστήματος για τη διευκόλυνση της από κοινού επεξεργασίας και ανάλυσης των πληροφοριών θα ήταν η προτιμώμενη προσέγγιση, η οποία θα εγγυάται την εφαρμογή της διασταύρωσης δεδομένων και την ερμηνεία των αποτελεσμάτων με ομοιόμορφο τρόπο.</w:t>
      </w:r>
    </w:p>
    <w:p w14:paraId="7C208CB6" w14:textId="77777777" w:rsidR="0095756A" w:rsidRPr="008867A3" w:rsidRDefault="0095756A" w:rsidP="008B545C">
      <w:pPr>
        <w:pStyle w:val="ManualHeading2"/>
        <w:rPr>
          <w:noProof/>
          <w:u w:color="000000"/>
          <w:bdr w:val="nil"/>
        </w:rPr>
      </w:pPr>
      <w:r w:rsidRPr="008867A3">
        <w:rPr>
          <w:noProof/>
          <w:u w:color="000000"/>
          <w:bdr w:val="nil"/>
        </w:rPr>
        <w:t>•</w:t>
      </w:r>
      <w:r w:rsidRPr="008867A3">
        <w:rPr>
          <w:noProof/>
        </w:rPr>
        <w:tab/>
      </w:r>
      <w:r w:rsidRPr="008867A3">
        <w:rPr>
          <w:noProof/>
          <w:u w:color="000000"/>
          <w:bdr w:val="nil"/>
        </w:rPr>
        <w:t>Συλλογή και χρήση εμπειρογνωσίας</w:t>
      </w:r>
    </w:p>
    <w:p w14:paraId="7C208CB7" w14:textId="77777777" w:rsidR="0095756A" w:rsidRPr="008867A3" w:rsidRDefault="00AB621E" w:rsidP="00AB621E">
      <w:pPr>
        <w:rPr>
          <w:noProof/>
        </w:rPr>
      </w:pPr>
      <w:r w:rsidRPr="008867A3">
        <w:rPr>
          <w:noProof/>
        </w:rPr>
        <w:t>Η παρούσα πρόταση αποτελεί μέρος της δέσμης νομοθετικών μέτρων σχετικά με την πρωτοβουλία για τον ΦΠΑ στην ψηφιακή εποχή. Η συλλογή και χρήση εμπειρογνωσίας για τη δέσμη μέτρων στο σύνολό της παρουσιάζεται διεξοδικά στην αιτιολογική έκθεση της πρότασης οδηγίας του Συμβουλίου για την τροποποίηση της οδηγίας 2006/112/ΕΚ.</w:t>
      </w:r>
    </w:p>
    <w:p w14:paraId="7C208CB8" w14:textId="77777777" w:rsidR="0095756A" w:rsidRPr="008867A3" w:rsidRDefault="0095756A" w:rsidP="008B545C">
      <w:pPr>
        <w:pStyle w:val="ManualHeading2"/>
        <w:rPr>
          <w:noProof/>
          <w:u w:color="000000"/>
          <w:bdr w:val="nil"/>
        </w:rPr>
      </w:pPr>
      <w:r w:rsidRPr="008867A3">
        <w:rPr>
          <w:noProof/>
          <w:u w:color="000000"/>
          <w:bdr w:val="nil"/>
        </w:rPr>
        <w:t>•</w:t>
      </w:r>
      <w:r w:rsidRPr="008867A3">
        <w:rPr>
          <w:noProof/>
        </w:rPr>
        <w:tab/>
      </w:r>
      <w:r w:rsidRPr="008867A3">
        <w:rPr>
          <w:noProof/>
          <w:u w:color="000000"/>
          <w:bdr w:val="nil"/>
        </w:rPr>
        <w:t>Εκτίμηση επιπτώσεων</w:t>
      </w:r>
    </w:p>
    <w:p w14:paraId="7C208CB9" w14:textId="77777777" w:rsidR="0095756A" w:rsidRPr="008867A3" w:rsidRDefault="00282398" w:rsidP="00282398">
      <w:pPr>
        <w:rPr>
          <w:noProof/>
        </w:rPr>
      </w:pPr>
      <w:r w:rsidRPr="008867A3">
        <w:rPr>
          <w:noProof/>
        </w:rPr>
        <w:t>Η παρούσα πρόταση αποτελεί μέρος της δέσμης νομοθετικών μέτρων σχετικά με την πρωτοβουλία για τον ΦΠΑ στην ψηφιακή εποχή. Η εκτίμηση επιπτώσεων παρέχεται για τη δέσμη μέτρων στο σύνολό της στην αιτιολογική έκθεση της πρότασης οδηγίας του Συμβουλίου για την τροποποίηση της οδηγίας 2006/112/ΕΚ.</w:t>
      </w:r>
    </w:p>
    <w:p w14:paraId="7C208CBA" w14:textId="77777777" w:rsidR="0095756A" w:rsidRPr="008867A3" w:rsidRDefault="0095756A" w:rsidP="008B545C">
      <w:pPr>
        <w:pStyle w:val="ManualHeading2"/>
        <w:rPr>
          <w:noProof/>
          <w:u w:color="000000"/>
          <w:bdr w:val="nil"/>
        </w:rPr>
      </w:pPr>
      <w:r w:rsidRPr="008867A3">
        <w:rPr>
          <w:noProof/>
          <w:u w:color="000000"/>
          <w:bdr w:val="nil"/>
        </w:rPr>
        <w:t>•</w:t>
      </w:r>
      <w:r w:rsidRPr="008867A3">
        <w:rPr>
          <w:noProof/>
        </w:rPr>
        <w:tab/>
      </w:r>
      <w:r w:rsidRPr="008867A3">
        <w:rPr>
          <w:noProof/>
          <w:u w:color="000000"/>
          <w:bdr w:val="nil"/>
        </w:rPr>
        <w:t>Καταλληλότητα και απλούστευση του κανονιστικού πλαισίου</w:t>
      </w:r>
    </w:p>
    <w:p w14:paraId="7C208CBB" w14:textId="77777777" w:rsidR="0095756A" w:rsidRPr="008867A3" w:rsidRDefault="00282398" w:rsidP="00282398">
      <w:pPr>
        <w:rPr>
          <w:noProof/>
        </w:rPr>
      </w:pPr>
      <w:r w:rsidRPr="008867A3">
        <w:rPr>
          <w:noProof/>
        </w:rPr>
        <w:t>Η παρούσα πρόταση αποτελεί μέρος της δέσμης νομοθετικών μέτρων σχετικά με την πρωτοβουλία για τον ΦΠΑ στην ψηφιακή εποχή. Εκτενείς πληροφορίες σχετικά με την καταλληλότητα και την απλούστευση του κανονιστικού πλαισίου παρέχονται στην αιτιολογική έκθεση της πρότασης οδηγίας του Συμβουλίου για την τροποποίηση της οδηγίας 2006/112/ΕΚ.</w:t>
      </w:r>
    </w:p>
    <w:p w14:paraId="7C208CBC" w14:textId="77777777" w:rsidR="0095756A" w:rsidRPr="008867A3" w:rsidRDefault="0095756A" w:rsidP="008B545C">
      <w:pPr>
        <w:pStyle w:val="ManualHeading2"/>
        <w:rPr>
          <w:noProof/>
          <w:u w:color="000000"/>
          <w:bdr w:val="nil"/>
        </w:rPr>
      </w:pPr>
      <w:r w:rsidRPr="008867A3">
        <w:rPr>
          <w:noProof/>
          <w:u w:color="000000"/>
          <w:bdr w:val="nil"/>
        </w:rPr>
        <w:t>•</w:t>
      </w:r>
      <w:r w:rsidRPr="008867A3">
        <w:rPr>
          <w:noProof/>
        </w:rPr>
        <w:tab/>
      </w:r>
      <w:r w:rsidRPr="008867A3">
        <w:rPr>
          <w:noProof/>
          <w:u w:color="000000"/>
          <w:bdr w:val="nil"/>
        </w:rPr>
        <w:t>Θεμελιώδη δικαιώματα</w:t>
      </w:r>
    </w:p>
    <w:p w14:paraId="7C208CBD" w14:textId="77777777" w:rsidR="00463997" w:rsidRPr="008867A3" w:rsidRDefault="00B24C70" w:rsidP="00463997">
      <w:pPr>
        <w:rPr>
          <w:noProof/>
        </w:rPr>
      </w:pPr>
      <w:r w:rsidRPr="008867A3">
        <w:rPr>
          <w:noProof/>
        </w:rPr>
        <w:t>Η παρούσα πρόταση αναμένεται να δώσει ώθηση στην ανταλλαγή και την από κοινού επεξεργασία των πληροφοριών για τον ΦΠΑ, οι οποίες ενδέχεται να περιλαμβάνουν και δεδομένα προσωπικού χαρακτήρα. Ωστόσο, τα δεδομένα που συλλέγονται στο πλαίσιο των νέων απαιτήσεων ψηφιακής υποβολής στοιχείων και στη συνέχεια ανταλλάσσονται μέσω του κεντρικού συστήματος VIES θα περιορίζονται στις ενδοκοινοτικές συναλλαγές μεταξύ επιχειρήσεων και δεν θα καλύπτουν τις συναλλαγές μεταξύ επιχειρήσεων και καταναλωτών. Εφαρμόστηκε επίσης η αρχή της ελαχιστοποίησης των δεδομένων. Συνεπώς, τα δεδομένα που συλλέγονται και στη συνέχεια ανταλλάσσονται αφορούν μόνο ένα υποσύνολο των πληροφοριών που περιέχονται στο τιμολόγιο. Αυτό το ελάχιστο σύνολο δεδομένων που απαιτείται για τους σκοπούς της παρακολούθησης της ορθής εφαρμογής του ΦΠΑ και για την καταπολέμηση της απάτης στον τομέα του ΦΠΑ προσδιορίζεται με την τροποποίηση του άρθρου 264 που περιλαμβάνεται στη συνοδευτική πρόταση οδηγίας του Συμβουλίου για την τροποποίηση της οδηγίας 2006/112/ΕΚ. Ωστόσο, η προστασία των δεδομένων προσωπικού χαρακτήρα και η συμμόρφωση με τους κανονισμούς (ΕΕ) 2016/679</w:t>
      </w:r>
      <w:r w:rsidRPr="008867A3">
        <w:rPr>
          <w:rStyle w:val="FootnoteReference"/>
          <w:noProof/>
        </w:rPr>
        <w:footnoteReference w:id="11"/>
      </w:r>
      <w:r w:rsidRPr="008867A3">
        <w:rPr>
          <w:noProof/>
        </w:rPr>
        <w:t xml:space="preserve"> και (ΕΕ) 2018/1725 εξακολουθούν να συνιστούν προτεραιότητα, ακόμη και όταν οι προς επεξεργασία πληροφορίες είναι περιορισμένες. Ως εκ τούτου, προτείνονται οι ακόλουθες διατάξεις: </w:t>
      </w:r>
    </w:p>
    <w:p w14:paraId="7C208CBE" w14:textId="77777777" w:rsidR="00463997" w:rsidRPr="008867A3" w:rsidRDefault="00463997" w:rsidP="008410ED">
      <w:pPr>
        <w:pStyle w:val="Bullet0"/>
        <w:numPr>
          <w:ilvl w:val="0"/>
          <w:numId w:val="12"/>
        </w:numPr>
        <w:rPr>
          <w:noProof/>
        </w:rPr>
      </w:pPr>
      <w:r w:rsidRPr="008867A3">
        <w:rPr>
          <w:noProof/>
        </w:rPr>
        <w:t xml:space="preserve">Τα δεδομένα του κεντρικού VIES θα διατηρούνται μόνο για περίοδο πέντε ετών, η οποία αποτελεί το ελάχιστο χρονικό διάστημα που απαιτείται για τις αναλύσεις και τις έρευνες που διενεργούν οι εθνικές φορολογικές αρχές οι οποίες είναι εξουσιοδοτημένες να επιβάλλουν τις υποχρεώσεις ΦΠΑ (διατήρηση δεδομένων). </w:t>
      </w:r>
    </w:p>
    <w:p w14:paraId="7C208CBF" w14:textId="77777777" w:rsidR="00463997" w:rsidRPr="008867A3" w:rsidRDefault="00463997" w:rsidP="00AA69E4">
      <w:pPr>
        <w:pStyle w:val="Bullet0"/>
        <w:rPr>
          <w:noProof/>
        </w:rPr>
      </w:pPr>
      <w:r w:rsidRPr="008867A3">
        <w:rPr>
          <w:noProof/>
        </w:rPr>
        <w:t>Τα δεδομένα του κεντρικού VIES θα προστατεύονται σύμφωνα με τα οριζόμενα στο άρθρο 55 παράγραφος 1 του κανονισμού (ΕΕ) αριθ. 904/2010.</w:t>
      </w:r>
    </w:p>
    <w:p w14:paraId="7C208CC0" w14:textId="77777777" w:rsidR="00463997" w:rsidRPr="008867A3" w:rsidRDefault="00463997" w:rsidP="00AA69E4">
      <w:pPr>
        <w:pStyle w:val="Bullet0"/>
        <w:rPr>
          <w:noProof/>
        </w:rPr>
      </w:pPr>
      <w:r w:rsidRPr="008867A3">
        <w:rPr>
          <w:noProof/>
        </w:rPr>
        <w:t>Τα δεδομένα του κεντρικού VIES θα χρησιμοποιούνται για σαφώς καθορισμένους και περιορισμένους σκοπούς, και συγκεκριμένα για την ορθή βεβαίωση του ΦΠΑ, τον έλεγχο της ορθής εφαρμογής του ΦΠΑ και την καταπολέμηση της απάτης στον τομέα του ΦΠΑ, όπως προβλέπεται στο άρθρο 1 του κανονισμού (ΕΕ) αριθ. 904/2010. Ειδικότερα, τα δεδομένα θα χρησιμοποιούνται για τη διενέργεια αξιολογήσεων κινδύνου με σκοπό τον έγκαιρο εντοπισμό δυνητικών υπαιτίων απάτης και τον τερματισμό της λειτουργίας δικτύων απάτης που αποσκοπούν στην κατάχρηση του συστήματος ΦΠΑ μέσω της άσκησης πρακτικών απάτης στον τομέα του ΦΠΑ.</w:t>
      </w:r>
    </w:p>
    <w:p w14:paraId="7C208CC1" w14:textId="77777777" w:rsidR="00463997" w:rsidRPr="008867A3" w:rsidRDefault="00AD0F7D" w:rsidP="00AA69E4">
      <w:pPr>
        <w:pStyle w:val="Bullet0"/>
        <w:rPr>
          <w:noProof/>
        </w:rPr>
      </w:pPr>
      <w:r w:rsidRPr="008867A3">
        <w:rPr>
          <w:noProof/>
        </w:rPr>
        <w:t>Οι χρήστες που μπορούν να έχουν πρόσβαση στα δεδομένα του κεντρικού VIES θα περιορίζονται σε εξουσιοδοτημένα μέλη προσωπικού από τα κράτη μέλη, τηρουμένης της αρχής της ανάγκης για γνώση.</w:t>
      </w:r>
    </w:p>
    <w:p w14:paraId="7C208CC2" w14:textId="77777777" w:rsidR="00463997" w:rsidRPr="008867A3" w:rsidRDefault="00463997" w:rsidP="00AA69E4">
      <w:pPr>
        <w:pStyle w:val="Bullet0"/>
        <w:rPr>
          <w:noProof/>
        </w:rPr>
      </w:pPr>
      <w:r w:rsidRPr="008867A3">
        <w:rPr>
          <w:noProof/>
        </w:rPr>
        <w:t>Το κεντρικό VIES θα φιλοξενείται, θα συντηρείται και θα τελεί υπό την τεχνική διαχείριση της Επιτροπής, η οποία διαθέτει την επιχειρησιακή ικανότητα και πείρα ώστε να διασφαλίζει την εφαρμογή τεχνικών και οργανωτικών μέτρων ασφάλειας για την προστασία των δεδομένων προσωπικού χαρακτήρα. Τα καθήκοντα που πρέπει να εκτελεί η Επιτροπή σε σχέση με την τεχνική διαχείριση του κεντρικού VIES θα καθοριστούν με την έκδοση εκτελεστικής πράξης.</w:t>
      </w:r>
    </w:p>
    <w:p w14:paraId="7C208CC3" w14:textId="77777777" w:rsidR="00463997" w:rsidRPr="008867A3" w:rsidRDefault="00AD0F7D" w:rsidP="00AA69E4">
      <w:pPr>
        <w:pStyle w:val="Bullet0"/>
        <w:rPr>
          <w:noProof/>
        </w:rPr>
      </w:pPr>
      <w:r w:rsidRPr="008867A3">
        <w:rPr>
          <w:noProof/>
        </w:rPr>
        <w:t>Οι ρόλοι και οι αρμοδιότητες των κρατών μελών και της Επιτροπής όταν ενεργούν υπό την ιδιότητα του υπευθύνου επεξεργασίας και του εκτελούντος την επεξεργασία, βάσει του κανονισμού (ΕΕ) 2016/679 και του κανονισμού (ΕΕ) 2018/1725 του Ευρωπαϊκού Κοινοβουλίου και του Συμβουλίου, θα καθοριστούν με την έκδοση εκτελεστικής πράξης.</w:t>
      </w:r>
    </w:p>
    <w:p w14:paraId="7C208CC4" w14:textId="77777777" w:rsidR="0095756A" w:rsidRPr="008867A3" w:rsidRDefault="00AD0F7D" w:rsidP="00463997">
      <w:pPr>
        <w:rPr>
          <w:noProof/>
        </w:rPr>
      </w:pPr>
      <w:r w:rsidRPr="008867A3">
        <w:rPr>
          <w:noProof/>
        </w:rPr>
        <w:t>Επιπλέον, τα εν λόγω μέτρα διέπονται από τις διατάξεις του άρθρου 8 του Χάρτη των Θεμελιωδών Δικαιωμάτων.</w:t>
      </w:r>
    </w:p>
    <w:p w14:paraId="7C208CC5" w14:textId="77777777" w:rsidR="0095756A" w:rsidRPr="008867A3" w:rsidRDefault="0095756A" w:rsidP="008B545C">
      <w:pPr>
        <w:pStyle w:val="ManualHeading1"/>
        <w:rPr>
          <w:noProof/>
        </w:rPr>
      </w:pPr>
      <w:r w:rsidRPr="008867A3">
        <w:rPr>
          <w:noProof/>
        </w:rPr>
        <w:t>4.</w:t>
      </w:r>
      <w:r w:rsidRPr="008867A3">
        <w:rPr>
          <w:noProof/>
        </w:rPr>
        <w:tab/>
        <w:t>ΔΗΜΟΣΙΟΝΟΜΙΚΕΣ ΕΠΙΠΤΩΣΕΙΣ</w:t>
      </w:r>
    </w:p>
    <w:p w14:paraId="7C208CC6" w14:textId="77777777" w:rsidR="0069656E" w:rsidRPr="008867A3" w:rsidRDefault="0069656E" w:rsidP="0069656E">
      <w:pPr>
        <w:rPr>
          <w:noProof/>
        </w:rPr>
      </w:pPr>
      <w:r w:rsidRPr="008867A3">
        <w:rPr>
          <w:noProof/>
        </w:rPr>
        <w:t>Οι δημοσιονομικές επιπτώσεις παρουσιάζονται λεπτομερώς στην αιτιολογική έκθεση της πρότασης οδηγίας του Συμβουλίου για την τροποποίηση της οδηγίας 2006/112/ΕΚ.</w:t>
      </w:r>
    </w:p>
    <w:p w14:paraId="7C208CC7" w14:textId="77777777" w:rsidR="0095756A" w:rsidRPr="008867A3" w:rsidRDefault="0069656E" w:rsidP="0069656E">
      <w:pPr>
        <w:rPr>
          <w:noProof/>
        </w:rPr>
      </w:pPr>
      <w:r w:rsidRPr="008867A3">
        <w:rPr>
          <w:noProof/>
        </w:rPr>
        <w:t>Η πρόταση συνεπάγεται περιορισμένο κόστος για τις εθνικές διοικήσεις και τον προϋπολογισμό της ΕΕ για την εφαρμογή του ενισχυμένου συστήματος ανταλλαγής πληροφοριών για τον ΦΠΑ (VIES).</w:t>
      </w:r>
    </w:p>
    <w:p w14:paraId="7C208CC8" w14:textId="77777777" w:rsidR="0095756A" w:rsidRPr="008867A3" w:rsidRDefault="0095756A" w:rsidP="008B545C">
      <w:pPr>
        <w:pStyle w:val="ManualHeading1"/>
        <w:rPr>
          <w:noProof/>
        </w:rPr>
      </w:pPr>
      <w:r w:rsidRPr="008867A3">
        <w:rPr>
          <w:noProof/>
        </w:rPr>
        <w:t>5.</w:t>
      </w:r>
      <w:r w:rsidRPr="008867A3">
        <w:rPr>
          <w:noProof/>
        </w:rPr>
        <w:tab/>
        <w:t>ΛΟΙΠΑ ΣΤΟΙΧΕΙΑ</w:t>
      </w:r>
    </w:p>
    <w:p w14:paraId="7C208CC9" w14:textId="77777777" w:rsidR="0095756A" w:rsidRPr="008867A3" w:rsidRDefault="0095756A" w:rsidP="008B545C">
      <w:pPr>
        <w:pStyle w:val="ManualHeading2"/>
        <w:rPr>
          <w:noProof/>
          <w:u w:color="000000"/>
          <w:bdr w:val="nil"/>
        </w:rPr>
      </w:pPr>
      <w:r w:rsidRPr="008867A3">
        <w:rPr>
          <w:noProof/>
          <w:u w:color="000000"/>
          <w:bdr w:val="nil"/>
        </w:rPr>
        <w:t>•</w:t>
      </w:r>
      <w:r w:rsidRPr="008867A3">
        <w:rPr>
          <w:noProof/>
        </w:rPr>
        <w:tab/>
      </w:r>
      <w:r w:rsidRPr="008867A3">
        <w:rPr>
          <w:noProof/>
          <w:u w:color="000000"/>
          <w:bdr w:val="nil"/>
        </w:rPr>
        <w:t>Σχέδια εφαρμογής και ρυθμίσεις παρακολούθησης, αξιολόγησης και υποβολής εκθέσεων</w:t>
      </w:r>
    </w:p>
    <w:p w14:paraId="7C208CCA" w14:textId="77777777" w:rsidR="00621712" w:rsidRPr="008867A3" w:rsidRDefault="00C85AC8" w:rsidP="00322D6B">
      <w:pPr>
        <w:rPr>
          <w:noProof/>
        </w:rPr>
      </w:pPr>
      <w:r w:rsidRPr="008867A3">
        <w:rPr>
          <w:noProof/>
        </w:rPr>
        <w:t>Η μόνιμη επιτροπή διοικητικής συνεργασίας (SCAC), η οποία συστάθηκε βάσει του άρθρου 58 παράγραφος 1 του κανονισμού (ΕΕ) αριθ. 904/2010 του Συμβουλίου, θα επιληφθεί όλων των πιθανών ζητημάτων διοικητικής συνεργασίας μεταξύ των κρατών μελών τα οποία προκύπτουν από τους νέους κανόνες για τη φορολόγηση των ενδοενωσιακών εμπορικών συναλλαγών. Ειδικότερα, θα καταρτιστεί σχέδιο εφαρμογής, από κοινού με τα κράτη μέλη στο πλαίσιο της SCAC, για τις αναγκαίες αλλαγές ΤΠ</w:t>
      </w:r>
      <w:r w:rsidRPr="008867A3">
        <w:rPr>
          <w:rStyle w:val="FootnoteReference"/>
          <w:noProof/>
        </w:rPr>
        <w:footnoteReference w:id="12"/>
      </w:r>
      <w:r w:rsidRPr="008867A3">
        <w:rPr>
          <w:noProof/>
        </w:rPr>
        <w:t xml:space="preserve"> μετά την έγκριση της τροποποίησης από το Συμβούλιο. </w:t>
      </w:r>
    </w:p>
    <w:p w14:paraId="7C208CCB" w14:textId="77777777" w:rsidR="00C85AC8" w:rsidRPr="008867A3" w:rsidRDefault="00C85AC8" w:rsidP="00C85AC8">
      <w:pPr>
        <w:rPr>
          <w:noProof/>
        </w:rPr>
      </w:pPr>
      <w:r w:rsidRPr="008867A3">
        <w:rPr>
          <w:noProof/>
        </w:rPr>
        <w:t xml:space="preserve"> </w:t>
      </w:r>
    </w:p>
    <w:p w14:paraId="7C208CCC" w14:textId="77777777" w:rsidR="0095756A" w:rsidRPr="008867A3" w:rsidRDefault="00C85AC8" w:rsidP="00C85AC8">
      <w:pPr>
        <w:rPr>
          <w:noProof/>
        </w:rPr>
      </w:pPr>
      <w:r w:rsidRPr="008867A3">
        <w:rPr>
          <w:noProof/>
        </w:rPr>
        <w:t>Σύμφωνα με το άρθρο 59 του κανονισμού (ΕΕ) αριθ. 904/2010, υποβάλλεται έκθεση για την εφαρμογή του κανονισμού ανά πενταετία. Επιπλέον, σύμφωνα με το άρθρο 49, για την αξιολόγηση του βαθμού καταπολέμησης της φοροδιαφυγής και της φοροαποφυγής, τα κράτη μέλη πρέπει να γνωστοποιούν στην Επιτροπή κάθε διαθέσιμη πληροφορία σχετικά με την εφαρμογή του κανονισμού και, μεταξύ άλλων, ετήσιες στατιστικές καταστάσεις για τη χρήση των μέσων συνεργασίας.</w:t>
      </w:r>
    </w:p>
    <w:p w14:paraId="7C208CCD" w14:textId="77777777" w:rsidR="0095756A" w:rsidRPr="008867A3" w:rsidRDefault="0095756A" w:rsidP="008B545C">
      <w:pPr>
        <w:pStyle w:val="ManualHeading2"/>
        <w:rPr>
          <w:noProof/>
          <w:u w:color="000000"/>
          <w:bdr w:val="nil"/>
        </w:rPr>
      </w:pPr>
      <w:r w:rsidRPr="008867A3">
        <w:rPr>
          <w:noProof/>
          <w:u w:color="000000"/>
          <w:bdr w:val="nil"/>
        </w:rPr>
        <w:t>•</w:t>
      </w:r>
      <w:r w:rsidRPr="008867A3">
        <w:rPr>
          <w:noProof/>
        </w:rPr>
        <w:tab/>
      </w:r>
      <w:r w:rsidRPr="008867A3">
        <w:rPr>
          <w:noProof/>
          <w:u w:color="000000"/>
          <w:bdr w:val="nil"/>
        </w:rPr>
        <w:t>Επεξηγηματικά έγγραφα (για οδηγίες)</w:t>
      </w:r>
    </w:p>
    <w:p w14:paraId="7C208CCE" w14:textId="77777777" w:rsidR="0095756A" w:rsidRPr="008867A3" w:rsidRDefault="00716AF5" w:rsidP="00716AF5">
      <w:pPr>
        <w:rPr>
          <w:noProof/>
        </w:rPr>
      </w:pPr>
      <w:r w:rsidRPr="008867A3">
        <w:rPr>
          <w:noProof/>
        </w:rPr>
        <w:t>Ά.Α.</w:t>
      </w:r>
    </w:p>
    <w:p w14:paraId="7C208CCF" w14:textId="77777777" w:rsidR="0095756A" w:rsidRPr="008867A3" w:rsidRDefault="0095756A" w:rsidP="008B545C">
      <w:pPr>
        <w:pStyle w:val="ManualHeading2"/>
        <w:rPr>
          <w:noProof/>
          <w:u w:color="000000"/>
          <w:bdr w:val="nil"/>
        </w:rPr>
      </w:pPr>
      <w:r w:rsidRPr="008867A3">
        <w:rPr>
          <w:noProof/>
          <w:u w:color="000000"/>
          <w:bdr w:val="nil"/>
        </w:rPr>
        <w:t>•</w:t>
      </w:r>
      <w:r w:rsidRPr="008867A3">
        <w:rPr>
          <w:noProof/>
        </w:rPr>
        <w:tab/>
      </w:r>
      <w:r w:rsidRPr="008867A3">
        <w:rPr>
          <w:noProof/>
          <w:u w:color="000000"/>
          <w:bdr w:val="nil"/>
        </w:rPr>
        <w:t>Αναλυτική επεξήγηση των επιμέρους διατάξεων της πρότασης</w:t>
      </w:r>
    </w:p>
    <w:p w14:paraId="7C208CD0" w14:textId="62694C8F" w:rsidR="00C24A35" w:rsidRPr="008867A3" w:rsidRDefault="001E2549" w:rsidP="001E2549">
      <w:pPr>
        <w:pStyle w:val="ManualHeading1"/>
        <w:rPr>
          <w:noProof/>
        </w:rPr>
      </w:pPr>
      <w:r w:rsidRPr="001E2549">
        <w:t>1.</w:t>
      </w:r>
      <w:r w:rsidRPr="001E2549">
        <w:tab/>
      </w:r>
      <w:r w:rsidR="00C24A35" w:rsidRPr="008867A3">
        <w:rPr>
          <w:noProof/>
        </w:rPr>
        <w:t xml:space="preserve">Θέσπιση κεντρικού συστήματος ανταλλαγής πληροφοριών για τον ΦΠΑ </w:t>
      </w:r>
    </w:p>
    <w:p w14:paraId="7C208CD1" w14:textId="77777777" w:rsidR="00C24A35" w:rsidRPr="008867A3" w:rsidRDefault="00C24A35" w:rsidP="00C24A35">
      <w:pPr>
        <w:rPr>
          <w:noProof/>
        </w:rPr>
      </w:pPr>
      <w:r w:rsidRPr="008867A3">
        <w:rPr>
          <w:noProof/>
        </w:rPr>
        <w:t>Μια πρώτη δέσμη τροποποιήσεων που περιλαμβάνεται στην πρόταση αφορά την ανάπτυξη ενός νέου κεντρικού συστήματος ανταλλαγής πληροφοριών για τον ΦΠΑ μεταξύ των φορολογικών διοικήσεων των κρατών μελών σε επίπεδο ΕΕ, το οποίο θα είναι προσαρμοσμένο στις ιδιαιτερότητες των απαιτήσεων ψηφιακής υποβολής στοιχείων. Στο κεφάλαιο V του κανονισμού (ΕΕ) αριθ. 904/2010 προστίθεται το τμήμα 3 για την εισαγωγή του κεντρικού VIES με τα άρθρα 24ζ έως 24ιγ ως εξής:</w:t>
      </w:r>
    </w:p>
    <w:p w14:paraId="7C208CD2" w14:textId="77777777" w:rsidR="00C24A35" w:rsidRPr="008867A3" w:rsidRDefault="00C24A35" w:rsidP="008410ED">
      <w:pPr>
        <w:pStyle w:val="Bullet0"/>
        <w:numPr>
          <w:ilvl w:val="0"/>
          <w:numId w:val="11"/>
        </w:numPr>
        <w:rPr>
          <w:noProof/>
        </w:rPr>
      </w:pPr>
      <w:r w:rsidRPr="008867A3">
        <w:rPr>
          <w:noProof/>
        </w:rPr>
        <w:t>Το άρθρο 24ζ θεσπίζει το κεντρικό σύστημα VIES, ορίζοντας ότι η Επιτροπή αναπτύσσει, συντηρεί, φιλοξενεί και διαχειρίζεται από τεχνικής πλευράς το κεντρικό σύστημα, ενώ κάθε κράτος μέλος αναπτύσσει, συντηρεί, φιλοξενεί και διαχειρίζεται από τεχνικής πλευράς ένα εθνικό ηλεκτρονικό σύστημα για την αυτόματη διαβίβαση διαφόρων κατηγοριών πληροφοριών στο κεντρικό VIES. Το σημαντικότερο μέρος των πληροφοριών που ανταλλάσσονται μέσω του κεντρικού VIES θα είναι οι πληροφορίες που συλλέγονται μέσω της απαίτησης ψηφιακής υποβολής στοιχείων. Οι υπόλοιπες πληροφορίες αφορούν την ταυτοποίηση των υποκείμενων στον φόρο. Τέλος, αναφέρεται ρητά ότι τα κράτη μέλη δύνανται να αποθηκεύουν τις πληροφορίες τις οποίες πρέπει να διαβιβάζουν αυτομάτως στο κεντρικό VIES στο εθνικό ηλεκτρονικό σύστημα που χρησιμοποιούν για τη διαβίβαση των πληροφοριών με σκοπό την περαιτέρω χρήση τους στο πλαίσιο εθνικών ελέγχων.</w:t>
      </w:r>
    </w:p>
    <w:p w14:paraId="7C208CD3" w14:textId="7DFEB760" w:rsidR="00C24A35" w:rsidRPr="008867A3" w:rsidRDefault="00C24A35" w:rsidP="00C24A35">
      <w:pPr>
        <w:pStyle w:val="Bullet0"/>
        <w:rPr>
          <w:noProof/>
        </w:rPr>
      </w:pPr>
      <w:r w:rsidRPr="008867A3">
        <w:rPr>
          <w:noProof/>
        </w:rPr>
        <w:t xml:space="preserve">Το άρθρο 24η αφορά την ποιότητα και τη διαθεσιμότητα των δεδομένων. Η ανταλλαγή πληροφοριών θα είναι χρήσιμη μόνο εάν τα δεδομένα παρουσιάζουν επαρκές επίπεδο ποιότητας. Για τον σκοπό αυτόν, τα κράτη μέλη πρέπει να προβούν σε όλες τις αναγκαίες επικαιροποιήσεις και να θεσπίσουν μέτρα προκειμένου να διασφαλιστεί ότι τα δεδομένα του κεντρικού VIES επικαιροποιούνται και είναι πλήρη και ακριβή. Για τη διασφάλιση της επικαιροποίησης των πληροφοριών, οι νέες ή επικαιροποιημένες πληροφορίες θα πρέπει να εισάγονται στο σύστημα χωρίς καθυστέρηση. Αυτή η άμεση επικαιροποίηση των πληροφοριών είναι ιδιαίτερα σημαντική για τις πληροφορίες ταυτοποίησης, οι οποίες είναι άρρηκτα συνδεδεμένες με την επικύρωση του αριθμού ΦΠΑ. Όσον αφορά τις </w:t>
      </w:r>
      <w:r w:rsidRPr="008867A3">
        <w:rPr>
          <w:i/>
          <w:noProof/>
        </w:rPr>
        <w:t>δηλώσεις ενδοκοινοτικών συναλλαγών</w:t>
      </w:r>
      <w:r w:rsidRPr="008867A3">
        <w:rPr>
          <w:noProof/>
        </w:rPr>
        <w:t xml:space="preserve"> που συγκεντρώνονται μέσω της απαίτησης ψηφιακής υποβολής στοιχείων, η αποδεκτή καθυστέρηση για την εισαγωγή τους στο κεντρικό VIES είναι εντός μίας ημέρας μετά τη συλλογή των σχετικών πληροφοριών από τη φορολογική διοίκηση. Η διασταύρωση των πληροφοριών που υποβάλλει τόσο ο προμηθευτής αγαθών ή ο πάροχος υπηρεσιών όσο και ο πελάτης του μπορεί να πραγματοποιηθεί μόνο μετά την υποβολή των πληροφοριών και από τα δύο μέρη, και εφόσον οι πληροφορίες αυτές διαβιβαστούν από κάθε αρχή στο κεντρικό VIES. Αυτό σημαίνει ότι η αποδεκτή καθυστέρηση για κάθε στάδιο θα πρέπει να παραμείνει σε επίπεδο λίγων ημερών, ώστε να είναι δυνατή η ανάλυση σε αρκετά συχνή βάση. Οι πληροφορίες πρέπει να παραμένουν διαθέσιμες στο κεντρικό VIES επί πέντε έτη από το τέλος του έτους κατά το οποίο οι πληροφορίες διαβιβάστηκαν στο κεντρικό VIES.</w:t>
      </w:r>
    </w:p>
    <w:p w14:paraId="7C208CD4" w14:textId="77777777" w:rsidR="00C24A35" w:rsidRPr="008867A3" w:rsidRDefault="00C24A35" w:rsidP="00C24A35">
      <w:pPr>
        <w:pStyle w:val="Bullet0"/>
        <w:rPr>
          <w:noProof/>
        </w:rPr>
      </w:pPr>
      <w:r w:rsidRPr="008867A3">
        <w:rPr>
          <w:noProof/>
        </w:rPr>
        <w:t xml:space="preserve">Το άρθρο 24θ αφορά την αναφορά των στοιχείων εγγραφής σε μητρώο ΦΠΑ ως άκυρων στο κεντρικό VIES, εφόσον πληρούνται ορισμένες προϋποθέσεις. Η διάταξη αυτή έχει εφαρμογή όταν τα πρόσωπα που διαθέτουν αριθμό φορολογικού μητρώου ΦΠΑ έχουν παύσει την οικονομική τους δραστηριότητα, έχουν δηλώσει ψευδή στοιχεία με σκοπό την απόκτηση αριθμού φορολογικού μητρώου ΦΠΑ ή δεν έχουν κοινοποιήσει αλλαγές των στοιχείων τους. Στις περιπτώσεις αυτές, εάν η φορολογική διοίκηση ήταν ενήμερη, θα αρνούνταν τη χορήγηση αριθμού φορολογικού μητρώου ΦΠΑ ή θα καταργούσε τον αριθμό φορολογικού μητρώου ΦΠΑ. Η συγκεκριμένη διάταξη έχει τεράστια σημασία όσον αφορά τον στόχο για την αποτελεσματική καταπολέμηση της απάτης στον τομέα του ΦΠΑ. Είναι σκόπιμο να υπογραμμιστεί ότι η διάταξη αυτή αφορά μόνο την </w:t>
      </w:r>
      <w:r w:rsidRPr="008867A3">
        <w:rPr>
          <w:i/>
          <w:noProof/>
        </w:rPr>
        <w:t>αναφορά</w:t>
      </w:r>
      <w:r w:rsidRPr="008867A3">
        <w:rPr>
          <w:noProof/>
        </w:rPr>
        <w:t xml:space="preserve"> του αριθμού φορολογικού μητρώου ΦΠΑ ως άκυρου σε λίγες περιπτώσεις. Δεν ορίζει πότε τα κράτη μέλη θα πρέπει να καταργούν τον αριθμό φορολογικού μητρώου ΦΠΑ.</w:t>
      </w:r>
    </w:p>
    <w:p w14:paraId="7C208CD5" w14:textId="77777777" w:rsidR="00C24A35" w:rsidRPr="008867A3" w:rsidRDefault="00C24A35" w:rsidP="00C24A35">
      <w:pPr>
        <w:pStyle w:val="Bullet0"/>
        <w:rPr>
          <w:noProof/>
        </w:rPr>
      </w:pPr>
      <w:r w:rsidRPr="008867A3">
        <w:rPr>
          <w:noProof/>
        </w:rPr>
        <w:t>Το άρθρο 24ι περιγράφει τις δυνατότητες που πρέπει να διαθέτει το κεντρικό VIES όσον αφορά τις πληροφορίες που διαβιβάζονται σε αυτό. Το άρθρο προβλέπει ότι το κεντρικό VIES πρέπει να έχει τη δυνατότητα να αποθηκεύει, καθώς και να διασταυρώνει, να παρουσιάζει σε συγκεντρωτική μορφή και να επεξεργάζεται τις πληροφορίες που λαμβάνει. Επιπλέον, το κεντρικό VIES πρέπει να έχει τη δυνατότητα να καθιστά τις πληροφορίες (που λαμβάνονται, διασταυρώνονται, παρουσιάζονται σε συγκεντρωτική μορφή και υποβάλλονται σε επεξεργασία) προσβάσιμες για εξουσιοδοτημένους χρήστες και συστήματα. Το κεντρικό VIES θα πρέπει επίσης να έχει τη δυνατότητα να επεξεργάζεται τις πληροφορίες μαζί με τυχόν πληροφορίες που γνωστοποιούνται ή συλλέγονται δυνάμει του κανονισμού (ΕΕ) αριθ. 904/2010 του Συμβουλίου για σκοπούς ελέγχου και για την καταπολέμηση της απάτης στον τομέα του ΦΠΑ. Χαρακτηριστικό παράδειγμα αποτελεί ο καθαρισμός και ο εμπλουτισμός των δεδομένων μέσω της επεξεργασίας τους μαζί με δεδομένα από άλλα συστήματα, όπως το σύστημα επιτήρησης, το οποίο περιέχει πληροφορίες σχετικά με τις απαλλασσόμενες από τον ΦΠΑ εισαγωγές με τη χρήση των τελωνειακών καθεστώτων 42/63. Η δυνατότητα αυτή είναι αναγκαία για την ανάπτυξη συνεργειών μεταξύ των διαφόρων συστημάτων πληροφοριών που περιέχουν πληροφορίες σχετικές με τον ΦΠΑ, καθώς και για τη μεγιστοποίηση του αντικτύπου των επενδύσεων στα εν λόγω συστήματα.</w:t>
      </w:r>
    </w:p>
    <w:p w14:paraId="7C208CD6" w14:textId="77777777" w:rsidR="00C24A35" w:rsidRPr="008867A3" w:rsidRDefault="00C24A35" w:rsidP="00C24A35">
      <w:pPr>
        <w:pStyle w:val="Bullet0"/>
        <w:rPr>
          <w:noProof/>
        </w:rPr>
      </w:pPr>
      <w:r w:rsidRPr="008867A3">
        <w:rPr>
          <w:noProof/>
        </w:rPr>
        <w:t>Στο άρθρο 24ια προσδιορίζονται οι υπάλληλοι και τα συστήματα που έχουν αυτοματοποιημένη πρόσβαση στο κεντρικό VIES. Στους εν λόγω υπαλλήλους περιλαμβάνονται οι υπάλληλοι των κρατών μελών οι οποίοι ελέγχουν τις απαιτήσεις για τις απαλλασσόμενες από τον ΦΠΑ εισαγωγές αγαθών, οι υπάλληλοι σύνδεσμοι του Eurofisc, καθώς και τυχόν άλλοι υπάλληλοι οι οποίοι έχουν λάβει ρητή εξουσιοδότηση από την αρμόδια αρχή του οικείου κράτους μέλους. Τέλος, προβλέπεται πρόσβαση στις πληροφορίες που συλλέγονται και υποβάλλονται σε επεξεργασία για τα εθνικά ηλεκτρονικά συστήματα τα οποία διαβιβάζουν τις πληροφορίες στο κεντρικό VIES. Η διάταξη αυτή εξασφαλίζει τη δυνατότητα χρήσης ενός ασφαλούς διαύλου επικοινωνίας μηχανής προς μηχανή, ο οποίος διευκολύνει την αυτοματοποίηση και περιορίζει την ανάγκη ανθρώπινης παρέμβασης.</w:t>
      </w:r>
    </w:p>
    <w:p w14:paraId="7C208CD7" w14:textId="77777777" w:rsidR="00C24A35" w:rsidRPr="008867A3" w:rsidRDefault="00C24A35" w:rsidP="00C24A35">
      <w:pPr>
        <w:pStyle w:val="Bullet0"/>
        <w:rPr>
          <w:noProof/>
        </w:rPr>
      </w:pPr>
      <w:r w:rsidRPr="008867A3">
        <w:rPr>
          <w:noProof/>
        </w:rPr>
        <w:t>Το άρθρο 24ιβ αφορά το κόστος ανάπτυξης και συντήρησης του κεντρικού VIES, δεδομένου ότι ορίζει ότι το κόστος της θέσπισης, της λειτουργίας και της συντήρησης του κεντρικού VIES βαρύνει τον γενικό προϋπολογισμό της Ένωσης. Στο κόστος αυτό συμπεριλαμβάνεται, μεταξύ άλλων, το κόστος της ασφαλούς σύνδεσης μεταξύ του κεντρικού VIES και των εθνικών ηλεκτρονικών συστημάτων που αναφέρονται στο άρθρο 24ζ παράγραφος 2, καθώς και το κόστος των υπηρεσιών που είναι αναγκαίες για την εφαρμογή των δυνατοτήτων που αναφέρονται στο άρθρο 24ι. Από την άλλη πλευρά, κάθε κράτος μέλος αναλαμβάνει το κόστος και είναι υπεύθυνο για όλες τις αναγκαίες εξελίξεις των εθνικών ηλεκτρονικών συστημάτων τους, ώστε να είναι δυνατή η ανταλλαγή πληροφοριών με τη χρήση του κοινού δικτύου επικοινωνιών (στο εξής: CCN) ή οποιουδήποτε άλλου παρόμοιου δικτύου.</w:t>
      </w:r>
    </w:p>
    <w:p w14:paraId="7C208CD8" w14:textId="77777777" w:rsidR="00C24A35" w:rsidRPr="008867A3" w:rsidRDefault="00C24A35" w:rsidP="00C24A35">
      <w:pPr>
        <w:pStyle w:val="Bullet0"/>
        <w:rPr>
          <w:noProof/>
        </w:rPr>
      </w:pPr>
      <w:r w:rsidRPr="008867A3">
        <w:rPr>
          <w:noProof/>
        </w:rPr>
        <w:t>Τέλος, το άρθρο 24ιγ αφορά την ασφάλεια και τη συμμόρφωση του κεντρικού συστήματος VIES. Το πρώτο εδάφιο ορίζει ότι τα κράτη μέλη λαμβάνουν όλα τα απαραίτητα μέτρα για να εξασφαλίσουν την τήρηση του άρθρου 55 του παρόντος κανονισμού. Το άρθρο 55 προβλέπει υποχρεώσεις όσον αφορά την τήρηση του επαγγελματικού απορρήτου, την προστασία της ιδιωτικότητας και την ασφάλεια των πληροφοριών που αποθηκεύονται, υποβάλλονται σε επεξεργασία ή ανταλλάσσονται δυνάμει του κανονισμού. Το δεύτερο εδάφιο αναθέτει στην Επιτροπή την εξουσία να θεσπίζει, με εκτελεστικές πράξεις, τα καθήκοντα που πρέπει να εκτελεί η Επιτροπή για την τεχνική διαχείριση του κεντρικού VIES, καθώς και τους ρόλους και τις αρμοδιότητες των κρατών μελών και της Επιτροπής όσον αφορά τα καθήκοντα του υπευθύνου επεξεργασίας και του εκτελούντος την επεξεργασία, βάσει του κανονισμού (ΕΕ) 2016/679 του Ευρωπαϊκού Κοινοβουλίου και του Συμβουλίου και του κανονισμού (ΕΕ) 2018/1725 του Ευρωπαϊκού Κοινοβουλίου και του Συμβουλίου.</w:t>
      </w:r>
    </w:p>
    <w:p w14:paraId="7C208CD9" w14:textId="49BFE963" w:rsidR="00AE1794" w:rsidRPr="008867A3" w:rsidRDefault="001E2549" w:rsidP="001E2549">
      <w:pPr>
        <w:pStyle w:val="ManualHeading1"/>
        <w:rPr>
          <w:noProof/>
        </w:rPr>
      </w:pPr>
      <w:r w:rsidRPr="001E2549">
        <w:t>2.</w:t>
      </w:r>
      <w:r w:rsidRPr="001E2549">
        <w:tab/>
      </w:r>
      <w:r w:rsidR="00AE1794" w:rsidRPr="008867A3">
        <w:rPr>
          <w:noProof/>
        </w:rPr>
        <w:t>Σταδιακή κατάργηση του υφιστάμενου παλαιού συστήματος ανταλλαγής πληροφοριών για τον ΦΠΑ</w:t>
      </w:r>
    </w:p>
    <w:p w14:paraId="7C208CDA" w14:textId="77777777" w:rsidR="003650BE" w:rsidRPr="008867A3" w:rsidRDefault="003650BE" w:rsidP="003650BE">
      <w:pPr>
        <w:rPr>
          <w:noProof/>
        </w:rPr>
      </w:pPr>
      <w:r w:rsidRPr="008867A3">
        <w:rPr>
          <w:noProof/>
        </w:rPr>
        <w:t>Μια δεύτερη δέσμη τροποποιήσεων που περιλαμβάνεται στην πρόταση αφορά τη σταδιακή κατάργηση του παλαιού VIES. Το υφιστάμενο σύστημα VIES, το οποίο καλύπτεται από το τμήμα 1 του κεφαλαίου V, πρέπει να διατηρηθεί για δύο έτη μετά τη θέσπιση του κεντρικού συστήματος VIES, με σκοπό τη διευκόλυνση των ελέγχων των συναλλαγών που δηλώθηκαν με ανακεφαλαιωτικούς πίνακες, πριν από τη θέσπιση των απαιτήσεων ψηφιακής υποβολής στοιχείων. Η λειτουργία του παλαιού VIES θα εξασφαλίσει τη δυνατότητα αυτόματης ανταλλαγής των πληροφοριών που θα παρέχονται μέσω των παλαιών απαιτήσεων υποβολής στοιχείων για την εν λόγω περίοδο. Μετά τη σταδιακή κατάργηση του παλαιού VIES, η ανταλλαγή των πληροφοριών μεταξύ των κρατών μελών θα εξακολουθεί να είναι δυνατή, αυτεπαγγέλτως ή κατόπιν αιτήματος, με τη χρήση μη αυτοματοποιημένων μέσων διοικητικής συνεργασίας. Η σταδιακή κατάργηση του υφιστάμενου VIES πραγματοποιείται ως εξής:</w:t>
      </w:r>
    </w:p>
    <w:p w14:paraId="7C208CDB" w14:textId="77777777" w:rsidR="003650BE" w:rsidRPr="008867A3" w:rsidRDefault="003650BE" w:rsidP="003650BE">
      <w:pPr>
        <w:pStyle w:val="Bullet0"/>
        <w:rPr>
          <w:noProof/>
        </w:rPr>
      </w:pPr>
      <w:r w:rsidRPr="008867A3">
        <w:rPr>
          <w:noProof/>
        </w:rPr>
        <w:t>Τα άρθρα 17, 20, 21, 22 και 23 τροποποιούνται, ώστε να διαγραφούν οι παραπομπές στο παλαιό σύστημα VIES.</w:t>
      </w:r>
    </w:p>
    <w:p w14:paraId="7C208CDC" w14:textId="77777777" w:rsidR="00AE1794" w:rsidRPr="008867A3" w:rsidRDefault="003650BE" w:rsidP="008B545C">
      <w:pPr>
        <w:pStyle w:val="Bullet0"/>
        <w:rPr>
          <w:noProof/>
        </w:rPr>
      </w:pPr>
      <w:r w:rsidRPr="008867A3">
        <w:rPr>
          <w:noProof/>
        </w:rPr>
        <w:t>Το άρθρο 31, το οποίο αφορά την παροχή πληροφοριών στους υποκείμενους στο φόρο σχετικά με την εγκυρότητα των αριθμών φορολογικού μητρώου ΦΠΑ, καθώς και του ονόματος και της διεύθυνσης που αντιστοιχούν σε άλλα πρόσωπα τα οποία αφορούν οι ενδοκοινοτικές συναλλαγές, τροποποιείται. Μετά την τροποποίηση, το άρθρο θα αναφέρεται στις πληροφορίες που τηρούνται στο κεντρικό VIES.</w:t>
      </w:r>
    </w:p>
    <w:p w14:paraId="7C208CDD" w14:textId="30ABCC0D" w:rsidR="003650BE" w:rsidRPr="008867A3" w:rsidRDefault="001E2549" w:rsidP="001E2549">
      <w:pPr>
        <w:pStyle w:val="ManualHeading1"/>
        <w:rPr>
          <w:noProof/>
        </w:rPr>
      </w:pPr>
      <w:r w:rsidRPr="001E2549">
        <w:t>3.</w:t>
      </w:r>
      <w:r w:rsidRPr="001E2549">
        <w:tab/>
      </w:r>
      <w:r w:rsidR="003650BE" w:rsidRPr="008867A3">
        <w:rPr>
          <w:noProof/>
        </w:rPr>
        <w:t>Άλλες αλλαγές</w:t>
      </w:r>
    </w:p>
    <w:p w14:paraId="7C208CDE" w14:textId="77777777" w:rsidR="003650BE" w:rsidRPr="008867A3" w:rsidRDefault="003650BE" w:rsidP="003650BE">
      <w:pPr>
        <w:rPr>
          <w:noProof/>
        </w:rPr>
      </w:pPr>
      <w:r w:rsidRPr="008867A3">
        <w:rPr>
          <w:noProof/>
        </w:rPr>
        <w:t xml:space="preserve">Μια τρίτη δέσμη τροποποιήσεων που περιλαμβάνεται στην πρόταση προβλέπει τις αναγκαίες προσαρμογές όσον αφορά την ανταλλαγή πληροφοριών σχετικά με το νέο ειδικό καθεστώς για μεταφορές ιδίων αγαθών, όπως εισάγεται στην οδηγία 2006/112/ΕΚ. </w:t>
      </w:r>
    </w:p>
    <w:p w14:paraId="7C208CDF" w14:textId="77777777" w:rsidR="003650BE" w:rsidRPr="008867A3" w:rsidRDefault="003650BE" w:rsidP="003650BE">
      <w:pPr>
        <w:rPr>
          <w:noProof/>
        </w:rPr>
      </w:pPr>
      <w:r w:rsidRPr="008867A3">
        <w:rPr>
          <w:noProof/>
        </w:rPr>
        <w:t xml:space="preserve">Σύμφωνα με το άρθρο 242α της οδηγίας 2006/112/ΕΚ, οι φορείς εκμετάλλευσης πλατφορμών υποχρεούνται να τηρούν καταχωρίσεις των παραδόσεων/παροχών που πραγματοποιούνται στις πλατφόρμες τους από επιχειρήσεις προς πελάτες. Για τη διευκόλυνση της λειτουργίας του μοντέλου του θεωρούμενου παρόχου υπηρεσιών που εισάγεται στους τομείς της βραχυχρόνιας μίσθωσης ακινήτων και της μεταφοράς επιβατών, η υποχρέωση αυτή επεκτείνεται ώστε να συμπεριλαμβάνονται και οι οι παροχές υπηρεσιών μεταξύ επιχειρήσεων. Είναι αναγκαίο να καθιερωθεί τυποποιημένος μορφότυπος για τη διαβίβαση των εν λόγω πληροφοριών. </w:t>
      </w:r>
    </w:p>
    <w:p w14:paraId="7C208CE0" w14:textId="77777777" w:rsidR="0095756A" w:rsidRPr="008867A3" w:rsidRDefault="0095756A" w:rsidP="008B545C">
      <w:pPr>
        <w:rPr>
          <w:noProof/>
        </w:rPr>
        <w:sectPr w:rsidR="0095756A" w:rsidRPr="008867A3" w:rsidSect="002F2036">
          <w:footerReference w:type="default" r:id="rId13"/>
          <w:footerReference w:type="first" r:id="rId14"/>
          <w:pgSz w:w="11907" w:h="16839"/>
          <w:pgMar w:top="1134" w:right="1417" w:bottom="1134" w:left="1417" w:header="709" w:footer="709" w:gutter="0"/>
          <w:cols w:space="708"/>
          <w:docGrid w:linePitch="360"/>
        </w:sectPr>
      </w:pPr>
    </w:p>
    <w:p w14:paraId="7D07E387" w14:textId="3F58DA9B" w:rsidR="00D23500" w:rsidRDefault="00D23500" w:rsidP="00D23500">
      <w:pPr>
        <w:pStyle w:val="Rfrenceinterinstitutionnelle"/>
        <w:rPr>
          <w:noProof/>
        </w:rPr>
      </w:pPr>
      <w:r w:rsidRPr="00D23500">
        <w:t>2022/0409 (CNS)</w:t>
      </w:r>
    </w:p>
    <w:p w14:paraId="7C208CE1" w14:textId="142F7E2B" w:rsidR="0095756A" w:rsidRPr="008867A3" w:rsidRDefault="008867A3" w:rsidP="008867A3">
      <w:pPr>
        <w:pStyle w:val="Statut"/>
        <w:rPr>
          <w:noProof/>
        </w:rPr>
      </w:pPr>
      <w:r w:rsidRPr="008867A3">
        <w:rPr>
          <w:noProof/>
        </w:rPr>
        <w:t>Πρόταση</w:t>
      </w:r>
    </w:p>
    <w:p w14:paraId="7C208CE2" w14:textId="6465692D" w:rsidR="0095756A" w:rsidRPr="008867A3" w:rsidRDefault="008867A3" w:rsidP="008867A3">
      <w:pPr>
        <w:pStyle w:val="Typedudocument"/>
        <w:rPr>
          <w:noProof/>
        </w:rPr>
      </w:pPr>
      <w:r w:rsidRPr="008867A3">
        <w:rPr>
          <w:noProof/>
        </w:rPr>
        <w:t>ΚΑΝΟΝΙΣΜΟΣ ΤΟΥ ΣΥΜΒΟΥΛΙΟΥ</w:t>
      </w:r>
    </w:p>
    <w:p w14:paraId="7C208CE3" w14:textId="1A565EF7" w:rsidR="0095756A" w:rsidRPr="008867A3" w:rsidRDefault="008867A3" w:rsidP="008867A3">
      <w:pPr>
        <w:pStyle w:val="Titreobjet"/>
        <w:rPr>
          <w:noProof/>
        </w:rPr>
      </w:pPr>
      <w:r w:rsidRPr="008867A3">
        <w:rPr>
          <w:noProof/>
        </w:rPr>
        <w:t>για την τροποποίηση του κανονισμού (ΕΕ) αριθ. 904/2010 όσον αφορά τις απαιτούμενες ρυθμίσεις διοικητικής συνεργασίας στον τομέα του ΦΠΑ για την ψηφιακή εποχή</w:t>
      </w:r>
    </w:p>
    <w:p w14:paraId="7C208CE4" w14:textId="77777777" w:rsidR="0095756A" w:rsidRPr="008867A3" w:rsidRDefault="0095756A" w:rsidP="008B545C">
      <w:pPr>
        <w:pStyle w:val="Institutionquiagit"/>
        <w:rPr>
          <w:noProof/>
        </w:rPr>
      </w:pPr>
      <w:r w:rsidRPr="008867A3">
        <w:rPr>
          <w:noProof/>
        </w:rPr>
        <w:t>ΤΟ ΣΥΜΒΟΥΛΙΟ ΤΗΣ ΕΥΡΩΠΑΪΚΗΣ ΕΝΩΣΗΣ,</w:t>
      </w:r>
    </w:p>
    <w:p w14:paraId="7C208CE5" w14:textId="77777777" w:rsidR="0095756A" w:rsidRPr="008867A3" w:rsidRDefault="0095756A" w:rsidP="008B545C">
      <w:pPr>
        <w:rPr>
          <w:noProof/>
        </w:rPr>
      </w:pPr>
      <w:r w:rsidRPr="008867A3">
        <w:rPr>
          <w:noProof/>
        </w:rPr>
        <w:t>Έχοντας υπόψη τη Συνθήκη για τη λειτουργία της Ευρωπαϊκής Ένωσης, και ιδίως το άρθρο 113,</w:t>
      </w:r>
    </w:p>
    <w:p w14:paraId="7C208CE6" w14:textId="77777777" w:rsidR="0095756A" w:rsidRPr="008867A3" w:rsidRDefault="0095756A" w:rsidP="008B545C">
      <w:pPr>
        <w:rPr>
          <w:noProof/>
        </w:rPr>
      </w:pPr>
      <w:r w:rsidRPr="008867A3">
        <w:rPr>
          <w:noProof/>
        </w:rPr>
        <w:t>Έχοντας υπόψη την πρόταση της Ευρωπαϊκής Επιτροπής,</w:t>
      </w:r>
    </w:p>
    <w:p w14:paraId="7C208CE7" w14:textId="77777777" w:rsidR="0095756A" w:rsidRPr="008867A3" w:rsidRDefault="0095756A" w:rsidP="008B545C">
      <w:pPr>
        <w:rPr>
          <w:noProof/>
        </w:rPr>
      </w:pPr>
      <w:r w:rsidRPr="008867A3">
        <w:rPr>
          <w:noProof/>
        </w:rPr>
        <w:t>Κατόπιν διαβίβασης του σχεδίου νομοθετικής πράξης στα εθνικά κοινοβούλια,</w:t>
      </w:r>
    </w:p>
    <w:p w14:paraId="7C208CE8" w14:textId="77777777" w:rsidR="0095756A" w:rsidRPr="008867A3" w:rsidRDefault="0095756A" w:rsidP="008B545C">
      <w:pPr>
        <w:rPr>
          <w:noProof/>
        </w:rPr>
      </w:pPr>
      <w:r w:rsidRPr="008867A3">
        <w:rPr>
          <w:noProof/>
        </w:rPr>
        <w:t>Έχοντας υπόψη τη γνώμη του Ευρωπαϊκού Κοινοβουλίου</w:t>
      </w:r>
      <w:r w:rsidRPr="008867A3">
        <w:rPr>
          <w:rStyle w:val="FootnoteReference"/>
          <w:noProof/>
        </w:rPr>
        <w:footnoteReference w:id="13"/>
      </w:r>
      <w:r w:rsidRPr="008867A3">
        <w:rPr>
          <w:noProof/>
        </w:rPr>
        <w:t>,</w:t>
      </w:r>
    </w:p>
    <w:p w14:paraId="7C208CE9" w14:textId="77777777" w:rsidR="0095756A" w:rsidRPr="008867A3" w:rsidRDefault="0095756A" w:rsidP="008B545C">
      <w:pPr>
        <w:rPr>
          <w:noProof/>
        </w:rPr>
      </w:pPr>
      <w:r w:rsidRPr="008867A3">
        <w:rPr>
          <w:noProof/>
        </w:rPr>
        <w:t>Έχοντας υπόψη τη γνώμη της Ευρωπαϊκής Οικονομικής και Κοινωνικής Επιτροπής</w:t>
      </w:r>
      <w:r w:rsidRPr="008867A3">
        <w:rPr>
          <w:rStyle w:val="FootnoteReference"/>
          <w:noProof/>
        </w:rPr>
        <w:footnoteReference w:id="14"/>
      </w:r>
      <w:r w:rsidRPr="008867A3">
        <w:rPr>
          <w:noProof/>
        </w:rPr>
        <w:t>,</w:t>
      </w:r>
    </w:p>
    <w:p w14:paraId="7C208CEA" w14:textId="77777777" w:rsidR="0095756A" w:rsidRPr="008867A3" w:rsidRDefault="0095756A" w:rsidP="008B545C">
      <w:pPr>
        <w:rPr>
          <w:noProof/>
        </w:rPr>
      </w:pPr>
      <w:r w:rsidRPr="008867A3">
        <w:rPr>
          <w:noProof/>
        </w:rPr>
        <w:t>Αποφασίζοντας σύμφωνα με ειδική νομοθετική διαδικασία,</w:t>
      </w:r>
    </w:p>
    <w:p w14:paraId="7C208CEB" w14:textId="77777777" w:rsidR="0095756A" w:rsidRPr="008867A3" w:rsidRDefault="0095756A" w:rsidP="008B545C">
      <w:pPr>
        <w:rPr>
          <w:noProof/>
        </w:rPr>
      </w:pPr>
      <w:r w:rsidRPr="008867A3">
        <w:rPr>
          <w:noProof/>
        </w:rPr>
        <w:t>Εκτιμώντας τα ακόλουθα:</w:t>
      </w:r>
    </w:p>
    <w:p w14:paraId="7C208CEC" w14:textId="43445CE0" w:rsidR="00DD2EE5" w:rsidRPr="008867A3" w:rsidRDefault="001E2549" w:rsidP="001E2549">
      <w:pPr>
        <w:pStyle w:val="ManualConsidrant"/>
        <w:rPr>
          <w:noProof/>
        </w:rPr>
      </w:pPr>
      <w:r w:rsidRPr="001E2549">
        <w:t>(1)</w:t>
      </w:r>
      <w:r w:rsidRPr="001E2549">
        <w:tab/>
      </w:r>
      <w:r w:rsidR="00DD2EE5" w:rsidRPr="008867A3">
        <w:rPr>
          <w:noProof/>
        </w:rPr>
        <w:t>Ο κανονισμός (ΕΕ) αριθ. 904/2010 του Συμβουλίου</w:t>
      </w:r>
      <w:r w:rsidR="00DD2EE5" w:rsidRPr="008867A3">
        <w:rPr>
          <w:rStyle w:val="FootnoteReference"/>
          <w:noProof/>
        </w:rPr>
        <w:footnoteReference w:id="15"/>
      </w:r>
      <w:r w:rsidR="00DD2EE5" w:rsidRPr="008867A3">
        <w:rPr>
          <w:noProof/>
        </w:rPr>
        <w:t xml:space="preserve"> καθορίζει τους όρους σύμφωνα με τους οποίους οι αρμόδιες αρχές των κρατών μελών οι οποίες είναι υπεύθυνες για την εφαρμογή της νομοθεσίας για τον ΦΠΑ πρέπει να συνεργάζονται μεταξύ τους καθώς και με την Επιτροπή προκειμένου να εξασφαλίσουν την τήρηση της νομοθεσίας αυτής. Οι εν λόγω όροι συνεπάγονται, μεταξύ άλλων, κανόνες για την αποθήκευση και την ανταλλαγή, με ηλεκτρονικά μέσα, των πληροφοριών που επιτρέπουν την ορθή βεβαίωση του ΦΠΑ, τον έλεγχο της ορθής εφαρμογής του ΦΠΑ, ιδίως επί των ενδοκοινοτικών συναλλαγών, και την καταπολέμηση της απάτης στον τομέα του ΦΠΑ.</w:t>
      </w:r>
    </w:p>
    <w:p w14:paraId="7C208CED" w14:textId="009A8747" w:rsidR="0095756A" w:rsidRPr="008867A3" w:rsidRDefault="001E2549" w:rsidP="001E2549">
      <w:pPr>
        <w:pStyle w:val="ManualConsidrant"/>
        <w:rPr>
          <w:noProof/>
        </w:rPr>
      </w:pPr>
      <w:r w:rsidRPr="001E2549">
        <w:t>(2)</w:t>
      </w:r>
      <w:r w:rsidRPr="001E2549">
        <w:tab/>
      </w:r>
      <w:r w:rsidR="00E1589F" w:rsidRPr="008867A3">
        <w:rPr>
          <w:noProof/>
        </w:rPr>
        <w:t>Με την οδηγία (ΕΕ) XX/XXX του Συμβουλίου</w:t>
      </w:r>
      <w:r w:rsidR="00E1589F" w:rsidRPr="008867A3">
        <w:rPr>
          <w:rStyle w:val="FootnoteReference"/>
          <w:noProof/>
        </w:rPr>
        <w:footnoteReference w:id="16"/>
      </w:r>
      <w:r w:rsidR="00E1589F" w:rsidRPr="008867A3">
        <w:rPr>
          <w:noProof/>
        </w:rPr>
        <w:t xml:space="preserve"> [Υπηρεσία Εκδόσεων: να προστεθούν ο αριθμός και το έτος της οδηγίας του Συμβουλίου για την τροποποίηση της οδηγίας 2006/112/ΕΚ όσον αφορά τους κανόνες ΦΠΑ για την ψηφιακή εποχή, με την ίδια ημερομηνία έκδοσης με τον παρόντα κανονισμό] εισήχθησαν στην οδηγία 2006/112/ΕΚ του Συμβουλίου</w:t>
      </w:r>
      <w:r w:rsidR="00E1589F" w:rsidRPr="008867A3">
        <w:rPr>
          <w:rStyle w:val="FootnoteReference"/>
          <w:noProof/>
        </w:rPr>
        <w:footnoteReference w:id="17"/>
      </w:r>
      <w:r w:rsidR="00E1589F" w:rsidRPr="008867A3">
        <w:rPr>
          <w:noProof/>
        </w:rPr>
        <w:t xml:space="preserve"> απαιτήσεις ψηφιακής υποβολής στοιχείων (στο εξής: απαιτήσεις ψηφιακής υποβολής στοιχείων). Σύμφωνα με τις εν λόγω απαιτήσεις, οι υποκείμενοι στον φόρο που διαθέτουν αριθμό φορολογικού μητρώου ΦΠΑ υποχρεούνται να υποβάλλουν στα κράτη μέλη πληροφορίες για κάθε ενδοκοινοτική παράδοση αγαθών, για κάθε ενδοκοινοτική απόκτηση αγαθών και για κάθε παροχή υπηρεσιών που είναι φορολογητέα σε κράτος μέλος διαφορετικό από εκείνο στο οποίο είναι εγκατεστημένος ο προμηθευτής αγαθών ή ο πάροχος υπηρεσιών. Τα κράτη μέλη πρέπει να ανταλλάσσουν και να επεξεργάζονται τις εν λόγω πληροφορίες για τις ενδοκοινοτικές συναλλαγές με σκοπό τον έλεγχο της ορθής εφαρμογής του ΦΠΑ και τον εντοπισμό περιπτώσεων απάτης.</w:t>
      </w:r>
    </w:p>
    <w:p w14:paraId="7C208CEE" w14:textId="7FEEA0C4" w:rsidR="00D13659" w:rsidRPr="008867A3" w:rsidRDefault="001E2549" w:rsidP="001E2549">
      <w:pPr>
        <w:pStyle w:val="ManualConsidrant"/>
        <w:rPr>
          <w:noProof/>
        </w:rPr>
      </w:pPr>
      <w:r w:rsidRPr="001E2549">
        <w:t>(3)</w:t>
      </w:r>
      <w:r w:rsidRPr="001E2549">
        <w:tab/>
      </w:r>
      <w:r w:rsidR="004C5782" w:rsidRPr="008867A3">
        <w:rPr>
          <w:noProof/>
        </w:rPr>
        <w:t>Η υφιστάμενη συνεργασία μεταξύ των φορολογικών αρχών των κρατών μελών βασίζεται στην ανταλλαγή συγκεντρωτικών πληροφοριών μεταξύ των εθνικών ηλεκτρονικών συστημάτων. Η θέσπιση απαιτήσεων ψηφιακής υποβολής στοιχείων αποσκοπεί στην αύξηση της είσπραξης των φόρων με την έγκαιρη παροχή δεδομένων ανά συναλλαγή στις φορολογικές διοικήσεις. Για να είναι τα εν λόγω δεδομένα διαθέσιμα στις άλλες φορολογικές διοικήσεις με αποτελεσματικό τρόπο, και για τη διευκόλυνση της κοινής εφαρμογής αναλύσεων και διασταυρώσεων δεδομένων, καθώς και για την εξασφάλιση κοινής ερμηνείας των εν λόγω αναλύσεων και διασταυρώσεων δεδομένων, κρίνεται αναγκαία η χρήση ενός κεντρικού συστήματος ανταλλαγής πληροφοριών για τον ΦΠΑ.</w:t>
      </w:r>
    </w:p>
    <w:p w14:paraId="7C208CEF" w14:textId="5B0C3F8B" w:rsidR="004C5782" w:rsidRPr="008867A3" w:rsidRDefault="001E2549" w:rsidP="001E2549">
      <w:pPr>
        <w:pStyle w:val="ManualConsidrant"/>
        <w:rPr>
          <w:noProof/>
        </w:rPr>
      </w:pPr>
      <w:r w:rsidRPr="001E2549">
        <w:t>(4)</w:t>
      </w:r>
      <w:r w:rsidRPr="001E2549">
        <w:tab/>
      </w:r>
      <w:r w:rsidR="000067EA" w:rsidRPr="008867A3">
        <w:rPr>
          <w:noProof/>
        </w:rPr>
        <w:t>Για να έχουν τα κράτη μέλη τη δυνατότητα καταπολέμησης της απάτης στον τομέα του ΦΠΑ με αποτελεσματικότερο τρόπο, θα πρέπει να θεσπιστεί κεντρικό ηλεκτρονικό σύστημα ανταλλαγής πληροφοριών για τον ΦΠΑ (στο εξής: κεντρικό VIES) για την ανταλλαγή πληροφοριών σχετικά με τον ΦΠΑ. Το εν λόγω σύστημα θα πρέπει να λαμβάνει, από τα εθνικά ηλεκτρονικά συστήματα των κρατών μελών, πληροφορίες σχετικά με τις ενδοκοινοτικές συναλλαγές, όπως υποβάλλονται από τους αντίστοιχους προμηθευτές αγαθών ή τους παρόχους υπηρεσιών και τους αποκτώντες σε διαφορετικά κράτη μέλη. Το σύστημα αυτό θα πρέπει επίσης να λαμβάνει από τα κράτη μέλη τα στοιχεία εγγραφής σε μητρώο ΦΠΑ των υποκείμενων στον φόρο που πραγματοποιούν ενδοκοινοτικές συναλλαγές. Επιπλέον, κάθε φορά που επέρχεται αλλαγή στα δεδομένα, στο κεντρικό VIES θα πρέπει να αναφορτώνονται και τα μεταδεδομένα για την παρακολούθηση του χρόνου τροποποίησης.</w:t>
      </w:r>
    </w:p>
    <w:p w14:paraId="7C208CF0" w14:textId="3E082F52" w:rsidR="004C5782" w:rsidRPr="008867A3" w:rsidRDefault="001E2549" w:rsidP="001E2549">
      <w:pPr>
        <w:pStyle w:val="ManualConsidrant"/>
        <w:rPr>
          <w:noProof/>
        </w:rPr>
      </w:pPr>
      <w:r w:rsidRPr="001E2549">
        <w:t>(5)</w:t>
      </w:r>
      <w:r w:rsidRPr="001E2549">
        <w:tab/>
      </w:r>
      <w:r w:rsidR="004C5782" w:rsidRPr="008867A3">
        <w:rPr>
          <w:noProof/>
        </w:rPr>
        <w:t>Τα στοιχεία εγγραφής σε μητρώο ΦΠΑ των υποκείμενων στον φόρο που πραγματοποιούν ενδοκοινοτικές συναλλαγές θα πρέπει να επικαιροποιούνται αυτομάτως στο κεντρικό VIES χωρίς καθυστέρηση κάθε φορά που επέρχεται αλλαγή στα στοιχεία φορολογικού μητρώου, εκτός εάν τα κράτη μέλη συμφωνήσουν ότι η επικαιροποίηση αυτή δεν είναι συναφής, ουσιώδης ή χρήσιμη. Οι εν λόγω επικαιροποιήσεις είναι αναγκαίες, διότι η εγκυρότητα των αριθμών φορολογικού μητρώου ΦΠΑ των υποκείμενων στον φόρο υπόκειται σε επαλήθευση όσον αφορά την προϋπόθεση για την απαλλαγή των ενδοκοινοτικών παραδόσεων αγαθών που προβλέπεται στο άρθρο 138 της οδηγίας 2006/112/ΕΚ. Για την παροχή εύλογου επιπέδου ασφάλειας στις φορολογικές διοικήσεις όσον αφορά την ποιότητα και την αξιοπιστία των εν λόγω πληροφοριών, οι πληροφορίες για τις ενδοκοινοτικές συναλλαγές θα πρέπει να επικαιροποιούνται αυτομάτως στο κεντρικό VIES το αργότερο μία ημέρα μετά την ημερομηνία κατά την οποία το κράτος μέλος έλαβε τις πληροφορίες από τον υποκείμενο στον φόρο.</w:t>
      </w:r>
    </w:p>
    <w:p w14:paraId="7C208CF1" w14:textId="46C9928E" w:rsidR="004C5782" w:rsidRPr="008867A3" w:rsidRDefault="001E2549" w:rsidP="001E2549">
      <w:pPr>
        <w:pStyle w:val="ManualConsidrant"/>
        <w:rPr>
          <w:noProof/>
        </w:rPr>
      </w:pPr>
      <w:r w:rsidRPr="001E2549">
        <w:t>(6)</w:t>
      </w:r>
      <w:r w:rsidRPr="001E2549">
        <w:tab/>
      </w:r>
      <w:r w:rsidR="004C5782" w:rsidRPr="008867A3">
        <w:rPr>
          <w:noProof/>
        </w:rPr>
        <w:t>Επιπλέον, όσον αφορά τα στοιχεία εγγραφής σε μητρώο ΦΠΑ που περιλαμβάνονται στο κεντρικό VIES, τα κράτη μέλη θα πρέπει να θεσπίσουν μέτρα ώστε να διασφαλίζουν ότι τα δεδομένα τα οποία παρέχουν οι υποκείμενοι στον φόρο για την απόκτηση αριθμού φορολογικού μητρώου ΦΠΑ, σύμφωνα με το άρθρο 214 της οδηγίας 2006/112/ΕΚ, είναι, κατά την εκτίμηση του αντίστοιχου κράτους μέλους, πλήρη και ακριβή. Επιπλέον, τα κράτη μέλη θα πρέπει να διασφαλίζουν ότι ο αριθμός φορολογικού μητρώου ΦΠΑ αναφέρεται ως άκυρος στο κεντρικό VIES σε περίπτωση που ο υποκείμενος στον φόρο δεν τηρεί τις υποχρεώσεις γνωστοποίησης δεδομένων ή σε περίπτωση παύσης της οικονομικής δραστηριότητας.</w:t>
      </w:r>
    </w:p>
    <w:p w14:paraId="7C208CF2" w14:textId="6F20577F" w:rsidR="004C5782" w:rsidRPr="008867A3" w:rsidRDefault="001E2549" w:rsidP="001E2549">
      <w:pPr>
        <w:pStyle w:val="ManualConsidrant"/>
        <w:rPr>
          <w:noProof/>
        </w:rPr>
      </w:pPr>
      <w:r w:rsidRPr="001E2549">
        <w:t>(7)</w:t>
      </w:r>
      <w:r w:rsidRPr="001E2549">
        <w:tab/>
      </w:r>
      <w:r w:rsidR="004C5782" w:rsidRPr="008867A3">
        <w:rPr>
          <w:noProof/>
        </w:rPr>
        <w:t>Οι πληροφορίες για τις ενδοκοινοτικές συναλλαγές που υποβάλλουν οι προμηθευτές αγαθών ή οι πάροχοι υπηρεσιών και οι αποκτώντες σε διαφορετικά κράτη μέλη θα πρέπει να εισάγονται από κάθε κράτος μέλος στο κεντρικό VIES αμέσως μετά τη λήψη τους από το κράτος μέλος. Απαιτείται η ταχεία επεξεργασία των πληροφοριών που λαμβάνονται, για τεχνικούς λόγους που αφορούν τον όγκο των δεδομένων, καθώς και για τον έγκαιρο εντοπισμό ύποπτων συναλλαγών και πιθανών περιπτώσεων απάτης στον τομέα του ΦΠΑ.</w:t>
      </w:r>
    </w:p>
    <w:p w14:paraId="7C208CF3" w14:textId="74800A84" w:rsidR="009865CF" w:rsidRPr="008867A3" w:rsidRDefault="001E2549" w:rsidP="001E2549">
      <w:pPr>
        <w:pStyle w:val="ManualConsidrant"/>
        <w:rPr>
          <w:noProof/>
        </w:rPr>
      </w:pPr>
      <w:r w:rsidRPr="001E2549">
        <w:t>(8)</w:t>
      </w:r>
      <w:r w:rsidRPr="001E2549">
        <w:tab/>
      </w:r>
      <w:r w:rsidR="009865CF" w:rsidRPr="008867A3">
        <w:rPr>
          <w:noProof/>
        </w:rPr>
        <w:t>Για την παροχή συνδρομής στα κράτη μέλη στο πλαίσιο της καταπολέμησης της απάτης στον τομέα του ΦΠΑ και του εντοπισμού υπαιτίων απάτης, τα στοιχεία εγγραφής σε μητρώο ΦΠΑ και οι πληροφορίες για τον ΦΠΑ όσον αφορά τις ενδοκοινοτικές συναλλαγές θα πρέπει να διατηρούνται για περίοδο πέντε ετών. Η περίοδος αυτή αποτελεί το ελάχιστο χρονικό διάστημα που απαιτείται ώστε τα κράτη μέλη να διενεργούν ελέγχους με αποτελεσματικό τρόπο και να διερευνούν περιπτώσεις εικαζόμενης απάτης στον τομέα του ΦΠΑ ή να εντοπίζουν περιπτώσεις απάτης στον τομέα του ΦΠΑ. Η περίοδος αυτή είναι επίσης αναλογική, λαμβανομένου υπόψη τόσο του τεράστιου όγκου των πληροφοριών για τις ενδοκοινοτικές συναλλαγές όσο και του ευαίσθητου χαρακτήρα των πληροφοριών ως εμπορικών και προσωπικών δεδομένων.</w:t>
      </w:r>
    </w:p>
    <w:p w14:paraId="7C208CF4" w14:textId="044209D6" w:rsidR="009865CF" w:rsidRPr="008867A3" w:rsidRDefault="001E2549" w:rsidP="001E2549">
      <w:pPr>
        <w:pStyle w:val="ManualConsidrant"/>
        <w:rPr>
          <w:noProof/>
        </w:rPr>
      </w:pPr>
      <w:r w:rsidRPr="001E2549">
        <w:t>(9)</w:t>
      </w:r>
      <w:r w:rsidRPr="001E2549">
        <w:tab/>
      </w:r>
      <w:r w:rsidR="009865CF" w:rsidRPr="008867A3">
        <w:rPr>
          <w:noProof/>
        </w:rPr>
        <w:t>Για τον έγκαιρο εντοπισμό αναντιστοιχιών και, συνεπώς, για τη βελτίωση της ικανότητας καταπολέμησης της απάτης στον τομέα του ΦΠΑ, το κεντρικό VIES θα πρέπει να έχει τη δυνατότητα να διασταυρώνει αυτομάτως τις πληροφορίες που συλλέγονται, τόσο από τον προμηθευτή αγαθών ή τον πάροχο υπηρεσιών όσο και από τον αποκτώντα, μέσω της απαίτησης ψηφιακής υποβολής στοιχείων που θεσπίζεται με την οδηγία (ΕΕ) XX/XXX [Υπηρεσία Εκδόσεων: να προστεθεί ο αριθμός και το έτος της οδηγίας του Συμβουλίου για την τροποποίηση της οδηγίας 2006/112/ΕΚ όσον αφορά τους κανόνες ΦΠΑ για την ψηφιακή εποχή, με την ίδια ημερομηνία έκδοσης με τον παρόντα κανονισμό</w:t>
      </w:r>
      <w:r w:rsidR="009865CF" w:rsidRPr="008867A3">
        <w:rPr>
          <w:rStyle w:val="FootnoteReference"/>
          <w:noProof/>
        </w:rPr>
        <w:footnoteReference w:id="18"/>
      </w:r>
      <w:r w:rsidR="009865CF" w:rsidRPr="008867A3">
        <w:rPr>
          <w:noProof/>
        </w:rPr>
        <w:t>]. Τα αποτελέσματα των εν λόγω διασταυρώσεων στοιχείων θα πρέπει να τίθενται στη διάθεση των κρατών μελών για τη δέουσα παρακολούθηση.</w:t>
      </w:r>
    </w:p>
    <w:p w14:paraId="7C208CF5" w14:textId="28168D93" w:rsidR="009865CF" w:rsidRPr="008867A3" w:rsidRDefault="001E2549" w:rsidP="001E2549">
      <w:pPr>
        <w:pStyle w:val="ManualConsidrant"/>
        <w:rPr>
          <w:noProof/>
        </w:rPr>
      </w:pPr>
      <w:r w:rsidRPr="001E2549">
        <w:t>(10)</w:t>
      </w:r>
      <w:r w:rsidRPr="001E2549">
        <w:tab/>
      </w:r>
      <w:r w:rsidR="00403571" w:rsidRPr="008867A3">
        <w:rPr>
          <w:noProof/>
        </w:rPr>
        <w:t>Επιπλέον, για να καταστεί δυνατή η διατήρηση, στο κεντρικό VIES, των δυνατοτήτων του υφιστάμενου συστήματος ανταλλαγής πληροφοριών για τον ΦΠΑ, το οποίο προβλέπεται στο άρθρο 17 παράγραφος 1 στοιχείο α) του κανονισμού (ΕΕ) αριθ. 904/2010, το κεντρικό VIES θα πρέπει επίσης να έχει τη δυνατότητα να παρουσιάζει σε συγκεντρωτική μορφή τις πληροφορίες, ώστε να παρέχεται επισκόπηση των παραδόσεων αγαθών ή των παροχών υπηρεσιών και των αποκτήσεων που υποβάλλονται από υποκείμενους στον φόρο οι οποίοι βρίσκονται σε κράτη μέλη. Για να διασφαλιστεί ότι το κεντρικό VIES επιτρέπει στα κράτη μέλη να συνεχίσουν να έχουν αμοιβαία πρόσβαση στις πληροφορίες τους, όπως είναι διαρθρωμένες σήμερα στο πλαίσιο του υφιστάμενου συστήματος ανταλλαγής πληροφοριών για τον ΦΠΑ, το κεντρικό VIES θα πρέπει να υποστηρίζει την παρουσίαση των δεδομένων σε συγκεντρωτική μορφή.</w:t>
      </w:r>
    </w:p>
    <w:p w14:paraId="7C208CF6" w14:textId="2AA8C83D" w:rsidR="00291976" w:rsidRPr="008867A3" w:rsidRDefault="001E2549" w:rsidP="001E2549">
      <w:pPr>
        <w:pStyle w:val="ManualConsidrant"/>
        <w:rPr>
          <w:noProof/>
        </w:rPr>
      </w:pPr>
      <w:r w:rsidRPr="001E2549">
        <w:t>(11)</w:t>
      </w:r>
      <w:r w:rsidRPr="001E2549">
        <w:tab/>
      </w:r>
      <w:r w:rsidR="00291976" w:rsidRPr="008867A3">
        <w:rPr>
          <w:noProof/>
        </w:rPr>
        <w:t>Για την παροχή στήριξης στις αρμόδιες αρχές των κρατών μελών όσον αφορά την ορθή βεβαίωση του ΦΠΑ, τον έλεγχο της ορθής εφαρμογής του ΦΠΑ, την καταπολέμηση της απάτης στον τομέα του ΦΠΑ και την αξιοποίηση των συνεργειών μεταξύ των διαφόρων συστημάτων πληροφοριών που περιέχουν πληροφορίες σχετικές με τον ΦΠΑ, το κεντρικό VIES θα πρέπει να επεξεργάζεται τις πληροφορίες που λαμβάνονται από τα κράτη μέλη μαζί με τυχόν πληροφορίες που συλλέγονται ή γνωστοποιούνται δυνάμει του κανονισμού (ΕΕ) αριθ. 904/2010.</w:t>
      </w:r>
    </w:p>
    <w:p w14:paraId="7C208CF7" w14:textId="5821FB0B" w:rsidR="00291976" w:rsidRPr="008867A3" w:rsidRDefault="001E2549" w:rsidP="001E2549">
      <w:pPr>
        <w:pStyle w:val="ManualConsidrant"/>
        <w:rPr>
          <w:noProof/>
        </w:rPr>
      </w:pPr>
      <w:r w:rsidRPr="001E2549">
        <w:t>(12)</w:t>
      </w:r>
      <w:r w:rsidRPr="001E2549">
        <w:tab/>
      </w:r>
      <w:r w:rsidR="00291976" w:rsidRPr="008867A3">
        <w:rPr>
          <w:noProof/>
        </w:rPr>
        <w:t>Η πρόσβαση στις πληροφορίες του κεντρικού VIES θα πρέπει να παρέχεται με βάση την ανάγκη για γνώση. Οι πληροφορίες αυτές δεν θα πρέπει να χρησιμοποιούνται για σκοπούς άλλους από τον έλεγχο της ορθής εφαρμογής του ΦΠΑ και την καταπολέμηση της απάτης στον τομέα του ΦΠΑ. Όλοι οι χρήστες θα πρέπει να δεσμεύονται από τους κανόνες εμπιστευτικότητας που προβλέπονται στον παρόντα κανονισμό.</w:t>
      </w:r>
    </w:p>
    <w:p w14:paraId="7C208CF8" w14:textId="46FC4CFA" w:rsidR="00291976" w:rsidRPr="008867A3" w:rsidRDefault="001E2549" w:rsidP="001E2549">
      <w:pPr>
        <w:pStyle w:val="ManualConsidrant"/>
        <w:rPr>
          <w:noProof/>
        </w:rPr>
      </w:pPr>
      <w:r w:rsidRPr="001E2549">
        <w:t>(13)</w:t>
      </w:r>
      <w:r w:rsidRPr="001E2549">
        <w:tab/>
      </w:r>
      <w:r w:rsidR="00291976" w:rsidRPr="008867A3">
        <w:rPr>
          <w:noProof/>
        </w:rPr>
        <w:t>Για την καταπολέμηση της απάτης στον τομέα του ΦΠΑ, οι υπάλληλοι σύνδεσμοι του Eurofisc των κρατών μελών, όπως αναφέρεται στο άρθρο 36 του κανονισμού (ΕΕ) αριθ. 904/2010, θα πρέπει να έχουν τη δυνατότητα πρόσβασης στις πληροφορίες για τον ΦΠΑ όσον αφορά τις ενδοκοινοτικές συναλλαγές, καθώς και τη δυνατότητα ανάλυσης των πληροφοριών αυτών. Για τον έλεγχο της ορθής εφαρμογής της νομοθεσίας για τον ΦΠΑ, οι υπάλληλοι των κρατών μελών που ελέγχουν αν εφαρμόζεται η απαλλαγή από τον ΦΠΑ για ορισμένα εισαγόμενα αγαθά, η οποία προβλέπεται στο άρθρο 143 παράγραφος 1 στοιχείο δ) της οδηγίας 2006/112/ΕΚ, θα πρέπει επίσης να έχουν τη δυνατότητα πρόσβασης στα στοιχεία εγγραφής σε μητρώο ΦΠΑ που είναι αποθηκευμένα στο κεντρικό VIES. Επιπλέον, για τους ίδιους λόγους, οι αρμόδιες αρχές των κρατών μελών θα πρέπει να επιλέγουν άλλους υπαλλήλους που πρέπει να έχουν άμεση πρόσβαση στο κεντρικό VIES και να τους χορηγούν την εν λόγω πρόσβαση όταν αυτό κρίνεται αναγκαίο. Τέλος, πρόσβαση στις πληροφορίες που περιέχονται στο κεντρικό VIES θα πρέπει να έχουν δεόντως διαπιστευμένα πρόσωπα της Επιτροπής, αλλά μόνο στον βαθμό που η πρόσβαση αυτή είναι αναγκαία για την ανάπτυξη και τη συντήρηση του εν λόγω συστήματος.</w:t>
      </w:r>
    </w:p>
    <w:p w14:paraId="7C208CF9" w14:textId="25A1B07C" w:rsidR="00291976" w:rsidRPr="008867A3" w:rsidRDefault="001E2549" w:rsidP="001E2549">
      <w:pPr>
        <w:pStyle w:val="ManualConsidrant"/>
        <w:rPr>
          <w:noProof/>
        </w:rPr>
      </w:pPr>
      <w:r w:rsidRPr="001E2549">
        <w:t>(14)</w:t>
      </w:r>
      <w:r w:rsidRPr="001E2549">
        <w:tab/>
      </w:r>
      <w:r w:rsidR="00291976" w:rsidRPr="008867A3">
        <w:rPr>
          <w:noProof/>
        </w:rPr>
        <w:t>Για τη διερεύνηση περιπτώσεων εικαζόμενης απάτης στον τομέα του ΦΠΑ και τον εντοπισμό περιπτώσεων απάτης αυτού του είδους, τα συστήματα πληροφοριών που υποστηρίζουν το δίκτυο Eurofisc για την καταπολέμηση της απάτης στον τομέα του ΦΠΑ, συμπεριλαμβανομένων του συστήματος Ανάλυσης Δικτύων Συναλλαγών (Transaction Network Analysis, TNA) και του κεντρικού ηλεκτρονικού συστήματος πληροφοριών για τις πληρωμές (στο εξής: CESOP), θα πρέπει να έχουν άμεση πρόσβαση στο κεντρικό VIES.</w:t>
      </w:r>
    </w:p>
    <w:p w14:paraId="7C208CFA" w14:textId="6876838D" w:rsidR="00291976" w:rsidRPr="008867A3" w:rsidRDefault="001E2549" w:rsidP="001E2549">
      <w:pPr>
        <w:pStyle w:val="ManualConsidrant"/>
        <w:rPr>
          <w:noProof/>
        </w:rPr>
      </w:pPr>
      <w:r w:rsidRPr="001E2549">
        <w:t>(15)</w:t>
      </w:r>
      <w:r w:rsidRPr="001E2549">
        <w:tab/>
      </w:r>
      <w:r w:rsidR="00291976" w:rsidRPr="008867A3">
        <w:rPr>
          <w:noProof/>
        </w:rPr>
        <w:t>Ο όγκος των δεδομένων και η συχνότητα των διαβιβάσεων δεδομένων στο κεντρικό VIES καθιστούν αναγκαία την αυτοματοποίηση των ροών πληροφοριών από το κεντρικό VIES προς τα εθνικά συστήματα. Στο πλαίσιο της αυτοματοποίησης αυτής θα πρέπει επίσης να προβλεφθεί η χρήση ενός αποτελεσματικού και ασφαλούς διαύλου επικοινωνίας μηχανής προς μηχανή και να διασφαλιστεί ότι δεν υπάρχει πλέον ανάγκη ανθρώπινης παρέμβασης κατά την πρόσβαση σε ανταλλασσόμενα δεδομένα. Επομένως, τα εθνικά ηλεκτρονικά συστήματα τα οποία διαβιβάζουν πληροφορίες στο κεντρικό VIES θα πρέπει επίσης να έχουν πρόσβαση στις πληροφορίες που είναι αποθηκευμένες στο εν λόγω σύστημα, συμπεριλαμβανομένων των επεξεργασμένων και συγκεντρωτικών πληροφοριών, για σκοπούς ελέγχου του ΦΠΑ και για την καταπολέμηση της απάτης στον τομέα του ΦΠΑ.</w:t>
      </w:r>
    </w:p>
    <w:p w14:paraId="7C208CFB" w14:textId="35F739F0" w:rsidR="00291976" w:rsidRPr="008867A3" w:rsidRDefault="001E2549" w:rsidP="001E2549">
      <w:pPr>
        <w:pStyle w:val="ManualConsidrant"/>
        <w:rPr>
          <w:noProof/>
        </w:rPr>
      </w:pPr>
      <w:r w:rsidRPr="001E2549">
        <w:t>(16)</w:t>
      </w:r>
      <w:r w:rsidRPr="001E2549">
        <w:tab/>
      </w:r>
      <w:r w:rsidR="00291976" w:rsidRPr="008867A3">
        <w:rPr>
          <w:noProof/>
        </w:rPr>
        <w:t>Για την εξασφάλιση ενιαίων προϋποθέσεων όσον αφορά την εφαρμογή του κανονισμού (ΕΕ) αριθ. 904/2010, θα πρέπει να ανατεθούν στην Επιτροπή εκτελεστικές αρμοδιότητες ως προς τα καθήκοντα που πρέπει να εκτελεί η Επιτροπή για την τεχνική διαχείριση του κεντρικού VIES, τις τεχνικές λεπτομέρειες σχετικά με την ταυτοποίηση και την πρόσβαση των υπαλλήλων και των ηλεκτρονικών συστημάτων στο κεντρικό VIES, τις τεχνικές λεπτομέρειες και τον μορφότυπο των πληροφοριών που διαβιβάζονται στο κεντρικό VIES, καθώς και ως προς τους ρόλους και τις αρμοδιότητες των κρατών μελών και της Επιτροπής όταν ενεργούν υπό την ιδιότητα του υπευθύνου επεξεργασίας και του εκτελούντος την επεξεργασία, βάσει των κανονισμών (ΕΕ) 2016/679</w:t>
      </w:r>
      <w:r w:rsidR="00291976" w:rsidRPr="008867A3">
        <w:rPr>
          <w:rStyle w:val="FootnoteReference"/>
          <w:noProof/>
        </w:rPr>
        <w:footnoteReference w:id="19"/>
      </w:r>
      <w:r w:rsidR="00291976" w:rsidRPr="008867A3">
        <w:rPr>
          <w:noProof/>
        </w:rPr>
        <w:t xml:space="preserve"> και (ΕΕ) 2018/1725</w:t>
      </w:r>
      <w:r w:rsidR="00291976" w:rsidRPr="008867A3">
        <w:rPr>
          <w:rStyle w:val="FootnoteReference"/>
          <w:noProof/>
        </w:rPr>
        <w:footnoteReference w:id="20"/>
      </w:r>
      <w:r w:rsidR="00291976" w:rsidRPr="008867A3">
        <w:rPr>
          <w:noProof/>
        </w:rPr>
        <w:t xml:space="preserve"> του Ευρωπαϊκού Κοινοβουλίου και του Συμβουλίου. Οι εν λόγω αρμοδιότητες θα πρέπει να ασκούνται σύμφωνα με τον κανονισμό (ΕΕ) αριθ. 182/2011 του Ευρωπαϊκού Κοινοβουλίου και του Συμβουλίου</w:t>
      </w:r>
      <w:r w:rsidR="00291976" w:rsidRPr="008867A3">
        <w:rPr>
          <w:rStyle w:val="FootnoteReference"/>
          <w:noProof/>
        </w:rPr>
        <w:footnoteReference w:id="21"/>
      </w:r>
      <w:r w:rsidR="00291976" w:rsidRPr="008867A3">
        <w:rPr>
          <w:noProof/>
        </w:rPr>
        <w:t>.</w:t>
      </w:r>
    </w:p>
    <w:p w14:paraId="7C208CFC" w14:textId="18B013E0" w:rsidR="00B165F8" w:rsidRPr="008867A3" w:rsidRDefault="001E2549" w:rsidP="001E2549">
      <w:pPr>
        <w:pStyle w:val="ManualConsidrant"/>
        <w:rPr>
          <w:noProof/>
        </w:rPr>
      </w:pPr>
      <w:r w:rsidRPr="001E2549">
        <w:t>(17)</w:t>
      </w:r>
      <w:r w:rsidRPr="001E2549">
        <w:tab/>
      </w:r>
      <w:r w:rsidR="00B165F8" w:rsidRPr="008867A3">
        <w:rPr>
          <w:noProof/>
        </w:rPr>
        <w:t>Η απάτη στον τομέα του ΦΠΑ αποτελεί κοινό πρόβλημα για όλα τα κράτη μέλη. Τα κράτη μέλη από μόνα τους δεν διαθέτουν τις πληροφορίες που είναι αναγκαίες για τη διασφάλιση της ορθής εφαρμογής των κανόνων ΦΠΑ και για την καταπολέμηση της απάτης στον τομέα του ΦΠΑ. Δεδομένου ότι ο στόχος του κανονισμού (ΕΕ) αριθ. 904/2010, δηλαδή η καταπολέμηση της απάτης στον τομέα του ΦΠΑ, δεν μπορεί να επιτευχθεί επαρκώς από τα κράτη μέλη λόγω του διασυνοριακού χαρακτήρα της εσωτερικής αγοράς, αλλά μπορεί να επιτευχθεί καλύτερα σε ενωσιακό επίπεδο, η Ένωση μπορεί να θεσπίσει μέτρα, σύμφωνα με την αρχή της επικουρικότητας, όπως ορίζεται στο άρθρο 5 της Συνθήκης για την Ευρωπαϊκή Ένωση. Σύμφωνα με την αρχή της αναλογικότητας, που διατυπώνεται στο ίδιο άρθρο, ο παρών κανονισμός δεν υπερβαίνει τα αναγκαία για την επίτευξη αυτού του στόχου.</w:t>
      </w:r>
    </w:p>
    <w:p w14:paraId="7C208CFD" w14:textId="0AFFF6EA" w:rsidR="00B165F8" w:rsidRPr="008867A3" w:rsidRDefault="001E2549" w:rsidP="001E2549">
      <w:pPr>
        <w:pStyle w:val="ManualConsidrant"/>
        <w:rPr>
          <w:noProof/>
        </w:rPr>
      </w:pPr>
      <w:r w:rsidRPr="001E2549">
        <w:t>(18)</w:t>
      </w:r>
      <w:r w:rsidRPr="001E2549">
        <w:tab/>
      </w:r>
      <w:r w:rsidR="00B165F8" w:rsidRPr="008867A3">
        <w:rPr>
          <w:noProof/>
        </w:rPr>
        <w:t>Όσον αφορά τους υποκείμενους στον φόρο οι οποίοι διευκολύνουν παραδόσεις αγαθών ή παροχές υπηρεσιών μέσω της χρήσης ηλεκτρονικής διεπαφής, μπορεί να τους ζητούνται οι καταχωρίσεις από τα κράτη μέλη σε περίπτωση που οι εν λόγω παραδόσεις αγαθών ή παροχές υπηρεσιών είναι φορολογητέες σύμφωνα με τα οριζόμενα στο άρθρο 242α της οδηγίας 2006/112/ΕΚ. Για τη μείωση της διοικητικής επιβάρυνσης και του κόστους συμμόρφωσης για τους εν λόγω υποκείμενους στον φόρο, καθώς και για την αποφυγή της επανάληψης των ίδιων εργασιών, οι εν λόγω αιτήσεις θα πρέπει να συντονίζονται όσο το δυνατόν περισσότερο από το κράτος μέλος εγγραφής. Για τον σκοπό αυτόν, είναι αναγκαίο να θεσπιστεί τυποποιημένο έντυπο για την ηλεκτρονική διαβίβαση των εν λόγω πληροφοριών στα κράτη μέλη.</w:t>
      </w:r>
    </w:p>
    <w:p w14:paraId="7C208CFE" w14:textId="167E6BF3" w:rsidR="00B165F8" w:rsidRPr="008867A3" w:rsidRDefault="001E2549" w:rsidP="001E2549">
      <w:pPr>
        <w:pStyle w:val="ManualConsidrant"/>
        <w:rPr>
          <w:noProof/>
        </w:rPr>
      </w:pPr>
      <w:r w:rsidRPr="001E2549">
        <w:t>(19)</w:t>
      </w:r>
      <w:r w:rsidRPr="001E2549">
        <w:tab/>
      </w:r>
      <w:r w:rsidR="00DC6162" w:rsidRPr="008867A3">
        <w:rPr>
          <w:noProof/>
        </w:rPr>
        <w:t>Πρέπει να εισαχθεί στην οδηγία 2006/112/ΕΚ ένα νέο καθεστώς απλούστευσης της μονοαπευθυντικής θυρίδας (στο εξής: OSS) για τους υποκείμενους στον φόρο οι οποίοι μεταφέρουν ορισμένα ίδια αγαθά σε διασυνοριακό επίπεδο. Κρίνεται, συνεπώς, αναγκαία η ενσωμάτωση του εν λόγω νέου καθεστώτος στο συνολικό πλαίσιο των ειδικών καθεστώτων της OSS για τον ΦΠΑ που προβλέπεται στο κεφάλαιο XI τμήμα 3 του κανονισμού (ΕΕ) αριθ. 904/2010. Ειδικότερα, θα πρέπει να περιλαμβάνεται η παροχή πληροφοριών μεταξύ του κράτους μέλους από και προς το οποίο μεταφέρονται τα αγαθά.</w:t>
      </w:r>
    </w:p>
    <w:p w14:paraId="7C208CFF" w14:textId="78775ED8" w:rsidR="00B165F8" w:rsidRPr="008867A3" w:rsidRDefault="001E2549" w:rsidP="001E2549">
      <w:pPr>
        <w:pStyle w:val="ManualConsidrant"/>
        <w:rPr>
          <w:noProof/>
        </w:rPr>
      </w:pPr>
      <w:r w:rsidRPr="001E2549">
        <w:t>(20)</w:t>
      </w:r>
      <w:r w:rsidRPr="001E2549">
        <w:tab/>
      </w:r>
      <w:r w:rsidR="00B165F8" w:rsidRPr="008867A3">
        <w:rPr>
          <w:noProof/>
        </w:rPr>
        <w:t>Δεδομένου ότι το νέο καθεστώς της OSS είναι ολοκληρωμένο και συμπεριλαμβάνει τις διασυνοριακές διακινήσεις αγαθών που διέπονται επί του παρόντος από τις ρυθμίσεις για τα αποθέματα στη διάθεση συγκεκριμένου αποκτώντος σύμφωνα με το άρθρο 17α της οδηγίας 2006/112/ΕΚ, οι εν λόγω ρυθμίσεις έχουν διαγραφεί από την οδηγία 2006/112/ΕΚ. Είναι αναγκαίο η εν λόγω τροποποίηση της οδηγίας 2006/112/ΕΚ να αποτυπώνεται στο άρθρο 21 του κανονισμού (ΕΕ) αριθ. 904/2010.</w:t>
      </w:r>
    </w:p>
    <w:p w14:paraId="7C208D00" w14:textId="0D51069D" w:rsidR="00B165F8" w:rsidRPr="008867A3" w:rsidRDefault="001E2549" w:rsidP="001E2549">
      <w:pPr>
        <w:pStyle w:val="ManualConsidrant"/>
        <w:rPr>
          <w:noProof/>
        </w:rPr>
      </w:pPr>
      <w:r w:rsidRPr="001E2549">
        <w:t>(21)</w:t>
      </w:r>
      <w:r w:rsidRPr="001E2549">
        <w:tab/>
      </w:r>
      <w:r w:rsidR="00B165F8" w:rsidRPr="008867A3">
        <w:rPr>
          <w:noProof/>
        </w:rPr>
        <w:t>Τα ενδιαφερόμενα μέρη έχουν αναγνωρίσει ως δυνητικό κίνδυνο την κατάχρηση των αριθμών φορολογικού μητρώου ΦΠΑ της μονοαπευθυντικής θυρίδας εισαγωγών (στο εξής: IOSS). Για την καλύτερη διασφάλιση της ορθής χρήσης και της διαδικασίας επαλήθευσης των αριθμών φορολογικού μητρώου ΦΠΑ IOSS, κρίνεται αναγκαία η επέκταση του άρθρου 47η του κανονισμού (ΕΕ) αριθ. 904/2010, βάσει του οποίου χορηγείται στις τελωνειακές αρχές πρόσβαση στις πληροφορίες σχετικά με τον εγγεγραμμένο έμπορο μέσω της IOSS, η οποία θα βελτιώσει τις ικανότητες διαχείρισης κινδύνου και ελέγχου των εν λόγω τελωνειακών αρχών.</w:t>
      </w:r>
    </w:p>
    <w:p w14:paraId="7C208D01" w14:textId="2EC316DE" w:rsidR="0021712B" w:rsidRPr="008867A3" w:rsidRDefault="001E2549" w:rsidP="001E2549">
      <w:pPr>
        <w:pStyle w:val="ManualConsidrant"/>
        <w:rPr>
          <w:noProof/>
        </w:rPr>
      </w:pPr>
      <w:r w:rsidRPr="001E2549">
        <w:t>(22)</w:t>
      </w:r>
      <w:r w:rsidRPr="001E2549">
        <w:tab/>
      </w:r>
      <w:r w:rsidR="0021712B" w:rsidRPr="008867A3">
        <w:rPr>
          <w:noProof/>
        </w:rPr>
        <w:t>Για την ενίσχυση των ελέγχων σε σχέση με το καθεστώς της IOSS, στο άρθρο 17 παράγραφος 1 στοιχείο ε) του κανονισμού (ΕΕ) αριθ. 904/2010 είναι αναγκαίο να προστεθεί η συνολική αξία των αγαθών που εισάγονται στο πλαίσιο του καθεστώτος IOSS ανά αριθμό μητρώου IOSS ανά κράτος μέλος κατανάλωσης.</w:t>
      </w:r>
    </w:p>
    <w:p w14:paraId="7C208D02" w14:textId="754337DD" w:rsidR="0021712B" w:rsidRPr="008867A3" w:rsidRDefault="001E2549" w:rsidP="001E2549">
      <w:pPr>
        <w:pStyle w:val="ManualConsidrant"/>
        <w:rPr>
          <w:noProof/>
        </w:rPr>
      </w:pPr>
      <w:r w:rsidRPr="001E2549">
        <w:t>(23)</w:t>
      </w:r>
      <w:r w:rsidRPr="001E2549">
        <w:tab/>
      </w:r>
      <w:r w:rsidR="0021712B" w:rsidRPr="008867A3">
        <w:rPr>
          <w:noProof/>
        </w:rPr>
        <w:t>Οι τεχνικές λεπτομέρειες, περιλαμβανομένων κοινών ηλεκτρονικών μηνυμάτων για την υποβολή καταχωρίσεων από τους υποκείμενους στον φόρο οι οποίοι διευκολύνουν παραδόσεις αγαθών ή παροχές υπηρεσιών μέσω της χρήσης ηλεκτρονικής διεπαφής, σύμφωνα με τα οριζόμενα στο άρθρο 242α της οδηγίας 2006/112/ΕΚ, θα πρέπει να θεσπιστούν σύμφωνα με τη διαδικασία επιτροπολογίας που προβλέπεται στον παρόντα κανονισμό.</w:t>
      </w:r>
    </w:p>
    <w:p w14:paraId="7C208D03" w14:textId="587AACC7" w:rsidR="0021712B" w:rsidRPr="008867A3" w:rsidRDefault="001E2549" w:rsidP="001E2549">
      <w:pPr>
        <w:pStyle w:val="ManualConsidrant"/>
        <w:rPr>
          <w:noProof/>
        </w:rPr>
      </w:pPr>
      <w:r w:rsidRPr="001E2549">
        <w:t>(24)</w:t>
      </w:r>
      <w:r w:rsidRPr="001E2549">
        <w:tab/>
      </w:r>
      <w:r w:rsidR="0021712B" w:rsidRPr="008867A3">
        <w:rPr>
          <w:noProof/>
        </w:rPr>
        <w:t>Ο παρών κανονισμός σέβεται τα θεμελιώδη δικαιώματα και τηρεί τις αρχές που αναγνωρίζονται στο Χάρτη των Θεμελιωδών Δικαιωμάτων της Ευρωπαϊκής Ένωσης. Ειδικότερα, ο παρών κανονισμός επιδιώκει να εξασφαλίσει τον πλήρη σεβασμό του δικαιώματος προστασίας των δεδομένων προσωπικού χαρακτήρα, το οποίο καθορίζεται στο άρθρο 8 του Χάρτη. Ως προς το ζήτημα αυτό, ο παρών κανονισμός περιορίζει αυστηρά τον όγκο δεδομένων προσωπικού χαρακτήρα που θα τίθενται στη διάθεση των φορολογικών αρχών. Η επεξεργασία πληροφοριών σχετικά με ενδοκοινοτικές συναλλαγές βάσει του παρόντος κανονισμού θα πρέπει να πραγματοποιείται μόνο για τους σκοπούς του παρόντος κανονισμού.</w:t>
      </w:r>
    </w:p>
    <w:p w14:paraId="7C208D04" w14:textId="7C3D588A" w:rsidR="0021712B" w:rsidRPr="008867A3" w:rsidRDefault="001E2549" w:rsidP="001E2549">
      <w:pPr>
        <w:pStyle w:val="ManualConsidrant"/>
        <w:rPr>
          <w:noProof/>
        </w:rPr>
      </w:pPr>
      <w:r w:rsidRPr="001E2549">
        <w:t>(25)</w:t>
      </w:r>
      <w:r w:rsidRPr="001E2549">
        <w:tab/>
      </w:r>
      <w:r w:rsidR="0021712B" w:rsidRPr="008867A3">
        <w:rPr>
          <w:noProof/>
        </w:rPr>
        <w:t>Ζητήθηκε, σύμφωνα με το άρθρο 42 παράγραφος 1 του κανονισμού (ΕΕ) 2018/1725, η γνώμη του Ευρωπαίου Επόπτη Προστασίας Δεδομένων, ο οποίος γνωμοδότησε στις [...].</w:t>
      </w:r>
    </w:p>
    <w:p w14:paraId="7C208D05" w14:textId="61F12C4C" w:rsidR="0021712B" w:rsidRPr="008867A3" w:rsidRDefault="001E2549" w:rsidP="001E2549">
      <w:pPr>
        <w:pStyle w:val="ManualConsidrant"/>
        <w:rPr>
          <w:noProof/>
        </w:rPr>
      </w:pPr>
      <w:r w:rsidRPr="001E2549">
        <w:t>(26)</w:t>
      </w:r>
      <w:r w:rsidRPr="001E2549">
        <w:tab/>
      </w:r>
      <w:r w:rsidR="0021712B" w:rsidRPr="008867A3">
        <w:rPr>
          <w:noProof/>
        </w:rPr>
        <w:t>Δεδομένου ότι για την υλοποίηση του κεντρικού συστήματος VIES θα απαιτηθεί η ανάπτυξη νέων τεχνολογιών, είναι αναγκαίο να αναβληθεί η εφαρμογή των διατάξεων που αφορούν το κεντρικό σύστημα VIES, ώστε να μπορέσουν τα κράτη μέλη και η Επιτροπή να αναπτύξουν τις εν λόγω τεχνολογίες.</w:t>
      </w:r>
    </w:p>
    <w:p w14:paraId="7C208D06" w14:textId="55601421" w:rsidR="0021712B" w:rsidRPr="008867A3" w:rsidRDefault="001E2549" w:rsidP="001E2549">
      <w:pPr>
        <w:pStyle w:val="ManualConsidrant"/>
        <w:rPr>
          <w:noProof/>
        </w:rPr>
      </w:pPr>
      <w:r w:rsidRPr="001E2549">
        <w:t>(27)</w:t>
      </w:r>
      <w:r w:rsidRPr="001E2549">
        <w:tab/>
      </w:r>
      <w:r w:rsidR="0021712B" w:rsidRPr="008867A3">
        <w:rPr>
          <w:noProof/>
        </w:rPr>
        <w:t>Η αυτοματοποιημένη πρόσβαση σε πληροφορίες σχετικά με τις ενδοκοινοτικές συναλλαγές οι οποίες έχουν υποβληθεί μέσω ανακεφαλαιωτικών πινάκων επηρεάζει άμεσα την αποτελεσματικότητα των ελέγχων ΦΠΑ. Για τον λόγο αυτό, το υφιστάμενο σύστημα ανταλλαγής πληροφοριών για τον ΦΠΑ, το οποίο προβλέπεται στο άρθρο 17 παράγραφος 1 στοιχείο α) του κανονισμού (ΕΕ) αριθ. 904/2010, θα πρέπει να διατηρηθεί για ορισμένο χρονικό διάστημα μετά την κατάργηση των εν λόγω ανακεφαλαιωτικών πινάκων. Μετά την παρέλευση της περιόδου αυτής, οι σχετικές διατάξεις του υφιστάμενου συστήματος ανταλλαγής πληροφοριών για τον ΦΠΑ θα πρέπει να διαγραφούν και οι πληροφορίες που υποβάλλονται μέσω των ανακεφαλαιωτικών πινάκων θα πρέπει να εξακολουθούν να είναι προσβάσιμες κατόπιν αιτήματος.</w:t>
      </w:r>
    </w:p>
    <w:p w14:paraId="7C208D07" w14:textId="0F1FE34F" w:rsidR="0021712B" w:rsidRPr="008867A3" w:rsidRDefault="001E2549" w:rsidP="001E2549">
      <w:pPr>
        <w:pStyle w:val="ManualConsidrant"/>
        <w:rPr>
          <w:noProof/>
        </w:rPr>
      </w:pPr>
      <w:r w:rsidRPr="001E2549">
        <w:t>(28)</w:t>
      </w:r>
      <w:r w:rsidRPr="001E2549">
        <w:tab/>
      </w:r>
      <w:r w:rsidR="0021712B" w:rsidRPr="008867A3">
        <w:rPr>
          <w:noProof/>
        </w:rPr>
        <w:t>Επομένως, ο κανονισμός (ΕΕ) αριθ. 904/2010 θα πρέπει να τροποποιηθεί αναλόγως,</w:t>
      </w:r>
    </w:p>
    <w:p w14:paraId="7C208D08" w14:textId="77777777" w:rsidR="0095756A" w:rsidRPr="008867A3" w:rsidRDefault="0095756A" w:rsidP="008B545C">
      <w:pPr>
        <w:pStyle w:val="Formuledadoption"/>
        <w:rPr>
          <w:noProof/>
        </w:rPr>
      </w:pPr>
      <w:r w:rsidRPr="008867A3">
        <w:rPr>
          <w:noProof/>
        </w:rPr>
        <w:t>ΕΞΕΔΩΣΕ ΤΟΝ ΠΑΡΟΝΤΑ ΚΑΝΟΝΙΣΜΟ:</w:t>
      </w:r>
    </w:p>
    <w:p w14:paraId="7C208D09" w14:textId="77777777" w:rsidR="0095756A" w:rsidRPr="008867A3" w:rsidRDefault="0095756A" w:rsidP="008B545C">
      <w:pPr>
        <w:pStyle w:val="Titrearticle"/>
        <w:rPr>
          <w:noProof/>
        </w:rPr>
      </w:pPr>
      <w:r w:rsidRPr="008867A3">
        <w:rPr>
          <w:noProof/>
        </w:rPr>
        <w:t>Άρθρο 1</w:t>
      </w:r>
    </w:p>
    <w:p w14:paraId="7C208D0A" w14:textId="71DED4B9" w:rsidR="0095756A" w:rsidRPr="008867A3" w:rsidRDefault="00E75E3D" w:rsidP="00A46642">
      <w:pPr>
        <w:pStyle w:val="NormalCentered"/>
        <w:rPr>
          <w:b/>
          <w:noProof/>
        </w:rPr>
      </w:pPr>
      <w:r w:rsidRPr="008867A3">
        <w:rPr>
          <w:b/>
          <w:noProof/>
        </w:rPr>
        <w:t xml:space="preserve">Τροποποιήσεις του κανονισμού (ΕΕ) αριθ. 904/2010 εφαρμοστέες από την 1η Ιανουαρίου 2025 </w:t>
      </w:r>
    </w:p>
    <w:p w14:paraId="25A06BF1" w14:textId="68729EEF" w:rsidR="00A46642" w:rsidRPr="008867A3" w:rsidRDefault="00A46642" w:rsidP="00A46642">
      <w:pPr>
        <w:rPr>
          <w:noProof/>
        </w:rPr>
      </w:pPr>
      <w:r w:rsidRPr="008867A3">
        <w:rPr>
          <w:noProof/>
        </w:rPr>
        <w:t>Ο κανονισμός (ΕΕ) αριθ. 904/2010 τροποποιείται ως εξής:</w:t>
      </w:r>
    </w:p>
    <w:p w14:paraId="7C208D0C" w14:textId="60DD2A22" w:rsidR="003A086B" w:rsidRPr="008867A3" w:rsidRDefault="005F3296" w:rsidP="005F3296">
      <w:pPr>
        <w:pStyle w:val="Point0"/>
        <w:rPr>
          <w:noProof/>
        </w:rPr>
      </w:pPr>
      <w:r w:rsidRPr="008867A3">
        <w:rPr>
          <w:noProof/>
        </w:rPr>
        <w:t>1)</w:t>
      </w:r>
      <w:r w:rsidRPr="008867A3">
        <w:rPr>
          <w:noProof/>
        </w:rPr>
        <w:tab/>
      </w:r>
      <w:r w:rsidR="0023271E" w:rsidRPr="008867A3">
        <w:rPr>
          <w:noProof/>
        </w:rPr>
        <w:t>στο άρθρο 1, η παράγραφος 4 αντικαθίσταται από το ακόλουθο κείμενο:</w:t>
      </w:r>
    </w:p>
    <w:p w14:paraId="7C208D0D" w14:textId="5F305593" w:rsidR="003A086B" w:rsidRPr="008867A3" w:rsidRDefault="003A086B" w:rsidP="0023271E">
      <w:pPr>
        <w:pStyle w:val="Text1"/>
        <w:rPr>
          <w:noProof/>
        </w:rPr>
      </w:pPr>
      <w:r w:rsidRPr="008867A3">
        <w:rPr>
          <w:noProof/>
        </w:rPr>
        <w:t>«4.</w:t>
      </w:r>
      <w:r w:rsidRPr="008867A3">
        <w:rPr>
          <w:noProof/>
        </w:rPr>
        <w:tab/>
        <w:t>Στον παρόντα κανονισμό προβλέπονται επίσης κανόνες και διαδικασίες για την ανταλλαγή με ηλεκτρονικά μέσα πληροφοριών για τον ΦΠΑ σχετικά με αγαθά που παραδίδονται και υπηρεσίες που παρέχονται ή αγαθά που μεταφέρονται σύμφωνα με τα ειδικά καθεστώτα που προβλέπονται στον τίτλο XII κεφάλαιο 6 της οδηγίας 2006/112/ΕΚ, καθώς και για κάθε επακόλουθη ανταλλαγή πληροφοριών και, όσον αφορά τα αγαθά και τις υπηρεσίες που καλύπτονται από τα εν λόγω ειδικά καθεστώτα, για τη μεταφορά χρημάτων μεταξύ των αρμόδιων αρχών των κρατών μελών.»·</w:t>
      </w:r>
    </w:p>
    <w:p w14:paraId="5C4FC623" w14:textId="6B838AFE" w:rsidR="00DA7B12" w:rsidRPr="008867A3" w:rsidRDefault="005F3296" w:rsidP="005F3296">
      <w:pPr>
        <w:pStyle w:val="Point0"/>
        <w:rPr>
          <w:noProof/>
        </w:rPr>
      </w:pPr>
      <w:r w:rsidRPr="008867A3">
        <w:rPr>
          <w:noProof/>
        </w:rPr>
        <w:t>2)</w:t>
      </w:r>
      <w:r w:rsidRPr="008867A3">
        <w:rPr>
          <w:noProof/>
        </w:rPr>
        <w:tab/>
      </w:r>
      <w:r w:rsidR="00DA7B12" w:rsidRPr="008867A3">
        <w:rPr>
          <w:noProof/>
        </w:rPr>
        <w:t>στο άρθρο 2, η παράγραφος 2 αντικαθίσταται από το ακόλουθο κείμενο:</w:t>
      </w:r>
    </w:p>
    <w:p w14:paraId="47B5A380" w14:textId="77777777" w:rsidR="00DA7B12" w:rsidRPr="008867A3" w:rsidRDefault="00DA7B12" w:rsidP="00F41C4E">
      <w:pPr>
        <w:pStyle w:val="Text1"/>
        <w:rPr>
          <w:noProof/>
        </w:rPr>
      </w:pPr>
      <w:r w:rsidRPr="008867A3">
        <w:rPr>
          <w:noProof/>
        </w:rPr>
        <w:t>«2.</w:t>
      </w:r>
      <w:r w:rsidRPr="008867A3">
        <w:rPr>
          <w:noProof/>
        </w:rPr>
        <w:tab/>
        <w:t>Οι ορισμοί που περιλαμβάνονται στα άρθρα 358, 358α, 369α, 369ιβ και 369κδα της οδηγίας 2006/112/ΕΚ για τους σκοπούς καθενός ειδικού καθεστώτος ισχύουν επίσης για τους σκοπούς του παρόντος κανονισμού.»·</w:t>
      </w:r>
    </w:p>
    <w:p w14:paraId="37F6E276" w14:textId="24F79A43" w:rsidR="00DA7B12" w:rsidRPr="008867A3" w:rsidRDefault="005F3296" w:rsidP="005F3296">
      <w:pPr>
        <w:pStyle w:val="Point0"/>
        <w:rPr>
          <w:noProof/>
        </w:rPr>
      </w:pPr>
      <w:r w:rsidRPr="008867A3">
        <w:rPr>
          <w:noProof/>
        </w:rPr>
        <w:t>3)</w:t>
      </w:r>
      <w:r w:rsidRPr="008867A3">
        <w:rPr>
          <w:noProof/>
        </w:rPr>
        <w:tab/>
      </w:r>
      <w:r w:rsidR="00AC1451" w:rsidRPr="008867A3">
        <w:rPr>
          <w:noProof/>
        </w:rPr>
        <w:t>στο άρθρο 17 παράγραφος 1, τα στοιχεία δ) και ε) αντικαθίστανται από το ακόλουθο κείμενο:</w:t>
      </w:r>
    </w:p>
    <w:p w14:paraId="155A9286" w14:textId="77777777" w:rsidR="00DA7B12" w:rsidRPr="008867A3" w:rsidRDefault="00DA7B12" w:rsidP="00DA7B12">
      <w:pPr>
        <w:pStyle w:val="Point2"/>
        <w:rPr>
          <w:noProof/>
        </w:rPr>
      </w:pPr>
      <w:r w:rsidRPr="008867A3">
        <w:rPr>
          <w:noProof/>
        </w:rPr>
        <w:t xml:space="preserve">«δ) </w:t>
      </w:r>
      <w:r w:rsidRPr="008867A3">
        <w:rPr>
          <w:noProof/>
        </w:rPr>
        <w:tab/>
        <w:t>τις πληροφορίες τις οποίες συλλέγει δυνάμει των άρθρων 360, 361, 364, 365, 369γ, 369στ, 369ζ, 369ιε, 369ιστ, 369ιθ, 369κ, 369κδγ, 369κδστ και 369κδζ της οδηγίας 2006/112/ΕΚ·</w:t>
      </w:r>
    </w:p>
    <w:p w14:paraId="4EB3E75C" w14:textId="77777777" w:rsidR="00DA7B12" w:rsidRPr="008867A3" w:rsidRDefault="00DA7B12" w:rsidP="00DA7B12">
      <w:pPr>
        <w:pStyle w:val="Point2"/>
        <w:rPr>
          <w:noProof/>
        </w:rPr>
      </w:pPr>
      <w:r w:rsidRPr="008867A3">
        <w:rPr>
          <w:noProof/>
        </w:rPr>
        <w:t xml:space="preserve">ε) </w:t>
      </w:r>
      <w:r w:rsidRPr="008867A3">
        <w:rPr>
          <w:noProof/>
        </w:rPr>
        <w:tab/>
        <w:t>τα δεδομένα σχετικά με τους αριθμούς φορολογικού μητρώου ΦΠΑ που αναφέρονται στο άρθρο 369ιζ της οδηγίας 2006/112/ΕΚ και τους οποίους έχει χορηγήσει και, ανά αριθμό φορολογικού μητρώου ΦΠΑ που έχει χορηγηθεί από οποιοδήποτε κράτος μέλος, τη συνολική αξία των εισαγωγών αγαθών που απαλλάσσονται δυνάμει του άρθρου 143 παράγραφος 1 στοιχείο γα) κατά τη διάρκεια κάθε μηνός, ανά κράτος μέλος κατανάλωσης, όπως ορίζεται στο άρθρο 369ιβ σημείο 4 της εν λόγω οδηγίας.»·</w:t>
      </w:r>
    </w:p>
    <w:p w14:paraId="24633D95" w14:textId="493D3523" w:rsidR="00F41C4E" w:rsidRPr="008867A3" w:rsidRDefault="005F3296" w:rsidP="005F3296">
      <w:pPr>
        <w:pStyle w:val="Point0"/>
        <w:rPr>
          <w:noProof/>
        </w:rPr>
      </w:pPr>
      <w:r w:rsidRPr="008867A3">
        <w:rPr>
          <w:noProof/>
        </w:rPr>
        <w:t>4)</w:t>
      </w:r>
      <w:r w:rsidRPr="008867A3">
        <w:rPr>
          <w:noProof/>
        </w:rPr>
        <w:tab/>
      </w:r>
      <w:r w:rsidR="00F41C4E" w:rsidRPr="008867A3">
        <w:rPr>
          <w:noProof/>
        </w:rPr>
        <w:t>το άρθρο 47β αντικαθίσταται από το ακόλουθο κείμενο:</w:t>
      </w:r>
    </w:p>
    <w:p w14:paraId="0E3E4E94" w14:textId="77777777" w:rsidR="00F41C4E" w:rsidRPr="008867A3" w:rsidRDefault="00F41C4E" w:rsidP="00F41C4E">
      <w:pPr>
        <w:pStyle w:val="Titrearticle"/>
        <w:rPr>
          <w:noProof/>
        </w:rPr>
      </w:pPr>
      <w:r w:rsidRPr="008867A3">
        <w:rPr>
          <w:noProof/>
        </w:rPr>
        <w:t>«Άρθρο 47β</w:t>
      </w:r>
    </w:p>
    <w:p w14:paraId="07594841" w14:textId="77777777" w:rsidR="00F41C4E" w:rsidRPr="008867A3" w:rsidRDefault="00F41C4E" w:rsidP="00F41C4E">
      <w:pPr>
        <w:pStyle w:val="Text1"/>
        <w:rPr>
          <w:noProof/>
        </w:rPr>
      </w:pPr>
      <w:r w:rsidRPr="008867A3">
        <w:rPr>
          <w:noProof/>
        </w:rPr>
        <w:t>1.</w:t>
      </w:r>
      <w:r w:rsidRPr="008867A3">
        <w:rPr>
          <w:noProof/>
        </w:rPr>
        <w:tab/>
        <w:t>Τα κράτη μέλη προβλέπουν ότι οι υποκείμενοι στον φόρο που κάνουν χρήση του ειδικού καθεστώτος που προβλέπεται στον τίτλο XII κεφάλαιο 6 τμήμα 2 της οδηγίας 2006/112/ΕΚ παρέχουν στο κράτος μέλος εγγραφής, με ηλεκτρονικά μέσα, τις πληροφορίες που καθορίζονται στο άρθρο 361 της εν λόγω οδηγίας. Οι υποκείμενοι στον φόρο οι οποίοι κάνουν χρήση των ειδικών καθεστώτων που προβλέπονται στον τίτλο XII κεφάλαιο 6 τμήματα 3 και 5 της οδηγίας 2006/112/ΕΚ παρέχουν στο κράτος μέλος εγγραφής, με ηλεκτρονικά μέσα, λεπτομέρειες για την ταυτοποίησή τους κατά την έναρξη των δραστηριοτήτων τους σύμφωνα με τα άρθρα 369γ και 369κδγ της εν λόγω οδηγίας. Τυχόν αλλαγές στις πληροφορίες που παρέχονται σύμφωνα με το άρθρο 361 παράγραφος 2, το άρθρο  369γ και το άρθρο 369κδγ της οδηγίας 2006/112/ΕΚ υποβάλλονται επίσης με ηλεκτρονικά μέσα.</w:t>
      </w:r>
    </w:p>
    <w:p w14:paraId="073599D8" w14:textId="77777777" w:rsidR="00F41C4E" w:rsidRPr="008867A3" w:rsidRDefault="00F41C4E" w:rsidP="00F41C4E">
      <w:pPr>
        <w:pStyle w:val="Text1"/>
        <w:rPr>
          <w:noProof/>
        </w:rPr>
      </w:pPr>
      <w:r w:rsidRPr="008867A3">
        <w:rPr>
          <w:noProof/>
        </w:rPr>
        <w:t>2.</w:t>
      </w:r>
      <w:r w:rsidRPr="008867A3">
        <w:rPr>
          <w:noProof/>
        </w:rPr>
        <w:tab/>
        <w:t xml:space="preserve">Το κράτος μέλος εγγραφής διαβιβάζει με ηλεκτρονικά μέσα τις πληροφορίες που αναφέρονται στην παράγραφο 1 στις αρμόδιες αρχές των άλλων κρατών μελών εντός δέκα ημερών από το τέλος του μήνα κατά τον οποίο έλαβε τις πληροφορίες από τον υποκείμενο στο φόρο που κάνει χρήση ενός από τα ειδικά καθεστώτα που προβλέπονται στον τίτλο XII κεφάλαιο 6 τμήματα 2, 3 και 5 της οδηγίας 2006/112/ΕΚ. Το κράτος μέλος εγγραφής ενημερώνει, με τον ίδιο τρόπο, τις αρμόδιες αρχές των άλλων κρατών μελών για τους αριθμούς φορολογικού μητρώου ΦΠΑ που αναφέρονται στα εν λόγω τμήματα 2, 3 και 5. </w:t>
      </w:r>
    </w:p>
    <w:p w14:paraId="2E5B97BC" w14:textId="77777777" w:rsidR="00F41C4E" w:rsidRPr="008867A3" w:rsidRDefault="00F41C4E" w:rsidP="00F41C4E">
      <w:pPr>
        <w:pStyle w:val="Text1"/>
        <w:rPr>
          <w:noProof/>
        </w:rPr>
      </w:pPr>
      <w:r w:rsidRPr="008867A3">
        <w:rPr>
          <w:noProof/>
        </w:rPr>
        <w:t>3.</w:t>
      </w:r>
      <w:r w:rsidRPr="008867A3">
        <w:rPr>
          <w:noProof/>
        </w:rPr>
        <w:tab/>
        <w:t xml:space="preserve"> Όταν υποκείμενος στον φόρο ο οποίος κάνει χρήση ενός από τα ειδικά καθεστώτα που προβλέπονται στον τίτλο XII κεφάλαιο 6 τμήματα 2, 3 και 5 της οδηγίας 2006/112/ΕΚ εξαιρείται από το εν λόγω ειδικό καθεστώς, το κράτος μέλος εγγραφής ενημερώνει σχετικά, με ηλεκτρονικά μέσα, τις αρμόδιες αρχές των άλλων κρατών χωρίς καθυστέρηση.»·</w:t>
      </w:r>
    </w:p>
    <w:p w14:paraId="0AD8DDD8" w14:textId="07611592" w:rsidR="00F41C4E" w:rsidRPr="008867A3" w:rsidRDefault="005F3296" w:rsidP="005F3296">
      <w:pPr>
        <w:pStyle w:val="Point0"/>
        <w:rPr>
          <w:noProof/>
        </w:rPr>
      </w:pPr>
      <w:r w:rsidRPr="008867A3">
        <w:rPr>
          <w:noProof/>
        </w:rPr>
        <w:t>5)</w:t>
      </w:r>
      <w:r w:rsidRPr="008867A3">
        <w:rPr>
          <w:noProof/>
        </w:rPr>
        <w:tab/>
      </w:r>
      <w:r w:rsidR="00F41C4E" w:rsidRPr="008867A3">
        <w:rPr>
          <w:noProof/>
        </w:rPr>
        <w:t>το άρθρο 47δ αντικαθίσταται από το ακόλουθο κείμενο:</w:t>
      </w:r>
    </w:p>
    <w:p w14:paraId="3CC35314" w14:textId="77777777" w:rsidR="00F41C4E" w:rsidRPr="008867A3" w:rsidRDefault="00F41C4E" w:rsidP="00F41C4E">
      <w:pPr>
        <w:pStyle w:val="Titrearticle"/>
        <w:rPr>
          <w:noProof/>
        </w:rPr>
      </w:pPr>
      <w:r w:rsidRPr="008867A3">
        <w:rPr>
          <w:noProof/>
        </w:rPr>
        <w:t>«Άρθρο 47δ</w:t>
      </w:r>
    </w:p>
    <w:p w14:paraId="2C56F52B" w14:textId="77777777" w:rsidR="00F41C4E" w:rsidRPr="008867A3" w:rsidRDefault="00F41C4E" w:rsidP="00F41C4E">
      <w:pPr>
        <w:pStyle w:val="Text1"/>
        <w:rPr>
          <w:noProof/>
        </w:rPr>
      </w:pPr>
      <w:r w:rsidRPr="008867A3">
        <w:rPr>
          <w:noProof/>
        </w:rPr>
        <w:t>1.</w:t>
      </w:r>
      <w:r w:rsidRPr="008867A3">
        <w:rPr>
          <w:noProof/>
        </w:rPr>
        <w:tab/>
        <w:t>Τα κράτη μέλη προβλέπουν ότι η δήλωση ΦΠΑ, με τις λεπτομέρειες που αναφέρονται στα άρθρα 365, 369ζ, 369κ και 369κδζ της οδηγίας 2006/112/ΕΚ, υποβάλλεται με ηλεκτρονικά μέσα.</w:t>
      </w:r>
    </w:p>
    <w:p w14:paraId="1F08305D" w14:textId="77777777" w:rsidR="00F41C4E" w:rsidRPr="008867A3" w:rsidRDefault="00F41C4E" w:rsidP="00F41C4E">
      <w:pPr>
        <w:pStyle w:val="Text1"/>
        <w:rPr>
          <w:noProof/>
        </w:rPr>
      </w:pPr>
      <w:r w:rsidRPr="008867A3">
        <w:rPr>
          <w:noProof/>
        </w:rPr>
        <w:t>2.</w:t>
      </w:r>
      <w:r w:rsidRPr="008867A3">
        <w:rPr>
          <w:noProof/>
        </w:rPr>
        <w:tab/>
        <w:t>Το κράτος μέλος εγγραφής διαβιβάζει τις πληροφορίες που αναφέρονται στην παράγραφο 1, με ηλεκτρονικά μέσα, στην αρμόδια αρχή του κράτους μέλους κατανάλωσης ή του κράτους από και προς το οποίο έχουν αποσταλεί ή μεταφερθεί τα αγαθά το αργότερο εντός είκοσι ημερών από το τέλος του μηνός στη διάρκεια του οποίου έπρεπε να υποβληθεί η δήλωση.»·</w:t>
      </w:r>
    </w:p>
    <w:p w14:paraId="18342D0A" w14:textId="0D640A4B" w:rsidR="00F41C4E" w:rsidRPr="008867A3" w:rsidRDefault="005F3296" w:rsidP="005F3296">
      <w:pPr>
        <w:pStyle w:val="Point0"/>
        <w:rPr>
          <w:noProof/>
        </w:rPr>
      </w:pPr>
      <w:r w:rsidRPr="008867A3">
        <w:rPr>
          <w:noProof/>
        </w:rPr>
        <w:t>6)</w:t>
      </w:r>
      <w:r w:rsidRPr="008867A3">
        <w:rPr>
          <w:noProof/>
        </w:rPr>
        <w:tab/>
      </w:r>
      <w:r w:rsidR="00F41C4E" w:rsidRPr="008867A3">
        <w:rPr>
          <w:noProof/>
        </w:rPr>
        <w:t>στο άρθρο 47η, προστίθεται το ακόλουθο εδάφιο:</w:t>
      </w:r>
    </w:p>
    <w:p w14:paraId="24B09687" w14:textId="2FA93DE0" w:rsidR="00F41C4E" w:rsidRPr="008867A3" w:rsidRDefault="00F41C4E" w:rsidP="00F41C4E">
      <w:pPr>
        <w:pStyle w:val="Text1"/>
        <w:rPr>
          <w:noProof/>
        </w:rPr>
      </w:pPr>
      <w:r w:rsidRPr="008867A3">
        <w:rPr>
          <w:noProof/>
        </w:rPr>
        <w:t>«Για τους σκοπούς του πρώτου εδαφίου, τα κράτη μέλη παρέχουν στις αρμόδιες αρχές πρόσβαση στις πληροφορίες που αναφέρονται στο άρθρο 369ιστ παράγραφοι 1 και 3 της οδηγίας 2006/112/ΕΚ.»·</w:t>
      </w:r>
    </w:p>
    <w:p w14:paraId="258B6DDF" w14:textId="2DA83DAC" w:rsidR="00F41C4E" w:rsidRPr="008867A3" w:rsidRDefault="005F3296" w:rsidP="005F3296">
      <w:pPr>
        <w:pStyle w:val="Point0"/>
        <w:rPr>
          <w:noProof/>
        </w:rPr>
      </w:pPr>
      <w:r w:rsidRPr="008867A3">
        <w:rPr>
          <w:noProof/>
        </w:rPr>
        <w:t>7)</w:t>
      </w:r>
      <w:r w:rsidRPr="008867A3">
        <w:rPr>
          <w:noProof/>
        </w:rPr>
        <w:tab/>
      </w:r>
      <w:r w:rsidR="00F41C4E" w:rsidRPr="008867A3">
        <w:rPr>
          <w:noProof/>
        </w:rPr>
        <w:t>το άρθρο 47θ τροποποιείται ως εξής:</w:t>
      </w:r>
    </w:p>
    <w:p w14:paraId="7102B9A8" w14:textId="7BBCB36A" w:rsidR="00F41C4E" w:rsidRPr="008867A3" w:rsidRDefault="005F3296" w:rsidP="005F3296">
      <w:pPr>
        <w:pStyle w:val="Point1"/>
        <w:rPr>
          <w:noProof/>
        </w:rPr>
      </w:pPr>
      <w:r w:rsidRPr="008867A3">
        <w:rPr>
          <w:noProof/>
        </w:rPr>
        <w:t>α)</w:t>
      </w:r>
      <w:r w:rsidRPr="008867A3">
        <w:rPr>
          <w:noProof/>
        </w:rPr>
        <w:tab/>
      </w:r>
      <w:r w:rsidR="00F41C4E" w:rsidRPr="008867A3">
        <w:rPr>
          <w:noProof/>
        </w:rPr>
        <w:t>η παράγραφος 1 αντικαθίσταται από το ακόλουθο κείμενο:</w:t>
      </w:r>
    </w:p>
    <w:p w14:paraId="10996456" w14:textId="77777777" w:rsidR="00F41C4E" w:rsidRPr="008867A3" w:rsidRDefault="00F41C4E" w:rsidP="00F41C4E">
      <w:pPr>
        <w:pStyle w:val="Text1"/>
        <w:rPr>
          <w:noProof/>
        </w:rPr>
      </w:pPr>
      <w:r w:rsidRPr="008867A3">
        <w:rPr>
          <w:noProof/>
        </w:rPr>
        <w:t>«1.</w:t>
      </w:r>
      <w:r w:rsidRPr="008867A3">
        <w:rPr>
          <w:noProof/>
        </w:rPr>
        <w:tab/>
        <w:t>Για την απόκτηση των καταχωρίσεων στα λογιστικά βιβλία υποκείμενου στον φόρο ή μεσάζοντος δυνάμει των άρθρων 369, 369ια, 369κδ και 369κδια της οδηγίας 2006/112/ΕΚ, το κράτος μέλος κατανάλωσης ή το κράτος μέλος από ή προς το οποίο έχουν αποσταλεί ή μεταφερθεί τα αγαθά υποβάλλει προηγουμένως αίτηση, με ηλεκτρονικά μέσα, στο κράτος μέλος εγγραφής.»·</w:t>
      </w:r>
    </w:p>
    <w:p w14:paraId="67AAE5EC" w14:textId="548D34BB" w:rsidR="00F41C4E" w:rsidRPr="008867A3" w:rsidRDefault="005F3296" w:rsidP="005F3296">
      <w:pPr>
        <w:pStyle w:val="Point1"/>
        <w:rPr>
          <w:noProof/>
        </w:rPr>
      </w:pPr>
      <w:r w:rsidRPr="008867A3">
        <w:rPr>
          <w:noProof/>
        </w:rPr>
        <w:t>β)</w:t>
      </w:r>
      <w:r w:rsidRPr="008867A3">
        <w:rPr>
          <w:noProof/>
        </w:rPr>
        <w:tab/>
      </w:r>
      <w:r w:rsidR="00F41C4E" w:rsidRPr="008867A3">
        <w:rPr>
          <w:noProof/>
        </w:rPr>
        <w:t>οι παράγραφοι 4 και 5 αντικαθίστανται από το ακόλουθο κείμενο:</w:t>
      </w:r>
    </w:p>
    <w:p w14:paraId="22436ECB" w14:textId="77777777" w:rsidR="00F41C4E" w:rsidRPr="008867A3" w:rsidRDefault="00F41C4E" w:rsidP="00F41C4E">
      <w:pPr>
        <w:pStyle w:val="Text1"/>
        <w:rPr>
          <w:noProof/>
        </w:rPr>
      </w:pPr>
      <w:r w:rsidRPr="008867A3">
        <w:rPr>
          <w:noProof/>
        </w:rPr>
        <w:t>«4.</w:t>
      </w:r>
      <w:r w:rsidRPr="008867A3">
        <w:rPr>
          <w:noProof/>
        </w:rPr>
        <w:tab/>
        <w:t>Το κράτος μέλος εγγραφής διαβιβάζει αμελλητί τις καταχωρίσεις που έλαβε, με ηλεκτρονικά μέσα, στο αιτούν κράτος μέλος κατανάλωσης ή κράτος μέλος από ή προς το οποίο έχουν αποσταλεί ή μεταφερθεί τα αγαθά.</w:t>
      </w:r>
    </w:p>
    <w:p w14:paraId="0FFE3658" w14:textId="77777777" w:rsidR="00F41C4E" w:rsidRPr="008867A3" w:rsidRDefault="00F41C4E" w:rsidP="00F41C4E">
      <w:pPr>
        <w:pStyle w:val="Text1"/>
        <w:rPr>
          <w:noProof/>
        </w:rPr>
      </w:pPr>
      <w:r w:rsidRPr="008867A3">
        <w:rPr>
          <w:noProof/>
        </w:rPr>
        <w:t>5.</w:t>
      </w:r>
      <w:r w:rsidRPr="008867A3">
        <w:rPr>
          <w:noProof/>
        </w:rPr>
        <w:tab/>
        <w:t>Εάν το αιτούν κράτος μέλος κατανάλωσης ή κράτος μέλος από ή προς το οποίο έχουν αποσταλεί ή μεταφερθεί τα αγαθά δεν λάβει τις καταχωρίσεις εντός 30 ημερών από την ημερομηνία υποβολής της αίτησης, το εν λόγω κράτος μέλος μπορεί να λάβει οποιοδήποτε μέτρο σύμφωνα με την εθνική του νομοθεσία για την απόκτηση των εν λόγω καταχωρίσεων.»·</w:t>
      </w:r>
    </w:p>
    <w:p w14:paraId="26778438" w14:textId="0BA6D58E" w:rsidR="00F41C4E" w:rsidRPr="008867A3" w:rsidRDefault="005F3296" w:rsidP="005F3296">
      <w:pPr>
        <w:pStyle w:val="Point0"/>
        <w:rPr>
          <w:noProof/>
        </w:rPr>
      </w:pPr>
      <w:r w:rsidRPr="008867A3">
        <w:rPr>
          <w:noProof/>
        </w:rPr>
        <w:t>8)</w:t>
      </w:r>
      <w:r w:rsidRPr="008867A3">
        <w:rPr>
          <w:noProof/>
        </w:rPr>
        <w:tab/>
      </w:r>
      <w:r w:rsidR="00F41C4E" w:rsidRPr="008867A3">
        <w:rPr>
          <w:noProof/>
        </w:rPr>
        <w:t>στο άρθρο 47ι, η παράγραφος 2 αντικαθίσταται από το ακόλουθο κείμενο:</w:t>
      </w:r>
    </w:p>
    <w:p w14:paraId="52181F4D" w14:textId="77777777" w:rsidR="00F41C4E" w:rsidRPr="008867A3" w:rsidRDefault="00F41C4E" w:rsidP="00F41C4E">
      <w:pPr>
        <w:pStyle w:val="Text1"/>
        <w:rPr>
          <w:noProof/>
        </w:rPr>
      </w:pPr>
      <w:r w:rsidRPr="008867A3">
        <w:rPr>
          <w:noProof/>
        </w:rPr>
        <w:t>«2. Με την επιφύλαξη του άρθρου 7 παράγραφος 4, εάν το κράτος μέλος κατανάλωσης ή το κράτος μέλος από ή προς το οποίο έχουν αποσταλεί ή μεταφερθεί τα αγαθά αποφασίσει ότι απαιτείται διοικητική έρευνα, διαβουλεύεται προηγουμένως με το κράτος μέλος εγγραφής σχετικά με την ανάγκη να διενεργηθεί έρευνα.»·</w:t>
      </w:r>
    </w:p>
    <w:p w14:paraId="0275A757" w14:textId="4A651FF2" w:rsidR="00F41C4E" w:rsidRPr="008867A3" w:rsidRDefault="005F3296" w:rsidP="005F3296">
      <w:pPr>
        <w:pStyle w:val="Point0"/>
        <w:rPr>
          <w:noProof/>
        </w:rPr>
      </w:pPr>
      <w:r w:rsidRPr="008867A3">
        <w:rPr>
          <w:noProof/>
        </w:rPr>
        <w:t>9)</w:t>
      </w:r>
      <w:r w:rsidRPr="008867A3">
        <w:rPr>
          <w:noProof/>
        </w:rPr>
        <w:tab/>
      </w:r>
      <w:r w:rsidR="00F41C4E" w:rsidRPr="008867A3">
        <w:rPr>
          <w:noProof/>
        </w:rPr>
        <w:t>στο άρθρο 47ιβ, το στοιχείο α) αντικαθίσταται από το ακόλουθο κείμενο:</w:t>
      </w:r>
    </w:p>
    <w:p w14:paraId="76A16A53" w14:textId="77777777" w:rsidR="00F41C4E" w:rsidRPr="008867A3" w:rsidRDefault="00F41C4E" w:rsidP="00F41C4E">
      <w:pPr>
        <w:pStyle w:val="Point1"/>
        <w:rPr>
          <w:noProof/>
        </w:rPr>
      </w:pPr>
      <w:r w:rsidRPr="008867A3">
        <w:rPr>
          <w:noProof/>
        </w:rPr>
        <w:t>«α)</w:t>
      </w:r>
      <w:r w:rsidRPr="008867A3">
        <w:rPr>
          <w:noProof/>
        </w:rPr>
        <w:tab/>
        <w:t>τις τεχνικές λεπτομέρειες, συμπεριλαμβανομένου του κοινού ηλεκτρονικού μηνύματος, για την παροχή των πληροφοριών που αναφέρονται στο άρθρο 47β παράγραφος 1, στο άρθρο 47γ παράγραφος 1 και στο άρθρο 47δ παράγραφος 1 και το τυποποιημένο έντυπο που αναφέρεται στο άρθρο 47θ παράγραφος 3 και στο άρθρο 47ιγ,»·</w:t>
      </w:r>
    </w:p>
    <w:p w14:paraId="2978FB6D" w14:textId="15D6F806" w:rsidR="00F41C4E" w:rsidRPr="008867A3" w:rsidRDefault="005F3296" w:rsidP="005F3296">
      <w:pPr>
        <w:pStyle w:val="Point0"/>
        <w:rPr>
          <w:noProof/>
        </w:rPr>
      </w:pPr>
      <w:r w:rsidRPr="008867A3">
        <w:rPr>
          <w:noProof/>
        </w:rPr>
        <w:t>10)</w:t>
      </w:r>
      <w:r w:rsidRPr="008867A3">
        <w:rPr>
          <w:noProof/>
        </w:rPr>
        <w:tab/>
      </w:r>
      <w:r w:rsidR="00F41C4E" w:rsidRPr="008867A3">
        <w:rPr>
          <w:noProof/>
        </w:rPr>
        <w:t>προστίθεται το ακόλουθο κεφάλαιο XIα:</w:t>
      </w:r>
    </w:p>
    <w:p w14:paraId="2152462A" w14:textId="77777777" w:rsidR="00F41C4E" w:rsidRPr="008867A3" w:rsidRDefault="00F41C4E" w:rsidP="00F41C4E">
      <w:pPr>
        <w:pStyle w:val="NormalCentered"/>
        <w:rPr>
          <w:b/>
          <w:noProof/>
        </w:rPr>
      </w:pPr>
      <w:r w:rsidRPr="008867A3">
        <w:rPr>
          <w:b/>
          <w:noProof/>
        </w:rPr>
        <w:t>«ΚΕΦΑΛΑΙΟ XIα</w:t>
      </w:r>
    </w:p>
    <w:p w14:paraId="6C5A6A42" w14:textId="77777777" w:rsidR="00F41C4E" w:rsidRPr="008867A3" w:rsidRDefault="00F41C4E" w:rsidP="00F41C4E">
      <w:pPr>
        <w:pStyle w:val="NormalCentered"/>
        <w:rPr>
          <w:b/>
          <w:noProof/>
        </w:rPr>
      </w:pPr>
      <w:r w:rsidRPr="008867A3">
        <w:rPr>
          <w:b/>
          <w:noProof/>
        </w:rPr>
        <w:t>ΔΙΑΤΑΞΕΙΣ ΣΧΕΤΙΚΑ ΜΕ ΤΙΣ ΥΠΟΧΡΕΩΣΕΙΣ ΤΗΡΗΣΗΣ ΚΑΤΑΧΩΡΙΣΕΩΝ ΓΙΑ ΤΙΣ ΗΛΕΚΤΡΟΝΙΚΕΣ ΔΙΕΠΑΦΕΣ ΠΟΥ ΔΙΕΥΚΟΛΥΝΟΥΝ ΠΑΡΑΔΟΣΕΙΣ ΑΓΑΘΩΝ Ή ΠΑΡΟΧΕΣ ΥΠΗΡΕΣΙΩΝ ΣΥΜΦΩΝΑ ΜΕ ΤΟ ΑΡΘΡΟ 242Α ΤΗΣ ΟΔΗΓΙΑΣ 2006/112/ΕΚ</w:t>
      </w:r>
    </w:p>
    <w:p w14:paraId="63AB5E3C" w14:textId="77777777" w:rsidR="00F41C4E" w:rsidRPr="008867A3" w:rsidRDefault="00F41C4E" w:rsidP="00F41C4E">
      <w:pPr>
        <w:pStyle w:val="Titrearticle"/>
        <w:rPr>
          <w:noProof/>
        </w:rPr>
      </w:pPr>
      <w:r w:rsidRPr="008867A3">
        <w:rPr>
          <w:noProof/>
        </w:rPr>
        <w:t>Άρθρο 47ιβα</w:t>
      </w:r>
    </w:p>
    <w:p w14:paraId="404B122B" w14:textId="77777777" w:rsidR="00F41C4E" w:rsidRPr="008867A3" w:rsidRDefault="00F41C4E" w:rsidP="00F41C4E">
      <w:pPr>
        <w:pStyle w:val="Text1"/>
        <w:rPr>
          <w:noProof/>
        </w:rPr>
      </w:pPr>
      <w:r w:rsidRPr="008867A3">
        <w:rPr>
          <w:noProof/>
        </w:rPr>
        <w:t>1.</w:t>
      </w:r>
      <w:r w:rsidRPr="008867A3">
        <w:rPr>
          <w:noProof/>
        </w:rPr>
        <w:tab/>
        <w:t xml:space="preserve">Για την απόκτηση των καταχωρίσεων του υποκείμενου στον φόρο σύμφωνα με το άρθρο 242α της οδηγίας 2006/112/ΕΚ, το κράτος μέλος στο οποίο είναι φορολογητέες οι εν λόγω παραδόσεις αγαθών ή παροχές υπηρεσιών υποβάλλει προηγουμένως αίτηση, με ηλεκτρονικά μέσα, στο κράτος μέλος στο οποίο ο υποκείμενος στον φόρο διαθέτει αριθμό φορολογικού μητρώου ΦΠΑ. </w:t>
      </w:r>
    </w:p>
    <w:p w14:paraId="1B04C474" w14:textId="77777777" w:rsidR="00F41C4E" w:rsidRPr="008867A3" w:rsidRDefault="00F41C4E" w:rsidP="00F41C4E">
      <w:pPr>
        <w:pStyle w:val="Text1"/>
        <w:rPr>
          <w:noProof/>
        </w:rPr>
      </w:pPr>
      <w:r w:rsidRPr="008867A3">
        <w:rPr>
          <w:noProof/>
        </w:rPr>
        <w:t>2.</w:t>
      </w:r>
      <w:r w:rsidRPr="008867A3">
        <w:rPr>
          <w:noProof/>
        </w:rPr>
        <w:tab/>
        <w:t xml:space="preserve">Όταν το κράτος μέλος στο οποίο ο υποκείμενος στον φόρο διαθέτει αριθμό φορολογικού μητρώου ΦΠΑ λάβει την αίτηση που αναφέρεται στην παράγραφο 1, το εν λόγω κράτος μέλος διαβιβάζει αμελλητί την αίτηση, με ηλεκτρονικά μέσα, στον υποκείμενο στον φόρο. </w:t>
      </w:r>
    </w:p>
    <w:p w14:paraId="20F15EE6" w14:textId="77777777" w:rsidR="00F41C4E" w:rsidRPr="008867A3" w:rsidRDefault="00F41C4E" w:rsidP="00F41C4E">
      <w:pPr>
        <w:pStyle w:val="Text1"/>
        <w:rPr>
          <w:noProof/>
        </w:rPr>
      </w:pPr>
      <w:r w:rsidRPr="008867A3">
        <w:rPr>
          <w:noProof/>
        </w:rPr>
        <w:t>3.</w:t>
      </w:r>
      <w:r w:rsidRPr="008867A3">
        <w:rPr>
          <w:noProof/>
        </w:rPr>
        <w:tab/>
        <w:t xml:space="preserve">Τα κράτη μέλη προβλέπουν ότι, κατόπιν αιτήματος, ο υποκείμενος στον φόρο υποβάλλει τις ζητούμενες καταχωρίσεις, με ηλεκτρονικά μέσα, στο κράτος μέλος στο οποίο ο εν λόγω υποκείμενος στον φόρο διαθέτει αριθμό φορολογικού μητρώου ΦΠΑ. Τα κράτη μέλη δέχονται ότι οι καταχωρίσεις μπορούν να υποβάλλονται με τη χρήση τυποποιημένου εντύπου. </w:t>
      </w:r>
    </w:p>
    <w:p w14:paraId="66D25F57" w14:textId="3FDC42FD" w:rsidR="00F41C4E" w:rsidRPr="008867A3" w:rsidRDefault="00F41C4E" w:rsidP="00F41C4E">
      <w:pPr>
        <w:pStyle w:val="Text1"/>
        <w:rPr>
          <w:noProof/>
        </w:rPr>
      </w:pPr>
      <w:r w:rsidRPr="008867A3">
        <w:rPr>
          <w:noProof/>
        </w:rPr>
        <w:t>4.</w:t>
      </w:r>
      <w:r w:rsidRPr="008867A3">
        <w:rPr>
          <w:noProof/>
        </w:rPr>
        <w:tab/>
        <w:t xml:space="preserve">Το κράτος μέλος στο οποίο ο εν λόγω υποκείμενος στον φόρο διαθέτει αριθμό φορολογικού μητρώου ΦΠΑ διαβιβάζει αμελλητί τις καταχωρίσεις που έλαβε με ηλεκτρονικά μέσα στο αιτούν κράτος μέλος στο οποίο οι εν λόγω παραδόσεις αγαθών ή παροχές υπηρεσιών είναι φορολογητέες. </w:t>
      </w:r>
    </w:p>
    <w:p w14:paraId="2FA078E1" w14:textId="521A9A69" w:rsidR="00F41C4E" w:rsidRPr="008867A3" w:rsidRDefault="00F41C4E" w:rsidP="00F41C4E">
      <w:pPr>
        <w:pStyle w:val="Text1"/>
        <w:rPr>
          <w:noProof/>
        </w:rPr>
      </w:pPr>
      <w:r w:rsidRPr="008867A3">
        <w:rPr>
          <w:noProof/>
        </w:rPr>
        <w:t>5.</w:t>
      </w:r>
      <w:r w:rsidRPr="008867A3">
        <w:rPr>
          <w:noProof/>
        </w:rPr>
        <w:tab/>
        <w:t>Εάν το αιτούν κράτος μέλος στο οποίο οι εν λόγω παραδόσεις αγαθών ή παροχές υπηρεσιών είναι φορολογητέες δεν λάβει τις καταχωρίσεις εντός 30 ημερών από την ημερομηνία υποβολής της αίτησης, το εν λόγω κράτος μέλος μπορεί να λάβει οποιοδήποτε μέτρο σύμφωνα με την εθνική του νομοθεσία για την απόκτηση των εν λόγω καταχωρίσεων.</w:t>
      </w:r>
    </w:p>
    <w:p w14:paraId="3A4A1546" w14:textId="77777777" w:rsidR="00F41C4E" w:rsidRPr="008867A3" w:rsidRDefault="00F41C4E" w:rsidP="00F41C4E">
      <w:pPr>
        <w:pStyle w:val="Titrearticle"/>
        <w:rPr>
          <w:noProof/>
        </w:rPr>
      </w:pPr>
      <w:r w:rsidRPr="008867A3">
        <w:rPr>
          <w:noProof/>
        </w:rPr>
        <w:t>Άρθρο 47ιββ</w:t>
      </w:r>
    </w:p>
    <w:p w14:paraId="471EE77C" w14:textId="297B713A" w:rsidR="00F41C4E" w:rsidRPr="008867A3" w:rsidRDefault="00F41C4E" w:rsidP="00F41C4E">
      <w:pPr>
        <w:ind w:left="567" w:right="568"/>
        <w:rPr>
          <w:noProof/>
        </w:rPr>
      </w:pPr>
      <w:r w:rsidRPr="008867A3">
        <w:rPr>
          <w:noProof/>
        </w:rPr>
        <w:t>Η Επιτροπή προσδιορίζει με εκτελεστικές πράξεις τα ακόλουθα:</w:t>
      </w:r>
    </w:p>
    <w:p w14:paraId="07A35DB6" w14:textId="6E5BAA99" w:rsidR="00F41C4E" w:rsidRPr="008867A3" w:rsidRDefault="005F3296" w:rsidP="005F3296">
      <w:pPr>
        <w:pStyle w:val="Point2"/>
        <w:rPr>
          <w:noProof/>
        </w:rPr>
      </w:pPr>
      <w:r w:rsidRPr="008867A3">
        <w:rPr>
          <w:noProof/>
        </w:rPr>
        <w:t>α)</w:t>
      </w:r>
      <w:r w:rsidRPr="008867A3">
        <w:rPr>
          <w:noProof/>
        </w:rPr>
        <w:tab/>
      </w:r>
      <w:r w:rsidR="00F41C4E" w:rsidRPr="008867A3">
        <w:rPr>
          <w:noProof/>
        </w:rPr>
        <w:t>τις τεχνικές λεπτομέρειες για το τυποποιημένο έντυπο που αναφέρεται στο άρθρο 47ιβα παράγραφος 3·</w:t>
      </w:r>
    </w:p>
    <w:p w14:paraId="214EC48B" w14:textId="574296B9" w:rsidR="00F41C4E" w:rsidRPr="008867A3" w:rsidRDefault="005F3296" w:rsidP="005F3296">
      <w:pPr>
        <w:pStyle w:val="Point2"/>
        <w:rPr>
          <w:noProof/>
        </w:rPr>
      </w:pPr>
      <w:r w:rsidRPr="008867A3">
        <w:rPr>
          <w:noProof/>
        </w:rPr>
        <w:t>β)</w:t>
      </w:r>
      <w:r w:rsidRPr="008867A3">
        <w:rPr>
          <w:noProof/>
        </w:rPr>
        <w:tab/>
      </w:r>
      <w:r w:rsidR="00F41C4E" w:rsidRPr="008867A3">
        <w:rPr>
          <w:noProof/>
        </w:rPr>
        <w:t>τις τεχνικές λεπτομέρειες, συμπεριλαμβανομένου του κοινού ηλεκτρονικού μηνύματος, για την παροχή των πληροφοριών που αναφέρονται στο άρθρο 47ιβα παράγραφοι 1, 2 και 4, καθώς και τα τεχνικά μέσα για τη διαβίβαση των εν λόγω πληροφοριών.</w:t>
      </w:r>
    </w:p>
    <w:p w14:paraId="65D6CF87" w14:textId="300568C9" w:rsidR="00F41C4E" w:rsidRPr="008867A3" w:rsidRDefault="00F41C4E" w:rsidP="00B11E95">
      <w:pPr>
        <w:ind w:left="567" w:right="568"/>
        <w:rPr>
          <w:noProof/>
        </w:rPr>
      </w:pPr>
      <w:r w:rsidRPr="008867A3">
        <w:rPr>
          <w:noProof/>
        </w:rPr>
        <w:t>Οι εν λόγω εκτελεστικές πράξεις εκδίδονται σύμφωνα με τη διαδικασία εξέτασης στην οποία παραπέμπει το άρθρο 58 παράγραφος 2.».</w:t>
      </w:r>
    </w:p>
    <w:p w14:paraId="0777DE5C" w14:textId="6A5F9D73" w:rsidR="00A46642" w:rsidRPr="008867A3" w:rsidRDefault="00A46642" w:rsidP="00A635C2">
      <w:pPr>
        <w:pStyle w:val="Titrearticle"/>
        <w:rPr>
          <w:noProof/>
        </w:rPr>
      </w:pPr>
      <w:r w:rsidRPr="008867A3">
        <w:rPr>
          <w:noProof/>
        </w:rPr>
        <w:t>Άρθρο 2</w:t>
      </w:r>
    </w:p>
    <w:p w14:paraId="71283910" w14:textId="38556DAF" w:rsidR="00A46642" w:rsidRPr="008867A3" w:rsidRDefault="00A46642" w:rsidP="0023271E">
      <w:pPr>
        <w:pStyle w:val="Text1"/>
        <w:rPr>
          <w:b/>
          <w:noProof/>
        </w:rPr>
      </w:pPr>
      <w:r w:rsidRPr="008867A3">
        <w:rPr>
          <w:b/>
          <w:noProof/>
        </w:rPr>
        <w:t>Τροποποιήσεις του κανονισμού (ΕΕ) αριθ. 904/2010 εφαρμοστέες από την 1η Ιανουαρίου 2026</w:t>
      </w:r>
    </w:p>
    <w:p w14:paraId="09B625DE" w14:textId="397758F4" w:rsidR="00612915" w:rsidRPr="008867A3" w:rsidRDefault="00612915" w:rsidP="00A635C2">
      <w:pPr>
        <w:rPr>
          <w:noProof/>
        </w:rPr>
      </w:pPr>
      <w:r w:rsidRPr="008867A3">
        <w:rPr>
          <w:noProof/>
        </w:rPr>
        <w:t>Ο κανονισμός (ΕΕ) αριθ. 904/2021 τροποποιείται ως εξής:</w:t>
      </w:r>
    </w:p>
    <w:p w14:paraId="30356C18" w14:textId="40D2EB36" w:rsidR="00F41C4E" w:rsidRPr="008867A3" w:rsidRDefault="005F3296" w:rsidP="005F3296">
      <w:pPr>
        <w:pStyle w:val="Point0"/>
        <w:rPr>
          <w:noProof/>
        </w:rPr>
      </w:pPr>
      <w:r w:rsidRPr="008867A3">
        <w:rPr>
          <w:noProof/>
        </w:rPr>
        <w:t>1)</w:t>
      </w:r>
      <w:r w:rsidRPr="008867A3">
        <w:rPr>
          <w:noProof/>
        </w:rPr>
        <w:tab/>
      </w:r>
      <w:r w:rsidR="00F41C4E" w:rsidRPr="008867A3">
        <w:rPr>
          <w:noProof/>
        </w:rPr>
        <w:t>το άρθρο 21 τροποποιείται ως εξής:</w:t>
      </w:r>
    </w:p>
    <w:p w14:paraId="0C80AD36" w14:textId="65F61FD0" w:rsidR="00F41C4E" w:rsidRPr="008867A3" w:rsidRDefault="005F3296" w:rsidP="005F3296">
      <w:pPr>
        <w:pStyle w:val="Point1"/>
        <w:rPr>
          <w:noProof/>
        </w:rPr>
      </w:pPr>
      <w:r w:rsidRPr="008867A3">
        <w:rPr>
          <w:noProof/>
        </w:rPr>
        <w:t>α)</w:t>
      </w:r>
      <w:r w:rsidRPr="008867A3">
        <w:rPr>
          <w:noProof/>
        </w:rPr>
        <w:tab/>
      </w:r>
      <w:r w:rsidR="00F41C4E" w:rsidRPr="008867A3">
        <w:rPr>
          <w:noProof/>
        </w:rPr>
        <w:t xml:space="preserve"> η παράγραφος 2 τροποποιείται ως εξής:</w:t>
      </w:r>
    </w:p>
    <w:p w14:paraId="3F81B7F3" w14:textId="77777777" w:rsidR="00F41C4E" w:rsidRPr="008867A3" w:rsidRDefault="00F41C4E" w:rsidP="00F41C4E">
      <w:pPr>
        <w:pStyle w:val="Point2"/>
        <w:rPr>
          <w:noProof/>
        </w:rPr>
      </w:pPr>
      <w:r w:rsidRPr="008867A3">
        <w:rPr>
          <w:noProof/>
        </w:rPr>
        <w:t>i)</w:t>
      </w:r>
      <w:r w:rsidRPr="008867A3">
        <w:rPr>
          <w:noProof/>
        </w:rPr>
        <w:tab/>
        <w:t>το στοιχείο γ) αντικαθίσταται από το ακόλουθο κείμενο:</w:t>
      </w:r>
    </w:p>
    <w:p w14:paraId="6E7ABC1E" w14:textId="77777777" w:rsidR="00F41C4E" w:rsidRPr="008867A3" w:rsidRDefault="00F41C4E" w:rsidP="00F41C4E">
      <w:pPr>
        <w:pStyle w:val="Point3"/>
        <w:rPr>
          <w:noProof/>
        </w:rPr>
      </w:pPr>
      <w:r w:rsidRPr="008867A3">
        <w:rPr>
          <w:noProof/>
        </w:rPr>
        <w:t xml:space="preserve">«γ) </w:t>
      </w:r>
      <w:r w:rsidRPr="008867A3">
        <w:rPr>
          <w:noProof/>
        </w:rPr>
        <w:tab/>
        <w:t>οι αριθμοί φορολογικού μητρώου ΦΠΑ των προσώπων τα οποία πραγματοποίησαν τις παραδόσεις αγαθών και παροχές υπηρεσιών που προβλέπονται στο στοιχείο β),»·</w:t>
      </w:r>
    </w:p>
    <w:p w14:paraId="758FB8BE" w14:textId="77777777" w:rsidR="00F41C4E" w:rsidRPr="008867A3" w:rsidRDefault="00F41C4E" w:rsidP="00F41C4E">
      <w:pPr>
        <w:pStyle w:val="Point2"/>
        <w:rPr>
          <w:noProof/>
        </w:rPr>
      </w:pPr>
      <w:r w:rsidRPr="008867A3">
        <w:rPr>
          <w:noProof/>
        </w:rPr>
        <w:t>ii)</w:t>
      </w:r>
      <w:r w:rsidRPr="008867A3">
        <w:rPr>
          <w:noProof/>
        </w:rPr>
        <w:tab/>
        <w:t>στο στοιχείο ε), η εισαγωγική φράση αντικαθίσταται από το ακόλουθο κείμενο:</w:t>
      </w:r>
    </w:p>
    <w:p w14:paraId="25AF35F4" w14:textId="77777777" w:rsidR="00F41C4E" w:rsidRPr="008867A3" w:rsidRDefault="00F41C4E" w:rsidP="00F41C4E">
      <w:pPr>
        <w:pStyle w:val="Point2"/>
        <w:ind w:firstLine="0"/>
        <w:rPr>
          <w:noProof/>
        </w:rPr>
      </w:pPr>
      <w:r w:rsidRPr="008867A3">
        <w:rPr>
          <w:noProof/>
        </w:rPr>
        <w:t>«η συνολική αξία των παραδόσεων αγαθών και παροχών υπηρεσιών που προβλέπονται στο στοιχείο β) και έχουν πραγματοποιηθεί από καθένα από τα πρόσωπα που αναφέρονται στο στοιχείο γ) προς κάθε πρόσωπο που έχει λάβει αριθμό φορολογικού μητρώου ΦΠΑ από άλλο κράτος μέλος υπό τις ακόλουθες προϋποθέσεις:»·</w:t>
      </w:r>
    </w:p>
    <w:p w14:paraId="4DCD378F" w14:textId="046D4385" w:rsidR="00A635C2" w:rsidRPr="008867A3" w:rsidRDefault="00A635C2" w:rsidP="00A635C2">
      <w:pPr>
        <w:rPr>
          <w:noProof/>
        </w:rPr>
      </w:pPr>
    </w:p>
    <w:p w14:paraId="6EC3EB27" w14:textId="14FFDA03" w:rsidR="00A635C2" w:rsidRPr="008867A3" w:rsidRDefault="00A635C2" w:rsidP="00A635C2">
      <w:pPr>
        <w:pStyle w:val="Titrearticle"/>
        <w:rPr>
          <w:noProof/>
        </w:rPr>
      </w:pPr>
      <w:r w:rsidRPr="008867A3">
        <w:rPr>
          <w:noProof/>
        </w:rPr>
        <w:t>Άρθρο 3</w:t>
      </w:r>
    </w:p>
    <w:p w14:paraId="365B5379" w14:textId="1B4519F3" w:rsidR="00A635C2" w:rsidRPr="008867A3" w:rsidRDefault="00A635C2" w:rsidP="00A635C2">
      <w:pPr>
        <w:pStyle w:val="NormalCentered"/>
        <w:rPr>
          <w:b/>
          <w:noProof/>
        </w:rPr>
      </w:pPr>
      <w:r w:rsidRPr="008867A3">
        <w:rPr>
          <w:b/>
          <w:noProof/>
        </w:rPr>
        <w:t>Τροποποιήσεις του κανονισμού (ΕΕ) αριθ. 904/2010 εφαρμοστέες από την 1η Ιανουαρίου 2028</w:t>
      </w:r>
    </w:p>
    <w:p w14:paraId="0DCAF54D" w14:textId="639F47F9" w:rsidR="00A635C2" w:rsidRPr="008867A3" w:rsidRDefault="00A635C2" w:rsidP="00A635C2">
      <w:pPr>
        <w:rPr>
          <w:noProof/>
        </w:rPr>
      </w:pPr>
      <w:r w:rsidRPr="008867A3">
        <w:rPr>
          <w:noProof/>
        </w:rPr>
        <w:t>Ο κανονισμός (ΕΕ) αριθ. 904/2021 τροποποιείται ως εξής:</w:t>
      </w:r>
    </w:p>
    <w:p w14:paraId="4F2A70AF" w14:textId="7A511763" w:rsidR="00CD3409" w:rsidRPr="008867A3" w:rsidRDefault="005F3296" w:rsidP="005F3296">
      <w:pPr>
        <w:pStyle w:val="Point0"/>
        <w:rPr>
          <w:noProof/>
        </w:rPr>
      </w:pPr>
      <w:r w:rsidRPr="008867A3">
        <w:rPr>
          <w:noProof/>
        </w:rPr>
        <w:t>1)</w:t>
      </w:r>
      <w:r w:rsidRPr="008867A3">
        <w:rPr>
          <w:noProof/>
        </w:rPr>
        <w:tab/>
      </w:r>
      <w:r w:rsidR="000C7598" w:rsidRPr="008867A3">
        <w:rPr>
          <w:noProof/>
        </w:rPr>
        <w:t>στο άρθρο 2 παράγραφος 1, τα στοιχεία ζ) και η) αντικαθίστανται από το ακόλουθο κείμενο:</w:t>
      </w:r>
    </w:p>
    <w:p w14:paraId="4BDB18BB" w14:textId="3F55870A" w:rsidR="00A635C2" w:rsidRPr="008867A3" w:rsidRDefault="00A635C2" w:rsidP="00CD3409">
      <w:pPr>
        <w:pStyle w:val="Point2"/>
        <w:rPr>
          <w:noProof/>
        </w:rPr>
      </w:pPr>
      <w:r w:rsidRPr="008867A3">
        <w:rPr>
          <w:noProof/>
        </w:rPr>
        <w:t xml:space="preserve"> «ζ)</w:t>
      </w:r>
      <w:r w:rsidRPr="008867A3">
        <w:rPr>
          <w:noProof/>
        </w:rPr>
        <w:tab/>
        <w:t>“ενδοκοινοτική παράδοση αγαθών”: η παράδοση αγαθών της οποίας τα δεδομένα πρέπει να υποβάλλονται σύμφωνα με το άρθρο 262 της οδηγίας 2006/112/ΕΚ·</w:t>
      </w:r>
    </w:p>
    <w:p w14:paraId="2F508E68" w14:textId="77777777" w:rsidR="00A635C2" w:rsidRPr="008867A3" w:rsidRDefault="00A635C2" w:rsidP="00A635C2">
      <w:pPr>
        <w:pStyle w:val="Point2"/>
        <w:rPr>
          <w:noProof/>
        </w:rPr>
      </w:pPr>
      <w:r w:rsidRPr="008867A3">
        <w:rPr>
          <w:noProof/>
        </w:rPr>
        <w:t>η)</w:t>
      </w:r>
      <w:r w:rsidRPr="008867A3">
        <w:rPr>
          <w:noProof/>
        </w:rPr>
        <w:tab/>
        <w:t>“ενδοκοινοτική παροχή υπηρεσιών”: η παροχή υπηρεσιών της οποίας τα δεδομένα πρέπει να υποβάλλονται σύμφωνα με το άρθρο 262 της οδηγίας 2006/112/ΕΚ·»·</w:t>
      </w:r>
    </w:p>
    <w:p w14:paraId="0BE590B3" w14:textId="40F0ACCF" w:rsidR="00DA7B12" w:rsidRPr="008867A3" w:rsidRDefault="005F3296" w:rsidP="005F3296">
      <w:pPr>
        <w:pStyle w:val="Point0"/>
        <w:rPr>
          <w:noProof/>
        </w:rPr>
      </w:pPr>
      <w:r w:rsidRPr="008867A3">
        <w:rPr>
          <w:noProof/>
        </w:rPr>
        <w:t>2)</w:t>
      </w:r>
      <w:r w:rsidRPr="008867A3">
        <w:rPr>
          <w:noProof/>
        </w:rPr>
        <w:tab/>
      </w:r>
      <w:r w:rsidR="000C7598" w:rsidRPr="008867A3">
        <w:rPr>
          <w:noProof/>
        </w:rPr>
        <w:t>στο άρθρο 17 παράγραφος 1, το στοιχείο α) αντικαθίσταται από το ακόλουθο κείμενο:</w:t>
      </w:r>
    </w:p>
    <w:p w14:paraId="4F57E12A" w14:textId="2DF4B0DB" w:rsidR="00B1110E" w:rsidRPr="008867A3" w:rsidRDefault="00DA7B12" w:rsidP="00DA7B12">
      <w:pPr>
        <w:pStyle w:val="Point2"/>
        <w:pBdr>
          <w:bottom w:val="single" w:sz="6" w:space="1" w:color="auto"/>
        </w:pBdr>
        <w:rPr>
          <w:noProof/>
        </w:rPr>
      </w:pPr>
      <w:r w:rsidRPr="008867A3">
        <w:rPr>
          <w:noProof/>
        </w:rPr>
        <w:t xml:space="preserve">«α) </w:t>
      </w:r>
      <w:r w:rsidRPr="008867A3">
        <w:rPr>
          <w:noProof/>
        </w:rPr>
        <w:tab/>
        <w:t>τις πληροφορίες που συλλέγει σύμφωνα με τον τίτλο XI κεφάλαιο 6 της οδηγίας 2006/112/ΕΚ, όπως τροποποιήθηκε με την οδηγία (ΕΕ) 2022/890 του Συμβουλίου*·</w:t>
      </w:r>
    </w:p>
    <w:p w14:paraId="7C4528A0" w14:textId="77777777" w:rsidR="00B1110E" w:rsidRPr="008867A3" w:rsidRDefault="00B1110E" w:rsidP="00DA7B12">
      <w:pPr>
        <w:pStyle w:val="Point2"/>
        <w:pBdr>
          <w:bottom w:val="single" w:sz="6" w:space="1" w:color="auto"/>
        </w:pBdr>
        <w:rPr>
          <w:noProof/>
        </w:rPr>
      </w:pPr>
    </w:p>
    <w:p w14:paraId="00ECD250" w14:textId="2C395D83" w:rsidR="00DA7B12" w:rsidRPr="008867A3" w:rsidRDefault="00B1110E" w:rsidP="00B1110E">
      <w:pPr>
        <w:pStyle w:val="Text1"/>
        <w:rPr>
          <w:noProof/>
        </w:rPr>
      </w:pPr>
      <w:r w:rsidRPr="008867A3">
        <w:rPr>
          <w:noProof/>
        </w:rPr>
        <w:t>* Οδηγία (ΕΕ) 2022/890 του Συμβουλίου, της 3ης Ιουνίου 2022, για την τροποποίηση της οδηγίας 2006/112/ΕΚ όσον αφορά την παράταση της περιόδου εφαρμογής του προαιρετικού μηχανισμού αντιστροφής της επιβάρυνσης για τις παραδόσεις ορισμένων αγαθών και την παροχή ορισμένων υπηρεσιών που είναι επιδεκτικά απάτης, και του μηχανισμού ταχείας αντίδρασης κατά της απάτης στον τομέα του ΦΠΑ (ΕΕ L 155 της 8.6.2022, σ. 1).»·</w:t>
      </w:r>
    </w:p>
    <w:p w14:paraId="748D733C" w14:textId="57E9A1AC" w:rsidR="00F41C4E" w:rsidRPr="008867A3" w:rsidRDefault="005F3296" w:rsidP="005F3296">
      <w:pPr>
        <w:pStyle w:val="Point0"/>
        <w:rPr>
          <w:noProof/>
        </w:rPr>
      </w:pPr>
      <w:r w:rsidRPr="008867A3">
        <w:rPr>
          <w:noProof/>
        </w:rPr>
        <w:t>3)</w:t>
      </w:r>
      <w:r w:rsidRPr="008867A3">
        <w:rPr>
          <w:noProof/>
        </w:rPr>
        <w:tab/>
      </w:r>
      <w:r w:rsidR="000C7598" w:rsidRPr="008867A3">
        <w:rPr>
          <w:noProof/>
        </w:rPr>
        <w:t>στο κεφάλαιο V, μετά το άρθρο 24στ προστίθεται το ακόλουθο τμήμα 3:</w:t>
      </w:r>
    </w:p>
    <w:p w14:paraId="4F35B218" w14:textId="77777777" w:rsidR="005F3296" w:rsidRPr="008867A3" w:rsidRDefault="00F41C4E" w:rsidP="00F41C4E">
      <w:pPr>
        <w:pStyle w:val="NormalCentered"/>
        <w:rPr>
          <w:b/>
          <w:noProof/>
        </w:rPr>
      </w:pPr>
      <w:r w:rsidRPr="008867A3">
        <w:rPr>
          <w:b/>
          <w:noProof/>
        </w:rPr>
        <w:t>«ΤΜΗΜΑ 3</w:t>
      </w:r>
    </w:p>
    <w:p w14:paraId="718AB689" w14:textId="60FFC501" w:rsidR="00F41C4E" w:rsidRPr="008867A3" w:rsidRDefault="00F41C4E" w:rsidP="00F41C4E">
      <w:pPr>
        <w:pStyle w:val="NormalCentered"/>
        <w:rPr>
          <w:b/>
          <w:noProof/>
        </w:rPr>
      </w:pPr>
      <w:r w:rsidRPr="008867A3">
        <w:rPr>
          <w:b/>
          <w:noProof/>
        </w:rPr>
        <w:t>Κεντρικό ηλεκτρονικό σύστημα ανταλλαγής πληροφοριών για τον ΦΠΑ</w:t>
      </w:r>
    </w:p>
    <w:p w14:paraId="71899BC7" w14:textId="77777777" w:rsidR="00F41C4E" w:rsidRPr="008867A3" w:rsidRDefault="00F41C4E" w:rsidP="00F41C4E">
      <w:pPr>
        <w:pStyle w:val="Titrearticle"/>
        <w:rPr>
          <w:noProof/>
        </w:rPr>
      </w:pPr>
      <w:r w:rsidRPr="008867A3">
        <w:rPr>
          <w:noProof/>
        </w:rPr>
        <w:t>Άρθρο 24ζ</w:t>
      </w:r>
    </w:p>
    <w:p w14:paraId="472A24CB" w14:textId="77777777" w:rsidR="00F41C4E" w:rsidRPr="008867A3" w:rsidRDefault="00F41C4E" w:rsidP="00F41C4E">
      <w:pPr>
        <w:pStyle w:val="Point1"/>
        <w:ind w:left="850" w:firstLine="0"/>
        <w:rPr>
          <w:noProof/>
        </w:rPr>
      </w:pPr>
      <w:r w:rsidRPr="008867A3">
        <w:rPr>
          <w:noProof/>
        </w:rPr>
        <w:t xml:space="preserve">1. </w:t>
      </w:r>
      <w:r w:rsidRPr="008867A3">
        <w:rPr>
          <w:noProof/>
        </w:rPr>
        <w:tab/>
        <w:t>Η Επιτροπή αναπτύσσει, συντηρεί, φιλοξενεί και διαχειρίζεται από τεχνικής πλευράς ένα ηλεκτρονικό, κεντρικό σύστημα ανταλλαγής πληροφοριών για τον ΦΠΑ (στο εξής: κεντρικό VIES) για τους σκοπούς που αναφέρονται στο άρθρο 1.</w:t>
      </w:r>
    </w:p>
    <w:p w14:paraId="36D25132" w14:textId="77777777" w:rsidR="00F41C4E" w:rsidRPr="008867A3" w:rsidRDefault="00F41C4E" w:rsidP="00F41C4E">
      <w:pPr>
        <w:pStyle w:val="Point1"/>
        <w:ind w:left="850" w:firstLine="0"/>
        <w:rPr>
          <w:noProof/>
        </w:rPr>
      </w:pPr>
      <w:r w:rsidRPr="008867A3">
        <w:rPr>
          <w:noProof/>
        </w:rPr>
        <w:t>2.</w:t>
      </w:r>
      <w:r w:rsidRPr="008867A3">
        <w:rPr>
          <w:noProof/>
        </w:rPr>
        <w:tab/>
        <w:t>Κάθε κράτος μέλος αναπτύσσει, συντηρεί, φιλοξενεί και διαχειρίζεται από τεχνικής πλευράς ένα εθνικό ηλεκτρονικό σύστημα για την αυτόματη διαβίβαση των ακόλουθων πληροφοριών στο κεντρικό VIES:</w:t>
      </w:r>
    </w:p>
    <w:p w14:paraId="3D81AFA6" w14:textId="211007F0" w:rsidR="00F41C4E" w:rsidRPr="008867A3" w:rsidRDefault="005F3296" w:rsidP="005F3296">
      <w:pPr>
        <w:pStyle w:val="Point1"/>
        <w:rPr>
          <w:noProof/>
        </w:rPr>
      </w:pPr>
      <w:r w:rsidRPr="008867A3">
        <w:rPr>
          <w:noProof/>
        </w:rPr>
        <w:t>α)</w:t>
      </w:r>
      <w:r w:rsidRPr="008867A3">
        <w:rPr>
          <w:noProof/>
        </w:rPr>
        <w:tab/>
      </w:r>
      <w:r w:rsidR="00F41C4E" w:rsidRPr="008867A3">
        <w:rPr>
          <w:noProof/>
        </w:rPr>
        <w:t>τις πληροφορίες τις οποίες συλλέγει σύμφωνα με τον τίτλο XI κεφάλαιο 6 τμήμα 1 της οδηγίας 2006/112/ΕΚ·</w:t>
      </w:r>
    </w:p>
    <w:p w14:paraId="333C4DE5" w14:textId="600BEC59" w:rsidR="00F41C4E" w:rsidRPr="008867A3" w:rsidRDefault="005F3296" w:rsidP="005F3296">
      <w:pPr>
        <w:pStyle w:val="Point1"/>
        <w:rPr>
          <w:noProof/>
        </w:rPr>
      </w:pPr>
      <w:r w:rsidRPr="008867A3">
        <w:rPr>
          <w:noProof/>
        </w:rPr>
        <w:t>β)</w:t>
      </w:r>
      <w:r w:rsidRPr="008867A3">
        <w:rPr>
          <w:noProof/>
        </w:rPr>
        <w:tab/>
      </w:r>
      <w:r w:rsidR="00F41C4E" w:rsidRPr="008867A3">
        <w:rPr>
          <w:noProof/>
        </w:rPr>
        <w:t>τις πληροφορίες σχετικά με την ταυτότητα, τη δραστηριότητα, τη νομική μορφή και τη διεύθυνση των προσώπων στα οποία έχει χορηγήσει αριθμό φορολογικού μητρώου ΦΠΑ, και οι οποίες πληροφορίες έχουν συλλεχθεί κατ’ εφαρμογή του άρθρου 213 της οδηγίας 2006/112/ΕΚ, καθώς και την ημερομηνία κατά την οποία χορηγήθηκε ο εν λόγω αριθμός·</w:t>
      </w:r>
    </w:p>
    <w:p w14:paraId="2B8514D2" w14:textId="480C8DEA" w:rsidR="00F41C4E" w:rsidRPr="008867A3" w:rsidRDefault="005F3296" w:rsidP="005F3296">
      <w:pPr>
        <w:pStyle w:val="Point1"/>
        <w:rPr>
          <w:noProof/>
        </w:rPr>
      </w:pPr>
      <w:r w:rsidRPr="008867A3">
        <w:rPr>
          <w:noProof/>
        </w:rPr>
        <w:t>γ)</w:t>
      </w:r>
      <w:r w:rsidRPr="008867A3">
        <w:rPr>
          <w:noProof/>
        </w:rPr>
        <w:tab/>
      </w:r>
      <w:r w:rsidR="00F41C4E" w:rsidRPr="008867A3">
        <w:rPr>
          <w:noProof/>
        </w:rPr>
        <w:t>τους αριθμούς φορολογικού μητρώου ΦΠΑ που έχει χορηγήσει το κράτος μέλος και είναι πλέον άκυροι, καθώς και τις ημερομηνίες κατά τις οποίες ακυρώθηκαν αυτοί οι αριθμοί·</w:t>
      </w:r>
    </w:p>
    <w:p w14:paraId="2B7C92D5" w14:textId="7617B422" w:rsidR="00F41C4E" w:rsidRPr="008867A3" w:rsidRDefault="005F3296" w:rsidP="005F3296">
      <w:pPr>
        <w:pStyle w:val="Point1"/>
        <w:rPr>
          <w:noProof/>
        </w:rPr>
      </w:pPr>
      <w:r w:rsidRPr="008867A3">
        <w:rPr>
          <w:noProof/>
        </w:rPr>
        <w:t>δ)</w:t>
      </w:r>
      <w:r w:rsidRPr="008867A3">
        <w:rPr>
          <w:noProof/>
        </w:rPr>
        <w:tab/>
      </w:r>
      <w:r w:rsidR="00F41C4E" w:rsidRPr="008867A3">
        <w:rPr>
          <w:noProof/>
        </w:rPr>
        <w:t>την ημερομηνία και την ώρα κατά την οποία τροποποιήθηκαν τα δεδομένα που αναφέρονται στα στοιχεία α), β) και γ).</w:t>
      </w:r>
    </w:p>
    <w:p w14:paraId="6519C759" w14:textId="7515E04D" w:rsidR="00F41C4E" w:rsidRPr="008867A3" w:rsidRDefault="00F41C4E" w:rsidP="00F41C4E">
      <w:pPr>
        <w:pStyle w:val="Point1"/>
        <w:ind w:left="850" w:firstLine="0"/>
        <w:rPr>
          <w:noProof/>
        </w:rPr>
      </w:pPr>
      <w:r w:rsidRPr="008867A3">
        <w:rPr>
          <w:noProof/>
        </w:rPr>
        <w:t>Οι πληροφορίες που αναφέρονται στο στοιχείο α) τηρούν το ευρωπαϊκό πρότυπο έκδοσης ηλεκτρονικών τιμολογίων και τον κατάλογο των συντακτικών δομών του σύμφωνα με τα οριζόμενα στην οδηγία 2014/55/ΕΕ του Ευρωπαϊκού Κοινοβουλίου και του Συμβουλίου*.</w:t>
      </w:r>
    </w:p>
    <w:p w14:paraId="29019699" w14:textId="77777777" w:rsidR="00F41C4E" w:rsidRPr="008867A3" w:rsidRDefault="00F41C4E" w:rsidP="00F41C4E">
      <w:pPr>
        <w:pStyle w:val="Point1"/>
        <w:ind w:left="850" w:firstLine="0"/>
        <w:rPr>
          <w:noProof/>
        </w:rPr>
      </w:pPr>
      <w:r w:rsidRPr="008867A3">
        <w:rPr>
          <w:noProof/>
        </w:rPr>
        <w:t>Η Επιτροπή προσδιορίζει με εκτελεστική πράξη τις λεπτομέρειες και τον μορφότυπο των πληροφοριών που αναφέρονται στην παρούσα παράγραφο. Η εν λόγω εκτελεστική πράξη εκδίδεται σύμφωνα με τη διαδικασία εξέτασης στην οποία παραπέμπει το άρθρο 58 παράγραφος 2.</w:t>
      </w:r>
    </w:p>
    <w:p w14:paraId="3CFB2953" w14:textId="77777777" w:rsidR="00F41C4E" w:rsidRPr="008867A3" w:rsidRDefault="00F41C4E" w:rsidP="00F41C4E">
      <w:pPr>
        <w:pStyle w:val="Point1"/>
        <w:ind w:left="850" w:firstLine="0"/>
        <w:rPr>
          <w:noProof/>
        </w:rPr>
      </w:pPr>
      <w:r w:rsidRPr="008867A3">
        <w:rPr>
          <w:noProof/>
        </w:rPr>
        <w:t>3.</w:t>
      </w:r>
      <w:r w:rsidRPr="008867A3">
        <w:rPr>
          <w:noProof/>
        </w:rPr>
        <w:tab/>
        <w:t>Κάθε κράτος μέλος δύναται να αποθηκεύει τις πληροφορίες που αναφέρονται στην παράγραφο 2 του παρόντος άρθρου, καθώς και τις πληροφορίες που αναφέρονται στο άρθρο 24ι στοιχεία β), γ) και δ), στο εθνικό ηλεκτρονικό σύστημα που αναφέρεται στην παράγραφο 2 του παρόντος άρθρου.</w:t>
      </w:r>
    </w:p>
    <w:p w14:paraId="0A6D2268" w14:textId="77777777" w:rsidR="00F41C4E" w:rsidRPr="008867A3" w:rsidRDefault="00F41C4E" w:rsidP="00F41C4E">
      <w:pPr>
        <w:pStyle w:val="Titrearticle"/>
        <w:rPr>
          <w:noProof/>
        </w:rPr>
      </w:pPr>
      <w:r w:rsidRPr="008867A3">
        <w:rPr>
          <w:noProof/>
        </w:rPr>
        <w:t>Άρθρο 24η</w:t>
      </w:r>
    </w:p>
    <w:p w14:paraId="17CDADAD" w14:textId="77777777" w:rsidR="00F41C4E" w:rsidRPr="008867A3" w:rsidRDefault="00F41C4E" w:rsidP="00F41C4E">
      <w:pPr>
        <w:pStyle w:val="Point1"/>
        <w:ind w:left="850" w:firstLine="0"/>
        <w:rPr>
          <w:noProof/>
        </w:rPr>
      </w:pPr>
      <w:r w:rsidRPr="008867A3">
        <w:rPr>
          <w:noProof/>
        </w:rPr>
        <w:t>1.</w:t>
      </w:r>
      <w:r w:rsidRPr="008867A3">
        <w:rPr>
          <w:noProof/>
        </w:rPr>
        <w:tab/>
        <w:t>Τα κράτη μέλη μεριμνούν ώστε οι πληροφορίες που διατίθενται στο κεντρικό VIES να είναι επικαιροποιημένες, πλήρεις και ακριβείς.</w:t>
      </w:r>
    </w:p>
    <w:p w14:paraId="488C7AAC" w14:textId="77777777" w:rsidR="00F41C4E" w:rsidRPr="008867A3" w:rsidRDefault="00F41C4E" w:rsidP="00F41C4E">
      <w:pPr>
        <w:pStyle w:val="Point1"/>
        <w:ind w:left="850" w:firstLine="0"/>
        <w:rPr>
          <w:noProof/>
        </w:rPr>
      </w:pPr>
      <w:r w:rsidRPr="008867A3">
        <w:rPr>
          <w:noProof/>
        </w:rPr>
        <w:t>Η Επιτροπή καθορίζει με εκτελεστική πράξη τα κριτήρια καθορισμού των αλλαγών οι οποίες δεν είναι αρκετά συναφείς, ουσιώδεις ή χρήσιμες ώστε να διαβιβάζονται στο κεντρικό VIES.  Η εν λόγω εκτελεστική πράξη εκδίδεται σύμφωνα με τη διαδικασία εξέτασης στην οποία παραπέμπει το άρθρο 58 παράγραφος 2.</w:t>
      </w:r>
    </w:p>
    <w:p w14:paraId="504AF47F" w14:textId="77777777" w:rsidR="00F41C4E" w:rsidRPr="008867A3" w:rsidRDefault="00F41C4E" w:rsidP="00F41C4E">
      <w:pPr>
        <w:pStyle w:val="Point1"/>
        <w:ind w:left="850" w:firstLine="0"/>
        <w:rPr>
          <w:noProof/>
        </w:rPr>
      </w:pPr>
      <w:r w:rsidRPr="008867A3">
        <w:rPr>
          <w:noProof/>
        </w:rPr>
        <w:t>2.</w:t>
      </w:r>
      <w:r w:rsidRPr="008867A3">
        <w:rPr>
          <w:noProof/>
        </w:rPr>
        <w:tab/>
        <w:t>Τα κράτη μέλη θεσπίζουν τα αναγκαία μέτρα ώστε να διασφαλίζουν ότι τα δεδομένα τα οποία παρέχουν οι υποκείμενοι στον φόρο και τα μη υποκείμενα στον φόρο νομικά πρόσωπα για την απόκτηση αριθμού φορολογικού μητρώου ΦΠΑ, σύμφωνα με το άρθρο 214 της οδηγίας 2006/112/ΕΚ, είναι, κατά την εκτίμησή τους, πλήρη και αξιόπιστα πριν διαβιβαστούν στο κεντρικό VIES.</w:t>
      </w:r>
    </w:p>
    <w:p w14:paraId="66928812" w14:textId="69E8681B" w:rsidR="00F41C4E" w:rsidRPr="008867A3" w:rsidRDefault="00F41C4E" w:rsidP="00F41C4E">
      <w:pPr>
        <w:pStyle w:val="Point1"/>
        <w:ind w:left="850" w:firstLine="0"/>
        <w:rPr>
          <w:noProof/>
        </w:rPr>
      </w:pPr>
      <w:r w:rsidRPr="008867A3">
        <w:rPr>
          <w:noProof/>
        </w:rPr>
        <w:t>Τα κράτη μέλη εφαρμόζουν διαδικασίες για την εξακρίβωση των δεδομένων αυτών όπως καθορίζονται από τα αποτελέσματα της αξιολόγησης κινδύνου τους. Η εξακρίβωση διενεργείται, καταρχήν, πριν από τη χορήγηση αριθμού φορολογικού μητρώου ΦΠΑ ή, όταν πριν από την εν λόγω χορήγηση διεξάγεται μόνο προκαταρκτική εξακρίβωση, το αργότερο εντός έξι μηνών από τη χορήγηση αριθμού φορολογικού μητρώου ΦΠΑ.</w:t>
      </w:r>
    </w:p>
    <w:p w14:paraId="1E7B15E0" w14:textId="787A0788" w:rsidR="00F41C4E" w:rsidRPr="008867A3" w:rsidRDefault="00F41C4E" w:rsidP="00F41C4E">
      <w:pPr>
        <w:pStyle w:val="Point1"/>
        <w:ind w:left="850" w:firstLine="0"/>
        <w:rPr>
          <w:noProof/>
        </w:rPr>
      </w:pPr>
      <w:r w:rsidRPr="008867A3">
        <w:rPr>
          <w:noProof/>
        </w:rPr>
        <w:t>3.</w:t>
      </w:r>
      <w:r w:rsidRPr="008867A3">
        <w:rPr>
          <w:noProof/>
        </w:rPr>
        <w:tab/>
        <w:t>Τα κράτη μέλη ενημερώνουν την Επιτροπή και άλλα κράτη μέλη σχετικά με τα μέτρα που θεσπίζουν σε εθνικό επίπεδο με σκοπό τη διασφάλιση της ποιότητας και της αξιοπιστίας των πληροφοριών σύμφωνα με την παράγραφο 2.</w:t>
      </w:r>
    </w:p>
    <w:p w14:paraId="7302E519" w14:textId="77777777" w:rsidR="00F41C4E" w:rsidRPr="008867A3" w:rsidRDefault="00F41C4E" w:rsidP="00F41C4E">
      <w:pPr>
        <w:pStyle w:val="Point1"/>
        <w:ind w:left="850" w:firstLine="0"/>
        <w:rPr>
          <w:noProof/>
        </w:rPr>
      </w:pPr>
      <w:r w:rsidRPr="008867A3">
        <w:rPr>
          <w:noProof/>
        </w:rPr>
        <w:t>4.</w:t>
      </w:r>
      <w:r w:rsidRPr="008867A3">
        <w:rPr>
          <w:noProof/>
        </w:rPr>
        <w:tab/>
        <w:t>Τα κράτη μέλη εισάγουν χωρίς καθυστέρηση στο κεντρικό VIES τις πληροφορίες που αναφέρονται στο άρθρο 24ζ παράγραφος 2.</w:t>
      </w:r>
    </w:p>
    <w:p w14:paraId="511BEF29" w14:textId="77777777" w:rsidR="00F41C4E" w:rsidRPr="008867A3" w:rsidRDefault="00F41C4E" w:rsidP="00F41C4E">
      <w:pPr>
        <w:pStyle w:val="Point1"/>
        <w:ind w:left="850" w:firstLine="0"/>
        <w:rPr>
          <w:noProof/>
        </w:rPr>
      </w:pPr>
      <w:r w:rsidRPr="008867A3">
        <w:rPr>
          <w:noProof/>
        </w:rPr>
        <w:t>Οι λεπτομέρειες σχετικά με τις αποδεκτές τεχνικές καθυστερήσεις ορίζονται σε εκτελεστική πράξη. Η εν λόγω εκτελεστική πράξη εκδίδεται σύμφωνα με τη διαδικασία εξέτασης στην οποία παραπέμπει το άρθρο 58 παράγραφος 2.</w:t>
      </w:r>
    </w:p>
    <w:p w14:paraId="37B2D422" w14:textId="77777777" w:rsidR="00F41C4E" w:rsidRPr="008867A3" w:rsidRDefault="00F41C4E" w:rsidP="00F41C4E">
      <w:pPr>
        <w:pStyle w:val="Point1"/>
        <w:ind w:left="850" w:firstLine="0"/>
        <w:rPr>
          <w:noProof/>
        </w:rPr>
      </w:pPr>
      <w:r w:rsidRPr="008867A3">
        <w:rPr>
          <w:noProof/>
        </w:rPr>
        <w:t>5.</w:t>
      </w:r>
      <w:r w:rsidRPr="008867A3">
        <w:rPr>
          <w:noProof/>
        </w:rPr>
        <w:tab/>
        <w:t>Κατά παρέκκλιση από την παράγραφο 4 του παρόντος άρθρου, οι πληροφορίες που αναφέρονται στο άρθρο 24ζ παράγραφος 2 στοιχείο α) εισάγονται στο κεντρικό VIES το αργότερο μία ημέρα μετά τη συλλογή των πληροφοριών που υπέβαλε ο υποκείμενος στον φόρο στις αρμόδιες αρχές.</w:t>
      </w:r>
    </w:p>
    <w:p w14:paraId="6280E6D4" w14:textId="77777777" w:rsidR="00F41C4E" w:rsidRPr="008867A3" w:rsidRDefault="00F41C4E" w:rsidP="00F41C4E">
      <w:pPr>
        <w:pStyle w:val="Point1"/>
        <w:ind w:left="850" w:firstLine="0"/>
        <w:rPr>
          <w:noProof/>
        </w:rPr>
      </w:pPr>
      <w:r w:rsidRPr="008867A3">
        <w:rPr>
          <w:noProof/>
        </w:rPr>
        <w:t>6.</w:t>
      </w:r>
      <w:r w:rsidRPr="008867A3">
        <w:rPr>
          <w:noProof/>
        </w:rPr>
        <w:tab/>
        <w:t>Οι πληροφορίες που αναφέρονται στο άρθρο 24ζ παράγραφος 2 παραμένουν διαθέσιμες στο κεντρικό VIES επί πέντε έτη από το τέλος του έτους κατά το οποίο οι πληροφορίες διαβιβάστηκαν σε αυτό.</w:t>
      </w:r>
    </w:p>
    <w:p w14:paraId="062441FD" w14:textId="77777777" w:rsidR="00F41C4E" w:rsidRPr="008867A3" w:rsidRDefault="00F41C4E" w:rsidP="00F41C4E">
      <w:pPr>
        <w:pStyle w:val="Titrearticle"/>
        <w:rPr>
          <w:noProof/>
        </w:rPr>
      </w:pPr>
      <w:r w:rsidRPr="008867A3">
        <w:rPr>
          <w:noProof/>
        </w:rPr>
        <w:t>Άρθρο 24θ</w:t>
      </w:r>
    </w:p>
    <w:p w14:paraId="38043AC3" w14:textId="77777777" w:rsidR="00F41C4E" w:rsidRPr="008867A3" w:rsidRDefault="00F41C4E" w:rsidP="00F41C4E">
      <w:pPr>
        <w:pStyle w:val="Point1"/>
        <w:ind w:left="850" w:firstLine="0"/>
        <w:rPr>
          <w:noProof/>
        </w:rPr>
      </w:pPr>
      <w:r w:rsidRPr="008867A3">
        <w:rPr>
          <w:noProof/>
        </w:rPr>
        <w:t>1.</w:t>
      </w:r>
      <w:r w:rsidRPr="008867A3">
        <w:rPr>
          <w:noProof/>
        </w:rPr>
        <w:tab/>
        <w:t>Τα κράτη μέλη επικαιροποιούν αυτομάτως το κεντρικό VIES, ώστε να διασφαλίζεται ότι ο αριθμός φορολογικού μητρώου ΦΠΑ, όπως αναφέρεται στο άρθρο 214 της οδηγίας 2006/112/ΕΚ, αναφέρεται ως άκυρος στο κεντρικό VIES στις ακόλουθες περιπτώσεις:</w:t>
      </w:r>
    </w:p>
    <w:p w14:paraId="154F18FE" w14:textId="4100038B" w:rsidR="00F41C4E" w:rsidRPr="008867A3" w:rsidRDefault="005F3296" w:rsidP="005F3296">
      <w:pPr>
        <w:pStyle w:val="Point1"/>
        <w:rPr>
          <w:noProof/>
        </w:rPr>
      </w:pPr>
      <w:r w:rsidRPr="008867A3">
        <w:rPr>
          <w:noProof/>
        </w:rPr>
        <w:t>α)</w:t>
      </w:r>
      <w:r w:rsidRPr="008867A3">
        <w:rPr>
          <w:noProof/>
        </w:rPr>
        <w:tab/>
      </w:r>
      <w:r w:rsidR="00F41C4E" w:rsidRPr="008867A3">
        <w:rPr>
          <w:noProof/>
        </w:rPr>
        <w:t>όταν τα πρόσωπα τα οποία διαθέτουν αριθμό φορολογικού μητρώου ΦΠΑ έχουν δηλώσει ότι έχει παύσει η οικονομική δραστηριότητά τους, όπως αναφέρεται στο άρθρο 9 της οδηγίας 2006/112/ΕΚ, ή όταν η αρμόδια αρχή θεωρεί ότι έχουν παύσει αυτήν τη δραστηριότητα·</w:t>
      </w:r>
    </w:p>
    <w:p w14:paraId="167E8D0F" w14:textId="2C96F1B9" w:rsidR="00F41C4E" w:rsidRPr="008867A3" w:rsidRDefault="005F3296" w:rsidP="005F3296">
      <w:pPr>
        <w:pStyle w:val="Point1"/>
        <w:rPr>
          <w:noProof/>
        </w:rPr>
      </w:pPr>
      <w:r w:rsidRPr="008867A3">
        <w:rPr>
          <w:noProof/>
        </w:rPr>
        <w:t>β)</w:t>
      </w:r>
      <w:r w:rsidRPr="008867A3">
        <w:rPr>
          <w:noProof/>
        </w:rPr>
        <w:tab/>
      </w:r>
      <w:r w:rsidR="00F41C4E" w:rsidRPr="008867A3">
        <w:rPr>
          <w:noProof/>
        </w:rPr>
        <w:t>όταν τα πρόσωπα έχουν δηλώσει ψευδή στοιχεία με σκοπό την απόκτηση αριθμού φορολογικού μητρώου ΦΠΑ και, εάν η φορολογική διοίκηση ήταν ενήμερη, αυτή θα αρνούνταν τη χορήγηση αριθμού φορολογικού μητρώου ΦΠΑ ή θα καταργούσε τον αριθμό φορολογικού μητρώου ΦΠΑ·</w:t>
      </w:r>
    </w:p>
    <w:p w14:paraId="0FF6488D" w14:textId="4354B4BD" w:rsidR="00F41C4E" w:rsidRPr="008867A3" w:rsidRDefault="005F3296" w:rsidP="005F3296">
      <w:pPr>
        <w:pStyle w:val="Point1"/>
        <w:rPr>
          <w:noProof/>
        </w:rPr>
      </w:pPr>
      <w:r w:rsidRPr="008867A3">
        <w:rPr>
          <w:noProof/>
        </w:rPr>
        <w:t>γ)</w:t>
      </w:r>
      <w:r w:rsidRPr="008867A3">
        <w:rPr>
          <w:noProof/>
        </w:rPr>
        <w:tab/>
      </w:r>
      <w:r w:rsidR="00F41C4E" w:rsidRPr="008867A3">
        <w:rPr>
          <w:noProof/>
        </w:rPr>
        <w:t>όταν τα πρόσωπα δεν έχουν κοινοποιήσει αλλαγές των στοιχείων τους και, εάν η φορολογική διοίκηση ήταν ενήμερη, αυτή θα αρνούνταν τη χορήγηση αριθμού φορολογικού μητρώου ΦΠΑ ή θα καταργούσε τον αριθμό φορολογικού μητρώου ΦΠΑ.</w:t>
      </w:r>
    </w:p>
    <w:p w14:paraId="764A035D" w14:textId="77777777" w:rsidR="00F41C4E" w:rsidRPr="008867A3" w:rsidRDefault="00F41C4E" w:rsidP="00F41C4E">
      <w:pPr>
        <w:pStyle w:val="Text1"/>
        <w:rPr>
          <w:noProof/>
        </w:rPr>
      </w:pPr>
      <w:r w:rsidRPr="008867A3">
        <w:rPr>
          <w:noProof/>
        </w:rPr>
        <w:t>Οι περιπτώσεις που αναφέρονται στην παρούσα παράγραφο προβλέπονται με την επιφύλαξη τυχόν εθνικών κανόνων που προβλέπουν πρόσθετες περιπτώσεις.</w:t>
      </w:r>
    </w:p>
    <w:p w14:paraId="10700531" w14:textId="77777777" w:rsidR="00F41C4E" w:rsidRPr="008867A3" w:rsidRDefault="00F41C4E" w:rsidP="00F41C4E">
      <w:pPr>
        <w:pStyle w:val="Point1"/>
        <w:ind w:left="850" w:firstLine="0"/>
        <w:rPr>
          <w:noProof/>
        </w:rPr>
      </w:pPr>
      <w:r w:rsidRPr="008867A3">
        <w:rPr>
          <w:noProof/>
        </w:rPr>
        <w:t>2. Για τους σκοπούς της παραγράφου 1 στοιχείο α), μια οικονομική δραστηριότητα θεωρείται από την αρμόδια αρχή ότι έχει παύσει τουλάχιστον στις ακόλουθες περιπτώσεις:</w:t>
      </w:r>
    </w:p>
    <w:p w14:paraId="3483ECC3" w14:textId="17C651F4" w:rsidR="00F41C4E" w:rsidRPr="008867A3" w:rsidRDefault="005F3296" w:rsidP="005F3296">
      <w:pPr>
        <w:pStyle w:val="Point1"/>
        <w:rPr>
          <w:noProof/>
        </w:rPr>
      </w:pPr>
      <w:r w:rsidRPr="008867A3">
        <w:rPr>
          <w:noProof/>
        </w:rPr>
        <w:t>α)</w:t>
      </w:r>
      <w:r w:rsidRPr="008867A3">
        <w:rPr>
          <w:noProof/>
        </w:rPr>
        <w:tab/>
      </w:r>
      <w:r w:rsidR="00F41C4E" w:rsidRPr="008867A3">
        <w:rPr>
          <w:noProof/>
        </w:rPr>
        <w:t>παρά τη σχετική απαίτηση, το πρόσωπο το οποίο διαθέτει αριθμό φορολογικού μητρώου ΦΠΑ δεν έχει υποβάλει δηλώσεις ΦΠΑ επί ένα έτος μετά την εκπνοή της προθεσμίας υποβολής της πρώτης δήλωσης που δεν υποβλήθηκε·</w:t>
      </w:r>
    </w:p>
    <w:p w14:paraId="441EC503" w14:textId="4A636457" w:rsidR="00F41C4E" w:rsidRPr="008867A3" w:rsidRDefault="005F3296" w:rsidP="005F3296">
      <w:pPr>
        <w:pStyle w:val="Point1"/>
        <w:rPr>
          <w:noProof/>
        </w:rPr>
      </w:pPr>
      <w:r w:rsidRPr="008867A3">
        <w:rPr>
          <w:noProof/>
        </w:rPr>
        <w:t>β)</w:t>
      </w:r>
      <w:r w:rsidRPr="008867A3">
        <w:rPr>
          <w:noProof/>
        </w:rPr>
        <w:tab/>
      </w:r>
      <w:r w:rsidR="00F41C4E" w:rsidRPr="008867A3">
        <w:rPr>
          <w:noProof/>
        </w:rPr>
        <w:t>παρά τη σχετική απαίτηση, το πρόσωπο το οποίο διαθέτει αριθμό φορολογικού μητρώου ΦΠΑ δεν έχει υποβάλει τα δεδομένα σχετικά με την ενδοκοινοτική παράδοση αγαθών ή παροχή υπηρεσιών επί έξι μήνες μετά την εκπνοή της προθεσμίας υποβολής των δεδομένων αυτών.</w:t>
      </w:r>
    </w:p>
    <w:p w14:paraId="6B78EB90" w14:textId="77777777" w:rsidR="00F41C4E" w:rsidRPr="008867A3" w:rsidRDefault="00F41C4E" w:rsidP="00F41C4E">
      <w:pPr>
        <w:pStyle w:val="Text1"/>
        <w:rPr>
          <w:noProof/>
        </w:rPr>
      </w:pPr>
      <w:r w:rsidRPr="008867A3">
        <w:rPr>
          <w:noProof/>
        </w:rPr>
        <w:t>Οι περιπτώσεις που αναφέρονται στην παρούσα παράγραφο προβλέπονται με την επιφύλαξη τυχόν εθνικών κανόνων που προβλέπουν πρόσθετες περιπτώσεις.</w:t>
      </w:r>
    </w:p>
    <w:p w14:paraId="18F1ED99" w14:textId="77777777" w:rsidR="00F41C4E" w:rsidRPr="008867A3" w:rsidRDefault="00F41C4E" w:rsidP="00F41C4E">
      <w:pPr>
        <w:pStyle w:val="Titrearticle"/>
        <w:rPr>
          <w:noProof/>
        </w:rPr>
      </w:pPr>
      <w:r w:rsidRPr="008867A3">
        <w:rPr>
          <w:noProof/>
        </w:rPr>
        <w:t>Άρθρο 24ι</w:t>
      </w:r>
    </w:p>
    <w:p w14:paraId="1434CAD8" w14:textId="77777777" w:rsidR="00F41C4E" w:rsidRPr="008867A3" w:rsidRDefault="00F41C4E" w:rsidP="00F41C4E">
      <w:pPr>
        <w:pStyle w:val="Text1"/>
        <w:rPr>
          <w:noProof/>
        </w:rPr>
      </w:pPr>
      <w:r w:rsidRPr="008867A3">
        <w:rPr>
          <w:noProof/>
        </w:rPr>
        <w:t>Το κεντρικό VIES έχει τις ακόλουθες λειτουργίες όσον αφορά τις πληροφορίες που λαμβάνει σύμφωνα με το άρθρο 24ζ παράγραφος 2 του παρόντος κανονισμού:</w:t>
      </w:r>
    </w:p>
    <w:p w14:paraId="48568627" w14:textId="74892EF1" w:rsidR="00F41C4E" w:rsidRPr="008867A3" w:rsidRDefault="005F3296" w:rsidP="005F3296">
      <w:pPr>
        <w:pStyle w:val="Point1"/>
        <w:rPr>
          <w:noProof/>
        </w:rPr>
      </w:pPr>
      <w:r w:rsidRPr="008867A3">
        <w:rPr>
          <w:noProof/>
        </w:rPr>
        <w:t>α)</w:t>
      </w:r>
      <w:r w:rsidRPr="008867A3">
        <w:rPr>
          <w:noProof/>
        </w:rPr>
        <w:tab/>
      </w:r>
      <w:r w:rsidR="00F41C4E" w:rsidRPr="008867A3">
        <w:rPr>
          <w:noProof/>
        </w:rPr>
        <w:t>να αποθηκεύει τις πληροφορίες που αναφέρονται στα στοιχεία β), γ) και δ) του παρόντος άρθρου και στο άρθρο 24ζ παράγραφος 2 του παρόντος κανονισμού·</w:t>
      </w:r>
    </w:p>
    <w:p w14:paraId="3A655D29" w14:textId="6AAF296E" w:rsidR="00F41C4E" w:rsidRPr="008867A3" w:rsidRDefault="005F3296" w:rsidP="005F3296">
      <w:pPr>
        <w:pStyle w:val="Point1"/>
        <w:rPr>
          <w:noProof/>
        </w:rPr>
      </w:pPr>
      <w:r w:rsidRPr="008867A3">
        <w:rPr>
          <w:noProof/>
        </w:rPr>
        <w:t>β)</w:t>
      </w:r>
      <w:r w:rsidRPr="008867A3">
        <w:rPr>
          <w:noProof/>
        </w:rPr>
        <w:tab/>
      </w:r>
      <w:r w:rsidR="00F41C4E" w:rsidRPr="008867A3">
        <w:rPr>
          <w:noProof/>
        </w:rPr>
        <w:t>να διασταυρώνει τις πληροφορίες σχετικά με τις ενδοκοινοτικές παραδόσεις αγαθών ή παροχές υπηρεσιών και αποκτήσεις που συλλέγονται δυνάμει του τίτλου XI κεφάλαιο 6 τμήμα 1 της οδηγίας 2006/112/ΕΚ·</w:t>
      </w:r>
    </w:p>
    <w:p w14:paraId="5DB3C350" w14:textId="2FB39E53" w:rsidR="00F41C4E" w:rsidRPr="008867A3" w:rsidRDefault="005F3296" w:rsidP="005F3296">
      <w:pPr>
        <w:pStyle w:val="Point1"/>
        <w:rPr>
          <w:noProof/>
        </w:rPr>
      </w:pPr>
      <w:r w:rsidRPr="008867A3">
        <w:rPr>
          <w:noProof/>
        </w:rPr>
        <w:t>γ)</w:t>
      </w:r>
      <w:r w:rsidRPr="008867A3">
        <w:rPr>
          <w:noProof/>
        </w:rPr>
        <w:tab/>
      </w:r>
      <w:r w:rsidR="00F41C4E" w:rsidRPr="008867A3">
        <w:rPr>
          <w:noProof/>
        </w:rPr>
        <w:t>να συγκεντρώνει τις πληροφορίες που αφορούν τα πρόσωπα στα οποία έχει χορηγηθεί και συλλεχθεί αριθμός φορολογικού μητρώου ΦΠΑ κατ’ εφαρμογή του άρθρου 213 της οδηγίας 2006/112/ΕΚ, και να καθιστά προσπελάσιμες για τους υπαλλήλους ή τα ηλεκτρονικά συστήματα που αναφέρονται στο άρθρο 24ια τις ακόλουθες επιμέρους πληροφορίες:</w:t>
      </w:r>
    </w:p>
    <w:p w14:paraId="5458B099" w14:textId="77777777" w:rsidR="00F41C4E" w:rsidRPr="008867A3" w:rsidRDefault="00F41C4E" w:rsidP="00F41C4E">
      <w:pPr>
        <w:pStyle w:val="Point2"/>
        <w:rPr>
          <w:noProof/>
        </w:rPr>
      </w:pPr>
      <w:r w:rsidRPr="008867A3">
        <w:rPr>
          <w:noProof/>
        </w:rPr>
        <w:t>i)</w:t>
      </w:r>
      <w:r w:rsidRPr="008867A3">
        <w:rPr>
          <w:noProof/>
        </w:rPr>
        <w:tab/>
        <w:t xml:space="preserve">τη συνολική αξία όλων των ενδοκοινοτικών παραδόσεων αγαθών και τη συνολική αξία όλων των ενδοκοινοτικών παροχών υπηρεσιών προς πρόσωπα, στα οποία έχει χορηγηθεί αριθμός φορολογικού μητρώου ΦΠΑ από κράτος μέλος, από όλες τις επιχειρήσεις που διαθέτουν αριθμό φορολογικού μητρώου ΦΠΑ σε κάθε άλλο κράτος μέλος· </w:t>
      </w:r>
    </w:p>
    <w:p w14:paraId="697BC3EF" w14:textId="77777777" w:rsidR="00F41C4E" w:rsidRPr="008867A3" w:rsidRDefault="00F41C4E" w:rsidP="00F41C4E">
      <w:pPr>
        <w:pStyle w:val="Point2"/>
        <w:rPr>
          <w:noProof/>
        </w:rPr>
      </w:pPr>
      <w:r w:rsidRPr="008867A3">
        <w:rPr>
          <w:noProof/>
        </w:rPr>
        <w:t>ii)</w:t>
      </w:r>
      <w:r w:rsidRPr="008867A3">
        <w:rPr>
          <w:noProof/>
        </w:rPr>
        <w:tab/>
        <w:t xml:space="preserve">τους αριθμούς φορολογικού μητρώου ΦΠΑ των προσώπων τα οποία πραγματοποίησαν τις παραδόσεις αγαθών και παροχές υπηρεσιών που προβλέπονται στο σημείο i)· </w:t>
      </w:r>
    </w:p>
    <w:p w14:paraId="4C18864F" w14:textId="77777777" w:rsidR="00F41C4E" w:rsidRPr="008867A3" w:rsidRDefault="00F41C4E" w:rsidP="00F41C4E">
      <w:pPr>
        <w:pStyle w:val="Point2"/>
        <w:rPr>
          <w:noProof/>
        </w:rPr>
      </w:pPr>
      <w:r w:rsidRPr="008867A3">
        <w:rPr>
          <w:noProof/>
        </w:rPr>
        <w:t>iii)</w:t>
      </w:r>
      <w:r w:rsidRPr="008867A3">
        <w:rPr>
          <w:noProof/>
        </w:rPr>
        <w:tab/>
        <w:t>τη συνολική αξία των παραδόσεων αγαθών και παροχών υπηρεσιών που προβλέπονται στο σημείο i) και έχουν πραγματοποιηθεί από καθένα από τα πρόσωπα που αναφέρονται στο σημείο ii) προς κάθε πρόσωπο που έχει λάβει αριθμό φορολογικού μητρώου ΦΠΑ από κράτος μέλος·</w:t>
      </w:r>
    </w:p>
    <w:p w14:paraId="63E56069" w14:textId="77777777" w:rsidR="00F41C4E" w:rsidRPr="008867A3" w:rsidRDefault="00F41C4E" w:rsidP="00F41C4E">
      <w:pPr>
        <w:pStyle w:val="Point2"/>
        <w:rPr>
          <w:noProof/>
        </w:rPr>
      </w:pPr>
      <w:r w:rsidRPr="008867A3">
        <w:rPr>
          <w:noProof/>
        </w:rPr>
        <w:t>iv)</w:t>
      </w:r>
      <w:r w:rsidRPr="008867A3">
        <w:rPr>
          <w:noProof/>
        </w:rPr>
        <w:tab/>
        <w:t>τη συνολική αξία των παραδόσεων αγαθών και παροχών υπηρεσιών που προβλέπονται στο σημείο i) και έχουν πραγματοποιηθεί από καθένα από τα πρόσωπα που αναφέρονται στο σημείο ii) προς κάθε πρόσωπο που έχει λάβει αριθμό φορολογικού μητρώου ΦΠΑ από άλλο κράτος μέλος·</w:t>
      </w:r>
    </w:p>
    <w:p w14:paraId="71B08292" w14:textId="283C8D19" w:rsidR="00F41C4E" w:rsidRPr="008867A3" w:rsidRDefault="005F3296" w:rsidP="005F3296">
      <w:pPr>
        <w:pStyle w:val="Point1"/>
        <w:rPr>
          <w:noProof/>
        </w:rPr>
      </w:pPr>
      <w:r w:rsidRPr="008867A3">
        <w:rPr>
          <w:noProof/>
        </w:rPr>
        <w:t>δ)</w:t>
      </w:r>
      <w:r w:rsidRPr="008867A3">
        <w:rPr>
          <w:noProof/>
        </w:rPr>
        <w:tab/>
      </w:r>
      <w:r w:rsidR="00F41C4E" w:rsidRPr="008867A3">
        <w:rPr>
          <w:noProof/>
        </w:rPr>
        <w:t>να επεξεργάζεται πληροφορίες, μαζί με τυχόν πληροφορίες που γνωστοποιούνται ή συλλέγονται δυνάμει του παρόντος κανονισμού·</w:t>
      </w:r>
    </w:p>
    <w:p w14:paraId="1B8E007F" w14:textId="2FCB555D" w:rsidR="00F41C4E" w:rsidRPr="008867A3" w:rsidRDefault="005F3296" w:rsidP="005F3296">
      <w:pPr>
        <w:pStyle w:val="Point1"/>
        <w:rPr>
          <w:noProof/>
        </w:rPr>
      </w:pPr>
      <w:r w:rsidRPr="008867A3">
        <w:rPr>
          <w:noProof/>
        </w:rPr>
        <w:t>ε)</w:t>
      </w:r>
      <w:r w:rsidRPr="008867A3">
        <w:rPr>
          <w:noProof/>
        </w:rPr>
        <w:tab/>
      </w:r>
      <w:r w:rsidR="00F41C4E" w:rsidRPr="008867A3">
        <w:rPr>
          <w:noProof/>
        </w:rPr>
        <w:t>να καθιστά τις πληροφορίες που αναφέρονται στο άρθρο 24ζ παράγραφος 2 και στα στοιχεία β), γ) και δ) του παρόντος άρθρου προσπελάσιμες για τους υπαλλήλους ή τα ηλεκτρονικά συστήματα που αναφέρονται στο άρθρο 24ια.</w:t>
      </w:r>
    </w:p>
    <w:p w14:paraId="31B5B984" w14:textId="77777777" w:rsidR="00F41C4E" w:rsidRPr="008867A3" w:rsidRDefault="00F41C4E" w:rsidP="00F41C4E">
      <w:pPr>
        <w:pStyle w:val="Titrearticle"/>
        <w:rPr>
          <w:noProof/>
        </w:rPr>
      </w:pPr>
      <w:r w:rsidRPr="008867A3">
        <w:rPr>
          <w:noProof/>
        </w:rPr>
        <w:t>Άρθρο 24ια</w:t>
      </w:r>
    </w:p>
    <w:p w14:paraId="239ACB55" w14:textId="3D81F700" w:rsidR="00F41C4E" w:rsidRPr="008867A3" w:rsidRDefault="00F41C4E" w:rsidP="00F41C4E">
      <w:pPr>
        <w:pStyle w:val="Point1"/>
        <w:rPr>
          <w:noProof/>
        </w:rPr>
      </w:pPr>
      <w:r w:rsidRPr="008867A3">
        <w:rPr>
          <w:noProof/>
        </w:rPr>
        <w:t>1.</w:t>
      </w:r>
      <w:r w:rsidRPr="008867A3">
        <w:rPr>
          <w:noProof/>
        </w:rPr>
        <w:tab/>
        <w:t>Κάθε κράτος μέλος χορηγεί αυτοματοποιημένη πρόσβαση στο κεντρικό VIES:</w:t>
      </w:r>
    </w:p>
    <w:p w14:paraId="04772F35" w14:textId="51A100DE" w:rsidR="00F41C4E" w:rsidRPr="008867A3" w:rsidRDefault="005F3296" w:rsidP="005F3296">
      <w:pPr>
        <w:pStyle w:val="Point1"/>
        <w:rPr>
          <w:noProof/>
        </w:rPr>
      </w:pPr>
      <w:r w:rsidRPr="008867A3">
        <w:rPr>
          <w:noProof/>
        </w:rPr>
        <w:t>α)</w:t>
      </w:r>
      <w:r w:rsidRPr="008867A3">
        <w:rPr>
          <w:noProof/>
        </w:rPr>
        <w:tab/>
      </w:r>
      <w:r w:rsidR="00F41C4E" w:rsidRPr="008867A3">
        <w:rPr>
          <w:noProof/>
        </w:rPr>
        <w:t>στους υπαλλήλους οι οποίοι έχουν λάβει εξουσιοδότηση από την αρμόδια αρχή του εν λόγω κράτους μέλους ώστε να έχουν άμεση πρόσβαση στις πληροφορίες του κεντρικού VIES·</w:t>
      </w:r>
    </w:p>
    <w:p w14:paraId="6B5AC7FD" w14:textId="4D310AAC" w:rsidR="00F41C4E" w:rsidRPr="008867A3" w:rsidRDefault="005F3296" w:rsidP="005F3296">
      <w:pPr>
        <w:pStyle w:val="Point1"/>
        <w:rPr>
          <w:noProof/>
        </w:rPr>
      </w:pPr>
      <w:r w:rsidRPr="008867A3">
        <w:rPr>
          <w:noProof/>
        </w:rPr>
        <w:t>β)</w:t>
      </w:r>
      <w:r w:rsidRPr="008867A3">
        <w:rPr>
          <w:noProof/>
        </w:rPr>
        <w:tab/>
      </w:r>
      <w:r w:rsidR="00F41C4E" w:rsidRPr="008867A3">
        <w:rPr>
          <w:noProof/>
        </w:rPr>
        <w:t>στους υπαλλήλους συνδέσμους του Eurofisc, όπως αναφέρεται στο άρθρο 36 παράγραφος 1, οι οποίοι έχουν ταυτοποίηση προσωπικού χρήστη για το κεντρικό VIES και όταν η εν λόγω πρόσβαση συνδέεται με έρευνα για εικαζόμενη απάτη στον τομέα του ΦΠΑ ή αποσκοπεί να εντοπίσει απάτη στον τομέα του ΦΠΑ·</w:t>
      </w:r>
    </w:p>
    <w:p w14:paraId="5FF95233" w14:textId="6EC228A3" w:rsidR="000573DC" w:rsidRPr="008867A3" w:rsidRDefault="005F3296" w:rsidP="005F3296">
      <w:pPr>
        <w:pStyle w:val="Point1"/>
        <w:rPr>
          <w:noProof/>
        </w:rPr>
      </w:pPr>
      <w:r w:rsidRPr="008867A3">
        <w:rPr>
          <w:noProof/>
        </w:rPr>
        <w:t>γ)</w:t>
      </w:r>
      <w:r w:rsidRPr="008867A3">
        <w:rPr>
          <w:noProof/>
        </w:rPr>
        <w:tab/>
      </w:r>
      <w:r w:rsidR="000573DC" w:rsidRPr="008867A3">
        <w:rPr>
          <w:noProof/>
        </w:rPr>
        <w:t>στους υπαλλήλους του εν λόγω κράτους μέλους οι οποίοι ελέγχουν τις απαιτήσεις που προβλέπονται στο άρθρο 143 παράγραφος 2 της οδηγίας 2006/112/ΕΚ.</w:t>
      </w:r>
    </w:p>
    <w:p w14:paraId="3188CB66" w14:textId="24447541" w:rsidR="00FA69D2" w:rsidRPr="008867A3" w:rsidRDefault="00FA69D2" w:rsidP="00B531E5">
      <w:pPr>
        <w:pStyle w:val="Point1"/>
        <w:rPr>
          <w:noProof/>
        </w:rPr>
      </w:pPr>
      <w:r w:rsidRPr="008867A3">
        <w:rPr>
          <w:noProof/>
        </w:rPr>
        <w:t xml:space="preserve">2. </w:t>
      </w:r>
      <w:r w:rsidRPr="008867A3">
        <w:rPr>
          <w:noProof/>
        </w:rPr>
        <w:tab/>
        <w:t>Κάθε κράτος μέλος χορηγεί αυτοματοποιημένη πρόσβαση στο κεντρικό VIES:</w:t>
      </w:r>
    </w:p>
    <w:p w14:paraId="3E8BE31C" w14:textId="573D5F5A" w:rsidR="009821FB" w:rsidRPr="008867A3" w:rsidRDefault="005F3296" w:rsidP="005F3296">
      <w:pPr>
        <w:pStyle w:val="Point1"/>
        <w:rPr>
          <w:noProof/>
        </w:rPr>
      </w:pPr>
      <w:r w:rsidRPr="008867A3">
        <w:rPr>
          <w:noProof/>
        </w:rPr>
        <w:t>α)</w:t>
      </w:r>
      <w:r w:rsidRPr="008867A3">
        <w:rPr>
          <w:noProof/>
        </w:rPr>
        <w:tab/>
      </w:r>
      <w:r w:rsidR="00FA69D2" w:rsidRPr="008867A3">
        <w:rPr>
          <w:noProof/>
        </w:rPr>
        <w:t>στα εθνικά ηλεκτρονικά συστήματα του εν λόγω κράτους μέλους τα οποία ελέγχουν τις απαιτήσεις που προβλέπονται στο άρθρο 143 παράγραφος 2 της οδηγίας 2006/112/ΕΚ·</w:t>
      </w:r>
    </w:p>
    <w:p w14:paraId="14B7168B" w14:textId="2F97617B" w:rsidR="00F41C4E" w:rsidRPr="008867A3" w:rsidRDefault="005F3296" w:rsidP="005F3296">
      <w:pPr>
        <w:pStyle w:val="Point1"/>
        <w:rPr>
          <w:noProof/>
        </w:rPr>
      </w:pPr>
      <w:r w:rsidRPr="008867A3">
        <w:rPr>
          <w:noProof/>
        </w:rPr>
        <w:t>β)</w:t>
      </w:r>
      <w:r w:rsidRPr="008867A3">
        <w:rPr>
          <w:noProof/>
        </w:rPr>
        <w:tab/>
      </w:r>
      <w:r w:rsidR="00F41C4E" w:rsidRPr="008867A3">
        <w:rPr>
          <w:noProof/>
        </w:rPr>
        <w:t>στα εθνικά ηλεκτρονικά συστήματα, όπως αναφέρονται στο άρθρο 24ζ παράγραφος 2, για τους σκοπούς του άρθρου 1 παράγραφος 1 δεύτερο εδάφιο του παρόντος κανονισμού·</w:t>
      </w:r>
    </w:p>
    <w:p w14:paraId="4EE8A00C" w14:textId="1B2D2934" w:rsidR="00F41C4E" w:rsidRPr="008867A3" w:rsidRDefault="005F3296" w:rsidP="005F3296">
      <w:pPr>
        <w:pStyle w:val="Point1"/>
        <w:rPr>
          <w:noProof/>
        </w:rPr>
      </w:pPr>
      <w:r w:rsidRPr="008867A3">
        <w:rPr>
          <w:noProof/>
        </w:rPr>
        <w:t>γ)</w:t>
      </w:r>
      <w:r w:rsidRPr="008867A3">
        <w:rPr>
          <w:noProof/>
        </w:rPr>
        <w:tab/>
      </w:r>
      <w:r w:rsidR="00F41C4E" w:rsidRPr="008867A3">
        <w:rPr>
          <w:noProof/>
        </w:rPr>
        <w:t>στο κεντρικό ηλεκτρονικό σύστημα πληροφοριών για τις πληρωμές που αναφέρεται στο άρθρο 24α («CESOP»)·</w:t>
      </w:r>
    </w:p>
    <w:p w14:paraId="4D50C61F" w14:textId="3EDF7DE3" w:rsidR="00F41C4E" w:rsidRPr="008867A3" w:rsidRDefault="005F3296" w:rsidP="005F3296">
      <w:pPr>
        <w:pStyle w:val="Point1"/>
        <w:rPr>
          <w:noProof/>
        </w:rPr>
      </w:pPr>
      <w:r w:rsidRPr="008867A3">
        <w:rPr>
          <w:noProof/>
        </w:rPr>
        <w:t>δ)</w:t>
      </w:r>
      <w:r w:rsidRPr="008867A3">
        <w:rPr>
          <w:noProof/>
        </w:rPr>
        <w:tab/>
      </w:r>
      <w:r w:rsidR="00F41C4E" w:rsidRPr="008867A3">
        <w:rPr>
          <w:noProof/>
        </w:rPr>
        <w:t>στα ηλεκτρονικά συστήματα τα οποία εκτελούν την ταχεία ανταλλαγή, επεξεργασία και ανάλυση στοχοθετημένων πληροφοριών για τη διασυνοριακή απάτη που προέρχονται από το Eurofisc.</w:t>
      </w:r>
    </w:p>
    <w:p w14:paraId="2ECD8454" w14:textId="1405303D" w:rsidR="00F41C4E" w:rsidRPr="008867A3" w:rsidRDefault="00FA69D2" w:rsidP="00F41C4E">
      <w:pPr>
        <w:pStyle w:val="Text1"/>
        <w:rPr>
          <w:noProof/>
        </w:rPr>
      </w:pPr>
      <w:r w:rsidRPr="008867A3">
        <w:rPr>
          <w:noProof/>
        </w:rPr>
        <w:t>3.</w:t>
      </w:r>
      <w:r w:rsidRPr="008867A3">
        <w:rPr>
          <w:noProof/>
        </w:rPr>
        <w:tab/>
        <w:t>Η Επιτροπή προσδιορίζει με εκτελεστική πράξη τα ακόλουθα:</w:t>
      </w:r>
    </w:p>
    <w:p w14:paraId="1D5A6807" w14:textId="347BCD03" w:rsidR="00F41C4E" w:rsidRPr="008867A3" w:rsidRDefault="005F3296" w:rsidP="005F3296">
      <w:pPr>
        <w:pStyle w:val="Point1"/>
        <w:rPr>
          <w:noProof/>
        </w:rPr>
      </w:pPr>
      <w:r w:rsidRPr="008867A3">
        <w:rPr>
          <w:noProof/>
        </w:rPr>
        <w:t>α)</w:t>
      </w:r>
      <w:r w:rsidRPr="008867A3">
        <w:rPr>
          <w:noProof/>
        </w:rPr>
        <w:tab/>
      </w:r>
      <w:r w:rsidR="00F41C4E" w:rsidRPr="008867A3">
        <w:rPr>
          <w:noProof/>
        </w:rPr>
        <w:t>τις πρακτικές ρυθμίσεις για την ταυτοποίηση των υπαλλήλων και των ηλεκτρονικών συστημάτων που αναφέρονται στις παραγράφους 1 και 2·</w:t>
      </w:r>
    </w:p>
    <w:p w14:paraId="3055A265" w14:textId="37B0969E" w:rsidR="00F41C4E" w:rsidRPr="008867A3" w:rsidRDefault="005F3296" w:rsidP="005F3296">
      <w:pPr>
        <w:pStyle w:val="Point1"/>
        <w:rPr>
          <w:noProof/>
        </w:rPr>
      </w:pPr>
      <w:r w:rsidRPr="008867A3">
        <w:rPr>
          <w:noProof/>
        </w:rPr>
        <w:t>β)</w:t>
      </w:r>
      <w:r w:rsidRPr="008867A3">
        <w:rPr>
          <w:noProof/>
        </w:rPr>
        <w:tab/>
      </w:r>
      <w:r w:rsidR="00F41C4E" w:rsidRPr="008867A3">
        <w:rPr>
          <w:noProof/>
        </w:rPr>
        <w:t>τις τεχνικές λεπτομέρειες που αφορούν την πρόσβαση των υπαλλήλων και των ηλεκτρονικών συστημάτων που αναφέρονται στις παραγράφους 1 και 2 στις πληροφορίες που αναφέρονται στο άρθρο 24ι στοιχεία α) έως δ).</w:t>
      </w:r>
    </w:p>
    <w:p w14:paraId="6043CBF7" w14:textId="77777777" w:rsidR="00F41C4E" w:rsidRPr="008867A3" w:rsidRDefault="00F41C4E" w:rsidP="00F41C4E">
      <w:pPr>
        <w:pStyle w:val="Text1"/>
        <w:rPr>
          <w:noProof/>
        </w:rPr>
      </w:pPr>
      <w:r w:rsidRPr="008867A3">
        <w:rPr>
          <w:noProof/>
        </w:rPr>
        <w:t>Η εν λόγω εκτελεστική πράξη εκδίδεται σύμφωνα με τη διαδικασία εξέτασης στην οποία παραπέμπει το άρθρο 58 παράγραφος 2.</w:t>
      </w:r>
    </w:p>
    <w:p w14:paraId="23F4A351" w14:textId="77777777" w:rsidR="00F41C4E" w:rsidRPr="008867A3" w:rsidRDefault="00F41C4E" w:rsidP="00F41C4E">
      <w:pPr>
        <w:pStyle w:val="Titrearticle"/>
        <w:rPr>
          <w:noProof/>
        </w:rPr>
      </w:pPr>
      <w:r w:rsidRPr="008867A3">
        <w:rPr>
          <w:noProof/>
        </w:rPr>
        <w:t>Άρθρο 24ιβ</w:t>
      </w:r>
    </w:p>
    <w:p w14:paraId="7B2A1311" w14:textId="77777777" w:rsidR="00F41C4E" w:rsidRPr="008867A3" w:rsidRDefault="00F41C4E" w:rsidP="00F41C4E">
      <w:pPr>
        <w:pStyle w:val="Text1"/>
        <w:rPr>
          <w:noProof/>
        </w:rPr>
      </w:pPr>
      <w:r w:rsidRPr="008867A3">
        <w:rPr>
          <w:noProof/>
        </w:rPr>
        <w:t>1.</w:t>
      </w:r>
      <w:r w:rsidRPr="008867A3">
        <w:rPr>
          <w:noProof/>
        </w:rPr>
        <w:tab/>
        <w:t xml:space="preserve">Το κόστος δημιουργίας, λειτουργίας και συντήρησης του κεντρικού VIES βαρύνει τον γενικό προϋπολογισμό της Ένωσης. Στο κόστος αυτό συμπεριλαμβάνεται το κόστος της ασφαλούς σύνδεσης μεταξύ του κεντρικού VIES και των εθνικών ηλεκτρονικών συστημάτων που αναφέρονται στο άρθρο 24ζ παράγραφος 2, καθώς και το κόστος των υπηρεσιών που είναι αναγκαίες για την εφαρμογή των δυνατοτήτων που αναφέρονται στο άρθρο 24ι. </w:t>
      </w:r>
    </w:p>
    <w:p w14:paraId="182A7FAB" w14:textId="77777777" w:rsidR="00F41C4E" w:rsidRPr="008867A3" w:rsidRDefault="00F41C4E" w:rsidP="00F41C4E">
      <w:pPr>
        <w:pStyle w:val="Text1"/>
        <w:rPr>
          <w:noProof/>
        </w:rPr>
      </w:pPr>
      <w:r w:rsidRPr="008867A3">
        <w:rPr>
          <w:noProof/>
        </w:rPr>
        <w:t>2.</w:t>
      </w:r>
      <w:r w:rsidRPr="008867A3">
        <w:rPr>
          <w:noProof/>
        </w:rPr>
        <w:tab/>
        <w:t>Κάθε κράτος μέλος αναλαμβάνει το κόστος και είναι υπεύθυνο για όλες τις αναγκαίες εξελίξεις του εθνικού ηλεκτρονικού συστήματός του που αναφέρεται στο άρθρο 24ζ παράγραφος 2, ώστε να είναι δυνατή η ανταλλαγή πληροφοριών με τη χρήση του CCN ή οποιουδήποτε άλλου παρόμοιου ασφαλούς δικτύου.</w:t>
      </w:r>
    </w:p>
    <w:p w14:paraId="31708CC7" w14:textId="77777777" w:rsidR="00F41C4E" w:rsidRPr="008867A3" w:rsidRDefault="00F41C4E" w:rsidP="00F41C4E">
      <w:pPr>
        <w:pStyle w:val="Titrearticle"/>
        <w:rPr>
          <w:noProof/>
        </w:rPr>
      </w:pPr>
      <w:r w:rsidRPr="008867A3">
        <w:rPr>
          <w:noProof/>
        </w:rPr>
        <w:t>Άρθρο 24ιγ</w:t>
      </w:r>
    </w:p>
    <w:p w14:paraId="45D576F9" w14:textId="7313EF4A" w:rsidR="00F41C4E" w:rsidRPr="008867A3" w:rsidRDefault="00F41C4E" w:rsidP="00F41C4E">
      <w:pPr>
        <w:pStyle w:val="Text1"/>
        <w:rPr>
          <w:noProof/>
        </w:rPr>
      </w:pPr>
      <w:r w:rsidRPr="008867A3">
        <w:rPr>
          <w:noProof/>
        </w:rPr>
        <w:t>Η Επιτροπή προσδιορίζει με εκτελεστικές πράξεις τα ακόλουθα:</w:t>
      </w:r>
    </w:p>
    <w:p w14:paraId="29420FA4" w14:textId="77B89510" w:rsidR="00F41C4E" w:rsidRPr="008867A3" w:rsidRDefault="005F3296" w:rsidP="005F3296">
      <w:pPr>
        <w:pStyle w:val="Point1"/>
        <w:rPr>
          <w:noProof/>
        </w:rPr>
      </w:pPr>
      <w:r w:rsidRPr="008867A3">
        <w:rPr>
          <w:noProof/>
        </w:rPr>
        <w:t>α)</w:t>
      </w:r>
      <w:r w:rsidRPr="008867A3">
        <w:rPr>
          <w:noProof/>
        </w:rPr>
        <w:tab/>
      </w:r>
      <w:r w:rsidR="00F41C4E" w:rsidRPr="008867A3">
        <w:rPr>
          <w:noProof/>
        </w:rPr>
        <w:t>τα καθήκοντα που πρέπει να εκτελεί η Επιτροπή για την τεχνική διαχείριση του κεντρικού συστήματος VIES·</w:t>
      </w:r>
    </w:p>
    <w:p w14:paraId="665ED09B" w14:textId="4ED9D530" w:rsidR="00F41C4E" w:rsidRPr="008867A3" w:rsidRDefault="005F3296" w:rsidP="005F3296">
      <w:pPr>
        <w:pStyle w:val="Point1"/>
        <w:rPr>
          <w:noProof/>
        </w:rPr>
      </w:pPr>
      <w:r w:rsidRPr="008867A3">
        <w:rPr>
          <w:noProof/>
        </w:rPr>
        <w:t>β)</w:t>
      </w:r>
      <w:r w:rsidRPr="008867A3">
        <w:rPr>
          <w:noProof/>
        </w:rPr>
        <w:tab/>
      </w:r>
      <w:r w:rsidR="00F41C4E" w:rsidRPr="008867A3">
        <w:rPr>
          <w:noProof/>
        </w:rPr>
        <w:t xml:space="preserve">τους ρόλους και τις αρμοδιότητες των κρατών μελών ως υπευθύνων επεξεργασίας και της Επιτροπής ως εκτελούντος την επεξεργασία βάσει του κανονισμού (ΕΕ) 2016/679 και του κανονισμού (ΕΕ) 2018/1725 του Ευρωπαϊκού Κοινοβουλίου και του Συμβουλίου. </w:t>
      </w:r>
    </w:p>
    <w:p w14:paraId="5E75B5D4" w14:textId="3E602EA9" w:rsidR="00F41C4E" w:rsidRPr="008867A3" w:rsidRDefault="00F41C4E" w:rsidP="00F41C4E">
      <w:pPr>
        <w:pStyle w:val="Text1"/>
        <w:pBdr>
          <w:bottom w:val="single" w:sz="6" w:space="1" w:color="auto"/>
        </w:pBdr>
        <w:rPr>
          <w:noProof/>
        </w:rPr>
      </w:pPr>
      <w:r w:rsidRPr="008867A3">
        <w:rPr>
          <w:noProof/>
        </w:rPr>
        <w:t>Οι εν λόγω εκτελεστικές πράξεις εκδίδονται σύμφωνα με τη διαδικασία εξέτασης στην οποία παραπέμπει το άρθρο 58 παράγραφος 2.</w:t>
      </w:r>
    </w:p>
    <w:p w14:paraId="0AEAD1B4" w14:textId="77777777" w:rsidR="00C37725" w:rsidRPr="008867A3" w:rsidRDefault="00C37725" w:rsidP="00F41C4E">
      <w:pPr>
        <w:pStyle w:val="Text1"/>
        <w:pBdr>
          <w:bottom w:val="single" w:sz="6" w:space="1" w:color="auto"/>
        </w:pBdr>
        <w:rPr>
          <w:noProof/>
        </w:rPr>
      </w:pPr>
    </w:p>
    <w:p w14:paraId="1E1AFA9A" w14:textId="77777777" w:rsidR="00C37725" w:rsidRPr="008867A3" w:rsidRDefault="00C37725" w:rsidP="00F41C4E">
      <w:pPr>
        <w:pStyle w:val="Text1"/>
        <w:rPr>
          <w:noProof/>
        </w:rPr>
      </w:pPr>
    </w:p>
    <w:p w14:paraId="3E3ADC79" w14:textId="77777777" w:rsidR="00926D8A" w:rsidRPr="008867A3" w:rsidRDefault="00926D8A" w:rsidP="00926D8A">
      <w:pPr>
        <w:pStyle w:val="Text1"/>
        <w:rPr>
          <w:noProof/>
        </w:rPr>
      </w:pPr>
      <w:r w:rsidRPr="008867A3">
        <w:rPr>
          <w:noProof/>
        </w:rPr>
        <w:t>Οδηγία 2014/55/ΕΕ του Ευρωπαϊκού Κοινοβουλίου και του Συμβουλίου, της 16ης Απριλίου 2014, για την έκδοση ηλεκτρονικών τιμολογίων στο πλαίσιο των δημόσιων συμβάσεων (ΕΕ L 133 της 6.5.2014, σ. 1).</w:t>
      </w:r>
    </w:p>
    <w:p w14:paraId="59BDDB31" w14:textId="7328D1EA" w:rsidR="00926D8A" w:rsidRPr="008867A3" w:rsidRDefault="00926D8A" w:rsidP="00926D8A">
      <w:pPr>
        <w:pStyle w:val="Text1"/>
        <w:rPr>
          <w:noProof/>
        </w:rPr>
      </w:pPr>
      <w:r w:rsidRPr="008867A3">
        <w:rPr>
          <w:noProof/>
        </w:rPr>
        <w:t>± Κανονισμός (ΕΕ) 2018/1725 του Ευρωπαϊκού Κοινοβουλίου και του Συμβουλίου, της 23ης Οκτωβρίου 2018, για την προστασία των φυσικών προσώπων έναντι της επεξεργασίας δεδομένων προσωπικού χαρακτήρα από τα θεσμικά και λοιπά όργανα και τους οργανισμούς της Ένωσης και την ελεύθερη κυκλοφορία των δεδομένων αυτών, και για την κατάργηση του κανονισμού (ΕΚ) αριθ. 45/2001 και της απόφασης αριθ. 1247/2002/ΕΚ (ΕΕ L 295 της 21.11.2018, σ. 39).».</w:t>
      </w:r>
    </w:p>
    <w:p w14:paraId="620850C8" w14:textId="7588DDFE" w:rsidR="00A635C2" w:rsidRPr="008867A3" w:rsidRDefault="00A635C2" w:rsidP="00A635C2">
      <w:pPr>
        <w:pStyle w:val="Titrearticle"/>
        <w:rPr>
          <w:noProof/>
        </w:rPr>
      </w:pPr>
      <w:r w:rsidRPr="008867A3">
        <w:rPr>
          <w:noProof/>
        </w:rPr>
        <w:t>Άρθρο 4</w:t>
      </w:r>
    </w:p>
    <w:p w14:paraId="1EB94120" w14:textId="196C0980" w:rsidR="00A635C2" w:rsidRPr="008867A3" w:rsidRDefault="00A635C2" w:rsidP="00A635C2">
      <w:pPr>
        <w:pStyle w:val="NormalCentered"/>
        <w:rPr>
          <w:b/>
          <w:noProof/>
        </w:rPr>
      </w:pPr>
      <w:r w:rsidRPr="008867A3">
        <w:rPr>
          <w:b/>
          <w:noProof/>
        </w:rPr>
        <w:t>Τροποποιήσεις του κανονισμού (ΕΕ) αριθ. 904/2010 εφαρμοστέες από την 1η Ιανουαρίου 2030</w:t>
      </w:r>
    </w:p>
    <w:p w14:paraId="3918DC32" w14:textId="219FD24F" w:rsidR="00A635C2" w:rsidRPr="008867A3" w:rsidRDefault="00A635C2" w:rsidP="00A635C2">
      <w:pPr>
        <w:rPr>
          <w:noProof/>
        </w:rPr>
      </w:pPr>
      <w:r w:rsidRPr="008867A3">
        <w:rPr>
          <w:noProof/>
        </w:rPr>
        <w:t>Ο κανονισμός (ΕΕ) αριθ. 904/2010 τροποποιείται ως εξής:</w:t>
      </w:r>
    </w:p>
    <w:p w14:paraId="1EA7DA54" w14:textId="5C24FADD" w:rsidR="00DA7B12" w:rsidRPr="008867A3" w:rsidRDefault="005F3296" w:rsidP="005F3296">
      <w:pPr>
        <w:pStyle w:val="Point0"/>
        <w:rPr>
          <w:noProof/>
        </w:rPr>
      </w:pPr>
      <w:r w:rsidRPr="008867A3">
        <w:rPr>
          <w:noProof/>
        </w:rPr>
        <w:t>1)</w:t>
      </w:r>
      <w:r w:rsidRPr="008867A3">
        <w:rPr>
          <w:noProof/>
        </w:rPr>
        <w:tab/>
      </w:r>
      <w:r w:rsidR="000C7598" w:rsidRPr="008867A3">
        <w:rPr>
          <w:noProof/>
        </w:rPr>
        <w:t>στο άρθρο 17 παράγραφος 1, τα στοιχεία α), β) και γ) απαλείφονται·</w:t>
      </w:r>
    </w:p>
    <w:p w14:paraId="0251A2CD" w14:textId="4D85D5F5" w:rsidR="00F41C4E" w:rsidRPr="008867A3" w:rsidRDefault="005F3296" w:rsidP="005F3296">
      <w:pPr>
        <w:pStyle w:val="Point0"/>
        <w:rPr>
          <w:noProof/>
        </w:rPr>
      </w:pPr>
      <w:r w:rsidRPr="008867A3">
        <w:rPr>
          <w:noProof/>
        </w:rPr>
        <w:t>2)</w:t>
      </w:r>
      <w:r w:rsidRPr="008867A3">
        <w:rPr>
          <w:noProof/>
        </w:rPr>
        <w:tab/>
      </w:r>
      <w:r w:rsidR="00F41C4E" w:rsidRPr="008867A3">
        <w:rPr>
          <w:noProof/>
        </w:rPr>
        <w:t>το άρθρο 20 τροποποιείται ως εξής:</w:t>
      </w:r>
    </w:p>
    <w:p w14:paraId="10DF50D1" w14:textId="30DEBE0C" w:rsidR="00F41C4E" w:rsidRPr="008867A3" w:rsidRDefault="005F3296" w:rsidP="005F3296">
      <w:pPr>
        <w:pStyle w:val="Point1"/>
        <w:rPr>
          <w:noProof/>
        </w:rPr>
      </w:pPr>
      <w:r w:rsidRPr="008867A3">
        <w:rPr>
          <w:noProof/>
        </w:rPr>
        <w:t>α)</w:t>
      </w:r>
      <w:r w:rsidRPr="008867A3">
        <w:rPr>
          <w:noProof/>
        </w:rPr>
        <w:tab/>
      </w:r>
      <w:r w:rsidR="00F41C4E" w:rsidRPr="008867A3">
        <w:rPr>
          <w:noProof/>
        </w:rPr>
        <w:t>η παράγραφος 2 απαλείφεται·</w:t>
      </w:r>
    </w:p>
    <w:p w14:paraId="622C1A33" w14:textId="793E8F86" w:rsidR="00F41C4E" w:rsidRPr="008867A3" w:rsidRDefault="005F3296" w:rsidP="005F3296">
      <w:pPr>
        <w:pStyle w:val="Point1"/>
        <w:rPr>
          <w:noProof/>
        </w:rPr>
      </w:pPr>
      <w:r w:rsidRPr="008867A3">
        <w:rPr>
          <w:noProof/>
        </w:rPr>
        <w:t>β)</w:t>
      </w:r>
      <w:r w:rsidRPr="008867A3">
        <w:rPr>
          <w:noProof/>
        </w:rPr>
        <w:tab/>
      </w:r>
      <w:r w:rsidR="00F41C4E" w:rsidRPr="008867A3">
        <w:rPr>
          <w:noProof/>
        </w:rPr>
        <w:t>η παράγραφος 3 αντικαθίσταται από το ακόλουθο κείμενο:</w:t>
      </w:r>
    </w:p>
    <w:p w14:paraId="50F5F0D1" w14:textId="055D1F5F" w:rsidR="00F41C4E" w:rsidRPr="008867A3" w:rsidRDefault="00F41C4E" w:rsidP="00F41C4E">
      <w:pPr>
        <w:pStyle w:val="Point2"/>
        <w:rPr>
          <w:noProof/>
        </w:rPr>
      </w:pPr>
      <w:r w:rsidRPr="008867A3">
        <w:rPr>
          <w:noProof/>
        </w:rPr>
        <w:t xml:space="preserve">«3. </w:t>
      </w:r>
      <w:r w:rsidRPr="008867A3">
        <w:rPr>
          <w:noProof/>
        </w:rPr>
        <w:tab/>
        <w:t>Κατά παρέκκλιση από την παράγραφο 1 του παρόντος άρθρου, σε περίπτωση επικείμενης διόρθωσης ή προσθήκης πληροφοριών στο ηλεκτρονικό σύστημα κατ’ εφαρμογή του άρθρου 19, οι πληροφορίες αυτές πρέπει να εισάγονται στο εν λόγω σύστημα το αργότερο εντός του μήνα που έπεται της χρονικής περιόδου κατά την οποία συνελέχθησαν οι πληροφορίες.»·</w:t>
      </w:r>
    </w:p>
    <w:p w14:paraId="553B90DA" w14:textId="52F75A78" w:rsidR="00F41C4E" w:rsidRPr="008867A3" w:rsidRDefault="005F3296" w:rsidP="005F3296">
      <w:pPr>
        <w:pStyle w:val="Point0"/>
        <w:rPr>
          <w:noProof/>
        </w:rPr>
      </w:pPr>
      <w:r w:rsidRPr="008867A3">
        <w:rPr>
          <w:noProof/>
        </w:rPr>
        <w:t>3)</w:t>
      </w:r>
      <w:r w:rsidRPr="008867A3">
        <w:rPr>
          <w:noProof/>
        </w:rPr>
        <w:tab/>
      </w:r>
      <w:r w:rsidR="00F41C4E" w:rsidRPr="008867A3">
        <w:rPr>
          <w:noProof/>
        </w:rPr>
        <w:t>το άρθρο 21 τροποποιείται ως εξής:</w:t>
      </w:r>
    </w:p>
    <w:p w14:paraId="439C6879" w14:textId="2ACD537B" w:rsidR="00F41C4E" w:rsidRPr="008867A3" w:rsidRDefault="005F3296" w:rsidP="005F3296">
      <w:pPr>
        <w:pStyle w:val="Point1"/>
        <w:rPr>
          <w:noProof/>
        </w:rPr>
      </w:pPr>
      <w:r w:rsidRPr="008867A3">
        <w:rPr>
          <w:noProof/>
        </w:rPr>
        <w:t>α)</w:t>
      </w:r>
      <w:r w:rsidRPr="008867A3">
        <w:rPr>
          <w:noProof/>
        </w:rPr>
        <w:tab/>
      </w:r>
      <w:r w:rsidR="00F41C4E" w:rsidRPr="008867A3">
        <w:rPr>
          <w:noProof/>
        </w:rPr>
        <w:t>η παράγραφος 3 αντικαθίσταται από το ακόλουθο κείμενο:</w:t>
      </w:r>
    </w:p>
    <w:p w14:paraId="6260CB36" w14:textId="77777777" w:rsidR="00F41C4E" w:rsidRPr="008867A3" w:rsidRDefault="00F41C4E" w:rsidP="00F41C4E">
      <w:pPr>
        <w:pStyle w:val="Point2"/>
        <w:rPr>
          <w:noProof/>
        </w:rPr>
      </w:pPr>
      <w:r w:rsidRPr="008867A3">
        <w:rPr>
          <w:noProof/>
        </w:rPr>
        <w:t>«3.</w:t>
      </w:r>
      <w:r w:rsidRPr="008867A3">
        <w:rPr>
          <w:noProof/>
        </w:rPr>
        <w:tab/>
        <w:t xml:space="preserve">Η Επιτροπή ορίζει με εκτελεστικές πράξεις τις πρακτικές ρυθμίσεις για τις προϋποθέσεις που προβλέπονται στην παράγραφο 2α στοιχείο δ) του παρόντος άρθρου, προκειμένου το κράτος μέλος που παρέχει τις πληροφορίες να μπορεί να εντοπίζει τον υπάλληλο σύνδεσμο του Eurofisc που αποκτά πρόσβαση στις πληροφορίες. Οι εν λόγω εκτελεστικές πράξεις εκδίδονται σύμφωνα με τη διαδικασία εξέτασης στην οποία παραπέμπει το άρθρο 58 παράγραφος 2.»· </w:t>
      </w:r>
    </w:p>
    <w:p w14:paraId="3660CDFB" w14:textId="77777777" w:rsidR="00F41C4E" w:rsidRPr="008867A3" w:rsidRDefault="00F41C4E" w:rsidP="00F41C4E">
      <w:pPr>
        <w:pStyle w:val="Point1"/>
        <w:rPr>
          <w:noProof/>
        </w:rPr>
      </w:pPr>
      <w:r w:rsidRPr="008867A3">
        <w:rPr>
          <w:noProof/>
        </w:rPr>
        <w:t>γ)</w:t>
      </w:r>
      <w:r w:rsidRPr="008867A3">
        <w:rPr>
          <w:noProof/>
        </w:rPr>
        <w:tab/>
        <w:t>οι παράγραφοι 1α και 2 απαλείφονται·</w:t>
      </w:r>
    </w:p>
    <w:p w14:paraId="7A865390" w14:textId="38CB3131" w:rsidR="00F41C4E" w:rsidRPr="008867A3" w:rsidRDefault="005F3296" w:rsidP="005F3296">
      <w:pPr>
        <w:pStyle w:val="Point0"/>
        <w:rPr>
          <w:noProof/>
        </w:rPr>
      </w:pPr>
      <w:r w:rsidRPr="008867A3">
        <w:rPr>
          <w:noProof/>
        </w:rPr>
        <w:t>4)</w:t>
      </w:r>
      <w:r w:rsidRPr="008867A3">
        <w:rPr>
          <w:noProof/>
        </w:rPr>
        <w:tab/>
      </w:r>
      <w:r w:rsidR="00F41C4E" w:rsidRPr="008867A3">
        <w:rPr>
          <w:noProof/>
        </w:rPr>
        <w:t>τα άρθρα 22 και 23 απαλείφονται·</w:t>
      </w:r>
    </w:p>
    <w:p w14:paraId="69ACDE67" w14:textId="4A46C36A" w:rsidR="00F41C4E" w:rsidRPr="008867A3" w:rsidRDefault="005F3296" w:rsidP="005F3296">
      <w:pPr>
        <w:pStyle w:val="Point0"/>
        <w:rPr>
          <w:noProof/>
        </w:rPr>
      </w:pPr>
      <w:r w:rsidRPr="008867A3">
        <w:rPr>
          <w:noProof/>
        </w:rPr>
        <w:t>5)</w:t>
      </w:r>
      <w:r w:rsidRPr="008867A3">
        <w:rPr>
          <w:noProof/>
        </w:rPr>
        <w:tab/>
      </w:r>
      <w:r w:rsidR="00F41C4E" w:rsidRPr="008867A3">
        <w:rPr>
          <w:noProof/>
        </w:rPr>
        <w:t>στο άρθρο 31, η παράγραφος 1 αντικαθίσταται από το ακόλουθο κείμενο:</w:t>
      </w:r>
    </w:p>
    <w:p w14:paraId="27DCF4CE" w14:textId="77777777" w:rsidR="00F41C4E" w:rsidRPr="008867A3" w:rsidRDefault="00F41C4E" w:rsidP="00F41C4E">
      <w:pPr>
        <w:pStyle w:val="Text1"/>
        <w:rPr>
          <w:noProof/>
        </w:rPr>
      </w:pPr>
      <w:r w:rsidRPr="008867A3">
        <w:rPr>
          <w:noProof/>
        </w:rPr>
        <w:t>«1.</w:t>
      </w:r>
      <w:r w:rsidRPr="008867A3">
        <w:rPr>
          <w:noProof/>
        </w:rPr>
        <w:tab/>
        <w:t>Οι αρμόδιες αρχές κάθε κράτους μέλους μεριμνούν ώστε τα πρόσωπα τα οποία αφορούν οι ενδοκοινοτικές παραδόσεις αγαθών ή ενδοκοινοτικές παροχές υπηρεσιών και οι μη εγκατεστημένοι υποκείμενοι στον φόρο που παρέχουν υπηρεσίες να έχουν τη δυνατότητα να λαμβάνουν, για τις ανάγκες των εν λόγω πράξεων, επιβεβαίωση με ηλεκτρονικά μέσα της εγκυρότητας του αριθμού φορολογικού μητρώου ΦΠΑ οποιουδήποτε συγκεκριμένου προσώπου, καθώς και του ονόματος και της διεύθυνσης που αντιστοιχούν σε αυτό. Οι εν λόγω πληροφορίες αντιστοιχούν στα δεδομένα που αναφέρονται στο άρθρο 24ζ παράγραφος 2.»·</w:t>
      </w:r>
    </w:p>
    <w:p w14:paraId="0CEC000A" w14:textId="2AE102D0" w:rsidR="00DA7B12" w:rsidRPr="008867A3" w:rsidRDefault="00DA7B12" w:rsidP="00A635C2">
      <w:pPr>
        <w:rPr>
          <w:noProof/>
        </w:rPr>
      </w:pPr>
    </w:p>
    <w:p w14:paraId="7C208D8C" w14:textId="03BEB084" w:rsidR="00311B6A" w:rsidRPr="008867A3" w:rsidRDefault="00311B6A" w:rsidP="00311B6A">
      <w:pPr>
        <w:pStyle w:val="Titrearticle"/>
        <w:rPr>
          <w:noProof/>
        </w:rPr>
      </w:pPr>
      <w:r w:rsidRPr="008867A3">
        <w:rPr>
          <w:noProof/>
        </w:rPr>
        <w:t>Άρθρο 5</w:t>
      </w:r>
    </w:p>
    <w:p w14:paraId="0E22EC7F" w14:textId="77777777" w:rsidR="00B96BAF" w:rsidRPr="008867A3" w:rsidRDefault="00311B6A" w:rsidP="008B545C">
      <w:pPr>
        <w:rPr>
          <w:noProof/>
        </w:rPr>
      </w:pPr>
      <w:r w:rsidRPr="008867A3">
        <w:rPr>
          <w:noProof/>
        </w:rPr>
        <w:t xml:space="preserve">Ο παρών κανονισμός αρχίζει να ισχύει την εικοστή ημέρα από τη δημοσίευσή του στην </w:t>
      </w:r>
      <w:r w:rsidRPr="008867A3">
        <w:rPr>
          <w:i/>
          <w:iCs/>
          <w:noProof/>
        </w:rPr>
        <w:t>Επίσημη Εφημερίδα της Ευρωπαϊκής Ένωσης</w:t>
      </w:r>
      <w:r w:rsidRPr="008867A3">
        <w:rPr>
          <w:noProof/>
        </w:rPr>
        <w:t xml:space="preserve">. </w:t>
      </w:r>
    </w:p>
    <w:p w14:paraId="2F9E6FF2" w14:textId="4588AB14" w:rsidR="00B96BAF" w:rsidRPr="008867A3" w:rsidRDefault="00311B6A" w:rsidP="008B545C">
      <w:pPr>
        <w:rPr>
          <w:noProof/>
        </w:rPr>
      </w:pPr>
      <w:r w:rsidRPr="008867A3">
        <w:rPr>
          <w:noProof/>
        </w:rPr>
        <w:t>Το άρθρο 1 εφαρμόζεται από την 1η Ιανουαρίου 2025.</w:t>
      </w:r>
    </w:p>
    <w:p w14:paraId="7C208D8D" w14:textId="5C7C4227" w:rsidR="00897D9A" w:rsidRPr="008867A3" w:rsidRDefault="00B96BAF" w:rsidP="008B545C">
      <w:pPr>
        <w:rPr>
          <w:noProof/>
        </w:rPr>
      </w:pPr>
      <w:r w:rsidRPr="008867A3">
        <w:rPr>
          <w:noProof/>
        </w:rPr>
        <w:t>Το άρθρο 2 εφαρμόζεται από την 1η Ιανουαρίου 2026.</w:t>
      </w:r>
    </w:p>
    <w:p w14:paraId="7C208D8E" w14:textId="52847841" w:rsidR="00897D9A" w:rsidRPr="008867A3" w:rsidRDefault="00311B6A" w:rsidP="008B545C">
      <w:pPr>
        <w:rPr>
          <w:noProof/>
        </w:rPr>
      </w:pPr>
      <w:r w:rsidRPr="008867A3">
        <w:rPr>
          <w:noProof/>
        </w:rPr>
        <w:t>Το άρθρο 3 εφαρμόζεται από την 1η Ιανουαρίου 2028.</w:t>
      </w:r>
    </w:p>
    <w:p w14:paraId="7C208D8F" w14:textId="6EF4DD2B" w:rsidR="00311B6A" w:rsidRPr="008867A3" w:rsidRDefault="00311B6A" w:rsidP="008B545C">
      <w:pPr>
        <w:rPr>
          <w:noProof/>
        </w:rPr>
      </w:pPr>
      <w:r w:rsidRPr="008867A3">
        <w:rPr>
          <w:noProof/>
        </w:rPr>
        <w:t>Το άρθρο 4 εφαρμόζεται από την 1η Ιανουαρίου 2030.</w:t>
      </w:r>
    </w:p>
    <w:p w14:paraId="7C208D90" w14:textId="77777777" w:rsidR="0095756A" w:rsidRPr="008867A3" w:rsidRDefault="0095756A" w:rsidP="008B545C">
      <w:pPr>
        <w:pStyle w:val="Applicationdirecte"/>
        <w:rPr>
          <w:noProof/>
        </w:rPr>
      </w:pPr>
      <w:r w:rsidRPr="008867A3">
        <w:rPr>
          <w:noProof/>
        </w:rPr>
        <w:t>Ο παρών κανονισμός είναι δεσμευτικός ως προς όλα τα μέρη του και ισχύει άμεσα σε κάθε κράτος μέλος.</w:t>
      </w:r>
    </w:p>
    <w:p w14:paraId="7C208D91" w14:textId="589E2C7B" w:rsidR="0095756A" w:rsidRPr="008867A3" w:rsidRDefault="00165495" w:rsidP="008D1B59">
      <w:pPr>
        <w:pStyle w:val="Fait"/>
        <w:rPr>
          <w:noProof/>
        </w:rPr>
      </w:pPr>
      <w:r w:rsidRPr="00165495">
        <w:t>Βρυξέλλες,</w:t>
      </w:r>
    </w:p>
    <w:p w14:paraId="7C208D92" w14:textId="77777777" w:rsidR="0095756A" w:rsidRPr="008867A3" w:rsidRDefault="0095756A" w:rsidP="008D1B59">
      <w:pPr>
        <w:pStyle w:val="Institutionquisigne"/>
        <w:rPr>
          <w:noProof/>
        </w:rPr>
      </w:pPr>
      <w:r w:rsidRPr="008867A3">
        <w:rPr>
          <w:noProof/>
        </w:rPr>
        <w:tab/>
        <w:t>Για το Συμβούλιο</w:t>
      </w:r>
    </w:p>
    <w:p w14:paraId="7C208D93" w14:textId="77777777" w:rsidR="0095756A" w:rsidRPr="008867A3" w:rsidRDefault="0095756A" w:rsidP="0095756A">
      <w:pPr>
        <w:pStyle w:val="Personnequisigne"/>
        <w:rPr>
          <w:noProof/>
        </w:rPr>
      </w:pPr>
      <w:r w:rsidRPr="008867A3">
        <w:rPr>
          <w:noProof/>
        </w:rPr>
        <w:tab/>
        <w:t>Ο Πρόεδρος</w:t>
      </w:r>
    </w:p>
    <w:sectPr w:rsidR="0095756A" w:rsidRPr="008867A3" w:rsidSect="002F2036">
      <w:footnotePr>
        <w:numRestart w:val="eachSect"/>
      </w:footnotePr>
      <w:pgSz w:w="11907" w:h="16839"/>
      <w:pgMar w:top="1134" w:right="1417" w:bottom="1134" w:left="141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D81A5" w16cex:dateUtc="2022-09-27T12:05:00Z"/>
  <w16cex:commentExtensible w16cex:durableId="26DD916C" w16cex:dateUtc="2022-09-27T13:12:00Z"/>
  <w16cex:commentExtensible w16cex:durableId="26F017A8" w16cex:dateUtc="2022-10-11T14:26:00Z"/>
  <w16cex:commentExtensible w16cex:durableId="26DD91AD" w16cex:dateUtc="2022-09-27T13:13:00Z"/>
  <w16cex:commentExtensible w16cex:durableId="26F017EC" w16cex:dateUtc="2022-10-11T14:27:00Z"/>
  <w16cex:commentExtensible w16cex:durableId="26DD91F7" w16cex:dateUtc="2022-09-27T13:15:00Z"/>
  <w16cex:commentExtensible w16cex:durableId="26F01843" w16cex:dateUtc="2022-10-11T14:28:00Z"/>
  <w16cex:commentExtensible w16cex:durableId="26F018A4" w16cex:dateUtc="2022-10-11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7215E5" w16cid:durableId="26DD81A5"/>
  <w16cid:commentId w16cid:paraId="11177840" w16cid:durableId="26DD9155"/>
  <w16cid:commentId w16cid:paraId="0FE31CF7" w16cid:durableId="26F016EC"/>
  <w16cid:commentId w16cid:paraId="2768BAF5" w16cid:durableId="26DD7D47"/>
  <w16cid:commentId w16cid:paraId="5C94C3E9" w16cid:durableId="26DD916C"/>
  <w16cid:commentId w16cid:paraId="5BA37374" w16cid:durableId="26F016EF"/>
  <w16cid:commentId w16cid:paraId="0E6D43EF" w16cid:durableId="26F017A8"/>
  <w16cid:commentId w16cid:paraId="1F5C63F4" w16cid:durableId="26DD7D48"/>
  <w16cid:commentId w16cid:paraId="57B59490" w16cid:durableId="26DD91AD"/>
  <w16cid:commentId w16cid:paraId="17B8E286" w16cid:durableId="26F016F2"/>
  <w16cid:commentId w16cid:paraId="01D1BD04" w16cid:durableId="26F017EC"/>
  <w16cid:commentId w16cid:paraId="0C4792A9" w16cid:durableId="26DD7D49"/>
  <w16cid:commentId w16cid:paraId="501BB490" w16cid:durableId="26F016F4"/>
  <w16cid:commentId w16cid:paraId="4B41E0BD" w16cid:durableId="26DD7D4A"/>
  <w16cid:commentId w16cid:paraId="627B0A1E" w16cid:durableId="26DD91F7"/>
  <w16cid:commentId w16cid:paraId="23744D4B" w16cid:durableId="26F016F7"/>
  <w16cid:commentId w16cid:paraId="053AE2CA" w16cid:durableId="26F01843"/>
  <w16cid:commentId w16cid:paraId="36B333E8" w16cid:durableId="26DD7D4B"/>
  <w16cid:commentId w16cid:paraId="50D69C29" w16cid:durableId="26F016F9"/>
  <w16cid:commentId w16cid:paraId="2D411947" w16cid:durableId="26F018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08D98" w14:textId="77777777" w:rsidR="008867A3" w:rsidRDefault="008867A3" w:rsidP="0095756A">
      <w:pPr>
        <w:spacing w:before="0" w:after="0"/>
      </w:pPr>
      <w:r>
        <w:separator/>
      </w:r>
    </w:p>
  </w:endnote>
  <w:endnote w:type="continuationSeparator" w:id="0">
    <w:p w14:paraId="7C208D99" w14:textId="77777777" w:rsidR="008867A3" w:rsidRDefault="008867A3" w:rsidP="0095756A">
      <w:pPr>
        <w:spacing w:before="0" w:after="0"/>
      </w:pPr>
      <w:r>
        <w:continuationSeparator/>
      </w:r>
    </w:p>
  </w:endnote>
  <w:endnote w:type="continuationNotice" w:id="1">
    <w:p w14:paraId="7C208D9A" w14:textId="77777777" w:rsidR="008867A3" w:rsidRDefault="008867A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A04FC" w14:textId="56FB29EA" w:rsidR="008867A3" w:rsidRPr="002F2036" w:rsidRDefault="002F2036" w:rsidP="002F2036">
    <w:pPr>
      <w:pStyle w:val="Footer"/>
      <w:rPr>
        <w:rFonts w:ascii="Arial" w:hAnsi="Arial" w:cs="Arial"/>
        <w:b/>
        <w:sz w:val="48"/>
      </w:rPr>
    </w:pPr>
    <w:r w:rsidRPr="002F2036">
      <w:rPr>
        <w:rFonts w:ascii="Arial" w:hAnsi="Arial" w:cs="Arial"/>
        <w:b/>
        <w:sz w:val="48"/>
      </w:rPr>
      <w:t>EL</w:t>
    </w:r>
    <w:r w:rsidRPr="002F2036">
      <w:rPr>
        <w:rFonts w:ascii="Arial" w:hAnsi="Arial" w:cs="Arial"/>
        <w:b/>
        <w:sz w:val="48"/>
      </w:rPr>
      <w:tab/>
    </w:r>
    <w:r w:rsidRPr="002F2036">
      <w:rPr>
        <w:rFonts w:ascii="Arial" w:hAnsi="Arial" w:cs="Arial"/>
        <w:b/>
        <w:sz w:val="48"/>
      </w:rPr>
      <w:tab/>
    </w:r>
    <w:r w:rsidRPr="002F2036">
      <w:tab/>
    </w:r>
    <w:r w:rsidRPr="002F2036">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6F0A2" w14:textId="77F33F8C" w:rsidR="002F2036" w:rsidRPr="002F2036" w:rsidRDefault="002F2036" w:rsidP="002F2036">
    <w:pPr>
      <w:pStyle w:val="Footer"/>
      <w:rPr>
        <w:rFonts w:ascii="Arial" w:hAnsi="Arial" w:cs="Arial"/>
        <w:b/>
        <w:sz w:val="48"/>
      </w:rPr>
    </w:pPr>
    <w:r w:rsidRPr="002F2036">
      <w:rPr>
        <w:rFonts w:ascii="Arial" w:hAnsi="Arial" w:cs="Arial"/>
        <w:b/>
        <w:sz w:val="48"/>
      </w:rPr>
      <w:t>EL</w:t>
    </w:r>
    <w:r w:rsidRPr="002F2036">
      <w:rPr>
        <w:rFonts w:ascii="Arial" w:hAnsi="Arial" w:cs="Arial"/>
        <w:b/>
        <w:sz w:val="48"/>
      </w:rPr>
      <w:tab/>
    </w:r>
    <w:r>
      <w:fldChar w:fldCharType="begin"/>
    </w:r>
    <w:r>
      <w:instrText xml:space="preserve"> PAGE  \* MERGEFORMAT </w:instrText>
    </w:r>
    <w:r>
      <w:fldChar w:fldCharType="separate"/>
    </w:r>
    <w:r w:rsidR="008D1B59">
      <w:rPr>
        <w:noProof/>
      </w:rPr>
      <w:t>28</w:t>
    </w:r>
    <w:r>
      <w:fldChar w:fldCharType="end"/>
    </w:r>
    <w:r>
      <w:tab/>
    </w:r>
    <w:r w:rsidRPr="002F2036">
      <w:tab/>
    </w:r>
    <w:r w:rsidRPr="002F2036">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3653B" w14:textId="77777777" w:rsidR="002F2036" w:rsidRPr="002F2036" w:rsidRDefault="002F2036" w:rsidP="002F2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08D95" w14:textId="77777777" w:rsidR="008867A3" w:rsidRDefault="008867A3" w:rsidP="0095756A">
      <w:pPr>
        <w:spacing w:before="0" w:after="0"/>
      </w:pPr>
      <w:r>
        <w:separator/>
      </w:r>
    </w:p>
  </w:footnote>
  <w:footnote w:type="continuationSeparator" w:id="0">
    <w:p w14:paraId="7C208D96" w14:textId="77777777" w:rsidR="008867A3" w:rsidRDefault="008867A3" w:rsidP="0095756A">
      <w:pPr>
        <w:spacing w:before="0" w:after="0"/>
      </w:pPr>
      <w:r>
        <w:continuationSeparator/>
      </w:r>
    </w:p>
  </w:footnote>
  <w:footnote w:type="continuationNotice" w:id="1">
    <w:p w14:paraId="7C208D97" w14:textId="77777777" w:rsidR="008867A3" w:rsidRDefault="008867A3">
      <w:pPr>
        <w:spacing w:before="0" w:after="0"/>
      </w:pPr>
    </w:p>
  </w:footnote>
  <w:footnote w:id="2">
    <w:p w14:paraId="7C208DA3" w14:textId="1D43A75B" w:rsidR="008867A3" w:rsidRPr="005F3296" w:rsidRDefault="008867A3">
      <w:pPr>
        <w:pStyle w:val="FootnoteText"/>
      </w:pPr>
      <w:r>
        <w:rPr>
          <w:rStyle w:val="FootnoteReference"/>
        </w:rPr>
        <w:footnoteRef/>
      </w:r>
      <w:r w:rsidRPr="005F3296">
        <w:tab/>
        <w:t>Να συμπεριληφθεί σχετική παραπομπή όταν είναι διαθέσιμη.</w:t>
      </w:r>
    </w:p>
  </w:footnote>
  <w:footnote w:id="3">
    <w:p w14:paraId="7C208DA4" w14:textId="77777777" w:rsidR="008867A3" w:rsidRPr="005F3296" w:rsidRDefault="008867A3">
      <w:pPr>
        <w:pStyle w:val="FootnoteText"/>
      </w:pPr>
      <w:r>
        <w:rPr>
          <w:rStyle w:val="FootnoteReference"/>
        </w:rPr>
        <w:footnoteRef/>
      </w:r>
      <w:r w:rsidRPr="005F3296">
        <w:tab/>
        <w:t>Να συμπεριληφθεί σχετική παραπομπή όταν είναι διαθέσιμη.</w:t>
      </w:r>
    </w:p>
  </w:footnote>
  <w:footnote w:id="4">
    <w:p w14:paraId="7C208DA5" w14:textId="77777777" w:rsidR="008867A3" w:rsidRPr="005F3296" w:rsidRDefault="008867A3">
      <w:pPr>
        <w:pStyle w:val="FootnoteText"/>
      </w:pPr>
      <w:r>
        <w:rPr>
          <w:rStyle w:val="FootnoteReference"/>
        </w:rPr>
        <w:footnoteRef/>
      </w:r>
      <w:r w:rsidRPr="005F3296">
        <w:tab/>
        <w:t xml:space="preserve">Οδηγία 2006/112/ΕΚ του Συμβουλίου, της 28ης Νοεμβρίου 2006, σχετικά με το κοινό σύστημα φόρου προστιθέμενης αξίας (ΕΕ </w:t>
      </w:r>
      <w:r>
        <w:t>L </w:t>
      </w:r>
      <w:r w:rsidRPr="005F3296">
        <w:t>347 της 11.12.2006, σ.</w:t>
      </w:r>
      <w:r>
        <w:t> </w:t>
      </w:r>
      <w:r w:rsidRPr="005F3296">
        <w:t>1).</w:t>
      </w:r>
    </w:p>
  </w:footnote>
  <w:footnote w:id="5">
    <w:p w14:paraId="7C208DA6" w14:textId="77777777" w:rsidR="008867A3" w:rsidRPr="005F3296" w:rsidRDefault="008867A3">
      <w:pPr>
        <w:pStyle w:val="FootnoteText"/>
      </w:pPr>
      <w:r>
        <w:rPr>
          <w:rStyle w:val="FootnoteReference"/>
        </w:rPr>
        <w:footnoteRef/>
      </w:r>
      <w:r w:rsidRPr="005F3296">
        <w:tab/>
        <w:t>Ο ανακεφαλαιωτικός πίνακας είναι ένα απλό έντυπο το οποίο υποβάλλεται σε μηνιαία/τριμηνιαία βάση από τους εμπόρους —επιπλέον της δήλωσης ΦΠΑ που υποβάλλουν— για τη δήλωση των αγαθών που παραδόθηκαν και των υπηρεσιών που παρασχέθηκαν σε εμπόρους άλλων κρατών μελών, και το οποίο περιέχει τον αριθμό ΦΠΑ των πελατών και τη συνολική αξία των παραδόσεων αγαθών ή των παροχών υπηρεσιών ανά πελάτη κατά τη διάρκεια μιας συγκεκριμένης περιόδου.</w:t>
      </w:r>
    </w:p>
  </w:footnote>
  <w:footnote w:id="6">
    <w:p w14:paraId="7C208DA7" w14:textId="77777777" w:rsidR="008867A3" w:rsidRPr="005F3296" w:rsidRDefault="008867A3">
      <w:pPr>
        <w:pStyle w:val="FootnoteText"/>
      </w:pPr>
      <w:r>
        <w:rPr>
          <w:rStyle w:val="FootnoteReference"/>
        </w:rPr>
        <w:footnoteRef/>
      </w:r>
      <w:r w:rsidRPr="005F3296">
        <w:tab/>
        <w:t>Οι υποχρεώσεις υποβολής στοιχείων ΦΠΑ αναφέρονται στην υποχρέωση των εγγεγραμμένων επιχειρήσεων στα μητρώα ΦΠΑ να υποβάλλουν περιοδικές δηλώσεις των συναλλαγών τους στη φορολογική αρχή, ώστε να είναι δυνατή η παρακολούθηση της είσπραξης του ΦΠΑ.</w:t>
      </w:r>
    </w:p>
  </w:footnote>
  <w:footnote w:id="7">
    <w:p w14:paraId="7C208DA8" w14:textId="77777777" w:rsidR="008867A3" w:rsidRPr="005F3296" w:rsidRDefault="008867A3" w:rsidP="00F21508">
      <w:pPr>
        <w:pStyle w:val="FootnoteText"/>
      </w:pPr>
      <w:r>
        <w:rPr>
          <w:rStyle w:val="FootnoteReference"/>
        </w:rPr>
        <w:footnoteRef/>
      </w:r>
      <w:r w:rsidRPr="005F3296">
        <w:tab/>
        <w:t>Στο πλαίσιο αυτό, ο όρος «οικονομία πλατφορμών» αφορά τις παροχές υπηρεσιών που πραγματοποιούνται μέσω πλατφόρμας.</w:t>
      </w:r>
    </w:p>
    <w:p w14:paraId="7C208DA9" w14:textId="77777777" w:rsidR="008867A3" w:rsidRPr="005F3296" w:rsidRDefault="008867A3">
      <w:pPr>
        <w:pStyle w:val="FootnoteText"/>
      </w:pPr>
    </w:p>
  </w:footnote>
  <w:footnote w:id="8">
    <w:p w14:paraId="7C208DAA" w14:textId="77777777" w:rsidR="008867A3" w:rsidRPr="005F3296" w:rsidRDefault="008867A3">
      <w:pPr>
        <w:pStyle w:val="FootnoteText"/>
      </w:pPr>
      <w:r>
        <w:rPr>
          <w:rStyle w:val="FootnoteReference"/>
        </w:rPr>
        <w:footnoteRef/>
      </w:r>
      <w:r w:rsidRPr="005F3296">
        <w:tab/>
      </w:r>
      <w:hyperlink r:id="rId1" w:history="1">
        <w:r>
          <w:rPr>
            <w:rStyle w:val="Hyperlink"/>
          </w:rPr>
          <w:t>https</w:t>
        </w:r>
        <w:r w:rsidRPr="005F3296">
          <w:rPr>
            <w:rStyle w:val="Hyperlink"/>
          </w:rPr>
          <w:t>://</w:t>
        </w:r>
        <w:r>
          <w:rPr>
            <w:rStyle w:val="Hyperlink"/>
          </w:rPr>
          <w:t>ec</w:t>
        </w:r>
        <w:r w:rsidRPr="005F3296">
          <w:rPr>
            <w:rStyle w:val="Hyperlink"/>
          </w:rPr>
          <w:t>.</w:t>
        </w:r>
        <w:r>
          <w:rPr>
            <w:rStyle w:val="Hyperlink"/>
          </w:rPr>
          <w:t>europa</w:t>
        </w:r>
        <w:r w:rsidRPr="005F3296">
          <w:rPr>
            <w:rStyle w:val="Hyperlink"/>
          </w:rPr>
          <w:t>.</w:t>
        </w:r>
        <w:r>
          <w:rPr>
            <w:rStyle w:val="Hyperlink"/>
          </w:rPr>
          <w:t>eu</w:t>
        </w:r>
        <w:r w:rsidRPr="005F3296">
          <w:rPr>
            <w:rStyle w:val="Hyperlink"/>
          </w:rPr>
          <w:t>/</w:t>
        </w:r>
        <w:r>
          <w:rPr>
            <w:rStyle w:val="Hyperlink"/>
          </w:rPr>
          <w:t>taxation</w:t>
        </w:r>
        <w:r w:rsidRPr="005F3296">
          <w:rPr>
            <w:rStyle w:val="Hyperlink"/>
          </w:rPr>
          <w:t>_</w:t>
        </w:r>
        <w:r>
          <w:rPr>
            <w:rStyle w:val="Hyperlink"/>
          </w:rPr>
          <w:t>customs</w:t>
        </w:r>
        <w:r w:rsidRPr="005F3296">
          <w:rPr>
            <w:rStyle w:val="Hyperlink"/>
          </w:rPr>
          <w:t>/</w:t>
        </w:r>
        <w:r>
          <w:rPr>
            <w:rStyle w:val="Hyperlink"/>
          </w:rPr>
          <w:t>business</w:t>
        </w:r>
        <w:r w:rsidRPr="005F3296">
          <w:rPr>
            <w:rStyle w:val="Hyperlink"/>
          </w:rPr>
          <w:t>/</w:t>
        </w:r>
        <w:r>
          <w:rPr>
            <w:rStyle w:val="Hyperlink"/>
          </w:rPr>
          <w:t>vat</w:t>
        </w:r>
        <w:r w:rsidRPr="005F3296">
          <w:rPr>
            <w:rStyle w:val="Hyperlink"/>
          </w:rPr>
          <w:t>/</w:t>
        </w:r>
        <w:r>
          <w:rPr>
            <w:rStyle w:val="Hyperlink"/>
          </w:rPr>
          <w:t>vat</w:t>
        </w:r>
        <w:r w:rsidRPr="005F3296">
          <w:rPr>
            <w:rStyle w:val="Hyperlink"/>
          </w:rPr>
          <w:t>-</w:t>
        </w:r>
        <w:r>
          <w:rPr>
            <w:rStyle w:val="Hyperlink"/>
          </w:rPr>
          <w:t>e</w:t>
        </w:r>
        <w:r w:rsidRPr="005F3296">
          <w:rPr>
            <w:rStyle w:val="Hyperlink"/>
          </w:rPr>
          <w:t>-</w:t>
        </w:r>
        <w:r>
          <w:rPr>
            <w:rStyle w:val="Hyperlink"/>
          </w:rPr>
          <w:t>commerce</w:t>
        </w:r>
        <w:r w:rsidRPr="005F3296">
          <w:rPr>
            <w:rStyle w:val="Hyperlink"/>
          </w:rPr>
          <w:t>_</w:t>
        </w:r>
        <w:r>
          <w:rPr>
            <w:rStyle w:val="Hyperlink"/>
          </w:rPr>
          <w:t>en</w:t>
        </w:r>
      </w:hyperlink>
      <w:r w:rsidRPr="005F3296">
        <w:t>.</w:t>
      </w:r>
    </w:p>
  </w:footnote>
  <w:footnote w:id="9">
    <w:p w14:paraId="7C208DAB" w14:textId="77777777" w:rsidR="008867A3" w:rsidRPr="005F3296" w:rsidRDefault="008867A3">
      <w:pPr>
        <w:pStyle w:val="FootnoteText"/>
      </w:pPr>
      <w:r>
        <w:rPr>
          <w:rStyle w:val="FootnoteReference"/>
        </w:rPr>
        <w:footnoteRef/>
      </w:r>
      <w:r w:rsidRPr="005F3296">
        <w:tab/>
        <w:t xml:space="preserve">Οδηγία 2006/112/ΕΚ του Συμβουλίου, της 28ης Νοεμβρίου 2006, σχετικά με το κοινό σύστημα φόρου προστιθέμενης αξίας (ΕΕ </w:t>
      </w:r>
      <w:r>
        <w:t>L </w:t>
      </w:r>
      <w:r w:rsidRPr="005F3296">
        <w:t>347 της 11.12.2006, σ.</w:t>
      </w:r>
      <w:r>
        <w:t> </w:t>
      </w:r>
      <w:r w:rsidRPr="005F3296">
        <w:t>1).</w:t>
      </w:r>
    </w:p>
  </w:footnote>
  <w:footnote w:id="10">
    <w:p w14:paraId="7C208DAC" w14:textId="77777777" w:rsidR="008867A3" w:rsidRPr="005F3296" w:rsidRDefault="008867A3">
      <w:pPr>
        <w:pStyle w:val="FootnoteText"/>
      </w:pPr>
      <w:r>
        <w:rPr>
          <w:rStyle w:val="FootnoteReference"/>
        </w:rPr>
        <w:footnoteRef/>
      </w:r>
      <w:r w:rsidRPr="005F3296">
        <w:tab/>
        <w:t xml:space="preserve">Έγγραφο εργασίας των υπηρεσιών της Επιτροπής </w:t>
      </w:r>
      <w:r>
        <w:t>SWD</w:t>
      </w:r>
      <w:r w:rsidRPr="005F3296">
        <w:t>(2017)</w:t>
      </w:r>
      <w:r>
        <w:t> </w:t>
      </w:r>
      <w:r w:rsidRPr="005F3296">
        <w:t xml:space="preserve">428 </w:t>
      </w:r>
      <w:r>
        <w:t>final</w:t>
      </w:r>
      <w:r w:rsidRPr="005F3296">
        <w:t>.</w:t>
      </w:r>
    </w:p>
  </w:footnote>
  <w:footnote w:id="11">
    <w:p w14:paraId="7C208DAD" w14:textId="77777777" w:rsidR="008867A3" w:rsidRPr="005F3296" w:rsidRDefault="008867A3">
      <w:pPr>
        <w:pStyle w:val="FootnoteText"/>
      </w:pPr>
      <w:r>
        <w:rPr>
          <w:rStyle w:val="FootnoteReference"/>
        </w:rPr>
        <w:footnoteRef/>
      </w:r>
      <w:r w:rsidRPr="005F3296">
        <w:tab/>
        <w:t>Κανονισμός (ΕΕ) 2016/679 του Ευρωπαϊκού Κοινοβουλίου και του Συμβουλίου, της 27ης</w:t>
      </w:r>
      <w:r>
        <w:t> </w:t>
      </w:r>
      <w:r w:rsidRPr="005F3296">
        <w:t>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footnote>
  <w:footnote w:id="12">
    <w:p w14:paraId="7C208DAE" w14:textId="77777777" w:rsidR="008867A3" w:rsidRPr="005F3296" w:rsidRDefault="008867A3">
      <w:pPr>
        <w:pStyle w:val="FootnoteText"/>
      </w:pPr>
      <w:r>
        <w:rPr>
          <w:rStyle w:val="FootnoteReference"/>
        </w:rPr>
        <w:footnoteRef/>
      </w:r>
      <w:r w:rsidRPr="005F3296">
        <w:tab/>
        <w:t>Οι επιλογές στρατηγικής για την ανάπτυξη ΤΠ και τις δημόσιες συμβάσεις θα υπόκεινται σε προέγκριση από το συμβούλιο τεχνολογίας πληροφοριών και κυβερνοασφάλειας της Ευρωπαϊκής Επιτροπής.</w:t>
      </w:r>
    </w:p>
  </w:footnote>
  <w:footnote w:id="13">
    <w:p w14:paraId="7C208DAF" w14:textId="15FA2289" w:rsidR="008867A3" w:rsidRPr="005F3296" w:rsidRDefault="008867A3" w:rsidP="008B545C">
      <w:pPr>
        <w:pStyle w:val="FootnoteText"/>
      </w:pPr>
      <w:r>
        <w:rPr>
          <w:rStyle w:val="FootnoteReference"/>
        </w:rPr>
        <w:footnoteRef/>
      </w:r>
      <w:r w:rsidRPr="005F3296">
        <w:tab/>
        <w:t>ΕΕ</w:t>
      </w:r>
      <w:r>
        <w:t> C </w:t>
      </w:r>
      <w:r w:rsidRPr="005F3296">
        <w:t xml:space="preserve"> της , σ.</w:t>
      </w:r>
      <w:r>
        <w:t> </w:t>
      </w:r>
      <w:r w:rsidRPr="005F3296">
        <w:t>.</w:t>
      </w:r>
    </w:p>
  </w:footnote>
  <w:footnote w:id="14">
    <w:p w14:paraId="7C208DB0" w14:textId="51DC49FE" w:rsidR="008867A3" w:rsidRPr="005F3296" w:rsidRDefault="008867A3" w:rsidP="008B545C">
      <w:pPr>
        <w:pStyle w:val="FootnoteText"/>
      </w:pPr>
      <w:r>
        <w:rPr>
          <w:rStyle w:val="FootnoteReference"/>
        </w:rPr>
        <w:footnoteRef/>
      </w:r>
      <w:r w:rsidRPr="005F3296">
        <w:tab/>
        <w:t>ΕΕ</w:t>
      </w:r>
      <w:r>
        <w:t> C </w:t>
      </w:r>
      <w:r w:rsidRPr="005F3296">
        <w:t xml:space="preserve"> της , σ.</w:t>
      </w:r>
      <w:r>
        <w:t> </w:t>
      </w:r>
      <w:r w:rsidRPr="005F3296">
        <w:t>.</w:t>
      </w:r>
    </w:p>
  </w:footnote>
  <w:footnote w:id="15">
    <w:p w14:paraId="7C208DB1" w14:textId="77777777" w:rsidR="008867A3" w:rsidRPr="005F3296" w:rsidRDefault="008867A3" w:rsidP="00DD2EE5">
      <w:pPr>
        <w:pStyle w:val="FootnoteText"/>
      </w:pPr>
      <w:r>
        <w:rPr>
          <w:rStyle w:val="FootnoteReference"/>
        </w:rPr>
        <w:footnoteRef/>
      </w:r>
      <w:r w:rsidRPr="005F3296">
        <w:tab/>
        <w:t>Κανονισμός (ΕΕ) αριθ.</w:t>
      </w:r>
      <w:r>
        <w:t> </w:t>
      </w:r>
      <w:r w:rsidRPr="005F3296">
        <w:t xml:space="preserve">904/2010 του Συμβουλίου, της 7ης Οκτωβρίου 2010, για τη διοικητική συνεργασία και την καταπολέμηση της απάτης στον τομέα του φόρου προστιθέμενης αξίας (ΕΕ </w:t>
      </w:r>
      <w:r>
        <w:t>L </w:t>
      </w:r>
      <w:r w:rsidRPr="005F3296">
        <w:t>268 της 12.10.2010, σ.</w:t>
      </w:r>
      <w:r>
        <w:t> </w:t>
      </w:r>
      <w:r w:rsidRPr="005F3296">
        <w:t>1).</w:t>
      </w:r>
    </w:p>
  </w:footnote>
  <w:footnote w:id="16">
    <w:p w14:paraId="7C208DB2" w14:textId="6E29BD5D" w:rsidR="008867A3" w:rsidRPr="005F3296" w:rsidRDefault="008867A3" w:rsidP="00E1589F">
      <w:pPr>
        <w:pStyle w:val="FootnoteText"/>
      </w:pPr>
      <w:r>
        <w:rPr>
          <w:rStyle w:val="FootnoteReference"/>
        </w:rPr>
        <w:footnoteRef/>
      </w:r>
      <w:r w:rsidRPr="005F3296">
        <w:tab/>
        <w:t xml:space="preserve">Οδηγία (ΕΕ) </w:t>
      </w:r>
      <w:r>
        <w:t>XXX</w:t>
      </w:r>
      <w:r w:rsidRPr="005F3296">
        <w:t>/</w:t>
      </w:r>
      <w:r>
        <w:t>XXXX</w:t>
      </w:r>
      <w:r w:rsidRPr="005F3296">
        <w:t xml:space="preserve"> του Συμβουλίου της ........ (ΕΕ </w:t>
      </w:r>
      <w:r>
        <w:t>L</w:t>
      </w:r>
      <w:r w:rsidRPr="005F3296">
        <w:t>, της ηη/μμ/εε, σ.</w:t>
      </w:r>
      <w:r>
        <w:t> X</w:t>
      </w:r>
      <w:r w:rsidRPr="005F3296">
        <w:t>). [Υπηρεσία Εκδόσεων: να προστεθεί η πλήρης παραπομπή.]</w:t>
      </w:r>
    </w:p>
  </w:footnote>
  <w:footnote w:id="17">
    <w:p w14:paraId="7C208DB3" w14:textId="77777777" w:rsidR="008867A3" w:rsidRPr="005F3296" w:rsidRDefault="008867A3" w:rsidP="00E1589F">
      <w:pPr>
        <w:pStyle w:val="FootnoteText"/>
      </w:pPr>
      <w:r>
        <w:rPr>
          <w:rStyle w:val="FootnoteReference"/>
        </w:rPr>
        <w:footnoteRef/>
      </w:r>
      <w:r w:rsidRPr="005F3296">
        <w:tab/>
        <w:t xml:space="preserve">Οδηγία 2006/112/ΕΚ του Συμβουλίου, της 28ης Νοεμβρίου 2006, σχετικά με το κοινό σύστημα φόρου προστιθέμενης αξίας (ΕΕ </w:t>
      </w:r>
      <w:r>
        <w:t>L </w:t>
      </w:r>
      <w:r w:rsidRPr="005F3296">
        <w:t>347 της 11.12.2006, σ.</w:t>
      </w:r>
      <w:r>
        <w:t> </w:t>
      </w:r>
      <w:r w:rsidRPr="005F3296">
        <w:t>1).</w:t>
      </w:r>
    </w:p>
  </w:footnote>
  <w:footnote w:id="18">
    <w:p w14:paraId="7C208DB4" w14:textId="5BBB18A7" w:rsidR="008867A3" w:rsidRPr="005F3296" w:rsidRDefault="008867A3" w:rsidP="009865CF">
      <w:pPr>
        <w:pStyle w:val="FootnoteText"/>
      </w:pPr>
      <w:r>
        <w:rPr>
          <w:rStyle w:val="FootnoteReference"/>
        </w:rPr>
        <w:footnoteRef/>
      </w:r>
      <w:r w:rsidRPr="005F3296">
        <w:tab/>
        <w:t xml:space="preserve">Οδηγία (ΕΕ) </w:t>
      </w:r>
      <w:r>
        <w:t>XXX</w:t>
      </w:r>
      <w:r w:rsidRPr="005F3296">
        <w:t>/</w:t>
      </w:r>
      <w:r>
        <w:t>XXXX</w:t>
      </w:r>
      <w:r w:rsidRPr="005F3296">
        <w:t xml:space="preserve"> του Συμβουλίου της ........ (ΕΕ </w:t>
      </w:r>
      <w:r>
        <w:t>L</w:t>
      </w:r>
      <w:r w:rsidRPr="005F3296">
        <w:t>, της ηη/μμ/εε, σ.</w:t>
      </w:r>
      <w:r>
        <w:t> X</w:t>
      </w:r>
      <w:r w:rsidRPr="005F3296">
        <w:t>).</w:t>
      </w:r>
    </w:p>
  </w:footnote>
  <w:footnote w:id="19">
    <w:p w14:paraId="7C208DB5" w14:textId="77777777" w:rsidR="008867A3" w:rsidRPr="005F3296" w:rsidRDefault="008867A3">
      <w:pPr>
        <w:pStyle w:val="FootnoteText"/>
      </w:pPr>
      <w:r>
        <w:rPr>
          <w:rStyle w:val="FootnoteReference"/>
        </w:rPr>
        <w:footnoteRef/>
      </w:r>
      <w:r w:rsidRPr="005F3296">
        <w:tab/>
        <w:t xml:space="preserve">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w:t>
      </w:r>
      <w:r>
        <w:t>L </w:t>
      </w:r>
      <w:r w:rsidRPr="005F3296">
        <w:t>119 της 4.5.2016, σ.</w:t>
      </w:r>
      <w:r>
        <w:t> </w:t>
      </w:r>
      <w:r w:rsidRPr="005F3296">
        <w:t>1).</w:t>
      </w:r>
    </w:p>
  </w:footnote>
  <w:footnote w:id="20">
    <w:p w14:paraId="7C208DB6" w14:textId="77777777" w:rsidR="008867A3" w:rsidRPr="005F3296" w:rsidRDefault="008867A3">
      <w:pPr>
        <w:pStyle w:val="FootnoteText"/>
      </w:pPr>
      <w:r>
        <w:rPr>
          <w:rStyle w:val="FootnoteReference"/>
        </w:rPr>
        <w:footnoteRef/>
      </w:r>
      <w:r w:rsidRPr="005F3296">
        <w:tab/>
        <w:t>Κανονισμός (ΕΕ) 2018/1725 του Ευρωπαϊκού Κοινοβουλίου και του Συμβουλίου, της 23ης</w:t>
      </w:r>
      <w:r>
        <w:t> </w:t>
      </w:r>
      <w:r w:rsidRPr="005F3296">
        <w:t>Οκτωβρίου</w:t>
      </w:r>
      <w:r>
        <w:t> </w:t>
      </w:r>
      <w:r w:rsidRPr="005F3296">
        <w:t>2018, για την προστασία των φυσικών προσώπων έναντι της επεξεργασίας δεδομένων προσωπικού χαρακτήρα από τα θεσμικά και λοιπά όργανα και τους οργανισμούς της Ένωσης και την ελεύθερη κυκλοφορία των δεδομένων αυτών, και για την κατάργηση του κανονισμού (ΕΚ) αριθ.</w:t>
      </w:r>
      <w:r>
        <w:t> </w:t>
      </w:r>
      <w:r w:rsidRPr="005F3296">
        <w:t>45/2001 και της απόφασης αριθ.</w:t>
      </w:r>
      <w:r>
        <w:t> </w:t>
      </w:r>
      <w:r w:rsidRPr="005F3296">
        <w:t xml:space="preserve">1247/2002/ΕΚ (ΕΕ </w:t>
      </w:r>
      <w:r>
        <w:t>L </w:t>
      </w:r>
      <w:r w:rsidRPr="005F3296">
        <w:t>295 της 21.11.2018, σ.</w:t>
      </w:r>
      <w:r>
        <w:t> </w:t>
      </w:r>
      <w:r w:rsidRPr="005F3296">
        <w:t>39).</w:t>
      </w:r>
    </w:p>
  </w:footnote>
  <w:footnote w:id="21">
    <w:p w14:paraId="7C208DB7" w14:textId="77777777" w:rsidR="008867A3" w:rsidRPr="005F3296" w:rsidRDefault="008867A3" w:rsidP="00291976">
      <w:pPr>
        <w:pStyle w:val="FootnoteText"/>
      </w:pPr>
      <w:r>
        <w:rPr>
          <w:rStyle w:val="FootnoteReference"/>
        </w:rPr>
        <w:footnoteRef/>
      </w:r>
      <w:r w:rsidRPr="005F3296">
        <w:tab/>
        <w:t>Κανονισμός (ΕΕ) αριθ.</w:t>
      </w:r>
      <w:r>
        <w:t> </w:t>
      </w:r>
      <w:r w:rsidRPr="005F3296">
        <w:t xml:space="preserve">182/2011 του Ευρωπαϊκού Κοινοβουλίου και του Συμβουλίου, της 16ης Φεβρουαρίου 2011, για τη θέσπιση κανόνων και γενικών αρχών σχετικά με τους τρόπους ελέγχου από τα κράτη μέλη της άσκησης των εκτελεστικών αρμοδιοτήτων από την Επιτροπή (ΕΕ </w:t>
      </w:r>
      <w:r>
        <w:t>L </w:t>
      </w:r>
      <w:r w:rsidRPr="005F3296">
        <w:t>55 της 28.2.2011, σ.</w:t>
      </w:r>
      <w:r>
        <w:t> </w:t>
      </w:r>
      <w:r w:rsidRPr="005F3296">
        <w:t>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5CDCD66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6B06E3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B36407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18E8EF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E9E35B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F4EE85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40C1E0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ABE51F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4"/>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num>
  <w:num w:numId="4">
    <w:abstractNumId w:val="7"/>
  </w:num>
  <w:num w:numId="5">
    <w:abstractNumId w:val="5"/>
  </w:num>
  <w:num w:numId="6">
    <w:abstractNumId w:val="3"/>
  </w:num>
  <w:num w:numId="7">
    <w:abstractNumId w:val="6"/>
  </w:num>
  <w:num w:numId="8">
    <w:abstractNumId w:val="2"/>
  </w:num>
  <w:num w:numId="9">
    <w:abstractNumId w:val="1"/>
  </w:num>
  <w:num w:numId="10">
    <w:abstractNumId w:val="0"/>
  </w:num>
  <w:num w:numId="11">
    <w:abstractNumId w:val="15"/>
    <w:lvlOverride w:ilvl="0">
      <w:startOverride w:val="1"/>
    </w:lvlOverride>
  </w:num>
  <w:num w:numId="12">
    <w:abstractNumId w:val="15"/>
    <w:lvlOverride w:ilvl="0">
      <w:startOverride w:val="1"/>
    </w:lvlOverride>
  </w:num>
  <w:num w:numId="13">
    <w:abstractNumId w:val="19"/>
  </w:num>
  <w:num w:numId="14">
    <w:abstractNumId w:val="12"/>
  </w:num>
  <w:num w:numId="15">
    <w:abstractNumId w:val="21"/>
  </w:num>
  <w:num w:numId="16">
    <w:abstractNumId w:val="11"/>
  </w:num>
  <w:num w:numId="17">
    <w:abstractNumId w:val="13"/>
  </w:num>
  <w:num w:numId="18">
    <w:abstractNumId w:val="14"/>
  </w:num>
  <w:num w:numId="19">
    <w:abstractNumId w:val="9"/>
  </w:num>
  <w:num w:numId="20">
    <w:abstractNumId w:val="20"/>
  </w:num>
  <w:num w:numId="21">
    <w:abstractNumId w:val="8"/>
  </w:num>
  <w:num w:numId="22">
    <w:abstractNumId w:val="15"/>
  </w:num>
  <w:num w:numId="23">
    <w:abstractNumId w:val="17"/>
  </w:num>
  <w:num w:numId="24">
    <w:abstractNumId w:val="18"/>
  </w:num>
  <w:num w:numId="25">
    <w:abstractNumId w:val="10"/>
  </w:num>
  <w:num w:numId="26">
    <w:abstractNumId w:val="16"/>
  </w:num>
  <w:num w:numId="27">
    <w:abstractNumId w:val="22"/>
  </w:num>
  <w:num w:numId="28">
    <w:abstractNumId w:val="19"/>
  </w:num>
  <w:num w:numId="29">
    <w:abstractNumId w:val="12"/>
  </w:num>
  <w:num w:numId="30">
    <w:abstractNumId w:val="21"/>
  </w:num>
  <w:num w:numId="31">
    <w:abstractNumId w:val="11"/>
  </w:num>
  <w:num w:numId="32">
    <w:abstractNumId w:val="13"/>
  </w:num>
  <w:num w:numId="33">
    <w:abstractNumId w:val="14"/>
  </w:num>
  <w:num w:numId="34">
    <w:abstractNumId w:val="9"/>
  </w:num>
  <w:num w:numId="35">
    <w:abstractNumId w:val="20"/>
  </w:num>
  <w:num w:numId="36">
    <w:abstractNumId w:val="8"/>
  </w:num>
  <w:num w:numId="37">
    <w:abstractNumId w:val="15"/>
  </w:num>
  <w:num w:numId="38">
    <w:abstractNumId w:val="17"/>
  </w:num>
  <w:num w:numId="39">
    <w:abstractNumId w:val="18"/>
  </w:num>
  <w:num w:numId="40">
    <w:abstractNumId w:val="10"/>
  </w:num>
  <w:num w:numId="41">
    <w:abstractNumId w:val="16"/>
  </w:num>
  <w:num w:numId="42">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en-IE" w:vendorID="64" w:dllVersion="131078" w:nlCheck="1" w:checkStyle="1"/>
  <w:attachedTemplate r:id="rId1"/>
  <w:revisionView w:markup="0"/>
  <w:defaultTabStop w:val="720"/>
  <w:hyphenationZone w:val="425"/>
  <w:characterSpacingControl w:val="doNotCompress"/>
  <w:hdrShapeDefaults>
    <o:shapedefaults v:ext="edit" spidmax="1167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2-07 16:59:5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C0A12AAA-DDF2-432F-B435-0FB4715EE3B1"/>
    <w:docVar w:name="LW_COVERPAGE_TYPE" w:val="1"/>
    <w:docVar w:name="LW_CROSSREFERENCE" w:val="{SEC(2022) 433 final} - {SWD(2022) 393 final} - {SWD(2022) 394 final}"/>
    <w:docVar w:name="LW_DocType" w:val="COM"/>
    <w:docVar w:name="LW_EMISSION" w:val="8.12.2022"/>
    <w:docVar w:name="LW_EMISSION_ISODATE" w:val="2022-12-08"/>
    <w:docVar w:name="LW_EMISSION_LOCATION" w:val="BRX"/>
    <w:docVar w:name="LW_EMISSION_PREFIX" w:val="\u914?\u961?\u965?\u958?\u941?\u955?\u955?\u949?\u962?, "/>
    <w:docVar w:name="LW_EMISSION_SUFFIX" w:val=" "/>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CNS"/>
    <w:docVar w:name="LW_REF.II.NEW.CP_NUMBER" w:val="0409"/>
    <w:docVar w:name="LW_REF.II.NEW.CP_YEAR" w:val="2022"/>
    <w:docVar w:name="LW_REF.INST.NEW" w:val="COM"/>
    <w:docVar w:name="LW_REF.INST.NEW_ADOPTED" w:val="final"/>
    <w:docVar w:name="LW_REF.INST.NEW_TEXT" w:val="(2022) 70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Πρόταση"/>
    <w:docVar w:name="LW_SUPERTITRE" w:val="&lt;UNUSED&gt;"/>
    <w:docVar w:name="LW_TITRE.OBJ.CP" w:val="για την τροποποίηση του κανονισμού (ΕΕ) αριθ. 904/2010 όσον αφορά τις απαιτούμενες ρυθμίσεις διοικητικής συνεργασίας στον τομέα του ΦΠΑ για την ψηφιακή εποχή"/>
    <w:docVar w:name="LW_TYPE.DOC.CP" w:val="ΚΑΝΟΝΙΣΜΟΣ ΤΟΥ ΣΥΜΒΟΥΛΙΟΥ"/>
    <w:docVar w:name="LwApiVersions" w:val="LW4CoDe 1.23.2.0; LW 8.0, Build 20211117"/>
  </w:docVars>
  <w:rsids>
    <w:rsidRoot w:val="0095756A"/>
    <w:rsid w:val="00002ACE"/>
    <w:rsid w:val="00004E4F"/>
    <w:rsid w:val="000067EA"/>
    <w:rsid w:val="00006EE7"/>
    <w:rsid w:val="0001443A"/>
    <w:rsid w:val="0003354D"/>
    <w:rsid w:val="00034474"/>
    <w:rsid w:val="000406CF"/>
    <w:rsid w:val="00043774"/>
    <w:rsid w:val="000526B7"/>
    <w:rsid w:val="00052F02"/>
    <w:rsid w:val="000573DC"/>
    <w:rsid w:val="0008580D"/>
    <w:rsid w:val="00095620"/>
    <w:rsid w:val="00096F6F"/>
    <w:rsid w:val="000A4AD4"/>
    <w:rsid w:val="000A68CE"/>
    <w:rsid w:val="000B7A7D"/>
    <w:rsid w:val="000C7598"/>
    <w:rsid w:val="000E072F"/>
    <w:rsid w:val="000E28A7"/>
    <w:rsid w:val="000E2909"/>
    <w:rsid w:val="000F54B4"/>
    <w:rsid w:val="001201A9"/>
    <w:rsid w:val="001322C1"/>
    <w:rsid w:val="0014524E"/>
    <w:rsid w:val="00145982"/>
    <w:rsid w:val="00147195"/>
    <w:rsid w:val="001509B1"/>
    <w:rsid w:val="00152894"/>
    <w:rsid w:val="00153814"/>
    <w:rsid w:val="001616CE"/>
    <w:rsid w:val="00165495"/>
    <w:rsid w:val="00166C7C"/>
    <w:rsid w:val="00184BF8"/>
    <w:rsid w:val="001A31D8"/>
    <w:rsid w:val="001A5E01"/>
    <w:rsid w:val="001B0793"/>
    <w:rsid w:val="001C3453"/>
    <w:rsid w:val="001C6A8A"/>
    <w:rsid w:val="001D5759"/>
    <w:rsid w:val="001E2549"/>
    <w:rsid w:val="00203948"/>
    <w:rsid w:val="0021701E"/>
    <w:rsid w:val="0021712B"/>
    <w:rsid w:val="002236E5"/>
    <w:rsid w:val="0023271E"/>
    <w:rsid w:val="00235811"/>
    <w:rsid w:val="00243036"/>
    <w:rsid w:val="00245573"/>
    <w:rsid w:val="0025065F"/>
    <w:rsid w:val="00254EFB"/>
    <w:rsid w:val="00264B73"/>
    <w:rsid w:val="00270CD4"/>
    <w:rsid w:val="002816D9"/>
    <w:rsid w:val="00282398"/>
    <w:rsid w:val="002827C4"/>
    <w:rsid w:val="00284DC0"/>
    <w:rsid w:val="00290457"/>
    <w:rsid w:val="00291976"/>
    <w:rsid w:val="00296CFE"/>
    <w:rsid w:val="002E3824"/>
    <w:rsid w:val="002F2036"/>
    <w:rsid w:val="00302BC4"/>
    <w:rsid w:val="00311B6A"/>
    <w:rsid w:val="00321C91"/>
    <w:rsid w:val="00322D6B"/>
    <w:rsid w:val="00331E31"/>
    <w:rsid w:val="00336B70"/>
    <w:rsid w:val="00340EE9"/>
    <w:rsid w:val="003464D5"/>
    <w:rsid w:val="00360E18"/>
    <w:rsid w:val="003650BE"/>
    <w:rsid w:val="003925C2"/>
    <w:rsid w:val="003930AA"/>
    <w:rsid w:val="00396ACD"/>
    <w:rsid w:val="003A086B"/>
    <w:rsid w:val="003A2955"/>
    <w:rsid w:val="003A57DD"/>
    <w:rsid w:val="003A7192"/>
    <w:rsid w:val="003C17C9"/>
    <w:rsid w:val="003D466B"/>
    <w:rsid w:val="003E65C7"/>
    <w:rsid w:val="003E71F6"/>
    <w:rsid w:val="003F1291"/>
    <w:rsid w:val="00403571"/>
    <w:rsid w:val="004206AB"/>
    <w:rsid w:val="00424DCE"/>
    <w:rsid w:val="00437AA5"/>
    <w:rsid w:val="004419D7"/>
    <w:rsid w:val="00446D6F"/>
    <w:rsid w:val="004516D7"/>
    <w:rsid w:val="004622F0"/>
    <w:rsid w:val="00462E83"/>
    <w:rsid w:val="00463997"/>
    <w:rsid w:val="00466A9B"/>
    <w:rsid w:val="004738A9"/>
    <w:rsid w:val="00483EC8"/>
    <w:rsid w:val="00486C43"/>
    <w:rsid w:val="00492396"/>
    <w:rsid w:val="00497F1E"/>
    <w:rsid w:val="004A40C0"/>
    <w:rsid w:val="004B3E52"/>
    <w:rsid w:val="004B773B"/>
    <w:rsid w:val="004C5782"/>
    <w:rsid w:val="004E19F9"/>
    <w:rsid w:val="0051413E"/>
    <w:rsid w:val="00517205"/>
    <w:rsid w:val="00524D46"/>
    <w:rsid w:val="00530C0B"/>
    <w:rsid w:val="0054014B"/>
    <w:rsid w:val="00542487"/>
    <w:rsid w:val="005458F0"/>
    <w:rsid w:val="00554A74"/>
    <w:rsid w:val="0056712B"/>
    <w:rsid w:val="005701A6"/>
    <w:rsid w:val="00571D58"/>
    <w:rsid w:val="005755A1"/>
    <w:rsid w:val="0057624E"/>
    <w:rsid w:val="00582810"/>
    <w:rsid w:val="00595540"/>
    <w:rsid w:val="00597305"/>
    <w:rsid w:val="005A2E1A"/>
    <w:rsid w:val="005B12AC"/>
    <w:rsid w:val="005B5FA6"/>
    <w:rsid w:val="005D5F9B"/>
    <w:rsid w:val="005E7BB1"/>
    <w:rsid w:val="005F3296"/>
    <w:rsid w:val="00604600"/>
    <w:rsid w:val="006071B7"/>
    <w:rsid w:val="00612915"/>
    <w:rsid w:val="00620CED"/>
    <w:rsid w:val="00620F43"/>
    <w:rsid w:val="00621712"/>
    <w:rsid w:val="0063672A"/>
    <w:rsid w:val="0064099E"/>
    <w:rsid w:val="006448DC"/>
    <w:rsid w:val="00645962"/>
    <w:rsid w:val="006618FD"/>
    <w:rsid w:val="006654AB"/>
    <w:rsid w:val="00665BCD"/>
    <w:rsid w:val="0068140A"/>
    <w:rsid w:val="00687BE0"/>
    <w:rsid w:val="0069656E"/>
    <w:rsid w:val="006B62FE"/>
    <w:rsid w:val="006C0681"/>
    <w:rsid w:val="006C147C"/>
    <w:rsid w:val="006C3A40"/>
    <w:rsid w:val="006C5372"/>
    <w:rsid w:val="006D3586"/>
    <w:rsid w:val="006F4075"/>
    <w:rsid w:val="006F68E9"/>
    <w:rsid w:val="006F7EFE"/>
    <w:rsid w:val="00704CC6"/>
    <w:rsid w:val="00716AF5"/>
    <w:rsid w:val="0071795B"/>
    <w:rsid w:val="00720D95"/>
    <w:rsid w:val="00722EE9"/>
    <w:rsid w:val="007235F1"/>
    <w:rsid w:val="007336FF"/>
    <w:rsid w:val="00740855"/>
    <w:rsid w:val="0074296A"/>
    <w:rsid w:val="007527CD"/>
    <w:rsid w:val="0076167B"/>
    <w:rsid w:val="00773E68"/>
    <w:rsid w:val="00786B5F"/>
    <w:rsid w:val="007874C0"/>
    <w:rsid w:val="0079047A"/>
    <w:rsid w:val="00791FD4"/>
    <w:rsid w:val="007A5638"/>
    <w:rsid w:val="007B233F"/>
    <w:rsid w:val="007C19FC"/>
    <w:rsid w:val="007C208C"/>
    <w:rsid w:val="007C3FFD"/>
    <w:rsid w:val="007D0861"/>
    <w:rsid w:val="007D39D0"/>
    <w:rsid w:val="007E010B"/>
    <w:rsid w:val="007E4052"/>
    <w:rsid w:val="007E51E2"/>
    <w:rsid w:val="007F2BD6"/>
    <w:rsid w:val="007F5C3D"/>
    <w:rsid w:val="007F7499"/>
    <w:rsid w:val="008016A0"/>
    <w:rsid w:val="00802FC2"/>
    <w:rsid w:val="0080346B"/>
    <w:rsid w:val="0081279F"/>
    <w:rsid w:val="008410ED"/>
    <w:rsid w:val="00850D6E"/>
    <w:rsid w:val="00861D48"/>
    <w:rsid w:val="00862484"/>
    <w:rsid w:val="0086270B"/>
    <w:rsid w:val="00880406"/>
    <w:rsid w:val="008840D7"/>
    <w:rsid w:val="008867A3"/>
    <w:rsid w:val="008974C9"/>
    <w:rsid w:val="00897D9A"/>
    <w:rsid w:val="008A3237"/>
    <w:rsid w:val="008A7E0E"/>
    <w:rsid w:val="008B47CE"/>
    <w:rsid w:val="008B545C"/>
    <w:rsid w:val="008D1B59"/>
    <w:rsid w:val="008E2694"/>
    <w:rsid w:val="008E3F85"/>
    <w:rsid w:val="008E4F32"/>
    <w:rsid w:val="008F07A8"/>
    <w:rsid w:val="008F2599"/>
    <w:rsid w:val="008F51DA"/>
    <w:rsid w:val="009016C3"/>
    <w:rsid w:val="00902A8E"/>
    <w:rsid w:val="009072EA"/>
    <w:rsid w:val="00922994"/>
    <w:rsid w:val="00926D8A"/>
    <w:rsid w:val="00940731"/>
    <w:rsid w:val="009435DA"/>
    <w:rsid w:val="0094577E"/>
    <w:rsid w:val="0095462E"/>
    <w:rsid w:val="00955951"/>
    <w:rsid w:val="0095756A"/>
    <w:rsid w:val="00962B0D"/>
    <w:rsid w:val="00967EDD"/>
    <w:rsid w:val="00973157"/>
    <w:rsid w:val="009821FB"/>
    <w:rsid w:val="00984B60"/>
    <w:rsid w:val="009865CF"/>
    <w:rsid w:val="00986635"/>
    <w:rsid w:val="009957C5"/>
    <w:rsid w:val="009B0365"/>
    <w:rsid w:val="009C0D9F"/>
    <w:rsid w:val="009E45E2"/>
    <w:rsid w:val="009F4463"/>
    <w:rsid w:val="00A0161E"/>
    <w:rsid w:val="00A100BC"/>
    <w:rsid w:val="00A125C4"/>
    <w:rsid w:val="00A21907"/>
    <w:rsid w:val="00A233DA"/>
    <w:rsid w:val="00A31B87"/>
    <w:rsid w:val="00A41820"/>
    <w:rsid w:val="00A43799"/>
    <w:rsid w:val="00A451D3"/>
    <w:rsid w:val="00A46642"/>
    <w:rsid w:val="00A565C7"/>
    <w:rsid w:val="00A57A77"/>
    <w:rsid w:val="00A57EC4"/>
    <w:rsid w:val="00A635C2"/>
    <w:rsid w:val="00A66431"/>
    <w:rsid w:val="00A8699F"/>
    <w:rsid w:val="00A9251D"/>
    <w:rsid w:val="00AA69E4"/>
    <w:rsid w:val="00AB1ED5"/>
    <w:rsid w:val="00AB621E"/>
    <w:rsid w:val="00AC1451"/>
    <w:rsid w:val="00AD0F7D"/>
    <w:rsid w:val="00AD2114"/>
    <w:rsid w:val="00AD41E7"/>
    <w:rsid w:val="00AD573F"/>
    <w:rsid w:val="00AE1794"/>
    <w:rsid w:val="00AE38FC"/>
    <w:rsid w:val="00AE4752"/>
    <w:rsid w:val="00AE645B"/>
    <w:rsid w:val="00AF0A36"/>
    <w:rsid w:val="00AF586E"/>
    <w:rsid w:val="00AF5BEE"/>
    <w:rsid w:val="00B0080A"/>
    <w:rsid w:val="00B03AB9"/>
    <w:rsid w:val="00B07BA2"/>
    <w:rsid w:val="00B1110E"/>
    <w:rsid w:val="00B11E95"/>
    <w:rsid w:val="00B13365"/>
    <w:rsid w:val="00B139D3"/>
    <w:rsid w:val="00B165F8"/>
    <w:rsid w:val="00B24C70"/>
    <w:rsid w:val="00B27DA9"/>
    <w:rsid w:val="00B361BC"/>
    <w:rsid w:val="00B439AE"/>
    <w:rsid w:val="00B4562C"/>
    <w:rsid w:val="00B531E5"/>
    <w:rsid w:val="00B643F4"/>
    <w:rsid w:val="00B7142C"/>
    <w:rsid w:val="00B81836"/>
    <w:rsid w:val="00B91276"/>
    <w:rsid w:val="00B96BAF"/>
    <w:rsid w:val="00BA4BEF"/>
    <w:rsid w:val="00BA615B"/>
    <w:rsid w:val="00BA61F4"/>
    <w:rsid w:val="00BC124E"/>
    <w:rsid w:val="00BC6FF0"/>
    <w:rsid w:val="00BE38A9"/>
    <w:rsid w:val="00BE446E"/>
    <w:rsid w:val="00BF34C8"/>
    <w:rsid w:val="00BF3A08"/>
    <w:rsid w:val="00BF4F30"/>
    <w:rsid w:val="00C0169B"/>
    <w:rsid w:val="00C042C7"/>
    <w:rsid w:val="00C06C3F"/>
    <w:rsid w:val="00C2377E"/>
    <w:rsid w:val="00C24609"/>
    <w:rsid w:val="00C24A35"/>
    <w:rsid w:val="00C30398"/>
    <w:rsid w:val="00C317F5"/>
    <w:rsid w:val="00C3731F"/>
    <w:rsid w:val="00C37725"/>
    <w:rsid w:val="00C476DC"/>
    <w:rsid w:val="00C53409"/>
    <w:rsid w:val="00C55431"/>
    <w:rsid w:val="00C56DBE"/>
    <w:rsid w:val="00C6019C"/>
    <w:rsid w:val="00C66DC9"/>
    <w:rsid w:val="00C67433"/>
    <w:rsid w:val="00C8533C"/>
    <w:rsid w:val="00C853B7"/>
    <w:rsid w:val="00C85AC8"/>
    <w:rsid w:val="00C91C75"/>
    <w:rsid w:val="00C93D88"/>
    <w:rsid w:val="00C95689"/>
    <w:rsid w:val="00C95ECB"/>
    <w:rsid w:val="00CA64DD"/>
    <w:rsid w:val="00CB0623"/>
    <w:rsid w:val="00CC2A90"/>
    <w:rsid w:val="00CC537C"/>
    <w:rsid w:val="00CD3409"/>
    <w:rsid w:val="00CE5B26"/>
    <w:rsid w:val="00CF410B"/>
    <w:rsid w:val="00CF74A9"/>
    <w:rsid w:val="00D03763"/>
    <w:rsid w:val="00D0391A"/>
    <w:rsid w:val="00D05072"/>
    <w:rsid w:val="00D124D3"/>
    <w:rsid w:val="00D13659"/>
    <w:rsid w:val="00D2259F"/>
    <w:rsid w:val="00D23500"/>
    <w:rsid w:val="00D25847"/>
    <w:rsid w:val="00D30189"/>
    <w:rsid w:val="00D3384B"/>
    <w:rsid w:val="00D47ED9"/>
    <w:rsid w:val="00D67CE0"/>
    <w:rsid w:val="00DA20C1"/>
    <w:rsid w:val="00DA2AD5"/>
    <w:rsid w:val="00DA7B12"/>
    <w:rsid w:val="00DB3473"/>
    <w:rsid w:val="00DB40AB"/>
    <w:rsid w:val="00DB4B20"/>
    <w:rsid w:val="00DB5A86"/>
    <w:rsid w:val="00DB675A"/>
    <w:rsid w:val="00DC0818"/>
    <w:rsid w:val="00DC54C4"/>
    <w:rsid w:val="00DC6162"/>
    <w:rsid w:val="00DC73E0"/>
    <w:rsid w:val="00DD2EE5"/>
    <w:rsid w:val="00DE417A"/>
    <w:rsid w:val="00DE5315"/>
    <w:rsid w:val="00DE6325"/>
    <w:rsid w:val="00DF219B"/>
    <w:rsid w:val="00E01AD6"/>
    <w:rsid w:val="00E07235"/>
    <w:rsid w:val="00E10117"/>
    <w:rsid w:val="00E10A13"/>
    <w:rsid w:val="00E1589F"/>
    <w:rsid w:val="00E33C9F"/>
    <w:rsid w:val="00E33F23"/>
    <w:rsid w:val="00E344A5"/>
    <w:rsid w:val="00E37088"/>
    <w:rsid w:val="00E43C65"/>
    <w:rsid w:val="00E44944"/>
    <w:rsid w:val="00E44B18"/>
    <w:rsid w:val="00E560C1"/>
    <w:rsid w:val="00E706B6"/>
    <w:rsid w:val="00E75E3D"/>
    <w:rsid w:val="00E854A0"/>
    <w:rsid w:val="00E85777"/>
    <w:rsid w:val="00E878C2"/>
    <w:rsid w:val="00E979AB"/>
    <w:rsid w:val="00EA2165"/>
    <w:rsid w:val="00EB2422"/>
    <w:rsid w:val="00EB7DA3"/>
    <w:rsid w:val="00EC18AF"/>
    <w:rsid w:val="00EC39BC"/>
    <w:rsid w:val="00ED3AC8"/>
    <w:rsid w:val="00ED5E13"/>
    <w:rsid w:val="00EE140B"/>
    <w:rsid w:val="00EE673A"/>
    <w:rsid w:val="00F02B90"/>
    <w:rsid w:val="00F06760"/>
    <w:rsid w:val="00F07892"/>
    <w:rsid w:val="00F1771A"/>
    <w:rsid w:val="00F21508"/>
    <w:rsid w:val="00F22B31"/>
    <w:rsid w:val="00F24138"/>
    <w:rsid w:val="00F24BB5"/>
    <w:rsid w:val="00F268A4"/>
    <w:rsid w:val="00F30424"/>
    <w:rsid w:val="00F32286"/>
    <w:rsid w:val="00F32DE9"/>
    <w:rsid w:val="00F41C4E"/>
    <w:rsid w:val="00F53C42"/>
    <w:rsid w:val="00F54318"/>
    <w:rsid w:val="00F61768"/>
    <w:rsid w:val="00F7009B"/>
    <w:rsid w:val="00F7193C"/>
    <w:rsid w:val="00F81E4C"/>
    <w:rsid w:val="00F839FB"/>
    <w:rsid w:val="00F9434F"/>
    <w:rsid w:val="00FA13DB"/>
    <w:rsid w:val="00FA69D2"/>
    <w:rsid w:val="00FB1374"/>
    <w:rsid w:val="00FB5AB0"/>
    <w:rsid w:val="00FB62D5"/>
    <w:rsid w:val="00FC2396"/>
    <w:rsid w:val="00FC6E08"/>
    <w:rsid w:val="00FD02B6"/>
    <w:rsid w:val="00FD2E13"/>
    <w:rsid w:val="00FE25B2"/>
    <w:rsid w:val="00FE5635"/>
    <w:rsid w:val="00FE6CD1"/>
    <w:rsid w:val="00FF3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7C208C8C"/>
  <w15:docId w15:val="{F8CDFBF6-3EAB-478D-8A45-891F321A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rsid w:val="00517205"/>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5"/>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5"/>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5"/>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56A"/>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95756A"/>
    <w:rPr>
      <w:rFonts w:ascii="Segoe UI" w:hAnsi="Segoe UI" w:cs="Segoe UI"/>
      <w:sz w:val="18"/>
    </w:rPr>
  </w:style>
  <w:style w:type="paragraph" w:styleId="CommentText">
    <w:name w:val="annotation text"/>
    <w:basedOn w:val="Normal"/>
    <w:link w:val="CommentTextChar"/>
    <w:uiPriority w:val="99"/>
    <w:unhideWhenUsed/>
    <w:rsid w:val="0021712B"/>
    <w:rPr>
      <w:sz w:val="20"/>
    </w:rPr>
  </w:style>
  <w:style w:type="character" w:customStyle="1" w:styleId="CommentTextChar">
    <w:name w:val="Comment Text Char"/>
    <w:basedOn w:val="DefaultParagraphFont"/>
    <w:link w:val="CommentText"/>
    <w:uiPriority w:val="99"/>
    <w:rsid w:val="0021712B"/>
    <w:rPr>
      <w:rFonts w:ascii="Times New Roman" w:hAnsi="Times New Roman" w:cs="Times New Roman"/>
      <w:sz w:val="20"/>
    </w:rPr>
  </w:style>
  <w:style w:type="character" w:styleId="CommentReference">
    <w:name w:val="annotation reference"/>
    <w:basedOn w:val="DefaultParagraphFont"/>
    <w:uiPriority w:val="99"/>
    <w:unhideWhenUsed/>
    <w:rsid w:val="0021712B"/>
    <w:rPr>
      <w:sz w:val="16"/>
    </w:rPr>
  </w:style>
  <w:style w:type="character" w:styleId="Hyperlink">
    <w:name w:val="Hyperlink"/>
    <w:basedOn w:val="DefaultParagraphFont"/>
    <w:uiPriority w:val="99"/>
    <w:unhideWhenUsed/>
    <w:rsid w:val="0021712B"/>
    <w:rPr>
      <w:color w:val="0000FF" w:themeColor="hyperlink"/>
      <w:u w:val="single"/>
    </w:rPr>
  </w:style>
  <w:style w:type="paragraph" w:styleId="ListParagraph">
    <w:name w:val="List Paragraph"/>
    <w:basedOn w:val="Normal"/>
    <w:uiPriority w:val="34"/>
    <w:qFormat/>
    <w:rsid w:val="003E71F6"/>
    <w:pPr>
      <w:ind w:left="720"/>
      <w:contextualSpacing/>
    </w:pPr>
  </w:style>
  <w:style w:type="paragraph" w:styleId="ListBullet3">
    <w:name w:val="List Bullet 3"/>
    <w:basedOn w:val="Normal"/>
    <w:uiPriority w:val="99"/>
    <w:semiHidden/>
    <w:unhideWhenUsed/>
    <w:rsid w:val="003650BE"/>
    <w:pPr>
      <w:numPr>
        <w:numId w:val="1"/>
      </w:numPr>
      <w:contextualSpacing/>
    </w:pPr>
  </w:style>
  <w:style w:type="character" w:styleId="FollowedHyperlink">
    <w:name w:val="FollowedHyperlink"/>
    <w:basedOn w:val="DefaultParagraphFont"/>
    <w:uiPriority w:val="99"/>
    <w:semiHidden/>
    <w:unhideWhenUsed/>
    <w:rsid w:val="009435DA"/>
    <w:rPr>
      <w:color w:val="800080" w:themeColor="followedHyperlink"/>
      <w:u w:val="single"/>
    </w:rPr>
  </w:style>
  <w:style w:type="paragraph" w:styleId="Caption">
    <w:name w:val="caption"/>
    <w:basedOn w:val="Normal"/>
    <w:next w:val="Normal"/>
    <w:uiPriority w:val="35"/>
    <w:semiHidden/>
    <w:unhideWhenUsed/>
    <w:qFormat/>
    <w:rsid w:val="004206AB"/>
    <w:pPr>
      <w:spacing w:before="0" w:after="200"/>
    </w:pPr>
    <w:rPr>
      <w:i/>
      <w:color w:val="1F497D" w:themeColor="text2"/>
      <w:sz w:val="18"/>
    </w:rPr>
  </w:style>
  <w:style w:type="paragraph" w:styleId="TableofFigures">
    <w:name w:val="table of figures"/>
    <w:basedOn w:val="Normal"/>
    <w:next w:val="Normal"/>
    <w:uiPriority w:val="99"/>
    <w:semiHidden/>
    <w:unhideWhenUsed/>
    <w:rsid w:val="004206AB"/>
    <w:pPr>
      <w:spacing w:after="0"/>
    </w:pPr>
  </w:style>
  <w:style w:type="paragraph" w:styleId="ListBullet">
    <w:name w:val="List Bullet"/>
    <w:basedOn w:val="Normal"/>
    <w:uiPriority w:val="99"/>
    <w:semiHidden/>
    <w:unhideWhenUsed/>
    <w:rsid w:val="004206AB"/>
    <w:pPr>
      <w:numPr>
        <w:numId w:val="4"/>
      </w:numPr>
      <w:contextualSpacing/>
    </w:pPr>
  </w:style>
  <w:style w:type="paragraph" w:styleId="ListBullet2">
    <w:name w:val="List Bullet 2"/>
    <w:basedOn w:val="Normal"/>
    <w:uiPriority w:val="99"/>
    <w:semiHidden/>
    <w:unhideWhenUsed/>
    <w:rsid w:val="004206AB"/>
    <w:pPr>
      <w:numPr>
        <w:numId w:val="5"/>
      </w:numPr>
      <w:contextualSpacing/>
    </w:pPr>
  </w:style>
  <w:style w:type="paragraph" w:styleId="ListBullet4">
    <w:name w:val="List Bullet 4"/>
    <w:basedOn w:val="Normal"/>
    <w:uiPriority w:val="99"/>
    <w:semiHidden/>
    <w:unhideWhenUsed/>
    <w:rsid w:val="004206AB"/>
    <w:pPr>
      <w:numPr>
        <w:numId w:val="6"/>
      </w:numPr>
      <w:contextualSpacing/>
    </w:pPr>
  </w:style>
  <w:style w:type="paragraph" w:styleId="ListNumber">
    <w:name w:val="List Number"/>
    <w:basedOn w:val="Normal"/>
    <w:uiPriority w:val="99"/>
    <w:semiHidden/>
    <w:unhideWhenUsed/>
    <w:rsid w:val="004206AB"/>
    <w:pPr>
      <w:numPr>
        <w:numId w:val="7"/>
      </w:numPr>
      <w:contextualSpacing/>
    </w:pPr>
  </w:style>
  <w:style w:type="paragraph" w:styleId="ListNumber2">
    <w:name w:val="List Number 2"/>
    <w:basedOn w:val="Normal"/>
    <w:uiPriority w:val="99"/>
    <w:semiHidden/>
    <w:unhideWhenUsed/>
    <w:rsid w:val="004206AB"/>
    <w:pPr>
      <w:numPr>
        <w:numId w:val="8"/>
      </w:numPr>
      <w:contextualSpacing/>
    </w:pPr>
  </w:style>
  <w:style w:type="paragraph" w:styleId="ListNumber3">
    <w:name w:val="List Number 3"/>
    <w:basedOn w:val="Normal"/>
    <w:uiPriority w:val="99"/>
    <w:semiHidden/>
    <w:unhideWhenUsed/>
    <w:rsid w:val="004206AB"/>
    <w:pPr>
      <w:numPr>
        <w:numId w:val="9"/>
      </w:numPr>
      <w:contextualSpacing/>
    </w:pPr>
  </w:style>
  <w:style w:type="paragraph" w:styleId="ListNumber4">
    <w:name w:val="List Number 4"/>
    <w:basedOn w:val="Normal"/>
    <w:uiPriority w:val="99"/>
    <w:semiHidden/>
    <w:unhideWhenUsed/>
    <w:rsid w:val="004206AB"/>
    <w:pPr>
      <w:numPr>
        <w:numId w:val="10"/>
      </w:numPr>
      <w:contextualSpacing/>
    </w:pPr>
  </w:style>
  <w:style w:type="paragraph" w:styleId="CommentSubject">
    <w:name w:val="annotation subject"/>
    <w:basedOn w:val="CommentText"/>
    <w:next w:val="CommentText"/>
    <w:link w:val="CommentSubjectChar"/>
    <w:uiPriority w:val="99"/>
    <w:semiHidden/>
    <w:unhideWhenUsed/>
    <w:rsid w:val="00BA4BEF"/>
    <w:rPr>
      <w:b/>
    </w:rPr>
  </w:style>
  <w:style w:type="character" w:customStyle="1" w:styleId="CommentSubjectChar">
    <w:name w:val="Comment Subject Char"/>
    <w:basedOn w:val="CommentTextChar"/>
    <w:link w:val="CommentSubject"/>
    <w:uiPriority w:val="99"/>
    <w:semiHidden/>
    <w:rsid w:val="00BA4BEF"/>
    <w:rPr>
      <w:rFonts w:ascii="Times New Roman" w:hAnsi="Times New Roman" w:cs="Times New Roman"/>
      <w:b/>
      <w:sz w:val="20"/>
    </w:rPr>
  </w:style>
  <w:style w:type="paragraph" w:styleId="EndnoteText">
    <w:name w:val="endnote text"/>
    <w:basedOn w:val="Normal"/>
    <w:link w:val="EndnoteTextChar"/>
    <w:uiPriority w:val="99"/>
    <w:semiHidden/>
    <w:unhideWhenUsed/>
    <w:rsid w:val="00F9434F"/>
    <w:pPr>
      <w:spacing w:before="0" w:after="0"/>
    </w:pPr>
    <w:rPr>
      <w:sz w:val="20"/>
    </w:rPr>
  </w:style>
  <w:style w:type="character" w:customStyle="1" w:styleId="EndnoteTextChar">
    <w:name w:val="Endnote Text Char"/>
    <w:basedOn w:val="DefaultParagraphFont"/>
    <w:link w:val="EndnoteText"/>
    <w:uiPriority w:val="99"/>
    <w:semiHidden/>
    <w:rsid w:val="00F9434F"/>
    <w:rPr>
      <w:rFonts w:ascii="Times New Roman" w:hAnsi="Times New Roman" w:cs="Times New Roman"/>
      <w:sz w:val="20"/>
    </w:rPr>
  </w:style>
  <w:style w:type="character" w:styleId="EndnoteReference">
    <w:name w:val="endnote reference"/>
    <w:basedOn w:val="DefaultParagraphFont"/>
    <w:uiPriority w:val="99"/>
    <w:semiHidden/>
    <w:unhideWhenUsed/>
    <w:rsid w:val="00F9434F"/>
    <w:rPr>
      <w:vertAlign w:val="superscript"/>
    </w:rPr>
  </w:style>
  <w:style w:type="paragraph" w:styleId="Header">
    <w:name w:val="header"/>
    <w:basedOn w:val="Normal"/>
    <w:link w:val="HeaderChar"/>
    <w:uiPriority w:val="99"/>
    <w:unhideWhenUsed/>
    <w:rsid w:val="002F2036"/>
    <w:pPr>
      <w:tabs>
        <w:tab w:val="center" w:pos="4535"/>
        <w:tab w:val="right" w:pos="9071"/>
      </w:tabs>
      <w:spacing w:before="0"/>
    </w:pPr>
  </w:style>
  <w:style w:type="character" w:customStyle="1" w:styleId="HeaderChar">
    <w:name w:val="Header Char"/>
    <w:basedOn w:val="DefaultParagraphFont"/>
    <w:link w:val="Header"/>
    <w:uiPriority w:val="99"/>
    <w:rsid w:val="002F2036"/>
    <w:rPr>
      <w:rFonts w:ascii="Times New Roman" w:hAnsi="Times New Roman" w:cs="Times New Roman"/>
      <w:sz w:val="24"/>
      <w:lang w:val="el-GR"/>
    </w:rPr>
  </w:style>
  <w:style w:type="paragraph" w:styleId="Footer">
    <w:name w:val="footer"/>
    <w:basedOn w:val="Normal"/>
    <w:link w:val="FooterChar"/>
    <w:uiPriority w:val="99"/>
    <w:unhideWhenUsed/>
    <w:rsid w:val="002F203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2F2036"/>
    <w:rPr>
      <w:rFonts w:ascii="Times New Roman" w:hAnsi="Times New Roman" w:cs="Times New Roman"/>
      <w:sz w:val="24"/>
      <w:lang w:val="el-GR"/>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2F2036"/>
    <w:pPr>
      <w:tabs>
        <w:tab w:val="center" w:pos="7285"/>
        <w:tab w:val="right" w:pos="14003"/>
      </w:tabs>
      <w:spacing w:before="0"/>
    </w:pPr>
  </w:style>
  <w:style w:type="paragraph" w:customStyle="1" w:styleId="FooterLandscape">
    <w:name w:val="FooterLandscape"/>
    <w:basedOn w:val="Normal"/>
    <w:rsid w:val="002F203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2F203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F2036"/>
    <w:pPr>
      <w:spacing w:before="0"/>
      <w:jc w:val="right"/>
    </w:pPr>
    <w:rPr>
      <w:sz w:val="28"/>
    </w:rPr>
  </w:style>
  <w:style w:type="paragraph" w:customStyle="1" w:styleId="FooterSensitivity">
    <w:name w:val="Footer Sensitivity"/>
    <w:basedOn w:val="Normal"/>
    <w:rsid w:val="002F203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28"/>
      </w:numPr>
    </w:pPr>
  </w:style>
  <w:style w:type="paragraph" w:customStyle="1" w:styleId="Tiret1">
    <w:name w:val="Tiret 1"/>
    <w:basedOn w:val="Point1"/>
    <w:rsid w:val="00517205"/>
    <w:pPr>
      <w:numPr>
        <w:numId w:val="29"/>
      </w:numPr>
    </w:pPr>
  </w:style>
  <w:style w:type="paragraph" w:customStyle="1" w:styleId="Tiret2">
    <w:name w:val="Tiret 2"/>
    <w:basedOn w:val="Point2"/>
    <w:rsid w:val="00517205"/>
    <w:pPr>
      <w:numPr>
        <w:numId w:val="30"/>
      </w:numPr>
    </w:pPr>
  </w:style>
  <w:style w:type="paragraph" w:customStyle="1" w:styleId="Tiret3">
    <w:name w:val="Tiret 3"/>
    <w:basedOn w:val="Point3"/>
    <w:rsid w:val="00517205"/>
    <w:pPr>
      <w:numPr>
        <w:numId w:val="31"/>
      </w:numPr>
    </w:pPr>
  </w:style>
  <w:style w:type="paragraph" w:customStyle="1" w:styleId="Tiret4">
    <w:name w:val="Tiret 4"/>
    <w:basedOn w:val="Point4"/>
    <w:rsid w:val="00517205"/>
    <w:pPr>
      <w:numPr>
        <w:numId w:val="32"/>
      </w:numPr>
    </w:pPr>
  </w:style>
  <w:style w:type="paragraph" w:customStyle="1" w:styleId="Tiret5">
    <w:name w:val="Tiret 5"/>
    <w:basedOn w:val="Point5"/>
    <w:rsid w:val="00517205"/>
    <w:pPr>
      <w:numPr>
        <w:numId w:val="33"/>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4"/>
      </w:numPr>
    </w:pPr>
  </w:style>
  <w:style w:type="paragraph" w:customStyle="1" w:styleId="NumPar2">
    <w:name w:val="NumPar 2"/>
    <w:basedOn w:val="Normal"/>
    <w:next w:val="Text1"/>
    <w:rsid w:val="00517205"/>
    <w:pPr>
      <w:numPr>
        <w:ilvl w:val="1"/>
        <w:numId w:val="34"/>
      </w:numPr>
    </w:pPr>
  </w:style>
  <w:style w:type="paragraph" w:customStyle="1" w:styleId="NumPar3">
    <w:name w:val="NumPar 3"/>
    <w:basedOn w:val="Normal"/>
    <w:next w:val="Text1"/>
    <w:rsid w:val="00517205"/>
    <w:pPr>
      <w:numPr>
        <w:ilvl w:val="2"/>
        <w:numId w:val="34"/>
      </w:numPr>
    </w:pPr>
  </w:style>
  <w:style w:type="paragraph" w:customStyle="1" w:styleId="NumPar4">
    <w:name w:val="NumPar 4"/>
    <w:basedOn w:val="Normal"/>
    <w:next w:val="Text1"/>
    <w:rsid w:val="00517205"/>
    <w:pPr>
      <w:numPr>
        <w:ilvl w:val="3"/>
        <w:numId w:val="34"/>
      </w:numPr>
    </w:pPr>
  </w:style>
  <w:style w:type="paragraph" w:customStyle="1" w:styleId="NumPar5">
    <w:name w:val="NumPar 5"/>
    <w:basedOn w:val="Normal"/>
    <w:next w:val="Text2"/>
    <w:rsid w:val="00517205"/>
    <w:pPr>
      <w:numPr>
        <w:ilvl w:val="4"/>
        <w:numId w:val="34"/>
      </w:numPr>
    </w:pPr>
  </w:style>
  <w:style w:type="paragraph" w:customStyle="1" w:styleId="NumPar6">
    <w:name w:val="NumPar 6"/>
    <w:basedOn w:val="Normal"/>
    <w:next w:val="Text2"/>
    <w:rsid w:val="00517205"/>
    <w:pPr>
      <w:numPr>
        <w:ilvl w:val="5"/>
        <w:numId w:val="34"/>
      </w:numPr>
    </w:pPr>
  </w:style>
  <w:style w:type="paragraph" w:customStyle="1" w:styleId="NumPar7">
    <w:name w:val="NumPar 7"/>
    <w:basedOn w:val="Normal"/>
    <w:next w:val="Text2"/>
    <w:rsid w:val="00517205"/>
    <w:pPr>
      <w:numPr>
        <w:ilvl w:val="6"/>
        <w:numId w:val="34"/>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FD2E13"/>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6"/>
      </w:numPr>
    </w:pPr>
  </w:style>
  <w:style w:type="paragraph" w:customStyle="1" w:styleId="Point1number">
    <w:name w:val="Point 1 (number)"/>
    <w:basedOn w:val="Normal"/>
    <w:rsid w:val="00517205"/>
    <w:pPr>
      <w:numPr>
        <w:ilvl w:val="2"/>
        <w:numId w:val="36"/>
      </w:numPr>
    </w:pPr>
  </w:style>
  <w:style w:type="paragraph" w:customStyle="1" w:styleId="Point2number">
    <w:name w:val="Point 2 (number)"/>
    <w:basedOn w:val="Normal"/>
    <w:rsid w:val="00517205"/>
    <w:pPr>
      <w:numPr>
        <w:ilvl w:val="4"/>
        <w:numId w:val="36"/>
      </w:numPr>
    </w:pPr>
  </w:style>
  <w:style w:type="paragraph" w:customStyle="1" w:styleId="Point3number">
    <w:name w:val="Point 3 (number)"/>
    <w:basedOn w:val="Normal"/>
    <w:rsid w:val="00517205"/>
    <w:pPr>
      <w:numPr>
        <w:ilvl w:val="6"/>
        <w:numId w:val="36"/>
      </w:numPr>
    </w:pPr>
  </w:style>
  <w:style w:type="paragraph" w:customStyle="1" w:styleId="Point0letter">
    <w:name w:val="Point 0 (letter)"/>
    <w:basedOn w:val="Normal"/>
    <w:rsid w:val="00517205"/>
    <w:pPr>
      <w:numPr>
        <w:ilvl w:val="1"/>
        <w:numId w:val="36"/>
      </w:numPr>
    </w:pPr>
  </w:style>
  <w:style w:type="paragraph" w:customStyle="1" w:styleId="Point1letter">
    <w:name w:val="Point 1 (letter)"/>
    <w:basedOn w:val="Normal"/>
    <w:rsid w:val="00517205"/>
    <w:pPr>
      <w:numPr>
        <w:ilvl w:val="3"/>
        <w:numId w:val="36"/>
      </w:numPr>
    </w:pPr>
  </w:style>
  <w:style w:type="paragraph" w:customStyle="1" w:styleId="Point2letter">
    <w:name w:val="Point 2 (letter)"/>
    <w:basedOn w:val="Normal"/>
    <w:rsid w:val="00517205"/>
    <w:pPr>
      <w:numPr>
        <w:ilvl w:val="5"/>
        <w:numId w:val="36"/>
      </w:numPr>
    </w:pPr>
  </w:style>
  <w:style w:type="paragraph" w:customStyle="1" w:styleId="Point3letter">
    <w:name w:val="Point 3 (letter)"/>
    <w:basedOn w:val="Normal"/>
    <w:rsid w:val="00517205"/>
    <w:pPr>
      <w:numPr>
        <w:ilvl w:val="7"/>
        <w:numId w:val="36"/>
      </w:numPr>
    </w:pPr>
  </w:style>
  <w:style w:type="paragraph" w:customStyle="1" w:styleId="Point4letter">
    <w:name w:val="Point 4 (letter)"/>
    <w:basedOn w:val="Normal"/>
    <w:rsid w:val="00517205"/>
    <w:pPr>
      <w:numPr>
        <w:ilvl w:val="8"/>
        <w:numId w:val="36"/>
      </w:numPr>
    </w:pPr>
  </w:style>
  <w:style w:type="paragraph" w:customStyle="1" w:styleId="Bullet0">
    <w:name w:val="Bullet 0"/>
    <w:basedOn w:val="Normal"/>
    <w:rsid w:val="00517205"/>
    <w:pPr>
      <w:numPr>
        <w:numId w:val="37"/>
      </w:numPr>
    </w:pPr>
  </w:style>
  <w:style w:type="paragraph" w:customStyle="1" w:styleId="Bullet1">
    <w:name w:val="Bullet 1"/>
    <w:basedOn w:val="Normal"/>
    <w:rsid w:val="00517205"/>
    <w:pPr>
      <w:numPr>
        <w:numId w:val="38"/>
      </w:numPr>
    </w:pPr>
  </w:style>
  <w:style w:type="paragraph" w:customStyle="1" w:styleId="Bullet2">
    <w:name w:val="Bullet 2"/>
    <w:basedOn w:val="Normal"/>
    <w:rsid w:val="00517205"/>
    <w:pPr>
      <w:numPr>
        <w:numId w:val="39"/>
      </w:numPr>
    </w:pPr>
  </w:style>
  <w:style w:type="paragraph" w:customStyle="1" w:styleId="Bullet3">
    <w:name w:val="Bullet 3"/>
    <w:basedOn w:val="Normal"/>
    <w:rsid w:val="00517205"/>
    <w:pPr>
      <w:numPr>
        <w:numId w:val="40"/>
      </w:numPr>
    </w:pPr>
  </w:style>
  <w:style w:type="paragraph" w:customStyle="1" w:styleId="Bullet4">
    <w:name w:val="Bullet 4"/>
    <w:basedOn w:val="Normal"/>
    <w:rsid w:val="00517205"/>
    <w:pPr>
      <w:numPr>
        <w:numId w:val="41"/>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42"/>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axation_customs/business/vat/vat-e-commerce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00e7105b-d29c-4361-93b8-c3aa47cc8160">EN</EC_Collab_DocumentLanguage>
    <EC_Collab_Status xmlns="00e7105b-d29c-4361-93b8-c3aa47cc8160">Not Started</EC_Collab_Status>
    <EC_Collab_Reference xmlns="00e7105b-d29c-4361-93b8-c3aa47cc81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5EBD7DBC771654090588EB00E0A5EBB" ma:contentTypeVersion="3" ma:contentTypeDescription="Create a new document in this library." ma:contentTypeScope="" ma:versionID="5ec35d3599ccdf5fb8f977aa0ee85ebe">
  <xsd:schema xmlns:xsd="http://www.w3.org/2001/XMLSchema" xmlns:xs="http://www.w3.org/2001/XMLSchema" xmlns:p="http://schemas.microsoft.com/office/2006/metadata/properties" xmlns:ns3="00e7105b-d29c-4361-93b8-c3aa47cc8160" xmlns:ns4="48ffeb1a-07aa-4d1b-ab1c-c3f0456247d5" targetNamespace="http://schemas.microsoft.com/office/2006/metadata/properties" ma:root="true" ma:fieldsID="d24cbdb8d2b49a9cd5bae7e0dfd9b8ab" ns3:_="" ns4:_="">
    <xsd:import namespace="00e7105b-d29c-4361-93b8-c3aa47cc8160"/>
    <xsd:import namespace="48ffeb1a-07aa-4d1b-ab1c-c3f0456247d5"/>
    <xsd:element name="properties">
      <xsd:complexType>
        <xsd:sequence>
          <xsd:element name="documentManagement">
            <xsd:complexType>
              <xsd:all>
                <xsd:element ref="ns3:EC_Collab_Reference"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7105b-d29c-4361-93b8-c3aa47cc816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48ffeb1a-07aa-4d1b-ab1c-c3f0456247d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04869-78B3-4B2A-8FC5-DEE5746B365D}">
  <ds:schemaRefs>
    <ds:schemaRef ds:uri="http://schemas.microsoft.com/sharepoint/v3/contenttype/forms"/>
  </ds:schemaRefs>
</ds:datastoreItem>
</file>

<file path=customXml/itemProps2.xml><?xml version="1.0" encoding="utf-8"?>
<ds:datastoreItem xmlns:ds="http://schemas.openxmlformats.org/officeDocument/2006/customXml" ds:itemID="{BF6920E7-8165-4CF2-B2C9-4A2ADBAD7504}">
  <ds:schemaRefs>
    <ds:schemaRef ds:uri="00e7105b-d29c-4361-93b8-c3aa47cc8160"/>
    <ds:schemaRef ds:uri="http://purl.org/dc/terms/"/>
    <ds:schemaRef ds:uri="http://schemas.openxmlformats.org/package/2006/metadata/core-properties"/>
    <ds:schemaRef ds:uri="48ffeb1a-07aa-4d1b-ab1c-c3f0456247d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7CC4026-D367-4694-ADC7-E8D958A13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7105b-d29c-4361-93b8-c3aa47cc8160"/>
    <ds:schemaRef ds:uri="48ffeb1a-07aa-4d1b-ab1c-c3f045624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D8A41E-9799-4493-846A-4359F6BDB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39</TotalTime>
  <Pages>29</Pages>
  <Words>11079</Words>
  <Characters>63485</Characters>
  <Application>Microsoft Office Word</Application>
  <DocSecurity>0</DocSecurity>
  <Lines>1133</Lines>
  <Paragraphs>325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51</cp:revision>
  <cp:lastPrinted>2022-09-06T14:51:00Z</cp:lastPrinted>
  <dcterms:created xsi:type="dcterms:W3CDTF">2022-11-25T15:01:00Z</dcterms:created>
  <dcterms:modified xsi:type="dcterms:W3CDTF">2023-02-07T15:59:00Z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8.0, Build 20220128</vt:lpwstr>
  </property>
  <property fmtid="{D5CDD505-2E9C-101B-9397-08002B2CF9AE}" pid="5" name="Created using">
    <vt:lpwstr>LW 8.0.1, Build 20220429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ContentTypeId">
    <vt:lpwstr>0x010100258AA79CEB83498886A3A0868112325000C5EBD7DBC771654090588EB00E0A5EBB</vt:lpwstr>
  </property>
  <property fmtid="{D5CDD505-2E9C-101B-9397-08002B2CF9AE}" pid="11" name="MSIP_Label_6bd9ddd1-4d20-43f6-abfa-fc3c07406f94_Enabled">
    <vt:lpwstr>true</vt:lpwstr>
  </property>
  <property fmtid="{D5CDD505-2E9C-101B-9397-08002B2CF9AE}" pid="12" name="MSIP_Label_6bd9ddd1-4d20-43f6-abfa-fc3c07406f94_SetDate">
    <vt:lpwstr>2022-09-30T09:17:03Z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894e355a-d24c-4b7b-9bb0-6aca34a720a7</vt:lpwstr>
  </property>
  <property fmtid="{D5CDD505-2E9C-101B-9397-08002B2CF9AE}" pid="17" name="MSIP_Label_6bd9ddd1-4d20-43f6-abfa-fc3c07406f94_ContentBits">
    <vt:lpwstr>0</vt:lpwstr>
  </property>
  <property fmtid="{D5CDD505-2E9C-101B-9397-08002B2CF9AE}" pid="18" name="DQCStatus">
    <vt:lpwstr>Green (DQC version 03)</vt:lpwstr>
  </property>
  <property name="OP_sanitized" fmtid="{D5CDD505-2E9C-101B-9397-08002B2CF9AE}" pid="19">
    <vt:lpwstr>True</vt:lpwstr>
  </property>
</Properties>
</file>