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DBA0A" w14:textId="362A98F4" w:rsidR="00C05109" w:rsidRPr="004D59E8" w:rsidRDefault="009A7C03" w:rsidP="009A7C03">
      <w:pPr>
        <w:pStyle w:val="Pagedecouverture"/>
        <w:rPr>
          <w:noProof/>
        </w:rPr>
      </w:pPr>
      <w:r>
        <w:rPr>
          <w:noProof/>
        </w:rPr>
        <w:pict w14:anchorId="179187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F356C19E-60AA-415C-BF9F-9E5F2B68DF95" style="width:455pt;height:383.5pt">
            <v:imagedata r:id="rId8" o:title=""/>
          </v:shape>
        </w:pict>
      </w:r>
    </w:p>
    <w:p w14:paraId="4A46E6FA" w14:textId="77777777" w:rsidR="00C05109" w:rsidRPr="004D59E8" w:rsidRDefault="00C05109" w:rsidP="00C05109">
      <w:pPr>
        <w:rPr>
          <w:noProof/>
        </w:rPr>
        <w:sectPr w:rsidR="00C05109" w:rsidRPr="004D59E8" w:rsidSect="009A7C03">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p>
    <w:p w14:paraId="1D17DA64" w14:textId="77777777" w:rsidR="00C05109" w:rsidRPr="004D59E8" w:rsidRDefault="00C05109" w:rsidP="00BB6B30">
      <w:pPr>
        <w:pStyle w:val="Exposdesmotifstitre"/>
        <w:rPr>
          <w:noProof/>
        </w:rPr>
      </w:pPr>
      <w:r w:rsidRPr="004D59E8">
        <w:rPr>
          <w:noProof/>
        </w:rPr>
        <w:lastRenderedPageBreak/>
        <w:t>ΑΙΤΙΟΛΟΓΙΚΗ ΕΚΘΕΣΗ</w:t>
      </w:r>
    </w:p>
    <w:p w14:paraId="3721F270" w14:textId="69A9A23E" w:rsidR="00180A74" w:rsidRPr="004D59E8" w:rsidRDefault="004D59E8" w:rsidP="004D59E8">
      <w:pPr>
        <w:pStyle w:val="Point0"/>
        <w:rPr>
          <w:noProof/>
        </w:rPr>
      </w:pPr>
      <w:r>
        <w:rPr>
          <w:noProof/>
        </w:rPr>
        <w:t>1)</w:t>
      </w:r>
      <w:r>
        <w:rPr>
          <w:noProof/>
        </w:rPr>
        <w:tab/>
      </w:r>
      <w:r w:rsidR="00180A74" w:rsidRPr="004D59E8">
        <w:rPr>
          <w:noProof/>
        </w:rPr>
        <w:t xml:space="preserve">Ο κανονισμός (ΕΕ) αριθ. 269/2014 του Συμβουλίου σχετικά με περιοριστικά μέτρα για ενέργειες που υπονομεύουν ή απειλούν την εδαφική ακεραιότητα, την κυριαρχία και την ανεξαρτησία της Ουκρανίας θέτει σε εφαρμογή περιοριστικά μέτρα </w:t>
      </w:r>
      <w:r w:rsidR="00180A74" w:rsidRPr="004D59E8">
        <w:rPr>
          <w:noProof/>
          <w:u w:color="000000"/>
          <w:bdr w:val="nil"/>
        </w:rPr>
        <w:t>που προβλέπονται στην απόφαση 2014/145/ΚΕΠΠΑ</w:t>
      </w:r>
      <w:r w:rsidR="00180A74" w:rsidRPr="004D59E8">
        <w:rPr>
          <w:noProof/>
        </w:rPr>
        <w:t>.</w:t>
      </w:r>
    </w:p>
    <w:p w14:paraId="2C5E90CD" w14:textId="0226F05F" w:rsidR="00180A74" w:rsidRPr="004D59E8" w:rsidRDefault="004D59E8" w:rsidP="004D59E8">
      <w:pPr>
        <w:pStyle w:val="Point0"/>
        <w:rPr>
          <w:rStyle w:val="normaltextrun"/>
          <w:noProof/>
        </w:rPr>
      </w:pPr>
      <w:r>
        <w:rPr>
          <w:noProof/>
        </w:rPr>
        <w:t>2)</w:t>
      </w:r>
      <w:r>
        <w:rPr>
          <w:noProof/>
        </w:rPr>
        <w:tab/>
      </w:r>
      <w:r w:rsidR="00C05109" w:rsidRPr="004D59E8">
        <w:rPr>
          <w:noProof/>
        </w:rPr>
        <w:t>Στις XXX 2022, το Συμβούλιο εξέδωσε την απόφαση XXXX για την τροποποίηση της απόφασης 2014/145/ΚΕΠΠΑ, με την οποία εισήγαγε μία ακόμη παρέκκλιση από τη δέσμευση περιουσιακών στοιχείων και την απαγόρευση διάθεσης κεφαλαίων και οικονομικών πόρων σε κατονομαζόμενα πρόσωπα και οντότητες με σκοπό την επείγουσα πρόληψη ή τον επείγοντα μετριασμό συμβάντος που είναι πιθανό να έχει σοβαρό και σημαντικό αντίκτυπο στην ανθρώπινη υγεία και ασφάλεια ή στο περιβάλλον</w:t>
      </w:r>
      <w:r w:rsidR="00C05109" w:rsidRPr="004D59E8">
        <w:rPr>
          <w:rStyle w:val="normaltextrun"/>
          <w:noProof/>
        </w:rPr>
        <w:t xml:space="preserve">. </w:t>
      </w:r>
      <w:r w:rsidR="00C05109" w:rsidRPr="004D59E8">
        <w:rPr>
          <w:noProof/>
        </w:rPr>
        <w:t>Δεδομένου ότι η Ένωση είναι αποφασισμένη να αποτρέψει και να καταπολεμήσει την επισιτιστική και ενεργειακή ανασφάλεια σε ολόκληρο τον κόσμο, η απόφαση (ΚΕΠΠΑ) 2022/XXX επεκτείνει επίσης την εξαίρεση από την απαγόρευση της δέσμευσης περιουσιακών στοιχείων και την απαγόρευση διάθεσης κεφαλαίων και οικονομικών πόρων σε συγκεκριμένες κατονομαζόμενες οντότητες στα γεωργικά προϊόντα.</w:t>
      </w:r>
    </w:p>
    <w:p w14:paraId="42E5C158" w14:textId="6963E302" w:rsidR="00864077" w:rsidRPr="004D59E8" w:rsidRDefault="004D59E8" w:rsidP="004D59E8">
      <w:pPr>
        <w:pStyle w:val="Point0"/>
        <w:rPr>
          <w:noProof/>
        </w:rPr>
      </w:pPr>
      <w:r>
        <w:rPr>
          <w:noProof/>
        </w:rPr>
        <w:t>3)</w:t>
      </w:r>
      <w:r>
        <w:rPr>
          <w:noProof/>
        </w:rPr>
        <w:tab/>
      </w:r>
      <w:r w:rsidR="00864077" w:rsidRPr="004D59E8">
        <w:rPr>
          <w:noProof/>
        </w:rPr>
        <w:t xml:space="preserve">Για να διασφαλιστεί η αποτελεσματική και ομοιόμορφη εφαρμογή του κανονισμού (ΕΕ) αριθ. 269/2014 του Συμβουλίου, είναι σκόπιμο να υποχρεωθούν τα </w:t>
      </w:r>
      <w:r w:rsidR="00864077" w:rsidRPr="004D59E8">
        <w:rPr>
          <w:rStyle w:val="normaltextrun"/>
          <w:noProof/>
        </w:rPr>
        <w:t>κατονομαζόμενα πρόσωπα και οντότητες που διαθέτουν περιουσιακά στοιχεία εντός της δικαιοδοσίας της Ένωσης να τα αναφέρουν και να συνεργάζονται με την αρμόδια αρχή κατά τον έλεγχο της εν λόγω αναφοράς.</w:t>
      </w:r>
      <w:r w:rsidR="00864077" w:rsidRPr="004D59E8">
        <w:rPr>
          <w:noProof/>
        </w:rPr>
        <w:t xml:space="preserve"> Είναι επίσης σκόπιμο να </w:t>
      </w:r>
      <w:r w:rsidR="00864077" w:rsidRPr="004D59E8">
        <w:rPr>
          <w:rStyle w:val="normaltextrun"/>
          <w:noProof/>
        </w:rPr>
        <w:t>ενισχυθούν οι διατάξεις σχετικά με τις υποχρεώσεις υποβολής στοιχείων των οικονομικών φορέων της ΕΕ, με σκοπό τον περιορισμό των παραβάσεων και της καταστρατήγησης της δέσμευσης περιουσιακών στοιχείων.</w:t>
      </w:r>
    </w:p>
    <w:p w14:paraId="033721A4" w14:textId="5975B4A0" w:rsidR="00C05109" w:rsidRPr="004D59E8" w:rsidRDefault="004D59E8" w:rsidP="004D59E8">
      <w:pPr>
        <w:pStyle w:val="Point0"/>
        <w:rPr>
          <w:noProof/>
        </w:rPr>
      </w:pPr>
      <w:r>
        <w:rPr>
          <w:noProof/>
        </w:rPr>
        <w:t>4)</w:t>
      </w:r>
      <w:r>
        <w:rPr>
          <w:noProof/>
        </w:rPr>
        <w:tab/>
      </w:r>
      <w:r w:rsidR="00C05109" w:rsidRPr="004D59E8">
        <w:rPr>
          <w:noProof/>
        </w:rPr>
        <w:t>Απαιτείται περαιτέρω δράση της Ένωσης για να τεθούν σε εφαρμογή τα εν λόγω μέτρα στο ενωσιακό δίκαιο.</w:t>
      </w:r>
    </w:p>
    <w:p w14:paraId="75124DCB" w14:textId="28A46A97" w:rsidR="00C05109" w:rsidRPr="004D59E8" w:rsidRDefault="004D59E8" w:rsidP="004D59E8">
      <w:pPr>
        <w:pStyle w:val="Point0"/>
        <w:rPr>
          <w:noProof/>
        </w:rPr>
      </w:pPr>
      <w:r>
        <w:rPr>
          <w:noProof/>
        </w:rPr>
        <w:t>5)</w:t>
      </w:r>
      <w:r>
        <w:rPr>
          <w:noProof/>
        </w:rPr>
        <w:tab/>
      </w:r>
      <w:r w:rsidR="00C05109" w:rsidRPr="004D59E8">
        <w:rPr>
          <w:noProof/>
        </w:rPr>
        <w:t>Ο ύπατος εκπρόσωπος της Ένωσης για θέματα Εξωτερικής Πολιτικής και Πολιτικής Ασφαλείας και η Ευρωπαϊκή Επιτροπή προτείνουν να τροποποιηθεί αναλόγως ο κανονισμός (ΕΕ) αριθ. 269/2014.</w:t>
      </w:r>
    </w:p>
    <w:p w14:paraId="5A3F4DF2" w14:textId="77777777" w:rsidR="00C05109" w:rsidRPr="004D59E8" w:rsidRDefault="00C05109" w:rsidP="00C05109">
      <w:pPr>
        <w:pStyle w:val="ManualHeading1"/>
        <w:rPr>
          <w:noProof/>
        </w:rPr>
        <w:sectPr w:rsidR="00C05109" w:rsidRPr="004D59E8" w:rsidSect="009A7C03">
          <w:footerReference w:type="default" r:id="rId15"/>
          <w:footerReference w:type="first" r:id="rId16"/>
          <w:pgSz w:w="11907" w:h="16839"/>
          <w:pgMar w:top="1134" w:right="1417" w:bottom="1134" w:left="1417" w:header="709" w:footer="709" w:gutter="0"/>
          <w:cols w:space="708"/>
          <w:docGrid w:linePitch="360"/>
        </w:sectPr>
      </w:pPr>
    </w:p>
    <w:p w14:paraId="4F12960F" w14:textId="7083A9B0" w:rsidR="00D90191" w:rsidRDefault="009A7C03" w:rsidP="009A7C03">
      <w:pPr>
        <w:pStyle w:val="Rfrenceinterinstitutionnelle"/>
        <w:rPr>
          <w:noProof/>
        </w:rPr>
      </w:pPr>
      <w:r w:rsidRPr="009A7C03">
        <w:t>2022/0224 (NLE)</w:t>
      </w:r>
    </w:p>
    <w:p w14:paraId="499E2EBB" w14:textId="42A5008A" w:rsidR="00C05109" w:rsidRPr="004D59E8" w:rsidRDefault="004D59E8" w:rsidP="004D59E8">
      <w:pPr>
        <w:pStyle w:val="Statut"/>
        <w:rPr>
          <w:noProof/>
        </w:rPr>
      </w:pPr>
      <w:r w:rsidRPr="004D59E8">
        <w:rPr>
          <w:noProof/>
        </w:rPr>
        <w:t>Κοινή πρόταση</w:t>
      </w:r>
    </w:p>
    <w:p w14:paraId="54739266" w14:textId="4970ACD5" w:rsidR="00C05109" w:rsidRPr="004D59E8" w:rsidRDefault="004D59E8" w:rsidP="004D59E8">
      <w:pPr>
        <w:pStyle w:val="Typedudocument"/>
        <w:rPr>
          <w:noProof/>
        </w:rPr>
      </w:pPr>
      <w:r w:rsidRPr="004D59E8">
        <w:rPr>
          <w:noProof/>
        </w:rPr>
        <w:t>ΚΑΝΟΝΙΣΜΟΣ ΤΟΥ ΣΥΜΒΟΥΛΙΟΥ</w:t>
      </w:r>
    </w:p>
    <w:p w14:paraId="70C4446B" w14:textId="4C51AFC8" w:rsidR="001177DA" w:rsidRPr="004D59E8" w:rsidRDefault="004D59E8" w:rsidP="004D59E8">
      <w:pPr>
        <w:pStyle w:val="Titreobjet"/>
        <w:rPr>
          <w:noProof/>
        </w:rPr>
      </w:pPr>
      <w:r w:rsidRPr="004D59E8">
        <w:rPr>
          <w:noProof/>
        </w:rPr>
        <w:t>για την τροποποίηση του κανονισμού (ΕΕ) αριθ. 269/2014 σχετικά με περιοριστικά μέτρα για ενέργειες που υπονομεύουν ή απειλούν την εδαφική ακεραιότητα, την κυριαρχία και την ανεξαρτησία της Ουκρανίας</w:t>
      </w:r>
    </w:p>
    <w:p w14:paraId="3481B642" w14:textId="77777777" w:rsidR="00C05109" w:rsidRPr="004D59E8" w:rsidRDefault="00C05109" w:rsidP="00CE48A5">
      <w:pPr>
        <w:pStyle w:val="Institutionquiagit"/>
        <w:rPr>
          <w:noProof/>
        </w:rPr>
      </w:pPr>
      <w:r w:rsidRPr="004D59E8">
        <w:rPr>
          <w:noProof/>
        </w:rPr>
        <w:t>ΤΟ ΣΥΜΒΟΥΛΙΟ ΤΗΣ ΕΥΡΩΠΑΪΚΗΣ ΕΝΩΣΗΣ,</w:t>
      </w:r>
    </w:p>
    <w:p w14:paraId="6F39BF57" w14:textId="77777777" w:rsidR="00C05109" w:rsidRPr="004D59E8" w:rsidRDefault="00C05109" w:rsidP="00CE48A5">
      <w:pPr>
        <w:rPr>
          <w:noProof/>
        </w:rPr>
      </w:pPr>
      <w:r w:rsidRPr="004D59E8">
        <w:rPr>
          <w:noProof/>
        </w:rPr>
        <w:t>Έχοντας υπόψη τη Συνθήκη για τη λειτουργία της Ευρωπαϊκής Ένωσης, και ιδίως το άρθρο 215,</w:t>
      </w:r>
    </w:p>
    <w:p w14:paraId="156E63BF" w14:textId="77777777" w:rsidR="00C05109" w:rsidRPr="004D59E8" w:rsidRDefault="00BC3A90" w:rsidP="00CE48A5">
      <w:pPr>
        <w:rPr>
          <w:noProof/>
        </w:rPr>
      </w:pPr>
      <w:r w:rsidRPr="004D59E8">
        <w:rPr>
          <w:noProof/>
        </w:rPr>
        <w:t>Έχοντας υπόψη την απόφαση 2014/145/ΚΕΠΠΑ του Συμβουλίου, της 17ης Μαρτίου 2014, σχετικά με περιοριστικά μέτρα όσον αφορά δράσεις που υπονομεύουν ή απειλούν την εδαφική ακεραιότητα, την κυριαρχία και την ανεξαρτησία της Ουκρανίας</w:t>
      </w:r>
      <w:r w:rsidRPr="004D59E8">
        <w:rPr>
          <w:rStyle w:val="FootnoteReference"/>
          <w:noProof/>
        </w:rPr>
        <w:footnoteReference w:id="1"/>
      </w:r>
      <w:r w:rsidRPr="004D59E8">
        <w:rPr>
          <w:noProof/>
        </w:rPr>
        <w:t>,</w:t>
      </w:r>
    </w:p>
    <w:p w14:paraId="46F542AB" w14:textId="77777777" w:rsidR="00C05109" w:rsidRPr="004D59E8" w:rsidRDefault="00C05109" w:rsidP="00CE48A5">
      <w:pPr>
        <w:rPr>
          <w:noProof/>
        </w:rPr>
      </w:pPr>
      <w:r w:rsidRPr="004D59E8">
        <w:rPr>
          <w:noProof/>
        </w:rPr>
        <w:t>Έχοντας υπόψη την κοινή πρόταση του ύπατου εκπροσώπου της Ένωσης για θέματα εξωτερικής πολιτικής και πολιτικής ασφαλείας και της Ευρωπαϊκής Επιτροπής,</w:t>
      </w:r>
    </w:p>
    <w:p w14:paraId="4A0B815F" w14:textId="77777777" w:rsidR="00C05109" w:rsidRPr="004D59E8" w:rsidRDefault="00C05109" w:rsidP="00CE48A5">
      <w:pPr>
        <w:rPr>
          <w:noProof/>
        </w:rPr>
      </w:pPr>
      <w:r w:rsidRPr="004D59E8">
        <w:rPr>
          <w:noProof/>
        </w:rPr>
        <w:t>Εκτιμώντας τα ακόλουθα:</w:t>
      </w:r>
    </w:p>
    <w:p w14:paraId="366EFEE4" w14:textId="1373A58E" w:rsidR="00CF2A39" w:rsidRPr="004D59E8" w:rsidRDefault="00F53F0E" w:rsidP="00F53F0E">
      <w:pPr>
        <w:pStyle w:val="ManualConsidrant"/>
        <w:rPr>
          <w:noProof/>
        </w:rPr>
      </w:pPr>
      <w:r w:rsidRPr="00F53F0E">
        <w:rPr>
          <w:noProof/>
        </w:rPr>
        <w:t>(1)</w:t>
      </w:r>
      <w:r w:rsidRPr="00F53F0E">
        <w:rPr>
          <w:noProof/>
        </w:rPr>
        <w:tab/>
      </w:r>
      <w:r w:rsidR="00FF0373" w:rsidRPr="004D59E8">
        <w:rPr>
          <w:noProof/>
        </w:rPr>
        <w:t>Ο κανονισμός (ΕΕ) αριθ. 269/2014 του Συμβουλίου σχετικά με περιοριστικά μέτρα για ενέργειες που υπονομεύουν ή απειλούν την εδαφική ακεραιότητα, την κυριαρχία και την ανεξαρτησία της Ουκρανίας θέτει σε εφαρμογή περιοριστικά μέτρα που προβλέπονται στην απόφαση 2014/145/ΚΕΠΠΑ.</w:t>
      </w:r>
    </w:p>
    <w:p w14:paraId="08DD9E15" w14:textId="6944E78B" w:rsidR="002B5FF9" w:rsidRPr="004D59E8" w:rsidRDefault="00F53F0E" w:rsidP="00F53F0E">
      <w:pPr>
        <w:pStyle w:val="ManualConsidrant"/>
        <w:rPr>
          <w:noProof/>
        </w:rPr>
      </w:pPr>
      <w:r w:rsidRPr="00F53F0E">
        <w:rPr>
          <w:noProof/>
        </w:rPr>
        <w:t>(2)</w:t>
      </w:r>
      <w:r w:rsidRPr="00F53F0E">
        <w:rPr>
          <w:noProof/>
        </w:rPr>
        <w:tab/>
      </w:r>
      <w:r w:rsidR="00F27FE8" w:rsidRPr="004D59E8">
        <w:rPr>
          <w:noProof/>
        </w:rPr>
        <w:t xml:space="preserve">Στις XX YY 2022, το Συμβούλιο εξέδωσε την απόφαση XXXX για την τροποποίηση της απόφασης 2014/145/ΚΕΠΠΑ, με την οποία εισήγαγε μία ακόμη παρέκκλιση από τη δέσμευση περιουσιακών στοιχείων και την απαγόρευση διάθεσης κεφαλαίων και οικονομικών πόρων σε κατονομαζόμενα πρόσωπα και οντότητες με σκοπό την επείγουσα πρόληψη ή τον επείγοντα μετριασμό συμβάντος που είναι πιθανό να έχει σοβαρό και σημαντικό αντίκτυπο στην ανθρώπινη υγεία και ασφάλεια ή στο περιβάλλον. </w:t>
      </w:r>
    </w:p>
    <w:p w14:paraId="5B354173" w14:textId="033D7F2F" w:rsidR="00B52A46" w:rsidRPr="004D59E8" w:rsidRDefault="00F53F0E" w:rsidP="00F53F0E">
      <w:pPr>
        <w:pStyle w:val="ManualConsidrant"/>
        <w:rPr>
          <w:noProof/>
        </w:rPr>
      </w:pPr>
      <w:r w:rsidRPr="00F53F0E">
        <w:rPr>
          <w:noProof/>
        </w:rPr>
        <w:t>(3)</w:t>
      </w:r>
      <w:r w:rsidRPr="00F53F0E">
        <w:rPr>
          <w:noProof/>
        </w:rPr>
        <w:tab/>
      </w:r>
      <w:r w:rsidR="001019F1" w:rsidRPr="004D59E8">
        <w:rPr>
          <w:noProof/>
        </w:rPr>
        <w:t>Δεδομένου ότι η Ένωση είναι αποφασισμένη να αποτρέψει και να καταπολεμήσει την επισιτιστική και ενεργειακή ανασφάλεια σε ολόκληρο τον κόσμο, και για να αποφευχθούν διαταραχές σε διαύλους πληρωμών για τα γεωργικά προϊόντα, η απόφαση (ΚΕΠΠΑ) 2022/XXX εισάγει επίσης παρέκκλιση από τη δέσμευση περιουσιακών στοιχείων και την απαγόρευση διάθεσης κεφαλαίων και οικονομικών πόρων σε συγκεκριμένες κατονομαζόμενες οντότητες.</w:t>
      </w:r>
    </w:p>
    <w:p w14:paraId="0653722F" w14:textId="6B6455D3" w:rsidR="002B5FF9" w:rsidRPr="004D59E8" w:rsidRDefault="00F53F0E" w:rsidP="00F53F0E">
      <w:pPr>
        <w:pStyle w:val="ManualConsidrant"/>
        <w:rPr>
          <w:noProof/>
        </w:rPr>
      </w:pPr>
      <w:r w:rsidRPr="00F53F0E">
        <w:rPr>
          <w:noProof/>
        </w:rPr>
        <w:t>(4)</w:t>
      </w:r>
      <w:r w:rsidRPr="00F53F0E">
        <w:rPr>
          <w:noProof/>
        </w:rPr>
        <w:tab/>
      </w:r>
      <w:r w:rsidR="002B5FF9" w:rsidRPr="004D59E8">
        <w:rPr>
          <w:noProof/>
        </w:rPr>
        <w:t>Η απόφαση XXXX επιτρέπει επίσης παρεκκλίσεις για την εύτακτη εκκαθάριση των πράξεων, συμπεριλαμβανομένης της τραπεζικής ανταπόκρισης, με μία κατονομαζόμενη τράπεζα.</w:t>
      </w:r>
    </w:p>
    <w:p w14:paraId="251CC3B4" w14:textId="26822F7B" w:rsidR="00B52A46" w:rsidRPr="004D59E8" w:rsidRDefault="00F53F0E" w:rsidP="00F53F0E">
      <w:pPr>
        <w:pStyle w:val="ManualConsidrant"/>
        <w:rPr>
          <w:noProof/>
        </w:rPr>
      </w:pPr>
      <w:r w:rsidRPr="00F53F0E">
        <w:rPr>
          <w:noProof/>
        </w:rPr>
        <w:t>(5)</w:t>
      </w:r>
      <w:r w:rsidRPr="00F53F0E">
        <w:rPr>
          <w:noProof/>
        </w:rPr>
        <w:tab/>
      </w:r>
      <w:r w:rsidR="00864077" w:rsidRPr="004D59E8">
        <w:rPr>
          <w:noProof/>
        </w:rPr>
        <w:t xml:space="preserve">Για να διασφαλιστεί η αποτελεσματική και ομοιόμορφη εφαρμογή του κανονισμού (ΕΕ) αριθ. 269/2014 του Συμβουλίου, είναι σκόπιμο να υποχρεωθούν τα </w:t>
      </w:r>
      <w:r w:rsidR="00864077" w:rsidRPr="004D59E8">
        <w:rPr>
          <w:rStyle w:val="normaltextrun"/>
          <w:noProof/>
        </w:rPr>
        <w:t>κατονομαζόμενα πρόσωπα και οντότητες που διαθέτουν περιουσιακά στοιχεία εντός της δικαιοδοσίας της Ένωσης να αναφέρουν τα στοιχεία αυτά και να συνεργάζονται με την αρμόδια αρχή κατά τον έλεγχο της εν λόγω αναφοράς.</w:t>
      </w:r>
      <w:r w:rsidR="00864077" w:rsidRPr="004D59E8">
        <w:rPr>
          <w:noProof/>
        </w:rPr>
        <w:t xml:space="preserve"> Είναι επίσης σκόπιμο να </w:t>
      </w:r>
      <w:r w:rsidR="00864077" w:rsidRPr="004D59E8">
        <w:rPr>
          <w:rStyle w:val="normaltextrun"/>
          <w:noProof/>
        </w:rPr>
        <w:t>ενισχυθούν οι διατάξεις σχετικά με τις υποχρεώσεις υποβολής στοιχείων των οικονομικών φορέων της ΕΕ, με σκοπό τον περιορισμό των παραβάσεων και της καταστρατήγησης της δέσμευσης περιουσιακών στοιχείων.</w:t>
      </w:r>
    </w:p>
    <w:p w14:paraId="5B8C8B95" w14:textId="3BC598C2" w:rsidR="00C05109" w:rsidRPr="004D59E8" w:rsidRDefault="00F53F0E" w:rsidP="00F53F0E">
      <w:pPr>
        <w:pStyle w:val="ManualConsidrant"/>
        <w:rPr>
          <w:noProof/>
        </w:rPr>
      </w:pPr>
      <w:r w:rsidRPr="00F53F0E">
        <w:rPr>
          <w:noProof/>
        </w:rPr>
        <w:t>(6)</w:t>
      </w:r>
      <w:r w:rsidRPr="00F53F0E">
        <w:rPr>
          <w:noProof/>
        </w:rPr>
        <w:tab/>
      </w:r>
      <w:r w:rsidR="00F27FE8" w:rsidRPr="004D59E8">
        <w:rPr>
          <w:noProof/>
        </w:rPr>
        <w:t>Οι εν λόγω τροποποιήσεις εμπίπτουν στο πεδίο εφαρμογής της Συνθήκης και, επομένως, απαιτείται κανονιστική δράση στο επίπεδο της Ένωσης για την εφαρμογή τους, ιδίως για να διασφαλιστεί ότι εφαρμόζονται ομοιόμορφα σε όλα τα κράτη μέλη.</w:t>
      </w:r>
    </w:p>
    <w:p w14:paraId="39D3C000" w14:textId="3B6F66C0" w:rsidR="00C05109" w:rsidRPr="004D59E8" w:rsidRDefault="00F53F0E" w:rsidP="00F53F0E">
      <w:pPr>
        <w:pStyle w:val="ManualConsidrant"/>
        <w:rPr>
          <w:noProof/>
        </w:rPr>
      </w:pPr>
      <w:r w:rsidRPr="00F53F0E">
        <w:rPr>
          <w:noProof/>
        </w:rPr>
        <w:t>(7)</w:t>
      </w:r>
      <w:r w:rsidRPr="00F53F0E">
        <w:rPr>
          <w:noProof/>
        </w:rPr>
        <w:tab/>
      </w:r>
      <w:r w:rsidR="001F3E48" w:rsidRPr="004D59E8">
        <w:rPr>
          <w:noProof/>
        </w:rPr>
        <w:t>Επομένως, ο κανονισμός (ΕΕ) αριθ. 269/2014 του Συμβουλίου θα πρέπει να τροποποιηθεί αναλόγως,</w:t>
      </w:r>
    </w:p>
    <w:p w14:paraId="0B7996EC" w14:textId="77777777" w:rsidR="00152DAA" w:rsidRPr="004D59E8" w:rsidRDefault="00152DAA" w:rsidP="00152DAA">
      <w:pPr>
        <w:rPr>
          <w:noProof/>
        </w:rPr>
      </w:pPr>
    </w:p>
    <w:p w14:paraId="529F83D2" w14:textId="77777777" w:rsidR="00C05109" w:rsidRPr="004D59E8" w:rsidRDefault="00C05109" w:rsidP="00CE48A5">
      <w:pPr>
        <w:pStyle w:val="Formuledadoption"/>
        <w:rPr>
          <w:noProof/>
        </w:rPr>
      </w:pPr>
      <w:r w:rsidRPr="004D59E8">
        <w:rPr>
          <w:noProof/>
        </w:rPr>
        <w:t>ΕΞΕΔΩΣΕ ΤΟΝ ΠΑΡΟΝΤΑ ΚΑΝΟΝΙΣΜΟ:</w:t>
      </w:r>
    </w:p>
    <w:p w14:paraId="4C90EFF2" w14:textId="77777777" w:rsidR="00185EA6" w:rsidRPr="004D59E8" w:rsidRDefault="00185EA6" w:rsidP="00185EA6">
      <w:pPr>
        <w:pStyle w:val="Titrearticle"/>
        <w:rPr>
          <w:noProof/>
        </w:rPr>
      </w:pPr>
      <w:r w:rsidRPr="004D59E8">
        <w:rPr>
          <w:noProof/>
        </w:rPr>
        <w:t>Άρθρο 1</w:t>
      </w:r>
    </w:p>
    <w:p w14:paraId="6F51FCE4" w14:textId="77777777" w:rsidR="006513FC" w:rsidRPr="004D59E8" w:rsidRDefault="00E248B7" w:rsidP="00222306">
      <w:pPr>
        <w:rPr>
          <w:noProof/>
        </w:rPr>
      </w:pPr>
      <w:r w:rsidRPr="004D59E8">
        <w:rPr>
          <w:noProof/>
        </w:rPr>
        <w:t>Ο κανονισμός (ΕΕ) αριθ. 269/2014 του Συμβουλίου τροποποιείται ως εξής:</w:t>
      </w:r>
    </w:p>
    <w:p w14:paraId="375F98D6" w14:textId="7C838169" w:rsidR="002F3B1C" w:rsidRPr="004D59E8" w:rsidRDefault="004D59E8" w:rsidP="004D59E8">
      <w:pPr>
        <w:pStyle w:val="Point0"/>
        <w:rPr>
          <w:noProof/>
        </w:rPr>
      </w:pPr>
      <w:r>
        <w:rPr>
          <w:noProof/>
        </w:rPr>
        <w:t>1)</w:t>
      </w:r>
      <w:r>
        <w:rPr>
          <w:noProof/>
        </w:rPr>
        <w:tab/>
      </w:r>
      <w:r w:rsidR="0027021E" w:rsidRPr="004D59E8">
        <w:rPr>
          <w:noProof/>
        </w:rPr>
        <w:t xml:space="preserve">στο άρθρο 6β παράγραφος 3, το στοιχείο α) αντικαθίσταται από το ακόλουθο κείμενο: </w:t>
      </w:r>
    </w:p>
    <w:p w14:paraId="697713B2" w14:textId="0B4081F9" w:rsidR="006513FC" w:rsidRPr="004D59E8" w:rsidRDefault="006513FC" w:rsidP="00C607DE">
      <w:pPr>
        <w:rPr>
          <w:noProof/>
        </w:rPr>
      </w:pPr>
      <w:r w:rsidRPr="004D59E8">
        <w:rPr>
          <w:noProof/>
        </w:rPr>
        <w:t>«α) τα κεφάλαια ή οι οικονομικοί πόροι είναι αναγκαίοι για την πώληση και τη μεταβίβαση, έως τις 31 Δεκεμβρίου 2022 ή εντός έξι μηνών από την ημερομηνία καταχώρισης στο παράρτημα Ι, ανάλογα με το ποια ημερομηνία είναι μεταγενέστερη, δικαιωμάτων ιδιοκτησίας σε νομικό πρόσωπο, οντότητα ή φορέα που έχει την έδρα του εντός της Ένωσης, στην περίπτωση που τα εν λόγω δικαιώματα ιδιοκτησίας κατέχει άμεσα ή έμμεσα φυσικό ή νομικό πρόσωπο, οντότητα ή φορέας που έχει καταχωριστεί στο παράρτημα I, και,»</w:t>
      </w:r>
    </w:p>
    <w:p w14:paraId="183B7838" w14:textId="77777777" w:rsidR="006513FC" w:rsidRPr="004D59E8" w:rsidRDefault="006513FC" w:rsidP="006513FC">
      <w:pPr>
        <w:rPr>
          <w:noProof/>
        </w:rPr>
      </w:pPr>
    </w:p>
    <w:p w14:paraId="276B55DD" w14:textId="3A0F2A45" w:rsidR="00BC316F" w:rsidRPr="004D59E8" w:rsidRDefault="004D59E8" w:rsidP="004D59E8">
      <w:pPr>
        <w:pStyle w:val="Point0"/>
        <w:rPr>
          <w:noProof/>
        </w:rPr>
      </w:pPr>
      <w:r>
        <w:rPr>
          <w:noProof/>
        </w:rPr>
        <w:t>2)</w:t>
      </w:r>
      <w:r>
        <w:rPr>
          <w:noProof/>
        </w:rPr>
        <w:tab/>
      </w:r>
      <w:r w:rsidR="00BC316F" w:rsidRPr="004D59E8">
        <w:rPr>
          <w:noProof/>
        </w:rPr>
        <w:t>παρεμβάλλεται η ακόλουθη παράγραφος στο άρθρο 6β:</w:t>
      </w:r>
    </w:p>
    <w:p w14:paraId="19A9DB00" w14:textId="4C732C78" w:rsidR="00BC316F" w:rsidRPr="004D59E8" w:rsidRDefault="00BC316F" w:rsidP="003D542B">
      <w:pPr>
        <w:rPr>
          <w:noProof/>
        </w:rPr>
      </w:pPr>
      <w:r w:rsidRPr="004D59E8">
        <w:rPr>
          <w:noProof/>
        </w:rPr>
        <w:t xml:space="preserve">«2α. Κατά παρέκκλιση από το άρθρο 2, οι αρμόδιες αρχές κράτους μέλους μπορούν να επιτρέπουν την αποδέσμευση ορισμένων δεσμευμένων κεφαλαίων ή οικονομικών πόρων που ανήκουν στην οντότητα που απαριθμείται υπό τον αριθμό καταχώρισης </w:t>
      </w:r>
      <w:r w:rsidRPr="004D59E8">
        <w:rPr>
          <w:i/>
          <w:noProof/>
        </w:rPr>
        <w:t>[ΕΕ: να προστεθεί ο αριθμός της νεοεγκριθείσας καταχώρισης που αφορά την τραπεζική οντότητα]</w:t>
      </w:r>
      <w:r w:rsidRPr="004D59E8">
        <w:rPr>
          <w:noProof/>
        </w:rPr>
        <w:t xml:space="preserve"> στο παράρτημα Ι, ή τη διάθεση ορισμένων κεφαλαίων ή οικονομικών πόρων στην εν λόγω οντότητα, υπό τις προϋποθέσεις που οι αρμόδιες αρχές κρίνουν κατάλληλες και αφού διαπιστώσουν ότι τα εν λόγω κεφάλαια ή οι εν λόγω οικονομικοί πόροι είναι αναγκαίοι για την παύση, έως τη(ν)/τις </w:t>
      </w:r>
      <w:r w:rsidRPr="004D59E8">
        <w:rPr>
          <w:i/>
          <w:noProof/>
        </w:rPr>
        <w:t>[ΕΕ: να προστεθεί η ημερομηνία 6 μήνες μετά την έναρξη ισχύος του παρόντος κανονισμού]</w:t>
      </w:r>
      <w:r w:rsidRPr="004D59E8">
        <w:rPr>
          <w:noProof/>
        </w:rPr>
        <w:t xml:space="preserve">, πράξεων, συμβάσεων ή άλλων συμφωνιών, συμπεριλαμβανομένων των σχέσεων τραπεζικής ανταπόκρισης, που έχουν συναφθεί με την εν λόγω οντότητα πριν από </w:t>
      </w:r>
      <w:r w:rsidRPr="004D59E8">
        <w:rPr>
          <w:i/>
          <w:noProof/>
        </w:rPr>
        <w:t>[ΕΕ: να προστεθεί η ημερομηνία έναρξης ισχύος του παρόντος κανονισμού]</w:t>
      </w:r>
      <w:r w:rsidRPr="004D59E8">
        <w:rPr>
          <w:noProof/>
        </w:rPr>
        <w:t>.»</w:t>
      </w:r>
    </w:p>
    <w:p w14:paraId="3C7FCD0B" w14:textId="406CA5F8" w:rsidR="006513FC" w:rsidRPr="004D59E8" w:rsidRDefault="004D59E8" w:rsidP="004D59E8">
      <w:pPr>
        <w:pStyle w:val="Point0"/>
        <w:rPr>
          <w:noProof/>
        </w:rPr>
      </w:pPr>
      <w:r>
        <w:rPr>
          <w:noProof/>
        </w:rPr>
        <w:t>3)</w:t>
      </w:r>
      <w:r>
        <w:rPr>
          <w:noProof/>
        </w:rPr>
        <w:tab/>
      </w:r>
      <w:r w:rsidR="006513FC" w:rsidRPr="004D59E8">
        <w:rPr>
          <w:noProof/>
        </w:rPr>
        <w:t>παρεμβάλλεται το ακόλουθο άρθρο:</w:t>
      </w:r>
    </w:p>
    <w:p w14:paraId="0DE9EA87" w14:textId="77777777" w:rsidR="002F3B1C" w:rsidRPr="004D59E8" w:rsidRDefault="002F3B1C" w:rsidP="002F3B1C">
      <w:pPr>
        <w:spacing w:after="240"/>
        <w:jc w:val="center"/>
        <w:rPr>
          <w:rFonts w:eastAsia="Calibri"/>
          <w:iCs/>
          <w:noProof/>
        </w:rPr>
      </w:pPr>
      <w:r w:rsidRPr="004D59E8">
        <w:rPr>
          <w:noProof/>
        </w:rPr>
        <w:t>«Άρθρο 6δ</w:t>
      </w:r>
    </w:p>
    <w:p w14:paraId="61D6F41D" w14:textId="77777777" w:rsidR="002F3B1C" w:rsidRPr="004D59E8" w:rsidRDefault="00743C82" w:rsidP="002F3B1C">
      <w:pPr>
        <w:spacing w:after="240"/>
        <w:rPr>
          <w:rFonts w:eastAsia="Calibri"/>
          <w:iCs/>
          <w:noProof/>
        </w:rPr>
      </w:pPr>
      <w:r w:rsidRPr="004D59E8">
        <w:rPr>
          <w:noProof/>
        </w:rPr>
        <w:t>1. Κατά παρέκκλιση από το άρθρο 2, οι αρμόδιες αρχές κράτους μέλους μπορούν να επιτρέπουν, υπό τις προϋποθέσεις που κρίνουν κατάλληλες, την αποδέσμευση ορισμένων δεσμευμένων οικονομικών πόρων, αφού διαπιστώσουν ότι:</w:t>
      </w:r>
    </w:p>
    <w:p w14:paraId="0E5FE9C9" w14:textId="0DFBF579" w:rsidR="002F3B1C" w:rsidRPr="004D59E8" w:rsidRDefault="002F3B1C" w:rsidP="00152DAA">
      <w:pPr>
        <w:spacing w:after="240"/>
        <w:rPr>
          <w:rFonts w:eastAsia="Calibri"/>
          <w:iCs/>
          <w:noProof/>
        </w:rPr>
      </w:pPr>
      <w:r w:rsidRPr="004D59E8">
        <w:rPr>
          <w:noProof/>
        </w:rPr>
        <w:t>α) η αποδέσμευση αυτών των οικονομικών πόρων είναι απαραίτητη για την επείγουσα πρόληψη ή τον επείγοντα μετριασμό συμβάντος που είναι πιθανό να έχει σοβαρό και σημαντικό αντίκτυπο στην ανθρώπινη υγεία και ασφάλεια ή στο περιβάλλον· και</w:t>
      </w:r>
    </w:p>
    <w:p w14:paraId="1098710E" w14:textId="1451BA5C" w:rsidR="002F3B1C" w:rsidRPr="004D59E8" w:rsidRDefault="002F3B1C" w:rsidP="00152DAA">
      <w:pPr>
        <w:spacing w:after="240"/>
        <w:rPr>
          <w:rFonts w:eastAsia="Calibri"/>
          <w:iCs/>
          <w:noProof/>
        </w:rPr>
      </w:pPr>
      <w:r w:rsidRPr="004D59E8">
        <w:rPr>
          <w:noProof/>
        </w:rPr>
        <w:t>β) τα έσοδα που προέρχονται από την αποδέσμευση των εν λόγω οικονομικών πόρων είναι δεσμευμένα.</w:t>
      </w:r>
    </w:p>
    <w:p w14:paraId="4335DFEE" w14:textId="545DC69C" w:rsidR="002F3B1C" w:rsidRPr="004D59E8" w:rsidRDefault="002F3B1C" w:rsidP="002F3B1C">
      <w:pPr>
        <w:spacing w:after="240"/>
        <w:rPr>
          <w:rFonts w:eastAsia="Calibri"/>
          <w:iCs/>
          <w:noProof/>
        </w:rPr>
      </w:pPr>
      <w:r w:rsidRPr="004D59E8">
        <w:rPr>
          <w:noProof/>
        </w:rPr>
        <w:t>2. Το οικείο κράτος μέλος ενημερώνει τα άλλα κράτη μέλη και την Επιτροπή για κάθε άδεια την οποία χορηγεί βάσει της παραγράφου 1, εντός δύο εβδομάδων από τη χορήγηση της άδειας.»</w:t>
      </w:r>
    </w:p>
    <w:p w14:paraId="6E7F3A51" w14:textId="056E19E0" w:rsidR="003504BD" w:rsidRPr="004D59E8" w:rsidRDefault="004D59E8" w:rsidP="004D59E8">
      <w:pPr>
        <w:pStyle w:val="Point0"/>
        <w:rPr>
          <w:noProof/>
        </w:rPr>
      </w:pPr>
      <w:r>
        <w:rPr>
          <w:noProof/>
        </w:rPr>
        <w:t>4)</w:t>
      </w:r>
      <w:r>
        <w:rPr>
          <w:noProof/>
        </w:rPr>
        <w:tab/>
      </w:r>
      <w:r w:rsidR="003504BD" w:rsidRPr="004D59E8">
        <w:rPr>
          <w:noProof/>
        </w:rPr>
        <w:t>παρεμβάλλεται το ακόλουθο άρθρο:</w:t>
      </w:r>
    </w:p>
    <w:p w14:paraId="092D0212" w14:textId="4485254E" w:rsidR="003504BD" w:rsidRPr="004D59E8" w:rsidRDefault="003504BD" w:rsidP="003504BD">
      <w:pPr>
        <w:spacing w:after="240"/>
        <w:jc w:val="center"/>
        <w:rPr>
          <w:rFonts w:eastAsia="Calibri"/>
          <w:iCs/>
          <w:noProof/>
        </w:rPr>
      </w:pPr>
      <w:r w:rsidRPr="004D59E8">
        <w:rPr>
          <w:noProof/>
        </w:rPr>
        <w:t>«Άρθρο 6ε</w:t>
      </w:r>
    </w:p>
    <w:p w14:paraId="1E053A06" w14:textId="40F6BB0A" w:rsidR="003504BD" w:rsidRPr="004D59E8" w:rsidRDefault="00D753E6" w:rsidP="003D542B">
      <w:pPr>
        <w:rPr>
          <w:noProof/>
        </w:rPr>
      </w:pPr>
      <w:r w:rsidRPr="004D59E8">
        <w:rPr>
          <w:noProof/>
        </w:rPr>
        <w:t>1. Κατά παρέκκλιση από το άρθρο 2, οι αρμόδιες αρχές κράτους μέλους μπορούν να επιτρέπουν την αποδέσμευση ορισμένων δεσμευμένων κεφαλαίων ή οικονομικών πόρων που ανήκουν στις οντότητες που απαριθμούνται υπό τους αριθμούς καταχώρισης 53, 54, 55, 79, 80, 81, 82 και</w:t>
      </w:r>
      <w:r w:rsidRPr="004D59E8">
        <w:rPr>
          <w:i/>
          <w:noProof/>
        </w:rPr>
        <w:t xml:space="preserve"> [ΕΕ: να προστεθεί ο αριθμός της νεοεγκριθείσας καταχώρισης που αφορά την τραπεζική οντότητα]</w:t>
      </w:r>
      <w:r w:rsidRPr="004D59E8">
        <w:rPr>
          <w:noProof/>
        </w:rPr>
        <w:t xml:space="preserve"> στο παράρτημα Ι, ή τη διάθεση ορισμένων κεφαλαίων ή οικονομικών πόρων στις εν λόγω οντότητες, υπό τις προϋποθέσεις που οι αρμόδιες αρχές κρίνουν κατάλληλες και αφού διαπιστώσουν ότι τα εν λόγω κεφάλαια ή οι εν λόγω οικονομικοί πόροι είναι αναγκαίοι για την αγορά, εισαγωγή ή μεταφορά γεωργικών προϊόντων και τροφίμων, συμπεριλαμβανομένου του σιταριού και των λιπασμάτων.</w:t>
      </w:r>
    </w:p>
    <w:p w14:paraId="4FEC1C2A" w14:textId="6F775238" w:rsidR="00D753E6" w:rsidRPr="004D59E8" w:rsidRDefault="00D753E6" w:rsidP="003D542B">
      <w:pPr>
        <w:spacing w:after="240"/>
        <w:rPr>
          <w:rFonts w:eastAsia="Calibri"/>
          <w:iCs/>
          <w:noProof/>
        </w:rPr>
      </w:pPr>
      <w:r w:rsidRPr="004D59E8">
        <w:rPr>
          <w:noProof/>
        </w:rPr>
        <w:t>2. Το οικείο κράτος μέλος ενημερώνει τα άλλα κράτη μέλη και την Επιτροπή για κάθε άδεια την οποία χορηγεί βάσει της παραγράφου 1, εντός δύο εβδομάδων από τη χορήγηση της άδειας.»</w:t>
      </w:r>
    </w:p>
    <w:p w14:paraId="04DC8FFF" w14:textId="2F6297B6" w:rsidR="00463785" w:rsidRPr="004D59E8" w:rsidRDefault="004D59E8" w:rsidP="004D59E8">
      <w:pPr>
        <w:pStyle w:val="Point0"/>
        <w:rPr>
          <w:noProof/>
        </w:rPr>
      </w:pPr>
      <w:r>
        <w:rPr>
          <w:noProof/>
        </w:rPr>
        <w:t>5)</w:t>
      </w:r>
      <w:r>
        <w:rPr>
          <w:noProof/>
        </w:rPr>
        <w:tab/>
      </w:r>
      <w:r w:rsidR="009A1B20" w:rsidRPr="004D59E8">
        <w:rPr>
          <w:noProof/>
        </w:rPr>
        <w:t xml:space="preserve">στο άρθρο 8, η παράγραφος 1 αντικαθίσταται από το ακόλουθο κείμενο: </w:t>
      </w:r>
    </w:p>
    <w:p w14:paraId="1C8CD7A5" w14:textId="77777777" w:rsidR="00463785" w:rsidRPr="004D59E8" w:rsidRDefault="00C868B5" w:rsidP="00C607DE">
      <w:pPr>
        <w:rPr>
          <w:noProof/>
        </w:rPr>
      </w:pPr>
      <w:r w:rsidRPr="004D59E8">
        <w:rPr>
          <w:noProof/>
        </w:rPr>
        <w:t>«1.   Κατά παρέκκλιση από τους εφαρμοστέους κανόνες σχετικά με την υποβολή στοιχείων, την εμπιστευτικότητα και το επαγγελματικό απόρρητο, τα φυσικά και νομικά πρόσωπα, οι οντότητες και οι οργανισμοί:</w:t>
      </w:r>
    </w:p>
    <w:p w14:paraId="573B5FA0" w14:textId="760F7C59" w:rsidR="00463785" w:rsidRPr="004D59E8" w:rsidRDefault="00463785" w:rsidP="00C607DE">
      <w:pPr>
        <w:rPr>
          <w:noProof/>
        </w:rPr>
      </w:pPr>
      <w:r w:rsidRPr="004D59E8">
        <w:rPr>
          <w:noProof/>
        </w:rPr>
        <w:t>α) παρέχουν αμέσως όλες τις πληροφορίες που μπορεί να διευκολύνουν τη συμμόρφωση προς τον παρόντα κανονισμό, όπως πληροφορίες σχετικά με δεσμευμένους λογαριασμούς και ποσά σύμφωνα με το άρθρο 2 και πληροφορίες σχετικά με κεφάλαια και οικονομικούς πόρους που βρίσκονται στην ιδιοκτησία, στην κατοχή ή υπό τον έλεγχο φυσικών ή νομικών προσώπων, οντοτήτων ή φορέων που έχουν καταχωριστεί στο παράρτημα I·και τα οποία δεν έχουν ακόμα δεσμευτεί από τα φυσικά και νομικά πρόσωπα, τις οντότητες και τους οργανισμούς που υποχρεούνται να τα δεσμεύσουν, στην αρμόδια αρχή του κράτους μέλους στο οποίο κατοικούν ή ευρίσκονται, και τις διαβιβάζουν, απευθείας ή μέσω του κράτους μέλους, στην Επιτροπή· και</w:t>
      </w:r>
    </w:p>
    <w:p w14:paraId="1BD0565E" w14:textId="4B4DF3DA" w:rsidR="00463785" w:rsidRPr="004D59E8" w:rsidRDefault="00463785" w:rsidP="00C607DE">
      <w:pPr>
        <w:rPr>
          <w:noProof/>
        </w:rPr>
      </w:pPr>
      <w:r w:rsidRPr="004D59E8">
        <w:rPr>
          <w:noProof/>
        </w:rPr>
        <w:t>β) συνεργάζονται με την αρμόδια αρχή σε κάθε έλεγχο των εν λόγω πληροφοριών.»</w:t>
      </w:r>
    </w:p>
    <w:p w14:paraId="1FBEAA7A" w14:textId="488E589B" w:rsidR="00F87B8B" w:rsidRPr="004D59E8" w:rsidRDefault="004D59E8" w:rsidP="004D59E8">
      <w:pPr>
        <w:pStyle w:val="Point0"/>
        <w:rPr>
          <w:b/>
          <w:noProof/>
        </w:rPr>
      </w:pPr>
      <w:r>
        <w:rPr>
          <w:noProof/>
        </w:rPr>
        <w:t>6)</w:t>
      </w:r>
      <w:r>
        <w:rPr>
          <w:noProof/>
        </w:rPr>
        <w:tab/>
      </w:r>
      <w:r w:rsidR="00F87B8B" w:rsidRPr="004D59E8">
        <w:rPr>
          <w:noProof/>
        </w:rPr>
        <w:t xml:space="preserve">παρεμβάλλονται οι ακόλουθες παράγραφοι στο άρθρο 8: </w:t>
      </w:r>
    </w:p>
    <w:p w14:paraId="3E3711D8" w14:textId="79B7EAFB" w:rsidR="005D3688" w:rsidRPr="004D59E8" w:rsidRDefault="005D3688" w:rsidP="005D3688">
      <w:pPr>
        <w:rPr>
          <w:noProof/>
        </w:rPr>
      </w:pPr>
      <w:r w:rsidRPr="004D59E8">
        <w:rPr>
          <w:noProof/>
        </w:rPr>
        <w:t>«1α. Οι αρμόδιες αρχές των κρατών μελών, συμπεριλαμβανομένων των αρχών επιβολής του νόμου και των διαχειριστών επίσημων μητρώων στα οποία καταχωρίζονται φυσικά πρόσωπα, νομικά πρόσωπα, οντότητες και φορείς, καθώς και ακίνητα ή κινητά περιουσιακά στοιχεία, επεξεργάζονται και ανταλλάσσουν πληροφορίες, συμπεριλαμβανομένων δεδομένων προσωπικού χαρακτήρα, με άλλες αρμόδιες αρχές των κρατών μελών και την Ευρωπαϊκή Επιτροπή.</w:t>
      </w:r>
    </w:p>
    <w:p w14:paraId="0890D567" w14:textId="2C5F5D79" w:rsidR="005D3688" w:rsidRPr="004D59E8" w:rsidRDefault="005D3688" w:rsidP="005D3688">
      <w:pPr>
        <w:rPr>
          <w:noProof/>
        </w:rPr>
      </w:pPr>
      <w:r w:rsidRPr="004D59E8">
        <w:rPr>
          <w:noProof/>
        </w:rPr>
        <w:t>1β. Κάθε επεξεργασία δεδομένων προσωπικού χαρακτήρα πραγματοποιείται σύμφωνα με τον παρόντα κανονισμό, τον κανονισμό (ΕΕ) 2016/679 και τον κανονισμό (ΕΕ) 2018/1725 μόνο στον βαθμό που είναι αναγκαίο για την εφαρμογή του παρόντος κανονισμού και για τη διασφάλιση αποτελεσματικής συνεργασίας μεταξύ των κρατών μελών, καθώς και με την Ευρωπαϊκή Επιτροπή, κατά την εφαρμογή του παρόντος κανονισμού.»</w:t>
      </w:r>
    </w:p>
    <w:p w14:paraId="53813548" w14:textId="0F09F64D" w:rsidR="008B4448" w:rsidRPr="004D59E8" w:rsidRDefault="004D59E8" w:rsidP="004D59E8">
      <w:pPr>
        <w:pStyle w:val="Point0"/>
        <w:rPr>
          <w:noProof/>
        </w:rPr>
      </w:pPr>
      <w:r>
        <w:rPr>
          <w:noProof/>
        </w:rPr>
        <w:t>7)</w:t>
      </w:r>
      <w:r>
        <w:rPr>
          <w:noProof/>
        </w:rPr>
        <w:tab/>
      </w:r>
      <w:r w:rsidR="00351869" w:rsidRPr="004D59E8">
        <w:rPr>
          <w:noProof/>
        </w:rPr>
        <w:t>το άρθρο 9 αντικαθίσταται από το ακόλουθο κείμενο:</w:t>
      </w:r>
    </w:p>
    <w:p w14:paraId="1EE5E107" w14:textId="514EE4F6" w:rsidR="00351869" w:rsidRPr="004D59E8" w:rsidRDefault="0092472E" w:rsidP="008B4448">
      <w:pPr>
        <w:spacing w:after="240"/>
        <w:rPr>
          <w:rFonts w:eastAsia="Times New Roman"/>
          <w:noProof/>
          <w:szCs w:val="24"/>
        </w:rPr>
      </w:pPr>
      <w:r w:rsidRPr="004D59E8">
        <w:rPr>
          <w:noProof/>
        </w:rPr>
        <w:t>«1. Απαγορεύεται η συμμετοχή, εν γνώσει και εκ προθέσεως, σε δραστηριότητες με αντικείμενο ή αποτέλεσμα την καταστρατήγηση των μέτρων του άρθρου 2.</w:t>
      </w:r>
    </w:p>
    <w:p w14:paraId="73F68329" w14:textId="77777777" w:rsidR="008B4448" w:rsidRPr="004D59E8" w:rsidRDefault="008B4448" w:rsidP="008B4448">
      <w:pPr>
        <w:spacing w:after="240"/>
        <w:rPr>
          <w:rFonts w:eastAsia="Times New Roman"/>
          <w:noProof/>
          <w:szCs w:val="24"/>
        </w:rPr>
      </w:pPr>
      <w:r w:rsidRPr="004D59E8">
        <w:rPr>
          <w:noProof/>
        </w:rPr>
        <w:t>2. Τα φυσικά ή νομικά πρόσωπα, οι οντότητες ή φορείς που περιλαμβάνονται στο παράρτημα I:</w:t>
      </w:r>
    </w:p>
    <w:p w14:paraId="5312AFE2" w14:textId="53A6F7D6" w:rsidR="008B4448" w:rsidRPr="004D59E8" w:rsidRDefault="008B4448" w:rsidP="00152DAA">
      <w:pPr>
        <w:spacing w:after="240"/>
        <w:rPr>
          <w:rFonts w:eastAsia="Times New Roman"/>
          <w:noProof/>
          <w:szCs w:val="24"/>
        </w:rPr>
      </w:pPr>
      <w:r w:rsidRPr="004D59E8">
        <w:rPr>
          <w:noProof/>
        </w:rPr>
        <w:t>α) παρέχουν, πριν από τις [</w:t>
      </w:r>
      <w:r w:rsidRPr="004D59E8">
        <w:rPr>
          <w:i/>
          <w:noProof/>
        </w:rPr>
        <w:t>Υπηρεσία Εκδόσεων: να προστεθεί η ημερομηνία 6 εβδομάδες μετά την έναρξη ισχύος του παρόντος κανονισμού</w:t>
      </w:r>
      <w:r w:rsidRPr="004D59E8">
        <w:rPr>
          <w:noProof/>
        </w:rPr>
        <w:t>] ή εντός 6 εβδομάδων από την καταχώρισή τους, ανάλογα με το ποια ημερομηνία είναι μεταγενέστερη, όλες τις πληροφορίες σχετικά με κεφάλαια ή οικονομικούς πόρους εντός της δικαιοδοσίας της ΕΕ που βρίσκονται στην ιδιοκτησία, στην κατοχή ή υπό τον έλεγχό τους, στην αρμόδια αρχή του κράτους μέλους στο οποίο βρίσκονται τα εν λόγω κεφάλαια ή οι οικονομικοί πόροι, και διαβιβάζουν τις πληροφορίες αυτές, απευθείας ή μέσω του κράτους μέλους, στην Επιτροπή· και</w:t>
      </w:r>
    </w:p>
    <w:p w14:paraId="0EF251D6" w14:textId="77777777" w:rsidR="008B4448" w:rsidRPr="004D59E8" w:rsidRDefault="008B4448" w:rsidP="00152DAA">
      <w:pPr>
        <w:spacing w:after="240"/>
        <w:rPr>
          <w:rFonts w:eastAsia="Times New Roman"/>
          <w:noProof/>
          <w:szCs w:val="24"/>
        </w:rPr>
      </w:pPr>
      <w:r w:rsidRPr="004D59E8">
        <w:rPr>
          <w:noProof/>
        </w:rPr>
        <w:t>β) συνεργάζονται με την αρμόδια αρχή σε κάθε έλεγχο των εν λόγω πληροφοριών.</w:t>
      </w:r>
    </w:p>
    <w:p w14:paraId="013A4554" w14:textId="77777777" w:rsidR="00262C13" w:rsidRPr="004D59E8" w:rsidRDefault="00262C13" w:rsidP="00262C13">
      <w:pPr>
        <w:spacing w:after="240"/>
        <w:rPr>
          <w:rFonts w:eastAsia="Times New Roman"/>
          <w:noProof/>
          <w:szCs w:val="24"/>
        </w:rPr>
      </w:pPr>
      <w:r w:rsidRPr="004D59E8">
        <w:rPr>
          <w:noProof/>
        </w:rPr>
        <w:t>3. Η μη συμμόρφωση με την παράγραφο 2 θεωρείται συμμετοχή σε δραστηριότητες με αντικείμενο ή αποτέλεσμα την καταστρατήγηση των μέτρων του άρθρου 2.</w:t>
      </w:r>
    </w:p>
    <w:p w14:paraId="33825F0A" w14:textId="77777777" w:rsidR="008B4448" w:rsidRPr="004D59E8" w:rsidRDefault="00262C13" w:rsidP="008B4448">
      <w:pPr>
        <w:spacing w:after="240"/>
        <w:rPr>
          <w:rFonts w:eastAsia="Times New Roman"/>
          <w:noProof/>
          <w:szCs w:val="24"/>
        </w:rPr>
      </w:pPr>
      <w:r w:rsidRPr="004D59E8">
        <w:rPr>
          <w:noProof/>
        </w:rPr>
        <w:t>5. Κάθε πρόσθετη πληροφορία που λαμβάνεται απευθείας από την Επιτροπή τίθεται στη διάθεση των κρατών μελών.</w:t>
      </w:r>
    </w:p>
    <w:p w14:paraId="2B84CCF7" w14:textId="77777777" w:rsidR="0092472E" w:rsidRPr="004D59E8" w:rsidRDefault="00262C13" w:rsidP="00152DAA">
      <w:pPr>
        <w:spacing w:after="240"/>
        <w:rPr>
          <w:rFonts w:eastAsia="Times New Roman"/>
          <w:noProof/>
          <w:szCs w:val="24"/>
        </w:rPr>
      </w:pPr>
      <w:r w:rsidRPr="004D59E8">
        <w:rPr>
          <w:noProof/>
        </w:rPr>
        <w:t>6. Κάθε πληροφορία που παρέχεται ή λαμβάνεται σύμφωνα με το παρόν άρθρο χρησιμοποιείται μόνον για τους σκοπούς για τους οποίους παρεσχέθη ή ελήφθη.»</w:t>
      </w:r>
    </w:p>
    <w:p w14:paraId="20B7E5E7" w14:textId="77777777" w:rsidR="00C05109" w:rsidRPr="004D59E8" w:rsidRDefault="00C05109" w:rsidP="00CE48A5">
      <w:pPr>
        <w:pStyle w:val="Titrearticle"/>
        <w:rPr>
          <w:noProof/>
        </w:rPr>
      </w:pPr>
      <w:r w:rsidRPr="004D59E8">
        <w:rPr>
          <w:noProof/>
        </w:rPr>
        <w:t>Άρθρο 2</w:t>
      </w:r>
    </w:p>
    <w:p w14:paraId="49FB99A9" w14:textId="77777777" w:rsidR="00C05109" w:rsidRPr="004D59E8" w:rsidRDefault="00C05109" w:rsidP="00CE48A5">
      <w:pPr>
        <w:rPr>
          <w:noProof/>
        </w:rPr>
      </w:pPr>
      <w:r w:rsidRPr="004D59E8">
        <w:rPr>
          <w:noProof/>
        </w:rPr>
        <w:t xml:space="preserve">Ο παρών κανονισμός αρχίζει να ισχύει την επομένη της δημοσίευσής του στην </w:t>
      </w:r>
      <w:r w:rsidRPr="004D59E8">
        <w:rPr>
          <w:i/>
          <w:noProof/>
        </w:rPr>
        <w:t>Επίσημη Εφημερίδα της Ευρωπαϊκής Ένωσης</w:t>
      </w:r>
      <w:r w:rsidRPr="004D59E8">
        <w:rPr>
          <w:noProof/>
        </w:rPr>
        <w:t>.</w:t>
      </w:r>
    </w:p>
    <w:p w14:paraId="5442B635" w14:textId="77777777" w:rsidR="00C05109" w:rsidRPr="004D59E8" w:rsidRDefault="00C05109" w:rsidP="00CE48A5">
      <w:pPr>
        <w:pStyle w:val="Applicationdirecte"/>
        <w:rPr>
          <w:noProof/>
        </w:rPr>
      </w:pPr>
      <w:r w:rsidRPr="004D59E8">
        <w:rPr>
          <w:noProof/>
        </w:rPr>
        <w:t>Ο παρών κανονισμός είναι δεσμευτικός ως προς όλα τα μέρη του και ισχύει άμεσα σε κάθε κράτος μέλος.</w:t>
      </w:r>
    </w:p>
    <w:p w14:paraId="1E54EE44" w14:textId="4C96B2ED" w:rsidR="00C05109" w:rsidRPr="004D59E8" w:rsidRDefault="009A7C03" w:rsidP="009A7C03">
      <w:pPr>
        <w:pStyle w:val="Fait"/>
        <w:rPr>
          <w:noProof/>
        </w:rPr>
      </w:pPr>
      <w:r w:rsidRPr="009A7C03">
        <w:t>Βρυξέλλες,</w:t>
      </w:r>
    </w:p>
    <w:p w14:paraId="3B456678" w14:textId="77777777" w:rsidR="00C05109" w:rsidRPr="004D59E8" w:rsidRDefault="00C05109" w:rsidP="00843DD2">
      <w:pPr>
        <w:pStyle w:val="Institutionquisigne"/>
        <w:rPr>
          <w:noProof/>
        </w:rPr>
      </w:pPr>
      <w:r w:rsidRPr="004D59E8">
        <w:rPr>
          <w:noProof/>
        </w:rPr>
        <w:tab/>
        <w:t>Για το Συμβούλιο</w:t>
      </w:r>
    </w:p>
    <w:p w14:paraId="7078D32C" w14:textId="77777777" w:rsidR="00057515" w:rsidRPr="004D59E8" w:rsidRDefault="00C05109" w:rsidP="0049682E">
      <w:pPr>
        <w:pStyle w:val="Personnequisigne"/>
        <w:rPr>
          <w:noProof/>
        </w:rPr>
      </w:pPr>
      <w:r w:rsidRPr="004D59E8">
        <w:rPr>
          <w:noProof/>
        </w:rPr>
        <w:tab/>
        <w:t>Ο Πρόεδρος</w:t>
      </w:r>
    </w:p>
    <w:sectPr w:rsidR="00057515" w:rsidRPr="004D59E8" w:rsidSect="009A7C03">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56C54" w14:textId="77777777" w:rsidR="007D179B" w:rsidRDefault="007D179B" w:rsidP="00C05109">
      <w:pPr>
        <w:spacing w:before="0" w:after="0"/>
      </w:pPr>
      <w:r>
        <w:separator/>
      </w:r>
    </w:p>
  </w:endnote>
  <w:endnote w:type="continuationSeparator" w:id="0">
    <w:p w14:paraId="50EE3952" w14:textId="77777777" w:rsidR="007D179B" w:rsidRDefault="007D179B" w:rsidP="00C0510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64538" w14:textId="77777777" w:rsidR="009A7C03" w:rsidRPr="009A7C03" w:rsidRDefault="009A7C03" w:rsidP="009A7C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53BA9" w14:textId="32BD4E92" w:rsidR="009A7C03" w:rsidRPr="009A7C03" w:rsidRDefault="009A7C03" w:rsidP="009A7C03">
    <w:pPr>
      <w:pStyle w:val="Footer"/>
      <w:rPr>
        <w:rFonts w:ascii="Arial" w:hAnsi="Arial" w:cs="Arial"/>
        <w:b/>
        <w:sz w:val="48"/>
      </w:rPr>
    </w:pPr>
    <w:r w:rsidRPr="009A7C03">
      <w:rPr>
        <w:rFonts w:ascii="Arial" w:hAnsi="Arial" w:cs="Arial"/>
        <w:b/>
        <w:sz w:val="48"/>
      </w:rPr>
      <w:t>EL</w:t>
    </w:r>
    <w:r w:rsidRPr="009A7C03">
      <w:rPr>
        <w:rFonts w:ascii="Arial" w:hAnsi="Arial" w:cs="Arial"/>
        <w:b/>
        <w:sz w:val="48"/>
      </w:rPr>
      <w:tab/>
    </w:r>
    <w:r w:rsidRPr="009A7C03">
      <w:rPr>
        <w:rFonts w:ascii="Arial" w:hAnsi="Arial" w:cs="Arial"/>
        <w:b/>
        <w:sz w:val="48"/>
      </w:rPr>
      <w:tab/>
    </w:r>
    <w:r w:rsidRPr="009A7C03">
      <w:tab/>
    </w:r>
    <w:proofErr w:type="spellStart"/>
    <w:r w:rsidRPr="009A7C03">
      <w:rPr>
        <w:rFonts w:ascii="Arial" w:hAnsi="Arial" w:cs="Arial"/>
        <w:b/>
        <w:sz w:val="48"/>
      </w:rPr>
      <w:t>EL</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73D62" w14:textId="77777777" w:rsidR="009A7C03" w:rsidRPr="009A7C03" w:rsidRDefault="009A7C03" w:rsidP="009A7C0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AC5E9" w14:textId="1ED21496" w:rsidR="009A7C03" w:rsidRPr="009A7C03" w:rsidRDefault="009A7C03" w:rsidP="009A7C03">
    <w:pPr>
      <w:pStyle w:val="Footer"/>
      <w:rPr>
        <w:rFonts w:ascii="Arial" w:hAnsi="Arial" w:cs="Arial"/>
        <w:b/>
        <w:sz w:val="48"/>
      </w:rPr>
    </w:pPr>
    <w:r w:rsidRPr="009A7C03">
      <w:rPr>
        <w:rFonts w:ascii="Arial" w:hAnsi="Arial" w:cs="Arial"/>
        <w:b/>
        <w:sz w:val="48"/>
      </w:rPr>
      <w:t>EL</w:t>
    </w:r>
    <w:r w:rsidRPr="009A7C03">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9A7C03">
      <w:tab/>
    </w:r>
    <w:r w:rsidRPr="009A7C03">
      <w:rPr>
        <w:rFonts w:ascii="Arial" w:hAnsi="Arial" w:cs="Arial"/>
        <w:b/>
        <w:sz w:val="48"/>
      </w:rPr>
      <w:t>EL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4DC98" w14:textId="77777777" w:rsidR="009A7C03" w:rsidRPr="009A7C03" w:rsidRDefault="009A7C03" w:rsidP="009A7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90AEB" w14:textId="77777777" w:rsidR="007D179B" w:rsidRDefault="007D179B" w:rsidP="00C05109">
      <w:pPr>
        <w:spacing w:before="0" w:after="0"/>
      </w:pPr>
      <w:r>
        <w:separator/>
      </w:r>
    </w:p>
  </w:footnote>
  <w:footnote w:type="continuationSeparator" w:id="0">
    <w:p w14:paraId="087A3904" w14:textId="77777777" w:rsidR="007D179B" w:rsidRDefault="007D179B" w:rsidP="00C05109">
      <w:pPr>
        <w:spacing w:before="0" w:after="0"/>
      </w:pPr>
      <w:r>
        <w:continuationSeparator/>
      </w:r>
    </w:p>
  </w:footnote>
  <w:footnote w:id="1">
    <w:p w14:paraId="474B4B46" w14:textId="77777777" w:rsidR="00C05109" w:rsidRPr="004B4693" w:rsidRDefault="00C05109" w:rsidP="004B4693">
      <w:pPr>
        <w:pStyle w:val="FootnoteText"/>
      </w:pPr>
      <w:r>
        <w:rPr>
          <w:rStyle w:val="FootnoteReference"/>
        </w:rPr>
        <w:footnoteRef/>
      </w:r>
      <w:r>
        <w:tab/>
        <w:t>ΕΕ L 078 της 17.3.2014, σ. 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3A9B5" w14:textId="77777777" w:rsidR="009A7C03" w:rsidRPr="009A7C03" w:rsidRDefault="009A7C03" w:rsidP="009A7C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28A13" w14:textId="77777777" w:rsidR="009A7C03" w:rsidRPr="009A7C03" w:rsidRDefault="009A7C03" w:rsidP="009A7C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E987E" w14:textId="77777777" w:rsidR="009A7C03" w:rsidRPr="009A7C03" w:rsidRDefault="009A7C03" w:rsidP="009A7C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7A667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18D2F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F1A8EAE"/>
    <w:lvl w:ilvl="0">
      <w:start w:val="1"/>
      <w:numFmt w:val="decimal"/>
      <w:pStyle w:val="ListNumber2"/>
      <w:lvlText w:val="%1."/>
      <w:lvlJc w:val="left"/>
      <w:pPr>
        <w:tabs>
          <w:tab w:val="num" w:pos="643"/>
        </w:tabs>
        <w:ind w:left="643" w:hanging="360"/>
      </w:pPr>
    </w:lvl>
  </w:abstractNum>
  <w:abstractNum w:abstractNumId="4" w15:restartNumberingAfterBreak="0">
    <w:nsid w:val="FFFFFF81"/>
    <w:multiLevelType w:val="singleLevel"/>
    <w:tmpl w:val="66A43F44"/>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05B07AD8"/>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E9DACDF4"/>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75825F54"/>
    <w:name w:val="0.5744244"/>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6DB66A1A"/>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15:restartNumberingAfterBreak="0">
    <w:nsid w:val="3E0C0B6C"/>
    <w:multiLevelType w:val="hybridMultilevel"/>
    <w:tmpl w:val="6A7200FC"/>
    <w:lvl w:ilvl="0" w:tplc="0966F61E">
      <w:start w:val="1"/>
      <w:numFmt w:val="lowerRoman"/>
      <w:pStyle w:val="PointDou"/>
      <w:lvlText w:val="(%1)"/>
      <w:lvlJc w:val="left"/>
      <w:pPr>
        <w:ind w:left="2137" w:hanging="720"/>
      </w:pPr>
      <w:rPr>
        <w:rFonts w:ascii="Times New Roman" w:eastAsiaTheme="minorHAnsi" w:hAnsi="Times New Roman" w:cs="Times New Roman"/>
      </w:rPr>
    </w:lvl>
    <w:lvl w:ilvl="1" w:tplc="04090019" w:tentative="1">
      <w:start w:val="1"/>
      <w:numFmt w:val="lowerLetter"/>
      <w:lvlText w:val="%2."/>
      <w:lvlJc w:val="left"/>
      <w:pPr>
        <w:ind w:left="2497" w:hanging="360"/>
      </w:pPr>
    </w:lvl>
    <w:lvl w:ilvl="2" w:tplc="0409001B" w:tentative="1">
      <w:start w:val="1"/>
      <w:numFmt w:val="lowerRoman"/>
      <w:lvlText w:val="%3."/>
      <w:lvlJc w:val="right"/>
      <w:pPr>
        <w:ind w:left="3217" w:hanging="180"/>
      </w:pPr>
    </w:lvl>
    <w:lvl w:ilvl="3" w:tplc="0409000F" w:tentative="1">
      <w:start w:val="1"/>
      <w:numFmt w:val="decimal"/>
      <w:lvlText w:val="%4."/>
      <w:lvlJc w:val="left"/>
      <w:pPr>
        <w:ind w:left="3937" w:hanging="360"/>
      </w:pPr>
    </w:lvl>
    <w:lvl w:ilvl="4" w:tplc="04090019" w:tentative="1">
      <w:start w:val="1"/>
      <w:numFmt w:val="lowerLetter"/>
      <w:lvlText w:val="%5."/>
      <w:lvlJc w:val="left"/>
      <w:pPr>
        <w:ind w:left="4657" w:hanging="360"/>
      </w:pPr>
    </w:lvl>
    <w:lvl w:ilvl="5" w:tplc="0409001B" w:tentative="1">
      <w:start w:val="1"/>
      <w:numFmt w:val="lowerRoman"/>
      <w:lvlText w:val="%6."/>
      <w:lvlJc w:val="right"/>
      <w:pPr>
        <w:ind w:left="5377" w:hanging="180"/>
      </w:pPr>
    </w:lvl>
    <w:lvl w:ilvl="6" w:tplc="0409000F" w:tentative="1">
      <w:start w:val="1"/>
      <w:numFmt w:val="decimal"/>
      <w:lvlText w:val="%7."/>
      <w:lvlJc w:val="left"/>
      <w:pPr>
        <w:ind w:left="6097" w:hanging="360"/>
      </w:pPr>
    </w:lvl>
    <w:lvl w:ilvl="7" w:tplc="04090019" w:tentative="1">
      <w:start w:val="1"/>
      <w:numFmt w:val="lowerLetter"/>
      <w:lvlText w:val="%8."/>
      <w:lvlJc w:val="left"/>
      <w:pPr>
        <w:ind w:left="6817" w:hanging="360"/>
      </w:pPr>
    </w:lvl>
    <w:lvl w:ilvl="8" w:tplc="0409001B" w:tentative="1">
      <w:start w:val="1"/>
      <w:numFmt w:val="lowerRoman"/>
      <w:lvlText w:val="%9."/>
      <w:lvlJc w:val="right"/>
      <w:pPr>
        <w:ind w:left="7537" w:hanging="180"/>
      </w:pPr>
    </w:lvl>
  </w:abstractNum>
  <w:abstractNum w:abstractNumId="1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6"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7"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8"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0"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2"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4"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756709045">
    <w:abstractNumId w:val="7"/>
  </w:num>
  <w:num w:numId="2" w16cid:durableId="1703943260">
    <w:abstractNumId w:val="8"/>
  </w:num>
  <w:num w:numId="3" w16cid:durableId="1783761431">
    <w:abstractNumId w:val="6"/>
  </w:num>
  <w:num w:numId="4" w16cid:durableId="1331711937">
    <w:abstractNumId w:val="5"/>
  </w:num>
  <w:num w:numId="5" w16cid:durableId="14616492">
    <w:abstractNumId w:val="4"/>
  </w:num>
  <w:num w:numId="6" w16cid:durableId="819885239">
    <w:abstractNumId w:val="24"/>
    <w:lvlOverride w:ilvl="0">
      <w:startOverride w:val="1"/>
    </w:lvlOverride>
  </w:num>
  <w:num w:numId="7" w16cid:durableId="948010728">
    <w:abstractNumId w:val="3"/>
  </w:num>
  <w:num w:numId="8" w16cid:durableId="1873683936">
    <w:abstractNumId w:val="2"/>
  </w:num>
  <w:num w:numId="9" w16cid:durableId="1074015523">
    <w:abstractNumId w:val="1"/>
  </w:num>
  <w:num w:numId="10" w16cid:durableId="1593196561">
    <w:abstractNumId w:val="13"/>
  </w:num>
  <w:num w:numId="11" w16cid:durableId="2048020349">
    <w:abstractNumId w:val="0"/>
  </w:num>
  <w:num w:numId="12" w16cid:durableId="1348100036">
    <w:abstractNumId w:val="21"/>
  </w:num>
  <w:num w:numId="13" w16cid:durableId="1366053491">
    <w:abstractNumId w:val="14"/>
  </w:num>
  <w:num w:numId="14" w16cid:durableId="450512642">
    <w:abstractNumId w:val="23"/>
  </w:num>
  <w:num w:numId="15" w16cid:durableId="981348003">
    <w:abstractNumId w:val="12"/>
  </w:num>
  <w:num w:numId="16" w16cid:durableId="2092851347">
    <w:abstractNumId w:val="15"/>
  </w:num>
  <w:num w:numId="17" w16cid:durableId="2109961068">
    <w:abstractNumId w:val="16"/>
  </w:num>
  <w:num w:numId="18" w16cid:durableId="1753576509">
    <w:abstractNumId w:val="10"/>
  </w:num>
  <w:num w:numId="19" w16cid:durableId="283275730">
    <w:abstractNumId w:val="22"/>
  </w:num>
  <w:num w:numId="20" w16cid:durableId="503326555">
    <w:abstractNumId w:val="9"/>
  </w:num>
  <w:num w:numId="21" w16cid:durableId="385880146">
    <w:abstractNumId w:val="17"/>
  </w:num>
  <w:num w:numId="22" w16cid:durableId="1844935783">
    <w:abstractNumId w:val="19"/>
  </w:num>
  <w:num w:numId="23" w16cid:durableId="905262715">
    <w:abstractNumId w:val="20"/>
  </w:num>
  <w:num w:numId="24" w16cid:durableId="650136822">
    <w:abstractNumId w:val="11"/>
  </w:num>
  <w:num w:numId="25" w16cid:durableId="2107650278">
    <w:abstractNumId w:val="18"/>
  </w:num>
  <w:num w:numId="26" w16cid:durableId="30804816">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720"/>
  <w:hyphenationZone w:val="425"/>
  <w:characterSpacingControl w:val="doNotCompress"/>
  <w:hdrShapeDefaults>
    <o:shapedefaults v:ext="edit" spidmax="1781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R_RefLast" w:val="0"/>
    <w:docVar w:name="DQCDateTime" w:val="2023-02-07 09:24:09"/>
    <w:docVar w:name="DQCResult_Distribution" w:val="0;0"/>
    <w:docVar w:name="DQCResult_DocumentContent" w:val="0;0"/>
    <w:docVar w:name="DQCResult_DocumentSize" w:val="0;0"/>
    <w:docVar w:name="DQCResult_InvalidFootnotes" w:val="0;0"/>
    <w:docVar w:name="DQCResult_LinkedStyles" w:val="0;0"/>
    <w:docVar w:name="DQCResult_ModifiedMarkers" w:val="0;0"/>
    <w:docVar w:name="DQCResult_ModifiedNumbering" w:val="0;0"/>
    <w:docVar w:name="DQCResult_Objects" w:val="0;0"/>
    <w:docVar w:name="DQCResult_StructureCheck" w:val="0;0"/>
    <w:docVar w:name="DQCResult_UnknownFonts" w:val="0;0"/>
    <w:docVar w:name="DQCStatus" w:val="Yellow"/>
    <w:docVar w:name="DQCVersion" w:val="3"/>
    <w:docVar w:name="DQCWithWarnings" w:val="0"/>
    <w:docVar w:name="LW_CORRIGENDUM" w:val="&lt;UNUSED&gt;"/>
    <w:docVar w:name="LW_COVERPAGE_EXISTS" w:val="True"/>
    <w:docVar w:name="LW_COVERPAGE_GUID" w:val="F356C19E-60AA-415C-BF9F-9E5F2B68DF95"/>
    <w:docVar w:name="LW_COVERPAGE_TYPE" w:val="1"/>
    <w:docVar w:name="LW_CROSSREFERENCE" w:val="&lt;UNUSED&gt;"/>
    <w:docVar w:name="LW_DocType" w:val="COM"/>
    <w:docVar w:name="LW_EMISSION" w:val="15.7.2022"/>
    <w:docVar w:name="LW_EMISSION_ISODATE" w:val="2022-07-15"/>
    <w:docVar w:name="LW_EMISSION_LOCATION" w:val="BRX"/>
    <w:docVar w:name="LW_EMISSION_PREFIX" w:val="\u914?\u961?\u965?\u958?\u941?\u955?\u955?\u949?\u962?, "/>
    <w:docVar w:name="LW_EMISSION_SUFFIX" w:val=" "/>
    <w:docVar w:name="LW_ID_DOCMODEL" w:val="SG-057"/>
    <w:docVar w:name="LW_ID_DOCSIGNATURE" w:val="SJ-016"/>
    <w:docVar w:name="LW_ID_DOCSTRUCTURE" w:val="COM/PL/ORG"/>
    <w:docVar w:name="LW_ID_DOCTYPE" w:val="SG-057"/>
    <w:docVar w:name="LW_ID_EXP.MOTIFS.NEW" w:val="EM_PL_"/>
    <w:docVar w:name="LW_ID_STATUT" w:val="SG-057"/>
    <w:docVar w:name="LW_INTERETEEE.CP" w:val="&lt;UNUSED&gt;"/>
    <w:docVar w:name="LW_LANGUE" w:val="EL"/>
    <w:docVar w:name="LW_LEVEL_OF_SENSITIVITY" w:val="Standard treatment"/>
    <w:docVar w:name="LW_NOM.INST" w:val="\u917?\u933?\u929?\u937?\u928?\u913?\u938?\u922?\u919? \u917?\u928?\u921?\u932?\u929?\u927?\u928?\u919?"/>
    <w:docVar w:name="LW_NOM.INST_JOINTDOC" w:val="\u933?\u928?\u913?\u932?\u927?\u931? \u917?\u922?\u928?\u929?\u927?\u931?\u937?\u928?\u927?\u931? \u932?\u919?\u931? _x000b_\u917?\u925?\u937?\u931?\u919?\u931? \u915?\u921?\u913? \u920?\u917?\u924?\u913?\u932?\u913? _x000b_\u922?\u927?\u921?\u925?\u919?\u931? \u917?\u926?\u937?\u932?\u917?\u929?\u921?\u922?\u919?\u931? \u928?\u927?\u923?\u921?\u932?\u921?\u922?\u919?\u931?_x000b_ \u922?\u913?\u921? \u928?\u927?\u923?\u921?\u932?\u921?\u922?\u919?\u931? \u913?\u931?\u934?\u913?\u923?\u917?\u921?\u913?\u931?"/>
    <w:docVar w:name="LW_PART_NBR" w:val="1"/>
    <w:docVar w:name="LW_PART_NBR_TOTAL" w:val="1"/>
    <w:docVar w:name="LW_REF.II.NEW.CP" w:val="NLE"/>
    <w:docVar w:name="LW_REF.II.NEW.CP_NUMBER" w:val="0224"/>
    <w:docVar w:name="LW_REF.II.NEW.CP_YEAR" w:val="2022"/>
    <w:docVar w:name="LW_REF.INST.NEW" w:val="JOIN"/>
    <w:docVar w:name="LW_REF.INST.NEW_ADOPTED" w:val="final/2          Downgraded on 9.2.2023"/>
    <w:docVar w:name="LW_REF.INST.NEW_TEXT" w:val="(2022) 3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Κοινή πρόταση"/>
    <w:docVar w:name="LW_SUPERTITRE" w:val="&lt;UNUSED&gt;"/>
    <w:docVar w:name="LW_TITRE.OBJ.CP" w:val="για την τροποποίηση του κανονισμού (ΕΕ) αριθ. 269/2014 σχετικά με περιοριστικά μέτρα για ενέργειες που υπονομεύουν ή απειλούν την εδαφική ακεραιότητα, την κυριαρχία και την ανεξαρτησία της Ουκρανίας"/>
    <w:docVar w:name="LW_TYPE.DOC.CP" w:val="ΚΑΝΟΝΙΣΜΟΣ ΤΟΥ ΣΥΜΒΟΥΛΙΟΥ"/>
    <w:docVar w:name="LwApiVersions" w:val="LW4CoDe 1.23.2.0; LW 8.0, Build 20211117"/>
  </w:docVars>
  <w:rsids>
    <w:rsidRoot w:val="00C05109"/>
    <w:rsid w:val="00001F8A"/>
    <w:rsid w:val="00007033"/>
    <w:rsid w:val="00007BC6"/>
    <w:rsid w:val="0001321C"/>
    <w:rsid w:val="00037E33"/>
    <w:rsid w:val="00050039"/>
    <w:rsid w:val="0005097B"/>
    <w:rsid w:val="00057515"/>
    <w:rsid w:val="00065706"/>
    <w:rsid w:val="000761FB"/>
    <w:rsid w:val="000807E9"/>
    <w:rsid w:val="00080996"/>
    <w:rsid w:val="00081107"/>
    <w:rsid w:val="00081F62"/>
    <w:rsid w:val="00090960"/>
    <w:rsid w:val="000A2243"/>
    <w:rsid w:val="000A5EA7"/>
    <w:rsid w:val="000A7517"/>
    <w:rsid w:val="000C0893"/>
    <w:rsid w:val="000C16D9"/>
    <w:rsid w:val="000D7FFB"/>
    <w:rsid w:val="000E198E"/>
    <w:rsid w:val="000E24E5"/>
    <w:rsid w:val="000E26C0"/>
    <w:rsid w:val="000E2F8E"/>
    <w:rsid w:val="000E7932"/>
    <w:rsid w:val="001019F1"/>
    <w:rsid w:val="00104594"/>
    <w:rsid w:val="00111131"/>
    <w:rsid w:val="00112801"/>
    <w:rsid w:val="00115E63"/>
    <w:rsid w:val="00115E8C"/>
    <w:rsid w:val="001177DA"/>
    <w:rsid w:val="001225E8"/>
    <w:rsid w:val="00132139"/>
    <w:rsid w:val="001471D3"/>
    <w:rsid w:val="00152DAA"/>
    <w:rsid w:val="00163FE2"/>
    <w:rsid w:val="001652EF"/>
    <w:rsid w:val="00180A74"/>
    <w:rsid w:val="00183BD9"/>
    <w:rsid w:val="00185B6A"/>
    <w:rsid w:val="00185EA6"/>
    <w:rsid w:val="001870BF"/>
    <w:rsid w:val="00192D72"/>
    <w:rsid w:val="001A6256"/>
    <w:rsid w:val="001B0170"/>
    <w:rsid w:val="001B0B83"/>
    <w:rsid w:val="001B1AA4"/>
    <w:rsid w:val="001B4627"/>
    <w:rsid w:val="001C2816"/>
    <w:rsid w:val="001C4301"/>
    <w:rsid w:val="001C5465"/>
    <w:rsid w:val="001D3ED2"/>
    <w:rsid w:val="001D6F39"/>
    <w:rsid w:val="001F1206"/>
    <w:rsid w:val="001F2B32"/>
    <w:rsid w:val="001F3DA5"/>
    <w:rsid w:val="001F3E48"/>
    <w:rsid w:val="001F4121"/>
    <w:rsid w:val="001F5EEE"/>
    <w:rsid w:val="00202D90"/>
    <w:rsid w:val="0020660D"/>
    <w:rsid w:val="00211AD1"/>
    <w:rsid w:val="00213B17"/>
    <w:rsid w:val="00215018"/>
    <w:rsid w:val="00222306"/>
    <w:rsid w:val="002229B0"/>
    <w:rsid w:val="002233DF"/>
    <w:rsid w:val="00223B95"/>
    <w:rsid w:val="002251BC"/>
    <w:rsid w:val="00233894"/>
    <w:rsid w:val="00235E4C"/>
    <w:rsid w:val="00244569"/>
    <w:rsid w:val="00255748"/>
    <w:rsid w:val="00255E0D"/>
    <w:rsid w:val="00262C13"/>
    <w:rsid w:val="0027021E"/>
    <w:rsid w:val="00283827"/>
    <w:rsid w:val="00285EB2"/>
    <w:rsid w:val="00287A75"/>
    <w:rsid w:val="002A0D9B"/>
    <w:rsid w:val="002A609F"/>
    <w:rsid w:val="002B5FF9"/>
    <w:rsid w:val="002C0E61"/>
    <w:rsid w:val="002C1AB1"/>
    <w:rsid w:val="002C2A50"/>
    <w:rsid w:val="002C59E2"/>
    <w:rsid w:val="002D0830"/>
    <w:rsid w:val="002D6E3D"/>
    <w:rsid w:val="002D738D"/>
    <w:rsid w:val="002E0653"/>
    <w:rsid w:val="002E0BC5"/>
    <w:rsid w:val="002E5109"/>
    <w:rsid w:val="002F3B1C"/>
    <w:rsid w:val="0031085D"/>
    <w:rsid w:val="003116C8"/>
    <w:rsid w:val="003127E4"/>
    <w:rsid w:val="00327518"/>
    <w:rsid w:val="0033003D"/>
    <w:rsid w:val="00343A29"/>
    <w:rsid w:val="00345539"/>
    <w:rsid w:val="003504BD"/>
    <w:rsid w:val="00351869"/>
    <w:rsid w:val="00387BF1"/>
    <w:rsid w:val="00392DE2"/>
    <w:rsid w:val="003B4B31"/>
    <w:rsid w:val="003B5CF3"/>
    <w:rsid w:val="003B7962"/>
    <w:rsid w:val="003D1A90"/>
    <w:rsid w:val="003D2388"/>
    <w:rsid w:val="003D542B"/>
    <w:rsid w:val="003D721A"/>
    <w:rsid w:val="003E7F06"/>
    <w:rsid w:val="003F2BF7"/>
    <w:rsid w:val="003F4626"/>
    <w:rsid w:val="00405D11"/>
    <w:rsid w:val="004120DE"/>
    <w:rsid w:val="00412DBF"/>
    <w:rsid w:val="004139F7"/>
    <w:rsid w:val="00414F24"/>
    <w:rsid w:val="004154DC"/>
    <w:rsid w:val="004163EA"/>
    <w:rsid w:val="00417DCA"/>
    <w:rsid w:val="0042737D"/>
    <w:rsid w:val="00432681"/>
    <w:rsid w:val="0043677B"/>
    <w:rsid w:val="00444061"/>
    <w:rsid w:val="00446BD6"/>
    <w:rsid w:val="00446FB7"/>
    <w:rsid w:val="004627DA"/>
    <w:rsid w:val="00463785"/>
    <w:rsid w:val="00463C5D"/>
    <w:rsid w:val="004657EA"/>
    <w:rsid w:val="00470B56"/>
    <w:rsid w:val="004716A3"/>
    <w:rsid w:val="00481EF6"/>
    <w:rsid w:val="0049682E"/>
    <w:rsid w:val="00497CA6"/>
    <w:rsid w:val="004A1AB4"/>
    <w:rsid w:val="004A4B89"/>
    <w:rsid w:val="004B0426"/>
    <w:rsid w:val="004D59E8"/>
    <w:rsid w:val="004E0476"/>
    <w:rsid w:val="004F0571"/>
    <w:rsid w:val="004F1B99"/>
    <w:rsid w:val="004F5C0D"/>
    <w:rsid w:val="00501C01"/>
    <w:rsid w:val="005279CD"/>
    <w:rsid w:val="00531D65"/>
    <w:rsid w:val="00532466"/>
    <w:rsid w:val="00533031"/>
    <w:rsid w:val="00533F32"/>
    <w:rsid w:val="005345EF"/>
    <w:rsid w:val="005446E8"/>
    <w:rsid w:val="00546B73"/>
    <w:rsid w:val="005504AB"/>
    <w:rsid w:val="00554EA6"/>
    <w:rsid w:val="00566F1E"/>
    <w:rsid w:val="0056706B"/>
    <w:rsid w:val="005676B5"/>
    <w:rsid w:val="0057326D"/>
    <w:rsid w:val="00580CE6"/>
    <w:rsid w:val="00597987"/>
    <w:rsid w:val="005A47F3"/>
    <w:rsid w:val="005A6443"/>
    <w:rsid w:val="005B2E5E"/>
    <w:rsid w:val="005C4395"/>
    <w:rsid w:val="005C5091"/>
    <w:rsid w:val="005C5962"/>
    <w:rsid w:val="005D29D5"/>
    <w:rsid w:val="005D3688"/>
    <w:rsid w:val="005D4808"/>
    <w:rsid w:val="005E776F"/>
    <w:rsid w:val="005F3575"/>
    <w:rsid w:val="005F6B45"/>
    <w:rsid w:val="006012E8"/>
    <w:rsid w:val="00604D8B"/>
    <w:rsid w:val="00606382"/>
    <w:rsid w:val="00610698"/>
    <w:rsid w:val="00614505"/>
    <w:rsid w:val="0062448B"/>
    <w:rsid w:val="00631013"/>
    <w:rsid w:val="006360F8"/>
    <w:rsid w:val="00644730"/>
    <w:rsid w:val="006455CF"/>
    <w:rsid w:val="006513FC"/>
    <w:rsid w:val="006633BA"/>
    <w:rsid w:val="00671138"/>
    <w:rsid w:val="006852E9"/>
    <w:rsid w:val="00693681"/>
    <w:rsid w:val="00693FF3"/>
    <w:rsid w:val="006A0827"/>
    <w:rsid w:val="006A72C9"/>
    <w:rsid w:val="006A79D5"/>
    <w:rsid w:val="006C3518"/>
    <w:rsid w:val="006C3F74"/>
    <w:rsid w:val="006C5344"/>
    <w:rsid w:val="006D679A"/>
    <w:rsid w:val="006E4C10"/>
    <w:rsid w:val="006E600F"/>
    <w:rsid w:val="006E60F3"/>
    <w:rsid w:val="006E7E06"/>
    <w:rsid w:val="006F455C"/>
    <w:rsid w:val="006F491A"/>
    <w:rsid w:val="0070128F"/>
    <w:rsid w:val="00703F0E"/>
    <w:rsid w:val="007137B0"/>
    <w:rsid w:val="00716857"/>
    <w:rsid w:val="00720FD2"/>
    <w:rsid w:val="007235E6"/>
    <w:rsid w:val="00723AF4"/>
    <w:rsid w:val="0072671E"/>
    <w:rsid w:val="007309E1"/>
    <w:rsid w:val="00733C84"/>
    <w:rsid w:val="00736EA8"/>
    <w:rsid w:val="00737080"/>
    <w:rsid w:val="00743400"/>
    <w:rsid w:val="00743C82"/>
    <w:rsid w:val="00743E38"/>
    <w:rsid w:val="00744F09"/>
    <w:rsid w:val="00751F17"/>
    <w:rsid w:val="00755AA7"/>
    <w:rsid w:val="00761DBC"/>
    <w:rsid w:val="007633B6"/>
    <w:rsid w:val="007660C6"/>
    <w:rsid w:val="007675CF"/>
    <w:rsid w:val="00771189"/>
    <w:rsid w:val="00772DCB"/>
    <w:rsid w:val="007747CF"/>
    <w:rsid w:val="00775B26"/>
    <w:rsid w:val="00776297"/>
    <w:rsid w:val="007B25BC"/>
    <w:rsid w:val="007B288B"/>
    <w:rsid w:val="007B7317"/>
    <w:rsid w:val="007C06F6"/>
    <w:rsid w:val="007C30AE"/>
    <w:rsid w:val="007C5D4A"/>
    <w:rsid w:val="007D169A"/>
    <w:rsid w:val="007D179B"/>
    <w:rsid w:val="007F4D85"/>
    <w:rsid w:val="008001CC"/>
    <w:rsid w:val="00803EEB"/>
    <w:rsid w:val="008063D9"/>
    <w:rsid w:val="00806F8F"/>
    <w:rsid w:val="008154BE"/>
    <w:rsid w:val="00820F01"/>
    <w:rsid w:val="00833F73"/>
    <w:rsid w:val="00834021"/>
    <w:rsid w:val="008357FC"/>
    <w:rsid w:val="00836338"/>
    <w:rsid w:val="00837D47"/>
    <w:rsid w:val="00843DD2"/>
    <w:rsid w:val="00845455"/>
    <w:rsid w:val="0085477A"/>
    <w:rsid w:val="008555D9"/>
    <w:rsid w:val="00864077"/>
    <w:rsid w:val="00877035"/>
    <w:rsid w:val="00880557"/>
    <w:rsid w:val="00882AF6"/>
    <w:rsid w:val="00884DC8"/>
    <w:rsid w:val="008B4448"/>
    <w:rsid w:val="008B481F"/>
    <w:rsid w:val="008B7BCB"/>
    <w:rsid w:val="008C4932"/>
    <w:rsid w:val="008D3483"/>
    <w:rsid w:val="008E6074"/>
    <w:rsid w:val="008F7187"/>
    <w:rsid w:val="008F75CC"/>
    <w:rsid w:val="008F76ED"/>
    <w:rsid w:val="009007E7"/>
    <w:rsid w:val="00914648"/>
    <w:rsid w:val="009160EE"/>
    <w:rsid w:val="009167F7"/>
    <w:rsid w:val="0092472E"/>
    <w:rsid w:val="009261ED"/>
    <w:rsid w:val="00934A0E"/>
    <w:rsid w:val="0094487C"/>
    <w:rsid w:val="00945DF8"/>
    <w:rsid w:val="00952644"/>
    <w:rsid w:val="00965509"/>
    <w:rsid w:val="00970A51"/>
    <w:rsid w:val="0098010F"/>
    <w:rsid w:val="00983030"/>
    <w:rsid w:val="00986B33"/>
    <w:rsid w:val="00987AD5"/>
    <w:rsid w:val="00995259"/>
    <w:rsid w:val="009A0688"/>
    <w:rsid w:val="009A0D90"/>
    <w:rsid w:val="009A1B20"/>
    <w:rsid w:val="009A4695"/>
    <w:rsid w:val="009A5158"/>
    <w:rsid w:val="009A7C03"/>
    <w:rsid w:val="009B1E1E"/>
    <w:rsid w:val="009B2B4D"/>
    <w:rsid w:val="009B2C03"/>
    <w:rsid w:val="009B5AA0"/>
    <w:rsid w:val="009B5BF1"/>
    <w:rsid w:val="009B7138"/>
    <w:rsid w:val="009D46F5"/>
    <w:rsid w:val="009E39E6"/>
    <w:rsid w:val="009F560D"/>
    <w:rsid w:val="00A04DC3"/>
    <w:rsid w:val="00A15C7D"/>
    <w:rsid w:val="00A216AF"/>
    <w:rsid w:val="00A24F82"/>
    <w:rsid w:val="00A26704"/>
    <w:rsid w:val="00A365F9"/>
    <w:rsid w:val="00A60720"/>
    <w:rsid w:val="00A6188D"/>
    <w:rsid w:val="00A674E3"/>
    <w:rsid w:val="00A67F85"/>
    <w:rsid w:val="00A754CA"/>
    <w:rsid w:val="00A82A24"/>
    <w:rsid w:val="00AB0B03"/>
    <w:rsid w:val="00AB23EC"/>
    <w:rsid w:val="00AC2F72"/>
    <w:rsid w:val="00AC4810"/>
    <w:rsid w:val="00AC7C79"/>
    <w:rsid w:val="00AD7B12"/>
    <w:rsid w:val="00B00F4B"/>
    <w:rsid w:val="00B066E2"/>
    <w:rsid w:val="00B2048F"/>
    <w:rsid w:val="00B23E6C"/>
    <w:rsid w:val="00B323C9"/>
    <w:rsid w:val="00B32D90"/>
    <w:rsid w:val="00B35A6F"/>
    <w:rsid w:val="00B37373"/>
    <w:rsid w:val="00B5108A"/>
    <w:rsid w:val="00B52A46"/>
    <w:rsid w:val="00B54571"/>
    <w:rsid w:val="00B6024A"/>
    <w:rsid w:val="00B6580D"/>
    <w:rsid w:val="00B71CD6"/>
    <w:rsid w:val="00B7605E"/>
    <w:rsid w:val="00B82220"/>
    <w:rsid w:val="00B935B7"/>
    <w:rsid w:val="00BA058E"/>
    <w:rsid w:val="00BA2DAE"/>
    <w:rsid w:val="00BA4256"/>
    <w:rsid w:val="00BA58DA"/>
    <w:rsid w:val="00BA7737"/>
    <w:rsid w:val="00BB1F42"/>
    <w:rsid w:val="00BB215B"/>
    <w:rsid w:val="00BB5679"/>
    <w:rsid w:val="00BB59CE"/>
    <w:rsid w:val="00BC0E5E"/>
    <w:rsid w:val="00BC316F"/>
    <w:rsid w:val="00BC3A90"/>
    <w:rsid w:val="00BD06BB"/>
    <w:rsid w:val="00BD289F"/>
    <w:rsid w:val="00BD4BE9"/>
    <w:rsid w:val="00BD4D63"/>
    <w:rsid w:val="00BD5C25"/>
    <w:rsid w:val="00BD798F"/>
    <w:rsid w:val="00BE17F3"/>
    <w:rsid w:val="00BE246D"/>
    <w:rsid w:val="00BF17AA"/>
    <w:rsid w:val="00BF71B2"/>
    <w:rsid w:val="00BF7CE6"/>
    <w:rsid w:val="00C02E7E"/>
    <w:rsid w:val="00C034FE"/>
    <w:rsid w:val="00C03663"/>
    <w:rsid w:val="00C05109"/>
    <w:rsid w:val="00C14F33"/>
    <w:rsid w:val="00C15EBE"/>
    <w:rsid w:val="00C20C80"/>
    <w:rsid w:val="00C22525"/>
    <w:rsid w:val="00C23344"/>
    <w:rsid w:val="00C24556"/>
    <w:rsid w:val="00C24D72"/>
    <w:rsid w:val="00C251DF"/>
    <w:rsid w:val="00C43A9D"/>
    <w:rsid w:val="00C52C26"/>
    <w:rsid w:val="00C607DE"/>
    <w:rsid w:val="00C67037"/>
    <w:rsid w:val="00C75DE0"/>
    <w:rsid w:val="00C81F5D"/>
    <w:rsid w:val="00C868B5"/>
    <w:rsid w:val="00C9124E"/>
    <w:rsid w:val="00C920CF"/>
    <w:rsid w:val="00CA0F13"/>
    <w:rsid w:val="00CA538C"/>
    <w:rsid w:val="00CA69AA"/>
    <w:rsid w:val="00CB38D8"/>
    <w:rsid w:val="00CC307B"/>
    <w:rsid w:val="00CC6465"/>
    <w:rsid w:val="00CD3E0C"/>
    <w:rsid w:val="00CD6CF0"/>
    <w:rsid w:val="00CF2A39"/>
    <w:rsid w:val="00CF76A3"/>
    <w:rsid w:val="00D02B47"/>
    <w:rsid w:val="00D03EC3"/>
    <w:rsid w:val="00D2060F"/>
    <w:rsid w:val="00D20AC4"/>
    <w:rsid w:val="00D2129C"/>
    <w:rsid w:val="00D22720"/>
    <w:rsid w:val="00D24040"/>
    <w:rsid w:val="00D25EEC"/>
    <w:rsid w:val="00D343A1"/>
    <w:rsid w:val="00D53CEA"/>
    <w:rsid w:val="00D5654B"/>
    <w:rsid w:val="00D633AA"/>
    <w:rsid w:val="00D73E98"/>
    <w:rsid w:val="00D74BD2"/>
    <w:rsid w:val="00D753E6"/>
    <w:rsid w:val="00D7713C"/>
    <w:rsid w:val="00D82347"/>
    <w:rsid w:val="00D85FC2"/>
    <w:rsid w:val="00D861A7"/>
    <w:rsid w:val="00D90191"/>
    <w:rsid w:val="00D91F8E"/>
    <w:rsid w:val="00D93AAF"/>
    <w:rsid w:val="00D95548"/>
    <w:rsid w:val="00DA1058"/>
    <w:rsid w:val="00DC2EA7"/>
    <w:rsid w:val="00DE052D"/>
    <w:rsid w:val="00DE5B7D"/>
    <w:rsid w:val="00DE5C75"/>
    <w:rsid w:val="00DE76C1"/>
    <w:rsid w:val="00DF09EA"/>
    <w:rsid w:val="00DF365D"/>
    <w:rsid w:val="00E01A42"/>
    <w:rsid w:val="00E20F03"/>
    <w:rsid w:val="00E248B7"/>
    <w:rsid w:val="00E30522"/>
    <w:rsid w:val="00E306E2"/>
    <w:rsid w:val="00E32250"/>
    <w:rsid w:val="00E32A5D"/>
    <w:rsid w:val="00E3527B"/>
    <w:rsid w:val="00E44F12"/>
    <w:rsid w:val="00E46F27"/>
    <w:rsid w:val="00E50200"/>
    <w:rsid w:val="00E51637"/>
    <w:rsid w:val="00E65F64"/>
    <w:rsid w:val="00E66E15"/>
    <w:rsid w:val="00E803BD"/>
    <w:rsid w:val="00E84E16"/>
    <w:rsid w:val="00E87A72"/>
    <w:rsid w:val="00E95CFF"/>
    <w:rsid w:val="00E97819"/>
    <w:rsid w:val="00EA3FF3"/>
    <w:rsid w:val="00EB0ED1"/>
    <w:rsid w:val="00EB4AC1"/>
    <w:rsid w:val="00ED040D"/>
    <w:rsid w:val="00ED0AC4"/>
    <w:rsid w:val="00ED1E23"/>
    <w:rsid w:val="00ED6FA2"/>
    <w:rsid w:val="00EE22E6"/>
    <w:rsid w:val="00EE6B75"/>
    <w:rsid w:val="00EF0915"/>
    <w:rsid w:val="00EF4CFC"/>
    <w:rsid w:val="00EF6A60"/>
    <w:rsid w:val="00F02CFA"/>
    <w:rsid w:val="00F15B2F"/>
    <w:rsid w:val="00F20062"/>
    <w:rsid w:val="00F27F13"/>
    <w:rsid w:val="00F27FE8"/>
    <w:rsid w:val="00F33DF9"/>
    <w:rsid w:val="00F33E1C"/>
    <w:rsid w:val="00F345A3"/>
    <w:rsid w:val="00F37F24"/>
    <w:rsid w:val="00F476FE"/>
    <w:rsid w:val="00F51873"/>
    <w:rsid w:val="00F53F0E"/>
    <w:rsid w:val="00F60BEF"/>
    <w:rsid w:val="00F6293E"/>
    <w:rsid w:val="00F75DDD"/>
    <w:rsid w:val="00F8516A"/>
    <w:rsid w:val="00F866B8"/>
    <w:rsid w:val="00F87B8B"/>
    <w:rsid w:val="00FA2D51"/>
    <w:rsid w:val="00FB04FF"/>
    <w:rsid w:val="00FB05C1"/>
    <w:rsid w:val="00FB2F54"/>
    <w:rsid w:val="00FB7951"/>
    <w:rsid w:val="00FC40E6"/>
    <w:rsid w:val="00FC5128"/>
    <w:rsid w:val="00FD4A84"/>
    <w:rsid w:val="00FD52B8"/>
    <w:rsid w:val="00FE1EFB"/>
    <w:rsid w:val="00FE3102"/>
    <w:rsid w:val="00FE6920"/>
    <w:rsid w:val="00FF03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8177"/>
    <o:shapelayout v:ext="edit">
      <o:idmap v:ext="edit" data="1"/>
    </o:shapelayout>
  </w:shapeDefaults>
  <w:decimalSymbol w:val=","/>
  <w:listSeparator w:val=";"/>
  <w14:docId w14:val="7E319D7F"/>
  <w15:docId w15:val="{DB2FC673-B062-4818-BB4B-3D3A6978D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el-GR"/>
    </w:rPr>
  </w:style>
  <w:style w:type="paragraph" w:styleId="Heading1">
    <w:name w:val="heading 1"/>
    <w:basedOn w:val="Normal"/>
    <w:next w:val="Text1"/>
    <w:link w:val="Heading1Char"/>
    <w:uiPriority w:val="9"/>
    <w:qFormat/>
    <w:rsid w:val="00517205"/>
    <w:pPr>
      <w:keepNext/>
      <w:numPr>
        <w:numId w:val="1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517205"/>
    <w:pPr>
      <w:keepNext/>
      <w:numPr>
        <w:ilvl w:val="1"/>
        <w:numId w:val="1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517205"/>
    <w:pPr>
      <w:keepNext/>
      <w:numPr>
        <w:ilvl w:val="2"/>
        <w:numId w:val="19"/>
      </w:numPr>
      <w:outlineLvl w:val="2"/>
    </w:pPr>
    <w:rPr>
      <w:rFonts w:eastAsiaTheme="majorEastAsia"/>
      <w:bCs/>
      <w:i/>
    </w:rPr>
  </w:style>
  <w:style w:type="paragraph" w:styleId="Heading4">
    <w:name w:val="heading 4"/>
    <w:basedOn w:val="Normal"/>
    <w:next w:val="Text1"/>
    <w:link w:val="Heading4Char"/>
    <w:uiPriority w:val="9"/>
    <w:semiHidden/>
    <w:unhideWhenUsed/>
    <w:qFormat/>
    <w:rsid w:val="00517205"/>
    <w:pPr>
      <w:keepNext/>
      <w:numPr>
        <w:ilvl w:val="3"/>
        <w:numId w:val="19"/>
      </w:numPr>
      <w:outlineLvl w:val="3"/>
    </w:pPr>
    <w:rPr>
      <w:rFonts w:eastAsiaTheme="majorEastAsia"/>
      <w:bCs/>
      <w:iCs/>
    </w:rPr>
  </w:style>
  <w:style w:type="paragraph" w:styleId="Heading5">
    <w:name w:val="heading 5"/>
    <w:basedOn w:val="Normal"/>
    <w:next w:val="Text2"/>
    <w:link w:val="Heading5Char"/>
    <w:uiPriority w:val="9"/>
    <w:semiHidden/>
    <w:unhideWhenUsed/>
    <w:qFormat/>
    <w:rsid w:val="00517205"/>
    <w:pPr>
      <w:keepNext/>
      <w:numPr>
        <w:ilvl w:val="4"/>
        <w:numId w:val="19"/>
      </w:numPr>
      <w:outlineLvl w:val="4"/>
    </w:pPr>
    <w:rPr>
      <w:rFonts w:eastAsiaTheme="majorEastAsia"/>
    </w:rPr>
  </w:style>
  <w:style w:type="paragraph" w:styleId="Heading6">
    <w:name w:val="heading 6"/>
    <w:basedOn w:val="Normal"/>
    <w:next w:val="Text2"/>
    <w:link w:val="Heading6Char"/>
    <w:uiPriority w:val="9"/>
    <w:semiHidden/>
    <w:unhideWhenUsed/>
    <w:qFormat/>
    <w:rsid w:val="00517205"/>
    <w:pPr>
      <w:keepNext/>
      <w:numPr>
        <w:ilvl w:val="5"/>
        <w:numId w:val="19"/>
      </w:numPr>
      <w:outlineLvl w:val="5"/>
    </w:pPr>
    <w:rPr>
      <w:rFonts w:eastAsiaTheme="majorEastAsia"/>
      <w:iCs/>
    </w:rPr>
  </w:style>
  <w:style w:type="paragraph" w:styleId="Heading7">
    <w:name w:val="heading 7"/>
    <w:basedOn w:val="Normal"/>
    <w:next w:val="Text2"/>
    <w:link w:val="Heading7Char"/>
    <w:uiPriority w:val="9"/>
    <w:semiHidden/>
    <w:unhideWhenUsed/>
    <w:qFormat/>
    <w:rsid w:val="00517205"/>
    <w:pPr>
      <w:keepNext/>
      <w:numPr>
        <w:ilvl w:val="6"/>
        <w:numId w:val="19"/>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rsid w:val="00C05109"/>
    <w:pPr>
      <w:numPr>
        <w:numId w:val="1"/>
      </w:numPr>
      <w:contextualSpacing/>
    </w:pPr>
    <w:rPr>
      <w:rFonts w:eastAsia="Times New Roman"/>
      <w:szCs w:val="24"/>
    </w:rPr>
  </w:style>
  <w:style w:type="paragraph" w:styleId="ListBullet">
    <w:name w:val="List Bullet"/>
    <w:basedOn w:val="Normal"/>
    <w:uiPriority w:val="99"/>
    <w:semiHidden/>
    <w:unhideWhenUsed/>
    <w:rsid w:val="00EF0915"/>
    <w:pPr>
      <w:numPr>
        <w:numId w:val="2"/>
      </w:numPr>
      <w:contextualSpacing/>
    </w:pPr>
  </w:style>
  <w:style w:type="paragraph" w:styleId="ListBullet2">
    <w:name w:val="List Bullet 2"/>
    <w:basedOn w:val="Normal"/>
    <w:uiPriority w:val="99"/>
    <w:semiHidden/>
    <w:unhideWhenUsed/>
    <w:rsid w:val="00EF0915"/>
    <w:pPr>
      <w:numPr>
        <w:numId w:val="3"/>
      </w:numPr>
      <w:contextualSpacing/>
    </w:pPr>
  </w:style>
  <w:style w:type="paragraph" w:styleId="ListBullet3">
    <w:name w:val="List Bullet 3"/>
    <w:basedOn w:val="Normal"/>
    <w:uiPriority w:val="99"/>
    <w:semiHidden/>
    <w:unhideWhenUsed/>
    <w:rsid w:val="00EF0915"/>
    <w:pPr>
      <w:numPr>
        <w:numId w:val="4"/>
      </w:numPr>
      <w:contextualSpacing/>
    </w:pPr>
  </w:style>
  <w:style w:type="paragraph" w:styleId="ListBullet4">
    <w:name w:val="List Bullet 4"/>
    <w:basedOn w:val="Normal"/>
    <w:uiPriority w:val="99"/>
    <w:semiHidden/>
    <w:unhideWhenUsed/>
    <w:rsid w:val="00EF0915"/>
    <w:pPr>
      <w:numPr>
        <w:numId w:val="5"/>
      </w:numPr>
      <w:contextualSpacing/>
    </w:pPr>
  </w:style>
  <w:style w:type="character" w:styleId="Hyperlink">
    <w:name w:val="Hyperlink"/>
    <w:basedOn w:val="DefaultParagraphFont"/>
    <w:uiPriority w:val="99"/>
    <w:rsid w:val="00EF0915"/>
    <w:rPr>
      <w:color w:val="0000FF"/>
      <w:u w:val="none"/>
    </w:rPr>
  </w:style>
  <w:style w:type="paragraph" w:styleId="ListParagraph">
    <w:name w:val="List Paragraph"/>
    <w:basedOn w:val="Normal"/>
    <w:uiPriority w:val="34"/>
    <w:qFormat/>
    <w:rsid w:val="00387BF1"/>
    <w:pPr>
      <w:ind w:left="720"/>
      <w:contextualSpacing/>
    </w:pPr>
  </w:style>
  <w:style w:type="character" w:styleId="CommentReference">
    <w:name w:val="annotation reference"/>
    <w:basedOn w:val="DefaultParagraphFont"/>
    <w:uiPriority w:val="99"/>
    <w:semiHidden/>
    <w:unhideWhenUsed/>
    <w:rsid w:val="001D6F39"/>
    <w:rPr>
      <w:sz w:val="16"/>
      <w:szCs w:val="16"/>
    </w:rPr>
  </w:style>
  <w:style w:type="paragraph" w:styleId="CommentText">
    <w:name w:val="annotation text"/>
    <w:basedOn w:val="Normal"/>
    <w:link w:val="CommentTextChar"/>
    <w:uiPriority w:val="99"/>
    <w:semiHidden/>
    <w:unhideWhenUsed/>
    <w:rsid w:val="001D6F39"/>
    <w:rPr>
      <w:sz w:val="20"/>
      <w:szCs w:val="20"/>
    </w:rPr>
  </w:style>
  <w:style w:type="character" w:customStyle="1" w:styleId="CommentTextChar">
    <w:name w:val="Comment Text Char"/>
    <w:basedOn w:val="DefaultParagraphFont"/>
    <w:link w:val="CommentText"/>
    <w:uiPriority w:val="99"/>
    <w:semiHidden/>
    <w:rsid w:val="001D6F39"/>
    <w:rPr>
      <w:rFonts w:ascii="Times New Roman" w:hAnsi="Times New Roman" w:cs="Times New Roman"/>
      <w:sz w:val="20"/>
      <w:szCs w:val="20"/>
      <w:lang w:val="el-GR"/>
    </w:rPr>
  </w:style>
  <w:style w:type="paragraph" w:styleId="CommentSubject">
    <w:name w:val="annotation subject"/>
    <w:basedOn w:val="CommentText"/>
    <w:next w:val="CommentText"/>
    <w:link w:val="CommentSubjectChar"/>
    <w:uiPriority w:val="99"/>
    <w:semiHidden/>
    <w:unhideWhenUsed/>
    <w:rsid w:val="001D6F39"/>
    <w:rPr>
      <w:b/>
      <w:bCs/>
    </w:rPr>
  </w:style>
  <w:style w:type="character" w:customStyle="1" w:styleId="CommentSubjectChar">
    <w:name w:val="Comment Subject Char"/>
    <w:basedOn w:val="CommentTextChar"/>
    <w:link w:val="CommentSubject"/>
    <w:uiPriority w:val="99"/>
    <w:semiHidden/>
    <w:rsid w:val="001D6F39"/>
    <w:rPr>
      <w:rFonts w:ascii="Times New Roman" w:hAnsi="Times New Roman" w:cs="Times New Roman"/>
      <w:b/>
      <w:bCs/>
      <w:sz w:val="20"/>
      <w:szCs w:val="20"/>
      <w:lang w:val="el-GR"/>
    </w:rPr>
  </w:style>
  <w:style w:type="paragraph" w:styleId="BalloonText">
    <w:name w:val="Balloon Text"/>
    <w:basedOn w:val="Normal"/>
    <w:link w:val="BalloonTextChar"/>
    <w:uiPriority w:val="99"/>
    <w:semiHidden/>
    <w:unhideWhenUsed/>
    <w:rsid w:val="001D6F39"/>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F39"/>
    <w:rPr>
      <w:rFonts w:ascii="Segoe UI" w:hAnsi="Segoe UI" w:cs="Segoe UI"/>
      <w:sz w:val="18"/>
      <w:szCs w:val="18"/>
      <w:lang w:val="el-GR"/>
    </w:rPr>
  </w:style>
  <w:style w:type="paragraph" w:styleId="Revision">
    <w:name w:val="Revision"/>
    <w:hidden/>
    <w:uiPriority w:val="99"/>
    <w:semiHidden/>
    <w:rsid w:val="001D6F39"/>
    <w:pPr>
      <w:spacing w:after="0" w:line="240" w:lineRule="auto"/>
    </w:pPr>
    <w:rPr>
      <w:rFonts w:ascii="Times New Roman" w:hAnsi="Times New Roman" w:cs="Times New Roman"/>
      <w:sz w:val="24"/>
    </w:rPr>
  </w:style>
  <w:style w:type="paragraph" w:styleId="Caption">
    <w:name w:val="caption"/>
    <w:basedOn w:val="Normal"/>
    <w:next w:val="Normal"/>
    <w:uiPriority w:val="35"/>
    <w:semiHidden/>
    <w:unhideWhenUsed/>
    <w:qFormat/>
    <w:rsid w:val="00803EEB"/>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803EEB"/>
    <w:pPr>
      <w:spacing w:after="0"/>
    </w:pPr>
  </w:style>
  <w:style w:type="paragraph" w:styleId="ListNumber2">
    <w:name w:val="List Number 2"/>
    <w:basedOn w:val="Normal"/>
    <w:uiPriority w:val="99"/>
    <w:semiHidden/>
    <w:unhideWhenUsed/>
    <w:rsid w:val="00803EEB"/>
    <w:pPr>
      <w:numPr>
        <w:numId w:val="7"/>
      </w:numPr>
      <w:contextualSpacing/>
    </w:pPr>
  </w:style>
  <w:style w:type="paragraph" w:styleId="ListNumber3">
    <w:name w:val="List Number 3"/>
    <w:basedOn w:val="Normal"/>
    <w:uiPriority w:val="99"/>
    <w:semiHidden/>
    <w:unhideWhenUsed/>
    <w:rsid w:val="00803EEB"/>
    <w:pPr>
      <w:numPr>
        <w:numId w:val="8"/>
      </w:numPr>
      <w:contextualSpacing/>
    </w:pPr>
  </w:style>
  <w:style w:type="paragraph" w:styleId="ListNumber4">
    <w:name w:val="List Number 4"/>
    <w:basedOn w:val="Normal"/>
    <w:uiPriority w:val="99"/>
    <w:semiHidden/>
    <w:unhideWhenUsed/>
    <w:rsid w:val="00803EEB"/>
    <w:pPr>
      <w:numPr>
        <w:numId w:val="9"/>
      </w:numPr>
      <w:contextualSpacing/>
    </w:pPr>
  </w:style>
  <w:style w:type="paragraph" w:customStyle="1" w:styleId="PointDou">
    <w:name w:val="Point Dou"/>
    <w:basedOn w:val="Point1"/>
    <w:rsid w:val="00FE6920"/>
    <w:pPr>
      <w:numPr>
        <w:numId w:val="10"/>
      </w:numPr>
    </w:pPr>
  </w:style>
  <w:style w:type="paragraph" w:customStyle="1" w:styleId="NumPar10">
    <w:name w:val="NumPar1"/>
    <w:basedOn w:val="Point10"/>
    <w:rsid w:val="006A0827"/>
  </w:style>
  <w:style w:type="paragraph" w:customStyle="1" w:styleId="Point10">
    <w:name w:val="Point 1"/>
    <w:basedOn w:val="Normal"/>
    <w:rsid w:val="009B7138"/>
    <w:pPr>
      <w:ind w:left="1417" w:hanging="567"/>
    </w:pPr>
  </w:style>
  <w:style w:type="paragraph" w:styleId="ListNumber5">
    <w:name w:val="List Number 5"/>
    <w:basedOn w:val="Normal"/>
    <w:rsid w:val="009B5BF1"/>
    <w:pPr>
      <w:numPr>
        <w:numId w:val="11"/>
      </w:numPr>
      <w:spacing w:before="0" w:after="240"/>
    </w:pPr>
    <w:rPr>
      <w:rFonts w:eastAsia="Times New Roman"/>
      <w:szCs w:val="20"/>
    </w:rPr>
  </w:style>
  <w:style w:type="paragraph" w:customStyle="1" w:styleId="norm">
    <w:name w:val="norm"/>
    <w:basedOn w:val="Normal"/>
    <w:rsid w:val="00834021"/>
    <w:pPr>
      <w:spacing w:before="100" w:beforeAutospacing="1" w:after="100" w:afterAutospacing="1"/>
      <w:jc w:val="left"/>
    </w:pPr>
    <w:rPr>
      <w:rFonts w:eastAsia="Times New Roman"/>
      <w:szCs w:val="24"/>
      <w:lang w:eastAsia="fr-BE"/>
    </w:rPr>
  </w:style>
  <w:style w:type="character" w:customStyle="1" w:styleId="normaltextrun">
    <w:name w:val="normaltextrun"/>
    <w:basedOn w:val="DefaultParagraphFont"/>
    <w:rsid w:val="00180A74"/>
  </w:style>
  <w:style w:type="paragraph" w:customStyle="1" w:styleId="oj-ti-art">
    <w:name w:val="oj-ti-art"/>
    <w:basedOn w:val="Normal"/>
    <w:rsid w:val="004E0476"/>
    <w:pPr>
      <w:spacing w:before="100" w:beforeAutospacing="1" w:after="100" w:afterAutospacing="1"/>
      <w:jc w:val="left"/>
    </w:pPr>
    <w:rPr>
      <w:rFonts w:eastAsia="Times New Roman"/>
      <w:szCs w:val="24"/>
    </w:rPr>
  </w:style>
  <w:style w:type="paragraph" w:customStyle="1" w:styleId="oj-normal">
    <w:name w:val="oj-normal"/>
    <w:basedOn w:val="Normal"/>
    <w:rsid w:val="004E0476"/>
    <w:pPr>
      <w:spacing w:before="100" w:beforeAutospacing="1" w:after="100" w:afterAutospacing="1"/>
      <w:jc w:val="left"/>
    </w:pPr>
    <w:rPr>
      <w:rFonts w:eastAsia="Times New Roman"/>
      <w:szCs w:val="24"/>
    </w:rPr>
  </w:style>
  <w:style w:type="paragraph" w:styleId="Header">
    <w:name w:val="header"/>
    <w:basedOn w:val="Normal"/>
    <w:link w:val="HeaderChar"/>
    <w:uiPriority w:val="99"/>
    <w:unhideWhenUsed/>
    <w:rsid w:val="009A7C03"/>
    <w:pPr>
      <w:tabs>
        <w:tab w:val="center" w:pos="4535"/>
        <w:tab w:val="right" w:pos="9071"/>
      </w:tabs>
      <w:spacing w:before="0"/>
    </w:pPr>
  </w:style>
  <w:style w:type="character" w:customStyle="1" w:styleId="HeaderChar">
    <w:name w:val="Header Char"/>
    <w:basedOn w:val="DefaultParagraphFont"/>
    <w:link w:val="Header"/>
    <w:uiPriority w:val="99"/>
    <w:rsid w:val="009A7C03"/>
    <w:rPr>
      <w:rFonts w:ascii="Times New Roman" w:hAnsi="Times New Roman" w:cs="Times New Roman"/>
      <w:sz w:val="24"/>
      <w:lang w:val="el-GR"/>
    </w:rPr>
  </w:style>
  <w:style w:type="paragraph" w:styleId="Footer">
    <w:name w:val="footer"/>
    <w:basedOn w:val="Normal"/>
    <w:link w:val="FooterChar"/>
    <w:uiPriority w:val="99"/>
    <w:unhideWhenUsed/>
    <w:rsid w:val="009A7C03"/>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9A7C03"/>
    <w:rPr>
      <w:rFonts w:ascii="Times New Roman" w:hAnsi="Times New Roman" w:cs="Times New Roman"/>
      <w:sz w:val="24"/>
      <w:lang w:val="el-GR"/>
    </w:rPr>
  </w:style>
  <w:style w:type="paragraph" w:styleId="FootnoteText">
    <w:name w:val="footnote text"/>
    <w:basedOn w:val="Normal"/>
    <w:link w:val="FootnoteTextChar"/>
    <w:uiPriority w:val="99"/>
    <w:semiHidden/>
    <w:unhideWhenUsed/>
    <w:rsid w:val="00517205"/>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517205"/>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517205"/>
    <w:rPr>
      <w:rFonts w:ascii="Times New Roman" w:eastAsiaTheme="majorEastAsia" w:hAnsi="Times New Roman" w:cs="Times New Roman"/>
      <w:b/>
      <w:bCs/>
      <w:smallCaps/>
      <w:sz w:val="24"/>
      <w:szCs w:val="28"/>
      <w:lang w:val="el-GR"/>
    </w:rPr>
  </w:style>
  <w:style w:type="character" w:customStyle="1" w:styleId="Heading2Char">
    <w:name w:val="Heading 2 Char"/>
    <w:basedOn w:val="DefaultParagraphFont"/>
    <w:link w:val="Heading2"/>
    <w:uiPriority w:val="9"/>
    <w:semiHidden/>
    <w:rsid w:val="00517205"/>
    <w:rPr>
      <w:rFonts w:ascii="Times New Roman" w:eastAsiaTheme="majorEastAsia" w:hAnsi="Times New Roman" w:cs="Times New Roman"/>
      <w:b/>
      <w:bCs/>
      <w:sz w:val="24"/>
      <w:szCs w:val="26"/>
      <w:lang w:val="el-GR"/>
    </w:rPr>
  </w:style>
  <w:style w:type="character" w:customStyle="1" w:styleId="Heading3Char">
    <w:name w:val="Heading 3 Char"/>
    <w:basedOn w:val="DefaultParagraphFont"/>
    <w:link w:val="Heading3"/>
    <w:uiPriority w:val="9"/>
    <w:semiHidden/>
    <w:rsid w:val="00517205"/>
    <w:rPr>
      <w:rFonts w:ascii="Times New Roman" w:eastAsiaTheme="majorEastAsia" w:hAnsi="Times New Roman" w:cs="Times New Roman"/>
      <w:bCs/>
      <w:i/>
      <w:sz w:val="24"/>
      <w:lang w:val="el-GR"/>
    </w:rPr>
  </w:style>
  <w:style w:type="character" w:customStyle="1" w:styleId="Heading4Char">
    <w:name w:val="Heading 4 Char"/>
    <w:basedOn w:val="DefaultParagraphFont"/>
    <w:link w:val="Heading4"/>
    <w:uiPriority w:val="9"/>
    <w:semiHidden/>
    <w:rsid w:val="00517205"/>
    <w:rPr>
      <w:rFonts w:ascii="Times New Roman" w:eastAsiaTheme="majorEastAsia" w:hAnsi="Times New Roman" w:cs="Times New Roman"/>
      <w:bCs/>
      <w:iCs/>
      <w:sz w:val="24"/>
      <w:lang w:val="el-GR"/>
    </w:rPr>
  </w:style>
  <w:style w:type="character" w:customStyle="1" w:styleId="Heading5Char">
    <w:name w:val="Heading 5 Char"/>
    <w:basedOn w:val="DefaultParagraphFont"/>
    <w:link w:val="Heading5"/>
    <w:uiPriority w:val="9"/>
    <w:semiHidden/>
    <w:rsid w:val="00517205"/>
    <w:rPr>
      <w:rFonts w:ascii="Times New Roman" w:eastAsiaTheme="majorEastAsia" w:hAnsi="Times New Roman" w:cs="Times New Roman"/>
      <w:sz w:val="24"/>
      <w:lang w:val="el-GR"/>
    </w:rPr>
  </w:style>
  <w:style w:type="character" w:customStyle="1" w:styleId="Heading6Char">
    <w:name w:val="Heading 6 Char"/>
    <w:basedOn w:val="DefaultParagraphFont"/>
    <w:link w:val="Heading6"/>
    <w:uiPriority w:val="9"/>
    <w:semiHidden/>
    <w:rsid w:val="00517205"/>
    <w:rPr>
      <w:rFonts w:ascii="Times New Roman" w:eastAsiaTheme="majorEastAsia" w:hAnsi="Times New Roman" w:cs="Times New Roman"/>
      <w:iCs/>
      <w:sz w:val="24"/>
      <w:lang w:val="el-GR"/>
    </w:rPr>
  </w:style>
  <w:style w:type="character" w:customStyle="1" w:styleId="Heading7Char">
    <w:name w:val="Heading 7 Char"/>
    <w:basedOn w:val="DefaultParagraphFont"/>
    <w:link w:val="Heading7"/>
    <w:uiPriority w:val="9"/>
    <w:semiHidden/>
    <w:rsid w:val="00517205"/>
    <w:rPr>
      <w:rFonts w:ascii="Times New Roman" w:eastAsiaTheme="majorEastAsia" w:hAnsi="Times New Roman" w:cs="Times New Roman"/>
      <w:iCs/>
      <w:sz w:val="24"/>
      <w:lang w:val="el-GR"/>
    </w:rPr>
  </w:style>
  <w:style w:type="paragraph" w:styleId="TOCHeading">
    <w:name w:val="TOC Heading"/>
    <w:basedOn w:val="Normal"/>
    <w:next w:val="Normal"/>
    <w:uiPriority w:val="39"/>
    <w:semiHidden/>
    <w:unhideWhenUsed/>
    <w:qFormat/>
    <w:rsid w:val="00517205"/>
    <w:pPr>
      <w:spacing w:after="240"/>
      <w:jc w:val="center"/>
    </w:pPr>
    <w:rPr>
      <w:b/>
      <w:sz w:val="28"/>
    </w:rPr>
  </w:style>
  <w:style w:type="paragraph" w:styleId="TOC1">
    <w:name w:val="toc 1"/>
    <w:basedOn w:val="Normal"/>
    <w:next w:val="Normal"/>
    <w:uiPriority w:val="39"/>
    <w:semiHidden/>
    <w:unhideWhenUsed/>
    <w:rsid w:val="00517205"/>
    <w:pPr>
      <w:tabs>
        <w:tab w:val="right" w:leader="dot" w:pos="9071"/>
      </w:tabs>
      <w:spacing w:before="60"/>
      <w:ind w:left="850" w:hanging="850"/>
      <w:jc w:val="left"/>
    </w:pPr>
  </w:style>
  <w:style w:type="paragraph" w:styleId="TOC2">
    <w:name w:val="toc 2"/>
    <w:basedOn w:val="Normal"/>
    <w:next w:val="Normal"/>
    <w:uiPriority w:val="39"/>
    <w:semiHidden/>
    <w:unhideWhenUsed/>
    <w:rsid w:val="00517205"/>
    <w:pPr>
      <w:tabs>
        <w:tab w:val="right" w:leader="dot" w:pos="9071"/>
      </w:tabs>
      <w:spacing w:before="60"/>
      <w:ind w:left="850" w:hanging="850"/>
      <w:jc w:val="left"/>
    </w:pPr>
  </w:style>
  <w:style w:type="paragraph" w:styleId="TOC3">
    <w:name w:val="toc 3"/>
    <w:basedOn w:val="Normal"/>
    <w:next w:val="Normal"/>
    <w:uiPriority w:val="39"/>
    <w:semiHidden/>
    <w:unhideWhenUsed/>
    <w:rsid w:val="00517205"/>
    <w:pPr>
      <w:tabs>
        <w:tab w:val="right" w:leader="dot" w:pos="9071"/>
      </w:tabs>
      <w:spacing w:before="60"/>
      <w:ind w:left="850" w:hanging="850"/>
      <w:jc w:val="left"/>
    </w:pPr>
  </w:style>
  <w:style w:type="paragraph" w:styleId="TOC4">
    <w:name w:val="toc 4"/>
    <w:basedOn w:val="Normal"/>
    <w:next w:val="Normal"/>
    <w:uiPriority w:val="39"/>
    <w:semiHidden/>
    <w:unhideWhenUsed/>
    <w:rsid w:val="00517205"/>
    <w:pPr>
      <w:tabs>
        <w:tab w:val="right" w:leader="dot" w:pos="9071"/>
      </w:tabs>
      <w:spacing w:before="60"/>
      <w:ind w:left="850" w:hanging="850"/>
      <w:jc w:val="left"/>
    </w:pPr>
  </w:style>
  <w:style w:type="paragraph" w:styleId="TOC5">
    <w:name w:val="toc 5"/>
    <w:basedOn w:val="Normal"/>
    <w:next w:val="Normal"/>
    <w:uiPriority w:val="39"/>
    <w:semiHidden/>
    <w:unhideWhenUsed/>
    <w:rsid w:val="00517205"/>
    <w:pPr>
      <w:tabs>
        <w:tab w:val="right" w:leader="dot" w:pos="9071"/>
      </w:tabs>
      <w:spacing w:before="300"/>
      <w:jc w:val="left"/>
    </w:pPr>
  </w:style>
  <w:style w:type="paragraph" w:styleId="TOC6">
    <w:name w:val="toc 6"/>
    <w:basedOn w:val="Normal"/>
    <w:next w:val="Normal"/>
    <w:uiPriority w:val="39"/>
    <w:semiHidden/>
    <w:unhideWhenUsed/>
    <w:rsid w:val="00517205"/>
    <w:pPr>
      <w:tabs>
        <w:tab w:val="right" w:leader="dot" w:pos="9071"/>
      </w:tabs>
      <w:spacing w:before="240"/>
      <w:jc w:val="left"/>
    </w:pPr>
  </w:style>
  <w:style w:type="paragraph" w:styleId="TOC7">
    <w:name w:val="toc 7"/>
    <w:basedOn w:val="Normal"/>
    <w:next w:val="Normal"/>
    <w:uiPriority w:val="39"/>
    <w:semiHidden/>
    <w:unhideWhenUsed/>
    <w:rsid w:val="00517205"/>
    <w:pPr>
      <w:tabs>
        <w:tab w:val="right" w:leader="dot" w:pos="9071"/>
      </w:tabs>
      <w:spacing w:before="180"/>
      <w:jc w:val="left"/>
    </w:pPr>
  </w:style>
  <w:style w:type="paragraph" w:styleId="TOC8">
    <w:name w:val="toc 8"/>
    <w:basedOn w:val="Normal"/>
    <w:next w:val="Normal"/>
    <w:uiPriority w:val="39"/>
    <w:semiHidden/>
    <w:unhideWhenUsed/>
    <w:rsid w:val="00517205"/>
    <w:pPr>
      <w:tabs>
        <w:tab w:val="right" w:leader="dot" w:pos="9071"/>
      </w:tabs>
      <w:jc w:val="left"/>
    </w:pPr>
  </w:style>
  <w:style w:type="paragraph" w:styleId="TOC9">
    <w:name w:val="toc 9"/>
    <w:basedOn w:val="Normal"/>
    <w:next w:val="Normal"/>
    <w:uiPriority w:val="39"/>
    <w:semiHidden/>
    <w:unhideWhenUsed/>
    <w:rsid w:val="00517205"/>
    <w:pPr>
      <w:tabs>
        <w:tab w:val="right" w:leader="dot" w:pos="9071"/>
      </w:tabs>
      <w:ind w:left="1417" w:hanging="1417"/>
      <w:jc w:val="left"/>
    </w:pPr>
  </w:style>
  <w:style w:type="paragraph" w:customStyle="1" w:styleId="HeaderLandscape">
    <w:name w:val="HeaderLandscape"/>
    <w:basedOn w:val="Normal"/>
    <w:rsid w:val="009A7C03"/>
    <w:pPr>
      <w:tabs>
        <w:tab w:val="center" w:pos="7285"/>
        <w:tab w:val="right" w:pos="14003"/>
      </w:tabs>
      <w:spacing w:before="0"/>
    </w:pPr>
  </w:style>
  <w:style w:type="paragraph" w:customStyle="1" w:styleId="FooterLandscape">
    <w:name w:val="FooterLandscape"/>
    <w:basedOn w:val="Normal"/>
    <w:rsid w:val="009A7C03"/>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517205"/>
    <w:rPr>
      <w:shd w:val="clear" w:color="auto" w:fill="auto"/>
      <w:vertAlign w:val="superscript"/>
    </w:rPr>
  </w:style>
  <w:style w:type="paragraph" w:customStyle="1" w:styleId="HeaderSensitivity">
    <w:name w:val="Header Sensitivity"/>
    <w:basedOn w:val="Normal"/>
    <w:rsid w:val="009A7C03"/>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9A7C03"/>
    <w:pPr>
      <w:spacing w:before="0"/>
      <w:jc w:val="right"/>
    </w:pPr>
    <w:rPr>
      <w:sz w:val="28"/>
    </w:rPr>
  </w:style>
  <w:style w:type="paragraph" w:customStyle="1" w:styleId="FooterSensitivity">
    <w:name w:val="Footer Sensitivity"/>
    <w:basedOn w:val="Normal"/>
    <w:rsid w:val="009A7C03"/>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517205"/>
    <w:pPr>
      <w:ind w:left="850"/>
    </w:pPr>
  </w:style>
  <w:style w:type="paragraph" w:customStyle="1" w:styleId="Text2">
    <w:name w:val="Text 2"/>
    <w:basedOn w:val="Normal"/>
    <w:rsid w:val="00517205"/>
    <w:pPr>
      <w:ind w:left="1417"/>
    </w:pPr>
  </w:style>
  <w:style w:type="paragraph" w:customStyle="1" w:styleId="Text3">
    <w:name w:val="Text 3"/>
    <w:basedOn w:val="Normal"/>
    <w:rsid w:val="00517205"/>
    <w:pPr>
      <w:ind w:left="1984"/>
    </w:pPr>
  </w:style>
  <w:style w:type="paragraph" w:customStyle="1" w:styleId="Text4">
    <w:name w:val="Text 4"/>
    <w:basedOn w:val="Normal"/>
    <w:rsid w:val="00517205"/>
    <w:pPr>
      <w:ind w:left="2551"/>
    </w:pPr>
  </w:style>
  <w:style w:type="paragraph" w:customStyle="1" w:styleId="Text5">
    <w:name w:val="Text 5"/>
    <w:basedOn w:val="Normal"/>
    <w:rsid w:val="00517205"/>
    <w:pPr>
      <w:ind w:left="3118"/>
    </w:pPr>
  </w:style>
  <w:style w:type="paragraph" w:customStyle="1" w:styleId="Text6">
    <w:name w:val="Text 6"/>
    <w:basedOn w:val="Normal"/>
    <w:rsid w:val="00517205"/>
    <w:pPr>
      <w:ind w:left="3685"/>
    </w:pPr>
  </w:style>
  <w:style w:type="paragraph" w:customStyle="1" w:styleId="NormalCentered">
    <w:name w:val="Normal Centered"/>
    <w:basedOn w:val="Normal"/>
    <w:rsid w:val="00517205"/>
    <w:pPr>
      <w:jc w:val="center"/>
    </w:pPr>
  </w:style>
  <w:style w:type="paragraph" w:customStyle="1" w:styleId="NormalLeft">
    <w:name w:val="Normal Left"/>
    <w:basedOn w:val="Normal"/>
    <w:rsid w:val="00517205"/>
    <w:pPr>
      <w:jc w:val="left"/>
    </w:pPr>
  </w:style>
  <w:style w:type="paragraph" w:customStyle="1" w:styleId="NormalRight">
    <w:name w:val="Normal Right"/>
    <w:basedOn w:val="Normal"/>
    <w:rsid w:val="00517205"/>
    <w:pPr>
      <w:jc w:val="right"/>
    </w:pPr>
  </w:style>
  <w:style w:type="paragraph" w:customStyle="1" w:styleId="QuotedText">
    <w:name w:val="Quoted Text"/>
    <w:basedOn w:val="Normal"/>
    <w:rsid w:val="00517205"/>
    <w:pPr>
      <w:ind w:left="1417"/>
    </w:pPr>
  </w:style>
  <w:style w:type="paragraph" w:customStyle="1" w:styleId="Point0">
    <w:name w:val="Point 0"/>
    <w:basedOn w:val="Normal"/>
    <w:rsid w:val="00517205"/>
    <w:pPr>
      <w:ind w:left="850" w:hanging="850"/>
    </w:pPr>
  </w:style>
  <w:style w:type="paragraph" w:customStyle="1" w:styleId="Point1">
    <w:name w:val="Point 1"/>
    <w:basedOn w:val="Normal"/>
    <w:rsid w:val="00517205"/>
    <w:pPr>
      <w:ind w:left="1417" w:hanging="567"/>
    </w:pPr>
  </w:style>
  <w:style w:type="paragraph" w:customStyle="1" w:styleId="Point2">
    <w:name w:val="Point 2"/>
    <w:basedOn w:val="Normal"/>
    <w:rsid w:val="00517205"/>
    <w:pPr>
      <w:ind w:left="1984" w:hanging="567"/>
    </w:pPr>
  </w:style>
  <w:style w:type="paragraph" w:customStyle="1" w:styleId="Point3">
    <w:name w:val="Point 3"/>
    <w:basedOn w:val="Normal"/>
    <w:rsid w:val="00517205"/>
    <w:pPr>
      <w:ind w:left="2551" w:hanging="567"/>
    </w:pPr>
  </w:style>
  <w:style w:type="paragraph" w:customStyle="1" w:styleId="Point4">
    <w:name w:val="Point 4"/>
    <w:basedOn w:val="Normal"/>
    <w:rsid w:val="00517205"/>
    <w:pPr>
      <w:ind w:left="3118" w:hanging="567"/>
    </w:pPr>
  </w:style>
  <w:style w:type="paragraph" w:customStyle="1" w:styleId="Point5">
    <w:name w:val="Point 5"/>
    <w:basedOn w:val="Normal"/>
    <w:rsid w:val="00517205"/>
    <w:pPr>
      <w:ind w:left="3685" w:hanging="567"/>
    </w:pPr>
  </w:style>
  <w:style w:type="paragraph" w:customStyle="1" w:styleId="Tiret0">
    <w:name w:val="Tiret 0"/>
    <w:basedOn w:val="Point0"/>
    <w:rsid w:val="00517205"/>
    <w:pPr>
      <w:numPr>
        <w:numId w:val="12"/>
      </w:numPr>
    </w:pPr>
  </w:style>
  <w:style w:type="paragraph" w:customStyle="1" w:styleId="Tiret1">
    <w:name w:val="Tiret 1"/>
    <w:basedOn w:val="Point1"/>
    <w:rsid w:val="00517205"/>
    <w:pPr>
      <w:numPr>
        <w:numId w:val="13"/>
      </w:numPr>
    </w:pPr>
  </w:style>
  <w:style w:type="paragraph" w:customStyle="1" w:styleId="Tiret2">
    <w:name w:val="Tiret 2"/>
    <w:basedOn w:val="Point2"/>
    <w:rsid w:val="00517205"/>
    <w:pPr>
      <w:numPr>
        <w:numId w:val="14"/>
      </w:numPr>
    </w:pPr>
  </w:style>
  <w:style w:type="paragraph" w:customStyle="1" w:styleId="Tiret3">
    <w:name w:val="Tiret 3"/>
    <w:basedOn w:val="Point3"/>
    <w:rsid w:val="00517205"/>
    <w:pPr>
      <w:numPr>
        <w:numId w:val="15"/>
      </w:numPr>
    </w:pPr>
  </w:style>
  <w:style w:type="paragraph" w:customStyle="1" w:styleId="Tiret4">
    <w:name w:val="Tiret 4"/>
    <w:basedOn w:val="Point4"/>
    <w:rsid w:val="00517205"/>
    <w:pPr>
      <w:numPr>
        <w:numId w:val="16"/>
      </w:numPr>
    </w:pPr>
  </w:style>
  <w:style w:type="paragraph" w:customStyle="1" w:styleId="Tiret5">
    <w:name w:val="Tiret 5"/>
    <w:basedOn w:val="Point5"/>
    <w:rsid w:val="00517205"/>
    <w:pPr>
      <w:numPr>
        <w:numId w:val="17"/>
      </w:numPr>
    </w:pPr>
  </w:style>
  <w:style w:type="paragraph" w:customStyle="1" w:styleId="PointDouble0">
    <w:name w:val="PointDouble 0"/>
    <w:basedOn w:val="Normal"/>
    <w:rsid w:val="00517205"/>
    <w:pPr>
      <w:tabs>
        <w:tab w:val="left" w:pos="850"/>
      </w:tabs>
      <w:ind w:left="1417" w:hanging="1417"/>
    </w:pPr>
  </w:style>
  <w:style w:type="paragraph" w:customStyle="1" w:styleId="PointDouble1">
    <w:name w:val="PointDouble 1"/>
    <w:basedOn w:val="Normal"/>
    <w:rsid w:val="00517205"/>
    <w:pPr>
      <w:tabs>
        <w:tab w:val="left" w:pos="1417"/>
      </w:tabs>
      <w:ind w:left="1984" w:hanging="1134"/>
    </w:pPr>
  </w:style>
  <w:style w:type="paragraph" w:customStyle="1" w:styleId="PointDouble2">
    <w:name w:val="PointDouble 2"/>
    <w:basedOn w:val="Normal"/>
    <w:rsid w:val="00517205"/>
    <w:pPr>
      <w:tabs>
        <w:tab w:val="left" w:pos="1984"/>
      </w:tabs>
      <w:ind w:left="2551" w:hanging="1134"/>
    </w:pPr>
  </w:style>
  <w:style w:type="paragraph" w:customStyle="1" w:styleId="PointDouble3">
    <w:name w:val="PointDouble 3"/>
    <w:basedOn w:val="Normal"/>
    <w:rsid w:val="00517205"/>
    <w:pPr>
      <w:tabs>
        <w:tab w:val="left" w:pos="2551"/>
      </w:tabs>
      <w:ind w:left="3118" w:hanging="1134"/>
    </w:pPr>
  </w:style>
  <w:style w:type="paragraph" w:customStyle="1" w:styleId="PointDouble4">
    <w:name w:val="PointDouble 4"/>
    <w:basedOn w:val="Normal"/>
    <w:rsid w:val="00517205"/>
    <w:pPr>
      <w:tabs>
        <w:tab w:val="left" w:pos="3118"/>
      </w:tabs>
      <w:ind w:left="3685" w:hanging="1134"/>
    </w:pPr>
  </w:style>
  <w:style w:type="paragraph" w:customStyle="1" w:styleId="PointTriple0">
    <w:name w:val="PointTriple 0"/>
    <w:basedOn w:val="Normal"/>
    <w:rsid w:val="00517205"/>
    <w:pPr>
      <w:tabs>
        <w:tab w:val="left" w:pos="850"/>
        <w:tab w:val="left" w:pos="1417"/>
      </w:tabs>
      <w:ind w:left="1984" w:hanging="1984"/>
    </w:pPr>
  </w:style>
  <w:style w:type="paragraph" w:customStyle="1" w:styleId="PointTriple1">
    <w:name w:val="PointTriple 1"/>
    <w:basedOn w:val="Normal"/>
    <w:rsid w:val="00517205"/>
    <w:pPr>
      <w:tabs>
        <w:tab w:val="left" w:pos="1417"/>
        <w:tab w:val="left" w:pos="1984"/>
      </w:tabs>
      <w:ind w:left="2551" w:hanging="1701"/>
    </w:pPr>
  </w:style>
  <w:style w:type="paragraph" w:customStyle="1" w:styleId="PointTriple2">
    <w:name w:val="PointTriple 2"/>
    <w:basedOn w:val="Normal"/>
    <w:rsid w:val="00517205"/>
    <w:pPr>
      <w:tabs>
        <w:tab w:val="left" w:pos="1984"/>
        <w:tab w:val="left" w:pos="2551"/>
      </w:tabs>
      <w:ind w:left="3118" w:hanging="1701"/>
    </w:pPr>
  </w:style>
  <w:style w:type="paragraph" w:customStyle="1" w:styleId="PointTriple3">
    <w:name w:val="PointTriple 3"/>
    <w:basedOn w:val="Normal"/>
    <w:rsid w:val="00517205"/>
    <w:pPr>
      <w:tabs>
        <w:tab w:val="left" w:pos="2551"/>
        <w:tab w:val="left" w:pos="3118"/>
      </w:tabs>
      <w:ind w:left="3685" w:hanging="1701"/>
    </w:pPr>
  </w:style>
  <w:style w:type="paragraph" w:customStyle="1" w:styleId="PointTriple4">
    <w:name w:val="PointTriple 4"/>
    <w:basedOn w:val="Normal"/>
    <w:rsid w:val="00517205"/>
    <w:pPr>
      <w:tabs>
        <w:tab w:val="left" w:pos="3118"/>
        <w:tab w:val="left" w:pos="3685"/>
      </w:tabs>
      <w:ind w:left="4252" w:hanging="1701"/>
    </w:pPr>
  </w:style>
  <w:style w:type="paragraph" w:customStyle="1" w:styleId="NumPar1">
    <w:name w:val="NumPar 1"/>
    <w:basedOn w:val="Normal"/>
    <w:next w:val="Text1"/>
    <w:rsid w:val="00517205"/>
    <w:pPr>
      <w:numPr>
        <w:numId w:val="18"/>
      </w:numPr>
    </w:pPr>
  </w:style>
  <w:style w:type="paragraph" w:customStyle="1" w:styleId="NumPar2">
    <w:name w:val="NumPar 2"/>
    <w:basedOn w:val="Normal"/>
    <w:next w:val="Text1"/>
    <w:rsid w:val="00517205"/>
    <w:pPr>
      <w:numPr>
        <w:ilvl w:val="1"/>
        <w:numId w:val="18"/>
      </w:numPr>
    </w:pPr>
  </w:style>
  <w:style w:type="paragraph" w:customStyle="1" w:styleId="NumPar3">
    <w:name w:val="NumPar 3"/>
    <w:basedOn w:val="Normal"/>
    <w:next w:val="Text1"/>
    <w:rsid w:val="00517205"/>
    <w:pPr>
      <w:numPr>
        <w:ilvl w:val="2"/>
        <w:numId w:val="18"/>
      </w:numPr>
    </w:pPr>
  </w:style>
  <w:style w:type="paragraph" w:customStyle="1" w:styleId="NumPar4">
    <w:name w:val="NumPar 4"/>
    <w:basedOn w:val="Normal"/>
    <w:next w:val="Text1"/>
    <w:rsid w:val="00517205"/>
    <w:pPr>
      <w:numPr>
        <w:ilvl w:val="3"/>
        <w:numId w:val="18"/>
      </w:numPr>
    </w:pPr>
  </w:style>
  <w:style w:type="paragraph" w:customStyle="1" w:styleId="NumPar5">
    <w:name w:val="NumPar 5"/>
    <w:basedOn w:val="Normal"/>
    <w:next w:val="Text2"/>
    <w:rsid w:val="00517205"/>
    <w:pPr>
      <w:numPr>
        <w:ilvl w:val="4"/>
        <w:numId w:val="18"/>
      </w:numPr>
    </w:pPr>
  </w:style>
  <w:style w:type="paragraph" w:customStyle="1" w:styleId="NumPar6">
    <w:name w:val="NumPar 6"/>
    <w:basedOn w:val="Normal"/>
    <w:next w:val="Text2"/>
    <w:rsid w:val="00517205"/>
    <w:pPr>
      <w:numPr>
        <w:ilvl w:val="5"/>
        <w:numId w:val="18"/>
      </w:numPr>
    </w:pPr>
  </w:style>
  <w:style w:type="paragraph" w:customStyle="1" w:styleId="NumPar7">
    <w:name w:val="NumPar 7"/>
    <w:basedOn w:val="Normal"/>
    <w:next w:val="Text2"/>
    <w:rsid w:val="00517205"/>
    <w:pPr>
      <w:numPr>
        <w:ilvl w:val="6"/>
        <w:numId w:val="18"/>
      </w:numPr>
    </w:pPr>
  </w:style>
  <w:style w:type="paragraph" w:customStyle="1" w:styleId="ManualNumPar1">
    <w:name w:val="Manual NumPar 1"/>
    <w:basedOn w:val="Normal"/>
    <w:next w:val="Text1"/>
    <w:rsid w:val="00517205"/>
    <w:pPr>
      <w:ind w:left="850" w:hanging="850"/>
    </w:pPr>
  </w:style>
  <w:style w:type="paragraph" w:customStyle="1" w:styleId="ManualNumPar2">
    <w:name w:val="Manual NumPar 2"/>
    <w:basedOn w:val="Normal"/>
    <w:next w:val="Text1"/>
    <w:rsid w:val="00517205"/>
    <w:pPr>
      <w:ind w:left="850" w:hanging="850"/>
    </w:pPr>
  </w:style>
  <w:style w:type="paragraph" w:customStyle="1" w:styleId="ManualNumPar3">
    <w:name w:val="Manual NumPar 3"/>
    <w:basedOn w:val="Normal"/>
    <w:next w:val="Text1"/>
    <w:rsid w:val="00517205"/>
    <w:pPr>
      <w:ind w:left="850" w:hanging="850"/>
    </w:pPr>
  </w:style>
  <w:style w:type="paragraph" w:customStyle="1" w:styleId="ManualNumPar4">
    <w:name w:val="Manual NumPar 4"/>
    <w:basedOn w:val="Normal"/>
    <w:next w:val="Text1"/>
    <w:rsid w:val="00517205"/>
    <w:pPr>
      <w:ind w:left="850" w:hanging="850"/>
    </w:pPr>
  </w:style>
  <w:style w:type="paragraph" w:customStyle="1" w:styleId="ManualNumPar5">
    <w:name w:val="Manual NumPar 5"/>
    <w:basedOn w:val="Normal"/>
    <w:next w:val="Text2"/>
    <w:rsid w:val="00517205"/>
    <w:pPr>
      <w:ind w:left="1417" w:hanging="1417"/>
    </w:pPr>
  </w:style>
  <w:style w:type="paragraph" w:customStyle="1" w:styleId="ManualNumPar6">
    <w:name w:val="Manual NumPar 6"/>
    <w:basedOn w:val="Normal"/>
    <w:next w:val="Text2"/>
    <w:rsid w:val="00517205"/>
    <w:pPr>
      <w:ind w:left="1417" w:hanging="1417"/>
    </w:pPr>
  </w:style>
  <w:style w:type="paragraph" w:customStyle="1" w:styleId="ManualNumPar7">
    <w:name w:val="Manual NumPar 7"/>
    <w:basedOn w:val="Normal"/>
    <w:next w:val="Text2"/>
    <w:rsid w:val="00517205"/>
    <w:pPr>
      <w:ind w:left="1417" w:hanging="1417"/>
    </w:pPr>
  </w:style>
  <w:style w:type="paragraph" w:customStyle="1" w:styleId="QuotedNumPar">
    <w:name w:val="Quoted NumPar"/>
    <w:basedOn w:val="Normal"/>
    <w:rsid w:val="00517205"/>
    <w:pPr>
      <w:ind w:left="1417" w:hanging="567"/>
    </w:pPr>
  </w:style>
  <w:style w:type="paragraph" w:customStyle="1" w:styleId="ManualHeading1">
    <w:name w:val="Manual Heading 1"/>
    <w:basedOn w:val="Normal"/>
    <w:next w:val="Text1"/>
    <w:rsid w:val="00517205"/>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517205"/>
    <w:pPr>
      <w:keepNext/>
      <w:tabs>
        <w:tab w:val="left" w:pos="850"/>
      </w:tabs>
      <w:ind w:left="850" w:hanging="850"/>
      <w:outlineLvl w:val="1"/>
    </w:pPr>
    <w:rPr>
      <w:b/>
    </w:rPr>
  </w:style>
  <w:style w:type="paragraph" w:customStyle="1" w:styleId="ManualHeading3">
    <w:name w:val="Manual Heading 3"/>
    <w:basedOn w:val="Normal"/>
    <w:next w:val="Text1"/>
    <w:rsid w:val="00517205"/>
    <w:pPr>
      <w:keepNext/>
      <w:tabs>
        <w:tab w:val="left" w:pos="850"/>
      </w:tabs>
      <w:ind w:left="850" w:hanging="850"/>
      <w:outlineLvl w:val="2"/>
    </w:pPr>
    <w:rPr>
      <w:i/>
    </w:rPr>
  </w:style>
  <w:style w:type="paragraph" w:customStyle="1" w:styleId="ManualHeading4">
    <w:name w:val="Manual Heading 4"/>
    <w:basedOn w:val="Normal"/>
    <w:next w:val="Text1"/>
    <w:rsid w:val="00517205"/>
    <w:pPr>
      <w:keepNext/>
      <w:tabs>
        <w:tab w:val="left" w:pos="850"/>
      </w:tabs>
      <w:ind w:left="850" w:hanging="850"/>
      <w:outlineLvl w:val="3"/>
    </w:pPr>
  </w:style>
  <w:style w:type="paragraph" w:customStyle="1" w:styleId="ManualHeading5">
    <w:name w:val="Manual Heading 5"/>
    <w:basedOn w:val="Normal"/>
    <w:next w:val="Text2"/>
    <w:rsid w:val="00517205"/>
    <w:pPr>
      <w:keepNext/>
      <w:tabs>
        <w:tab w:val="left" w:pos="1417"/>
      </w:tabs>
      <w:ind w:left="1417" w:hanging="1417"/>
      <w:outlineLvl w:val="4"/>
    </w:pPr>
  </w:style>
  <w:style w:type="paragraph" w:customStyle="1" w:styleId="ManualHeading6">
    <w:name w:val="Manual Heading 6"/>
    <w:basedOn w:val="Normal"/>
    <w:next w:val="Text2"/>
    <w:rsid w:val="00517205"/>
    <w:pPr>
      <w:keepNext/>
      <w:tabs>
        <w:tab w:val="left" w:pos="1417"/>
      </w:tabs>
      <w:ind w:left="1417" w:hanging="1417"/>
      <w:outlineLvl w:val="5"/>
    </w:pPr>
  </w:style>
  <w:style w:type="paragraph" w:customStyle="1" w:styleId="ManualHeading7">
    <w:name w:val="Manual Heading 7"/>
    <w:basedOn w:val="Normal"/>
    <w:next w:val="Text2"/>
    <w:rsid w:val="00517205"/>
    <w:pPr>
      <w:keepNext/>
      <w:tabs>
        <w:tab w:val="left" w:pos="1417"/>
      </w:tabs>
      <w:ind w:left="1417" w:hanging="1417"/>
      <w:outlineLvl w:val="6"/>
    </w:pPr>
  </w:style>
  <w:style w:type="paragraph" w:customStyle="1" w:styleId="ChapterTitle">
    <w:name w:val="ChapterTitle"/>
    <w:basedOn w:val="Normal"/>
    <w:next w:val="Normal"/>
    <w:rsid w:val="00517205"/>
    <w:pPr>
      <w:keepNext/>
      <w:spacing w:after="360"/>
      <w:jc w:val="center"/>
    </w:pPr>
    <w:rPr>
      <w:b/>
      <w:sz w:val="32"/>
    </w:rPr>
  </w:style>
  <w:style w:type="paragraph" w:customStyle="1" w:styleId="PartTitle">
    <w:name w:val="PartTitle"/>
    <w:basedOn w:val="Normal"/>
    <w:next w:val="ChapterTitle"/>
    <w:rsid w:val="00517205"/>
    <w:pPr>
      <w:keepNext/>
      <w:pageBreakBefore/>
      <w:spacing w:after="360"/>
      <w:jc w:val="center"/>
    </w:pPr>
    <w:rPr>
      <w:b/>
      <w:sz w:val="36"/>
    </w:rPr>
  </w:style>
  <w:style w:type="paragraph" w:customStyle="1" w:styleId="SectionTitle">
    <w:name w:val="SectionTitle"/>
    <w:basedOn w:val="Normal"/>
    <w:next w:val="Heading1"/>
    <w:rsid w:val="00517205"/>
    <w:pPr>
      <w:keepNext/>
      <w:spacing w:after="360"/>
      <w:jc w:val="center"/>
    </w:pPr>
    <w:rPr>
      <w:b/>
      <w:smallCaps/>
      <w:sz w:val="28"/>
    </w:rPr>
  </w:style>
  <w:style w:type="paragraph" w:customStyle="1" w:styleId="TableTitle">
    <w:name w:val="Table Title"/>
    <w:basedOn w:val="Normal"/>
    <w:next w:val="Normal"/>
    <w:rsid w:val="00517205"/>
    <w:pPr>
      <w:jc w:val="center"/>
    </w:pPr>
    <w:rPr>
      <w:b/>
    </w:rPr>
  </w:style>
  <w:style w:type="character" w:customStyle="1" w:styleId="Marker">
    <w:name w:val="Marker"/>
    <w:basedOn w:val="DefaultParagraphFont"/>
    <w:rsid w:val="00517205"/>
    <w:rPr>
      <w:color w:val="0000FF"/>
      <w:shd w:val="clear" w:color="auto" w:fill="auto"/>
    </w:rPr>
  </w:style>
  <w:style w:type="character" w:customStyle="1" w:styleId="Marker1">
    <w:name w:val="Marker1"/>
    <w:basedOn w:val="DefaultParagraphFont"/>
    <w:rsid w:val="00517205"/>
    <w:rPr>
      <w:color w:val="008000"/>
      <w:shd w:val="clear" w:color="auto" w:fill="auto"/>
    </w:rPr>
  </w:style>
  <w:style w:type="character" w:customStyle="1" w:styleId="Marker2">
    <w:name w:val="Marker2"/>
    <w:basedOn w:val="DefaultParagraphFont"/>
    <w:rsid w:val="00517205"/>
    <w:rPr>
      <w:color w:val="FF0000"/>
      <w:shd w:val="clear" w:color="auto" w:fill="auto"/>
    </w:rPr>
  </w:style>
  <w:style w:type="paragraph" w:customStyle="1" w:styleId="Point0number">
    <w:name w:val="Point 0 (number)"/>
    <w:basedOn w:val="Normal"/>
    <w:rsid w:val="00517205"/>
    <w:pPr>
      <w:numPr>
        <w:numId w:val="20"/>
      </w:numPr>
    </w:pPr>
  </w:style>
  <w:style w:type="paragraph" w:customStyle="1" w:styleId="Point1number">
    <w:name w:val="Point 1 (number)"/>
    <w:basedOn w:val="Normal"/>
    <w:rsid w:val="00517205"/>
    <w:pPr>
      <w:numPr>
        <w:ilvl w:val="2"/>
        <w:numId w:val="20"/>
      </w:numPr>
    </w:pPr>
  </w:style>
  <w:style w:type="paragraph" w:customStyle="1" w:styleId="Point2number">
    <w:name w:val="Point 2 (number)"/>
    <w:basedOn w:val="Normal"/>
    <w:rsid w:val="00517205"/>
    <w:pPr>
      <w:numPr>
        <w:ilvl w:val="4"/>
        <w:numId w:val="20"/>
      </w:numPr>
    </w:pPr>
  </w:style>
  <w:style w:type="paragraph" w:customStyle="1" w:styleId="Point3number">
    <w:name w:val="Point 3 (number)"/>
    <w:basedOn w:val="Normal"/>
    <w:rsid w:val="00517205"/>
    <w:pPr>
      <w:numPr>
        <w:ilvl w:val="6"/>
        <w:numId w:val="20"/>
      </w:numPr>
    </w:pPr>
  </w:style>
  <w:style w:type="paragraph" w:customStyle="1" w:styleId="Point0letter">
    <w:name w:val="Point 0 (letter)"/>
    <w:basedOn w:val="Normal"/>
    <w:rsid w:val="00517205"/>
    <w:pPr>
      <w:numPr>
        <w:ilvl w:val="1"/>
        <w:numId w:val="20"/>
      </w:numPr>
    </w:pPr>
  </w:style>
  <w:style w:type="paragraph" w:customStyle="1" w:styleId="Point1letter">
    <w:name w:val="Point 1 (letter)"/>
    <w:basedOn w:val="Normal"/>
    <w:rsid w:val="00517205"/>
    <w:pPr>
      <w:numPr>
        <w:ilvl w:val="3"/>
        <w:numId w:val="20"/>
      </w:numPr>
    </w:pPr>
  </w:style>
  <w:style w:type="paragraph" w:customStyle="1" w:styleId="Point2letter">
    <w:name w:val="Point 2 (letter)"/>
    <w:basedOn w:val="Normal"/>
    <w:rsid w:val="00517205"/>
    <w:pPr>
      <w:numPr>
        <w:ilvl w:val="5"/>
        <w:numId w:val="20"/>
      </w:numPr>
    </w:pPr>
  </w:style>
  <w:style w:type="paragraph" w:customStyle="1" w:styleId="Point3letter">
    <w:name w:val="Point 3 (letter)"/>
    <w:basedOn w:val="Normal"/>
    <w:rsid w:val="00517205"/>
    <w:pPr>
      <w:numPr>
        <w:ilvl w:val="7"/>
        <w:numId w:val="20"/>
      </w:numPr>
    </w:pPr>
  </w:style>
  <w:style w:type="paragraph" w:customStyle="1" w:styleId="Point4letter">
    <w:name w:val="Point 4 (letter)"/>
    <w:basedOn w:val="Normal"/>
    <w:rsid w:val="00517205"/>
    <w:pPr>
      <w:numPr>
        <w:ilvl w:val="8"/>
        <w:numId w:val="20"/>
      </w:numPr>
    </w:pPr>
  </w:style>
  <w:style w:type="paragraph" w:customStyle="1" w:styleId="Bullet0">
    <w:name w:val="Bullet 0"/>
    <w:basedOn w:val="Normal"/>
    <w:rsid w:val="00517205"/>
    <w:pPr>
      <w:numPr>
        <w:numId w:val="21"/>
      </w:numPr>
    </w:pPr>
  </w:style>
  <w:style w:type="paragraph" w:customStyle="1" w:styleId="Bullet1">
    <w:name w:val="Bullet 1"/>
    <w:basedOn w:val="Normal"/>
    <w:rsid w:val="00517205"/>
    <w:pPr>
      <w:numPr>
        <w:numId w:val="22"/>
      </w:numPr>
    </w:pPr>
  </w:style>
  <w:style w:type="paragraph" w:customStyle="1" w:styleId="Bullet2">
    <w:name w:val="Bullet 2"/>
    <w:basedOn w:val="Normal"/>
    <w:rsid w:val="00517205"/>
    <w:pPr>
      <w:numPr>
        <w:numId w:val="23"/>
      </w:numPr>
    </w:pPr>
  </w:style>
  <w:style w:type="paragraph" w:customStyle="1" w:styleId="Bullet3">
    <w:name w:val="Bullet 3"/>
    <w:basedOn w:val="Normal"/>
    <w:rsid w:val="00517205"/>
    <w:pPr>
      <w:numPr>
        <w:numId w:val="24"/>
      </w:numPr>
    </w:pPr>
  </w:style>
  <w:style w:type="paragraph" w:customStyle="1" w:styleId="Bullet4">
    <w:name w:val="Bullet 4"/>
    <w:basedOn w:val="Normal"/>
    <w:rsid w:val="00517205"/>
    <w:pPr>
      <w:numPr>
        <w:numId w:val="25"/>
      </w:numPr>
    </w:pPr>
  </w:style>
  <w:style w:type="paragraph" w:customStyle="1" w:styleId="Langue">
    <w:name w:val="Langue"/>
    <w:basedOn w:val="Normal"/>
    <w:next w:val="Rfrenceinterne"/>
    <w:rsid w:val="00517205"/>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517205"/>
    <w:pPr>
      <w:spacing w:before="0" w:after="0"/>
      <w:jc w:val="left"/>
    </w:pPr>
    <w:rPr>
      <w:rFonts w:ascii="Arial" w:hAnsi="Arial" w:cs="Arial"/>
    </w:rPr>
  </w:style>
  <w:style w:type="paragraph" w:customStyle="1" w:styleId="Emission">
    <w:name w:val="Emission"/>
    <w:basedOn w:val="Normal"/>
    <w:next w:val="Rfrenceinstitutionnelle"/>
    <w:rsid w:val="00517205"/>
    <w:pPr>
      <w:spacing w:before="0" w:after="0"/>
      <w:ind w:left="5103"/>
      <w:jc w:val="left"/>
    </w:pPr>
  </w:style>
  <w:style w:type="paragraph" w:customStyle="1" w:styleId="Rfrenceinstitutionnelle">
    <w:name w:val="Référence institutionnelle"/>
    <w:basedOn w:val="Normal"/>
    <w:next w:val="Confidentialit"/>
    <w:rsid w:val="00517205"/>
    <w:pPr>
      <w:spacing w:before="0" w:after="240"/>
      <w:ind w:left="5103"/>
      <w:jc w:val="left"/>
    </w:pPr>
  </w:style>
  <w:style w:type="paragraph" w:customStyle="1" w:styleId="Pagedecouverture">
    <w:name w:val="Page de couverture"/>
    <w:basedOn w:val="Normal"/>
    <w:next w:val="Normal"/>
    <w:rsid w:val="00517205"/>
    <w:pPr>
      <w:spacing w:before="0" w:after="0"/>
    </w:pPr>
  </w:style>
  <w:style w:type="paragraph" w:customStyle="1" w:styleId="Declassification">
    <w:name w:val="Declassification"/>
    <w:basedOn w:val="Normal"/>
    <w:next w:val="Normal"/>
    <w:rsid w:val="00517205"/>
    <w:pPr>
      <w:spacing w:before="0" w:after="0"/>
    </w:pPr>
  </w:style>
  <w:style w:type="paragraph" w:customStyle="1" w:styleId="Disclaimer">
    <w:name w:val="Disclaimer"/>
    <w:basedOn w:val="Normal"/>
    <w:rsid w:val="00517205"/>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517205"/>
    <w:pPr>
      <w:spacing w:before="0" w:after="0" w:line="276" w:lineRule="auto"/>
      <w:ind w:left="5103"/>
      <w:jc w:val="left"/>
    </w:pPr>
    <w:rPr>
      <w:sz w:val="28"/>
    </w:rPr>
  </w:style>
  <w:style w:type="paragraph" w:customStyle="1" w:styleId="DateMarking">
    <w:name w:val="DateMarking"/>
    <w:basedOn w:val="Normal"/>
    <w:rsid w:val="00517205"/>
    <w:pPr>
      <w:spacing w:before="0" w:after="0" w:line="276" w:lineRule="auto"/>
      <w:ind w:left="5103"/>
      <w:jc w:val="left"/>
    </w:pPr>
    <w:rPr>
      <w:i/>
      <w:sz w:val="28"/>
    </w:rPr>
  </w:style>
  <w:style w:type="paragraph" w:customStyle="1" w:styleId="ReleasableTo">
    <w:name w:val="ReleasableTo"/>
    <w:basedOn w:val="Normal"/>
    <w:rsid w:val="00517205"/>
    <w:pPr>
      <w:spacing w:before="0" w:after="0" w:line="276" w:lineRule="auto"/>
      <w:ind w:left="5103"/>
      <w:jc w:val="left"/>
    </w:pPr>
    <w:rPr>
      <w:i/>
      <w:sz w:val="28"/>
    </w:rPr>
  </w:style>
  <w:style w:type="paragraph" w:customStyle="1" w:styleId="Annexetitreexpos">
    <w:name w:val="Annexe titre (exposé)"/>
    <w:basedOn w:val="Normal"/>
    <w:next w:val="Normal"/>
    <w:rsid w:val="00517205"/>
    <w:pPr>
      <w:jc w:val="center"/>
    </w:pPr>
    <w:rPr>
      <w:b/>
      <w:u w:val="single"/>
    </w:rPr>
  </w:style>
  <w:style w:type="paragraph" w:customStyle="1" w:styleId="Annexetitre">
    <w:name w:val="Annexe titre"/>
    <w:basedOn w:val="Normal"/>
    <w:next w:val="Normal"/>
    <w:rsid w:val="00517205"/>
    <w:pPr>
      <w:jc w:val="center"/>
    </w:pPr>
    <w:rPr>
      <w:b/>
      <w:u w:val="single"/>
    </w:rPr>
  </w:style>
  <w:style w:type="paragraph" w:customStyle="1" w:styleId="Annexetitrefichefinancire">
    <w:name w:val="Annexe titre (fiche financière)"/>
    <w:basedOn w:val="Normal"/>
    <w:next w:val="Normal"/>
    <w:rsid w:val="00517205"/>
    <w:pPr>
      <w:jc w:val="center"/>
    </w:pPr>
    <w:rPr>
      <w:b/>
      <w:u w:val="single"/>
    </w:rPr>
  </w:style>
  <w:style w:type="paragraph" w:customStyle="1" w:styleId="Applicationdirecte">
    <w:name w:val="Application directe"/>
    <w:basedOn w:val="Normal"/>
    <w:next w:val="Fait"/>
    <w:rsid w:val="00517205"/>
    <w:pPr>
      <w:spacing w:before="480"/>
    </w:pPr>
  </w:style>
  <w:style w:type="paragraph" w:customStyle="1" w:styleId="Avertissementtitre">
    <w:name w:val="Avertissement titre"/>
    <w:basedOn w:val="Normal"/>
    <w:next w:val="Normal"/>
    <w:rsid w:val="00517205"/>
    <w:pPr>
      <w:keepNext/>
      <w:spacing w:before="480"/>
    </w:pPr>
    <w:rPr>
      <w:u w:val="single"/>
    </w:rPr>
  </w:style>
  <w:style w:type="paragraph" w:customStyle="1" w:styleId="Confidence">
    <w:name w:val="Confidence"/>
    <w:basedOn w:val="Normal"/>
    <w:next w:val="Normal"/>
    <w:rsid w:val="00517205"/>
    <w:pPr>
      <w:spacing w:before="360"/>
      <w:jc w:val="center"/>
    </w:pPr>
  </w:style>
  <w:style w:type="paragraph" w:customStyle="1" w:styleId="Confidentialit">
    <w:name w:val="Confidentialité"/>
    <w:basedOn w:val="Normal"/>
    <w:next w:val="TypedudocumentPagedecouverture"/>
    <w:rsid w:val="00517205"/>
    <w:pPr>
      <w:spacing w:before="240" w:after="240"/>
      <w:ind w:left="5103"/>
      <w:jc w:val="left"/>
    </w:pPr>
    <w:rPr>
      <w:i/>
      <w:sz w:val="32"/>
    </w:rPr>
  </w:style>
  <w:style w:type="paragraph" w:customStyle="1" w:styleId="Considrant">
    <w:name w:val="Considérant"/>
    <w:basedOn w:val="Normal"/>
    <w:rsid w:val="00517205"/>
    <w:pPr>
      <w:numPr>
        <w:numId w:val="26"/>
      </w:numPr>
    </w:pPr>
  </w:style>
  <w:style w:type="paragraph" w:customStyle="1" w:styleId="Corrigendum">
    <w:name w:val="Corrigendum"/>
    <w:basedOn w:val="Normal"/>
    <w:next w:val="Normal"/>
    <w:rsid w:val="00517205"/>
    <w:pPr>
      <w:spacing w:before="0" w:after="240"/>
      <w:jc w:val="left"/>
    </w:pPr>
  </w:style>
  <w:style w:type="paragraph" w:customStyle="1" w:styleId="Datedadoption">
    <w:name w:val="Date d'adoption"/>
    <w:basedOn w:val="Normal"/>
    <w:next w:val="Titreobjet"/>
    <w:rsid w:val="00517205"/>
    <w:pPr>
      <w:spacing w:before="360" w:after="0"/>
      <w:jc w:val="center"/>
    </w:pPr>
    <w:rPr>
      <w:b/>
    </w:rPr>
  </w:style>
  <w:style w:type="paragraph" w:customStyle="1" w:styleId="Exposdesmotifstitre">
    <w:name w:val="Exposé des motifs titre"/>
    <w:basedOn w:val="Normal"/>
    <w:next w:val="Normal"/>
    <w:rsid w:val="00517205"/>
    <w:pPr>
      <w:jc w:val="center"/>
    </w:pPr>
    <w:rPr>
      <w:b/>
      <w:u w:val="single"/>
    </w:rPr>
  </w:style>
  <w:style w:type="paragraph" w:customStyle="1" w:styleId="Fait">
    <w:name w:val="Fait à"/>
    <w:basedOn w:val="Normal"/>
    <w:next w:val="Institutionquisigne"/>
    <w:rsid w:val="00517205"/>
    <w:pPr>
      <w:keepNext/>
      <w:spacing w:after="0"/>
    </w:pPr>
  </w:style>
  <w:style w:type="paragraph" w:customStyle="1" w:styleId="Formuledadoption">
    <w:name w:val="Formule d'adoption"/>
    <w:basedOn w:val="Normal"/>
    <w:next w:val="Titrearticle"/>
    <w:rsid w:val="00517205"/>
    <w:pPr>
      <w:keepNext/>
    </w:pPr>
  </w:style>
  <w:style w:type="paragraph" w:customStyle="1" w:styleId="Institutionquiagit">
    <w:name w:val="Institution qui agit"/>
    <w:basedOn w:val="Normal"/>
    <w:next w:val="Normal"/>
    <w:rsid w:val="00517205"/>
    <w:pPr>
      <w:keepNext/>
      <w:spacing w:before="600"/>
    </w:pPr>
  </w:style>
  <w:style w:type="paragraph" w:customStyle="1" w:styleId="Institutionquisigne">
    <w:name w:val="Institution qui signe"/>
    <w:basedOn w:val="Normal"/>
    <w:next w:val="Personnequisigne"/>
    <w:rsid w:val="00517205"/>
    <w:pPr>
      <w:keepNext/>
      <w:tabs>
        <w:tab w:val="left" w:pos="4252"/>
      </w:tabs>
      <w:spacing w:before="720" w:after="0"/>
    </w:pPr>
    <w:rPr>
      <w:i/>
    </w:rPr>
  </w:style>
  <w:style w:type="paragraph" w:customStyle="1" w:styleId="ManualConsidrant">
    <w:name w:val="Manual Considérant"/>
    <w:basedOn w:val="Normal"/>
    <w:rsid w:val="00517205"/>
    <w:pPr>
      <w:ind w:left="709" w:hanging="709"/>
    </w:pPr>
  </w:style>
  <w:style w:type="paragraph" w:customStyle="1" w:styleId="Personnequisigne">
    <w:name w:val="Personne qui signe"/>
    <w:basedOn w:val="Normal"/>
    <w:next w:val="Institutionquisigne"/>
    <w:rsid w:val="00517205"/>
    <w:pPr>
      <w:tabs>
        <w:tab w:val="left" w:pos="4252"/>
      </w:tabs>
      <w:spacing w:before="0" w:after="0"/>
      <w:jc w:val="left"/>
    </w:pPr>
    <w:rPr>
      <w:i/>
    </w:rPr>
  </w:style>
  <w:style w:type="paragraph" w:customStyle="1" w:styleId="Rfrenceinterinstitutionnelle">
    <w:name w:val="Référence interinstitutionnelle"/>
    <w:basedOn w:val="Normal"/>
    <w:next w:val="Statut"/>
    <w:rsid w:val="00517205"/>
    <w:pPr>
      <w:spacing w:before="0" w:after="0"/>
      <w:ind w:left="5103"/>
      <w:jc w:val="left"/>
    </w:pPr>
  </w:style>
  <w:style w:type="paragraph" w:customStyle="1" w:styleId="Rfrenceinterne">
    <w:name w:val="Référence interne"/>
    <w:basedOn w:val="Normal"/>
    <w:next w:val="Rfrenceinterinstitutionnelle"/>
    <w:rsid w:val="00517205"/>
    <w:pPr>
      <w:spacing w:before="0" w:after="0"/>
      <w:ind w:left="5103"/>
      <w:jc w:val="left"/>
    </w:pPr>
  </w:style>
  <w:style w:type="paragraph" w:customStyle="1" w:styleId="Statut">
    <w:name w:val="Statut"/>
    <w:basedOn w:val="Normal"/>
    <w:next w:val="Typedudocument"/>
    <w:rsid w:val="00517205"/>
    <w:pPr>
      <w:spacing w:before="360" w:after="0"/>
      <w:jc w:val="center"/>
    </w:pPr>
  </w:style>
  <w:style w:type="paragraph" w:customStyle="1" w:styleId="Titrearticle">
    <w:name w:val="Titre article"/>
    <w:basedOn w:val="Normal"/>
    <w:next w:val="Normal"/>
    <w:rsid w:val="00517205"/>
    <w:pPr>
      <w:keepNext/>
      <w:spacing w:before="360"/>
      <w:jc w:val="center"/>
    </w:pPr>
    <w:rPr>
      <w:i/>
    </w:rPr>
  </w:style>
  <w:style w:type="paragraph" w:customStyle="1" w:styleId="Titreobjet">
    <w:name w:val="Titre objet"/>
    <w:basedOn w:val="Normal"/>
    <w:next w:val="IntrtEEE"/>
    <w:rsid w:val="00517205"/>
    <w:pPr>
      <w:spacing w:before="360" w:after="360"/>
      <w:jc w:val="center"/>
    </w:pPr>
    <w:rPr>
      <w:b/>
    </w:rPr>
  </w:style>
  <w:style w:type="paragraph" w:customStyle="1" w:styleId="Typedudocument">
    <w:name w:val="Type du document"/>
    <w:basedOn w:val="Normal"/>
    <w:next w:val="Titreobjet"/>
    <w:rsid w:val="00517205"/>
    <w:pPr>
      <w:spacing w:before="360" w:after="0"/>
      <w:jc w:val="center"/>
    </w:pPr>
    <w:rPr>
      <w:b/>
    </w:rPr>
  </w:style>
  <w:style w:type="character" w:customStyle="1" w:styleId="Added">
    <w:name w:val="Added"/>
    <w:basedOn w:val="DefaultParagraphFont"/>
    <w:rsid w:val="00517205"/>
    <w:rPr>
      <w:b/>
      <w:u w:val="single"/>
      <w:shd w:val="clear" w:color="auto" w:fill="auto"/>
    </w:rPr>
  </w:style>
  <w:style w:type="character" w:customStyle="1" w:styleId="Deleted">
    <w:name w:val="Deleted"/>
    <w:basedOn w:val="DefaultParagraphFont"/>
    <w:rsid w:val="00517205"/>
    <w:rPr>
      <w:strike/>
      <w:dstrike w:val="0"/>
      <w:shd w:val="clear" w:color="auto" w:fill="auto"/>
    </w:rPr>
  </w:style>
  <w:style w:type="paragraph" w:customStyle="1" w:styleId="Address">
    <w:name w:val="Address"/>
    <w:basedOn w:val="Normal"/>
    <w:next w:val="Normal"/>
    <w:rsid w:val="00517205"/>
    <w:pPr>
      <w:keepLines/>
      <w:spacing w:line="360" w:lineRule="auto"/>
      <w:ind w:left="3402"/>
      <w:jc w:val="left"/>
    </w:pPr>
  </w:style>
  <w:style w:type="paragraph" w:customStyle="1" w:styleId="Objetexterne">
    <w:name w:val="Objet externe"/>
    <w:basedOn w:val="Normal"/>
    <w:next w:val="Normal"/>
    <w:rsid w:val="00517205"/>
    <w:rPr>
      <w:i/>
      <w:caps/>
    </w:rPr>
  </w:style>
  <w:style w:type="paragraph" w:customStyle="1" w:styleId="Supertitre">
    <w:name w:val="Supertitre"/>
    <w:basedOn w:val="Normal"/>
    <w:next w:val="Normal"/>
    <w:rsid w:val="00517205"/>
    <w:pPr>
      <w:spacing w:before="0" w:after="600"/>
      <w:jc w:val="center"/>
    </w:pPr>
    <w:rPr>
      <w:b/>
    </w:rPr>
  </w:style>
  <w:style w:type="paragraph" w:customStyle="1" w:styleId="Languesfaisantfoi">
    <w:name w:val="Langues faisant foi"/>
    <w:basedOn w:val="Normal"/>
    <w:next w:val="Normal"/>
    <w:rsid w:val="00517205"/>
    <w:pPr>
      <w:spacing w:before="360" w:after="0"/>
      <w:jc w:val="center"/>
    </w:pPr>
  </w:style>
  <w:style w:type="paragraph" w:customStyle="1" w:styleId="Rfrencecroise">
    <w:name w:val="Référence croisée"/>
    <w:basedOn w:val="Normal"/>
    <w:rsid w:val="00517205"/>
    <w:pPr>
      <w:spacing w:before="0" w:after="0"/>
      <w:jc w:val="center"/>
    </w:pPr>
  </w:style>
  <w:style w:type="paragraph" w:customStyle="1" w:styleId="Fichefinanciretitre">
    <w:name w:val="Fiche financière titre"/>
    <w:basedOn w:val="Normal"/>
    <w:next w:val="Normal"/>
    <w:rsid w:val="00517205"/>
    <w:pPr>
      <w:jc w:val="center"/>
    </w:pPr>
    <w:rPr>
      <w:b/>
      <w:u w:val="single"/>
    </w:rPr>
  </w:style>
  <w:style w:type="paragraph" w:customStyle="1" w:styleId="DatedadoptionPagedecouverture">
    <w:name w:val="Date d'adoption (Page de couverture)"/>
    <w:basedOn w:val="Datedadoption"/>
    <w:next w:val="TitreobjetPagedecouverture"/>
    <w:rsid w:val="00517205"/>
  </w:style>
  <w:style w:type="paragraph" w:customStyle="1" w:styleId="RfrenceinterinstitutionnellePagedecouverture">
    <w:name w:val="Référence interinstitutionnelle (Page de couverture)"/>
    <w:basedOn w:val="Rfrenceinterinstitutionnelle"/>
    <w:next w:val="Confidentialit"/>
    <w:rsid w:val="00517205"/>
  </w:style>
  <w:style w:type="paragraph" w:customStyle="1" w:styleId="StatutPagedecouverture">
    <w:name w:val="Statut (Page de couverture)"/>
    <w:basedOn w:val="Statut"/>
    <w:next w:val="TypedudocumentPagedecouverture"/>
    <w:rsid w:val="00517205"/>
  </w:style>
  <w:style w:type="paragraph" w:customStyle="1" w:styleId="TitreobjetPagedecouverture">
    <w:name w:val="Titre objet (Page de couverture)"/>
    <w:basedOn w:val="Titreobjet"/>
    <w:next w:val="IntrtEEEPagedecouverture"/>
    <w:rsid w:val="00517205"/>
  </w:style>
  <w:style w:type="paragraph" w:customStyle="1" w:styleId="TypedudocumentPagedecouverture">
    <w:name w:val="Type du document (Page de couverture)"/>
    <w:basedOn w:val="Typedudocument"/>
    <w:next w:val="TitreobjetPagedecouverture"/>
    <w:rsid w:val="00517205"/>
  </w:style>
  <w:style w:type="paragraph" w:customStyle="1" w:styleId="Volume">
    <w:name w:val="Volume"/>
    <w:basedOn w:val="Normal"/>
    <w:next w:val="Confidentialit"/>
    <w:rsid w:val="00517205"/>
    <w:pPr>
      <w:spacing w:before="0" w:after="240"/>
      <w:ind w:left="5103"/>
      <w:jc w:val="left"/>
    </w:pPr>
  </w:style>
  <w:style w:type="paragraph" w:customStyle="1" w:styleId="IntrtEEE">
    <w:name w:val="Intérêt EEE"/>
    <w:basedOn w:val="Languesfaisantfoi"/>
    <w:next w:val="Normal"/>
    <w:rsid w:val="00517205"/>
    <w:pPr>
      <w:spacing w:after="240"/>
    </w:pPr>
  </w:style>
  <w:style w:type="paragraph" w:customStyle="1" w:styleId="Accompagnant">
    <w:name w:val="Accompagnant"/>
    <w:basedOn w:val="Normal"/>
    <w:next w:val="Typeacteprincipal"/>
    <w:rsid w:val="00517205"/>
    <w:pPr>
      <w:spacing w:before="0" w:after="240"/>
      <w:jc w:val="center"/>
    </w:pPr>
    <w:rPr>
      <w:b/>
      <w:i/>
    </w:rPr>
  </w:style>
  <w:style w:type="paragraph" w:customStyle="1" w:styleId="Typeacteprincipal">
    <w:name w:val="Type acte principal"/>
    <w:basedOn w:val="Normal"/>
    <w:next w:val="Objetacteprincipal"/>
    <w:rsid w:val="00517205"/>
    <w:pPr>
      <w:spacing w:before="0" w:after="240"/>
      <w:jc w:val="center"/>
    </w:pPr>
    <w:rPr>
      <w:b/>
    </w:rPr>
  </w:style>
  <w:style w:type="paragraph" w:customStyle="1" w:styleId="Objetacteprincipal">
    <w:name w:val="Objet acte principal"/>
    <w:basedOn w:val="Normal"/>
    <w:next w:val="Titrearticle"/>
    <w:rsid w:val="00517205"/>
    <w:pPr>
      <w:spacing w:before="0" w:after="360"/>
      <w:jc w:val="center"/>
    </w:pPr>
    <w:rPr>
      <w:b/>
    </w:rPr>
  </w:style>
  <w:style w:type="paragraph" w:customStyle="1" w:styleId="IntrtEEEPagedecouverture">
    <w:name w:val="Intérêt EEE (Page de couverture)"/>
    <w:basedOn w:val="IntrtEEE"/>
    <w:next w:val="Rfrencecroise"/>
    <w:rsid w:val="00517205"/>
  </w:style>
  <w:style w:type="paragraph" w:customStyle="1" w:styleId="AccompagnantPagedecouverture">
    <w:name w:val="Accompagnant (Page de couverture)"/>
    <w:basedOn w:val="Accompagnant"/>
    <w:next w:val="TypeacteprincipalPagedecouverture"/>
    <w:rsid w:val="00517205"/>
  </w:style>
  <w:style w:type="paragraph" w:customStyle="1" w:styleId="TypeacteprincipalPagedecouverture">
    <w:name w:val="Type acte principal (Page de couverture)"/>
    <w:basedOn w:val="Typeacteprincipal"/>
    <w:next w:val="ObjetacteprincipalPagedecouverture"/>
    <w:rsid w:val="00517205"/>
  </w:style>
  <w:style w:type="paragraph" w:customStyle="1" w:styleId="ObjetacteprincipalPagedecouverture">
    <w:name w:val="Objet acte principal (Page de couverture)"/>
    <w:basedOn w:val="Objetacteprincipal"/>
    <w:next w:val="Rfrencecroise"/>
    <w:rsid w:val="00517205"/>
  </w:style>
  <w:style w:type="paragraph" w:customStyle="1" w:styleId="LanguesfaisantfoiPagedecouverture">
    <w:name w:val="Langues faisant foi (Page de couverture)"/>
    <w:basedOn w:val="Normal"/>
    <w:next w:val="Normal"/>
    <w:rsid w:val="00517205"/>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43044">
      <w:bodyDiv w:val="1"/>
      <w:marLeft w:val="0"/>
      <w:marRight w:val="0"/>
      <w:marTop w:val="0"/>
      <w:marBottom w:val="0"/>
      <w:divBdr>
        <w:top w:val="none" w:sz="0" w:space="0" w:color="auto"/>
        <w:left w:val="none" w:sz="0" w:space="0" w:color="auto"/>
        <w:bottom w:val="none" w:sz="0" w:space="0" w:color="auto"/>
        <w:right w:val="none" w:sz="0" w:space="0" w:color="auto"/>
      </w:divBdr>
      <w:divsChild>
        <w:div w:id="203107232">
          <w:marLeft w:val="0"/>
          <w:marRight w:val="0"/>
          <w:marTop w:val="120"/>
          <w:marBottom w:val="0"/>
          <w:divBdr>
            <w:top w:val="none" w:sz="0" w:space="0" w:color="auto"/>
            <w:left w:val="none" w:sz="0" w:space="0" w:color="auto"/>
            <w:bottom w:val="none" w:sz="0" w:space="0" w:color="auto"/>
            <w:right w:val="none" w:sz="0" w:space="0" w:color="auto"/>
          </w:divBdr>
        </w:div>
        <w:div w:id="1155150002">
          <w:marLeft w:val="0"/>
          <w:marRight w:val="0"/>
          <w:marTop w:val="0"/>
          <w:marBottom w:val="0"/>
          <w:divBdr>
            <w:top w:val="none" w:sz="0" w:space="0" w:color="auto"/>
            <w:left w:val="none" w:sz="0" w:space="0" w:color="auto"/>
            <w:bottom w:val="none" w:sz="0" w:space="0" w:color="auto"/>
            <w:right w:val="none" w:sz="0" w:space="0" w:color="auto"/>
          </w:divBdr>
          <w:divsChild>
            <w:div w:id="1046834092">
              <w:marLeft w:val="0"/>
              <w:marRight w:val="0"/>
              <w:marTop w:val="120"/>
              <w:marBottom w:val="0"/>
              <w:divBdr>
                <w:top w:val="none" w:sz="0" w:space="0" w:color="auto"/>
                <w:left w:val="none" w:sz="0" w:space="0" w:color="auto"/>
                <w:bottom w:val="none" w:sz="0" w:space="0" w:color="auto"/>
                <w:right w:val="none" w:sz="0" w:space="0" w:color="auto"/>
              </w:divBdr>
            </w:div>
          </w:divsChild>
        </w:div>
        <w:div w:id="1056053821">
          <w:marLeft w:val="0"/>
          <w:marRight w:val="0"/>
          <w:marTop w:val="120"/>
          <w:marBottom w:val="0"/>
          <w:divBdr>
            <w:top w:val="none" w:sz="0" w:space="0" w:color="auto"/>
            <w:left w:val="none" w:sz="0" w:space="0" w:color="auto"/>
            <w:bottom w:val="none" w:sz="0" w:space="0" w:color="auto"/>
            <w:right w:val="none" w:sz="0" w:space="0" w:color="auto"/>
          </w:divBdr>
        </w:div>
        <w:div w:id="835652922">
          <w:marLeft w:val="0"/>
          <w:marRight w:val="0"/>
          <w:marTop w:val="0"/>
          <w:marBottom w:val="0"/>
          <w:divBdr>
            <w:top w:val="none" w:sz="0" w:space="0" w:color="auto"/>
            <w:left w:val="none" w:sz="0" w:space="0" w:color="auto"/>
            <w:bottom w:val="none" w:sz="0" w:space="0" w:color="auto"/>
            <w:right w:val="none" w:sz="0" w:space="0" w:color="auto"/>
          </w:divBdr>
          <w:divsChild>
            <w:div w:id="6800064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68294621">
      <w:bodyDiv w:val="1"/>
      <w:marLeft w:val="0"/>
      <w:marRight w:val="0"/>
      <w:marTop w:val="0"/>
      <w:marBottom w:val="0"/>
      <w:divBdr>
        <w:top w:val="none" w:sz="0" w:space="0" w:color="auto"/>
        <w:left w:val="none" w:sz="0" w:space="0" w:color="auto"/>
        <w:bottom w:val="none" w:sz="0" w:space="0" w:color="auto"/>
        <w:right w:val="none" w:sz="0" w:space="0" w:color="auto"/>
      </w:divBdr>
      <w:divsChild>
        <w:div w:id="1912808421">
          <w:marLeft w:val="0"/>
          <w:marRight w:val="0"/>
          <w:marTop w:val="0"/>
          <w:marBottom w:val="0"/>
          <w:divBdr>
            <w:top w:val="none" w:sz="0" w:space="0" w:color="auto"/>
            <w:left w:val="none" w:sz="0" w:space="0" w:color="auto"/>
            <w:bottom w:val="none" w:sz="0" w:space="0" w:color="auto"/>
            <w:right w:val="none" w:sz="0" w:space="0" w:color="auto"/>
          </w:divBdr>
          <w:divsChild>
            <w:div w:id="1142381460">
              <w:marLeft w:val="0"/>
              <w:marRight w:val="0"/>
              <w:marTop w:val="0"/>
              <w:marBottom w:val="0"/>
              <w:divBdr>
                <w:top w:val="none" w:sz="0" w:space="0" w:color="auto"/>
                <w:left w:val="none" w:sz="0" w:space="0" w:color="auto"/>
                <w:bottom w:val="none" w:sz="0" w:space="0" w:color="auto"/>
                <w:right w:val="none" w:sz="0" w:space="0" w:color="auto"/>
              </w:divBdr>
              <w:divsChild>
                <w:div w:id="1102381844">
                  <w:marLeft w:val="0"/>
                  <w:marRight w:val="0"/>
                  <w:marTop w:val="0"/>
                  <w:marBottom w:val="0"/>
                  <w:divBdr>
                    <w:top w:val="none" w:sz="0" w:space="0" w:color="auto"/>
                    <w:left w:val="none" w:sz="0" w:space="0" w:color="auto"/>
                    <w:bottom w:val="none" w:sz="0" w:space="0" w:color="auto"/>
                    <w:right w:val="none" w:sz="0" w:space="0" w:color="auto"/>
                  </w:divBdr>
                  <w:divsChild>
                    <w:div w:id="1576746099">
                      <w:marLeft w:val="0"/>
                      <w:marRight w:val="0"/>
                      <w:marTop w:val="120"/>
                      <w:marBottom w:val="0"/>
                      <w:divBdr>
                        <w:top w:val="none" w:sz="0" w:space="0" w:color="auto"/>
                        <w:left w:val="none" w:sz="0" w:space="0" w:color="auto"/>
                        <w:bottom w:val="none" w:sz="0" w:space="0" w:color="auto"/>
                        <w:right w:val="none" w:sz="0" w:space="0" w:color="auto"/>
                      </w:divBdr>
                    </w:div>
                    <w:div w:id="484661903">
                      <w:marLeft w:val="0"/>
                      <w:marRight w:val="0"/>
                      <w:marTop w:val="0"/>
                      <w:marBottom w:val="0"/>
                      <w:divBdr>
                        <w:top w:val="none" w:sz="0" w:space="0" w:color="auto"/>
                        <w:left w:val="none" w:sz="0" w:space="0" w:color="auto"/>
                        <w:bottom w:val="none" w:sz="0" w:space="0" w:color="auto"/>
                        <w:right w:val="none" w:sz="0" w:space="0" w:color="auto"/>
                      </w:divBdr>
                    </w:div>
                  </w:divsChild>
                </w:div>
                <w:div w:id="1875268819">
                  <w:marLeft w:val="0"/>
                  <w:marRight w:val="0"/>
                  <w:marTop w:val="0"/>
                  <w:marBottom w:val="0"/>
                  <w:divBdr>
                    <w:top w:val="none" w:sz="0" w:space="0" w:color="auto"/>
                    <w:left w:val="none" w:sz="0" w:space="0" w:color="auto"/>
                    <w:bottom w:val="none" w:sz="0" w:space="0" w:color="auto"/>
                    <w:right w:val="none" w:sz="0" w:space="0" w:color="auto"/>
                  </w:divBdr>
                  <w:divsChild>
                    <w:div w:id="751465482">
                      <w:marLeft w:val="0"/>
                      <w:marRight w:val="0"/>
                      <w:marTop w:val="120"/>
                      <w:marBottom w:val="0"/>
                      <w:divBdr>
                        <w:top w:val="none" w:sz="0" w:space="0" w:color="auto"/>
                        <w:left w:val="none" w:sz="0" w:space="0" w:color="auto"/>
                        <w:bottom w:val="none" w:sz="0" w:space="0" w:color="auto"/>
                        <w:right w:val="none" w:sz="0" w:space="0" w:color="auto"/>
                      </w:divBdr>
                    </w:div>
                    <w:div w:id="136015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067157">
      <w:bodyDiv w:val="1"/>
      <w:marLeft w:val="0"/>
      <w:marRight w:val="0"/>
      <w:marTop w:val="0"/>
      <w:marBottom w:val="0"/>
      <w:divBdr>
        <w:top w:val="none" w:sz="0" w:space="0" w:color="auto"/>
        <w:left w:val="none" w:sz="0" w:space="0" w:color="auto"/>
        <w:bottom w:val="none" w:sz="0" w:space="0" w:color="auto"/>
        <w:right w:val="none" w:sz="0" w:space="0" w:color="auto"/>
      </w:divBdr>
    </w:div>
    <w:div w:id="1890073820">
      <w:bodyDiv w:val="1"/>
      <w:marLeft w:val="0"/>
      <w:marRight w:val="0"/>
      <w:marTop w:val="0"/>
      <w:marBottom w:val="0"/>
      <w:divBdr>
        <w:top w:val="none" w:sz="0" w:space="0" w:color="auto"/>
        <w:left w:val="none" w:sz="0" w:space="0" w:color="auto"/>
        <w:bottom w:val="none" w:sz="0" w:space="0" w:color="auto"/>
        <w:right w:val="none" w:sz="0" w:space="0" w:color="auto"/>
      </w:divBdr>
      <w:divsChild>
        <w:div w:id="637226346">
          <w:marLeft w:val="0"/>
          <w:marRight w:val="0"/>
          <w:marTop w:val="0"/>
          <w:marBottom w:val="0"/>
          <w:divBdr>
            <w:top w:val="none" w:sz="0" w:space="0" w:color="auto"/>
            <w:left w:val="none" w:sz="0" w:space="0" w:color="auto"/>
            <w:bottom w:val="none" w:sz="0" w:space="0" w:color="auto"/>
            <w:right w:val="none" w:sz="0" w:space="0" w:color="auto"/>
          </w:divBdr>
          <w:divsChild>
            <w:div w:id="290986824">
              <w:marLeft w:val="0"/>
              <w:marRight w:val="0"/>
              <w:marTop w:val="0"/>
              <w:marBottom w:val="0"/>
              <w:divBdr>
                <w:top w:val="none" w:sz="0" w:space="0" w:color="auto"/>
                <w:left w:val="none" w:sz="0" w:space="0" w:color="auto"/>
                <w:bottom w:val="none" w:sz="0" w:space="0" w:color="auto"/>
                <w:right w:val="none" w:sz="0" w:space="0" w:color="auto"/>
              </w:divBdr>
            </w:div>
          </w:divsChild>
        </w:div>
        <w:div w:id="1199128503">
          <w:marLeft w:val="0"/>
          <w:marRight w:val="0"/>
          <w:marTop w:val="0"/>
          <w:marBottom w:val="0"/>
          <w:divBdr>
            <w:top w:val="none" w:sz="0" w:space="0" w:color="auto"/>
            <w:left w:val="none" w:sz="0" w:space="0" w:color="auto"/>
            <w:bottom w:val="none" w:sz="0" w:space="0" w:color="auto"/>
            <w:right w:val="none" w:sz="0" w:space="0" w:color="auto"/>
          </w:divBdr>
          <w:divsChild>
            <w:div w:id="194723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544676">
      <w:bodyDiv w:val="1"/>
      <w:marLeft w:val="0"/>
      <w:marRight w:val="0"/>
      <w:marTop w:val="0"/>
      <w:marBottom w:val="0"/>
      <w:divBdr>
        <w:top w:val="none" w:sz="0" w:space="0" w:color="auto"/>
        <w:left w:val="none" w:sz="0" w:space="0" w:color="auto"/>
        <w:bottom w:val="none" w:sz="0" w:space="0" w:color="auto"/>
        <w:right w:val="none" w:sz="0" w:space="0" w:color="auto"/>
      </w:divBdr>
      <w:divsChild>
        <w:div w:id="90049682">
          <w:marLeft w:val="0"/>
          <w:marRight w:val="0"/>
          <w:marTop w:val="120"/>
          <w:marBottom w:val="0"/>
          <w:divBdr>
            <w:top w:val="none" w:sz="0" w:space="0" w:color="auto"/>
            <w:left w:val="none" w:sz="0" w:space="0" w:color="auto"/>
            <w:bottom w:val="none" w:sz="0" w:space="0" w:color="auto"/>
            <w:right w:val="none" w:sz="0" w:space="0" w:color="auto"/>
          </w:divBdr>
        </w:div>
        <w:div w:id="1007949189">
          <w:marLeft w:val="0"/>
          <w:marRight w:val="0"/>
          <w:marTop w:val="0"/>
          <w:marBottom w:val="0"/>
          <w:divBdr>
            <w:top w:val="none" w:sz="0" w:space="0" w:color="auto"/>
            <w:left w:val="none" w:sz="0" w:space="0" w:color="auto"/>
            <w:bottom w:val="none" w:sz="0" w:space="0" w:color="auto"/>
            <w:right w:val="none" w:sz="0" w:space="0" w:color="auto"/>
          </w:divBdr>
        </w:div>
        <w:div w:id="454374904">
          <w:marLeft w:val="0"/>
          <w:marRight w:val="0"/>
          <w:marTop w:val="120"/>
          <w:marBottom w:val="0"/>
          <w:divBdr>
            <w:top w:val="none" w:sz="0" w:space="0" w:color="auto"/>
            <w:left w:val="none" w:sz="0" w:space="0" w:color="auto"/>
            <w:bottom w:val="none" w:sz="0" w:space="0" w:color="auto"/>
            <w:right w:val="none" w:sz="0" w:space="0" w:color="auto"/>
          </w:divBdr>
        </w:div>
        <w:div w:id="1902909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008A5-6DCA-438D-8FAE-792385F79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Template>
  <TotalTime>11</TotalTime>
  <Pages>6</Pages>
  <Words>1313</Words>
  <Characters>10665</Characters>
  <Application>Microsoft Office Word</Application>
  <DocSecurity>0</DocSecurity>
  <Lines>177</Lines>
  <Paragraphs>69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83</cp:revision>
  <cp:lastPrinted>2022-02-15T11:39:00Z</cp:lastPrinted>
  <dcterms:created xsi:type="dcterms:W3CDTF">2022-07-15T09:52:00Z</dcterms:created>
  <dcterms:modified xsi:type="dcterms:W3CDTF">2023-02-08T07:38:00Z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7.0.8.0</vt:lpwstr>
  </property>
  <property fmtid="{D5CDD505-2E9C-101B-9397-08002B2CF9AE}" pid="4" name="Last edited using">
    <vt:lpwstr>LW 8.1, Build 20220902</vt:lpwstr>
  </property>
  <property fmtid="{D5CDD505-2E9C-101B-9397-08002B2CF9AE}" pid="5" name="Created using">
    <vt:lpwstr>LW 7.0, Build 20190717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SG-057</vt:lpwstr>
  </property>
  <property fmtid="{D5CDD505-2E9C-101B-9397-08002B2CF9AE}" pid="10" name="DQCStatus">
    <vt:lpwstr>Yellow (DQC version 03)</vt:lpwstr>
  </property>
  <property fmtid="{D5CDD505-2E9C-101B-9397-08002B2CF9AE}" pid="11" name="MSIP_Label_6bd9ddd1-4d20-43f6-abfa-fc3c07406f94_Enabled">
    <vt:lpwstr>true</vt:lpwstr>
  </property>
  <property fmtid="{D5CDD505-2E9C-101B-9397-08002B2CF9AE}" pid="12" name="MSIP_Label_6bd9ddd1-4d20-43f6-abfa-fc3c07406f94_SetDate">
    <vt:lpwstr>2023-02-08T07:36:14Z</vt:lpwstr>
  </property>
  <property fmtid="{D5CDD505-2E9C-101B-9397-08002B2CF9AE}" pid="13" name="MSIP_Label_6bd9ddd1-4d20-43f6-abfa-fc3c07406f94_Method">
    <vt:lpwstr>Standard</vt:lpwstr>
  </property>
  <property fmtid="{D5CDD505-2E9C-101B-9397-08002B2CF9AE}" pid="14" name="MSIP_Label_6bd9ddd1-4d20-43f6-abfa-fc3c07406f94_Name">
    <vt:lpwstr>Commission Use</vt:lpwstr>
  </property>
  <property fmtid="{D5CDD505-2E9C-101B-9397-08002B2CF9AE}" pid="15" name="MSIP_Label_6bd9ddd1-4d20-43f6-abfa-fc3c07406f94_SiteId">
    <vt:lpwstr>b24c8b06-522c-46fe-9080-70926f8dddb1</vt:lpwstr>
  </property>
  <property fmtid="{D5CDD505-2E9C-101B-9397-08002B2CF9AE}" pid="16" name="MSIP_Label_6bd9ddd1-4d20-43f6-abfa-fc3c07406f94_ActionId">
    <vt:lpwstr>36a3cd6e-36c2-4551-8f1d-5a0ed181e565</vt:lpwstr>
  </property>
  <property fmtid="{D5CDD505-2E9C-101B-9397-08002B2CF9AE}" pid="17" name="MSIP_Label_6bd9ddd1-4d20-43f6-abfa-fc3c07406f94_ContentBits">
    <vt:lpwstr>0</vt:lpwstr>
  </property>
  <property name="OP_sanitized" fmtid="{D5CDD505-2E9C-101B-9397-08002B2CF9AE}" pid="18">
    <vt:lpwstr>True</vt:lpwstr>
  </property>
</Properties>
</file>