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7D0B7D3-46B4-4AF5-9466-0C7B2B3038C6" style="width:454.45pt;height:440.05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tc>
          <w:tcPr>
            <w:tcW w:w="10490" w:type="dxa"/>
            <w:tcBorders>
              <w:bottom w:val="single" w:sz="4" w:space="0" w:color="auto"/>
            </w:tcBorders>
            <w:shd w:val="clear" w:color="auto" w:fill="CCCCCC"/>
          </w:tcPr>
          <w:p>
            <w:pP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Δελτίο συνοπτικής παρουσίασης</w:t>
            </w:r>
          </w:p>
        </w:tc>
      </w:tr>
      <w:tr>
        <w:tc>
          <w:tcPr>
            <w:tcW w:w="10490" w:type="dxa"/>
            <w:tcBorders>
              <w:top w:val="single" w:sz="4" w:space="0" w:color="auto"/>
              <w:left w:val="single" w:sz="4" w:space="0" w:color="auto"/>
              <w:bottom w:val="single" w:sz="4" w:space="0" w:color="auto"/>
              <w:right w:val="single" w:sz="4" w:space="0" w:color="auto"/>
            </w:tcBorders>
            <w:shd w:val="clear" w:color="auto" w:fill="4F81BD"/>
          </w:tcPr>
          <w:p>
            <w:pPr>
              <w:rPr>
                <w:rFonts w:ascii="Times New Roman" w:hAnsi="Times New Roman" w:cs="Times New Roman"/>
                <w:noProof/>
                <w:sz w:val="24"/>
                <w:szCs w:val="24"/>
              </w:rPr>
            </w:pPr>
            <w:r>
              <w:rPr>
                <w:rFonts w:ascii="Times New Roman" w:hAnsi="Times New Roman"/>
                <w:noProof/>
                <w:sz w:val="24"/>
                <w:szCs w:val="24"/>
              </w:rPr>
              <w:t>Εκτίμηση επιπτώσεων για την αναθεώρηση του συστήματος εμπορίας δικαιωμάτων εκπομπών της ΕΕ όσον αφορά τις αεροπορικές μεταφορές</w:t>
            </w:r>
          </w:p>
        </w:tc>
      </w:tr>
      <w:tr>
        <w:tc>
          <w:tcPr>
            <w:tcW w:w="10490" w:type="dxa"/>
            <w:tcBorders>
              <w:bottom w:val="single" w:sz="4" w:space="0" w:color="auto"/>
            </w:tcBorders>
            <w:shd w:val="clear" w:color="auto" w:fill="CCCCCC"/>
          </w:tcPr>
          <w:p>
            <w:pPr>
              <w:rPr>
                <w:rFonts w:ascii="Times New Roman" w:hAnsi="Times New Roman" w:cs="Times New Roman"/>
                <w:b/>
                <w:noProof/>
                <w:sz w:val="24"/>
                <w:szCs w:val="24"/>
              </w:rPr>
            </w:pPr>
            <w:r>
              <w:rPr>
                <w:rFonts w:ascii="Times New Roman" w:hAnsi="Times New Roman"/>
                <w:b/>
                <w:noProof/>
                <w:sz w:val="24"/>
                <w:szCs w:val="24"/>
              </w:rPr>
              <w:t>Α. Ανάγκη ανάληψης δράσης</w:t>
            </w:r>
          </w:p>
        </w:tc>
      </w:tr>
      <w:tr>
        <w:tc>
          <w:tcPr>
            <w:tcW w:w="10490" w:type="dxa"/>
            <w:tcBorders>
              <w:bottom w:val="single" w:sz="4" w:space="0" w:color="auto"/>
            </w:tcBorders>
            <w:shd w:val="clear" w:color="auto" w:fill="E0E0E0"/>
          </w:tcPr>
          <w:p>
            <w:pPr>
              <w:rPr>
                <w:rFonts w:ascii="Times New Roman" w:hAnsi="Times New Roman" w:cs="Times New Roman"/>
                <w:noProof/>
                <w:sz w:val="24"/>
                <w:szCs w:val="24"/>
              </w:rPr>
            </w:pPr>
            <w:r>
              <w:rPr>
                <w:rFonts w:ascii="Times New Roman" w:hAnsi="Times New Roman"/>
                <w:b/>
                <w:noProof/>
                <w:sz w:val="24"/>
                <w:szCs w:val="24"/>
              </w:rPr>
              <w:t xml:space="preserve">Ποιο είναι το πρόβλημα και γιατί αποτελεί πρόβλημα σε επίπεδο ΕΕ; </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Η πρωτοβουλία αυτή εξετάζει τρία προβλήματα. Πρώτον, σύμφωνα με την Πράσινη Συμφωνία, πρέπει να διασφαλιστεί ότι οι αεροπορικές μεταφορές συμβάλλουν στον νέο στόχο μείωσης των εκπομπών αερίων του θερμοκηπίου έως το 2030 και στον στόχο κλιματικής ουδετερότητας έως το 2050. Δεύτερον, το ΣΕΔΕ της ΕΕ θα πρέπει να τροποποιηθεί όσον αφορά το σύστημα αντιστάθμισης και μείωσης των ανθρακούχων εκπομπών για τις διεθνείς αεροπορικές μεταφορές («CORSIA») του ΔΟΠΑ, όπως αρμόζει, σύμφωνα με τη δέσμευση της ΕΕ για μείωση των εκπομπών αερίων θερμοκηπίου στο σύνολο της οικονομίας έως το 2030. Τέλος, η κατανομή δικαιωμάτων εκπομπών στον τομέα των αεροπορικών μεταφορών θα πρέπει να μειωθεί προκειμένου να αυξηθεί η αποτελεσματικότητα του μηνύματος σχετικά με την τιμή των ανθρακούχων εκπομπών και να αρθούν οι στρεβλώσεις της αγοράς.</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Τι θα πρέπει να επιτευχθεί;</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Στόχος είναι η αναθεώρηση του ΣΕΔΕ όσον αφορά τις αεροπορικές μεταφορές με οικονομικά αποδοτικό και συνεκτικό τρόπο, σύμφωνα με τον αυξημένο κλιματικό στόχο, λαμβάνοντας παράλληλα υπόψη την ανάγκη για μια δίκαιη μετάβαση και την ανάγκη να συμβάλουν όλοι οι τομείς στις προσπάθειες της ΕΕ για το κλίμα.</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Ποια είναι η προστιθέμενη αξία της δράσης σε επίπεδο ΕΕ (επικουρικότητα);</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Η κλιματική αλλαγή αποτελεί διασυνοριακό πρόβλημα. Ως αγορά ανθρακούχων εκπομπών, το ΣΕΔΕ της ΕΕ παρέχει καταρχάς κίνητρα για τη μείωση των εκπομπών με τις πλέον οικονομικά αποδοτικές λύσεις, σε όλες τις δραστηριότητες και τις χώρες που καλύπτει, επιτυγχάνοντας μεγαλύτερη αποτελεσματικότητα λόγω της κλίμακάς του. Η εφαρμογή παρόμοιου μέτρου σε εθνικό επίπεδο θα οδηγούσε σε μικρότερες και κατακερματισμένες αγορές ανθρακούχων εκπομπών, με κίνδυνο να σημειωθούν στρεβλώσεις του ανταγωνισμού και πιθανότατα να αυξηθεί το συνολικό κόστος μείωσης των εκπομπών. Καθώς οι αεροπορικές μεταφορές πραγματοποιούνται κυρίως μεταξύ χωρών, η υπερεθνική δράση είναι πιο αποτελεσματική για την αντιμετώπιση των εκπομπών από τις αεροπορικές μεταφορές, διασφαλίζοντας παράλληλα την ίση μεταχείριση μέσω του ενωσιακού δικαίου.</w:t>
            </w:r>
          </w:p>
        </w:tc>
      </w:tr>
      <w:tr>
        <w:tc>
          <w:tcPr>
            <w:tcW w:w="10490" w:type="dxa"/>
            <w:tcBorders>
              <w:bottom w:val="single" w:sz="4" w:space="0" w:color="auto"/>
            </w:tcBorders>
            <w:shd w:val="clear" w:color="auto" w:fill="CCCCCC"/>
          </w:tcPr>
          <w:p>
            <w:pPr>
              <w:rPr>
                <w:rFonts w:ascii="Times New Roman" w:hAnsi="Times New Roman" w:cs="Times New Roman"/>
                <w:b/>
                <w:noProof/>
                <w:sz w:val="24"/>
                <w:szCs w:val="24"/>
              </w:rPr>
            </w:pPr>
            <w:r>
              <w:rPr>
                <w:rFonts w:ascii="Times New Roman" w:hAnsi="Times New Roman"/>
                <w:b/>
                <w:noProof/>
                <w:sz w:val="24"/>
                <w:szCs w:val="24"/>
              </w:rPr>
              <w:t>Β. Λύσεις</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Ποιες είναι οι διάφορες επιλογές για την επίτευξη των στόχων;</w:t>
            </w:r>
            <w:r>
              <w:rPr>
                <w:rFonts w:ascii="Times New Roman" w:hAnsi="Times New Roman"/>
                <w:noProof/>
                <w:sz w:val="24"/>
                <w:szCs w:val="24"/>
              </w:rPr>
              <w:t xml:space="preserve"> </w:t>
            </w:r>
            <w:r>
              <w:rPr>
                <w:rFonts w:ascii="Times New Roman" w:hAnsi="Times New Roman"/>
                <w:b/>
                <w:noProof/>
                <w:sz w:val="24"/>
                <w:szCs w:val="24"/>
              </w:rPr>
              <w:t>Υπάρχει προτιμώμενη επιλογή ή όχι; Αν όχι, γιατί;</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Βασικό στοιχείο είναι η ενίσχυση του υφιστάμενου ΣΕΔΕ ώστε να αυξηθεί η φιλοδοξία του σύμφωνα με τον καθαρό στόχο για τουλάχιστον -55 % έως το 2030 και να διασφαλιστεί ότι οι αεροπορικές μεταφορές συμβάλλουν στην επίτευξη αυτού του στόχου. Οι επιλογές για την εφαρμογή του CORSIA, ανάλογα με την περίπτωση, διαφέρουν ως προς το βαθμό στον οποίο διατηρείται, μειώνεται ή επεκτείνεται η υφιστάμενη κάλυψη του ΣΕΔΕ της ΕΕ. Η προτιμώμενη επιλογή (C3CLEAN) είναι να διατηρηθεί η τρέχουσα κάλυψη του ΣΕΔΕ της ΕΕ (πτήσεις εντός του ΕΟΧ, συμπεριλαμβανομένων των πτήσεων που αναχωρούν προς την Ελβετία και το Ηνωμένο Βασίλειο) και να εφαρμοστούν αντισταθμιστικές προσεγγίσεις του CORSIA για τις πτήσεις που δεν καλύπτονται επί του παρόντος από το ΣΕΔΕ της ΕΕ (πτήσεις προς/από άλλες τρίτες χώρες που συμμετέχουν στο σύστημα), ενώ οι μονάδες αντιστάθμισης θα πρέπει να προέρχονται από χώρες της συμφωνίας του Παρισιού, οι οποίες εφαρμόζουν το CORSIA, και θα πρέπει να αποκλειστεί η διπλή μέτρηση. Η επιλογή αυτή συνδυάζει τη συνέχιση ενός αποτελεσματικού και αποδεδειγμένου ευρωπαϊκού μέσου πολιτικής που παρέχει κίνητρα για τη μείωση των εκπομπών και ταυτόχρονα περνάει ένα εποικοδομητικό διεθνές μήνυμα ότι η ΕΕ επιθυμεί την επιτυχία του συστήματος εκπομπών CORSIA και την υλοποίηση, μέσω αυτού, της ουσιαστικής μείωσης των εκπομπών.</w:t>
            </w:r>
            <w:r>
              <w:rPr>
                <w:noProof/>
              </w:rPr>
              <w:t xml:space="preserve"> </w:t>
            </w:r>
            <w:r>
              <w:rPr>
                <w:rFonts w:ascii="Times New Roman" w:hAnsi="Times New Roman"/>
                <w:noProof/>
                <w:sz w:val="24"/>
                <w:szCs w:val="24"/>
              </w:rPr>
              <w:t>Οι επιλογές για την αύξηση του ποσοστού προς πλειστηριασμό κατά την κατανομή των δικαιωμάτων του κλάδου των αεροπορικών μεταφορών διαφέρουν ως προς τον ρυθμό της αύξησης. Η προτιμώμενη επιλογή είναι ο άμεσος πλήρης πλειστηριασμός από την έναρξη ισχύος της τροπολογίας.</w:t>
            </w:r>
          </w:p>
        </w:tc>
      </w:tr>
      <w:tr>
        <w:tc>
          <w:tcPr>
            <w:tcW w:w="10490" w:type="dxa"/>
            <w:shd w:val="clear" w:color="auto" w:fill="CCCCCC"/>
          </w:tcPr>
          <w:p>
            <w:pPr>
              <w:rPr>
                <w:rFonts w:ascii="Times New Roman" w:hAnsi="Times New Roman" w:cs="Times New Roman"/>
                <w:noProof/>
                <w:sz w:val="24"/>
                <w:szCs w:val="24"/>
              </w:rPr>
            </w:pPr>
            <w:r>
              <w:rPr>
                <w:rFonts w:ascii="Times New Roman" w:hAnsi="Times New Roman"/>
                <w:b/>
                <w:noProof/>
                <w:sz w:val="24"/>
                <w:szCs w:val="24"/>
              </w:rPr>
              <w:t xml:space="preserve">Ποιες απόψεις διατύπωσαν οι διάφοροι ενδιαφερόμενοι φορείς; Ποιος υποστηρίζει την κάθε επιλογή; </w:t>
            </w:r>
          </w:p>
        </w:tc>
      </w:tr>
      <w:tr>
        <w:tc>
          <w:tcPr>
            <w:tcW w:w="10490" w:type="dxa"/>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Στη δημόσια διαβούλευση, το 91 % όσων απάντησαν συμφωνεί ότι ο τομέας των αεροπορικών μεταφορών πρέπει να συμβάλει περισσότερο στις δράσεις για το κλίμα. Το 88 % όσων απάντησαν πιστεύει ότι οι εκπομπές από τις αεροπορικές μεταφορές μπορούν να αντιμετωπιστούν αποτελεσματικά με αγορακεντρικά μέτρα όπως υπαγορεύεται από τους κλιματικούς στόχους. Το 82 % όσων απάντησαν στη δημόσια διαβούλευση συμφώνησε ότι τα αγορακεντρικά μέτρα πρέπει να συνδυάζονται με άλλες πολιτικές, όπως η στήριξη καινοτόμων αεροπορικών τεχνολογιών, οι επιχειρησιακές βελτιώσεις, η φορολόγηση και η παραγωγή και χρήση βιώσιμων αεροπορικών καυσίμων. Οι απόψεις των ενδιαφερομένων φορέων διέφεραν όσον αφορά τις επιλογές εφαρμογής του CORSIA. Για την αύξηση του ποσοστού προς πλειστηριασμό, οι ενδιαφερόμενοι φορείς προτίμησαν περισσότερο την άμεση σταδιακή κατάργηση, ενώ θεώρησαν τη διατήρηση της υφιστάμενης κατάστασης ως τη λιγότερο προτιμώμενη επιλογή. Η μεγάλη πλειοψηφία των ενδιαφερομένων έκρινε ότι η αύξηση του ποσοστού προς πλειστηριασμό θα μπορούσε να αυξήσει το κόστος των πτήσεων, ενώ η πλειοψηφία συμφώνησε επίσης ότι το μέτρο αυτό θα μπορούσε να συμβάλει στον μετριασμό της κλιματικής αλλαγής.</w:t>
            </w:r>
          </w:p>
        </w:tc>
      </w:tr>
      <w:tr>
        <w:tc>
          <w:tcPr>
            <w:tcW w:w="10490" w:type="dxa"/>
            <w:tcBorders>
              <w:bottom w:val="single" w:sz="4" w:space="0" w:color="auto"/>
            </w:tcBorders>
            <w:shd w:val="clear" w:color="auto" w:fill="CCCCCC"/>
          </w:tcPr>
          <w:p>
            <w:pPr>
              <w:rPr>
                <w:rFonts w:ascii="Times New Roman" w:hAnsi="Times New Roman" w:cs="Times New Roman"/>
                <w:b/>
                <w:noProof/>
                <w:sz w:val="24"/>
                <w:szCs w:val="24"/>
              </w:rPr>
            </w:pPr>
            <w:r>
              <w:rPr>
                <w:rFonts w:ascii="Times New Roman" w:hAnsi="Times New Roman"/>
                <w:b/>
                <w:noProof/>
                <w:sz w:val="24"/>
                <w:szCs w:val="24"/>
              </w:rPr>
              <w:t>Γ. Επιπτώσεις της προτιμώμενης επιλογής</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Ποια είναι τα οφέλη</w:t>
            </w:r>
            <w:r>
              <w:rPr>
                <w:rFonts w:ascii="Times New Roman" w:hAnsi="Times New Roman"/>
                <w:noProof/>
                <w:sz w:val="24"/>
                <w:szCs w:val="24"/>
              </w:rPr>
              <w:t xml:space="preserve"> </w:t>
            </w:r>
            <w:r>
              <w:rPr>
                <w:rFonts w:ascii="Times New Roman" w:hAnsi="Times New Roman"/>
                <w:b/>
                <w:noProof/>
                <w:sz w:val="24"/>
                <w:szCs w:val="24"/>
              </w:rPr>
              <w:t xml:space="preserve"> της προτιμώμενης επιλογής (ειδάλλως, των κυριότερων επιλογών);</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 xml:space="preserve">Τα τιμολογιακά κίνητρα είναι απαραίτητα στο πλαίσιο της παροχής κινήτρων για τη μείωση των εκπομπών και την εφαρμογή της αρχής «ο ρυπαίνων πληρώνει» Τα κίνητρα στο πλαίσιο του ΣΕΔΕ της ΕΕ έχουν θετικές επιδόσεις και είναι τάξεις μεγέθους υψηλότερες από τα κίνητρα των μέτρων αντιστάθμισης του CORSIA. Κατά συνέπεια, η προτιμώμενη επιλογή συμβάλλει πιο αποτελεσματικά στην επίτευξη του στόχου της ΕΕ για τη μείωση των εκπομπών, διατηρώντας παράλληλα τη μείωση των εγχώριων εκπομπών. </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Ποιο είναι το κόστος της προτιμώμενης επιλογής (ειδάλλως, των κυριότερων επιλογών);</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Η αύξηση του ποσοστού προς πλειστηριασμό θα αυξήσει το κόστος των ανθρακούχων εκπομπών για τις αεροπορικές εταιρείες. Καθώς η δυνατότητα μετακύλισης του κόστους στις αεροπορικές μεταφορές είναι σχετικά υψηλή, αυτό θα έχει ως αποτέλεσμα την αύξηση των τιμών των εισιτηρίων. Η αύξηση εκτιμάται ότι θα έχει ελάχιστο αντίκτυπο στους καταναλωτές.</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 xml:space="preserve">Ποιες είναι οι επιπτώσεις στις ΜΜΕ και στην ανταγωνιστικότητα; </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Οι στρεβλώσεις του ανταγωνισμού προκύπτουν όταν οι πολιτικές δεν εφαρμόζονται εξίσου στα δρομολόγια και όταν δεν επιβάλλονται ισότιμα. Η επιβολή υπήρξε καθοριστική για την επιτυχία του ΣΕΔΕ της ΕΕ μέχρι σήμερα. Η προτιμώμενη επιλογή εφαρμόζει το ΣΕΔΕ της ΕΕ με ομοιόμορφο τρόπο σε όλες τις αεροπορικές εταιρείες που εκτελούν το ίδιο δρομολόγιο και, επομένως, δεν δημιουργεί άμεσες στρεβλώσεις.</w:t>
            </w:r>
            <w:r>
              <w:rPr>
                <w:noProof/>
              </w:rPr>
              <w:t xml:space="preserve"> </w:t>
            </w:r>
            <w:r>
              <w:rPr>
                <w:rFonts w:ascii="Times New Roman" w:hAnsi="Times New Roman"/>
                <w:noProof/>
                <w:sz w:val="24"/>
                <w:szCs w:val="24"/>
              </w:rPr>
              <w:t>Υπάρχει ο κίνδυνος οι αεροπορικές εταιρείες που έχουν μεγαλύτερο ποσοστό πτήσεων σε δρομολόγια με υψηλό κόστος ανθρακούχων εκπομπών να επηρεαστούν περισσότερο από τις αεροπορικές εταιρείες που πραγματοποιούν δρομολόγια με χαμηλότερο κόστος ανθρακούχων εκπομπών. Ωστόσο, ο αντίκτυπος αυτός εκτιμάται ως αμελητέος για τον κλάδο.</w:t>
            </w:r>
          </w:p>
          <w:p>
            <w:pPr>
              <w:jc w:val="both"/>
              <w:rPr>
                <w:rFonts w:ascii="Times New Roman" w:hAnsi="Times New Roman" w:cs="Times New Roman"/>
                <w:noProof/>
                <w:sz w:val="24"/>
                <w:szCs w:val="24"/>
              </w:rPr>
            </w:pPr>
            <w:r>
              <w:rPr>
                <w:rFonts w:ascii="Times New Roman" w:hAnsi="Times New Roman"/>
                <w:noProof/>
                <w:sz w:val="24"/>
                <w:szCs w:val="24"/>
              </w:rPr>
              <w:t xml:space="preserve">Οι ΜΜΕ δεν επηρεάζονται σημαντικά από την προτιμώμενη επιλογή. </w:t>
            </w:r>
          </w:p>
        </w:tc>
      </w:tr>
      <w:tr>
        <w:tc>
          <w:tcPr>
            <w:tcW w:w="10490" w:type="dxa"/>
            <w:tcBorders>
              <w:bottom w:val="single" w:sz="4" w:space="0" w:color="auto"/>
            </w:tcBorders>
            <w:shd w:val="clear" w:color="auto" w:fill="E6E6E6"/>
          </w:tcPr>
          <w:p>
            <w:pPr>
              <w:rPr>
                <w:rFonts w:ascii="Times New Roman" w:hAnsi="Times New Roman" w:cs="Times New Roman"/>
                <w:b/>
                <w:i/>
                <w:noProof/>
                <w:sz w:val="24"/>
                <w:szCs w:val="24"/>
              </w:rPr>
            </w:pPr>
            <w:r>
              <w:rPr>
                <w:rFonts w:ascii="Times New Roman" w:hAnsi="Times New Roman"/>
                <w:noProof/>
                <w:sz w:val="24"/>
                <w:szCs w:val="24"/>
              </w:rPr>
              <w:t xml:space="preserve">Θα υπάρξουν σημαντικές επιπτώσεις στους εθνικούς προϋπολογισμούς και στις εθνικές διοικήσεις; </w:t>
            </w:r>
          </w:p>
        </w:tc>
      </w:tr>
      <w:tr>
        <w:tc>
          <w:tcPr>
            <w:tcW w:w="10490" w:type="dxa"/>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 xml:space="preserve">Στο πλαίσιο του υφιστάμενου ΣΕΔΕ, το μεγαλύτερο μέρος των εσόδων πλειστηριασμού περιέρχεται στα κράτη μέλη, επομένως υπάρχει θετικός αντίκτυπος στους εθνικούς προϋπολογισμούς. Οι προτιμώμενες επιλογές συμβάλλουν περισσότερο στη δημιουργία εσόδων εντός της ΕΕ. Ο βαθμός στον οποίο αυτό ισχύει για τα πρόσθετα έσοδα που προκύπτουν από την αύξηση του πλειστηριασμού εξαρτάται από την έκταση χρήσης των εσόδων για τους ίδιους πόρους της ΕΕ. </w:t>
            </w:r>
            <w:r>
              <w:rPr>
                <w:rFonts w:ascii="Times New Roman" w:hAnsi="Times New Roman"/>
                <w:noProof/>
                <w:sz w:val="24"/>
                <w:szCs w:val="24"/>
              </w:rPr>
              <w:br/>
              <w:t>Για την υφιστάμενη κάλυψη του ΣΕΔΕ της ΕΕ, δεν υπάρχουν πρόσθετες διοικητικές επιπτώσεις στις εθνικές διοικήσεις. Οι επιπτώσεις της εφαρμογής του CORSIA θα μπορούσαν να περιοριστούν με τη χρήση των ίδιων υποδομών.</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Θα υπάρξουν άλλες σημαντικές επιπτώσεις;</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jc w:val="both"/>
              <w:rPr>
                <w:rFonts w:ascii="Times New Roman" w:hAnsi="Times New Roman" w:cs="Times New Roman"/>
                <w:noProof/>
                <w:sz w:val="24"/>
                <w:szCs w:val="24"/>
              </w:rPr>
            </w:pPr>
            <w:r>
              <w:rPr>
                <w:rFonts w:ascii="Times New Roman" w:hAnsi="Times New Roman"/>
                <w:noProof/>
                <w:sz w:val="24"/>
                <w:szCs w:val="24"/>
              </w:rPr>
              <w:t>Η προτιμώμενη επιλογή θα διατηρήσει τις εγχώριες φιλοδοξίες, στέλνοντας παράλληλα ένα εποικοδομητικό διεθνές μήνυμα ότι η ΕΕ επιθυμεί την επιτυχία του συστήματος συνολικών εκπομπών και την επίτευξη ουσιαστικής μείωσης των εκπομπών. Αυτό συνάδει με τις υψηλές φιλοδοξίες της για το κλίμα και την υποστήριξη της πολυμερούς δράσης για το κλίμα τόσο μέσω της Συμφωνίας του Παρισιού όσο και μέσω άλλων οργανισμών των Ηνωμένων Εθνών. Για να λειτουργήσει και να είναι αποτελεσματικό το CORSIA, πρέπει να συμμετέχουν όλοι οι στρατηγικοί εταίροι και να αναλάβουν την εφαρμογή του σε εθνικό επίπεδο. Η ΕΕ θα εξακολουθήσει να στηρίζει τις προσπάθειες, σε πολυμερές επίπεδο στο πλαίσιο του ΔΟΠΑ και σε διμερές επίπεδο με στρατηγικούς εταίρους, για την παροχή κινήτρων συμμετοχής και εφαρμογής σε εθνικό επίπεδο, καθώς και να επιδιώκει την επίτευξη από το CORSIA τουλάχιστον του αρχικού επιπέδου φιλοδοξίας του και την περαιτέρω ενίσχυσή του, αποφεύγοντας οποιαδήποτε οπισθοδρόμηση με την ευκαιρία της πρώτης αναθεώρησης που έχει προγραμματιστεί για το 2022.</w:t>
            </w:r>
          </w:p>
        </w:tc>
      </w:tr>
      <w:tr>
        <w:tc>
          <w:tcPr>
            <w:tcW w:w="10490" w:type="dxa"/>
            <w:tcBorders>
              <w:bottom w:val="single" w:sz="4" w:space="0" w:color="auto"/>
            </w:tcBorders>
            <w:shd w:val="clear" w:color="auto" w:fill="D9D9D9"/>
          </w:tcPr>
          <w:p>
            <w:pPr>
              <w:rPr>
                <w:rFonts w:ascii="Times New Roman" w:hAnsi="Times New Roman" w:cs="Times New Roman"/>
                <w:i/>
                <w:noProof/>
                <w:sz w:val="24"/>
                <w:szCs w:val="24"/>
              </w:rPr>
            </w:pPr>
            <w:r>
              <w:rPr>
                <w:rFonts w:ascii="Times New Roman" w:hAnsi="Times New Roman"/>
                <w:b/>
                <w:noProof/>
                <w:sz w:val="24"/>
                <w:szCs w:val="24"/>
              </w:rPr>
              <w:t>Αναλογικότητα;</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rPr>
                <w:rFonts w:ascii="Times New Roman" w:hAnsi="Times New Roman" w:cs="Times New Roman"/>
                <w:noProof/>
                <w:sz w:val="24"/>
                <w:szCs w:val="24"/>
              </w:rPr>
            </w:pPr>
            <w:r>
              <w:rPr>
                <w:rFonts w:ascii="Times New Roman" w:hAnsi="Times New Roman"/>
                <w:noProof/>
                <w:sz w:val="24"/>
                <w:szCs w:val="24"/>
              </w:rPr>
              <w:t>Οι κύριες επιλογές πολιτικής είναι ανάλογες με τα μέτρα που είναι αναγκαία για την επίτευξη του στόχου μείωσης των εκπομπών κατά τουλάχιστον 55 %. Το πράττουν αυτό με τον οικονομικά αποδοτικότερο τρόπο .</w:t>
            </w:r>
          </w:p>
        </w:tc>
      </w:tr>
      <w:tr>
        <w:tc>
          <w:tcPr>
            <w:tcW w:w="10490" w:type="dxa"/>
            <w:tcBorders>
              <w:bottom w:val="single" w:sz="4" w:space="0" w:color="auto"/>
            </w:tcBorders>
            <w:shd w:val="clear" w:color="auto" w:fill="C0C0C0"/>
          </w:tcPr>
          <w:p>
            <w:pPr>
              <w:rPr>
                <w:rFonts w:ascii="Times New Roman" w:hAnsi="Times New Roman" w:cs="Times New Roman"/>
                <w:b/>
                <w:noProof/>
                <w:sz w:val="24"/>
                <w:szCs w:val="24"/>
              </w:rPr>
            </w:pPr>
            <w:r>
              <w:rPr>
                <w:rFonts w:ascii="Times New Roman" w:hAnsi="Times New Roman"/>
                <w:b/>
                <w:noProof/>
                <w:sz w:val="24"/>
                <w:szCs w:val="24"/>
              </w:rPr>
              <w:t>Δ. Παρακολούθηση</w:t>
            </w:r>
          </w:p>
        </w:tc>
      </w:tr>
      <w:tr>
        <w:tc>
          <w:tcPr>
            <w:tcW w:w="10490" w:type="dxa"/>
            <w:tcBorders>
              <w:bottom w:val="single" w:sz="4" w:space="0" w:color="auto"/>
            </w:tcBorders>
            <w:shd w:val="clear" w:color="auto" w:fill="E6E6E6"/>
          </w:tcPr>
          <w:p>
            <w:pPr>
              <w:rPr>
                <w:rFonts w:ascii="Times New Roman" w:hAnsi="Times New Roman" w:cs="Times New Roman"/>
                <w:noProof/>
                <w:sz w:val="24"/>
                <w:szCs w:val="24"/>
              </w:rPr>
            </w:pPr>
            <w:r>
              <w:rPr>
                <w:rFonts w:ascii="Times New Roman" w:hAnsi="Times New Roman"/>
                <w:b/>
                <w:noProof/>
                <w:sz w:val="24"/>
                <w:szCs w:val="24"/>
              </w:rPr>
              <w:t xml:space="preserve">Πότε θα επανεξεταστεί η πολιτική; </w:t>
            </w:r>
          </w:p>
        </w:tc>
      </w:tr>
      <w:tr>
        <w:tc>
          <w:tcPr>
            <w:tcW w:w="10490" w:type="dxa"/>
            <w:tcBorders>
              <w:bottom w:val="single" w:sz="4" w:space="0" w:color="auto"/>
            </w:tcBorders>
            <w:shd w:val="clear" w:color="auto" w:fill="auto"/>
          </w:tcPr>
          <w:p>
            <w:pPr>
              <w:rPr>
                <w:rFonts w:ascii="Times New Roman" w:hAnsi="Times New Roman" w:cs="Times New Roman"/>
                <w:noProof/>
                <w:sz w:val="24"/>
                <w:szCs w:val="24"/>
              </w:rPr>
            </w:pPr>
            <w:r>
              <w:rPr>
                <w:rFonts w:ascii="Times New Roman" w:hAnsi="Times New Roman"/>
                <w:noProof/>
                <w:sz w:val="24"/>
                <w:szCs w:val="24"/>
              </w:rPr>
              <w:t xml:space="preserve">Όπως συμβαίνει σήμερα, στην οδηγία για το ΣΕΔΕ θα προβλέπεται τακτική αναθεώρηση.   </w:t>
            </w:r>
          </w:p>
        </w:tc>
      </w:tr>
    </w:tbl>
    <w:p>
      <w:pPr>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960?\u959?\u965? \u963?\u965?\u957?\u959?\u948?\u949?\u973?\u949?\u953? \u964?\u959? \u941?\u947?\u947?\u961?\u945?\u966?\u959?"/>
    <w:docVar w:name="LW_CORRIGENDUM" w:val="&lt;UNUSED&gt;"/>
    <w:docVar w:name="LW_COVERPAGE_EXISTS" w:val="True"/>
    <w:docVar w:name="LW_COVERPAGE_GUID" w:val="C7D0B7D3-46B4-4AF5-9466-0C7B2B3038C6"/>
    <w:docVar w:name="LW_COVERPAGE_TYPE" w:val="1"/>
    <w:docVar w:name="LW_CROSSREFERENCE" w:val="{COM(2021) 552 final} - {SEC(2021) 552 final} - {SWD(2021) 555 final} - {SWD(2021) 603 final}"/>
    <w:docVar w:name="LW_DocType" w:val="NORMAL"/>
    <w:docVar w:name="LW_EMISSION" w:val="14.7.2021"/>
    <w:docVar w:name="LW_EMISSION_ISODATE" w:val="2021-07-14"/>
    <w:docVar w:name="LW_EMISSION_LOCATION" w:val="BRX"/>
    <w:docVar w:name="LW_EMISSION_PREFIX" w:val="Βρυξέλλες, "/>
    <w:docVar w:name="LW_EMISSION_SUFFIX" w:val=" "/>
    <w:docVar w:name="LW_ID_DOCTYPE_NONLW" w:val="CP-027"/>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1?\u957? \u964?\u961?\u959?\u960?\u959?\u960?\u959?\u943?\u951?\u963?\u951? \u964?\u951?\u962? \u959?\u948?\u951?\u947?\u943?\u945?\u962? 2003/87/\u917?\u922? \u972?\u963?\u959?\u957? \u945?\u966?\u959?\u961?\u940? \u964?\u951? \u963?\u965?\u956?\u946?\u959?\u955?\u942? \u964?\u969?\u957? \u945?\u949?\u961?\u959?\u960?\u959?\u961?\u953?\u954?\u974?\u957? \u956?\u949?\u964?\u945?\u966?\u959?\u961?\u974?\u957? \u963?\u964?\u959?\u957? \u963?\u964?\u972?\u967?\u959? \u964?\u951?\u962? \u904?\u957?\u969?\u963?\u951?\u962? \u947?\u953?\u945? \u956?\u949?\u943?\u969?\u963?\u951? \u964?\u969?\u957? \u949?\u954?\u960?\u959?\u956?\u960?\u974?\u957? \u963?\u964?\u959? \u963?\u973?\u957?\u959?\u955?\u959? \u964?\u951?\u962? \u959?\u953?\u954?\u959?\u957?\u959?\u956?\u943?\u945?\u962? \u954?\u945?\u953? \u947?\u953?\u945? \u964?\u951?\u957? \u954?\u945?\u964?\u940?\u955?\u955?\u951?\u955?\u951? \u949?\u966?\u945?\u961?\u956?\u959?\u947?\u942? \u949?\u957?\u972?\u962? \u960?\u945?\u947?\u954?\u972?\u963?\u956?\u953?\u959?\u965? \u945?\u947?\u959?\u961?\u945?\u954?\u949?\u957?\u964?\u961?\u953?\u954?\u959?\u973? \u956?\u941?\u964?\u961?\u959?\u965?"/>
    <w:docVar w:name="LW_PART_NBR" w:val="1"/>
    <w:docVar w:name="LW_PART_NBR_TOTAL" w:val="1"/>
    <w:docVar w:name="LW_REF.INST.NEW" w:val="SWD"/>
    <w:docVar w:name="LW_REF.INST.NEW_ADOPTED" w:val="final"/>
    <w:docVar w:name="LW_REF.INST.NEW_TEXT" w:val="(2021) 6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u917?\u915?\u915?\u929?\u913?\u934?\u927? \u917?\u929?\u915?\u913?\u931?\u921?\u913?\u931? \u932?\u937?\u925? \u933?\u928?\u919?\u929?\u917?\u931?\u921?\u937?\u925? \u932?\u919?\u931? \u917?\u928?\u921?\u932?\u929?\u927?\u928?\u919?\u931?_x000b__x000b_\u931?\u933?\u925?\u927?\u928?\u932?\u921?\u922?\u919? \u928?\u913?\u929?\u927?\u933?\u931?\u921?\u913?\u931?\u919? \u932?\u919?\u931? \u917?\u922?\u920?\u917?\u931?\u919?\u931? \u917?\u922?\u932?\u921?\u924?\u919?\u931?\u919?\u931? \u917?\u928?\u921?\u928?\u932?\u937?\u931?\u917?\u937?\u925?_x000b_"/>
    <w:docVar w:name="LW_TYPEACTEPRINCIPAL.CP" w:val="\u928?\u961?\u972?\u964?\u945?\u963?\u951?_x000b_\u927?\u916?\u919?\u915?\u921?\u913? \u932?\u927?\u933? \u917?\u933?\u929?\u937?\u928?\u913?\u938?\u922?\u927?\u933? \u922?\u927?\u921?\u925?\u927?\u914?\u927?\u933?\u923?\u921?\u927?\u933? \u922?\u913?\u921? \u932?\u927?\u933? \u931?\u933?\u924?\u914?\u927?\u933?\u923?\u921?\u927?\u933?"/>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4" ma:contentTypeDescription="Create a new document." ma:contentTypeScope="" ma:versionID="933466e45b7e5e9a5eeb9796b0bb21d6">
  <xsd:schema xmlns:xsd="http://www.w3.org/2001/XMLSchema" xmlns:xs="http://www.w3.org/2001/XMLSchema" xmlns:p="http://schemas.microsoft.com/office/2006/metadata/properties" xmlns:ns2="f7c5e3fa-378b-48b1-a129-e33a73f99ee9" targetNamespace="http://schemas.microsoft.com/office/2006/metadata/properties" ma:root="true" ma:fieldsID="4bc0645a425ed0958977061e0a2c380d" ns2:_="">
    <xsd:import namespace="f7c5e3fa-378b-48b1-a129-e33a73f99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43F10-D4C5-440C-8700-6522A6F33337}">
  <ds:schemaRefs>
    <ds:schemaRef ds:uri="http://purl.org/dc/terms/"/>
    <ds:schemaRef ds:uri="http://schemas.microsoft.com/office/2006/documentManagement/types"/>
    <ds:schemaRef ds:uri="http://purl.org/dc/dcmitype/"/>
    <ds:schemaRef ds:uri="http://schemas.microsoft.com/office/infopath/2007/PartnerControls"/>
    <ds:schemaRef ds:uri="f7c5e3fa-378b-48b1-a129-e33a73f99ee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94A06C6-05CD-48FF-A256-7AB7C09BFD63}">
  <ds:schemaRefs>
    <ds:schemaRef ds:uri="http://schemas.microsoft.com/sharepoint/v3/contenttype/forms"/>
  </ds:schemaRefs>
</ds:datastoreItem>
</file>

<file path=customXml/itemProps3.xml><?xml version="1.0" encoding="utf-8"?>
<ds:datastoreItem xmlns:ds="http://schemas.openxmlformats.org/officeDocument/2006/customXml" ds:itemID="{34A52082-49F3-409F-B1BA-7D418AEA8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1379</Words>
  <Characters>8086</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2021-07-02T08:56:00Z</dcterms:created>
  <dcterms:modified xsi:type="dcterms:W3CDTF">2021-09-10T13:16:00Z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e163265d-a0e7-44eb-b10b-dcb554433f1b</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CP-027</vt:lpwstr>
  </property>
  <property fmtid="{D5CDD505-2E9C-101B-9397-08002B2CF9AE}" pid="8" name="Last edited using">
    <vt:lpwstr>LW 7.0.1, Build 20200226</vt:lpwstr>
  </property>
  <property fmtid="{D5CDD505-2E9C-101B-9397-08002B2CF9AE}" pid="9" name="Created using">
    <vt:lpwstr>LW 7.0.1, Build 20200226</vt:lpwstr>
  </property>
  <property fmtid="{D5CDD505-2E9C-101B-9397-08002B2CF9AE}" pid="10" name="_LW_INVALIDATED__LW_INVALIDATED__LW_INVALIDATED__LW_INVALIDATED_ContentTypeId">
    <vt:lpwstr>0x01010046802581D1E5194BB751F4A1219E22A7</vt:lpwstr>
  </property>
  <property name="OP_sanitized" fmtid="{D5CDD505-2E9C-101B-9397-08002B2CF9AE}" pid="11">
    <vt:lpwstr>True</vt:lpwstr>
  </property>
</Properties>
</file>