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D1CB8" w14:textId="6240E9B4" w:rsidR="00E02FDD" w:rsidRPr="005D4466" w:rsidRDefault="00F52526" w:rsidP="00F52526">
      <w:pPr>
        <w:pStyle w:val="Pagedecouverture"/>
        <w:rPr>
          <w:noProof/>
        </w:rPr>
      </w:pPr>
      <w:bookmarkStart w:id="0" w:name="LW_BM_COVERPAGE"/>
      <w:r>
        <w:rPr>
          <w:noProof/>
        </w:rPr>
        <w:pict w14:anchorId="4D0480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E16ABBA9-DFDF-4661-B06C-6F74690A8222" style="width:455.25pt;height:336.75pt">
            <v:imagedata r:id="rId8" o:title=""/>
          </v:shape>
        </w:pict>
      </w:r>
    </w:p>
    <w:bookmarkEnd w:id="0"/>
    <w:p w14:paraId="06B397F0" w14:textId="77777777" w:rsidR="00E02FDD" w:rsidRPr="005D4466" w:rsidRDefault="00E02FDD" w:rsidP="00E02FDD">
      <w:pPr>
        <w:rPr>
          <w:noProof/>
          <w:lang w:val="en-GB"/>
        </w:rPr>
        <w:sectPr w:rsidR="00E02FDD" w:rsidRPr="005D4466" w:rsidSect="00F5252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E79F4E0" w14:textId="77777777" w:rsidR="000E6E81" w:rsidRPr="00BA7929" w:rsidRDefault="000E6E81" w:rsidP="00D55A84">
      <w:pPr>
        <w:pStyle w:val="ListParagraph"/>
        <w:keepNext/>
        <w:numPr>
          <w:ilvl w:val="0"/>
          <w:numId w:val="3"/>
        </w:numPr>
        <w:spacing w:before="240" w:after="240" w:line="240" w:lineRule="auto"/>
        <w:ind w:left="567" w:hanging="567"/>
        <w:jc w:val="both"/>
        <w:outlineLvl w:val="0"/>
        <w:rPr>
          <w:rFonts w:ascii="Times New Roman" w:eastAsia="Times New Roman" w:hAnsi="Times New Roman" w:cs="Times New Roman"/>
          <w:b/>
          <w:smallCaps/>
          <w:noProof/>
          <w:sz w:val="24"/>
          <w:szCs w:val="20"/>
        </w:rPr>
      </w:pPr>
      <w:bookmarkStart w:id="1" w:name="_Toc39845161"/>
      <w:bookmarkStart w:id="2" w:name="_GoBack"/>
      <w:bookmarkEnd w:id="2"/>
      <w:r>
        <w:rPr>
          <w:rFonts w:ascii="Times New Roman" w:hAnsi="Times New Roman"/>
          <w:b/>
          <w:smallCaps/>
          <w:noProof/>
          <w:sz w:val="24"/>
          <w:szCs w:val="20"/>
        </w:rPr>
        <w:lastRenderedPageBreak/>
        <w:t>Ιστορικό</w:t>
      </w:r>
      <w:bookmarkEnd w:id="1"/>
    </w:p>
    <w:p w14:paraId="35F0E5B4" w14:textId="2F6F5DB0" w:rsidR="006C048D" w:rsidRPr="00F44AF1" w:rsidRDefault="006C048D" w:rsidP="006C048D">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Η Επιτροπή (Eurostat) συλλέγει στατιστικές σχετικά με τις εκφορτώσεις αλιευτικών προϊόντων βάσει του κανονισμού (ΕΚ) αριθ. 1921/2006 (στο εξής: κανονισμός)</w:t>
      </w:r>
      <w:r>
        <w:rPr>
          <w:rStyle w:val="FootnoteReference"/>
          <w:rFonts w:ascii="Times New Roman" w:eastAsia="Times New Roman" w:hAnsi="Times New Roman" w:cs="Times New Roman"/>
          <w:noProof/>
          <w:sz w:val="23"/>
          <w:szCs w:val="23"/>
          <w:lang w:val="en-GB" w:eastAsia="fr-BE"/>
        </w:rPr>
        <w:footnoteReference w:id="1"/>
      </w:r>
      <w:r>
        <w:rPr>
          <w:rFonts w:ascii="Times New Roman" w:hAnsi="Times New Roman"/>
          <w:noProof/>
          <w:sz w:val="23"/>
          <w:szCs w:val="23"/>
        </w:rPr>
        <w:t xml:space="preserve">. </w:t>
      </w:r>
      <w:r>
        <w:rPr>
          <w:rFonts w:ascii="Times New Roman" w:hAnsi="Times New Roman"/>
          <w:noProof/>
        </w:rPr>
        <w:t>Σύμφωνα με το άρθρο 2 του κανονισμού, αλιευτικά προϊόντα θεωρούνται ότι εκφορτώνονται στην επικράτεια των κρατών μελών εάν εκφορτώνονται από αλιευτικά σκάφη της ΕΕ και της Ευρωπαϊκής Ζώνης Ελεύθερων Συναλλαγών (ΕΖΕΣ) ή εάν εκφορτώνονται σε έδαφος εκτός ΕΕ από σκάφη κρατών μελών και, στη συνέχεια, εισάγονται στην ΕΕ</w:t>
      </w:r>
      <w:r>
        <w:rPr>
          <w:rStyle w:val="FootnoteReference"/>
          <w:rFonts w:ascii="Times New Roman" w:eastAsia="Times New Roman" w:hAnsi="Times New Roman" w:cs="Times New Roman"/>
          <w:noProof/>
          <w:sz w:val="23"/>
          <w:szCs w:val="23"/>
          <w:lang w:val="en-GB" w:eastAsia="fr-BE"/>
        </w:rPr>
        <w:footnoteReference w:id="2"/>
      </w:r>
      <w:r>
        <w:rPr>
          <w:rFonts w:ascii="Times New Roman" w:hAnsi="Times New Roman"/>
          <w:noProof/>
        </w:rPr>
        <w:t>.</w:t>
      </w:r>
      <w:r>
        <w:rPr>
          <w:rFonts w:ascii="Times New Roman" w:hAnsi="Times New Roman"/>
          <w:noProof/>
          <w:sz w:val="23"/>
          <w:szCs w:val="23"/>
        </w:rPr>
        <w:t xml:space="preserve"> Το άρθρο 10 του κανονισμού ορίζει ότι, κάθε 3 έτη, η Επιτροπή υποβάλλει έκθεση στο Ευρωπαϊκό Κοινοβούλιο και στο Συμβούλιο στην οποία αξιολογεί, ιδίως, την ποιότητα και τη χρησιμότητα των στατιστικών που συλλέγει. Η έκθεση πρέπει επίσης να αναλύει τη σχέση κόστους-αποτελεσματικότητας του συστήματος συλλογής και επεξεργασίας στατιστικών στοιχείων για τις εκφορτώσεις και να επισημαίνει τις βέλτιστες πρακτικές για τη μείωση του φόρτου εργασίας σε εθνικό επίπεδο και τη βελτίωση της χρησιμότητας και της ποιότητας των στατιστικών στοιχείων.</w:t>
      </w:r>
    </w:p>
    <w:p w14:paraId="75A8EAC0" w14:textId="64A2F01C" w:rsidR="006C048D" w:rsidRPr="00F44AF1" w:rsidRDefault="006C048D" w:rsidP="006C048D">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Ο κανονισμός εφαρμόζεται στα κράτη μέλη της ΕΕ, καθώς και στη Νορβηγία και την Ισλανδία. Ωστόσο, όσον αφορά τις εκφορτώσεις θαλάσσιων αλιευμάτων, οι περίκλειστες χώρες απαλλάσσονται από την υποχρέωση υποβολής στοιχείων (5 κράτη μέλη: Τσεχία, Λουξεμβούργο, Ουγγαρία, Αυστρία και Σλοβακία).</w:t>
      </w:r>
    </w:p>
    <w:p w14:paraId="6C42C913" w14:textId="5F9645AF" w:rsidR="006C048D" w:rsidRPr="00355726" w:rsidRDefault="006C048D" w:rsidP="006C048D">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Η παρούσα έκθεση βασίζεται i) στις εκθέσεις ποιότητας σχετικά με τις εκφορτώσεις που υποβλήθηκαν από τα κράτη μέλη προς την Eurostat για το έτος αναφοράς 2019, ii) σε ανάλυση της συμμόρφωσης και iii) σε στοιχεία κόστους που συλλέγονται από την Eurostat.</w:t>
      </w:r>
    </w:p>
    <w:p w14:paraId="5928CB85" w14:textId="5AD09E5E" w:rsidR="006C048D" w:rsidRPr="00355726" w:rsidRDefault="006C048D" w:rsidP="006C048D">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Η Επιτροπή ενέκρινε τις προηγούμενες εκθέσεις αξιολόγησης σχετικά με τις στατιστικές για τις εκφορτώσεις που υποβλήθηκαν δυνάμει του εν λόγω κανονισμού τον Νοέμβριο του 2010</w:t>
      </w:r>
      <w:r>
        <w:rPr>
          <w:rStyle w:val="FootnoteReference"/>
          <w:rFonts w:ascii="Times New Roman" w:eastAsia="Times New Roman" w:hAnsi="Times New Roman" w:cs="Times New Roman"/>
          <w:noProof/>
          <w:sz w:val="23"/>
          <w:szCs w:val="23"/>
          <w:lang w:val="en-GB" w:eastAsia="fr-BE"/>
        </w:rPr>
        <w:footnoteReference w:id="3"/>
      </w:r>
      <w:r>
        <w:rPr>
          <w:rFonts w:ascii="Times New Roman" w:hAnsi="Times New Roman"/>
          <w:noProof/>
          <w:sz w:val="23"/>
          <w:szCs w:val="23"/>
        </w:rPr>
        <w:t>, τον Απρίλιο του 2014</w:t>
      </w:r>
      <w:r>
        <w:rPr>
          <w:rStyle w:val="FootnoteReference"/>
          <w:rFonts w:ascii="Times New Roman" w:eastAsia="Times New Roman" w:hAnsi="Times New Roman" w:cs="Times New Roman"/>
          <w:noProof/>
          <w:sz w:val="23"/>
          <w:szCs w:val="23"/>
          <w:lang w:val="en-GB" w:eastAsia="fr-BE"/>
        </w:rPr>
        <w:footnoteReference w:id="4"/>
      </w:r>
      <w:r>
        <w:rPr>
          <w:rFonts w:ascii="Times New Roman" w:hAnsi="Times New Roman"/>
          <w:noProof/>
          <w:sz w:val="23"/>
          <w:szCs w:val="23"/>
        </w:rPr>
        <w:t>, τον Μάιο του 2016</w:t>
      </w:r>
      <w:r>
        <w:rPr>
          <w:rStyle w:val="FootnoteReference"/>
          <w:rFonts w:ascii="Times New Roman" w:eastAsia="Times New Roman" w:hAnsi="Times New Roman" w:cs="Times New Roman"/>
          <w:noProof/>
          <w:sz w:val="23"/>
          <w:szCs w:val="23"/>
          <w:lang w:val="en-GB" w:eastAsia="fr-BE"/>
        </w:rPr>
        <w:footnoteReference w:id="5"/>
      </w:r>
      <w:r>
        <w:rPr>
          <w:rFonts w:ascii="Times New Roman" w:hAnsi="Times New Roman"/>
          <w:noProof/>
          <w:sz w:val="23"/>
          <w:szCs w:val="23"/>
        </w:rPr>
        <w:t xml:space="preserve"> και τον Φεβρουάριο του 2019</w:t>
      </w:r>
      <w:r>
        <w:rPr>
          <w:rStyle w:val="FootnoteReference"/>
          <w:rFonts w:ascii="Times New Roman" w:eastAsia="Times New Roman" w:hAnsi="Times New Roman" w:cs="Times New Roman"/>
          <w:noProof/>
          <w:sz w:val="23"/>
          <w:szCs w:val="23"/>
          <w:lang w:val="en-GB" w:eastAsia="fr-BE"/>
        </w:rPr>
        <w:footnoteReference w:id="6"/>
      </w:r>
      <w:r>
        <w:rPr>
          <w:rFonts w:ascii="Times New Roman" w:hAnsi="Times New Roman"/>
          <w:noProof/>
          <w:sz w:val="23"/>
          <w:szCs w:val="23"/>
        </w:rPr>
        <w:t>.</w:t>
      </w:r>
    </w:p>
    <w:p w14:paraId="5C84BE8E" w14:textId="01B1CF74" w:rsidR="00913A61" w:rsidRDefault="006C048D" w:rsidP="006C048D">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Οι ευρωπαϊκές αλιευτικές στατιστικές περιλαμβάνουν επίσης λεπτομερείς στατιστικές σχετικά με τα αλιεύματα, τον στόλο και την υδατοκαλλιέργεια, επιπλέον εκείνων για τις εκφορτώσεις. Άλλες υπηρεσίες της Επιτροπής, κυρίως η Γενική Διεύθυνση Θαλάσσιας Πολιτικής και Αλιείας (ΓΔ MARE), συλλέγουν επίσης μεγάλο όγκο δεδομένων στο πλαίσιο του κανονισμού (ΕΚ) αριθ. 1224/2009 του Συμβουλίου</w:t>
      </w:r>
      <w:r>
        <w:rPr>
          <w:rStyle w:val="FootnoteReference"/>
          <w:rFonts w:ascii="Times New Roman" w:eastAsia="Times New Roman" w:hAnsi="Times New Roman" w:cs="Times New Roman"/>
          <w:noProof/>
          <w:sz w:val="23"/>
          <w:szCs w:val="23"/>
          <w:lang w:val="en-GB" w:eastAsia="fr-BE"/>
        </w:rPr>
        <w:footnoteReference w:id="7"/>
      </w:r>
      <w:r>
        <w:rPr>
          <w:rFonts w:ascii="Times New Roman" w:hAnsi="Times New Roman"/>
          <w:noProof/>
          <w:sz w:val="23"/>
          <w:szCs w:val="23"/>
        </w:rPr>
        <w:t xml:space="preserve"> και του κανονισμού (ΕΕ) 2017/1004</w:t>
      </w:r>
      <w:r>
        <w:rPr>
          <w:rStyle w:val="FootnoteReference"/>
          <w:rFonts w:ascii="Times New Roman" w:eastAsia="Times New Roman" w:hAnsi="Times New Roman" w:cs="Times New Roman"/>
          <w:noProof/>
          <w:sz w:val="23"/>
          <w:szCs w:val="23"/>
          <w:lang w:val="en-GB" w:eastAsia="fr-BE"/>
        </w:rPr>
        <w:footnoteReference w:id="8"/>
      </w:r>
      <w:r>
        <w:rPr>
          <w:rFonts w:ascii="Times New Roman" w:hAnsi="Times New Roman"/>
          <w:noProof/>
          <w:sz w:val="23"/>
          <w:szCs w:val="23"/>
        </w:rPr>
        <w:t xml:space="preserve"> για τη διαχείριση της κοινής αλιευτικής πολιτικής. Τα στατιστικά στοιχεία που συλλέγονται από την Eurostat και τα δεδομένα που συλλέγονται από τη ΓΔ MARE αλληλεπικαλύπτονται εν μέρει. Η παρούσα έκθεση καλύπτει μόνο στατιστικά στοιχεία σχετικά με τις συνολικές ποσότητες και τις μοναδιαίες αξίες των αλιευτικών προϊόντων που εκφορτώθηκαν το 2019 στην επικράτεια των κρατών μελών, όπως συλλέχθηκαν από τη Eurostat. </w:t>
      </w:r>
    </w:p>
    <w:p w14:paraId="52433CC9" w14:textId="05148AFB" w:rsidR="006C048D" w:rsidRPr="004B160B" w:rsidRDefault="006C048D" w:rsidP="006C048D">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Το 2018 η Eurostat δρομολόγησε το σχέδιο «Εκσυγχρονισμός και απλοποίηση των ευρωπαϊκών στατιστικών για την αλιεία». Το εν λόγω σχέδιο περιλαμβάνει αξιολόγηση των σημερινών στατιστικών στοιχείων για την υδατοκαλλιέργεια, τα αλιεύματα και τις εκφορτώσεις, καθώς και εκτίμηση επιπτώσεων των μελλοντικών επιλογών πολιτικής και της πιθανής μελλοντικής νομοθεσίας. Η αξιολόγηση, η οποία κάλυψε επίσης την εφαρμογή του κανονισμού, ολοκληρώθηκε το 2019. Η εκτίμηση επιπτώσεων δρομολογήθηκε το 2020 και βρισκόταν στο στάδιο της οριστικοποίησης κατά τον χρόνο σύνταξης της παρούσας έκθεσης.</w:t>
      </w:r>
    </w:p>
    <w:p w14:paraId="6DF5ADAB" w14:textId="77777777" w:rsidR="00F759E3" w:rsidRDefault="00F759E3" w:rsidP="005E627D">
      <w:pPr>
        <w:spacing w:after="240" w:line="240" w:lineRule="auto"/>
        <w:jc w:val="both"/>
        <w:rPr>
          <w:rFonts w:ascii="Times New Roman" w:eastAsia="Times New Roman" w:hAnsi="Times New Roman" w:cs="Times New Roman"/>
          <w:b/>
          <w:smallCaps/>
          <w:noProof/>
          <w:sz w:val="24"/>
          <w:szCs w:val="20"/>
        </w:rPr>
      </w:pPr>
      <w:bookmarkStart w:id="3" w:name="_Toc39845162"/>
    </w:p>
    <w:p w14:paraId="5540521B" w14:textId="3716A37C" w:rsidR="000E6E81" w:rsidRPr="00BA7929" w:rsidRDefault="00D55A84" w:rsidP="005E627D">
      <w:pPr>
        <w:spacing w:after="240" w:line="240" w:lineRule="auto"/>
        <w:jc w:val="both"/>
        <w:rPr>
          <w:rFonts w:ascii="Times New Roman" w:eastAsia="Times New Roman" w:hAnsi="Times New Roman" w:cs="Times New Roman"/>
          <w:b/>
          <w:smallCaps/>
          <w:noProof/>
          <w:sz w:val="24"/>
          <w:szCs w:val="20"/>
        </w:rPr>
      </w:pPr>
      <w:r>
        <w:rPr>
          <w:rFonts w:ascii="Times New Roman" w:hAnsi="Times New Roman"/>
          <w:b/>
          <w:smallCaps/>
          <w:noProof/>
          <w:sz w:val="24"/>
          <w:szCs w:val="20"/>
        </w:rPr>
        <w:t>2</w:t>
      </w:r>
      <w:r>
        <w:rPr>
          <w:noProof/>
        </w:rPr>
        <w:tab/>
      </w:r>
      <w:r>
        <w:rPr>
          <w:rFonts w:ascii="Times New Roman" w:hAnsi="Times New Roman"/>
          <w:b/>
          <w:smallCaps/>
          <w:noProof/>
          <w:sz w:val="24"/>
          <w:szCs w:val="20"/>
        </w:rPr>
        <w:t>Βασικά πορίσματα</w:t>
      </w:r>
      <w:bookmarkEnd w:id="3"/>
    </w:p>
    <w:p w14:paraId="7CD46138" w14:textId="2118537E" w:rsidR="000E6E81" w:rsidRPr="00974D6A" w:rsidRDefault="00D55A84" w:rsidP="000E6E81">
      <w:pPr>
        <w:keepNext/>
        <w:numPr>
          <w:ilvl w:val="1"/>
          <w:numId w:val="0"/>
        </w:numPr>
        <w:spacing w:after="240" w:line="240" w:lineRule="auto"/>
        <w:ind w:left="426" w:hanging="426"/>
        <w:jc w:val="both"/>
        <w:outlineLvl w:val="1"/>
        <w:rPr>
          <w:rFonts w:ascii="Times New Roman" w:eastAsia="Times New Roman" w:hAnsi="Times New Roman" w:cs="Times New Roman"/>
          <w:b/>
          <w:noProof/>
          <w:sz w:val="24"/>
          <w:szCs w:val="20"/>
        </w:rPr>
      </w:pPr>
      <w:bookmarkStart w:id="4" w:name="_Toc39845163"/>
      <w:r>
        <w:rPr>
          <w:rFonts w:ascii="Times New Roman" w:hAnsi="Times New Roman"/>
          <w:b/>
          <w:noProof/>
          <w:sz w:val="24"/>
          <w:szCs w:val="20"/>
        </w:rPr>
        <w:t>2.1</w:t>
      </w:r>
      <w:r>
        <w:rPr>
          <w:noProof/>
        </w:rPr>
        <w:tab/>
      </w:r>
      <w:r>
        <w:rPr>
          <w:rFonts w:ascii="Times New Roman" w:hAnsi="Times New Roman"/>
          <w:b/>
          <w:noProof/>
          <w:sz w:val="24"/>
          <w:szCs w:val="20"/>
        </w:rPr>
        <w:t>Εμπρόθεσμη υποβολή και πληρότητα</w:t>
      </w:r>
      <w:bookmarkEnd w:id="4"/>
    </w:p>
    <w:p w14:paraId="7AA29AB9" w14:textId="3E286AAF" w:rsidR="000E6E81" w:rsidRPr="00974D6A" w:rsidRDefault="00D55A84" w:rsidP="000E6E81">
      <w:pPr>
        <w:keepNext/>
        <w:numPr>
          <w:ilvl w:val="2"/>
          <w:numId w:val="0"/>
        </w:numPr>
        <w:spacing w:after="240" w:line="240" w:lineRule="auto"/>
        <w:ind w:left="426" w:hanging="426"/>
        <w:jc w:val="both"/>
        <w:outlineLvl w:val="2"/>
        <w:rPr>
          <w:rFonts w:ascii="Times New Roman" w:eastAsia="Times New Roman" w:hAnsi="Times New Roman" w:cs="Times New Roman"/>
          <w:i/>
          <w:noProof/>
          <w:sz w:val="24"/>
          <w:szCs w:val="20"/>
        </w:rPr>
      </w:pPr>
      <w:bookmarkStart w:id="5" w:name="_Toc39845164"/>
      <w:r>
        <w:rPr>
          <w:rFonts w:ascii="Times New Roman" w:hAnsi="Times New Roman"/>
          <w:i/>
          <w:noProof/>
          <w:sz w:val="24"/>
          <w:szCs w:val="20"/>
        </w:rPr>
        <w:t>2.1.1</w:t>
      </w:r>
      <w:r>
        <w:rPr>
          <w:noProof/>
        </w:rPr>
        <w:tab/>
      </w:r>
      <w:bookmarkEnd w:id="5"/>
      <w:r>
        <w:rPr>
          <w:rFonts w:ascii="Times New Roman" w:hAnsi="Times New Roman"/>
          <w:i/>
          <w:noProof/>
          <w:sz w:val="24"/>
          <w:szCs w:val="20"/>
        </w:rPr>
        <w:t>Εμπρόθεσμη υποβολή</w:t>
      </w:r>
    </w:p>
    <w:p w14:paraId="2F974405" w14:textId="335C4117" w:rsidR="00973BBE" w:rsidRPr="00F70584" w:rsidRDefault="00973BBE" w:rsidP="00973BBE">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Η τήρηση των προθεσμιών για τη υποβολή των στοιχείων έχει βελτιωθεί τα τελευταία έτη και τα περισσότερα κράτη μέλη διαβιβάζουν τα στοιχεία εμπρόθεσμα. Για το έτος αναφοράς 2019 τα στοιχεία που διαβιβάστηκαν από το ένα τρίτο των κρατών μελών που υπέβαλαν εκθέσεις χρειάζονταν ορισμένες διορθώσεις. Οι διορθώσεις αυτές παρασχέθηκαν εντός αποδεκτού χρονικού διαστήματος στις περισσότερες περιπτώσεις.</w:t>
      </w:r>
    </w:p>
    <w:p w14:paraId="30A038E5" w14:textId="357567B1" w:rsidR="00B1753A" w:rsidRDefault="00973BBE" w:rsidP="00B1753A">
      <w:pPr>
        <w:keepNext/>
        <w:numPr>
          <w:ilvl w:val="2"/>
          <w:numId w:val="0"/>
        </w:numPr>
        <w:spacing w:after="240" w:line="240" w:lineRule="auto"/>
        <w:jc w:val="both"/>
        <w:outlineLvl w:val="2"/>
        <w:rPr>
          <w:rFonts w:ascii="Times New Roman" w:eastAsia="Times New Roman" w:hAnsi="Times New Roman" w:cs="Times New Roman"/>
          <w:noProof/>
          <w:sz w:val="23"/>
          <w:szCs w:val="23"/>
        </w:rPr>
      </w:pPr>
      <w:r>
        <w:rPr>
          <w:rFonts w:ascii="Times New Roman" w:hAnsi="Times New Roman"/>
          <w:noProof/>
          <w:sz w:val="23"/>
          <w:szCs w:val="23"/>
        </w:rPr>
        <w:t xml:space="preserve">Η Επιτροπή (Eurostat) δημοσιεύει τα στοιχεία αμέσως μετά την επικύρωσή τους. Εάν είναι αναγκαίο, τα στοιχεία μπορούν να αναθεωρούνται ανά πάσα στιγμή. </w:t>
      </w:r>
    </w:p>
    <w:p w14:paraId="58B3614E" w14:textId="77777777" w:rsidR="000E6E81" w:rsidRPr="00102CAA" w:rsidRDefault="00D55A84" w:rsidP="000E6E81">
      <w:pPr>
        <w:keepNext/>
        <w:numPr>
          <w:ilvl w:val="2"/>
          <w:numId w:val="0"/>
        </w:numPr>
        <w:spacing w:after="240" w:line="240" w:lineRule="auto"/>
        <w:ind w:left="426" w:hanging="426"/>
        <w:jc w:val="both"/>
        <w:outlineLvl w:val="2"/>
        <w:rPr>
          <w:rFonts w:ascii="Times New Roman" w:eastAsia="Times New Roman" w:hAnsi="Times New Roman" w:cs="Times New Roman"/>
          <w:i/>
          <w:noProof/>
          <w:sz w:val="24"/>
          <w:szCs w:val="20"/>
        </w:rPr>
      </w:pPr>
      <w:bookmarkStart w:id="6" w:name="_Toc39845165"/>
      <w:r>
        <w:rPr>
          <w:rFonts w:ascii="Times New Roman" w:hAnsi="Times New Roman"/>
          <w:i/>
          <w:noProof/>
          <w:sz w:val="24"/>
          <w:szCs w:val="20"/>
        </w:rPr>
        <w:t>2.1.2</w:t>
      </w:r>
      <w:r>
        <w:rPr>
          <w:noProof/>
        </w:rPr>
        <w:tab/>
      </w:r>
      <w:r>
        <w:rPr>
          <w:rFonts w:ascii="Times New Roman" w:hAnsi="Times New Roman"/>
          <w:i/>
          <w:noProof/>
          <w:sz w:val="24"/>
          <w:szCs w:val="20"/>
        </w:rPr>
        <w:t>Πληρότητα</w:t>
      </w:r>
      <w:bookmarkEnd w:id="6"/>
    </w:p>
    <w:p w14:paraId="343803B3" w14:textId="2F97D578" w:rsidR="000E6E81" w:rsidRPr="00102CAA" w:rsidRDefault="00973BBE" w:rsidP="00102CAA">
      <w:pPr>
        <w:autoSpaceDE w:val="0"/>
        <w:autoSpaceDN w:val="0"/>
        <w:adjustRightInd w:val="0"/>
        <w:spacing w:after="0" w:line="240" w:lineRule="auto"/>
        <w:jc w:val="both"/>
        <w:rPr>
          <w:rFonts w:ascii="Times New Roman" w:eastAsia="Times New Roman" w:hAnsi="Times New Roman" w:cs="Times New Roman"/>
          <w:noProof/>
          <w:color w:val="000000"/>
          <w:sz w:val="23"/>
          <w:szCs w:val="23"/>
          <w:highlight w:val="yellow"/>
        </w:rPr>
      </w:pPr>
      <w:r>
        <w:rPr>
          <w:rFonts w:ascii="Times New Roman" w:hAnsi="Times New Roman"/>
          <w:noProof/>
          <w:color w:val="000000"/>
          <w:sz w:val="23"/>
          <w:szCs w:val="23"/>
        </w:rPr>
        <w:t xml:space="preserve">Η πληρότητα των στοιχείων έχει επίσης βελτιωθεί χάρη στα μέτρα που έλαβαν τα κράτη μέλη για να επεκτείνουν σημαντικά την κάλυψη της έρευνάς τους για τους τύπους σκαφών, τα αλλοδαπά σκάφη και τα είδη ψαριών. </w:t>
      </w:r>
    </w:p>
    <w:p w14:paraId="63F2CC8E" w14:textId="77777777" w:rsidR="000E6E81" w:rsidRPr="005063F1" w:rsidRDefault="000E6E81" w:rsidP="000E6E81">
      <w:pPr>
        <w:autoSpaceDE w:val="0"/>
        <w:autoSpaceDN w:val="0"/>
        <w:adjustRightInd w:val="0"/>
        <w:spacing w:after="0" w:line="240" w:lineRule="auto"/>
        <w:rPr>
          <w:rFonts w:ascii="Times New Roman" w:eastAsia="Times New Roman" w:hAnsi="Times New Roman" w:cs="Times New Roman"/>
          <w:noProof/>
          <w:color w:val="000000"/>
          <w:sz w:val="23"/>
          <w:szCs w:val="23"/>
          <w:highlight w:val="yellow"/>
          <w:lang w:eastAsia="fr-BE"/>
        </w:rPr>
      </w:pPr>
    </w:p>
    <w:p w14:paraId="749E5E51" w14:textId="77777777" w:rsidR="000E6E81" w:rsidRPr="00102CAA" w:rsidRDefault="00D55A84" w:rsidP="000E6E81">
      <w:pPr>
        <w:keepNext/>
        <w:numPr>
          <w:ilvl w:val="1"/>
          <w:numId w:val="0"/>
        </w:numPr>
        <w:spacing w:after="240" w:line="240" w:lineRule="auto"/>
        <w:ind w:left="426" w:hanging="426"/>
        <w:jc w:val="both"/>
        <w:outlineLvl w:val="1"/>
        <w:rPr>
          <w:rFonts w:ascii="Times New Roman" w:eastAsia="Times New Roman" w:hAnsi="Times New Roman" w:cs="Times New Roman"/>
          <w:b/>
          <w:noProof/>
          <w:sz w:val="24"/>
          <w:szCs w:val="20"/>
        </w:rPr>
      </w:pPr>
      <w:bookmarkStart w:id="7" w:name="_Toc39845166"/>
      <w:r>
        <w:rPr>
          <w:rFonts w:ascii="Times New Roman" w:hAnsi="Times New Roman"/>
          <w:b/>
          <w:noProof/>
          <w:sz w:val="24"/>
          <w:szCs w:val="20"/>
        </w:rPr>
        <w:t>2.2</w:t>
      </w:r>
      <w:r>
        <w:rPr>
          <w:noProof/>
        </w:rPr>
        <w:tab/>
      </w:r>
      <w:r>
        <w:rPr>
          <w:rFonts w:ascii="Times New Roman" w:hAnsi="Times New Roman"/>
          <w:b/>
          <w:noProof/>
          <w:sz w:val="24"/>
          <w:szCs w:val="20"/>
        </w:rPr>
        <w:t>Συνοχή</w:t>
      </w:r>
      <w:bookmarkEnd w:id="7"/>
    </w:p>
    <w:p w14:paraId="7A95377E" w14:textId="77777777" w:rsidR="000E6E81" w:rsidRPr="00102CAA" w:rsidRDefault="00D55A84" w:rsidP="000E6E81">
      <w:pPr>
        <w:keepNext/>
        <w:numPr>
          <w:ilvl w:val="2"/>
          <w:numId w:val="0"/>
        </w:numPr>
        <w:spacing w:after="240" w:line="240" w:lineRule="auto"/>
        <w:ind w:left="426" w:hanging="426"/>
        <w:jc w:val="both"/>
        <w:outlineLvl w:val="2"/>
        <w:rPr>
          <w:rFonts w:ascii="Times New Roman" w:eastAsia="Times New Roman" w:hAnsi="Times New Roman" w:cs="Times New Roman"/>
          <w:i/>
          <w:noProof/>
          <w:sz w:val="24"/>
          <w:szCs w:val="20"/>
        </w:rPr>
      </w:pPr>
      <w:bookmarkStart w:id="8" w:name="_Toc39845167"/>
      <w:r>
        <w:rPr>
          <w:rFonts w:ascii="Times New Roman" w:hAnsi="Times New Roman"/>
          <w:i/>
          <w:noProof/>
          <w:sz w:val="24"/>
          <w:szCs w:val="20"/>
        </w:rPr>
        <w:t>2.2.1</w:t>
      </w:r>
      <w:r>
        <w:rPr>
          <w:noProof/>
        </w:rPr>
        <w:tab/>
      </w:r>
      <w:r>
        <w:rPr>
          <w:rFonts w:ascii="Times New Roman" w:hAnsi="Times New Roman"/>
          <w:i/>
          <w:noProof/>
          <w:sz w:val="24"/>
          <w:szCs w:val="20"/>
        </w:rPr>
        <w:t>Ποιότητα και ακρίβεια</w:t>
      </w:r>
      <w:bookmarkEnd w:id="8"/>
    </w:p>
    <w:p w14:paraId="0F05D872" w14:textId="7791FA75" w:rsidR="007613CB" w:rsidRDefault="000E6E81" w:rsidP="000E6E81">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Η Eurostat συλλέγει εκθέσεις ποιότητας σχετικά με τις στατιστικές εκφορτώσεων κάθε 3 έτη. Στις εν λόγω εκθέσεις περιγράφονται οι μέθοδοι και οι ποιοτικές πτυχές της συλλογής στοιχείων βάσει αυτοαξιολογήσεων των χωρών. Η Eurostat χρησιμοποίησε τις εθνικές εκθέσεις ποιότητας για τη σύνταξη έκθεσης ποιότητας σε επίπεδο ΕΕ</w:t>
      </w:r>
      <w:r>
        <w:rPr>
          <w:rFonts w:ascii="Times New Roman" w:eastAsia="Times New Roman" w:hAnsi="Times New Roman" w:cs="Times New Roman"/>
          <w:noProof/>
          <w:sz w:val="23"/>
          <w:szCs w:val="23"/>
          <w:vertAlign w:val="superscript"/>
          <w:lang w:val="en-GB" w:eastAsia="fr-BE"/>
        </w:rPr>
        <w:footnoteReference w:id="9"/>
      </w:r>
      <w:r>
        <w:rPr>
          <w:rFonts w:ascii="Times New Roman" w:hAnsi="Times New Roman"/>
          <w:noProof/>
          <w:sz w:val="23"/>
          <w:szCs w:val="23"/>
        </w:rPr>
        <w:t xml:space="preserve">. </w:t>
      </w:r>
    </w:p>
    <w:p w14:paraId="497ED688" w14:textId="28823BD1" w:rsidR="000E6E81" w:rsidRPr="00F759E3" w:rsidRDefault="007613CB" w:rsidP="000E6E81">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Η ποιότητα των στοιχείων ήταν γενικά ικανοποιητική και τα περισσότερα κράτη μέλη θεώρησαν ότι το ποσοστό μη απάντησης και η ελλιπής κάλυψη ήταν σε πολύ χαμηλά επίπεδα. Ένας πολύ περιορισμένος αριθμός κρατών μελών ανέφεραν σφάλματα μέτρησης ή δειγματοληψίας, ενώ ενδεχόμενη εσφαλμένη ταξινόμηση θεωρήθηκε ότι δεν είχε αντίκτυπο στην ποιότητα των στοιχείων.</w:t>
      </w:r>
      <w:r>
        <w:rPr>
          <w:noProof/>
          <w:color w:val="000000"/>
          <w:shd w:val="clear" w:color="auto" w:fill="FFFFFF"/>
        </w:rPr>
        <w:t xml:space="preserve"> </w:t>
      </w:r>
      <w:r>
        <w:rPr>
          <w:rFonts w:ascii="Times New Roman" w:hAnsi="Times New Roman"/>
          <w:noProof/>
          <w:sz w:val="23"/>
          <w:szCs w:val="23"/>
        </w:rPr>
        <w:t>Το 35 % των χωρών ανέφεραν ότι η συνολική ποιότητα των στατιστικών για τις εκφορτώσεις έχει βελτιωθεί από την τελευταία έκθεση ποιότητας πριν από 3 χρόνια.</w:t>
      </w:r>
    </w:p>
    <w:p w14:paraId="21F8FFB1" w14:textId="6D4D564C" w:rsidR="000E6E81" w:rsidRPr="007613CB" w:rsidRDefault="00F859E1" w:rsidP="000E6E81">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Περισσότερες από τις μισές χώρες διαθέτουν σύστημα διαχείρισης της ποιότητας. Οι περισσότερες βελτιώσεις στόχευαν στην έγκαιρη υποβολή, την ακρίβεια και την αξιοπιστία. </w:t>
      </w:r>
    </w:p>
    <w:p w14:paraId="6875EC6F" w14:textId="77777777" w:rsidR="000E6E81" w:rsidRPr="007613CB" w:rsidRDefault="00D55A84" w:rsidP="000E6E81">
      <w:pPr>
        <w:keepNext/>
        <w:numPr>
          <w:ilvl w:val="2"/>
          <w:numId w:val="0"/>
        </w:numPr>
        <w:spacing w:after="240" w:line="240" w:lineRule="auto"/>
        <w:ind w:left="426" w:hanging="426"/>
        <w:jc w:val="both"/>
        <w:outlineLvl w:val="2"/>
        <w:rPr>
          <w:rFonts w:ascii="Times New Roman" w:eastAsia="Times New Roman" w:hAnsi="Times New Roman" w:cs="Times New Roman"/>
          <w:i/>
          <w:noProof/>
          <w:sz w:val="24"/>
          <w:szCs w:val="20"/>
        </w:rPr>
      </w:pPr>
      <w:bookmarkStart w:id="9" w:name="_Toc39845168"/>
      <w:r>
        <w:rPr>
          <w:rFonts w:ascii="Times New Roman" w:hAnsi="Times New Roman"/>
          <w:i/>
          <w:noProof/>
          <w:sz w:val="24"/>
          <w:szCs w:val="20"/>
        </w:rPr>
        <w:t>2.2.2</w:t>
      </w:r>
      <w:r>
        <w:rPr>
          <w:noProof/>
        </w:rPr>
        <w:tab/>
      </w:r>
      <w:r>
        <w:rPr>
          <w:rFonts w:ascii="Times New Roman" w:hAnsi="Times New Roman"/>
          <w:i/>
          <w:noProof/>
          <w:sz w:val="24"/>
          <w:szCs w:val="20"/>
        </w:rPr>
        <w:t>Συγκρισιμότητα</w:t>
      </w:r>
      <w:bookmarkEnd w:id="9"/>
    </w:p>
    <w:p w14:paraId="0EFC54F0" w14:textId="4AAC528A" w:rsidR="000E6E81" w:rsidRPr="007613CB" w:rsidRDefault="000E6E81" w:rsidP="000E6E81">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Τον Οκτώβριο του 2019 η Eurostat δημοσίευσε εγχειρίδιο σχετικά με τα στατιστικά στοιχεία για τα αλιεύματα και τις εκφορτώσεις</w:t>
      </w:r>
      <w:r>
        <w:rPr>
          <w:rFonts w:ascii="Times New Roman" w:eastAsia="Times New Roman" w:hAnsi="Times New Roman" w:cs="Times New Roman"/>
          <w:noProof/>
          <w:sz w:val="23"/>
          <w:szCs w:val="23"/>
          <w:vertAlign w:val="superscript"/>
          <w:lang w:val="en-GB" w:eastAsia="fr-BE"/>
        </w:rPr>
        <w:footnoteReference w:id="10"/>
      </w:r>
      <w:r>
        <w:rPr>
          <w:rFonts w:ascii="Times New Roman" w:hAnsi="Times New Roman"/>
          <w:noProof/>
          <w:sz w:val="23"/>
          <w:szCs w:val="23"/>
        </w:rPr>
        <w:t xml:space="preserve">, το οποίο βελτίωσε περαιτέρω την ομοιογένεια και, κατ’ επέκταση, τη συγκρισιμότητα των στατιστικών στοιχείων μεταξύ των χωρών. Η διάρκεια των χρονοσειρών —διαχρονική συγκρισιμότητα— ποικίλλει μεταξύ των χωρών. Ωστόσο, για την περίοδο που καλύπτεται από την παρούσα έκθεση αξιολόγησης, τα στοιχεία είναι διαχρονικά συγκρίσιμα. </w:t>
      </w:r>
    </w:p>
    <w:p w14:paraId="01534346" w14:textId="77777777" w:rsidR="000E6E81" w:rsidRPr="00AC69CE" w:rsidRDefault="00D55A84" w:rsidP="000E6E81">
      <w:pPr>
        <w:keepNext/>
        <w:numPr>
          <w:ilvl w:val="1"/>
          <w:numId w:val="0"/>
        </w:numPr>
        <w:spacing w:after="240" w:line="240" w:lineRule="auto"/>
        <w:ind w:left="426" w:hanging="426"/>
        <w:jc w:val="both"/>
        <w:outlineLvl w:val="1"/>
        <w:rPr>
          <w:rFonts w:ascii="Times New Roman" w:eastAsia="Times New Roman" w:hAnsi="Times New Roman" w:cs="Times New Roman"/>
          <w:b/>
          <w:noProof/>
          <w:sz w:val="24"/>
          <w:szCs w:val="20"/>
        </w:rPr>
      </w:pPr>
      <w:bookmarkStart w:id="10" w:name="_Toc39845169"/>
      <w:r>
        <w:rPr>
          <w:rFonts w:ascii="Times New Roman" w:hAnsi="Times New Roman"/>
          <w:b/>
          <w:noProof/>
          <w:sz w:val="24"/>
          <w:szCs w:val="20"/>
        </w:rPr>
        <w:t>2.3</w:t>
      </w:r>
      <w:r>
        <w:rPr>
          <w:noProof/>
        </w:rPr>
        <w:tab/>
      </w:r>
      <w:r>
        <w:rPr>
          <w:rFonts w:ascii="Times New Roman" w:hAnsi="Times New Roman"/>
          <w:b/>
          <w:noProof/>
          <w:sz w:val="24"/>
          <w:szCs w:val="20"/>
        </w:rPr>
        <w:t>Συνάφεια</w:t>
      </w:r>
      <w:bookmarkEnd w:id="10"/>
    </w:p>
    <w:p w14:paraId="57BE7F7C" w14:textId="61EB2D74" w:rsidR="00780066" w:rsidRPr="00AC69CE" w:rsidRDefault="00780066" w:rsidP="00780066">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Τα στατιστικά στοιχεία που συλλέγονται βάσει του κανονισμού είναι απαραίτητα για την εμπεριστατωμένη και τεκμηριωμένη χάραξη πολιτικής τόσο σε εθνικό όσο και σε ενωσιακό επίπεδο. Τα στοιχεία σχετικά με τα επίπεδα παραγωγής και τις τάσεις είναι σημαντικά για την ανάλυση της ανάπτυξης του τομέα της αλιείας στο πλαίσιο της κοινής αλιευτικής πολιτικής και παρέχουν στους υπεύθυνους χάραξης πολιτικής και στον κλάδο στέρεα θεμέλια για την οικοδόμηση του μέλλοντος του τομέα.</w:t>
      </w:r>
    </w:p>
    <w:p w14:paraId="72487DDD" w14:textId="163BB8E0" w:rsidR="000E6E81" w:rsidRPr="00AC69CE" w:rsidRDefault="00780066" w:rsidP="000E6E81">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Οι στατιστικές για τις εκφορτώσεις χρησιμοποιούνται ευρέως από διάφορους χρήστες. Τα στατιστικά στοιχεία αποτελούν σημαντική πηγή για τις δημοσιεύσεις και τις υπηρεσίες άλλων οργανισμών. Το ευρωπαϊκό παρατηρητήριο της αγοράς για προϊόντα αλιείας και υδατοκαλλιέργειας χρησιμοποιεί τα ευρωπαϊκά στατιστικά στοιχεία για τις εκφορτώσεις για να καταρτίζει τις διαρθρωτικές αναλύσεις του ευρωπαϊκού κλάδου αλιείας. Οι στατιστικές για τις εκφορτώσεις αποτελούν τη βάση για άλλες συλλογές στοιχείων</w:t>
      </w:r>
      <w:r>
        <w:rPr>
          <w:rFonts w:ascii="Times New Roman" w:eastAsia="Times New Roman" w:hAnsi="Times New Roman" w:cs="Times New Roman"/>
          <w:noProof/>
          <w:sz w:val="23"/>
          <w:szCs w:val="23"/>
          <w:vertAlign w:val="superscript"/>
          <w:lang w:val="en-GB" w:eastAsia="fr-BE"/>
        </w:rPr>
        <w:footnoteReference w:id="11"/>
      </w:r>
      <w:r>
        <w:rPr>
          <w:rFonts w:ascii="Times New Roman" w:hAnsi="Times New Roman"/>
          <w:noProof/>
          <w:sz w:val="23"/>
          <w:szCs w:val="23"/>
        </w:rPr>
        <w:t>.</w:t>
      </w:r>
    </w:p>
    <w:p w14:paraId="7209FCD5" w14:textId="0A4E888A" w:rsidR="00CF1456" w:rsidRPr="00AC69CE" w:rsidRDefault="00CF1456" w:rsidP="00CF1456">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Οι στατιστικές για τους όγκους και τις τιμές των αλιευτικών προϊόντων που εκφορτώνονται στο έδαφος της ΕΕ συμβάλλουν στις δεσμεύσεις της Επιτροπής σχετικά με την ενημέρωση για την αγορά. Τα στοιχεία είναι απαραίτητα για την παρακολούθηση και την ανάλυση των αγορών αλιευτικών προϊόντων της ΕΕ κατά μήκος της αλυσίδας εφοδιασμού.</w:t>
      </w:r>
    </w:p>
    <w:p w14:paraId="6074084C" w14:textId="28DE6590" w:rsidR="00AC69CE" w:rsidRPr="00AC69CE" w:rsidRDefault="00AC69CE" w:rsidP="00AC69CE">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Τα εν λόγω στατιστικά στοιχεία θα μπορούσαν επίσης να αφορούν την υποχρέωση εκφόρτωσης, όπως ορίζεται στο άρθρο 15 παράγραφος 1 του κανονισμού (ΕΕ) αριθ. 1380/2013</w:t>
      </w:r>
      <w:r>
        <w:rPr>
          <w:rStyle w:val="FootnoteReference"/>
          <w:rFonts w:ascii="Times New Roman" w:eastAsia="Times New Roman" w:hAnsi="Times New Roman" w:cs="Times New Roman"/>
          <w:noProof/>
          <w:sz w:val="23"/>
          <w:szCs w:val="23"/>
          <w:lang w:val="en-GB" w:eastAsia="fr-BE"/>
        </w:rPr>
        <w:footnoteReference w:id="12"/>
      </w:r>
      <w:r>
        <w:rPr>
          <w:rFonts w:ascii="Times New Roman" w:hAnsi="Times New Roman"/>
          <w:noProof/>
          <w:sz w:val="23"/>
          <w:szCs w:val="23"/>
        </w:rPr>
        <w:t>, σύμφωνα με την οποία όλα τα αποθέματα για τα οποία υπάρχουν όρια αλιευμάτων πρέπει να εκφορτώνονται και να καταλογίζονται στη σχετική ποσόστωση.</w:t>
      </w:r>
    </w:p>
    <w:p w14:paraId="5E6F42D2" w14:textId="7122DE3D" w:rsidR="00AC69CE" w:rsidRPr="00AC69CE" w:rsidRDefault="00AC69CE" w:rsidP="00AC69CE">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Τα κράτη μέλη δήλωσαν ότι όλες οι ανάγκες των χρηστών ικανοποιήθηκαν πλήρως σε εθνικό επίπεδο. </w:t>
      </w:r>
    </w:p>
    <w:p w14:paraId="6D634BC0" w14:textId="77777777" w:rsidR="00AC69CE" w:rsidRPr="00F759E3" w:rsidRDefault="00AC69CE" w:rsidP="00F759E3">
      <w:pPr>
        <w:keepNext/>
        <w:numPr>
          <w:ilvl w:val="1"/>
          <w:numId w:val="0"/>
        </w:numPr>
        <w:spacing w:after="240" w:line="240" w:lineRule="auto"/>
        <w:ind w:left="426" w:hanging="426"/>
        <w:jc w:val="both"/>
        <w:outlineLvl w:val="1"/>
        <w:rPr>
          <w:rFonts w:ascii="Times New Roman" w:eastAsia="Times New Roman" w:hAnsi="Times New Roman" w:cs="Times New Roman"/>
          <w:b/>
          <w:noProof/>
          <w:sz w:val="24"/>
          <w:szCs w:val="20"/>
        </w:rPr>
      </w:pPr>
      <w:r>
        <w:rPr>
          <w:rFonts w:ascii="Times New Roman" w:hAnsi="Times New Roman"/>
          <w:b/>
          <w:noProof/>
          <w:sz w:val="24"/>
          <w:szCs w:val="20"/>
        </w:rPr>
        <w:t>2.4. Προσβασιμότητα</w:t>
      </w:r>
    </w:p>
    <w:p w14:paraId="155E004F" w14:textId="77777777" w:rsidR="00AC69CE" w:rsidRPr="00AC69CE" w:rsidRDefault="00AC69CE" w:rsidP="00AC69CE">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2.4.1 Επιγραμμική βάση δεδομένων</w:t>
      </w:r>
    </w:p>
    <w:p w14:paraId="07C607FD" w14:textId="76EB0EBD" w:rsidR="00ED669B" w:rsidRPr="00ED669B" w:rsidRDefault="00ED669B" w:rsidP="00ED669B">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Οι στατιστικές σχετικά με τις εκφορτώσεις αλιευτικών προϊόντων είναι διαθέσιμες στη δημόσια βάση δεδομένων της Επιτροπής (Eurostat)</w:t>
      </w:r>
      <w:r>
        <w:rPr>
          <w:rStyle w:val="FootnoteReference"/>
          <w:rFonts w:ascii="Times New Roman" w:eastAsia="Times New Roman" w:hAnsi="Times New Roman" w:cs="Times New Roman"/>
          <w:noProof/>
          <w:sz w:val="23"/>
          <w:szCs w:val="23"/>
          <w:lang w:val="en-GB" w:eastAsia="fr-BE"/>
        </w:rPr>
        <w:footnoteReference w:id="13"/>
      </w:r>
      <w:r>
        <w:rPr>
          <w:rFonts w:ascii="Times New Roman" w:hAnsi="Times New Roman"/>
          <w:noProof/>
          <w:sz w:val="23"/>
          <w:szCs w:val="23"/>
        </w:rPr>
        <w:t xml:space="preserve"> σε λεπτομερείς πίνακες ανά χώρα, καθώς και σε έναν συνοπτικό συγκεντρωτικό πίνακα, που προβάλλει ενωσιακά και εθνικά στοιχεία σε πιο συγκεντρωτικό επίπεδο.</w:t>
      </w:r>
    </w:p>
    <w:p w14:paraId="67C5D40B" w14:textId="538BB7D1" w:rsidR="000E6E81" w:rsidRPr="00160CA3" w:rsidRDefault="00ED669B" w:rsidP="00ED669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3"/>
          <w:szCs w:val="23"/>
        </w:rPr>
        <w:t>Τα μισά από τα κράτη μέλη που υποβάλλουν εκθέσεις δημοσιεύουν επίσης τα στοιχεία σε εθνικό επίπεδο σε επιγραμμικές βάσεις δεδομένων στις οποίες οι χρήστες μπορούν να έχουν πρόσβαση.</w:t>
      </w:r>
    </w:p>
    <w:p w14:paraId="3B954BBF" w14:textId="77777777" w:rsidR="000E6E81" w:rsidRPr="00160CA3" w:rsidRDefault="00D55A84" w:rsidP="000E6E81">
      <w:pPr>
        <w:keepNext/>
        <w:numPr>
          <w:ilvl w:val="2"/>
          <w:numId w:val="0"/>
        </w:numPr>
        <w:spacing w:after="240" w:line="240" w:lineRule="auto"/>
        <w:ind w:left="851" w:hanging="851"/>
        <w:jc w:val="both"/>
        <w:outlineLvl w:val="2"/>
        <w:rPr>
          <w:rFonts w:ascii="Times New Roman" w:eastAsia="Times New Roman" w:hAnsi="Times New Roman" w:cs="Times New Roman"/>
          <w:i/>
          <w:noProof/>
          <w:sz w:val="24"/>
          <w:szCs w:val="20"/>
        </w:rPr>
      </w:pPr>
      <w:bookmarkStart w:id="11" w:name="_Toc39845173"/>
      <w:r>
        <w:rPr>
          <w:rFonts w:ascii="Times New Roman" w:hAnsi="Times New Roman"/>
          <w:i/>
          <w:noProof/>
          <w:sz w:val="24"/>
          <w:szCs w:val="20"/>
        </w:rPr>
        <w:t>2.4.2</w:t>
      </w:r>
      <w:r>
        <w:rPr>
          <w:noProof/>
        </w:rPr>
        <w:tab/>
      </w:r>
      <w:r>
        <w:rPr>
          <w:rFonts w:ascii="Times New Roman" w:hAnsi="Times New Roman"/>
          <w:i/>
          <w:noProof/>
          <w:sz w:val="24"/>
          <w:szCs w:val="20"/>
        </w:rPr>
        <w:t>Δημοσιεύσεις και πίνακες στοιχείων</w:t>
      </w:r>
      <w:bookmarkEnd w:id="11"/>
    </w:p>
    <w:p w14:paraId="76489B72" w14:textId="521A2983" w:rsidR="004A10B7" w:rsidRPr="005E627D" w:rsidRDefault="004A10B7" w:rsidP="00F759E3">
      <w:pPr>
        <w:keepNext/>
        <w:numPr>
          <w:ilvl w:val="2"/>
          <w:numId w:val="0"/>
        </w:numPr>
        <w:spacing w:after="240" w:line="240" w:lineRule="auto"/>
        <w:jc w:val="both"/>
        <w:outlineLvl w:val="2"/>
        <w:rPr>
          <w:rFonts w:ascii="Times New Roman" w:eastAsia="Times New Roman" w:hAnsi="Times New Roman" w:cs="Times New Roman"/>
          <w:noProof/>
          <w:sz w:val="24"/>
          <w:szCs w:val="20"/>
        </w:rPr>
      </w:pPr>
      <w:r>
        <w:rPr>
          <w:rFonts w:ascii="Times New Roman" w:hAnsi="Times New Roman"/>
          <w:noProof/>
          <w:sz w:val="24"/>
          <w:szCs w:val="20"/>
        </w:rPr>
        <w:t>Η Eurostat δημοσιεύει στοιχεία και άρθρα σχετικά με τα στατιστικά στοιχεία εκφορτώσεων αλιευτικών προϊόντων στην επιγραμμική συλλογή της «Statistics Explained» και σε στατιστικά βιβλία</w:t>
      </w:r>
      <w:r>
        <w:rPr>
          <w:rStyle w:val="FootnoteReference"/>
          <w:rFonts w:ascii="Times New Roman" w:eastAsia="Times New Roman" w:hAnsi="Times New Roman" w:cs="Times New Roman"/>
          <w:noProof/>
          <w:sz w:val="24"/>
          <w:szCs w:val="20"/>
          <w:lang w:val="en-GB" w:eastAsia="fr-BE"/>
        </w:rPr>
        <w:footnoteReference w:id="14"/>
      </w:r>
      <w:r>
        <w:rPr>
          <w:rFonts w:ascii="Times New Roman" w:hAnsi="Times New Roman"/>
          <w:noProof/>
          <w:sz w:val="24"/>
          <w:szCs w:val="20"/>
        </w:rPr>
        <w:t>. Οι μισές από τις χώρες που υπέβαλαν στοιχεία παρήγαγαν ηλεκτρονικές δημοσιεύσεις.</w:t>
      </w:r>
    </w:p>
    <w:p w14:paraId="4CB763E0" w14:textId="61B4B861" w:rsidR="000E6E81" w:rsidRPr="005E627D" w:rsidRDefault="00D55A84" w:rsidP="000E6E81">
      <w:pPr>
        <w:keepNext/>
        <w:numPr>
          <w:ilvl w:val="2"/>
          <w:numId w:val="0"/>
        </w:numPr>
        <w:spacing w:after="240" w:line="240" w:lineRule="auto"/>
        <w:ind w:left="851" w:hanging="851"/>
        <w:jc w:val="both"/>
        <w:outlineLvl w:val="2"/>
        <w:rPr>
          <w:rFonts w:ascii="Times New Roman" w:eastAsia="Times New Roman" w:hAnsi="Times New Roman" w:cs="Times New Roman"/>
          <w:i/>
          <w:noProof/>
          <w:sz w:val="24"/>
          <w:szCs w:val="20"/>
        </w:rPr>
      </w:pPr>
      <w:bookmarkStart w:id="12" w:name="_Toc39845174"/>
      <w:r>
        <w:rPr>
          <w:rFonts w:ascii="Times New Roman" w:hAnsi="Times New Roman"/>
          <w:i/>
          <w:noProof/>
          <w:sz w:val="24"/>
          <w:szCs w:val="20"/>
        </w:rPr>
        <w:t>2.4.3</w:t>
      </w:r>
      <w:r>
        <w:rPr>
          <w:noProof/>
        </w:rPr>
        <w:tab/>
      </w:r>
      <w:r>
        <w:rPr>
          <w:rFonts w:ascii="Times New Roman" w:hAnsi="Times New Roman"/>
          <w:i/>
          <w:noProof/>
          <w:sz w:val="24"/>
          <w:szCs w:val="20"/>
        </w:rPr>
        <w:t>Μεταδεδομένα</w:t>
      </w:r>
      <w:bookmarkEnd w:id="12"/>
    </w:p>
    <w:p w14:paraId="51CDC809" w14:textId="50B76D04" w:rsidR="00F759E3" w:rsidRDefault="007F5D02" w:rsidP="00F759E3">
      <w:pPr>
        <w:keepNext/>
        <w:numPr>
          <w:ilvl w:val="2"/>
          <w:numId w:val="0"/>
        </w:numPr>
        <w:spacing w:after="240" w:line="240" w:lineRule="auto"/>
        <w:jc w:val="both"/>
        <w:outlineLvl w:val="2"/>
        <w:rPr>
          <w:rFonts w:ascii="Times New Roman" w:eastAsia="Times New Roman" w:hAnsi="Times New Roman" w:cs="Times New Roman"/>
          <w:noProof/>
          <w:sz w:val="23"/>
          <w:szCs w:val="23"/>
        </w:rPr>
      </w:pPr>
      <w:r>
        <w:rPr>
          <w:rFonts w:ascii="Times New Roman" w:hAnsi="Times New Roman"/>
          <w:noProof/>
          <w:sz w:val="24"/>
          <w:szCs w:val="20"/>
        </w:rPr>
        <w:t>Κάθε 3 έτη η Επιτροπή συλλέγει τις εθνικές εκθέσεις ποιότητας στις οποίες και βασίζεται η παρούσα έκθεση (βλέπε υποσημείωση 8). Οι εθνικές εκθέσεις περιέχουν λεπτομερείς πληροφορίες σχετικά με την ποιότητα των στοιχείων και τις μεθόδους που χρησιμοποιούνται για τη συλλογή τους. Οι εθνικές εκθέσεις ποιότητας ακολουθούν τις κατευθυντήριες γραμμές του Ευρωπαϊκού Στατιστικού Συστήματος (ΕΣΣ) και συλλέγονται στο πλαίσιο του χειρισμού μεταδεδομένων του ΕΣΣ (Metadata Handler).</w:t>
      </w:r>
      <w:r>
        <w:rPr>
          <w:rFonts w:ascii="Times New Roman" w:hAnsi="Times New Roman"/>
          <w:noProof/>
          <w:sz w:val="23"/>
          <w:szCs w:val="23"/>
        </w:rPr>
        <w:t xml:space="preserve"> </w:t>
      </w:r>
      <w:bookmarkStart w:id="13" w:name="_Toc39845175"/>
    </w:p>
    <w:p w14:paraId="559D955A" w14:textId="1E9B95C7" w:rsidR="000E6E81" w:rsidRPr="005E627D" w:rsidRDefault="00D55A84" w:rsidP="00F759E3">
      <w:pPr>
        <w:keepNext/>
        <w:numPr>
          <w:ilvl w:val="2"/>
          <w:numId w:val="0"/>
        </w:numPr>
        <w:spacing w:after="240" w:line="240" w:lineRule="auto"/>
        <w:jc w:val="both"/>
        <w:outlineLvl w:val="2"/>
        <w:rPr>
          <w:rFonts w:ascii="Times New Roman" w:eastAsia="Times New Roman" w:hAnsi="Times New Roman" w:cs="Times New Roman"/>
          <w:b/>
          <w:noProof/>
          <w:sz w:val="24"/>
          <w:szCs w:val="20"/>
        </w:rPr>
      </w:pPr>
      <w:r>
        <w:rPr>
          <w:rFonts w:ascii="Times New Roman" w:hAnsi="Times New Roman"/>
          <w:b/>
          <w:noProof/>
          <w:sz w:val="24"/>
          <w:szCs w:val="20"/>
        </w:rPr>
        <w:t>2.5</w:t>
      </w:r>
      <w:r>
        <w:rPr>
          <w:noProof/>
        </w:rPr>
        <w:tab/>
      </w:r>
      <w:r>
        <w:rPr>
          <w:rFonts w:ascii="Times New Roman" w:hAnsi="Times New Roman"/>
          <w:b/>
          <w:noProof/>
          <w:sz w:val="24"/>
          <w:szCs w:val="20"/>
        </w:rPr>
        <w:t>Εμπιστευτικότητα στοιχείων</w:t>
      </w:r>
      <w:bookmarkEnd w:id="13"/>
    </w:p>
    <w:p w14:paraId="091A7354" w14:textId="0E47F6E0" w:rsidR="005E627D" w:rsidRPr="005E627D" w:rsidRDefault="005E627D" w:rsidP="000E6E81">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Είναι πολύ λίγες οι εμπιστευτικές μεταβλητές στα στατιστικά στοιχεία σχετικά με τις εκφορτώσεις αλιευτικών προϊόντων που διαβιβάζονται στην Επιτροπή. Το 2019 τρία κράτη μέλη αντιμετώπισαν ζητήματα εμπιστευτικότητας είτε για την ποσότητα είτε για την τιμή των εκφορτωθέντων προϊόντων. Ως εκ τούτου, ο συνολικός όγκος που εκφορτώθηκε και η αξία παρέμειναν εμπιστευτικά για την ΕΕ συνολικά. </w:t>
      </w:r>
    </w:p>
    <w:p w14:paraId="7168C8E2" w14:textId="67B4A8B4" w:rsidR="000E6E81" w:rsidRPr="005E627D" w:rsidRDefault="000E6E81" w:rsidP="000E6E81">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3"/>
          <w:szCs w:val="23"/>
        </w:rPr>
        <w:t>Η Eurostat και τα κράτη μέλη έχουν επενδύσει χρόνο και προσπάθεια για να διατεθούν όσο το δυνατόν περισσότερα αριθμητικά στοιχεία στους χρήστες, διαφυλάσσοντας παράλληλα το στατιστικό απόρρητο και διατηρώντας τη διαδικασία όσο το δυνατόν πιο αποτελεσματική.</w:t>
      </w:r>
    </w:p>
    <w:p w14:paraId="5BEF8C5F" w14:textId="77777777" w:rsidR="000E6E81" w:rsidRPr="00F759E3" w:rsidRDefault="00D55A84" w:rsidP="000E6E81">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4"/>
          <w:szCs w:val="20"/>
        </w:rPr>
      </w:pPr>
      <w:bookmarkStart w:id="14" w:name="_Toc39845176"/>
      <w:r>
        <w:rPr>
          <w:rFonts w:ascii="Times New Roman" w:hAnsi="Times New Roman"/>
          <w:b/>
          <w:smallCaps/>
          <w:noProof/>
          <w:sz w:val="24"/>
          <w:szCs w:val="20"/>
        </w:rPr>
        <w:t>3</w:t>
      </w:r>
      <w:r>
        <w:rPr>
          <w:noProof/>
        </w:rPr>
        <w:tab/>
      </w:r>
      <w:r>
        <w:rPr>
          <w:rFonts w:ascii="Times New Roman" w:hAnsi="Times New Roman"/>
          <w:b/>
          <w:smallCaps/>
          <w:noProof/>
          <w:sz w:val="24"/>
          <w:szCs w:val="20"/>
        </w:rPr>
        <w:t>Επιβάρυνση και σχέση κόστους-αποτελεσματικότητας</w:t>
      </w:r>
      <w:bookmarkEnd w:id="14"/>
    </w:p>
    <w:p w14:paraId="157E1476" w14:textId="12DBCCCF" w:rsidR="00F759E3" w:rsidRDefault="00815780" w:rsidP="00F759E3">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Το ΕΣΣ διενήργησε ανάλυση κόστους της διαδικασίας συλλογής στατιστικών για τις εκφορτώσεις. 23 χώρες (όλες οι ενδιαφερόμενες χώρες εκτός από την Ισλανδία) διαβίβασαν εκτιμήσεις κόστους σε νομισματικούς όρους και σε εργατικό δυναμικό, οι οποίες εκφράστηκαν σε ισοδύναμο πλήρους απασχόλησης (ΙΠΑ). Μία χώρα μπόρεσε να παράσχει μόνο ένα συνολικό αριθμητικό στοιχείο για τις στατιστικές τόσο για τα αλιεύματα όσο και για τις εκφορτώσεις· το κόστος των στατιστικών για τις εκφορτώσεις εκτιμήθηκε ότι αντιπροσωπεύει περίπου το ήμισυ του συνολικού κόστους. </w:t>
      </w:r>
    </w:p>
    <w:p w14:paraId="377A0DC1" w14:textId="5019E41B" w:rsidR="00E54D9A" w:rsidRDefault="002B575F" w:rsidP="00F759E3">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 xml:space="preserve">Το συνολικό άμεσο και έμμεσο κόστος για όλες τις χώρες που υπέβαλαν τα στοιχεία ήταν 2,9 εκατ. ευρώ ετησίως. Το διάμεσο κόστος ανά χώρα ήταν 16 400 ευρώ. Σε περισσότερες από τις μισές χώρες, το κόστος ήταν πολύ μικρό, αλλά ορισμένες χώρες διοργανώνουν δειγματοληπτικές έρευνες με υψηλότερο κόστος. Συνολικά 70 άτομα (που μετατράπηκαν σε ΙΠΑ) εργάζονταν με στατιστικά στοιχεία για τις εκφορτώσεις. Το διάμεσο κόστος ανά χώρα ήταν 0,5 ΙΠΑ.  </w:t>
      </w:r>
      <w:bookmarkStart w:id="15" w:name="_Toc39845177"/>
      <w:r>
        <w:rPr>
          <w:rFonts w:ascii="Times New Roman" w:hAnsi="Times New Roman"/>
          <w:noProof/>
          <w:sz w:val="23"/>
          <w:szCs w:val="23"/>
        </w:rPr>
        <w:t xml:space="preserve">Τα μισά από τα κράτη μέλη που υπέβαλαν εκθέσεις δήλωσαν ότι σημείωσαν κέρδη αποδοτικότητας μετά την τελευταία έκθεση. Το ένα τρίτο εξ αυτών δήλωσαν ότι κατόρθωσαν να μειώσουν την επιβάρυνση για τους απαντήσαντες, χρησιμοποιώντας πιο φιλικά προς τον χρήστη ερωτηματολόγια ή ευκολότερες μεθόδους διαβίβασης στοιχείων. </w:t>
      </w:r>
    </w:p>
    <w:p w14:paraId="11B3BC45" w14:textId="78A134BF" w:rsidR="000E6E81" w:rsidRPr="00F759E3" w:rsidRDefault="00D55A84" w:rsidP="000E6E81">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szCs w:val="20"/>
        </w:rPr>
        <w:t>4</w:t>
      </w:r>
      <w:r>
        <w:rPr>
          <w:noProof/>
        </w:rPr>
        <w:tab/>
      </w:r>
      <w:r>
        <w:rPr>
          <w:rFonts w:ascii="Times New Roman" w:hAnsi="Times New Roman"/>
          <w:b/>
          <w:smallCaps/>
          <w:noProof/>
          <w:sz w:val="24"/>
          <w:szCs w:val="20"/>
        </w:rPr>
        <w:t>Συμπεράσματα</w:t>
      </w:r>
      <w:bookmarkEnd w:id="15"/>
    </w:p>
    <w:p w14:paraId="3A1F5951" w14:textId="38D9A406" w:rsidR="00F70584" w:rsidRDefault="00F70584" w:rsidP="005A7095">
      <w:pPr>
        <w:autoSpaceDE w:val="0"/>
        <w:autoSpaceDN w:val="0"/>
        <w:adjustRightInd w:val="0"/>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Οι στατιστικές για τις εκφορτώσεις είναι αξιόπιστες όσον αφορά την ακρίβεια, την πληρότητα και τη συνέπεια. Τα κράτη μέλη παρέχουν αξιόπιστες πληροφορίες σχετικά με τον όγκο και την αξία των αλιευτικών προϊόντων που εκφορτώνονται στην ΕΕ και πολύ χρήσιμα λεπτομερή στοιχεία σε επίπεδο είδους, τα οποία μπορούν να χρησιμοποιηθούν για την ανάλυση της αγοράς αλιευτικών προϊόντων της ΕΕ.</w:t>
      </w:r>
    </w:p>
    <w:p w14:paraId="1BA95798" w14:textId="43580671" w:rsidR="00F70584" w:rsidRPr="005063F1" w:rsidRDefault="00F70584" w:rsidP="005A7095">
      <w:pPr>
        <w:autoSpaceDE w:val="0"/>
        <w:autoSpaceDN w:val="0"/>
        <w:adjustRightInd w:val="0"/>
        <w:spacing w:after="0" w:line="240" w:lineRule="auto"/>
        <w:jc w:val="both"/>
        <w:rPr>
          <w:rFonts w:ascii="Times New Roman" w:eastAsia="Times New Roman" w:hAnsi="Times New Roman" w:cs="Times New Roman"/>
          <w:noProof/>
          <w:sz w:val="23"/>
          <w:szCs w:val="23"/>
          <w:lang w:eastAsia="fr-BE"/>
        </w:rPr>
      </w:pPr>
    </w:p>
    <w:p w14:paraId="6685C8AD" w14:textId="10763FA4" w:rsidR="00F70584" w:rsidRPr="00F70584" w:rsidRDefault="00F70584" w:rsidP="005A7095">
      <w:pPr>
        <w:autoSpaceDE w:val="0"/>
        <w:autoSpaceDN w:val="0"/>
        <w:adjustRightInd w:val="0"/>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Οι κατευθυντήριες γραμμές της Eurostat για την υποβολή εκθέσεων και τα εγχειρίδια έχουν καταστήσει πιο συνεκτικές τις στατιστικές για τις εκφορτώσεις. Παράλληλα, τα μέτρα που λαμβάνονται από τους εθνικούς φορείς παροχής στοιχείων οδήγησαν σε βελτίωση της εμπρόθεσμης υποβολής και της πληρότητας.</w:t>
      </w:r>
    </w:p>
    <w:p w14:paraId="2B85F7C0" w14:textId="77777777" w:rsidR="00F70584" w:rsidRPr="005063F1" w:rsidRDefault="00F70584" w:rsidP="005A7095">
      <w:pPr>
        <w:autoSpaceDE w:val="0"/>
        <w:autoSpaceDN w:val="0"/>
        <w:adjustRightInd w:val="0"/>
        <w:spacing w:after="0" w:line="240" w:lineRule="auto"/>
        <w:jc w:val="both"/>
        <w:rPr>
          <w:rFonts w:ascii="Times New Roman" w:eastAsia="Times New Roman" w:hAnsi="Times New Roman" w:cs="Times New Roman"/>
          <w:noProof/>
          <w:sz w:val="23"/>
          <w:szCs w:val="23"/>
          <w:lang w:eastAsia="fr-BE"/>
        </w:rPr>
      </w:pPr>
    </w:p>
    <w:p w14:paraId="1BA41681" w14:textId="745A5314" w:rsidR="00F70584" w:rsidRDefault="005A7095" w:rsidP="005A7095">
      <w:pPr>
        <w:autoSpaceDE w:val="0"/>
        <w:autoSpaceDN w:val="0"/>
        <w:adjustRightInd w:val="0"/>
        <w:spacing w:after="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Το συνολικό άμεσο και έμμεσο κόστος για όλες τις χώρες που υπέβαλαν αριθμητικά στοιχεία ήταν 2,9 εκατ. ευρώ. Το διάμεσο κόστος ανά χώρα ήταν 16 400 ευρώ. Σε περισσότερες από τις μισές χώρες, το κόστος ήταν πολύ μικρό, αλλά ορισμένες χώρες διοργανώνουν δειγματοληπτικές έρευνες με υψηλότερο κόστος.</w:t>
      </w:r>
    </w:p>
    <w:p w14:paraId="3B12CE3F" w14:textId="7D8A16AF" w:rsidR="000E6E81" w:rsidRPr="005E627D" w:rsidRDefault="00D55A84" w:rsidP="000E6E81">
      <w:pPr>
        <w:keepNext/>
        <w:tabs>
          <w:tab w:val="num" w:pos="482"/>
        </w:tabs>
        <w:spacing w:before="240" w:after="240" w:line="240" w:lineRule="auto"/>
        <w:ind w:left="482" w:hanging="482"/>
        <w:jc w:val="both"/>
        <w:outlineLvl w:val="0"/>
        <w:rPr>
          <w:rFonts w:ascii="Times New Roman" w:eastAsia="Times New Roman" w:hAnsi="Times New Roman" w:cs="Times New Roman"/>
          <w:b/>
          <w:smallCaps/>
          <w:noProof/>
          <w:sz w:val="24"/>
          <w:szCs w:val="20"/>
        </w:rPr>
      </w:pPr>
      <w:bookmarkStart w:id="16" w:name="_Toc39845178"/>
      <w:r>
        <w:rPr>
          <w:rFonts w:ascii="Times New Roman" w:hAnsi="Times New Roman"/>
          <w:b/>
          <w:smallCaps/>
          <w:noProof/>
          <w:sz w:val="24"/>
          <w:szCs w:val="20"/>
        </w:rPr>
        <w:t>5</w:t>
      </w:r>
      <w:r>
        <w:rPr>
          <w:noProof/>
        </w:rPr>
        <w:tab/>
      </w:r>
      <w:r>
        <w:rPr>
          <w:rFonts w:ascii="Times New Roman" w:hAnsi="Times New Roman"/>
          <w:b/>
          <w:smallCaps/>
          <w:noProof/>
          <w:sz w:val="24"/>
          <w:szCs w:val="20"/>
        </w:rPr>
        <w:t>Συστάσεις</w:t>
      </w:r>
      <w:bookmarkEnd w:id="16"/>
    </w:p>
    <w:p w14:paraId="466D266F" w14:textId="0B7C7BB3" w:rsidR="007E5216" w:rsidRPr="00973BBE" w:rsidRDefault="007E5216" w:rsidP="007E5216">
      <w:pPr>
        <w:keepNext/>
        <w:spacing w:before="240" w:after="240" w:line="240" w:lineRule="auto"/>
        <w:jc w:val="both"/>
        <w:outlineLvl w:val="0"/>
        <w:rPr>
          <w:rFonts w:ascii="Times New Roman" w:eastAsia="Times New Roman" w:hAnsi="Times New Roman" w:cs="Times New Roman"/>
          <w:noProof/>
          <w:sz w:val="23"/>
          <w:szCs w:val="23"/>
        </w:rPr>
      </w:pPr>
      <w:r>
        <w:rPr>
          <w:rFonts w:ascii="Times New Roman" w:hAnsi="Times New Roman"/>
          <w:noProof/>
          <w:sz w:val="23"/>
          <w:szCs w:val="23"/>
        </w:rPr>
        <w:t>Η Eurostat καταβάλλει προσπάθειες για τη συνεχή βελτίωση της ποιότητας και της διαθεσιμότητας των ευρωπαϊκών στατιστικών. Έχει επίσης δεσμευθεί να μειώσει την επιβάρυνση για τα κράτη μέλη και τους απαντήσαντες. Για τον σκοπό αυτόν, το σχέδιο «Εκσυγχρονισμός και απλοποίηση των ευρωπαϊκών στατιστικών για την αλιεία» εξετάζει την ισχύουσα συλλογή στοιχείων και καταρτίζει μια στρατηγική που θα καταστήσει τα στατιστικά στοιχεία για τις εκφορτώσεις αλιευτικών προϊόντων πιο κατάλληλα για τον σκοπό για τον οποίο προορίζονται. Το πρώτο ορόσημο του σχεδίου —η ολοκλήρωση της αξιολόγησης των ευρωπαϊκών στατιστικών αλιείας— επιτεύχθηκε στο τέλος του 2019, όταν καταρτίστηκε έγγραφο εργασίας των υπηρεσιών της Επιτροπής σχετικά με την αξιολόγηση</w:t>
      </w:r>
      <w:r>
        <w:rPr>
          <w:rFonts w:ascii="Times New Roman" w:eastAsia="Times New Roman" w:hAnsi="Times New Roman" w:cs="Times New Roman"/>
          <w:noProof/>
          <w:sz w:val="23"/>
          <w:szCs w:val="23"/>
          <w:vertAlign w:val="superscript"/>
          <w:lang w:val="en-GB" w:eastAsia="fr-BE"/>
        </w:rPr>
        <w:footnoteReference w:id="15"/>
      </w:r>
      <w:r>
        <w:rPr>
          <w:rFonts w:ascii="Times New Roman" w:hAnsi="Times New Roman"/>
          <w:noProof/>
          <w:sz w:val="23"/>
          <w:szCs w:val="23"/>
        </w:rPr>
        <w:t xml:space="preserve">.  </w:t>
      </w:r>
    </w:p>
    <w:p w14:paraId="7561485C" w14:textId="188AC1D7" w:rsidR="00301258" w:rsidRPr="0008330E" w:rsidRDefault="000E6E81" w:rsidP="00301258">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Το σημαντικότερο αποτέλεσμα που προκύπτει από την αξιολόγηση των στατιστικών αλιείας για τις εκφορτώσεις είναι ότι αποτελούν πολύ σημαντικό και ευρέως χρησιμοποιούμενο μέρος των στατιστικών αλιείας, ωστόσο η κάλυψή τους δεν ικανοποιεί τις ανάγκες των χρηστών. Από την αξιολόγηση των αλιευτικών στατιστικών διαπιστώθηκε ότι οι χρήστες είχαν μια σημαντική αναδυόμενη ανάγκη για στατιστικές για τις εκφορτώσεις προκειμένου να καλυφθούν οι συνολικές εκφορτώσεις για όλα τα αλιευτικά σκάφη μιας χώρας, οι εκφορτώσεις αλιευτικών σκαφών ΕΕ/ΕΖΕΣ εκτός του εδάφους ΕΕ/ΕΖΕΣ και οι εκφορτώσεις από αλιευτικά σκάφη εκτός ΕΕ/ΕΖΕΣ στο έδαφος ΕΕ/ΕΖΕΣ.</w:t>
      </w:r>
    </w:p>
    <w:p w14:paraId="5B7F1F60" w14:textId="756B0F7A" w:rsidR="000E6E81" w:rsidRDefault="000E6E81" w:rsidP="000E6E81">
      <w:pPr>
        <w:spacing w:after="240" w:line="240" w:lineRule="auto"/>
        <w:jc w:val="both"/>
        <w:rPr>
          <w:rFonts w:ascii="Times New Roman" w:eastAsia="Times New Roman" w:hAnsi="Times New Roman" w:cs="Times New Roman"/>
          <w:noProof/>
          <w:sz w:val="23"/>
          <w:szCs w:val="23"/>
        </w:rPr>
      </w:pPr>
      <w:r>
        <w:rPr>
          <w:rFonts w:ascii="Times New Roman" w:hAnsi="Times New Roman"/>
          <w:noProof/>
          <w:sz w:val="23"/>
          <w:szCs w:val="23"/>
        </w:rPr>
        <w:t>Η βέλτιστη λύση για την παροχή καλύτερων υπηρεσιών στους χρήστες των στοιχείων θα ήταν η τροποποίηση της ισχύουσας νομοθεσίας ή η αντικατάστασή της με νέα νομοθεσία που να αυξάνει την κάλυψη. Η Επιτροπή ολοκληρώνει επί του παρόντος μια εκτίμηση επιπτώσεων σχετικά με τις πιθανές επιλογές για τη βελτίωση όλων των στατιστικών για την αλιεία: αλίευση, εκφόρτωση, αλιευτικός στόλος και υδατοκαλλιέργεια. Με τη θέσπιση νέας νομοθεσίας θα μπορούσε επίσης να επιτευχθεί βελτίωση της αποδοτικότητας, ιδίως με την απλοποίηση των ροών στοιχείων και την ευθυγράμμιση των προθεσμιών με τις ανάγκες άλλων διεθνών οργανισμών.</w:t>
      </w:r>
    </w:p>
    <w:p w14:paraId="36E39392" w14:textId="29EC2496" w:rsidR="000E6E81" w:rsidRPr="0008330E" w:rsidRDefault="000E6E81" w:rsidP="000E6E81">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3"/>
          <w:szCs w:val="23"/>
        </w:rPr>
        <w:t xml:space="preserve">Σε εθνικό επίπεδο η χρήση ηλεκτρονικών ερωτηματολογίων θα πρέπει να ενθαρρυνθεί περαιτέρω, καθώς θα συμβάλει στην πιο αποδοτική συλλογή στοιχείων. Οι εθνικές κατευθυντήριες γραμμές συλλογής στοιχείων και τα γραφεία υποστήριξης, που παρέχουν εξατομικευμένη στήριξη στους συμμετέχοντες, αποτελούν άλλα παραδείγματα ορθών πρακτικών. </w:t>
      </w:r>
    </w:p>
    <w:p w14:paraId="53A11EE1" w14:textId="77777777" w:rsidR="00207B6F" w:rsidRPr="005063F1" w:rsidRDefault="00207B6F">
      <w:pPr>
        <w:rPr>
          <w:noProof/>
        </w:rPr>
      </w:pPr>
    </w:p>
    <w:sectPr w:rsidR="00207B6F" w:rsidRPr="005063F1" w:rsidSect="00E02FD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B75491" w14:textId="77777777" w:rsidR="00E02FDD" w:rsidRDefault="00E02FDD" w:rsidP="00E02FDD">
      <w:pPr>
        <w:spacing w:after="0" w:line="240" w:lineRule="auto"/>
      </w:pPr>
      <w:r>
        <w:separator/>
      </w:r>
    </w:p>
  </w:endnote>
  <w:endnote w:type="continuationSeparator" w:id="0">
    <w:p w14:paraId="58F9A481" w14:textId="77777777" w:rsidR="00E02FDD" w:rsidRDefault="00E02FDD" w:rsidP="00E02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2991B" w14:textId="77777777" w:rsidR="00F52526" w:rsidRPr="00F52526" w:rsidRDefault="00F52526" w:rsidP="00F525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3297" w14:textId="52CFA713" w:rsidR="00F52526" w:rsidRPr="00F52526" w:rsidRDefault="00F52526" w:rsidP="00F52526">
    <w:pPr>
      <w:pStyle w:val="FooterCoverPage"/>
      <w:rPr>
        <w:rFonts w:ascii="Arial" w:hAnsi="Arial" w:cs="Arial"/>
        <w:b/>
        <w:sz w:val="48"/>
      </w:rPr>
    </w:pPr>
    <w:r w:rsidRPr="00F52526">
      <w:rPr>
        <w:rFonts w:ascii="Arial" w:hAnsi="Arial" w:cs="Arial"/>
        <w:b/>
        <w:sz w:val="48"/>
      </w:rPr>
      <w:t>EL</w:t>
    </w:r>
    <w:r w:rsidRPr="00F52526">
      <w:rPr>
        <w:rFonts w:ascii="Arial" w:hAnsi="Arial" w:cs="Arial"/>
        <w:b/>
        <w:sz w:val="48"/>
      </w:rPr>
      <w:tab/>
    </w:r>
    <w:r w:rsidRPr="00F52526">
      <w:rPr>
        <w:rFonts w:ascii="Arial" w:hAnsi="Arial" w:cs="Arial"/>
        <w:b/>
        <w:sz w:val="48"/>
      </w:rPr>
      <w:tab/>
    </w:r>
    <w:r w:rsidRPr="00F52526">
      <w:tab/>
    </w:r>
    <w:r w:rsidRPr="00F52526">
      <w:rPr>
        <w:rFonts w:ascii="Arial" w:hAnsi="Arial" w:cs="Arial"/>
        <w:b/>
        <w:sz w:val="48"/>
      </w:rPr>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AC020" w14:textId="77777777" w:rsidR="00F52526" w:rsidRPr="00F52526" w:rsidRDefault="00F52526" w:rsidP="00F5252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3EBC9" w14:textId="77777777" w:rsidR="00E02FDD" w:rsidRDefault="00E02F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913527"/>
      <w:docPartObj>
        <w:docPartGallery w:val="Page Numbers (Bottom of Page)"/>
        <w:docPartUnique/>
      </w:docPartObj>
    </w:sdtPr>
    <w:sdtEndPr>
      <w:rPr>
        <w:noProof/>
      </w:rPr>
    </w:sdtEndPr>
    <w:sdtContent>
      <w:p w14:paraId="7E76DF16" w14:textId="7D2D14FB" w:rsidR="0021735A" w:rsidRDefault="0021735A">
        <w:pPr>
          <w:pStyle w:val="Footer"/>
          <w:jc w:val="center"/>
        </w:pPr>
        <w:r>
          <w:fldChar w:fldCharType="begin"/>
        </w:r>
        <w:r>
          <w:instrText xml:space="preserve"> PAGE   \* MERGEFORMAT </w:instrText>
        </w:r>
        <w:r>
          <w:fldChar w:fldCharType="separate"/>
        </w:r>
        <w:r w:rsidR="00F52526">
          <w:rPr>
            <w:noProof/>
          </w:rPr>
          <w:t>1</w:t>
        </w:r>
        <w:r>
          <w:fldChar w:fldCharType="end"/>
        </w:r>
      </w:p>
    </w:sdtContent>
  </w:sdt>
  <w:p w14:paraId="31595DA8" w14:textId="77777777" w:rsidR="00E02FDD" w:rsidRDefault="00E02F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72BD" w14:textId="77777777" w:rsidR="00E02FDD" w:rsidRDefault="00E02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F1EC2" w14:textId="77777777" w:rsidR="00E02FDD" w:rsidRDefault="00E02FDD" w:rsidP="00E02FDD">
      <w:pPr>
        <w:spacing w:after="0" w:line="240" w:lineRule="auto"/>
      </w:pPr>
      <w:r>
        <w:separator/>
      </w:r>
    </w:p>
  </w:footnote>
  <w:footnote w:type="continuationSeparator" w:id="0">
    <w:p w14:paraId="00DE6EB2" w14:textId="77777777" w:rsidR="00E02FDD" w:rsidRDefault="00E02FDD" w:rsidP="00E02FDD">
      <w:pPr>
        <w:spacing w:after="0" w:line="240" w:lineRule="auto"/>
      </w:pPr>
      <w:r>
        <w:continuationSeparator/>
      </w:r>
    </w:p>
  </w:footnote>
  <w:footnote w:id="1">
    <w:p w14:paraId="08CA6AE5" w14:textId="161D5A01" w:rsidR="00355726" w:rsidRDefault="00355726" w:rsidP="00D92798">
      <w:pPr>
        <w:pStyle w:val="FootnoteText"/>
        <w:ind w:left="426" w:hanging="426"/>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Κανονισμός (ΕΚ) αριθ. 1921/2006 του Ευρωπαϊκού Κοινοβουλίου και του Συμβουλίου, της 18ης Δεκεμβρίου 2006, σχετικά με την υποβολή στατιστικών στοιχείων για τις εκφορτώσεις αλιευτικών προϊόντων στα κράτη μέλη και την κατάργηση του κανονισμού (ΕΟΚ) αριθ. 1382/91 του Συμβουλίου (ΕΕ L 403 της 30.12.2006, σ. 1).</w:t>
      </w:r>
    </w:p>
    <w:p w14:paraId="7F12870A" w14:textId="77777777" w:rsidR="007E5216" w:rsidRPr="005063F1" w:rsidRDefault="007E5216" w:rsidP="00D92798">
      <w:pPr>
        <w:pStyle w:val="FootnoteText"/>
        <w:ind w:left="426" w:hanging="426"/>
        <w:jc w:val="both"/>
        <w:rPr>
          <w:rFonts w:ascii="Times New Roman" w:hAnsi="Times New Roman" w:cs="Times New Roman"/>
        </w:rPr>
      </w:pPr>
    </w:p>
  </w:footnote>
  <w:footnote w:id="2">
    <w:p w14:paraId="1010C3CD" w14:textId="116D9629" w:rsidR="00355726" w:rsidRDefault="00355726" w:rsidP="00D92798">
      <w:pPr>
        <w:pStyle w:val="FootnoteText"/>
        <w:ind w:left="426" w:hanging="426"/>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Αυτό σημαίνει ότι οι εν λόγω στατιστικές δεν είναι συγκρίσιμες με τα δεδομένα εκφόρτωσης που συλλέγονται στο πλαίσιο του κανονισμού (ΕΚ) αριθ. 1224/2009 του Συμβουλίου, όπου τα δεδομένα συλλέγονται ανά χώρα σημαίας του σκάφους.</w:t>
      </w:r>
    </w:p>
    <w:p w14:paraId="25FDF38E" w14:textId="77777777" w:rsidR="007E5216" w:rsidRPr="005063F1" w:rsidRDefault="007E5216" w:rsidP="00D92798">
      <w:pPr>
        <w:pStyle w:val="FootnoteText"/>
        <w:ind w:left="426" w:hanging="426"/>
        <w:jc w:val="both"/>
        <w:rPr>
          <w:rFonts w:ascii="Times New Roman" w:hAnsi="Times New Roman" w:cs="Times New Roman"/>
        </w:rPr>
      </w:pPr>
    </w:p>
  </w:footnote>
  <w:footnote w:id="3">
    <w:p w14:paraId="4AD8BAAD" w14:textId="0576D9A2" w:rsidR="00355726" w:rsidRDefault="00355726" w:rsidP="00D92798">
      <w:pPr>
        <w:pStyle w:val="FootnoteText"/>
        <w:ind w:left="426" w:hanging="426"/>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Έκθεση της Επιτροπής προς το Ευρωπαϊκό Κοινοβούλιο και το Συμβούλιο για την εφαρμογή του κανονισμού (ΕΚ) αριθ. 1921/2006 σχετικά με την υποβολή στατιστικών στοιχείων για τις εκφορτώσεις αλιευτικών προϊόντων στα κράτη μέλη· COM(2010) 675 τελικό.</w:t>
      </w:r>
    </w:p>
    <w:p w14:paraId="499EF7C8" w14:textId="77777777" w:rsidR="007E5216" w:rsidRPr="005063F1" w:rsidRDefault="007E5216" w:rsidP="00D92798">
      <w:pPr>
        <w:pStyle w:val="FootnoteText"/>
        <w:ind w:left="426" w:hanging="426"/>
        <w:jc w:val="both"/>
        <w:rPr>
          <w:rFonts w:ascii="Times New Roman" w:hAnsi="Times New Roman" w:cs="Times New Roman"/>
        </w:rPr>
      </w:pPr>
    </w:p>
  </w:footnote>
  <w:footnote w:id="4">
    <w:p w14:paraId="5BB13A38" w14:textId="073B52A7" w:rsidR="00355726" w:rsidRDefault="00355726" w:rsidP="00D92798">
      <w:pPr>
        <w:pStyle w:val="FootnoteText"/>
        <w:ind w:left="426" w:hanging="426"/>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Έκθεση της Επιτροπής προς το Ευρωπαϊκό Κοινοβούλιο και το Συμβούλιο για την εφαρμογή του κανονισμού (ΕΚ) αριθ. 1921/2006 σχετικά με την υποβολή στατιστικών στοιχείων για τις εκφορτώσεις αλιευτικών προϊόντων στα κράτη μέλη· COM(2014) 240 final.</w:t>
      </w:r>
    </w:p>
    <w:p w14:paraId="4622B51F" w14:textId="77777777" w:rsidR="007E5216" w:rsidRPr="005063F1" w:rsidRDefault="007E5216" w:rsidP="00D92798">
      <w:pPr>
        <w:pStyle w:val="FootnoteText"/>
        <w:ind w:left="426" w:hanging="426"/>
        <w:jc w:val="both"/>
        <w:rPr>
          <w:rFonts w:ascii="Times New Roman" w:hAnsi="Times New Roman" w:cs="Times New Roman"/>
        </w:rPr>
      </w:pPr>
    </w:p>
  </w:footnote>
  <w:footnote w:id="5">
    <w:p w14:paraId="6BDA8B67" w14:textId="09DE92D5" w:rsidR="00355726" w:rsidRDefault="00355726" w:rsidP="00D92798">
      <w:pPr>
        <w:pStyle w:val="FootnoteText"/>
        <w:ind w:left="426" w:hanging="426"/>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Έκθεση της Επιτροπής προς το Ευρωπαϊκό Κοινοβούλιο και το Συμβούλιο για την εφαρμογή του κανονισμού (ΕΚ) αριθ. 1921/2006 σχετικά με την υποβολή στατιστικών στοιχείων για τις εκφορτώσεις αλιευτικών προϊόντων στα κράτη μέλη· COM(2016) 239 final.</w:t>
      </w:r>
    </w:p>
    <w:p w14:paraId="38BA16E1" w14:textId="77777777" w:rsidR="007E5216" w:rsidRPr="005063F1" w:rsidRDefault="007E5216" w:rsidP="007E5216">
      <w:pPr>
        <w:pStyle w:val="FootnoteText"/>
        <w:ind w:left="426" w:hanging="426"/>
        <w:rPr>
          <w:rFonts w:ascii="Times New Roman" w:hAnsi="Times New Roman" w:cs="Times New Roman"/>
        </w:rPr>
      </w:pPr>
    </w:p>
  </w:footnote>
  <w:footnote w:id="6">
    <w:p w14:paraId="0ACC36C9" w14:textId="3AB3B7C4" w:rsidR="00355726" w:rsidRPr="00355726" w:rsidRDefault="00355726" w:rsidP="00D92798">
      <w:pPr>
        <w:pStyle w:val="FootnoteText"/>
        <w:ind w:left="426" w:hanging="426"/>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Έκθεση της Επιτροπής προς το Ευρωπαϊκό Κοινοβούλιο και το Συμβούλιο για την εφαρμογή του κανονισμού (ΕΚ) αριθ. 1921/2006 σχετικά με την υποβολή στατιστικών στοιχείων για τις εκφορτώσεις αλιευτικών προϊόντων στα κράτη μέλη· COM(2019) 47 final.</w:t>
      </w:r>
    </w:p>
  </w:footnote>
  <w:footnote w:id="7">
    <w:p w14:paraId="19355ED1" w14:textId="77777777" w:rsidR="00A1322E" w:rsidRDefault="00A1322E" w:rsidP="00A1322E">
      <w:pPr>
        <w:pStyle w:val="NormalWeb"/>
        <w:shd w:val="clear" w:color="auto" w:fill="FFFFFF"/>
        <w:spacing w:after="75"/>
        <w:ind w:left="284" w:hanging="284"/>
      </w:pPr>
    </w:p>
    <w:p w14:paraId="69DEC201" w14:textId="20C79C4D" w:rsidR="00A1322E" w:rsidRPr="00365D79" w:rsidRDefault="00A1322E" w:rsidP="00365D79">
      <w:pPr>
        <w:pStyle w:val="NormalWeb"/>
        <w:shd w:val="clear" w:color="auto" w:fill="FFFFFF"/>
        <w:spacing w:after="75"/>
        <w:ind w:left="426" w:hanging="426"/>
        <w:rPr>
          <w:rFonts w:eastAsiaTheme="minorHAnsi"/>
          <w:sz w:val="20"/>
          <w:szCs w:val="20"/>
        </w:rPr>
      </w:pPr>
      <w:r>
        <w:rPr>
          <w:rStyle w:val="FootnoteReference"/>
          <w:rFonts w:eastAsiaTheme="minorHAnsi"/>
          <w:sz w:val="20"/>
          <w:szCs w:val="20"/>
          <w:lang w:val="fr-BE"/>
        </w:rPr>
        <w:footnoteRef/>
      </w:r>
      <w:r>
        <w:rPr>
          <w:sz w:val="20"/>
          <w:szCs w:val="20"/>
        </w:rPr>
        <w:t>Κανονισμός (ΕΚ) αριθ. 1224/2009 του Συμβουλίου, της 20ής Νοεμβρίου 2009, περί θεσπίσεως κοινοτικού συστήματος ελέγχου της τήρησης των κανόνων της κοινής αλιευτικής πολιτικής, τροποποιήσεως των κανονισμών (ΕΚ) αριθ. 847/96, (ΕΚ) αριθ. 2371/2002, (ΕΚ) αριθ. 811/2004, (ΕΚ) αριθ. 768/2005, (ΕΚ) αριθ. 2115/2005, (ΕΚ) αριθ. 2166/2005, (ΕΚ) αριθ. 388/2006, (ΕΚ) αριθ. 509/2007, (ΕΚ) αριθ. 676/2007, (ΕΚ) αριθ. 1098/2007, (ΕΚ) αριθ. 1300/2008, (ΕΚ) αριθ. 1342/2008 και καταργήσεως των κανονισμών (ΕΟΚ) αριθ. 2847/93, (ΕΚ) αριθ. 1627/94 και (ΕΚ) αριθ. 1966/2006 (ΕΕ L 343 της 22.12.2009, σ. 1).</w:t>
      </w:r>
    </w:p>
    <w:p w14:paraId="1D7CDEC0" w14:textId="1C06AEFC" w:rsidR="00A1322E" w:rsidRPr="005063F1" w:rsidRDefault="00A1322E">
      <w:pPr>
        <w:pStyle w:val="FootnoteText"/>
      </w:pPr>
    </w:p>
  </w:footnote>
  <w:footnote w:id="8">
    <w:p w14:paraId="5582C80D" w14:textId="0994D51D" w:rsidR="00A1322E" w:rsidRPr="00365D79" w:rsidRDefault="00A1322E" w:rsidP="00365D79">
      <w:pPr>
        <w:pStyle w:val="NormalWeb"/>
        <w:shd w:val="clear" w:color="auto" w:fill="FFFFFF"/>
        <w:spacing w:after="75"/>
        <w:ind w:left="426" w:hanging="426"/>
        <w:rPr>
          <w:rFonts w:eastAsiaTheme="minorHAnsi"/>
          <w:sz w:val="20"/>
          <w:szCs w:val="20"/>
        </w:rPr>
      </w:pPr>
      <w:r>
        <w:rPr>
          <w:rStyle w:val="FootnoteReference"/>
          <w:rFonts w:eastAsiaTheme="minorHAnsi"/>
          <w:sz w:val="20"/>
          <w:szCs w:val="20"/>
          <w:lang w:val="fr-BE"/>
        </w:rPr>
        <w:footnoteRef/>
      </w:r>
      <w:r>
        <w:rPr>
          <w:rStyle w:val="FootnoteReference"/>
          <w:sz w:val="20"/>
          <w:szCs w:val="20"/>
        </w:rPr>
        <w:t xml:space="preserve"> </w:t>
      </w:r>
      <w:r>
        <w:t xml:space="preserve"> </w:t>
      </w:r>
      <w:r>
        <w:rPr>
          <w:sz w:val="20"/>
          <w:szCs w:val="20"/>
        </w:rPr>
        <w:t>Κανονισμός (ΕΕ) 2017/1004 του Ευρωπαϊκού Κοινοβουλίου και του Συμβουλίου, της 17ης Μαΐου 2017, σχετικά με τη θέσπιση ενωσιακού πλαισίου για τη συλλογή, διαχείριση και χρήση δεδομένων στον τομέα της αλιείας και τη στήριξη όσον αφορά τις επιστημονικές γνωμοδοτήσεις για την κοινή αλιευτική πολιτική και για την κατάργηση του κανονισμού (ΕΚ) αριθ. 199/2008 του Συμβουλίου (ΕΕ L 157 της 20.6.2017, σ. 1).</w:t>
      </w:r>
    </w:p>
    <w:p w14:paraId="04134857" w14:textId="4AFD2C4E" w:rsidR="00A1322E" w:rsidRPr="005063F1" w:rsidRDefault="00A1322E">
      <w:pPr>
        <w:pStyle w:val="FootnoteText"/>
      </w:pPr>
    </w:p>
  </w:footnote>
  <w:footnote w:id="9">
    <w:p w14:paraId="1A70CA90" w14:textId="760AE6B7" w:rsidR="000E6E81" w:rsidRPr="005D4466" w:rsidRDefault="000E6E81" w:rsidP="00D92798">
      <w:pPr>
        <w:pStyle w:val="FootnoteText"/>
        <w:ind w:left="426" w:hanging="426"/>
        <w:jc w:val="both"/>
        <w:rPr>
          <w:rFonts w:ascii="Times New Roman" w:hAnsi="Times New Roman" w:cs="Times New Roman"/>
          <w:color w:val="000000"/>
        </w:rPr>
      </w:pPr>
      <w:r>
        <w:rPr>
          <w:rStyle w:val="FootnoteReference"/>
          <w:rFonts w:ascii="Times New Roman" w:hAnsi="Times New Roman" w:cs="Times New Roman"/>
          <w:lang w:val="en-GB"/>
        </w:rPr>
        <w:footnoteRef/>
      </w:r>
      <w:r>
        <w:rPr>
          <w:rStyle w:val="FootnoteReference"/>
          <w:rFonts w:ascii="Times New Roman" w:hAnsi="Times New Roman"/>
        </w:rPr>
        <w:t xml:space="preserve"> </w:t>
      </w:r>
      <w:r>
        <w:tab/>
      </w:r>
      <w:hyperlink r:id="rId1" w:history="1">
        <w:r>
          <w:rPr>
            <w:rStyle w:val="Hyperlink"/>
            <w:rFonts w:ascii="Times New Roman" w:hAnsi="Times New Roman"/>
          </w:rPr>
          <w:t>https://ec.europa.eu/eurostat/cache/metadata/EN/fish_ld_esqrs.htm</w:t>
        </w:r>
      </w:hyperlink>
      <w:r>
        <w:rPr>
          <w:rFonts w:ascii="Times New Roman" w:hAnsi="Times New Roman"/>
        </w:rPr>
        <w:t xml:space="preserve"> (διαθέσιμο μόνο στα αγγλικά).</w:t>
      </w:r>
    </w:p>
    <w:p w14:paraId="7417C536" w14:textId="77777777" w:rsidR="00C52789" w:rsidRPr="005063F1" w:rsidRDefault="00C52789" w:rsidP="000E6E81">
      <w:pPr>
        <w:pStyle w:val="FootnoteText"/>
        <w:ind w:left="426" w:hanging="426"/>
        <w:rPr>
          <w:rFonts w:ascii="Times New Roman" w:hAnsi="Times New Roman" w:cs="Times New Roman"/>
          <w:color w:val="000000"/>
        </w:rPr>
      </w:pPr>
    </w:p>
  </w:footnote>
  <w:footnote w:id="10">
    <w:p w14:paraId="4EF58CB9" w14:textId="3401525B" w:rsidR="000E6E81" w:rsidRPr="005D4466" w:rsidRDefault="000E6E81" w:rsidP="00D92798">
      <w:pPr>
        <w:pStyle w:val="FootnoteText"/>
        <w:ind w:left="426" w:hanging="426"/>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tab/>
      </w:r>
      <w:hyperlink r:id="rId2" w:history="1">
        <w:r>
          <w:rPr>
            <w:rStyle w:val="Hyperlink"/>
            <w:rFonts w:ascii="Times New Roman" w:hAnsi="Times New Roman"/>
          </w:rPr>
          <w:t>https://ec.europa.eu/eurostat/cache/metadata/Annexes/fish_ld_esms_an3.pdf</w:t>
        </w:r>
      </w:hyperlink>
      <w:r>
        <w:rPr>
          <w:rFonts w:ascii="Times New Roman" w:hAnsi="Times New Roman"/>
        </w:rPr>
        <w:t xml:space="preserve"> (διαθέσιμο μόνο στα αγγλικά).</w:t>
      </w:r>
    </w:p>
    <w:p w14:paraId="3D246275" w14:textId="77777777" w:rsidR="00C52789" w:rsidRPr="005063F1" w:rsidRDefault="00C52789" w:rsidP="00D92798">
      <w:pPr>
        <w:pStyle w:val="FootnoteText"/>
        <w:ind w:left="426" w:hanging="426"/>
        <w:jc w:val="both"/>
        <w:rPr>
          <w:rFonts w:ascii="Times New Roman" w:hAnsi="Times New Roman" w:cs="Times New Roman"/>
        </w:rPr>
      </w:pPr>
    </w:p>
  </w:footnote>
  <w:footnote w:id="11">
    <w:p w14:paraId="6B7424C4" w14:textId="1DA0A19D" w:rsidR="000E6E81" w:rsidRPr="005D4466" w:rsidRDefault="000E6E81" w:rsidP="00D92798">
      <w:pPr>
        <w:pStyle w:val="NormalWeb"/>
        <w:ind w:left="426" w:hanging="426"/>
      </w:pPr>
      <w:r>
        <w:rPr>
          <w:rStyle w:val="FootnoteReference"/>
          <w:sz w:val="20"/>
          <w:szCs w:val="20"/>
        </w:rPr>
        <w:footnoteRef/>
      </w:r>
      <w:r>
        <w:tab/>
      </w:r>
      <w:r>
        <w:rPr>
          <w:sz w:val="20"/>
          <w:szCs w:val="20"/>
        </w:rPr>
        <w:t>Εκτελεστική απόφαση (ΕΕ) 2019/909 της Επιτροπής, της 18ης Φεβρουαρίου 2019, για την κατάρτιση του καταλόγου των υποχρεωτικών επιστημονικών ερευνών και κατώτατων ορίων για τους σκοπούς του πολυετούς προγράμματος της Ένωσης για τη συλλογή και διαχείριση δεδομένων στους τομείς της αλιείας και της υδατοκαλλιέργειας (</w:t>
      </w:r>
      <w:r>
        <w:rPr>
          <w:rStyle w:val="Emphasis"/>
          <w:i w:val="0"/>
          <w:sz w:val="20"/>
          <w:szCs w:val="20"/>
        </w:rPr>
        <w:t>ΕΕ L 145 της 4.6.2019, σ. 21</w:t>
      </w:r>
      <w:r>
        <w:rPr>
          <w:sz w:val="20"/>
          <w:szCs w:val="20"/>
        </w:rPr>
        <w:t>).</w:t>
      </w:r>
    </w:p>
  </w:footnote>
  <w:footnote w:id="12">
    <w:p w14:paraId="5F54B0F8" w14:textId="7D1F0B4C" w:rsidR="00AC69CE" w:rsidRDefault="00AC69CE" w:rsidP="00D92798">
      <w:pPr>
        <w:pStyle w:val="FootnoteText"/>
        <w:ind w:left="426" w:hanging="426"/>
        <w:jc w:val="both"/>
        <w:rPr>
          <w:rFonts w:ascii="Times New Roman" w:eastAsia="Times New Roman" w:hAnsi="Times New Roman" w:cs="Times New Roman"/>
        </w:rPr>
      </w:pPr>
      <w:r>
        <w:rPr>
          <w:rStyle w:val="FootnoteReference"/>
        </w:rPr>
        <w:footnoteRef/>
      </w:r>
      <w:r>
        <w:tab/>
      </w:r>
      <w:r>
        <w:rPr>
          <w:rFonts w:ascii="Times New Roman" w:hAnsi="Times New Roman"/>
        </w:rPr>
        <w:t>Κανονισμός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 (ΕΕ L 354 της 28.12.2013, σ. 22).</w:t>
      </w:r>
    </w:p>
    <w:p w14:paraId="69173543" w14:textId="77777777" w:rsidR="00E5418C" w:rsidRPr="005063F1" w:rsidRDefault="00E5418C" w:rsidP="00D92798">
      <w:pPr>
        <w:pStyle w:val="FootnoteText"/>
        <w:ind w:left="426" w:hanging="426"/>
        <w:jc w:val="both"/>
      </w:pPr>
    </w:p>
  </w:footnote>
  <w:footnote w:id="13">
    <w:p w14:paraId="24FAB4CE" w14:textId="1DEF7A7D" w:rsidR="00ED669B" w:rsidRDefault="00ED669B" w:rsidP="00D92798">
      <w:pPr>
        <w:pStyle w:val="FootnoteText"/>
        <w:ind w:left="426" w:hanging="426"/>
        <w:jc w:val="both"/>
        <w:rPr>
          <w:rFonts w:ascii="Times New Roman" w:eastAsia="Times New Roman" w:hAnsi="Times New Roman" w:cs="Times New Roman"/>
        </w:rPr>
      </w:pPr>
      <w:r>
        <w:rPr>
          <w:rStyle w:val="FootnoteReference"/>
        </w:rPr>
        <w:footnoteRef/>
      </w:r>
      <w:r>
        <w:t xml:space="preserve"> </w:t>
      </w:r>
      <w:r>
        <w:tab/>
      </w:r>
      <w:r>
        <w:rPr>
          <w:rFonts w:ascii="Times New Roman" w:hAnsi="Times New Roman"/>
        </w:rPr>
        <w:t>http://ec.europa.eu/eurostat/data/database (διαθέσιμη μόνο στα αγγλικά, γαλλικά και γερμανικά).</w:t>
      </w:r>
    </w:p>
    <w:p w14:paraId="5F2F8C05" w14:textId="77777777" w:rsidR="00E5418C" w:rsidRPr="005063F1" w:rsidRDefault="00E5418C" w:rsidP="00D92798">
      <w:pPr>
        <w:pStyle w:val="FootnoteText"/>
        <w:ind w:left="426" w:hanging="426"/>
        <w:jc w:val="both"/>
        <w:rPr>
          <w:rFonts w:ascii="Times New Roman" w:eastAsia="Times New Roman" w:hAnsi="Times New Roman" w:cs="Times New Roman"/>
        </w:rPr>
      </w:pPr>
    </w:p>
  </w:footnote>
  <w:footnote w:id="14">
    <w:p w14:paraId="5111876C" w14:textId="01D429F8" w:rsidR="00160CA3" w:rsidRPr="005063F1" w:rsidRDefault="00160CA3" w:rsidP="00D92798">
      <w:pPr>
        <w:pStyle w:val="FootnoteText"/>
        <w:ind w:left="426" w:hanging="426"/>
        <w:jc w:val="both"/>
        <w:rPr>
          <w:rFonts w:ascii="Times New Roman" w:eastAsia="Times New Roman" w:hAnsi="Times New Roman" w:cs="Times New Roman"/>
          <w:lang w:val="en-US"/>
        </w:rPr>
      </w:pPr>
      <w:r>
        <w:rPr>
          <w:rStyle w:val="FootnoteReference"/>
        </w:rPr>
        <w:footnoteRef/>
      </w:r>
      <w:r w:rsidRPr="005063F1">
        <w:rPr>
          <w:rStyle w:val="FootnoteReference"/>
          <w:lang w:val="en-US"/>
        </w:rPr>
        <w:t xml:space="preserve"> </w:t>
      </w:r>
      <w:r w:rsidRPr="005063F1">
        <w:rPr>
          <w:lang w:val="en-US"/>
        </w:rPr>
        <w:tab/>
      </w:r>
      <w:r w:rsidRPr="005063F1">
        <w:rPr>
          <w:rFonts w:ascii="Times New Roman" w:hAnsi="Times New Roman"/>
          <w:lang w:val="en-US"/>
        </w:rPr>
        <w:t xml:space="preserve">H </w:t>
      </w:r>
      <w:r>
        <w:rPr>
          <w:rFonts w:ascii="Times New Roman" w:hAnsi="Times New Roman"/>
        </w:rPr>
        <w:t>πλέον</w:t>
      </w:r>
      <w:r w:rsidRPr="005063F1">
        <w:rPr>
          <w:rFonts w:ascii="Times New Roman" w:hAnsi="Times New Roman"/>
          <w:lang w:val="en-US"/>
        </w:rPr>
        <w:t xml:space="preserve"> </w:t>
      </w:r>
      <w:r>
        <w:rPr>
          <w:rFonts w:ascii="Times New Roman" w:hAnsi="Times New Roman"/>
        </w:rPr>
        <w:t>πρόσφατη</w:t>
      </w:r>
      <w:r w:rsidRPr="005063F1">
        <w:rPr>
          <w:rFonts w:ascii="Times New Roman" w:hAnsi="Times New Roman"/>
          <w:lang w:val="en-US"/>
        </w:rPr>
        <w:t xml:space="preserve"> </w:t>
      </w:r>
      <w:r>
        <w:rPr>
          <w:rFonts w:ascii="Times New Roman" w:hAnsi="Times New Roman"/>
        </w:rPr>
        <w:t>είναι</w:t>
      </w:r>
      <w:r w:rsidRPr="005063F1">
        <w:rPr>
          <w:rFonts w:ascii="Times New Roman" w:hAnsi="Times New Roman"/>
          <w:lang w:val="en-US"/>
        </w:rPr>
        <w:t xml:space="preserve"> </w:t>
      </w:r>
      <w:r>
        <w:rPr>
          <w:rFonts w:ascii="Times New Roman" w:hAnsi="Times New Roman"/>
        </w:rPr>
        <w:t>η</w:t>
      </w:r>
      <w:r w:rsidRPr="005063F1">
        <w:rPr>
          <w:rFonts w:ascii="Times New Roman" w:hAnsi="Times New Roman"/>
          <w:lang w:val="en-US"/>
        </w:rPr>
        <w:t xml:space="preserve"> «Agriculture, forestry and fishery statistics» — 2020 edition https://ec.europa.eu/eurostat/documents/3217494/12069644/KS-FK-20-001-EN-N.pdf/a7439b01-671b-80ce-85e4-4d803c44340a?t=1608139005821 (</w:t>
      </w:r>
      <w:r>
        <w:rPr>
          <w:rFonts w:ascii="Times New Roman" w:hAnsi="Times New Roman"/>
        </w:rPr>
        <w:t>διαθέσιμο</w:t>
      </w:r>
      <w:r w:rsidRPr="005063F1">
        <w:rPr>
          <w:rFonts w:ascii="Times New Roman" w:hAnsi="Times New Roman"/>
          <w:lang w:val="en-US"/>
        </w:rPr>
        <w:t xml:space="preserve"> </w:t>
      </w:r>
      <w:r>
        <w:rPr>
          <w:rFonts w:ascii="Times New Roman" w:hAnsi="Times New Roman"/>
        </w:rPr>
        <w:t>μόνο</w:t>
      </w:r>
      <w:r w:rsidRPr="005063F1">
        <w:rPr>
          <w:rFonts w:ascii="Times New Roman" w:hAnsi="Times New Roman"/>
          <w:lang w:val="en-US"/>
        </w:rPr>
        <w:t xml:space="preserve"> </w:t>
      </w:r>
      <w:r>
        <w:rPr>
          <w:rFonts w:ascii="Times New Roman" w:hAnsi="Times New Roman"/>
        </w:rPr>
        <w:t>στα</w:t>
      </w:r>
      <w:r w:rsidRPr="005063F1">
        <w:rPr>
          <w:rFonts w:ascii="Times New Roman" w:hAnsi="Times New Roman"/>
          <w:lang w:val="en-US"/>
        </w:rPr>
        <w:t xml:space="preserve"> </w:t>
      </w:r>
      <w:r>
        <w:rPr>
          <w:rFonts w:ascii="Times New Roman" w:hAnsi="Times New Roman"/>
        </w:rPr>
        <w:t>αγγλικά</w:t>
      </w:r>
      <w:r w:rsidRPr="005063F1">
        <w:rPr>
          <w:rFonts w:ascii="Times New Roman" w:hAnsi="Times New Roman"/>
          <w:lang w:val="en-US"/>
        </w:rPr>
        <w:t>).</w:t>
      </w:r>
    </w:p>
    <w:p w14:paraId="38C471A3" w14:textId="77777777" w:rsidR="00E5418C" w:rsidRPr="00E5418C" w:rsidRDefault="00E5418C" w:rsidP="00D92798">
      <w:pPr>
        <w:pStyle w:val="FootnoteText"/>
        <w:ind w:left="426" w:hanging="426"/>
        <w:jc w:val="both"/>
        <w:rPr>
          <w:rFonts w:ascii="Times New Roman" w:eastAsia="Times New Roman" w:hAnsi="Times New Roman" w:cs="Times New Roman"/>
          <w:lang w:val="en-GB"/>
        </w:rPr>
      </w:pPr>
    </w:p>
  </w:footnote>
  <w:footnote w:id="15">
    <w:p w14:paraId="64684C42" w14:textId="211D19E4" w:rsidR="007E5216" w:rsidRPr="005D4466" w:rsidRDefault="007E5216" w:rsidP="007E5216">
      <w:pPr>
        <w:pStyle w:val="FootnoteText"/>
        <w:ind w:left="426" w:hanging="426"/>
      </w:pPr>
      <w:r>
        <w:rPr>
          <w:rFonts w:ascii="Times New Roman" w:eastAsia="Times New Roman" w:hAnsi="Times New Roman" w:cs="Times New Roman"/>
          <w:vertAlign w:val="superscript"/>
          <w:lang w:val="en-GB"/>
        </w:rPr>
        <w:footnoteRef/>
      </w:r>
      <w:r>
        <w:rPr>
          <w:rFonts w:ascii="Times New Roman" w:hAnsi="Times New Roman"/>
          <w:vertAlign w:val="superscript"/>
        </w:rPr>
        <w:t xml:space="preserve"> </w:t>
      </w:r>
      <w:r>
        <w:tab/>
      </w:r>
      <w:hyperlink r:id="rId3" w:history="1">
        <w:r>
          <w:rPr>
            <w:rStyle w:val="Hyperlink"/>
            <w:rFonts w:ascii="Times New Roman" w:hAnsi="Times New Roman"/>
          </w:rPr>
          <w:t>Staff Working Document (2019) 425</w:t>
        </w:r>
      </w:hyperlink>
      <w:r>
        <w:rPr>
          <w:rFonts w:ascii="Times New Roman" w:hAnsi="Times New Roman"/>
        </w:rPr>
        <w:t xml:space="preserve"> (διαθέσιμο μόνο στα αγγλικά).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379AF" w14:textId="77777777" w:rsidR="00F52526" w:rsidRPr="00F52526" w:rsidRDefault="00F52526" w:rsidP="00F52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7F6A" w14:textId="77777777" w:rsidR="00F52526" w:rsidRPr="00F52526" w:rsidRDefault="00F52526" w:rsidP="00F5252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BE9EF" w14:textId="77777777" w:rsidR="00F52526" w:rsidRPr="00F52526" w:rsidRDefault="00F52526" w:rsidP="00F5252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1365C" w14:textId="77777777" w:rsidR="00E02FDD" w:rsidRDefault="00E02F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A9933" w14:textId="77777777" w:rsidR="00E02FDD" w:rsidRDefault="00E02F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F7A08" w14:textId="77777777" w:rsidR="00E02FDD" w:rsidRDefault="00E0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D68E4"/>
    <w:multiLevelType w:val="hybridMultilevel"/>
    <w:tmpl w:val="8B5CD5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1C55808"/>
    <w:multiLevelType w:val="hybridMultilevel"/>
    <w:tmpl w:val="171AB7FC"/>
    <w:lvl w:ilvl="0" w:tplc="1B365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1233AF"/>
    <w:multiLevelType w:val="hybridMultilevel"/>
    <w:tmpl w:val="18748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16ABBA9-DFDF-4661-B06C-6F74690A8222"/>
    <w:docVar w:name="LW_COVERPAGE_TYPE" w:val="1"/>
    <w:docVar w:name="LW_CROSSREFERENCE" w:val="&lt;UNUSED&gt;"/>
    <w:docVar w:name="LW_DocType" w:val="NORMAL"/>
    <w:docVar w:name="LW_EMISSION" w:val="13.12.2021"/>
    <w:docVar w:name="LW_EMISSION_ISODATE" w:val="2021-12-13"/>
    <w:docVar w:name="LW_EMISSION_LOCATION" w:val="BRX"/>
    <w:docVar w:name="LW_EMISSION_PREFIX" w:val="\u914?\u961?\u965?\u958?\u941?\u955?\u955?\u949?\u962?, "/>
    <w:docVar w:name="LW_EMISSION_SUFFIX" w:val=" "/>
    <w:docVar w:name="LW_ID_DOCTYPE_NONLW" w:val="CP-006"/>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NST.NEW" w:val="COM"/>
    <w:docVar w:name="LW_REF.INST.NEW_ADOPTED" w:val="final"/>
    <w:docVar w:name="LW_REF.INST.NEW_TEXT" w:val="(2021) 7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σχετικά με την εφαρμογή του κανονισμού αριθ. 1921/2006 του Ευρωπαϊκού Κοινοβουλίου και του Συμβουλίου, της 18ης Δεκεμβρίου 2006, σχετικά με την υποβολή στατιστικών στοιχείων για τις εκφορτώσεις αλιευτικών προϊόντων στα κράτη μέλη"/>
    <w:docVar w:name="LW_TYPE.DOC.CP" w:val="ΕΚΘΕΣΗ ΤΗΣ ΕΠΙΤΡΟΠΗΣ ΠΡΟΣ ΤΟ ΕΥΡΩΠΑΪΚΟ ΚΟΙΝΟΒΟΥΛΙΟ ΚΑΙ ΤΟ ΣΥΜΒΟΥΛΙΟ"/>
    <w:docVar w:name="LwApiVersions" w:val="LW4CoDe 1.23.2.0; LW 8.0, Build 20211117"/>
  </w:docVars>
  <w:rsids>
    <w:rsidRoot w:val="00E02FDD"/>
    <w:rsid w:val="00006B43"/>
    <w:rsid w:val="000148E8"/>
    <w:rsid w:val="00042E89"/>
    <w:rsid w:val="00053A67"/>
    <w:rsid w:val="00055489"/>
    <w:rsid w:val="00074FBD"/>
    <w:rsid w:val="0008330E"/>
    <w:rsid w:val="000A67AE"/>
    <w:rsid w:val="000C29E9"/>
    <w:rsid w:val="000D1F90"/>
    <w:rsid w:val="000D65A4"/>
    <w:rsid w:val="000E1CCE"/>
    <w:rsid w:val="000E691F"/>
    <w:rsid w:val="000E6E81"/>
    <w:rsid w:val="00102CAA"/>
    <w:rsid w:val="00105199"/>
    <w:rsid w:val="001064CC"/>
    <w:rsid w:val="00125E6E"/>
    <w:rsid w:val="00160CA3"/>
    <w:rsid w:val="00162C40"/>
    <w:rsid w:val="001B2B5A"/>
    <w:rsid w:val="001B3E52"/>
    <w:rsid w:val="00200F11"/>
    <w:rsid w:val="00202770"/>
    <w:rsid w:val="002079D2"/>
    <w:rsid w:val="00207B6F"/>
    <w:rsid w:val="002159A3"/>
    <w:rsid w:val="0021735A"/>
    <w:rsid w:val="00253B09"/>
    <w:rsid w:val="0028424A"/>
    <w:rsid w:val="002B575F"/>
    <w:rsid w:val="002F2185"/>
    <w:rsid w:val="00301258"/>
    <w:rsid w:val="0033262B"/>
    <w:rsid w:val="00347414"/>
    <w:rsid w:val="00355726"/>
    <w:rsid w:val="00365D79"/>
    <w:rsid w:val="003A1D73"/>
    <w:rsid w:val="003A28BB"/>
    <w:rsid w:val="003B27D2"/>
    <w:rsid w:val="004025EF"/>
    <w:rsid w:val="00466DD4"/>
    <w:rsid w:val="004A10B7"/>
    <w:rsid w:val="004A27C9"/>
    <w:rsid w:val="004A311E"/>
    <w:rsid w:val="004B160B"/>
    <w:rsid w:val="004B6DAB"/>
    <w:rsid w:val="004C1F5B"/>
    <w:rsid w:val="0050555B"/>
    <w:rsid w:val="005063F1"/>
    <w:rsid w:val="005A5722"/>
    <w:rsid w:val="005A7095"/>
    <w:rsid w:val="005C1318"/>
    <w:rsid w:val="005D4466"/>
    <w:rsid w:val="005E627D"/>
    <w:rsid w:val="0062625B"/>
    <w:rsid w:val="006B304D"/>
    <w:rsid w:val="006C048D"/>
    <w:rsid w:val="00714EDF"/>
    <w:rsid w:val="00732D28"/>
    <w:rsid w:val="0074185A"/>
    <w:rsid w:val="007547C6"/>
    <w:rsid w:val="007565AF"/>
    <w:rsid w:val="007613CB"/>
    <w:rsid w:val="00780066"/>
    <w:rsid w:val="007A1355"/>
    <w:rsid w:val="007A2175"/>
    <w:rsid w:val="007B4197"/>
    <w:rsid w:val="007B4A3A"/>
    <w:rsid w:val="007E5216"/>
    <w:rsid w:val="007E73C7"/>
    <w:rsid w:val="007F5D02"/>
    <w:rsid w:val="00815780"/>
    <w:rsid w:val="0084081E"/>
    <w:rsid w:val="00880BEA"/>
    <w:rsid w:val="008A36A2"/>
    <w:rsid w:val="008A5414"/>
    <w:rsid w:val="008B5ED4"/>
    <w:rsid w:val="008F4EB7"/>
    <w:rsid w:val="00912D9C"/>
    <w:rsid w:val="00913A61"/>
    <w:rsid w:val="0091700E"/>
    <w:rsid w:val="00934755"/>
    <w:rsid w:val="00953676"/>
    <w:rsid w:val="009537B1"/>
    <w:rsid w:val="00956989"/>
    <w:rsid w:val="00964C28"/>
    <w:rsid w:val="009667CB"/>
    <w:rsid w:val="00973BBE"/>
    <w:rsid w:val="00973EDC"/>
    <w:rsid w:val="00974D6A"/>
    <w:rsid w:val="00986619"/>
    <w:rsid w:val="0099187D"/>
    <w:rsid w:val="009C5949"/>
    <w:rsid w:val="009C7343"/>
    <w:rsid w:val="009F5968"/>
    <w:rsid w:val="00A00978"/>
    <w:rsid w:val="00A1322E"/>
    <w:rsid w:val="00A25859"/>
    <w:rsid w:val="00A27745"/>
    <w:rsid w:val="00A45DE7"/>
    <w:rsid w:val="00A672B2"/>
    <w:rsid w:val="00A8203F"/>
    <w:rsid w:val="00A84171"/>
    <w:rsid w:val="00A9103D"/>
    <w:rsid w:val="00AA071F"/>
    <w:rsid w:val="00AB3A22"/>
    <w:rsid w:val="00AC69CE"/>
    <w:rsid w:val="00AF1743"/>
    <w:rsid w:val="00B1294B"/>
    <w:rsid w:val="00B1753A"/>
    <w:rsid w:val="00B227B2"/>
    <w:rsid w:val="00B3747E"/>
    <w:rsid w:val="00B40CE1"/>
    <w:rsid w:val="00B546FA"/>
    <w:rsid w:val="00B60945"/>
    <w:rsid w:val="00B9124B"/>
    <w:rsid w:val="00BA7929"/>
    <w:rsid w:val="00BB3FBD"/>
    <w:rsid w:val="00BC550A"/>
    <w:rsid w:val="00BF703B"/>
    <w:rsid w:val="00C205C2"/>
    <w:rsid w:val="00C26F7C"/>
    <w:rsid w:val="00C36C1C"/>
    <w:rsid w:val="00C52789"/>
    <w:rsid w:val="00C52B59"/>
    <w:rsid w:val="00C65BDC"/>
    <w:rsid w:val="00C70F12"/>
    <w:rsid w:val="00C7750A"/>
    <w:rsid w:val="00C96F71"/>
    <w:rsid w:val="00CB5751"/>
    <w:rsid w:val="00CD48C7"/>
    <w:rsid w:val="00CE6655"/>
    <w:rsid w:val="00CF1456"/>
    <w:rsid w:val="00D112A5"/>
    <w:rsid w:val="00D125FE"/>
    <w:rsid w:val="00D202A6"/>
    <w:rsid w:val="00D300BC"/>
    <w:rsid w:val="00D55A84"/>
    <w:rsid w:val="00D911F7"/>
    <w:rsid w:val="00D92798"/>
    <w:rsid w:val="00DA3BEB"/>
    <w:rsid w:val="00DD04A0"/>
    <w:rsid w:val="00DD4580"/>
    <w:rsid w:val="00DE3F30"/>
    <w:rsid w:val="00E003F2"/>
    <w:rsid w:val="00E02FDD"/>
    <w:rsid w:val="00E07807"/>
    <w:rsid w:val="00E44116"/>
    <w:rsid w:val="00E5418C"/>
    <w:rsid w:val="00E54D9A"/>
    <w:rsid w:val="00E55F0E"/>
    <w:rsid w:val="00E5647F"/>
    <w:rsid w:val="00E7019D"/>
    <w:rsid w:val="00ED669B"/>
    <w:rsid w:val="00EF62D4"/>
    <w:rsid w:val="00F17F23"/>
    <w:rsid w:val="00F44AF1"/>
    <w:rsid w:val="00F51730"/>
    <w:rsid w:val="00F52526"/>
    <w:rsid w:val="00F55BD1"/>
    <w:rsid w:val="00F5696B"/>
    <w:rsid w:val="00F70584"/>
    <w:rsid w:val="00F759E3"/>
    <w:rsid w:val="00F859E1"/>
    <w:rsid w:val="00F8739E"/>
    <w:rsid w:val="00F95EA5"/>
    <w:rsid w:val="00F9741D"/>
    <w:rsid w:val="00FA087E"/>
    <w:rsid w:val="00FA63D5"/>
    <w:rsid w:val="00FB00F7"/>
    <w:rsid w:val="00FB48A9"/>
    <w:rsid w:val="00FD6FD8"/>
    <w:rsid w:val="00FE31C9"/>
    <w:rsid w:val="00FE59EE"/>
    <w:rsid w:val="00FF45F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7B8668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8006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02FDD"/>
    <w:rPr>
      <w:color w:val="0000FF"/>
      <w:shd w:val="clear" w:color="auto" w:fill="auto"/>
    </w:rPr>
  </w:style>
  <w:style w:type="paragraph" w:customStyle="1" w:styleId="Pagedecouverture">
    <w:name w:val="Page de couverture"/>
    <w:basedOn w:val="Normal"/>
    <w:next w:val="Normal"/>
    <w:rsid w:val="00E02FDD"/>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E02F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FDD"/>
  </w:style>
  <w:style w:type="paragraph" w:styleId="Footer">
    <w:name w:val="footer"/>
    <w:basedOn w:val="Normal"/>
    <w:link w:val="FooterChar"/>
    <w:uiPriority w:val="99"/>
    <w:unhideWhenUsed/>
    <w:rsid w:val="00E02F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FDD"/>
  </w:style>
  <w:style w:type="paragraph" w:customStyle="1" w:styleId="FooterCoverPage">
    <w:name w:val="Footer Cover Page"/>
    <w:basedOn w:val="Normal"/>
    <w:link w:val="FooterCoverPageChar"/>
    <w:rsid w:val="00E02F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02FDD"/>
    <w:rPr>
      <w:rFonts w:ascii="Times New Roman" w:hAnsi="Times New Roman" w:cs="Times New Roman"/>
      <w:sz w:val="24"/>
    </w:rPr>
  </w:style>
  <w:style w:type="paragraph" w:customStyle="1" w:styleId="FooterSensitivity">
    <w:name w:val="Footer Sensitivity"/>
    <w:basedOn w:val="Normal"/>
    <w:link w:val="FooterSensitivityChar"/>
    <w:rsid w:val="00E02FD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02FDD"/>
    <w:rPr>
      <w:rFonts w:ascii="Times New Roman" w:hAnsi="Times New Roman" w:cs="Times New Roman"/>
      <w:b/>
      <w:sz w:val="32"/>
    </w:rPr>
  </w:style>
  <w:style w:type="paragraph" w:customStyle="1" w:styleId="HeaderCoverPage">
    <w:name w:val="Header Cover Page"/>
    <w:basedOn w:val="Normal"/>
    <w:link w:val="HeaderCoverPageChar"/>
    <w:rsid w:val="00E02FD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02FDD"/>
    <w:rPr>
      <w:rFonts w:ascii="Times New Roman" w:hAnsi="Times New Roman" w:cs="Times New Roman"/>
      <w:sz w:val="24"/>
    </w:rPr>
  </w:style>
  <w:style w:type="paragraph" w:customStyle="1" w:styleId="HeaderSensitivity">
    <w:name w:val="Header Sensitivity"/>
    <w:basedOn w:val="Normal"/>
    <w:link w:val="HeaderSensitivityChar"/>
    <w:rsid w:val="00E02FD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02FDD"/>
    <w:rPr>
      <w:rFonts w:ascii="Times New Roman" w:hAnsi="Times New Roman" w:cs="Times New Roman"/>
      <w:b/>
      <w:sz w:val="32"/>
    </w:rPr>
  </w:style>
  <w:style w:type="paragraph" w:customStyle="1" w:styleId="HeaderSensitivityRight">
    <w:name w:val="Header Sensitivity Right"/>
    <w:basedOn w:val="Normal"/>
    <w:link w:val="HeaderSensitivityRightChar"/>
    <w:rsid w:val="001064C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02FDD"/>
    <w:rPr>
      <w:rFonts w:ascii="Times New Roman" w:hAnsi="Times New Roman" w:cs="Times New Roman"/>
      <w:sz w:val="28"/>
    </w:rPr>
  </w:style>
  <w:style w:type="paragraph" w:styleId="FootnoteText">
    <w:name w:val="footnote text"/>
    <w:basedOn w:val="Normal"/>
    <w:link w:val="FootnoteTextChar"/>
    <w:uiPriority w:val="99"/>
    <w:unhideWhenUsed/>
    <w:rsid w:val="000E6E81"/>
    <w:pPr>
      <w:spacing w:after="0" w:line="240" w:lineRule="auto"/>
    </w:pPr>
    <w:rPr>
      <w:sz w:val="20"/>
      <w:szCs w:val="20"/>
    </w:rPr>
  </w:style>
  <w:style w:type="character" w:customStyle="1" w:styleId="FootnoteTextChar">
    <w:name w:val="Footnote Text Char"/>
    <w:basedOn w:val="DefaultParagraphFont"/>
    <w:link w:val="FootnoteText"/>
    <w:uiPriority w:val="99"/>
    <w:rsid w:val="000E6E81"/>
    <w:rPr>
      <w:sz w:val="20"/>
      <w:szCs w:val="20"/>
    </w:rPr>
  </w:style>
  <w:style w:type="character" w:styleId="Hyperlink">
    <w:name w:val="Hyperlink"/>
    <w:uiPriority w:val="99"/>
    <w:rsid w:val="000E6E81"/>
    <w:rPr>
      <w:rFonts w:cs="Times New Roman"/>
      <w:color w:val="0000FF"/>
      <w:u w:val="single"/>
      <w:shd w:val="clear" w:color="auto" w:fill="auto"/>
    </w:rPr>
  </w:style>
  <w:style w:type="character" w:styleId="FootnoteReference">
    <w:name w:val="footnote reference"/>
    <w:uiPriority w:val="99"/>
    <w:unhideWhenUsed/>
    <w:rsid w:val="000E6E81"/>
    <w:rPr>
      <w:shd w:val="clear" w:color="auto" w:fill="auto"/>
      <w:vertAlign w:val="superscript"/>
    </w:rPr>
  </w:style>
  <w:style w:type="paragraph" w:styleId="NormalWeb">
    <w:name w:val="Normal (Web)"/>
    <w:basedOn w:val="Normal"/>
    <w:uiPriority w:val="99"/>
    <w:unhideWhenUsed/>
    <w:rsid w:val="000E6E81"/>
    <w:pPr>
      <w:spacing w:after="240" w:line="240" w:lineRule="auto"/>
      <w:jc w:val="both"/>
    </w:pPr>
    <w:rPr>
      <w:rFonts w:ascii="Times New Roman" w:eastAsia="Times New Roman" w:hAnsi="Times New Roman" w:cs="Times New Roman"/>
      <w:sz w:val="24"/>
      <w:szCs w:val="24"/>
    </w:rPr>
  </w:style>
  <w:style w:type="character" w:styleId="Emphasis">
    <w:name w:val="Emphasis"/>
    <w:basedOn w:val="DefaultParagraphFont"/>
    <w:uiPriority w:val="20"/>
    <w:qFormat/>
    <w:rsid w:val="000E6E81"/>
    <w:rPr>
      <w:i/>
      <w:iCs/>
    </w:rPr>
  </w:style>
  <w:style w:type="paragraph" w:styleId="ListParagraph">
    <w:name w:val="List Paragraph"/>
    <w:basedOn w:val="Normal"/>
    <w:uiPriority w:val="34"/>
    <w:qFormat/>
    <w:rsid w:val="00D55A84"/>
    <w:pPr>
      <w:ind w:left="720"/>
      <w:contextualSpacing/>
    </w:pPr>
  </w:style>
  <w:style w:type="paragraph" w:customStyle="1" w:styleId="SecurityMarking">
    <w:name w:val="SecurityMarking"/>
    <w:basedOn w:val="Normal"/>
    <w:rsid w:val="001064CC"/>
    <w:pPr>
      <w:spacing w:after="0" w:line="276" w:lineRule="auto"/>
      <w:ind w:left="5103"/>
    </w:pPr>
    <w:rPr>
      <w:rFonts w:ascii="Times New Roman" w:hAnsi="Times New Roman" w:cs="Times New Roman"/>
      <w:sz w:val="28"/>
    </w:rPr>
  </w:style>
  <w:style w:type="paragraph" w:customStyle="1" w:styleId="DateMarking">
    <w:name w:val="DateMarking"/>
    <w:basedOn w:val="Normal"/>
    <w:rsid w:val="001064CC"/>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1064CC"/>
    <w:pPr>
      <w:spacing w:after="0" w:line="276" w:lineRule="auto"/>
      <w:ind w:left="5103"/>
    </w:pPr>
    <w:rPr>
      <w:rFonts w:ascii="Times New Roman" w:hAnsi="Times New Roman" w:cs="Times New Roman"/>
      <w:i/>
      <w:sz w:val="28"/>
    </w:rPr>
  </w:style>
  <w:style w:type="paragraph" w:styleId="BalloonText">
    <w:name w:val="Balloon Text"/>
    <w:basedOn w:val="Normal"/>
    <w:link w:val="BalloonTextChar"/>
    <w:uiPriority w:val="99"/>
    <w:semiHidden/>
    <w:unhideWhenUsed/>
    <w:rsid w:val="00B129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94B"/>
    <w:rPr>
      <w:rFonts w:ascii="Segoe UI" w:hAnsi="Segoe UI" w:cs="Segoe UI"/>
      <w:sz w:val="18"/>
      <w:szCs w:val="18"/>
    </w:rPr>
  </w:style>
  <w:style w:type="character" w:styleId="CommentReference">
    <w:name w:val="annotation reference"/>
    <w:basedOn w:val="DefaultParagraphFont"/>
    <w:uiPriority w:val="99"/>
    <w:semiHidden/>
    <w:unhideWhenUsed/>
    <w:rsid w:val="004025EF"/>
    <w:rPr>
      <w:sz w:val="16"/>
      <w:szCs w:val="16"/>
    </w:rPr>
  </w:style>
  <w:style w:type="paragraph" w:styleId="CommentText">
    <w:name w:val="annotation text"/>
    <w:basedOn w:val="Normal"/>
    <w:link w:val="CommentTextChar"/>
    <w:uiPriority w:val="99"/>
    <w:unhideWhenUsed/>
    <w:rsid w:val="004025EF"/>
    <w:pPr>
      <w:spacing w:line="240" w:lineRule="auto"/>
    </w:pPr>
    <w:rPr>
      <w:sz w:val="20"/>
      <w:szCs w:val="20"/>
    </w:rPr>
  </w:style>
  <w:style w:type="character" w:customStyle="1" w:styleId="CommentTextChar">
    <w:name w:val="Comment Text Char"/>
    <w:basedOn w:val="DefaultParagraphFont"/>
    <w:link w:val="CommentText"/>
    <w:uiPriority w:val="99"/>
    <w:rsid w:val="004025EF"/>
    <w:rPr>
      <w:sz w:val="20"/>
      <w:szCs w:val="20"/>
    </w:rPr>
  </w:style>
  <w:style w:type="paragraph" w:styleId="CommentSubject">
    <w:name w:val="annotation subject"/>
    <w:basedOn w:val="CommentText"/>
    <w:next w:val="CommentText"/>
    <w:link w:val="CommentSubjectChar"/>
    <w:uiPriority w:val="99"/>
    <w:semiHidden/>
    <w:unhideWhenUsed/>
    <w:rsid w:val="004025EF"/>
    <w:rPr>
      <w:b/>
      <w:bCs/>
    </w:rPr>
  </w:style>
  <w:style w:type="character" w:customStyle="1" w:styleId="CommentSubjectChar">
    <w:name w:val="Comment Subject Char"/>
    <w:basedOn w:val="CommentTextChar"/>
    <w:link w:val="CommentSubject"/>
    <w:uiPriority w:val="99"/>
    <w:semiHidden/>
    <w:rsid w:val="004025EF"/>
    <w:rPr>
      <w:b/>
      <w:bCs/>
      <w:sz w:val="20"/>
      <w:szCs w:val="20"/>
    </w:rPr>
  </w:style>
  <w:style w:type="character" w:styleId="FollowedHyperlink">
    <w:name w:val="FollowedHyperlink"/>
    <w:basedOn w:val="DefaultParagraphFont"/>
    <w:uiPriority w:val="99"/>
    <w:semiHidden/>
    <w:unhideWhenUsed/>
    <w:rsid w:val="00C70F12"/>
    <w:rPr>
      <w:color w:val="954F72" w:themeColor="followedHyperlink"/>
      <w:u w:val="single"/>
    </w:rPr>
  </w:style>
  <w:style w:type="paragraph" w:styleId="Revision">
    <w:name w:val="Revision"/>
    <w:hidden/>
    <w:uiPriority w:val="99"/>
    <w:semiHidden/>
    <w:rsid w:val="00042E89"/>
    <w:pPr>
      <w:spacing w:after="0" w:line="240" w:lineRule="auto"/>
    </w:pPr>
  </w:style>
  <w:style w:type="character" w:customStyle="1" w:styleId="Heading2Char">
    <w:name w:val="Heading 2 Char"/>
    <w:basedOn w:val="DefaultParagraphFont"/>
    <w:link w:val="Heading2"/>
    <w:uiPriority w:val="9"/>
    <w:rsid w:val="0078006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22129">
      <w:bodyDiv w:val="1"/>
      <w:marLeft w:val="0"/>
      <w:marRight w:val="0"/>
      <w:marTop w:val="0"/>
      <w:marBottom w:val="0"/>
      <w:divBdr>
        <w:top w:val="none" w:sz="0" w:space="0" w:color="auto"/>
        <w:left w:val="none" w:sz="0" w:space="0" w:color="auto"/>
        <w:bottom w:val="none" w:sz="0" w:space="0" w:color="auto"/>
        <w:right w:val="none" w:sz="0" w:space="0" w:color="auto"/>
      </w:divBdr>
    </w:div>
    <w:div w:id="557399574">
      <w:bodyDiv w:val="1"/>
      <w:marLeft w:val="0"/>
      <w:marRight w:val="0"/>
      <w:marTop w:val="0"/>
      <w:marBottom w:val="0"/>
      <w:divBdr>
        <w:top w:val="none" w:sz="0" w:space="0" w:color="auto"/>
        <w:left w:val="none" w:sz="0" w:space="0" w:color="auto"/>
        <w:bottom w:val="none" w:sz="0" w:space="0" w:color="auto"/>
        <w:right w:val="none" w:sz="0" w:space="0" w:color="auto"/>
      </w:divBdr>
    </w:div>
    <w:div w:id="83796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ocuments/64157/4375784/SWD_2019_425_F1_SWD_EVALUATION_EN_V2_P1_1058634.pdf" TargetMode="External"/><Relationship Id="rId2" Type="http://schemas.openxmlformats.org/officeDocument/2006/relationships/hyperlink" Target="https://ec.europa.eu/eurostat/cache/metadata/Annexes/fish_ld_esms_an3.pdf" TargetMode="External"/><Relationship Id="rId1" Type="http://schemas.openxmlformats.org/officeDocument/2006/relationships/hyperlink" Target="https://ec.europa.eu/eurostat/cache/metadata/EN/fish_ld_esq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21B76-429A-444D-A584-3E38CA6AD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2009</Words>
  <Characters>12017</Characters>
  <Application>Microsoft Office Word</Application>
  <DocSecurity>0</DocSecurity>
  <Lines>197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2021-11-12T10:35:00Z</dcterms:created>
  <dcterms:modified xsi:type="dcterms:W3CDTF">2021-12-09T13:03:00Z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CP-006</vt:lpwstr>
  </property>
</Properties>
</file>