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alt="2A28C74C-EADE-4AA5-960A-C32FDA24D3AE" style="width:450.45pt;height:366.35pt">
            <v:imagedata r:id="rId9" o:title=""/>
          </v:shape>
        </w:pict>
      </w:r>
    </w:p>
    <w:p>
      <w:pPr>
        <w:rPr>
          <w:noProof/>
        </w:rPr>
        <w:sectPr>
          <w:footerReference w:type="default" r:id="rId10"/>
          <w:pgSz w:w="11907" w:h="16839"/>
          <w:pgMar w:top="1134" w:right="1417" w:bottom="1134" w:left="1417" w:header="709" w:footer="709" w:gutter="0"/>
          <w:pgNumType w:start="0"/>
          <w:cols w:space="720"/>
          <w:docGrid w:linePitch="360"/>
        </w:sectPr>
      </w:pPr>
    </w:p>
    <w:p>
      <w:pPr>
        <w:pStyle w:val="Exposdesmotifstitre"/>
        <w:rPr>
          <w:noProof/>
        </w:rPr>
      </w:pPr>
      <w:bookmarkStart w:id="0" w:name="_GoBack"/>
      <w:bookmarkEnd w:id="0"/>
      <w:r>
        <w:rPr>
          <w:noProof/>
        </w:rPr>
        <w:lastRenderedPageBreak/>
        <w:t>ΑΙΤΙΟΛΟΓΙΚΗ ΕΚΘΕΣΗ</w:t>
      </w:r>
    </w:p>
    <w:p>
      <w:pPr>
        <w:pStyle w:val="ManualHeading1"/>
        <w:rPr>
          <w:noProof/>
        </w:rPr>
      </w:pPr>
      <w:r>
        <w:rPr>
          <w:noProof/>
        </w:rPr>
        <w:t>1.</w:t>
      </w:r>
      <w:r>
        <w:rPr>
          <w:noProof/>
        </w:rPr>
        <w:tab/>
        <w:t>ΠΛΑΙΣΙΟ ΤΗΣ ΠΡΟΤΑΣΗΣ</w:t>
      </w:r>
    </w:p>
    <w:p>
      <w:pPr>
        <w:pStyle w:val="ManualHeading2"/>
        <w:rPr>
          <w:rFonts w:eastAsia="Arial Unicode MS"/>
          <w:noProof/>
        </w:rPr>
      </w:pPr>
      <w:r>
        <w:rPr>
          <w:noProof/>
          <w:color w:val="000000"/>
          <w:u w:color="000000"/>
          <w:bdr w:val="nil"/>
        </w:rPr>
        <w:t>•</w:t>
      </w:r>
      <w:r>
        <w:rPr>
          <w:noProof/>
        </w:rPr>
        <w:tab/>
        <w:t>Αιτιολόγηση και στόχοι της πρότασης</w:t>
      </w:r>
    </w:p>
    <w:p>
      <w:pPr>
        <w:rPr>
          <w:noProof/>
        </w:rPr>
      </w:pPr>
      <w:r>
        <w:rPr>
          <w:noProof/>
        </w:rPr>
        <w:t>Ο κανονισμός 2020/672 του Συμβουλίου (στο εξής: κανονισμός SURE) καθορίζει το νομικό πλαίσιο για την παροχή χρηματοδοτικής συνδρομής από την Ένωση στα κράτη μέλη που αντιμετωπίζουν σοβαρή οικονομική διαταραχή, οφειλόμενη στην έξαρση της νόσου COVID-19, ή που απειλούνται σοβαρά από την εν λόγω διαταραχή. Η στήριξη στο πλαίσιο του SURE χρησιμεύει για τη χρηματοδότηση, πρωτίστως, συστημάτων μειωμένου ωραρίου εργασίας ή παρόμοιων μέτρων που αποσκοπούν στην προστασία των μισθωτών και των αυτοαπασχολουμένων και, ως εκ τούτου, στη μείωση του ποσοστού ανεργίας και της απώλειας εισοδήματος, καθώς και για τη χρηματοδότηση, επικουρικά, ορισμένων μέτρων που αφορούν την υγεία, ιδίως στον χώρο εργασίας.</w:t>
      </w:r>
    </w:p>
    <w:p>
      <w:pPr>
        <w:rPr>
          <w:noProof/>
        </w:rPr>
      </w:pPr>
      <w:r>
        <w:rPr>
          <w:noProof/>
        </w:rPr>
        <w:t>Στις 7 Αυγούστου 2020, η Λιθουανία ζήτησε χρηματοδοτική συνδρομή από την Ένωση στο πλαίσιο του κανονισμού SURE. Σύμφωνα με το άρθρο 6 παράγραφος 2 του κανονισμού SURE, η Επιτροπή πραγματοποίησε διαβούλευση με τις λιθουανικές αρχές για να εξακριβώσει την αιφνίδια και σοβαρή αύξηση των πραγματικών και των προβλεπόμενων δαπανών που συνδέονται άμεσα με συστήματα μειωμένου ωραρίου εργασίας και παρόμοια μέτρα. Συγκεκριμένα, πρόκειται για τα εξής:</w:t>
      </w:r>
    </w:p>
    <w:p>
      <w:pPr>
        <w:pStyle w:val="Point0"/>
        <w:rPr>
          <w:noProof/>
        </w:rPr>
      </w:pPr>
      <w:r>
        <w:t>(1)</w:t>
      </w:r>
      <w:r>
        <w:tab/>
      </w:r>
      <w:r>
        <w:rPr>
          <w:noProof/>
        </w:rPr>
        <w:t>σύστημα για την καταβολή επιδοτήσεων σε εργοδότες προκειμένου να καλύψουν τον εκτιμώμενο μισθό κάθε εργαζομένου που βρίσκεται σε περίοδο ανενεργού χρόνου εργασίας. Ο εργοδότης είχε τη δυνατότητα να αποφασίσει αν θα κάνει χρήση επιδοτήσεων που καλύπτουν το 70 % του μισθού, με μέγιστο όριο έως 1,5 φορές τον κατώτατο μισθό, ή το 90 % του μισθού (100 % στην περίπτωση μισθωτών ηλικίας 60 ετών και άνω), με μέγιστο όριο τον κατώτατο μισθό. Οι εργοδότες που έχουν ενταχθεί στο σύστημα πρέπει να διατηρήσουν τουλάχιστον το 50 % των εργαζομένων τους επί τουλάχιστον 3 μήνες μετά τη λήξη της επιδότησης μισθού.</w:t>
      </w:r>
    </w:p>
    <w:p>
      <w:pPr>
        <w:pStyle w:val="Point0"/>
        <w:rPr>
          <w:noProof/>
        </w:rPr>
      </w:pPr>
      <w:r>
        <w:t>(2)</w:t>
      </w:r>
      <w:r>
        <w:tab/>
      </w:r>
      <w:r>
        <w:rPr>
          <w:noProof/>
        </w:rPr>
        <w:t xml:space="preserve">επιδότηση σε μισθωτούς που επιστρέφουν έπειτα από περίοδο ανενεργού χρόνου, για διάστημα έως και έξι μήνες μετά την επιστροφή τους στην εργασία. Το ποσό των επιδοτήσεων που καταβάλλονται υπόκειται σε ανώτατο όριο ίσο με τον κατώτατο μισθό ή με το διπλάσιο του κατώτατου μισθού, αναλόγως της οικονομικής δραστηριότητας που ασκεί ο εργοδότης, και μπορεί να ανέλθει έως και στο 100 % του μισθού του εργαζομένου κατά τον πρώτο και τον δεύτερο μήνα μετά την επιστροφή, στο 50 % κατά τον τρίτο και τον τέταρτο μήνα και στο 30 % κατά τον πέμπτο και τον έκτο μήνα. </w:t>
      </w:r>
    </w:p>
    <w:p>
      <w:pPr>
        <w:pStyle w:val="Point0"/>
        <w:rPr>
          <w:noProof/>
        </w:rPr>
      </w:pPr>
      <w:r>
        <w:t>(3)</w:t>
      </w:r>
      <w:r>
        <w:tab/>
      </w:r>
      <w:r>
        <w:rPr>
          <w:noProof/>
        </w:rPr>
        <w:t xml:space="preserve">επιδόματα σε αυτοαπασχολούμενους, συμπεριλαμβανομένων των αυτοαπασχολούμενων που ασκούν γεωργική δραστηριότητα με γεωργική εκμετάλλευση ή αγρόκτημα τουλάχιστον τεσσάρων μονάδων οικονομικού μεγέθους, τα οποία ανέρχονται σε 257 EUR μηνιαίως και καταβάλλονται κατά τη διάρκεια της περιόδου καραντίνας και κατά τους επόμενους δύο μήνες. </w:t>
      </w:r>
    </w:p>
    <w:p>
      <w:pPr>
        <w:pStyle w:val="Point0"/>
        <w:rPr>
          <w:noProof/>
        </w:rPr>
      </w:pPr>
      <w:r>
        <w:t>(4)</w:t>
      </w:r>
      <w:r>
        <w:tab/>
      </w:r>
      <w:r>
        <w:rPr>
          <w:noProof/>
        </w:rPr>
        <w:t xml:space="preserve">επιδόματα σε αυτοαπασχολούμενους που δραστηριοποιούνται στη γεωργία με γεωργική εκμετάλλευση ή αγρόκτημα κάτω των τεσσάρων μονάδων οικονομικού μεγέθους και τους οποίους δεν κάλυπτε το ανωτέρω μέτρο. Το μέτρο συνίσταται στην εφάπαξ καταβολή 200 EUR στους κατόχους μικρών γεωργικών εκμεταλλεύσεων που δεν είχαν άλλη απασχόληση, ή 200 EUR για καθέναν από τους τρεις μήνες της καραντίνας και της περιόδου κατάστασης έκτακτης ανάγκης στην </w:t>
      </w:r>
      <w:r>
        <w:rPr>
          <w:noProof/>
        </w:rPr>
        <w:lastRenderedPageBreak/>
        <w:t xml:space="preserve">περίπτωση που εργάζονταν, πέραν της γεωργικής δραστηριότητάς τους ως αυτοαπασχολούμενοι, και η αμοιβή τους δεν υπερέβαινε τον κατώτατο μισθό. </w:t>
      </w:r>
    </w:p>
    <w:p>
      <w:pPr>
        <w:rPr>
          <w:noProof/>
        </w:rPr>
      </w:pPr>
      <w:r>
        <w:rPr>
          <w:noProof/>
        </w:rPr>
        <w:t xml:space="preserve">Η Λιθουανία διαβίβασε στην Επιτροπή τις σχετικές πληροφορίες. </w:t>
      </w:r>
    </w:p>
    <w:p>
      <w:pPr>
        <w:rPr>
          <w:noProof/>
        </w:rPr>
      </w:pPr>
      <w:r>
        <w:rPr>
          <w:noProof/>
        </w:rPr>
        <w:t>Λαμβάνοντας υπόψη τα διαθέσιμα στοιχεία, η Επιτροπή προτείνει στο Συμβούλιο να εκδώσει εκτελεστική απόφαση για τη χορήγηση χρηματοδοτικής συνδρομής στη Λιθουανία, στο πλαίσιο του κανονισμού SURE, προς στήριξη των ανωτέρω μέτρων.</w:t>
      </w:r>
    </w:p>
    <w:p>
      <w:pPr>
        <w:pStyle w:val="ManualHeading2"/>
        <w:rPr>
          <w:noProof/>
          <w:color w:val="000000" w:themeColor="text1"/>
          <w:u w:color="000000"/>
          <w:bdr w:val="nil"/>
        </w:rPr>
      </w:pPr>
      <w:r>
        <w:rPr>
          <w:noProof/>
          <w:color w:val="000000" w:themeColor="text1"/>
          <w:u w:color="000000"/>
          <w:bdr w:val="nil"/>
        </w:rPr>
        <w:t>•</w:t>
      </w:r>
      <w:r>
        <w:rPr>
          <w:noProof/>
        </w:rPr>
        <w:tab/>
      </w:r>
      <w:r>
        <w:rPr>
          <w:noProof/>
          <w:color w:val="000000" w:themeColor="text1"/>
        </w:rPr>
        <w:t>Συνέπεια με τις ισχύουσες διατάξεις στον τομέα πολιτικής</w:t>
      </w:r>
    </w:p>
    <w:p>
      <w:pPr>
        <w:pBdr>
          <w:top w:val="nil"/>
          <w:left w:val="nil"/>
          <w:bottom w:val="nil"/>
          <w:right w:val="nil"/>
          <w:between w:val="nil"/>
          <w:bar w:val="nil"/>
        </w:pBdr>
        <w:spacing w:before="0" w:after="240"/>
        <w:rPr>
          <w:noProof/>
          <w:color w:val="000000" w:themeColor="text1"/>
        </w:rPr>
      </w:pPr>
      <w:r>
        <w:rPr>
          <w:noProof/>
        </w:rPr>
        <w:t>Η παρούσα πρόταση συνάδει πλήρως με τον κανονισμό 2020/672 του Συμβουλίου, βάσει του οποίου υποβάλλεται η πρόταση.</w:t>
      </w:r>
    </w:p>
    <w:p>
      <w:pPr>
        <w:pBdr>
          <w:top w:val="nil"/>
          <w:left w:val="nil"/>
          <w:bottom w:val="nil"/>
          <w:right w:val="nil"/>
          <w:between w:val="nil"/>
          <w:bar w:val="nil"/>
        </w:pBdr>
        <w:spacing w:before="0" w:after="240"/>
        <w:rPr>
          <w:noProof/>
          <w:color w:val="000000" w:themeColor="text1"/>
        </w:rPr>
      </w:pPr>
      <w:r>
        <w:rPr>
          <w:noProof/>
          <w:color w:val="000000" w:themeColor="text1"/>
        </w:rPr>
        <w:t xml:space="preserve">Η παρούσα πρόταση συμπληρώνει μία άλλη πράξη της ενωσιακής νομοθεσίας για την παροχή στήριξης στα κράτη μέλη σε περίπτωση έκτακτης ανάγκης, δηλ. τον κανονισμό (ΕΚ) αριθ. 2012/2002 του Συμβουλίου, της 11ης Νοεμβρίου 2002, για την ίδρυση του Ταμείου Αλληλεγγύης της Ευρωπαϊκής Ένωσης (ΤΑΕΕ) (στο εξής: κανονισμός (ΕΚ) αριθ. 2012/2002). Στις 30 Μαρτίου, εκδόθηκε ο κανονισμός (ΕΕ) 2020/461 του Ευρωπαϊκού Κοινοβουλίου και του Συμβουλίου για την τροποποίηση της εν λόγω πράξης με επέκταση του πεδίου εφαρμογής της, ώστε να καλυφθούν σοβαρές καταστάσεις έκτακτης ανάγκης στον τομέα της δημόσιας υγείας και να καθοριστούν ειδικές ενέργειες που να είναι επιλέξιμες για χρηματοδότηση. </w:t>
      </w:r>
    </w:p>
    <w:p>
      <w:pPr>
        <w:pStyle w:val="ManualHeading2"/>
        <w:rPr>
          <w:rFonts w:eastAsia="Arial Unicode MS"/>
          <w:noProof/>
          <w:color w:val="000000" w:themeColor="text1"/>
        </w:rPr>
      </w:pPr>
      <w:r>
        <w:rPr>
          <w:noProof/>
          <w:color w:val="000000" w:themeColor="text1"/>
          <w:u w:color="000000"/>
          <w:bdr w:val="nil"/>
        </w:rPr>
        <w:t>•</w:t>
      </w:r>
      <w:r>
        <w:rPr>
          <w:noProof/>
        </w:rPr>
        <w:tab/>
      </w:r>
      <w:r>
        <w:rPr>
          <w:noProof/>
          <w:color w:val="000000" w:themeColor="text1"/>
        </w:rPr>
        <w:t>Συνέπεια με άλλες πολιτικές της Ένωσης</w:t>
      </w:r>
    </w:p>
    <w:p>
      <w:pPr>
        <w:pBdr>
          <w:top w:val="nil"/>
          <w:left w:val="nil"/>
          <w:bottom w:val="nil"/>
          <w:right w:val="nil"/>
          <w:between w:val="nil"/>
          <w:bar w:val="nil"/>
        </w:pBdr>
        <w:spacing w:before="0" w:after="240"/>
        <w:rPr>
          <w:rFonts w:eastAsia="Arial Unicode MS"/>
          <w:noProof/>
          <w:color w:val="000000" w:themeColor="text1"/>
        </w:rPr>
      </w:pPr>
      <w:r>
        <w:rPr>
          <w:noProof/>
        </w:rPr>
        <w:t xml:space="preserve">Η πρόταση εντάσσεται σε δέσμη μέτρων για την αντιμετώπιση της τρέχουσας πανδημίας της νόσου COVID-19, όπως η «Πρωτοβουλία Επενδύσεων για την Αντιμετώπιση του Κορονοϊού», και συμπληρώνει άλλα μέσα που στηρίζουν την απασχόληση, όπως το Ευρωπαϊκό Κοινωνικό Ταμείο και το Ευρωπαϊκό Ταμείο Στρατηγικών Επενδύσεων (ΕΤΣΕ) / το InvestEU. Αξιοποιώντας τις δανειοληπτικές και δανειοδοτικές πράξεις στη συγκεκριμένη περίπτωση της έξαρσης της νόσου COVID-19 για τη στήριξη των κρατών μελών, η παρούσα πρόταση λειτουργεί ως δεύτερη γραμμή άμυνας για να χρηματοδοτηθούν συστήματα μειωμένου ωραρίου εργασίας και παρόμοια μέτρα και να προστατευθούν θέσεις εργασίας και, ως εκ τούτου, μισθωτοί και αυτοαπασχολούμενοι από τον κίνδυνο ανεργίας. </w:t>
      </w:r>
    </w:p>
    <w:p>
      <w:pPr>
        <w:pStyle w:val="ManualHeading1"/>
        <w:rPr>
          <w:noProof/>
          <w:color w:val="000000" w:themeColor="text1"/>
        </w:rPr>
      </w:pPr>
      <w:r>
        <w:rPr>
          <w:noProof/>
          <w:color w:val="000000" w:themeColor="text1"/>
        </w:rPr>
        <w:t>2.</w:t>
      </w:r>
      <w:r>
        <w:rPr>
          <w:noProof/>
        </w:rPr>
        <w:tab/>
      </w:r>
      <w:r>
        <w:rPr>
          <w:noProof/>
          <w:color w:val="000000" w:themeColor="text1"/>
        </w:rPr>
        <w:t>ΝΟΜΙΚΗ ΒΑΣΗ, ΕΠΙΚΟΥΡΙΚΟΤΗΤΑ ΚΑΙ ΑΝΑΛΟΓΙΚΟΤΗΤΑ</w:t>
      </w:r>
    </w:p>
    <w:p>
      <w:pPr>
        <w:pStyle w:val="ManualHeading2"/>
        <w:rPr>
          <w:noProof/>
          <w:color w:val="000000" w:themeColor="text1"/>
          <w:u w:color="000000"/>
          <w:bdr w:val="nil"/>
        </w:rPr>
      </w:pPr>
      <w:r>
        <w:rPr>
          <w:noProof/>
          <w:color w:val="000000" w:themeColor="text1"/>
          <w:u w:color="000000"/>
          <w:bdr w:val="nil"/>
        </w:rPr>
        <w:t>•</w:t>
      </w:r>
      <w:r>
        <w:rPr>
          <w:noProof/>
        </w:rPr>
        <w:tab/>
      </w:r>
      <w:r>
        <w:rPr>
          <w:noProof/>
          <w:color w:val="000000" w:themeColor="text1"/>
          <w:u w:color="000000"/>
          <w:bdr w:val="nil"/>
        </w:rPr>
        <w:t>Νομική βάση</w:t>
      </w:r>
    </w:p>
    <w:p>
      <w:pPr>
        <w:pBdr>
          <w:top w:val="nil"/>
          <w:left w:val="nil"/>
          <w:bottom w:val="nil"/>
          <w:right w:val="nil"/>
          <w:between w:val="nil"/>
          <w:bar w:val="nil"/>
        </w:pBdr>
        <w:spacing w:before="0" w:after="240"/>
        <w:rPr>
          <w:rFonts w:eastAsia="Arial Unicode MS"/>
          <w:noProof/>
          <w:color w:val="000000" w:themeColor="text1"/>
        </w:rPr>
      </w:pPr>
      <w:r>
        <w:rPr>
          <w:noProof/>
        </w:rPr>
        <w:t xml:space="preserve">Η νομική βάση για την παρούσα πράξη είναι ο κανονισμός 2020/672 του Συμβουλίου.  </w:t>
      </w:r>
    </w:p>
    <w:p>
      <w:pPr>
        <w:pStyle w:val="ManualHeading2"/>
        <w:rPr>
          <w:noProof/>
          <w:color w:val="000000" w:themeColor="text1"/>
          <w:u w:color="000000"/>
          <w:bdr w:val="nil"/>
        </w:rPr>
      </w:pPr>
      <w:r>
        <w:rPr>
          <w:noProof/>
          <w:color w:val="000000" w:themeColor="text1"/>
          <w:u w:color="000000"/>
          <w:bdr w:val="nil"/>
        </w:rPr>
        <w:t>•</w:t>
      </w:r>
      <w:r>
        <w:rPr>
          <w:noProof/>
        </w:rPr>
        <w:tab/>
      </w:r>
      <w:r>
        <w:rPr>
          <w:noProof/>
          <w:color w:val="000000" w:themeColor="text1"/>
          <w:u w:color="000000"/>
          <w:bdr w:val="nil"/>
        </w:rPr>
        <w:t xml:space="preserve">Επικουρικότητα (σε περίπτωση μη αποκλειστικής αρμοδιότητας) </w:t>
      </w:r>
    </w:p>
    <w:p>
      <w:pPr>
        <w:pBdr>
          <w:top w:val="nil"/>
          <w:left w:val="nil"/>
          <w:bottom w:val="nil"/>
          <w:right w:val="nil"/>
          <w:between w:val="nil"/>
          <w:bar w:val="nil"/>
        </w:pBdr>
        <w:spacing w:before="0" w:after="240"/>
        <w:rPr>
          <w:noProof/>
        </w:rPr>
      </w:pPr>
      <w:r>
        <w:rPr>
          <w:noProof/>
        </w:rPr>
        <w:t>Η πρόταση αποτελεί συνέχεια σε αίτημα ενός κράτους μέλους και επιδεικνύει ευρωπαϊκή αλληλεγγύη, με την παροχή χρηματοδοτικής συνδρομής από την Ένωση υπό τη μορφή προσωρινών δανείων σε ένα κράτος μέλος που πλήττεται από την έξαρση της νόσου COVID-19. Ως δεύτερη γραμμή άμυνας, αυτή η χρηματοδοτική συνδρομή στηρίζει τις αυξημένες δημόσιες δαπάνες της κυβέρνησης του εν λόγω κράτους μέλους, σε προσωρινή βάση, για τα συστήματα μειωμένου ωραρίου εργασίας και για παρόμοια μέτρα, που θα το βοηθήσουν να προστατεύσει θέσεις εργασίας και, ως εκ τούτου, τους μισθωτούς και τους αυτοαπασχολουμένους έναντι του κινδύνου της ανεργίας και της απώλειας εισοδήματος.</w:t>
      </w:r>
    </w:p>
    <w:p>
      <w:pPr>
        <w:pBdr>
          <w:top w:val="nil"/>
          <w:left w:val="nil"/>
          <w:bottom w:val="nil"/>
          <w:right w:val="nil"/>
          <w:between w:val="nil"/>
          <w:bar w:val="nil"/>
        </w:pBdr>
        <w:spacing w:before="0" w:after="240"/>
        <w:rPr>
          <w:rFonts w:eastAsia="Arial Unicode MS"/>
          <w:noProof/>
          <w:color w:val="000000" w:themeColor="text1"/>
        </w:rPr>
      </w:pPr>
      <w:r>
        <w:rPr>
          <w:noProof/>
        </w:rPr>
        <w:lastRenderedPageBreak/>
        <w:t xml:space="preserve">Η εν λόγω στήριξη θα βοηθήσει τον πληθυσμό που πλήττεται, και συμβάλλει στον μετριασμό του άμεσου κοινωνιακού και οικονομικού αντικτύπου της παρούσας κρίσης λόγω της νόσου COVID-19. </w:t>
      </w:r>
    </w:p>
    <w:p>
      <w:pPr>
        <w:pStyle w:val="ManualHeading2"/>
        <w:rPr>
          <w:noProof/>
          <w:color w:val="000000" w:themeColor="text1"/>
          <w:u w:color="000000"/>
          <w:bdr w:val="nil"/>
        </w:rPr>
      </w:pPr>
      <w:r>
        <w:rPr>
          <w:noProof/>
          <w:color w:val="000000" w:themeColor="text1"/>
          <w:u w:color="000000"/>
          <w:bdr w:val="nil"/>
        </w:rPr>
        <w:t>•</w:t>
      </w:r>
      <w:r>
        <w:rPr>
          <w:noProof/>
        </w:rPr>
        <w:tab/>
      </w:r>
      <w:r>
        <w:rPr>
          <w:noProof/>
          <w:color w:val="000000" w:themeColor="text1"/>
          <w:u w:color="000000"/>
          <w:bdr w:val="nil"/>
        </w:rPr>
        <w:t>Αναλογικότητα</w:t>
      </w:r>
    </w:p>
    <w:p>
      <w:pPr>
        <w:pBdr>
          <w:top w:val="nil"/>
          <w:left w:val="nil"/>
          <w:bottom w:val="nil"/>
          <w:right w:val="nil"/>
          <w:between w:val="nil"/>
          <w:bar w:val="nil"/>
        </w:pBdr>
        <w:spacing w:before="0" w:after="240"/>
        <w:rPr>
          <w:rFonts w:eastAsia="Arial Unicode MS"/>
          <w:noProof/>
          <w:color w:val="000000" w:themeColor="text1"/>
        </w:rPr>
      </w:pPr>
      <w:r>
        <w:rPr>
          <w:noProof/>
        </w:rPr>
        <w:t xml:space="preserve">Η πρόταση τηρεί την αρχή της αναλογικότητας. Δεν υπερβαίνει τα αναγκαία για την επίτευξη των στόχων που επιδιώκονται με τη νομική πράξη. </w:t>
      </w:r>
    </w:p>
    <w:p>
      <w:pPr>
        <w:pStyle w:val="ManualHeading1"/>
        <w:rPr>
          <w:noProof/>
          <w:color w:val="000000" w:themeColor="text1"/>
        </w:rPr>
      </w:pPr>
      <w:r>
        <w:rPr>
          <w:noProof/>
          <w:color w:val="000000" w:themeColor="text1"/>
        </w:rPr>
        <w:t>3.</w:t>
      </w:r>
      <w:r>
        <w:rPr>
          <w:noProof/>
        </w:rPr>
        <w:tab/>
      </w:r>
      <w:r>
        <w:rPr>
          <w:noProof/>
          <w:color w:val="000000" w:themeColor="text1"/>
        </w:rPr>
        <w:t>ΑΠΟΤΕΛΕΣΜΑΤΑ ΤΩΝ ΕΚ ΤΩΝ ΥΣΤΕΡΩΝ ΑΞΙΟΛΟΓΗΣΕΩΝ, ΤΩΝ ΔΙΑΒΟΥΛΕΥΣΕΩΝ ΜΕ ΤΑ ΕΝΔΙΑΦΕΡΟΜΕΝΑ ΜΕΡΗ ΚΑΙ ΤΩΝ ΕΚΤΙΜΗΣΕΩΝ ΕΠΙΠΤΩΣΕΩΝ</w:t>
      </w:r>
    </w:p>
    <w:p>
      <w:pPr>
        <w:pStyle w:val="ManualHeading2"/>
        <w:rPr>
          <w:noProof/>
          <w:color w:val="000000" w:themeColor="text1"/>
          <w:u w:color="000000"/>
          <w:bdr w:val="nil"/>
        </w:rPr>
      </w:pPr>
      <w:r>
        <w:rPr>
          <w:noProof/>
          <w:color w:val="000000" w:themeColor="text1"/>
          <w:u w:color="000000"/>
          <w:bdr w:val="nil"/>
        </w:rPr>
        <w:t>•</w:t>
      </w:r>
      <w:r>
        <w:rPr>
          <w:noProof/>
        </w:rPr>
        <w:tab/>
      </w:r>
      <w:r>
        <w:rPr>
          <w:noProof/>
          <w:color w:val="000000" w:themeColor="text1"/>
          <w:u w:color="000000"/>
          <w:bdr w:val="nil"/>
        </w:rPr>
        <w:t>Διαβουλεύσεις με τα ενδιαφερόμενα μέρη</w:t>
      </w:r>
    </w:p>
    <w:p>
      <w:pPr>
        <w:pBdr>
          <w:top w:val="nil"/>
          <w:left w:val="nil"/>
          <w:bottom w:val="nil"/>
          <w:right w:val="nil"/>
          <w:between w:val="nil"/>
          <w:bar w:val="nil"/>
        </w:pBdr>
        <w:spacing w:before="0" w:after="240"/>
        <w:rPr>
          <w:rFonts w:eastAsia="Arial Unicode MS"/>
          <w:noProof/>
          <w:color w:val="000000" w:themeColor="text1"/>
        </w:rPr>
      </w:pPr>
      <w:r>
        <w:rPr>
          <w:noProof/>
          <w:color w:val="000000" w:themeColor="text1"/>
        </w:rPr>
        <w:t>Λόγω της επείγουσας ανάγκης να καταρτιστεί η πρόταση ώστε να μπορέσει να εκδοθεί εγκαίρως από το Συμβούλιο, δεν ήταν δυνατόν να διεξαχθεί διαβούλευση με τα ενδιαφερόμενα μέρη.</w:t>
      </w:r>
    </w:p>
    <w:p>
      <w:pPr>
        <w:pStyle w:val="ManualHeading2"/>
        <w:rPr>
          <w:noProof/>
          <w:color w:val="000000" w:themeColor="text1"/>
          <w:u w:color="000000"/>
          <w:bdr w:val="nil"/>
        </w:rPr>
      </w:pPr>
      <w:r>
        <w:rPr>
          <w:noProof/>
          <w:color w:val="000000" w:themeColor="text1"/>
          <w:u w:color="000000"/>
          <w:bdr w:val="nil"/>
        </w:rPr>
        <w:t>•</w:t>
      </w:r>
      <w:r>
        <w:rPr>
          <w:noProof/>
        </w:rPr>
        <w:tab/>
      </w:r>
      <w:r>
        <w:rPr>
          <w:noProof/>
          <w:color w:val="000000" w:themeColor="text1"/>
          <w:u w:color="000000"/>
          <w:bdr w:val="nil"/>
        </w:rPr>
        <w:t>Εκτίμηση επιπτώσεων</w:t>
      </w:r>
    </w:p>
    <w:p>
      <w:pPr>
        <w:pBdr>
          <w:top w:val="nil"/>
          <w:left w:val="nil"/>
          <w:bottom w:val="nil"/>
          <w:right w:val="nil"/>
          <w:between w:val="nil"/>
          <w:bar w:val="nil"/>
        </w:pBdr>
        <w:spacing w:before="0" w:after="240"/>
        <w:rPr>
          <w:rFonts w:eastAsia="Arial Unicode MS"/>
          <w:noProof/>
          <w:color w:val="000000" w:themeColor="text1"/>
        </w:rPr>
      </w:pPr>
      <w:r>
        <w:rPr>
          <w:noProof/>
          <w:color w:val="000000" w:themeColor="text1"/>
        </w:rPr>
        <w:t>Λόγω του επείγοντος χαρακτήρα της πρότασης, δεν διενεργήθηκε εκτίμηση επιπτώσεων.</w:t>
      </w:r>
    </w:p>
    <w:p>
      <w:pPr>
        <w:pStyle w:val="ManualHeading1"/>
        <w:rPr>
          <w:noProof/>
          <w:color w:val="000000" w:themeColor="text1"/>
        </w:rPr>
      </w:pPr>
      <w:r>
        <w:rPr>
          <w:noProof/>
          <w:color w:val="000000" w:themeColor="text1"/>
        </w:rPr>
        <w:t>4.</w:t>
      </w:r>
      <w:r>
        <w:rPr>
          <w:noProof/>
        </w:rPr>
        <w:tab/>
      </w:r>
      <w:r>
        <w:rPr>
          <w:noProof/>
          <w:color w:val="000000" w:themeColor="text1"/>
        </w:rPr>
        <w:t>ΔΗΜΟΣΙΟΝΟΜΙΚΕΣ ΕΠΙΠΤΩΣΕΙΣ</w:t>
      </w:r>
    </w:p>
    <w:p>
      <w:pPr>
        <w:pBdr>
          <w:top w:val="nil"/>
          <w:left w:val="nil"/>
          <w:bottom w:val="nil"/>
          <w:right w:val="nil"/>
          <w:between w:val="nil"/>
          <w:bar w:val="nil"/>
        </w:pBdr>
        <w:spacing w:before="0" w:after="240"/>
        <w:rPr>
          <w:rFonts w:eastAsia="Arial Unicode MS"/>
          <w:noProof/>
          <w:color w:val="000000" w:themeColor="text1"/>
        </w:rPr>
      </w:pPr>
      <w:r>
        <w:rPr>
          <w:noProof/>
          <w:color w:val="000000" w:themeColor="text1"/>
        </w:rPr>
        <w:t xml:space="preserve">Η Επιτροπή θα πρέπει να είναι σε θέση να συνάπτει δάνεια στις χρηματοπιστωτικές αγορές με σκοπό να τα χορηγεί στο κράτος μέλος που ζητεί χρηματοδοτική συνδρομή στο πλαίσιο του μέσου SURE. </w:t>
      </w:r>
    </w:p>
    <w:p>
      <w:pPr>
        <w:rPr>
          <w:noProof/>
          <w:color w:val="000000" w:themeColor="text1"/>
        </w:rPr>
      </w:pPr>
      <w:r>
        <w:rPr>
          <w:noProof/>
          <w:color w:val="000000" w:themeColor="text1"/>
        </w:rPr>
        <w:t>Πέραν της παροχής εγγυήσεων από τα κράτη μέλη, στο πλαίσιο ενσωματώνονται και άλλες διασφαλίσεις με στόχο τη χρηματοπιστωτική σταθερότητα του συστήματος:</w:t>
      </w:r>
    </w:p>
    <w:p>
      <w:pPr>
        <w:pStyle w:val="Bullet1"/>
        <w:numPr>
          <w:ilvl w:val="0"/>
          <w:numId w:val="6"/>
        </w:numPr>
        <w:rPr>
          <w:noProof/>
          <w:color w:val="000000" w:themeColor="text1"/>
        </w:rPr>
      </w:pPr>
      <w:r>
        <w:rPr>
          <w:noProof/>
          <w:color w:val="000000" w:themeColor="text1"/>
        </w:rPr>
        <w:t>αυστηρή και συντηρητική προσέγγιση όσον αφορά τη δημοσιονομική διαχείριση·</w:t>
      </w:r>
    </w:p>
    <w:p>
      <w:pPr>
        <w:pStyle w:val="Bullet1"/>
        <w:rPr>
          <w:noProof/>
          <w:color w:val="000000" w:themeColor="text1"/>
        </w:rPr>
      </w:pPr>
      <w:r>
        <w:rPr>
          <w:noProof/>
          <w:color w:val="000000" w:themeColor="text1"/>
        </w:rPr>
        <w:t>κατάρτιση του χαρτοφυλακίου δανείων που περιορίζει τον κίνδυνο συγκέντρωσης, την ετήσια έκθεση και την υπερβολική έκθεση σε μεμονωμένα κράτη μέλη, εξασφαλίζοντας παράλληλα τη δυνατότητα παροχής επαρκών πόρων στα κράτη μέλη που έχουν τη μεγαλύτερη ανάγκη· και</w:t>
      </w:r>
    </w:p>
    <w:p>
      <w:pPr>
        <w:pStyle w:val="Bullet1"/>
        <w:rPr>
          <w:noProof/>
          <w:color w:val="000000" w:themeColor="text1"/>
        </w:rPr>
      </w:pPr>
      <w:r>
        <w:rPr>
          <w:noProof/>
          <w:color w:val="000000" w:themeColor="text1"/>
        </w:rPr>
        <w:t>δυνατότητες αναχρηματοδότησης του χρέους.</w:t>
      </w:r>
    </w:p>
    <w:p>
      <w:pPr>
        <w:rPr>
          <w:noProof/>
        </w:rPr>
        <w:sectPr>
          <w:footerReference w:type="default" r:id="rId11"/>
          <w:footerReference w:type="first" r:id="rId12"/>
          <w:pgSz w:w="11907" w:h="16839"/>
          <w:pgMar w:top="1134" w:right="1417" w:bottom="1134" w:left="1417" w:header="709" w:footer="709" w:gutter="0"/>
          <w:cols w:space="708"/>
          <w:docGrid w:linePitch="360"/>
        </w:sectPr>
      </w:pPr>
    </w:p>
    <w:p>
      <w:pPr>
        <w:pStyle w:val="Rfrenceinterinstitutionnelle"/>
        <w:rPr>
          <w:noProof/>
        </w:rPr>
      </w:pPr>
      <w:r>
        <w:rPr>
          <w:noProof/>
        </w:rPr>
        <w:lastRenderedPageBreak/>
        <w:t>2020/0216 (NLE)</w:t>
      </w:r>
    </w:p>
    <w:p>
      <w:pPr>
        <w:pStyle w:val="Statut"/>
        <w:rPr>
          <w:noProof/>
        </w:rPr>
      </w:pPr>
      <w:r>
        <w:rPr>
          <w:noProof/>
        </w:rPr>
        <w:t>Πρόταση</w:t>
      </w:r>
    </w:p>
    <w:p>
      <w:pPr>
        <w:pStyle w:val="Typedudocument"/>
        <w:rPr>
          <w:noProof/>
        </w:rPr>
      </w:pPr>
      <w:r>
        <w:rPr>
          <w:noProof/>
        </w:rPr>
        <w:t>EKTEΛΕΣΤΙΚΗ ΑΠΟΦΑΣΗ ΤΟΥ ΣΥΜΒΟΥΛΙΟΥ</w:t>
      </w:r>
    </w:p>
    <w:p>
      <w:pPr>
        <w:pStyle w:val="Titreobjet"/>
        <w:rPr>
          <w:noProof/>
        </w:rPr>
      </w:pPr>
      <w:r>
        <w:rPr>
          <w:noProof/>
        </w:rPr>
        <w:t>σχετικά με τη χορήγηση προσωρινής στήριξης στη Λιθουανία, στο πλαίσιο του κανονισμού (ΕΕ) 2020/672 του Συμβουλίου, για τον μετριασμό των κινδύνων ανεργίας σε κατάσταση έκτακτης ανάγκης λόγω της έξαρσης της νόσου COVID-19</w:t>
      </w:r>
    </w:p>
    <w:p>
      <w:pPr>
        <w:pStyle w:val="Institutionquiagit"/>
        <w:rPr>
          <w:noProof/>
        </w:rPr>
      </w:pPr>
      <w:r>
        <w:rPr>
          <w:noProof/>
        </w:rPr>
        <w:t>ΤΟ ΣΥΜΒΟΥΛΙΟ ΤΗΣ ΕΥΡΩΠΑΪΚΗΣ ΕΝΩΣΗΣ,</w:t>
      </w:r>
    </w:p>
    <w:p>
      <w:pPr>
        <w:rPr>
          <w:noProof/>
        </w:rPr>
      </w:pPr>
      <w:r>
        <w:rPr>
          <w:noProof/>
        </w:rPr>
        <w:t xml:space="preserve">Έχοντας υπόψη τη Συνθήκη για τη λειτουργία της Ευρωπαϊκής Ένωσης, </w:t>
      </w:r>
    </w:p>
    <w:p>
      <w:pPr>
        <w:rPr>
          <w:noProof/>
        </w:rPr>
      </w:pPr>
      <w:r>
        <w:rPr>
          <w:noProof/>
        </w:rPr>
        <w:t>Έχοντας υπόψη τον κανονισμό (ΕΕ) 2020/672 του Συμβουλίου, της 19ης Μαΐου 2020, σχετικά με τη θέσπιση ευρωπαϊκού μέσου προσωρινής στήριξης για τον μετριασμό των κινδύνων ανεργίας σε κατάσταση έκτακτης ανάγκης (SURE) λόγω της επιδημικής έκρηξης της COVID-19</w:t>
      </w:r>
      <w:r>
        <w:rPr>
          <w:rStyle w:val="FootnoteReference"/>
          <w:noProof/>
        </w:rPr>
        <w:t xml:space="preserve"> </w:t>
      </w:r>
      <w:r>
        <w:rPr>
          <w:rStyle w:val="FootnoteReference"/>
          <w:noProof/>
        </w:rPr>
        <w:footnoteReference w:id="1"/>
      </w:r>
      <w:r>
        <w:rPr>
          <w:noProof/>
        </w:rPr>
        <w:t>, και ιδίως το άρθρο 6 παράγραφος 1,</w:t>
      </w:r>
    </w:p>
    <w:p>
      <w:pPr>
        <w:rPr>
          <w:noProof/>
        </w:rPr>
      </w:pPr>
      <w:r>
        <w:rPr>
          <w:noProof/>
        </w:rPr>
        <w:t>Έχοντας υπόψη την πρόταση της Ευρωπαϊκής Επιτροπής,</w:t>
      </w:r>
    </w:p>
    <w:p>
      <w:pPr>
        <w:rPr>
          <w:noProof/>
        </w:rPr>
      </w:pPr>
      <w:r>
        <w:rPr>
          <w:noProof/>
        </w:rPr>
        <w:t>Εκτιμώντας τα ακόλουθα:</w:t>
      </w:r>
    </w:p>
    <w:p>
      <w:pPr>
        <w:pStyle w:val="ManualConsidrant"/>
        <w:rPr>
          <w:noProof/>
        </w:rPr>
      </w:pPr>
      <w:r>
        <w:t>(1)</w:t>
      </w:r>
      <w:r>
        <w:tab/>
      </w:r>
      <w:r>
        <w:rPr>
          <w:noProof/>
        </w:rPr>
        <w:t xml:space="preserve">Στις 7 Αυγούστου 2020, η Λιθουανία ζήτησε χρηματοδοτική συνδρομή από την Ένωση, με σκοπό να συμπληρώσει τις εθνικές της προσπάθειες για την αντιμετώπιση του αντικτύπου της έξαρσης της νόσου COVID-19 και των κοινωνικοοικονομικών της συνεπειών για τους εργαζομένους. </w:t>
      </w:r>
    </w:p>
    <w:p>
      <w:pPr>
        <w:pStyle w:val="ManualConsidrant"/>
        <w:rPr>
          <w:noProof/>
        </w:rPr>
      </w:pPr>
      <w:r>
        <w:t>(2)</w:t>
      </w:r>
      <w:r>
        <w:tab/>
      </w:r>
      <w:r>
        <w:rPr>
          <w:noProof/>
        </w:rPr>
        <w:t xml:space="preserve">Η έξαρση της νόσου COVID-19 και τα έκτακτα μέτρα που εφάρμοσε η Λιθουανία για να περιορίσει την έξαρση και τον κοινωνικοοικονομικό της αντίκτυπο, καθώς και τις επιπτώσεις της στην υγεία, αναμένεται να έχουν δραματικές επιπτώσεις στα δημόσια οικονομικά. Σύμφωνα με τις εαρινές προβλέψεις της Επιτροπής του 2020, η Λιθουανία αναμενόταν να έχει έλλειμμα γενικής κυβέρνησης και χρέος 6,9 % και 48,5 % του ακαθάριστου εγχώριου προϊόντος (ΑΕΠ), αντίστοιχα, έως τα τέλη του 2020. Σύμφωνα με τις θερινές ενδιάμεσες προβλέψεις της Επιτροπής του 2020, το ΑΕΠ της Λιθουανίας προβλέπεται να μειωθεί κατά 7,1 % το 2020. </w:t>
      </w:r>
    </w:p>
    <w:p>
      <w:pPr>
        <w:pStyle w:val="ManualConsidrant"/>
        <w:rPr>
          <w:noProof/>
        </w:rPr>
      </w:pPr>
      <w:r>
        <w:t>(3)</w:t>
      </w:r>
      <w:r>
        <w:tab/>
      </w:r>
      <w:r>
        <w:rPr>
          <w:noProof/>
        </w:rPr>
        <w:t>Η έξαρση της νόσου COVID-19 έχει ακινητοποιήσει σημαντικό μέρος του εργατικού δυναμικού στη Λιθουανία. Αυτό οδήγησε σε αιφνίδια και σοβαρή αύξηση των δημόσιων δαπανών της Λιθουανίας για επιδοτήσεις μισθού κατά τη διάρκεια της περιόδου ανενεργού χρόνου και έπειτα από αυτή, καθώς και για επιδόματα στους αυτοαπασχολούμενους, συμπεριλαμβανομένων των επιδομάτων σε αυτοαπασχολούμενους που ασκούν γεωργικές δραστηριότητες, όπως αναλύεται στις αιτιολογικές σκέψεις 4 έως 7.</w:t>
      </w:r>
    </w:p>
    <w:p>
      <w:pPr>
        <w:pStyle w:val="ManualConsidrant"/>
        <w:rPr>
          <w:noProof/>
        </w:rPr>
      </w:pPr>
      <w:r>
        <w:t>(4)</w:t>
      </w:r>
      <w:r>
        <w:tab/>
      </w:r>
      <w:r>
        <w:rPr>
          <w:noProof/>
        </w:rPr>
        <w:t xml:space="preserve">Με τον «νόμο περί απασχόλησης αριθ. XII-2470», όπως αναφέρεται στο αίτημα της Λιθουανίας της 7ης Αυγούστου 2020, θεσπίστηκε σύστημα για την καταβολή επιδοτήσεων σε εργοδότες προκειμένου να καλύψουν τον εκτιμώμενο μισθό κάθε εργαζόμενου που βρίσκεται σε περίοδο ανενεργού χρόνου εργασίας. Ο εργοδότης είχε τη δυνατότητα να επιλέξει μεταξύ επιδοτήσεων που καλύπτουν το 70 % του μισθού, με μέγιστο όριο έως 1,5 φορές τον κατώτατο μισθό, ή το 90 % του μισθού (100 % </w:t>
      </w:r>
      <w:r>
        <w:rPr>
          <w:noProof/>
        </w:rPr>
        <w:lastRenderedPageBreak/>
        <w:t>στην περίπτωση μισθωτών ηλικίας 60 ετών και άνω), με μέγιστο όριο τον κατώτατο μισθό. Οι εργοδότες που έχουν ενταχθεί στο σύστημα πρέπει να διατηρήσουν τουλάχιστον το 50 % των εργαζομένων τους επί τουλάχιστον 3 μήνες μετά τη λήξη της επιδότησης μισθού.</w:t>
      </w:r>
    </w:p>
    <w:p>
      <w:pPr>
        <w:pStyle w:val="ManualConsidrant"/>
        <w:rPr>
          <w:noProof/>
        </w:rPr>
      </w:pPr>
      <w:r>
        <w:t>(5)</w:t>
      </w:r>
      <w:r>
        <w:tab/>
      </w:r>
      <w:r>
        <w:rPr>
          <w:noProof/>
        </w:rPr>
        <w:t xml:space="preserve">Επιδοτήσεις καταβάλλονται επίσης σε μισθωτούς που επιστρέφουν έπειτα από περίοδο ανενεργού χρόνου, για διάστημα έως και έξι μήνες μετά την επιστροφή τους στην εργασία. Το ποσό των επιδοτήσεων που καταβάλλονται υπόκειται σε ανώτατο όριο ίσο με τον κατώτατο μισθό ή με το διπλάσιο του κατώτατου μισθού, αναλόγως της οικονομικής δραστηριότητας που διεξάγει ο εργοδότης, και μπορεί να ανέλθει έως και στο 100 % του μισθού του εργαζομένου κατά τον πρώτο και τον δεύτερο μήνα μετά την επιστροφή, στο 50 % κατά τον τρίτο και τον τέταρτο μήνα και στο 30 % κατά τον πέμπτο και τον έκτο μήνα. Οι εν λόγω επιδοτήσεις μπορούν να θεωρηθούν παρόμοιο μέτρο με τα συστήματα μειωμένου ωραρίου εργασίας, όπως αναφέρεται στον κανονισμό (ΕΕ) 2020/672, δεδομένου ότι αποσκοπούν στην παροχή εισοδηματικής στήριξης σε μισθωτούς και συμβάλλουν στη διατήρηση των υφιστάμενων εργασιακών σχέσεων. </w:t>
      </w:r>
    </w:p>
    <w:p>
      <w:pPr>
        <w:pStyle w:val="ManualConsidrant"/>
        <w:rPr>
          <w:noProof/>
        </w:rPr>
      </w:pPr>
      <w:r>
        <w:t>(6)</w:t>
      </w:r>
      <w:r>
        <w:tab/>
      </w:r>
      <w:r>
        <w:rPr>
          <w:noProof/>
        </w:rPr>
        <w:t xml:space="preserve">Οι αρχές θέσπισαν επίσης τη χορήγηση επιδομάτων σε αυτοαπασχολούμενους, συμπεριλαμβανομένων των αυτοαπασχολούμενων που ασκούν γεωργική δραστηριότητα με γεωργική εκμετάλλευση ή αγρόκτημα τουλάχιστον τεσσάρων μονάδων οικονομικού μεγέθους, τα οποία ανέρχονται σε 257 EUR μηνιαίως και καταβάλλονται κατά τη διάρκεια της περιόδου καραντίνας και κατά τους επόμενους δύο μήνες. Τα επιδόματα για τους αυτοαπασχολούμενους μπορούν να νοηθούν ως μέτρο παρόμοιο με τα συστήματα μειωμένου ωραρίου εργασίας, όπως αναφέρεται στον κανονισμό (ΕΕ) 2020/672, δεδομένου ότι αποσκοπούν στην προστασία των αυτοαπασχολούμενων ή παρεμφερών κατηγοριών εργαζομένων από τη μείωση ή την απώλεια εισοδήματος. </w:t>
      </w:r>
    </w:p>
    <w:p>
      <w:pPr>
        <w:pStyle w:val="ManualConsidrant"/>
        <w:rPr>
          <w:noProof/>
        </w:rPr>
      </w:pPr>
      <w:r>
        <w:t>(7)</w:t>
      </w:r>
      <w:r>
        <w:tab/>
      </w:r>
      <w:r>
        <w:rPr>
          <w:noProof/>
        </w:rPr>
        <w:t>Τέλος, θεσπίστηκε η χορήγηση επιδομάτων σε αυτοαπασχολούμενους που δραστηριοποιούνται στη γεωργία με γεωργική εκμετάλλευση ή αγρόκτημα μικρότερο των τεσσάρων μονάδων οικονομικού μεγέθους και τους οποίους δεν κάλυπτε το μέτρο που περιγράφεται στην αιτιολογική σκέψη 6. Το μέτρο συνίσταται στην εφάπαξ καταβολή 200 EUR στους κατόχους μικρών γεωργικών εκμεταλλεύσεων χωρίς άλλη απασχόληση. Για τους κατόχους μικρών γεωργικών εκμεταλλεύσεων που εργάζονταν, πέραν της γεωργικής δραστηριότητάς τους ως αυτοαπασχολούμενοι, και η αμοιβή τους δεν υπερέβαινε τον κατώτατο μισθό, το μέτρο συνίσταται στην καταβολή 200 EUR για καθέναν από τους τρεις μήνες της περιόδου καραντίνας και της περιόδου κατάστασης έκτακτης ανάγκης. Το μέτρο μπορεί να νοηθεί ως μέτρο παρόμοιο με τα συστήματα μειωμένου ωραρίου εργασίας, όπως αναφέρεται στον κανονισμό (ΕΕ) 2020/672, δεδομένου ότι αποσκοπεί στην προστασία των αυτοαπασχολούμενων ή παρεμφερών κατηγοριών εργαζομένων από τη μείωση ή την απώλεια εισοδήματος.</w:t>
      </w:r>
    </w:p>
    <w:p>
      <w:pPr>
        <w:pStyle w:val="ManualConsidrant"/>
        <w:rPr>
          <w:noProof/>
        </w:rPr>
      </w:pPr>
      <w:r>
        <w:t>(8)</w:t>
      </w:r>
      <w:r>
        <w:tab/>
      </w:r>
      <w:r>
        <w:rPr>
          <w:noProof/>
        </w:rPr>
        <w:t>Η Λιθουανία πληροί τις προϋποθέσεις που προβλέπονται στο άρθρο 3 του κανονισμού (ΕΕ) 2020/672 προκειμένου να ζητήσει χρηματοδοτική συνδρομή. Η Λιθουανία υπέβαλε στην Επιτροπή κατάλληλα αποδεικτικά στοιχεία, σύμφωνα με τα οποία οι πραγματικές και οι προβλεπόμενες δημόσιες δαπάνες αυξήθηκαν κατά 746 660 000 EUR από την 1η Φεβρουαρίου 2020, λόγω των εθνικών μέτρων που λήφθηκαν για την αντιμετώπιση των κοινωνικοοικονομικών επιπτώσεων της έξαρσης της νόσου COVID-19. Πρόκειται για αιφνίδια και σοβαρή αύξηση, δεδομένου ότι τα νέα μέτρα καλύπτουν σημαντικό ποσοστό των επιχειρήσεων και του εργατικού δυναμικού στη Λιθουανία. Η Λιθουανία σκοπεύει να καλύψει τη χρηματοδότηση 144 350 000 EUR του ποσού των αυξημένων δαπανών μέσω ενωσιακών κονδυλίων.</w:t>
      </w:r>
    </w:p>
    <w:p>
      <w:pPr>
        <w:pStyle w:val="ManualConsidrant"/>
        <w:rPr>
          <w:noProof/>
        </w:rPr>
      </w:pPr>
      <w:r>
        <w:lastRenderedPageBreak/>
        <w:t>(9)</w:t>
      </w:r>
      <w:r>
        <w:tab/>
      </w:r>
      <w:r>
        <w:rPr>
          <w:noProof/>
        </w:rPr>
        <w:t xml:space="preserve">Η Επιτροπή ζήτησε τη γνώμη της Λιθουανίας και εξακρίβωσε την αιφνίδια και σοβαρή αύξηση των πραγματικών και των προβλεπόμενων δημόσιων δαπανών που συνδέονται άμεσα με τα συστήματα μειωμένου ωραρίου εργασίας και παρόμοια μέτρα, σύμφωνα με το άρθρο 6 του κανονισμού (ΕΕ) 2020/672. </w:t>
      </w:r>
    </w:p>
    <w:p>
      <w:pPr>
        <w:pStyle w:val="ManualConsidrant"/>
        <w:rPr>
          <w:noProof/>
        </w:rPr>
      </w:pPr>
      <w:r>
        <w:t>(10)</w:t>
      </w:r>
      <w:r>
        <w:tab/>
      </w:r>
      <w:r>
        <w:rPr>
          <w:noProof/>
        </w:rPr>
        <w:t>Ως εκ τούτου, θα πρέπει να παρασχεθεί χρηματοδοτική συνδρομή, ώστε να βοηθηθεί η Λιθουανία να αντιμετωπίσει τις κοινωνικοοικονομικές επιπτώσεις της σοβαρής διαταραχής της οικονομικής δραστηριότητας που προκάλεσε η έξαρση της νόσου COVID-19.</w:t>
      </w:r>
    </w:p>
    <w:p>
      <w:pPr>
        <w:pStyle w:val="ManualConsidrant"/>
        <w:rPr>
          <w:noProof/>
        </w:rPr>
      </w:pPr>
      <w:r>
        <w:t>(11)</w:t>
      </w:r>
      <w:r>
        <w:tab/>
      </w:r>
      <w:r>
        <w:rPr>
          <w:noProof/>
        </w:rPr>
        <w:t>Η παρούσα απόφαση δεν προδικάζει την έκβαση διαδικασιών οι οποίες αφορούν τις στρεβλώσεις της λειτουργίας της εσωτερικής αγοράς και ενδέχεται να κινηθούν, ιδίως βάσει των άρθρων 107 και 108 της ΣΛΕΕ. Δεν απαλλάσσει τα κράτη μέλη από την υποχρέωση να κοινοποιούν στην Επιτροπή, βάσει του άρθρου 108 της ΣΛΕΕ, τις τυχόν χορηγούμενες κρατικές ενισχύσεις.</w:t>
      </w:r>
    </w:p>
    <w:p>
      <w:pPr>
        <w:pStyle w:val="ManualConsidrant"/>
        <w:rPr>
          <w:noProof/>
        </w:rPr>
      </w:pPr>
      <w:r>
        <w:t>(12)</w:t>
      </w:r>
      <w:r>
        <w:tab/>
      </w:r>
      <w:r>
        <w:rPr>
          <w:noProof/>
        </w:rPr>
        <w:t>Η Λιθουανία θα πρέπει να ενημερώνει τακτικά την Επιτροπή σχετικά με την εκτέλεση των προβλεπόμενων δημόσιων δαπανών, προκειμένου να είναι σε θέση η Επιτροπή να αξιολογεί τον βαθμό στον οποίο η Λιθουανία έχει εκτελέσει τις εν λόγω δαπάνες.</w:t>
      </w:r>
    </w:p>
    <w:p>
      <w:pPr>
        <w:pStyle w:val="ManualConsidrant"/>
        <w:rPr>
          <w:noProof/>
        </w:rPr>
      </w:pPr>
      <w:r>
        <w:t>(13)</w:t>
      </w:r>
      <w:r>
        <w:tab/>
      </w:r>
      <w:r>
        <w:rPr>
          <w:noProof/>
        </w:rPr>
        <w:t>Η απόφαση παροχής χρηματοδοτικής συνδρομής λήφθηκε λαμβανομένων υπόψη των υφιστάμενων και αναμενόμενων αναγκών της Λιθουανίας, καθώς και των αιτημάτων για χρηματοδοτική συνδρομή δυνάμει του κανονισμού (ΕΕ) 2020/672 που έχουν ήδη υποβληθεί ή προβλέπεται να υποβληθούν από άλλα κράτη μέλη, και παράλληλα με εφαρμογή των αρχών της ίσης μεταχείρισης, της αλληλεγγύης, της αναλογικότητας και της διαφάνειας,</w:t>
      </w:r>
    </w:p>
    <w:p>
      <w:pPr>
        <w:pStyle w:val="Formuledadoption"/>
        <w:rPr>
          <w:noProof/>
        </w:rPr>
      </w:pPr>
      <w:r>
        <w:rPr>
          <w:noProof/>
        </w:rPr>
        <w:t xml:space="preserve">ΕΞΕΔΩΣΕ ΤΗΝ ΠΑΡΟΥΣΑ ΑΠΟΦΑΣΗ: </w:t>
      </w:r>
    </w:p>
    <w:p>
      <w:pPr>
        <w:pStyle w:val="Titrearticle"/>
        <w:rPr>
          <w:noProof/>
        </w:rPr>
      </w:pPr>
      <w:r>
        <w:rPr>
          <w:noProof/>
        </w:rPr>
        <w:t>Άρθρο 1</w:t>
      </w:r>
    </w:p>
    <w:p>
      <w:pPr>
        <w:rPr>
          <w:i/>
          <w:noProof/>
        </w:rPr>
      </w:pPr>
      <w:r>
        <w:rPr>
          <w:noProof/>
        </w:rPr>
        <w:t>Η Λιθουανία πληροί τις προϋποθέσεις που προβλέπονται στο άρθρο 3 του κανονισμού (ΕΕ) 2020/672.</w:t>
      </w:r>
    </w:p>
    <w:p>
      <w:pPr>
        <w:pStyle w:val="Titrearticle"/>
        <w:rPr>
          <w:noProof/>
        </w:rPr>
      </w:pPr>
      <w:r>
        <w:rPr>
          <w:noProof/>
        </w:rPr>
        <w:t>Άρθρο 2</w:t>
      </w:r>
    </w:p>
    <w:p>
      <w:pPr>
        <w:pStyle w:val="ManualNumPar1"/>
        <w:rPr>
          <w:noProof/>
        </w:rPr>
      </w:pPr>
      <w:r>
        <w:t>1.</w:t>
      </w:r>
      <w:r>
        <w:tab/>
      </w:r>
      <w:r>
        <w:rPr>
          <w:noProof/>
        </w:rPr>
        <w:t>Η Ένωση θέτει στη διάθεση της Λιθουανίας δάνειο ανώτατου ύψους 602 310 000 EUR. Το δάνειο έχει μέγιστη μέση ληκτότητα 15 ετών.</w:t>
      </w:r>
    </w:p>
    <w:p>
      <w:pPr>
        <w:pStyle w:val="ManualNumPar1"/>
        <w:rPr>
          <w:noProof/>
        </w:rPr>
      </w:pPr>
      <w:r>
        <w:t>2.</w:t>
      </w:r>
      <w:r>
        <w:tab/>
      </w:r>
      <w:r>
        <w:rPr>
          <w:noProof/>
        </w:rPr>
        <w:t xml:space="preserve">Η περίοδος διαθεσιμότητας της χρηματοδοτικής συνδρομής σύμφωνα με την παρούσα απόφαση είναι 18 μήνες, αρχής γενομένης από την πρώτη ημέρα μετά την έναρξη ισχύος της παρούσας απόφασης. </w:t>
      </w:r>
    </w:p>
    <w:p>
      <w:pPr>
        <w:pStyle w:val="ManualNumPar1"/>
        <w:rPr>
          <w:noProof/>
        </w:rPr>
      </w:pPr>
      <w:r>
        <w:t>3.</w:t>
      </w:r>
      <w:r>
        <w:tab/>
      </w:r>
      <w:r>
        <w:rPr>
          <w:noProof/>
        </w:rPr>
        <w:t xml:space="preserve">Η Επιτροπή θέτει την ενωσιακή χρηματοδοτική συνδρομή στη διάθεση της Λιθουανίας σε οκτώ δόσεις κατ’ ανώτατο όριο. Μία δόση δύναται να εκταμιευθεί σε ένα ή περισσότερα τμήματα. Η ληκτότητα των τμηματικών εκταμιεύσεων της πρώτης δόσης δύναται να είναι μεγαλύτερη από τη μέγιστη μέση ληκτότητα που αναφέρεται στην παράγραφο 1. Στις περιπτώσεις αυτές, οι προθεσμίες λήξης των περαιτέρω τμηματικών εκταμιεύσεων καθορίζονται κατά τρόπον ώστε να τηρείται η μέγιστη μέση ληκτότητα που αναφέρεται στην παράγραφο 1, όταν θα έχει ολοκληρωθεί η εκταμίευση όλων των δόσεων. </w:t>
      </w:r>
    </w:p>
    <w:p>
      <w:pPr>
        <w:pStyle w:val="ManualNumPar1"/>
        <w:rPr>
          <w:noProof/>
        </w:rPr>
      </w:pPr>
      <w:r>
        <w:t>4.</w:t>
      </w:r>
      <w:r>
        <w:tab/>
      </w:r>
      <w:r>
        <w:rPr>
          <w:noProof/>
        </w:rPr>
        <w:t xml:space="preserve">Η πρώτη δόση αποδεσμεύεται υπό την προϋπόθεση της έναρξης ισχύος της δανειακής συμφωνίας που προβλέπεται στο άρθρο 8 παράγραφος 2 του κανονισμού (ΕΕ) 2020/672. </w:t>
      </w:r>
    </w:p>
    <w:p>
      <w:pPr>
        <w:pStyle w:val="ManualNumPar1"/>
        <w:rPr>
          <w:noProof/>
        </w:rPr>
      </w:pPr>
      <w:r>
        <w:lastRenderedPageBreak/>
        <w:t>5.</w:t>
      </w:r>
      <w:r>
        <w:tab/>
      </w:r>
      <w:r>
        <w:rPr>
          <w:noProof/>
        </w:rPr>
        <w:t xml:space="preserve">Η Λιθουανία καταβάλλει το κόστος χρηματοδότησης της Ένωσης που αναφέρεται στο άρθρο 4 του κανονισμού (ΕΕ) 2020/672 για κάθε δόση, συν τα τυχόν τέλη, έξοδα και δαπάνες της Ένωσης που προκύπτουν από χρηματοδότηση. </w:t>
      </w:r>
    </w:p>
    <w:p>
      <w:pPr>
        <w:pStyle w:val="ManualNumPar1"/>
        <w:rPr>
          <w:noProof/>
        </w:rPr>
      </w:pPr>
      <w:r>
        <w:t>6.</w:t>
      </w:r>
      <w:r>
        <w:tab/>
      </w:r>
      <w:r>
        <w:rPr>
          <w:noProof/>
        </w:rPr>
        <w:t xml:space="preserve">Η Επιτροπή αποφασίζει για το ύψος και την αποδέσμευση των δόσεων, καθώς και για το ύψος των τμηματικών εκταμιεύσεων. </w:t>
      </w:r>
    </w:p>
    <w:p>
      <w:pPr>
        <w:pStyle w:val="Titrearticle"/>
        <w:rPr>
          <w:noProof/>
        </w:rPr>
      </w:pPr>
      <w:r>
        <w:rPr>
          <w:noProof/>
        </w:rPr>
        <w:t xml:space="preserve">Άρθρο 3 </w:t>
      </w:r>
    </w:p>
    <w:p>
      <w:pPr>
        <w:rPr>
          <w:noProof/>
        </w:rPr>
      </w:pPr>
      <w:r>
        <w:rPr>
          <w:noProof/>
        </w:rPr>
        <w:t>Η Λιθουανία μπορεί να χρηματοδοτήσει τα ακόλουθα μέτρα:</w:t>
      </w:r>
    </w:p>
    <w:p>
      <w:pPr>
        <w:pStyle w:val="Point0"/>
        <w:rPr>
          <w:noProof/>
        </w:rPr>
      </w:pPr>
      <w:r>
        <w:rPr>
          <w:noProof/>
        </w:rPr>
        <w:t>(α)</w:t>
      </w:r>
      <w:r>
        <w:rPr>
          <w:noProof/>
        </w:rPr>
        <w:tab/>
        <w:t xml:space="preserve">επιδοτήσεις μισθού κατά τη διάρκεια της περιόδου ανενεργού χρόνου και έπειτα από αυτή, όπως προβλέπεται στο άρθρο 41 του νόμου περί απασχόλησης αριθ. XII-2470· </w:t>
      </w:r>
    </w:p>
    <w:p>
      <w:pPr>
        <w:pStyle w:val="Point0"/>
        <w:rPr>
          <w:noProof/>
        </w:rPr>
      </w:pPr>
      <w:r>
        <w:rPr>
          <w:noProof/>
        </w:rPr>
        <w:t>(β)</w:t>
      </w:r>
      <w:r>
        <w:rPr>
          <w:noProof/>
        </w:rPr>
        <w:tab/>
        <w:t>επιδόματα σε αυτοαπασχολούμενους, όπως προβλέπεται στο άρθρο </w:t>
      </w:r>
      <w:r>
        <w:rPr>
          <w:bCs/>
          <w:caps/>
          <w:noProof/>
        </w:rPr>
        <w:t>5-1</w:t>
      </w:r>
      <w:r>
        <w:rPr>
          <w:noProof/>
        </w:rPr>
        <w:t xml:space="preserve"> του νόμου περί απασχόλησης αριθ. XII-2470· </w:t>
      </w:r>
    </w:p>
    <w:p>
      <w:pPr>
        <w:pStyle w:val="Point0"/>
        <w:rPr>
          <w:noProof/>
        </w:rPr>
      </w:pPr>
      <w:r>
        <w:rPr>
          <w:noProof/>
        </w:rPr>
        <w:t>(γ)</w:t>
      </w:r>
      <w:r>
        <w:rPr>
          <w:noProof/>
        </w:rPr>
        <w:tab/>
        <w:t>επιδόματα σε αυτοαπασχολούμενους που δραστηριοποιούνται στη γεωργία, όπως προβλέπεται στο άρθρο </w:t>
      </w:r>
      <w:r>
        <w:rPr>
          <w:bCs/>
          <w:caps/>
          <w:noProof/>
        </w:rPr>
        <w:t>5-2</w:t>
      </w:r>
      <w:r>
        <w:rPr>
          <w:noProof/>
        </w:rPr>
        <w:t xml:space="preserve"> του νόμου περί απασχόλησης αριθ. XII-2470.</w:t>
      </w:r>
    </w:p>
    <w:p>
      <w:pPr>
        <w:pStyle w:val="Titrearticle"/>
        <w:rPr>
          <w:noProof/>
        </w:rPr>
      </w:pPr>
      <w:r>
        <w:rPr>
          <w:noProof/>
        </w:rPr>
        <w:t>Άρθρο 4</w:t>
      </w:r>
    </w:p>
    <w:p>
      <w:pPr>
        <w:rPr>
          <w:noProof/>
        </w:rPr>
      </w:pPr>
      <w:r>
        <w:rPr>
          <w:noProof/>
        </w:rPr>
        <w:t>Η Λιθουανία ενημερώνει την Επιτροπή έως την [</w:t>
      </w:r>
      <w:r>
        <w:rPr>
          <w:i/>
          <w:noProof/>
        </w:rPr>
        <w:t>ΗΜΕΡΟΜΗΝΙΑ:</w:t>
      </w:r>
      <w:r>
        <w:rPr>
          <w:noProof/>
        </w:rPr>
        <w:t xml:space="preserve"> </w:t>
      </w:r>
      <w:r>
        <w:rPr>
          <w:i/>
          <w:noProof/>
        </w:rPr>
        <w:t>6 μήνες μετά την ημερομηνία δημοσίευσης της παρούσας απόφασης</w:t>
      </w:r>
      <w:r>
        <w:rPr>
          <w:noProof/>
        </w:rPr>
        <w:t>], και εν συνεχεία κάθε 6 μήνες, σχετικά με την εκτέλεση των προβλεπόμενων δημόσιων δαπανών, έως ότου εκτελεστούν πλήρως οι εν λόγω προβλεπόμενες δημόσιες δαπάνες.</w:t>
      </w:r>
    </w:p>
    <w:p>
      <w:pPr>
        <w:pStyle w:val="Titrearticle"/>
        <w:rPr>
          <w:noProof/>
        </w:rPr>
      </w:pPr>
      <w:r>
        <w:rPr>
          <w:noProof/>
        </w:rPr>
        <w:t>Άρθρο 5</w:t>
      </w:r>
    </w:p>
    <w:p>
      <w:pPr>
        <w:keepNext/>
        <w:keepLines/>
        <w:rPr>
          <w:noProof/>
        </w:rPr>
      </w:pPr>
      <w:r>
        <w:rPr>
          <w:noProof/>
          <w:color w:val="000000"/>
        </w:rPr>
        <w:t xml:space="preserve">Η παρούσα απόφαση απευθύνεται στη Δημοκρατία της </w:t>
      </w:r>
      <w:r>
        <w:rPr>
          <w:noProof/>
        </w:rPr>
        <w:t>Λιθουανίας.</w:t>
      </w:r>
    </w:p>
    <w:p>
      <w:pPr>
        <w:pStyle w:val="Titrearticle"/>
        <w:rPr>
          <w:noProof/>
        </w:rPr>
      </w:pPr>
      <w:r>
        <w:rPr>
          <w:noProof/>
        </w:rPr>
        <w:t>Άρθρο 6</w:t>
      </w:r>
    </w:p>
    <w:p>
      <w:pPr>
        <w:rPr>
          <w:noProof/>
        </w:rPr>
      </w:pPr>
      <w:r>
        <w:rPr>
          <w:noProof/>
        </w:rPr>
        <w:t xml:space="preserve">Η παρούσα απόφαση δημοσιεύεται στην </w:t>
      </w:r>
      <w:r>
        <w:rPr>
          <w:i/>
          <w:noProof/>
        </w:rPr>
        <w:t>Επίσημη Εφημερίδα της Ευρωπαϊκής Ένωσης</w:t>
      </w:r>
      <w:r>
        <w:rPr>
          <w:noProof/>
        </w:rPr>
        <w:t xml:space="preserve">. </w:t>
      </w:r>
    </w:p>
    <w:p>
      <w:pPr>
        <w:pStyle w:val="Fait"/>
        <w:rPr>
          <w:noProof/>
        </w:rPr>
      </w:pPr>
      <w:r>
        <w:t>Βρυξέλλες,</w:t>
      </w:r>
    </w:p>
    <w:p>
      <w:pPr>
        <w:pStyle w:val="Institutionquisigne"/>
        <w:rPr>
          <w:noProof/>
        </w:rPr>
      </w:pPr>
      <w:r>
        <w:rPr>
          <w:noProof/>
        </w:rPr>
        <w:tab/>
        <w:t>Για το Συμβούλιο</w:t>
      </w:r>
    </w:p>
    <w:p>
      <w:pPr>
        <w:pStyle w:val="Personnequisigne"/>
        <w:rPr>
          <w:noProof/>
        </w:rPr>
      </w:pPr>
      <w:r>
        <w:rPr>
          <w:noProof/>
        </w:rPr>
        <w:tab/>
        <w:t>Ο Πρόεδρος</w:t>
      </w:r>
    </w:p>
    <w:sect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EL</w:t>
    </w:r>
    <w:r>
      <w:rPr>
        <w:rFonts w:ascii="Arial" w:hAnsi="Arial" w:cs="Arial"/>
        <w:b/>
        <w:sz w:val="48"/>
      </w:rPr>
      <w:tab/>
    </w:r>
    <w:r>
      <w:rPr>
        <w:rFonts w:ascii="Arial" w:hAnsi="Arial" w:cs="Arial"/>
        <w:b/>
        <w:sz w:val="48"/>
      </w:rPr>
      <w:tab/>
    </w:r>
    <w:r>
      <w:tab/>
    </w:r>
    <w:r>
      <w:rPr>
        <w:rFonts w:ascii="Arial" w:hAnsi="Arial" w:cs="Arial"/>
        <w:b/>
        <w:sz w:val="48"/>
      </w:rPr>
      <w:t>EL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EL</w:t>
    </w:r>
    <w:r>
      <w:rPr>
        <w:rFonts w:ascii="Arial" w:hAnsi="Arial" w:cs="Arial"/>
        <w:b/>
        <w:sz w:val="48"/>
      </w:rPr>
      <w:tab/>
    </w:r>
    <w:r>
      <w:fldChar w:fldCharType="begin"/>
    </w:r>
    <w:r>
      <w:instrText xml:space="preserve"> PAGE  \* MERGEFORMAT </w:instrText>
    </w:r>
    <w:r>
      <w:fldChar w:fldCharType="separate"/>
    </w:r>
    <w:r>
      <w:rPr>
        <w:noProof/>
      </w:rPr>
      <w:t>7</w:t>
    </w:r>
    <w:r>
      <w:fldChar w:fldCharType="end"/>
    </w:r>
    <w:r>
      <w:tab/>
    </w:r>
    <w:r>
      <w:tab/>
    </w:r>
    <w:r>
      <w:rPr>
        <w:rFonts w:ascii="Arial" w:hAnsi="Arial" w:cs="Arial"/>
        <w:b/>
        <w:sz w:val="48"/>
      </w:rPr>
      <w:t>EL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pPr>
      <w:r>
        <w:rPr>
          <w:rStyle w:val="FootnoteReference"/>
        </w:rPr>
        <w:footnoteRef/>
      </w:r>
      <w:r>
        <w:tab/>
        <w:t>ΕΕ L 159 της 20.5.2020, σ.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9C8C2160"/>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A3AC808A"/>
    <w:lvl w:ilvl="0">
      <w:start w:val="1"/>
      <w:numFmt w:val="decimal"/>
      <w:pStyle w:val="ListNumber3"/>
      <w:lvlText w:val="%1."/>
      <w:lvlJc w:val="left"/>
      <w:pPr>
        <w:tabs>
          <w:tab w:val="num" w:pos="926"/>
        </w:tabs>
        <w:ind w:left="926" w:hanging="360"/>
      </w:pPr>
    </w:lvl>
  </w:abstractNum>
  <w:abstractNum w:abstractNumId="2">
    <w:nsid w:val="FFFFFF7F"/>
    <w:multiLevelType w:val="singleLevel"/>
    <w:tmpl w:val="B816A916"/>
    <w:lvl w:ilvl="0">
      <w:start w:val="1"/>
      <w:numFmt w:val="decimal"/>
      <w:pStyle w:val="ListNumber2"/>
      <w:lvlText w:val="%1."/>
      <w:lvlJc w:val="left"/>
      <w:pPr>
        <w:tabs>
          <w:tab w:val="num" w:pos="643"/>
        </w:tabs>
        <w:ind w:left="643" w:hanging="360"/>
      </w:pPr>
    </w:lvl>
  </w:abstractNum>
  <w:abstractNum w:abstractNumId="3">
    <w:nsid w:val="FFFFFF81"/>
    <w:multiLevelType w:val="singleLevel"/>
    <w:tmpl w:val="4E2450C8"/>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BAE2146C"/>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B6C06346"/>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1922760C"/>
    <w:lvl w:ilvl="0">
      <w:start w:val="1"/>
      <w:numFmt w:val="decimal"/>
      <w:pStyle w:val="ListNumber"/>
      <w:lvlText w:val="%1."/>
      <w:lvlJc w:val="left"/>
      <w:pPr>
        <w:tabs>
          <w:tab w:val="num" w:pos="360"/>
        </w:tabs>
        <w:ind w:left="360" w:hanging="360"/>
      </w:pPr>
    </w:lvl>
  </w:abstractNum>
  <w:abstractNum w:abstractNumId="7">
    <w:nsid w:val="FFFFFF89"/>
    <w:multiLevelType w:val="singleLevel"/>
    <w:tmpl w:val="C86A2B76"/>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num>
  <w:num w:numId="7">
    <w:abstractNumId w:val="21"/>
    <w:lvlOverride w:ilvl="0">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2"/>
  </w:num>
  <w:num w:numId="11">
    <w:abstractNumId w:val="1"/>
  </w:num>
  <w:num w:numId="12">
    <w:abstractNumId w:val="0"/>
  </w:num>
  <w:num w:numId="13">
    <w:abstractNumId w:val="18"/>
  </w:num>
  <w:num w:numId="14">
    <w:abstractNumId w:val="12"/>
  </w:num>
  <w:num w:numId="15">
    <w:abstractNumId w:val="20"/>
  </w:num>
  <w:num w:numId="16">
    <w:abstractNumId w:val="11"/>
  </w:num>
  <w:num w:numId="17">
    <w:abstractNumId w:val="13"/>
  </w:num>
  <w:num w:numId="18">
    <w:abstractNumId w:val="9"/>
  </w:num>
  <w:num w:numId="19">
    <w:abstractNumId w:val="19"/>
  </w:num>
  <w:num w:numId="20">
    <w:abstractNumId w:val="8"/>
  </w:num>
  <w:num w:numId="21">
    <w:abstractNumId w:val="14"/>
  </w:num>
  <w:num w:numId="22">
    <w:abstractNumId w:val="16"/>
  </w:num>
  <w:num w:numId="23">
    <w:abstractNumId w:val="17"/>
  </w:num>
  <w:num w:numId="24">
    <w:abstractNumId w:val="10"/>
  </w:num>
  <w:num w:numId="25">
    <w:abstractNumId w:val="15"/>
  </w:num>
  <w:num w:numId="26">
    <w:abstractNumId w:val="21"/>
  </w:num>
  <w:num w:numId="27">
    <w:abstractNumId w:val="18"/>
  </w:num>
  <w:num w:numId="28">
    <w:abstractNumId w:val="12"/>
  </w:num>
  <w:num w:numId="29">
    <w:abstractNumId w:val="20"/>
  </w:num>
  <w:num w:numId="30">
    <w:abstractNumId w:val="11"/>
  </w:num>
  <w:num w:numId="31">
    <w:abstractNumId w:val="13"/>
  </w:num>
  <w:num w:numId="32">
    <w:abstractNumId w:val="9"/>
  </w:num>
  <w:num w:numId="33">
    <w:abstractNumId w:val="19"/>
  </w:num>
  <w:num w:numId="34">
    <w:abstractNumId w:val="8"/>
  </w:num>
  <w:num w:numId="35">
    <w:abstractNumId w:val="14"/>
  </w:num>
  <w:num w:numId="36">
    <w:abstractNumId w:val="16"/>
  </w:num>
  <w:num w:numId="37">
    <w:abstractNumId w:val="17"/>
  </w:num>
  <w:num w:numId="38">
    <w:abstractNumId w:val="10"/>
  </w:num>
  <w:num w:numId="39">
    <w:abstractNumId w:val="15"/>
  </w:num>
  <w:num w:numId="40">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isplayBackgroundShape/>
  <w:hideSpellingErrors/>
  <w:hideGrammaticalErrors/>
  <w:attachedTemplate r:id="rId1"/>
  <w:revisionView w:markup="0"/>
  <w:defaultTabStop w:val="720"/>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0-09-07 11:29:30"/>
    <w:docVar w:name="DQCResult_Distribution" w:val="0;0"/>
    <w:docVar w:name="DQCResult_DocumentContent" w:val="0;0"/>
    <w:docVar w:name="DQCResult_DocumentSize" w:val="0;0"/>
    <w:docVar w:name="DQCResult_DocumentVersion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0"/>
    <w:docVar w:name="DQCResult_StructureCheck" w:val="0;0"/>
    <w:docVar w:name="DQCResult_SuperfluousWhitespace" w:val="0;1"/>
    <w:docVar w:name="DQCResult_UnknownFonts" w:val="0;0"/>
    <w:docVar w:name="DQCResult_UnknownStyles" w:val="0;0"/>
    <w:docVar w:name="DQCStatus" w:val="Green"/>
    <w:docVar w:name="DQCVersion" w:val="3"/>
    <w:docVar w:name="DQCWithWarnings" w:val="0"/>
    <w:docVar w:name="LW_CORRIGENDUM" w:val="&lt;UNUSED&gt;"/>
    <w:docVar w:name="LW_COVERPAGE_EXISTS" w:val="True"/>
    <w:docVar w:name="LW_COVERPAGE_GUID" w:val="2A28C74C-EADE-4AA5-960A-C32FDA24D3AE"/>
    <w:docVar w:name="LW_COVERPAGE_TYPE" w:val="1"/>
    <w:docVar w:name="LW_CROSSREFERENCE" w:val="&lt;UNUSED&gt;"/>
    <w:docVar w:name="LW_DocType" w:val="COM"/>
    <w:docVar w:name="LW_EMISSION" w:val="24.8.2020"/>
    <w:docVar w:name="LW_EMISSION_ISODATE" w:val="2020-08-24"/>
    <w:docVar w:name="LW_EMISSION_LOCATION" w:val="BRX"/>
    <w:docVar w:name="LW_EMISSION_PREFIX" w:val="Βρυξέλλες, "/>
    <w:docVar w:name="LW_EMISSION_SUFFIX" w:val=" "/>
    <w:docVar w:name="LW_ID_DOCMODEL" w:val="SJ-020"/>
    <w:docVar w:name="LW_ID_DOCSIGNATURE" w:val="SJ-020"/>
    <w:docVar w:name="LW_ID_DOCSTRUCTURE" w:val="COM/PL/ORG"/>
    <w:docVar w:name="LW_ID_DOCTYPE" w:val="SJ-020"/>
    <w:docVar w:name="LW_ID_EXP.MOTIFS.NEW" w:val="EM_PL_"/>
    <w:docVar w:name="LW_ID_STATUT" w:val="SJ-020"/>
    <w:docVar w:name="LW_INTERETEEE.CP" w:val="&lt;UNUSED&gt;"/>
    <w:docVar w:name="LW_LANGUE" w:val="EL"/>
    <w:docVar w:name="LW_LEVEL_OF_SENSITIVITY" w:val="Standard treatment"/>
    <w:docVar w:name="LW_NOM.INST" w:val="\u917?\u933?\u929?\u937?\u928?\u913?\u938?\u922?\u919? \u917?\u928?\u921?\u932?\u929?\u927?\u928?\u919?"/>
    <w:docVar w:name="LW_NOM.INST_JOINTDOC" w:val="&lt;EMPTY&gt;"/>
    <w:docVar w:name="LW_PART_NBR" w:val="1"/>
    <w:docVar w:name="LW_PART_NBR_TOTAL" w:val="1"/>
    <w:docVar w:name="LW_REF.II.NEW.CP" w:val="NLE"/>
    <w:docVar w:name="LW_REF.II.NEW.CP_NUMBER" w:val="0216"/>
    <w:docVar w:name="LW_REF.II.NEW.CP_YEAR" w:val="2020"/>
    <w:docVar w:name="LW_REF.INST.NEW" w:val="COM"/>
    <w:docVar w:name="LW_REF.INST.NEW_ADOPTED" w:val="final"/>
    <w:docVar w:name="LW_REF.INST.NEW_TEXT" w:val="(2020) 463"/>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u928?\u961?\u972?\u964?\u945?\u963?\u951?"/>
    <w:docVar w:name="LW_SUPERTITRE" w:val="&lt;UNUSED&gt;"/>
    <w:docVar w:name="LW_TITRE.OBJ.CP" w:val="\u963?\u967?\u949?\u964?\u953?\u954?\u940? \u956?\u949? \u964?\u951? \u967?\u959?\u961?\u942?\u947?\u951?\u963?\u951? \u960?\u961?\u959?\u963?\u969?\u961?\u953?\u957?\u942?\u962? \u963?\u964?\u942?\u961?\u953?\u958?\u951?\u962? \u963?\u964?\u951? \u923?\u953?\u952?\u959?\u965?\u945?\u957?\u943?\u945?, \u963?\u964?\u959? \u960?\u955?\u945?\u943?\u963?\u953?\u959? \u964?\u959?\u965? \u954?\u945?\u957?\u959?\u957?\u953?\u963?\u956?\u959?\u973? (\u917?\u917?) 2020/672 \u964?\u959?\u965? \u931?\u965?\u956?\u946?\u959?\u965?\u955?\u943?\u959?\u965?, \u947?\u953?\u945? \u964?\u959?\u957? \u956?\u949?\u964?\u961?\u953?\u945?\u963?\u956?\u972? \u964?\u969?\u957? \u954?\u953?\u957?\u948?\u973?\u957?\u969?\u957? \u945?\u957?\u949?\u961?\u947?\u943?\u945?\u962? \u963?\u949? \u954?\u945?\u964?\u940?\u963?\u964?\u945?\u963?\u951? \u941?\u954?\u964?\u945?\u954?\u964?\u951?\u962? \u945?\u957?\u940?\u947?\u954?\u951?\u962? \u955?\u972?\u947?\u969? \u964?\u951?\u962? \u941?\u958?\u945?\u961?\u963?\u951?\u962? \u964?\u951?\u962? \u957?\u972?\u963?\u959?\u965? COVID-19"/>
    <w:docVar w:name="LW_TYPE.DOC.CP" w:val="EKTE\u923?\u917?\u931?\u932?\u921?\u922?\u919? \u913?\u928?\u927?\u934?\u913?\u931?\u919? \u932?\u927?\u933? \u931?\u933?\u924?\u914?\u927?\u933?\u923?\u921?\u927?\u933?"/>
  </w:docVar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el-GR"/>
    </w:rPr>
  </w:style>
  <w:style w:type="paragraph" w:styleId="Heading1">
    <w:name w:val="heading 1"/>
    <w:basedOn w:val="Normal"/>
    <w:next w:val="Text1"/>
    <w:link w:val="Heading1Char"/>
    <w:uiPriority w:val="9"/>
    <w:qFormat/>
    <w:pPr>
      <w:keepNext/>
      <w:numPr>
        <w:numId w:val="33"/>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3"/>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3"/>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3"/>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lang w:val="el-GR"/>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l-GR"/>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el-GR"/>
    </w:r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NormalWeb">
    <w:name w:val="Normal (Web)"/>
    <w:basedOn w:val="Normal"/>
    <w:uiPriority w:val="99"/>
    <w:semiHidden/>
    <w:unhideWhenUsed/>
    <w:pPr>
      <w:spacing w:before="100" w:beforeAutospacing="1" w:after="100" w:afterAutospacing="1"/>
      <w:jc w:val="left"/>
    </w:pPr>
    <w:rPr>
      <w:rFonts w:eastAsia="Times New Roman"/>
      <w:szCs w:val="24"/>
      <w:lang w:eastAsia="en-GB"/>
    </w:rPr>
  </w:style>
  <w:style w:type="paragraph" w:styleId="Revision">
    <w:name w:val="Revision"/>
    <w:hidden/>
    <w:uiPriority w:val="99"/>
    <w:semiHidden/>
    <w:pPr>
      <w:spacing w:after="0" w:line="240" w:lineRule="auto"/>
    </w:pPr>
    <w:rPr>
      <w:rFonts w:ascii="Times New Roman" w:hAnsi="Times New Roman" w:cs="Times New Roman"/>
      <w:sz w:val="24"/>
    </w:rPr>
  </w:style>
  <w:style w:type="paragraph" w:styleId="Caption">
    <w:name w:val="caption"/>
    <w:basedOn w:val="Normal"/>
    <w:next w:val="Normal"/>
    <w:uiPriority w:val="35"/>
    <w:semiHidden/>
    <w:unhideWhenUsed/>
    <w:qFormat/>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9"/>
      </w:numPr>
      <w:contextualSpacing/>
    </w:pPr>
  </w:style>
  <w:style w:type="paragraph" w:styleId="ListNumber2">
    <w:name w:val="List Number 2"/>
    <w:basedOn w:val="Normal"/>
    <w:uiPriority w:val="99"/>
    <w:semiHidden/>
    <w:unhideWhenUsed/>
    <w:pPr>
      <w:numPr>
        <w:numId w:val="10"/>
      </w:numPr>
      <w:contextualSpacing/>
    </w:pPr>
  </w:style>
  <w:style w:type="paragraph" w:styleId="ListNumber3">
    <w:name w:val="List Number 3"/>
    <w:basedOn w:val="Normal"/>
    <w:uiPriority w:val="99"/>
    <w:semiHidden/>
    <w:unhideWhenUsed/>
    <w:pPr>
      <w:numPr>
        <w:numId w:val="11"/>
      </w:numPr>
      <w:contextualSpacing/>
    </w:pPr>
  </w:style>
  <w:style w:type="paragraph" w:styleId="ListNumber4">
    <w:name w:val="List Number 4"/>
    <w:basedOn w:val="Normal"/>
    <w:uiPriority w:val="99"/>
    <w:semiHidden/>
    <w:unhideWhenUsed/>
    <w:pPr>
      <w:numPr>
        <w:numId w:val="12"/>
      </w:numPr>
      <w:contextualSpacing/>
    </w:p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el-GR"/>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el-GR"/>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7"/>
      </w:numPr>
    </w:pPr>
  </w:style>
  <w:style w:type="paragraph" w:customStyle="1" w:styleId="Tiret1">
    <w:name w:val="Tiret 1"/>
    <w:basedOn w:val="Point1"/>
    <w:pPr>
      <w:numPr>
        <w:numId w:val="28"/>
      </w:numPr>
    </w:pPr>
  </w:style>
  <w:style w:type="paragraph" w:customStyle="1" w:styleId="Tiret2">
    <w:name w:val="Tiret 2"/>
    <w:basedOn w:val="Point2"/>
    <w:pPr>
      <w:numPr>
        <w:numId w:val="29"/>
      </w:numPr>
    </w:pPr>
  </w:style>
  <w:style w:type="paragraph" w:customStyle="1" w:styleId="Tiret3">
    <w:name w:val="Tiret 3"/>
    <w:basedOn w:val="Point3"/>
    <w:pPr>
      <w:numPr>
        <w:numId w:val="30"/>
      </w:numPr>
    </w:pPr>
  </w:style>
  <w:style w:type="paragraph" w:customStyle="1" w:styleId="Tiret4">
    <w:name w:val="Tiret 4"/>
    <w:basedOn w:val="Point4"/>
    <w:pPr>
      <w:numPr>
        <w:numId w:val="31"/>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2"/>
      </w:numPr>
    </w:pPr>
  </w:style>
  <w:style w:type="paragraph" w:customStyle="1" w:styleId="NumPar2">
    <w:name w:val="NumPar 2"/>
    <w:basedOn w:val="Normal"/>
    <w:next w:val="Text1"/>
    <w:pPr>
      <w:numPr>
        <w:ilvl w:val="1"/>
        <w:numId w:val="32"/>
      </w:numPr>
    </w:pPr>
  </w:style>
  <w:style w:type="paragraph" w:customStyle="1" w:styleId="NumPar3">
    <w:name w:val="NumPar 3"/>
    <w:basedOn w:val="Normal"/>
    <w:next w:val="Text1"/>
    <w:pPr>
      <w:numPr>
        <w:ilvl w:val="2"/>
        <w:numId w:val="32"/>
      </w:numPr>
    </w:pPr>
  </w:style>
  <w:style w:type="paragraph" w:customStyle="1" w:styleId="NumPar4">
    <w:name w:val="NumPar 4"/>
    <w:basedOn w:val="Normal"/>
    <w:next w:val="Text1"/>
    <w:pPr>
      <w:numPr>
        <w:ilvl w:val="3"/>
        <w:numId w:val="32"/>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4"/>
      </w:numPr>
    </w:pPr>
  </w:style>
  <w:style w:type="paragraph" w:customStyle="1" w:styleId="Point1number">
    <w:name w:val="Point 1 (number)"/>
    <w:basedOn w:val="Normal"/>
    <w:pPr>
      <w:numPr>
        <w:ilvl w:val="2"/>
        <w:numId w:val="34"/>
      </w:numPr>
    </w:pPr>
  </w:style>
  <w:style w:type="paragraph" w:customStyle="1" w:styleId="Point2number">
    <w:name w:val="Point 2 (number)"/>
    <w:basedOn w:val="Normal"/>
    <w:pPr>
      <w:numPr>
        <w:ilvl w:val="4"/>
        <w:numId w:val="34"/>
      </w:numPr>
    </w:pPr>
  </w:style>
  <w:style w:type="paragraph" w:customStyle="1" w:styleId="Point3number">
    <w:name w:val="Point 3 (number)"/>
    <w:basedOn w:val="Normal"/>
    <w:pPr>
      <w:numPr>
        <w:ilvl w:val="6"/>
        <w:numId w:val="34"/>
      </w:numPr>
    </w:pPr>
  </w:style>
  <w:style w:type="paragraph" w:customStyle="1" w:styleId="Point0letter">
    <w:name w:val="Point 0 (letter)"/>
    <w:basedOn w:val="Normal"/>
    <w:pPr>
      <w:numPr>
        <w:ilvl w:val="1"/>
        <w:numId w:val="34"/>
      </w:numPr>
    </w:pPr>
  </w:style>
  <w:style w:type="paragraph" w:customStyle="1" w:styleId="Point1letter">
    <w:name w:val="Point 1 (letter)"/>
    <w:basedOn w:val="Normal"/>
    <w:pPr>
      <w:numPr>
        <w:ilvl w:val="3"/>
        <w:numId w:val="34"/>
      </w:numPr>
    </w:pPr>
  </w:style>
  <w:style w:type="paragraph" w:customStyle="1" w:styleId="Point2letter">
    <w:name w:val="Point 2 (letter)"/>
    <w:basedOn w:val="Normal"/>
    <w:pPr>
      <w:numPr>
        <w:ilvl w:val="5"/>
        <w:numId w:val="34"/>
      </w:numPr>
    </w:pPr>
  </w:style>
  <w:style w:type="paragraph" w:customStyle="1" w:styleId="Point3letter">
    <w:name w:val="Point 3 (letter)"/>
    <w:basedOn w:val="Normal"/>
    <w:pPr>
      <w:numPr>
        <w:ilvl w:val="7"/>
        <w:numId w:val="34"/>
      </w:numPr>
    </w:pPr>
  </w:style>
  <w:style w:type="paragraph" w:customStyle="1" w:styleId="Point4letter">
    <w:name w:val="Point 4 (letter)"/>
    <w:basedOn w:val="Normal"/>
    <w:pPr>
      <w:numPr>
        <w:ilvl w:val="8"/>
        <w:numId w:val="34"/>
      </w:numPr>
    </w:pPr>
  </w:style>
  <w:style w:type="paragraph" w:customStyle="1" w:styleId="Bullet0">
    <w:name w:val="Bullet 0"/>
    <w:basedOn w:val="Normal"/>
    <w:pPr>
      <w:numPr>
        <w:numId w:val="35"/>
      </w:numPr>
    </w:pPr>
  </w:style>
  <w:style w:type="paragraph" w:customStyle="1" w:styleId="Bullet1">
    <w:name w:val="Bullet 1"/>
    <w:basedOn w:val="Normal"/>
    <w:pPr>
      <w:numPr>
        <w:numId w:val="36"/>
      </w:numPr>
    </w:pPr>
  </w:style>
  <w:style w:type="paragraph" w:customStyle="1" w:styleId="Bullet2">
    <w:name w:val="Bullet 2"/>
    <w:basedOn w:val="Normal"/>
    <w:pPr>
      <w:numPr>
        <w:numId w:val="37"/>
      </w:numPr>
    </w:pPr>
  </w:style>
  <w:style w:type="paragraph" w:customStyle="1" w:styleId="Bullet3">
    <w:name w:val="Bullet 3"/>
    <w:basedOn w:val="Normal"/>
    <w:pPr>
      <w:numPr>
        <w:numId w:val="38"/>
      </w:numPr>
    </w:pPr>
  </w:style>
  <w:style w:type="paragraph" w:customStyle="1" w:styleId="Bullet4">
    <w:name w:val="Bullet 4"/>
    <w:basedOn w:val="Normal"/>
    <w:pPr>
      <w:numPr>
        <w:numId w:val="39"/>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0"/>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el-GR"/>
    </w:rPr>
  </w:style>
  <w:style w:type="paragraph" w:styleId="Heading1">
    <w:name w:val="heading 1"/>
    <w:basedOn w:val="Normal"/>
    <w:next w:val="Text1"/>
    <w:link w:val="Heading1Char"/>
    <w:uiPriority w:val="9"/>
    <w:qFormat/>
    <w:pPr>
      <w:keepNext/>
      <w:numPr>
        <w:numId w:val="33"/>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3"/>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3"/>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3"/>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lang w:val="el-GR"/>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l-GR"/>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el-GR"/>
    </w:r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NormalWeb">
    <w:name w:val="Normal (Web)"/>
    <w:basedOn w:val="Normal"/>
    <w:uiPriority w:val="99"/>
    <w:semiHidden/>
    <w:unhideWhenUsed/>
    <w:pPr>
      <w:spacing w:before="100" w:beforeAutospacing="1" w:after="100" w:afterAutospacing="1"/>
      <w:jc w:val="left"/>
    </w:pPr>
    <w:rPr>
      <w:rFonts w:eastAsia="Times New Roman"/>
      <w:szCs w:val="24"/>
      <w:lang w:eastAsia="en-GB"/>
    </w:rPr>
  </w:style>
  <w:style w:type="paragraph" w:styleId="Revision">
    <w:name w:val="Revision"/>
    <w:hidden/>
    <w:uiPriority w:val="99"/>
    <w:semiHidden/>
    <w:pPr>
      <w:spacing w:after="0" w:line="240" w:lineRule="auto"/>
    </w:pPr>
    <w:rPr>
      <w:rFonts w:ascii="Times New Roman" w:hAnsi="Times New Roman" w:cs="Times New Roman"/>
      <w:sz w:val="24"/>
    </w:rPr>
  </w:style>
  <w:style w:type="paragraph" w:styleId="Caption">
    <w:name w:val="caption"/>
    <w:basedOn w:val="Normal"/>
    <w:next w:val="Normal"/>
    <w:uiPriority w:val="35"/>
    <w:semiHidden/>
    <w:unhideWhenUsed/>
    <w:qFormat/>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9"/>
      </w:numPr>
      <w:contextualSpacing/>
    </w:pPr>
  </w:style>
  <w:style w:type="paragraph" w:styleId="ListNumber2">
    <w:name w:val="List Number 2"/>
    <w:basedOn w:val="Normal"/>
    <w:uiPriority w:val="99"/>
    <w:semiHidden/>
    <w:unhideWhenUsed/>
    <w:pPr>
      <w:numPr>
        <w:numId w:val="10"/>
      </w:numPr>
      <w:contextualSpacing/>
    </w:pPr>
  </w:style>
  <w:style w:type="paragraph" w:styleId="ListNumber3">
    <w:name w:val="List Number 3"/>
    <w:basedOn w:val="Normal"/>
    <w:uiPriority w:val="99"/>
    <w:semiHidden/>
    <w:unhideWhenUsed/>
    <w:pPr>
      <w:numPr>
        <w:numId w:val="11"/>
      </w:numPr>
      <w:contextualSpacing/>
    </w:pPr>
  </w:style>
  <w:style w:type="paragraph" w:styleId="ListNumber4">
    <w:name w:val="List Number 4"/>
    <w:basedOn w:val="Normal"/>
    <w:uiPriority w:val="99"/>
    <w:semiHidden/>
    <w:unhideWhenUsed/>
    <w:pPr>
      <w:numPr>
        <w:numId w:val="12"/>
      </w:numPr>
      <w:contextualSpacing/>
    </w:p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el-GR"/>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el-GR"/>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7"/>
      </w:numPr>
    </w:pPr>
  </w:style>
  <w:style w:type="paragraph" w:customStyle="1" w:styleId="Tiret1">
    <w:name w:val="Tiret 1"/>
    <w:basedOn w:val="Point1"/>
    <w:pPr>
      <w:numPr>
        <w:numId w:val="28"/>
      </w:numPr>
    </w:pPr>
  </w:style>
  <w:style w:type="paragraph" w:customStyle="1" w:styleId="Tiret2">
    <w:name w:val="Tiret 2"/>
    <w:basedOn w:val="Point2"/>
    <w:pPr>
      <w:numPr>
        <w:numId w:val="29"/>
      </w:numPr>
    </w:pPr>
  </w:style>
  <w:style w:type="paragraph" w:customStyle="1" w:styleId="Tiret3">
    <w:name w:val="Tiret 3"/>
    <w:basedOn w:val="Point3"/>
    <w:pPr>
      <w:numPr>
        <w:numId w:val="30"/>
      </w:numPr>
    </w:pPr>
  </w:style>
  <w:style w:type="paragraph" w:customStyle="1" w:styleId="Tiret4">
    <w:name w:val="Tiret 4"/>
    <w:basedOn w:val="Point4"/>
    <w:pPr>
      <w:numPr>
        <w:numId w:val="31"/>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2"/>
      </w:numPr>
    </w:pPr>
  </w:style>
  <w:style w:type="paragraph" w:customStyle="1" w:styleId="NumPar2">
    <w:name w:val="NumPar 2"/>
    <w:basedOn w:val="Normal"/>
    <w:next w:val="Text1"/>
    <w:pPr>
      <w:numPr>
        <w:ilvl w:val="1"/>
        <w:numId w:val="32"/>
      </w:numPr>
    </w:pPr>
  </w:style>
  <w:style w:type="paragraph" w:customStyle="1" w:styleId="NumPar3">
    <w:name w:val="NumPar 3"/>
    <w:basedOn w:val="Normal"/>
    <w:next w:val="Text1"/>
    <w:pPr>
      <w:numPr>
        <w:ilvl w:val="2"/>
        <w:numId w:val="32"/>
      </w:numPr>
    </w:pPr>
  </w:style>
  <w:style w:type="paragraph" w:customStyle="1" w:styleId="NumPar4">
    <w:name w:val="NumPar 4"/>
    <w:basedOn w:val="Normal"/>
    <w:next w:val="Text1"/>
    <w:pPr>
      <w:numPr>
        <w:ilvl w:val="3"/>
        <w:numId w:val="32"/>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4"/>
      </w:numPr>
    </w:pPr>
  </w:style>
  <w:style w:type="paragraph" w:customStyle="1" w:styleId="Point1number">
    <w:name w:val="Point 1 (number)"/>
    <w:basedOn w:val="Normal"/>
    <w:pPr>
      <w:numPr>
        <w:ilvl w:val="2"/>
        <w:numId w:val="34"/>
      </w:numPr>
    </w:pPr>
  </w:style>
  <w:style w:type="paragraph" w:customStyle="1" w:styleId="Point2number">
    <w:name w:val="Point 2 (number)"/>
    <w:basedOn w:val="Normal"/>
    <w:pPr>
      <w:numPr>
        <w:ilvl w:val="4"/>
        <w:numId w:val="34"/>
      </w:numPr>
    </w:pPr>
  </w:style>
  <w:style w:type="paragraph" w:customStyle="1" w:styleId="Point3number">
    <w:name w:val="Point 3 (number)"/>
    <w:basedOn w:val="Normal"/>
    <w:pPr>
      <w:numPr>
        <w:ilvl w:val="6"/>
        <w:numId w:val="34"/>
      </w:numPr>
    </w:pPr>
  </w:style>
  <w:style w:type="paragraph" w:customStyle="1" w:styleId="Point0letter">
    <w:name w:val="Point 0 (letter)"/>
    <w:basedOn w:val="Normal"/>
    <w:pPr>
      <w:numPr>
        <w:ilvl w:val="1"/>
        <w:numId w:val="34"/>
      </w:numPr>
    </w:pPr>
  </w:style>
  <w:style w:type="paragraph" w:customStyle="1" w:styleId="Point1letter">
    <w:name w:val="Point 1 (letter)"/>
    <w:basedOn w:val="Normal"/>
    <w:pPr>
      <w:numPr>
        <w:ilvl w:val="3"/>
        <w:numId w:val="34"/>
      </w:numPr>
    </w:pPr>
  </w:style>
  <w:style w:type="paragraph" w:customStyle="1" w:styleId="Point2letter">
    <w:name w:val="Point 2 (letter)"/>
    <w:basedOn w:val="Normal"/>
    <w:pPr>
      <w:numPr>
        <w:ilvl w:val="5"/>
        <w:numId w:val="34"/>
      </w:numPr>
    </w:pPr>
  </w:style>
  <w:style w:type="paragraph" w:customStyle="1" w:styleId="Point3letter">
    <w:name w:val="Point 3 (letter)"/>
    <w:basedOn w:val="Normal"/>
    <w:pPr>
      <w:numPr>
        <w:ilvl w:val="7"/>
        <w:numId w:val="34"/>
      </w:numPr>
    </w:pPr>
  </w:style>
  <w:style w:type="paragraph" w:customStyle="1" w:styleId="Point4letter">
    <w:name w:val="Point 4 (letter)"/>
    <w:basedOn w:val="Normal"/>
    <w:pPr>
      <w:numPr>
        <w:ilvl w:val="8"/>
        <w:numId w:val="34"/>
      </w:numPr>
    </w:pPr>
  </w:style>
  <w:style w:type="paragraph" w:customStyle="1" w:styleId="Bullet0">
    <w:name w:val="Bullet 0"/>
    <w:basedOn w:val="Normal"/>
    <w:pPr>
      <w:numPr>
        <w:numId w:val="35"/>
      </w:numPr>
    </w:pPr>
  </w:style>
  <w:style w:type="paragraph" w:customStyle="1" w:styleId="Bullet1">
    <w:name w:val="Bullet 1"/>
    <w:basedOn w:val="Normal"/>
    <w:pPr>
      <w:numPr>
        <w:numId w:val="36"/>
      </w:numPr>
    </w:pPr>
  </w:style>
  <w:style w:type="paragraph" w:customStyle="1" w:styleId="Bullet2">
    <w:name w:val="Bullet 2"/>
    <w:basedOn w:val="Normal"/>
    <w:pPr>
      <w:numPr>
        <w:numId w:val="37"/>
      </w:numPr>
    </w:pPr>
  </w:style>
  <w:style w:type="paragraph" w:customStyle="1" w:styleId="Bullet3">
    <w:name w:val="Bullet 3"/>
    <w:basedOn w:val="Normal"/>
    <w:pPr>
      <w:numPr>
        <w:numId w:val="38"/>
      </w:numPr>
    </w:pPr>
  </w:style>
  <w:style w:type="paragraph" w:customStyle="1" w:styleId="Bullet4">
    <w:name w:val="Bullet 4"/>
    <w:basedOn w:val="Normal"/>
    <w:pPr>
      <w:numPr>
        <w:numId w:val="39"/>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0"/>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098337">
      <w:bodyDiv w:val="1"/>
      <w:marLeft w:val="0"/>
      <w:marRight w:val="0"/>
      <w:marTop w:val="0"/>
      <w:marBottom w:val="0"/>
      <w:divBdr>
        <w:top w:val="none" w:sz="0" w:space="0" w:color="auto"/>
        <w:left w:val="none" w:sz="0" w:space="0" w:color="auto"/>
        <w:bottom w:val="none" w:sz="0" w:space="0" w:color="auto"/>
        <w:right w:val="none" w:sz="0" w:space="0" w:color="auto"/>
      </w:divBdr>
    </w:div>
    <w:div w:id="37200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AA0F7F8A-235E-4615-A7F1-D43E1C4A3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2</TotalTime>
  <Pages>8</Pages>
  <Words>2608</Words>
  <Characters>15180</Characters>
  <Application>Microsoft Office Word</Application>
  <DocSecurity>0</DocSecurity>
  <Lines>276</Lines>
  <Paragraphs>94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21</cp:revision>
  <dcterms:created xsi:type="dcterms:W3CDTF">2020-09-04T21:19:00Z</dcterms:created>
  <dcterms:modified xsi:type="dcterms:W3CDTF">2020-09-07T09:29:00Z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7.0.8.0</vt:lpwstr>
  </property>
  <property fmtid="{D5CDD505-2E9C-101B-9397-08002B2CF9AE}" pid="4" name="Last edited using">
    <vt:lpwstr>LW 7.0, Build 20190717</vt:lpwstr>
  </property>
  <property fmtid="{D5CDD505-2E9C-101B-9397-08002B2CF9AE}" pid="5" name="Created using">
    <vt:lpwstr>LW 7.0, Build 20190717</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SJ-020</vt:lpwstr>
  </property>
  <property fmtid="{D5CDD505-2E9C-101B-9397-08002B2CF9AE}" pid="10" name="DQCStatus">
    <vt:lpwstr>Green (DQC version 03)</vt:lpwstr>
  </property>
  <property name="OP_sanitized" fmtid="{D5CDD505-2E9C-101B-9397-08002B2CF9AE}" pid="11">
    <vt:lpwstr>True</vt:lpwstr>
  </property>
</Properties>
</file>