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28FE8B2F-B55F-4A88-9BFC-A1DF7AFE5F84" style="width:450.65pt;height:352.65pt">
            <v:imagedata r:id="rId9" o:title=""/>
          </v:shape>
        </w:pict>
      </w:r>
    </w:p>
    <w:p>
      <w:pPr>
        <w:pStyle w:val="Pagedecouverture"/>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ΑΙΤΙΟΛΟΓΙΚΗ ΕΚΘΕΣΗ</w:t>
      </w:r>
    </w:p>
    <w:p>
      <w:pPr>
        <w:pStyle w:val="ManualHeading1"/>
        <w:rPr>
          <w:noProof/>
        </w:rPr>
      </w:pPr>
      <w:r>
        <w:rPr>
          <w:noProof/>
        </w:rPr>
        <w:t>1.</w:t>
      </w:r>
      <w:r>
        <w:rPr>
          <w:noProof/>
        </w:rPr>
        <w:tab/>
        <w:t>ΠΛΑΙΣΙΟ ΤΗΣ ΠΡΟΤΑΣΗΣ</w:t>
      </w:r>
    </w:p>
    <w:p>
      <w:pPr>
        <w:pStyle w:val="ManualHeading2"/>
        <w:rPr>
          <w:rFonts w:eastAsia="Arial Unicode MS"/>
          <w:noProof/>
        </w:rPr>
      </w:pPr>
      <w:r>
        <w:rPr>
          <w:noProof/>
          <w:u w:color="000000"/>
          <w:bdr w:val="nil"/>
        </w:rPr>
        <w:t>•</w:t>
      </w:r>
      <w:r>
        <w:rPr>
          <w:noProof/>
        </w:rPr>
        <w:tab/>
        <w:t>Αιτιολόγηση και στόχοι της πρότασης</w:t>
      </w:r>
    </w:p>
    <w:p>
      <w:pPr>
        <w:rPr>
          <w:noProof/>
        </w:rPr>
      </w:pPr>
      <w:r>
        <w:rPr>
          <w:noProof/>
        </w:rPr>
        <w:t>Η Επιτροπή προτείνει να αξιοποιηθεί πλήρως ο προϋπολογισμός της ΕΕ με στόχο την κινητοποίηση επενδύσεων και την επίσπευση χρηματοδοτικής στήριξης κατά τα κρίσιμα πρώτα χρόνια της ανάκαμψης. Οι προτάσεις αυτές βασίζονται σε τρεις πυλώνες:</w:t>
      </w:r>
    </w:p>
    <w:p>
      <w:pPr>
        <w:pStyle w:val="Bullet0"/>
        <w:numPr>
          <w:ilvl w:val="0"/>
          <w:numId w:val="17"/>
        </w:numPr>
        <w:tabs>
          <w:tab w:val="clear" w:pos="850"/>
        </w:tabs>
        <w:ind w:left="426" w:hanging="426"/>
        <w:rPr>
          <w:noProof/>
        </w:rPr>
      </w:pPr>
      <w:r>
        <w:rPr>
          <w:noProof/>
        </w:rPr>
        <w:t>αύξηση των ανώτατων ορίων του πολυετούς δημοσιονομικού πλαισίου 2014-2020, ώστε να καταστεί δυνατή η άμεση εφαρμογή μέτρων εντός και εκτός της Ένωσης για την αντιμετώπιση των επιπτώσεων της πανδημίας COVID-19·</w:t>
      </w:r>
    </w:p>
    <w:p>
      <w:pPr>
        <w:pStyle w:val="Bullet0"/>
        <w:tabs>
          <w:tab w:val="clear" w:pos="850"/>
        </w:tabs>
        <w:ind w:left="426" w:hanging="426"/>
        <w:rPr>
          <w:noProof/>
        </w:rPr>
      </w:pPr>
      <w:r>
        <w:rPr>
          <w:noProof/>
        </w:rPr>
        <w:t>ένα Ευρωπαϊκό Μέσο Ανάκαμψης επείγοντος χαρακτήρα ως έκτακτο μέτρο, βάσει του άρθρου 122 της ΣΛΕΕ, η χρηματοδότηση του οποίου θα βασίζεται σε εξουσιοδότηση που προβλέπεται στην πρόταση απόφασης για τους ιδίους πόρους. Τα κεφάλαια θα επιτρέψουν την εφαρμογή μέτρων ταχείας δράσης για την προστασία των μέσων βιοπορισμού, την αύξηση της πρόληψης και την ενίσχυση της ανθεκτικότητας και της ανάκαμψης ως απάντηση στην κρίση·</w:t>
      </w:r>
    </w:p>
    <w:p>
      <w:pPr>
        <w:pStyle w:val="Bullet0"/>
        <w:tabs>
          <w:tab w:val="clear" w:pos="850"/>
        </w:tabs>
        <w:ind w:left="426" w:hanging="426"/>
        <w:rPr>
          <w:noProof/>
        </w:rPr>
      </w:pPr>
      <w:r>
        <w:rPr>
          <w:noProof/>
        </w:rPr>
        <w:t>ένα ενισχυμένο πολυετές δημοσιονομικό πλαίσιο για την περίοδο 2021-2027.</w:t>
      </w:r>
    </w:p>
    <w:p>
      <w:pPr>
        <w:rPr>
          <w:noProof/>
        </w:rPr>
      </w:pPr>
      <w:r>
        <w:rPr>
          <w:noProof/>
        </w:rPr>
        <w:t xml:space="preserve">Στο πλαίσιο αυτό, η Επιτροπή προτείνει την αντιμετώπιση των αρνητικών κοινωνικοοικονομικών συνεπειών της πανδημίας Covid-19 σε εργαζομένους, νοικοκυριά και επιχειρήσεις της Ένωσης. Πολλές ευρωπαϊκές επιχειρήσεις ήδη αντιμετωπίζουν προβλήματα φερεγγυότητας λόγω της κρίσης και οι δυσκολίες αναμένεται να οξυνθούν όσο οι περιορισμοί στις οικονομικές και κοινωνικές δραστηριότητες βρίσκονται σε ισχύ, ενώ οι κανόνες αποστασιοποίησης θα εξακολουθήσουν να επηρεάζουν τις επιχειρηματικές δραστηριότητες σε πολλούς τομείς. Οι δυσκολίες ενδέχεται να είναι διαρκείας και να επιμείνουν και μετά τα τρέχοντα περιοριστικά μέτρα και να καταστήσουν βαθύτερες τις υφιστάμενες οικονομικές ανισότητες μεταξύ και εντός των κρατών μελών.  </w:t>
      </w:r>
    </w:p>
    <w:p>
      <w:pPr>
        <w:rPr>
          <w:rFonts w:ascii="Arial" w:hAnsi="Arial" w:cs="Arial"/>
          <w:noProof/>
          <w:sz w:val="20"/>
          <w:szCs w:val="20"/>
        </w:rPr>
      </w:pPr>
      <w:r>
        <w:rPr>
          <w:noProof/>
        </w:rPr>
        <w:t>Είναι δύσκολο να υπολογιστούν αριθμητικά με ακρίβεια οι ανάγκες αποκατάστασης κεφαλαίων, που έχουν προκύψει από τις οικονομικές επιπτώσεις της πανδημίας Covid-19. Οι εκτιμήσεις της Επιτροπής, που απορρέουν από δεδομένα σε επίπεδο επιχειρήσεων, υποδεικνύουν ότι οι ανάγκες αυτές θα μπορούσαν να ανέρχονται σε 720 δισ. EUR για το 2020 σε περίπτωση πραγμάτωσης του βασικού σεναρίου στο οποίο στηρίζονται οι εαρινές προβλέψεις. Θα μπορούσαν να αυξηθούν σημαντικά σε περίπτωση που τα περιοριστικά μέτρα χρειαστεί είτε να παραμείνουν σε ισχύ για διάστημα μεγαλύτερο από το προβλεπόμενο στις εαρινές προβλέψεις είτε να επιβληθούν εκ νέου λόγω αναζωπύρωσης της έξαρσης της νόσου. Σύμφωνα με ένα σενάριο ακραίων καταστάσεων, το οποίο προβλέπει μείωση του ΑΕΠ κατά -15,5 % για το 2020, ο άμεσος αντίκτυπος στο μετοχικό κεφάλαιο όλων των ανώνυμων εταιρειών (εισηγμένων και μη) στην ΕΕ των 27 θα ανερχόταν σε 1,2 τρισ. EUR. Αυτά τα κεφαλαιακά ελλείμματα, αν δεν αντιμετωπιστούν, μπορούν να οδηγήσουν σε παρατεταμένη περίοδο συρρίκνωσης των επενδύσεων και αύξησης της ανεργίας. Ο αντίκτυπος των κεφαλαιακών ελλειμμάτων θα είναι ανομοιόμορφος μεταξύ τομέων, περιφερειών, βιομηχανικών οικοσυστημάτων και κρατών μελών, με αποτέλεσμα να δημιουργηθούν αποκλίσεις στην ενιαία αγορά. Γενικά, τα περισσότερα ευρωπαϊκά βιομηχανικά οικοσυστήματα στηρίζονται σε πολύπλοκες αλυσίδες εφοδιασμού που εξαπλώνονται σε όλα τα κράτη μέλη στην ενιαία αγορά.</w:t>
      </w:r>
    </w:p>
    <w:p>
      <w:pPr>
        <w:rPr>
          <w:noProof/>
          <w:szCs w:val="24"/>
        </w:rPr>
      </w:pPr>
      <w:r>
        <w:rPr>
          <w:noProof/>
        </w:rPr>
        <w:t>Στην κατάσταση αυτή έρχεται να προστεθεί το γεγονός ότι η ικανότητα των κρατών μελών να παρέχουν κρατική ενίσχυση διαφέρει σημαντικά.</w:t>
      </w:r>
    </w:p>
    <w:p>
      <w:pPr>
        <w:rPr>
          <w:noProof/>
        </w:rPr>
      </w:pPr>
      <w:r>
        <w:rPr>
          <w:noProof/>
        </w:rPr>
        <w:lastRenderedPageBreak/>
        <w:t>Η παρούσα πρόταση εισηγείται τη δημιουργία ενός προσωρινού μέσου μετοχικού τύπου, για το οποίο η επενδυτική περίοδος που σχετίζεται με το σκέλος στήριξης της φερεγγυότητας λήγει γενικά στο τέλος του 2024 όσον αφορά τις εγκρίσεις από την Επιτροπή Επενδύσεων και τα διοικητικά όργανα της ΕΤΕπ/του ΕΤΕ και στο τέλος του 2026 όσον αφορά την υπογραφή των πράξεων. Σύμφωνα με την παρούσα πρόταση, οι επιχειρήσεις που πρέπει να στηριχθούν είναι εκείνες των οποίων το επιχειρηματικό μοντέλο είναι κατά τα άλλα βιώσιμο, όμως αντιμετωπίζουν προβλήματα φερεγγυότητας λόγω της κρίσης της Covid-19. Σκοπός είναι να βοηθηθούν ώστε να αντεπεξέλθουν στη δύσκολη αυτή συγκυρία και να γίνουν φορείς ανάκαμψης όταν οι συνθήκες το επιτρέψουν.</w:t>
      </w:r>
    </w:p>
    <w:p>
      <w:pPr>
        <w:rPr>
          <w:noProof/>
        </w:rPr>
      </w:pPr>
      <w:r>
        <w:rPr>
          <w:noProof/>
        </w:rPr>
        <w:t>Ένας άλλος στόχος της πρότασης είναι η αντιστάθμιση των αναμενόμενων στρεβλώσεων στην ενιαία αγορά, δεδομένου ότι ορισμένα κράτη μέλη μπορεί να μην διαθέτουν επαρκή δημοσιονομικά μέσα για να παρέχουν κατάλληλη στήριξη στις επιχειρήσεις που την έχουν ανάγκη. Συνεπώς, η διαθεσιμότητα εθνικών μέτρων για τη στήριξη της φερεγγυότητας των επιχειρήσεων μπορεί να διαφέρει σημαντικά μεταξύ των κρατών μελών και να προκαλέσει άνισους όρους ανταγωνισμού. Επιπλέον, καθώς υπάρχει σημαντικός κίνδυνος οι επιπτώσεις της νόσου COVID-19 να είναι μακροχρόνιες, αυτή η έλλειψη ικανότητας να βοηθηθούν βιώσιμες επιχειρήσεις μπορεί να οδηγήσει σε συστημικές στρεβλώσεις, δημιουργώντας νέες ή παγιώνοντας υφιστάμενες ανισότητες. Δεδομένης της ισχυρής διασύνδεσης της ευρωπαϊκής οικονομίας, η οικονομική επιβράδυνση σε ένα τμήμα της ΕΕ θα είχε αρνητικές δευτερογενείς επιπτώσεις στις διασυνοριακές αλυσίδες εφοδιασμού και στην οικονομία της ΕΕ συνολικά. Αντιστρόφως, για τον ίδιο λόγο, η στήριξη σε ένα τμήμα της ΕΕ θα είχε επίσης θετικές δευτερογενείς επιπτώσεις στις διασυνοριακές αλυσίδες εφοδιασμού και στην οικονομία της ΕΕ συνολικά.</w:t>
      </w:r>
    </w:p>
    <w:p>
      <w:pPr>
        <w:rPr>
          <w:noProof/>
        </w:rPr>
      </w:pPr>
      <w:r>
        <w:rPr>
          <w:noProof/>
        </w:rPr>
        <w:t>Στο πλαίσιο της οικονομικής επιβράδυνσης που προκαλεί η νόσος Covid-19 και της επακόλουθης συρρίκνωσης των δημόσιων οικονομικών, σημαντική είναι επίσης η κινητοποίηση ιδιωτικών πόρων για τη στήριξη της φερεγγυότητας των βιώσιμων επιχειρήσεων της Ένωσης στον μέγιστο δυνατό βαθμό.</w:t>
      </w:r>
    </w:p>
    <w:p>
      <w:pPr>
        <w:rPr>
          <w:noProof/>
        </w:rPr>
      </w:pPr>
      <w:r>
        <w:rPr>
          <w:noProof/>
        </w:rPr>
        <w:t>Οι εν λόγω στόχοι θα υλοποιηθούν με την παροχή εγγύησης της Ένωσης στην Ευρωπαϊκή Τράπεζα Επενδύσεων (ΕΤΕπ) δυνάμει του κανονισμού ΕΤΣΕ</w:t>
      </w:r>
      <w:r>
        <w:rPr>
          <w:rStyle w:val="FootnoteReference"/>
          <w:rFonts w:eastAsia="Arial Unicode MS"/>
          <w:noProof/>
        </w:rPr>
        <w:footnoteReference w:id="2"/>
      </w:r>
      <w:r>
        <w:rPr>
          <w:noProof/>
        </w:rPr>
        <w:t xml:space="preserve">. Η στήριξη της φερεγγυότητας θα αποτελεί ένα τρίτο σκέλος στο πλαίσιο του ΕΤΣΕ — το σκέλος στήριξης της φερεγγυότητας — με στόχο την κινητοποίηση ιδιωτικών κεφαλαίων για τη στήριξη της φερεγγυότητας επιλέξιμων εταιρειών. Ο Όμιλος ΕΤΕπ θα αξιοποιεί την εγγύηση της ΕΕ για επενδύσεις κυρίως μέσω διαμεσολαβητών ή για τον περιορισμό του κινδύνου επένδυσης σε επιλέξιμες επιχειρήσεις για τους ιδιώτες επενδυτές, κινητοποιώντας, με τον τρόπο αυτό, ιδιωτικούς πόρους για τη στήριξή τους. Για τον σκοπό αυτό, ο Όμιλος ΕΤΕπ θα επενδύει, θα παρέχει εγγυήσεις ή θα χρηματοδοτεί ταμεία συμμετοχών, φορείς ειδικού σκοπού, επενδυτικές πλατφόρμες, εθνικές αναπτυξιακές τράπεζες ή ιδρύματα ή, εφόσον είναι αναγκαίο, θα ενεργεί μέσω άμεσων επενδύσεων ή άλλων συναφών ρυθμίσεων. </w:t>
      </w:r>
    </w:p>
    <w:p>
      <w:pPr>
        <w:rPr>
          <w:noProof/>
        </w:rPr>
      </w:pPr>
      <w:r>
        <w:rPr>
          <w:noProof/>
        </w:rPr>
        <w:t>Η παρούσα πρόταση εντάσσεται στη συνολική πρωτοβουλία ανάκαμψης που ανακοίνωσε η Επιτροπή. Είναι σημαντικό ένα τέτοιο μέσο να τεθεί σε εφαρμογή όσο το δυνατόν συντομότερα εντός του 2020, το αργότερο μέχρι τις αρχές Οκτωβρίου του 2020, και να λειτουργεί σε πλήρη δυναμικότητα κατά τη διάρκεια του 2021.</w:t>
      </w:r>
    </w:p>
    <w:p>
      <w:pPr>
        <w:rPr>
          <w:noProof/>
        </w:rPr>
      </w:pPr>
      <w:r>
        <w:rPr>
          <w:noProof/>
        </w:rPr>
        <w:lastRenderedPageBreak/>
        <w:t xml:space="preserve">Το Μέσο Στήριξης της Φερεγγυότητας θα είναι ανοιχτό σε όλα τα κράτη μέλη και σε όλους τους τομείς που υπάγονται στον κανονισμό ΕΤΣΕ, με έμφαση στα κράτη μέλη των οποίων οι οικονομίες επλήγησαν περισσότερο από τις επιπτώσεις της πανδημίας Covid-19 και/ή στα οποία η διαθεσιμότητα κρατικής στήριξης της φερεγγυότητας είναι περισσότερο περιορισμένη. Σκοπός είναι η παροχή συνδρομής για την αποκατάσταση της βιωσιμότητας των επιχειρήσεων και την απελευθέρωση του αναπτυξιακού δυναμικού τους, καθώς και η παράλληλη συμβολή στην επίτευξη ενωσιακών προτεραιοτήτων, όπως η πράσινη και η ψηφιακή μετάβαση ή η στήριξη της διασυνοριακής δραστηριότητας στην Ένωση και η ενίσχυση της κοινωνικής διάστασης και της σύγκλισης της Ένωσης. Θα υπάρχει διαθέσιμη στήριξη προς όφελος όλων των στόχων του κανονισμού. </w:t>
      </w:r>
    </w:p>
    <w:p>
      <w:pPr>
        <w:rPr>
          <w:noProof/>
        </w:rPr>
      </w:pPr>
      <w:r>
        <w:rPr>
          <w:noProof/>
        </w:rPr>
        <w:t>Προκειμένου να συνδράμουν στη σταδιακή ανάπτυξη του Μέσου, τα κράτη μέλη μπορούν i) να δημιουργήσουν εθνικούς φορείς ειδικού σκοπού οι οποίοι θα μπορούν να αιτηθούν στήριξη υπό το σκέλος στήριξης της φερεγγυότητας, ii) να επενδύσουν σύμφωνα με τους κανόνες κρατικών ενισχύσεων παράλληλα με την εγγύηση ή την επένδυση του Ομίλου ΕΤΕπ είτε άμεσα είτε μέσω εθνικής αναπτυξιακής τράπεζας ή ιδρύματος σε ταμεία ή φορείς ειδικού σκοπού, και iii) να διευκολύνουν τη δημιουργία ταμείων συμμετοχών ή φορέων ειδικού σκοπού σε συνεργασία με θεσμικούς επενδυτές.</w:t>
      </w:r>
    </w:p>
    <w:p>
      <w:pPr>
        <w:rPr>
          <w:noProof/>
        </w:rPr>
      </w:pPr>
      <w:r>
        <w:rPr>
          <w:noProof/>
        </w:rPr>
        <w:t>Η Επιτροπή θα πρέπει να μπορεί να συμμετέχει σε πιθανή αύξηση κεφαλαίου (σε έναν ή περισσότερους γύρους) του Ευρωπαϊκού Ταμείου Επενδύσεων (ΕΤΕ), το οποίο θα διαδραματίσει καίριο ρόλο στη στήριξη της οικονομικής ανάκαμψης μέσω της έκδοσης εγγυήσεων, της ανάληψης πράξεων τιτλοποίησης και της στήριξης επενδύσεων μετοχικού κεφαλαίου σε ολόκληρη την Ένωση. Χρηματοδοτικό κονδύλιο ύψους έως 500 000 000 EUR θα πρέπει να δεσμευθεί στο αναθεωρημένο πολυετές δημοσιονομικό πλαίσιο για την τρέχουσα περίοδο, ώστε η Ένωση, εκπροσωπούμενη από την Επιτροπή, να είναι σε θέση να διατηρήσει το συνολικό μερίδιό της στο κεφάλαιο του ΕΤΕ.</w:t>
      </w:r>
    </w:p>
    <w:p>
      <w:pPr>
        <w:rPr>
          <w:noProof/>
        </w:rPr>
      </w:pPr>
      <w:r>
        <w:rPr>
          <w:noProof/>
        </w:rPr>
        <w:t>Η δομή διακυβέρνησης του ΕΤΣΕ θα διατηρηθεί και θα εφαρμοστεί στο τρίτο σκέλος. Στο πλαίσιο του σκέλους στήριξης της φερεγγυότητας, η Επιτροπή Επενδύσεων θα εγκρίνει κάθε χρηματοδοτική ή επενδυτική πράξη της ΕΤΕπ, ήτοι θα αποφασίζει σχετικά με τη χορήγηση εγγύησης της ΕΕ για χρηματοδότηση, εγγύηση ή επένδυση σε ταμείο, φορέα ειδικού σκοπού, εθνική αναπτυξιακή τράπεζα ή ίδρυμα ή άλλο φορέα. Για τις πράξεις που πρόκειται να εκτελεστούν από το ΕΤΕ, ζητείται η γνώμη της Επιτροπής Επενδύσεων για τα χρηματοπιστωτικά προϊόντα που έχουν εγκρίνει το διοικητικό συμβούλιο και ο διευθύνων σύμβουλος, βάσει των οποίων το ΕΤΕ θα ολοκληρώσει τις επιμέρους πράξεις. Οι μεμονωμένες αποφάσεις για την επιλογή των επιχειρήσεων που θα τυγχάνουν στήριξης μέσω διαμεσολαβητών θα λαμβάνονται από τον διαχειριστή του ταμείου ή του φορέα σύμφωνα με τα κριτήρια που προβλέπει ο κανονισμός ΕΤΣΕ και τις συναφείς συμβατικές ρυθμίσεις που συνάπτονται με την ΕΤΕπ. Η Επιτροπή Επενδύσεων μπορεί επίσης να διατηρεί το δικαίωμα έγκρισης υποκείμενων επιμέρους πράξεων σύμφωνα με τον κανονισμό ΕΤΣΕ σε περίπτωση χρηματοδοτικών ή επενδυτικών πράξεων της ΕΤΕπ. Τα κράτη μέλη δεν εμπλέκονται στη λήψη αποφάσεων σχετικά με τη χορήγηση της εγγύησης της ΕΕ. Μόλις η Επιτροπή Επενδύσεων δυνάμει του προτεινόμενου κανονισμού InvestEU</w:t>
      </w:r>
      <w:r>
        <w:rPr>
          <w:rStyle w:val="FootnoteReference"/>
          <w:rFonts w:eastAsia="Arial Unicode MS"/>
          <w:noProof/>
        </w:rPr>
        <w:footnoteReference w:id="3"/>
      </w:r>
      <w:r>
        <w:rPr>
          <w:noProof/>
        </w:rPr>
        <w:t xml:space="preserve"> αναλάβει τα καθήκοντά της, θα ασκεί τις αρμοδιότητες της Επιτροπής Επενδύσεων δυνάμει του κανονισμού ΕΤΣΕ.</w:t>
      </w:r>
    </w:p>
    <w:p>
      <w:pPr>
        <w:rPr>
          <w:noProof/>
        </w:rPr>
      </w:pPr>
      <w:r>
        <w:rPr>
          <w:noProof/>
        </w:rPr>
        <w:t>Σύμφωνα με τον ισχύοντα κανονισμό ΕΤΣΕ, δεν προβλέπεται η καθιέρωση γεωγραφικών ποσοστώσεων. Ο στόχος της δράσης για το κλίμα διατηρείται.</w:t>
      </w:r>
    </w:p>
    <w:p>
      <w:pPr>
        <w:rPr>
          <w:noProof/>
        </w:rPr>
      </w:pPr>
      <w:r>
        <w:rPr>
          <w:noProof/>
        </w:rPr>
        <w:lastRenderedPageBreak/>
        <w:t>Ωστόσο, το διοικητικό συμβούλιο θα καθορίσει συγκεκριμένα όρια γεωγραφικής συγκέντρωσης για το σκέλος στήριξης της φερεγγυότητας, σύμφωνα με τις αρχές του παρόντος κανονισμού, ώστε να εξασφαλίζεται, αντίστοιχα, ότι το μεγαλύτερο τμήμα της εγγύησης της ΕΕ υπό το μέσο στήριξης της φερεγγυότητας στηρίζει επιλέξιμες επιχειρήσεις σε κράτη μέλη και τομείς που επλήγησαν οικονομικά περισσότερο από την πανδημία Covid-19 και ότι το μεγαλύτερο τμήμα της εν λόγω εγγύησης στηρίζει επιλέξιμες επιχειρήσεις στα κράτη μέλη στα οποία η διαθεσιμότητα κρατικής στήριξης της φερεγγυότητας είναι περισσότερο περιορισμένη. Με τον τρόπο αυτό, θα διασφαλίζεται ότι η εγγύηση της ΕΕ κατευθύνεται με ευελιξία ανάλογα με τις ανάγκες. Τα όρια μπορούν να επικαιροποιούνται συν τω χρόνω ενόψει των επιπτώσεων της Covid-19, ώστε να αποφεύγεται η συγκέντρωση της στήριξης από το Μέσο σε περιορισμένο αριθμό κρατών μελών.</w:t>
      </w:r>
    </w:p>
    <w:p>
      <w:pPr>
        <w:rPr>
          <w:noProof/>
        </w:rPr>
      </w:pPr>
      <w:r>
        <w:rPr>
          <w:noProof/>
        </w:rPr>
        <w:t>Το Μέσο Στήριξης της Φερεγγυότητας θα στηρίζει επιχειρήσεις εντός της Ένωσης οι οποίες, μολονότι βιώσιμες, μπορεί να διατρέχουν κίνδυνο φερεγγυότητας λόγω της οικονομικής κρίσης που προκαλείται από την πανδημία Covid-19 (με την εξαίρεση των επιχειρήσεων που θεωρούνταν προβληματικές υπό όρους κρατικών ενισχύσεων</w:t>
      </w:r>
      <w:r>
        <w:rPr>
          <w:rStyle w:val="FootnoteReference"/>
          <w:noProof/>
        </w:rPr>
        <w:footnoteReference w:id="4"/>
      </w:r>
      <w:r>
        <w:rPr>
          <w:noProof/>
        </w:rPr>
        <w:t xml:space="preserve"> στο τέλος του 2019), προκειμένου να τις επαναφέρει σε μια ενισχυμένη βιώσιμη και κερδοφόρα επιχειρηματική πορεία. Περαιτέρω κριτήρια σχετικά με τη χρηματοδότηση μετοχικού κεφαλαίου και την υβριδική χρηματοδότηση αναμένεται ότι θα ορίζονται στις επενδυτικές κατευθυντήριες γραμμές ή θα θεσπίζονται στη συμφωνία εγγυήσεων. Για να αποφευχθεί το ενδεχόμενο επιχειρήσεις που έχουν πρόσβαση σε χρηματοδότηση μέσω συμμετοχής στο κεφάλαιο να επωφελούνται από το Μέσο και για να εξασφαλιστεί η προσθετικότητά του, η χρηματοδότηση μέσω συμμετοχής στο κεφάλαιο θα πρέπει να παρέχεται βάσει εμπορικών όρων ή σύμφωνα με όρους παρόμοιους με εκείνους του προσωρινού πλαισίου για τις κρατικές ενισχύσεις</w:t>
      </w:r>
      <w:r>
        <w:rPr>
          <w:rStyle w:val="FootnoteReference"/>
          <w:noProof/>
        </w:rPr>
        <w:footnoteReference w:id="5"/>
      </w:r>
      <w:r>
        <w:rPr>
          <w:noProof/>
        </w:rPr>
        <w:t xml:space="preserve"> (όπως για την αμοιβή και τη στρατηγική εξόδου), ενώ θα πρέπει να δίνεται η δέουσα προσοχή στην ευρωπαϊκή φύση του Μέσου και να λαμβάνονται υπόψη οι διαφορές μεταξύ των μετοχικών αγορών ανά την Ένωση. Τη δέουσα επιμέλεια των ταμείων ή άλλων ενδιάμεσων φορέων θα αναλαμβάνει η ΕΤΕπ ή το ΕΤΕ σύμφωνα με τους κανόνες και τις διαδικασίες τους και με τους στόχους του σκέλους στήριξης της φερεγγυότητας, ενώ τη δέουσα επιμέλεια των υποκείμενων επιχειρήσεων θα αναλαμβάνουν τα ταμεία ή οι λοιποί φορείς.</w:t>
      </w:r>
    </w:p>
    <w:p>
      <w:pPr>
        <w:rPr>
          <w:rFonts w:ascii="&amp;quot" w:hAnsi="&amp;quot"/>
          <w:noProof/>
          <w:sz w:val="21"/>
          <w:szCs w:val="21"/>
        </w:rPr>
      </w:pPr>
      <w:r>
        <w:rPr>
          <w:noProof/>
        </w:rPr>
        <w:t>Τα ενδιάμεσα ταμεία ή οι ενδιάμεσοι φορείς θα είναι εγκατεστημένοι εντός της Ένωσης.</w:t>
      </w:r>
      <w:r>
        <w:rPr>
          <w:rFonts w:ascii="&amp;quot" w:hAnsi="&amp;quot"/>
          <w:noProof/>
          <w:sz w:val="21"/>
          <w:szCs w:val="21"/>
        </w:rPr>
        <w:t xml:space="preserve"> </w:t>
      </w:r>
    </w:p>
    <w:p>
      <w:pPr>
        <w:pStyle w:val="ManualHeading2"/>
        <w:rPr>
          <w:rFonts w:eastAsia="Arial Unicode MS"/>
          <w:noProof/>
          <w:u w:color="000000"/>
          <w:bdr w:val="nil"/>
        </w:rPr>
      </w:pPr>
      <w:r>
        <w:rPr>
          <w:noProof/>
          <w:u w:color="000000"/>
          <w:bdr w:val="nil"/>
        </w:rPr>
        <w:t>•</w:t>
      </w:r>
      <w:r>
        <w:rPr>
          <w:noProof/>
        </w:rPr>
        <w:tab/>
        <w:t>Συνέπεια με τις ισχύουσες διατάξεις στον τομέα πολιτικής</w:t>
      </w:r>
    </w:p>
    <w:p>
      <w:pPr>
        <w:rPr>
          <w:noProof/>
        </w:rPr>
      </w:pPr>
      <w:r>
        <w:rPr>
          <w:noProof/>
        </w:rPr>
        <w:t xml:space="preserve">Η πρόταση συμπληρώνει την επενδυτική στήριξη και τη πρόσβαση σε χρηματοδότηση που παρέχονται βάσει του κανονισμού ΕΤΣΕ και του προτεινόμενου κανονισμού InvestEU για το πολυετές δημοσιονομικό πλαίσιο της περιόδου 2021-2027 με την παροχή στήριξης σε επιχειρήσεις, οι οποίες διαθέτουν βιώσιμο επιχειρηματικό μοντέλο όμως ενδέχεται να αντιμετωπίζουν ζητήματα φερεγγυότητας λόγω της κρίσης της Covid-19. Το Μέσο Στήριξης της Φερεγγυότητας επιτρέπει στις εν λόγω επιχειρήσεις να εξέλθουν αλώβητες από την κρίση μέσα από την προσωρινή στήριξη της φερεγγυότητάς τους. </w:t>
      </w:r>
    </w:p>
    <w:p>
      <w:pPr>
        <w:pBdr>
          <w:top w:val="nil"/>
          <w:left w:val="nil"/>
          <w:bottom w:val="nil"/>
          <w:right w:val="nil"/>
          <w:between w:val="nil"/>
          <w:bar w:val="nil"/>
        </w:pBdr>
        <w:spacing w:before="0" w:after="240"/>
        <w:rPr>
          <w:rFonts w:eastAsia="Arial Unicode MS"/>
          <w:noProof/>
        </w:rPr>
      </w:pPr>
      <w:r>
        <w:rPr>
          <w:noProof/>
        </w:rPr>
        <w:t xml:space="preserve">Το Μέσο Στήριξης της Φερεγγυότητας είναι συμπληρωματικό ως προς άλλα ενωσιακά προγράμματα τα οποία επικεντρώνονται στον μετριασμό των επιπτώσεων της κρίσης της Covid-19 ή στην επανεκκίνηση της οικονομίας καθώς η κρίση της Covid-19 θα αμβλύνεται. Ειδικότερα, συμπληρώνει τη στήριξη προς τις ΜΜΕ που θα παρέχεται μέσω i) της βοήθειας </w:t>
      </w:r>
      <w:r>
        <w:rPr>
          <w:noProof/>
        </w:rPr>
        <w:lastRenderedPageBreak/>
        <w:t>ανάκαμψης για τη συνοχή (REACT-EU), η οποία θα χορηγεί εμπροσθοβαρή στήριξη και για τις ΜΜΕ, και ii) του πανευρωπαϊκού ταμείου εγγυήσεων ως ανταπόκριση στην κρίση της Covid-19, το οποίο δημιουργείται από την ΕΤΕπ υποστηριζόμενο από εγγύηση των κρατών μελών. Επίσης, το σκέλος για τις ΜΜΕ που ενισχύεται βάσει του προγράμματος InvestEU θα παρέχει επιπρόσθετη στήριξη από το 2021.</w:t>
      </w:r>
    </w:p>
    <w:p>
      <w:pPr>
        <w:pStyle w:val="ManualHeading2"/>
        <w:rPr>
          <w:rFonts w:eastAsia="Arial Unicode MS"/>
          <w:noProof/>
        </w:rPr>
      </w:pPr>
      <w:r>
        <w:rPr>
          <w:noProof/>
          <w:u w:color="000000"/>
          <w:bdr w:val="nil"/>
        </w:rPr>
        <w:t>•</w:t>
      </w:r>
      <w:r>
        <w:rPr>
          <w:noProof/>
        </w:rPr>
        <w:tab/>
        <w:t>Συνέπεια με άλλες πολιτικές της Ένωσης</w:t>
      </w:r>
    </w:p>
    <w:p>
      <w:pPr>
        <w:pBdr>
          <w:top w:val="nil"/>
          <w:left w:val="nil"/>
          <w:bottom w:val="nil"/>
          <w:right w:val="nil"/>
          <w:between w:val="nil"/>
          <w:bar w:val="nil"/>
        </w:pBdr>
        <w:spacing w:before="0" w:after="240"/>
        <w:rPr>
          <w:rFonts w:eastAsia="Arial Unicode MS"/>
          <w:noProof/>
        </w:rPr>
      </w:pPr>
      <w:r>
        <w:rPr>
          <w:noProof/>
        </w:rPr>
        <w:t>Το μέσο στήριξης της φερεγγυότητας συνάδει με τις συναφείς πολιτικές της Ένωσης, όπως η Ευρωπαϊκή Πράσινη Συμφωνία, το επενδυτικό σχέδιο «Βιώσιμη Ευρώπη» και οι τομεακές πολιτικές που σχετίζονται με τη στήριξη των επενδύσεων.</w:t>
      </w:r>
    </w:p>
    <w:p>
      <w:pPr>
        <w:pBdr>
          <w:top w:val="nil"/>
          <w:left w:val="nil"/>
          <w:bottom w:val="nil"/>
          <w:right w:val="nil"/>
          <w:between w:val="nil"/>
          <w:bar w:val="nil"/>
        </w:pBdr>
        <w:spacing w:before="0" w:after="240"/>
        <w:rPr>
          <w:rFonts w:eastAsia="Arial Unicode MS"/>
          <w:noProof/>
        </w:rPr>
      </w:pPr>
      <w:r>
        <w:rPr>
          <w:noProof/>
        </w:rPr>
        <w:t>Οι όροι των χρηματοδοτικών και επενδυτικών πράξεων υπό το σκέλος στήριξης της φερεγγυότητας θα πρέπει να συνάδουν με τους κανόνες κρατικών ενισχύσεων, ώστε να διασφαλίζονται ισότιμοι όροι ανταγωνισμού και να διευκολύνονται οι πιθανοί συνδυασμοί με τη στήριξη που παρέχεται απευθείας από τα κράτη μέλη. Επιπροσθέτως, η δέουσα προσοχή δίδεται τόσο στην ευρωπαϊκή φύση του Μέσου Στήριξης της Φερεγγυότητας όσο και στην ανεξάρτητη διαχείριση των ταμείων και λοιπών φορέων.</w:t>
      </w:r>
    </w:p>
    <w:p>
      <w:pPr>
        <w:pBdr>
          <w:top w:val="nil"/>
          <w:left w:val="nil"/>
          <w:bottom w:val="nil"/>
          <w:right w:val="nil"/>
          <w:between w:val="nil"/>
          <w:bar w:val="nil"/>
        </w:pBdr>
        <w:spacing w:before="0" w:after="240"/>
        <w:rPr>
          <w:rFonts w:eastAsia="Arial Unicode MS"/>
          <w:noProof/>
        </w:rPr>
      </w:pPr>
      <w:r>
        <w:rPr>
          <w:noProof/>
        </w:rPr>
        <w:t>Η εγγύηση της ΕΕ θα ρυθμίζεται κατά τρόπο ώστε να αποφεύγεται τυχόν αθέμιτη νόθευση του ανταγωνισμού, αφού θα περιορίζεται στην αντιμετώπιση της πρόκλησης που συνεπάγεται η αποκατάσταση της κεφαλαιακής θέσης των επιχειρήσεων οι οποίες δεν ήταν προβληματικές πριν από την έξαρση της νόσου Covid-19, αλλά διατρέχουν σημαντικούς κινδύνους φερεγγυότητας λόγω της κρίσης. Επιπλέον, θα προσελκυσθούν ιδιώτες επενδυτές και θα ενθαρρυνθεί η εμφάνιση νέων ταμείων και φορέων. Στις αποφάσεις χρηματοδότησης θα εφαρμόζεται η εμπορική λογική και οι διαχειριστές ανεξάρτητων ταμείων εμπορικού χαρακτήρα θα επιλέγουν επιχειρήσεις με ικανοποιητικές προοπτικές απόδοσης.</w:t>
      </w:r>
    </w:p>
    <w:p>
      <w:pPr>
        <w:pStyle w:val="ManualHeading1"/>
        <w:rPr>
          <w:noProof/>
        </w:rPr>
      </w:pPr>
      <w:r>
        <w:rPr>
          <w:noProof/>
        </w:rPr>
        <w:t>2.</w:t>
      </w:r>
      <w:r>
        <w:rPr>
          <w:noProof/>
        </w:rPr>
        <w:tab/>
        <w:t>ΝΟΜΙΚΗ ΒΑΣΗ, ΕΠΙΚΟΥΡΙΚΟΤΗΤΑ ΚΑΙ ΑΝΑΛΟΓΙΚΟΤΗΤΑ</w:t>
      </w:r>
    </w:p>
    <w:p>
      <w:pPr>
        <w:pStyle w:val="ManualHeading2"/>
        <w:rPr>
          <w:rFonts w:eastAsia="Arial Unicode MS"/>
          <w:noProof/>
          <w:u w:color="000000"/>
          <w:bdr w:val="nil"/>
        </w:rPr>
      </w:pPr>
      <w:r>
        <w:rPr>
          <w:noProof/>
          <w:u w:color="000000"/>
          <w:bdr w:val="nil"/>
        </w:rPr>
        <w:t>•</w:t>
      </w:r>
      <w:r>
        <w:rPr>
          <w:noProof/>
        </w:rPr>
        <w:tab/>
      </w:r>
      <w:r>
        <w:rPr>
          <w:noProof/>
          <w:u w:color="000000"/>
          <w:bdr w:val="nil"/>
        </w:rPr>
        <w:t>Νομική βάση</w:t>
      </w:r>
    </w:p>
    <w:p>
      <w:pPr>
        <w:rPr>
          <w:noProof/>
        </w:rPr>
      </w:pPr>
      <w:r>
        <w:rPr>
          <w:noProof/>
        </w:rPr>
        <w:t xml:space="preserve"> Η πρόταση τροποποιεί τον κανονισμό ΕΤΣΕ και, συνεπώς, εφαρμόζεται η ίδια νομική βάση.</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Επικουρικότητα </w:t>
      </w:r>
    </w:p>
    <w:p>
      <w:pPr>
        <w:rPr>
          <w:noProof/>
        </w:rPr>
      </w:pPr>
      <w:r>
        <w:rPr>
          <w:noProof/>
        </w:rPr>
        <w:t xml:space="preserve">Οι στόχοι της πρότασης δεν είναι δυνατόν να επιτευχθούν επαρκώς από τα κράτη μέλη και δύνανται να επιτευχθούν καλύτερα σε επίπεδο Ένωσης. Δεδομένων των διαφορών στη δημοσιονομική ικανότητα των κρατών μελών να λάβουν μέτρα, η ανάληψη δράσης σε επίπεδο Ένωσης μπορεί να επιτύχει καλύτερα τους επιδιωκόμενους στόχους, λόγω της κλίμακας και των αποτελεσμάτων της. Ειδικότερα, η ανάληψη δράσης σε επίπεδο Ένωσης θα καθιστά εφικτή την αντιστάθμιση των στρεβλώσεων στην εσωτερική αγορά που οφείλονται στη διαφορετική δημοσιονομική ικανότητα των μεμονωμένων κρατών μελών να παρέχουν κρατική ενίσχυση για τη στήριξη της φερεγγυότητας στις επιχειρήσεις τους, και επίσης θα καθιστά εφικτή τη λειτουργία, με λιγότερες διαταραχές, των διασυνδεδεμένων αλυσίδων εφοδιασμού στην εσωτερική αγορά αποτρέποντας την πτώχευση βιώσιμων επιχειρήσεων. Επιπλέον, θα επιτρέψει την επίτευξη οικονομιών κλίμακας, χάρη στη συνδυαστική χρήση της εγγύησης του προϋπολογισμού της Ένωσης και της χρηματοδότησης από τον Όμιλο ΕΤΕπ, μέσα από την κινητοποίηση ιδιωτικών επενδύσεων σε ολόκληρη την Ένωση. </w:t>
      </w:r>
    </w:p>
    <w:p>
      <w:pPr>
        <w:pStyle w:val="ManualHeading2"/>
        <w:rPr>
          <w:rFonts w:eastAsia="Arial Unicode MS"/>
          <w:noProof/>
          <w:u w:color="000000"/>
          <w:bdr w:val="nil"/>
        </w:rPr>
      </w:pPr>
      <w:r>
        <w:rPr>
          <w:noProof/>
          <w:u w:color="000000"/>
          <w:bdr w:val="nil"/>
        </w:rPr>
        <w:t>•</w:t>
      </w:r>
      <w:r>
        <w:rPr>
          <w:noProof/>
        </w:rPr>
        <w:tab/>
      </w:r>
      <w:r>
        <w:rPr>
          <w:noProof/>
          <w:u w:color="000000"/>
          <w:bdr w:val="nil"/>
        </w:rPr>
        <w:t>Αναλογικότητα</w:t>
      </w:r>
    </w:p>
    <w:p>
      <w:pPr>
        <w:rPr>
          <w:noProof/>
        </w:rPr>
      </w:pPr>
      <w:r>
        <w:rPr>
          <w:noProof/>
        </w:rPr>
        <w:t xml:space="preserve">Η πρόταση δεν υπερβαίνει τα αναγκαία όρια για την επίτευξη των επιδιωκόμενων στόχων. Αποσκοπεί στην παροχή στήριξης σε επιχειρήσεις και έργα που υφίστανται οικονομικές συνέπειες λόγω της πανδημίας Covid-19, η οποία πλήττει όλα τα κράτη μέλη. Η </w:t>
      </w:r>
      <w:r>
        <w:rPr>
          <w:noProof/>
        </w:rPr>
        <w:lastRenderedPageBreak/>
        <w:t>κινητοποίηση ιδιωτικών κεφαλαίων για τη στήριξη της φερεγγυότητας σε συνδυασμό με δημόσια κεφάλαια επιτρέπει τη μόχλευση πόρων του προϋπολογισμού με αποδοτικό και αναλογικό τρόπο.</w:t>
      </w:r>
    </w:p>
    <w:p>
      <w:pPr>
        <w:pStyle w:val="ManualHeading1"/>
        <w:rPr>
          <w:noProof/>
        </w:rPr>
      </w:pPr>
      <w:r>
        <w:rPr>
          <w:noProof/>
        </w:rPr>
        <w:t>3.</w:t>
      </w:r>
      <w:r>
        <w:rPr>
          <w:noProof/>
        </w:rPr>
        <w:tab/>
        <w:t>ΑΠΟΤΕΛΕΣΜΑΤΑ ΤΩΝ ΕΚ ΤΩΝ ΥΣΤΕΡΩΝ ΑΞΙΟΛΟΓΗΣΕΩΝ, ΤΩΝ ΔΙΑΒΟΥΛΕΥΣΕΩΝ ΜΕ ΤΑ ΕΝΔΙΑΦΕΡΟΜΕΝΑ ΜΕΡΗ ΚΑΙ ΤΩΝ ΕΚΤΙΜΗΣΕΩΝ ΕΠΙΠΤΩΣΕΩΝ</w:t>
      </w:r>
    </w:p>
    <w:p>
      <w:pPr>
        <w:pStyle w:val="ManualHeading2"/>
        <w:tabs>
          <w:tab w:val="clear" w:pos="850"/>
          <w:tab w:val="left" w:pos="0"/>
        </w:tabs>
        <w:ind w:left="0" w:firstLine="0"/>
        <w:rPr>
          <w:rFonts w:eastAsia="Arial Unicode MS"/>
          <w:b w:val="0"/>
          <w:noProof/>
          <w:u w:color="000000"/>
          <w:bdr w:val="nil"/>
        </w:rPr>
      </w:pPr>
      <w:r>
        <w:rPr>
          <w:b w:val="0"/>
          <w:noProof/>
          <w:u w:color="000000"/>
          <w:bdr w:val="nil"/>
        </w:rPr>
        <w:t xml:space="preserve">Η παρούσα πρόταση εντάσσεται στη δέσμη μέτρων για την αντιμετώπιση των οικονομικών συνεπειών της πανδημίας Covid-19 και αποτελεί μέτρο κατά της κρίσης. </w:t>
      </w:r>
    </w:p>
    <w:p>
      <w:pPr>
        <w:pStyle w:val="ManualHeading2"/>
        <w:rPr>
          <w:noProof/>
          <w:u w:color="000000"/>
          <w:bdr w:val="nil"/>
        </w:rPr>
      </w:pPr>
      <w:r>
        <w:rPr>
          <w:noProof/>
          <w:u w:color="000000"/>
          <w:bdr w:val="nil"/>
        </w:rPr>
        <w:t>•</w:t>
      </w:r>
      <w:r>
        <w:rPr>
          <w:noProof/>
        </w:rPr>
        <w:tab/>
      </w:r>
      <w:r>
        <w:rPr>
          <w:noProof/>
          <w:u w:color="000000"/>
          <w:bdr w:val="nil"/>
        </w:rPr>
        <w:t>Διαβουλεύσεις με τα ενδιαφερόμενα μέρη</w:t>
      </w:r>
    </w:p>
    <w:p>
      <w:pPr>
        <w:pBdr>
          <w:top w:val="nil"/>
          <w:left w:val="nil"/>
          <w:bottom w:val="nil"/>
          <w:right w:val="nil"/>
          <w:between w:val="nil"/>
          <w:bar w:val="nil"/>
        </w:pBdr>
        <w:spacing w:before="0" w:after="240"/>
        <w:rPr>
          <w:rFonts w:eastAsia="Arial Unicode MS"/>
          <w:noProof/>
        </w:rPr>
      </w:pPr>
      <w:r>
        <w:rPr>
          <w:noProof/>
        </w:rPr>
        <w:t>Λόγω της επείγουσας ανάγκης να καταρτιστεί η πρόταση ώστε να εγκριθεί εγκαίρως από το Ευρωπαϊκό Κοινοβούλιο και το Συμβούλιο, δεν ήταν δυνατή η διαβούλευση με τα ενδιαφερόμενα μέρη.</w:t>
      </w:r>
    </w:p>
    <w:p>
      <w:pPr>
        <w:pStyle w:val="ManualHeading2"/>
        <w:rPr>
          <w:noProof/>
          <w:u w:color="000000"/>
          <w:bdr w:val="nil"/>
        </w:rPr>
      </w:pPr>
      <w:r>
        <w:rPr>
          <w:noProof/>
          <w:u w:color="000000"/>
          <w:bdr w:val="nil"/>
        </w:rPr>
        <w:t>•</w:t>
      </w:r>
      <w:r>
        <w:rPr>
          <w:noProof/>
        </w:rPr>
        <w:tab/>
      </w:r>
      <w:r>
        <w:rPr>
          <w:noProof/>
          <w:u w:color="000000"/>
          <w:bdr w:val="nil"/>
        </w:rPr>
        <w:t>Εκτίμηση επιπτώσεων</w:t>
      </w:r>
    </w:p>
    <w:p>
      <w:pPr>
        <w:pBdr>
          <w:top w:val="nil"/>
          <w:left w:val="nil"/>
          <w:bottom w:val="nil"/>
          <w:right w:val="nil"/>
          <w:between w:val="nil"/>
          <w:bar w:val="nil"/>
        </w:pBdr>
        <w:spacing w:before="0" w:after="240"/>
        <w:rPr>
          <w:rFonts w:eastAsia="Arial Unicode MS"/>
          <w:noProof/>
        </w:rPr>
      </w:pPr>
      <w:r>
        <w:rPr>
          <w:noProof/>
        </w:rPr>
        <w:t>Λόγω του επείγοντος χαρακτήρα της πρότασης, δεν διενεργήθηκε εκτίμηση επιπτώσεων.</w:t>
      </w:r>
    </w:p>
    <w:p>
      <w:pPr>
        <w:pStyle w:val="ManualHeading1"/>
        <w:rPr>
          <w:noProof/>
        </w:rPr>
      </w:pPr>
      <w:r>
        <w:rPr>
          <w:noProof/>
          <w:u w:color="000000"/>
          <w:bdr w:val="nil"/>
        </w:rPr>
        <w:t xml:space="preserve"> </w:t>
      </w:r>
      <w:r>
        <w:rPr>
          <w:noProof/>
        </w:rPr>
        <w:t>4.</w:t>
      </w:r>
      <w:r>
        <w:rPr>
          <w:noProof/>
        </w:rPr>
        <w:tab/>
        <w:t>ΔΗΜΟΣΙΟΝΟΜΙΚΕΣ ΕΠΙΠΤΩΣΕΙΣ</w:t>
      </w:r>
    </w:p>
    <w:p>
      <w:pPr>
        <w:rPr>
          <w:noProof/>
        </w:rPr>
      </w:pPr>
      <w:r>
        <w:rPr>
          <w:noProof/>
        </w:rPr>
        <w:t xml:space="preserve">Η εγγύηση της ΕΕ που παρέχεται δυνάμει του κανονισμού ΕΤΣΕ θα αυξηθεί από 26 δισ. EUR σε 92,4 δισ. EUR. Σύμφωνα με την εκτιμώμενη επικινδυνότητα του χαρτοφυλακίου που πρόκειται να δημιουργηθεί υπό το σκέλος στήριξης της φερεγγυότητας, για το μερίδιο της εγγύησης της ΕΕ που θα αποδίδεται στο εν λόγω τρίτο σκέλος εκτιμάται ότι θα απαιτείται τροφοδότηση προβλέψεων σε ποσοστό 50 %, ποσοστό που αποτυπώνει τον υψηλότερο κίνδυνο των στοχευμένων επενδύσεων στην τρέχουσα οικονομική συγκυρία. Επιπλέον, το σημαντικό μέγεθος της εγγύησης της ΕΕ και οι τύποι των προβλεπόμενων παρεμβάσεων υποδεικνύουν επίσης την ανάγκη να ακολουθηθεί συντηρητική προσέγγιση στην τροφοδότηση προβλέψεων. Αυτό σημαίνει ότι η πρόσθετη τροφοδότηση προβλέψεων σε σχέση με την αυξημένη εγγύηση της ΕΕ θα ανέρχεται σε 33,2 δισ. EUR. Συνολικά, το ποσοστό τροφοδότησης του ταμείου εγγυήσεων της ΕΕ θα ανέλθει αντίστοιχα σε 45,8 % επί των συνολικών υποχρεώσεων από την εγγύηση της ΕΕ. Κατά συνέπεια, το ταμείο εγγυήσεων του ΕΤΣΕ θα πρέπει να αυξηθεί κατά 33,2 δισ. EUR και, επομένως, να ανέλθει στο συνολικό ποσό των 42,3 δισ. EUR. </w:t>
      </w:r>
    </w:p>
    <w:p>
      <w:pPr>
        <w:pBdr>
          <w:top w:val="nil"/>
          <w:left w:val="nil"/>
          <w:bottom w:val="nil"/>
          <w:right w:val="nil"/>
          <w:between w:val="nil"/>
          <w:bar w:val="nil"/>
        </w:pBdr>
        <w:spacing w:before="0" w:after="240"/>
        <w:rPr>
          <w:noProof/>
        </w:rPr>
      </w:pPr>
      <w:r>
        <w:rPr>
          <w:noProof/>
        </w:rPr>
        <w:t>Οι πρόσθετοι πόροι θα κινητοποιηθούν μέσω αύξησης των ανώτατων ορίων του πολυετούς δημοσιονομικού πλαισίου 2014-2020 και χρηματοδότησης που θα διατεθεί από το Ευρωπαϊκό Μέσο Ανάκαμψης βάσει εξουσιοδότησης που προβλέπεται στη νέα απόφαση για τους ιδίους πόρους.</w:t>
      </w:r>
    </w:p>
    <w:p>
      <w:pPr>
        <w:pBdr>
          <w:top w:val="nil"/>
          <w:left w:val="nil"/>
          <w:bottom w:val="nil"/>
          <w:right w:val="nil"/>
          <w:between w:val="nil"/>
          <w:bar w:val="nil"/>
        </w:pBdr>
        <w:spacing w:before="0" w:after="240"/>
        <w:rPr>
          <w:noProof/>
        </w:rPr>
      </w:pPr>
      <w:r>
        <w:rPr>
          <w:noProof/>
        </w:rPr>
        <w:t xml:space="preserve">Θα απαιτηθεί ειδικό ποσό ύψους 100 εκατ. EUR για την κάλυψη των δαπανών που συνδέονται με τη δημιουργία και τη διαχείριση των δομών (ταμεία συμμετοχών, φορείς ειδικού σκοπού, επενδυτικές πλατφόρμες και άλλα), μέσω των οποίων θα παρέχεται στήριξη στο πλαίσιο του σκέλους στήριξης της φερεγγυότητας, καθώς και για συναφείς συμβουλευτικές υπηρεσίες και τεχνική βοήθεια, ιδίως για να στηριχθεί ο πράσινος και ο ψηφιακός μετασχηματισμός των επιχειρήσεων που χρηματοδοτούνται από το σκέλος στήριξης της φερεγγυότητας. </w:t>
      </w:r>
    </w:p>
    <w:p>
      <w:pPr>
        <w:pBdr>
          <w:top w:val="nil"/>
          <w:left w:val="nil"/>
          <w:bottom w:val="nil"/>
          <w:right w:val="nil"/>
          <w:between w:val="nil"/>
          <w:bar w:val="nil"/>
        </w:pBdr>
        <w:spacing w:before="0" w:after="240"/>
        <w:rPr>
          <w:noProof/>
        </w:rPr>
      </w:pPr>
      <w:r>
        <w:rPr>
          <w:noProof/>
        </w:rPr>
        <w:t xml:space="preserve">Η συμμετοχή της Ένωσης σε πιθανή προσεχή αύξηση κεφαλαίου (σε έναν ή περισσότερους γύρους) του ΕΤΕ θα χρειαστεί χρηματοδοτικό κονδύλιο ύψους έως 500 εκατ. EUR στο αναθεωρημένο πολυετές δημοσιονομικό πλαίσιο για την τρέχουσα περίοδο. Αυτό αφορά το </w:t>
      </w:r>
      <w:r>
        <w:rPr>
          <w:noProof/>
        </w:rPr>
        <w:lastRenderedPageBreak/>
        <w:t>μερίδιο της Ένωσης στο καταβεβλημένο μέρος της αύξησης κεφαλαίου. Η Ένωση θα πρέπει να είναι σε θέση να διατηρήσει το συνολικό μερίδιό της στο κεφάλαιο του ΕΤΕ.</w:t>
      </w:r>
    </w:p>
    <w:p>
      <w:pPr>
        <w:pBdr>
          <w:top w:val="nil"/>
          <w:left w:val="nil"/>
          <w:bottom w:val="nil"/>
          <w:right w:val="nil"/>
          <w:between w:val="nil"/>
          <w:bar w:val="nil"/>
        </w:pBdr>
        <w:spacing w:before="0" w:after="240"/>
        <w:rPr>
          <w:rFonts w:eastAsia="Arial Unicode MS"/>
          <w:noProof/>
        </w:rPr>
      </w:pPr>
      <w:r>
        <w:rPr>
          <w:noProof/>
        </w:rPr>
        <w:t>Περαιτέρω δημοσιονομικά στοιχεία παρέχονται στο νομοθετικό δημοσιονομικό δελτίο που συνοδεύει την παρούσα πρόταση.</w:t>
      </w:r>
    </w:p>
    <w:p>
      <w:pPr>
        <w:pStyle w:val="ManualHeading1"/>
        <w:rPr>
          <w:noProof/>
        </w:rPr>
      </w:pPr>
      <w:r>
        <w:rPr>
          <w:noProof/>
        </w:rPr>
        <w:t>5.</w:t>
      </w:r>
      <w:r>
        <w:rPr>
          <w:noProof/>
        </w:rPr>
        <w:tab/>
        <w:t>ΛΟΙΠΑ ΣΤΟΙΧΕΙΑ</w:t>
      </w:r>
    </w:p>
    <w:p>
      <w:pPr>
        <w:pStyle w:val="ManualHeading2"/>
        <w:rPr>
          <w:rFonts w:eastAsia="Arial Unicode MS"/>
          <w:noProof/>
          <w:u w:color="000000"/>
          <w:bdr w:val="nil"/>
        </w:rPr>
      </w:pPr>
      <w:r>
        <w:rPr>
          <w:noProof/>
          <w:u w:color="000000"/>
          <w:bdr w:val="nil"/>
        </w:rPr>
        <w:t>•</w:t>
      </w:r>
      <w:r>
        <w:rPr>
          <w:noProof/>
        </w:rPr>
        <w:tab/>
      </w:r>
      <w:r>
        <w:rPr>
          <w:noProof/>
          <w:u w:color="000000"/>
          <w:bdr w:val="nil"/>
        </w:rPr>
        <w:t>Σχέδια εφαρμογής και και ρυθμίσεις παρακολούθησης, αξιολόγησης και υποβολής εκθέσεων</w:t>
      </w:r>
    </w:p>
    <w:p>
      <w:pPr>
        <w:rPr>
          <w:noProof/>
        </w:rPr>
      </w:pPr>
      <w:r>
        <w:rPr>
          <w:noProof/>
        </w:rPr>
        <w:t>Η ΕΤΕπ θα υλοποιεί το Μέσο Στήριξης της Φερεγγυότητας είτε απευθείας είτε μέσω του ΕΤΕ. Οι ρυθμίσεις που θα διέπουν την παρακολούθηση και την υποβολή εκθέσεων θα περιγράφονται στη συμφωνία εγγυήσεων και θα συνάδουν με τις υφιστάμενες απαιτήσεις. Στην παρακολούθηση θα περιλαμβάνονται βασικοί δείκτες επιδόσεων ώστε να καταγράφεται η πρόοδος προς την επίτευξη των στόχων του σκέλους στήριξης της φερεγγυότητας.</w:t>
      </w:r>
    </w:p>
    <w:p>
      <w:pPr>
        <w:pStyle w:val="ManualHeading2"/>
        <w:rPr>
          <w:rFonts w:eastAsia="Arial Unicode MS"/>
          <w:noProof/>
          <w:u w:color="000000"/>
          <w:bdr w:val="nil"/>
        </w:rPr>
      </w:pPr>
      <w:r>
        <w:rPr>
          <w:noProof/>
          <w:u w:color="000000"/>
          <w:bdr w:val="nil"/>
        </w:rPr>
        <w:t>•</w:t>
      </w:r>
      <w:r>
        <w:rPr>
          <w:noProof/>
        </w:rPr>
        <w:tab/>
      </w:r>
      <w:r>
        <w:rPr>
          <w:noProof/>
          <w:u w:color="000000"/>
          <w:bdr w:val="nil"/>
        </w:rPr>
        <w:t>Αναλυτική επεξήγηση των επιμέρους διατάξεων της πρότασης</w:t>
      </w:r>
    </w:p>
    <w:p>
      <w:pPr>
        <w:rPr>
          <w:noProof/>
        </w:rPr>
      </w:pPr>
      <w:r>
        <w:rPr>
          <w:noProof/>
        </w:rPr>
        <w:t>Οι επιμέρους διατάξεις διευκρινίζονται ανά σχετικό κεφάλαιο του κανονισμού ΕΤΣΕ.</w:t>
      </w:r>
    </w:p>
    <w:p>
      <w:pPr>
        <w:rPr>
          <w:b/>
          <w:noProof/>
        </w:rPr>
      </w:pPr>
      <w:r>
        <w:rPr>
          <w:b/>
          <w:noProof/>
        </w:rPr>
        <w:t>Κεφάλαιο II</w:t>
      </w:r>
    </w:p>
    <w:p>
      <w:pPr>
        <w:rPr>
          <w:noProof/>
        </w:rPr>
      </w:pPr>
      <w:r>
        <w:rPr>
          <w:noProof/>
        </w:rPr>
        <w:t>Στο πλαίσιο του ΕΤΣΕ θεσπίζεται ένα τρίτο σκέλος (το σκέλος στήριξης της φερεγγυότητας).</w:t>
      </w:r>
    </w:p>
    <w:p>
      <w:pPr>
        <w:rPr>
          <w:noProof/>
        </w:rPr>
      </w:pPr>
      <w:r>
        <w:rPr>
          <w:noProof/>
        </w:rPr>
        <w:t xml:space="preserve">Τα κριτήρια για τη χρήση της εγγύησης της ΕΕ στο πλαίσιο του σκέλους στήριξης της φερεγγυότητας ορίζουν ότι οι επιχειρήσεις και τα έργα που είναι επιλέξιμα να επωφεληθούν από την εγγύηση της ΕΕ στο πλαίσιο του σκέλους δεν πρέπει να θεωρούνταν προβληματικά υπό όρους κρατικών ενισχύσεων στο τέλος του 2019, ούτως ώστε η εγγύηση της ΕΕ να κατευθύνεται στη στήριξη της φερεγγυότητας και να συμβάλλει στην ανάκαμψη από την κρίση που προκαλεί η πανδημία Covid-19. Επίσης, στις επιχειρήσεις περιλαμβάνονται φορείς ειδικού σκοπού, εταιρείες έργου και συμπράξεις δημόσιου και ιδιωτικού τομέα. </w:t>
      </w:r>
    </w:p>
    <w:p>
      <w:pPr>
        <w:rPr>
          <w:noProof/>
        </w:rPr>
      </w:pPr>
      <w:r>
        <w:rPr>
          <w:noProof/>
        </w:rPr>
        <w:t>Η στήριξη παρέχεται μέσω επενδύσεων ή ταμείων, φορέων ειδικού σκοπού, επενδυτικών πλατφορμών ή άλλων μέσων διαμεσολάβησης. Ενθαρρύνεται η συνεργασία με εθνικές αναπτυξιακές τράπεζες και ιδρύματα.</w:t>
      </w:r>
    </w:p>
    <w:p>
      <w:pPr>
        <w:rPr>
          <w:b/>
          <w:noProof/>
        </w:rPr>
      </w:pPr>
      <w:r>
        <w:rPr>
          <w:b/>
          <w:noProof/>
        </w:rPr>
        <w:t>Κεφάλαιο III και επενδυτικές κατευθυντήριες γραμμές (Παράρτημα II)</w:t>
      </w:r>
    </w:p>
    <w:p>
      <w:pPr>
        <w:rPr>
          <w:noProof/>
        </w:rPr>
      </w:pPr>
      <w:r>
        <w:rPr>
          <w:noProof/>
        </w:rPr>
        <w:t xml:space="preserve">Για να είναι επιλέξιμες για στήριξη της φερεγγυότητας, οι επιχειρήσεις πρέπει να είναι εγκατεστημένες και να δραστηριοποιούνται εντός της Ένωσης. </w:t>
      </w:r>
    </w:p>
    <w:p>
      <w:pPr>
        <w:rPr>
          <w:noProof/>
        </w:rPr>
      </w:pPr>
      <w:r>
        <w:rPr>
          <w:noProof/>
        </w:rPr>
        <w:t>Προβλέπεται ότι τόσο η ΕΤΕπ όσο και το ΕΤΕ μπορούν να διενεργούν πράξεις υπό το σκέλος στήριξης της φερεγγυότητας.</w:t>
      </w:r>
    </w:p>
    <w:p>
      <w:pPr>
        <w:rPr>
          <w:noProof/>
        </w:rPr>
      </w:pPr>
      <w:r>
        <w:rPr>
          <w:noProof/>
        </w:rPr>
        <w:t xml:space="preserve">Οι γενικοί στόχοι του ΕΤΣΕ συμπληρώνονται με αναφορά στην Ευρωπαϊκή Πράσινη Συμφωνία και στη στρατηγική για τη διαμόρφωση του ψηφιακού μέλλοντος της Ευρώπης, καθώς και στην ανάγκη αποτροπής περιφερειακών ανισοτήτων που θα οφείλονται σε ασύμμετρη ανάκαμψη μετά την πανδημία της COVID-19. </w:t>
      </w:r>
    </w:p>
    <w:p>
      <w:pPr>
        <w:rPr>
          <w:noProof/>
        </w:rPr>
      </w:pPr>
      <w:r>
        <w:rPr>
          <w:noProof/>
        </w:rPr>
        <w:t xml:space="preserve">Το διοικητικό συμβούλιο καθορίζει τις αναγκαίες απαιτήσεις σχετικά με τον έλεγχο των διαμεσολαβητών (ταμεία, φορείς ειδικού σκοπού και άλλα) λαμβάνοντας υπόψη τυχόν εφαρμοστέα ζητήματα δημόσιας τάξης ή ασφάλειας. </w:t>
      </w:r>
    </w:p>
    <w:p>
      <w:pPr>
        <w:rPr>
          <w:noProof/>
        </w:rPr>
      </w:pPr>
      <w:r>
        <w:rPr>
          <w:noProof/>
        </w:rPr>
        <w:t xml:space="preserve">Η στήριξη μπορεί να διοχετεύεται με τη βοήθεια ποικίλων μέσων και προϊόντων, μεταξύ άλλων μέσω εθνικών αναπτυξιακών ιδρυμάτων και τραπεζών σύμφωνα με τους εφαρμοστέους κανόνες κρατικών ενισχύσεων και με διεθνείς κανόνες. </w:t>
      </w:r>
    </w:p>
    <w:p>
      <w:pPr>
        <w:rPr>
          <w:noProof/>
        </w:rPr>
      </w:pPr>
      <w:r>
        <w:rPr>
          <w:noProof/>
        </w:rPr>
        <w:lastRenderedPageBreak/>
        <w:t xml:space="preserve">Η εγγύηση της ΕΕ για το σκέλος στήριξης της φερεγγυότητας ανέρχεται σε 66,4 δισ. EUR. Με την εισαγωγή του εν λόγω σκέλους, το ύψος της συνολικής εγγύησης της ΕΕ ανέρχεται στο ανώτατο ποσό των 92,4 δισ. EUR. Η αντίστοιχη τροφοδότηση προβλέψεων (με ποσοστό τροφοδότησης 50 % όσον αφορά την αύξηση της εγγύησης της ΕΕ) ανέρχεται σε 33,2 δισ. EUR, με αποτέλεσμα το ταμείο εγγυήσεων του ΕΤΣΕ να συγκεντρώνει συνολικά 42,3 δισ. EUR. Κατά συνέπεια, το συνολικό ποσοστό τροφοδότησης προβλέψεων αναπροσαρμόζεται σε 45,8 %. </w:t>
      </w:r>
    </w:p>
    <w:p>
      <w:pPr>
        <w:rPr>
          <w:noProof/>
        </w:rPr>
      </w:pPr>
      <w:r>
        <w:rPr>
          <w:noProof/>
        </w:rPr>
        <w:t>Η επενδυτική περίοδος που σχετίζεται με το σκέλος στήριξης της φερεγγυότητας λήγει γενικά στο τέλος του 2024 όσον αφορά τις εγκρίσεις από την Επιτροπή Επενδύσεων και τα διοικητικά όργανα της ΕΤΕπ/του ΕΤΕ και στο τέλος του 2026 όσον αφορά την υπογραφή των πράξεων. Ωστόσο, το 60 % των χρηματοδοτικών και επενδυτικών πράξεων πρέπει να έχει εγκριθεί ήδη έως το τέλος του 2022.</w:t>
      </w:r>
    </w:p>
    <w:p>
      <w:pPr>
        <w:rPr>
          <w:noProof/>
        </w:rPr>
      </w:pPr>
      <w:r>
        <w:rPr>
          <w:noProof/>
        </w:rPr>
        <w:t>Η Επιτροπή Επενδύσεων εγκρίνει τη χρήση της εγγύησης της ΕΕ υπό το σκέλος στήριξης της φερεγγυότητας, όπως συμβαίνει επί του παρόντος για τα άλλα δύο σκέλη. Στην περίπτωση πράξεων που εκτελούνται από το ΕΤΕ, ζητείται η γνώμη της Επιτροπής Επενδύσεων για τα χρηματοπιστωτικά προϊόντα. Μόλις η Επιτροπή Επενδύσεων συσταθεί δυνάμει του προτεινόμενου κανονισμού InvestEU, θα είναι αρμόδια για τη χορήγηση εγγύησης της ΕΕ και για το σκέλος στήριξης της φερεγγυότητας, ώστε να αποφευχθεί η δημιουργία περιττών δομών.</w:t>
      </w:r>
    </w:p>
    <w:p>
      <w:pPr>
        <w:rPr>
          <w:noProof/>
        </w:rPr>
      </w:pPr>
      <w:r>
        <w:rPr>
          <w:noProof/>
        </w:rPr>
        <w:t xml:space="preserve">Στόχος είναι η διοχέτευση έως και 300 δισ. EUR στην πραγματική οικονομία υπό το σκέλος στήριξης της φερεγγυότητας. </w:t>
      </w:r>
    </w:p>
    <w:p>
      <w:pPr>
        <w:rPr>
          <w:noProof/>
        </w:rPr>
      </w:pPr>
      <w:r>
        <w:rPr>
          <w:noProof/>
        </w:rPr>
        <w:t xml:space="preserve">Ξεχωριστό ποσό ύψους 100 εκατ. EUR προβλέπεται για την κάλυψη εξόδων, συμβουλευτικών υπηρεσιών και τεχνικής βοήθειας που συνδέονται με τη σύσταση και τη διαχείριση ταμείων, φορέων ειδικού σκοπού, επενδυτικών πλατφορμών και λοιπών φορέων για τους σκοπούς του μέσου στήριξης της φερεγγυότητας. Με το ποσό αυτό στηρίζεται επίσης ο πράσινος και ψηφιακός μετασχηματισμός των επιχειρήσεων που χρηματοδοτούνται στο πλαίσιο του σκέλους στήριξης της φερεγγυότητας. </w:t>
      </w:r>
    </w:p>
    <w:p>
      <w:pPr>
        <w:rPr>
          <w:noProof/>
        </w:rPr>
      </w:pPr>
      <w:r>
        <w:rPr>
          <w:noProof/>
        </w:rPr>
        <w:t>Την εν λόγω στήριξη θα διαχειρίζεται η Επιτροπή. Εφόσον κρίνεται σκόπιμο, μπορεί να αναθέτει καθήκοντα στον Ευρωπαϊκό Κόμβο Επενδυτικών Συμβουλών (ΕΚΕΣ).</w:t>
      </w:r>
    </w:p>
    <w:p>
      <w:pPr>
        <w:rPr>
          <w:noProof/>
        </w:rPr>
      </w:pPr>
      <w:r>
        <w:rPr>
          <w:noProof/>
        </w:rPr>
        <w:t>Το παράρτημα II παρέχει περισσότερες τεχνικές λεπτομέρειες σχετικά με τα μέσα και τα προϊόντα που πρόκειται να χρησιμοποιούνται και σχετικά με τις χρηματοδοτικές δομές υπό το σκέλος στήριξης της φερεγγυότητας, ενώ αναφέρεται επίσης στον καθορισμό ειδικών ορίων γεωγραφικής συγκέντρωσης από το διοικητικό συμβούλιο.</w:t>
      </w:r>
    </w:p>
    <w:p>
      <w:pPr>
        <w:rPr>
          <w:b/>
          <w:noProof/>
        </w:rPr>
      </w:pPr>
      <w:r>
        <w:rPr>
          <w:b/>
          <w:noProof/>
        </w:rPr>
        <w:t>Κεφάλαιο IIIα</w:t>
      </w:r>
    </w:p>
    <w:p>
      <w:pPr>
        <w:rPr>
          <w:noProof/>
        </w:rPr>
      </w:pPr>
      <w:r>
        <w:rPr>
          <w:noProof/>
        </w:rPr>
        <w:t>Η συμμετοχή της Ένωσης σε προσεχείς αυξήσεις κεφαλαίου του ΕΤΕ προβλέπεται στο κεφάλαιο αυτό.</w:t>
      </w:r>
    </w:p>
    <w:p>
      <w:pPr>
        <w:rPr>
          <w:b/>
          <w:noProof/>
        </w:rPr>
      </w:pPr>
      <w:r>
        <w:rPr>
          <w:b/>
          <w:noProof/>
        </w:rPr>
        <w:t xml:space="preserve">Κεφάλαιο IV </w:t>
      </w:r>
    </w:p>
    <w:p>
      <w:pPr>
        <w:rPr>
          <w:noProof/>
        </w:rPr>
      </w:pPr>
      <w:r>
        <w:rPr>
          <w:noProof/>
        </w:rPr>
        <w:t>Θα παρέχεται, από την Επιτροπή ή μέσω του ΕΚΕΣ, τεχνική βοήθεια και συμβουλευτική υποστήριξη στα κράτη μέλη για τη σύσταση ταμείων, φορέων ειδικού σκοπού ή λοιπών φορέων που θα πληρούν τις απαιτήσεις της εγγύησης της Ένωσης, ιδίως δε σε κράτη μέλη με μη ανεπτυγμένες μετοχικές αγορές. Η εν λόγω στήριξη μπορεί επίσης να καλύπτει δαπάνες για τη σύσταση και τη διαχείριση ταμείων και λοιπών φορέων.</w:t>
      </w:r>
    </w:p>
    <w:p>
      <w:pPr>
        <w:rPr>
          <w:b/>
          <w:noProof/>
        </w:rPr>
      </w:pPr>
      <w:r>
        <w:rPr>
          <w:b/>
          <w:noProof/>
        </w:rPr>
        <w:t>Κεφάλαιο VI</w:t>
      </w:r>
    </w:p>
    <w:p>
      <w:pPr>
        <w:rPr>
          <w:noProof/>
        </w:rPr>
      </w:pPr>
      <w:r>
        <w:rPr>
          <w:noProof/>
        </w:rPr>
        <w:lastRenderedPageBreak/>
        <w:t>Ειδικές απαιτήσεις υποβολής εκθέσεων αναφορικά με τις χρηματοδοτικές και επενδυτικές πράξεις υπό το σκέλος στήριξης της φερεγγυότητας θα καθορίζονται στη συμφωνία εγγυήσεων με την ΕΤΕπ.</w:t>
      </w:r>
    </w:p>
    <w:p>
      <w:pPr>
        <w:rPr>
          <w:b/>
          <w:noProof/>
        </w:rPr>
      </w:pPr>
      <w:r>
        <w:rPr>
          <w:b/>
          <w:noProof/>
        </w:rPr>
        <w:t>Κεφάλαιο VIII</w:t>
      </w:r>
    </w:p>
    <w:p>
      <w:pPr>
        <w:rPr>
          <w:i/>
          <w:noProof/>
        </w:rPr>
      </w:pPr>
      <w:r>
        <w:rPr>
          <w:noProof/>
        </w:rPr>
        <w:t>Για να διασφαλιστεί η ταχεία επιχειρησιακή λειτουργία του Μέσου Στήριξης της Φερεγγυότητας, η ΕΤΕπ μπορεί να προτείνει στην Επιτροπή Επενδύσεων τη χορήγηση της εγγύησης της ΕΕ υπό το σκέλος στήριξης της φερεγγυότητας για εγγυήσεις ή χρηματοδότηση που έχει παράσχει κατά το χρονικό διάστημα από την έγκριση της παρούσας νομοθετικής πρότασης εκ μέρους της Επιτροπής έως την υπογραφή της τροποποιημένης συμφωνίας εγγυήσεων μεταξύ της Επιτροπής και της ΕΤΕπ. Για να είναι επιλέξιμες για την υπαγωγή τους στη διάταξη αυτή, οι συναφείς εγγυήσεις ή η χρηματοδότηση πρέπει να πληρούν τα κριτήρια του σκέλους στήριξης της φερεγγυότητας. Η ΕΤΕπ θα υποβάλει τέτοια πρόταση μετά τη έναρξη ισχύος του τροποποιημένου κανονισμού ΕΤΣΕ.</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2020/0106 (COD)</w:t>
      </w:r>
    </w:p>
    <w:p>
      <w:pPr>
        <w:pStyle w:val="Statut"/>
        <w:rPr>
          <w:noProof/>
        </w:rPr>
      </w:pPr>
      <w:r>
        <w:rPr>
          <w:noProof/>
        </w:rPr>
        <w:t>Πρόταση</w:t>
      </w:r>
    </w:p>
    <w:p>
      <w:pPr>
        <w:pStyle w:val="Typedudocument"/>
        <w:rPr>
          <w:noProof/>
        </w:rPr>
      </w:pPr>
      <w:r>
        <w:rPr>
          <w:noProof/>
        </w:rPr>
        <w:t>ΚΑΝΟΝΙΣΜΟΣ ΤΟΥ ΕΥΡΩΠΑΪΚΟΥ ΚΟΙΝΟΒΟΥΛΙΟΥ ΚΑΙ ΤΟΥ ΣΥΜΒΟΥΛΙΟΥ</w:t>
      </w:r>
    </w:p>
    <w:p>
      <w:pPr>
        <w:pStyle w:val="Titreobjet"/>
        <w:rPr>
          <w:noProof/>
        </w:rPr>
      </w:pPr>
      <w:r>
        <w:rPr>
          <w:noProof/>
        </w:rPr>
        <w:t>για την τροποποίηση του κανονισμού (EE) 2015/1017 όσον αφορά τη δημιουργία Μέσου Στήριξης της Φερεγγυότητας</w:t>
      </w:r>
    </w:p>
    <w:p>
      <w:pPr>
        <w:pStyle w:val="Institutionquiagit"/>
        <w:rPr>
          <w:noProof/>
        </w:rPr>
      </w:pPr>
      <w:r>
        <w:rPr>
          <w:noProof/>
        </w:rPr>
        <w:t>ΤΟ ΕΥΡΩΠΑΪΚΟ ΚΟΙΝΟΒΟΥΛΙΟ ΚΑΙ ΤΟ ΣΥΜΒΟΥΛΙΟ ΤΗΣ ΕΥΡΩΠΑΪΚΗΣ ΕΝΩΣΗΣ,</w:t>
      </w:r>
    </w:p>
    <w:p>
      <w:pPr>
        <w:rPr>
          <w:noProof/>
        </w:rPr>
      </w:pPr>
      <w:r>
        <w:rPr>
          <w:noProof/>
        </w:rPr>
        <w:t>Έχοντας υπόψη τη Συνθήκη για τη λειτουργία της Ευρωπαϊκής Ένωσης, και ιδίως τα άρθρα 172 και 173, το άρθρο 175 τρίτο εδάφιο και το άρθρο 182 παράγραφος 1,</w:t>
      </w:r>
    </w:p>
    <w:p>
      <w:pPr>
        <w:rPr>
          <w:noProof/>
        </w:rPr>
      </w:pPr>
      <w:r>
        <w:rPr>
          <w:noProof/>
        </w:rPr>
        <w:t>Έχοντας υπόψη την πρόταση της Ευρωπαϊκής Επιτροπής,</w:t>
      </w:r>
    </w:p>
    <w:p>
      <w:pPr>
        <w:rPr>
          <w:noProof/>
        </w:rPr>
      </w:pPr>
      <w:r>
        <w:rPr>
          <w:noProof/>
        </w:rPr>
        <w:t>Κατόπιν διαβίβασης του σχεδίου νομοθετικής πράξης στα εθνικά κοινοβούλια,</w:t>
      </w:r>
    </w:p>
    <w:p>
      <w:pPr>
        <w:rPr>
          <w:noProof/>
        </w:rPr>
      </w:pPr>
      <w:r>
        <w:rPr>
          <w:noProof/>
        </w:rPr>
        <w:t>Έχοντας υπόψη τη γνώμη της Ευρωπαϊκής Οικονομικής και Κοινωνικής Επιτροπής</w:t>
      </w:r>
      <w:r>
        <w:rPr>
          <w:rStyle w:val="FootnoteReference"/>
          <w:noProof/>
        </w:rPr>
        <w:footnoteReference w:id="6"/>
      </w:r>
      <w:r>
        <w:rPr>
          <w:noProof/>
        </w:rPr>
        <w:t xml:space="preserve">, </w:t>
      </w:r>
    </w:p>
    <w:p>
      <w:pPr>
        <w:rPr>
          <w:noProof/>
        </w:rPr>
      </w:pPr>
      <w:r>
        <w:rPr>
          <w:noProof/>
        </w:rPr>
        <w:t>Έχοντας υπόψη τη γνώμη της Επιτροπής των Περιφερειών</w:t>
      </w:r>
      <w:r>
        <w:rPr>
          <w:rStyle w:val="FootnoteReference"/>
          <w:noProof/>
        </w:rPr>
        <w:footnoteReference w:id="7"/>
      </w:r>
      <w:r>
        <w:rPr>
          <w:noProof/>
        </w:rPr>
        <w:t xml:space="preserve">, </w:t>
      </w:r>
    </w:p>
    <w:p>
      <w:pPr>
        <w:rPr>
          <w:noProof/>
        </w:rPr>
      </w:pPr>
      <w:r>
        <w:rPr>
          <w:noProof/>
        </w:rPr>
        <w:t>Αποφασίζοντας σύμφωνα με τη συνήθη νομοθετική διαδικασία,</w:t>
      </w:r>
    </w:p>
    <w:p>
      <w:pPr>
        <w:rPr>
          <w:noProof/>
        </w:rPr>
      </w:pPr>
      <w:r>
        <w:rPr>
          <w:noProof/>
        </w:rPr>
        <w:t>Εκτιμώντας τα ακόλουθα:</w:t>
      </w:r>
    </w:p>
    <w:p>
      <w:pPr>
        <w:pStyle w:val="ManualConsidrant"/>
        <w:rPr>
          <w:noProof/>
        </w:rPr>
      </w:pPr>
      <w:r>
        <w:rPr>
          <w:noProof/>
        </w:rPr>
        <w:t>(1)</w:t>
      </w:r>
      <w:r>
        <w:rPr>
          <w:noProof/>
        </w:rPr>
        <w:tab/>
        <w:t>Οι εκτιμήσεις της Επιτροπής, που απορρέουν από δεδομένα σε επίπεδο επιχειρήσεων, υποδεικνύουν ότι οι ανάγκες για αποκατάσταση κεφαλαίων λόγω της πανδημίας Covid-19 μπορεί να ανέρχονται σε 720 δισ. EUR περίπου για το 2020. Το ποσό αυτό μπορεί να αυξηθεί σε περίπτωση που τα περιοριστικά μέτρα χρειαστεί είτε να παραμείνουν σε ισχύ για διάστημα μεγαλύτερο από το προβλεπόμενο είτε να επιβληθούν εκ νέου λόγω αναζωπύρωσης του αριθμού των κρουσμάτων. Αυτά τα κεφαλαιακά ελλείμματα, αν δεν αντιμετωπιστούν, μπορούν να οδηγήσουν σε παρατεταμένη περίοδο συρρίκνωσης των επενδύσεων και αύξησης της ανεργίας. Ο αντίκτυπος των κεφαλαιακών ελλειμμάτων θα είναι ανομοιόμορφος μεταξύ τομέων και κρατών μελών, με αποτέλεσμα να δημιουργηθούν αποκλίσεις στην ενιαία αγορά. Στην κατάσταση αυτή έρχεται να προστεθεί το γεγονός ότι η ικανότητα των κρατών μελών να παρέχουν κρατική ενίσχυση διαφέρει σημαντικά.</w:t>
      </w:r>
    </w:p>
    <w:p>
      <w:pPr>
        <w:pStyle w:val="ManualConsidrant"/>
        <w:rPr>
          <w:noProof/>
          <w:sz w:val="22"/>
        </w:rPr>
      </w:pPr>
      <w:r>
        <w:rPr>
          <w:noProof/>
        </w:rPr>
        <w:t>(2)</w:t>
      </w:r>
      <w:r>
        <w:rPr>
          <w:noProof/>
        </w:rPr>
        <w:tab/>
        <w:t>Σύμφωνα με τον κανονισμό [Μέσο Ανάκαμψης της Ευρωπαϊκής Ένωσης] και εντός των ορίων των πόρων που διατίθενται με αυτόν, θα πρέπει να εφαρμοστούν μέτρα ανάκαμψης και ανθεκτικότητας υπό το σκέλος στήριξης της φερεγγυότητας του Ευρωπαϊκού Ταμείου Στρατηγικών Επενδύσεων για την αντιμετώπιση του πρωτοφανούς αντικτύπου της κρίσης COVID-19.  Οι εν λόγω πρόσθετοι πόροι θα πρέπει να χρησιμοποιούνται κατά τρόπο ώστε να εξασφαλίζεται η συμμόρφωση με τις προθεσμίες που προβλέπονται στον κανονισμό [EURI].»   </w:t>
      </w:r>
    </w:p>
    <w:p>
      <w:pPr>
        <w:pStyle w:val="ManualConsidrant"/>
        <w:rPr>
          <w:noProof/>
        </w:rPr>
      </w:pPr>
      <w:r>
        <w:rPr>
          <w:noProof/>
        </w:rPr>
        <w:t>(3)</w:t>
      </w:r>
      <w:r>
        <w:rPr>
          <w:noProof/>
        </w:rPr>
        <w:tab/>
        <w:t xml:space="preserve">Είναι απαραίτητο να προβλεφθεί επειγόντως ένας μηχανισμός στήριξης της φερεγγυότητας στο πλαίσιο ενός Μέσου Στήριξης της Φερεγγυότητας, που θα πρέπει </w:t>
      </w:r>
      <w:r>
        <w:rPr>
          <w:noProof/>
        </w:rPr>
        <w:lastRenderedPageBreak/>
        <w:t>να προστεθεί ως τρίτο σκέλος υπό το ΕΤΣΕ, για επιχειρήσεις που έχουν πληγεί από την οικονομική κρίση ως απόρροια της πανδημίας και που δεν δύνανται να λάβουν επαρκή στήριξη με χρηματοδότηση μέσω της αγοράς ή με τα μέτρα που λαμβάνουν τα κράτη μέλη, προκειμένου να αντεπεξέλθουν στις σοβαρές οικονομικές συνέπειες της πανδημίας Covid-19 στην Ένωση.</w:t>
      </w:r>
    </w:p>
    <w:p>
      <w:pPr>
        <w:pStyle w:val="ManualConsidrant"/>
        <w:rPr>
          <w:noProof/>
        </w:rPr>
      </w:pPr>
      <w:r>
        <w:rPr>
          <w:noProof/>
        </w:rPr>
        <w:t>(4)</w:t>
      </w:r>
      <w:r>
        <w:rPr>
          <w:noProof/>
        </w:rPr>
        <w:tab/>
        <w:t>Οι επιχειρήσεις που τυγχάνουν στήριξης από το Μέσο Στήριξης της Φερεγγυότητας θα πρέπει να είναι εγκατεστημένες και να δραστηριοποιούνται εντός της Ένωσης, δηλαδή θα πρέπει να έχουν την καταστατική έδρα τους σε ένα κράτος μέλος και θα πρέπει να έχουν ενεργό παρουσία στην Ένωση, υπό την έννοια ότι έχουν σημαντικές δραστηριότητες όσον αφορά προσωπικό, μεταποίηση, έρευνα και ανάπτυξη ή άλλες επιχειρηματικές δραστηριότητες στην Ένωση. Θα πρέπει να ασκούν δραστηριότητες για την υποστήριξη των στόχων που καλύπτονται από τον παρόντα κανονισμό. Θα πρέπει να έχουν βιώσιμο επιχειρηματικό μοντέλο και να μην θεωρούνταν ήδη προβληματικές υπό τους όρους του πλαισίου κρατικών ενισχύσεων</w:t>
      </w:r>
      <w:r>
        <w:rPr>
          <w:rStyle w:val="FootnoteReference"/>
          <w:noProof/>
        </w:rPr>
        <w:footnoteReference w:id="8"/>
      </w:r>
      <w:r>
        <w:rPr>
          <w:noProof/>
        </w:rPr>
        <w:t xml:space="preserve"> στο τέλος του 2019. Η στήριξη θα πρέπει να εστιάζει σε επιλέξιμες επιχειρήσεις που δραστηριοποιούνται σε κράτη μέλη και τομείς που επλήγησαν περισσότερο από την κρίση της Covid-19 και/ή όπου η διαθεσιμότητα κρατικής στήριξης της φερεγγυότητας είναι περισσότερο περιορισμένη. </w:t>
      </w:r>
    </w:p>
    <w:p>
      <w:pPr>
        <w:pStyle w:val="ManualConsidrant"/>
        <w:rPr>
          <w:noProof/>
        </w:rPr>
      </w:pPr>
      <w:r>
        <w:rPr>
          <w:noProof/>
        </w:rPr>
        <w:t>(5)</w:t>
      </w:r>
      <w:r>
        <w:rPr>
          <w:noProof/>
        </w:rPr>
        <w:tab/>
        <w:t>Η εγγύηση της ΕΕ που χορηγείται στην Ευρωπαϊκή Τράπεζα Επενδύσεων (ΕΤΕπ) θα πρέπει να αυξηθεί κατά 66 436 320 000 EUR ώστε να δημιουργηθεί το τρίτο σκέλος του ΕΤΣΕ —το σκέλος στήριξης της φερεγγυότητας— υπό το οποίο θα πρέπει να παρέχεται η στήριξη για τη φερεγγυότητα.</w:t>
      </w:r>
    </w:p>
    <w:p>
      <w:pPr>
        <w:pStyle w:val="ManualConsidrant"/>
        <w:rPr>
          <w:noProof/>
        </w:rPr>
      </w:pPr>
      <w:r>
        <w:rPr>
          <w:noProof/>
        </w:rPr>
        <w:t>(6)</w:t>
      </w:r>
      <w:r>
        <w:rPr>
          <w:noProof/>
        </w:rPr>
        <w:tab/>
        <w:t xml:space="preserve">Η τροφοδότηση προβλέψεων για την εγγύηση της ΕΕ θα πρέπει να αυξηθεί αντίστοιχα. Δεδομένης της υψηλής επικινδυνότητας των επενδυτικών και χρηματοδοτικών πράξεων υπό το σκέλος στήριξης της φερεγγυότητας, το συνολικό ποσοστό τροφοδότησης προβλέψεων του ΕΤΣΕ θα πρέπει να αναπροσαρμοστεί σε 45,8 %. </w:t>
      </w:r>
    </w:p>
    <w:p>
      <w:pPr>
        <w:pStyle w:val="ManualConsidrant"/>
        <w:rPr>
          <w:noProof/>
        </w:rPr>
      </w:pPr>
      <w:r>
        <w:rPr>
          <w:noProof/>
        </w:rPr>
        <w:t>(7)</w:t>
      </w:r>
      <w:r>
        <w:rPr>
          <w:noProof/>
        </w:rPr>
        <w:tab/>
        <w:t>Το ποσό της εγγύησης της ΕΕ που διατίθεται στο πλαίσιο του σκέλους στήριξης της φερεγγυότητας αναμένεται να κινητοποιήσει επενδύσεις έως και 300 000 000 000 EUR στην πραγματική οικονομία.</w:t>
      </w:r>
    </w:p>
    <w:p>
      <w:pPr>
        <w:pStyle w:val="ManualConsidrant"/>
        <w:rPr>
          <w:noProof/>
        </w:rPr>
      </w:pPr>
      <w:r>
        <w:rPr>
          <w:noProof/>
        </w:rPr>
        <w:t>(8)</w:t>
      </w:r>
      <w:r>
        <w:rPr>
          <w:noProof/>
        </w:rPr>
        <w:tab/>
        <w:t>Οι τρόποι υλοποίησης της στήριξης θα πρέπει να χαρακτηρίζονται από ευελιξία δεδομένης της ανάγκης για διαφορετικές λύσεις στα διάφορα κράτη μέλη. Θα πρέπει να περιλαμβάνουν, μεταξύ άλλων, χρηματοδότηση από τον Όμιλο ΕΤΕπ ή εγγύηση ή επένδυση σε υφιστάμενα ταμεία υπό ανεξάρτητη διαχείριση ή σε φορείς ειδικού σκοπού που, με τη σειρά τους, επενδύουν σε επιλέξιμες επιχειρήσεις. Επιπλέον, η στήριξη μπορεί να διοχετεύεται μέσω νεοσύστατων ταμείων υπό ανεξάρτητη διαχείριση, συμπεριλαμβανομένων πρωτοεμφανιζόμενων ομάδων (first-time teams), ή μέσω φορέων ειδικού σκοπού που συστήνονται, σε ευρωπαϊκό, περιφερειακό ή εθνικό επίπεδο, ειδικά με σκοπό να επωφεληθούν από την εγγύηση της ΕΕ ώστε να επενδύσουν σε επιλέξιμες επιχειρήσεις. Η εγγύηση της ΕΕ θα μπορούσε επίσης να χρησιμοποιηθεί για την εγγύηση ή τη χρηματοδότηση μιας παρέμβασης από εθνική αναπτυξιακή τράπεζα ή ίδρυμα σύμφωνα με τους κανόνες κρατικών ενισχύσεων και σε συνεργασία με ιδιωτικούς επενδυτές για τη στήριξη επιλέξιμων επιχειρήσεων. Θα πρέπει να αποφεύγεται η αθέμιτη νόθευση του ανταγωνισμού στην εσωτερική αγορά.</w:t>
      </w:r>
    </w:p>
    <w:p>
      <w:pPr>
        <w:pStyle w:val="ManualConsidrant"/>
        <w:rPr>
          <w:noProof/>
        </w:rPr>
      </w:pPr>
      <w:r>
        <w:rPr>
          <w:noProof/>
        </w:rPr>
        <w:lastRenderedPageBreak/>
        <w:t>(9)</w:t>
      </w:r>
      <w:r>
        <w:rPr>
          <w:noProof/>
        </w:rPr>
        <w:tab/>
        <w:t>Τα ταμεία συμμετοχών, οι φορείς ειδικού σκοπού, οι επενδυτικές πλατφόρμες και οι εθνικές αναπτυξιακές τράπεζες και ιδρύματα θα πρέπει να παρέχουν μετοχικό ή οιονεί μετοχικό κεφάλαιο (όπως υβριδικό χρέος, προνομιούχες μετοχές ή µετατρέψιµο µετοχικό κεφάλαιο) σε επιλέξιμες επιχειρήσεις, μη περιλαμβανομένων οντοτήτων που έχουν στόχο την εξαγορά (ή κεφάλαιο αντικατάστασης) με σκοπό την εκποίηση περιουσιακών στοιχείων.</w:t>
      </w:r>
    </w:p>
    <w:p>
      <w:pPr>
        <w:pStyle w:val="ManualConsidrant"/>
        <w:rPr>
          <w:noProof/>
        </w:rPr>
      </w:pPr>
      <w:r>
        <w:rPr>
          <w:noProof/>
        </w:rPr>
        <w:t>(10)</w:t>
      </w:r>
      <w:r>
        <w:rPr>
          <w:noProof/>
        </w:rPr>
        <w:tab/>
        <w:t xml:space="preserve">Οι χρηματοδοτικές και επενδυτικές πράξεις θα πρέπει να ευθυγραμμίζονται με τις τρέχουσες προτεραιότητες πολιτικής της Ένωσης, όπως η Ευρωπαϊκή Πράσινη Συμφωνία και η στρατηγική για τη διαμόρφωση του ψηφιακού μέλλοντος της Ευρώπης. Η στήριξη θα πρέπει επίσης να στοχεύει σε διασυνοριακές δραστηριότητες. </w:t>
      </w:r>
    </w:p>
    <w:p>
      <w:pPr>
        <w:pStyle w:val="ManualConsidrant"/>
        <w:rPr>
          <w:noProof/>
        </w:rPr>
      </w:pPr>
      <w:r>
        <w:rPr>
          <w:noProof/>
        </w:rPr>
        <w:t>(11)</w:t>
      </w:r>
      <w:r>
        <w:rPr>
          <w:noProof/>
        </w:rPr>
        <w:tab/>
        <w:t>Οι χρηματοδοτικές και επενδυτικές πράξεις υπό το σκέλος στήριξης της φερεγγυότητας θα πρέπει να αποφασιστούν έως το τέλος του 2024 και τουλάχιστον το 60 % των χρηματοδοτικών και επενδυτικών πράξεων πρέπει να αποφασιστεί έως το τέλος του 2022, ώστε να είναι εφικτή η ταχεία αντίδραση στην οικονομική κρίση λόγω της πανδημίας Covid-19.</w:t>
      </w:r>
    </w:p>
    <w:p>
      <w:pPr>
        <w:pStyle w:val="ManualConsidrant"/>
        <w:rPr>
          <w:noProof/>
        </w:rPr>
      </w:pPr>
      <w:r>
        <w:rPr>
          <w:noProof/>
        </w:rPr>
        <w:t>(12)</w:t>
      </w:r>
      <w:r>
        <w:rPr>
          <w:noProof/>
        </w:rPr>
        <w:tab/>
        <w:t>Για να μπορεί να διοχετεύει τη στήριξη στην ευρωπαϊκή οικονομία μέσω του Ευρωπαϊκού Ταμείου Επενδύσεων (ΕΤΕ), η Επιτροπή θα πρέπει να είναι σε θέση να συμμετάσχει σε μία ή περισσότερες πιθανές αυξήσεις κεφαλαίου του ΕΤΕ, προκειμένου να του δώσει τη δυνατότητα να εξακολουθήσει να στηρίζει την ευρωπαϊκή οικονομία και την ανάκαμψή της. Η Ένωση θα πρέπει να είναι σε θέση να διατηρήσει το συνολικό μερίδιό της στο κεφάλαιο του ΕΤΕ. Θα πρέπει να προβλεφθεί επαρκές χρηματοδοτικό κονδύλιο για τον σκοπό αυτό στο αναθεωρημένο πολυετές δημοσιονομικό πλαίσιο για την τρέχουσα περίοδο.</w:t>
      </w:r>
    </w:p>
    <w:p>
      <w:pPr>
        <w:pStyle w:val="ManualConsidrant"/>
        <w:rPr>
          <w:noProof/>
        </w:rPr>
      </w:pPr>
      <w:r>
        <w:rPr>
          <w:noProof/>
        </w:rPr>
        <w:t>(13)</w:t>
      </w:r>
      <w:r>
        <w:rPr>
          <w:noProof/>
        </w:rPr>
        <w:tab/>
        <w:t xml:space="preserve">Θα πρέπει να προβλεφθεί ποσό ύψους 100 000 000 EUR για τη στήριξη της σύστασης και της διαχείρισης επενδυτικών ταμείων, φορέων ειδικού σκοπού και επενδυτικών πλατφορμών στα κράτη μέλη, ιδίως σε εκείνα που δεν διαθέτουν ανεπτυγμένες αγορές επενδυτικών κεφαλαίων, καθώς και για τη στήριξη του πράσινου και του ψηφιακού μετασχηματισμού των επιχειρήσεων που χρηματοδοτούνται από το σκέλος στήριξης της φερεγγυότητας. </w:t>
      </w:r>
    </w:p>
    <w:p>
      <w:pPr>
        <w:pStyle w:val="ManualConsidrant"/>
        <w:rPr>
          <w:noProof/>
        </w:rPr>
      </w:pPr>
      <w:r>
        <w:rPr>
          <w:noProof/>
        </w:rPr>
        <w:t>(14)</w:t>
      </w:r>
      <w:r>
        <w:rPr>
          <w:noProof/>
        </w:rPr>
        <w:tab/>
        <w:t>Η Επιτροπή Επενδύσεων του κανονισμού InvestEU θα πρέπει να είναι αρμόδια για τη χορήγηση της εγγύησης της ΕΕ επίσης δυνάμει του παρόντος κανονισμού μετά τη σύστασή της.</w:t>
      </w:r>
    </w:p>
    <w:p>
      <w:pPr>
        <w:pStyle w:val="ManualConsidrant"/>
        <w:rPr>
          <w:noProof/>
        </w:rPr>
      </w:pPr>
      <w:r>
        <w:rPr>
          <w:noProof/>
        </w:rPr>
        <w:t>(15)</w:t>
      </w:r>
      <w:r>
        <w:rPr>
          <w:noProof/>
        </w:rPr>
        <w:tab/>
        <w:t xml:space="preserve">Στο άρθρο 137 παράγραφος 2 της συμφωνίας για την αποχώρηση του Ηνωμένου Βασιλείου της Μεγάλης Βρετανίας και της Βόρειας Ιρλανδίας από την Ευρωπαϊκή Ένωση και την Ευρωπαϊκή Κοινότητα Ατομικής Ενέργειας προβλέπεται ότι το Ηνωμένο Βασίλειο και τα έργα που βρίσκονται στο Ηνωμένο Βασίλειο είναι επιλέξιμα μόνο για χρηματοοικονομικές πράξεις για τις οποίες παρέχεται εγγύηση από τον προϋπολογισμό της Ένωσης στο πλαίσιο του ΕΤΣΕ που εγκρίθηκαν από τις οντότητες και τους φορείς, συμπεριλαμβανομένης της ΕΤΕπ και του Ευρωπαϊκού Ταμείου Επενδύσεων («ΕΤΕ»), ή από πρόσωπα στα οποία έχει ανατεθεί η υλοποίηση μέρους των εν λόγω πράξεων πριν από την ημερομηνία έναρξης ισχύος της συμφωνίας αποχώρησης. Επίσης, το άρθρο 143 παράγραφος 1 της συμφωνίας αποχώρησης περιορίζει την υποχρέωση του Ηνωμένου Βασιλείου για το μερίδιό του επί των ενδεχόμενων υποχρεώσεων της Ένωσης στις ενδεχόμενες υποχρεώσεις που απορρέουν από χρηματοοικονομικές πράξεις οι οποίες είχαν αποφασιστεί από την Ένωση πριν από την ημερομηνία έναρξης ισχύος της συμφωνίας αποχώρησης. Κάθε ενδεχόμενη υποχρέωση της Ένωσης δυνάμει του παρόντος κανονισμού είναι μεταγενέστερη της ημερομηνίας αποχώρησης του Ηνωμένου Βασιλείου από την </w:t>
      </w:r>
      <w:r>
        <w:rPr>
          <w:noProof/>
        </w:rPr>
        <w:lastRenderedPageBreak/>
        <w:t>Ένωση. Ως εκ τούτου, ο παρών κανονισμός δεν θα πρέπει να ισχύει για το Ηνωμένο Βασίλειο και στο Ηνωμένο Βασίλειο.</w:t>
      </w:r>
    </w:p>
    <w:p>
      <w:pPr>
        <w:pStyle w:val="ManualConsidrant"/>
        <w:rPr>
          <w:noProof/>
        </w:rPr>
      </w:pPr>
      <w:r>
        <w:rPr>
          <w:noProof/>
        </w:rPr>
        <w:t xml:space="preserve"> (16)</w:t>
      </w:r>
      <w:r>
        <w:rPr>
          <w:noProof/>
        </w:rPr>
        <w:tab/>
        <w:t>Οι οριζόντιοι δημοσιονομικοί κανόνες που θεσπίζονται από το Ευρωπαϊκό Κοινοβούλιο και το Συμβούλιο βάσει του άρθρου 322 της Συνθήκης για τη λειτουργία της Ευρωπαϊκής Ένωσης (ΣΛΕΕ) εφαρμόζονται στον παρόντα κανονισμό. Οι κανόνες αυτοί καθορίζονται στον δημοσιονομικό κανονισμό και προσδιορίζουν συγκεκριμένα τη διαδικασία για τον καθορισμό και την εκτέλεση του προϋπολογισμού μέσω επιχορηγήσεων, συμβάσεων προμηθειών, βραβείων και έμμεσης διαχείρισης, και προβλέπουν ελέγχους σχετικά με την ευθύνη των δημοσιονομικών παραγόντων. Οι κανόνες που θεσπίζονται βάσει του άρθρου 322 της ΣΛΕΕ αφορούν επίσης την προστασία του προϋπολογισμού της Ένωσης σε περίπτωση γενικευμένων ελλείψεων όσον αφορά το κράτος δικαίου στα κράτη μέλη, δεδομένου ότι ο σεβασμός του κράτους δικαίου αποτελεί απαραίτητη προϋπόθεση για τη χρηστή δημοσιονομική διαχείριση και την αποτελεσματική ενωσιακή χρηματοδότηση.</w:t>
      </w:r>
    </w:p>
    <w:p>
      <w:pPr>
        <w:pStyle w:val="ManualConsidrant"/>
        <w:rPr>
          <w:noProof/>
        </w:rPr>
      </w:pPr>
      <w:r>
        <w:rPr>
          <w:noProof/>
        </w:rPr>
        <w:t>(17)</w:t>
      </w:r>
      <w:r>
        <w:rPr>
          <w:noProof/>
        </w:rPr>
        <w:tab/>
        <w:t>Συνεπώς, ο κανονισμός (ΕΕ) αριθ. 2015/1017 θα πρέπει να τροποποιηθεί αναλόγως,</w:t>
      </w:r>
    </w:p>
    <w:p>
      <w:pPr>
        <w:rPr>
          <w:noProof/>
        </w:rPr>
      </w:pPr>
    </w:p>
    <w:p>
      <w:pPr>
        <w:pStyle w:val="Formuledadoption"/>
        <w:rPr>
          <w:noProof/>
        </w:rPr>
      </w:pPr>
      <w:r>
        <w:rPr>
          <w:noProof/>
        </w:rPr>
        <w:t>ΕΞΕΔΩΣΑΝ ΤΟΝ ΠΑΡΟΝΤΑ ΚΑΝΟΝΙΣΜΟ:</w:t>
      </w:r>
    </w:p>
    <w:p>
      <w:pPr>
        <w:pStyle w:val="Titrearticle"/>
        <w:rPr>
          <w:noProof/>
        </w:rPr>
      </w:pPr>
      <w:r>
        <w:rPr>
          <w:noProof/>
        </w:rPr>
        <w:t>Άρθρο 1</w:t>
      </w:r>
    </w:p>
    <w:p>
      <w:pPr>
        <w:rPr>
          <w:noProof/>
        </w:rPr>
      </w:pPr>
      <w:r>
        <w:rPr>
          <w:noProof/>
        </w:rPr>
        <w:t>Ο κανονισμός (ΕΕ) 2015/1017 τροποποιείται ως εξής:</w:t>
      </w:r>
    </w:p>
    <w:p>
      <w:pPr>
        <w:pStyle w:val="ListNumber"/>
        <w:rPr>
          <w:noProof/>
        </w:rPr>
      </w:pPr>
      <w:r>
        <w:rPr>
          <w:noProof/>
        </w:rPr>
        <w:t>Στο άρθρο 2, προστίθεται το ακόλουθο σημείο 9):</w:t>
      </w:r>
    </w:p>
    <w:p>
      <w:pPr>
        <w:ind w:left="851"/>
        <w:rPr>
          <w:noProof/>
        </w:rPr>
      </w:pPr>
      <w:r>
        <w:rPr>
          <w:noProof/>
        </w:rPr>
        <w:t>«9)</w:t>
      </w:r>
      <w:r>
        <w:rPr>
          <w:noProof/>
        </w:rPr>
        <w:tab/>
        <w:t>«‘‘επιχειρήσεις’’: για τους σκοπούς του σκέλους στήριξης της φερεγγυότητας επιχειρήσεις, εταιρείες έργου, συμπράξεις δημόσιου και ιδιωτικού τομέα και άλλες νομικές δομές.»</w:t>
      </w:r>
    </w:p>
    <w:p>
      <w:pPr>
        <w:pStyle w:val="ListNumber"/>
        <w:rPr>
          <w:noProof/>
        </w:rPr>
      </w:pPr>
      <w:r>
        <w:rPr>
          <w:noProof/>
        </w:rPr>
        <w:t>Στο άρθρο 3 προστίθεται το ακόλουθο στοιχείο γ):</w:t>
      </w:r>
    </w:p>
    <w:p>
      <w:pPr>
        <w:ind w:left="851"/>
        <w:rPr>
          <w:noProof/>
        </w:rPr>
      </w:pPr>
      <w:r>
        <w:rPr>
          <w:noProof/>
        </w:rPr>
        <w:t>«γ)</w:t>
      </w:r>
      <w:r>
        <w:rPr>
          <w:noProof/>
        </w:rPr>
        <w:tab/>
        <w:t>τη φερεγγυότητα των επιχειρήσεων που είναι εγκατεστημένες σε ένα κράτος μέλος και δραστηριοποιούνται εντός της Ένωσης.»</w:t>
      </w:r>
    </w:p>
    <w:p>
      <w:pPr>
        <w:pStyle w:val="ListNumber"/>
        <w:rPr>
          <w:noProof/>
        </w:rPr>
      </w:pPr>
      <w:r>
        <w:rPr>
          <w:noProof/>
        </w:rPr>
        <w:t>Στο άρθρο 4, το σημείο iv) του στοιχείου α) της παραγράφου 2 τροποποιείται ως εξής:</w:t>
      </w:r>
    </w:p>
    <w:p>
      <w:pPr>
        <w:ind w:left="851"/>
        <w:rPr>
          <w:noProof/>
        </w:rPr>
      </w:pPr>
      <w:r>
        <w:rPr>
          <w:noProof/>
        </w:rPr>
        <w:t>«της τιμολόγησης των δραστηριοτήτων με εγγύηση της ΕΕ, που πρέπει να είναι σύμφωνη με την πολιτική τιμολόγησης της ΕΤΕπ· για το σκέλος στήριξης της φερεγγυότητας, μπορούν να συμφωνηθούν άλλες ρυθμίσεις·»</w:t>
      </w:r>
    </w:p>
    <w:p>
      <w:pPr>
        <w:pStyle w:val="ListNumber"/>
        <w:rPr>
          <w:noProof/>
        </w:rPr>
      </w:pPr>
      <w:r>
        <w:rPr>
          <w:noProof/>
        </w:rPr>
        <w:t>Στο άρθρο 5, στο τελευταίο εδάφιο της παραγράφου 1 προστίθεται περίπτωση ως εξής:</w:t>
      </w:r>
    </w:p>
    <w:p>
      <w:pPr>
        <w:ind w:left="851"/>
        <w:rPr>
          <w:noProof/>
          <w:vertAlign w:val="subscript"/>
        </w:rPr>
      </w:pPr>
      <w:r>
        <w:rPr>
          <w:noProof/>
        </w:rPr>
        <w:t xml:space="preserve">«– στήριξη σε ταμεία, φορείς ειδικού σκοπού, επενδυτικές πλατφόρμες ή άλλες ρυθμίσεις υπό το σκέλος στήριξης της φερεγγυότητας.» </w:t>
      </w:r>
    </w:p>
    <w:p>
      <w:pPr>
        <w:pStyle w:val="ListNumber"/>
        <w:rPr>
          <w:noProof/>
        </w:rPr>
      </w:pPr>
      <w:r>
        <w:rPr>
          <w:noProof/>
        </w:rPr>
        <w:t>Στο άρθρο 6 παράγραφος 1 στοιχείο α) προστίθεται το ακόλουθο εδάφιο:</w:t>
      </w:r>
    </w:p>
    <w:p>
      <w:pPr>
        <w:ind w:left="851"/>
        <w:rPr>
          <w:noProof/>
        </w:rPr>
      </w:pPr>
      <w:r>
        <w:rPr>
          <w:noProof/>
        </w:rPr>
        <w:t xml:space="preserve">«Ωστόσο, η στήριξη υπό το σκέλος στήριξης της φερεγγυότητας παρέχεται μόνον αν προορίζεται προς όφελος επιχειρήσεων που δεν ήταν ήδη προβληματικές υπό όρους </w:t>
      </w:r>
      <w:r>
        <w:rPr>
          <w:noProof/>
        </w:rPr>
        <w:lastRenderedPageBreak/>
        <w:t>κρατικών ενισχύσεων στο τέλος του 2019</w:t>
      </w:r>
      <w:r>
        <w:rPr>
          <w:rStyle w:val="FootnoteReference"/>
          <w:noProof/>
        </w:rPr>
        <w:footnoteReference w:id="9"/>
      </w:r>
      <w:r>
        <w:rPr>
          <w:noProof/>
        </w:rPr>
        <w:t>, έκτοτε όμως διατρέχουν σημαντικό κίνδυνο φερεγγυότητας λόγω της κρίσης που προκάλεσε η πανδημία Covid-19·»</w:t>
      </w:r>
    </w:p>
    <w:p>
      <w:pPr>
        <w:pStyle w:val="ListNumber"/>
        <w:rPr>
          <w:noProof/>
        </w:rPr>
      </w:pPr>
      <w:r>
        <w:rPr>
          <w:noProof/>
        </w:rPr>
        <w:t>Στο άρθρο 6, προστίθεται παράγραφος 3 ως εξής:</w:t>
      </w:r>
    </w:p>
    <w:p>
      <w:pPr>
        <w:ind w:left="851"/>
        <w:rPr>
          <w:noProof/>
        </w:rPr>
      </w:pPr>
      <w:r>
        <w:rPr>
          <w:noProof/>
        </w:rPr>
        <w:t>«3.</w:t>
      </w:r>
      <w:r>
        <w:rPr>
          <w:noProof/>
        </w:rPr>
        <w:tab/>
        <w:t>Κατά παρέκκλιση από την παράγραφο 2, οι επιμέρους πράξεις των χρηματοπιστωτικών διαμεσολαβητών μπορούν να περιορίζονται σε ένα ελάχιστο μέγεθος στο πλαίσιο χρηματοδοτικών και επενδυτικών πράξεων υπό το σκέλος στήριξης της φερεγγυότητας.»</w:t>
      </w:r>
    </w:p>
    <w:p>
      <w:pPr>
        <w:pStyle w:val="ListNumber"/>
        <w:rPr>
          <w:noProof/>
        </w:rPr>
      </w:pPr>
      <w:r>
        <w:rPr>
          <w:noProof/>
        </w:rPr>
        <w:t>Στο άρθρο 7 παράγραφος 2 προστίθεται νέο στοιχείο ε):</w:t>
      </w:r>
    </w:p>
    <w:p>
      <w:pPr>
        <w:ind w:left="851"/>
        <w:rPr>
          <w:noProof/>
        </w:rPr>
      </w:pPr>
      <w:r>
        <w:rPr>
          <w:noProof/>
        </w:rPr>
        <w:t>«την καθοδήγηση που αναφέρεται στο τμήμα 6 στοιχείο δ) του παραρτήματος II.»</w:t>
      </w:r>
    </w:p>
    <w:p>
      <w:pPr>
        <w:pStyle w:val="ListNumber"/>
        <w:rPr>
          <w:noProof/>
        </w:rPr>
      </w:pPr>
      <w:r>
        <w:rPr>
          <w:noProof/>
        </w:rPr>
        <w:t>Στο άρθρο 8, προστίθεται τρίτο εδάφιο ως εξής:</w:t>
      </w:r>
    </w:p>
    <w:p>
      <w:pPr>
        <w:ind w:left="851"/>
        <w:rPr>
          <w:noProof/>
        </w:rPr>
      </w:pPr>
      <w:r>
        <w:rPr>
          <w:noProof/>
        </w:rPr>
        <w:t>«Κατά παρέκκλιση από το πρώτο εδάφιο, μόνο επιχειρήσεις που είναι εγκατεστημένες σε κράτος μέλος και δραστηριοποιούνται εντός της Ένωσης μπορούν να λάβουν στήριξη από χρηματοδοτικές και επενδυτικές πράξεις υπό το σκέλος στήριξης της φερεγγυότητας.»</w:t>
      </w:r>
    </w:p>
    <w:p>
      <w:pPr>
        <w:pStyle w:val="ListNumber"/>
        <w:rPr>
          <w:noProof/>
        </w:rPr>
      </w:pPr>
      <w:r>
        <w:rPr>
          <w:noProof/>
        </w:rPr>
        <w:t>Στο άρθρο 9, στο πρώτο εδάφιο της παραγράφου 2 προστίθεται δεύτερη περίοδος ως εξής:</w:t>
      </w:r>
    </w:p>
    <w:p>
      <w:pPr>
        <w:ind w:left="851"/>
        <w:rPr>
          <w:noProof/>
        </w:rPr>
      </w:pPr>
      <w:r>
        <w:rPr>
          <w:noProof/>
        </w:rPr>
        <w:t>«Η εγγύηση της ΕΕ χορηγείται επίσης για χρηματοδοτικές και επενδυτικές πράξεις που εκτελούνται από το ΕΤΕ υπό το σκέλος στήριξης της φερεγγυότητας.»</w:t>
      </w:r>
    </w:p>
    <w:p>
      <w:pPr>
        <w:pStyle w:val="ListNumber"/>
        <w:rPr>
          <w:noProof/>
        </w:rPr>
      </w:pPr>
      <w:r>
        <w:rPr>
          <w:noProof/>
        </w:rPr>
        <w:t>Στο άρθρο 9, η εισαγωγική περίοδος του τρίτου εδαφίου της παραγράφου 2 τροποποιείται ως εξής:</w:t>
      </w:r>
    </w:p>
    <w:p>
      <w:pPr>
        <w:ind w:left="851"/>
        <w:rPr>
          <w:noProof/>
        </w:rPr>
      </w:pPr>
      <w:r>
        <w:rPr>
          <w:noProof/>
        </w:rPr>
        <w:t>«Οι σχετικές δραστηριότητες συνάδουν με τις πολιτικές της Ένωσης, συμπεριλαμβανομένης της Ευρωπαϊκής Πράσινης Συμφωνίας</w:t>
      </w:r>
      <w:r>
        <w:rPr>
          <w:rStyle w:val="FootnoteReference"/>
          <w:noProof/>
        </w:rPr>
        <w:footnoteReference w:id="10"/>
      </w:r>
      <w:r>
        <w:rPr>
          <w:noProof/>
        </w:rPr>
        <w:t xml:space="preserve"> και της στρατηγικής για τη διαμόρφωση του ψηφιακού μέλλοντος της Ευρώπης</w:t>
      </w:r>
      <w:r>
        <w:rPr>
          <w:rStyle w:val="FootnoteReference"/>
          <w:noProof/>
        </w:rPr>
        <w:footnoteReference w:id="11"/>
      </w:r>
      <w:r>
        <w:rPr>
          <w:noProof/>
        </w:rPr>
        <w:t>, στηρίζουν μια χωρίς αποκλεισμούς και συμμετρική ανάκαμψη μετά την πανδημία της COVID-19, ενώ υποστηρίζουν οποιονδήποτε από τους παρακάτω γενικούς στόχους:»</w:t>
      </w:r>
    </w:p>
    <w:p>
      <w:pPr>
        <w:pStyle w:val="ListNumber"/>
        <w:rPr>
          <w:noProof/>
        </w:rPr>
      </w:pPr>
      <w:r>
        <w:rPr>
          <w:noProof/>
        </w:rPr>
        <w:t>Στο άρθρο 9 παράγραφος 2 τρίτο εδάφιο προστίθεται το στοιχείο ι) ως εξής:</w:t>
      </w:r>
    </w:p>
    <w:p>
      <w:pPr>
        <w:ind w:left="851"/>
        <w:rPr>
          <w:noProof/>
        </w:rPr>
      </w:pPr>
      <w:r>
        <w:rPr>
          <w:noProof/>
        </w:rPr>
        <w:t>«ι)</w:t>
      </w:r>
      <w:r>
        <w:rPr>
          <w:noProof/>
        </w:rPr>
        <w:tab/>
        <w:t>στήριξη της φερεγγυότητας υπό το σκέλος στήριξης της φερεγγυότητας σε επιχειρήσεις που αναφέρονται στο άρθρο 3 στοιχείο γ) για τη στήριξη οποιουδήποτε από τους στόχους που αναφέρονται στο παρόν εδάφιο.»</w:t>
      </w:r>
    </w:p>
    <w:p>
      <w:pPr>
        <w:pStyle w:val="ListNumber"/>
        <w:rPr>
          <w:noProof/>
        </w:rPr>
      </w:pPr>
      <w:r>
        <w:rPr>
          <w:noProof/>
        </w:rPr>
        <w:t>Στο άρθρο 9, το τελευταίο εδάφιο της παραγράφου 2 απαλείφεται και εισάγεται νέα παράγραφος 2α ως εξής:</w:t>
      </w:r>
    </w:p>
    <w:p>
      <w:pPr>
        <w:ind w:left="851"/>
        <w:rPr>
          <w:noProof/>
        </w:rPr>
      </w:pPr>
      <w:r>
        <w:rPr>
          <w:noProof/>
        </w:rPr>
        <w:t>«Ενώ αναγνωρίζεται ότι, από τη φύση του, το ΕΤΣΕ προσδιορίζεται από τη ζήτηση, η ΕΤΕπ:</w:t>
      </w:r>
    </w:p>
    <w:p>
      <w:pPr>
        <w:pStyle w:val="Point2"/>
        <w:rPr>
          <w:noProof/>
        </w:rPr>
      </w:pPr>
      <w:r>
        <w:rPr>
          <w:noProof/>
        </w:rPr>
        <w:t>α)</w:t>
      </w:r>
      <w:r>
        <w:rPr>
          <w:noProof/>
        </w:rPr>
        <w:tab/>
        <w:t xml:space="preserve">θέτει ως στόχο τουλάχιστον το 40 % της χρηματοδότησης από το ΕΤΣΕ στο σκέλος υποδομής και καινοτομίας να διοχετεύεται στην υποστήριξη έργου με συνιστώσες που συμβάλλουν στη δράση για το κλίμα, σύμφωνα με τις δεσμεύσεις που έλαβαν χώρα στην 21η διάσκεψη των συμβαλλόμενων μερών των Ηνωμένων Εθνών της σύμβασης-πλαίσιο για </w:t>
      </w:r>
      <w:r>
        <w:rPr>
          <w:noProof/>
        </w:rPr>
        <w:lastRenderedPageBreak/>
        <w:t>την κλιματική αλλαγή (COP21). Η χρηματοδότηση του ΕΤΣΕ για τις ΜΜΕ και τις μικρές εταιρείες μεσαίας κεφαλαιοποίησης δεν λαμβάνεται υπόψη για τον υπολογισμό αυτό. Για τον προσδιορισμό ή τον επιμερισμό αυτών των στοιχείων κόστους του σχεδίου δράσης για το κλίμα, η ΕΤΕπ χρησιμοποιεί τη διεθνώς συμφωνημένη μεθοδολογία,</w:t>
      </w:r>
    </w:p>
    <w:p>
      <w:pPr>
        <w:pStyle w:val="Point2"/>
        <w:rPr>
          <w:noProof/>
        </w:rPr>
      </w:pPr>
      <w:r>
        <w:rPr>
          <w:noProof/>
        </w:rPr>
        <w:t>β)</w:t>
      </w:r>
      <w:r>
        <w:rPr>
          <w:noProof/>
        </w:rPr>
        <w:tab/>
        <w:t>διασφαλίζει ότι το μεγαλύτερο μέρος της χρηματοδότησης του ΕΤΣΕ στο σκέλος στήριξης της φερεγγυότητας χρησιμοποιείται για τη στήριξη επιλέξιμων επιχειρήσεων στα κράτη μέλη και στους τομείς που πλήττονται οικονομικά περισσότερο από την πανδημία Covid-19,</w:t>
      </w:r>
    </w:p>
    <w:p>
      <w:pPr>
        <w:pStyle w:val="Point2"/>
        <w:rPr>
          <w:noProof/>
        </w:rPr>
      </w:pPr>
      <w:r>
        <w:rPr>
          <w:noProof/>
        </w:rPr>
        <w:t>γ)</w:t>
      </w:r>
      <w:r>
        <w:rPr>
          <w:noProof/>
        </w:rPr>
        <w:tab/>
        <w:t>διασφαλίζει ότι το μεγαλύτερο μέρος της χρηματοδότησης του ΕΤΣΕ στο σκέλος στήριξης της φερεγγυότητας χρησιμοποιείται για τη στήριξη επιλέξιμων επιχειρήσεων στα κράτη μέλη στα οποία η διαθεσιμότητα κρατικής στήριξης της φερεγγυότητας είναι περισσότερο περιορισμένη.</w:t>
      </w:r>
    </w:p>
    <w:p>
      <w:pPr>
        <w:ind w:left="851"/>
        <w:rPr>
          <w:noProof/>
        </w:rPr>
      </w:pPr>
      <w:r>
        <w:rPr>
          <w:noProof/>
        </w:rPr>
        <w:t>Το διοικητικό συμβούλιο παρέχει, όπου απαιτείται, αναλυτική καθοδήγηση αναφορικά με τα στοιχεία α) έως γ).»</w:t>
      </w:r>
    </w:p>
    <w:p>
      <w:pPr>
        <w:pStyle w:val="ListNumber"/>
        <w:rPr>
          <w:noProof/>
        </w:rPr>
      </w:pPr>
      <w:r>
        <w:rPr>
          <w:noProof/>
        </w:rPr>
        <w:t>Στο άρθρο 9, τα στοιχεία α) και β) της παραγράφου 3 τροποποιούνται ως εξής:</w:t>
      </w:r>
    </w:p>
    <w:p>
      <w:pPr>
        <w:ind w:left="851"/>
        <w:rPr>
          <w:noProof/>
        </w:rPr>
      </w:pPr>
      <w:r>
        <w:rPr>
          <w:noProof/>
        </w:rPr>
        <w:t>«α)</w:t>
      </w:r>
      <w:r>
        <w:rPr>
          <w:noProof/>
        </w:rPr>
        <w:tab/>
        <w:t>τις 31 Δεκεμβρίου 2020, για πράξεις της ΕΤΕπ στο σκέλος υποδομής και καινοτομίας για τις οποίες έχει υπογραφεί σύμβαση μεταξύ της ΕΤΕπ και του δικαιούχου ή του χρηματοπιστωτικού διαμεσολαβητή έως τις 31 Δεκεμβρίου 2022·</w:t>
      </w:r>
    </w:p>
    <w:p>
      <w:pPr>
        <w:ind w:left="851"/>
        <w:rPr>
          <w:noProof/>
        </w:rPr>
      </w:pPr>
      <w:r>
        <w:rPr>
          <w:noProof/>
        </w:rPr>
        <w:t xml:space="preserve">β) </w:t>
      </w:r>
      <w:r>
        <w:rPr>
          <w:noProof/>
        </w:rPr>
        <w:tab/>
        <w:t>τις 31 Δεκεμβρίου 2020, για πράξεις του ΕΤΕ στο σκέλος για τις ΜΜΕ για τις οποίες έχει υπογραφεί σύμβαση μεταξύ της ΕΤΕπ και του δικαιούχου ή του χρηματοπιστωτικού διαμεσολαβητή έως τις 31 Δεκεμβρίου 2022·»</w:t>
      </w:r>
    </w:p>
    <w:p>
      <w:pPr>
        <w:pStyle w:val="ListNumber"/>
        <w:rPr>
          <w:noProof/>
        </w:rPr>
      </w:pPr>
      <w:r>
        <w:rPr>
          <w:noProof/>
        </w:rPr>
        <w:t>Στο άρθρο 9 παράγραφος 3 προστίθεται το στοιχείο γ) ως εξής:</w:t>
      </w:r>
    </w:p>
    <w:p>
      <w:pPr>
        <w:ind w:left="851"/>
        <w:rPr>
          <w:noProof/>
        </w:rPr>
      </w:pPr>
      <w:r>
        <w:rPr>
          <w:noProof/>
        </w:rPr>
        <w:t xml:space="preserve">«γ) </w:t>
      </w:r>
      <w:r>
        <w:rPr>
          <w:noProof/>
        </w:rPr>
        <w:tab/>
        <w:t xml:space="preserve">τις 31 Δεκεμβρίου 2024, για πράξεις της ΕΤΕπ ή του ΕΤΕ στο πλαίσιο της εγγύησης της ΕΕ για το σκέλος στήριξης της φερεγγυότητας που αναφέρεται στο άρθρο 11 παράγραφος 1 τρίτο εδάφιο.  Οι συμβάσεις μεταξύ της ΕΤΕπ ή του ΕΤΕ και του δικαιούχου ή του χρηματοπιστωτικού διαμεσολαβητή για τις εν λόγω πράξεις υπογράφονται έως τις 31 Δεκεμβρίου 2026, με την επιφύλαξη έγκρισης από τα διοικητικά όργανα της ΕΤΕπ ή του ΕΤΕ σύμφωνα με το άρθρο 4 παράγραφος 6 του κανονισμού [EURI].» </w:t>
      </w:r>
    </w:p>
    <w:p>
      <w:pPr>
        <w:pStyle w:val="ListNumber"/>
        <w:rPr>
          <w:noProof/>
        </w:rPr>
      </w:pPr>
      <w:r>
        <w:rPr>
          <w:noProof/>
        </w:rPr>
        <w:t>Στο άρθρο 10, τα στοιχεία β) και γ) της παραγράφου 2 τροποποιούνται ως εξής:</w:t>
      </w:r>
    </w:p>
    <w:p>
      <w:pPr>
        <w:ind w:left="851"/>
        <w:rPr>
          <w:noProof/>
        </w:rPr>
      </w:pPr>
      <w:r>
        <w:rPr>
          <w:noProof/>
        </w:rPr>
        <w:t>«β)</w:t>
      </w:r>
      <w:r>
        <w:rPr>
          <w:noProof/>
        </w:rPr>
        <w:tab/>
        <w:t>χρηματοδότηση ή εγγυήσεις από την ΕΤΕπ στο ΕΤΕ που του δίνει τη δυνατότητα να αναλαμβάνει δάνεια, εγγυήσεις, αντεγγυήσεις, οποιοσδήποτε άλλο μέσο πιστωτικής ενίσχυσης, μέσα κεφαλαιαγοράς και συμμετοχές μετοχικού ή οιονεί μετοχικού κεφαλαίου, συμπεριλαμβανομένων υπέρ εθνικών αναπτυξιακών τραπεζών ή ιδρυμάτων, επενδυτικών πλατφορμών, ταμείων ή φορέων ειδικού σκοπού·</w:t>
      </w:r>
    </w:p>
    <w:p>
      <w:pPr>
        <w:ind w:left="851"/>
        <w:rPr>
          <w:noProof/>
        </w:rPr>
      </w:pPr>
      <w:r>
        <w:rPr>
          <w:noProof/>
        </w:rPr>
        <w:t>γ)</w:t>
      </w:r>
      <w:r>
        <w:rPr>
          <w:noProof/>
        </w:rPr>
        <w:tab/>
        <w:t>εγγυήσεις της ΕΤΕπ σε εθνικές αναπτυξιακές τράπεζες ή ιδρύματα, σε επενδυτικές πλατφόρμες, ταμεία ή φορείς ειδικού σκοπού βάσει αντεγγύησης της εγγύησης της ΕΕ.»</w:t>
      </w:r>
    </w:p>
    <w:p>
      <w:pPr>
        <w:pStyle w:val="ListNumber"/>
        <w:rPr>
          <w:noProof/>
        </w:rPr>
      </w:pPr>
      <w:r>
        <w:rPr>
          <w:noProof/>
        </w:rPr>
        <w:t>Στο άρθρο 10 παράγραφος 2 προστίθεται τρίτο εδάφιο ως εξής:</w:t>
      </w:r>
    </w:p>
    <w:p>
      <w:pPr>
        <w:ind w:left="851"/>
        <w:rPr>
          <w:noProof/>
        </w:rPr>
      </w:pPr>
      <w:r>
        <w:rPr>
          <w:noProof/>
        </w:rPr>
        <w:t>«Τα επιλέξιμα μέσα υπό το σκέλος στήριξης της φερεγγυότητας καταλήγουν στην παροχή μετοχικού ή οιονεί μετοχικού κεφαλαίου σε επιχειρήσεις που αναφέρονται στο άρθρο 3 στοιχείο γ). Μπορούν να χρησιμοποιηθούν υβριδικά μέσα σύμφωνα με το παράρτημα II αν τα μέσα αυτά ανταποκρίνονται στον σκοπό του σκέλους.»</w:t>
      </w:r>
    </w:p>
    <w:p>
      <w:pPr>
        <w:pStyle w:val="ListNumber"/>
        <w:rPr>
          <w:noProof/>
        </w:rPr>
      </w:pPr>
      <w:r>
        <w:rPr>
          <w:noProof/>
        </w:rPr>
        <w:lastRenderedPageBreak/>
        <w:t>Στο άρθρο 10 παράγραφος 4 προστίθεται δεύτερη περίοδος ως εξής:</w:t>
      </w:r>
    </w:p>
    <w:p>
      <w:pPr>
        <w:ind w:left="851"/>
        <w:rPr>
          <w:noProof/>
        </w:rPr>
      </w:pPr>
      <w:r>
        <w:rPr>
          <w:noProof/>
        </w:rPr>
        <w:t>«Στο πλαίσιο του σκέλους στήριξης της φερεγγυότητας, το ΕΤΕ μπορεί να χορηγεί εγγυήσεις σε ταμεία και φορείς ειδικού σκοπού.»</w:t>
      </w:r>
    </w:p>
    <w:p>
      <w:pPr>
        <w:pStyle w:val="ListNumber"/>
        <w:rPr>
          <w:noProof/>
        </w:rPr>
      </w:pPr>
      <w:r>
        <w:rPr>
          <w:noProof/>
        </w:rPr>
        <w:t>Στο άρθρο 10, προστίθεται παράγραφος 5 ως εξής:</w:t>
      </w:r>
    </w:p>
    <w:p>
      <w:pPr>
        <w:ind w:left="851"/>
        <w:rPr>
          <w:noProof/>
        </w:rPr>
      </w:pPr>
      <w:r>
        <w:rPr>
          <w:noProof/>
        </w:rPr>
        <w:t>«Οι διαμεσολαβητές στο πλαίσιο του σκέλους στήριξης της φερεγγυότητας είναι εγκατεστημένοι σε κράτος μέλος και δραστηριοποιούνται εντός της Ένωσης. Το διοικητικό συμβούλιο καθορίζει τις αναγκαίες απαιτήσεις σχετικά με τον έλεγχο των διαμεσολαβητών (ταμεία, φορείς ειδικού σκοπού και άλλα) λαμβάνοντας υπόψη τυχόν εφαρμοστέα ζητήματα δημόσιας τάξης ή ασφάλειας.»</w:t>
      </w:r>
    </w:p>
    <w:p>
      <w:pPr>
        <w:pStyle w:val="ListNumber"/>
        <w:rPr>
          <w:noProof/>
        </w:rPr>
      </w:pPr>
      <w:r>
        <w:rPr>
          <w:noProof/>
        </w:rPr>
        <w:t>Το άρθρο 11 παράγραφος 1 τροποποιείται ως εξής:</w:t>
      </w:r>
    </w:p>
    <w:p>
      <w:pPr>
        <w:ind w:left="851"/>
        <w:rPr>
          <w:noProof/>
        </w:rPr>
      </w:pPr>
      <w:r>
        <w:rPr>
          <w:noProof/>
        </w:rPr>
        <w:t>«1.</w:t>
      </w:r>
      <w:r>
        <w:rPr>
          <w:noProof/>
        </w:rPr>
        <w:tab/>
        <w:t xml:space="preserve">Η εγγύηση της ΕΕ ανέρχεται σε ποσό που ουδέποτε υπερβαίνει τα 92 436 320 000 EUR, μέρος του οποίου μπορεί να διατεθεί για χρηματοδότηση από την ΕΤΕπ ή την παροχή εγγυήσεων στο ΕΤΕ σύμφωνα με την παράγραφο 3 ή στο πλαίσιο του σκέλους στήριξης της φερεγγυότητας. </w:t>
      </w:r>
    </w:p>
    <w:p>
      <w:pPr>
        <w:ind w:left="851"/>
        <w:rPr>
          <w:noProof/>
        </w:rPr>
      </w:pPr>
      <w:r>
        <w:rPr>
          <w:noProof/>
        </w:rPr>
        <w:t>Ποσό έως και 66 436 320 000 EUR από την εγγύηση της ΕΕ διατίθεται για πράξεις στο πλαίσιο του σκέλους στήριξης της φερεγγυότητας.</w:t>
      </w:r>
    </w:p>
    <w:p>
      <w:pPr>
        <w:ind w:left="851"/>
        <w:rPr>
          <w:noProof/>
        </w:rPr>
      </w:pPr>
      <w:r>
        <w:rPr>
          <w:noProof/>
        </w:rPr>
        <w:t>Ποσό έως και 56 476 320 000 EUR από το ποσό που αναφέρεται στο δεύτερο εδάφιο διατίθεται για τα εκτελεστικά μέτρα που αναφέρονται στο άρθρο 2 του κανονισμού [EURI] και είναι διαθέσιμο μόνο από την ημερομηνία που αναφέρεται στο άρθρο 4 παράγραφος 3 του εν λόγω κανονισμού.</w:t>
      </w:r>
    </w:p>
    <w:p>
      <w:pPr>
        <w:ind w:left="851"/>
        <w:rPr>
          <w:noProof/>
        </w:rPr>
      </w:pPr>
      <w:r>
        <w:rPr>
          <w:noProof/>
        </w:rPr>
        <w:t>Οι σωρευτικές καθαρές πληρωμές από τον γενικό προϋπολογισμό της Ένωσης δυνάμει της εγγύησης της ΕΕ δεν υπερβαίνουν τα 92 436 320 000 EUR ούτε υπερβαίνουν τα 26 000 000 000 EUR πριν από την [</w:t>
      </w:r>
      <w:r>
        <w:rPr>
          <w:i/>
          <w:noProof/>
        </w:rPr>
        <w:t>ημερομηνία έναρξης ισχύος του παρόντος κανονισμού</w:t>
      </w:r>
      <w:r>
        <w:rPr>
          <w:noProof/>
        </w:rPr>
        <w:t>].»</w:t>
      </w:r>
    </w:p>
    <w:p>
      <w:pPr>
        <w:pStyle w:val="ListNumber"/>
        <w:rPr>
          <w:noProof/>
        </w:rPr>
      </w:pPr>
      <w:r>
        <w:rPr>
          <w:noProof/>
        </w:rPr>
        <w:t>Στο άρθρο 11 παράγραφος 3, η πρώτη περίοδος τροποποιείται ως εξής:</w:t>
      </w:r>
    </w:p>
    <w:p>
      <w:pPr>
        <w:ind w:left="851"/>
        <w:rPr>
          <w:noProof/>
        </w:rPr>
      </w:pPr>
      <w:r>
        <w:rPr>
          <w:noProof/>
        </w:rPr>
        <w:t>«3.</w:t>
      </w:r>
      <w:r>
        <w:rPr>
          <w:noProof/>
        </w:rPr>
        <w:tab/>
        <w:t>Όταν η ΕΤΕπ παρέχει χρηματοδότηση ή εγγυήσεις προς το ΕΤΕ υπό το σκέλος για τις ΜΜΕ για τη διενέργεια χρηματοδοτικών και επενδυτικών δραστηριοτήτων της ΕΤΕπ, η εγγύηση της ΕΕ καλύπτει πλήρως την ανωτέρω χρηματοδότηση ή εγγυήσεις μέχρι ένα αρχικό όριο 6 500 000 000 EUR, υπό την προϋπόθεση ότι παρέχεται σταδιακά από την ΕΤΕπ ποσό τουλάχιστον 4 000 000 000 EUR για χρηματοδότηση ή εγγυήσεις χωρίς κάλυψη από την εγγύηση της ΕΕ.»</w:t>
      </w:r>
    </w:p>
    <w:p>
      <w:pPr>
        <w:pStyle w:val="ListNumber"/>
        <w:rPr>
          <w:noProof/>
        </w:rPr>
      </w:pPr>
      <w:r>
        <w:rPr>
          <w:noProof/>
        </w:rPr>
        <w:t>Στο άρθρο 11, το δεύτερο εδάφιο της παραγράφου 6 τροποποιείται ως εξής:</w:t>
      </w:r>
    </w:p>
    <w:p>
      <w:pPr>
        <w:pStyle w:val="Text1"/>
        <w:rPr>
          <w:noProof/>
        </w:rPr>
      </w:pPr>
      <w:r>
        <w:rPr>
          <w:noProof/>
        </w:rPr>
        <w:t>«Η εγγύηση της ΕΕ καλύπτει επίσης τα ποσά που αναφέρονται στο άρθρο 9 παράγραφος 6 δεύτερο, τρίτο και τέταρτο εδάφιο.»</w:t>
      </w:r>
    </w:p>
    <w:p>
      <w:pPr>
        <w:pStyle w:val="ListNumber"/>
        <w:tabs>
          <w:tab w:val="clear" w:pos="851"/>
        </w:tabs>
        <w:rPr>
          <w:noProof/>
        </w:rPr>
      </w:pPr>
      <w:r>
        <w:rPr>
          <w:noProof/>
        </w:rPr>
        <w:t>Το άρθρο 12 τροποποιείται ως εξής:</w:t>
      </w:r>
    </w:p>
    <w:p>
      <w:pPr>
        <w:pStyle w:val="Point2"/>
        <w:ind w:left="1418"/>
        <w:rPr>
          <w:noProof/>
        </w:rPr>
      </w:pPr>
      <w:r>
        <w:rPr>
          <w:noProof/>
        </w:rPr>
        <w:t>α)</w:t>
      </w:r>
      <w:r>
        <w:rPr>
          <w:noProof/>
        </w:rPr>
        <w:tab/>
        <w:t xml:space="preserve">Στην παράγραφο 2, προστίθεται νέο στοιχείο ε): </w:t>
      </w:r>
    </w:p>
    <w:p>
      <w:pPr>
        <w:ind w:left="851"/>
        <w:rPr>
          <w:noProof/>
        </w:rPr>
      </w:pPr>
      <w:r>
        <w:rPr>
          <w:noProof/>
        </w:rPr>
        <w:t>«ε)</w:t>
      </w:r>
      <w:r>
        <w:rPr>
          <w:noProof/>
        </w:rPr>
        <w:tab/>
        <w:t xml:space="preserve">ποσό 28 238 160 000 EUR από το ποσό που αναφέρεται στο άρθρο 3 παράγραφος 2 στοιχείο γ) σημείο ii) του κανονισμού [EURI].» </w:t>
      </w:r>
    </w:p>
    <w:p>
      <w:pPr>
        <w:pStyle w:val="Point2"/>
        <w:ind w:left="1418"/>
        <w:rPr>
          <w:noProof/>
        </w:rPr>
      </w:pPr>
      <w:r>
        <w:rPr>
          <w:noProof/>
        </w:rPr>
        <w:t>β)</w:t>
      </w:r>
      <w:r>
        <w:rPr>
          <w:noProof/>
        </w:rPr>
        <w:tab/>
        <w:t xml:space="preserve">Στην παράγραφο 3, προστίθεται το ακόλουθο δεύτερο εδάφιο: </w:t>
      </w:r>
    </w:p>
    <w:p>
      <w:pPr>
        <w:ind w:left="851"/>
        <w:rPr>
          <w:noProof/>
        </w:rPr>
      </w:pPr>
      <w:r>
        <w:rPr>
          <w:noProof/>
        </w:rPr>
        <w:t>«Οι χορηγήσεις προς το ταμείο εγγυήσεων που προβλέπονται στο στοιχείο ε) της παραγράφου 2 του παρόντος άρθρου συνιστούν εξωτερικό έσοδο για ειδικό προορισμό, σύμφωνα με το άρθρο 21 παράγραφος 5 του δημοσιονομικού κανονισμού.»</w:t>
      </w:r>
    </w:p>
    <w:p>
      <w:pPr>
        <w:pStyle w:val="Point2"/>
        <w:ind w:left="1418"/>
        <w:rPr>
          <w:noProof/>
        </w:rPr>
      </w:pPr>
      <w:r>
        <w:rPr>
          <w:noProof/>
        </w:rPr>
        <w:lastRenderedPageBreak/>
        <w:t>γ)</w:t>
      </w:r>
      <w:r>
        <w:rPr>
          <w:noProof/>
        </w:rPr>
        <w:tab/>
        <w:t xml:space="preserve"> Η παράγραφος 5 τροποποιείται ως εξής:</w:t>
      </w:r>
    </w:p>
    <w:p>
      <w:pPr>
        <w:ind w:left="851"/>
        <w:rPr>
          <w:noProof/>
        </w:rPr>
      </w:pPr>
      <w:r>
        <w:rPr>
          <w:noProof/>
        </w:rPr>
        <w:t>«5.</w:t>
      </w:r>
      <w:r>
        <w:rPr>
          <w:noProof/>
        </w:rPr>
        <w:tab/>
        <w:t>Οι χορηγήσεις προς το ταμείο εγγυήσεων που αναφέρονται στα στοιχεία α) έως δ) της παραγράφου 2 και οι χορηγήσεις που αναφέρονται στο στοιχείο ε) της παραγράφου 2 χρησιμοποιούνται για την επίτευξη ενός κατάλληλου επιπέδου (ποσού στόχου) που να αντικατοπτρίζει τις συνολικές υποχρεώσεις από την εγγύηση της ΕΕ. Το ποσό στόχος ορίζεται σε 45,8 % των συνολικών υποχρεώσεων από την εγγύηση της ΕΕ.»</w:t>
      </w:r>
    </w:p>
    <w:p>
      <w:pPr>
        <w:pStyle w:val="Point2"/>
        <w:ind w:left="1418"/>
        <w:rPr>
          <w:noProof/>
        </w:rPr>
      </w:pPr>
      <w:r>
        <w:rPr>
          <w:noProof/>
        </w:rPr>
        <w:t>δ)</w:t>
      </w:r>
      <w:r>
        <w:rPr>
          <w:noProof/>
        </w:rPr>
        <w:tab/>
        <w:t>Η παράγραφος 7 τροποποιείται ως εξής:</w:t>
      </w:r>
    </w:p>
    <w:p>
      <w:pPr>
        <w:ind w:left="851"/>
        <w:rPr>
          <w:noProof/>
        </w:rPr>
      </w:pPr>
      <w:r>
        <w:rPr>
          <w:noProof/>
        </w:rPr>
        <w:t>«7.</w:t>
      </w:r>
      <w:r>
        <w:rPr>
          <w:noProof/>
        </w:rPr>
        <w:tab/>
        <w:t>Από την 1η Ιανουαρίου 2028, εάν ως αποτέλεσμα της κατάπτωσης εγγυήσεων της ΕΕ το επίπεδο των κεφαλαίων του ταμείου είναι χαμηλότερο του 50 % του ποσού στόχου ή ενδέχεται να πέσει κάτω από το εν λόγω επίπεδο εντός ενός έτους σύμφωνα με αξιολόγηση κινδύνου από την Επιτροπή, η Επιτροπή υποβάλλει έκθεση για έκτακτα μέτρα που μπορεί να απαιτηθούν.»</w:t>
      </w:r>
    </w:p>
    <w:p>
      <w:pPr>
        <w:pStyle w:val="Point2"/>
        <w:ind w:left="1418"/>
        <w:rPr>
          <w:noProof/>
        </w:rPr>
      </w:pPr>
      <w:r>
        <w:rPr>
          <w:noProof/>
        </w:rPr>
        <w:t>ε)</w:t>
      </w:r>
      <w:r>
        <w:rPr>
          <w:noProof/>
        </w:rPr>
        <w:tab/>
        <w:t>Η παράγραφος 10 τροποποιείται ως εξής:</w:t>
      </w:r>
    </w:p>
    <w:p>
      <w:pPr>
        <w:ind w:left="851"/>
        <w:rPr>
          <w:noProof/>
        </w:rPr>
      </w:pPr>
      <w:r>
        <w:rPr>
          <w:noProof/>
        </w:rPr>
        <w:t>«10.</w:t>
      </w:r>
      <w:r>
        <w:rPr>
          <w:noProof/>
        </w:rPr>
        <w:tab/>
        <w:t>Αν η εγγύηση της ΕΕ έχει αποκατασταθεί πλήρως έως το ποσό των 92 436 320 000 EUR, οποιοδήποτε ποσό του ταμείου εγγυήσεων επιπλέον του ποσού στόχου καταβάλλεται στον γενικό προϋπολογισμό της Ένωσης.»</w:t>
      </w:r>
    </w:p>
    <w:p>
      <w:pPr>
        <w:pStyle w:val="ListNumber"/>
        <w:rPr>
          <w:noProof/>
        </w:rPr>
      </w:pPr>
      <w:r>
        <w:rPr>
          <w:noProof/>
        </w:rPr>
        <w:t>Στο άρθρο 13, το δεύτερο εδάφιο τροποποιείται ως εξής:</w:t>
      </w:r>
    </w:p>
    <w:p>
      <w:pPr>
        <w:pStyle w:val="Text1"/>
        <w:rPr>
          <w:noProof/>
        </w:rPr>
      </w:pPr>
      <w:r>
        <w:rPr>
          <w:noProof/>
        </w:rPr>
        <w:t>«Αν είναι αναγκαίο, μπορούν να εγγραφούν πιστώσεις πληρωμών στον γενικό προϋπολογισμό της Ένωσης μετά το 2020 και έως και το οικονομικό έτος 2027 για την εκπλήρωση των υποχρεώσεων που απορρέουν από το άρθρο 12 παράγραφος 5.»’</w:t>
      </w:r>
    </w:p>
    <w:p>
      <w:pPr>
        <w:pStyle w:val="ListNumber"/>
        <w:rPr>
          <w:noProof/>
        </w:rPr>
      </w:pPr>
      <w:r>
        <w:rPr>
          <w:noProof/>
        </w:rPr>
        <w:t>Παρεμβάλλεται το ακόλουθο Κεφάλαιο IIIα:</w:t>
      </w:r>
    </w:p>
    <w:p>
      <w:pPr>
        <w:jc w:val="center"/>
        <w:rPr>
          <w:noProof/>
        </w:rPr>
      </w:pPr>
      <w:r>
        <w:rPr>
          <w:noProof/>
        </w:rPr>
        <w:t>«Άρθρο 13α</w:t>
      </w:r>
    </w:p>
    <w:p>
      <w:pPr>
        <w:jc w:val="center"/>
        <w:rPr>
          <w:noProof/>
        </w:rPr>
      </w:pPr>
      <w:r>
        <w:rPr>
          <w:noProof/>
        </w:rPr>
        <w:t>Συμμετοχή σε αύξηση κεφαλαίου του Ευρωπαϊκού Ταμείου Επενδύσεων</w:t>
      </w:r>
    </w:p>
    <w:p>
      <w:pPr>
        <w:autoSpaceDE w:val="0"/>
        <w:autoSpaceDN w:val="0"/>
        <w:adjustRightInd w:val="0"/>
        <w:spacing w:before="0" w:after="0"/>
        <w:rPr>
          <w:noProof/>
        </w:rPr>
      </w:pPr>
      <w:r>
        <w:rPr>
          <w:noProof/>
        </w:rPr>
        <w:t>Η Ένωση συμμετέχει στις προσεχείς αυξήσεις κεφαλαίου του Ευρωπαϊκού Ταμείου Επενδύσεων κατά τρόπον ώστε το σχετικό μερίδιό της στο κεφάλαιο να παραμένει στο τρέχον επίπεδο. Η εγγραφή για την αγορά μετοχών και η καταβολή έως και 500 000 000 EUR του καταβεβλημένου μέρους των μετοχών πραγματοποιείται σύμφωνα με τους όρους και τις προϋποθέσεις που εγκρίνονται από τη Γενική Συνέλευση του Ταμείου.»</w:t>
      </w:r>
    </w:p>
    <w:p>
      <w:pPr>
        <w:pStyle w:val="ListNumber"/>
        <w:rPr>
          <w:noProof/>
        </w:rPr>
      </w:pPr>
      <w:r>
        <w:rPr>
          <w:noProof/>
        </w:rPr>
        <w:t>Το άρθρο 14 τροποποιείται ως εξής:</w:t>
      </w:r>
    </w:p>
    <w:p>
      <w:pPr>
        <w:ind w:left="851"/>
        <w:rPr>
          <w:noProof/>
        </w:rPr>
      </w:pPr>
      <w:r>
        <w:rPr>
          <w:noProof/>
        </w:rPr>
        <w:t>α) Στην παράγραφο 2 προστίθεται στοιχείο θ) ως εξής:</w:t>
      </w:r>
    </w:p>
    <w:p>
      <w:pPr>
        <w:ind w:left="851"/>
        <w:rPr>
          <w:noProof/>
        </w:rPr>
      </w:pPr>
      <w:r>
        <w:rPr>
          <w:noProof/>
        </w:rPr>
        <w:t>«θ) την παροχή στήριξης σε χρηματοδοτικές και επενδυτικές πράξεις στο πλαίσιο του σκέλους στήριξης της φερεγγυότητας.»</w:t>
      </w:r>
    </w:p>
    <w:p>
      <w:pPr>
        <w:ind w:left="851"/>
        <w:rPr>
          <w:noProof/>
        </w:rPr>
      </w:pPr>
      <w:r>
        <w:rPr>
          <w:noProof/>
        </w:rPr>
        <w:t>β) Η παράγραφος 3 τροποποιείται ως εξής:</w:t>
      </w:r>
    </w:p>
    <w:p>
      <w:pPr>
        <w:ind w:left="851"/>
        <w:rPr>
          <w:noProof/>
        </w:rPr>
      </w:pPr>
      <w:r>
        <w:rPr>
          <w:noProof/>
        </w:rPr>
        <w:t>«Οι υπηρεσίες του ΕΚΕΣ θα πρέπει να είναι διαθέσιμες στους δημόσιους και τους ιδιωτικούς φορείς υλοποίησης έργων, συμπεριλαμβανομένων των εθνικών αναπτυξιακών τραπεζών ή ιδρυμάτων, των επενδυτικών πλατφορμών, των ταμείων, των φορέων ειδικού σκοπού και των περιφερειακών και τοπικών δημόσιων φορέων.»</w:t>
      </w:r>
    </w:p>
    <w:p>
      <w:pPr>
        <w:pStyle w:val="ListNumber"/>
        <w:rPr>
          <w:noProof/>
        </w:rPr>
      </w:pPr>
      <w:r>
        <w:rPr>
          <w:noProof/>
        </w:rPr>
        <w:t>Προστίθεται το ακόλουθο άρθρο 14α:</w:t>
      </w:r>
    </w:p>
    <w:p>
      <w:pPr>
        <w:jc w:val="center"/>
        <w:rPr>
          <w:noProof/>
        </w:rPr>
      </w:pPr>
      <w:r>
        <w:rPr>
          <w:noProof/>
        </w:rPr>
        <w:t>«Άρθρο 14α</w:t>
      </w:r>
    </w:p>
    <w:p>
      <w:pPr>
        <w:jc w:val="center"/>
        <w:rPr>
          <w:noProof/>
        </w:rPr>
      </w:pPr>
      <w:r>
        <w:rPr>
          <w:noProof/>
        </w:rPr>
        <w:lastRenderedPageBreak/>
        <w:t xml:space="preserve">Χρηματοδότηση συμβουλευτικών υπηρεσιών και τεχνικής βοήθειας </w:t>
      </w:r>
    </w:p>
    <w:p>
      <w:pPr>
        <w:autoSpaceDE w:val="0"/>
        <w:autoSpaceDN w:val="0"/>
        <w:adjustRightInd w:val="0"/>
        <w:spacing w:before="0" w:after="0"/>
        <w:rPr>
          <w:noProof/>
        </w:rPr>
      </w:pPr>
      <w:r>
        <w:rPr>
          <w:noProof/>
        </w:rPr>
        <w:t xml:space="preserve">Ποσό έως και 100 000 000 EUR διατίθεται για την κάλυψη δαπανών, συμβουλευτικών υπηρεσιών και τεχνικής και διοικητικής βοήθειας για τη σύσταση και τη διαχείριση ταμείων, φορέων ειδικού σκοπού, επενδυτικών πλατφορμών και λοιπών φορέων για τους σκοπούς του σκέλους στήριξης της φερεγγυότητας, μεταξύ άλλων για τη στήριξη που αναφέρεται στο άρθρο 14 παράγραφος 2 στοιχείο θ) και εστιάζεται ειδικά στα κράτη μέλη με λιγότερο ανεπτυγμένες αγορές μετοχικών τίτλων. Η τεχνική βοήθεια είναι επίσης διαθέσιμη για να στηριχθεί ο πράσινος και ο ψηφιακός μετασχηματισμός των επιχειρήσεων που χρηματοδοτούνται στο πλαίσιο του εν λόγω σκέλους. </w:t>
      </w:r>
    </w:p>
    <w:p>
      <w:pPr>
        <w:autoSpaceDE w:val="0"/>
        <w:autoSpaceDN w:val="0"/>
        <w:adjustRightInd w:val="0"/>
        <w:spacing w:before="0" w:after="0"/>
        <w:rPr>
          <w:noProof/>
        </w:rPr>
      </w:pPr>
    </w:p>
    <w:p>
      <w:pPr>
        <w:autoSpaceDE w:val="0"/>
        <w:autoSpaceDN w:val="0"/>
        <w:adjustRightInd w:val="0"/>
        <w:spacing w:before="0" w:after="0"/>
        <w:rPr>
          <w:noProof/>
        </w:rPr>
      </w:pPr>
      <w:r>
        <w:rPr>
          <w:noProof/>
        </w:rPr>
        <w:t>Η Επιτροπή εκτελεί το ποσό αυτό υπό άμεση ή έμμεση διαχείριση όπως αναφέρεται στο άρθρο 62 παράγραφος 1 στοιχεία α) και γ) του δημοσιονομικού κανονισμού.</w:t>
      </w:r>
    </w:p>
    <w:p>
      <w:pPr>
        <w:autoSpaceDE w:val="0"/>
        <w:autoSpaceDN w:val="0"/>
        <w:adjustRightInd w:val="0"/>
        <w:spacing w:before="0" w:after="0"/>
        <w:rPr>
          <w:noProof/>
        </w:rPr>
      </w:pPr>
    </w:p>
    <w:p>
      <w:pPr>
        <w:autoSpaceDE w:val="0"/>
        <w:autoSpaceDN w:val="0"/>
        <w:adjustRightInd w:val="0"/>
        <w:spacing w:before="0" w:after="0"/>
        <w:rPr>
          <w:noProof/>
        </w:rPr>
      </w:pPr>
      <w:r>
        <w:rPr>
          <w:noProof/>
        </w:rPr>
        <w:t>Ποσό 80 000 000 EUR από το ποσό που αναφέρεται στο πρώτο εδάφιο συνιστά εξωτερικό έσοδο για ειδικό προορισμό σύμφωνα με το άρθρο 21 παράγραφος 5 του δημοσιονομικού κανονισμού και υπόκειται στις διατάξεις του άρθρου 4 παράγραφοι 4 και 8 του κανονισμού [EURI].</w:t>
      </w:r>
    </w:p>
    <w:p>
      <w:pPr>
        <w:pStyle w:val="ListNumber"/>
        <w:rPr>
          <w:noProof/>
        </w:rPr>
      </w:pPr>
      <w:r>
        <w:rPr>
          <w:noProof/>
        </w:rPr>
        <w:t>Στο άρθρο 16 παράγραφος 2 προστίθεται δεύτερο εδάφιο ως εξής:</w:t>
      </w:r>
    </w:p>
    <w:p>
      <w:pPr>
        <w:ind w:left="851"/>
        <w:rPr>
          <w:noProof/>
        </w:rPr>
      </w:pPr>
      <w:r>
        <w:rPr>
          <w:noProof/>
        </w:rPr>
        <w:t>«Για τις πράξεις υπό το σκέλος στήριξης της φερεγγυότητας υποβάλλεται χωριστή έκθεση, κατά περίπτωση και όπως προβλέπεται στη συμφωνία εγγυήσεων.»</w:t>
      </w:r>
    </w:p>
    <w:p>
      <w:pPr>
        <w:pStyle w:val="ListNumber"/>
        <w:rPr>
          <w:noProof/>
        </w:rPr>
      </w:pPr>
      <w:r>
        <w:rPr>
          <w:noProof/>
        </w:rPr>
        <w:t>Στο άρθρο 16 παράγραφος 3 προστίθεται δεύτερο εδάφιο ως εξής:</w:t>
      </w:r>
    </w:p>
    <w:p>
      <w:pPr>
        <w:ind w:left="851"/>
        <w:rPr>
          <w:noProof/>
        </w:rPr>
      </w:pPr>
      <w:r>
        <w:rPr>
          <w:noProof/>
        </w:rPr>
        <w:t>«Οι ετήσιες οικονομικές καταστάσεις της εγγύησης της ΕΕ καταρτίζονται σύμφωνα με τους λογιστικούς κανόνες που εγκρίνει ο υπόλογος της Επιτροπής όπως αναφέρεται στο άρθρο 80 του δημοσιονομικού κανονισμού (ΕΕ, Ευρατόμ)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Οι μη ελεγμένες οικονομικές καταστάσεις και οποιεσδήποτε πληροφορίες είναι απαραίτητες για την κατάρτιση των λογαριασμών της Ένωσης υποβάλλονται από τον Όμιλο ΕΤΕπ έως τη 15η Φεβρουαρίου του επόμενοι οικονομικού έτους και οι ελεγμένες οικονομικές καταστάσεις έως την 31η Μαρτίου του επόμενου οικονομικού έτους.»</w:t>
      </w:r>
    </w:p>
    <w:p>
      <w:pPr>
        <w:pStyle w:val="ListNumber"/>
        <w:rPr>
          <w:noProof/>
        </w:rPr>
      </w:pPr>
      <w:r>
        <w:rPr>
          <w:noProof/>
        </w:rPr>
        <w:t xml:space="preserve">Στο άρθρο 18 παράγραφος 3, η εισαγωγική περίοδος τροποποιείται ως εξής: </w:t>
      </w:r>
    </w:p>
    <w:p>
      <w:pPr>
        <w:ind w:left="851"/>
        <w:rPr>
          <w:noProof/>
        </w:rPr>
      </w:pPr>
      <w:r>
        <w:rPr>
          <w:noProof/>
        </w:rPr>
        <w:t>«3.</w:t>
      </w:r>
      <w:r>
        <w:rPr>
          <w:noProof/>
        </w:rPr>
        <w:tab/>
        <w:t>«Έως τις 30 Ιουνίου 2018, έως τις 30 Δεκεμβρίου 2021 και στη συνέχεια ανά τριετία:»</w:t>
      </w:r>
    </w:p>
    <w:p>
      <w:pPr>
        <w:pStyle w:val="ListNumber"/>
        <w:rPr>
          <w:noProof/>
        </w:rPr>
      </w:pPr>
      <w:r>
        <w:rPr>
          <w:noProof/>
        </w:rPr>
        <w:t>Στο άρθρο 24, προστίθενται οι ακόλουθες παράγραφοι 3 και 4:</w:t>
      </w:r>
    </w:p>
    <w:p>
      <w:pPr>
        <w:ind w:left="851"/>
        <w:rPr>
          <w:noProof/>
        </w:rPr>
      </w:pPr>
      <w:r>
        <w:rPr>
          <w:noProof/>
        </w:rPr>
        <w:t>«3.</w:t>
      </w:r>
      <w:r>
        <w:rPr>
          <w:noProof/>
        </w:rPr>
        <w:tab/>
        <w:t>Η ΕΤΕπ μπορεί να υποβάλλει στην Επιτροπή Επενδύσεων, μετά την έναρξη ισχύος του παρόντος κανονισμού, χρηματοδοτικές και επενδυτικές πράξεις που έχουν εγκριθεί από τα διοικητικά της όργανα κατά το χρονικό διάστημα από την έγκριση της πρότασης της Επιτροπής για την τροποποίηση του κανονισμού (ΕΕ) 2015/1017 έως την υπογραφή της τροποποιημένης συμφωνίας εγγυήσεων βάσει του τροποποιημένου κανονισμού, εάν οι εν λόγω πράξεις πληρούν τις προϋποθέσεις στήριξης στο πλαίσιο του μέσου στήριξης της φερεγγυότητας. Οι πράξεις προς υποβολή στην Επιτροπή Επενδύσεων δεν πρέπει να έχουν επωφεληθεί από στήριξη της εγγύησης της ΕΕ παλαιότερα.</w:t>
      </w:r>
    </w:p>
    <w:p>
      <w:pPr>
        <w:ind w:left="851"/>
        <w:rPr>
          <w:noProof/>
        </w:rPr>
      </w:pPr>
      <w:r>
        <w:rPr>
          <w:noProof/>
        </w:rPr>
        <w:lastRenderedPageBreak/>
        <w:t>4.</w:t>
      </w:r>
      <w:r>
        <w:rPr>
          <w:noProof/>
        </w:rPr>
        <w:tab/>
        <w:t>Μόλις αναλάβει καθήκοντα η Επιτροπή Επενδύσεων που προβλέπεται στον κανονισμό InvestEU, καθίσταται επίσης αρμόδια για τη χορήγηση της εγγύησης της ΕΕ δυνάμει του παρόντος κανονισμού.»</w:t>
      </w:r>
    </w:p>
    <w:p>
      <w:pPr>
        <w:pStyle w:val="ListNumber"/>
        <w:rPr>
          <w:noProof/>
        </w:rPr>
      </w:pPr>
      <w:r>
        <w:rPr>
          <w:noProof/>
        </w:rPr>
        <w:t>Το παράρτημα II του κανονισμού (ΕΕ) 2015/2017 τροποποιείται ως εξής:</w:t>
      </w:r>
    </w:p>
    <w:p>
      <w:pPr>
        <w:pStyle w:val="Point1"/>
        <w:rPr>
          <w:noProof/>
        </w:rPr>
      </w:pPr>
      <w:r>
        <w:rPr>
          <w:noProof/>
        </w:rPr>
        <w:t>(1)</w:t>
      </w:r>
      <w:r>
        <w:rPr>
          <w:noProof/>
        </w:rPr>
        <w:tab/>
        <w:t>Στο τμήμα 1, το τρίτο εδάφιο αντικαθίσταται από το ακόλουθο κείμενο:</w:t>
      </w:r>
    </w:p>
    <w:p>
      <w:pPr>
        <w:pStyle w:val="Text2"/>
        <w:rPr>
          <w:noProof/>
        </w:rPr>
      </w:pPr>
      <w:r>
        <w:rPr>
          <w:noProof/>
        </w:rPr>
        <w:t>«Οι κατευθυντήριες γραμμές ισχύουν μόνο για πράξεις στο πλαίσιο του ΕΤΣΕ οι οποίες αφορούν χρεωστικά και μετοχικά μέσα αναφερόμενα στο άρθρο 10 παράγραφος 2 στοιχείο α) του παρόντος κανονισμού και για πράξεις στο πλαίσιο του ΕΤΣΕ υπό το σκέλος στήριξης της φερεγγυότητας που αναφέρονται στο άρθρο 10 παράγραφος 2 στοιχεία β) και γ). Συνεπώς, οι κατευθυντήριες γραμμές δεν ισχύουν επί πράξεων στο πλαίσιο του ΕΤΣΕ που αφορούν τα μέσα που αναφέρονται στο άρθρο 10 παράγραφος 2 στοιχείο β) εκτός από εκείνα που στηρίζονται στο πλαίσιο του σκέλους στήριξης της φερεγγυότητας.»</w:t>
      </w:r>
    </w:p>
    <w:p>
      <w:pPr>
        <w:pStyle w:val="Point1"/>
        <w:rPr>
          <w:noProof/>
        </w:rPr>
      </w:pPr>
      <w:r>
        <w:rPr>
          <w:noProof/>
        </w:rPr>
        <w:t>(2)</w:t>
      </w:r>
      <w:r>
        <w:rPr>
          <w:noProof/>
        </w:rPr>
        <w:tab/>
        <w:t>Το τμήμα 2 τροποποιείται ως εξής:</w:t>
      </w:r>
    </w:p>
    <w:p>
      <w:pPr>
        <w:pStyle w:val="Point2"/>
        <w:rPr>
          <w:noProof/>
        </w:rPr>
      </w:pPr>
      <w:r>
        <w:rPr>
          <w:noProof/>
        </w:rPr>
        <w:t>α)</w:t>
      </w:r>
      <w:r>
        <w:rPr>
          <w:noProof/>
        </w:rPr>
        <w:tab/>
        <w:t>στο στοιχείο β), η πρώτη παράγραφος αντικαθίσταται από το ακόλουθο κείμενο:</w:t>
      </w:r>
    </w:p>
    <w:p>
      <w:pPr>
        <w:pStyle w:val="Text3"/>
        <w:rPr>
          <w:noProof/>
        </w:rPr>
      </w:pPr>
      <w:r>
        <w:rPr>
          <w:noProof/>
        </w:rPr>
        <w:t>«β) Η εγγύηση της ΕΕ χορηγείται για τη άμεση ή έμμεση στήριξη της χρηματοδότησης νέων δραστηριοτήτων. Στον τομέα των υποδομών, θα πρέπει να ενθαρρύνονται επενδύσεις σε αναξιοποίητες ζώνες (δημιουργία περιουσιακών στοιχείων). Μπορούν επίσης να υποστηρίζονται επενδύσεις σε εγκαταλελειμμένες ρυπασμένες περιοχές (επέκταση και εκσυγχρονισμός υφιστάμενων περιουσιακών στοιχείων). Στο πλαίσιο του σκέλους στήριξης της φερεγγυότητας, η χρηματοδότηση αποσκοπεί στη βελτίωση της κεφαλαιουχικής βάσης των επιχειρήσεων και της φερεγγυότητάς τους. Οι όροι της χρηματοδότησης θα πρέπει να αποτρέπουν τη νόθευση του ανταγωνισμού μεταξύ των επιχειρήσεων. Κατά κανόνα, η εγγύηση της ΕΕ δεν χορηγείται για τη στήριξη πράξεων αναχρηματοδότησης (όπως η αντικατάσταση ισχυουσών συμφωνιών δανειοδότησης ή άλλες μορφές οικονομικής στήριξης για έργα που έχουν ήδη μερικώς ή πλήρως υλοποιηθεί), παρά μόνο στο πλαίσιο του σκέλους στήριξης της φερεγγυότητας ή σε εξαιρετικές και δεόντως αιτιολογημένες περιστάσεις όπου αποδεικνύεται ότι μια τέτοια πράξη θα επιτρέψει νέα επένδυση ποσού τουλάχιστον ισοδυνάμου με το ποσό της πράξης και η οποία θα πληρούσε τα κριτήρια επιλεξιμότητας και τους γενικούς στόχους όπως προβλέπονται αντιστοίχως στο άρθρο 6 και στο άρθρο 9 παράγραφος 2.»</w:t>
      </w:r>
    </w:p>
    <w:p>
      <w:pPr>
        <w:pStyle w:val="Point2"/>
        <w:rPr>
          <w:noProof/>
        </w:rPr>
      </w:pPr>
      <w:r>
        <w:rPr>
          <w:noProof/>
        </w:rPr>
        <w:t>β)</w:t>
      </w:r>
      <w:r>
        <w:rPr>
          <w:noProof/>
        </w:rPr>
        <w:tab/>
        <w:t>το στοιχείο γ) τροποποιείται ως εξής:</w:t>
      </w:r>
    </w:p>
    <w:p>
      <w:pPr>
        <w:pStyle w:val="Text3"/>
        <w:rPr>
          <w:noProof/>
        </w:rPr>
      </w:pPr>
      <w:r>
        <w:rPr>
          <w:noProof/>
        </w:rPr>
        <w:t xml:space="preserve">«γ) Η εγγύηση της ΕΕ στηρίζει ένα ευρύ φάσμα προϊόντων επιτρέποντας την προσαρμογή του ΕΤΣΕ στις ανάγκες της αγοράς και ενθαρρύνοντας παράλληλα ιδιωτικές επενδύσεις σε έργα, χωρίς να εξοβελίζεται η ιδιωτική χρηματοδότηση από την αγορά. Εν προκειμένω, αναμένεται ότι η ΕΤΕπ θα διαθέσει χρηματοδότηση στο πλαίσιο του ΕΤΣΕ με σκοπό να επιτευχθεί συνολικός στόχος δημόσιων ή ιδιωτικών επενδύσεων ύψους τουλάχιστον 500 000 000 000 EUR υπό το σκέλος υποδομής και καινοτομίας και υπό το σκέλος για τις ΜΜΕ συνδυαστικά, μεταξύ άλλων, με χρηματοδότηση διατιθέμενη μέσω του ΕΤΕ στο πλαίσιο </w:t>
      </w:r>
      <w:r>
        <w:rPr>
          <w:noProof/>
        </w:rPr>
        <w:lastRenderedPageBreak/>
        <w:t>πράξεων του ΕΤΣΕ που αφορούν τα μέσα που αναφέρονται στο άρθρο 10 παράγραφος 2 στοιχείο β), μέσω εθνικών αναπτυξιακών τραπεζών ή ιδρυμάτων και μέσω μεγαλύτερης πρόσβασης στη χρηματοδότηση οντοτήτων που απασχολούν έως και 3 000 εργαζομένους. Τα επιλέξιμα προϊόντα θα περιλαμβάνουν, μεταξύ άλλων</w:t>
      </w:r>
      <w:r>
        <w:rPr>
          <w:rStyle w:val="FootnoteReference"/>
          <w:noProof/>
        </w:rPr>
        <w:footnoteReference w:id="12"/>
      </w:r>
      <w:r>
        <w:rPr>
          <w:noProof/>
        </w:rPr>
        <w:t>, δάνεια, εγγυήσεις/αντεγγυήσεις, ενδιάμεση χρηματοδότηση και χρηματοδότηση μειωμένης εξασφάλισης, μέσα κεφαλαιαγοράς, συμπεριλαμβανομένης της πιστωτικής ενίσχυσης, συμμετοχές μετοχικού ή οιονεί μετοχικού κεφαλαίου, μεταξύ άλλων μέσω εθνικών αναπτυξιακών τραπεζών ή ιδρυμάτων, επενδυτικών πλατφορμών, ταμείων ή φορέων ειδικού σκοπού. Στο πλαίσιο αυτό, προκειμένου να επιτραπεί η επένδυση σε έργα του ΕΤΣΕ από ένα ευρύ φάσμα επενδυτών, θα πρέπει να μπορεί η ΕΤΕπ να διαμορφώνει κατάλληλα χαρτοφυλάκια. Τα επιλέξιμα προϊόντα υπό το σκέλος στήριξης της φερεγγυότητας συνίστανται σε προϊόντα που καταλήγουν στην παροχή επενδύσεων, μετοχικού ή οιονεί μετοχικού κεφαλαίου διαμεσολάβησης σε επιχειρήσεις και έργα, εξαιρουμένων των οντοτήτων που έχουν στόχο την εξαγορά (ή κεφάλαια αντικατάστασης) με σκοπό την εκποίηση περιουσιακών στοιχείων. Η ΕΤΕπ και το ΕΤΕ αναμένεται να παρέχουν χρηματοδότηση με στόχο την επίτευξη στόχου για επενδύσεις ύψους έως 300 000 000 000 EUR υπό το σκέλος στήριξης της φερεγγυότητας.»</w:t>
      </w:r>
    </w:p>
    <w:p>
      <w:pPr>
        <w:pStyle w:val="Point2"/>
        <w:rPr>
          <w:noProof/>
        </w:rPr>
      </w:pPr>
      <w:r>
        <w:rPr>
          <w:noProof/>
        </w:rPr>
        <w:t>γ)</w:t>
      </w:r>
      <w:r>
        <w:rPr>
          <w:noProof/>
        </w:rPr>
        <w:tab/>
        <w:t>στο στοιχείο δ), η πρώτη περίοδος τροποποιείται ως εξής:</w:t>
      </w:r>
    </w:p>
    <w:p>
      <w:pPr>
        <w:pStyle w:val="Text3"/>
        <w:rPr>
          <w:noProof/>
        </w:rPr>
      </w:pPr>
      <w:r>
        <w:rPr>
          <w:noProof/>
        </w:rPr>
        <w:t>«δ) Οι εθνικές αναπτυξιακές τράπεζες ή ιδρύματα, οι επενδυτικές πλατφόρμες, τα ταμεία και οι φορείς ειδικού σκοπού είναι επιλέξιμα για κάλυψη από την εγγύηση της ΕΤΕπ με αντεγγύηση την εγγύηση της ΕΕ σύμφωνα με το άρθρο 10 παράγραφος 2 στοιχείο γ).»</w:t>
      </w:r>
    </w:p>
    <w:p>
      <w:pPr>
        <w:pStyle w:val="Point1"/>
        <w:rPr>
          <w:noProof/>
        </w:rPr>
      </w:pPr>
      <w:r>
        <w:rPr>
          <w:noProof/>
        </w:rPr>
        <w:t>(3)</w:t>
      </w:r>
      <w:r>
        <w:rPr>
          <w:noProof/>
        </w:rPr>
        <w:tab/>
        <w:t>Στο τμήμα 6 προστίθεται το στοιχείο δ) ως εξής:</w:t>
      </w:r>
    </w:p>
    <w:p>
      <w:pPr>
        <w:pStyle w:val="PointDouble2"/>
        <w:rPr>
          <w:noProof/>
        </w:rPr>
      </w:pPr>
      <w:r>
        <w:rPr>
          <w:noProof/>
        </w:rPr>
        <w:t>«δ) Σκέλος στήριξης της φερεγγυότητας</w:t>
      </w:r>
    </w:p>
    <w:p>
      <w:pPr>
        <w:pStyle w:val="ListNumberLevel3"/>
        <w:rPr>
          <w:noProof/>
        </w:rPr>
      </w:pPr>
      <w:r>
        <w:rPr>
          <w:noProof/>
        </w:rPr>
        <w:t>Η εγγύηση της ΕΕ μπορεί να χρησιμοποιείται για τη στήριξη χρηματοδότησης, εγγυήσεων ή επενδύσεων της ΕΤΕπ και του ΕΤΕ σε ταμεία, φορείς ειδικού σκοπού ή άλλες επενδυτικές πλατφόρμες, μεταξύ άλλων, μέσω εθνικών αναπτυξιακών τραπεζών ή ιδρυμάτων ή άλλων συναφών ρυθμίσεων, που παρέχουν επενδύσεις μετοχικού κεφαλαίου ή μετοχικού τύπου σε επιχειρήσεις.</w:t>
      </w:r>
    </w:p>
    <w:p>
      <w:pPr>
        <w:pStyle w:val="ListNumberLevel3"/>
        <w:rPr>
          <w:noProof/>
        </w:rPr>
      </w:pPr>
      <w:r>
        <w:rPr>
          <w:noProof/>
        </w:rPr>
        <w:t xml:space="preserve">Το σκέλος στήριξης της φερεγγυότητας εστιάζει ιδιαίτερα σε ταμεία, φορείς ειδικού σκοπού ή επενδυτικές πλατφόρμες που στοχεύουν σε επιχειρήσεις οι οποίες ασκούν διασυνοριακές δραστηριότητες εντός της Ένωσης και/ή επιχειρήσεις οι οποίες έχουν μεγάλες δυνατότητες για πράσινο ή ψηφιακό μετασχηματισμό. </w:t>
      </w:r>
    </w:p>
    <w:p>
      <w:pPr>
        <w:pStyle w:val="ListNumberLevel3"/>
        <w:rPr>
          <w:noProof/>
        </w:rPr>
      </w:pPr>
      <w:r>
        <w:rPr>
          <w:noProof/>
        </w:rPr>
        <w:t xml:space="preserve">Τα ταμεία, οι φορείς ειδικού σκοπού ή οι επενδυτικές πλατφόρμες παρέχουν χρηματοδότηση υπό εμπορικούς όρους ή υπό όρους που </w:t>
      </w:r>
      <w:r>
        <w:rPr>
          <w:noProof/>
        </w:rPr>
        <w:lastRenderedPageBreak/>
        <w:t>συνάδουν με το προσωρινό πλαίσιο για τις κρατικές ενισχύσεις</w:t>
      </w:r>
      <w:r>
        <w:rPr>
          <w:rStyle w:val="FootnoteReference"/>
          <w:noProof/>
        </w:rPr>
        <w:footnoteReference w:id="13"/>
      </w:r>
      <w:r>
        <w:rPr>
          <w:noProof/>
        </w:rPr>
        <w:t xml:space="preserve">, λαμβάνοντας δεόντως υπόψη την ευρωπαϊκή φύση του Μέσου Στήριξης της Φερεγγυότητας και την ανεξάρτητη διαχείριση των ταμείων και λοιπών φορέων. </w:t>
      </w:r>
    </w:p>
    <w:p>
      <w:pPr>
        <w:pStyle w:val="ListNumberLevel3"/>
        <w:rPr>
          <w:noProof/>
        </w:rPr>
      </w:pPr>
      <w:r>
        <w:rPr>
          <w:noProof/>
        </w:rPr>
        <w:t xml:space="preserve">Τα ταμεία, οι φορείς ειδικού σκοπού ή οι επενδυτικές πλατφόρμες τελούν υπό εμπορική διαχείριση που λαμβάνει επενδυτικές αποφάσεις ή υπό ανεξάρτητη διαχείριση που δεν επηρεάζεται από επενδυτές.  </w:t>
      </w:r>
    </w:p>
    <w:p>
      <w:pPr>
        <w:pStyle w:val="ListNumberLevel3"/>
        <w:rPr>
          <w:noProof/>
        </w:rPr>
      </w:pPr>
      <w:r>
        <w:rPr>
          <w:noProof/>
        </w:rPr>
        <w:t>Οι επιχειρήσεις στις οποίες στοχεύουν τα ταμεία, οι φορείς ειδικού σκοπού ή οι επενδυτικές πλατφόρμες ενθαρρύνονται να συμμορφώνονται, στον βαθμό που είναι εφικτό, με ελάχιστες υψηλού επιπέδου κοινωνικές και περιβαλλοντικές διασφαλίσεις σύμφωνα με την καθοδήγηση του διοικητικού συμβουλίου. Η εν λόγω καθοδήγηση θα πρέπει να περιλαμβάνει κατάλληλες διατάξεις για την αποφυγή αδικαιολόγητων διοικητικών επιβαρύνσεων, να λαμβάνει υπόψη το μέγεθος των επιχειρήσεων και να προβλέπει ελάφρυνση των διατάξεων για τις ΜΜΕ. Επιχειρήσεις με ορισμένο επίπεδο έκθεσης σε προκαθορισμένο κατάλογο επιβλαβών για το περιβάλλον δραστηριοτήτων, ιδίως των τομέων που καλύπτονται από το σύστημα εμπορίας δικαιωμάτων εκπομπών της ΕΕ (ΣΕΔΕ της ΕΕ), ενθαρρύνονται να εφαρμόσουν, στο μέλλον, σχέδια πράσινης μετάβασης. Επίσης, οι επιχειρήσεις ενθαρρύνονται να προχωρήσουν στον ψηφιακό μετασχηματισμό τους. Είναι διαθέσιμη τεχνική βοήθεια για να βοηθηθούν οι επιχειρήσεις για τους σκοπούς αυτών των μεταβάσεων.</w:t>
      </w:r>
    </w:p>
    <w:p>
      <w:pPr>
        <w:pStyle w:val="ListNumberLevel3"/>
        <w:rPr>
          <w:noProof/>
        </w:rPr>
      </w:pPr>
      <w:r>
        <w:rPr>
          <w:noProof/>
        </w:rPr>
        <w:t xml:space="preserve">Οι πράξεις υπό το συγκεκριμένο σκέλος πραγματοποιούνται με βάση τους εσωτερικούς κανόνες και διαδικασίες της ΕΤΕπ ή του ΕΤΕ. Όλες οι σχετικές πληροφορίες για την αξιολόγηση της πράξης τίθενται στη διάθεση των μελών του διοικητικού συμβουλίου και της Επιτροπής Επενδύσεων. </w:t>
      </w:r>
    </w:p>
    <w:p>
      <w:pPr>
        <w:pStyle w:val="ListNumberLevel3"/>
        <w:rPr>
          <w:noProof/>
        </w:rPr>
      </w:pPr>
      <w:r>
        <w:rPr>
          <w:noProof/>
        </w:rPr>
        <w:t>Οι εγγυήσεις ή οι επενδύσεις της ΕΤΕπ ή του ΕΤΕ τιμολογούνται σύμφωνα με το άρθρο 4 παράγραφος 2 στοιχείο α) σημεία iv) ή v).»</w:t>
      </w:r>
    </w:p>
    <w:p>
      <w:pPr>
        <w:pStyle w:val="Point1"/>
        <w:rPr>
          <w:noProof/>
        </w:rPr>
      </w:pPr>
      <w:r>
        <w:rPr>
          <w:noProof/>
        </w:rPr>
        <w:t>(4)</w:t>
      </w:r>
      <w:r>
        <w:rPr>
          <w:noProof/>
        </w:rPr>
        <w:tab/>
        <w:t>Στο τμήμα 8, το στοιχείο β) τροποποιείται ως εξής:</w:t>
      </w:r>
    </w:p>
    <w:p>
      <w:pPr>
        <w:pStyle w:val="Text2"/>
        <w:rPr>
          <w:noProof/>
        </w:rPr>
      </w:pPr>
      <w:r>
        <w:rPr>
          <w:noProof/>
        </w:rPr>
        <w:t>«β) Γεωγραφική συγκέντρωση</w:t>
      </w:r>
    </w:p>
    <w:p>
      <w:pPr>
        <w:pStyle w:val="Text2"/>
        <w:rPr>
          <w:noProof/>
        </w:rPr>
      </w:pPr>
      <w:r>
        <w:rPr>
          <w:noProof/>
        </w:rPr>
        <w:t>Οι πράξεις που υποστηρίζονται από το ΕΤΣΕ δεν πρέπει να παρουσιάζουν υπερβολική συγκέντρωση σε συγκεκριμένες περιοχές στο τέλος της σχετικής επενδυτικής περιόδου. Προς τον σκοπό αυτό, το διοικητικό συμβούλιο εγκρίνει ενδεικτική γεωγραφική διαφοροποίηση και κατευθυντήριες γραμμές σχετικά με τη συγκέντρωση. Το διοικητικό συμβούλιο μπορεί να αποφασίζει για την τροποποίηση των εν λόγω ενδεικτικών ορίων, μετά από διαβούλευση της Επιτροπής Επενδύσεων.</w:t>
      </w:r>
    </w:p>
    <w:p>
      <w:pPr>
        <w:pStyle w:val="Text2"/>
        <w:rPr>
          <w:noProof/>
        </w:rPr>
      </w:pPr>
      <w:r>
        <w:rPr>
          <w:noProof/>
        </w:rPr>
        <w:t xml:space="preserve">Το διοικητικό συμβούλιο καθορίζει ειδικά όρια διαφοροποίησης και συγκέντρωσης υπό το σκέλος στήριξης της φερεγγυότητας, ώστε να εξασφαλίζεται ότι εκπληρώνονται οι αντίστοιχες απαιτήσεις του άρθρου 9 </w:t>
      </w:r>
      <w:r>
        <w:rPr>
          <w:noProof/>
        </w:rPr>
        <w:lastRenderedPageBreak/>
        <w:t xml:space="preserve">παράγραφος 2α στοιχεία β) και γ) και ότι αποφεύγεται η υπερβολική συγκέντρωση σε περιορισμένο αριθμό κρατών μελών. Το διοικητικό συμβούλιο καταγράφει τακτικά τον οικονομικό αντίκτυπο της πανδημίας Covid-19 σε κράτη μέλη και τομείς. Στη βάση αυτή, το διοικητικό συμβούλιο μπορεί να αποφασίζει για την τροποποίηση των εν λόγω ορίων, μετά από διαβούλευση της Επιτροπής Επενδύσεων. </w:t>
      </w:r>
    </w:p>
    <w:p>
      <w:pPr>
        <w:pStyle w:val="Text2"/>
        <w:rPr>
          <w:noProof/>
        </w:rPr>
      </w:pPr>
      <w:r>
        <w:rPr>
          <w:noProof/>
        </w:rPr>
        <w:t>Το διοικητικό συμβούλιο αιτιολογεί εγγράφως στο Ευρωπαϊκό Κοινοβούλιο και στο Συμβούλιο τις αποφάσεις που λαμβάνει σε σχέση με τα ενδεικτικά και τα ειδικά για το σκέλος στήριξης της φερεγγυότητας όρια. Το ΕΤΣΕ θα πρέπει να έχει ως στόχο να καλύπτει όλα τα κράτη μέλη.»</w:t>
      </w:r>
    </w:p>
    <w:p>
      <w:pPr>
        <w:pStyle w:val="Titrearticle"/>
        <w:rPr>
          <w:noProof/>
        </w:rPr>
      </w:pPr>
      <w:r>
        <w:rPr>
          <w:noProof/>
        </w:rPr>
        <w:t>Άρθρο 2</w:t>
      </w:r>
    </w:p>
    <w:p>
      <w:pPr>
        <w:rPr>
          <w:noProof/>
        </w:rPr>
      </w:pPr>
      <w:r>
        <w:rPr>
          <w:noProof/>
        </w:rPr>
        <w:t xml:space="preserve">Ο παρών κανονισμός αρχίζει να ισχύει την τρίτη ημέρα από τη δημοσίευσή του στην </w:t>
      </w:r>
      <w:r>
        <w:rPr>
          <w:i/>
          <w:noProof/>
        </w:rPr>
        <w:t>Επίσημη Εφημερίδα της Ευρωπαϊκής Ένωσης</w:t>
      </w:r>
      <w:r>
        <w:rPr>
          <w:noProof/>
        </w:rPr>
        <w:t>.</w:t>
      </w:r>
    </w:p>
    <w:p>
      <w:pPr>
        <w:pStyle w:val="Applicationdirecte"/>
        <w:rPr>
          <w:noProof/>
        </w:rPr>
      </w:pPr>
      <w:r>
        <w:rPr>
          <w:noProof/>
        </w:rPr>
        <w:t>Ο παρών κανονισμός είναι δεσμευτικός ως προς όλα τα μέρη του και ισχύει άμεσα σε κάθε κράτος μέλος.</w:t>
      </w:r>
    </w:p>
    <w:p>
      <w:pPr>
        <w:pStyle w:val="Fait"/>
        <w:rPr>
          <w:noProof/>
        </w:rPr>
      </w:pPr>
      <w:r>
        <w:t>Βρυξέλλες,</w:t>
      </w:r>
    </w:p>
    <w:p>
      <w:pPr>
        <w:pStyle w:val="Institutionquisigne"/>
        <w:rPr>
          <w:noProof/>
        </w:rPr>
      </w:pPr>
      <w:r>
        <w:rPr>
          <w:noProof/>
        </w:rPr>
        <w:t>Για το Ευρωπαϊκό Κοινοβούλιο</w:t>
      </w:r>
      <w:r>
        <w:rPr>
          <w:noProof/>
        </w:rPr>
        <w:tab/>
        <w:t>Για το Συμβούλιο</w:t>
      </w:r>
    </w:p>
    <w:p>
      <w:pPr>
        <w:pStyle w:val="Personnequisigne"/>
        <w:rPr>
          <w:noProof/>
        </w:rPr>
      </w:pPr>
      <w:r>
        <w:rPr>
          <w:noProof/>
        </w:rPr>
        <w:t>Ο/Η Πρόεδρος</w:t>
      </w:r>
      <w:r>
        <w:rPr>
          <w:noProof/>
        </w:rPr>
        <w:tab/>
        <w:t>Ο/Η Πρόεδρος</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ΝΟΜΟΘΕΤΙΚΟ ΔΗΜΟΣΙΟΝΟΜΙΚΟ ΔΕΛΤΙΟ</w:t>
      </w:r>
    </w:p>
    <w:p>
      <w:pPr>
        <w:pStyle w:val="ManualHeading1"/>
        <w:rPr>
          <w:noProof/>
        </w:rPr>
      </w:pPr>
      <w:r>
        <w:rPr>
          <w:noProof/>
        </w:rPr>
        <w:t>1.</w:t>
      </w:r>
      <w:r>
        <w:rPr>
          <w:noProof/>
        </w:rPr>
        <w:tab/>
        <w:t xml:space="preserve">ΠΛΑΙΣΙΟ ΤΗΣ ΠΡΟΤΑΣΗΣ/ΠΡΩΤΟΒΟΥΛΙΑΣ </w:t>
      </w:r>
    </w:p>
    <w:p>
      <w:pPr>
        <w:pStyle w:val="ManualHeading2"/>
        <w:rPr>
          <w:noProof/>
        </w:rPr>
      </w:pPr>
      <w:r>
        <w:rPr>
          <w:noProof/>
        </w:rPr>
        <w:t>1.1.</w:t>
      </w:r>
      <w:r>
        <w:rPr>
          <w:noProof/>
        </w:rPr>
        <w:tab/>
        <w:t xml:space="preserve">Τίτλος της πρότασης/πρωτοβουλίας </w:t>
      </w:r>
    </w:p>
    <w:p>
      <w:pPr>
        <w:pStyle w:val="Text1"/>
        <w:pBdr>
          <w:top w:val="single" w:sz="4" w:space="1" w:color="auto"/>
          <w:left w:val="single" w:sz="4" w:space="4" w:color="auto"/>
          <w:bottom w:val="single" w:sz="4" w:space="1" w:color="auto"/>
          <w:right w:val="single" w:sz="4" w:space="4" w:color="auto"/>
        </w:pBdr>
        <w:rPr>
          <w:noProof/>
        </w:rPr>
      </w:pPr>
      <w:r>
        <w:rPr>
          <w:noProof/>
        </w:rPr>
        <w:t>Κανονισμός του Ευρωπαϊκού Κοινοβουλίου και του Συμβουλίου για την τροποποίηση του κανονισμού (ΕΕ) 2015/1017 όσον αφορά τη δημιουργία Μέσου Στήριξης της Φερεγγυότητας</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1.2.</w:t>
      </w:r>
      <w:r>
        <w:rPr>
          <w:noProof/>
        </w:rPr>
        <w:tab/>
        <w:t>Σχετικοί τομείς πολιτικής στη δομή ΔΒΔ/ΠΒΔ</w:t>
      </w:r>
      <w:r>
        <w:rPr>
          <w:rStyle w:val="FootnoteReference"/>
          <w:noProof/>
        </w:rPr>
        <w:footnoteReference w:id="1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Τομέας πολιτικής: Οικονομικές και χρηματοδοτικές υποθέσεις</w:t>
      </w:r>
    </w:p>
    <w:p>
      <w:pPr>
        <w:pStyle w:val="Text1"/>
        <w:pBdr>
          <w:top w:val="single" w:sz="4" w:space="1" w:color="auto"/>
          <w:left w:val="single" w:sz="4" w:space="4" w:color="auto"/>
          <w:bottom w:val="single" w:sz="4" w:space="1" w:color="auto"/>
          <w:right w:val="single" w:sz="4" w:space="4" w:color="auto"/>
        </w:pBdr>
        <w:rPr>
          <w:noProof/>
        </w:rPr>
      </w:pPr>
      <w:r>
        <w:rPr>
          <w:noProof/>
        </w:rPr>
        <w:t>Δραστηριότητα ΠΒΔ: Χρηματοοικονομικές δραστηριότητες και μέσα</w:t>
      </w:r>
    </w:p>
    <w:p>
      <w:pPr>
        <w:pStyle w:val="Text1"/>
        <w:pBdr>
          <w:top w:val="single" w:sz="4" w:space="1" w:color="auto"/>
          <w:left w:val="single" w:sz="4" w:space="4" w:color="auto"/>
          <w:bottom w:val="single" w:sz="4" w:space="1" w:color="auto"/>
          <w:right w:val="single" w:sz="4" w:space="4" w:color="auto"/>
        </w:pBdr>
        <w:rPr>
          <w:noProof/>
        </w:rPr>
      </w:pPr>
      <w:r>
        <w:rPr>
          <w:noProof/>
        </w:rPr>
        <w:t>Για λεπτομερή ανάλυση των δραστηριοτήτων ΠΒΔ, ανατρέξτε στην ενότητα 1.4.2.</w:t>
      </w:r>
    </w:p>
    <w:p>
      <w:pPr>
        <w:pStyle w:val="ManualHeading2"/>
        <w:rPr>
          <w:noProof/>
          <w:szCs w:val="24"/>
        </w:rPr>
      </w:pPr>
      <w:r>
        <w:rPr>
          <w:noProof/>
        </w:rPr>
        <w:t>1.3.</w:t>
      </w:r>
      <w:r>
        <w:rPr>
          <w:noProof/>
        </w:rPr>
        <w:tab/>
        <w:t xml:space="preserve">Χαρακτήρας της πρότασης/πρωτοβουλίας </w:t>
      </w:r>
    </w:p>
    <w:p>
      <w:pPr>
        <w:pStyle w:val="Text1"/>
        <w:rPr>
          <w:b/>
          <w:noProof/>
          <w:sz w:val="22"/>
        </w:rPr>
      </w:pPr>
      <w:r>
        <w:rPr>
          <w:noProof/>
          <w:sz w:val="22"/>
        </w:rPr>
        <w:sym w:font="Wingdings" w:char="F0A8"/>
      </w:r>
      <w:r>
        <w:rPr>
          <w:b/>
          <w:i/>
          <w:noProof/>
          <w:sz w:val="22"/>
        </w:rPr>
        <w:t xml:space="preserve"> </w:t>
      </w:r>
      <w:r>
        <w:rPr>
          <w:noProof/>
        </w:rPr>
        <w:t xml:space="preserve">Η πρόταση/πρωτοβουλία αφορά </w:t>
      </w:r>
      <w:r>
        <w:rPr>
          <w:b/>
          <w:noProof/>
        </w:rPr>
        <w:t>νέα δράση</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Η πρόταση/πρωτοβουλία αφορά </w:t>
      </w:r>
      <w:r>
        <w:rPr>
          <w:b/>
          <w:noProof/>
        </w:rPr>
        <w:t>νέα δράση μετά από δοκιμαστικό σχέδιο / προπαρασκευαστική ενέργεια</w:t>
      </w:r>
      <w:r>
        <w:rPr>
          <w:rStyle w:val="FootnoteReference"/>
          <w:b/>
          <w:noProof/>
        </w:rPr>
        <w:footnoteReference w:id="15"/>
      </w:r>
      <w:r>
        <w:rPr>
          <w:noProof/>
          <w:sz w:val="22"/>
        </w:rPr>
        <w:t xml:space="preserve"> </w:t>
      </w:r>
    </w:p>
    <w:p>
      <w:pPr>
        <w:pStyle w:val="Text1"/>
        <w:rPr>
          <w:noProof/>
          <w:sz w:val="22"/>
        </w:rPr>
      </w:pPr>
      <w:r>
        <w:rPr>
          <w:noProof/>
          <w:sz w:val="22"/>
        </w:rPr>
        <w:t>X</w:t>
      </w:r>
      <w:r>
        <w:rPr>
          <w:i/>
          <w:noProof/>
          <w:sz w:val="22"/>
        </w:rPr>
        <w:t xml:space="preserve"> </w:t>
      </w:r>
      <w:r>
        <w:rPr>
          <w:noProof/>
        </w:rPr>
        <w:t xml:space="preserve">Η πρόταση/πρωτοβουλία αφορά </w:t>
      </w:r>
      <w:r>
        <w:rPr>
          <w:b/>
          <w:noProof/>
        </w:rPr>
        <w:t>την παράταση υφιστάμενης δράσης</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Η πρόταση/πρωτοβουλία αφορά </w:t>
      </w:r>
      <w:r>
        <w:rPr>
          <w:b/>
          <w:noProof/>
        </w:rPr>
        <w:t>δράση προσανατολισμένη προς νέα δράση</w:t>
      </w:r>
      <w:r>
        <w:rPr>
          <w:noProof/>
        </w:rPr>
        <w:t xml:space="preserve"> </w:t>
      </w:r>
    </w:p>
    <w:p>
      <w:pPr>
        <w:pStyle w:val="ManualHeading2"/>
        <w:rPr>
          <w:noProof/>
          <w:szCs w:val="24"/>
        </w:rPr>
      </w:pPr>
      <w:r>
        <w:rPr>
          <w:noProof/>
        </w:rPr>
        <w:t>1.4.</w:t>
      </w:r>
      <w:r>
        <w:rPr>
          <w:noProof/>
        </w:rPr>
        <w:tab/>
        <w:t>Στόχος(-οι)</w:t>
      </w:r>
    </w:p>
    <w:p>
      <w:pPr>
        <w:pStyle w:val="ManualHeading3"/>
        <w:rPr>
          <w:noProof/>
        </w:rPr>
      </w:pPr>
      <w:r>
        <w:rPr>
          <w:noProof/>
        </w:rPr>
        <w:t>1.4.1.</w:t>
      </w:r>
      <w:r>
        <w:rPr>
          <w:noProof/>
        </w:rPr>
        <w:tab/>
        <w:t xml:space="preserve">Ο (Οι) πολυετής(-είς) στρατηγικός(-οί) στόχος(-οι) της Επιτροπής τον(τους) οποίο(-ους) αφορά η πρόταση/πρωτοβουλία </w:t>
      </w:r>
    </w:p>
    <w:p>
      <w:pPr>
        <w:pStyle w:val="Text1"/>
        <w:pBdr>
          <w:top w:val="single" w:sz="4" w:space="1" w:color="auto"/>
          <w:left w:val="single" w:sz="4" w:space="4" w:color="auto"/>
          <w:bottom w:val="single" w:sz="4" w:space="1" w:color="auto"/>
          <w:right w:val="single" w:sz="4" w:space="4" w:color="auto"/>
        </w:pBdr>
        <w:rPr>
          <w:noProof/>
        </w:rPr>
      </w:pPr>
      <w:r>
        <w:rPr>
          <w:noProof/>
        </w:rPr>
        <w:t xml:space="preserve">Στήριξη σε ευνοϊκές για την ανάπτυξη επενδύσεις και στη φερεγγυότητα σύμφωνα με προτεραιότητες της Ένωσης, όπως η Ευρωπαϊκή Πράσινη Συμφωνία, το επενδυτικό σχέδιο «Βιώσιμη Ευρώπη» και οι τομεακές πολιτικές που σχετίζονται με τη στήριξη των επενδύσεων. </w:t>
      </w:r>
    </w:p>
    <w:p>
      <w:pPr>
        <w:pStyle w:val="ManualHeading3"/>
        <w:rPr>
          <w:noProof/>
          <w:szCs w:val="24"/>
        </w:rPr>
      </w:pPr>
      <w:r>
        <w:rPr>
          <w:noProof/>
        </w:rPr>
        <w:t>1.4.2.</w:t>
      </w:r>
      <w:r>
        <w:rPr>
          <w:noProof/>
        </w:rPr>
        <w:tab/>
        <w:t xml:space="preserve">Ειδικός(οί) στόχος(οι) και δραστηριότητα(ες) ΔΒΔ/ΠΒΔ </w:t>
      </w:r>
    </w:p>
    <w:p>
      <w:pPr>
        <w:pStyle w:val="Text1"/>
        <w:pBdr>
          <w:top w:val="single" w:sz="4" w:space="1" w:color="auto"/>
          <w:left w:val="single" w:sz="4" w:space="4" w:color="auto"/>
          <w:bottom w:val="single" w:sz="4" w:space="1" w:color="auto"/>
          <w:right w:val="single" w:sz="4" w:space="4" w:color="auto"/>
        </w:pBdr>
        <w:rPr>
          <w:noProof/>
        </w:rPr>
      </w:pPr>
      <w:r>
        <w:rPr>
          <w:b/>
          <w:noProof/>
        </w:rPr>
        <w:t>Ειδικός στόχος αριθ. 1</w:t>
      </w:r>
      <w:r>
        <w:rPr>
          <w:noProof/>
        </w:rPr>
        <w:t>: Αύξηση του όγκου των χρηματοδοτικών και επενδυτικών πράξεων του Ομίλου της Ευρωπαϊκής Τράπεζας Επενδύσεων (Όμιλος ΕΤΕπ) σε τομείς προτεραιότητας</w:t>
      </w:r>
    </w:p>
    <w:p>
      <w:pPr>
        <w:pStyle w:val="Text1"/>
        <w:pBdr>
          <w:top w:val="single" w:sz="4" w:space="1" w:color="auto"/>
          <w:left w:val="single" w:sz="4" w:space="4" w:color="auto"/>
          <w:bottom w:val="single" w:sz="4" w:space="1" w:color="auto"/>
          <w:right w:val="single" w:sz="4" w:space="4" w:color="auto"/>
        </w:pBdr>
        <w:rPr>
          <w:noProof/>
        </w:rPr>
      </w:pPr>
      <w:r>
        <w:rPr>
          <w:b/>
          <w:noProof/>
        </w:rPr>
        <w:t>Ειδικός στόχος αριθ. 2</w:t>
      </w:r>
      <w:r>
        <w:rPr>
          <w:noProof/>
        </w:rPr>
        <w:t>: Παροχή συμβουλευτικής στήριξης για τον εντοπισμό, την κατάρτιση και την ανάπτυξη επενδυτικών έργων σε αντισυμβαλλομένους του δημόσιου ή του ιδιωτικού τομέα ή για τη στήριξη της σύστασης και διαχείρισης ταμείων ή άλλων φορέων για τους σκοπούς του μέσου στήριξης της φερεγγυότητας</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Σχετικές δραστηριότητες ΔΒΔ/ΠΒΔ</w:t>
      </w:r>
    </w:p>
    <w:p>
      <w:pPr>
        <w:pStyle w:val="Text1"/>
        <w:pBdr>
          <w:top w:val="single" w:sz="4" w:space="1" w:color="auto"/>
          <w:left w:val="single" w:sz="4" w:space="4" w:color="auto"/>
          <w:bottom w:val="single" w:sz="4" w:space="1" w:color="auto"/>
          <w:right w:val="single" w:sz="4" w:space="4" w:color="auto"/>
        </w:pBdr>
        <w:rPr>
          <w:noProof/>
          <w:u w:val="single"/>
        </w:rPr>
      </w:pPr>
      <w:r>
        <w:rPr>
          <w:noProof/>
        </w:rPr>
        <w:t>ECFIN: Χρηματοοικονομικές δραστηριότητες και μέσα</w:t>
      </w:r>
    </w:p>
    <w:p>
      <w:pPr>
        <w:pStyle w:val="ManualHeading3"/>
        <w:rPr>
          <w:noProof/>
        </w:rPr>
      </w:pPr>
      <w:r>
        <w:rPr>
          <w:noProof/>
        </w:rPr>
        <w:t>1.4.3.</w:t>
      </w:r>
      <w:r>
        <w:rPr>
          <w:noProof/>
        </w:rPr>
        <w:tab/>
        <w:t>Αναμενόμενο(-α) αποτέλεσμα(-τα) και επιπτώσεις</w:t>
      </w:r>
    </w:p>
    <w:p>
      <w:pPr>
        <w:pStyle w:val="Text1"/>
        <w:pBdr>
          <w:top w:val="single" w:sz="4" w:space="1" w:color="auto"/>
          <w:left w:val="single" w:sz="4" w:space="4" w:color="auto"/>
          <w:bottom w:val="single" w:sz="4" w:space="1" w:color="auto"/>
          <w:right w:val="single" w:sz="4" w:space="4" w:color="auto"/>
        </w:pBdr>
        <w:rPr>
          <w:noProof/>
        </w:rPr>
      </w:pPr>
      <w:r>
        <w:rPr>
          <w:noProof/>
        </w:rPr>
        <w:t>Η πρόταση αναμένεται να κινητοποιήσει επενδύσεις ύψους 300 000 000 000 EUR στην πραγματική οικονομία με την παροχή στήριξης σε επιχειρήσεις που αντιμετωπίζουν οικονομικές δυσκολίες λόγω της κρίσης που προκαλεί η πανδημία Covid-19 στην Ένωση.</w:t>
      </w:r>
    </w:p>
    <w:p>
      <w:pPr>
        <w:pStyle w:val="ManualHeading3"/>
        <w:rPr>
          <w:noProof/>
          <w:szCs w:val="24"/>
        </w:rPr>
      </w:pPr>
      <w:r>
        <w:rPr>
          <w:noProof/>
        </w:rPr>
        <w:t>1.4.4.</w:t>
      </w:r>
      <w:r>
        <w:rPr>
          <w:noProof/>
        </w:rPr>
        <w:tab/>
        <w:t xml:space="preserve">Δείκτες αποτελεσμάτων και επιπτώσεων </w:t>
      </w:r>
    </w:p>
    <w:p>
      <w:pPr>
        <w:pStyle w:val="Text1"/>
        <w:pBdr>
          <w:top w:val="single" w:sz="4" w:space="1" w:color="auto"/>
          <w:left w:val="single" w:sz="4" w:space="4" w:color="auto"/>
          <w:bottom w:val="single" w:sz="4" w:space="1" w:color="auto"/>
          <w:right w:val="single" w:sz="4" w:space="4" w:color="auto"/>
        </w:pBdr>
        <w:rPr>
          <w:noProof/>
        </w:rPr>
      </w:pPr>
      <w:r>
        <w:rPr>
          <w:noProof/>
        </w:rPr>
        <w:t>Η επίτευξη των στόχων της πρότασης θα παρακολουθείται με βασικούς δείκτες επιδόσεων και βασικούς δείκτες παρακολούθησης σύμφωνα με τις ισχύουσες ρυθμίσεις που σχετίζονται με το σκέλος υποδομής και καινοτομίας και το σκέλος για τις ΜΜΕ στο πλαίσιο του κανονισμού ΕΤΣΕ. Θα καθοριστούν ειδικοί δείκτες για το σκέλος στήριξης της φερεγγυότητας, κατά περίπτωση.</w:t>
      </w:r>
    </w:p>
    <w:p>
      <w:pPr>
        <w:pStyle w:val="ManualHeading2"/>
        <w:rPr>
          <w:noProof/>
          <w:szCs w:val="24"/>
        </w:rPr>
      </w:pPr>
      <w:r>
        <w:rPr>
          <w:noProof/>
        </w:rPr>
        <w:t>1.5.</w:t>
      </w:r>
      <w:r>
        <w:rPr>
          <w:noProof/>
        </w:rPr>
        <w:tab/>
        <w:t xml:space="preserve">Αιτιολόγηση της πρότασης/πρωτοβουλίας </w:t>
      </w:r>
    </w:p>
    <w:p>
      <w:pPr>
        <w:pStyle w:val="ManualHeading3"/>
        <w:rPr>
          <w:noProof/>
        </w:rPr>
      </w:pPr>
      <w:r>
        <w:rPr>
          <w:noProof/>
        </w:rPr>
        <w:t>1.5.1.</w:t>
      </w:r>
      <w:r>
        <w:rPr>
          <w:noProof/>
        </w:rPr>
        <w:tab/>
        <w:t xml:space="preserve">Βραχυπρόθεσμη ή μακροπρόθεσμη κάλυψη αναγκών </w:t>
      </w:r>
    </w:p>
    <w:p>
      <w:pPr>
        <w:pStyle w:val="Text1"/>
        <w:pBdr>
          <w:top w:val="single" w:sz="4" w:space="1" w:color="auto"/>
          <w:left w:val="single" w:sz="4" w:space="4" w:color="auto"/>
          <w:bottom w:val="single" w:sz="4" w:space="1" w:color="auto"/>
          <w:right w:val="single" w:sz="4" w:space="4" w:color="auto"/>
        </w:pBdr>
        <w:rPr>
          <w:noProof/>
        </w:rPr>
      </w:pPr>
      <w:r>
        <w:rPr>
          <w:noProof/>
        </w:rPr>
        <w:t xml:space="preserve">Η Επιτροπή προτείνει την ενίσχυση της πρότασής της για το πολυετές δημοσιονομικό πλαίσιο με σκοπό την αντιμετώπιση των αρνητικών οικονομικών συνεπειών της πανδημίας Covid-19 για επιχειρήσεις και έργα στην Ένωση. Πολλές επιχειρήσεις και έργα ήδη αντιμετωπίζουν προβλήματα φερεγγυότητας λόγω της κρίσης και οι δυσκολίες θα οξυνθούν όσο εξακολουθούν να ισχύουν τα περιοριστικά μέτρα, ενώ οι κανόνες αποστασιοποίησης θα εξακολουθήσουν να επηρεάζουν τις επιχειρηματικές δραστηριότητες σε πολλούς τομείς. Οι δυσκολίες ενδέχεται να είναι διαρκείας και να επιμείνουν και μετά την αναστολή των δραστηριοτήτων. </w:t>
      </w:r>
    </w:p>
    <w:p>
      <w:pPr>
        <w:pStyle w:val="Text1"/>
        <w:pBdr>
          <w:top w:val="single" w:sz="4" w:space="1" w:color="auto"/>
          <w:left w:val="single" w:sz="4" w:space="4" w:color="auto"/>
          <w:bottom w:val="single" w:sz="4" w:space="1" w:color="auto"/>
          <w:right w:val="single" w:sz="4" w:space="4" w:color="auto"/>
        </w:pBdr>
        <w:rPr>
          <w:noProof/>
        </w:rPr>
      </w:pPr>
      <w:r>
        <w:rPr>
          <w:noProof/>
        </w:rPr>
        <w:t>Οι επιχειρήσεις που πρέπει να στηριχθούν είναι εκείνες των οποίων το επιχειρηματικό μοντέλο ήταν βιώσιμο πριν από την κρίση, αλλά αντιμετωπίζουν προβλήματα φερεγγυότητας λόγω της κρίσης της Covid-19. Σκοπός είναι να βοηθηθούν ώστε να αντεπεξέλθουν στη δύσκολη αυτή συγκυρία και να υπάρχουν για να γίνουν φορείς ανάκαμψης όταν οι συνθήκες το επιτρέψουν.</w:t>
      </w:r>
    </w:p>
    <w:p>
      <w:pPr>
        <w:pStyle w:val="ManualHeading3"/>
        <w:rPr>
          <w:noProof/>
          <w:szCs w:val="24"/>
        </w:rPr>
      </w:pPr>
      <w:r>
        <w:rPr>
          <w:noProof/>
        </w:rPr>
        <w:t>1.5.2.</w:t>
      </w:r>
      <w:r>
        <w:rPr>
          <w:noProof/>
        </w:rPr>
        <w:tab/>
        <w:t>Προστιθέμενη αξία παρέμβασης της ΕΕ</w:t>
      </w:r>
    </w:p>
    <w:p>
      <w:pPr>
        <w:pStyle w:val="Text1"/>
        <w:pBdr>
          <w:top w:val="single" w:sz="4" w:space="1" w:color="auto"/>
          <w:left w:val="single" w:sz="4" w:space="4" w:color="auto"/>
          <w:bottom w:val="single" w:sz="4" w:space="1" w:color="auto"/>
          <w:right w:val="single" w:sz="4" w:space="4" w:color="auto"/>
        </w:pBdr>
        <w:rPr>
          <w:noProof/>
        </w:rPr>
      </w:pPr>
      <w:r>
        <w:rPr>
          <w:noProof/>
        </w:rPr>
        <w:t xml:space="preserve">Στόχος της παρούσας πρότασης είναι η αντιστάθμιση των αναμενόμενων στρεβλώσεων στην ενιαία αγορά, δεδομένου ότι η διαθεσιμότητα μέτρων για τη στήριξη της φερεγγυότητας των επιχειρήσεων μπορεί να διαφέρει σημαντικά μεταξύ των κρατών μελών και να προκαλέσει άνισους όρους ανταγωνισμού. </w:t>
      </w:r>
    </w:p>
    <w:p>
      <w:pPr>
        <w:pStyle w:val="ManualHeading3"/>
        <w:rPr>
          <w:noProof/>
          <w:szCs w:val="24"/>
        </w:rPr>
      </w:pPr>
      <w:r>
        <w:rPr>
          <w:noProof/>
        </w:rPr>
        <w:t>1.5.3.</w:t>
      </w:r>
      <w:r>
        <w:rPr>
          <w:noProof/>
        </w:rPr>
        <w:tab/>
        <w:t>Διδάγματα από ανάλογες εμπειρίες του παρελθόντος</w:t>
      </w:r>
    </w:p>
    <w:p>
      <w:pPr>
        <w:pStyle w:val="Text1"/>
        <w:pBdr>
          <w:top w:val="single" w:sz="4" w:space="1" w:color="auto"/>
          <w:left w:val="single" w:sz="4" w:space="4" w:color="auto"/>
          <w:bottom w:val="single" w:sz="4" w:space="1" w:color="auto"/>
          <w:right w:val="single" w:sz="4" w:space="4" w:color="auto"/>
        </w:pBdr>
        <w:rPr>
          <w:noProof/>
        </w:rPr>
      </w:pPr>
      <w:r>
        <w:rPr>
          <w:noProof/>
        </w:rPr>
        <w:t>Προτείνεται η μόχλευση δαπανών του προϋπολογισμού μέσω της παροχής εγγύησης της ΕΕ με στόχο την προσέλκυση επιπλέον ιδιωτικής χρηματοδότησης για τη στήριξη επιχειρήσεων στην Ένωση, όπως έχει ήδη γίνει με επιτυχία δυνάμει του κανονισμού ΕΤΣΕ.</w:t>
      </w:r>
    </w:p>
    <w:p>
      <w:pPr>
        <w:pStyle w:val="ManualHeading3"/>
        <w:rPr>
          <w:noProof/>
          <w:szCs w:val="24"/>
        </w:rPr>
      </w:pPr>
      <w:r>
        <w:rPr>
          <w:noProof/>
        </w:rPr>
        <w:t>1.5.4.</w:t>
      </w:r>
      <w:r>
        <w:rPr>
          <w:noProof/>
        </w:rPr>
        <w:tab/>
        <w:t>Συμβατότητα και ενδεχόμενη συνέργεια με άλλα κατάλληλα μέσα</w:t>
      </w:r>
    </w:p>
    <w:p>
      <w:pPr>
        <w:pStyle w:val="Text1"/>
        <w:pBdr>
          <w:top w:val="single" w:sz="4" w:space="1" w:color="auto"/>
          <w:left w:val="single" w:sz="4" w:space="4" w:color="auto"/>
          <w:bottom w:val="single" w:sz="4" w:space="1" w:color="auto"/>
          <w:right w:val="single" w:sz="4" w:space="4" w:color="auto"/>
        </w:pBdr>
        <w:rPr>
          <w:noProof/>
        </w:rPr>
      </w:pPr>
      <w:r>
        <w:rPr>
          <w:noProof/>
        </w:rPr>
        <w:t>Η πρόταση είναι συνεπής με τις συναφείς πολιτικές της Ένωσης, όπως η Ευρωπαϊκή Πράσινη Συμφωνία, το επενδυτικό σχέδιο «Βιώσιμη Ευρώπη» και οι τομεακές πολιτικές που σχετίζονται με τη στήριξη των επενδύσεων.</w:t>
      </w:r>
    </w:p>
    <w:p>
      <w:pPr>
        <w:pStyle w:val="Text1"/>
        <w:pBdr>
          <w:top w:val="single" w:sz="4" w:space="1" w:color="auto"/>
          <w:left w:val="single" w:sz="4" w:space="4" w:color="auto"/>
          <w:bottom w:val="single" w:sz="4" w:space="1" w:color="auto"/>
          <w:right w:val="single" w:sz="4" w:space="4" w:color="auto"/>
        </w:pBdr>
        <w:rPr>
          <w:noProof/>
        </w:rPr>
      </w:pPr>
      <w:r>
        <w:rPr>
          <w:noProof/>
        </w:rPr>
        <w:t>Το Μέσο Στήριξης της Φερεγγυότητας είναι συμπληρωματικό ως προς άλλα ενωσιακά προγράμματα τα οποία επικεντρώνονται στον μετριασμό των επιπτώσεων της κρίσης της Covid-19 ή στην επανεκκίνηση της οικονομίας καθώς η κρίση της Covid-19 θα αμβλύνεται. Ειδικότερα, συμπληρώνει τη στήριξη προς τις ΜΜΕ που θα παρέχεται μέσω i) της βοήθειας ανάκαμψης για τη συνοχή (REACT-EU), η οποία θα χορηγεί εμπροσθοβαρή στήριξη και για τις ΜΜΕ, και ii) του πανευρωπαϊκού ταμείου εγγυήσεων ως ανταπόκριση στην κρίση της Covid-19, το οποίο δημιουργείται από την ΕΤΕπ υποστηριζόμενο από εγγύηση των κρατών μελών. Επίσης, το σκέλος για τις ΜΜΕ που ενισχύεται βάσει του προγράμματος InvestEU θα παρέχει επιπρόσθετη στήριξη από το 2021.</w:t>
      </w:r>
    </w:p>
    <w:p>
      <w:pPr>
        <w:pStyle w:val="ManualHeading2"/>
        <w:rPr>
          <w:noProof/>
          <w:szCs w:val="24"/>
        </w:rPr>
      </w:pPr>
      <w:r>
        <w:rPr>
          <w:noProof/>
        </w:rPr>
        <w:br w:type="page"/>
        <w:t>1.6.</w:t>
      </w:r>
      <w:r>
        <w:rPr>
          <w:noProof/>
        </w:rPr>
        <w:tab/>
        <w:t xml:space="preserve">Διάρκεια και δημοσιονομικές επιπτώσεις </w:t>
      </w:r>
    </w:p>
    <w:p>
      <w:pPr>
        <w:pStyle w:val="Text1"/>
        <w:rPr>
          <w:noProof/>
        </w:rPr>
      </w:pPr>
      <w:r>
        <w:rPr>
          <w:noProof/>
        </w:rPr>
        <w:t>x</w:t>
      </w:r>
      <w:r>
        <w:rPr>
          <w:b/>
          <w:i/>
          <w:noProof/>
        </w:rPr>
        <w:t xml:space="preserve"> </w:t>
      </w:r>
      <w:r>
        <w:rPr>
          <w:noProof/>
        </w:rPr>
        <w:t xml:space="preserve">Πρόταση/πρωτοβουλία </w:t>
      </w:r>
      <w:r>
        <w:rPr>
          <w:b/>
          <w:noProof/>
        </w:rPr>
        <w:t xml:space="preserve">περιορισμένης διάρκειας </w:t>
      </w:r>
    </w:p>
    <w:p>
      <w:pPr>
        <w:pStyle w:val="ListDash2"/>
        <w:rPr>
          <w:noProof/>
        </w:rPr>
      </w:pPr>
      <w:r>
        <w:rPr>
          <w:noProof/>
        </w:rPr>
        <w:sym w:font="Wingdings" w:char="F0A8"/>
      </w:r>
      <w:r>
        <w:rPr>
          <w:noProof/>
        </w:rPr>
        <w:tab/>
        <w:t xml:space="preserve">Πρόταση/πρωτοβουλία με ισχύ από το 2020 έως το 2026 </w:t>
      </w:r>
    </w:p>
    <w:p>
      <w:pPr>
        <w:pStyle w:val="ListDash2"/>
        <w:rPr>
          <w:noProof/>
        </w:rPr>
      </w:pPr>
      <w:r>
        <w:rPr>
          <w:noProof/>
        </w:rPr>
        <w:t>x</w:t>
      </w:r>
      <w:r>
        <w:rPr>
          <w:noProof/>
        </w:rPr>
        <w:tab/>
        <w:t>Δημοσιονομικές επιπτώσεις από το 2020 έως το 2027</w:t>
      </w:r>
    </w:p>
    <w:p>
      <w:pPr>
        <w:pStyle w:val="ManualHeading2"/>
        <w:rPr>
          <w:noProof/>
          <w:szCs w:val="24"/>
        </w:rPr>
      </w:pPr>
      <w:r>
        <w:rPr>
          <w:noProof/>
        </w:rPr>
        <w:t>1.7.</w:t>
      </w:r>
      <w:r>
        <w:rPr>
          <w:noProof/>
        </w:rPr>
        <w:tab/>
        <w:t>Προβλεπόμενοι τρόποι διαχείρισης</w:t>
      </w:r>
      <w:r>
        <w:rPr>
          <w:rStyle w:val="FootnoteReference"/>
          <w:noProof/>
        </w:rPr>
        <w:footnoteReference w:id="16"/>
      </w:r>
      <w:r>
        <w:rPr>
          <w:rStyle w:val="FootnoteReference"/>
          <w:noProof/>
        </w:rPr>
        <w:t xml:space="preserve">  </w:t>
      </w:r>
    </w:p>
    <w:p>
      <w:pPr>
        <w:pStyle w:val="Text1"/>
        <w:rPr>
          <w:noProof/>
        </w:rPr>
      </w:pPr>
      <w:r>
        <w:rPr>
          <w:noProof/>
        </w:rPr>
        <w:t>x</w:t>
      </w:r>
      <w:r>
        <w:rPr>
          <w:i/>
          <w:noProof/>
        </w:rPr>
        <w:t xml:space="preserve"> </w:t>
      </w:r>
      <w:r>
        <w:rPr>
          <w:b/>
          <w:noProof/>
        </w:rPr>
        <w:t>Άμεση διαχείριση</w:t>
      </w:r>
      <w:r>
        <w:rPr>
          <w:noProof/>
        </w:rPr>
        <w:t xml:space="preserve"> από την Επιτροπή</w:t>
      </w:r>
    </w:p>
    <w:p>
      <w:pPr>
        <w:pStyle w:val="ListDash2"/>
        <w:rPr>
          <w:rFonts w:cs="EUAlbertina"/>
          <w:noProof/>
        </w:rPr>
      </w:pPr>
      <w:r>
        <w:rPr>
          <w:noProof/>
        </w:rPr>
        <w:t xml:space="preserve">x από τις υπηρεσίες της, συμπεριλαμβανομένου του προσωπικού της στις αντιπροσωπείες της Ένωσης </w:t>
      </w:r>
    </w:p>
    <w:p>
      <w:pPr>
        <w:pStyle w:val="ListDash2"/>
        <w:rPr>
          <w:noProof/>
        </w:rPr>
      </w:pPr>
      <w:r>
        <w:rPr>
          <w:noProof/>
        </w:rPr>
        <w:sym w:font="Wingdings" w:char="F0A8"/>
      </w:r>
      <w:r>
        <w:rPr>
          <w:noProof/>
        </w:rPr>
        <w:tab/>
        <w:t xml:space="preserve">από τους εκτελεστικούς οργανισμούς </w:t>
      </w:r>
    </w:p>
    <w:p>
      <w:pPr>
        <w:pStyle w:val="Text1"/>
        <w:rPr>
          <w:noProof/>
        </w:rPr>
      </w:pPr>
      <w:r>
        <w:rPr>
          <w:noProof/>
        </w:rPr>
        <w:sym w:font="Wingdings" w:char="F0A8"/>
      </w:r>
      <w:r>
        <w:rPr>
          <w:b/>
          <w:i/>
          <w:noProof/>
        </w:rPr>
        <w:t xml:space="preserve"> </w:t>
      </w:r>
      <w:r>
        <w:rPr>
          <w:b/>
          <w:noProof/>
        </w:rPr>
        <w:t>Επιμερισμένη διαχείριση</w:t>
      </w:r>
      <w:r>
        <w:rPr>
          <w:noProof/>
        </w:rPr>
        <w:t xml:space="preserve"> με τα κράτη μέλη </w:t>
      </w:r>
    </w:p>
    <w:p>
      <w:pPr>
        <w:pStyle w:val="Text1"/>
        <w:rPr>
          <w:noProof/>
        </w:rPr>
      </w:pPr>
      <w:r>
        <w:rPr>
          <w:noProof/>
        </w:rPr>
        <w:t>x</w:t>
      </w:r>
      <w:r>
        <w:rPr>
          <w:i/>
          <w:noProof/>
        </w:rPr>
        <w:t xml:space="preserve"> </w:t>
      </w:r>
      <w:r>
        <w:rPr>
          <w:b/>
          <w:noProof/>
        </w:rPr>
        <w:t>Έμμεση διαχείριση</w:t>
      </w:r>
      <w:r>
        <w:rPr>
          <w:noProof/>
        </w:rPr>
        <w:t xml:space="preserve"> με ανάθεση καθηκόντων εκτέλεσης του προϋπολογισμού:</w:t>
      </w:r>
    </w:p>
    <w:p>
      <w:pPr>
        <w:pStyle w:val="ListDash2"/>
        <w:rPr>
          <w:noProof/>
        </w:rPr>
      </w:pPr>
      <w:r>
        <w:rPr>
          <w:noProof/>
        </w:rPr>
        <w:sym w:font="Wingdings" w:char="F0A8"/>
      </w:r>
      <w:r>
        <w:rPr>
          <w:noProof/>
        </w:rPr>
        <w:t xml:space="preserve"> σε τρίτες χώρες ή οργανισμούς που αυτές έχουν ορίσει</w:t>
      </w:r>
    </w:p>
    <w:p>
      <w:pPr>
        <w:pStyle w:val="ListDash2"/>
        <w:rPr>
          <w:noProof/>
        </w:rPr>
      </w:pPr>
      <w:r>
        <w:rPr>
          <w:noProof/>
        </w:rPr>
        <w:sym w:font="Wingdings" w:char="F0A8"/>
      </w:r>
      <w:r>
        <w:rPr>
          <w:noProof/>
        </w:rPr>
        <w:t xml:space="preserve"> σε διεθνείς οργανισμούς και στις οργανώσεις τους (να προσδιοριστούν)</w:t>
      </w:r>
    </w:p>
    <w:p>
      <w:pPr>
        <w:pStyle w:val="ListDash2"/>
        <w:rPr>
          <w:noProof/>
        </w:rPr>
      </w:pPr>
      <w:r>
        <w:rPr>
          <w:noProof/>
        </w:rPr>
        <w:t>Χ στην ΕΤΕπ και στο Ευρωπαϊκό Ταμείο Επενδύσεων</w:t>
      </w:r>
    </w:p>
    <w:p>
      <w:pPr>
        <w:pStyle w:val="ListDash2"/>
        <w:rPr>
          <w:noProof/>
        </w:rPr>
      </w:pPr>
      <w:r>
        <w:rPr>
          <w:noProof/>
        </w:rPr>
        <w:sym w:font="Wingdings" w:char="F0A8"/>
      </w:r>
      <w:r>
        <w:rPr>
          <w:noProof/>
        </w:rPr>
        <w:t xml:space="preserve"> τους οργανισμούς που αναφέρονται στα άρθρα 208 και 209 του δημοσιονομικού κανονισμού,</w:t>
      </w:r>
    </w:p>
    <w:p>
      <w:pPr>
        <w:pStyle w:val="ListDash2"/>
        <w:rPr>
          <w:noProof/>
        </w:rPr>
      </w:pPr>
      <w:r>
        <w:rPr>
          <w:noProof/>
        </w:rPr>
        <w:sym w:font="Wingdings" w:char="F0A8"/>
      </w:r>
      <w:r>
        <w:rPr>
          <w:noProof/>
        </w:rPr>
        <w:t xml:space="preserve"> σε οργανισμούς δημοσίου δικαίου</w:t>
      </w:r>
    </w:p>
    <w:p>
      <w:pPr>
        <w:pStyle w:val="ListDash2"/>
        <w:rPr>
          <w:noProof/>
        </w:rPr>
      </w:pPr>
      <w:r>
        <w:rPr>
          <w:noProof/>
        </w:rPr>
        <w:sym w:font="Wingdings" w:char="F0A8"/>
      </w:r>
      <w:r>
        <w:rPr>
          <w:noProof/>
        </w:rPr>
        <w:t xml:space="preserve"> σε οργανισμούς που διέπονται από ιδιωτικό δίκαιο και έχουν αποστολή δημόσιας υπηρεσίας, στον βαθμό που παρέχουν επαρκείς οικονομικές εγγυήσεις</w:t>
      </w:r>
    </w:p>
    <w:p>
      <w:pPr>
        <w:pStyle w:val="ListDash2"/>
        <w:rPr>
          <w:noProof/>
        </w:rPr>
      </w:pPr>
      <w:r>
        <w:rPr>
          <w:noProof/>
        </w:rPr>
        <w:sym w:font="Wingdings" w:char="F0A8"/>
      </w:r>
      <w:r>
        <w:rPr>
          <w:noProof/>
        </w:rPr>
        <w:t xml:space="preserve"> σε οργανισμούς που διέπονται από το ιδιωτικό δίκαιο κράτους μέλους, στους οποίους έχει ανατεθεί η εκτέλεση σύμπραξης δημόσιου και ιδιωτικού τομέα και οι οποίοι παρέχουν επαρκείς οικονομικές εγγυήσεις</w:t>
      </w:r>
    </w:p>
    <w:p>
      <w:pPr>
        <w:pStyle w:val="ListDash2"/>
        <w:rPr>
          <w:noProof/>
        </w:rPr>
      </w:pPr>
      <w:r>
        <w:rPr>
          <w:noProof/>
        </w:rPr>
        <w:sym w:font="Wingdings" w:char="F0A8"/>
      </w:r>
      <w:r>
        <w:rPr>
          <w:noProof/>
        </w:rPr>
        <w:t xml:space="preserve"> σε πρόσωπα επιφορτισμένα με την εκτέλεση συγκεκριμένων δράσεων στην ΚΕΠΠΑ βάσει του τίτλου V της ΣΕΕ και τα οποία προσδιορίζονται στην αντίστοιχη βασική πράξη.</w:t>
      </w:r>
    </w:p>
    <w:p>
      <w:pPr>
        <w:rPr>
          <w:noProof/>
        </w:rPr>
      </w:pPr>
      <w:r>
        <w:rPr>
          <w:noProof/>
        </w:rPr>
        <w:t xml:space="preserve">Παρατηρήσεις </w:t>
      </w:r>
    </w:p>
    <w:p>
      <w:pPr>
        <w:pBdr>
          <w:top w:val="single" w:sz="4" w:space="1" w:color="auto"/>
          <w:left w:val="single" w:sz="4" w:space="4" w:color="auto"/>
          <w:bottom w:val="single" w:sz="4" w:space="1" w:color="auto"/>
          <w:right w:val="single" w:sz="4" w:space="4" w:color="auto"/>
        </w:pBdr>
        <w:rPr>
          <w:noProof/>
        </w:rPr>
      </w:pPr>
      <w:r>
        <w:rPr>
          <w:noProof/>
        </w:rPr>
        <w:t>Το ταμείο εγγυήσεων του ΕΤΣΕ τελεί υπό την άμεση διαχείριση της Επιτροπής. Ο Ευρωπαϊκός Κόμβος Επενδυτικών Συμβουλών τελεί υπό την έμμεση διαχείριση της ΕΤΕπ. Οι συμβουλευτικές υπηρεσίες και η τεχνική βοήθεια μπορούν να τελούν υπό την άμεση ή έμμεση διαχείριση της Επιτροπής, μεταξύ άλλων μέσω της ΕΤΕπ.</w:t>
      </w:r>
    </w:p>
    <w:p>
      <w:pPr>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2.</w:t>
      </w:r>
      <w:r>
        <w:rPr>
          <w:noProof/>
        </w:rPr>
        <w:tab/>
        <w:t xml:space="preserve">ΜΕΤΡΑ ΔΙΑΧΕΙΡΙΣΗΣ </w:t>
      </w:r>
    </w:p>
    <w:p>
      <w:pPr>
        <w:pStyle w:val="ManualHeading2"/>
        <w:rPr>
          <w:noProof/>
        </w:rPr>
      </w:pPr>
      <w:r>
        <w:rPr>
          <w:noProof/>
        </w:rPr>
        <w:t>2.1.</w:t>
      </w:r>
      <w:r>
        <w:rPr>
          <w:noProof/>
        </w:rPr>
        <w:tab/>
        <w:t xml:space="preserve">Κανόνες παρακολούθησης και υποβολής εκθέσεων </w:t>
      </w:r>
    </w:p>
    <w:p>
      <w:pPr>
        <w:pStyle w:val="Text1"/>
        <w:rPr>
          <w:i/>
          <w:noProof/>
          <w:sz w:val="20"/>
          <w:u w:val="single"/>
        </w:rPr>
      </w:pPr>
    </w:p>
    <w:p>
      <w:pPr>
        <w:pStyle w:val="Text1"/>
        <w:pBdr>
          <w:top w:val="single" w:sz="4" w:space="1" w:color="auto"/>
          <w:left w:val="single" w:sz="4" w:space="4" w:color="auto"/>
          <w:bottom w:val="single" w:sz="4" w:space="1" w:color="auto"/>
          <w:right w:val="single" w:sz="4" w:space="4" w:color="auto"/>
        </w:pBdr>
        <w:rPr>
          <w:noProof/>
        </w:rPr>
      </w:pPr>
      <w:r>
        <w:rPr>
          <w:noProof/>
        </w:rPr>
        <w:t>Σύμφωνα με το άρθρο 10 του κανονισμού ΕΤΣΕ, η ΕΤΕπ, όπου απαιτείται σε συνεργασία με το ΕΤΕ, υποβάλλει έκθεση ανά εξάμηνο στην Επιτροπή για τις χρηματοδοτικές και επενδυτικές πράξεις της ΕΤΕπ. Επιπλέον, η ΕΤΕπ, σε συνεργασία με το ΕΤΕ, κατά περίπτωση, υποβάλλει ετήσια έκθεση στο Ευρωπαϊκό Κοινοβούλιο και στο Συμβούλιο σχετικά με τις χρηματοδοτικές και επενδυτικές πράξεις της ΕΤΕπ.  Έως τις 31 Μαρτίου κάθε έτους, η Επιτροπή καλείται να υποβάλει στο Ευρωπαϊκό Κοινοβούλιο, στο Συμβούλιο και στο Ελεγκτικό Συνέδριο ετήσια έκθεση σχετικά με την κατάσταση του ταμείου εγγυήσεων και τη διαχείρισή του κατά τη διάρκεια του προηγουμένου έτους.</w:t>
      </w:r>
    </w:p>
    <w:p>
      <w:pPr>
        <w:pBdr>
          <w:top w:val="single" w:sz="4" w:space="1" w:color="auto"/>
          <w:left w:val="single" w:sz="4" w:space="4" w:color="auto"/>
          <w:bottom w:val="single" w:sz="4" w:space="1" w:color="auto"/>
          <w:right w:val="single" w:sz="4" w:space="4" w:color="auto"/>
        </w:pBdr>
        <w:ind w:left="850"/>
        <w:rPr>
          <w:noProof/>
        </w:rPr>
      </w:pPr>
      <w:r>
        <w:rPr>
          <w:noProof/>
        </w:rPr>
        <w:t>Σύμφωνα με το άρθρο 12 του κανονισμού ΕΤΣΕ, η ΕΤΕπ αξιολογεί τη λειτουργία του ΕΤΣΕ και υποβάλλει την αξιολόγησή της στο Ευρωπαϊκό Κοινοβούλιο, το Συμβούλιο και την Επιτροπή. Επιπλέον, η Επιτροπή αξιολογεί τη χρήση της εγγύησης της ΕΕ και τη λειτουργία του ταμείου εγγυήσεων και αναφέρει σχετικά στο Ευρωπαϊκό Κοινοβούλιο και το Συμβούλιο. Απαιτείται η δημοσίευση αναλυτικής έκθεσης σχετικά με τη λειτουργία του ΕΤΣΕ ανά τριετία (επόμενη έκθεση το 2021), καθώς και αναλυτική έκθεση σχετικά με τη χρήση της εγγύησης της ΕΕ και τη λειτουργία του ταμείου εγγυήσεων.</w:t>
      </w:r>
    </w:p>
    <w:p>
      <w:pPr>
        <w:pStyle w:val="ManualHeading2"/>
        <w:rPr>
          <w:noProof/>
          <w:szCs w:val="24"/>
        </w:rPr>
      </w:pPr>
      <w:r>
        <w:rPr>
          <w:noProof/>
        </w:rPr>
        <w:t>2.2.</w:t>
      </w:r>
      <w:r>
        <w:rPr>
          <w:noProof/>
        </w:rPr>
        <w:tab/>
        <w:t xml:space="preserve">Σύστημα διαχείρισης και ελέγχου </w:t>
      </w:r>
    </w:p>
    <w:p>
      <w:pPr>
        <w:pStyle w:val="ManualHeading3"/>
        <w:rPr>
          <w:noProof/>
        </w:rPr>
      </w:pPr>
      <w:r>
        <w:rPr>
          <w:noProof/>
        </w:rPr>
        <w:t>2.2.1.</w:t>
      </w:r>
      <w:r>
        <w:rPr>
          <w:noProof/>
        </w:rPr>
        <w:tab/>
        <w:t xml:space="preserve">Κίνδυνος(-οι) που έχει(-ουν) εντοπιστεί </w:t>
      </w:r>
    </w:p>
    <w:p>
      <w:pPr>
        <w:pStyle w:val="Text1"/>
        <w:pBdr>
          <w:top w:val="single" w:sz="4" w:space="1" w:color="auto"/>
          <w:left w:val="single" w:sz="4" w:space="4" w:color="auto"/>
          <w:bottom w:val="single" w:sz="4" w:space="1" w:color="auto"/>
          <w:right w:val="single" w:sz="4" w:space="4" w:color="auto"/>
        </w:pBdr>
        <w:rPr>
          <w:noProof/>
        </w:rPr>
      </w:pPr>
      <w:r>
        <w:rPr>
          <w:noProof/>
        </w:rPr>
        <w:t>Οι χρηματοδοτικές και επενδυτικές πράξεις της ΕΤΕπ που καλύπτονται από την εγγύηση της ΕΕ ενέχουν μη αμελητέο οικονομικό κίνδυνο. Η πιθανότητα κατάπτωσης της εγγύησης είναι σημαντική. Ωστόσο, εκτιμάται ότι το ταμείο εγγυήσεων προσφέρει την προστασία που απαιτείται για τον προϋπολογισμό της Ένωσης. Τα ίδια τα έργα ενδέχεται να υπόκεινται σε καθυστερήσεις εκτέλεσης και υπερβάσεις κόστους.</w:t>
      </w:r>
    </w:p>
    <w:p>
      <w:pPr>
        <w:pBdr>
          <w:top w:val="single" w:sz="4" w:space="1" w:color="auto"/>
          <w:left w:val="single" w:sz="4" w:space="4" w:color="auto"/>
          <w:bottom w:val="single" w:sz="4" w:space="1" w:color="auto"/>
          <w:right w:val="single" w:sz="4" w:space="4" w:color="auto"/>
        </w:pBdr>
        <w:ind w:left="850"/>
        <w:rPr>
          <w:noProof/>
        </w:rPr>
      </w:pPr>
      <w:r>
        <w:rPr>
          <w:noProof/>
        </w:rPr>
        <w:t>Ακόμη και με βάση συντηρητικές παραδοχές, η οικονομική αποδοτικότητα της πρωτοβουλίας θα μπορούσε να πληγεί από ανεπαρκή απορρόφηση των μέσων από την αγορά και από μεταβαλλόμενες συνθήκες της αγοράς, μειώνοντας με την πάροδο του χρόνου το υποτεθέν πολλαπλασιαστικό αποτέλεσμα.</w:t>
      </w:r>
    </w:p>
    <w:p>
      <w:pPr>
        <w:pBdr>
          <w:top w:val="single" w:sz="4" w:space="1" w:color="auto"/>
          <w:left w:val="single" w:sz="4" w:space="4" w:color="auto"/>
          <w:bottom w:val="single" w:sz="4" w:space="1" w:color="auto"/>
          <w:right w:val="single" w:sz="4" w:space="4" w:color="auto"/>
        </w:pBdr>
        <w:ind w:left="850"/>
        <w:rPr>
          <w:noProof/>
        </w:rPr>
      </w:pPr>
      <w:r>
        <w:rPr>
          <w:noProof/>
        </w:rPr>
        <w:t>Σύμφωνα με το άρθρο 8 παράγραφος 4 του κανονισμού ΕΤΣΕ, οι πόροι του ταμείου εγγυήσεων πρέπει να επενδύονται. Οι επενδύσεις αυτές θα φέρουν επενδυτικό κίνδυνο (π.χ. κίνδυνο αγοράς και πιστωτικό κίνδυνο) και λειτουργικό κίνδυνο.</w:t>
      </w:r>
    </w:p>
    <w:p>
      <w:pPr>
        <w:pStyle w:val="ManualHeading3"/>
        <w:rPr>
          <w:noProof/>
          <w:szCs w:val="24"/>
        </w:rPr>
      </w:pPr>
      <w:r>
        <w:rPr>
          <w:noProof/>
        </w:rPr>
        <w:t>2.2.2.</w:t>
      </w:r>
      <w:r>
        <w:rPr>
          <w:noProof/>
        </w:rPr>
        <w:tab/>
        <w:t>Πληροφορίες σχετικά με το σύστημα εσωτερικού ελέγχου που έχει καθοριστεί</w:t>
      </w:r>
    </w:p>
    <w:p>
      <w:pPr>
        <w:pStyle w:val="Text1"/>
        <w:pBdr>
          <w:top w:val="single" w:sz="4" w:space="1" w:color="auto"/>
          <w:left w:val="single" w:sz="4" w:space="4" w:color="auto"/>
          <w:bottom w:val="single" w:sz="4" w:space="1" w:color="auto"/>
          <w:right w:val="single" w:sz="4" w:space="4" w:color="auto"/>
        </w:pBdr>
        <w:rPr>
          <w:noProof/>
        </w:rPr>
      </w:pPr>
      <w:r>
        <w:rPr>
          <w:noProof/>
        </w:rPr>
        <w:t xml:space="preserve">Το ΕΤΣΕ διοικείται από διοικητικό συμβούλιο, το οποίο καθορίζει τον στρατηγικό προσανατολισμό του ΕΤΣΕ, τις επιχειρησιακές πολιτικές και διαδικασίες, τους κανόνες που εφαρμόζονται στις δραστηριότητες με επενδυτικές πλατφόρμες και εθνικές αναπτυξιακές τράπεζες και το προφίλ κινδύνου του ΕΤΣΕ. </w:t>
      </w:r>
    </w:p>
    <w:p>
      <w:pPr>
        <w:pStyle w:val="Text1"/>
        <w:pBdr>
          <w:top w:val="single" w:sz="4" w:space="1" w:color="auto"/>
          <w:left w:val="single" w:sz="4" w:space="4" w:color="auto"/>
          <w:bottom w:val="single" w:sz="4" w:space="1" w:color="auto"/>
          <w:right w:val="single" w:sz="4" w:space="4" w:color="auto"/>
        </w:pBdr>
        <w:rPr>
          <w:noProof/>
        </w:rPr>
      </w:pPr>
      <w:r>
        <w:rPr>
          <w:noProof/>
        </w:rPr>
        <w:t xml:space="preserve">Οι αποφάσεις σχετικά με τη χρήση της στήριξης του ΕΤΣΕ υπό το σκέλος στήριξης της φερεγγυότητας λαμβάνονται από την Επιτροπή Επενδύσεων, όπως συμβαίνει επί του παρόντος για τα άλλα δύο σκέλη. Στην περίπτωση πράξεων που εκτελούνται από το ΕΤΕ, ζητείται η γνώμη της Επιτροπής Επενδύσεων για τα χρηματοπιστωτικά προϊόντα. Η Επιτροπή Επενδύσεων αποτελείται από ανεξάρτητους εμπειρογνώμονες που διαθέτουν γνώσεις και εμπειρία στους τομείς των επενδυτικών έργων και λογοδοτούν στο διοικητικό συμβούλιο, που εποπτεύει την εκπλήρωση των στόχων του ΕΤΣΕ. </w:t>
      </w:r>
    </w:p>
    <w:p>
      <w:pPr>
        <w:pStyle w:val="Text1"/>
        <w:pBdr>
          <w:top w:val="single" w:sz="4" w:space="1" w:color="auto"/>
          <w:left w:val="single" w:sz="4" w:space="4" w:color="auto"/>
          <w:bottom w:val="single" w:sz="4" w:space="1" w:color="auto"/>
          <w:right w:val="single" w:sz="4" w:space="4" w:color="auto"/>
        </w:pBdr>
        <w:rPr>
          <w:noProof/>
        </w:rPr>
      </w:pPr>
      <w:r>
        <w:rPr>
          <w:noProof/>
        </w:rPr>
        <w:t xml:space="preserve">Ο διευθύνων σύμβουλος του ΕΤΣΕ είναι υπεύθυνος για την καθημερινή διαχείριση του ΕΤΣΕ και την προπαρασκευή των συνεδριάσεων της Επιτροπής Επενδύσεων. Ο διευθύνων σύμβουλος είναι απευθείας υπόλογος στο διοικητικό συμβούλιο και υποβάλλει ανά τρίμηνο έκθεση στο διοικητικό συμβούλιο σχετικά με τις δραστηριότητες του ΕΤΣΕ. Ο διευθύνων σύμβουλος διορίστηκε από τον Πρόεδρο της ΕΤΕπ, έπειτα από έγκριση από το Ευρωπαϊκό Κοινοβούλιο του υποψηφίου που επιλέχθηκε από το διοικητικό συμβούλιο.  </w:t>
      </w:r>
    </w:p>
    <w:p>
      <w:pPr>
        <w:pStyle w:val="Text1"/>
        <w:pBdr>
          <w:top w:val="single" w:sz="4" w:space="1" w:color="auto"/>
          <w:left w:val="single" w:sz="4" w:space="4" w:color="auto"/>
          <w:bottom w:val="single" w:sz="4" w:space="1" w:color="auto"/>
          <w:right w:val="single" w:sz="4" w:space="4" w:color="auto"/>
        </w:pBdr>
        <w:rPr>
          <w:noProof/>
        </w:rPr>
      </w:pPr>
      <w:r>
        <w:rPr>
          <w:noProof/>
        </w:rPr>
        <w:t>Η Επιτροπή διαχειρίζεται τα περιουσιακά στοιχεία του ταμείου εγγυήσεων σύμφωνα με τον κανονισμό ΕΤΣΕ και σύμφωνα με τους εσωτερικούς κανόνες του και τις διαδικασίες που ισχύουν.</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2.3.</w:t>
      </w:r>
      <w:r>
        <w:rPr>
          <w:noProof/>
        </w:rPr>
        <w:tab/>
        <w:t xml:space="preserve">Μέτρα για την πρόληψη περιπτώσεων απάτης και παρατυπίας </w:t>
      </w:r>
    </w:p>
    <w:p>
      <w:pPr>
        <w:pStyle w:val="Text1"/>
        <w:pBdr>
          <w:top w:val="single" w:sz="4" w:space="1" w:color="auto"/>
          <w:left w:val="single" w:sz="4" w:space="4" w:color="auto"/>
          <w:bottom w:val="single" w:sz="4" w:space="1" w:color="auto"/>
          <w:right w:val="single" w:sz="4" w:space="4" w:color="auto"/>
        </w:pBdr>
        <w:rPr>
          <w:noProof/>
        </w:rPr>
      </w:pPr>
      <w:r>
        <w:rPr>
          <w:noProof/>
        </w:rPr>
        <w:t>Το άρθρο 21 του κανονισμού ΕΤΣΕ διευκρινίζει την αρμοδιότητα της Ευρωπαϊκής Υπηρεσίας Καταπολέμησης της Απάτης (OLAF) για τη διενέργεια ερευνών σχετικά με πράξεις που λαμβάνουν στήριξη στο πλαίσιο της παρούσας πρωτοβουλίας. Η ΕΤΕπ θέσπισε ειδικούς κανόνες για τη συνεργασία με την OLAF σε σχέση με πιθανές περιπτώσεις απάτης, δωροδοκίας ή άλλου είδους παράνομη δραστηριότητα που είναι επιζήμια για τα οικονομικά συμφέροντα των Κοινοτήτων.</w:t>
      </w:r>
    </w:p>
    <w:p>
      <w:pPr>
        <w:pBdr>
          <w:top w:val="single" w:sz="4" w:space="1" w:color="auto"/>
          <w:left w:val="single" w:sz="4" w:space="4" w:color="auto"/>
          <w:bottom w:val="single" w:sz="4" w:space="1" w:color="auto"/>
          <w:right w:val="single" w:sz="4" w:space="4" w:color="auto"/>
        </w:pBdr>
        <w:ind w:left="850"/>
        <w:rPr>
          <w:noProof/>
        </w:rPr>
      </w:pPr>
      <w:r>
        <w:rPr>
          <w:noProof/>
        </w:rPr>
        <w:t>Πέραν αυτού, εφαρμόζονται οι κανόνες και οι διαδικασίες της ΕΤΕπ, μεταξύ άλλων, και η πολιτική της ΕΤΕπ κατά της απάτης.</w:t>
      </w:r>
    </w:p>
    <w:p>
      <w:pP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3.</w:t>
      </w:r>
      <w:r>
        <w:rPr>
          <w:noProof/>
        </w:rPr>
        <w:tab/>
        <w:t xml:space="preserve">ΕΚΤΙΜΩΜΕΝΕΣ ΔΗΜΟΣΙΟΝΟΜΙΚΕΣ ΕΠΙΠΤΩΣΕΙΣ ΤΗΣ ΠΡΟΤΑΣΗΣ/ΠΡΩΤΟΒΟΥΛΙΑΣ </w:t>
      </w:r>
    </w:p>
    <w:p>
      <w:pPr>
        <w:pStyle w:val="ManualHeading2"/>
        <w:rPr>
          <w:noProof/>
        </w:rPr>
      </w:pPr>
      <w:r>
        <w:rPr>
          <w:noProof/>
        </w:rPr>
        <w:t>3.1.</w:t>
      </w:r>
      <w:r>
        <w:rPr>
          <w:noProof/>
        </w:rPr>
        <w:tab/>
        <w:t xml:space="preserve">Τομείς του πολυετούς δημοσιονομικού πλαισίου και γραμμές δαπανών του προϋπολογισμού που επηρεάζονται </w:t>
      </w:r>
    </w:p>
    <w:p>
      <w:pPr>
        <w:pStyle w:val="ListBullet1"/>
        <w:rPr>
          <w:noProof/>
        </w:rPr>
      </w:pPr>
      <w:r>
        <w:rPr>
          <w:noProof/>
        </w:rPr>
        <w:t xml:space="preserve">Υφιστάμενες γραμμές του προϋπολογισμού </w:t>
      </w:r>
    </w:p>
    <w:p>
      <w:pPr>
        <w:pStyle w:val="Text1"/>
        <w:rPr>
          <w:noProof/>
        </w:rPr>
      </w:pPr>
      <w:r>
        <w:rPr>
          <w:noProof/>
          <w:u w:val="single"/>
        </w:rPr>
        <w:t>Κατά σειρά</w:t>
      </w:r>
      <w:r>
        <w:rPr>
          <w:noProof/>
        </w:rPr>
        <w:t xml:space="preserve"> τομέων του πολυετούς δημοσιονομικού πλαισίου και γραμμών του προϋπολογισμού</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Τομέας του πολυετούς δημοσιονομικού πλαισίου</w:t>
            </w:r>
          </w:p>
        </w:tc>
        <w:tc>
          <w:tcPr>
            <w:tcW w:w="3960" w:type="dxa"/>
            <w:vAlign w:val="center"/>
          </w:tcPr>
          <w:p>
            <w:pPr>
              <w:spacing w:before="60" w:after="60"/>
              <w:jc w:val="center"/>
              <w:rPr>
                <w:noProof/>
                <w:sz w:val="22"/>
              </w:rPr>
            </w:pPr>
            <w:r>
              <w:rPr>
                <w:noProof/>
                <w:sz w:val="20"/>
              </w:rPr>
              <w:t>Γραμμή του προϋπολογισμού</w:t>
            </w:r>
          </w:p>
        </w:tc>
        <w:tc>
          <w:tcPr>
            <w:tcW w:w="1080" w:type="dxa"/>
            <w:vAlign w:val="center"/>
          </w:tcPr>
          <w:p>
            <w:pPr>
              <w:spacing w:before="60" w:after="60"/>
              <w:jc w:val="center"/>
              <w:rPr>
                <w:noProof/>
                <w:sz w:val="22"/>
              </w:rPr>
            </w:pPr>
            <w:r>
              <w:rPr>
                <w:noProof/>
                <w:sz w:val="18"/>
              </w:rPr>
              <w:t xml:space="preserve">Είδος </w:t>
            </w:r>
            <w:r>
              <w:rPr>
                <w:noProof/>
              </w:rPr>
              <w:t xml:space="preserve"> </w:t>
            </w:r>
            <w:r>
              <w:rPr>
                <w:noProof/>
              </w:rPr>
              <w:br/>
            </w:r>
            <w:r>
              <w:rPr>
                <w:noProof/>
                <w:sz w:val="18"/>
              </w:rPr>
              <w:t>δαπάνης</w:t>
            </w:r>
          </w:p>
        </w:tc>
        <w:tc>
          <w:tcPr>
            <w:tcW w:w="4440" w:type="dxa"/>
            <w:gridSpan w:val="4"/>
            <w:vAlign w:val="center"/>
          </w:tcPr>
          <w:p>
            <w:pPr>
              <w:spacing w:before="60" w:after="60"/>
              <w:jc w:val="center"/>
              <w:rPr>
                <w:noProof/>
                <w:sz w:val="22"/>
              </w:rPr>
            </w:pPr>
            <w:r>
              <w:rPr>
                <w:noProof/>
                <w:sz w:val="20"/>
              </w:rPr>
              <w:t xml:space="preserve">Συμμετοχή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Αριθμός </w:t>
            </w:r>
            <w:r>
              <w:rPr>
                <w:noProof/>
              </w:rPr>
              <w:t xml:space="preserve"> </w:t>
            </w:r>
            <w:r>
              <w:rPr>
                <w:noProof/>
              </w:rPr>
              <w:br/>
            </w:r>
            <w:r>
              <w:rPr>
                <w:noProof/>
                <w:sz w:val="20"/>
              </w:rPr>
              <w:t>Τομέα 1α (ΠΔΠ 2014-2020) ………………………...……………]</w:t>
            </w:r>
          </w:p>
        </w:tc>
        <w:tc>
          <w:tcPr>
            <w:tcW w:w="1080" w:type="dxa"/>
            <w:vAlign w:val="center"/>
          </w:tcPr>
          <w:p>
            <w:pPr>
              <w:jc w:val="center"/>
              <w:rPr>
                <w:noProof/>
                <w:sz w:val="22"/>
              </w:rPr>
            </w:pPr>
            <w:r>
              <w:rPr>
                <w:noProof/>
                <w:sz w:val="18"/>
              </w:rPr>
              <w:t>ΔΠ/ΜΔΠ</w:t>
            </w:r>
            <w:r>
              <w:rPr>
                <w:rStyle w:val="FootnoteReference"/>
                <w:noProof/>
                <w:sz w:val="18"/>
              </w:rPr>
              <w:footnoteReference w:id="17"/>
            </w:r>
            <w:r>
              <w:rPr>
                <w:noProof/>
              </w:rPr>
              <w:t>.</w:t>
            </w:r>
          </w:p>
        </w:tc>
        <w:tc>
          <w:tcPr>
            <w:tcW w:w="956" w:type="dxa"/>
            <w:vAlign w:val="center"/>
          </w:tcPr>
          <w:p>
            <w:pPr>
              <w:jc w:val="center"/>
              <w:rPr>
                <w:noProof/>
                <w:sz w:val="22"/>
              </w:rPr>
            </w:pPr>
            <w:r>
              <w:rPr>
                <w:noProof/>
                <w:sz w:val="18"/>
              </w:rPr>
              <w:t>χωρών ΕΖΕΣ</w:t>
            </w:r>
            <w:r>
              <w:rPr>
                <w:rStyle w:val="FootnoteReference"/>
                <w:noProof/>
                <w:sz w:val="18"/>
              </w:rPr>
              <w:footnoteReference w:id="18"/>
            </w:r>
          </w:p>
          <w:p>
            <w:pPr>
              <w:spacing w:before="0" w:after="0"/>
              <w:jc w:val="center"/>
              <w:rPr>
                <w:b/>
                <w:noProof/>
                <w:sz w:val="18"/>
              </w:rPr>
            </w:pPr>
          </w:p>
        </w:tc>
        <w:tc>
          <w:tcPr>
            <w:tcW w:w="1080" w:type="dxa"/>
            <w:vAlign w:val="center"/>
          </w:tcPr>
          <w:p>
            <w:pPr>
              <w:jc w:val="center"/>
              <w:rPr>
                <w:noProof/>
                <w:sz w:val="22"/>
              </w:rPr>
            </w:pPr>
            <w:r>
              <w:rPr>
                <w:noProof/>
                <w:sz w:val="18"/>
              </w:rPr>
              <w:t>υποψηφίων για ένταξη χωρών</w:t>
            </w:r>
            <w:r>
              <w:rPr>
                <w:rStyle w:val="FootnoteReference"/>
                <w:noProof/>
                <w:sz w:val="18"/>
              </w:rPr>
              <w:footnoteReference w:id="19"/>
            </w:r>
          </w:p>
          <w:p>
            <w:pPr>
              <w:spacing w:before="0" w:after="0"/>
              <w:jc w:val="center"/>
              <w:rPr>
                <w:noProof/>
                <w:sz w:val="18"/>
              </w:rPr>
            </w:pPr>
          </w:p>
        </w:tc>
        <w:tc>
          <w:tcPr>
            <w:tcW w:w="956" w:type="dxa"/>
            <w:vAlign w:val="center"/>
          </w:tcPr>
          <w:p>
            <w:pPr>
              <w:jc w:val="center"/>
              <w:rPr>
                <w:noProof/>
                <w:sz w:val="18"/>
              </w:rPr>
            </w:pPr>
            <w:r>
              <w:rPr>
                <w:noProof/>
                <w:sz w:val="18"/>
              </w:rPr>
              <w:t>τρίτων χωρών</w:t>
            </w:r>
          </w:p>
        </w:tc>
        <w:tc>
          <w:tcPr>
            <w:tcW w:w="1448" w:type="dxa"/>
            <w:vAlign w:val="center"/>
          </w:tcPr>
          <w:p>
            <w:pPr>
              <w:jc w:val="center"/>
              <w:rPr>
                <w:noProof/>
                <w:sz w:val="22"/>
              </w:rPr>
            </w:pPr>
            <w:r>
              <w:rPr>
                <w:noProof/>
                <w:sz w:val="16"/>
              </w:rPr>
              <w:t xml:space="preserve">κατά την έννοια του άρθρου 21 παράγραφος 2 στοιχείο β) του δημοσιονομικού κανονισμού </w:t>
            </w:r>
          </w:p>
        </w:tc>
      </w:tr>
      <w:tr>
        <w:tc>
          <w:tcPr>
            <w:tcW w:w="1080" w:type="dxa"/>
            <w:vAlign w:val="center"/>
          </w:tcPr>
          <w:p>
            <w:pPr>
              <w:jc w:val="center"/>
              <w:rPr>
                <w:noProof/>
                <w:sz w:val="22"/>
              </w:rPr>
            </w:pPr>
            <w:r>
              <w:rPr>
                <w:noProof/>
                <w:sz w:val="22"/>
              </w:rPr>
              <w:t>1α</w:t>
            </w:r>
          </w:p>
        </w:tc>
        <w:tc>
          <w:tcPr>
            <w:tcW w:w="3960" w:type="dxa"/>
            <w:vAlign w:val="center"/>
          </w:tcPr>
          <w:p>
            <w:pPr>
              <w:spacing w:before="60"/>
              <w:rPr>
                <w:noProof/>
              </w:rPr>
            </w:pPr>
            <w:r>
              <w:rPr>
                <w:noProof/>
              </w:rPr>
              <w:t>01.010401 Δαπάνες στήριξης για το «Ευρωπαϊκό Ταμείο Στρατηγικών Επενδύσεων (ΕΤΣΕ)»</w:t>
            </w:r>
          </w:p>
        </w:tc>
        <w:tc>
          <w:tcPr>
            <w:tcW w:w="1080" w:type="dxa"/>
            <w:vAlign w:val="center"/>
          </w:tcPr>
          <w:p>
            <w:pPr>
              <w:jc w:val="center"/>
              <w:rPr>
                <w:noProof/>
                <w:sz w:val="22"/>
              </w:rPr>
            </w:pPr>
            <w:r>
              <w:rPr>
                <w:noProof/>
                <w:sz w:val="22"/>
              </w:rPr>
              <w:t>ΜΔΠ</w:t>
            </w:r>
          </w:p>
        </w:tc>
        <w:tc>
          <w:tcPr>
            <w:tcW w:w="956" w:type="dxa"/>
            <w:vAlign w:val="center"/>
          </w:tcPr>
          <w:p>
            <w:pPr>
              <w:jc w:val="center"/>
              <w:rPr>
                <w:noProof/>
                <w:sz w:val="22"/>
              </w:rPr>
            </w:pPr>
            <w:r>
              <w:rPr>
                <w:noProof/>
                <w:sz w:val="22"/>
              </w:rPr>
              <w:t>ΟΧΙ</w:t>
            </w:r>
          </w:p>
        </w:tc>
        <w:tc>
          <w:tcPr>
            <w:tcW w:w="1080" w:type="dxa"/>
            <w:vAlign w:val="center"/>
          </w:tcPr>
          <w:p>
            <w:pPr>
              <w:jc w:val="center"/>
              <w:rPr>
                <w:noProof/>
                <w:sz w:val="22"/>
              </w:rPr>
            </w:pPr>
            <w:r>
              <w:rPr>
                <w:noProof/>
                <w:sz w:val="22"/>
              </w:rPr>
              <w:t>ΟΧΙ</w:t>
            </w:r>
          </w:p>
        </w:tc>
        <w:tc>
          <w:tcPr>
            <w:tcW w:w="956" w:type="dxa"/>
            <w:vAlign w:val="center"/>
          </w:tcPr>
          <w:p>
            <w:pPr>
              <w:jc w:val="center"/>
              <w:rPr>
                <w:noProof/>
                <w:sz w:val="22"/>
              </w:rPr>
            </w:pPr>
            <w:r>
              <w:rPr>
                <w:noProof/>
                <w:sz w:val="22"/>
              </w:rPr>
              <w:t>ΟΧΙ</w:t>
            </w:r>
          </w:p>
        </w:tc>
        <w:tc>
          <w:tcPr>
            <w:tcW w:w="1448" w:type="dxa"/>
            <w:vAlign w:val="center"/>
          </w:tcPr>
          <w:p>
            <w:pPr>
              <w:jc w:val="center"/>
              <w:rPr>
                <w:noProof/>
                <w:sz w:val="22"/>
              </w:rPr>
            </w:pPr>
            <w:r>
              <w:rPr>
                <w:noProof/>
                <w:sz w:val="22"/>
              </w:rPr>
              <w:t>ΟΧΙ</w:t>
            </w:r>
          </w:p>
        </w:tc>
      </w:tr>
      <w:tr>
        <w:tc>
          <w:tcPr>
            <w:tcW w:w="1080" w:type="dxa"/>
            <w:vAlign w:val="center"/>
          </w:tcPr>
          <w:p>
            <w:pPr>
              <w:jc w:val="center"/>
              <w:rPr>
                <w:noProof/>
                <w:sz w:val="22"/>
              </w:rPr>
            </w:pPr>
            <w:r>
              <w:rPr>
                <w:noProof/>
                <w:sz w:val="22"/>
              </w:rPr>
              <w:t>1α</w:t>
            </w:r>
          </w:p>
        </w:tc>
        <w:tc>
          <w:tcPr>
            <w:tcW w:w="3960" w:type="dxa"/>
            <w:vAlign w:val="center"/>
          </w:tcPr>
          <w:p>
            <w:pPr>
              <w:spacing w:before="60"/>
              <w:rPr>
                <w:noProof/>
              </w:rPr>
            </w:pPr>
            <w:r>
              <w:rPr>
                <w:noProof/>
              </w:rPr>
              <w:t>01.040101 Ευρωπαϊκό Ταμείο Επενδύσεων — Πρόβλεψη καταβαλλόμενων μεριδίων εγγεγραμμένου κεφαλαίου</w:t>
            </w:r>
          </w:p>
          <w:p>
            <w:pPr>
              <w:spacing w:before="60"/>
              <w:rPr>
                <w:noProof/>
              </w:rPr>
            </w:pPr>
            <w:r>
              <w:rPr>
                <w:noProof/>
              </w:rPr>
              <w:t>01.0404 Εγγύηση για το Ευρωπαϊκό Ταμείο Στρατηγικών Επενδύσεων (ΕΤΣΕ)</w:t>
            </w:r>
          </w:p>
          <w:p>
            <w:pPr>
              <w:spacing w:before="60"/>
              <w:rPr>
                <w:noProof/>
              </w:rPr>
            </w:pPr>
            <w:r>
              <w:rPr>
                <w:noProof/>
              </w:rPr>
              <w:t>01.040502 Τροφοδότηση της εγγύησης για το «Ευρωπαϊκό Ταμείο Στρατηγικών Επενδύσεων (ΕΤΣΕ)» – Σκέλος φερεγγυότητας</w:t>
            </w:r>
          </w:p>
          <w:p>
            <w:pPr>
              <w:spacing w:after="60"/>
              <w:rPr>
                <w:noProof/>
                <w:sz w:val="22"/>
              </w:rPr>
            </w:pPr>
            <w:r>
              <w:rPr>
                <w:noProof/>
              </w:rPr>
              <w:t>01.040602 Ευρωπαϊκός Κόμβος Επενδυτικών Συμβουλών (ΕΚΕΣ) και Ευρωπαϊκή Πύλη Επενδυτικών Έργων (ΕΠΕΕ) – (Τεχνική βοήθεια) – Σκέλος φερεγγυότητας</w:t>
            </w:r>
          </w:p>
        </w:tc>
        <w:tc>
          <w:tcPr>
            <w:tcW w:w="1080" w:type="dxa"/>
            <w:vAlign w:val="center"/>
          </w:tcPr>
          <w:p>
            <w:pPr>
              <w:jc w:val="center"/>
              <w:rPr>
                <w:noProof/>
                <w:sz w:val="22"/>
              </w:rPr>
            </w:pPr>
            <w:r>
              <w:rPr>
                <w:noProof/>
                <w:sz w:val="22"/>
              </w:rPr>
              <w:t>ΔΠ</w:t>
            </w:r>
          </w:p>
        </w:tc>
        <w:tc>
          <w:tcPr>
            <w:tcW w:w="956" w:type="dxa"/>
            <w:vAlign w:val="center"/>
          </w:tcPr>
          <w:p>
            <w:pPr>
              <w:jc w:val="center"/>
              <w:rPr>
                <w:noProof/>
                <w:sz w:val="22"/>
              </w:rPr>
            </w:pPr>
            <w:r>
              <w:rPr>
                <w:noProof/>
                <w:sz w:val="22"/>
              </w:rPr>
              <w:t>ΟΧΙ</w:t>
            </w:r>
          </w:p>
        </w:tc>
        <w:tc>
          <w:tcPr>
            <w:tcW w:w="1080" w:type="dxa"/>
            <w:vAlign w:val="center"/>
          </w:tcPr>
          <w:p>
            <w:pPr>
              <w:jc w:val="center"/>
              <w:rPr>
                <w:noProof/>
                <w:sz w:val="22"/>
              </w:rPr>
            </w:pPr>
            <w:r>
              <w:rPr>
                <w:noProof/>
                <w:sz w:val="22"/>
              </w:rPr>
              <w:t>ΟΧΙ</w:t>
            </w:r>
          </w:p>
        </w:tc>
        <w:tc>
          <w:tcPr>
            <w:tcW w:w="956" w:type="dxa"/>
            <w:vAlign w:val="center"/>
          </w:tcPr>
          <w:p>
            <w:pPr>
              <w:jc w:val="center"/>
              <w:rPr>
                <w:noProof/>
                <w:sz w:val="22"/>
              </w:rPr>
            </w:pPr>
            <w:r>
              <w:rPr>
                <w:noProof/>
                <w:sz w:val="22"/>
              </w:rPr>
              <w:t>ΟΧΙ</w:t>
            </w:r>
          </w:p>
        </w:tc>
        <w:tc>
          <w:tcPr>
            <w:tcW w:w="1448" w:type="dxa"/>
            <w:vAlign w:val="center"/>
          </w:tcPr>
          <w:p>
            <w:pPr>
              <w:jc w:val="center"/>
              <w:rPr>
                <w:noProof/>
                <w:sz w:val="22"/>
              </w:rPr>
            </w:pPr>
            <w:r>
              <w:rPr>
                <w:noProof/>
                <w:sz w:val="22"/>
              </w:rPr>
              <w:t>ΟΧΙ</w:t>
            </w:r>
          </w:p>
        </w:tc>
      </w:tr>
    </w:tbl>
    <w:p>
      <w:pPr>
        <w:pStyle w:val="ListBullet1"/>
        <w:rPr>
          <w:noProof/>
        </w:rPr>
      </w:pPr>
      <w:r>
        <w:rPr>
          <w:noProof/>
        </w:rPr>
        <w:t xml:space="preserve">Νέες γραμμές του προϋπολογισμού, των οποίων έχει ζητηθεί η δημιουργία </w:t>
      </w:r>
    </w:p>
    <w:p>
      <w:pPr>
        <w:pStyle w:val="Text1"/>
        <w:rPr>
          <w:i/>
          <w:noProof/>
          <w:sz w:val="20"/>
        </w:rPr>
      </w:pPr>
      <w:r>
        <w:rPr>
          <w:i/>
          <w:noProof/>
          <w:u w:val="single"/>
        </w:rPr>
        <w:t>Κατά σειρά</w:t>
      </w:r>
      <w:r>
        <w:rPr>
          <w:i/>
          <w:noProof/>
        </w:rPr>
        <w:t xml:space="preserve"> τομέων του πολυετούς δημοσιονομικού πλαισίου και γραμμών του προϋπολογισμού</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Τομέας του πολυετούς δημοσιονομικού πλαισίου</w:t>
            </w:r>
          </w:p>
        </w:tc>
        <w:tc>
          <w:tcPr>
            <w:tcW w:w="3960" w:type="dxa"/>
            <w:vAlign w:val="center"/>
          </w:tcPr>
          <w:p>
            <w:pPr>
              <w:spacing w:before="60" w:after="60"/>
              <w:jc w:val="center"/>
              <w:rPr>
                <w:noProof/>
                <w:sz w:val="22"/>
              </w:rPr>
            </w:pPr>
            <w:r>
              <w:rPr>
                <w:noProof/>
                <w:sz w:val="20"/>
              </w:rPr>
              <w:t>Γραμμή του προϋπολογισμού</w:t>
            </w:r>
          </w:p>
        </w:tc>
        <w:tc>
          <w:tcPr>
            <w:tcW w:w="1080" w:type="dxa"/>
            <w:vAlign w:val="center"/>
          </w:tcPr>
          <w:p>
            <w:pPr>
              <w:spacing w:before="60" w:after="60"/>
              <w:jc w:val="center"/>
              <w:rPr>
                <w:noProof/>
                <w:sz w:val="22"/>
              </w:rPr>
            </w:pPr>
            <w:r>
              <w:rPr>
                <w:noProof/>
                <w:sz w:val="18"/>
              </w:rPr>
              <w:t>Είδος</w:t>
            </w:r>
            <w:r>
              <w:rPr>
                <w:noProof/>
              </w:rPr>
              <w:t xml:space="preserve"> </w:t>
            </w:r>
            <w:r>
              <w:rPr>
                <w:noProof/>
              </w:rPr>
              <w:br/>
            </w:r>
            <w:r>
              <w:rPr>
                <w:noProof/>
                <w:sz w:val="18"/>
              </w:rPr>
              <w:t>δαπάνης</w:t>
            </w:r>
          </w:p>
        </w:tc>
        <w:tc>
          <w:tcPr>
            <w:tcW w:w="4440" w:type="dxa"/>
            <w:gridSpan w:val="4"/>
            <w:vAlign w:val="center"/>
          </w:tcPr>
          <w:p>
            <w:pPr>
              <w:spacing w:before="60" w:after="60"/>
              <w:jc w:val="center"/>
              <w:rPr>
                <w:noProof/>
                <w:sz w:val="22"/>
              </w:rPr>
            </w:pPr>
            <w:r>
              <w:rPr>
                <w:noProof/>
                <w:sz w:val="20"/>
              </w:rPr>
              <w:t xml:space="preserve">Συμμετοχή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Αριθμός </w:t>
            </w:r>
            <w:r>
              <w:rPr>
                <w:noProof/>
              </w:rPr>
              <w:t xml:space="preserve"> </w:t>
            </w:r>
            <w:r>
              <w:rPr>
                <w:noProof/>
              </w:rPr>
              <w:br/>
            </w:r>
            <w:r>
              <w:rPr>
                <w:noProof/>
                <w:sz w:val="20"/>
              </w:rPr>
              <w:t>Τομέα 1 (ΠΔΠ 2021-2027)</w:t>
            </w:r>
          </w:p>
        </w:tc>
        <w:tc>
          <w:tcPr>
            <w:tcW w:w="1080" w:type="dxa"/>
            <w:vAlign w:val="center"/>
          </w:tcPr>
          <w:p>
            <w:pPr>
              <w:jc w:val="center"/>
              <w:rPr>
                <w:noProof/>
                <w:sz w:val="22"/>
              </w:rPr>
            </w:pPr>
            <w:r>
              <w:rPr>
                <w:noProof/>
                <w:sz w:val="18"/>
              </w:rPr>
              <w:t>ΔΠ/ΜΔΜ</w:t>
            </w:r>
          </w:p>
        </w:tc>
        <w:tc>
          <w:tcPr>
            <w:tcW w:w="956" w:type="dxa"/>
            <w:vAlign w:val="center"/>
          </w:tcPr>
          <w:p>
            <w:pPr>
              <w:jc w:val="center"/>
              <w:rPr>
                <w:noProof/>
                <w:sz w:val="18"/>
              </w:rPr>
            </w:pPr>
            <w:r>
              <w:rPr>
                <w:noProof/>
                <w:sz w:val="18"/>
              </w:rPr>
              <w:t>χωρών ΕΖΕΣ</w:t>
            </w:r>
          </w:p>
        </w:tc>
        <w:tc>
          <w:tcPr>
            <w:tcW w:w="1080" w:type="dxa"/>
            <w:vAlign w:val="center"/>
          </w:tcPr>
          <w:p>
            <w:pPr>
              <w:jc w:val="center"/>
              <w:rPr>
                <w:noProof/>
                <w:sz w:val="18"/>
              </w:rPr>
            </w:pPr>
            <w:r>
              <w:rPr>
                <w:noProof/>
                <w:sz w:val="18"/>
              </w:rPr>
              <w:t>υποψηφίων για ένταξη χωρών</w:t>
            </w:r>
          </w:p>
        </w:tc>
        <w:tc>
          <w:tcPr>
            <w:tcW w:w="956" w:type="dxa"/>
            <w:vAlign w:val="center"/>
          </w:tcPr>
          <w:p>
            <w:pPr>
              <w:jc w:val="center"/>
              <w:rPr>
                <w:noProof/>
                <w:sz w:val="18"/>
              </w:rPr>
            </w:pPr>
            <w:r>
              <w:rPr>
                <w:noProof/>
                <w:sz w:val="18"/>
              </w:rPr>
              <w:t>τρίτων χωρών</w:t>
            </w:r>
          </w:p>
        </w:tc>
        <w:tc>
          <w:tcPr>
            <w:tcW w:w="1448" w:type="dxa"/>
            <w:vAlign w:val="center"/>
          </w:tcPr>
          <w:p>
            <w:pPr>
              <w:jc w:val="center"/>
              <w:rPr>
                <w:noProof/>
                <w:sz w:val="22"/>
              </w:rPr>
            </w:pPr>
            <w:r>
              <w:rPr>
                <w:noProof/>
                <w:sz w:val="16"/>
              </w:rPr>
              <w:t xml:space="preserve">κατά την έννοια του άρθρου 21 παράγραφος 2 στοιχείο β) του δημοσιονομικού κανονισμού </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szCs w:val="24"/>
              </w:rPr>
            </w:pPr>
            <w:r>
              <w:rPr>
                <w:noProof/>
              </w:rPr>
              <w:t>02.0104 Δαπάνες στήριξης για το «Ευρωπαϊκό Ταμείο Στρατηγικών Επενδύσεων (ΕΤΣΕ)»</w:t>
            </w:r>
          </w:p>
        </w:tc>
        <w:tc>
          <w:tcPr>
            <w:tcW w:w="1080" w:type="dxa"/>
            <w:vAlign w:val="center"/>
          </w:tcPr>
          <w:p>
            <w:pPr>
              <w:jc w:val="center"/>
              <w:rPr>
                <w:noProof/>
                <w:sz w:val="22"/>
              </w:rPr>
            </w:pPr>
            <w:r>
              <w:rPr>
                <w:noProof/>
                <w:sz w:val="22"/>
              </w:rPr>
              <w:t>ΜΔΠ</w:t>
            </w:r>
          </w:p>
        </w:tc>
        <w:tc>
          <w:tcPr>
            <w:tcW w:w="956" w:type="dxa"/>
            <w:vAlign w:val="center"/>
          </w:tcPr>
          <w:p>
            <w:pPr>
              <w:jc w:val="center"/>
              <w:rPr>
                <w:noProof/>
                <w:sz w:val="22"/>
              </w:rPr>
            </w:pPr>
            <w:r>
              <w:rPr>
                <w:noProof/>
                <w:sz w:val="22"/>
              </w:rPr>
              <w:t>ΟΧΙ</w:t>
            </w:r>
          </w:p>
        </w:tc>
        <w:tc>
          <w:tcPr>
            <w:tcW w:w="1080" w:type="dxa"/>
            <w:vAlign w:val="center"/>
          </w:tcPr>
          <w:p>
            <w:pPr>
              <w:jc w:val="center"/>
              <w:rPr>
                <w:noProof/>
                <w:sz w:val="22"/>
              </w:rPr>
            </w:pPr>
            <w:r>
              <w:rPr>
                <w:noProof/>
                <w:sz w:val="22"/>
              </w:rPr>
              <w:t>ΟΧΙ</w:t>
            </w:r>
          </w:p>
        </w:tc>
        <w:tc>
          <w:tcPr>
            <w:tcW w:w="956" w:type="dxa"/>
            <w:vAlign w:val="center"/>
          </w:tcPr>
          <w:p>
            <w:pPr>
              <w:jc w:val="center"/>
              <w:rPr>
                <w:noProof/>
                <w:sz w:val="22"/>
              </w:rPr>
            </w:pPr>
            <w:r>
              <w:rPr>
                <w:noProof/>
                <w:sz w:val="22"/>
              </w:rPr>
              <w:t>ΟΧΙ</w:t>
            </w:r>
          </w:p>
        </w:tc>
        <w:tc>
          <w:tcPr>
            <w:tcW w:w="1448" w:type="dxa"/>
            <w:vAlign w:val="center"/>
          </w:tcPr>
          <w:p>
            <w:pPr>
              <w:jc w:val="center"/>
              <w:rPr>
                <w:noProof/>
                <w:sz w:val="22"/>
              </w:rPr>
            </w:pPr>
            <w:r>
              <w:rPr>
                <w:noProof/>
                <w:sz w:val="22"/>
              </w:rPr>
              <w:t>ΟΧΙ</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rPr>
            </w:pPr>
            <w:r>
              <w:rPr>
                <w:noProof/>
              </w:rPr>
              <w:t>02.0501 Εγγύηση για το Ευρωπαϊκό Ταμείο Στρατηγικών Επενδύσεων» (ΕΤΣΕ)</w:t>
            </w:r>
          </w:p>
          <w:p>
            <w:pPr>
              <w:spacing w:before="60"/>
              <w:rPr>
                <w:noProof/>
              </w:rPr>
            </w:pPr>
            <w:r>
              <w:rPr>
                <w:noProof/>
              </w:rPr>
              <w:t>02.050202 Τροφοδότηση της εγγύησης για το «Ευρωπαϊκό Ταμείο Στρατηγικών Επενδύσεων (ΕΤΣΕ)» – Σκέλος φερεγγυότητας</w:t>
            </w:r>
          </w:p>
          <w:p>
            <w:pPr>
              <w:spacing w:before="60"/>
              <w:rPr>
                <w:noProof/>
                <w:sz w:val="22"/>
              </w:rPr>
            </w:pPr>
            <w:r>
              <w:rPr>
                <w:noProof/>
                <w:sz w:val="22"/>
              </w:rPr>
              <w:t>02.050302</w:t>
            </w:r>
            <w:r>
              <w:rPr>
                <w:noProof/>
              </w:rPr>
              <w:t xml:space="preserve"> Ευρωπαϊκός Κόμβος Επενδυτικών Συμβουλών (ΕΚΕΣ) και Ευρωπαϊκή Πύλη Επενδυτικών Έργων (ΕΠΕΕ) – (Τεχνική βοήθεια) – Σκέλος φερεγγυότητας</w:t>
            </w:r>
          </w:p>
          <w:p>
            <w:pPr>
              <w:spacing w:after="60"/>
              <w:rPr>
                <w:noProof/>
                <w:sz w:val="22"/>
              </w:rPr>
            </w:pPr>
          </w:p>
        </w:tc>
        <w:tc>
          <w:tcPr>
            <w:tcW w:w="1080" w:type="dxa"/>
            <w:vAlign w:val="center"/>
          </w:tcPr>
          <w:p>
            <w:pPr>
              <w:jc w:val="center"/>
              <w:rPr>
                <w:noProof/>
                <w:sz w:val="22"/>
              </w:rPr>
            </w:pPr>
            <w:r>
              <w:rPr>
                <w:noProof/>
                <w:sz w:val="22"/>
              </w:rPr>
              <w:t>ΔΠ</w:t>
            </w:r>
          </w:p>
        </w:tc>
        <w:tc>
          <w:tcPr>
            <w:tcW w:w="956" w:type="dxa"/>
            <w:vAlign w:val="center"/>
          </w:tcPr>
          <w:p>
            <w:pPr>
              <w:jc w:val="center"/>
              <w:rPr>
                <w:noProof/>
                <w:sz w:val="22"/>
              </w:rPr>
            </w:pPr>
            <w:r>
              <w:rPr>
                <w:noProof/>
                <w:sz w:val="22"/>
              </w:rPr>
              <w:t>ΟΧΙ</w:t>
            </w:r>
          </w:p>
        </w:tc>
        <w:tc>
          <w:tcPr>
            <w:tcW w:w="1080" w:type="dxa"/>
            <w:vAlign w:val="center"/>
          </w:tcPr>
          <w:p>
            <w:pPr>
              <w:jc w:val="center"/>
              <w:rPr>
                <w:noProof/>
                <w:sz w:val="18"/>
              </w:rPr>
            </w:pPr>
            <w:r>
              <w:rPr>
                <w:noProof/>
                <w:sz w:val="22"/>
              </w:rPr>
              <w:t>ΟΧΙ</w:t>
            </w:r>
          </w:p>
        </w:tc>
        <w:tc>
          <w:tcPr>
            <w:tcW w:w="956" w:type="dxa"/>
            <w:vAlign w:val="center"/>
          </w:tcPr>
          <w:p>
            <w:pPr>
              <w:jc w:val="center"/>
              <w:rPr>
                <w:noProof/>
                <w:sz w:val="18"/>
              </w:rPr>
            </w:pPr>
            <w:r>
              <w:rPr>
                <w:noProof/>
                <w:sz w:val="22"/>
              </w:rPr>
              <w:t>ΟΧΙ</w:t>
            </w:r>
          </w:p>
        </w:tc>
        <w:tc>
          <w:tcPr>
            <w:tcW w:w="1448" w:type="dxa"/>
            <w:vAlign w:val="center"/>
          </w:tcPr>
          <w:p>
            <w:pPr>
              <w:jc w:val="center"/>
              <w:rPr>
                <w:noProof/>
                <w:sz w:val="22"/>
              </w:rPr>
            </w:pPr>
            <w:r>
              <w:rPr>
                <w:noProof/>
                <w:sz w:val="22"/>
              </w:rPr>
              <w:t>ΟΧΙ</w:t>
            </w:r>
          </w:p>
        </w:tc>
      </w:tr>
    </w:tbl>
    <w:p>
      <w:pPr>
        <w:rPr>
          <w:noProof/>
        </w:rPr>
        <w:sectPr>
          <w:pgSz w:w="11907" w:h="16840" w:code="1"/>
          <w:pgMar w:top="1134" w:right="1418" w:bottom="1134" w:left="1418" w:header="709" w:footer="709" w:gutter="0"/>
          <w:cols w:space="708"/>
          <w:docGrid w:linePitch="360"/>
        </w:sectPr>
      </w:pPr>
    </w:p>
    <w:p>
      <w:pPr>
        <w:pStyle w:val="ManualHeading2"/>
        <w:rPr>
          <w:noProof/>
        </w:rPr>
      </w:pPr>
      <w:r>
        <w:rPr>
          <w:noProof/>
        </w:rPr>
        <w:t>3.2.</w:t>
      </w:r>
      <w:r>
        <w:rPr>
          <w:noProof/>
        </w:rPr>
        <w:tab/>
        <w:t xml:space="preserve">Εκτιμώμενες επιπτώσεις στις δαπάνες </w:t>
      </w:r>
    </w:p>
    <w:p>
      <w:pPr>
        <w:pStyle w:val="ManualHeading3"/>
        <w:rPr>
          <w:noProof/>
          <w:u w:val="single"/>
        </w:rPr>
      </w:pPr>
      <w:r>
        <w:rPr>
          <w:noProof/>
        </w:rPr>
        <w:t>3.2.1.</w:t>
      </w:r>
      <w:r>
        <w:rPr>
          <w:noProof/>
        </w:rPr>
        <w:tab/>
        <w:t xml:space="preserve">Συνοπτική παρουσίαση των εκτιμώμενων επιπτώσεων στις δαπάνες </w:t>
      </w:r>
    </w:p>
    <w:p>
      <w:pPr>
        <w:jc w:val="right"/>
        <w:rPr>
          <w:noProof/>
          <w:sz w:val="20"/>
        </w:rPr>
      </w:pPr>
      <w:r>
        <w:rPr>
          <w:noProof/>
          <w:sz w:val="20"/>
        </w:rPr>
        <w:t>σε εκατ. EUR (με τρία δεκαδικά ψηφία)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sz w:val="22"/>
              </w:rPr>
              <w:t xml:space="preserve">Τομέας του πολυετούς δημοσιονομικού </w:t>
            </w:r>
            <w:r>
              <w:rPr>
                <w:noProof/>
              </w:rPr>
              <w:t xml:space="preserve"> </w:t>
            </w:r>
            <w:r>
              <w:rPr>
                <w:noProof/>
              </w:rPr>
              <w:br/>
            </w:r>
            <w:r>
              <w:rPr>
                <w:b/>
                <w:noProof/>
                <w:sz w:val="22"/>
              </w:rPr>
              <w:t xml:space="preserve">πλαισίου </w:t>
            </w:r>
          </w:p>
        </w:tc>
        <w:tc>
          <w:tcPr>
            <w:tcW w:w="1080" w:type="dxa"/>
            <w:vAlign w:val="center"/>
          </w:tcPr>
          <w:p>
            <w:pPr>
              <w:spacing w:before="60" w:after="60"/>
              <w:jc w:val="center"/>
              <w:rPr>
                <w:noProof/>
                <w:sz w:val="22"/>
              </w:rPr>
            </w:pPr>
            <w:r>
              <w:rPr>
                <w:noProof/>
                <w:sz w:val="22"/>
              </w:rPr>
              <w:t>Αριθμός</w:t>
            </w:r>
          </w:p>
        </w:tc>
        <w:tc>
          <w:tcPr>
            <w:tcW w:w="7817" w:type="dxa"/>
            <w:vAlign w:val="center"/>
          </w:tcPr>
          <w:p>
            <w:pPr>
              <w:spacing w:before="60" w:after="60"/>
              <w:rPr>
                <w:noProof/>
                <w:sz w:val="22"/>
              </w:rPr>
            </w:pPr>
            <w:r>
              <w:rPr>
                <w:noProof/>
                <w:sz w:val="22"/>
              </w:rPr>
              <w:t>Τομέας 1α (ΠΔΠ 2014-2020) και στη συνέχεια Τομέας 1 (ΠΔΠ 2021-2027)</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1144"/>
        <w:gridCol w:w="1054"/>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rFonts w:ascii="Arial" w:hAnsi="Arial" w:cs="Arial"/>
                <w:b/>
                <w:noProof/>
                <w:sz w:val="18"/>
                <w:szCs w:val="18"/>
              </w:rPr>
            </w:pPr>
            <w:r>
              <w:rPr>
                <w:rFonts w:ascii="Arial" w:hAnsi="Arial"/>
                <w:b/>
                <w:noProof/>
                <w:sz w:val="18"/>
                <w:szCs w:val="18"/>
              </w:rPr>
              <w:t>2020</w:t>
            </w:r>
          </w:p>
        </w:tc>
        <w:tc>
          <w:tcPr>
            <w:tcW w:w="868" w:type="dxa"/>
            <w:vAlign w:val="center"/>
          </w:tcPr>
          <w:p>
            <w:pPr>
              <w:jc w:val="center"/>
              <w:rPr>
                <w:rFonts w:ascii="Arial" w:hAnsi="Arial" w:cs="Arial"/>
                <w:b/>
                <w:noProof/>
                <w:sz w:val="18"/>
                <w:szCs w:val="18"/>
              </w:rPr>
            </w:pPr>
            <w:r>
              <w:rPr>
                <w:rFonts w:ascii="Arial" w:hAnsi="Arial"/>
                <w:b/>
                <w:noProof/>
                <w:sz w:val="18"/>
                <w:szCs w:val="18"/>
              </w:rPr>
              <w:t>2021</w:t>
            </w:r>
          </w:p>
        </w:tc>
        <w:tc>
          <w:tcPr>
            <w:tcW w:w="868" w:type="dxa"/>
            <w:vAlign w:val="center"/>
          </w:tcPr>
          <w:p>
            <w:pPr>
              <w:jc w:val="center"/>
              <w:rPr>
                <w:rFonts w:ascii="Arial" w:hAnsi="Arial" w:cs="Arial"/>
                <w:b/>
                <w:noProof/>
                <w:sz w:val="18"/>
                <w:szCs w:val="18"/>
              </w:rPr>
            </w:pPr>
            <w:r>
              <w:rPr>
                <w:rFonts w:ascii="Arial" w:hAnsi="Arial"/>
                <w:b/>
                <w:noProof/>
                <w:sz w:val="18"/>
                <w:szCs w:val="18"/>
              </w:rPr>
              <w:t>2022</w:t>
            </w:r>
          </w:p>
        </w:tc>
        <w:tc>
          <w:tcPr>
            <w:tcW w:w="868" w:type="dxa"/>
            <w:vAlign w:val="center"/>
          </w:tcPr>
          <w:p>
            <w:pPr>
              <w:jc w:val="center"/>
              <w:rPr>
                <w:rFonts w:ascii="Arial" w:hAnsi="Arial" w:cs="Arial"/>
                <w:b/>
                <w:noProof/>
                <w:sz w:val="18"/>
                <w:szCs w:val="18"/>
              </w:rPr>
            </w:pPr>
            <w:r>
              <w:rPr>
                <w:rFonts w:ascii="Arial" w:hAnsi="Arial"/>
                <w:b/>
                <w:noProof/>
                <w:sz w:val="18"/>
                <w:szCs w:val="18"/>
              </w:rPr>
              <w:t>2023</w:t>
            </w:r>
          </w:p>
        </w:tc>
        <w:tc>
          <w:tcPr>
            <w:tcW w:w="868" w:type="dxa"/>
            <w:vAlign w:val="center"/>
          </w:tcPr>
          <w:p>
            <w:pPr>
              <w:jc w:val="center"/>
              <w:rPr>
                <w:rFonts w:ascii="Arial" w:hAnsi="Arial" w:cs="Arial"/>
                <w:b/>
                <w:noProof/>
                <w:sz w:val="18"/>
                <w:szCs w:val="18"/>
              </w:rPr>
            </w:pPr>
            <w:r>
              <w:rPr>
                <w:rFonts w:ascii="Arial" w:hAnsi="Arial"/>
                <w:b/>
                <w:noProof/>
                <w:sz w:val="18"/>
                <w:szCs w:val="18"/>
              </w:rPr>
              <w:t>2024</w:t>
            </w:r>
          </w:p>
        </w:tc>
        <w:tc>
          <w:tcPr>
            <w:tcW w:w="868" w:type="dxa"/>
            <w:vAlign w:val="center"/>
          </w:tcPr>
          <w:p>
            <w:pPr>
              <w:jc w:val="center"/>
              <w:rPr>
                <w:rFonts w:ascii="Arial" w:hAnsi="Arial" w:cs="Arial"/>
                <w:b/>
                <w:noProof/>
                <w:sz w:val="18"/>
                <w:szCs w:val="18"/>
              </w:rPr>
            </w:pPr>
            <w:r>
              <w:rPr>
                <w:rFonts w:ascii="Arial" w:hAnsi="Arial"/>
                <w:b/>
                <w:noProof/>
                <w:sz w:val="18"/>
                <w:szCs w:val="18"/>
              </w:rPr>
              <w:t>2025</w:t>
            </w:r>
          </w:p>
        </w:tc>
        <w:tc>
          <w:tcPr>
            <w:tcW w:w="868" w:type="dxa"/>
            <w:vAlign w:val="center"/>
          </w:tcPr>
          <w:p>
            <w:pPr>
              <w:jc w:val="center"/>
              <w:rPr>
                <w:rFonts w:ascii="Arial" w:hAnsi="Arial" w:cs="Arial"/>
                <w:b/>
                <w:noProof/>
                <w:sz w:val="18"/>
                <w:szCs w:val="18"/>
              </w:rPr>
            </w:pPr>
            <w:r>
              <w:rPr>
                <w:rFonts w:ascii="Arial" w:hAnsi="Arial"/>
                <w:b/>
                <w:noProof/>
                <w:sz w:val="18"/>
                <w:szCs w:val="18"/>
              </w:rPr>
              <w:t>2026</w:t>
            </w:r>
          </w:p>
        </w:tc>
        <w:tc>
          <w:tcPr>
            <w:tcW w:w="1144" w:type="dxa"/>
            <w:vAlign w:val="center"/>
          </w:tcPr>
          <w:p>
            <w:pPr>
              <w:jc w:val="center"/>
              <w:rPr>
                <w:rFonts w:ascii="Arial" w:hAnsi="Arial" w:cs="Arial"/>
                <w:b/>
                <w:i/>
                <w:noProof/>
                <w:sz w:val="18"/>
                <w:szCs w:val="18"/>
              </w:rPr>
            </w:pPr>
            <w:r>
              <w:rPr>
                <w:rFonts w:ascii="Arial" w:hAnsi="Arial"/>
                <w:b/>
                <w:i/>
                <w:noProof/>
                <w:sz w:val="18"/>
                <w:szCs w:val="18"/>
              </w:rPr>
              <w:t>2027</w:t>
            </w:r>
          </w:p>
        </w:tc>
        <w:tc>
          <w:tcPr>
            <w:tcW w:w="1054" w:type="dxa"/>
            <w:vAlign w:val="center"/>
          </w:tcPr>
          <w:p>
            <w:pPr>
              <w:jc w:val="center"/>
              <w:rPr>
                <w:rFonts w:ascii="Arial" w:hAnsi="Arial" w:cs="Arial"/>
                <w:b/>
                <w:noProof/>
                <w:sz w:val="18"/>
                <w:szCs w:val="18"/>
              </w:rPr>
            </w:pPr>
            <w:r>
              <w:rPr>
                <w:rFonts w:ascii="Arial" w:hAnsi="Arial"/>
                <w:b/>
                <w:noProof/>
                <w:sz w:val="18"/>
                <w:szCs w:val="18"/>
              </w:rPr>
              <w:t>ΣΥΝΟΛΟ</w:t>
            </w:r>
          </w:p>
        </w:tc>
      </w:tr>
      <w:tr>
        <w:trPr>
          <w:trHeight w:val="433"/>
          <w:jc w:val="center"/>
        </w:trPr>
        <w:tc>
          <w:tcPr>
            <w:tcW w:w="4103" w:type="dxa"/>
            <w:vMerge w:val="restart"/>
            <w:vAlign w:val="center"/>
          </w:tcPr>
          <w:p>
            <w:pPr>
              <w:rPr>
                <w:noProof/>
                <w:sz w:val="20"/>
              </w:rPr>
            </w:pPr>
            <w:r>
              <w:rPr>
                <w:noProof/>
                <w:sz w:val="20"/>
              </w:rPr>
              <w:t>01.010401 (2020) και στη συνέχεια 02.0104 Δαπάνες στήριξης για το «Ευρωπαϊκό Ταμείο Στρατηγικών Επενδύσεων (ΕΤΣΕ)»</w:t>
            </w:r>
          </w:p>
        </w:tc>
        <w:tc>
          <w:tcPr>
            <w:tcW w:w="1440" w:type="dxa"/>
            <w:vMerge w:val="restart"/>
            <w:vAlign w:val="center"/>
          </w:tcPr>
          <w:p>
            <w:pPr>
              <w:spacing w:before="20" w:after="20"/>
              <w:jc w:val="left"/>
              <w:rPr>
                <w:noProof/>
                <w:sz w:val="18"/>
              </w:rPr>
            </w:pPr>
            <w:r>
              <w:rPr>
                <w:noProof/>
                <w:sz w:val="18"/>
              </w:rPr>
              <w:t>Αναλήψεις υποχρεώσεων·=</w:t>
            </w:r>
          </w:p>
          <w:p>
            <w:pPr>
              <w:spacing w:before="20" w:after="20"/>
              <w:jc w:val="left"/>
              <w:rPr>
                <w:noProof/>
                <w:sz w:val="18"/>
              </w:rPr>
            </w:pPr>
            <w:r>
              <w:rPr>
                <w:noProof/>
                <w:sz w:val="18"/>
              </w:rPr>
              <w:t>Πληρωμές</w:t>
            </w:r>
          </w:p>
        </w:tc>
        <w:tc>
          <w:tcPr>
            <w:tcW w:w="654" w:type="dxa"/>
            <w:vMerge w:val="restart"/>
            <w:vAlign w:val="center"/>
          </w:tcPr>
          <w:p>
            <w:pPr>
              <w:spacing w:before="20" w:after="20"/>
              <w:jc w:val="center"/>
              <w:rPr>
                <w:noProof/>
                <w:sz w:val="14"/>
              </w:rPr>
            </w:pPr>
            <w:r>
              <w:rPr>
                <w:noProof/>
                <w:sz w:val="14"/>
              </w:rPr>
              <w:t>(3)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2,000</w:t>
            </w:r>
          </w:p>
        </w:tc>
      </w:tr>
      <w:tr>
        <w:trPr>
          <w:trHeight w:val="411"/>
          <w:jc w:val="center"/>
        </w:trPr>
        <w:tc>
          <w:tcPr>
            <w:tcW w:w="4103" w:type="dxa"/>
            <w:vMerge/>
          </w:tcPr>
          <w:p>
            <w:pPr>
              <w:jc w:val="center"/>
              <w:rPr>
                <w:noProof/>
                <w:sz w:val="20"/>
              </w:rPr>
            </w:pPr>
          </w:p>
        </w:tc>
        <w:tc>
          <w:tcPr>
            <w:tcW w:w="1440" w:type="dxa"/>
            <w:vMerge/>
            <w:vAlign w:val="center"/>
          </w:tcPr>
          <w:p>
            <w:pPr>
              <w:spacing w:before="20" w:after="20"/>
              <w:jc w:val="left"/>
              <w:rPr>
                <w:noProof/>
                <w:sz w:val="18"/>
              </w:rPr>
            </w:pPr>
          </w:p>
        </w:tc>
        <w:tc>
          <w:tcPr>
            <w:tcW w:w="654" w:type="dxa"/>
            <w:vMerge/>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2,000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2,000</w:t>
            </w:r>
          </w:p>
        </w:tc>
      </w:tr>
      <w:tr>
        <w:trPr>
          <w:trHeight w:val="433"/>
          <w:jc w:val="center"/>
        </w:trPr>
        <w:tc>
          <w:tcPr>
            <w:tcW w:w="4103" w:type="dxa"/>
            <w:vMerge w:val="restart"/>
            <w:vAlign w:val="center"/>
          </w:tcPr>
          <w:p>
            <w:pPr>
              <w:spacing w:before="60"/>
              <w:rPr>
                <w:noProof/>
              </w:rPr>
            </w:pPr>
            <w:r>
              <w:rPr>
                <w:noProof/>
                <w:sz w:val="20"/>
              </w:rPr>
              <w:t>01.040101 Ευρωπαϊκό Ταμείο Επενδύσεων — Πρόβλεψη καταβαλλόμενων μεριδίων εγγεγραμμένου κεφαλαίου</w:t>
            </w:r>
          </w:p>
        </w:tc>
        <w:tc>
          <w:tcPr>
            <w:tcW w:w="1440" w:type="dxa"/>
            <w:vAlign w:val="center"/>
          </w:tcPr>
          <w:p>
            <w:pPr>
              <w:spacing w:before="20" w:after="20"/>
              <w:jc w:val="left"/>
              <w:rPr>
                <w:noProof/>
                <w:sz w:val="18"/>
              </w:rPr>
            </w:pPr>
            <w:r>
              <w:rPr>
                <w:noProof/>
                <w:sz w:val="18"/>
              </w:rPr>
              <w:t>Αναλήψεις υποχρεώσεων</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500.000</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Πληρωμές</w:t>
            </w:r>
          </w:p>
        </w:tc>
        <w:tc>
          <w:tcPr>
            <w:tcW w:w="654" w:type="dxa"/>
            <w:vAlign w:val="center"/>
          </w:tcPr>
          <w:p>
            <w:pPr>
              <w:spacing w:before="20" w:after="20"/>
              <w:jc w:val="center"/>
              <w:rPr>
                <w:noProof/>
                <w:sz w:val="14"/>
              </w:rPr>
            </w:pP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500.000</w:t>
            </w:r>
          </w:p>
        </w:tc>
      </w:tr>
      <w:tr>
        <w:trPr>
          <w:trHeight w:val="433"/>
          <w:jc w:val="center"/>
        </w:trPr>
        <w:tc>
          <w:tcPr>
            <w:tcW w:w="4103" w:type="dxa"/>
            <w:vMerge w:val="restart"/>
            <w:vAlign w:val="center"/>
          </w:tcPr>
          <w:p>
            <w:pPr>
              <w:rPr>
                <w:noProof/>
                <w:sz w:val="20"/>
              </w:rPr>
            </w:pPr>
            <w:r>
              <w:rPr>
                <w:noProof/>
                <w:sz w:val="20"/>
              </w:rPr>
              <w:t>01.0404 (2020) και στη συνέχεια 02.0501 Εγγύηση για το «Ευρωπαϊκό Ταμείο Στρατηγικών Επενδύσεων (ΕΤΣΕ)»</w:t>
            </w:r>
          </w:p>
        </w:tc>
        <w:tc>
          <w:tcPr>
            <w:tcW w:w="1440" w:type="dxa"/>
            <w:vAlign w:val="center"/>
          </w:tcPr>
          <w:p>
            <w:pPr>
              <w:spacing w:before="20" w:after="20"/>
              <w:jc w:val="left"/>
              <w:rPr>
                <w:noProof/>
                <w:sz w:val="18"/>
              </w:rPr>
            </w:pPr>
            <w:r>
              <w:rPr>
                <w:noProof/>
                <w:sz w:val="18"/>
              </w:rPr>
              <w:t>Αναλήψεις υποχρεώσεων</w:t>
            </w:r>
          </w:p>
        </w:tc>
        <w:tc>
          <w:tcPr>
            <w:tcW w:w="654" w:type="dxa"/>
            <w:vAlign w:val="center"/>
          </w:tcPr>
          <w:p>
            <w:pPr>
              <w:spacing w:before="20" w:after="20"/>
              <w:jc w:val="center"/>
              <w:rPr>
                <w:noProof/>
                <w:sz w:val="14"/>
              </w:rPr>
            </w:pPr>
            <w:r>
              <w:rPr>
                <w:noProof/>
                <w:sz w:val="14"/>
              </w:rPr>
              <w:t>(1)</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ign w:val="center"/>
          </w:tcPr>
          <w:p>
            <w:pPr>
              <w:rPr>
                <w:noProof/>
                <w:sz w:val="20"/>
              </w:rPr>
            </w:pPr>
          </w:p>
        </w:tc>
        <w:tc>
          <w:tcPr>
            <w:tcW w:w="1440" w:type="dxa"/>
            <w:vAlign w:val="center"/>
          </w:tcPr>
          <w:p>
            <w:pPr>
              <w:spacing w:before="20" w:after="20"/>
              <w:jc w:val="left"/>
              <w:rPr>
                <w:noProof/>
                <w:sz w:val="18"/>
              </w:rPr>
            </w:pPr>
            <w:r>
              <w:rPr>
                <w:noProof/>
                <w:sz w:val="18"/>
              </w:rPr>
              <w:t>Πληρωμές</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restart"/>
            <w:vAlign w:val="center"/>
          </w:tcPr>
          <w:p>
            <w:pPr>
              <w:rPr>
                <w:noProof/>
                <w:sz w:val="20"/>
              </w:rPr>
            </w:pPr>
            <w:r>
              <w:rPr>
                <w:noProof/>
                <w:sz w:val="20"/>
              </w:rPr>
              <w:t>01.040502 (2020) και στη συνέχεια 02.050202 Τροφοδότηση της εγγύησης για το «Ευρωπαϊκό Ταμείο Στρατηγικών Επενδύσεων (ΕΤΣΕ)» – Σκέλος φερεγγυότητας</w:t>
            </w:r>
          </w:p>
        </w:tc>
        <w:tc>
          <w:tcPr>
            <w:tcW w:w="1440" w:type="dxa"/>
            <w:vAlign w:val="center"/>
          </w:tcPr>
          <w:p>
            <w:pPr>
              <w:spacing w:before="20" w:after="20"/>
              <w:jc w:val="left"/>
              <w:rPr>
                <w:noProof/>
                <w:sz w:val="18"/>
              </w:rPr>
            </w:pPr>
            <w:r>
              <w:rPr>
                <w:noProof/>
                <w:sz w:val="18"/>
              </w:rPr>
              <w:t>Αναλήψεις υποχρεώσεων</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4.980,000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4.980,000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Πληρωμές</w:t>
            </w:r>
          </w:p>
        </w:tc>
        <w:tc>
          <w:tcPr>
            <w:tcW w:w="654" w:type="dxa"/>
            <w:vAlign w:val="center"/>
          </w:tcPr>
          <w:p>
            <w:pPr>
              <w:spacing w:before="20" w:after="20"/>
              <w:jc w:val="center"/>
              <w:rPr>
                <w:noProof/>
                <w:sz w:val="14"/>
              </w:rPr>
            </w:pPr>
            <w:r>
              <w:rPr>
                <w:noProof/>
                <w:sz w:val="14"/>
              </w:rPr>
              <w:t>(2)</w:t>
            </w:r>
          </w:p>
        </w:tc>
        <w:tc>
          <w:tcPr>
            <w:tcW w:w="868" w:type="dxa"/>
          </w:tcPr>
          <w:p>
            <w:pPr>
              <w:spacing w:before="20" w:after="20"/>
              <w:jc w:val="center"/>
              <w:rPr>
                <w:rFonts w:ascii="Arial" w:hAnsi="Arial" w:cs="Arial"/>
                <w:noProof/>
                <w:sz w:val="16"/>
                <w:szCs w:val="18"/>
              </w:rPr>
            </w:pPr>
            <w:r>
              <w:rPr>
                <w:rFonts w:ascii="Arial" w:hAnsi="Arial"/>
                <w:noProof/>
                <w:sz w:val="16"/>
                <w:szCs w:val="18"/>
              </w:rPr>
              <w:t>2.490,000</w:t>
            </w:r>
          </w:p>
        </w:tc>
        <w:tc>
          <w:tcPr>
            <w:tcW w:w="868" w:type="dxa"/>
          </w:tcPr>
          <w:p>
            <w:pPr>
              <w:spacing w:before="20" w:after="20"/>
              <w:jc w:val="center"/>
              <w:rPr>
                <w:rFonts w:ascii="Arial" w:hAnsi="Arial" w:cs="Arial"/>
                <w:noProof/>
                <w:sz w:val="16"/>
                <w:szCs w:val="18"/>
              </w:rPr>
            </w:pPr>
            <w:r>
              <w:rPr>
                <w:rFonts w:ascii="Arial" w:hAnsi="Arial"/>
                <w:noProof/>
                <w:sz w:val="16"/>
                <w:szCs w:val="18"/>
              </w:rPr>
              <w:t>490.000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4.980,000</w:t>
            </w:r>
          </w:p>
        </w:tc>
      </w:tr>
      <w:tr>
        <w:trPr>
          <w:trHeight w:val="433"/>
          <w:jc w:val="center"/>
        </w:trPr>
        <w:tc>
          <w:tcPr>
            <w:tcW w:w="4103" w:type="dxa"/>
            <w:vMerge w:val="restart"/>
            <w:vAlign w:val="center"/>
          </w:tcPr>
          <w:p>
            <w:pPr>
              <w:rPr>
                <w:noProof/>
                <w:sz w:val="20"/>
              </w:rPr>
            </w:pPr>
            <w:r>
              <w:rPr>
                <w:noProof/>
                <w:sz w:val="20"/>
              </w:rPr>
              <w:t>01,040602 (2020) και στη συνέχεια 02,050302 Ευρωπαϊκός Κόμβος Επενδυτικών Συμβουλών (ΕΚΕΣ) και Ευρωπαϊκή Πύλη Επενδυτικών Έργων (ΕΠΕΕ) – (Τεχνική βοήθεια) – Σκέλος φερεγγυότητας</w:t>
            </w:r>
          </w:p>
        </w:tc>
        <w:tc>
          <w:tcPr>
            <w:tcW w:w="1440" w:type="dxa"/>
            <w:vAlign w:val="center"/>
          </w:tcPr>
          <w:p>
            <w:pPr>
              <w:spacing w:before="20" w:after="20"/>
              <w:jc w:val="left"/>
              <w:rPr>
                <w:noProof/>
                <w:sz w:val="18"/>
              </w:rPr>
            </w:pPr>
            <w:r>
              <w:rPr>
                <w:noProof/>
                <w:sz w:val="18"/>
              </w:rPr>
              <w:t>Αναλήψεις υποχρεώσεων</w:t>
            </w:r>
          </w:p>
        </w:tc>
        <w:tc>
          <w:tcPr>
            <w:tcW w:w="654" w:type="dxa"/>
            <w:vAlign w:val="center"/>
          </w:tcPr>
          <w:p>
            <w:pPr>
              <w:spacing w:before="20" w:after="20"/>
              <w:jc w:val="center"/>
              <w:rPr>
                <w:noProof/>
                <w:sz w:val="14"/>
              </w:rPr>
            </w:pPr>
            <w:r>
              <w:rPr>
                <w:noProof/>
                <w:sz w:val="14"/>
              </w:rPr>
              <w:t>(1)</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18.000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18.000</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Πληρωμές</w:t>
            </w:r>
          </w:p>
        </w:tc>
        <w:tc>
          <w:tcPr>
            <w:tcW w:w="654" w:type="dxa"/>
            <w:vAlign w:val="center"/>
          </w:tcPr>
          <w:p>
            <w:pPr>
              <w:spacing w:before="20" w:after="20"/>
              <w:jc w:val="center"/>
              <w:rPr>
                <w:noProof/>
                <w:sz w:val="14"/>
              </w:rPr>
            </w:pPr>
            <w:r>
              <w:rPr>
                <w:noProof/>
                <w:sz w:val="14"/>
              </w:rPr>
              <w:t>(2)</w:t>
            </w:r>
          </w:p>
        </w:tc>
        <w:tc>
          <w:tcPr>
            <w:tcW w:w="868" w:type="dxa"/>
            <w:vAlign w:val="center"/>
          </w:tcPr>
          <w:p>
            <w:pPr>
              <w:spacing w:before="20" w:after="20"/>
              <w:rPr>
                <w:rFonts w:ascii="Arial" w:hAnsi="Arial" w:cs="Arial"/>
                <w:noProof/>
                <w:sz w:val="16"/>
                <w:szCs w:val="18"/>
              </w:rPr>
            </w:pPr>
            <w:r>
              <w:rPr>
                <w:rFonts w:ascii="Arial" w:hAnsi="Arial"/>
                <w:noProof/>
                <w:sz w:val="16"/>
                <w:szCs w:val="18"/>
              </w:rPr>
              <w:t>8.000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18.000</w:t>
            </w:r>
          </w:p>
        </w:tc>
      </w:tr>
      <w:tr>
        <w:trPr>
          <w:jc w:val="center"/>
        </w:trPr>
        <w:tc>
          <w:tcPr>
            <w:tcW w:w="4103" w:type="dxa"/>
            <w:vMerge w:val="restart"/>
          </w:tcPr>
          <w:p>
            <w:pPr>
              <w:jc w:val="left"/>
              <w:rPr>
                <w:b/>
                <w:noProof/>
              </w:rPr>
            </w:pPr>
            <w:r>
              <w:rPr>
                <w:b/>
                <w:noProof/>
                <w:sz w:val="22"/>
              </w:rPr>
              <w:t>ΣΥΝΟΛΟ πιστώσεων για το χρηματοδοτικό κονδύλιο του προγράμματος</w:t>
            </w:r>
          </w:p>
        </w:tc>
        <w:tc>
          <w:tcPr>
            <w:tcW w:w="1440" w:type="dxa"/>
            <w:vAlign w:val="center"/>
          </w:tcPr>
          <w:p>
            <w:pPr>
              <w:jc w:val="left"/>
              <w:rPr>
                <w:noProof/>
                <w:sz w:val="18"/>
              </w:rPr>
            </w:pPr>
            <w:r>
              <w:rPr>
                <w:noProof/>
                <w:sz w:val="18"/>
              </w:rPr>
              <w:t>Αναλήψεις υποχρεώσεων</w:t>
            </w:r>
          </w:p>
        </w:tc>
        <w:tc>
          <w:tcPr>
            <w:tcW w:w="654" w:type="dxa"/>
            <w:vAlign w:val="center"/>
          </w:tcPr>
          <w:p>
            <w:pPr>
              <w:jc w:val="center"/>
              <w:rPr>
                <w:noProof/>
                <w:sz w:val="14"/>
              </w:rPr>
            </w:pPr>
            <w:r>
              <w:rPr>
                <w:noProof/>
                <w:sz w:val="14"/>
              </w:rPr>
              <w:t>=1+3</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5.500,000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5.500,000</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Πληρωμές</w:t>
            </w:r>
          </w:p>
        </w:tc>
        <w:tc>
          <w:tcPr>
            <w:tcW w:w="654" w:type="dxa"/>
            <w:vAlign w:val="center"/>
          </w:tcPr>
          <w:p>
            <w:pPr>
              <w:jc w:val="center"/>
              <w:rPr>
                <w:noProof/>
                <w:sz w:val="14"/>
              </w:rPr>
            </w:pPr>
            <w:r>
              <w:rPr>
                <w:noProof/>
                <w:sz w:val="14"/>
              </w:rPr>
              <w:t>=2+3</w:t>
            </w:r>
          </w:p>
        </w:tc>
        <w:tc>
          <w:tcPr>
            <w:tcW w:w="868" w:type="dxa"/>
          </w:tcPr>
          <w:p>
            <w:pPr>
              <w:spacing w:before="20" w:after="20"/>
              <w:jc w:val="center"/>
              <w:rPr>
                <w:rFonts w:ascii="Arial" w:hAnsi="Arial" w:cs="Arial"/>
                <w:noProof/>
                <w:sz w:val="16"/>
                <w:szCs w:val="18"/>
              </w:rPr>
            </w:pPr>
            <w:r>
              <w:rPr>
                <w:rFonts w:ascii="Arial" w:hAnsi="Arial"/>
                <w:noProof/>
                <w:sz w:val="16"/>
                <w:szCs w:val="18"/>
              </w:rPr>
              <w:t>3.000,000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5.500,000</w:t>
            </w:r>
          </w:p>
        </w:tc>
      </w:tr>
    </w:tbl>
    <w:p>
      <w:pPr>
        <w:rPr>
          <w:iCs/>
          <w:noProof/>
        </w:rPr>
      </w:pPr>
      <w:r>
        <w:rPr>
          <w:noProof/>
        </w:rPr>
        <w:t xml:space="preserve"> </w:t>
      </w:r>
      <w:r>
        <w:rPr>
          <w:noProof/>
        </w:rPr>
        <w:br/>
        <w:t xml:space="preserve"> </w:t>
      </w:r>
      <w:r>
        <w:rPr>
          <w:noProof/>
        </w:rPr>
        <w:br/>
        <w:t>Εκτός από το χρηματοδοτικό κονδύλιο που διατίθεται στην εγγύηση του ΕΤΣΕ βάσει του κανονισμού (ΕΕ) 2015/1017 (κανονισμός ΕΤΣΕ), ποσό 28 318,160 εκατ. EUR (σε τρέχουσες τιμές) θα είναι διαθέσιμο ως εξωτερικά έσοδα για ειδικό προορισμό, κατά την έννοια του άρθρου 21 παράγραφος 5 του δημοσιονομικού κανονισμού, ως χρηματοδότηση από το Μέσο Ανάκαμψης της Ευρωπαϊκής Ένωσης. Από το ποσό αυτό, ποσό έως 6,520 εκατ EUR μπορεί να προορίζεται για διοικητικές δαπάνες, συμπεριλαμβανομένων των δαπανών για εξωτερικό προσωπικό.</w:t>
      </w:r>
    </w:p>
    <w:p>
      <w:pPr>
        <w:rPr>
          <w:iCs/>
          <w:noProof/>
        </w:rPr>
      </w:pPr>
    </w:p>
    <w:p>
      <w:pPr>
        <w:rPr>
          <w:noProof/>
        </w:rPr>
      </w:pPr>
      <w:r>
        <w:rPr>
          <w:noProof/>
        </w:rPr>
        <w:t xml:space="preserve">Θα απαιτηθεί ειδικό ποσό ύψους 80 εκατ. EUR για την κάλυψη των λειτουργικών δαπανών που συνδέονται με τη δημιουργία και τη διαχείριση των δομών (ταμεία συμμετοχών, φορείς ειδικού σκοπού, επενδυτικές πλατφόρμες και άλλα) μέσω των οποίων θα παρέχεται η στήριξη υπό το σκέλος στήριξης της φερεγγυότητας, καθώς και για συναφείς συμβουλευτικές υπηρεσίες και τεχνική βοήθεια, συμπεριλαμβανομένης της διοικητικής υποστήριξης. Σύμφωνα με τις διατάξεις του κανονισμού EURI, οι νομικές δεσμεύσεις που καλύπτονται από εξωτερικό έσοδο για ειδικό προορισμό το οποίο απορρέει από δανειοληπτικές πράξεις θα αναληφθούν έως τις 31 Δεκεμβρίου 2024. </w:t>
      </w:r>
    </w:p>
    <w:p>
      <w:pPr>
        <w:rPr>
          <w:noProof/>
        </w:rPr>
      </w:pPr>
      <w:r>
        <w:rPr>
          <w:noProof/>
        </w:rPr>
        <w:t>Η ενδεικτική κατανομή των δαπανών από εξωτερικό έσοδο για ειδικό προορισμό είναι ως εξής:</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530"/>
        <w:gridCol w:w="918"/>
        <w:gridCol w:w="918"/>
        <w:gridCol w:w="918"/>
        <w:gridCol w:w="905"/>
        <w:gridCol w:w="931"/>
        <w:gridCol w:w="918"/>
        <w:gridCol w:w="918"/>
        <w:gridCol w:w="958"/>
        <w:gridCol w:w="1045"/>
      </w:tblGrid>
      <w:tr>
        <w:trPr>
          <w:trHeight w:val="487"/>
        </w:trPr>
        <w:tc>
          <w:tcPr>
            <w:tcW w:w="3227" w:type="dxa"/>
            <w:vAlign w:val="center"/>
          </w:tcPr>
          <w:p>
            <w:pPr>
              <w:jc w:val="center"/>
              <w:rPr>
                <w:noProof/>
              </w:rPr>
            </w:pPr>
            <w:r>
              <w:rPr>
                <w:noProof/>
                <w:sz w:val="22"/>
              </w:rPr>
              <w:t>ΕΤΣΕ - Μέσο στήριξης της φερεγγυότητας</w:t>
            </w:r>
          </w:p>
        </w:tc>
        <w:tc>
          <w:tcPr>
            <w:tcW w:w="1417" w:type="dxa"/>
          </w:tcPr>
          <w:p>
            <w:pPr>
              <w:rPr>
                <w:noProof/>
                <w:sz w:val="20"/>
              </w:rPr>
            </w:pPr>
          </w:p>
        </w:tc>
        <w:tc>
          <w:tcPr>
            <w:tcW w:w="530" w:type="dxa"/>
          </w:tcPr>
          <w:p>
            <w:pPr>
              <w:jc w:val="center"/>
              <w:rPr>
                <w:noProof/>
                <w:sz w:val="20"/>
              </w:rPr>
            </w:pPr>
          </w:p>
        </w:tc>
        <w:tc>
          <w:tcPr>
            <w:tcW w:w="918" w:type="dxa"/>
            <w:vAlign w:val="center"/>
          </w:tcPr>
          <w:p>
            <w:pPr>
              <w:jc w:val="center"/>
              <w:rPr>
                <w:noProof/>
                <w:sz w:val="20"/>
              </w:rPr>
            </w:pPr>
            <w:r>
              <w:rPr>
                <w:b/>
                <w:noProof/>
                <w:sz w:val="20"/>
              </w:rPr>
              <w:t>2021</w:t>
            </w:r>
          </w:p>
        </w:tc>
        <w:tc>
          <w:tcPr>
            <w:tcW w:w="918" w:type="dxa"/>
            <w:vAlign w:val="center"/>
          </w:tcPr>
          <w:p>
            <w:pPr>
              <w:jc w:val="center"/>
              <w:rPr>
                <w:noProof/>
                <w:sz w:val="20"/>
              </w:rPr>
            </w:pPr>
            <w:r>
              <w:rPr>
                <w:b/>
                <w:noProof/>
                <w:sz w:val="20"/>
              </w:rPr>
              <w:t>2022</w:t>
            </w:r>
          </w:p>
        </w:tc>
        <w:tc>
          <w:tcPr>
            <w:tcW w:w="918" w:type="dxa"/>
            <w:vAlign w:val="center"/>
          </w:tcPr>
          <w:p>
            <w:pPr>
              <w:jc w:val="center"/>
              <w:rPr>
                <w:noProof/>
                <w:sz w:val="20"/>
              </w:rPr>
            </w:pPr>
            <w:r>
              <w:rPr>
                <w:b/>
                <w:noProof/>
                <w:sz w:val="20"/>
              </w:rPr>
              <w:t>2023</w:t>
            </w:r>
          </w:p>
        </w:tc>
        <w:tc>
          <w:tcPr>
            <w:tcW w:w="905" w:type="dxa"/>
            <w:vAlign w:val="center"/>
          </w:tcPr>
          <w:p>
            <w:pPr>
              <w:jc w:val="center"/>
              <w:rPr>
                <w:noProof/>
                <w:sz w:val="20"/>
              </w:rPr>
            </w:pPr>
            <w:r>
              <w:rPr>
                <w:b/>
                <w:noProof/>
                <w:sz w:val="20"/>
              </w:rPr>
              <w:t>2024</w:t>
            </w:r>
          </w:p>
        </w:tc>
        <w:tc>
          <w:tcPr>
            <w:tcW w:w="931" w:type="dxa"/>
            <w:vAlign w:val="center"/>
          </w:tcPr>
          <w:p>
            <w:pPr>
              <w:jc w:val="center"/>
              <w:rPr>
                <w:b/>
                <w:noProof/>
                <w:sz w:val="18"/>
              </w:rPr>
            </w:pPr>
            <w:r>
              <w:rPr>
                <w:b/>
                <w:noProof/>
                <w:sz w:val="18"/>
              </w:rPr>
              <w:t>2025</w:t>
            </w:r>
          </w:p>
        </w:tc>
        <w:tc>
          <w:tcPr>
            <w:tcW w:w="918" w:type="dxa"/>
            <w:vAlign w:val="center"/>
          </w:tcPr>
          <w:p>
            <w:pPr>
              <w:jc w:val="center"/>
              <w:rPr>
                <w:b/>
                <w:noProof/>
                <w:sz w:val="18"/>
              </w:rPr>
            </w:pPr>
            <w:r>
              <w:rPr>
                <w:b/>
                <w:noProof/>
                <w:sz w:val="18"/>
              </w:rPr>
              <w:t>2026</w:t>
            </w:r>
          </w:p>
        </w:tc>
        <w:tc>
          <w:tcPr>
            <w:tcW w:w="918" w:type="dxa"/>
            <w:vAlign w:val="center"/>
          </w:tcPr>
          <w:p>
            <w:pPr>
              <w:jc w:val="center"/>
              <w:rPr>
                <w:b/>
                <w:noProof/>
                <w:sz w:val="18"/>
              </w:rPr>
            </w:pPr>
            <w:r>
              <w:rPr>
                <w:b/>
                <w:noProof/>
                <w:sz w:val="18"/>
              </w:rPr>
              <w:t>2027</w:t>
            </w:r>
          </w:p>
        </w:tc>
        <w:tc>
          <w:tcPr>
            <w:tcW w:w="958" w:type="dxa"/>
          </w:tcPr>
          <w:p>
            <w:pPr>
              <w:jc w:val="center"/>
              <w:rPr>
                <w:b/>
                <w:noProof/>
                <w:sz w:val="20"/>
              </w:rPr>
            </w:pPr>
            <w:r>
              <w:rPr>
                <w:b/>
                <w:i/>
                <w:noProof/>
                <w:sz w:val="20"/>
              </w:rPr>
              <w:t>Μετά το 2027</w:t>
            </w:r>
          </w:p>
        </w:tc>
        <w:tc>
          <w:tcPr>
            <w:tcW w:w="1045" w:type="dxa"/>
            <w:vAlign w:val="center"/>
          </w:tcPr>
          <w:p>
            <w:pPr>
              <w:jc w:val="center"/>
              <w:rPr>
                <w:b/>
                <w:noProof/>
                <w:sz w:val="20"/>
              </w:rPr>
            </w:pPr>
            <w:r>
              <w:rPr>
                <w:b/>
                <w:noProof/>
                <w:sz w:val="20"/>
              </w:rPr>
              <w:t>ΣΥΝΟΛΟ</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Επιχειρησιακές δαπάνες από εξωτερικά έσοδα για ειδικό προορισμό του EURI (ΜΑΕΕ)</w:t>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Αναλήψεις υποχρεώσεων</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8.275,120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8.441,120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5.740,120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5.855,280</w:t>
            </w:r>
          </w:p>
        </w:tc>
        <w:tc>
          <w:tcPr>
            <w:tcW w:w="931"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18"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28.311,640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Πληρωμές</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4.717,773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4.718,773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4.718,773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3.539,080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3.539,080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3.539,080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28.311,640</w:t>
            </w:r>
          </w:p>
        </w:tc>
      </w:tr>
      <w:tr>
        <w:trPr>
          <w:trHeight w:val="744"/>
        </w:trPr>
        <w:tc>
          <w:tcPr>
            <w:tcW w:w="3227"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 xml:space="preserve">Δαπάνες διοικητικής υποστήριξης από εξωτερικά έσοδα για ειδικό προορισμό στο πλαίσιο του EURI </w:t>
            </w:r>
          </w:p>
        </w:tc>
        <w:tc>
          <w:tcPr>
            <w:tcW w:w="1417"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Αναλήψεις υποχρεώσεων = Πληρωμές</w:t>
            </w:r>
          </w:p>
        </w:tc>
        <w:tc>
          <w:tcPr>
            <w:tcW w:w="53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1,880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0,880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0,880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sz w:val="22"/>
              </w:rPr>
              <w:t>0,720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6,520</w:t>
            </w:r>
          </w:p>
        </w:tc>
      </w:tr>
      <w:tr>
        <w:trPr>
          <w:trHeight w:val="697"/>
        </w:trPr>
        <w:tc>
          <w:tcPr>
            <w:tcW w:w="3227"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Σύνολο εξωτερικών εσόδων για ειδικό προορισμό</w:t>
            </w: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Αναλήψεις υποχρεώσεων</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8.277,000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8.442,000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5.741,000</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5.856,000</w:t>
            </w:r>
          </w:p>
        </w:tc>
        <w:tc>
          <w:tcPr>
            <w:tcW w:w="931"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958"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28.318,160</w:t>
            </w:r>
          </w:p>
        </w:tc>
      </w:tr>
      <w:tr>
        <w:trPr>
          <w:trHeight w:val="477"/>
        </w:trPr>
        <w:tc>
          <w:tcPr>
            <w:tcW w:w="3227" w:type="dxa"/>
            <w:vMerge/>
            <w:tcBorders>
              <w:left w:val="single" w:sz="4" w:space="0" w:color="auto"/>
              <w:bottom w:val="single" w:sz="4" w:space="0" w:color="auto"/>
              <w:right w:val="single" w:sz="4" w:space="0" w:color="auto"/>
            </w:tcBorders>
            <w:vAlign w:val="center"/>
          </w:tcPr>
          <w:p>
            <w:pPr>
              <w:jc w:val="center"/>
              <w:rPr>
                <w:noProof/>
                <w:sz w:val="22"/>
              </w:rPr>
            </w:pPr>
          </w:p>
        </w:tc>
        <w:tc>
          <w:tcPr>
            <w:tcW w:w="1417"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Πληρωμές</w:t>
            </w:r>
          </w:p>
        </w:tc>
        <w:tc>
          <w:tcPr>
            <w:tcW w:w="53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4.719,653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4.719,653</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4.719,653</w:t>
            </w:r>
          </w:p>
        </w:tc>
        <w:tc>
          <w:tcPr>
            <w:tcW w:w="905"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3.539,800</w:t>
            </w:r>
          </w:p>
        </w:tc>
        <w:tc>
          <w:tcPr>
            <w:tcW w:w="931" w:type="dxa"/>
            <w:tcBorders>
              <w:top w:val="single" w:sz="4" w:space="0" w:color="auto"/>
              <w:left w:val="single" w:sz="4" w:space="0" w:color="auto"/>
              <w:bottom w:val="single" w:sz="4" w:space="0" w:color="auto"/>
              <w:right w:val="single" w:sz="4" w:space="0" w:color="auto"/>
            </w:tcBorders>
          </w:tcPr>
          <w:p>
            <w:pPr>
              <w:rPr>
                <w:b/>
                <w:noProof/>
                <w:sz w:val="20"/>
              </w:rPr>
            </w:pPr>
            <w:r>
              <w:rPr>
                <w:noProof/>
              </w:rPr>
              <w:t>3.539,800</w:t>
            </w:r>
          </w:p>
        </w:tc>
        <w:tc>
          <w:tcPr>
            <w:tcW w:w="918"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3.539,800</w:t>
            </w:r>
          </w:p>
        </w:tc>
        <w:tc>
          <w:tcPr>
            <w:tcW w:w="918" w:type="dxa"/>
            <w:tcBorders>
              <w:top w:val="single" w:sz="4" w:space="0" w:color="auto"/>
              <w:left w:val="single" w:sz="4" w:space="0" w:color="auto"/>
              <w:bottom w:val="single" w:sz="4" w:space="0" w:color="auto"/>
              <w:right w:val="single" w:sz="4" w:space="0" w:color="auto"/>
            </w:tcBorders>
          </w:tcPr>
          <w:p>
            <w:pPr>
              <w:rPr>
                <w:b/>
                <w:noProof/>
                <w:sz w:val="20"/>
              </w:rPr>
            </w:pPr>
            <w:r>
              <w:rPr>
                <w:noProof/>
              </w:rPr>
              <w:t>3.539,800</w:t>
            </w:r>
          </w:p>
        </w:tc>
        <w:tc>
          <w:tcPr>
            <w:tcW w:w="958"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045"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28.318,160</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rPr>
              <w:br w:type="page"/>
            </w:r>
            <w:r>
              <w:rPr>
                <w:b/>
                <w:noProof/>
                <w:sz w:val="22"/>
              </w:rPr>
              <w:t xml:space="preserve">Τομέας του πολυετούς δημοσιονομικού </w:t>
            </w:r>
            <w:r>
              <w:rPr>
                <w:noProof/>
              </w:rPr>
              <w:t xml:space="preserve"> </w:t>
            </w:r>
            <w:r>
              <w:rPr>
                <w:noProof/>
              </w:rPr>
              <w:br/>
            </w:r>
            <w:r>
              <w:rPr>
                <w:b/>
                <w:noProof/>
                <w:sz w:val="22"/>
              </w:rPr>
              <w:t xml:space="preserve">πλαισίου </w:t>
            </w:r>
          </w:p>
        </w:tc>
        <w:tc>
          <w:tcPr>
            <w:tcW w:w="1080" w:type="dxa"/>
            <w:shd w:val="thinDiagStripe" w:color="C0C0C0" w:fill="auto"/>
            <w:vAlign w:val="center"/>
          </w:tcPr>
          <w:p>
            <w:pPr>
              <w:spacing w:before="60" w:after="60"/>
              <w:jc w:val="center"/>
              <w:rPr>
                <w:noProof/>
                <w:sz w:val="22"/>
              </w:rPr>
            </w:pPr>
            <w:r>
              <w:rPr>
                <w:b/>
                <w:noProof/>
                <w:sz w:val="22"/>
              </w:rPr>
              <w:t>5 / 7</w:t>
            </w:r>
          </w:p>
        </w:tc>
        <w:tc>
          <w:tcPr>
            <w:tcW w:w="7817" w:type="dxa"/>
            <w:vAlign w:val="center"/>
          </w:tcPr>
          <w:p>
            <w:pPr>
              <w:spacing w:before="60" w:after="60"/>
              <w:rPr>
                <w:noProof/>
                <w:sz w:val="22"/>
              </w:rPr>
            </w:pPr>
            <w:r>
              <w:rPr>
                <w:noProof/>
                <w:sz w:val="22"/>
              </w:rPr>
              <w:t>«Διοικητικές δαπάνες»</w:t>
            </w:r>
          </w:p>
        </w:tc>
      </w:tr>
    </w:tbl>
    <w:p>
      <w:pPr>
        <w:jc w:val="right"/>
        <w:rPr>
          <w:noProof/>
          <w:sz w:val="20"/>
        </w:rPr>
      </w:pPr>
      <w:r>
        <w:rPr>
          <w:noProof/>
          <w:sz w:val="20"/>
        </w:rPr>
        <w:t>Σε εκατ. EUR (με 3 δεκαδικά ψηφία)</w:t>
      </w: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534"/>
        <w:gridCol w:w="868"/>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gridSpan w:val="2"/>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Έτος</w:t>
            </w:r>
            <w:r>
              <w:rPr>
                <w:noProof/>
              </w:rPr>
              <w:t xml:space="preserve"> </w:t>
            </w:r>
            <w:r>
              <w:rPr>
                <w:noProof/>
              </w:rPr>
              <w:br/>
            </w:r>
            <w:r>
              <w:rPr>
                <w:b/>
                <w:noProof/>
                <w:sz w:val="20"/>
              </w:rPr>
              <w:t>2020</w:t>
            </w:r>
          </w:p>
        </w:tc>
        <w:tc>
          <w:tcPr>
            <w:tcW w:w="868" w:type="dxa"/>
            <w:vAlign w:val="center"/>
          </w:tcPr>
          <w:p>
            <w:pPr>
              <w:jc w:val="center"/>
              <w:rPr>
                <w:noProof/>
                <w:sz w:val="20"/>
              </w:rPr>
            </w:pPr>
            <w:r>
              <w:rPr>
                <w:noProof/>
                <w:sz w:val="20"/>
              </w:rPr>
              <w:t>Έτος</w:t>
            </w:r>
            <w:r>
              <w:rPr>
                <w:noProof/>
              </w:rPr>
              <w:t xml:space="preserve"> </w:t>
            </w:r>
            <w:r>
              <w:rPr>
                <w:noProof/>
              </w:rPr>
              <w:br/>
            </w:r>
            <w:r>
              <w:rPr>
                <w:b/>
                <w:noProof/>
                <w:sz w:val="20"/>
              </w:rPr>
              <w:t>2021</w:t>
            </w:r>
          </w:p>
        </w:tc>
        <w:tc>
          <w:tcPr>
            <w:tcW w:w="868" w:type="dxa"/>
            <w:vAlign w:val="center"/>
          </w:tcPr>
          <w:p>
            <w:pPr>
              <w:jc w:val="center"/>
              <w:rPr>
                <w:noProof/>
                <w:sz w:val="20"/>
              </w:rPr>
            </w:pPr>
            <w:r>
              <w:rPr>
                <w:noProof/>
                <w:sz w:val="20"/>
              </w:rPr>
              <w:t>Έτος</w:t>
            </w:r>
            <w:r>
              <w:rPr>
                <w:noProof/>
              </w:rPr>
              <w:t xml:space="preserve"> </w:t>
            </w:r>
            <w:r>
              <w:rPr>
                <w:noProof/>
              </w:rPr>
              <w:br/>
            </w:r>
            <w:r>
              <w:rPr>
                <w:b/>
                <w:noProof/>
                <w:sz w:val="20"/>
              </w:rPr>
              <w:t>2022</w:t>
            </w:r>
          </w:p>
        </w:tc>
        <w:tc>
          <w:tcPr>
            <w:tcW w:w="868" w:type="dxa"/>
          </w:tcPr>
          <w:p>
            <w:pPr>
              <w:jc w:val="center"/>
              <w:rPr>
                <w:noProof/>
                <w:sz w:val="20"/>
              </w:rPr>
            </w:pPr>
            <w:r>
              <w:rPr>
                <w:noProof/>
                <w:sz w:val="20"/>
              </w:rPr>
              <w:t>Έτος 2023</w:t>
            </w:r>
          </w:p>
        </w:tc>
        <w:tc>
          <w:tcPr>
            <w:tcW w:w="868" w:type="dxa"/>
            <w:vAlign w:val="center"/>
          </w:tcPr>
          <w:p>
            <w:pPr>
              <w:jc w:val="center"/>
              <w:rPr>
                <w:noProof/>
                <w:sz w:val="20"/>
              </w:rPr>
            </w:pPr>
            <w:r>
              <w:rPr>
                <w:noProof/>
                <w:sz w:val="20"/>
              </w:rPr>
              <w:t>Έτος</w:t>
            </w:r>
            <w:r>
              <w:rPr>
                <w:noProof/>
              </w:rPr>
              <w:t xml:space="preserve"> </w:t>
            </w:r>
            <w:r>
              <w:rPr>
                <w:noProof/>
              </w:rPr>
              <w:br/>
            </w:r>
            <w:r>
              <w:rPr>
                <w:b/>
                <w:noProof/>
                <w:sz w:val="20"/>
              </w:rPr>
              <w:t>2024</w:t>
            </w:r>
          </w:p>
        </w:tc>
        <w:tc>
          <w:tcPr>
            <w:tcW w:w="868" w:type="dxa"/>
            <w:vAlign w:val="center"/>
          </w:tcPr>
          <w:p>
            <w:pPr>
              <w:jc w:val="center"/>
              <w:rPr>
                <w:noProof/>
                <w:sz w:val="18"/>
              </w:rPr>
            </w:pPr>
            <w:r>
              <w:rPr>
                <w:noProof/>
                <w:sz w:val="18"/>
              </w:rPr>
              <w:t>Έτος 2025</w:t>
            </w:r>
          </w:p>
        </w:tc>
        <w:tc>
          <w:tcPr>
            <w:tcW w:w="868" w:type="dxa"/>
            <w:vAlign w:val="center"/>
          </w:tcPr>
          <w:p>
            <w:pPr>
              <w:jc w:val="center"/>
              <w:rPr>
                <w:b/>
                <w:noProof/>
                <w:sz w:val="18"/>
              </w:rPr>
            </w:pPr>
            <w:r>
              <w:rPr>
                <w:noProof/>
                <w:sz w:val="18"/>
              </w:rPr>
              <w:t>Έτος 2026</w:t>
            </w:r>
          </w:p>
        </w:tc>
        <w:tc>
          <w:tcPr>
            <w:tcW w:w="868" w:type="dxa"/>
            <w:vAlign w:val="center"/>
          </w:tcPr>
          <w:p>
            <w:pPr>
              <w:jc w:val="center"/>
              <w:rPr>
                <w:b/>
                <w:noProof/>
                <w:sz w:val="18"/>
              </w:rPr>
            </w:pPr>
            <w:r>
              <w:rPr>
                <w:noProof/>
                <w:sz w:val="18"/>
              </w:rPr>
              <w:t>Έτος 2027</w:t>
            </w:r>
          </w:p>
        </w:tc>
        <w:tc>
          <w:tcPr>
            <w:tcW w:w="1777" w:type="dxa"/>
            <w:vAlign w:val="center"/>
          </w:tcPr>
          <w:p>
            <w:pPr>
              <w:jc w:val="center"/>
              <w:rPr>
                <w:b/>
                <w:noProof/>
                <w:sz w:val="20"/>
              </w:rPr>
            </w:pPr>
            <w:r>
              <w:rPr>
                <w:b/>
                <w:noProof/>
                <w:sz w:val="20"/>
              </w:rPr>
              <w:t>ΣΥΝΟΛΟ</w:t>
            </w:r>
          </w:p>
        </w:tc>
      </w:tr>
      <w:tr>
        <w:trPr>
          <w:gridAfter w:val="11"/>
          <w:wAfter w:w="9947" w:type="dxa"/>
        </w:trPr>
        <w:tc>
          <w:tcPr>
            <w:tcW w:w="3960" w:type="dxa"/>
            <w:vAlign w:val="center"/>
          </w:tcPr>
          <w:p>
            <w:pPr>
              <w:spacing w:before="60" w:after="60"/>
              <w:jc w:val="center"/>
              <w:rPr>
                <w:noProof/>
                <w:sz w:val="22"/>
              </w:rPr>
            </w:pPr>
            <w:r>
              <w:rPr>
                <w:noProof/>
                <w:sz w:val="22"/>
              </w:rPr>
              <w:t>ΓΔ: ECFIN</w:t>
            </w:r>
          </w:p>
        </w:tc>
        <w:tc>
          <w:tcPr>
            <w:tcW w:w="868" w:type="dxa"/>
          </w:tcPr>
          <w:p>
            <w:pPr>
              <w:spacing w:before="60" w:after="60"/>
              <w:jc w:val="center"/>
              <w:rPr>
                <w:noProof/>
                <w:sz w:val="22"/>
              </w:rPr>
            </w:pPr>
          </w:p>
        </w:tc>
      </w:tr>
      <w:tr>
        <w:trPr>
          <w:trHeight w:val="313"/>
        </w:trPr>
        <w:tc>
          <w:tcPr>
            <w:tcW w:w="6054" w:type="dxa"/>
            <w:gridSpan w:val="4"/>
            <w:vAlign w:val="center"/>
          </w:tcPr>
          <w:p>
            <w:pPr>
              <w:spacing w:before="20" w:after="20"/>
              <w:rPr>
                <w:noProof/>
                <w:sz w:val="22"/>
              </w:rPr>
            </w:pPr>
            <w:r>
              <w:rPr>
                <w:noProof/>
                <w:sz w:val="22"/>
              </w:rPr>
              <w:sym w:font="Wingdings" w:char="F09F"/>
            </w:r>
            <w:r>
              <w:rPr>
                <w:noProof/>
                <w:sz w:val="22"/>
              </w:rPr>
              <w:t xml:space="preserve"> Ανθρώπινοι πόροι </w:t>
            </w: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r>
        <w:trPr>
          <w:trHeight w:val="351"/>
        </w:trPr>
        <w:tc>
          <w:tcPr>
            <w:tcW w:w="6054" w:type="dxa"/>
            <w:gridSpan w:val="4"/>
            <w:vAlign w:val="center"/>
          </w:tcPr>
          <w:p>
            <w:pPr>
              <w:spacing w:before="20" w:after="20"/>
              <w:rPr>
                <w:noProof/>
                <w:sz w:val="22"/>
              </w:rPr>
            </w:pPr>
            <w:r>
              <w:rPr>
                <w:noProof/>
                <w:sz w:val="22"/>
              </w:rPr>
              <w:sym w:font="Wingdings" w:char="F09F"/>
            </w:r>
            <w:r>
              <w:rPr>
                <w:noProof/>
                <w:sz w:val="22"/>
              </w:rPr>
              <w:t xml:space="preserve"> Άλλες διοικητικές δαπάνες </w:t>
            </w: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tcPr>
          <w:p>
            <w:pPr>
              <w:spacing w:before="20" w:after="20"/>
              <w:jc w:val="center"/>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sz w:val="22"/>
              </w:rPr>
            </w:pPr>
            <w:r>
              <w:rPr>
                <w:b/>
                <w:noProof/>
                <w:sz w:val="22"/>
              </w:rPr>
              <w:t>ΣΥΝΟΛΟ ΓΔ ECFIN</w:t>
            </w:r>
          </w:p>
        </w:tc>
        <w:tc>
          <w:tcPr>
            <w:tcW w:w="2094" w:type="dxa"/>
            <w:gridSpan w:val="3"/>
            <w:vAlign w:val="center"/>
          </w:tcPr>
          <w:p>
            <w:pPr>
              <w:rPr>
                <w:noProof/>
                <w:sz w:val="14"/>
              </w:rPr>
            </w:pPr>
            <w:r>
              <w:rPr>
                <w:noProof/>
                <w:sz w:val="18"/>
              </w:rPr>
              <w:t xml:space="preserve">Πιστώσεις </w:t>
            </w:r>
          </w:p>
        </w:tc>
        <w:tc>
          <w:tcPr>
            <w:tcW w:w="868" w:type="dxa"/>
            <w:vAlign w:val="center"/>
          </w:tcPr>
          <w:p>
            <w:pPr>
              <w:spacing w:before="60" w:after="6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bl>
    <w:p>
      <w:pPr>
        <w:rPr>
          <w:noProof/>
        </w:rPr>
      </w:pP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868"/>
        <w:gridCol w:w="1777"/>
      </w:tblGrid>
      <w:tr>
        <w:tc>
          <w:tcPr>
            <w:tcW w:w="3960" w:type="dxa"/>
            <w:shd w:val="thinDiagStripe" w:color="C0C0C0" w:fill="auto"/>
            <w:vAlign w:val="center"/>
          </w:tcPr>
          <w:p>
            <w:pPr>
              <w:spacing w:after="0"/>
              <w:jc w:val="center"/>
              <w:rPr>
                <w:b/>
                <w:noProof/>
                <w:sz w:val="22"/>
              </w:rPr>
            </w:pPr>
            <w:r>
              <w:rPr>
                <w:b/>
                <w:noProof/>
                <w:sz w:val="22"/>
              </w:rPr>
              <w:t>ΣΥΝΟΛΟ πιστώσεων</w:t>
            </w:r>
            <w:r>
              <w:rPr>
                <w:noProof/>
              </w:rPr>
              <w:t xml:space="preserve"> </w:t>
            </w:r>
            <w:r>
              <w:rPr>
                <w:noProof/>
              </w:rPr>
              <w:br/>
            </w:r>
            <w:r>
              <w:rPr>
                <w:b/>
                <w:noProof/>
                <w:sz w:val="22"/>
              </w:rPr>
              <w:t xml:space="preserve">του ΤΟΜΕΑ 5 (2020) / </w:t>
            </w:r>
          </w:p>
          <w:p>
            <w:pPr>
              <w:spacing w:before="0"/>
              <w:jc w:val="center"/>
              <w:rPr>
                <w:b/>
                <w:noProof/>
                <w:sz w:val="22"/>
              </w:rPr>
            </w:pPr>
            <w:r>
              <w:rPr>
                <w:b/>
                <w:noProof/>
                <w:sz w:val="22"/>
              </w:rPr>
              <w:t>του ΤΟΜΕΑ 7 (2021 -2027)</w:t>
            </w:r>
            <w:r>
              <w:rPr>
                <w:noProof/>
              </w:rPr>
              <w:t xml:space="preserve"> </w:t>
            </w:r>
            <w:r>
              <w:rPr>
                <w:noProof/>
              </w:rPr>
              <w:br/>
            </w:r>
            <w:r>
              <w:rPr>
                <w:noProof/>
                <w:sz w:val="22"/>
              </w:rPr>
              <w:t>του πολυετούς δημοσιονομικού πλαισίου</w:t>
            </w:r>
            <w:r>
              <w:rPr>
                <w:b/>
                <w:noProof/>
                <w:sz w:val="22"/>
              </w:rPr>
              <w:t xml:space="preserve"> </w:t>
            </w:r>
          </w:p>
        </w:tc>
        <w:tc>
          <w:tcPr>
            <w:tcW w:w="2094" w:type="dxa"/>
            <w:vAlign w:val="center"/>
          </w:tcPr>
          <w:p>
            <w:pPr>
              <w:spacing w:before="40" w:after="40"/>
              <w:rPr>
                <w:noProof/>
                <w:sz w:val="22"/>
              </w:rPr>
            </w:pPr>
            <w:r>
              <w:rPr>
                <w:noProof/>
                <w:sz w:val="18"/>
              </w:rPr>
              <w:t>(Σύνολο αναλήψεων υποχρεώσεων = Σύνολο πληρωμών)</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center"/>
              <w:rPr>
                <w:b/>
                <w:noProof/>
                <w:sz w:val="20"/>
              </w:rPr>
            </w:pPr>
          </w:p>
        </w:tc>
      </w:tr>
    </w:tbl>
    <w:p>
      <w:pPr>
        <w:rPr>
          <w:noProof/>
        </w:rPr>
      </w:pPr>
    </w:p>
    <w:p>
      <w:pPr>
        <w:rPr>
          <w:noProof/>
        </w:rPr>
      </w:pPr>
    </w:p>
    <w:tbl>
      <w:tblPr>
        <w:tblW w:w="155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1134"/>
        <w:gridCol w:w="868"/>
        <w:gridCol w:w="868"/>
        <w:gridCol w:w="868"/>
        <w:gridCol w:w="868"/>
        <w:gridCol w:w="868"/>
        <w:gridCol w:w="1046"/>
        <w:gridCol w:w="887"/>
        <w:gridCol w:w="1033"/>
        <w:gridCol w:w="1779"/>
      </w:tblGrid>
      <w:tr>
        <w:tc>
          <w:tcPr>
            <w:tcW w:w="3960" w:type="dxa"/>
            <w:vMerge w:val="restart"/>
            <w:shd w:val="thinDiagStripe" w:color="C0C0C0" w:fill="auto"/>
            <w:vAlign w:val="center"/>
          </w:tcPr>
          <w:p>
            <w:pPr>
              <w:spacing w:after="0"/>
              <w:jc w:val="center"/>
              <w:rPr>
                <w:b/>
                <w:noProof/>
                <w:sz w:val="22"/>
              </w:rPr>
            </w:pPr>
            <w:r>
              <w:rPr>
                <w:b/>
                <w:noProof/>
                <w:sz w:val="22"/>
              </w:rPr>
              <w:t xml:space="preserve">ΣΥΝΟΛΟ πιστώσεων </w:t>
            </w:r>
            <w:r>
              <w:rPr>
                <w:noProof/>
              </w:rPr>
              <w:t xml:space="preserve"> </w:t>
            </w:r>
            <w:r>
              <w:rPr>
                <w:noProof/>
              </w:rPr>
              <w:br/>
            </w:r>
            <w:r>
              <w:rPr>
                <w:b/>
                <w:noProof/>
                <w:sz w:val="22"/>
              </w:rPr>
              <w:t xml:space="preserve">μεταξύ ΤΟΜΕΩΝ </w:t>
            </w:r>
            <w:r>
              <w:rPr>
                <w:noProof/>
              </w:rPr>
              <w:t xml:space="preserve"> </w:t>
            </w:r>
            <w:r>
              <w:rPr>
                <w:noProof/>
              </w:rPr>
              <w:br/>
            </w:r>
            <w:r>
              <w:rPr>
                <w:noProof/>
                <w:sz w:val="22"/>
              </w:rPr>
              <w:t>των πολυετών δημοσιονομικών πλαισίων</w:t>
            </w:r>
          </w:p>
        </w:tc>
        <w:tc>
          <w:tcPr>
            <w:tcW w:w="1362" w:type="dxa"/>
            <w:vAlign w:val="center"/>
          </w:tcPr>
          <w:p>
            <w:pPr>
              <w:spacing w:before="40" w:after="40"/>
              <w:jc w:val="center"/>
              <w:rPr>
                <w:noProof/>
                <w:sz w:val="18"/>
              </w:rPr>
            </w:pPr>
          </w:p>
        </w:tc>
        <w:tc>
          <w:tcPr>
            <w:tcW w:w="1134" w:type="dxa"/>
            <w:vAlign w:val="center"/>
          </w:tcPr>
          <w:p>
            <w:pPr>
              <w:spacing w:before="20" w:after="20"/>
              <w:ind w:left="-111"/>
              <w:jc w:val="center"/>
              <w:rPr>
                <w:noProof/>
                <w:sz w:val="20"/>
              </w:rPr>
            </w:pPr>
            <w:r>
              <w:rPr>
                <w:noProof/>
                <w:sz w:val="20"/>
              </w:rPr>
              <w:t>2020</w:t>
            </w:r>
          </w:p>
        </w:tc>
        <w:tc>
          <w:tcPr>
            <w:tcW w:w="868" w:type="dxa"/>
            <w:vAlign w:val="center"/>
          </w:tcPr>
          <w:p>
            <w:pPr>
              <w:spacing w:before="20" w:after="20"/>
              <w:ind w:left="-111"/>
              <w:jc w:val="center"/>
              <w:rPr>
                <w:noProof/>
                <w:sz w:val="20"/>
              </w:rPr>
            </w:pPr>
            <w:r>
              <w:rPr>
                <w:noProof/>
                <w:sz w:val="20"/>
              </w:rPr>
              <w:t>2021</w:t>
            </w:r>
          </w:p>
        </w:tc>
        <w:tc>
          <w:tcPr>
            <w:tcW w:w="868" w:type="dxa"/>
            <w:vAlign w:val="center"/>
          </w:tcPr>
          <w:p>
            <w:pPr>
              <w:spacing w:before="20" w:after="20"/>
              <w:ind w:left="-111"/>
              <w:jc w:val="center"/>
              <w:rPr>
                <w:noProof/>
                <w:sz w:val="20"/>
              </w:rPr>
            </w:pPr>
            <w:r>
              <w:rPr>
                <w:noProof/>
                <w:sz w:val="20"/>
              </w:rPr>
              <w:t>2022</w:t>
            </w:r>
          </w:p>
        </w:tc>
        <w:tc>
          <w:tcPr>
            <w:tcW w:w="868" w:type="dxa"/>
            <w:vAlign w:val="center"/>
          </w:tcPr>
          <w:p>
            <w:pPr>
              <w:spacing w:before="20" w:after="20"/>
              <w:ind w:left="-111"/>
              <w:jc w:val="center"/>
              <w:rPr>
                <w:noProof/>
                <w:sz w:val="20"/>
              </w:rPr>
            </w:pPr>
            <w:r>
              <w:rPr>
                <w:noProof/>
                <w:sz w:val="20"/>
              </w:rPr>
              <w:t>2023</w:t>
            </w:r>
          </w:p>
        </w:tc>
        <w:tc>
          <w:tcPr>
            <w:tcW w:w="868" w:type="dxa"/>
            <w:vAlign w:val="center"/>
          </w:tcPr>
          <w:p>
            <w:pPr>
              <w:spacing w:before="20" w:after="20"/>
              <w:ind w:left="-111"/>
              <w:jc w:val="center"/>
              <w:rPr>
                <w:noProof/>
                <w:sz w:val="20"/>
              </w:rPr>
            </w:pPr>
            <w:r>
              <w:rPr>
                <w:noProof/>
                <w:sz w:val="20"/>
              </w:rPr>
              <w:t>2024</w:t>
            </w:r>
          </w:p>
        </w:tc>
        <w:tc>
          <w:tcPr>
            <w:tcW w:w="868" w:type="dxa"/>
            <w:vAlign w:val="center"/>
          </w:tcPr>
          <w:p>
            <w:pPr>
              <w:spacing w:before="20" w:after="20"/>
              <w:ind w:left="-111"/>
              <w:jc w:val="center"/>
              <w:rPr>
                <w:noProof/>
                <w:sz w:val="20"/>
              </w:rPr>
            </w:pPr>
            <w:r>
              <w:rPr>
                <w:noProof/>
                <w:sz w:val="20"/>
              </w:rPr>
              <w:t>2025</w:t>
            </w:r>
          </w:p>
        </w:tc>
        <w:tc>
          <w:tcPr>
            <w:tcW w:w="1046" w:type="dxa"/>
            <w:vAlign w:val="center"/>
          </w:tcPr>
          <w:p>
            <w:pPr>
              <w:spacing w:before="20" w:after="20"/>
              <w:ind w:left="-111"/>
              <w:jc w:val="center"/>
              <w:rPr>
                <w:noProof/>
                <w:sz w:val="20"/>
              </w:rPr>
            </w:pPr>
            <w:r>
              <w:rPr>
                <w:noProof/>
                <w:sz w:val="20"/>
              </w:rPr>
              <w:t>2026</w:t>
            </w:r>
          </w:p>
        </w:tc>
        <w:tc>
          <w:tcPr>
            <w:tcW w:w="887" w:type="dxa"/>
            <w:vAlign w:val="center"/>
          </w:tcPr>
          <w:p>
            <w:pPr>
              <w:spacing w:before="20" w:after="20"/>
              <w:ind w:left="-111"/>
              <w:jc w:val="center"/>
              <w:rPr>
                <w:noProof/>
                <w:sz w:val="20"/>
              </w:rPr>
            </w:pPr>
            <w:r>
              <w:rPr>
                <w:noProof/>
                <w:sz w:val="20"/>
              </w:rPr>
              <w:t>2027</w:t>
            </w:r>
          </w:p>
        </w:tc>
        <w:tc>
          <w:tcPr>
            <w:tcW w:w="1033" w:type="dxa"/>
            <w:vAlign w:val="center"/>
          </w:tcPr>
          <w:p>
            <w:pPr>
              <w:spacing w:before="20" w:after="20"/>
              <w:ind w:left="-111"/>
              <w:jc w:val="center"/>
              <w:rPr>
                <w:noProof/>
                <w:sz w:val="20"/>
              </w:rPr>
            </w:pPr>
            <w:r>
              <w:rPr>
                <w:noProof/>
                <w:sz w:val="20"/>
              </w:rPr>
              <w:t>Μετά το 2027</w:t>
            </w:r>
          </w:p>
        </w:tc>
        <w:tc>
          <w:tcPr>
            <w:tcW w:w="1779" w:type="dxa"/>
            <w:vAlign w:val="center"/>
          </w:tcPr>
          <w:p>
            <w:pPr>
              <w:spacing w:before="20" w:after="20"/>
              <w:ind w:left="-111"/>
              <w:jc w:val="center"/>
              <w:rPr>
                <w:noProof/>
                <w:sz w:val="20"/>
              </w:rPr>
            </w:pPr>
            <w:r>
              <w:rPr>
                <w:noProof/>
                <w:sz w:val="20"/>
              </w:rPr>
              <w:t>Σύνολο</w:t>
            </w: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Αναλήψεις υποχρεώσεων</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Πληρωμές</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p>
            <w:pPr>
              <w:spacing w:before="20" w:after="20"/>
              <w:jc w:val="center"/>
              <w:rPr>
                <w:b/>
                <w:noProof/>
                <w:sz w:val="20"/>
              </w:rPr>
            </w:pP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noProof/>
          <w:szCs w:val="24"/>
        </w:rPr>
      </w:pPr>
      <w:r>
        <w:rPr>
          <w:noProof/>
        </w:rPr>
        <w:t>3.2.2.</w:t>
      </w:r>
      <w:r>
        <w:rPr>
          <w:noProof/>
        </w:rPr>
        <w:tab/>
        <w:t>Εκτιμώμενες επιπτώσεις στις πιστώσεις διοικητικού χαρακτήρα</w:t>
      </w:r>
    </w:p>
    <w:p>
      <w:pPr>
        <w:pStyle w:val="ManualHeading4"/>
        <w:rPr>
          <w:noProof/>
        </w:rPr>
      </w:pPr>
      <w:r>
        <w:rPr>
          <w:noProof/>
        </w:rPr>
        <w:t>3.2.2.1.</w:t>
      </w:r>
      <w:r>
        <w:rPr>
          <w:noProof/>
        </w:rPr>
        <w:tab/>
        <w:t xml:space="preserve">Συνοπτική παρουσίαση </w:t>
      </w:r>
    </w:p>
    <w:p>
      <w:pPr>
        <w:pStyle w:val="ListDash1"/>
        <w:rPr>
          <w:noProof/>
        </w:rPr>
      </w:pPr>
      <w:r>
        <w:rPr>
          <w:noProof/>
        </w:rPr>
        <w:sym w:font="Wingdings" w:char="F0A8"/>
      </w:r>
      <w:r>
        <w:rPr>
          <w:noProof/>
        </w:rPr>
        <w:tab/>
        <w:t xml:space="preserve">Η πρόταση/πρωτοβουλία δεν συνεπάγεται τη χρησιμοποίηση πιστώσεων διοικητικού χαρακτήρα </w:t>
      </w:r>
    </w:p>
    <w:p>
      <w:pPr>
        <w:pStyle w:val="ListDash1"/>
        <w:rPr>
          <w:noProof/>
        </w:rPr>
      </w:pPr>
      <w:r>
        <w:rPr>
          <w:noProof/>
        </w:rPr>
        <w:t>X</w:t>
      </w:r>
      <w:r>
        <w:rPr>
          <w:noProof/>
        </w:rPr>
        <w:tab/>
        <w:t>Η πρόταση/πρωτοβουλία συνεπάγεται τη χρησιμοποίηση πιστώσεων διοικητικού χαρακτήρα, όπως εξηγείται κατωτέρω:</w:t>
      </w:r>
    </w:p>
    <w:p>
      <w:pPr>
        <w:rPr>
          <w:noProof/>
          <w:sz w:val="20"/>
        </w:rPr>
      </w:pPr>
      <w:r>
        <w:rPr>
          <w:noProof/>
          <w:sz w:val="20"/>
        </w:rPr>
        <w:t>σε εκατ. EUR (με τρία δεκαδικά ψηφία)</w:t>
      </w:r>
    </w:p>
    <w:tbl>
      <w:tblPr>
        <w:tblW w:w="10501"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08"/>
        <w:gridCol w:w="851"/>
        <w:gridCol w:w="992"/>
        <w:gridCol w:w="851"/>
        <w:gridCol w:w="850"/>
        <w:gridCol w:w="851"/>
        <w:gridCol w:w="850"/>
        <w:gridCol w:w="851"/>
        <w:gridCol w:w="1417"/>
      </w:tblGrid>
      <w:tr>
        <w:trPr>
          <w:trHeight w:val="585"/>
        </w:trPr>
        <w:tc>
          <w:tcPr>
            <w:tcW w:w="1980" w:type="dxa"/>
          </w:tcPr>
          <w:p>
            <w:pPr>
              <w:spacing w:before="60" w:after="60" w:line="200" w:lineRule="exact"/>
              <w:rPr>
                <w:noProof/>
                <w:sz w:val="16"/>
                <w:szCs w:val="16"/>
              </w:rPr>
            </w:pPr>
          </w:p>
        </w:tc>
        <w:tc>
          <w:tcPr>
            <w:tcW w:w="1008" w:type="dxa"/>
            <w:vAlign w:val="center"/>
          </w:tcPr>
          <w:p>
            <w:pPr>
              <w:spacing w:before="60" w:after="60" w:line="200" w:lineRule="exact"/>
              <w:jc w:val="center"/>
              <w:rPr>
                <w:noProof/>
                <w:sz w:val="16"/>
                <w:szCs w:val="16"/>
              </w:rPr>
            </w:pPr>
            <w:r>
              <w:rPr>
                <w:noProof/>
                <w:sz w:val="16"/>
              </w:rPr>
              <w:t>Έτος</w:t>
            </w:r>
            <w:r>
              <w:rPr>
                <w:noProof/>
              </w:rPr>
              <w:t xml:space="preserve"> </w:t>
            </w:r>
            <w:r>
              <w:rPr>
                <w:noProof/>
              </w:rPr>
              <w:br/>
            </w:r>
            <w:r>
              <w:rPr>
                <w:b/>
                <w:noProof/>
                <w:sz w:val="16"/>
              </w:rPr>
              <w:t>2020</w:t>
            </w:r>
          </w:p>
        </w:tc>
        <w:tc>
          <w:tcPr>
            <w:tcW w:w="851" w:type="dxa"/>
            <w:vAlign w:val="center"/>
          </w:tcPr>
          <w:p>
            <w:pPr>
              <w:spacing w:before="60" w:after="60" w:line="200" w:lineRule="exact"/>
              <w:jc w:val="center"/>
              <w:rPr>
                <w:noProof/>
                <w:sz w:val="16"/>
                <w:szCs w:val="16"/>
              </w:rPr>
            </w:pPr>
            <w:r>
              <w:rPr>
                <w:noProof/>
                <w:sz w:val="16"/>
              </w:rPr>
              <w:t>Έτος</w:t>
            </w:r>
            <w:r>
              <w:rPr>
                <w:noProof/>
              </w:rPr>
              <w:t xml:space="preserve"> </w:t>
            </w:r>
            <w:r>
              <w:rPr>
                <w:noProof/>
              </w:rPr>
              <w:br/>
            </w:r>
            <w:r>
              <w:rPr>
                <w:b/>
                <w:noProof/>
                <w:sz w:val="16"/>
              </w:rPr>
              <w:t>2021</w:t>
            </w:r>
          </w:p>
        </w:tc>
        <w:tc>
          <w:tcPr>
            <w:tcW w:w="992" w:type="dxa"/>
            <w:vAlign w:val="center"/>
          </w:tcPr>
          <w:p>
            <w:pPr>
              <w:spacing w:before="60" w:after="60" w:line="200" w:lineRule="exact"/>
              <w:jc w:val="center"/>
              <w:rPr>
                <w:noProof/>
                <w:sz w:val="16"/>
                <w:szCs w:val="16"/>
              </w:rPr>
            </w:pPr>
            <w:r>
              <w:rPr>
                <w:noProof/>
                <w:sz w:val="16"/>
              </w:rPr>
              <w:t>Έτος</w:t>
            </w:r>
            <w:r>
              <w:rPr>
                <w:noProof/>
              </w:rPr>
              <w:t xml:space="preserve"> </w:t>
            </w:r>
            <w:r>
              <w:rPr>
                <w:noProof/>
              </w:rPr>
              <w:br/>
            </w:r>
            <w:r>
              <w:rPr>
                <w:b/>
                <w:noProof/>
                <w:sz w:val="16"/>
              </w:rPr>
              <w:t>2022</w:t>
            </w:r>
          </w:p>
        </w:tc>
        <w:tc>
          <w:tcPr>
            <w:tcW w:w="851" w:type="dxa"/>
          </w:tcPr>
          <w:p>
            <w:pPr>
              <w:spacing w:before="60" w:after="60" w:line="200" w:lineRule="exact"/>
              <w:jc w:val="center"/>
              <w:rPr>
                <w:noProof/>
                <w:sz w:val="16"/>
              </w:rPr>
            </w:pPr>
            <w:r>
              <w:rPr>
                <w:noProof/>
                <w:sz w:val="16"/>
              </w:rPr>
              <w:t>Έτος</w:t>
            </w:r>
            <w:r>
              <w:rPr>
                <w:noProof/>
              </w:rPr>
              <w:t xml:space="preserve"> </w:t>
            </w:r>
            <w:r>
              <w:rPr>
                <w:noProof/>
              </w:rPr>
              <w:br/>
            </w:r>
            <w:r>
              <w:rPr>
                <w:b/>
                <w:noProof/>
                <w:sz w:val="16"/>
              </w:rPr>
              <w:t>2023</w:t>
            </w:r>
          </w:p>
        </w:tc>
        <w:tc>
          <w:tcPr>
            <w:tcW w:w="850" w:type="dxa"/>
            <w:vAlign w:val="center"/>
          </w:tcPr>
          <w:p>
            <w:pPr>
              <w:spacing w:before="60" w:after="60" w:line="200" w:lineRule="exact"/>
              <w:jc w:val="center"/>
              <w:rPr>
                <w:noProof/>
                <w:sz w:val="16"/>
                <w:szCs w:val="16"/>
              </w:rPr>
            </w:pPr>
            <w:r>
              <w:rPr>
                <w:noProof/>
                <w:sz w:val="16"/>
              </w:rPr>
              <w:t>Έτος</w:t>
            </w:r>
            <w:r>
              <w:rPr>
                <w:noProof/>
              </w:rPr>
              <w:t xml:space="preserve"> </w:t>
            </w:r>
            <w:r>
              <w:rPr>
                <w:noProof/>
              </w:rPr>
              <w:br/>
            </w:r>
            <w:r>
              <w:rPr>
                <w:b/>
                <w:noProof/>
                <w:sz w:val="16"/>
              </w:rPr>
              <w:t>2024</w:t>
            </w:r>
          </w:p>
        </w:tc>
        <w:tc>
          <w:tcPr>
            <w:tcW w:w="851" w:type="dxa"/>
            <w:vAlign w:val="center"/>
          </w:tcPr>
          <w:p>
            <w:pPr>
              <w:spacing w:line="200" w:lineRule="exact"/>
              <w:jc w:val="center"/>
              <w:rPr>
                <w:b/>
                <w:noProof/>
                <w:sz w:val="16"/>
                <w:szCs w:val="16"/>
              </w:rPr>
            </w:pPr>
            <w:r>
              <w:rPr>
                <w:noProof/>
                <w:sz w:val="16"/>
              </w:rPr>
              <w:t>Έτος</w:t>
            </w:r>
            <w:r>
              <w:rPr>
                <w:noProof/>
              </w:rPr>
              <w:t xml:space="preserve"> </w:t>
            </w:r>
            <w:r>
              <w:rPr>
                <w:noProof/>
              </w:rPr>
              <w:br/>
            </w:r>
            <w:r>
              <w:rPr>
                <w:b/>
                <w:noProof/>
                <w:sz w:val="16"/>
              </w:rPr>
              <w:t>2025</w:t>
            </w:r>
          </w:p>
        </w:tc>
        <w:tc>
          <w:tcPr>
            <w:tcW w:w="850" w:type="dxa"/>
            <w:vAlign w:val="center"/>
          </w:tcPr>
          <w:p>
            <w:pPr>
              <w:spacing w:line="200" w:lineRule="exact"/>
              <w:jc w:val="center"/>
              <w:rPr>
                <w:b/>
                <w:noProof/>
                <w:sz w:val="16"/>
                <w:szCs w:val="16"/>
              </w:rPr>
            </w:pPr>
            <w:r>
              <w:rPr>
                <w:noProof/>
                <w:sz w:val="16"/>
              </w:rPr>
              <w:t>Έτος</w:t>
            </w:r>
            <w:r>
              <w:rPr>
                <w:noProof/>
              </w:rPr>
              <w:t xml:space="preserve"> </w:t>
            </w:r>
            <w:r>
              <w:rPr>
                <w:noProof/>
              </w:rPr>
              <w:br/>
            </w:r>
            <w:r>
              <w:rPr>
                <w:b/>
                <w:noProof/>
                <w:sz w:val="16"/>
              </w:rPr>
              <w:t>2026</w:t>
            </w:r>
          </w:p>
        </w:tc>
        <w:tc>
          <w:tcPr>
            <w:tcW w:w="851" w:type="dxa"/>
            <w:vAlign w:val="center"/>
          </w:tcPr>
          <w:p>
            <w:pPr>
              <w:spacing w:line="200" w:lineRule="exact"/>
              <w:jc w:val="center"/>
              <w:rPr>
                <w:b/>
                <w:noProof/>
                <w:sz w:val="16"/>
                <w:szCs w:val="16"/>
              </w:rPr>
            </w:pPr>
            <w:r>
              <w:rPr>
                <w:noProof/>
                <w:sz w:val="16"/>
              </w:rPr>
              <w:t>Έτος</w:t>
            </w:r>
            <w:r>
              <w:rPr>
                <w:noProof/>
              </w:rPr>
              <w:t xml:space="preserve"> </w:t>
            </w:r>
            <w:r>
              <w:rPr>
                <w:noProof/>
              </w:rPr>
              <w:br/>
            </w:r>
            <w:r>
              <w:rPr>
                <w:b/>
                <w:noProof/>
                <w:sz w:val="16"/>
              </w:rPr>
              <w:t>2027</w:t>
            </w:r>
          </w:p>
        </w:tc>
        <w:tc>
          <w:tcPr>
            <w:tcW w:w="1417" w:type="dxa"/>
            <w:vAlign w:val="center"/>
          </w:tcPr>
          <w:p>
            <w:pPr>
              <w:spacing w:before="60" w:after="60" w:line="200" w:lineRule="exact"/>
              <w:jc w:val="center"/>
              <w:rPr>
                <w:b/>
                <w:noProof/>
                <w:sz w:val="16"/>
                <w:szCs w:val="16"/>
              </w:rPr>
            </w:pPr>
            <w:r>
              <w:rPr>
                <w:b/>
                <w:noProof/>
                <w:sz w:val="16"/>
              </w:rPr>
              <w:t>ΣΥΝΟΛΟ</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ΤΟΜΕΑΣ 5/7</w:t>
            </w:r>
            <w:r>
              <w:rPr>
                <w:noProof/>
              </w:rPr>
              <w:t xml:space="preserve"> </w:t>
            </w:r>
            <w:r>
              <w:rPr>
                <w:noProof/>
              </w:rPr>
              <w:br/>
            </w:r>
            <w:r>
              <w:rPr>
                <w:b/>
                <w:noProof/>
                <w:sz w:val="16"/>
              </w:rPr>
              <w:t>του πολυετούς δημοσιονομικού πλαισίου</w:t>
            </w:r>
          </w:p>
        </w:tc>
        <w:tc>
          <w:tcPr>
            <w:tcW w:w="1008"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992" w:type="dxa"/>
            <w:vAlign w:val="center"/>
          </w:tcPr>
          <w:p>
            <w:pPr>
              <w:spacing w:before="60" w:after="60" w:line="200" w:lineRule="exact"/>
              <w:jc w:val="center"/>
              <w:rPr>
                <w:noProof/>
                <w:sz w:val="16"/>
                <w:szCs w:val="16"/>
              </w:rPr>
            </w:pPr>
          </w:p>
        </w:tc>
        <w:tc>
          <w:tcPr>
            <w:tcW w:w="851" w:type="dxa"/>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Ανθρώπινοι πόροι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Άλλες διοικητικές δαπάνες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Μερικό σύνολο του ΤΟΜΕΑ 5/7</w:t>
            </w:r>
            <w:r>
              <w:rPr>
                <w:noProof/>
              </w:rPr>
              <w:t xml:space="preserve"> </w:t>
            </w:r>
            <w:r>
              <w:rPr>
                <w:noProof/>
              </w:rPr>
              <w:br/>
            </w:r>
            <w:r>
              <w:rPr>
                <w:b/>
                <w:noProof/>
                <w:sz w:val="16"/>
              </w:rPr>
              <w:t xml:space="preserve">του πολυετούς δημοσιονομικού πλαισίου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Εκτός του ΤΟΜΕΑ 5/7</w:t>
            </w:r>
            <w:r>
              <w:rPr>
                <w:rStyle w:val="FootnoteReference"/>
                <w:b/>
                <w:noProof/>
                <w:sz w:val="16"/>
              </w:rPr>
              <w:footnoteReference w:id="20"/>
            </w:r>
            <w:r>
              <w:rPr>
                <w:noProof/>
              </w:rPr>
              <w:t xml:space="preserve"> </w:t>
            </w:r>
            <w:r>
              <w:rPr>
                <w:noProof/>
              </w:rPr>
              <w:br/>
            </w:r>
            <w:r>
              <w:rPr>
                <w:b/>
                <w:noProof/>
                <w:sz w:val="16"/>
              </w:rPr>
              <w:t xml:space="preserve">of the multiannual financial framework </w:t>
            </w:r>
          </w:p>
          <w:p>
            <w:pPr>
              <w:spacing w:before="0" w:after="0" w:line="200" w:lineRule="exact"/>
              <w:jc w:val="center"/>
              <w:rPr>
                <w:b/>
                <w:noProof/>
                <w:sz w:val="16"/>
                <w:szCs w:val="16"/>
              </w:rPr>
            </w:pP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Ανθρώπινοι πόροι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r>
              <w:rPr>
                <w:noProof/>
                <w:sz w:val="16"/>
                <w:szCs w:val="16"/>
              </w:rPr>
              <w:t>0,880</w:t>
            </w:r>
          </w:p>
        </w:tc>
        <w:tc>
          <w:tcPr>
            <w:tcW w:w="992" w:type="dxa"/>
            <w:vAlign w:val="center"/>
          </w:tcPr>
          <w:p>
            <w:pPr>
              <w:spacing w:before="60" w:after="60" w:line="200" w:lineRule="exact"/>
              <w:jc w:val="right"/>
              <w:rPr>
                <w:noProof/>
                <w:sz w:val="16"/>
                <w:szCs w:val="16"/>
              </w:rPr>
            </w:pPr>
            <w:r>
              <w:rPr>
                <w:noProof/>
                <w:sz w:val="16"/>
                <w:szCs w:val="16"/>
              </w:rPr>
              <w:t>0,880</w:t>
            </w:r>
          </w:p>
        </w:tc>
        <w:tc>
          <w:tcPr>
            <w:tcW w:w="851" w:type="dxa"/>
            <w:vAlign w:val="center"/>
          </w:tcPr>
          <w:p>
            <w:pPr>
              <w:spacing w:before="60" w:after="60" w:line="200" w:lineRule="exact"/>
              <w:jc w:val="right"/>
              <w:rPr>
                <w:noProof/>
                <w:sz w:val="16"/>
                <w:szCs w:val="16"/>
              </w:rPr>
            </w:pPr>
            <w:r>
              <w:rPr>
                <w:noProof/>
                <w:sz w:val="16"/>
                <w:szCs w:val="16"/>
              </w:rPr>
              <w:t>0,880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5,520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Άλλες δαπάνες </w:t>
            </w:r>
            <w:r>
              <w:rPr>
                <w:noProof/>
              </w:rPr>
              <w:t xml:space="preserve"> </w:t>
            </w:r>
            <w:r>
              <w:rPr>
                <w:noProof/>
              </w:rPr>
              <w:br/>
            </w:r>
            <w:r>
              <w:rPr>
                <w:noProof/>
                <w:sz w:val="16"/>
              </w:rPr>
              <w:t>διοικητικού χαρακτήρα</w:t>
            </w:r>
          </w:p>
        </w:tc>
        <w:tc>
          <w:tcPr>
            <w:tcW w:w="1008" w:type="dxa"/>
            <w:vAlign w:val="center"/>
          </w:tcPr>
          <w:p>
            <w:pPr>
              <w:spacing w:before="60" w:after="60" w:line="200" w:lineRule="exact"/>
              <w:jc w:val="right"/>
              <w:rPr>
                <w:noProof/>
                <w:sz w:val="16"/>
                <w:szCs w:val="16"/>
              </w:rPr>
            </w:pPr>
            <w:r>
              <w:rPr>
                <w:noProof/>
                <w:sz w:val="16"/>
                <w:szCs w:val="16"/>
              </w:rPr>
              <w:t>2</w:t>
            </w:r>
          </w:p>
        </w:tc>
        <w:tc>
          <w:tcPr>
            <w:tcW w:w="851" w:type="dxa"/>
            <w:vAlign w:val="center"/>
          </w:tcPr>
          <w:p>
            <w:pPr>
              <w:spacing w:before="60" w:after="60" w:line="200" w:lineRule="exact"/>
              <w:jc w:val="right"/>
              <w:rPr>
                <w:noProof/>
                <w:sz w:val="16"/>
                <w:szCs w:val="16"/>
              </w:rPr>
            </w:pPr>
            <w:r>
              <w:rPr>
                <w:noProof/>
                <w:sz w:val="16"/>
                <w:szCs w:val="16"/>
              </w:rPr>
              <w:t>1</w:t>
            </w: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r>
              <w:rPr>
                <w:b/>
                <w:noProof/>
                <w:sz w:val="16"/>
                <w:szCs w:val="16"/>
              </w:rPr>
              <w:t>3</w:t>
            </w:r>
          </w:p>
        </w:tc>
      </w:tr>
      <w:tr>
        <w:trPr>
          <w:trHeight w:val="702"/>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Μερικό σύνολο </w:t>
            </w:r>
            <w:r>
              <w:rPr>
                <w:noProof/>
              </w:rPr>
              <w:t xml:space="preserve"> </w:t>
            </w:r>
            <w:r>
              <w:rPr>
                <w:noProof/>
              </w:rPr>
              <w:br/>
            </w:r>
            <w:r>
              <w:rPr>
                <w:b/>
                <w:noProof/>
                <w:sz w:val="16"/>
              </w:rPr>
              <w:t>εκτός του ΤΟΜΕΑ 7</w:t>
            </w:r>
            <w:r>
              <w:rPr>
                <w:noProof/>
              </w:rPr>
              <w:t xml:space="preserve"> </w:t>
            </w:r>
            <w:r>
              <w:rPr>
                <w:noProof/>
              </w:rPr>
              <w:br/>
            </w:r>
            <w:r>
              <w:rPr>
                <w:b/>
                <w:noProof/>
                <w:sz w:val="16"/>
              </w:rPr>
              <w:t xml:space="preserve">του πολυετούς δημοσιονομικού πλαισίου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ΣΥΝΟΛΟ</w:t>
            </w:r>
          </w:p>
        </w:tc>
        <w:tc>
          <w:tcPr>
            <w:tcW w:w="1008"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b/>
                <w:noProof/>
                <w:sz w:val="16"/>
                <w:szCs w:val="16"/>
              </w:rPr>
              <w:t>2</w:t>
            </w:r>
          </w:p>
        </w:tc>
        <w:tc>
          <w:tcPr>
            <w:tcW w:w="851" w:type="dxa"/>
            <w:vAlign w:val="center"/>
          </w:tcPr>
          <w:p>
            <w:pPr>
              <w:spacing w:before="60" w:after="60" w:line="200" w:lineRule="exact"/>
              <w:jc w:val="center"/>
              <w:rPr>
                <w:b/>
                <w:noProof/>
                <w:sz w:val="16"/>
                <w:szCs w:val="16"/>
              </w:rPr>
            </w:pPr>
            <w:r>
              <w:rPr>
                <w:noProof/>
                <w:sz w:val="16"/>
                <w:szCs w:val="16"/>
              </w:rPr>
              <w:t>1,880</w:t>
            </w:r>
          </w:p>
        </w:tc>
        <w:tc>
          <w:tcPr>
            <w:tcW w:w="992" w:type="dxa"/>
            <w:vAlign w:val="center"/>
          </w:tcPr>
          <w:p>
            <w:pPr>
              <w:spacing w:before="60" w:after="60" w:line="200" w:lineRule="exact"/>
              <w:jc w:val="center"/>
              <w:rPr>
                <w:b/>
                <w:noProof/>
                <w:sz w:val="16"/>
                <w:szCs w:val="16"/>
              </w:rPr>
            </w:pPr>
            <w:r>
              <w:rPr>
                <w:noProof/>
                <w:sz w:val="16"/>
                <w:szCs w:val="16"/>
              </w:rPr>
              <w:t>0,880</w:t>
            </w:r>
          </w:p>
        </w:tc>
        <w:tc>
          <w:tcPr>
            <w:tcW w:w="851" w:type="dxa"/>
            <w:vAlign w:val="center"/>
          </w:tcPr>
          <w:p>
            <w:pPr>
              <w:spacing w:before="60" w:after="60" w:line="200" w:lineRule="exact"/>
              <w:jc w:val="center"/>
              <w:rPr>
                <w:b/>
                <w:noProof/>
                <w:sz w:val="16"/>
                <w:szCs w:val="16"/>
              </w:rPr>
            </w:pPr>
            <w:r>
              <w:rPr>
                <w:noProof/>
                <w:sz w:val="16"/>
                <w:szCs w:val="16"/>
              </w:rPr>
              <w:t>0,880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8,520</w:t>
            </w:r>
          </w:p>
        </w:tc>
      </w:tr>
    </w:tbl>
    <w:p>
      <w:pPr>
        <w:rPr>
          <w:noProof/>
          <w:sz w:val="18"/>
        </w:rPr>
      </w:pPr>
      <w:r>
        <w:rPr>
          <w:noProof/>
          <w:sz w:val="18"/>
        </w:rPr>
        <w:t>Οι απαιτούμενες πιστώσεις για ανθρώπινους πόρους και άλλες δαπάνες διοικητικού χαρακτήρα θα καλυφθούν από τις πιστώσεις της ΓΔ που έχουν ήδη διατεθεί για τη διαχείριση της δράσης και/ή έχουν ανακατανεμηθεί στο εσωτερικό της ΓΔ και οι οποίες θα συμπληρωθούν, κατά περίπτωση, με πρόσθετα κονδύλια που ενδέχεται να χορηγηθούν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 Το πρόσθετο εξωτερικό προσωπικό θα χρηματοδοτείται αποκλειστικά από έσοδα για ειδικό προορισμό.</w:t>
      </w:r>
    </w:p>
    <w:p>
      <w:pPr>
        <w:rPr>
          <w:noProof/>
          <w:sz w:val="18"/>
        </w:rPr>
      </w:pPr>
    </w:p>
    <w:p>
      <w:pPr>
        <w:rPr>
          <w:noProof/>
          <w:sz w:val="18"/>
          <w:highlight w:val="yellow"/>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pStyle w:val="ManualHeading4"/>
        <w:rPr>
          <w:noProof/>
          <w:szCs w:val="24"/>
        </w:rPr>
      </w:pPr>
      <w:r>
        <w:rPr>
          <w:noProof/>
        </w:rPr>
        <w:t>3.2.2.2.</w:t>
      </w:r>
      <w:r>
        <w:rPr>
          <w:noProof/>
        </w:rPr>
        <w:tab/>
        <w:t>Εκτιμώμενες ανάγκες σε ανθρώπινους πόρους</w:t>
      </w:r>
    </w:p>
    <w:p>
      <w:pPr>
        <w:pStyle w:val="ListDash1"/>
        <w:rPr>
          <w:noProof/>
        </w:rPr>
      </w:pPr>
      <w:r>
        <w:rPr>
          <w:noProof/>
        </w:rPr>
        <w:sym w:font="Wingdings" w:char="F0A8"/>
      </w:r>
      <w:r>
        <w:rPr>
          <w:noProof/>
        </w:rPr>
        <w:tab/>
        <w:t xml:space="preserve">Η πρόταση/πρωτοβουλία δεν συνεπάγεται τη χρησιμοποίηση ανθρώπινων πόρων </w:t>
      </w:r>
    </w:p>
    <w:p>
      <w:pPr>
        <w:pStyle w:val="ListDash1"/>
        <w:rPr>
          <w:noProof/>
        </w:rPr>
      </w:pPr>
      <w:r>
        <w:rPr>
          <w:noProof/>
        </w:rPr>
        <w:t>X</w:t>
      </w:r>
      <w:r>
        <w:rPr>
          <w:noProof/>
        </w:rPr>
        <w:tab/>
        <w:t>Η πρόταση/πρωτοβουλία συνεπάγεται τη χρησιμοποίηση ανθρώπινων πόρων, όπως εξηγείται κατωτέρω:</w:t>
      </w:r>
    </w:p>
    <w:p>
      <w:pPr>
        <w:spacing w:after="60"/>
        <w:jc w:val="right"/>
        <w:rPr>
          <w:i/>
          <w:noProof/>
          <w:sz w:val="20"/>
        </w:rPr>
      </w:pPr>
      <w:r>
        <w:rPr>
          <w:i/>
          <w:noProof/>
          <w:sz w:val="20"/>
        </w:rPr>
        <w:t>Εκτίμηση η οποία πρέπει να εκφράζεται σε μονάδες ισοδυνάμων πλήρους απασχόλησης</w:t>
      </w:r>
    </w:p>
    <w:tbl>
      <w:tblPr>
        <w:tblW w:w="517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95"/>
        <w:gridCol w:w="1904"/>
        <w:gridCol w:w="640"/>
        <w:gridCol w:w="640"/>
        <w:gridCol w:w="644"/>
        <w:gridCol w:w="619"/>
        <w:gridCol w:w="597"/>
        <w:gridCol w:w="21"/>
        <w:gridCol w:w="594"/>
        <w:gridCol w:w="640"/>
        <w:gridCol w:w="538"/>
        <w:gridCol w:w="874"/>
      </w:tblGrid>
      <w:tr>
        <w:trPr>
          <w:trHeight w:val="289"/>
          <w:jc w:val="center"/>
        </w:trPr>
        <w:tc>
          <w:tcPr>
            <w:tcW w:w="1978" w:type="pct"/>
            <w:gridSpan w:val="2"/>
            <w:shd w:val="clear" w:color="auto" w:fill="auto"/>
          </w:tcPr>
          <w:p>
            <w:pPr>
              <w:pStyle w:val="Text1"/>
              <w:spacing w:before="40" w:after="40"/>
              <w:ind w:left="0"/>
              <w:jc w:val="center"/>
              <w:rPr>
                <w:i/>
                <w:noProof/>
                <w:sz w:val="16"/>
                <w:szCs w:val="16"/>
              </w:rPr>
            </w:pPr>
          </w:p>
        </w:tc>
        <w:tc>
          <w:tcPr>
            <w:tcW w:w="333" w:type="pct"/>
            <w:shd w:val="clear" w:color="auto" w:fill="auto"/>
            <w:vAlign w:val="center"/>
          </w:tcPr>
          <w:p>
            <w:pPr>
              <w:spacing w:before="20" w:after="20"/>
              <w:jc w:val="center"/>
              <w:rPr>
                <w:noProof/>
                <w:sz w:val="16"/>
                <w:szCs w:val="16"/>
              </w:rPr>
            </w:pPr>
            <w:r>
              <w:rPr>
                <w:noProof/>
                <w:sz w:val="16"/>
              </w:rPr>
              <w:t>Έτος</w:t>
            </w:r>
            <w:r>
              <w:rPr>
                <w:noProof/>
              </w:rPr>
              <w:t xml:space="preserve"> </w:t>
            </w:r>
            <w:r>
              <w:rPr>
                <w:noProof/>
              </w:rPr>
              <w:br/>
            </w:r>
            <w:r>
              <w:rPr>
                <w:b/>
                <w:noProof/>
                <w:sz w:val="16"/>
              </w:rPr>
              <w:t>2020</w:t>
            </w:r>
          </w:p>
        </w:tc>
        <w:tc>
          <w:tcPr>
            <w:tcW w:w="333" w:type="pct"/>
            <w:shd w:val="clear" w:color="auto" w:fill="auto"/>
            <w:vAlign w:val="center"/>
          </w:tcPr>
          <w:p>
            <w:pPr>
              <w:spacing w:before="20" w:after="20"/>
              <w:jc w:val="center"/>
              <w:rPr>
                <w:noProof/>
                <w:sz w:val="16"/>
                <w:szCs w:val="16"/>
              </w:rPr>
            </w:pPr>
            <w:r>
              <w:rPr>
                <w:noProof/>
                <w:sz w:val="16"/>
              </w:rPr>
              <w:t>Έτος</w:t>
            </w:r>
            <w:r>
              <w:rPr>
                <w:noProof/>
              </w:rPr>
              <w:t xml:space="preserve"> </w:t>
            </w:r>
            <w:r>
              <w:rPr>
                <w:noProof/>
              </w:rPr>
              <w:br/>
            </w:r>
            <w:r>
              <w:rPr>
                <w:noProof/>
                <w:sz w:val="16"/>
                <w:szCs w:val="16"/>
              </w:rPr>
              <w:t>2021</w:t>
            </w:r>
          </w:p>
        </w:tc>
        <w:tc>
          <w:tcPr>
            <w:tcW w:w="334" w:type="pct"/>
            <w:shd w:val="clear" w:color="auto" w:fill="auto"/>
            <w:vAlign w:val="center"/>
          </w:tcPr>
          <w:p>
            <w:pPr>
              <w:spacing w:before="20" w:after="20"/>
              <w:jc w:val="center"/>
              <w:rPr>
                <w:noProof/>
                <w:sz w:val="16"/>
                <w:szCs w:val="16"/>
              </w:rPr>
            </w:pPr>
            <w:r>
              <w:rPr>
                <w:noProof/>
                <w:sz w:val="16"/>
                <w:szCs w:val="16"/>
              </w:rPr>
              <w:t>Έτος 2022</w:t>
            </w:r>
          </w:p>
        </w:tc>
        <w:tc>
          <w:tcPr>
            <w:tcW w:w="322" w:type="pct"/>
          </w:tcPr>
          <w:p>
            <w:pPr>
              <w:spacing w:before="20" w:after="20"/>
              <w:jc w:val="center"/>
              <w:rPr>
                <w:noProof/>
                <w:sz w:val="16"/>
                <w:szCs w:val="16"/>
              </w:rPr>
            </w:pPr>
            <w:r>
              <w:rPr>
                <w:noProof/>
                <w:sz w:val="16"/>
                <w:szCs w:val="16"/>
              </w:rPr>
              <w:t>Έτος 2023</w:t>
            </w:r>
          </w:p>
        </w:tc>
        <w:tc>
          <w:tcPr>
            <w:tcW w:w="322" w:type="pct"/>
            <w:gridSpan w:val="2"/>
            <w:shd w:val="clear" w:color="auto" w:fill="auto"/>
            <w:vAlign w:val="center"/>
          </w:tcPr>
          <w:p>
            <w:pPr>
              <w:spacing w:before="20" w:after="20"/>
              <w:jc w:val="center"/>
              <w:rPr>
                <w:noProof/>
                <w:sz w:val="16"/>
                <w:szCs w:val="16"/>
              </w:rPr>
            </w:pPr>
            <w:r>
              <w:rPr>
                <w:noProof/>
                <w:sz w:val="16"/>
                <w:szCs w:val="16"/>
              </w:rPr>
              <w:t>Έτος 2024</w:t>
            </w:r>
          </w:p>
        </w:tc>
        <w:tc>
          <w:tcPr>
            <w:tcW w:w="309" w:type="pct"/>
            <w:shd w:val="clear" w:color="auto" w:fill="auto"/>
            <w:vAlign w:val="center"/>
          </w:tcPr>
          <w:p>
            <w:pPr>
              <w:jc w:val="center"/>
              <w:rPr>
                <w:b/>
                <w:noProof/>
                <w:sz w:val="16"/>
                <w:szCs w:val="16"/>
              </w:rPr>
            </w:pPr>
            <w:r>
              <w:rPr>
                <w:noProof/>
                <w:sz w:val="16"/>
                <w:szCs w:val="16"/>
              </w:rPr>
              <w:t>Έτος 2025</w:t>
            </w:r>
          </w:p>
        </w:tc>
        <w:tc>
          <w:tcPr>
            <w:tcW w:w="333" w:type="pct"/>
            <w:shd w:val="clear" w:color="auto" w:fill="auto"/>
            <w:vAlign w:val="center"/>
          </w:tcPr>
          <w:p>
            <w:pPr>
              <w:jc w:val="center"/>
              <w:rPr>
                <w:b/>
                <w:noProof/>
                <w:sz w:val="16"/>
                <w:szCs w:val="16"/>
              </w:rPr>
            </w:pPr>
            <w:r>
              <w:rPr>
                <w:noProof/>
                <w:sz w:val="16"/>
                <w:szCs w:val="16"/>
              </w:rPr>
              <w:t>Έτος 2026</w:t>
            </w:r>
          </w:p>
        </w:tc>
        <w:tc>
          <w:tcPr>
            <w:tcW w:w="280" w:type="pct"/>
          </w:tcPr>
          <w:p>
            <w:pPr>
              <w:jc w:val="center"/>
              <w:rPr>
                <w:b/>
                <w:noProof/>
                <w:sz w:val="16"/>
                <w:szCs w:val="16"/>
              </w:rPr>
            </w:pPr>
            <w:r>
              <w:rPr>
                <w:noProof/>
                <w:sz w:val="16"/>
                <w:szCs w:val="16"/>
              </w:rPr>
              <w:t>Έτος 2027</w:t>
            </w:r>
          </w:p>
        </w:tc>
        <w:tc>
          <w:tcPr>
            <w:tcW w:w="455" w:type="pct"/>
            <w:shd w:val="clear" w:color="auto" w:fill="auto"/>
            <w:vAlign w:val="center"/>
          </w:tcPr>
          <w:p>
            <w:pPr>
              <w:jc w:val="center"/>
              <w:rPr>
                <w:b/>
                <w:noProof/>
                <w:sz w:val="16"/>
                <w:szCs w:val="16"/>
              </w:rPr>
            </w:pPr>
          </w:p>
        </w:tc>
      </w:tr>
      <w:tr>
        <w:trPr>
          <w:trHeight w:val="289"/>
          <w:jc w:val="center"/>
        </w:trPr>
        <w:tc>
          <w:tcPr>
            <w:tcW w:w="2979" w:type="pct"/>
            <w:gridSpan w:val="5"/>
            <w:shd w:val="clear" w:color="auto" w:fill="auto"/>
          </w:tcPr>
          <w:p>
            <w:pPr>
              <w:spacing w:before="20" w:after="20"/>
              <w:rPr>
                <w:noProof/>
                <w:sz w:val="16"/>
                <w:szCs w:val="16"/>
              </w:rPr>
            </w:pPr>
            <w:r>
              <w:rPr>
                <w:b/>
                <w:noProof/>
                <w:sz w:val="16"/>
              </w:rPr>
              <w:sym w:font="Wingdings" w:char="F09F"/>
            </w:r>
            <w:r>
              <w:rPr>
                <w:b/>
                <w:noProof/>
                <w:sz w:val="16"/>
              </w:rPr>
              <w:t xml:space="preserve"> Θέσεις απασχόλησης του πίνακα προσωπικού (θέσεις μόνιμων και έκτακτων υπαλλήλων)</w:t>
            </w:r>
          </w:p>
        </w:tc>
        <w:tc>
          <w:tcPr>
            <w:tcW w:w="322" w:type="pct"/>
          </w:tcPr>
          <w:p>
            <w:pPr>
              <w:spacing w:before="20" w:after="20"/>
              <w:jc w:val="center"/>
              <w:rPr>
                <w:noProof/>
                <w:sz w:val="16"/>
                <w:szCs w:val="16"/>
              </w:rPr>
            </w:pPr>
          </w:p>
        </w:tc>
        <w:tc>
          <w:tcPr>
            <w:tcW w:w="322" w:type="pct"/>
            <w:gridSpan w:val="2"/>
            <w:shd w:val="clear" w:color="auto" w:fill="auto"/>
            <w:vAlign w:val="center"/>
          </w:tcPr>
          <w:p>
            <w:pPr>
              <w:spacing w:before="20" w:after="20"/>
              <w:jc w:val="center"/>
              <w:rPr>
                <w:noProof/>
                <w:sz w:val="16"/>
                <w:szCs w:val="16"/>
              </w:rPr>
            </w:pPr>
          </w:p>
        </w:tc>
        <w:tc>
          <w:tcPr>
            <w:tcW w:w="309" w:type="pct"/>
          </w:tcPr>
          <w:p>
            <w:pPr>
              <w:jc w:val="center"/>
              <w:rPr>
                <w:noProof/>
                <w:sz w:val="16"/>
                <w:szCs w:val="16"/>
              </w:rPr>
            </w:pPr>
          </w:p>
        </w:tc>
        <w:tc>
          <w:tcPr>
            <w:tcW w:w="1068" w:type="pct"/>
            <w:gridSpan w:val="3"/>
            <w:shd w:val="clear" w:color="auto" w:fill="auto"/>
            <w:vAlign w:val="center"/>
          </w:tcPr>
          <w:p>
            <w:pPr>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(στην έδρα και στις αντιπροσωπείες της Επιτροπής)</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(στις αντιπροσωπείες της ΕΕ)</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(έμμεση έρευνα)</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(άμεση έρευνα)</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gridAfter w:val="5"/>
          <w:wAfter w:w="1388" w:type="pct"/>
          <w:trHeight w:val="248"/>
          <w:jc w:val="center"/>
        </w:trPr>
        <w:tc>
          <w:tcPr>
            <w:tcW w:w="2979" w:type="pct"/>
            <w:gridSpan w:val="5"/>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Εξωτερικό προσωπικό (σε μονάδα ισοδυνάμου πλήρους απασχόλησης: ΙΠΑ)</w:t>
            </w:r>
            <w:r>
              <w:rPr>
                <w:rStyle w:val="FootnoteReference"/>
                <w:b/>
                <w:noProof/>
                <w:sz w:val="16"/>
              </w:rPr>
              <w:footnoteReference w:id="21"/>
            </w:r>
          </w:p>
          <w:p>
            <w:pPr>
              <w:pStyle w:val="Text1"/>
              <w:spacing w:before="0" w:after="0"/>
              <w:ind w:left="0"/>
              <w:jc w:val="left"/>
              <w:rPr>
                <w:noProof/>
                <w:sz w:val="16"/>
                <w:szCs w:val="16"/>
              </w:rPr>
            </w:pPr>
          </w:p>
        </w:tc>
        <w:tc>
          <w:tcPr>
            <w:tcW w:w="322" w:type="pct"/>
          </w:tcPr>
          <w:p>
            <w:pPr>
              <w:pStyle w:val="Text1"/>
              <w:spacing w:before="60" w:after="60"/>
              <w:ind w:left="0"/>
              <w:jc w:val="left"/>
              <w:rPr>
                <w:b/>
                <w:noProof/>
                <w:sz w:val="16"/>
              </w:rPr>
            </w:pPr>
          </w:p>
        </w:tc>
        <w:tc>
          <w:tcPr>
            <w:tcW w:w="311" w:type="pct"/>
          </w:tcPr>
          <w:p>
            <w:pPr>
              <w:pStyle w:val="Text1"/>
              <w:spacing w:before="60" w:after="60"/>
              <w:ind w:left="0"/>
              <w:jc w:val="left"/>
              <w:rPr>
                <w:b/>
                <w:noProof/>
                <w:sz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από το συνολικό κονδύλιο)</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και JED στις αντιπροσωπείες της ΕΕ)</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7"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22"/>
            </w:r>
          </w:p>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στην έδρα</w:t>
            </w:r>
          </w:p>
          <w:p>
            <w:pPr>
              <w:pStyle w:val="Text1"/>
              <w:spacing w:beforeLines="20" w:before="48" w:afterLines="20" w:after="48"/>
              <w:ind w:left="136"/>
              <w:jc w:val="left"/>
              <w:rPr>
                <w:b/>
                <w:noProof/>
                <w:sz w:val="16"/>
                <w:szCs w:val="16"/>
              </w:rPr>
            </w:pP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7" w:type="pct"/>
            <w:vMerge/>
            <w:shd w:val="clear" w:color="auto" w:fill="auto"/>
            <w:vAlign w:val="center"/>
          </w:tcPr>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στις αντιπροσωπείες της ΕΕ </w:t>
            </w: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(AC, END, INT - έμμεση έρευνα)</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INT — άμεση έρευνα)</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Άλλες γραμμές του προϋπολογισμού (έσοδα για ειδικό προορισμό)</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noProof/>
                <w:sz w:val="16"/>
                <w:szCs w:val="16"/>
              </w:rPr>
            </w:pPr>
            <w:r>
              <w:rPr>
                <w:noProof/>
                <w:sz w:val="16"/>
                <w:szCs w:val="16"/>
              </w:rPr>
              <w:t>9</w:t>
            </w:r>
          </w:p>
        </w:tc>
        <w:tc>
          <w:tcPr>
            <w:tcW w:w="45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ΣΥΝΟΛΟ</w:t>
            </w:r>
          </w:p>
        </w:tc>
        <w:tc>
          <w:tcPr>
            <w:tcW w:w="333"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34"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b/>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b/>
                <w:noProof/>
                <w:sz w:val="16"/>
                <w:szCs w:val="16"/>
              </w:rPr>
            </w:pPr>
            <w:r>
              <w:rPr>
                <w:noProof/>
                <w:sz w:val="16"/>
                <w:szCs w:val="16"/>
              </w:rPr>
              <w:t>9</w:t>
            </w:r>
          </w:p>
        </w:tc>
        <w:tc>
          <w:tcPr>
            <w:tcW w:w="45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noProof/>
          <w:sz w:val="18"/>
          <w:szCs w:val="18"/>
        </w:rPr>
        <w:t>Οι ΓΔ ECFIN, COMP και BUDG είναι ο τομέας πολιτικής ή ο σχετικός τίτλος του προϋπολογισμού.</w:t>
      </w:r>
    </w:p>
    <w:p>
      <w:pPr>
        <w:pStyle w:val="Text1"/>
        <w:rPr>
          <w:noProof/>
          <w:sz w:val="18"/>
          <w:szCs w:val="18"/>
        </w:rPr>
      </w:pPr>
      <w:r>
        <w:rPr>
          <w:noProof/>
          <w:sz w:val="18"/>
        </w:rPr>
        <w:t>Οι ανάγκες σε ανθρώπινους πόρους θα καλυφθούν από το προσωπικό της ΓΔ που έχει ήδη διατεθεί για τη διαχείριση της δράσης και/ή έχει ανακατανεμηθεί στο εσωτερικό της ΓΔ και το οποίο θα συμπληρωθεί, εάν χρειαστεί, από πρόσθετους πόρους που μπορεί να διατεθούν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w:t>
      </w:r>
      <w:r>
        <w:rPr>
          <w:noProof/>
        </w:rPr>
        <w:t xml:space="preserve"> </w:t>
      </w:r>
      <w:r>
        <w:rPr>
          <w:noProof/>
          <w:sz w:val="18"/>
        </w:rPr>
        <w:t>Το πρόσθετο εξωτερικό προσωπικό θα χρηματοδοτείται αποκλειστικά από έσοδα για ειδικό προορισμό.</w:t>
      </w:r>
    </w:p>
    <w:p>
      <w:pPr>
        <w:rPr>
          <w:noProof/>
          <w:sz w:val="20"/>
        </w:rPr>
      </w:pPr>
      <w:r>
        <w:rPr>
          <w:noProof/>
          <w:sz w:val="20"/>
        </w:rPr>
        <w:t>Περιγραφή των προς εκτέλεση καθηκόντων:</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Μόνιμοι και έκτακτοι υπάλληλοι</w:t>
            </w:r>
          </w:p>
        </w:tc>
        <w:tc>
          <w:tcPr>
            <w:tcW w:w="7200" w:type="dxa"/>
          </w:tcPr>
          <w:p>
            <w:pPr>
              <w:rPr>
                <w:noProof/>
                <w:sz w:val="20"/>
              </w:rPr>
            </w:pPr>
            <w:r>
              <w:rPr>
                <w:noProof/>
                <w:sz w:val="20"/>
              </w:rPr>
              <w:t>–</w:t>
            </w:r>
          </w:p>
        </w:tc>
      </w:tr>
      <w:tr>
        <w:tc>
          <w:tcPr>
            <w:tcW w:w="3240" w:type="dxa"/>
          </w:tcPr>
          <w:p>
            <w:pPr>
              <w:spacing w:before="60" w:after="60"/>
              <w:rPr>
                <w:noProof/>
                <w:sz w:val="20"/>
              </w:rPr>
            </w:pPr>
            <w:r>
              <w:rPr>
                <w:noProof/>
                <w:sz w:val="20"/>
              </w:rPr>
              <w:t>Εξωτερικό προσωπικό</w:t>
            </w:r>
          </w:p>
        </w:tc>
        <w:tc>
          <w:tcPr>
            <w:tcW w:w="7200" w:type="dxa"/>
          </w:tcPr>
          <w:p>
            <w:pPr>
              <w:rPr>
                <w:noProof/>
                <w:sz w:val="20"/>
              </w:rPr>
            </w:pPr>
            <w:r>
              <w:rPr>
                <w:noProof/>
                <w:sz w:val="20"/>
              </w:rPr>
              <w:t>Τμήμα εξυπηρέτησης (κατάρτιση εγγράφων πολιτικής, προετοιμασία και διαπραγμάτευση της συμφωνίας εγγυήσεων, επιχειρησιακή παρακολούθηση και υποβολή εκθέσεων, διαχείριση συμβουλευτικής και τεχνικής βοήθειας)·</w:t>
            </w:r>
          </w:p>
          <w:p>
            <w:pPr>
              <w:rPr>
                <w:noProof/>
                <w:sz w:val="20"/>
              </w:rPr>
            </w:pPr>
            <w:r>
              <w:rPr>
                <w:noProof/>
                <w:sz w:val="20"/>
              </w:rPr>
              <w:t>Τμήμα υποστήριξης (παρακολούθηση και επακόλουθες ενέργειες του προγράμματος, συμπεριλαμβανομένων των καταπτώσεων εγγυήσεων, της επιχειρησιακής και οικονομικής πληροφόρησης και άλλων δραστηριοτήτων διαχείρισης εγγυήσεων· παρακολούθηση και υποβολή εκθέσεων σχετικά με τις συμβουλευτικές υπηρεσίες και την τεχνική βοήθεια)·</w:t>
            </w:r>
          </w:p>
          <w:p>
            <w:pPr>
              <w:rPr>
                <w:noProof/>
                <w:sz w:val="20"/>
              </w:rPr>
            </w:pPr>
            <w:r>
              <w:rPr>
                <w:noProof/>
                <w:sz w:val="20"/>
              </w:rPr>
              <w:t>Επικινδυνότητα (παρακολούθηση του προφίλ πιστωτικού κινδύνου των χαρτοφυλακίων πράξεων στο πλαίσιο της εγγύησης της ΕΕ, αξιολόγηση και υποβολή εκθέσεων)·</w:t>
            </w:r>
          </w:p>
          <w:p>
            <w:pPr>
              <w:rPr>
                <w:noProof/>
                <w:sz w:val="20"/>
              </w:rPr>
            </w:pPr>
          </w:p>
        </w:tc>
      </w:tr>
    </w:tbl>
    <w:p>
      <w:pPr>
        <w:rPr>
          <w:noProof/>
          <w:highlight w:val="yellow"/>
        </w:rPr>
        <w:sectPr>
          <w:pgSz w:w="11907" w:h="16840"/>
          <w:pgMar w:top="1134" w:right="1418" w:bottom="1134" w:left="1418" w:header="709" w:footer="709" w:gutter="0"/>
          <w:cols w:space="708"/>
          <w:docGrid w:linePitch="360"/>
        </w:sectPr>
      </w:pPr>
    </w:p>
    <w:p>
      <w:pPr>
        <w:pStyle w:val="ManualHeading2"/>
        <w:rPr>
          <w:noProof/>
          <w:szCs w:val="24"/>
        </w:rPr>
      </w:pPr>
      <w:r>
        <w:rPr>
          <w:noProof/>
        </w:rPr>
        <w:t>3.3.</w:t>
      </w:r>
      <w:r>
        <w:rPr>
          <w:noProof/>
        </w:rPr>
        <w:tab/>
        <w:t xml:space="preserve">Εκτιμώμενες επιπτώσεις στα έσοδα </w:t>
      </w:r>
    </w:p>
    <w:p>
      <w:pPr>
        <w:pStyle w:val="ListDash1"/>
        <w:rPr>
          <w:noProof/>
        </w:rPr>
      </w:pPr>
      <w:r>
        <w:rPr>
          <w:noProof/>
        </w:rPr>
        <w:t>X</w:t>
      </w:r>
      <w:r>
        <w:rPr>
          <w:noProof/>
        </w:rPr>
        <w:tab/>
        <w:t>Η πρόταση/πρωτοβουλία δεν έχει δημοσιονομικές επιπτώσεις στα έσοδα.</w:t>
      </w:r>
    </w:p>
    <w:p>
      <w:pPr>
        <w:pStyle w:val="ListDash1"/>
        <w:rPr>
          <w:noProof/>
        </w:rPr>
      </w:pPr>
      <w:r>
        <w:rPr>
          <w:noProof/>
        </w:rPr>
        <w:tab/>
      </w:r>
      <w:r>
        <w:rPr>
          <w:noProof/>
        </w:rPr>
        <w:sym w:font="Wingdings" w:char="F0A8"/>
      </w:r>
      <w:r>
        <w:rPr>
          <w:noProof/>
        </w:rPr>
        <w:tab/>
        <w:t>Η πρόταση/πρωτοβουλία έχει τις δημοσιονομικές επιπτώσεις που περιγράφονται κατωτέρω:</w:t>
      </w:r>
    </w:p>
    <w:p>
      <w:pPr>
        <w:pStyle w:val="ListNumberLevel3"/>
        <w:rPr>
          <w:noProof/>
        </w:rPr>
      </w:pPr>
      <w:r>
        <w:rPr>
          <w:noProof/>
        </w:rPr>
        <w:sym w:font="Wingdings" w:char="F0A8"/>
      </w:r>
      <w:r>
        <w:rPr>
          <w:noProof/>
        </w:rPr>
        <w:tab/>
        <w:t xml:space="preserve">στους ιδίους πόρους </w:t>
      </w:r>
    </w:p>
    <w:p>
      <w:pPr>
        <w:pStyle w:val="ListNumberLevel3"/>
        <w:rPr>
          <w:noProof/>
        </w:rPr>
      </w:pPr>
      <w:r>
        <w:rPr>
          <w:noProof/>
        </w:rPr>
        <w:sym w:font="Wingdings" w:char="F0A8"/>
      </w:r>
      <w:r>
        <w:rPr>
          <w:noProof/>
        </w:rPr>
        <w:tab/>
        <w:t xml:space="preserve">στα διάφορα έσοδα </w:t>
      </w:r>
    </w:p>
    <w:p>
      <w:pPr>
        <w:jc w:val="right"/>
        <w:rPr>
          <w:i/>
          <w:noProof/>
          <w:sz w:val="20"/>
        </w:rPr>
      </w:pPr>
      <w:r>
        <w:rPr>
          <w:noProof/>
        </w:rPr>
        <w:t>σε εκατ. EUR (με τρία δεκαδικά ψηφία)</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Γραμμή εσόδων του προϋπολογισμού:</w:t>
            </w:r>
          </w:p>
        </w:tc>
        <w:tc>
          <w:tcPr>
            <w:tcW w:w="1276" w:type="dxa"/>
            <w:vMerge w:val="restart"/>
            <w:vAlign w:val="center"/>
          </w:tcPr>
          <w:p>
            <w:pPr>
              <w:jc w:val="center"/>
              <w:rPr>
                <w:noProof/>
                <w:sz w:val="18"/>
              </w:rPr>
            </w:pPr>
            <w:r>
              <w:rPr>
                <w:noProof/>
                <w:sz w:val="18"/>
              </w:rPr>
              <w:t>Διαθέσιμες πιστώσεις για το τρέχον οικονομικό έτος</w:t>
            </w:r>
          </w:p>
        </w:tc>
        <w:tc>
          <w:tcPr>
            <w:tcW w:w="7200" w:type="dxa"/>
            <w:gridSpan w:val="7"/>
            <w:vAlign w:val="center"/>
          </w:tcPr>
          <w:p>
            <w:pPr>
              <w:jc w:val="center"/>
              <w:rPr>
                <w:noProof/>
                <w:sz w:val="18"/>
              </w:rPr>
            </w:pPr>
            <w:r>
              <w:rPr>
                <w:noProof/>
                <w:sz w:val="18"/>
              </w:rPr>
              <w:t>Επιπτώσεις της πρότασης/πρωτοβουλίας</w:t>
            </w:r>
            <w:r>
              <w:rPr>
                <w:rStyle w:val="FootnoteReference"/>
                <w:noProof/>
                <w:sz w:val="18"/>
              </w:rPr>
              <w:footnoteReference w:id="23"/>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Έτος</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Έτος</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Έτος</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Έτος</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να εγγραφούν όσα έτη απαιτούνται, ώστε να εμφαίνεται η διάρκεια των επιπτώσεων (βλ. σημείο 1.6)</w:t>
            </w:r>
          </w:p>
        </w:tc>
      </w:tr>
      <w:tr>
        <w:trPr>
          <w:trHeight w:val="388"/>
        </w:trPr>
        <w:tc>
          <w:tcPr>
            <w:tcW w:w="2144" w:type="dxa"/>
            <w:vAlign w:val="center"/>
          </w:tcPr>
          <w:p>
            <w:pPr>
              <w:spacing w:before="40" w:after="40"/>
              <w:rPr>
                <w:noProof/>
                <w:sz w:val="18"/>
              </w:rPr>
            </w:pPr>
            <w:r>
              <w:rPr>
                <w:noProof/>
                <w:sz w:val="18"/>
              </w:rPr>
              <w:t>Άρθρο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pBdr>
          <w:top w:val="single" w:sz="4" w:space="1" w:color="auto"/>
          <w:left w:val="single" w:sz="4" w:space="4" w:color="auto"/>
          <w:bottom w:val="single" w:sz="4" w:space="1" w:color="auto"/>
          <w:right w:val="single" w:sz="4" w:space="4" w:color="auto"/>
        </w:pBdr>
        <w:rPr>
          <w:noProof/>
        </w:rPr>
      </w:pPr>
    </w:p>
    <w:p>
      <w:pP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MV Bol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37</w:t>
    </w:r>
    <w:r>
      <w:fldChar w:fldCharType="end"/>
    </w:r>
    <w:r>
      <w:tab/>
    </w:r>
    <w:r>
      <w:tab/>
    </w:r>
    <w:r>
      <w:rPr>
        <w:rFonts w:ascii="Arial" w:hAnsi="Arial" w:cs="Arial"/>
        <w:b/>
        <w:sz w:val="48"/>
      </w:rPr>
      <w:t>EL</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Κανονισμός (ΕΕ) 2015/1017 του Ευρωπαϊκού Κοινοβουλίου και του Συμβουλίου, της 25ης Ιουνίου 2015, για το Ευρωπαϊκό Ταμείο Στρατηγικών Επενδύσεων, τον Ευρωπαϊκό Κόμβο Επενδυτικών Συμβουλών και την Ευρωπαϊκή Πύλη Επενδυτικών Έργων και την τροποποίηση των κανονισμών (ΕΕ) αριθ. 1291/2013 και (ΕΕ) αριθ. 1316/2013 — το Ευρωπαϊκό Ταμείο Στρατηγικών Επενδύσεων (ΕΕ L 169 της 1.7.2015, σ. 1).</w:t>
      </w:r>
    </w:p>
  </w:footnote>
  <w:footnote w:id="3">
    <w:p>
      <w:pPr>
        <w:pStyle w:val="FootnoteText"/>
      </w:pPr>
      <w:r>
        <w:rPr>
          <w:rStyle w:val="FootnoteReference"/>
        </w:rPr>
        <w:footnoteRef/>
      </w:r>
      <w:r>
        <w:tab/>
        <w:t>Πρόταση της Επιτροπής για κανονισμό του Ευρωπαϊκού Κοινοβουλίου και του Συμβουλίου για τη θέσπιση του προγράμματος InvestEU (COM(2018)439), μερική συμφωνία του Ευρωπαϊκού Κοινοβουλίου και του Συμβουλίου επί της νομοθετικής πρότασης, του Απριλίου του 2019.</w:t>
      </w:r>
    </w:p>
  </w:footnote>
  <w:footnote w:id="4">
    <w:p>
      <w:pPr>
        <w:pStyle w:val="FootnoteText"/>
      </w:pPr>
      <w:r>
        <w:rPr>
          <w:rStyle w:val="FootnoteReference"/>
        </w:rPr>
        <w:footnoteRef/>
      </w:r>
      <w:r>
        <w:tab/>
        <w:t>Όπως ορίζονται στο άρθρο 2 σημείο 18) του κανονισμού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 της 26.6.2014, σ. 1).</w:t>
      </w:r>
    </w:p>
  </w:footnote>
  <w:footnote w:id="5">
    <w:p>
      <w:pPr>
        <w:pStyle w:val="FootnoteText"/>
        <w:ind w:left="0" w:firstLine="0"/>
      </w:pPr>
      <w:r>
        <w:rPr>
          <w:rStyle w:val="FootnoteReference"/>
        </w:rPr>
        <w:footnoteRef/>
      </w:r>
      <w:r>
        <w:tab/>
        <w:t>COM(2020) 1863 final, όπως τροποποιήθηκε με το COM(2020) 3156 final.</w:t>
      </w:r>
    </w:p>
  </w:footnote>
  <w:footnote w:id="6">
    <w:p>
      <w:pPr>
        <w:pStyle w:val="FootnoteText"/>
      </w:pPr>
      <w:r>
        <w:rPr>
          <w:rStyle w:val="FootnoteReference"/>
        </w:rPr>
        <w:footnoteRef/>
      </w:r>
      <w:r>
        <w:tab/>
        <w:t>ΕΕ C […] της […], σ. […].</w:t>
      </w:r>
    </w:p>
  </w:footnote>
  <w:footnote w:id="7">
    <w:p>
      <w:pPr>
        <w:pStyle w:val="FootnoteText"/>
      </w:pPr>
      <w:r>
        <w:rPr>
          <w:rStyle w:val="FootnoteReference"/>
        </w:rPr>
        <w:footnoteRef/>
      </w:r>
      <w:r>
        <w:tab/>
        <w:t>ΕΕ C […] της […], σ. […].</w:t>
      </w:r>
    </w:p>
  </w:footnote>
  <w:footnote w:id="8">
    <w:p>
      <w:pPr>
        <w:pStyle w:val="FootnoteText"/>
      </w:pPr>
      <w:r>
        <w:rPr>
          <w:rStyle w:val="FootnoteReference"/>
        </w:rPr>
        <w:footnoteRef/>
      </w:r>
      <w:r>
        <w:tab/>
        <w:t>Όπως ορίζονται στο άρθρο 2 σημείο 18) του κανονισμού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 της 26.6.2014, σ. 1).</w:t>
      </w:r>
    </w:p>
  </w:footnote>
  <w:footnote w:id="9">
    <w:p>
      <w:pPr>
        <w:pStyle w:val="FootnoteText"/>
      </w:pPr>
      <w:r>
        <w:rPr>
          <w:rStyle w:val="FootnoteReference"/>
        </w:rPr>
        <w:footnoteRef/>
      </w:r>
      <w:r>
        <w:tab/>
        <w:t>Όπως ορίζονται στο άρθρο 2 σημείο 18) του κανονισμού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 της 26.6.2014, σ. 1).</w:t>
      </w:r>
    </w:p>
  </w:footnote>
  <w:footnote w:id="10">
    <w:p>
      <w:pPr>
        <w:pStyle w:val="FootnoteText"/>
      </w:pPr>
      <w:r>
        <w:rPr>
          <w:rStyle w:val="FootnoteReference"/>
        </w:rPr>
        <w:footnoteRef/>
      </w:r>
      <w:r>
        <w:tab/>
        <w:t>COM(2019) 640 final.</w:t>
      </w:r>
    </w:p>
  </w:footnote>
  <w:footnote w:id="11">
    <w:p>
      <w:pPr>
        <w:pStyle w:val="FootnoteText"/>
      </w:pPr>
      <w:r>
        <w:rPr>
          <w:rStyle w:val="FootnoteReference"/>
        </w:rPr>
        <w:footnoteRef/>
      </w:r>
      <w:r>
        <w:tab/>
        <w:t>COM(2020) 67 final.</w:t>
      </w:r>
    </w:p>
  </w:footnote>
  <w:footnote w:id="12">
    <w:p>
      <w:pPr>
        <w:pStyle w:val="FootnoteText"/>
      </w:pPr>
      <w:r>
        <w:rPr>
          <w:rStyle w:val="FootnoteReference"/>
        </w:rPr>
        <w:footnoteRef/>
      </w:r>
      <w:r>
        <w:tab/>
        <w:t>Τα ανωτέρω αποτελούν μη εξαντλητική παράθεση προϊόντων που μπορούν να προσφέρονται μέσω του ΕΤΣΕ.</w:t>
      </w:r>
    </w:p>
  </w:footnote>
  <w:footnote w:id="13">
    <w:p>
      <w:pPr>
        <w:pStyle w:val="FootnoteText"/>
      </w:pPr>
      <w:r>
        <w:rPr>
          <w:rStyle w:val="FootnoteReference"/>
        </w:rPr>
        <w:footnoteRef/>
      </w:r>
      <w:r>
        <w:tab/>
        <w:t>Ανακοίνωση της Επιτροπής: Προσωρινό πλαίσιο για τη λήψη μέτρων κρατικής ενίσχυσης με σκοπό να στηριχθεί η οικονομία κατά τη διάρκεια της τρέχουσας έξαρσης της νόσου COVID-19 (C(2020)1863), όπως τροποποιήθηκε με την ανακοίνωση C(2020) 3156 final.</w:t>
      </w:r>
    </w:p>
  </w:footnote>
  <w:footnote w:id="14">
    <w:p>
      <w:pPr>
        <w:pStyle w:val="FootnoteText"/>
        <w:rPr>
          <w:szCs w:val="24"/>
        </w:rPr>
      </w:pPr>
      <w:r>
        <w:rPr>
          <w:rStyle w:val="FootnoteReference"/>
        </w:rPr>
        <w:footnoteRef/>
      </w:r>
      <w:r>
        <w:tab/>
        <w:t>ΔΒΔ: διαχείριση βάσει δραστηριοτήτων· ΠΒΔ: προϋπολογισμός βάσει δραστηριοτήτων.</w:t>
      </w:r>
    </w:p>
  </w:footnote>
  <w:footnote w:id="15">
    <w:p>
      <w:pPr>
        <w:pStyle w:val="FootnoteText"/>
        <w:rPr>
          <w:szCs w:val="24"/>
        </w:rPr>
      </w:pPr>
      <w:r>
        <w:rPr>
          <w:rStyle w:val="FootnoteReference"/>
        </w:rPr>
        <w:footnoteRef/>
      </w:r>
      <w:r>
        <w:tab/>
        <w:t>Όπως αναφέρεται στο άρθρο 54 παράγραφος 2 στοιχεία α) ή β) του δημοσιονομικού κανονισμού.</w:t>
      </w:r>
    </w:p>
  </w:footnote>
  <w:footnote w:id="16">
    <w:p>
      <w:pPr>
        <w:pStyle w:val="FootnoteText"/>
        <w:rPr>
          <w:szCs w:val="24"/>
        </w:rPr>
      </w:pPr>
      <w:r>
        <w:rPr>
          <w:rStyle w:val="FootnoteReference"/>
        </w:rPr>
        <w:footnoteRef/>
      </w:r>
      <w:r>
        <w:tab/>
        <w:t xml:space="preserve">Οι λεπτομέρειες σχετικά με τους τρόπους διαχείρισης και οι παραπομπές στον δημοσιονομικό κανονισμό είναι διαθέσιμες στον ιστότοπο BudgWeb: </w:t>
      </w:r>
      <w:hyperlink r:id="rId1" w:history="1">
        <w:r>
          <w:rPr>
            <w:rStyle w:val="Hyperlink"/>
            <w:sz w:val="18"/>
          </w:rPr>
          <w:t>http://www.cc.cec/budg/man/budgmanag/budgmanag_en.html</w:t>
        </w:r>
      </w:hyperlink>
    </w:p>
  </w:footnote>
  <w:footnote w:id="17">
    <w:p>
      <w:pPr>
        <w:pStyle w:val="FootnoteText"/>
        <w:rPr>
          <w:szCs w:val="24"/>
        </w:rPr>
      </w:pPr>
      <w:r>
        <w:rPr>
          <w:rStyle w:val="FootnoteReference"/>
        </w:rPr>
        <w:footnoteRef/>
      </w:r>
      <w:r>
        <w:tab/>
        <w:t>ΔΠ = Διαχωριζόμενες πιστώσεις / ΜΔΠ = Μη διαχωριζόμενες πιστώσεις.</w:t>
      </w:r>
    </w:p>
  </w:footnote>
  <w:footnote w:id="18">
    <w:p>
      <w:pPr>
        <w:pStyle w:val="FootnoteText"/>
        <w:rPr>
          <w:szCs w:val="24"/>
        </w:rPr>
      </w:pPr>
      <w:r>
        <w:rPr>
          <w:rStyle w:val="FootnoteReference"/>
        </w:rPr>
        <w:footnoteRef/>
      </w:r>
      <w:r>
        <w:tab/>
        <w:t xml:space="preserve">ΕΖΕΣ: Ευρωπαϊκή Ζώνη Ελεύθερων Συναλλαγών. </w:t>
      </w:r>
    </w:p>
  </w:footnote>
  <w:footnote w:id="19">
    <w:p>
      <w:pPr>
        <w:pStyle w:val="FootnoteText"/>
        <w:rPr>
          <w:szCs w:val="24"/>
        </w:rPr>
      </w:pPr>
      <w:r>
        <w:rPr>
          <w:rStyle w:val="FootnoteReference"/>
        </w:rPr>
        <w:footnoteRef/>
      </w:r>
      <w:r>
        <w:tab/>
        <w:t>Υποψήφιες χώρες και, κατά περίπτωση, δυνάμει υποψήφια μέλη της ΕΕ από τα Δυτικά Βαλκάνια.</w:t>
      </w:r>
    </w:p>
  </w:footnote>
  <w:footnote w:id="20">
    <w:p>
      <w:pPr>
        <w:pStyle w:val="FootnoteText"/>
        <w:rPr>
          <w:szCs w:val="24"/>
        </w:rPr>
      </w:pPr>
      <w:r>
        <w:rPr>
          <w:rStyle w:val="FootnoteReference"/>
        </w:rPr>
        <w:footnoteRef/>
      </w:r>
      <w:r>
        <w:tab/>
        <w:t>Για το 2020: Τεχνική και/ή διοικητική βοήθεια και δαπάνες υποστήριξης της εφαρμογής προγραμμάτων και/ή δράσεων της ΕΕ (πρώην γραμμές «BA»), έμμεση έρευνα, άμεση έρευνα. Από το 2021: Εξωτερικά έσοδα για ειδικό προορισμό.</w:t>
      </w:r>
    </w:p>
  </w:footnote>
  <w:footnote w:id="21">
    <w:p>
      <w:pPr>
        <w:pStyle w:val="FootnoteText"/>
        <w:rPr>
          <w:szCs w:val="24"/>
        </w:rPr>
      </w:pPr>
      <w:r>
        <w:rPr>
          <w:rStyle w:val="FootnoteReference"/>
        </w:rPr>
        <w:footnoteRef/>
      </w:r>
      <w:r>
        <w:tab/>
        <w:t xml:space="preserve">AC = Συμβασιούχος υπάλληλος· AL = Τοπικός υπάλληλος· END = Αποσπασμένος εθνικός εμπειρογνώμονας· INT = Προσωρινό προσωπικό· JED = Νέος εμπειρογνώμονας σε αντιπροσωπεία της ΕΕ. </w:t>
      </w:r>
    </w:p>
  </w:footnote>
  <w:footnote w:id="22">
    <w:p>
      <w:pPr>
        <w:pStyle w:val="FootnoteText"/>
        <w:rPr>
          <w:szCs w:val="24"/>
        </w:rPr>
      </w:pPr>
      <w:r>
        <w:rPr>
          <w:rStyle w:val="FootnoteReference"/>
        </w:rPr>
        <w:footnoteRef/>
      </w:r>
      <w:r>
        <w:tab/>
        <w:t>Επιμέρους ανώτατο όριο εξωτερικού προσωπικού που καλύπτεται από επιχειρησιακές πιστώσεις (πρώην γραμμές «BA»).</w:t>
      </w:r>
    </w:p>
  </w:footnote>
  <w:footnote w:id="23">
    <w:p>
      <w:pPr>
        <w:pStyle w:val="FootnoteText"/>
        <w:rPr>
          <w:szCs w:val="24"/>
        </w:rPr>
      </w:pPr>
      <w:r>
        <w:rPr>
          <w:rStyle w:val="FootnoteReference"/>
        </w:rPr>
        <w:footnoteRef/>
      </w:r>
      <w:r>
        <w:tab/>
        <w:t>Όσον αφορά τους παραδοσιακούς ιδίους πόρους (δασμούς, εισφορές ζάχαρης), τα αναγραφόμενα ποσά πρέπει να είναι καθαρά ποσά, δηλ. τα ακαθάριστα ποσά μετά την αφαίρεση του 25 % για έξοδα είσπραξης.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850"/>
        </w:tabs>
        <w:ind w:left="850"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39B41F04"/>
    <w:name w:val="0,5329554"/>
    <w:lvl w:ilvl="0">
      <w:start w:val="1"/>
      <w:numFmt w:val="decimal"/>
      <w:lvlRestart w:val="0"/>
      <w:pStyle w:val="ListNumber"/>
      <w:lvlText w:val="(%1)"/>
      <w:lvlJc w:val="left"/>
      <w:pPr>
        <w:tabs>
          <w:tab w:val="num" w:pos="851"/>
        </w:tabs>
        <w:ind w:left="851"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8"/>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10"/>
  </w:num>
  <w:num w:numId="12">
    <w:abstractNumId w:val="2"/>
  </w:num>
  <w:num w:numId="13">
    <w:abstractNumId w:val="11"/>
  </w:num>
  <w:num w:numId="14">
    <w:abstractNumId w:val="9"/>
  </w:num>
  <w:num w:numId="15">
    <w:abstractNumId w:val="17"/>
  </w:num>
  <w:num w:numId="16">
    <w:abstractNumId w:val="7"/>
  </w:num>
  <w:num w:numId="17">
    <w:abstractNumId w:val="14"/>
    <w:lvlOverride w:ilvl="0">
      <w:startOverride w:val="1"/>
    </w:lvlOverride>
  </w:num>
  <w:num w:numId="18">
    <w:abstractNumId w:val="22"/>
  </w:num>
  <w:num w:numId="19">
    <w:abstractNumId w:val="12"/>
  </w:num>
  <w:num w:numId="20">
    <w:abstractNumId w:val="25"/>
  </w:num>
  <w:num w:numId="21">
    <w:abstractNumId w:val="6"/>
  </w:num>
  <w:num w:numId="22">
    <w:abstractNumId w:val="13"/>
  </w:num>
  <w:num w:numId="23">
    <w:abstractNumId w:val="4"/>
  </w:num>
  <w:num w:numId="24">
    <w:abstractNumId w:val="24"/>
  </w:num>
  <w:num w:numId="25">
    <w:abstractNumId w:val="3"/>
  </w:num>
  <w:num w:numId="26">
    <w:abstractNumId w:val="14"/>
  </w:num>
  <w:num w:numId="27">
    <w:abstractNumId w:val="20"/>
  </w:num>
  <w:num w:numId="28">
    <w:abstractNumId w:val="21"/>
  </w:num>
  <w:num w:numId="29">
    <w:abstractNumId w:val="5"/>
  </w:num>
  <w:num w:numId="30">
    <w:abstractNumId w:val="18"/>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02 11:48:2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4"/>
    <w:docVar w:name="DQCResult_ModifiedMarkers" w:val="0;0"/>
    <w:docVar w:name="DQCResult_ModifiedNumbering" w:val="0;0"/>
    <w:docVar w:name="DQCResult_Objects" w:val="0;0"/>
    <w:docVar w:name="DQCResult_Sections" w:val="0;0"/>
    <w:docVar w:name="DQCResult_StructureCheck" w:val="0;0"/>
    <w:docVar w:name="DQCResult_SuperfluousWhitespace" w:val="0;3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8FE8B2F-B55F-4A88-9BFC-A1DF7AFE5F84"/>
    <w:docVar w:name="LW_COVERPAGE_TYPE" w:val="1"/>
    <w:docVar w:name="LW_CROSSREFERENCE" w:val="&lt;UNUSED&gt;"/>
    <w:docVar w:name="LW_DocType" w:val="COM"/>
    <w:docVar w:name="LW_EMISSION" w:val="29.5.2020"/>
    <w:docVar w:name="LW_EMISSION_ISODATE" w:val="2020-05-29"/>
    <w:docVar w:name="LW_EMISSION_LOCATION" w:val="BRX"/>
    <w:docVar w:name="LW_EMISSION_PREFIX" w:val="Βρυξέλλες,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106"/>
    <w:docVar w:name="LW_REF.II.NEW.CP_YEAR" w:val="2020"/>
    <w:docVar w:name="LW_REF.INST.NEW" w:val="COM"/>
    <w:docVar w:name="LW_REF.INST.NEW_ADOPTED" w:val="final"/>
    <w:docVar w:name="LW_REF.INST.NEW_TEXT" w:val="(2020) 4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28?\u961?\u972?\u964?\u945?\u963?\u951?"/>
    <w:docVar w:name="LW_SUPERTITRE" w:val="&lt;UNUSED&gt;"/>
    <w:docVar w:name="LW_TITRE.OBJ.CP" w:val="\u947?\u953?\u945? \u964?\u951?\u957? \u964?\u961?\u959?\u960?\u959?\u960?\u959?\u943?\u951?\u963?\u951? \u964?\u959?\u965? \u954?\u945?\u957?\u959?\u957?\u953?\u963?\u956?\u959?\u973? (EE) 2015/1017 \u972?\u963?\u959?\u957? \u945?\u966?\u959?\u961?\u940? \u964?\u951? \u948?\u951?\u956?\u953?\u959?\u965?\u961?\u947?\u943?\u945? \u924?\u941?\u963?\u959?\u965? \u931?\u964?\u942?\u961?\u953?\u958?\u951?\u962? \u964?\u951?\u962? \u934?\u949?\u961?\u949?\u947?\u947?\u965?\u972?\u964?\u951?\u964?\u945?\u962?"/>
    <w:docVar w:name="LW_TYPE.DOC.CP" w:val="\u922?\u913?\u925?\u927?\u925?\u921?\u931?\u924?\u927?\u931? \u932?\u927?\u933? \u917?\u933?\u929?\u937?\u928?\u913?\u938?\u922?\u927?\u933? \u922?\u927?\u921?\u925?\u927?\u914?\u927?\u933?\u923?\u921?\u927?\u933? \u922?\u913?\u921?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l-G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l-GR"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el-GR"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l-G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l-GR"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el-GR"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82885">
      <w:bodyDiv w:val="1"/>
      <w:marLeft w:val="0"/>
      <w:marRight w:val="0"/>
      <w:marTop w:val="0"/>
      <w:marBottom w:val="0"/>
      <w:divBdr>
        <w:top w:val="none" w:sz="0" w:space="0" w:color="auto"/>
        <w:left w:val="none" w:sz="0" w:space="0" w:color="auto"/>
        <w:bottom w:val="none" w:sz="0" w:space="0" w:color="auto"/>
        <w:right w:val="none" w:sz="0" w:space="0" w:color="auto"/>
      </w:divBdr>
    </w:div>
    <w:div w:id="1107697314">
      <w:bodyDiv w:val="1"/>
      <w:marLeft w:val="0"/>
      <w:marRight w:val="0"/>
      <w:marTop w:val="0"/>
      <w:marBottom w:val="0"/>
      <w:divBdr>
        <w:top w:val="none" w:sz="0" w:space="0" w:color="auto"/>
        <w:left w:val="none" w:sz="0" w:space="0" w:color="auto"/>
        <w:bottom w:val="none" w:sz="0" w:space="0" w:color="auto"/>
        <w:right w:val="none" w:sz="0" w:space="0" w:color="auto"/>
      </w:divBdr>
    </w:div>
    <w:div w:id="1173762818">
      <w:bodyDiv w:val="1"/>
      <w:marLeft w:val="0"/>
      <w:marRight w:val="0"/>
      <w:marTop w:val="0"/>
      <w:marBottom w:val="0"/>
      <w:divBdr>
        <w:top w:val="none" w:sz="0" w:space="0" w:color="auto"/>
        <w:left w:val="none" w:sz="0" w:space="0" w:color="auto"/>
        <w:bottom w:val="none" w:sz="0" w:space="0" w:color="auto"/>
        <w:right w:val="none" w:sz="0" w:space="0" w:color="auto"/>
      </w:divBdr>
    </w:div>
    <w:div w:id="1304890315">
      <w:bodyDiv w:val="1"/>
      <w:marLeft w:val="0"/>
      <w:marRight w:val="0"/>
      <w:marTop w:val="0"/>
      <w:marBottom w:val="0"/>
      <w:divBdr>
        <w:top w:val="none" w:sz="0" w:space="0" w:color="auto"/>
        <w:left w:val="none" w:sz="0" w:space="0" w:color="auto"/>
        <w:bottom w:val="none" w:sz="0" w:space="0" w:color="auto"/>
        <w:right w:val="none" w:sz="0" w:space="0" w:color="auto"/>
      </w:divBdr>
    </w:div>
    <w:div w:id="1348949563">
      <w:bodyDiv w:val="1"/>
      <w:marLeft w:val="0"/>
      <w:marRight w:val="0"/>
      <w:marTop w:val="0"/>
      <w:marBottom w:val="0"/>
      <w:divBdr>
        <w:top w:val="none" w:sz="0" w:space="0" w:color="auto"/>
        <w:left w:val="none" w:sz="0" w:space="0" w:color="auto"/>
        <w:bottom w:val="none" w:sz="0" w:space="0" w:color="auto"/>
        <w:right w:val="none" w:sz="0" w:space="0" w:color="auto"/>
      </w:divBdr>
    </w:div>
    <w:div w:id="15090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A3077-A6AC-4D11-9762-EE57FA3E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38</Pages>
  <Words>12022</Words>
  <Characters>70695</Characters>
  <Application>Microsoft Office Word</Application>
  <DocSecurity>0</DocSecurity>
  <Lines>2019</Lines>
  <Paragraphs>827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2020-06-01T16:33:00Z</dcterms:created>
  <dcterms:modified xsi:type="dcterms:W3CDTF">2020-06-02T09:48:00Z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Category">
    <vt:lpwstr>COM/PL/ORG</vt:lpwstr>
  </property>
  <property fmtid="{D5CDD505-2E9C-101B-9397-08002B2CF9AE}" pid="8" name="Version">
    <vt:lpwstr>7.0.8.0</vt:lpwstr>
  </property>
  <property fmtid="{D5CDD505-2E9C-101B-9397-08002B2CF9AE}" pid="9" name="Created using">
    <vt:lpwstr>LW 7.0, Build 20190717</vt:lpwstr>
  </property>
  <property fmtid="{D5CDD505-2E9C-101B-9397-08002B2CF9AE}" pid="10" name="DQCStatus">
    <vt:lpwstr>Green (DQC version 03)</vt:lpwstr>
  </property>
</Properties>
</file>