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B9A027D6-0A0F-4218-87FE-8BBA56F5A0B7" style="width:450.35pt;height:334.2pt">
            <v:imagedata r:id="rId9" o:title=""/>
          </v:shape>
        </w:pict>
      </w:r>
    </w:p>
    <w:bookmarkEnd w:id="0"/>
    <w:p>
      <w:pPr>
        <w:spacing w:before="0" w:after="0"/>
        <w:jc w:val="left"/>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aperSrc w:first="15" w:other="15"/>
          <w:pgNumType w:start="1"/>
          <w:cols w:space="720"/>
          <w:docGrid w:linePitch="326"/>
        </w:sectPr>
      </w:pPr>
    </w:p>
    <w:p>
      <w:pPr>
        <w:pStyle w:val="TOCHeading"/>
        <w:rPr>
          <w:noProof/>
        </w:rPr>
      </w:pPr>
      <w:bookmarkStart w:id="1" w:name="_GoBack"/>
      <w:bookmarkEnd w:id="1"/>
      <w:r>
        <w:rPr>
          <w:noProof/>
        </w:rPr>
        <w:lastRenderedPageBreak/>
        <w:t>Πίνακας περιεχομένων</w:t>
      </w:r>
    </w:p>
    <w:p>
      <w:pPr>
        <w:pStyle w:val="TOC1"/>
        <w:rPr>
          <w:rFonts w:asciiTheme="minorHAnsi" w:eastAsiaTheme="minorEastAsia" w:hAnsiTheme="minorHAnsi" w:cstheme="minorBidi"/>
          <w:noProof/>
          <w:sz w:val="22"/>
          <w:szCs w:val="22"/>
          <w:lang w:val="en-GB" w:eastAsia="en-GB"/>
        </w:rPr>
      </w:pPr>
      <w:r>
        <w:rPr>
          <w:noProof/>
        </w:rPr>
        <w:fldChar w:fldCharType="begin"/>
      </w:r>
      <w:r>
        <w:rPr>
          <w:noProof/>
        </w:rPr>
        <w:instrText xml:space="preserve"> TOC \o "1-3" \h \z \u </w:instrText>
      </w:r>
      <w:r>
        <w:rPr>
          <w:noProof/>
        </w:rPr>
        <w:fldChar w:fldCharType="separate"/>
      </w:r>
      <w:hyperlink w:anchor="_Toc14944778" w:history="1">
        <w:r>
          <w:rPr>
            <w:rStyle w:val="Hyperlink"/>
            <w:noProof/>
          </w:rPr>
          <w:t>1.</w:t>
        </w:r>
        <w:r>
          <w:rPr>
            <w:rFonts w:asciiTheme="minorHAnsi" w:eastAsiaTheme="minorEastAsia" w:hAnsiTheme="minorHAnsi" w:cstheme="minorBidi"/>
            <w:noProof/>
            <w:sz w:val="22"/>
            <w:szCs w:val="22"/>
            <w:lang w:val="en-GB" w:eastAsia="en-GB"/>
          </w:rPr>
          <w:tab/>
        </w:r>
        <w:r>
          <w:rPr>
            <w:rStyle w:val="Hyperlink"/>
            <w:noProof/>
          </w:rPr>
          <w:t>Εισαγωγή</w:t>
        </w:r>
        <w:r>
          <w:rPr>
            <w:noProof/>
            <w:webHidden/>
          </w:rPr>
          <w:tab/>
        </w:r>
        <w:r>
          <w:rPr>
            <w:noProof/>
            <w:webHidden/>
          </w:rPr>
          <w:fldChar w:fldCharType="begin"/>
        </w:r>
        <w:r>
          <w:rPr>
            <w:noProof/>
            <w:webHidden/>
          </w:rPr>
          <w:instrText xml:space="preserve"> PAGEREF _Toc14944778 \h </w:instrText>
        </w:r>
        <w:r>
          <w:rPr>
            <w:noProof/>
            <w:webHidden/>
          </w:rPr>
        </w:r>
        <w:r>
          <w:rPr>
            <w:noProof/>
            <w:webHidden/>
          </w:rPr>
          <w:fldChar w:fldCharType="separate"/>
        </w:r>
        <w:r>
          <w:rPr>
            <w:noProof/>
            <w:webHidden/>
          </w:rPr>
          <w:t>2</w:t>
        </w:r>
        <w:r>
          <w:rPr>
            <w:noProof/>
            <w:webHidden/>
          </w:rPr>
          <w:fldChar w:fldCharType="end"/>
        </w:r>
      </w:hyperlink>
    </w:p>
    <w:p>
      <w:pPr>
        <w:pStyle w:val="TOC1"/>
        <w:rPr>
          <w:rFonts w:asciiTheme="minorHAnsi" w:eastAsiaTheme="minorEastAsia" w:hAnsiTheme="minorHAnsi" w:cstheme="minorBidi"/>
          <w:noProof/>
          <w:sz w:val="22"/>
          <w:szCs w:val="22"/>
          <w:lang w:val="en-GB" w:eastAsia="en-GB"/>
        </w:rPr>
      </w:pPr>
      <w:hyperlink w:anchor="_Toc14944779" w:history="1">
        <w:r>
          <w:rPr>
            <w:rStyle w:val="Hyperlink"/>
            <w:noProof/>
          </w:rPr>
          <w:t>2.</w:t>
        </w:r>
        <w:r>
          <w:rPr>
            <w:rFonts w:asciiTheme="minorHAnsi" w:eastAsiaTheme="minorEastAsia" w:hAnsiTheme="minorHAnsi" w:cstheme="minorBidi"/>
            <w:noProof/>
            <w:sz w:val="22"/>
            <w:szCs w:val="22"/>
            <w:lang w:val="en-GB" w:eastAsia="en-GB"/>
          </w:rPr>
          <w:tab/>
        </w:r>
        <w:r>
          <w:rPr>
            <w:rStyle w:val="Hyperlink"/>
            <w:noProof/>
          </w:rPr>
          <w:t>Χρηματοοικονομική κατάσταση και σημαντικές συναλλαγές του Ταμείου Εγγυήσεων</w:t>
        </w:r>
        <w:r>
          <w:rPr>
            <w:noProof/>
            <w:webHidden/>
          </w:rPr>
          <w:tab/>
        </w:r>
        <w:r>
          <w:rPr>
            <w:noProof/>
            <w:webHidden/>
          </w:rPr>
          <w:fldChar w:fldCharType="begin"/>
        </w:r>
        <w:r>
          <w:rPr>
            <w:noProof/>
            <w:webHidden/>
          </w:rPr>
          <w:instrText xml:space="preserve"> PAGEREF _Toc14944779 \h </w:instrText>
        </w:r>
        <w:r>
          <w:rPr>
            <w:noProof/>
            <w:webHidden/>
          </w:rPr>
        </w:r>
        <w:r>
          <w:rPr>
            <w:noProof/>
            <w:webHidden/>
          </w:rPr>
          <w:fldChar w:fldCharType="separate"/>
        </w:r>
        <w:r>
          <w:rPr>
            <w:noProof/>
            <w:webHidden/>
          </w:rPr>
          <w:t>4</w:t>
        </w:r>
        <w:r>
          <w:rPr>
            <w:noProof/>
            <w:webHidden/>
          </w:rPr>
          <w:fldChar w:fldCharType="end"/>
        </w:r>
      </w:hyperlink>
    </w:p>
    <w:p>
      <w:pPr>
        <w:pStyle w:val="TOC2"/>
        <w:rPr>
          <w:rFonts w:asciiTheme="minorHAnsi" w:eastAsiaTheme="minorEastAsia" w:hAnsiTheme="minorHAnsi" w:cstheme="minorBidi"/>
          <w:noProof/>
          <w:sz w:val="22"/>
          <w:szCs w:val="22"/>
          <w:lang w:val="en-GB" w:eastAsia="en-GB"/>
        </w:rPr>
      </w:pPr>
      <w:hyperlink w:anchor="_Toc14944780" w:history="1">
        <w:r>
          <w:rPr>
            <w:rStyle w:val="Hyperlink"/>
            <w:noProof/>
          </w:rPr>
          <w:t>2.1.</w:t>
        </w:r>
        <w:r>
          <w:rPr>
            <w:rFonts w:asciiTheme="minorHAnsi" w:eastAsiaTheme="minorEastAsia" w:hAnsiTheme="minorHAnsi" w:cstheme="minorBidi"/>
            <w:noProof/>
            <w:sz w:val="22"/>
            <w:szCs w:val="22"/>
            <w:lang w:val="en-GB" w:eastAsia="en-GB"/>
          </w:rPr>
          <w:tab/>
        </w:r>
        <w:r>
          <w:rPr>
            <w:rStyle w:val="Hyperlink"/>
            <w:noProof/>
          </w:rPr>
          <w:t>Χρηματοοικονομική κατάσταση του Ταμείου Εγγυήσεων την 31η Δεκεμβρίου 2018</w:t>
        </w:r>
        <w:r>
          <w:rPr>
            <w:noProof/>
            <w:webHidden/>
          </w:rPr>
          <w:tab/>
        </w:r>
        <w:r>
          <w:rPr>
            <w:noProof/>
            <w:webHidden/>
          </w:rPr>
          <w:fldChar w:fldCharType="begin"/>
        </w:r>
        <w:r>
          <w:rPr>
            <w:noProof/>
            <w:webHidden/>
          </w:rPr>
          <w:instrText xml:space="preserve"> PAGEREF _Toc14944780 \h </w:instrText>
        </w:r>
        <w:r>
          <w:rPr>
            <w:noProof/>
            <w:webHidden/>
          </w:rPr>
        </w:r>
        <w:r>
          <w:rPr>
            <w:noProof/>
            <w:webHidden/>
          </w:rPr>
          <w:fldChar w:fldCharType="separate"/>
        </w:r>
        <w:r>
          <w:rPr>
            <w:noProof/>
            <w:webHidden/>
          </w:rPr>
          <w:t>4</w:t>
        </w:r>
        <w:r>
          <w:rPr>
            <w:noProof/>
            <w:webHidden/>
          </w:rPr>
          <w:fldChar w:fldCharType="end"/>
        </w:r>
      </w:hyperlink>
    </w:p>
    <w:p>
      <w:pPr>
        <w:pStyle w:val="TOC2"/>
        <w:rPr>
          <w:rFonts w:asciiTheme="minorHAnsi" w:eastAsiaTheme="minorEastAsia" w:hAnsiTheme="minorHAnsi" w:cstheme="minorBidi"/>
          <w:noProof/>
          <w:sz w:val="22"/>
          <w:szCs w:val="22"/>
          <w:lang w:val="en-GB" w:eastAsia="en-GB"/>
        </w:rPr>
      </w:pPr>
      <w:hyperlink w:anchor="_Toc14944781" w:history="1">
        <w:r>
          <w:rPr>
            <w:rStyle w:val="Hyperlink"/>
            <w:noProof/>
          </w:rPr>
          <w:t>2.2.</w:t>
        </w:r>
        <w:r>
          <w:rPr>
            <w:rFonts w:asciiTheme="minorHAnsi" w:eastAsiaTheme="minorEastAsia" w:hAnsiTheme="minorHAnsi" w:cstheme="minorBidi"/>
            <w:noProof/>
            <w:sz w:val="22"/>
            <w:szCs w:val="22"/>
            <w:lang w:val="en-GB" w:eastAsia="en-GB"/>
          </w:rPr>
          <w:tab/>
        </w:r>
        <w:r>
          <w:rPr>
            <w:rStyle w:val="Hyperlink"/>
            <w:noProof/>
          </w:rPr>
          <w:t>Σημαντικές συναλλαγές του Ταμείου το 2018</w:t>
        </w:r>
        <w:r>
          <w:rPr>
            <w:noProof/>
            <w:webHidden/>
          </w:rPr>
          <w:tab/>
        </w:r>
        <w:r>
          <w:rPr>
            <w:noProof/>
            <w:webHidden/>
          </w:rPr>
          <w:fldChar w:fldCharType="begin"/>
        </w:r>
        <w:r>
          <w:rPr>
            <w:noProof/>
            <w:webHidden/>
          </w:rPr>
          <w:instrText xml:space="preserve"> PAGEREF _Toc14944781 \h </w:instrText>
        </w:r>
        <w:r>
          <w:rPr>
            <w:noProof/>
            <w:webHidden/>
          </w:rPr>
        </w:r>
        <w:r>
          <w:rPr>
            <w:noProof/>
            <w:webHidden/>
          </w:rPr>
          <w:fldChar w:fldCharType="separate"/>
        </w:r>
        <w:r>
          <w:rPr>
            <w:noProof/>
            <w:webHidden/>
          </w:rPr>
          <w:t>4</w:t>
        </w:r>
        <w:r>
          <w:rPr>
            <w:noProof/>
            <w:webHidden/>
          </w:rPr>
          <w:fldChar w:fldCharType="end"/>
        </w:r>
      </w:hyperlink>
    </w:p>
    <w:p>
      <w:pPr>
        <w:pStyle w:val="TOC2"/>
        <w:rPr>
          <w:rFonts w:asciiTheme="minorHAnsi" w:eastAsiaTheme="minorEastAsia" w:hAnsiTheme="minorHAnsi" w:cstheme="minorBidi"/>
          <w:noProof/>
          <w:sz w:val="22"/>
          <w:szCs w:val="22"/>
          <w:lang w:val="en-GB" w:eastAsia="en-GB"/>
        </w:rPr>
      </w:pPr>
      <w:hyperlink w:anchor="_Toc14944782" w:history="1">
        <w:r>
          <w:rPr>
            <w:rStyle w:val="Hyperlink"/>
            <w:noProof/>
          </w:rPr>
          <w:t>2.2.1</w:t>
        </w:r>
        <w:r>
          <w:rPr>
            <w:rFonts w:asciiTheme="minorHAnsi" w:eastAsiaTheme="minorEastAsia" w:hAnsiTheme="minorHAnsi" w:cstheme="minorBidi"/>
            <w:noProof/>
            <w:sz w:val="22"/>
            <w:szCs w:val="22"/>
            <w:lang w:val="en-GB" w:eastAsia="en-GB"/>
          </w:rPr>
          <w:tab/>
        </w:r>
        <w:r>
          <w:rPr>
            <w:rStyle w:val="Hyperlink"/>
            <w:noProof/>
          </w:rPr>
          <w:t>Καταπτώσεις εγγυήσεων του Ταμείου Εγγυήσεων το 2018</w:t>
        </w:r>
        <w:r>
          <w:rPr>
            <w:noProof/>
            <w:webHidden/>
          </w:rPr>
          <w:tab/>
        </w:r>
        <w:r>
          <w:rPr>
            <w:noProof/>
            <w:webHidden/>
          </w:rPr>
          <w:fldChar w:fldCharType="begin"/>
        </w:r>
        <w:r>
          <w:rPr>
            <w:noProof/>
            <w:webHidden/>
          </w:rPr>
          <w:instrText xml:space="preserve"> PAGEREF _Toc14944782 \h </w:instrText>
        </w:r>
        <w:r>
          <w:rPr>
            <w:noProof/>
            <w:webHidden/>
          </w:rPr>
        </w:r>
        <w:r>
          <w:rPr>
            <w:noProof/>
            <w:webHidden/>
          </w:rPr>
          <w:fldChar w:fldCharType="separate"/>
        </w:r>
        <w:r>
          <w:rPr>
            <w:noProof/>
            <w:webHidden/>
          </w:rPr>
          <w:t>4</w:t>
        </w:r>
        <w:r>
          <w:rPr>
            <w:noProof/>
            <w:webHidden/>
          </w:rPr>
          <w:fldChar w:fldCharType="end"/>
        </w:r>
      </w:hyperlink>
    </w:p>
    <w:p>
      <w:pPr>
        <w:pStyle w:val="TOC2"/>
        <w:rPr>
          <w:rFonts w:asciiTheme="minorHAnsi" w:eastAsiaTheme="minorEastAsia" w:hAnsiTheme="minorHAnsi" w:cstheme="minorBidi"/>
          <w:noProof/>
          <w:sz w:val="22"/>
          <w:szCs w:val="22"/>
          <w:lang w:val="en-GB" w:eastAsia="en-GB"/>
        </w:rPr>
      </w:pPr>
      <w:hyperlink w:anchor="_Toc14944783" w:history="1">
        <w:r>
          <w:rPr>
            <w:rStyle w:val="Hyperlink"/>
            <w:noProof/>
          </w:rPr>
          <w:t>2.2.2</w:t>
        </w:r>
        <w:r>
          <w:rPr>
            <w:rFonts w:asciiTheme="minorHAnsi" w:eastAsiaTheme="minorEastAsia" w:hAnsiTheme="minorHAnsi" w:cstheme="minorBidi"/>
            <w:noProof/>
            <w:sz w:val="22"/>
            <w:szCs w:val="22"/>
            <w:lang w:val="en-GB" w:eastAsia="en-GB"/>
          </w:rPr>
          <w:tab/>
        </w:r>
        <w:r>
          <w:rPr>
            <w:rStyle w:val="Hyperlink"/>
            <w:noProof/>
          </w:rPr>
          <w:t>Τροφοδότηση του Ταμείου Εγγυήσεων το 2018</w:t>
        </w:r>
        <w:r>
          <w:rPr>
            <w:noProof/>
            <w:webHidden/>
          </w:rPr>
          <w:tab/>
        </w:r>
        <w:r>
          <w:rPr>
            <w:noProof/>
            <w:webHidden/>
          </w:rPr>
          <w:fldChar w:fldCharType="begin"/>
        </w:r>
        <w:r>
          <w:rPr>
            <w:noProof/>
            <w:webHidden/>
          </w:rPr>
          <w:instrText xml:space="preserve"> PAGEREF _Toc14944783 \h </w:instrText>
        </w:r>
        <w:r>
          <w:rPr>
            <w:noProof/>
            <w:webHidden/>
          </w:rPr>
        </w:r>
        <w:r>
          <w:rPr>
            <w:noProof/>
            <w:webHidden/>
          </w:rPr>
          <w:fldChar w:fldCharType="separate"/>
        </w:r>
        <w:r>
          <w:rPr>
            <w:noProof/>
            <w:webHidden/>
          </w:rPr>
          <w:t>5</w:t>
        </w:r>
        <w:r>
          <w:rPr>
            <w:noProof/>
            <w:webHidden/>
          </w:rPr>
          <w:fldChar w:fldCharType="end"/>
        </w:r>
      </w:hyperlink>
    </w:p>
    <w:p>
      <w:pPr>
        <w:pStyle w:val="TOC2"/>
        <w:rPr>
          <w:rFonts w:asciiTheme="minorHAnsi" w:eastAsiaTheme="minorEastAsia" w:hAnsiTheme="minorHAnsi" w:cstheme="minorBidi"/>
          <w:noProof/>
          <w:sz w:val="22"/>
          <w:szCs w:val="22"/>
          <w:lang w:val="en-GB" w:eastAsia="en-GB"/>
        </w:rPr>
      </w:pPr>
      <w:hyperlink w:anchor="_Toc14944784" w:history="1">
        <w:r>
          <w:rPr>
            <w:rStyle w:val="Hyperlink"/>
            <w:noProof/>
          </w:rPr>
          <w:t>2.3.</w:t>
        </w:r>
        <w:r>
          <w:rPr>
            <w:rFonts w:asciiTheme="minorHAnsi" w:eastAsiaTheme="minorEastAsia" w:hAnsiTheme="minorHAnsi" w:cstheme="minorBidi"/>
            <w:noProof/>
            <w:sz w:val="22"/>
            <w:szCs w:val="22"/>
            <w:lang w:val="en-GB" w:eastAsia="en-GB"/>
          </w:rPr>
          <w:tab/>
        </w:r>
        <w:r>
          <w:rPr>
            <w:rStyle w:val="Hyperlink"/>
            <w:noProof/>
          </w:rPr>
          <w:t>Σημαντικές συναλλαγές μετά την ημερομηνία κοινοποίησης (τέλος Μαρτίου 2019)</w:t>
        </w:r>
        <w:r>
          <w:rPr>
            <w:noProof/>
            <w:webHidden/>
          </w:rPr>
          <w:tab/>
        </w:r>
        <w:r>
          <w:rPr>
            <w:noProof/>
            <w:webHidden/>
          </w:rPr>
          <w:fldChar w:fldCharType="begin"/>
        </w:r>
        <w:r>
          <w:rPr>
            <w:noProof/>
            <w:webHidden/>
          </w:rPr>
          <w:instrText xml:space="preserve"> PAGEREF _Toc14944784 \h </w:instrText>
        </w:r>
        <w:r>
          <w:rPr>
            <w:noProof/>
            <w:webHidden/>
          </w:rPr>
        </w:r>
        <w:r>
          <w:rPr>
            <w:noProof/>
            <w:webHidden/>
          </w:rPr>
          <w:fldChar w:fldCharType="separate"/>
        </w:r>
        <w:r>
          <w:rPr>
            <w:noProof/>
            <w:webHidden/>
          </w:rPr>
          <w:t>5</w:t>
        </w:r>
        <w:r>
          <w:rPr>
            <w:noProof/>
            <w:webHidden/>
          </w:rPr>
          <w:fldChar w:fldCharType="end"/>
        </w:r>
      </w:hyperlink>
    </w:p>
    <w:p>
      <w:pPr>
        <w:pStyle w:val="TOC1"/>
        <w:rPr>
          <w:rFonts w:asciiTheme="minorHAnsi" w:eastAsiaTheme="minorEastAsia" w:hAnsiTheme="minorHAnsi" w:cstheme="minorBidi"/>
          <w:noProof/>
          <w:sz w:val="22"/>
          <w:szCs w:val="22"/>
          <w:lang w:val="en-GB" w:eastAsia="en-GB"/>
        </w:rPr>
      </w:pPr>
      <w:hyperlink w:anchor="_Toc14944785" w:history="1">
        <w:r>
          <w:rPr>
            <w:rStyle w:val="Hyperlink"/>
            <w:noProof/>
          </w:rPr>
          <w:t>3.</w:t>
        </w:r>
        <w:r>
          <w:rPr>
            <w:rFonts w:asciiTheme="minorHAnsi" w:eastAsiaTheme="minorEastAsia" w:hAnsiTheme="minorHAnsi" w:cstheme="minorBidi"/>
            <w:noProof/>
            <w:sz w:val="22"/>
            <w:szCs w:val="22"/>
            <w:lang w:val="en-GB" w:eastAsia="en-GB"/>
          </w:rPr>
          <w:tab/>
        </w:r>
        <w:r>
          <w:rPr>
            <w:rStyle w:val="Hyperlink"/>
            <w:noProof/>
          </w:rPr>
          <w:t>Οικονομικές καταστάσεις του Ταμείου προ της ενοποίησης</w:t>
        </w:r>
        <w:r>
          <w:rPr>
            <w:noProof/>
            <w:webHidden/>
          </w:rPr>
          <w:tab/>
        </w:r>
        <w:r>
          <w:rPr>
            <w:noProof/>
            <w:webHidden/>
          </w:rPr>
          <w:fldChar w:fldCharType="begin"/>
        </w:r>
        <w:r>
          <w:rPr>
            <w:noProof/>
            <w:webHidden/>
          </w:rPr>
          <w:instrText xml:space="preserve"> PAGEREF _Toc14944785 \h </w:instrText>
        </w:r>
        <w:r>
          <w:rPr>
            <w:noProof/>
            <w:webHidden/>
          </w:rPr>
        </w:r>
        <w:r>
          <w:rPr>
            <w:noProof/>
            <w:webHidden/>
          </w:rPr>
          <w:fldChar w:fldCharType="separate"/>
        </w:r>
        <w:r>
          <w:rPr>
            <w:noProof/>
            <w:webHidden/>
          </w:rPr>
          <w:t>5</w:t>
        </w:r>
        <w:r>
          <w:rPr>
            <w:noProof/>
            <w:webHidden/>
          </w:rPr>
          <w:fldChar w:fldCharType="end"/>
        </w:r>
      </w:hyperlink>
    </w:p>
    <w:p>
      <w:pPr>
        <w:pStyle w:val="TOC2"/>
        <w:rPr>
          <w:rFonts w:asciiTheme="minorHAnsi" w:eastAsiaTheme="minorEastAsia" w:hAnsiTheme="minorHAnsi" w:cstheme="minorBidi"/>
          <w:noProof/>
          <w:sz w:val="22"/>
          <w:szCs w:val="22"/>
          <w:lang w:val="en-GB" w:eastAsia="en-GB"/>
        </w:rPr>
      </w:pPr>
      <w:hyperlink w:anchor="_Toc14944786" w:history="1">
        <w:r>
          <w:rPr>
            <w:rStyle w:val="Hyperlink"/>
            <w:noProof/>
          </w:rPr>
          <w:t>3.1.</w:t>
        </w:r>
        <w:r>
          <w:rPr>
            <w:rFonts w:asciiTheme="minorHAnsi" w:eastAsiaTheme="minorEastAsia" w:hAnsiTheme="minorHAnsi" w:cstheme="minorBidi"/>
            <w:noProof/>
            <w:sz w:val="22"/>
            <w:szCs w:val="22"/>
            <w:lang w:val="en-GB" w:eastAsia="en-GB"/>
          </w:rPr>
          <w:tab/>
        </w:r>
        <w:r>
          <w:rPr>
            <w:rStyle w:val="Hyperlink"/>
            <w:noProof/>
          </w:rPr>
          <w:t>Χρηματοοικονομική κατάσταση προ της ενοποίησης την 31η Δεκεμβρίου 2018</w:t>
        </w:r>
        <w:r>
          <w:rPr>
            <w:noProof/>
            <w:webHidden/>
          </w:rPr>
          <w:tab/>
        </w:r>
        <w:r>
          <w:rPr>
            <w:noProof/>
            <w:webHidden/>
          </w:rPr>
          <w:fldChar w:fldCharType="begin"/>
        </w:r>
        <w:r>
          <w:rPr>
            <w:noProof/>
            <w:webHidden/>
          </w:rPr>
          <w:instrText xml:space="preserve"> PAGEREF _Toc14944786 \h </w:instrText>
        </w:r>
        <w:r>
          <w:rPr>
            <w:noProof/>
            <w:webHidden/>
          </w:rPr>
        </w:r>
        <w:r>
          <w:rPr>
            <w:noProof/>
            <w:webHidden/>
          </w:rPr>
          <w:fldChar w:fldCharType="separate"/>
        </w:r>
        <w:r>
          <w:rPr>
            <w:noProof/>
            <w:webHidden/>
          </w:rPr>
          <w:t>6</w:t>
        </w:r>
        <w:r>
          <w:rPr>
            <w:noProof/>
            <w:webHidden/>
          </w:rPr>
          <w:fldChar w:fldCharType="end"/>
        </w:r>
      </w:hyperlink>
    </w:p>
    <w:p>
      <w:pPr>
        <w:pStyle w:val="TOC2"/>
        <w:rPr>
          <w:rFonts w:asciiTheme="minorHAnsi" w:eastAsiaTheme="minorEastAsia" w:hAnsiTheme="minorHAnsi" w:cstheme="minorBidi"/>
          <w:noProof/>
          <w:sz w:val="22"/>
          <w:szCs w:val="22"/>
          <w:lang w:val="en-GB" w:eastAsia="en-GB"/>
        </w:rPr>
      </w:pPr>
      <w:hyperlink w:anchor="_Toc14944787" w:history="1">
        <w:r>
          <w:rPr>
            <w:rStyle w:val="Hyperlink"/>
            <w:noProof/>
          </w:rPr>
          <w:t>3.2.</w:t>
        </w:r>
        <w:r>
          <w:rPr>
            <w:rFonts w:asciiTheme="minorHAnsi" w:eastAsiaTheme="minorEastAsia" w:hAnsiTheme="minorHAnsi" w:cstheme="minorBidi"/>
            <w:noProof/>
            <w:sz w:val="22"/>
            <w:szCs w:val="22"/>
            <w:lang w:val="en-GB" w:eastAsia="en-GB"/>
          </w:rPr>
          <w:tab/>
        </w:r>
        <w:r>
          <w:rPr>
            <w:rStyle w:val="Hyperlink"/>
            <w:noProof/>
          </w:rPr>
          <w:t>Κατάσταση οικονομικών αποτελεσμάτων προ της ενοποίησης</w:t>
        </w:r>
        <w:r>
          <w:rPr>
            <w:noProof/>
            <w:webHidden/>
          </w:rPr>
          <w:tab/>
        </w:r>
        <w:r>
          <w:rPr>
            <w:noProof/>
            <w:webHidden/>
          </w:rPr>
          <w:fldChar w:fldCharType="begin"/>
        </w:r>
        <w:r>
          <w:rPr>
            <w:noProof/>
            <w:webHidden/>
          </w:rPr>
          <w:instrText xml:space="preserve"> PAGEREF _Toc14944787 \h </w:instrText>
        </w:r>
        <w:r>
          <w:rPr>
            <w:noProof/>
            <w:webHidden/>
          </w:rPr>
        </w:r>
        <w:r>
          <w:rPr>
            <w:noProof/>
            <w:webHidden/>
          </w:rPr>
          <w:fldChar w:fldCharType="separate"/>
        </w:r>
        <w:r>
          <w:rPr>
            <w:noProof/>
            <w:webHidden/>
          </w:rPr>
          <w:t>9</w:t>
        </w:r>
        <w:r>
          <w:rPr>
            <w:noProof/>
            <w:webHidden/>
          </w:rPr>
          <w:fldChar w:fldCharType="end"/>
        </w:r>
      </w:hyperlink>
    </w:p>
    <w:p>
      <w:pPr>
        <w:pStyle w:val="TOC1"/>
        <w:rPr>
          <w:rFonts w:asciiTheme="minorHAnsi" w:eastAsiaTheme="minorEastAsia" w:hAnsiTheme="minorHAnsi" w:cstheme="minorBidi"/>
          <w:noProof/>
          <w:sz w:val="22"/>
          <w:szCs w:val="22"/>
          <w:lang w:val="en-GB" w:eastAsia="en-GB"/>
        </w:rPr>
      </w:pPr>
      <w:hyperlink w:anchor="_Toc14944788" w:history="1">
        <w:r>
          <w:rPr>
            <w:rStyle w:val="Hyperlink"/>
            <w:noProof/>
          </w:rPr>
          <w:t>4.</w:t>
        </w:r>
        <w:r>
          <w:rPr>
            <w:rFonts w:asciiTheme="minorHAnsi" w:eastAsiaTheme="minorEastAsia" w:hAnsiTheme="minorHAnsi" w:cstheme="minorBidi"/>
            <w:noProof/>
            <w:sz w:val="22"/>
            <w:szCs w:val="22"/>
            <w:lang w:val="en-GB" w:eastAsia="en-GB"/>
          </w:rPr>
          <w:tab/>
        </w:r>
        <w:r>
          <w:rPr>
            <w:rStyle w:val="Hyperlink"/>
            <w:noProof/>
          </w:rPr>
          <w:t>Διαχείριση ρευστών διαθεσίμων του Ταμείου Εγγυήσεων</w:t>
        </w:r>
        <w:r>
          <w:rPr>
            <w:noProof/>
            <w:webHidden/>
          </w:rPr>
          <w:tab/>
        </w:r>
        <w:r>
          <w:rPr>
            <w:noProof/>
            <w:webHidden/>
          </w:rPr>
          <w:fldChar w:fldCharType="begin"/>
        </w:r>
        <w:r>
          <w:rPr>
            <w:noProof/>
            <w:webHidden/>
          </w:rPr>
          <w:instrText xml:space="preserve"> PAGEREF _Toc14944788 \h </w:instrText>
        </w:r>
        <w:r>
          <w:rPr>
            <w:noProof/>
            <w:webHidden/>
          </w:rPr>
        </w:r>
        <w:r>
          <w:rPr>
            <w:noProof/>
            <w:webHidden/>
          </w:rPr>
          <w:fldChar w:fldCharType="separate"/>
        </w:r>
        <w:r>
          <w:rPr>
            <w:noProof/>
            <w:webHidden/>
          </w:rPr>
          <w:t>10</w:t>
        </w:r>
        <w:r>
          <w:rPr>
            <w:noProof/>
            <w:webHidden/>
          </w:rPr>
          <w:fldChar w:fldCharType="end"/>
        </w:r>
      </w:hyperlink>
    </w:p>
    <w:p>
      <w:pPr>
        <w:pStyle w:val="TOC2"/>
        <w:rPr>
          <w:rFonts w:asciiTheme="minorHAnsi" w:eastAsiaTheme="minorEastAsia" w:hAnsiTheme="minorHAnsi" w:cstheme="minorBidi"/>
          <w:noProof/>
          <w:sz w:val="22"/>
          <w:szCs w:val="22"/>
          <w:lang w:val="en-GB" w:eastAsia="en-GB"/>
        </w:rPr>
      </w:pPr>
      <w:hyperlink w:anchor="_Toc14944789" w:history="1">
        <w:r>
          <w:rPr>
            <w:rStyle w:val="Hyperlink"/>
            <w:noProof/>
          </w:rPr>
          <w:t>4.1.</w:t>
        </w:r>
        <w:r>
          <w:rPr>
            <w:rFonts w:asciiTheme="minorHAnsi" w:eastAsiaTheme="minorEastAsia" w:hAnsiTheme="minorHAnsi" w:cstheme="minorBidi"/>
            <w:noProof/>
            <w:sz w:val="22"/>
            <w:szCs w:val="22"/>
            <w:lang w:val="en-GB" w:eastAsia="en-GB"/>
          </w:rPr>
          <w:tab/>
        </w:r>
        <w:r>
          <w:rPr>
            <w:rStyle w:val="Hyperlink"/>
            <w:noProof/>
          </w:rPr>
          <w:t>Επενδυτική πολιτική</w:t>
        </w:r>
        <w:r>
          <w:rPr>
            <w:noProof/>
            <w:webHidden/>
          </w:rPr>
          <w:tab/>
        </w:r>
        <w:r>
          <w:rPr>
            <w:noProof/>
            <w:webHidden/>
          </w:rPr>
          <w:fldChar w:fldCharType="begin"/>
        </w:r>
        <w:r>
          <w:rPr>
            <w:noProof/>
            <w:webHidden/>
          </w:rPr>
          <w:instrText xml:space="preserve"> PAGEREF _Toc14944789 \h </w:instrText>
        </w:r>
        <w:r>
          <w:rPr>
            <w:noProof/>
            <w:webHidden/>
          </w:rPr>
        </w:r>
        <w:r>
          <w:rPr>
            <w:noProof/>
            <w:webHidden/>
          </w:rPr>
          <w:fldChar w:fldCharType="separate"/>
        </w:r>
        <w:r>
          <w:rPr>
            <w:noProof/>
            <w:webHidden/>
          </w:rPr>
          <w:t>10</w:t>
        </w:r>
        <w:r>
          <w:rPr>
            <w:noProof/>
            <w:webHidden/>
          </w:rPr>
          <w:fldChar w:fldCharType="end"/>
        </w:r>
      </w:hyperlink>
    </w:p>
    <w:p>
      <w:pPr>
        <w:pStyle w:val="TOC2"/>
        <w:rPr>
          <w:rFonts w:asciiTheme="minorHAnsi" w:eastAsiaTheme="minorEastAsia" w:hAnsiTheme="minorHAnsi" w:cstheme="minorBidi"/>
          <w:noProof/>
          <w:sz w:val="22"/>
          <w:szCs w:val="22"/>
          <w:lang w:val="en-GB" w:eastAsia="en-GB"/>
        </w:rPr>
      </w:pPr>
      <w:hyperlink w:anchor="_Toc14944790" w:history="1">
        <w:r>
          <w:rPr>
            <w:rStyle w:val="Hyperlink"/>
            <w:noProof/>
          </w:rPr>
          <w:t>4.2.</w:t>
        </w:r>
        <w:r>
          <w:rPr>
            <w:rFonts w:asciiTheme="minorHAnsi" w:eastAsiaTheme="minorEastAsia" w:hAnsiTheme="minorHAnsi" w:cstheme="minorBidi"/>
            <w:noProof/>
            <w:sz w:val="22"/>
            <w:szCs w:val="22"/>
            <w:lang w:val="en-GB" w:eastAsia="en-GB"/>
          </w:rPr>
          <w:tab/>
        </w:r>
        <w:r>
          <w:rPr>
            <w:rStyle w:val="Hyperlink"/>
            <w:noProof/>
          </w:rPr>
          <w:t xml:space="preserve"> Επιδόσεις και εξελίξεις στην αγορά το 2018</w:t>
        </w:r>
        <w:r>
          <w:rPr>
            <w:noProof/>
            <w:webHidden/>
          </w:rPr>
          <w:tab/>
        </w:r>
        <w:r>
          <w:rPr>
            <w:noProof/>
            <w:webHidden/>
          </w:rPr>
          <w:fldChar w:fldCharType="begin"/>
        </w:r>
        <w:r>
          <w:rPr>
            <w:noProof/>
            <w:webHidden/>
          </w:rPr>
          <w:instrText xml:space="preserve"> PAGEREF _Toc14944790 \h </w:instrText>
        </w:r>
        <w:r>
          <w:rPr>
            <w:noProof/>
            <w:webHidden/>
          </w:rPr>
        </w:r>
        <w:r>
          <w:rPr>
            <w:noProof/>
            <w:webHidden/>
          </w:rPr>
          <w:fldChar w:fldCharType="separate"/>
        </w:r>
        <w:r>
          <w:rPr>
            <w:noProof/>
            <w:webHidden/>
          </w:rPr>
          <w:t>10</w:t>
        </w:r>
        <w:r>
          <w:rPr>
            <w:noProof/>
            <w:webHidden/>
          </w:rPr>
          <w:fldChar w:fldCharType="end"/>
        </w:r>
      </w:hyperlink>
    </w:p>
    <w:p>
      <w:pPr>
        <w:pStyle w:val="TOC1"/>
        <w:rPr>
          <w:rFonts w:asciiTheme="minorHAnsi" w:eastAsiaTheme="minorEastAsia" w:hAnsiTheme="minorHAnsi" w:cstheme="minorBidi"/>
          <w:noProof/>
          <w:sz w:val="22"/>
          <w:szCs w:val="22"/>
          <w:lang w:val="en-GB" w:eastAsia="en-GB"/>
        </w:rPr>
      </w:pPr>
      <w:hyperlink w:anchor="_Toc14944791" w:history="1">
        <w:r>
          <w:rPr>
            <w:rStyle w:val="Hyperlink"/>
            <w:noProof/>
          </w:rPr>
          <w:t>5.</w:t>
        </w:r>
        <w:r>
          <w:rPr>
            <w:rFonts w:asciiTheme="minorHAnsi" w:eastAsiaTheme="minorEastAsia" w:hAnsiTheme="minorHAnsi" w:cstheme="minorBidi"/>
            <w:noProof/>
            <w:sz w:val="22"/>
            <w:szCs w:val="22"/>
            <w:lang w:val="en-GB" w:eastAsia="en-GB"/>
          </w:rPr>
          <w:tab/>
        </w:r>
        <w:r>
          <w:rPr>
            <w:rStyle w:val="Hyperlink"/>
            <w:noProof/>
          </w:rPr>
          <w:t>Καταπτώσεις εγγυήσεων του Ταμείου Εγγυήσεων</w:t>
        </w:r>
        <w:r>
          <w:rPr>
            <w:noProof/>
            <w:webHidden/>
          </w:rPr>
          <w:tab/>
        </w:r>
        <w:r>
          <w:rPr>
            <w:noProof/>
            <w:webHidden/>
          </w:rPr>
          <w:fldChar w:fldCharType="begin"/>
        </w:r>
        <w:r>
          <w:rPr>
            <w:noProof/>
            <w:webHidden/>
          </w:rPr>
          <w:instrText xml:space="preserve"> PAGEREF _Toc14944791 \h </w:instrText>
        </w:r>
        <w:r>
          <w:rPr>
            <w:noProof/>
            <w:webHidden/>
          </w:rPr>
        </w:r>
        <w:r>
          <w:rPr>
            <w:noProof/>
            <w:webHidden/>
          </w:rPr>
          <w:fldChar w:fldCharType="separate"/>
        </w:r>
        <w:r>
          <w:rPr>
            <w:noProof/>
            <w:webHidden/>
          </w:rPr>
          <w:t>11</w:t>
        </w:r>
        <w:r>
          <w:rPr>
            <w:noProof/>
            <w:webHidden/>
          </w:rPr>
          <w:fldChar w:fldCharType="end"/>
        </w:r>
      </w:hyperlink>
    </w:p>
    <w:p>
      <w:pPr>
        <w:pStyle w:val="TOC1"/>
        <w:rPr>
          <w:rFonts w:asciiTheme="minorHAnsi" w:eastAsiaTheme="minorEastAsia" w:hAnsiTheme="minorHAnsi" w:cstheme="minorBidi"/>
          <w:noProof/>
          <w:sz w:val="22"/>
          <w:szCs w:val="22"/>
          <w:lang w:val="en-GB" w:eastAsia="en-GB"/>
        </w:rPr>
      </w:pPr>
      <w:hyperlink w:anchor="_Toc14944792" w:history="1">
        <w:r>
          <w:rPr>
            <w:rStyle w:val="Hyperlink"/>
            <w:noProof/>
          </w:rPr>
          <w:t>6.</w:t>
        </w:r>
        <w:r>
          <w:rPr>
            <w:rFonts w:asciiTheme="minorHAnsi" w:eastAsiaTheme="minorEastAsia" w:hAnsiTheme="minorHAnsi" w:cstheme="minorBidi"/>
            <w:noProof/>
            <w:sz w:val="22"/>
            <w:szCs w:val="22"/>
            <w:lang w:val="en-GB" w:eastAsia="en-GB"/>
          </w:rPr>
          <w:tab/>
        </w:r>
        <w:r>
          <w:rPr>
            <w:rStyle w:val="Hyperlink"/>
            <w:noProof/>
          </w:rPr>
          <w:t>Αμοιβή της ΕΤΕπ</w:t>
        </w:r>
        <w:r>
          <w:rPr>
            <w:noProof/>
            <w:webHidden/>
          </w:rPr>
          <w:tab/>
        </w:r>
        <w:r>
          <w:rPr>
            <w:noProof/>
            <w:webHidden/>
          </w:rPr>
          <w:fldChar w:fldCharType="begin"/>
        </w:r>
        <w:r>
          <w:rPr>
            <w:noProof/>
            <w:webHidden/>
          </w:rPr>
          <w:instrText xml:space="preserve"> PAGEREF _Toc14944792 \h </w:instrText>
        </w:r>
        <w:r>
          <w:rPr>
            <w:noProof/>
            <w:webHidden/>
          </w:rPr>
        </w:r>
        <w:r>
          <w:rPr>
            <w:noProof/>
            <w:webHidden/>
          </w:rPr>
          <w:fldChar w:fldCharType="separate"/>
        </w:r>
        <w:r>
          <w:rPr>
            <w:noProof/>
            <w:webHidden/>
          </w:rPr>
          <w:t>11</w:t>
        </w:r>
        <w:r>
          <w:rPr>
            <w:noProof/>
            <w:webHidden/>
          </w:rPr>
          <w:fldChar w:fldCharType="end"/>
        </w:r>
      </w:hyperlink>
    </w:p>
    <w:p>
      <w:pPr>
        <w:pStyle w:val="ManualHeading1"/>
        <w:rPr>
          <w:noProof/>
        </w:rPr>
      </w:pPr>
      <w:r>
        <w:rPr>
          <w:b w:val="0"/>
          <w:bCs/>
          <w:noProof/>
        </w:rPr>
        <w:fldChar w:fldCharType="end"/>
      </w:r>
      <w:bookmarkStart w:id="2" w:name="_Toc323019492"/>
      <w:bookmarkStart w:id="3" w:name="_Toc354050118"/>
      <w:bookmarkStart w:id="4" w:name="_Toc358294843"/>
      <w:bookmarkStart w:id="5" w:name="_Toc415838340"/>
      <w:bookmarkStart w:id="6" w:name="_Toc14944778"/>
      <w:r>
        <w:rPr>
          <w:noProof/>
        </w:rPr>
        <w:t>1.</w:t>
      </w:r>
      <w:r>
        <w:rPr>
          <w:noProof/>
        </w:rPr>
        <w:tab/>
        <w:t>Εισαγωγή</w:t>
      </w:r>
      <w:bookmarkEnd w:id="2"/>
      <w:bookmarkEnd w:id="3"/>
      <w:bookmarkEnd w:id="4"/>
      <w:bookmarkEnd w:id="5"/>
      <w:bookmarkEnd w:id="6"/>
    </w:p>
    <w:p>
      <w:pPr>
        <w:rPr>
          <w:noProof/>
        </w:rPr>
      </w:pPr>
      <w:r>
        <w:rPr>
          <w:noProof/>
        </w:rPr>
        <w:t>Με τον κανονισμό (ΕΚ, Ευρατόμ) αριθ. 480/2009 του Συμβουλίου, της 25ης Μαΐου 2009 (κωδικοποιημένη έκδοση) (εφεξής «κανονισμός»)</w:t>
      </w:r>
      <w:r>
        <w:rPr>
          <w:rStyle w:val="FootnoteReference"/>
          <w:noProof/>
        </w:rPr>
        <w:footnoteReference w:id="1"/>
      </w:r>
      <w:r>
        <w:rPr>
          <w:noProof/>
        </w:rPr>
        <w:t>, ιδρύθηκε Ταμείο Εγγυήσεων για τις εξωτερικές δράσεις (εφεξής «Ταμείο») που έχει ως στόχο την εξόφληση των πιστωτών της Ένωσης σε περίπτωση αθέτησης των υποχρεώσεων των δικαιούχων δανείων που έχει χορηγήσει ή εγγυηθεί η Ευρωπαϊκή Ένωση. Σύμφωνα με το άρθρο 7 του κανονισμού, η Επιτροπή ανέθεσε τη χρηματοοικονομική διαχείριση του Ταμείου στην Ευρωπαϊκή Τράπεζα Επενδύσεων (EΤΕπ) βάσει συμφωνίας που υπεγράφη μεταξύ της Ένωσης και της ΕΤΕπ στις 25 Νοεμβρίου 1994, και εν συνεχεία τροποποιήθηκε στις 23 Σεπτεμβρίου 1996, στις 8 Μαΐου 2002, στις 25 Φεβρουαρίου 2008, στις 9 Νοεμβρίου 2010 και στις 28 Σεπτεμβρίου 2018</w:t>
      </w:r>
      <w:r>
        <w:rPr>
          <w:rStyle w:val="FootnoteReference"/>
          <w:noProof/>
        </w:rPr>
        <w:footnoteReference w:id="2"/>
      </w:r>
      <w:r>
        <w:rPr>
          <w:noProof/>
        </w:rPr>
        <w:t xml:space="preserve"> (εφεξής «συμφωνία»).</w:t>
      </w:r>
    </w:p>
    <w:p>
      <w:pPr>
        <w:rPr>
          <w:noProof/>
        </w:rPr>
      </w:pPr>
      <w:r>
        <w:rPr>
          <w:noProof/>
        </w:rPr>
        <w:t xml:space="preserve">Το άρθρο 8 του κανονισμού προβλέπει ότι η Επιτροπή υποβάλλει στο Ευρωπαϊκό Κοινοβούλιο, στο Συμβούλιο και στο Ελεγκτικό Συνέδριο έκθεση σχετικά με την κατάσταση του Ταμείου και τη διαχείρισή του κατά τη λήξη του προηγούμενου ημερολογιακού έτους, για κάθε οικονομικό έτος, έως την 31η Μαΐου του επόμενου έτους. </w:t>
      </w:r>
    </w:p>
    <w:p>
      <w:pPr>
        <w:rPr>
          <w:noProof/>
        </w:rPr>
      </w:pPr>
      <w:r>
        <w:rPr>
          <w:noProof/>
        </w:rPr>
        <w:t>Η έκθεση αυτή, μαζί με το έγγραφο εργασίας των υπηρεσιών της Επιτροπής, παρέχει αυτές τις πληροφορίες. Βασίζεται σε δεδομένα που έχουν ληφθεί από την ΕΤΕπ, με βάση τη συμφωνία.</w:t>
      </w:r>
    </w:p>
    <w:p>
      <w:pPr>
        <w:pStyle w:val="ManualHeading1"/>
        <w:rPr>
          <w:noProof/>
        </w:rPr>
      </w:pPr>
      <w:r>
        <w:rPr>
          <w:noProof/>
        </w:rPr>
        <w:br w:type="page"/>
      </w:r>
      <w:bookmarkStart w:id="7" w:name="_Toc14944779"/>
      <w:bookmarkStart w:id="8" w:name="_Toc323019493"/>
      <w:bookmarkStart w:id="9" w:name="_Toc354050119"/>
      <w:bookmarkStart w:id="10" w:name="_Toc358294844"/>
      <w:bookmarkStart w:id="11" w:name="_Toc415838341"/>
      <w:r>
        <w:rPr>
          <w:noProof/>
        </w:rPr>
        <w:t>2.</w:t>
      </w:r>
      <w:r>
        <w:rPr>
          <w:noProof/>
        </w:rPr>
        <w:tab/>
        <w:t>Χρηματοοικονομική κατάσταση και σημαντικές συναλλαγές του Ταμείου Εγγυήσεων</w:t>
      </w:r>
      <w:bookmarkEnd w:id="7"/>
      <w:r>
        <w:rPr>
          <w:noProof/>
        </w:rPr>
        <w:t xml:space="preserve"> </w:t>
      </w:r>
      <w:bookmarkEnd w:id="8"/>
      <w:bookmarkEnd w:id="9"/>
      <w:bookmarkEnd w:id="10"/>
      <w:bookmarkEnd w:id="11"/>
    </w:p>
    <w:p>
      <w:pPr>
        <w:pStyle w:val="ManualHeading2"/>
        <w:spacing w:before="360"/>
        <w:ind w:left="851" w:hanging="851"/>
        <w:rPr>
          <w:noProof/>
        </w:rPr>
      </w:pPr>
      <w:bookmarkStart w:id="12" w:name="_Toc14944780"/>
      <w:r>
        <w:rPr>
          <w:noProof/>
        </w:rPr>
        <w:t>2.1.</w:t>
      </w:r>
      <w:r>
        <w:rPr>
          <w:noProof/>
        </w:rPr>
        <w:tab/>
        <w:t>Χρηματοοικονομική κατάσταση του Ταμείου Εγγυήσεων την 31η Δεκεμβρίου 2018</w:t>
      </w:r>
      <w:bookmarkEnd w:id="12"/>
    </w:p>
    <w:p>
      <w:pPr>
        <w:rPr>
          <w:noProof/>
        </w:rPr>
      </w:pPr>
      <w:r>
        <w:rPr>
          <w:noProof/>
        </w:rPr>
        <w:t xml:space="preserve">Το συνολικό ποσό των διαθεσίμων του Ταμείου Εγγυήσεων ανερχόταν σε 2 609 881 747,51 EUR την 31η Δεκεμβρίου 2018 (2 560 761 844,63 EUR την 31η Δεκεμβρίου 2017) (βλ. παράρτημα του εγγράφου εργασίας των υπηρεσιών της Επιτροπής: Οικονομικές καταστάσεις του Ταμείου Εγγυήσεων όπως υποβλήθηκαν από την ΕΤΕπ). </w:t>
      </w:r>
    </w:p>
    <w:p>
      <w:pPr>
        <w:rPr>
          <w:noProof/>
        </w:rPr>
      </w:pPr>
      <w:r>
        <w:rPr>
          <w:noProof/>
        </w:rPr>
        <w:t>Το 2018 το σύνολο ισολογισμού του Ταμείου αυξήθηκε κατά περίπου 49,1 εκατ. EUR. Αυτό αποδίδεται κατά κύριο λόγο στα εξής:</w:t>
      </w:r>
    </w:p>
    <w:p>
      <w:pPr>
        <w:rPr>
          <w:noProof/>
          <w:u w:val="single"/>
        </w:rPr>
      </w:pPr>
      <w:r>
        <w:rPr>
          <w:noProof/>
          <w:u w:val="single"/>
        </w:rPr>
        <w:t>Αυξήσεις:</w:t>
      </w:r>
    </w:p>
    <w:p>
      <w:pPr>
        <w:pStyle w:val="Bullet0"/>
        <w:numPr>
          <w:ilvl w:val="0"/>
          <w:numId w:val="14"/>
        </w:numPr>
        <w:rPr>
          <w:noProof/>
        </w:rPr>
      </w:pPr>
      <w:r>
        <w:rPr>
          <w:noProof/>
        </w:rPr>
        <w:t xml:space="preserve">της συνεισφοράς από τον προϋπολογισμό της ΕΕ (ποσό τροφοδότησης) ύψους 103,2 εκατ. EUR για την προσαρμογή του Ταμείου στο ποσό-στόχο του 9 % των συνολικών εκκρεμών υποχρεώσεων· </w:t>
      </w:r>
    </w:p>
    <w:p>
      <w:pPr>
        <w:pStyle w:val="Bullet0"/>
        <w:numPr>
          <w:ilvl w:val="0"/>
          <w:numId w:val="14"/>
        </w:numPr>
        <w:rPr>
          <w:noProof/>
        </w:rPr>
      </w:pPr>
      <w:r>
        <w:rPr>
          <w:noProof/>
        </w:rPr>
        <w:t>του οικονομικού αποτελέσματος από χρηματοπιστωτικές πράξεις που ανήλθε σε 12,0 εκατ. EUR·</w:t>
      </w:r>
    </w:p>
    <w:p>
      <w:pPr>
        <w:rPr>
          <w:noProof/>
          <w:u w:val="single"/>
        </w:rPr>
      </w:pPr>
      <w:r>
        <w:rPr>
          <w:noProof/>
          <w:u w:val="single"/>
        </w:rPr>
        <w:t>Μειώσεις:</w:t>
      </w:r>
    </w:p>
    <w:p>
      <w:pPr>
        <w:pStyle w:val="Bullet0"/>
        <w:numPr>
          <w:ilvl w:val="0"/>
          <w:numId w:val="14"/>
        </w:numPr>
        <w:rPr>
          <w:noProof/>
        </w:rPr>
      </w:pPr>
      <w:r>
        <w:rPr>
          <w:noProof/>
        </w:rPr>
        <w:t xml:space="preserve">των παρεμβάσεων του Ταμείου για την κάλυψη αθέτησης πληρωμών συνολικού ύψους 55,7 εκατ. EUR. </w:t>
      </w:r>
    </w:p>
    <w:p>
      <w:pPr>
        <w:pStyle w:val="Bullet0"/>
        <w:numPr>
          <w:ilvl w:val="0"/>
          <w:numId w:val="14"/>
        </w:numPr>
        <w:rPr>
          <w:noProof/>
        </w:rPr>
      </w:pPr>
      <w:r>
        <w:rPr>
          <w:noProof/>
        </w:rPr>
        <w:t>της αποτίμησης του χαρτοφυλακίου κατά 10,5 εκατ. EUR λόγω προσαρμογής της αξίας του σε τρέχουσες τιμές αγοράς (marked-to-market, MTM).</w:t>
      </w:r>
    </w:p>
    <w:p>
      <w:pPr>
        <w:pStyle w:val="ManualHeading2"/>
        <w:spacing w:before="360"/>
        <w:ind w:left="851" w:hanging="851"/>
        <w:rPr>
          <w:noProof/>
        </w:rPr>
      </w:pPr>
      <w:bookmarkStart w:id="13" w:name="_Toc14944781"/>
      <w:r>
        <w:rPr>
          <w:noProof/>
        </w:rPr>
        <w:t>2.2.</w:t>
      </w:r>
      <w:r>
        <w:rPr>
          <w:noProof/>
        </w:rPr>
        <w:tab/>
      </w:r>
      <w:bookmarkStart w:id="14" w:name="_Toc415838343"/>
      <w:r>
        <w:rPr>
          <w:noProof/>
        </w:rPr>
        <w:t>Σημαντικές</w:t>
      </w:r>
      <w:bookmarkEnd w:id="14"/>
      <w:r>
        <w:rPr>
          <w:noProof/>
        </w:rPr>
        <w:t xml:space="preserve"> συναλλαγές του Ταμείου το 2018</w:t>
      </w:r>
      <w:bookmarkEnd w:id="13"/>
    </w:p>
    <w:p>
      <w:pPr>
        <w:pStyle w:val="ManualHeading2"/>
        <w:tabs>
          <w:tab w:val="clear" w:pos="850"/>
          <w:tab w:val="left" w:pos="426"/>
        </w:tabs>
        <w:spacing w:before="240"/>
        <w:ind w:left="425" w:firstLine="0"/>
        <w:rPr>
          <w:noProof/>
        </w:rPr>
      </w:pPr>
      <w:bookmarkStart w:id="15" w:name="_Toc14944782"/>
      <w:r>
        <w:rPr>
          <w:noProof/>
        </w:rPr>
        <w:t>2.2.1</w:t>
      </w:r>
      <w:r>
        <w:rPr>
          <w:noProof/>
        </w:rPr>
        <w:tab/>
        <w:t>Καταπτώσεις εγγυήσεων του Ταμείου Εγγυήσεων το 2018</w:t>
      </w:r>
      <w:bookmarkEnd w:id="15"/>
    </w:p>
    <w:p>
      <w:pPr>
        <w:tabs>
          <w:tab w:val="left" w:pos="426"/>
        </w:tabs>
        <w:spacing w:after="0"/>
        <w:ind w:left="426"/>
        <w:rPr>
          <w:b/>
          <w:noProof/>
        </w:rPr>
      </w:pPr>
      <w:r>
        <w:rPr>
          <w:b/>
          <w:noProof/>
        </w:rPr>
        <w:t>Συρία</w:t>
      </w:r>
    </w:p>
    <w:p>
      <w:pPr>
        <w:pStyle w:val="Point0number"/>
        <w:tabs>
          <w:tab w:val="left" w:pos="426"/>
        </w:tabs>
        <w:ind w:left="426"/>
        <w:rPr>
          <w:noProof/>
        </w:rPr>
      </w:pPr>
      <w:r>
        <w:rPr>
          <w:noProof/>
        </w:rPr>
        <w:t>Το 2018, η ΕΤΕπ εξακολούθησε να αντιμετωπίζει καθυστερήσεις των πληρωμών για τα κρατικά δάνεια της Συρίας. Ως εκ τούτου, και σύμφωνα με τις συμφωνίες εγγύησης μεταξύ της ΕΕ και της ΕΤΕπ, η ΕΤΕπ ζήτησε την κατάπτωση 9 πρόσθετων εγγυήσεων του Ταμείου Εγγυήσεων της ΕΕ μέχρι την 31η Δεκεμβρίου 2018 για ποσό συνολικού ύψους 55,73 εκατ. EUR (βλ. σημείο 5).</w:t>
      </w:r>
    </w:p>
    <w:p>
      <w:pPr>
        <w:tabs>
          <w:tab w:val="left" w:pos="426"/>
        </w:tabs>
        <w:spacing w:after="0"/>
        <w:ind w:left="426"/>
        <w:rPr>
          <w:b/>
          <w:noProof/>
        </w:rPr>
      </w:pPr>
      <w:r>
        <w:rPr>
          <w:b/>
          <w:noProof/>
        </w:rPr>
        <w:t>Αερολιμένας Enfidha (Τυνησία)</w:t>
      </w:r>
    </w:p>
    <w:p>
      <w:pPr>
        <w:pStyle w:val="Point0number"/>
        <w:tabs>
          <w:tab w:val="left" w:pos="426"/>
        </w:tabs>
        <w:ind w:left="426"/>
        <w:rPr>
          <w:noProof/>
        </w:rPr>
      </w:pPr>
      <w:r>
        <w:rPr>
          <w:noProof/>
        </w:rPr>
        <w:t>Το 2018 η ΕΤΕπ ανέκτησε ποσό 136 092,88 EUR από το δάνειο προς τον αερολιμένα Enfidha (Τυνησία), το οποίο πιστώθηκε στον τραπεζικό λογαριασμό του Ταμείου Εγγύησης με ημερομηνία αξίας την 15η Ιανουαρίου 2018 (βλέπε σημείο 5).</w:t>
      </w:r>
    </w:p>
    <w:p>
      <w:pPr>
        <w:pStyle w:val="ManualHeading2"/>
        <w:tabs>
          <w:tab w:val="clear" w:pos="850"/>
          <w:tab w:val="left" w:pos="426"/>
        </w:tabs>
        <w:spacing w:before="360"/>
        <w:ind w:left="425" w:firstLine="0"/>
        <w:rPr>
          <w:noProof/>
        </w:rPr>
      </w:pPr>
      <w:bookmarkStart w:id="16" w:name="_Toc14944783"/>
      <w:r>
        <w:rPr>
          <w:noProof/>
        </w:rPr>
        <w:t>2.2.2</w:t>
      </w:r>
      <w:r>
        <w:rPr>
          <w:noProof/>
        </w:rPr>
        <w:tab/>
        <w:t>Τροφοδότηση του Ταμείου Εγγυήσεων το 2018</w:t>
      </w:r>
      <w:bookmarkEnd w:id="16"/>
    </w:p>
    <w:p>
      <w:pPr>
        <w:pStyle w:val="Point0number"/>
        <w:tabs>
          <w:tab w:val="left" w:pos="426"/>
        </w:tabs>
        <w:ind w:left="426"/>
        <w:rPr>
          <w:noProof/>
        </w:rPr>
      </w:pPr>
      <w:r>
        <w:rPr>
          <w:noProof/>
        </w:rPr>
        <w:t>Τον Φεβρουάριο του 2018, μεταφέρθηκε από τον προϋπολογισμό στο Ταμείο ποσό ύψους 137,8 εκατ. EUR που αντιστοιχεί στο ποσό τροφοδότησης για το 2018.</w:t>
      </w:r>
    </w:p>
    <w:p>
      <w:pPr>
        <w:pStyle w:val="Point0number"/>
        <w:tabs>
          <w:tab w:val="left" w:pos="426"/>
        </w:tabs>
        <w:ind w:left="426"/>
        <w:rPr>
          <w:noProof/>
        </w:rPr>
      </w:pPr>
      <w:r>
        <w:rPr>
          <w:noProof/>
        </w:rPr>
        <w:t>Τον Φεβρουάριο του 2018 υπολογίστηκε επίσης η συνεισφορά από τον προϋπολογισμό της ΕΕ για το 2019, με αποτέλεσμα τον Φεβρουάριο του 2019 να μεταφερθούν στο Ταμείο 103,2 εκατ. EUR. Ο υπολογισμός έγινε βάσει του άρθρου 3 και του άρθρου 5 του κανονισμού:</w:t>
      </w:r>
    </w:p>
    <w:p>
      <w:pPr>
        <w:pStyle w:val="Point0number"/>
        <w:tabs>
          <w:tab w:val="left" w:pos="426"/>
        </w:tabs>
        <w:ind w:left="426"/>
        <w:rPr>
          <w:noProof/>
        </w:rPr>
      </w:pPr>
      <w:r>
        <w:rPr>
          <w:noProof/>
        </w:rPr>
        <w:t xml:space="preserve">Το άρθρο 3 του κανονισμού ορίζει ότι το ποσό-στόχος για το Ταμείο ανέρχεται στο 9 % του εκταμιευθέντος κεφαλαίου του συνόλου των αναλήψεων υποχρεώσεων που απορρέουν από κάθε πράξη, προσαυξημένων με τους δεδουλευμένους και μη καταβληθέντες τόκους. </w:t>
      </w:r>
    </w:p>
    <w:p>
      <w:pPr>
        <w:pStyle w:val="Point0number"/>
        <w:tabs>
          <w:tab w:val="left" w:pos="426"/>
        </w:tabs>
        <w:ind w:left="426"/>
        <w:rPr>
          <w:noProof/>
        </w:rPr>
      </w:pPr>
      <w:r>
        <w:rPr>
          <w:noProof/>
        </w:rPr>
        <w:t>Στο άρθρο 5 του κανονισμού ορίζεται ότι το ποσό που πρέπει να μεταφερθεί από τον προϋπολογισμό στο Ταμείο κατά το έτος ν+1 υπολογίζεται βάσει της διαφοράς μεταξύ του ποσού-στόχου και της αξίας των διαθεσίμων του Ταμείου στο τέλος του έτους ν–1, η οποία υπολογίζεται στην αρχή του έτους ν.</w:t>
      </w:r>
    </w:p>
    <w:p>
      <w:pPr>
        <w:pStyle w:val="Point0number"/>
        <w:tabs>
          <w:tab w:val="left" w:pos="426"/>
        </w:tabs>
        <w:ind w:left="426"/>
        <w:rPr>
          <w:noProof/>
        </w:rPr>
      </w:pPr>
      <w:r>
        <w:rPr>
          <w:noProof/>
        </w:rPr>
        <w:t xml:space="preserve">Για την προσαρμογή του Ταμείου στο 9 % των συνολικών τρεχουσών κεφαλαιακών υποχρεώσεων, υπολογίστηκε βάσει των τρεχουσών εγγυημένων πράξεων την 31η Δεκεμβρίου 2017 ποσό ύψους 103,22 εκατ. EUR το οποίο και εγγράφηκε στον προϋπολογισμό της ΕΕ του 2019 για την τροφοδότηση του Ταμείου. Το ποσό αυτό εγκρίθηκε από το Συμβούλιο και το Ευρωπαϊκό Κοινοβούλιο και αναγνωρίσθηκε ως στοιχείο ενεργητικού (απαίτηση) του Ταμείου στον ισολογισμό της 31ης Δεκεμβρίου 2018. </w:t>
      </w:r>
    </w:p>
    <w:p>
      <w:pPr>
        <w:pStyle w:val="ManualHeading2"/>
        <w:spacing w:before="360"/>
        <w:ind w:left="851" w:hanging="851"/>
        <w:rPr>
          <w:noProof/>
        </w:rPr>
      </w:pPr>
      <w:bookmarkStart w:id="17" w:name="_Toc354050122"/>
      <w:bookmarkStart w:id="18" w:name="_Toc358294847"/>
      <w:bookmarkStart w:id="19" w:name="_Toc415838344"/>
      <w:bookmarkStart w:id="20" w:name="_Toc14944784"/>
      <w:r>
        <w:rPr>
          <w:noProof/>
        </w:rPr>
        <w:t>2.3.</w:t>
      </w:r>
      <w:r>
        <w:rPr>
          <w:noProof/>
        </w:rPr>
        <w:tab/>
      </w:r>
      <w:bookmarkStart w:id="21" w:name="_Toc323019496"/>
      <w:r>
        <w:rPr>
          <w:noProof/>
        </w:rPr>
        <w:t>Σημαντικές συναλλαγές μετά την ημερομηνία κοινοποίησης</w:t>
      </w:r>
      <w:bookmarkEnd w:id="21"/>
      <w:bookmarkEnd w:id="17"/>
      <w:bookmarkEnd w:id="18"/>
      <w:bookmarkEnd w:id="19"/>
      <w:r>
        <w:rPr>
          <w:noProof/>
        </w:rPr>
        <w:t xml:space="preserve"> (τέλος Μαρτίου 2019)</w:t>
      </w:r>
      <w:bookmarkEnd w:id="20"/>
    </w:p>
    <w:p>
      <w:pPr>
        <w:ind w:left="850"/>
        <w:rPr>
          <w:noProof/>
        </w:rPr>
      </w:pPr>
      <w:r>
        <w:rPr>
          <w:noProof/>
        </w:rPr>
        <w:t>Τον Φεβρουάριο του 2019 το προαναφερθέν ποσό τροφοδότησης ύψους 103,2 εκατ. EUR μεταφέρθηκε από τον προϋπολογισμό της ΕΕ στο Ταμείο.</w:t>
      </w:r>
    </w:p>
    <w:p>
      <w:pPr>
        <w:ind w:left="851"/>
        <w:rPr>
          <w:noProof/>
        </w:rPr>
      </w:pPr>
      <w:r>
        <w:rPr>
          <w:noProof/>
        </w:rPr>
        <w:t xml:space="preserve">Τον Ιανουάριο και τον Μάρτιο του 2019, καταβλήθηκαν συνολικά 10,6 εκατ. EUR σε δύο καταπτώσεις εγγύησης για αθέτηση πληρωμών στη Συρία (3,2 εκατ. EUR και 7,4 εκατ. EUR, συμπεριλαμβανομένων των κυρώσεων που επιβλήθηκαν από την ΕΤΕπ). </w:t>
      </w:r>
    </w:p>
    <w:p>
      <w:pPr>
        <w:pStyle w:val="ManualHeading1"/>
        <w:ind w:left="851" w:hanging="851"/>
        <w:rPr>
          <w:noProof/>
        </w:rPr>
      </w:pPr>
      <w:bookmarkStart w:id="22" w:name="_Toc14944785"/>
      <w:bookmarkStart w:id="23" w:name="_Toc323019497"/>
      <w:bookmarkStart w:id="24" w:name="_Toc354050123"/>
      <w:bookmarkStart w:id="25" w:name="_Toc358294848"/>
      <w:bookmarkStart w:id="26" w:name="_Toc415838345"/>
      <w:r>
        <w:rPr>
          <w:noProof/>
        </w:rPr>
        <w:t>3.</w:t>
      </w:r>
      <w:r>
        <w:rPr>
          <w:noProof/>
        </w:rPr>
        <w:tab/>
        <w:t>Οικονομικές καταστάσεις του Ταμείου προ της ενοποίησης</w:t>
      </w:r>
      <w:bookmarkEnd w:id="22"/>
    </w:p>
    <w:p>
      <w:pPr>
        <w:rPr>
          <w:noProof/>
        </w:rPr>
      </w:pPr>
      <w:r>
        <w:rPr>
          <w:noProof/>
        </w:rPr>
        <w:t>Οι οικονομικές καταστάσεις του Ταμείου προ της ενοποίησης καταρτίζονται προκειμένου να συμπεριληφθούν λογιστικές πράξεις οι οποίες δεν συμπεριλαμβάνονται στις οικονομικές καταστάσεις του Ταμείου που καταρτίστηκαν από την ΕΤΕπ (βλ. έγγραφο εργασίας των υπηρεσιών της Επιτροπής). Συμπεριλαμβάνονται στις ενοποιημένες οικονομικές καταστάσεις της ΕΕ.</w:t>
      </w:r>
    </w:p>
    <w:p>
      <w:pPr>
        <w:pStyle w:val="ManualHeading2"/>
        <w:rPr>
          <w:noProof/>
        </w:rPr>
      </w:pPr>
      <w:bookmarkStart w:id="27" w:name="_Toc415838347"/>
      <w:bookmarkStart w:id="28" w:name="_Toc323019499"/>
      <w:bookmarkStart w:id="29" w:name="_Toc354050125"/>
      <w:bookmarkEnd w:id="23"/>
      <w:bookmarkEnd w:id="24"/>
      <w:bookmarkEnd w:id="25"/>
      <w:bookmarkEnd w:id="26"/>
      <w:r>
        <w:rPr>
          <w:noProof/>
        </w:rPr>
        <w:br w:type="page"/>
      </w:r>
      <w:bookmarkStart w:id="30" w:name="_Toc14944786"/>
      <w:r>
        <w:rPr>
          <w:noProof/>
        </w:rPr>
        <w:t>3.1.</w:t>
      </w:r>
      <w:r>
        <w:rPr>
          <w:noProof/>
        </w:rPr>
        <w:tab/>
      </w:r>
      <w:bookmarkStart w:id="31" w:name="_Toc358294850"/>
      <w:r>
        <w:rPr>
          <w:noProof/>
        </w:rPr>
        <w:t>Χρηματοοικονομική κατάσταση προ της ενοποίησης την 31η Δεκεμβρίου </w:t>
      </w:r>
      <w:bookmarkEnd w:id="31"/>
      <w:bookmarkEnd w:id="27"/>
      <w:r>
        <w:rPr>
          <w:noProof/>
        </w:rPr>
        <w:t>2018</w:t>
      </w:r>
      <w:bookmarkEnd w:id="30"/>
    </w:p>
    <w:p>
      <w:pPr>
        <w:rPr>
          <w:noProof/>
        </w:rPr>
      </w:pPr>
      <w:r>
        <w:rPr>
          <w:noProof/>
        </w:rPr>
        <w:t>Ισολογισμός – Στοιχεία ενεργητικού</w:t>
      </w:r>
    </w:p>
    <w:tbl>
      <w:tblPr>
        <w:tblW w:w="8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2976"/>
        <w:gridCol w:w="2115"/>
      </w:tblGrid>
      <w:tr>
        <w:tc>
          <w:tcPr>
            <w:tcW w:w="3374" w:type="dxa"/>
            <w:tcBorders>
              <w:bottom w:val="single" w:sz="4" w:space="0" w:color="auto"/>
            </w:tcBorders>
            <w:shd w:val="clear" w:color="auto" w:fill="auto"/>
          </w:tcPr>
          <w:p>
            <w:pPr>
              <w:jc w:val="center"/>
              <w:rPr>
                <w:noProof/>
              </w:rPr>
            </w:pPr>
          </w:p>
        </w:tc>
        <w:tc>
          <w:tcPr>
            <w:tcW w:w="2976" w:type="dxa"/>
            <w:tcBorders>
              <w:bottom w:val="single" w:sz="4" w:space="0" w:color="auto"/>
            </w:tcBorders>
            <w:shd w:val="clear" w:color="auto" w:fill="auto"/>
          </w:tcPr>
          <w:p>
            <w:pPr>
              <w:jc w:val="center"/>
              <w:rPr>
                <w:noProof/>
              </w:rPr>
            </w:pPr>
            <w:r>
              <w:rPr>
                <w:noProof/>
              </w:rPr>
              <w:t>31 Δεκεμβρίου 2018</w:t>
            </w:r>
          </w:p>
        </w:tc>
        <w:tc>
          <w:tcPr>
            <w:tcW w:w="2115" w:type="dxa"/>
            <w:tcBorders>
              <w:bottom w:val="single" w:sz="4" w:space="0" w:color="auto"/>
            </w:tcBorders>
          </w:tcPr>
          <w:p>
            <w:pPr>
              <w:jc w:val="center"/>
              <w:rPr>
                <w:noProof/>
              </w:rPr>
            </w:pPr>
            <w:r>
              <w:rPr>
                <w:noProof/>
              </w:rPr>
              <w:t>31 Δεκεμβρίου 2017</w:t>
            </w:r>
          </w:p>
        </w:tc>
      </w:tr>
      <w:tr>
        <w:tc>
          <w:tcPr>
            <w:tcW w:w="3374" w:type="dxa"/>
            <w:shd w:val="pct20" w:color="auto" w:fill="auto"/>
          </w:tcPr>
          <w:p>
            <w:pPr>
              <w:rPr>
                <w:noProof/>
                <w14:shadow w14:blurRad="50800" w14:dist="38100" w14:dir="2700000" w14:sx="100000" w14:sy="100000" w14:kx="0" w14:ky="0" w14:algn="tl">
                  <w14:srgbClr w14:val="000000">
                    <w14:alpha w14:val="60000"/>
                  </w14:srgbClr>
                </w14:shadow>
              </w:rPr>
            </w:pPr>
            <w:r>
              <w:rPr>
                <w:noProof/>
                <w14:shadow w14:blurRad="50800" w14:dist="38100" w14:dir="2700000" w14:sx="100000" w14:sy="100000" w14:kx="0" w14:ky="0" w14:algn="tl">
                  <w14:srgbClr w14:val="000000">
                    <w14:alpha w14:val="60000"/>
                  </w14:srgbClr>
                </w14:shadow>
              </w:rPr>
              <w:t>ΜΗ ΚΥΚΛΟΦΟΡΟΥΝ ΕΝΕΡΓΗΤΙΚΟ</w:t>
            </w:r>
          </w:p>
        </w:tc>
        <w:tc>
          <w:tcPr>
            <w:tcW w:w="2976" w:type="dxa"/>
            <w:shd w:val="pct20" w:color="auto" w:fill="auto"/>
          </w:tcPr>
          <w:p>
            <w:pPr>
              <w:jc w:val="right"/>
              <w:rPr>
                <w:noProof/>
                <w14:shadow w14:blurRad="50800" w14:dist="38100" w14:dir="2700000" w14:sx="100000" w14:sy="100000" w14:kx="0" w14:ky="0" w14:algn="tl">
                  <w14:srgbClr w14:val="000000">
                    <w14:alpha w14:val="60000"/>
                  </w14:srgbClr>
                </w14:shadow>
              </w:rPr>
            </w:pPr>
            <w:r>
              <w:rPr>
                <w:noProof/>
                <w14:shadow w14:blurRad="50800" w14:dist="38100" w14:dir="2700000" w14:sx="100000" w14:sy="100000" w14:kx="0" w14:ky="0" w14:algn="tl">
                  <w14:srgbClr w14:val="000000">
                    <w14:alpha w14:val="60000"/>
                  </w14:srgbClr>
                </w14:shadow>
              </w:rPr>
              <w:t>2 275 342 664</w:t>
            </w:r>
          </w:p>
        </w:tc>
        <w:tc>
          <w:tcPr>
            <w:tcW w:w="2115" w:type="dxa"/>
            <w:shd w:val="pct20" w:color="auto" w:fill="auto"/>
          </w:tcPr>
          <w:p>
            <w:pPr>
              <w:jc w:val="right"/>
              <w:rPr>
                <w:noProof/>
                <w14:shadow w14:blurRad="50800" w14:dist="38100" w14:dir="2700000" w14:sx="100000" w14:sy="100000" w14:kx="0" w14:ky="0" w14:algn="tl">
                  <w14:srgbClr w14:val="000000">
                    <w14:alpha w14:val="60000"/>
                  </w14:srgbClr>
                </w14:shadow>
              </w:rPr>
            </w:pPr>
            <w:r>
              <w:rPr>
                <w:noProof/>
                <w14:shadow w14:blurRad="50800" w14:dist="38100" w14:dir="2700000" w14:sx="100000" w14:sy="100000" w14:kx="0" w14:ky="0" w14:algn="tl">
                  <w14:srgbClr w14:val="000000">
                    <w14:alpha w14:val="60000"/>
                  </w14:srgbClr>
                </w14:shadow>
              </w:rPr>
              <w:t>2 077 970 486</w:t>
            </w:r>
          </w:p>
        </w:tc>
      </w:tr>
      <w:tr>
        <w:tc>
          <w:tcPr>
            <w:tcW w:w="3374" w:type="dxa"/>
            <w:tcBorders>
              <w:bottom w:val="single" w:sz="4" w:space="0" w:color="auto"/>
            </w:tcBorders>
            <w:shd w:val="clear" w:color="auto" w:fill="auto"/>
          </w:tcPr>
          <w:p>
            <w:pPr>
              <w:rPr>
                <w:noProof/>
              </w:rPr>
            </w:pPr>
            <w:r>
              <w:rPr>
                <w:noProof/>
              </w:rPr>
              <w:t>Χρηματοοικονομικά στοιχεία ενεργητικού</w:t>
            </w:r>
          </w:p>
        </w:tc>
        <w:tc>
          <w:tcPr>
            <w:tcW w:w="2976" w:type="dxa"/>
            <w:tcBorders>
              <w:bottom w:val="single" w:sz="4" w:space="0" w:color="auto"/>
            </w:tcBorders>
            <w:shd w:val="clear" w:color="auto" w:fill="auto"/>
          </w:tcPr>
          <w:p>
            <w:pPr>
              <w:jc w:val="right"/>
              <w:rPr>
                <w:noProof/>
              </w:rPr>
            </w:pPr>
            <w:r>
              <w:rPr>
                <w:noProof/>
                <w14:shadow w14:blurRad="50800" w14:dist="38100" w14:dir="2700000" w14:sx="100000" w14:sy="100000" w14:kx="0" w14:ky="0" w14:algn="tl">
                  <w14:srgbClr w14:val="000000">
                    <w14:alpha w14:val="60000"/>
                  </w14:srgbClr>
                </w14:shadow>
              </w:rPr>
              <w:t>2 275 342 664</w:t>
            </w:r>
          </w:p>
        </w:tc>
        <w:tc>
          <w:tcPr>
            <w:tcW w:w="2115" w:type="dxa"/>
            <w:tcBorders>
              <w:bottom w:val="single" w:sz="4" w:space="0" w:color="auto"/>
            </w:tcBorders>
          </w:tcPr>
          <w:p>
            <w:pPr>
              <w:jc w:val="right"/>
              <w:rPr>
                <w:noProof/>
              </w:rPr>
            </w:pPr>
            <w:r>
              <w:rPr>
                <w:noProof/>
                <w14:shadow w14:blurRad="50800" w14:dist="38100" w14:dir="2700000" w14:sx="100000" w14:sy="100000" w14:kx="0" w14:ky="0" w14:algn="tl">
                  <w14:srgbClr w14:val="000000">
                    <w14:alpha w14:val="60000"/>
                  </w14:srgbClr>
                </w14:shadow>
              </w:rPr>
              <w:t>2 077 970 486</w:t>
            </w:r>
          </w:p>
        </w:tc>
      </w:tr>
      <w:tr>
        <w:tc>
          <w:tcPr>
            <w:tcW w:w="3374" w:type="dxa"/>
            <w:shd w:val="pct20" w:color="auto" w:fill="auto"/>
          </w:tcPr>
          <w:p>
            <w:pPr>
              <w:rPr>
                <w:noProof/>
              </w:rPr>
            </w:pPr>
            <w:r>
              <w:rPr>
                <w:noProof/>
              </w:rPr>
              <w:t>ΚΥΚΛΟΦΟΡΟΥΝ ΕΝΕΡΓΗΤΙΚΟ</w:t>
            </w:r>
          </w:p>
        </w:tc>
        <w:tc>
          <w:tcPr>
            <w:tcW w:w="2976" w:type="dxa"/>
            <w:shd w:val="pct20" w:color="auto" w:fill="auto"/>
          </w:tcPr>
          <w:p>
            <w:pPr>
              <w:jc w:val="right"/>
              <w:rPr>
                <w:noProof/>
              </w:rPr>
            </w:pPr>
            <w:r>
              <w:rPr>
                <w:noProof/>
              </w:rPr>
              <w:t>231 316 149</w:t>
            </w:r>
          </w:p>
        </w:tc>
        <w:tc>
          <w:tcPr>
            <w:tcW w:w="2115" w:type="dxa"/>
            <w:shd w:val="pct20" w:color="auto" w:fill="auto"/>
          </w:tcPr>
          <w:p>
            <w:pPr>
              <w:jc w:val="right"/>
              <w:rPr>
                <w:noProof/>
              </w:rPr>
            </w:pPr>
            <w:r>
              <w:rPr>
                <w:noProof/>
              </w:rPr>
              <w:t>344 990 638</w:t>
            </w:r>
          </w:p>
        </w:tc>
      </w:tr>
      <w:tr>
        <w:tc>
          <w:tcPr>
            <w:tcW w:w="3374" w:type="dxa"/>
            <w:shd w:val="clear" w:color="auto" w:fill="auto"/>
          </w:tcPr>
          <w:p>
            <w:pPr>
              <w:rPr>
                <w:noProof/>
              </w:rPr>
            </w:pPr>
            <w:r>
              <w:rPr>
                <w:noProof/>
              </w:rPr>
              <w:t>Χρηματοοικονομικά στοιχεία ενεργητικού</w:t>
            </w:r>
          </w:p>
        </w:tc>
        <w:tc>
          <w:tcPr>
            <w:tcW w:w="2976" w:type="dxa"/>
            <w:shd w:val="clear" w:color="auto" w:fill="auto"/>
          </w:tcPr>
          <w:p>
            <w:pPr>
              <w:jc w:val="right"/>
              <w:rPr>
                <w:noProof/>
              </w:rPr>
            </w:pPr>
            <w:r>
              <w:rPr>
                <w:noProof/>
              </w:rPr>
              <w:t>189 758 096</w:t>
            </w:r>
          </w:p>
        </w:tc>
        <w:tc>
          <w:tcPr>
            <w:tcW w:w="2115" w:type="dxa"/>
          </w:tcPr>
          <w:p>
            <w:pPr>
              <w:jc w:val="right"/>
              <w:rPr>
                <w:noProof/>
              </w:rPr>
            </w:pPr>
            <w:r>
              <w:rPr>
                <w:noProof/>
              </w:rPr>
              <w:t>120 771 792</w:t>
            </w:r>
          </w:p>
        </w:tc>
      </w:tr>
      <w:tr>
        <w:tc>
          <w:tcPr>
            <w:tcW w:w="3374" w:type="dxa"/>
            <w:shd w:val="clear" w:color="auto" w:fill="auto"/>
          </w:tcPr>
          <w:p>
            <w:pPr>
              <w:rPr>
                <w:noProof/>
              </w:rPr>
            </w:pPr>
            <w:r>
              <w:rPr>
                <w:noProof/>
              </w:rPr>
              <w:t>Εισπρακτέες απαιτήσεις</w:t>
            </w:r>
          </w:p>
        </w:tc>
        <w:tc>
          <w:tcPr>
            <w:tcW w:w="2976" w:type="dxa"/>
            <w:shd w:val="clear" w:color="auto" w:fill="auto"/>
          </w:tcPr>
          <w:p>
            <w:pPr>
              <w:jc w:val="right"/>
              <w:rPr>
                <w:noProof/>
              </w:rPr>
            </w:pPr>
            <w:r>
              <w:rPr>
                <w:noProof/>
              </w:rPr>
              <w:t>—</w:t>
            </w:r>
          </w:p>
        </w:tc>
        <w:tc>
          <w:tcPr>
            <w:tcW w:w="2115" w:type="dxa"/>
          </w:tcPr>
          <w:p>
            <w:pPr>
              <w:jc w:val="right"/>
              <w:rPr>
                <w:noProof/>
              </w:rPr>
            </w:pPr>
            <w:r>
              <w:rPr>
                <w:noProof/>
              </w:rPr>
              <w:t>136 093</w:t>
            </w:r>
          </w:p>
        </w:tc>
      </w:tr>
      <w:tr>
        <w:tc>
          <w:tcPr>
            <w:tcW w:w="3374" w:type="dxa"/>
            <w:tcBorders>
              <w:bottom w:val="single" w:sz="4" w:space="0" w:color="auto"/>
            </w:tcBorders>
            <w:shd w:val="clear" w:color="auto" w:fill="auto"/>
          </w:tcPr>
          <w:p>
            <w:pPr>
              <w:rPr>
                <w:noProof/>
              </w:rPr>
            </w:pPr>
            <w:r>
              <w:rPr>
                <w:noProof/>
              </w:rPr>
              <w:t>Ταμειακά διαθέσιμα και ισοδύναμα</w:t>
            </w:r>
          </w:p>
        </w:tc>
        <w:tc>
          <w:tcPr>
            <w:tcW w:w="2976" w:type="dxa"/>
            <w:tcBorders>
              <w:bottom w:val="single" w:sz="4" w:space="0" w:color="auto"/>
            </w:tcBorders>
            <w:shd w:val="clear" w:color="auto" w:fill="auto"/>
          </w:tcPr>
          <w:p>
            <w:pPr>
              <w:jc w:val="right"/>
              <w:rPr>
                <w:noProof/>
              </w:rPr>
            </w:pPr>
            <w:r>
              <w:rPr>
                <w:noProof/>
              </w:rPr>
              <w:t>41 558 053</w:t>
            </w:r>
          </w:p>
        </w:tc>
        <w:tc>
          <w:tcPr>
            <w:tcW w:w="2115" w:type="dxa"/>
            <w:tcBorders>
              <w:bottom w:val="single" w:sz="4" w:space="0" w:color="auto"/>
            </w:tcBorders>
          </w:tcPr>
          <w:p>
            <w:pPr>
              <w:jc w:val="right"/>
              <w:rPr>
                <w:noProof/>
              </w:rPr>
            </w:pPr>
            <w:r>
              <w:rPr>
                <w:noProof/>
              </w:rPr>
              <w:t>224 082 753</w:t>
            </w:r>
          </w:p>
        </w:tc>
      </w:tr>
      <w:tr>
        <w:tc>
          <w:tcPr>
            <w:tcW w:w="3374" w:type="dxa"/>
            <w:shd w:val="pct20" w:color="auto" w:fill="auto"/>
          </w:tcPr>
          <w:p>
            <w:pPr>
              <w:rPr>
                <w:noProof/>
              </w:rPr>
            </w:pPr>
            <w:r>
              <w:rPr>
                <w:noProof/>
              </w:rPr>
              <w:t>ΣΥΝΟΛΟ ΕΝΕΡΓΗΤΙΚΟΥ</w:t>
            </w:r>
          </w:p>
        </w:tc>
        <w:tc>
          <w:tcPr>
            <w:tcW w:w="2976" w:type="dxa"/>
            <w:shd w:val="pct20" w:color="auto" w:fill="auto"/>
          </w:tcPr>
          <w:p>
            <w:pPr>
              <w:jc w:val="right"/>
              <w:rPr>
                <w:noProof/>
              </w:rPr>
            </w:pPr>
            <w:r>
              <w:rPr>
                <w:noProof/>
              </w:rPr>
              <w:t>2 506 658 813</w:t>
            </w:r>
          </w:p>
        </w:tc>
        <w:tc>
          <w:tcPr>
            <w:tcW w:w="2115" w:type="dxa"/>
            <w:shd w:val="pct20" w:color="auto" w:fill="auto"/>
          </w:tcPr>
          <w:p>
            <w:pPr>
              <w:jc w:val="right"/>
              <w:rPr>
                <w:noProof/>
              </w:rPr>
            </w:pPr>
            <w:r>
              <w:rPr>
                <w:noProof/>
              </w:rPr>
              <w:t>2 422 961 124</w:t>
            </w:r>
          </w:p>
        </w:tc>
      </w:tr>
    </w:tbl>
    <w:p>
      <w:pPr>
        <w:rPr>
          <w:noProof/>
        </w:rPr>
      </w:pPr>
    </w:p>
    <w:p>
      <w:pPr>
        <w:rPr>
          <w:noProof/>
        </w:rPr>
      </w:pPr>
      <w:r>
        <w:rPr>
          <w:noProof/>
        </w:rPr>
        <w:t>Ισολογισμός – Υποχρεώσεις</w:t>
      </w:r>
    </w:p>
    <w:tbl>
      <w:tblPr>
        <w:tblW w:w="8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268"/>
        <w:gridCol w:w="2261"/>
      </w:tblGrid>
      <w:tr>
        <w:tc>
          <w:tcPr>
            <w:tcW w:w="3936" w:type="dxa"/>
            <w:tcBorders>
              <w:bottom w:val="single" w:sz="4" w:space="0" w:color="auto"/>
            </w:tcBorders>
            <w:shd w:val="clear" w:color="auto" w:fill="auto"/>
          </w:tcPr>
          <w:p>
            <w:pPr>
              <w:jc w:val="center"/>
              <w:rPr>
                <w:noProof/>
              </w:rPr>
            </w:pPr>
          </w:p>
        </w:tc>
        <w:tc>
          <w:tcPr>
            <w:tcW w:w="2268" w:type="dxa"/>
            <w:tcBorders>
              <w:bottom w:val="single" w:sz="4" w:space="0" w:color="auto"/>
            </w:tcBorders>
            <w:shd w:val="clear" w:color="auto" w:fill="auto"/>
          </w:tcPr>
          <w:p>
            <w:pPr>
              <w:jc w:val="center"/>
              <w:rPr>
                <w:noProof/>
              </w:rPr>
            </w:pPr>
            <w:r>
              <w:rPr>
                <w:noProof/>
              </w:rPr>
              <w:t>31 Δεκεμβρίου 2018</w:t>
            </w:r>
          </w:p>
        </w:tc>
        <w:tc>
          <w:tcPr>
            <w:tcW w:w="2261" w:type="dxa"/>
            <w:tcBorders>
              <w:bottom w:val="single" w:sz="4" w:space="0" w:color="auto"/>
            </w:tcBorders>
          </w:tcPr>
          <w:p>
            <w:pPr>
              <w:jc w:val="center"/>
              <w:rPr>
                <w:noProof/>
              </w:rPr>
            </w:pPr>
            <w:r>
              <w:rPr>
                <w:noProof/>
              </w:rPr>
              <w:t>31 Δεκεμβρίου 2017</w:t>
            </w:r>
          </w:p>
        </w:tc>
      </w:tr>
      <w:tr>
        <w:tc>
          <w:tcPr>
            <w:tcW w:w="3936" w:type="dxa"/>
            <w:shd w:val="pct20" w:color="auto" w:fill="auto"/>
          </w:tcPr>
          <w:p>
            <w:pPr>
              <w:rPr>
                <w:noProof/>
                <w14:shadow w14:blurRad="50800" w14:dist="38100" w14:dir="2700000" w14:sx="100000" w14:sy="100000" w14:kx="0" w14:ky="0" w14:algn="tl">
                  <w14:srgbClr w14:val="000000">
                    <w14:alpha w14:val="60000"/>
                  </w14:srgbClr>
                </w14:shadow>
              </w:rPr>
            </w:pPr>
            <w:r>
              <w:rPr>
                <w:noProof/>
                <w14:shadow w14:blurRad="50800" w14:dist="38100" w14:dir="2700000" w14:sx="100000" w14:sy="100000" w14:kx="0" w14:ky="0" w14:algn="tl">
                  <w14:srgbClr w14:val="000000">
                    <w14:alpha w14:val="60000"/>
                  </w14:srgbClr>
                </w14:shadow>
              </w:rPr>
              <w:t>ΠΟΡΟΙ ΧΡΗΜΑΤΟΔΟΤΩΝ</w:t>
            </w:r>
          </w:p>
        </w:tc>
        <w:tc>
          <w:tcPr>
            <w:tcW w:w="2268" w:type="dxa"/>
            <w:shd w:val="pct20" w:color="auto" w:fill="auto"/>
          </w:tcPr>
          <w:p>
            <w:pPr>
              <w:jc w:val="right"/>
              <w:rPr>
                <w:noProof/>
                <w14:shadow w14:blurRad="50800" w14:dist="38100" w14:dir="2700000" w14:sx="100000" w14:sy="100000" w14:kx="0" w14:ky="0" w14:algn="tl">
                  <w14:srgbClr w14:val="000000">
                    <w14:alpha w14:val="60000"/>
                  </w14:srgbClr>
                </w14:shadow>
              </w:rPr>
            </w:pPr>
            <w:r>
              <w:rPr>
                <w:noProof/>
                <w14:shadow w14:blurRad="50800" w14:dist="38100" w14:dir="2700000" w14:sx="100000" w14:sy="100000" w14:kx="0" w14:ky="0" w14:algn="tl">
                  <w14:srgbClr w14:val="000000">
                    <w14:alpha w14:val="60000"/>
                  </w14:srgbClr>
                </w14:shadow>
              </w:rPr>
              <w:t>2 295 687 144</w:t>
            </w:r>
          </w:p>
        </w:tc>
        <w:tc>
          <w:tcPr>
            <w:tcW w:w="2261" w:type="dxa"/>
            <w:shd w:val="pct20" w:color="auto" w:fill="auto"/>
          </w:tcPr>
          <w:p>
            <w:pPr>
              <w:jc w:val="right"/>
              <w:rPr>
                <w:noProof/>
                <w14:shadow w14:blurRad="50800" w14:dist="38100" w14:dir="2700000" w14:sx="100000" w14:sy="100000" w14:kx="0" w14:ky="0" w14:algn="tl">
                  <w14:srgbClr w14:val="000000">
                    <w14:alpha w14:val="60000"/>
                  </w14:srgbClr>
                </w14:shadow>
              </w:rPr>
            </w:pPr>
            <w:r>
              <w:rPr>
                <w:noProof/>
                <w14:shadow w14:blurRad="50800" w14:dist="38100" w14:dir="2700000" w14:sx="100000" w14:sy="100000" w14:kx="0" w14:ky="0" w14:algn="tl">
                  <w14:srgbClr w14:val="000000">
                    <w14:alpha w14:val="60000"/>
                  </w14:srgbClr>
                </w14:shadow>
              </w:rPr>
              <w:t>2 160 971 521</w:t>
            </w:r>
          </w:p>
        </w:tc>
      </w:tr>
      <w:tr>
        <w:tc>
          <w:tcPr>
            <w:tcW w:w="3936" w:type="dxa"/>
            <w:shd w:val="clear" w:color="auto" w:fill="auto"/>
          </w:tcPr>
          <w:p>
            <w:pPr>
              <w:rPr>
                <w:noProof/>
              </w:rPr>
            </w:pPr>
            <w:r>
              <w:rPr>
                <w:noProof/>
              </w:rPr>
              <w:t>Συνεισφορά της Ευρωπαϊκής Επιτροπής</w:t>
            </w:r>
          </w:p>
        </w:tc>
        <w:tc>
          <w:tcPr>
            <w:tcW w:w="2268" w:type="dxa"/>
            <w:shd w:val="clear" w:color="auto" w:fill="auto"/>
          </w:tcPr>
          <w:p>
            <w:pPr>
              <w:jc w:val="right"/>
              <w:rPr>
                <w:noProof/>
              </w:rPr>
            </w:pPr>
            <w:r>
              <w:rPr>
                <w:noProof/>
              </w:rPr>
              <w:t>1 846 972 362</w:t>
            </w:r>
          </w:p>
        </w:tc>
        <w:tc>
          <w:tcPr>
            <w:tcW w:w="2261" w:type="dxa"/>
          </w:tcPr>
          <w:p>
            <w:pPr>
              <w:jc w:val="right"/>
              <w:rPr>
                <w:noProof/>
              </w:rPr>
            </w:pPr>
            <w:r>
              <w:rPr>
                <w:noProof/>
              </w:rPr>
              <w:t>1 709 171 640</w:t>
            </w:r>
          </w:p>
        </w:tc>
      </w:tr>
      <w:tr>
        <w:tc>
          <w:tcPr>
            <w:tcW w:w="3936" w:type="dxa"/>
            <w:shd w:val="clear" w:color="auto" w:fill="auto"/>
          </w:tcPr>
          <w:p>
            <w:pPr>
              <w:rPr>
                <w:noProof/>
              </w:rPr>
            </w:pPr>
            <w:r>
              <w:rPr>
                <w:noProof/>
              </w:rPr>
              <w:t>Αποθεματικό εύλογης αξίας</w:t>
            </w:r>
          </w:p>
        </w:tc>
        <w:tc>
          <w:tcPr>
            <w:tcW w:w="2268" w:type="dxa"/>
            <w:shd w:val="clear" w:color="auto" w:fill="auto"/>
          </w:tcPr>
          <w:p>
            <w:pPr>
              <w:jc w:val="right"/>
              <w:rPr>
                <w:noProof/>
              </w:rPr>
            </w:pPr>
            <w:r>
              <w:rPr>
                <w:noProof/>
              </w:rPr>
              <w:t>12 227 192</w:t>
            </w:r>
          </w:p>
        </w:tc>
        <w:tc>
          <w:tcPr>
            <w:tcW w:w="2261" w:type="dxa"/>
          </w:tcPr>
          <w:p>
            <w:pPr>
              <w:jc w:val="right"/>
              <w:rPr>
                <w:noProof/>
              </w:rPr>
            </w:pPr>
            <w:r>
              <w:rPr>
                <w:noProof/>
              </w:rPr>
              <w:t>22 700 055</w:t>
            </w:r>
          </w:p>
        </w:tc>
      </w:tr>
      <w:tr>
        <w:tc>
          <w:tcPr>
            <w:tcW w:w="3936" w:type="dxa"/>
            <w:tcBorders>
              <w:bottom w:val="single" w:sz="4" w:space="0" w:color="auto"/>
            </w:tcBorders>
            <w:shd w:val="clear" w:color="auto" w:fill="auto"/>
          </w:tcPr>
          <w:p>
            <w:pPr>
              <w:rPr>
                <w:noProof/>
              </w:rPr>
            </w:pPr>
            <w:r>
              <w:rPr>
                <w:noProof/>
              </w:rPr>
              <w:t>Κέρδη εις νέον</w:t>
            </w:r>
          </w:p>
        </w:tc>
        <w:tc>
          <w:tcPr>
            <w:tcW w:w="2268" w:type="dxa"/>
            <w:tcBorders>
              <w:bottom w:val="single" w:sz="4" w:space="0" w:color="auto"/>
            </w:tcBorders>
            <w:shd w:val="clear" w:color="auto" w:fill="auto"/>
          </w:tcPr>
          <w:p>
            <w:pPr>
              <w:jc w:val="right"/>
              <w:rPr>
                <w:noProof/>
              </w:rPr>
            </w:pPr>
            <w:r>
              <w:rPr>
                <w:noProof/>
              </w:rPr>
              <w:t>436 487 590</w:t>
            </w:r>
          </w:p>
        </w:tc>
        <w:tc>
          <w:tcPr>
            <w:tcW w:w="2261" w:type="dxa"/>
            <w:tcBorders>
              <w:bottom w:val="single" w:sz="4" w:space="0" w:color="auto"/>
            </w:tcBorders>
          </w:tcPr>
          <w:p>
            <w:pPr>
              <w:jc w:val="right"/>
              <w:rPr>
                <w:noProof/>
              </w:rPr>
            </w:pPr>
            <w:r>
              <w:rPr>
                <w:noProof/>
              </w:rPr>
              <w:t>429 099 826</w:t>
            </w:r>
          </w:p>
        </w:tc>
      </w:tr>
      <w:tr>
        <w:tc>
          <w:tcPr>
            <w:tcW w:w="3936" w:type="dxa"/>
            <w:shd w:val="pct20" w:color="auto" w:fill="auto"/>
          </w:tcPr>
          <w:p>
            <w:pPr>
              <w:rPr>
                <w:noProof/>
              </w:rPr>
            </w:pPr>
            <w:r>
              <w:rPr>
                <w:noProof/>
                <w14:shadow w14:blurRad="50800" w14:dist="38100" w14:dir="2700000" w14:sx="100000" w14:sy="100000" w14:kx="0" w14:ky="0" w14:algn="tl">
                  <w14:srgbClr w14:val="000000">
                    <w14:alpha w14:val="60000"/>
                  </w14:srgbClr>
                </w14:shadow>
              </w:rPr>
              <w:t>ΜΑΚΡΟΠΡΟΘΕΣΜΕΣ ΥΠΟΧΡΕΩΣΕΙΣ</w:t>
            </w:r>
          </w:p>
        </w:tc>
        <w:tc>
          <w:tcPr>
            <w:tcW w:w="2268" w:type="dxa"/>
            <w:shd w:val="pct20" w:color="auto" w:fill="auto"/>
          </w:tcPr>
          <w:p>
            <w:pPr>
              <w:jc w:val="right"/>
              <w:rPr>
                <w:noProof/>
              </w:rPr>
            </w:pPr>
            <w:r>
              <w:rPr>
                <w:noProof/>
              </w:rPr>
              <w:t>159 153 609</w:t>
            </w:r>
          </w:p>
        </w:tc>
        <w:tc>
          <w:tcPr>
            <w:tcW w:w="2261" w:type="dxa"/>
            <w:shd w:val="pct20" w:color="auto" w:fill="auto"/>
          </w:tcPr>
          <w:p>
            <w:pPr>
              <w:jc w:val="right"/>
              <w:rPr>
                <w:noProof/>
              </w:rPr>
            </w:pPr>
            <w:r>
              <w:rPr>
                <w:noProof/>
              </w:rPr>
              <w:t>208 033 976</w:t>
            </w:r>
          </w:p>
        </w:tc>
      </w:tr>
      <w:tr>
        <w:tc>
          <w:tcPr>
            <w:tcW w:w="3936" w:type="dxa"/>
            <w:tcBorders>
              <w:bottom w:val="single" w:sz="4" w:space="0" w:color="auto"/>
            </w:tcBorders>
            <w:shd w:val="clear" w:color="auto" w:fill="auto"/>
          </w:tcPr>
          <w:p>
            <w:pPr>
              <w:rPr>
                <w:noProof/>
              </w:rPr>
            </w:pPr>
            <w:r>
              <w:rPr>
                <w:noProof/>
              </w:rPr>
              <w:t>Χρηματοοικονομικές διατάξεις</w:t>
            </w:r>
          </w:p>
        </w:tc>
        <w:tc>
          <w:tcPr>
            <w:tcW w:w="2268" w:type="dxa"/>
            <w:tcBorders>
              <w:bottom w:val="single" w:sz="4" w:space="0" w:color="auto"/>
            </w:tcBorders>
            <w:shd w:val="clear" w:color="auto" w:fill="auto"/>
          </w:tcPr>
          <w:p>
            <w:pPr>
              <w:jc w:val="right"/>
              <w:rPr>
                <w:noProof/>
              </w:rPr>
            </w:pPr>
            <w:r>
              <w:rPr>
                <w:noProof/>
              </w:rPr>
              <w:t>159 153 609</w:t>
            </w:r>
          </w:p>
        </w:tc>
        <w:tc>
          <w:tcPr>
            <w:tcW w:w="2261" w:type="dxa"/>
            <w:tcBorders>
              <w:bottom w:val="single" w:sz="4" w:space="0" w:color="auto"/>
            </w:tcBorders>
          </w:tcPr>
          <w:p>
            <w:pPr>
              <w:jc w:val="right"/>
              <w:rPr>
                <w:noProof/>
              </w:rPr>
            </w:pPr>
            <w:r>
              <w:rPr>
                <w:noProof/>
              </w:rPr>
              <w:t>208 033 976</w:t>
            </w:r>
          </w:p>
        </w:tc>
      </w:tr>
      <w:tr>
        <w:tc>
          <w:tcPr>
            <w:tcW w:w="3936" w:type="dxa"/>
            <w:shd w:val="pct20" w:color="auto" w:fill="auto"/>
          </w:tcPr>
          <w:p>
            <w:pPr>
              <w:rPr>
                <w:noProof/>
              </w:rPr>
            </w:pPr>
            <w:r>
              <w:rPr>
                <w:noProof/>
                <w14:shadow w14:blurRad="50800" w14:dist="38100" w14:dir="2700000" w14:sx="100000" w14:sy="100000" w14:kx="0" w14:ky="0" w14:algn="tl">
                  <w14:srgbClr w14:val="000000">
                    <w14:alpha w14:val="60000"/>
                  </w14:srgbClr>
                </w14:shadow>
              </w:rPr>
              <w:t>ΒΡΑΧΥΠΡΟΘΕΣΜΕΣ ΥΠΟΧΡΕΩΣΕΙΣ</w:t>
            </w:r>
          </w:p>
        </w:tc>
        <w:tc>
          <w:tcPr>
            <w:tcW w:w="2268" w:type="dxa"/>
            <w:shd w:val="pct20" w:color="auto" w:fill="auto"/>
          </w:tcPr>
          <w:p>
            <w:pPr>
              <w:jc w:val="right"/>
              <w:rPr>
                <w:noProof/>
              </w:rPr>
            </w:pPr>
            <w:r>
              <w:rPr>
                <w:noProof/>
              </w:rPr>
              <w:t>51 818 060</w:t>
            </w:r>
          </w:p>
        </w:tc>
        <w:tc>
          <w:tcPr>
            <w:tcW w:w="2261" w:type="dxa"/>
            <w:shd w:val="pct20" w:color="auto" w:fill="auto"/>
          </w:tcPr>
          <w:p>
            <w:pPr>
              <w:jc w:val="right"/>
              <w:rPr>
                <w:noProof/>
              </w:rPr>
            </w:pPr>
            <w:r>
              <w:rPr>
                <w:noProof/>
              </w:rPr>
              <w:t>53 955 627</w:t>
            </w:r>
          </w:p>
        </w:tc>
      </w:tr>
      <w:tr>
        <w:tc>
          <w:tcPr>
            <w:tcW w:w="3936" w:type="dxa"/>
            <w:tcBorders>
              <w:bottom w:val="single" w:sz="4" w:space="0" w:color="auto"/>
            </w:tcBorders>
            <w:shd w:val="clear" w:color="auto" w:fill="auto"/>
          </w:tcPr>
          <w:p>
            <w:pPr>
              <w:rPr>
                <w:noProof/>
              </w:rPr>
            </w:pPr>
            <w:r>
              <w:rPr>
                <w:noProof/>
              </w:rPr>
              <w:t>Χρηματοοικονομικές διατάξεις</w:t>
            </w:r>
          </w:p>
        </w:tc>
        <w:tc>
          <w:tcPr>
            <w:tcW w:w="2268" w:type="dxa"/>
            <w:tcBorders>
              <w:bottom w:val="single" w:sz="4" w:space="0" w:color="auto"/>
            </w:tcBorders>
            <w:shd w:val="clear" w:color="auto" w:fill="auto"/>
          </w:tcPr>
          <w:p>
            <w:pPr>
              <w:jc w:val="right"/>
              <w:rPr>
                <w:noProof/>
              </w:rPr>
            </w:pPr>
            <w:r>
              <w:rPr>
                <w:noProof/>
              </w:rPr>
              <w:t>50 777 871</w:t>
            </w:r>
          </w:p>
        </w:tc>
        <w:tc>
          <w:tcPr>
            <w:tcW w:w="2261" w:type="dxa"/>
            <w:tcBorders>
              <w:bottom w:val="single" w:sz="4" w:space="0" w:color="auto"/>
            </w:tcBorders>
          </w:tcPr>
          <w:p>
            <w:pPr>
              <w:jc w:val="right"/>
              <w:rPr>
                <w:noProof/>
              </w:rPr>
            </w:pPr>
            <w:r>
              <w:rPr>
                <w:noProof/>
              </w:rPr>
              <w:t>50 408 230</w:t>
            </w:r>
          </w:p>
        </w:tc>
      </w:tr>
      <w:tr>
        <w:tc>
          <w:tcPr>
            <w:tcW w:w="3936" w:type="dxa"/>
            <w:tcBorders>
              <w:bottom w:val="single" w:sz="4" w:space="0" w:color="auto"/>
            </w:tcBorders>
            <w:shd w:val="clear" w:color="auto" w:fill="auto"/>
          </w:tcPr>
          <w:p>
            <w:pPr>
              <w:rPr>
                <w:noProof/>
              </w:rPr>
            </w:pPr>
            <w:r>
              <w:rPr>
                <w:noProof/>
              </w:rPr>
              <w:t>Οφειλές</w:t>
            </w:r>
          </w:p>
        </w:tc>
        <w:tc>
          <w:tcPr>
            <w:tcW w:w="2268" w:type="dxa"/>
            <w:tcBorders>
              <w:bottom w:val="single" w:sz="4" w:space="0" w:color="auto"/>
            </w:tcBorders>
            <w:shd w:val="clear" w:color="auto" w:fill="auto"/>
          </w:tcPr>
          <w:p>
            <w:pPr>
              <w:jc w:val="right"/>
              <w:rPr>
                <w:noProof/>
              </w:rPr>
            </w:pPr>
            <w:r>
              <w:rPr>
                <w:noProof/>
              </w:rPr>
              <w:t>1 040 189</w:t>
            </w:r>
          </w:p>
        </w:tc>
        <w:tc>
          <w:tcPr>
            <w:tcW w:w="2261" w:type="dxa"/>
            <w:tcBorders>
              <w:bottom w:val="single" w:sz="4" w:space="0" w:color="auto"/>
            </w:tcBorders>
          </w:tcPr>
          <w:p>
            <w:pPr>
              <w:jc w:val="right"/>
              <w:rPr>
                <w:noProof/>
              </w:rPr>
            </w:pPr>
            <w:r>
              <w:rPr>
                <w:noProof/>
              </w:rPr>
              <w:t>3 547 397</w:t>
            </w:r>
          </w:p>
        </w:tc>
      </w:tr>
      <w:tr>
        <w:tc>
          <w:tcPr>
            <w:tcW w:w="3936" w:type="dxa"/>
            <w:shd w:val="pct20" w:color="auto" w:fill="auto"/>
          </w:tcPr>
          <w:p>
            <w:pPr>
              <w:jc w:val="left"/>
              <w:rPr>
                <w:noProof/>
              </w:rPr>
            </w:pPr>
            <w:r>
              <w:rPr>
                <w:noProof/>
                <w14:shadow w14:blurRad="50800" w14:dist="38100" w14:dir="2700000" w14:sx="100000" w14:sy="100000" w14:kx="0" w14:ky="0" w14:algn="tl">
                  <w14:srgbClr w14:val="000000">
                    <w14:alpha w14:val="60000"/>
                  </w14:srgbClr>
                </w14:shadow>
              </w:rPr>
              <w:t>ΣΥΝΟΛΟ ΠΟΡΩΝ ΧΡΗΜΑΤΟΔΟΤΩΝ + ΥΠΟΧΡΕΩΣΕΩΝ</w:t>
            </w:r>
          </w:p>
        </w:tc>
        <w:tc>
          <w:tcPr>
            <w:tcW w:w="2268" w:type="dxa"/>
            <w:shd w:val="pct20" w:color="auto" w:fill="auto"/>
          </w:tcPr>
          <w:p>
            <w:pPr>
              <w:jc w:val="right"/>
              <w:rPr>
                <w:noProof/>
              </w:rPr>
            </w:pPr>
            <w:r>
              <w:rPr>
                <w:noProof/>
              </w:rPr>
              <w:t>2 506 658 813</w:t>
            </w:r>
          </w:p>
        </w:tc>
        <w:tc>
          <w:tcPr>
            <w:tcW w:w="2261" w:type="dxa"/>
            <w:shd w:val="pct20" w:color="auto" w:fill="auto"/>
          </w:tcPr>
          <w:p>
            <w:pPr>
              <w:jc w:val="right"/>
              <w:rPr>
                <w:noProof/>
              </w:rPr>
            </w:pPr>
            <w:r>
              <w:rPr>
                <w:noProof/>
              </w:rPr>
              <w:t>2 422 961 124</w:t>
            </w:r>
          </w:p>
        </w:tc>
      </w:tr>
    </w:tbl>
    <w:p>
      <w:pPr>
        <w:rPr>
          <w:noProof/>
        </w:rPr>
      </w:pPr>
    </w:p>
    <w:p>
      <w:pPr>
        <w:rPr>
          <w:noProof/>
        </w:rPr>
      </w:pPr>
      <w:r>
        <w:rPr>
          <w:noProof/>
        </w:rPr>
        <w:br w:type="page"/>
        <w:t>Η διαφορά των 103,2 εκατ. EUR μεταξύ του συνόλου ισολογισμού του Ταμείου προ της ενοποίησης (2 506 658 813 EUR) και της αξίας των διαθεσίμων του Ταμείου στις οικονομικές καταστάσεις που καταρτίστηκαν από την ΕΤΕπ (2 609 881 748 EUR) αποδίδεται κατά κύριο λόγο στα εξής:</w:t>
      </w:r>
    </w:p>
    <w:p>
      <w:pPr>
        <w:numPr>
          <w:ilvl w:val="0"/>
          <w:numId w:val="13"/>
        </w:numPr>
        <w:tabs>
          <w:tab w:val="clear" w:pos="850"/>
        </w:tabs>
        <w:ind w:left="360" w:hanging="360"/>
        <w:rPr>
          <w:noProof/>
        </w:rPr>
      </w:pPr>
      <w:r>
        <w:rPr>
          <w:noProof/>
        </w:rPr>
        <w:t xml:space="preserve">Οι οικονομικές καταστάσεις προ της ενοποίησης περιλαμβάνουν όλα τα ποσά που υποκατέστησε η ΕΕ ως αποτέλεσμα των πληρωμών εγγυήσεων που κατέπεσαν μετά από αίτημα της ΕΤΕπ λόγω μη καταβολής δόσεων δανείων (ληξιπρόθεσμες οφειλές συν οι οφειλόμενοι τόκοι υπερημερίας). Ωστόσο, δεδομένης της πολιτικής κατάστασης της Συρίας και με βάση απόφαση του Υπολόγου της Ευρωπαϊκής Επιτροπής, τα εν λόγω ποσά έχουν απομειωθεί στο σύνολό τους στις οικονομικές καταστάσεις του 2018. </w:t>
      </w:r>
    </w:p>
    <w:p>
      <w:pPr>
        <w:numPr>
          <w:ilvl w:val="0"/>
          <w:numId w:val="13"/>
        </w:numPr>
        <w:tabs>
          <w:tab w:val="clear" w:pos="850"/>
        </w:tabs>
        <w:ind w:left="360" w:hanging="360"/>
        <w:rPr>
          <w:noProof/>
        </w:rPr>
      </w:pPr>
      <w:r>
        <w:rPr>
          <w:noProof/>
        </w:rPr>
        <w:t xml:space="preserve">Οι οικονομικές καταστάσεις προ της ενοποίησης δεν περιλαμβάνουν ποσό 103,2 εκατ. EUR, από συνεισφορά από τον προϋπολογισμό της ΕΕ στο Ταμείο, που μεταβιβάστηκε το 2019, δεδομένου ότι η απαίτηση αυτή αντισταθμίζεται από την αντίστοιχη οφειλή στους ενοποιημένους λογαριασμούς της ΕΕ. </w:t>
      </w:r>
    </w:p>
    <w:p>
      <w:pPr>
        <w:numPr>
          <w:ilvl w:val="0"/>
          <w:numId w:val="13"/>
        </w:numPr>
        <w:tabs>
          <w:tab w:val="clear" w:pos="850"/>
        </w:tabs>
        <w:ind w:left="360" w:hanging="360"/>
        <w:rPr>
          <w:noProof/>
        </w:rPr>
      </w:pPr>
      <w:r>
        <w:rPr>
          <w:noProof/>
        </w:rPr>
        <w:t xml:space="preserve">Χρηματοοικονομικές διατάξεις ύψους 209,9 εκατ. EUR σχετικά με μελλοντικές δόσεις των εναπομενόντων ανεξόφλητων συριακών δανείων αναγνωρίστηκαν στον ισολογισμό προ της ενοποίησης το 2018. </w:t>
      </w:r>
    </w:p>
    <w:p>
      <w:pPr>
        <w:pStyle w:val="ListBullet"/>
        <w:tabs>
          <w:tab w:val="clear" w:pos="283"/>
        </w:tabs>
        <w:ind w:left="360" w:hanging="360"/>
        <w:rPr>
          <w:noProof/>
        </w:rPr>
      </w:pPr>
      <w:r>
        <w:rPr>
          <w:noProof/>
        </w:rPr>
        <w:t>Οι καταβολές εγγυήσεων που κατέπεσαν από το Ταμείο Εγγυήσεων στην ΕΤΕπ (και, κατά περίπτωση, οι διαδοχικές εισπράξεις των εγγυήσεων που κατέπεσαν και των τόκων υπερημερίας) αναγνωρίζονται ως μειώσεις (αυξήσεις) του Καθαρού Ενεργητικού (Συνεισφορά της Ευρωπαϊκής Ένωσης) στις οικονομικές καταστάσεις που καταρτίστηκαν από την ΕΤΕπ. Στις οικονομικές καταστάσεις προ της ενοποίησης, τα ποσά που καταβλήθηκαν για εγγυήσεις που κατέπεσαν μετά από αίτημα της ΕΤΕπ δεν αφαιρούνται από το Καθαρό Ενεργητικό καθώς καθίστανται υποκατάστατα ποσά. Τα συναφή ποσά υπολογίζονται είτε ως έσοδα (συσσωρευόμενοι τόκοι υπερημερίας και πρόστιμα, συναλλαγματικά κέρδη) είτε ως δαπάνες (συσσωρευόμενα τέλη είσπραξης προς την ΕΤΕπ, απομειώσεις, συναλλαγματικές ζημίες). Αυτό έχει ως αποτέλεσμα μια μόνιμη διαφορά μεταξύ των στοιχείων Καθαρού Ενεργητικού (Συνεισφορά της Ευρωπαϊκής Ένωσης και Κέρδη εις νέον) τα οποία αναγνωρίζονται στις οικονομικές καταστάσεις που καταρτίστηκαν από την ΕΤΕπ και, αντίστοιχα, στις οικονομικές καταστάσεις του Ταμείου προ της ενοποίησης που καταρτίστηκαν από την Ευρωπαϊκή Επιτροπή.</w:t>
      </w:r>
    </w:p>
    <w:p>
      <w:pPr>
        <w:pStyle w:val="ManualHeading2"/>
        <w:rPr>
          <w:noProof/>
        </w:rPr>
      </w:pPr>
      <w:r>
        <w:rPr>
          <w:noProof/>
        </w:rPr>
        <w:br w:type="page"/>
      </w:r>
      <w:bookmarkStart w:id="32" w:name="_Toc14944787"/>
      <w:r>
        <w:rPr>
          <w:noProof/>
        </w:rPr>
        <w:t>3.2.</w:t>
      </w:r>
      <w:r>
        <w:rPr>
          <w:noProof/>
        </w:rPr>
        <w:tab/>
        <w:t>Κατάσταση οικονομικών αποτελεσμάτων προ της ενοποίησης</w:t>
      </w:r>
      <w:bookmarkEnd w:id="32"/>
    </w:p>
    <w:p>
      <w:pPr>
        <w:rPr>
          <w:noProof/>
        </w:rPr>
      </w:pPr>
      <w:r>
        <w:rPr>
          <w:noProof/>
        </w:rPr>
        <w:t xml:space="preserve">Κατά τον ίδιο τρόπο με τον ισολογισμό, η κατάσταση οικονομικών αποτελεσμάτων προ της ενοποίησης καταρτίζεται για συμπερίληψη στις ενοποιημένες οικονομικές καταστάσεις της ΕΕ. </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1768"/>
        <w:gridCol w:w="1776"/>
      </w:tblGrid>
      <w:tr>
        <w:tc>
          <w:tcPr>
            <w:tcW w:w="4786" w:type="dxa"/>
            <w:shd w:val="clear" w:color="auto" w:fill="auto"/>
          </w:tcPr>
          <w:p>
            <w:pPr>
              <w:jc w:val="center"/>
              <w:rPr>
                <w:noProof/>
              </w:rPr>
            </w:pPr>
          </w:p>
        </w:tc>
        <w:tc>
          <w:tcPr>
            <w:tcW w:w="1768" w:type="dxa"/>
            <w:shd w:val="clear" w:color="auto" w:fill="auto"/>
          </w:tcPr>
          <w:p>
            <w:pPr>
              <w:jc w:val="center"/>
              <w:rPr>
                <w:noProof/>
              </w:rPr>
            </w:pPr>
            <w:r>
              <w:rPr>
                <w:noProof/>
              </w:rPr>
              <w:t>2018</w:t>
            </w:r>
          </w:p>
        </w:tc>
        <w:tc>
          <w:tcPr>
            <w:tcW w:w="1776" w:type="dxa"/>
          </w:tcPr>
          <w:p>
            <w:pPr>
              <w:jc w:val="center"/>
              <w:rPr>
                <w:noProof/>
              </w:rPr>
            </w:pPr>
            <w:r>
              <w:rPr>
                <w:noProof/>
              </w:rPr>
              <w:t>2017</w:t>
            </w:r>
          </w:p>
        </w:tc>
      </w:tr>
      <w:tr>
        <w:tc>
          <w:tcPr>
            <w:tcW w:w="4786" w:type="dxa"/>
            <w:shd w:val="clear" w:color="auto" w:fill="auto"/>
          </w:tcPr>
          <w:p>
            <w:pPr>
              <w:rPr>
                <w:noProof/>
              </w:rPr>
            </w:pPr>
            <w:r>
              <w:rPr>
                <w:noProof/>
              </w:rPr>
              <w:t>Έσοδα από δραστηριότητες λειτουργίας</w:t>
            </w:r>
          </w:p>
        </w:tc>
        <w:tc>
          <w:tcPr>
            <w:tcW w:w="1768" w:type="dxa"/>
            <w:shd w:val="clear" w:color="auto" w:fill="auto"/>
          </w:tcPr>
          <w:p>
            <w:pPr>
              <w:jc w:val="right"/>
              <w:rPr>
                <w:noProof/>
              </w:rPr>
            </w:pPr>
            <w:r>
              <w:rPr>
                <w:noProof/>
              </w:rPr>
              <w:t>2 928 446</w:t>
            </w:r>
          </w:p>
        </w:tc>
        <w:tc>
          <w:tcPr>
            <w:tcW w:w="1776" w:type="dxa"/>
          </w:tcPr>
          <w:p>
            <w:pPr>
              <w:jc w:val="right"/>
              <w:rPr>
                <w:noProof/>
              </w:rPr>
            </w:pPr>
            <w:r>
              <w:rPr>
                <w:noProof/>
              </w:rPr>
              <w:t>939 062</w:t>
            </w:r>
          </w:p>
        </w:tc>
      </w:tr>
      <w:tr>
        <w:tc>
          <w:tcPr>
            <w:tcW w:w="4786" w:type="dxa"/>
            <w:tcBorders>
              <w:bottom w:val="single" w:sz="4" w:space="0" w:color="auto"/>
            </w:tcBorders>
            <w:shd w:val="clear" w:color="auto" w:fill="auto"/>
          </w:tcPr>
          <w:p>
            <w:pPr>
              <w:rPr>
                <w:noProof/>
              </w:rPr>
            </w:pPr>
            <w:r>
              <w:rPr>
                <w:noProof/>
              </w:rPr>
              <w:t>Δαπάνες από δραστηριότητες λειτουργίας</w:t>
            </w:r>
          </w:p>
        </w:tc>
        <w:tc>
          <w:tcPr>
            <w:tcW w:w="1768" w:type="dxa"/>
            <w:tcBorders>
              <w:bottom w:val="single" w:sz="4" w:space="0" w:color="auto"/>
            </w:tcBorders>
            <w:shd w:val="clear" w:color="auto" w:fill="auto"/>
          </w:tcPr>
          <w:p>
            <w:pPr>
              <w:jc w:val="right"/>
              <w:rPr>
                <w:noProof/>
              </w:rPr>
            </w:pPr>
            <w:r>
              <w:rPr>
                <w:noProof/>
              </w:rPr>
              <w:t>(4 876 241)</w:t>
            </w:r>
          </w:p>
        </w:tc>
        <w:tc>
          <w:tcPr>
            <w:tcW w:w="1776" w:type="dxa"/>
            <w:tcBorders>
              <w:bottom w:val="single" w:sz="4" w:space="0" w:color="auto"/>
            </w:tcBorders>
          </w:tcPr>
          <w:p>
            <w:pPr>
              <w:jc w:val="right"/>
              <w:rPr>
                <w:noProof/>
              </w:rPr>
            </w:pPr>
            <w:r>
              <w:rPr>
                <w:noProof/>
              </w:rPr>
              <w:t>(3 834 219)</w:t>
            </w:r>
          </w:p>
        </w:tc>
      </w:tr>
      <w:tr>
        <w:tc>
          <w:tcPr>
            <w:tcW w:w="4786" w:type="dxa"/>
            <w:shd w:val="pct20" w:color="auto" w:fill="auto"/>
          </w:tcPr>
          <w:p>
            <w:pPr>
              <w:rPr>
                <w:noProof/>
              </w:rPr>
            </w:pPr>
            <w:r>
              <w:rPr>
                <w:noProof/>
                <w14:shadow w14:blurRad="50800" w14:dist="38100" w14:dir="2700000" w14:sx="100000" w14:sy="100000" w14:kx="0" w14:ky="0" w14:algn="tl">
                  <w14:srgbClr w14:val="000000">
                    <w14:alpha w14:val="60000"/>
                  </w14:srgbClr>
                </w14:shadow>
              </w:rPr>
              <w:t>ΑΠΟΤΕΛΕΣΜΑ ΑΠΟ ΔΡΑΣΤΗΡΙΟΤΗΤΕΣ ΛΕΙΤΟΥΡΓΙΑΣ</w:t>
            </w:r>
          </w:p>
        </w:tc>
        <w:tc>
          <w:tcPr>
            <w:tcW w:w="1768" w:type="dxa"/>
            <w:shd w:val="pct20" w:color="auto" w:fill="auto"/>
          </w:tcPr>
          <w:p>
            <w:pPr>
              <w:jc w:val="right"/>
              <w:rPr>
                <w:noProof/>
              </w:rPr>
            </w:pPr>
            <w:r>
              <w:rPr>
                <w:noProof/>
              </w:rPr>
              <w:t>(1 947 795)</w:t>
            </w:r>
          </w:p>
        </w:tc>
        <w:tc>
          <w:tcPr>
            <w:tcW w:w="1776" w:type="dxa"/>
            <w:shd w:val="pct20" w:color="auto" w:fill="auto"/>
          </w:tcPr>
          <w:p>
            <w:pPr>
              <w:jc w:val="right"/>
              <w:rPr>
                <w:noProof/>
              </w:rPr>
            </w:pPr>
            <w:r>
              <w:rPr>
                <w:noProof/>
              </w:rPr>
              <w:t>(2 895 157)</w:t>
            </w:r>
          </w:p>
        </w:tc>
      </w:tr>
      <w:tr>
        <w:tc>
          <w:tcPr>
            <w:tcW w:w="4786" w:type="dxa"/>
            <w:shd w:val="clear" w:color="auto" w:fill="auto"/>
          </w:tcPr>
          <w:p>
            <w:pPr>
              <w:rPr>
                <w:noProof/>
              </w:rPr>
            </w:pPr>
            <w:r>
              <w:rPr>
                <w:noProof/>
              </w:rPr>
              <w:t>Χρηματοοικονομικά έσοδα</w:t>
            </w:r>
          </w:p>
        </w:tc>
        <w:tc>
          <w:tcPr>
            <w:tcW w:w="1768" w:type="dxa"/>
            <w:shd w:val="clear" w:color="auto" w:fill="auto"/>
          </w:tcPr>
          <w:p>
            <w:pPr>
              <w:jc w:val="right"/>
              <w:rPr>
                <w:noProof/>
              </w:rPr>
            </w:pPr>
            <w:r>
              <w:rPr>
                <w:noProof/>
              </w:rPr>
              <w:t>30 241 834</w:t>
            </w:r>
          </w:p>
        </w:tc>
        <w:tc>
          <w:tcPr>
            <w:tcW w:w="1776" w:type="dxa"/>
          </w:tcPr>
          <w:p>
            <w:pPr>
              <w:jc w:val="right"/>
              <w:rPr>
                <w:noProof/>
              </w:rPr>
            </w:pPr>
            <w:r>
              <w:rPr>
                <w:noProof/>
              </w:rPr>
              <w:t>29 913 694</w:t>
            </w:r>
          </w:p>
        </w:tc>
      </w:tr>
      <w:tr>
        <w:tc>
          <w:tcPr>
            <w:tcW w:w="4786" w:type="dxa"/>
            <w:tcBorders>
              <w:bottom w:val="single" w:sz="4" w:space="0" w:color="auto"/>
            </w:tcBorders>
            <w:shd w:val="clear" w:color="auto" w:fill="auto"/>
          </w:tcPr>
          <w:p>
            <w:pPr>
              <w:rPr>
                <w:noProof/>
              </w:rPr>
            </w:pPr>
            <w:r>
              <w:rPr>
                <w:noProof/>
              </w:rPr>
              <w:t>Χρηματοοικονομικά έξοδα</w:t>
            </w:r>
          </w:p>
        </w:tc>
        <w:tc>
          <w:tcPr>
            <w:tcW w:w="1768" w:type="dxa"/>
            <w:tcBorders>
              <w:bottom w:val="single" w:sz="4" w:space="0" w:color="auto"/>
            </w:tcBorders>
            <w:shd w:val="clear" w:color="auto" w:fill="auto"/>
          </w:tcPr>
          <w:p>
            <w:pPr>
              <w:jc w:val="right"/>
              <w:rPr>
                <w:noProof/>
              </w:rPr>
            </w:pPr>
            <w:r>
              <w:rPr>
                <w:noProof/>
              </w:rPr>
              <w:t>(20 906 275)</w:t>
            </w:r>
          </w:p>
        </w:tc>
        <w:tc>
          <w:tcPr>
            <w:tcW w:w="1776" w:type="dxa"/>
            <w:tcBorders>
              <w:bottom w:val="single" w:sz="4" w:space="0" w:color="auto"/>
            </w:tcBorders>
          </w:tcPr>
          <w:p>
            <w:pPr>
              <w:jc w:val="right"/>
              <w:rPr>
                <w:noProof/>
              </w:rPr>
            </w:pPr>
            <w:r>
              <w:rPr>
                <w:noProof/>
              </w:rPr>
              <w:t>(51 793 999)</w:t>
            </w:r>
          </w:p>
        </w:tc>
      </w:tr>
      <w:tr>
        <w:tc>
          <w:tcPr>
            <w:tcW w:w="4786" w:type="dxa"/>
            <w:shd w:val="pct20" w:color="auto" w:fill="auto"/>
          </w:tcPr>
          <w:p>
            <w:pPr>
              <w:rPr>
                <w:noProof/>
              </w:rPr>
            </w:pPr>
            <w:r>
              <w:rPr>
                <w:noProof/>
              </w:rPr>
              <w:t>ΧΡΗΜΑΤΟΟΙΚΟΝΟΜΙΚΟ ΑΠΟΤΕΛΕΣΜΑ</w:t>
            </w:r>
          </w:p>
        </w:tc>
        <w:tc>
          <w:tcPr>
            <w:tcW w:w="1768" w:type="dxa"/>
            <w:shd w:val="pct20" w:color="auto" w:fill="auto"/>
          </w:tcPr>
          <w:p>
            <w:pPr>
              <w:jc w:val="right"/>
              <w:rPr>
                <w:noProof/>
              </w:rPr>
            </w:pPr>
            <w:r>
              <w:rPr>
                <w:noProof/>
              </w:rPr>
              <w:t>9 335 559</w:t>
            </w:r>
          </w:p>
        </w:tc>
        <w:tc>
          <w:tcPr>
            <w:tcW w:w="1776" w:type="dxa"/>
            <w:shd w:val="pct20" w:color="auto" w:fill="auto"/>
          </w:tcPr>
          <w:p>
            <w:pPr>
              <w:jc w:val="right"/>
              <w:rPr>
                <w:noProof/>
              </w:rPr>
            </w:pPr>
            <w:r>
              <w:rPr>
                <w:noProof/>
              </w:rPr>
              <w:t>(21 880 305)</w:t>
            </w:r>
          </w:p>
        </w:tc>
      </w:tr>
      <w:tr>
        <w:tc>
          <w:tcPr>
            <w:tcW w:w="4786" w:type="dxa"/>
            <w:tcBorders>
              <w:bottom w:val="single" w:sz="4" w:space="0" w:color="auto"/>
            </w:tcBorders>
            <w:shd w:val="clear" w:color="auto" w:fill="auto"/>
          </w:tcPr>
          <w:p>
            <w:pPr>
              <w:rPr>
                <w:noProof/>
              </w:rPr>
            </w:pPr>
          </w:p>
        </w:tc>
        <w:tc>
          <w:tcPr>
            <w:tcW w:w="1768" w:type="dxa"/>
            <w:tcBorders>
              <w:bottom w:val="single" w:sz="4" w:space="0" w:color="auto"/>
            </w:tcBorders>
            <w:shd w:val="clear" w:color="auto" w:fill="auto"/>
          </w:tcPr>
          <w:p>
            <w:pPr>
              <w:jc w:val="right"/>
              <w:rPr>
                <w:noProof/>
              </w:rPr>
            </w:pPr>
          </w:p>
        </w:tc>
        <w:tc>
          <w:tcPr>
            <w:tcW w:w="1776" w:type="dxa"/>
            <w:tcBorders>
              <w:bottom w:val="single" w:sz="4" w:space="0" w:color="auto"/>
            </w:tcBorders>
          </w:tcPr>
          <w:p>
            <w:pPr>
              <w:jc w:val="right"/>
              <w:rPr>
                <w:noProof/>
              </w:rPr>
            </w:pPr>
          </w:p>
        </w:tc>
      </w:tr>
      <w:tr>
        <w:tc>
          <w:tcPr>
            <w:tcW w:w="4786" w:type="dxa"/>
            <w:shd w:val="pct20" w:color="auto" w:fill="auto"/>
          </w:tcPr>
          <w:p>
            <w:pPr>
              <w:rPr>
                <w:noProof/>
              </w:rPr>
            </w:pPr>
            <w:r>
              <w:rPr>
                <w:noProof/>
              </w:rPr>
              <w:t>ΟΙΚΟΝΟΜΙΚΟ ΑΠΟΤΕΛΕΣΜΑ ΧΡΗΣΗΣ</w:t>
            </w:r>
          </w:p>
        </w:tc>
        <w:tc>
          <w:tcPr>
            <w:tcW w:w="1768" w:type="dxa"/>
            <w:shd w:val="pct20" w:color="auto" w:fill="auto"/>
          </w:tcPr>
          <w:p>
            <w:pPr>
              <w:jc w:val="right"/>
              <w:rPr>
                <w:noProof/>
              </w:rPr>
            </w:pPr>
            <w:r>
              <w:rPr>
                <w:noProof/>
              </w:rPr>
              <w:t>7 387 764</w:t>
            </w:r>
          </w:p>
        </w:tc>
        <w:tc>
          <w:tcPr>
            <w:tcW w:w="1776" w:type="dxa"/>
            <w:shd w:val="pct20" w:color="auto" w:fill="auto"/>
          </w:tcPr>
          <w:p>
            <w:pPr>
              <w:jc w:val="right"/>
              <w:rPr>
                <w:noProof/>
              </w:rPr>
            </w:pPr>
            <w:r>
              <w:rPr>
                <w:noProof/>
              </w:rPr>
              <w:t>(24 775 462)</w:t>
            </w:r>
          </w:p>
        </w:tc>
      </w:tr>
    </w:tbl>
    <w:p>
      <w:pPr>
        <w:pStyle w:val="ListBullet"/>
        <w:numPr>
          <w:ilvl w:val="0"/>
          <w:numId w:val="0"/>
        </w:numPr>
        <w:ind w:left="283" w:hanging="283"/>
        <w:rPr>
          <w:noProof/>
        </w:rPr>
      </w:pPr>
      <w:bookmarkStart w:id="33" w:name="RANGE!A1:C28"/>
      <w:bookmarkStart w:id="34" w:name="_Toc323019504"/>
      <w:bookmarkStart w:id="35" w:name="_Toc354050130"/>
      <w:bookmarkStart w:id="36" w:name="_Toc358294851"/>
      <w:bookmarkStart w:id="37" w:name="_Toc415838348"/>
      <w:bookmarkEnd w:id="28"/>
      <w:bookmarkEnd w:id="29"/>
      <w:bookmarkEnd w:id="33"/>
    </w:p>
    <w:p>
      <w:pPr>
        <w:pStyle w:val="ListBullet"/>
        <w:tabs>
          <w:tab w:val="clear" w:pos="283"/>
        </w:tabs>
        <w:ind w:left="360" w:hanging="360"/>
        <w:rPr>
          <w:noProof/>
        </w:rPr>
      </w:pPr>
      <w:r>
        <w:rPr>
          <w:noProof/>
        </w:rPr>
        <w:t xml:space="preserve">Τα έσοδα από δραστηριότητες λειτουργίας περιλαμβάνουν συναλλαγματικά κέρδη και αντεστραμμένα υπόλοιπα του 2017 δεδουλευμένων τελών είσπραξης προς την ΕΤΕπ, τα οποία προκύπτουν από τις απαιτήσεις της νέας συμφωνίας ανάκτησης που υπεγράφη το 2018. Η νέα συμφωνία δεν προβλέπει πλέον καταβολή τελών για τα εσωτερικά έξοδα είσπραξης της ΕΤΕπ. </w:t>
      </w:r>
    </w:p>
    <w:p>
      <w:pPr>
        <w:pStyle w:val="ListBullet"/>
        <w:tabs>
          <w:tab w:val="clear" w:pos="283"/>
        </w:tabs>
        <w:ind w:left="360" w:hanging="360"/>
        <w:rPr>
          <w:noProof/>
        </w:rPr>
      </w:pPr>
      <w:r>
        <w:rPr>
          <w:noProof/>
        </w:rPr>
        <w:t xml:space="preserve">Οι δαπάνες από δραστηριότητες λειτουργίας περιλαμβάνουν κυρίως τέλη διαχείρισης ενεργητικού της ΕΤΕπ (0,9 εκατ. EUR), τέλη για τα εξωτερικά έξοδα είσπραξης της ΕΤΕπ (1,9 εκατ. EUR) και μια προσθήκη στις χρηματοοικονομικές διατάξεις σχετικά με τις υπολειπόμενες μελλοντικές δόσεις για τη Συρία (1,9 εκατ. EUR). </w:t>
      </w:r>
    </w:p>
    <w:p>
      <w:pPr>
        <w:pStyle w:val="ListBullet"/>
        <w:tabs>
          <w:tab w:val="clear" w:pos="283"/>
        </w:tabs>
        <w:ind w:left="360" w:hanging="360"/>
        <w:rPr>
          <w:noProof/>
        </w:rPr>
      </w:pPr>
      <w:r>
        <w:rPr>
          <w:noProof/>
        </w:rPr>
        <w:t>Τα χρηματοοικονομικά έσοδα περιλαμβάνουν κυρίως τα έσοδα από τόκους από το επενδυτικό χαρτοφυλάκιο (6,3 εκατ. EUR), κέρδη από την πώληση χρηματοοικονομικών στοιχείων ενεργητικού (10,0 εκατ. EUR) και οφειλόμενους τόκους υπερημερίας επί των υποκατάστατων ποσών (13,9 εκατ. EUR)</w:t>
      </w:r>
    </w:p>
    <w:p>
      <w:pPr>
        <w:numPr>
          <w:ilvl w:val="0"/>
          <w:numId w:val="13"/>
        </w:numPr>
        <w:rPr>
          <w:noProof/>
        </w:rPr>
      </w:pPr>
      <w:r>
        <w:rPr>
          <w:noProof/>
        </w:rPr>
        <w:t xml:space="preserve">Τα χρηματοοικονομικά έξοδα περιλαμβάνουν κυρίως ζημίες απομείωσης (19,6 εκατ. EUR) επί των ποσών που υποκατέστησε η ΕΕ το 2018 (βλ. σημείο 5), έξοδα από τόκους επί ταμειακών διαθεσίμων και ισοδυνάμων (0,9 εκατ. EUR) και πραγματοποιηθείσες ζημίες από την πώληση χρηματοοικονομικών στοιχείων ενεργητικού (0,5 εκατ. EUR). </w:t>
      </w:r>
    </w:p>
    <w:p>
      <w:pPr>
        <w:pStyle w:val="ManualHeading1"/>
        <w:rPr>
          <w:noProof/>
        </w:rPr>
      </w:pPr>
      <w:bookmarkStart w:id="38" w:name="_Toc14944788"/>
      <w:r>
        <w:rPr>
          <w:noProof/>
        </w:rPr>
        <w:t>4.</w:t>
      </w:r>
      <w:r>
        <w:rPr>
          <w:noProof/>
        </w:rPr>
        <w:tab/>
        <w:t>Διαχείριση ρευστών διαθεσίμων του Ταμείου Εγγυήσεων</w:t>
      </w:r>
      <w:bookmarkEnd w:id="38"/>
      <w:r>
        <w:rPr>
          <w:noProof/>
        </w:rPr>
        <w:t xml:space="preserve"> </w:t>
      </w:r>
    </w:p>
    <w:p>
      <w:pPr>
        <w:pStyle w:val="ManualHeading2"/>
        <w:spacing w:before="360"/>
        <w:ind w:left="851" w:hanging="851"/>
        <w:rPr>
          <w:noProof/>
        </w:rPr>
      </w:pPr>
      <w:bookmarkStart w:id="39" w:name="_Toc478037617"/>
      <w:bookmarkStart w:id="40" w:name="_Toc478625455"/>
      <w:bookmarkStart w:id="41" w:name="_Toc14944789"/>
      <w:bookmarkStart w:id="42" w:name="_Toc323019509"/>
      <w:bookmarkEnd w:id="34"/>
      <w:bookmarkEnd w:id="35"/>
      <w:bookmarkEnd w:id="36"/>
      <w:bookmarkEnd w:id="37"/>
      <w:bookmarkEnd w:id="39"/>
      <w:bookmarkEnd w:id="40"/>
      <w:r>
        <w:rPr>
          <w:noProof/>
        </w:rPr>
        <w:t>4.1.</w:t>
      </w:r>
      <w:r>
        <w:rPr>
          <w:noProof/>
        </w:rPr>
        <w:tab/>
        <w:t>Επενδυτική πολιτική</w:t>
      </w:r>
      <w:bookmarkEnd w:id="41"/>
      <w:r>
        <w:rPr>
          <w:noProof/>
        </w:rPr>
        <w:t xml:space="preserve"> </w:t>
      </w:r>
    </w:p>
    <w:p>
      <w:pPr>
        <w:rPr>
          <w:noProof/>
        </w:rPr>
      </w:pPr>
      <w:r>
        <w:rPr>
          <w:noProof/>
        </w:rPr>
        <w:t>Οι τοποθετήσεις των ρευστών διαθεσίμων του Ταμείου πραγματοποιούνται σύμφωνα με τις αρχές διαχείρισης που προβλέπονται στο παράρτημα της συμφωνίας διαχείρισης, όπως τροποποιήθηκε</w:t>
      </w:r>
      <w:r>
        <w:rPr>
          <w:rStyle w:val="FootnoteReference"/>
          <w:noProof/>
        </w:rPr>
        <w:footnoteReference w:id="3"/>
      </w:r>
      <w:r>
        <w:rPr>
          <w:noProof/>
        </w:rPr>
        <w:t xml:space="preserve">. Συνεπώς, επαρκή στοιχεία του ενεργητικού θα τοποθετούνται σε χρηματικά στοιχεία ενεργητικού για την κάλυψη βραχυπρόθεσμων (κάτω του έτους) εκροών, σε ποσοστό που καθορίζεται στην ετήσια επενδυτική στρατηγική. Τα υπόλοιπα στοιχεία του ενεργητικού μπορούν να τοποθετούνται σε μεσομακροπρόθεσμα μέσα, μέγιστης ληκτότητας 10 ετών και 6 μηνών από την ημερομηνία πληρωμής (μεσομακροπρόθεσμο χαρτοφυλάκιο). </w:t>
      </w:r>
    </w:p>
    <w:p>
      <w:pPr>
        <w:pStyle w:val="ManualHeading2"/>
        <w:spacing w:before="360"/>
        <w:ind w:left="851" w:hanging="851"/>
        <w:rPr>
          <w:noProof/>
        </w:rPr>
      </w:pPr>
      <w:bookmarkStart w:id="43" w:name="_Toc14944790"/>
      <w:r>
        <w:rPr>
          <w:noProof/>
        </w:rPr>
        <w:t>4.2.</w:t>
      </w:r>
      <w:r>
        <w:rPr>
          <w:noProof/>
        </w:rPr>
        <w:tab/>
      </w:r>
      <w:r>
        <w:rPr>
          <w:noProof/>
        </w:rPr>
        <w:tab/>
        <w:t>Επιδόσεις και εξελίξεις στην αγορά το 2018</w:t>
      </w:r>
      <w:bookmarkEnd w:id="43"/>
    </w:p>
    <w:p>
      <w:pPr>
        <w:rPr>
          <w:noProof/>
        </w:rPr>
      </w:pPr>
      <w:r>
        <w:rPr>
          <w:noProof/>
        </w:rPr>
        <w:t>Το 2018 χαρακτηρίστηκε από διακυμάνσεις των αποδόσεων στις ευρωπαϊκές αγορές σταθερού εισοδήματος με ποσοστά που κινήθηκαν υψηλότερα κατά το πρώτο τρίμηνο, λόγω των προσδοκιών σχετικά με τη λήξη της ποσοτικής χαλάρωσης της ΕΚΤ. Τα επιτόκια στη συνέχεια κινήθηκαν σε ετήσια χαμηλά επίπεδα κατά το τέλος του έτους, λόγω συρρίκνωσης της οικονομικής ανάπτυξης. Οι αποκλίσεις των πιστωτικών περιθωρίων αυξήθηκαν κατά τη διάρκεια του έτους, κίνηση που επιταχύνθηκε τον Δεκέμβριο με την πτώση των κεφαλαιαγορών και τις προσδοκίες για αυστηρότερες νομισματικές πολιτικές.</w:t>
      </w:r>
    </w:p>
    <w:p>
      <w:pPr>
        <w:autoSpaceDE w:val="0"/>
        <w:autoSpaceDN w:val="0"/>
        <w:adjustRightInd w:val="0"/>
        <w:rPr>
          <w:noProof/>
        </w:rPr>
      </w:pPr>
      <w:r>
        <w:rPr>
          <w:noProof/>
        </w:rPr>
        <w:t xml:space="preserve">Καθ’ όλη τη διάρκεια του έτους, οι χρηματοπιστωτικές αγορές επηρεάστηκαν από τους ακόλουθους παράγοντες κινδύνου. Η επιβολή εμπορικών δασμών από τον πρόεδρο Ντόναλντ Τραμπ επιβράδυνε την οικονομική ανάπτυξη και ο πληθωρισμός παρέμεινε κάτω από τους στόχους της κεντρικής τράπεζας λόγω των χαμηλών τιμών στα βασικά προϊόντα και των παραγόντων της παγκοσμιοποίησης. Οι αβέβαιες προοπτικές των διαπραγματεύσεων για το Brexit επιβάρυναν τις χρηματοδοτικές και μη εταιρείες του Ηνωμένου Βασιλείου. Οι προεκτάσεις των ιταλικών εκλογών του Μαρτίου έγιναν αισθητές τον Μάιο, καθώς οι διαφορές αποδόσεων των ιταλικών ομολόγων έναντι των γερμανικών αυξήθηκαν σε περισσότερες από 250 μονάδες βάσης. </w:t>
      </w:r>
    </w:p>
    <w:p>
      <w:pPr>
        <w:rPr>
          <w:noProof/>
        </w:rPr>
      </w:pPr>
      <w:r>
        <w:rPr>
          <w:noProof/>
        </w:rPr>
        <w:t>Η νομισματική πολιτική των μεγάλων παγκόσμιων κεντρικών τραπεζών έγινε αυστηρότερη το 2018. Η Ομοσπονδιακή Κεντρική Τράπεζα των ΗΠΑ συνέχισε τον κύκλο αυξήσεων των επιτοκίων ανά τρίμηνο κατά 25 μονάδες βάσης, αυξάνοντας το επιτόκιο-στόχο των FED funds στο 2,50-2,75 % έως το τέλος του έτους. Η ΕΚΤ μείωσε τις καθαρές αγορές στοιχείων ενεργητικού, στο πλαίσιο της πολιτικής ποσοτικής χαλάρωσης, από 30 σε 15 δισ. EUR τον Σεπτέμβριο και διέκοψε τις καθαρές αγορές στο τέλος του 2018. Οι επανεπενδύσεις των ληξιπρόθεσμων ομολόγων στον ισολογισμό της ΕΚΤ θα συνεχίσουν να στηρίζουν τις αγορές. Ωστόσο, πιο πρόσφατα, η νομισματική πολιτική και στις δύο πλευρές του Ατλαντικού έχει γίνει πιο διστακτική απέναντι στην αυξανόμενη αβεβαιότητα. Η αγορά δεν αναμένει πλέον περαιτέρω αυξήσεις από την Ομοσπονδιακή Κεντρική Τράπεζα των ΗΠΑ, ενώ η πρώτη αύξηση επιτοκίων της ΕΚΤ αναβλήθηκε για το 2020. Η οικονομική ανάπτυξη αναμένεται να επιβραδυνθεί από 2,9 % το 2018 σε 2,5 % το 2019 για τις ΗΠΑ και από 1,9 % σε 1,4 % για τη ζώνη του ευρώ.</w:t>
      </w:r>
    </w:p>
    <w:p>
      <w:pPr>
        <w:rPr>
          <w:noProof/>
        </w:rPr>
      </w:pPr>
      <w:r>
        <w:rPr>
          <w:noProof/>
        </w:rPr>
        <w:t>Όσον αφορά το μέλλον, το 2019 αναμένεται να διατηρηθεί η αστάθεια της αγοράς, καθώς η αβεβαιότητα γύρω από το Brexit και η επιβράδυνση της ανάπτυξης θα επηρεάσουν τα επιτόκια της αγοράς που σήμερα προσεγγίζουν ιστορικά χαμηλά επίπεδα. Ταυτόχρονα, τα πιστωτικά περιθώρια έχουν αυξητικές τάσεις, καθώς η οικονομική συγκυρία ωριμάζει στις ΗΠΑ και οι αγορές στοιχείων ενεργητικού από τις κεντρικές τράπεζες έχουν διακοπεί στην ΕΕ.</w:t>
      </w:r>
    </w:p>
    <w:p>
      <w:pPr>
        <w:rPr>
          <w:noProof/>
        </w:rPr>
      </w:pPr>
      <w:r>
        <w:rPr>
          <w:noProof/>
        </w:rPr>
        <w:t xml:space="preserve">Οι επιδόσεις του χαρτοφυλακίου του Ταμείου παρακολουθούνταν βάσει αποτίμησης σε τρέχουσες τιμές αγοράς (εύλογη αξία). Στη διάρκεια του 2018, το χαρτοφυλάκιο είχε ετήσια απόδοση 0,1005 % MTM, υπερβαίνοντας τις επιδόσεις του επιπέδου αναφοράς κατά +13,5 μονάδες βάσης. </w:t>
      </w:r>
    </w:p>
    <w:p>
      <w:pPr>
        <w:pStyle w:val="ManualHeading1"/>
        <w:rPr>
          <w:noProof/>
        </w:rPr>
      </w:pPr>
      <w:bookmarkStart w:id="44" w:name="_Toc14944791"/>
      <w:bookmarkEnd w:id="42"/>
      <w:r>
        <w:rPr>
          <w:noProof/>
        </w:rPr>
        <w:t>5.</w:t>
      </w:r>
      <w:r>
        <w:rPr>
          <w:noProof/>
        </w:rPr>
        <w:tab/>
        <w:t>Καταπτώσεις εγγυήσεων του Ταμείου Εγγυήσεων</w:t>
      </w:r>
      <w:bookmarkEnd w:id="44"/>
      <w:r>
        <w:rPr>
          <w:noProof/>
        </w:rPr>
        <w:t xml:space="preserve"> </w:t>
      </w:r>
    </w:p>
    <w:p>
      <w:pPr>
        <w:keepNext/>
        <w:spacing w:after="0"/>
        <w:rPr>
          <w:b/>
          <w:noProof/>
          <w:u w:val="single"/>
        </w:rPr>
      </w:pPr>
      <w:r>
        <w:rPr>
          <w:b/>
          <w:noProof/>
          <w:u w:val="single"/>
        </w:rPr>
        <w:t>Συρία</w:t>
      </w:r>
    </w:p>
    <w:p>
      <w:pPr>
        <w:rPr>
          <w:noProof/>
        </w:rPr>
      </w:pPr>
      <w:r>
        <w:rPr>
          <w:noProof/>
        </w:rPr>
        <w:t xml:space="preserve">Από τον Νοέμβριο του 2011, η ΕΤΕπ αντιμετωπίζει καθυστερήσεις των πληρωμών για τα κρατικά δάνεια της Συρίας. Ως εκ τούτου, και σύμφωνα με τις συμφωνίες εγγύησης μεταξύ της ΕΕ και της ΕΤΕπ, η ΕΤΕπ έχει ζητήσει την κατάπτωση 63 εγγυήσεων του Ταμείου Εγγυήσεων της ΕΕ μέχρι την 31η Δεκεμβρίου 2018 για ποσό συνολικού ύψους 421,05 εκατ. EUR (συμπεριλαμβανομένων των προστίμων που επιβλήθηκαν από την ΕΤΕπ και των ποσών που ανακτήθηκαν). </w:t>
      </w:r>
    </w:p>
    <w:p>
      <w:pPr>
        <w:spacing w:after="0"/>
        <w:rPr>
          <w:b/>
          <w:noProof/>
          <w:u w:val="single"/>
        </w:rPr>
      </w:pPr>
      <w:r>
        <w:rPr>
          <w:b/>
          <w:noProof/>
          <w:u w:val="single"/>
        </w:rPr>
        <w:t>Αερολιμένας Enfidha (Τυνησία).</w:t>
      </w:r>
    </w:p>
    <w:p>
      <w:pPr>
        <w:rPr>
          <w:noProof/>
        </w:rPr>
      </w:pPr>
      <w:r>
        <w:rPr>
          <w:noProof/>
        </w:rPr>
        <w:t>Τον Ιανουάριο του 2018 η ΕΤΕπ ανέκτησε ποσό 136 092,88 EUR από το δάνειο προς τον αερολιμένα Enfidha (Τυνησία), το οποίο πιστώθηκε στον τραπεζικό λογαριασμό του Ταμείου Εγγυήσεων για τις εξωτερικές δράσεις.</w:t>
      </w:r>
    </w:p>
    <w:p>
      <w:pPr>
        <w:pStyle w:val="ManualHeading1"/>
        <w:rPr>
          <w:noProof/>
        </w:rPr>
      </w:pPr>
      <w:bookmarkStart w:id="45" w:name="_Toc323019515"/>
      <w:bookmarkStart w:id="46" w:name="_Toc354050137"/>
      <w:bookmarkStart w:id="47" w:name="_Toc358294858"/>
      <w:bookmarkStart w:id="48" w:name="_Toc415838355"/>
      <w:bookmarkStart w:id="49" w:name="_Toc14944792"/>
      <w:r>
        <w:rPr>
          <w:noProof/>
        </w:rPr>
        <w:t>6.</w:t>
      </w:r>
      <w:r>
        <w:rPr>
          <w:noProof/>
        </w:rPr>
        <w:tab/>
        <w:t>Αμοιβή της ΕΤΕπ</w:t>
      </w:r>
      <w:bookmarkEnd w:id="45"/>
      <w:bookmarkEnd w:id="46"/>
      <w:bookmarkEnd w:id="47"/>
      <w:bookmarkEnd w:id="48"/>
      <w:bookmarkEnd w:id="49"/>
      <w:r>
        <w:rPr>
          <w:noProof/>
        </w:rPr>
        <w:t xml:space="preserve"> </w:t>
      </w:r>
    </w:p>
    <w:p>
      <w:pPr>
        <w:rPr>
          <w:noProof/>
        </w:rPr>
      </w:pPr>
      <w:r>
        <w:rPr>
          <w:noProof/>
        </w:rPr>
        <w:t>Η αμοιβή της ΕΤΕπ αποτελείται από τα τέλη διαχείρισης και τα τέλη είσπραξης. Τα τέλη διαχείρισης καλύπτουν τη διαχείριση του ενεργητικού του Ταμείου. Τα τέλη είσπραξης καλύπτουν τα εξωτερικά έξοδα είσπραξης της ΕΤΕπ, σχετικά με απαιτήσεις λόγω αδυναμίας αποπληρωμής που καλύπτονται από την εγγύηση της ΕΕ για χρηματοδοτικές δραστηριότητες της ΕΤΕπ εκτός Ένωσης.</w:t>
      </w:r>
    </w:p>
    <w:p>
      <w:pPr>
        <w:rPr>
          <w:noProof/>
        </w:rPr>
      </w:pPr>
      <w:r>
        <w:rPr>
          <w:noProof/>
        </w:rPr>
        <w:t>Η δεύτερη συμπληρωματική συμφωνία της συμφωνίας που υπεγράφη στις 8 Μαΐου 2002 προβλέπει ότι τα τέλη διαχείρισης της Τράπεζας υπολογίζονται με την εφαρμογή σε κάθε δέσμη των στοιχείων ενεργητικού του Ταμείου φθινόντων ετήσιων συντελεστών προμήθειας. Η αμοιβή αυτή υπολογίζεται με βάση τον ετήσιο μέσο όρο των στοιχείων ενεργητικού του Ταμείου.</w:t>
      </w:r>
    </w:p>
    <w:p>
      <w:pPr>
        <w:rPr>
          <w:noProof/>
        </w:rPr>
      </w:pPr>
      <w:r>
        <w:rPr>
          <w:noProof/>
        </w:rPr>
        <w:t>Τα τέλη διαχείρισης της Τράπεζας για το 2018 ορίστηκαν σε 894 626 EUR και εγγράφηκαν ως δαπάνη στην κατάσταση οικονομικών αποτελεσμάτων και στους μεταβατικούς λογαριασμούς (παθητικό) του ισολογισμού.</w:t>
      </w:r>
      <w:bookmarkStart w:id="50" w:name="_CopyToNewDocument_"/>
      <w:bookmarkEnd w:id="50"/>
      <w:r>
        <w:rPr>
          <w:noProof/>
        </w:rPr>
        <w:t xml:space="preserve"> </w:t>
      </w:r>
    </w:p>
    <w:p>
      <w:pPr>
        <w:rPr>
          <w:rFonts w:ascii="Calibri" w:hAnsi="Calibri"/>
          <w:noProof/>
          <w:color w:val="000000"/>
          <w:sz w:val="22"/>
          <w:szCs w:val="22"/>
        </w:rPr>
      </w:pPr>
      <w:r>
        <w:rPr>
          <w:noProof/>
        </w:rPr>
        <w:t xml:space="preserve">Η συμφωνία ανάκτησης που υπεγράφη μεταξύ της Επιτροπής και της Τράπεζας τον Δεκέμβριο του 2018 προβλέπει πληρωμή μόνο για τις εξωτερικές (και όχι πλέον για τις εσωτερικές) δαπάνες είσπραξης της ΕΤΕπ. </w:t>
      </w: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278962"/>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fldChar w:fldCharType="end"/>
        </w:r>
      </w:p>
    </w:sdtContent>
  </w:sdt>
  <w:p>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ind w:left="360" w:hanging="360"/>
      </w:pPr>
      <w:r>
        <w:rPr>
          <w:rStyle w:val="FootnoteReference"/>
        </w:rPr>
        <w:footnoteRef/>
      </w:r>
      <w:r>
        <w:tab/>
        <w:t>ΕΕ L 145 της 10.6.2009, σ. 10· ο κανονισμός κωδικοποίησε και κατάργησε τον κανονισμό (ΕΚ, Ευρατόμ) αριθ. 2728/94 του Συμβουλίου, της 31ης Οκτωβρίου 1994, σχετικά με την ίδρυση Ταμείου Εγγυήσεων για τις εξωτερικές δράσεις. Τροποποιήθηκε στις 14.3.2018 από τον κανονισμό (ΕΕ) 2018/409 του Ευρωπαϊκού Κοινοβουλίου και του Συμβουλίου</w:t>
      </w:r>
    </w:p>
  </w:footnote>
  <w:footnote w:id="2">
    <w:p>
      <w:pPr>
        <w:pStyle w:val="FootnoteText"/>
        <w:ind w:left="360" w:hanging="360"/>
      </w:pPr>
      <w:r>
        <w:rPr>
          <w:rStyle w:val="FootnoteReference"/>
        </w:rPr>
        <w:footnoteRef/>
      </w:r>
      <w:r>
        <w:rPr>
          <w:lang w:val="en-GB"/>
        </w:rPr>
        <w:tab/>
        <w:t>Supplementary Agreement no 5 to the Agreement relating to the Management of the Guarantee Fund between the European Union and the European Investment Fund [</w:t>
      </w:r>
      <w:r>
        <w:t>Συμπληρωματική</w:t>
      </w:r>
      <w:r>
        <w:rPr>
          <w:lang w:val="en-GB"/>
        </w:rPr>
        <w:t xml:space="preserve"> </w:t>
      </w:r>
      <w:r>
        <w:t>συμφωνία</w:t>
      </w:r>
      <w:r>
        <w:rPr>
          <w:lang w:val="en-GB"/>
        </w:rPr>
        <w:t xml:space="preserve"> </w:t>
      </w:r>
      <w:r>
        <w:t>αριθ</w:t>
      </w:r>
      <w:r>
        <w:rPr>
          <w:lang w:val="en-GB"/>
        </w:rPr>
        <w:t xml:space="preserve">. </w:t>
      </w:r>
      <w:r>
        <w:t>5 της συμφωνίας σχετικά με τη διαχείριση του Ταμείου Εγγυήσεων μεταξύ της Ευρωπαϊκής Ένωσης και του Ευρωπαϊκού Ταμείου Επενδύσεων] – αριθ. αναφοράς Ares(2018)5207374 - 10/10/2018.</w:t>
      </w:r>
    </w:p>
  </w:footnote>
  <w:footnote w:id="3">
    <w:p>
      <w:pPr>
        <w:pStyle w:val="FootnoteText"/>
        <w:ind w:left="360" w:hanging="360"/>
      </w:pPr>
      <w:r>
        <w:rPr>
          <w:rStyle w:val="FootnoteReference"/>
        </w:rPr>
        <w:footnoteRef/>
      </w:r>
      <w:r>
        <w:tab/>
        <w:t>Όπως τροποποιήθηκε από τη συμπληρωματική συμφωνία αριθ. 1 της 23ης Σεπτεμβρίου 1996, τη συμπληρωματική συμφωνία αριθ. 2 της 8ης Μαΐου 2002, τη συμπληρωματική συμφωνία αριθ. 3 της 25ης Φεβρουαρίου 2008, τη συμπληρωματική συμφωνία αριθ. 4 της 9ης Νοεμβρίου 2010 και τη συμπληρωματική συμφωνία αριθ. 5 του Σεπτεμβρίου του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33ABAE0"/>
    <w:lvl w:ilvl="0">
      <w:start w:val="1"/>
      <w:numFmt w:val="decimal"/>
      <w:pStyle w:val="ListNumber4"/>
      <w:lvlText w:val="%1."/>
      <w:lvlJc w:val="left"/>
      <w:pPr>
        <w:tabs>
          <w:tab w:val="num" w:pos="1209"/>
        </w:tabs>
        <w:ind w:left="1209" w:hanging="360"/>
      </w:pPr>
      <w:rPr>
        <w:rFonts w:cs="Times New Roman"/>
      </w:rPr>
    </w:lvl>
  </w:abstractNum>
  <w:abstractNum w:abstractNumId="1">
    <w:nsid w:val="FFFFFF7E"/>
    <w:multiLevelType w:val="singleLevel"/>
    <w:tmpl w:val="8FFC5720"/>
    <w:lvl w:ilvl="0">
      <w:start w:val="1"/>
      <w:numFmt w:val="decimal"/>
      <w:pStyle w:val="ListNumber3"/>
      <w:lvlText w:val="%1."/>
      <w:lvlJc w:val="left"/>
      <w:pPr>
        <w:tabs>
          <w:tab w:val="num" w:pos="926"/>
        </w:tabs>
        <w:ind w:left="926" w:hanging="360"/>
      </w:pPr>
      <w:rPr>
        <w:rFonts w:cs="Times New Roman"/>
      </w:rPr>
    </w:lvl>
  </w:abstractNum>
  <w:abstractNum w:abstractNumId="2">
    <w:nsid w:val="FFFFFF7F"/>
    <w:multiLevelType w:val="singleLevel"/>
    <w:tmpl w:val="EEC82E3C"/>
    <w:lvl w:ilvl="0">
      <w:start w:val="1"/>
      <w:numFmt w:val="decimal"/>
      <w:pStyle w:val="ListNumber2"/>
      <w:lvlText w:val="%1."/>
      <w:lvlJc w:val="left"/>
      <w:pPr>
        <w:tabs>
          <w:tab w:val="num" w:pos="643"/>
        </w:tabs>
        <w:ind w:left="643" w:hanging="360"/>
      </w:pPr>
      <w:rPr>
        <w:rFonts w:cs="Times New Roman"/>
      </w:rPr>
    </w:lvl>
  </w:abstractNum>
  <w:abstractNum w:abstractNumId="3">
    <w:nsid w:val="FFFFFF81"/>
    <w:multiLevelType w:val="singleLevel"/>
    <w:tmpl w:val="CDC48C4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F634D4D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22F6906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1D6A4E8"/>
    <w:lvl w:ilvl="0">
      <w:start w:val="1"/>
      <w:numFmt w:val="decimal"/>
      <w:pStyle w:val="ListNumber"/>
      <w:lvlText w:val="%1."/>
      <w:lvlJc w:val="left"/>
      <w:pPr>
        <w:tabs>
          <w:tab w:val="num" w:pos="360"/>
        </w:tabs>
        <w:ind w:left="360" w:hanging="360"/>
      </w:pPr>
      <w:rPr>
        <w:rFonts w:cs="Times New Roman"/>
      </w:rPr>
    </w:lvl>
  </w:abstractNum>
  <w:abstractNum w:abstractNumId="7">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8">
    <w:nsid w:val="0CB477BA"/>
    <w:multiLevelType w:val="multilevel"/>
    <w:tmpl w:val="9E247306"/>
    <w:lvl w:ilvl="0">
      <w:start w:val="1"/>
      <w:numFmt w:val="decimal"/>
      <w:lvlRestart w:val="0"/>
      <w:pStyle w:val="Heading1"/>
      <w:lvlText w:val="%1."/>
      <w:lvlJc w:val="left"/>
      <w:pPr>
        <w:tabs>
          <w:tab w:val="num" w:pos="850"/>
        </w:tabs>
        <w:ind w:left="850" w:hanging="850"/>
      </w:pPr>
      <w:rPr>
        <w:rFonts w:hint="default"/>
      </w:rPr>
    </w:lvl>
    <w:lvl w:ilvl="1">
      <w:start w:val="1"/>
      <w:numFmt w:val="decimal"/>
      <w:pStyle w:val="Heading2"/>
      <w:lvlText w:val="%1.%2."/>
      <w:lvlJc w:val="left"/>
      <w:pPr>
        <w:tabs>
          <w:tab w:val="num" w:pos="850"/>
        </w:tabs>
        <w:ind w:left="850" w:hanging="850"/>
      </w:pPr>
      <w:rPr>
        <w:rFonts w:hint="default"/>
      </w:rPr>
    </w:lvl>
    <w:lvl w:ilvl="2">
      <w:start w:val="1"/>
      <w:numFmt w:val="decimal"/>
      <w:pStyle w:val="Heading3"/>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0F212747"/>
    <w:multiLevelType w:val="multilevel"/>
    <w:tmpl w:val="FBD0F488"/>
    <w:name w:val="NumPar"/>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15592001"/>
    <w:multiLevelType w:val="singleLevel"/>
    <w:tmpl w:val="3C6C7C7E"/>
    <w:lvl w:ilvl="0">
      <w:start w:val="1"/>
      <w:numFmt w:val="bullet"/>
      <w:lvlRestart w:val="0"/>
      <w:lvlText w:val=""/>
      <w:lvlJc w:val="left"/>
      <w:pPr>
        <w:tabs>
          <w:tab w:val="num" w:pos="850"/>
        </w:tabs>
        <w:ind w:left="850" w:hanging="850"/>
      </w:pPr>
      <w:rPr>
        <w:rFonts w:ascii="Symbol" w:hAnsi="Symbol" w:hint="default"/>
      </w:rPr>
    </w:lvl>
  </w:abstractNum>
  <w:abstractNum w:abstractNumId="11">
    <w:nsid w:val="2AF76E7A"/>
    <w:multiLevelType w:val="singleLevel"/>
    <w:tmpl w:val="C74C5A32"/>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nsid w:val="2F076C74"/>
    <w:multiLevelType w:val="multilevel"/>
    <w:tmpl w:val="72EA1244"/>
    <w:lvl w:ilvl="0">
      <w:start w:val="1"/>
      <w:numFmt w:val="bullet"/>
      <w:lvlText w:val=""/>
      <w:lvlJc w:val="left"/>
      <w:pPr>
        <w:tabs>
          <w:tab w:val="num" w:pos="850"/>
        </w:tabs>
        <w:ind w:left="850" w:hanging="850"/>
      </w:pPr>
      <w:rPr>
        <w:rFonts w:ascii="Symbol" w:hAnsi="Symbol" w:hint="default"/>
      </w:rPr>
    </w:lvl>
    <w:lvl w:ilvl="1">
      <w:start w:val="1"/>
      <w:numFmt w:val="lowerLetter"/>
      <w:lvlText w:val="(%2)"/>
      <w:lvlJc w:val="left"/>
      <w:pPr>
        <w:tabs>
          <w:tab w:val="num" w:pos="850"/>
        </w:tabs>
        <w:ind w:left="850" w:hanging="850"/>
      </w:pPr>
      <w:rPr>
        <w:rFonts w:cs="Times New Roman"/>
      </w:rPr>
    </w:lvl>
    <w:lvl w:ilvl="2">
      <w:start w:val="1"/>
      <w:numFmt w:val="decimal"/>
      <w:lvlText w:val="(%3)"/>
      <w:lvlJc w:val="left"/>
      <w:pPr>
        <w:tabs>
          <w:tab w:val="num" w:pos="1417"/>
        </w:tabs>
        <w:ind w:left="1417" w:hanging="567"/>
      </w:pPr>
      <w:rPr>
        <w:rFonts w:cs="Times New Roman"/>
      </w:rPr>
    </w:lvl>
    <w:lvl w:ilvl="3">
      <w:start w:val="1"/>
      <w:numFmt w:val="lowerLetter"/>
      <w:lvlText w:val="(%4)"/>
      <w:lvlJc w:val="left"/>
      <w:pPr>
        <w:tabs>
          <w:tab w:val="num" w:pos="1417"/>
        </w:tabs>
        <w:ind w:left="1417" w:hanging="567"/>
      </w:pPr>
      <w:rPr>
        <w:rFonts w:cs="Times New Roman"/>
      </w:rPr>
    </w:lvl>
    <w:lvl w:ilvl="4">
      <w:start w:val="1"/>
      <w:numFmt w:val="decimal"/>
      <w:lvlText w:val="(%5)"/>
      <w:lvlJc w:val="left"/>
      <w:pPr>
        <w:tabs>
          <w:tab w:val="num" w:pos="1984"/>
        </w:tabs>
        <w:ind w:left="1984" w:hanging="567"/>
      </w:pPr>
      <w:rPr>
        <w:rFonts w:cs="Times New Roman"/>
      </w:rPr>
    </w:lvl>
    <w:lvl w:ilvl="5">
      <w:start w:val="1"/>
      <w:numFmt w:val="lowerLetter"/>
      <w:lvlText w:val="(%6)"/>
      <w:lvlJc w:val="left"/>
      <w:pPr>
        <w:tabs>
          <w:tab w:val="num" w:pos="1984"/>
        </w:tabs>
        <w:ind w:left="1984" w:hanging="567"/>
      </w:pPr>
      <w:rPr>
        <w:rFonts w:cs="Times New Roman"/>
      </w:rPr>
    </w:lvl>
    <w:lvl w:ilvl="6">
      <w:start w:val="1"/>
      <w:numFmt w:val="decimal"/>
      <w:lvlText w:val="(%7)"/>
      <w:lvlJc w:val="left"/>
      <w:pPr>
        <w:tabs>
          <w:tab w:val="num" w:pos="2551"/>
        </w:tabs>
        <w:ind w:left="2551" w:hanging="567"/>
      </w:pPr>
      <w:rPr>
        <w:rFonts w:cs="Times New Roman"/>
      </w:rPr>
    </w:lvl>
    <w:lvl w:ilvl="7">
      <w:start w:val="1"/>
      <w:numFmt w:val="lowerLetter"/>
      <w:lvlText w:val="(%8)"/>
      <w:lvlJc w:val="left"/>
      <w:pPr>
        <w:tabs>
          <w:tab w:val="num" w:pos="2551"/>
        </w:tabs>
        <w:ind w:left="2551" w:hanging="567"/>
      </w:pPr>
      <w:rPr>
        <w:rFonts w:cs="Times New Roman"/>
      </w:rPr>
    </w:lvl>
    <w:lvl w:ilvl="8">
      <w:start w:val="1"/>
      <w:numFmt w:val="lowerLetter"/>
      <w:lvlText w:val="(%9)"/>
      <w:lvlJc w:val="left"/>
      <w:pPr>
        <w:tabs>
          <w:tab w:val="num" w:pos="3118"/>
        </w:tabs>
        <w:ind w:left="3118" w:hanging="567"/>
      </w:pPr>
      <w:rPr>
        <w:rFonts w:cs="Times New Roman"/>
      </w:rPr>
    </w:lvl>
  </w:abstractNum>
  <w:abstractNum w:abstractNumId="13">
    <w:nsid w:val="3A5459E8"/>
    <w:multiLevelType w:val="singleLevel"/>
    <w:tmpl w:val="2188C922"/>
    <w:name w:val="Tiret 1"/>
    <w:lvl w:ilvl="0">
      <w:start w:val="1"/>
      <w:numFmt w:val="bullet"/>
      <w:lvlRestart w:val="0"/>
      <w:pStyle w:val="Tiret1"/>
      <w:lvlText w:val="–"/>
      <w:lvlJc w:val="left"/>
      <w:pPr>
        <w:tabs>
          <w:tab w:val="num" w:pos="1417"/>
        </w:tabs>
        <w:ind w:left="1417" w:hanging="567"/>
      </w:pPr>
    </w:lvl>
  </w:abstractNum>
  <w:abstractNum w:abstractNumId="14">
    <w:nsid w:val="3BA736C9"/>
    <w:multiLevelType w:val="singleLevel"/>
    <w:tmpl w:val="F00A6C0C"/>
    <w:name w:val="Tiret 0"/>
    <w:lvl w:ilvl="0">
      <w:start w:val="1"/>
      <w:numFmt w:val="bullet"/>
      <w:lvlRestart w:val="0"/>
      <w:pStyle w:val="Tiret0"/>
      <w:lvlText w:val="–"/>
      <w:lvlJc w:val="left"/>
      <w:pPr>
        <w:tabs>
          <w:tab w:val="num" w:pos="850"/>
        </w:tabs>
        <w:ind w:left="850" w:hanging="850"/>
      </w:pPr>
    </w:lvl>
  </w:abstractNum>
  <w:abstractNum w:abstractNumId="15">
    <w:nsid w:val="3C90278F"/>
    <w:multiLevelType w:val="singleLevel"/>
    <w:tmpl w:val="0FE08974"/>
    <w:name w:val="Tiret 3"/>
    <w:lvl w:ilvl="0">
      <w:start w:val="1"/>
      <w:numFmt w:val="bullet"/>
      <w:lvlRestart w:val="0"/>
      <w:pStyle w:val="Tiret3"/>
      <w:lvlText w:val="–"/>
      <w:lvlJc w:val="left"/>
      <w:pPr>
        <w:tabs>
          <w:tab w:val="num" w:pos="2551"/>
        </w:tabs>
        <w:ind w:left="2551" w:hanging="567"/>
      </w:pPr>
    </w:lvl>
  </w:abstractNum>
  <w:abstractNum w:abstractNumId="16">
    <w:nsid w:val="40FF3500"/>
    <w:multiLevelType w:val="singleLevel"/>
    <w:tmpl w:val="84DA1EE8"/>
    <w:name w:val="Default"/>
    <w:lvl w:ilvl="0">
      <w:start w:val="1"/>
      <w:numFmt w:val="bullet"/>
      <w:lvlRestart w:val="0"/>
      <w:lvlText w:val=""/>
      <w:lvlJc w:val="left"/>
      <w:pPr>
        <w:tabs>
          <w:tab w:val="num" w:pos="1417"/>
        </w:tabs>
        <w:ind w:left="1417" w:hanging="567"/>
      </w:pPr>
      <w:rPr>
        <w:rFonts w:ascii="Symbol" w:hAnsi="Symbol" w:hint="default"/>
      </w:rPr>
    </w:lvl>
  </w:abstractNum>
  <w:abstractNum w:abstractNumId="17">
    <w:nsid w:val="43001DEE"/>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8842C30"/>
    <w:multiLevelType w:val="singleLevel"/>
    <w:tmpl w:val="4FA60B9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54593082"/>
    <w:multiLevelType w:val="singleLevel"/>
    <w:tmpl w:val="EDE069AC"/>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0">
    <w:nsid w:val="568864DC"/>
    <w:multiLevelType w:val="singleLevel"/>
    <w:tmpl w:val="485EBDAC"/>
    <w:name w:val="Tiret 4"/>
    <w:lvl w:ilvl="0">
      <w:start w:val="1"/>
      <w:numFmt w:val="bullet"/>
      <w:lvlRestart w:val="0"/>
      <w:pStyle w:val="Tiret4"/>
      <w:lvlText w:val="–"/>
      <w:lvlJc w:val="left"/>
      <w:pPr>
        <w:tabs>
          <w:tab w:val="num" w:pos="3118"/>
        </w:tabs>
        <w:ind w:left="3118" w:hanging="567"/>
      </w:pPr>
    </w:lvl>
  </w:abstractNum>
  <w:abstractNum w:abstractNumId="21">
    <w:nsid w:val="5D432F82"/>
    <w:multiLevelType w:val="hybridMultilevel"/>
    <w:tmpl w:val="5F78F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F342530"/>
    <w:multiLevelType w:val="singleLevel"/>
    <w:tmpl w:val="D5444702"/>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3">
    <w:nsid w:val="5F9C40AA"/>
    <w:multiLevelType w:val="singleLevel"/>
    <w:tmpl w:val="B89CB5A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nsid w:val="62970F71"/>
    <w:multiLevelType w:val="singleLevel"/>
    <w:tmpl w:val="5AFA8C72"/>
    <w:name w:val="Tiret 2"/>
    <w:lvl w:ilvl="0">
      <w:start w:val="1"/>
      <w:numFmt w:val="bullet"/>
      <w:lvlRestart w:val="0"/>
      <w:pStyle w:val="Tiret2"/>
      <w:lvlText w:val="–"/>
      <w:lvlJc w:val="left"/>
      <w:pPr>
        <w:tabs>
          <w:tab w:val="num" w:pos="1984"/>
        </w:tabs>
        <w:ind w:left="1984" w:hanging="567"/>
      </w:pPr>
    </w:lvl>
  </w:abstractNum>
  <w:abstractNum w:abstractNumId="25">
    <w:nsid w:val="63B26268"/>
    <w:multiLevelType w:val="singleLevel"/>
    <w:tmpl w:val="491E6360"/>
    <w:name w:val="Heading"/>
    <w:lvl w:ilvl="0">
      <w:start w:val="1"/>
      <w:numFmt w:val="decimal"/>
      <w:lvlRestart w:val="0"/>
      <w:lvlText w:val="(%1)"/>
      <w:lvlJc w:val="left"/>
      <w:pPr>
        <w:tabs>
          <w:tab w:val="num" w:pos="709"/>
        </w:tabs>
        <w:ind w:left="709" w:hanging="709"/>
      </w:pPr>
      <w:rPr>
        <w:rFonts w:cs="Times New Roman"/>
      </w:rPr>
    </w:lvl>
  </w:abstractNum>
  <w:abstractNum w:abstractNumId="26">
    <w:nsid w:val="69995580"/>
    <w:multiLevelType w:val="singleLevel"/>
    <w:tmpl w:val="75CC7CBA"/>
    <w:name w:val="Considérant"/>
    <w:lvl w:ilvl="0">
      <w:start w:val="1"/>
      <w:numFmt w:val="decimal"/>
      <w:lvlRestart w:val="0"/>
      <w:pStyle w:val="Considrant"/>
      <w:lvlText w:val="(%1)"/>
      <w:lvlJc w:val="left"/>
      <w:pPr>
        <w:tabs>
          <w:tab w:val="num" w:pos="709"/>
        </w:tabs>
        <w:ind w:left="709" w:hanging="709"/>
      </w:pPr>
    </w:lvl>
  </w:abstractNum>
  <w:abstractNum w:abstractNumId="27">
    <w:nsid w:val="6D2B5511"/>
    <w:multiLevelType w:val="singleLevel"/>
    <w:tmpl w:val="74A09970"/>
    <w:name w:val="0.6452252"/>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28">
    <w:nsid w:val="7BE95D7F"/>
    <w:multiLevelType w:val="multilevel"/>
    <w:tmpl w:val="F126F780"/>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abstractNumId w:val="19"/>
  </w:num>
  <w:num w:numId="2">
    <w:abstractNumId w:val="11"/>
  </w:num>
  <w:num w:numId="3">
    <w:abstractNumId w:val="23"/>
  </w:num>
  <w:num w:numId="4">
    <w:abstractNumId w:val="22"/>
  </w:num>
  <w:num w:numId="5">
    <w:abstractNumId w:val="18"/>
  </w:num>
  <w:num w:numId="6">
    <w:abstractNumId w:val="26"/>
  </w:num>
  <w:num w:numId="7">
    <w:abstractNumId w:val="28"/>
  </w:num>
  <w:num w:numId="8">
    <w:abstractNumId w:val="14"/>
  </w:num>
  <w:num w:numId="9">
    <w:abstractNumId w:val="13"/>
  </w:num>
  <w:num w:numId="10">
    <w:abstractNumId w:val="24"/>
  </w:num>
  <w:num w:numId="11">
    <w:abstractNumId w:val="15"/>
  </w:num>
  <w:num w:numId="12">
    <w:abstractNumId w:val="20"/>
  </w:num>
  <w:num w:numId="13">
    <w:abstractNumId w:val="12"/>
  </w:num>
  <w:num w:numId="14">
    <w:abstractNumId w:val="10"/>
  </w:num>
  <w:num w:numId="15">
    <w:abstractNumId w:val="27"/>
  </w:num>
  <w:num w:numId="16">
    <w:abstractNumId w:val="5"/>
  </w:num>
  <w:num w:numId="17">
    <w:abstractNumId w:val="4"/>
  </w:num>
  <w:num w:numId="18">
    <w:abstractNumId w:val="3"/>
  </w:num>
  <w:num w:numId="19">
    <w:abstractNumId w:val="6"/>
  </w:num>
  <w:num w:numId="20">
    <w:abstractNumId w:val="2"/>
  </w:num>
  <w:num w:numId="21">
    <w:abstractNumId w:val="1"/>
  </w:num>
  <w:num w:numId="22">
    <w:abstractNumId w:val="0"/>
  </w:num>
  <w:num w:numId="23">
    <w:abstractNumId w:val="17"/>
  </w:num>
  <w:num w:numId="24">
    <w:abstractNumId w:val="8"/>
  </w:num>
  <w:num w:numId="25">
    <w:abstractNumId w:val="8"/>
    <w:lvlOverride w:ilvl="0">
      <w:startOverride w:val="3"/>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21"/>
  </w:num>
  <w:num w:numId="28">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B9A027D6-0A0F-4218-87FE-8BBA56F5A0B7"/>
    <w:docVar w:name="LW_COVERPAGE_TYPE" w:val="1"/>
    <w:docVar w:name="LW_CROSSREFERENCE" w:val="{SWD(2019) 314 final}"/>
    <w:docVar w:name="LW_DocType" w:val="NORMAL"/>
    <w:docVar w:name="LW_EMISSION" w:val="5.8.2019"/>
    <w:docVar w:name="LW_EMISSION_ISODATE" w:val="2019-08-05"/>
    <w:docVar w:name="LW_EMISSION_LOCATION" w:val="BRX"/>
    <w:docVar w:name="LW_EMISSION_PREFIX" w:val="Βρυξέλλες, "/>
    <w:docVar w:name="LW_EMISSION_SUFFIX" w:val=" "/>
    <w:docVar w:name="LW_ID_DOCTYPE_NONLW" w:val="CP-006"/>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NST.NEW" w:val="COM"/>
    <w:docVar w:name="LW_REF.INST.NEW_ADOPTED" w:val="final"/>
    <w:docVar w:name="LW_REF.INST.NEW_TEXT" w:val="(2019) 3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u931?\u935?\u917?\u932?\u921?\u922?\u913? \u924?\u917? \u932?\u927? \u932?\u913?\u924?\u917?\u921?\u927? \u917?\u915?\u915?\u933?\u919?\u931?\u917?\u937?\u925? \u915?\u921?\u913? \u932?\u921?\u931? \u917?\u926?\u937?\u932?\u917?\u929?\u921?\u922?\u917?\u931? \u916?\u929?\u913?\u931?\u917?\u921?\u931? \u922?\u913?\u921? \u932?\u919? \u916?\u921?\u913?\u935?\u917?\u921?\u929?\u921?\u931?\u919? \u932?\u927?\u933? \u932?\u927? 2018"/>
    <w:docVar w:name="LW_TYPE.DOC.CP" w:val="\u917?\u922?\u920?\u917?\u931?\u919? \u932?\u919?\u931? \u917?\u928?\u921?\u932?\u929?\u927?\u928?\u919?\u931? \u928?\u929?\u927?\u931? \u932?\u927? \u917?\u933?\u929?\u937?\u928?\u913?\u938?\u922?\u927? \u922?\u927?\u921?\u925?\u927?\u914?\u927?\u933?\u923?\u921?\u927? \u922?\u913?\u921? \u932?\u927? \u931?\u933?\u924?\u914?\u927?\u933?\u923?\u921?\u927?"/>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jc w:val="both"/>
    </w:pPr>
    <w:rPr>
      <w:sz w:val="24"/>
      <w:szCs w:val="24"/>
      <w:lang w:eastAsia="en-US"/>
    </w:rPr>
  </w:style>
  <w:style w:type="paragraph" w:styleId="Heading1">
    <w:name w:val="heading 1"/>
    <w:basedOn w:val="Normal"/>
    <w:next w:val="Normal"/>
    <w:qFormat/>
    <w:pPr>
      <w:keepNext/>
      <w:numPr>
        <w:numId w:val="24"/>
      </w:numPr>
      <w:spacing w:before="360"/>
      <w:outlineLvl w:val="0"/>
    </w:pPr>
    <w:rPr>
      <w:b/>
      <w:bCs/>
      <w:smallCaps/>
      <w:szCs w:val="32"/>
    </w:rPr>
  </w:style>
  <w:style w:type="paragraph" w:styleId="Heading2">
    <w:name w:val="heading 2"/>
    <w:basedOn w:val="Normal"/>
    <w:next w:val="Normal"/>
    <w:qFormat/>
    <w:pPr>
      <w:keepNext/>
      <w:numPr>
        <w:ilvl w:val="1"/>
        <w:numId w:val="24"/>
      </w:numPr>
      <w:outlineLvl w:val="1"/>
    </w:pPr>
    <w:rPr>
      <w:b/>
      <w:bCs/>
      <w:iCs/>
      <w:szCs w:val="28"/>
    </w:rPr>
  </w:style>
  <w:style w:type="paragraph" w:styleId="Heading3">
    <w:name w:val="heading 3"/>
    <w:basedOn w:val="Normal"/>
    <w:next w:val="Normal"/>
    <w:link w:val="Heading3Char"/>
    <w:autoRedefine/>
    <w:qFormat/>
    <w:pPr>
      <w:keepNext/>
      <w:numPr>
        <w:ilvl w:val="2"/>
        <w:numId w:val="24"/>
      </w:numPr>
      <w:outlineLvl w:val="2"/>
    </w:pPr>
    <w:rPr>
      <w:bCs/>
      <w:i/>
      <w:szCs w:val="26"/>
    </w:rPr>
  </w:style>
  <w:style w:type="paragraph" w:styleId="Heading4">
    <w:name w:val="heading 4"/>
    <w:basedOn w:val="Normal"/>
    <w:next w:val="Normal"/>
    <w:link w:val="Heading4Char"/>
    <w:qFormat/>
    <w:pPr>
      <w:keepNext/>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pPr>
      <w:spacing w:before="0" w:after="240"/>
      <w:jc w:val="center"/>
    </w:pPr>
    <w:rPr>
      <w:b/>
      <w:i/>
    </w:rPr>
  </w:style>
  <w:style w:type="paragraph" w:customStyle="1" w:styleId="AccompagnantPagedecouverture">
    <w:name w:val="Accompagnant (Page de couverture)"/>
    <w:basedOn w:val="Accompagnant"/>
    <w:next w:val="Normal"/>
  </w:style>
  <w:style w:type="character" w:customStyle="1" w:styleId="Added">
    <w:name w:val="Added"/>
    <w:rPr>
      <w:b/>
      <w:u w:val="single"/>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Annexetitre">
    <w:name w:val="Annexe titre"/>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Normal"/>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Bullet0">
    <w:name w:val="Bullet 0"/>
    <w:basedOn w:val="Normal"/>
    <w:pPr>
      <w:numPr>
        <w:numId w:val="1"/>
      </w:numPr>
    </w:pPr>
  </w:style>
  <w:style w:type="paragraph" w:customStyle="1" w:styleId="Bullet1">
    <w:name w:val="Bullet 1"/>
    <w:basedOn w:val="Normal"/>
    <w:pPr>
      <w:numPr>
        <w:numId w:val="2"/>
      </w:numPr>
    </w:pPr>
  </w:style>
  <w:style w:type="paragraph" w:customStyle="1" w:styleId="Bullet2">
    <w:name w:val="Bullet 2"/>
    <w:basedOn w:val="Normal"/>
    <w:pPr>
      <w:numPr>
        <w:numId w:val="3"/>
      </w:numPr>
    </w:pPr>
  </w:style>
  <w:style w:type="paragraph" w:customStyle="1" w:styleId="Bullet3">
    <w:name w:val="Bullet 3"/>
    <w:basedOn w:val="Normal"/>
    <w:pPr>
      <w:numPr>
        <w:numId w:val="4"/>
      </w:numPr>
    </w:pPr>
  </w:style>
  <w:style w:type="paragraph" w:customStyle="1" w:styleId="Bullet4">
    <w:name w:val="Bullet 4"/>
    <w:basedOn w:val="Normal"/>
    <w:pPr>
      <w:numPr>
        <w:numId w:val="5"/>
      </w:numPr>
    </w:pPr>
  </w:style>
  <w:style w:type="paragraph" w:customStyle="1" w:styleId="ChapterTitle">
    <w:name w:val="ChapterTitle"/>
    <w:basedOn w:val="Normal"/>
    <w:next w:val="Normal"/>
    <w:pPr>
      <w:keepNext/>
      <w:spacing w:after="360"/>
      <w:jc w:val="center"/>
    </w:pPr>
    <w:rPr>
      <w:b/>
      <w:sz w:val="32"/>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Normal"/>
    <w:pPr>
      <w:spacing w:before="240" w:after="240"/>
      <w:ind w:left="5103"/>
    </w:pPr>
    <w:rPr>
      <w:u w:val="single"/>
    </w:rPr>
  </w:style>
  <w:style w:type="paragraph" w:customStyle="1" w:styleId="Considrant">
    <w:name w:val="Considérant"/>
    <w:basedOn w:val="Normal"/>
    <w:pPr>
      <w:numPr>
        <w:numId w:val="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Normal"/>
    <w:pPr>
      <w:spacing w:before="360" w:after="0"/>
      <w:jc w:val="center"/>
    </w:pPr>
    <w:rPr>
      <w:b/>
    </w:rPr>
  </w:style>
  <w:style w:type="paragraph" w:customStyle="1" w:styleId="DatedadoptionPagedecouverture">
    <w:name w:val="Date d'adoption (Page de couverture)"/>
    <w:basedOn w:val="Datedadoption"/>
    <w:next w:val="Normal"/>
  </w:style>
  <w:style w:type="character" w:customStyle="1" w:styleId="Deleted">
    <w:name w:val="Deleted"/>
    <w:rPr>
      <w:strike/>
      <w:shd w:val="clear" w:color="auto" w:fill="auto"/>
    </w:rPr>
  </w:style>
  <w:style w:type="paragraph" w:customStyle="1" w:styleId="Emission">
    <w:name w:val="Emission"/>
    <w:basedOn w:val="Normal"/>
    <w:next w:val="Normal"/>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Normal"/>
    <w:pPr>
      <w:keepNext/>
      <w:spacing w:after="0"/>
    </w:pPr>
  </w:style>
  <w:style w:type="paragraph" w:customStyle="1" w:styleId="Fichefinanciretitre">
    <w:name w:val="Fiche financière titre"/>
    <w:basedOn w:val="Normal"/>
    <w:next w:val="Normal"/>
    <w:pPr>
      <w:jc w:val="center"/>
    </w:pPr>
    <w:rPr>
      <w:b/>
      <w:u w:val="singl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rFonts w:eastAsia="Calibri"/>
      <w:szCs w:val="22"/>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rFonts w:eastAsia="Calibri"/>
      <w:szCs w:val="22"/>
    </w:rPr>
  </w:style>
  <w:style w:type="character" w:styleId="FootnoteReference">
    <w:name w:val="footnote reference"/>
    <w:uiPriority w:val="99"/>
    <w:rPr>
      <w:shd w:val="clear" w:color="auto" w:fill="auto"/>
      <w:vertAlign w:val="superscript"/>
    </w:rPr>
  </w:style>
  <w:style w:type="paragraph" w:styleId="FootnoteText">
    <w:name w:val="footnote text"/>
    <w:basedOn w:val="Normal"/>
    <w:link w:val="FootnoteTextChar"/>
    <w:uiPriority w:val="99"/>
    <w:pPr>
      <w:spacing w:before="0" w:after="0"/>
      <w:ind w:left="720" w:hanging="720"/>
    </w:pPr>
    <w:rPr>
      <w:sz w:val="20"/>
      <w:szCs w:val="20"/>
    </w:rPr>
  </w:style>
  <w:style w:type="paragraph" w:customStyle="1" w:styleId="Formuledadoption">
    <w:name w:val="Formule d'adoption"/>
    <w:basedOn w:val="Normal"/>
    <w:next w:val="Normal"/>
    <w:pPr>
      <w:keepNext/>
    </w:pPr>
  </w:style>
  <w:style w:type="paragraph" w:styleId="Header">
    <w:name w:val="header"/>
    <w:basedOn w:val="Normal"/>
    <w:link w:val="HeaderChar"/>
    <w:uiPriority w:val="99"/>
    <w:unhideWhenUsed/>
    <w:pPr>
      <w:tabs>
        <w:tab w:val="center" w:pos="4535"/>
        <w:tab w:val="right" w:pos="9071"/>
      </w:tabs>
      <w:spacing w:before="0"/>
    </w:pPr>
    <w:rPr>
      <w:rFonts w:eastAsia="Calibri"/>
      <w:szCs w:val="22"/>
    </w:rPr>
  </w:style>
  <w:style w:type="paragraph" w:customStyle="1" w:styleId="HeaderLandscape">
    <w:name w:val="HeaderLandscape"/>
    <w:basedOn w:val="Normal"/>
    <w:pPr>
      <w:tabs>
        <w:tab w:val="center" w:pos="7285"/>
        <w:tab w:val="right" w:pos="14003"/>
      </w:tabs>
      <w:spacing w:before="0"/>
    </w:pPr>
    <w:rPr>
      <w:rFonts w:eastAsia="Calibri"/>
      <w:szCs w:val="22"/>
    </w:r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Normal"/>
    <w:pPr>
      <w:keepNext/>
      <w:tabs>
        <w:tab w:val="left" w:pos="4252"/>
      </w:tabs>
      <w:spacing w:before="720" w:after="0"/>
    </w:pPr>
    <w:rPr>
      <w:i/>
    </w:rPr>
  </w:style>
  <w:style w:type="paragraph" w:customStyle="1" w:styleId="Languesfaisantfoi">
    <w:name w:val="Langues faisant foi"/>
    <w:basedOn w:val="Normal"/>
    <w:next w:val="Normal"/>
    <w:pPr>
      <w:spacing w:before="360" w:after="0"/>
      <w:jc w:val="center"/>
    </w:pPr>
  </w:style>
  <w:style w:type="paragraph" w:customStyle="1" w:styleId="IntrtEEE">
    <w:name w:val="Intérêt EEE"/>
    <w:basedOn w:val="Languesfaisantfoi"/>
    <w:next w:val="Normal"/>
    <w:pPr>
      <w:spacing w:after="240"/>
    </w:pPr>
  </w:style>
  <w:style w:type="paragraph" w:customStyle="1" w:styleId="IntrtEEEPagedecouverture">
    <w:name w:val="Intérêt EEE (Page de couverture)"/>
    <w:basedOn w:val="IntrtEEE"/>
    <w:next w:val="Normal"/>
  </w:style>
  <w:style w:type="paragraph" w:customStyle="1" w:styleId="Langue">
    <w:name w:val="Langue"/>
    <w:basedOn w:val="Normal"/>
    <w:next w:val="Normal"/>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pPr>
      <w:spacing w:before="360" w:after="0"/>
      <w:jc w:val="center"/>
    </w:pPr>
  </w:style>
  <w:style w:type="paragraph" w:customStyle="1" w:styleId="ManualConsidrant">
    <w:name w:val="Manual Considérant"/>
    <w:basedOn w:val="Normal"/>
    <w:pPr>
      <w:ind w:left="709" w:hanging="709"/>
    </w:pPr>
  </w:style>
  <w:style w:type="paragraph" w:customStyle="1" w:styleId="ManualHeading1">
    <w:name w:val="Manual Heading 1"/>
    <w:basedOn w:val="Normal"/>
    <w:next w:val="Normal"/>
    <w:pPr>
      <w:keepNext/>
      <w:tabs>
        <w:tab w:val="left" w:pos="850"/>
      </w:tabs>
      <w:spacing w:before="360"/>
      <w:ind w:left="850" w:hanging="850"/>
      <w:outlineLvl w:val="0"/>
    </w:pPr>
    <w:rPr>
      <w:b/>
      <w:smallCaps/>
    </w:rPr>
  </w:style>
  <w:style w:type="paragraph" w:customStyle="1" w:styleId="ManualHeading2">
    <w:name w:val="Manual Heading 2"/>
    <w:basedOn w:val="Normal"/>
    <w:next w:val="Normal"/>
    <w:pPr>
      <w:keepNext/>
      <w:tabs>
        <w:tab w:val="left" w:pos="850"/>
      </w:tabs>
      <w:ind w:left="850" w:hanging="850"/>
      <w:outlineLvl w:val="1"/>
    </w:pPr>
    <w:rPr>
      <w:b/>
    </w:rPr>
  </w:style>
  <w:style w:type="paragraph" w:customStyle="1" w:styleId="ManualHeading3">
    <w:name w:val="Manual Heading 3"/>
    <w:basedOn w:val="Normal"/>
    <w:next w:val="Normal"/>
    <w:pPr>
      <w:keepNext/>
      <w:tabs>
        <w:tab w:val="left" w:pos="850"/>
      </w:tabs>
      <w:ind w:left="850" w:hanging="850"/>
      <w:outlineLvl w:val="2"/>
    </w:pPr>
    <w:rPr>
      <w:i/>
    </w:rPr>
  </w:style>
  <w:style w:type="paragraph" w:customStyle="1" w:styleId="ManualHeading4">
    <w:name w:val="Manual Heading 4"/>
    <w:basedOn w:val="Normal"/>
    <w:next w:val="Normal"/>
    <w:pPr>
      <w:keepNext/>
      <w:tabs>
        <w:tab w:val="left" w:pos="850"/>
      </w:tabs>
      <w:ind w:left="850" w:hanging="850"/>
      <w:outlineLvl w:val="3"/>
    </w:pPr>
  </w:style>
  <w:style w:type="paragraph" w:customStyle="1" w:styleId="ManualNumPar1">
    <w:name w:val="Manual NumPar 1"/>
    <w:basedOn w:val="Normal"/>
    <w:next w:val="Normal"/>
    <w:pPr>
      <w:ind w:left="850" w:hanging="850"/>
    </w:pPr>
  </w:style>
  <w:style w:type="paragraph" w:customStyle="1" w:styleId="ManualNumPar2">
    <w:name w:val="Manual NumPar 2"/>
    <w:basedOn w:val="Normal"/>
    <w:next w:val="Normal"/>
    <w:pPr>
      <w:ind w:left="850" w:hanging="850"/>
    </w:pPr>
  </w:style>
  <w:style w:type="paragraph" w:customStyle="1" w:styleId="ManualNumPar3">
    <w:name w:val="Manual NumPar 3"/>
    <w:basedOn w:val="Normal"/>
    <w:next w:val="Normal"/>
    <w:pPr>
      <w:ind w:left="850" w:hanging="850"/>
    </w:pPr>
  </w:style>
  <w:style w:type="paragraph" w:customStyle="1" w:styleId="ManualNumPar4">
    <w:name w:val="Manual NumPar 4"/>
    <w:basedOn w:val="Normal"/>
    <w:next w:val="Normal"/>
    <w:pPr>
      <w:ind w:left="850" w:hanging="850"/>
    </w:p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NumPar1">
    <w:name w:val="NumPar 1"/>
    <w:basedOn w:val="Normal"/>
    <w:next w:val="Normal"/>
    <w:pPr>
      <w:numPr>
        <w:numId w:val="23"/>
      </w:numPr>
    </w:pPr>
  </w:style>
  <w:style w:type="paragraph" w:customStyle="1" w:styleId="NumPar2">
    <w:name w:val="NumPar 2"/>
    <w:basedOn w:val="Normal"/>
    <w:next w:val="Normal"/>
    <w:pPr>
      <w:numPr>
        <w:ilvl w:val="1"/>
        <w:numId w:val="23"/>
      </w:numPr>
    </w:pPr>
  </w:style>
  <w:style w:type="paragraph" w:customStyle="1" w:styleId="NumPar3">
    <w:name w:val="NumPar 3"/>
    <w:basedOn w:val="Normal"/>
    <w:next w:val="Normal"/>
    <w:pPr>
      <w:numPr>
        <w:ilvl w:val="2"/>
        <w:numId w:val="23"/>
      </w:numPr>
    </w:pPr>
  </w:style>
  <w:style w:type="paragraph" w:customStyle="1" w:styleId="NumPar4">
    <w:name w:val="NumPar 4"/>
    <w:basedOn w:val="Normal"/>
    <w:next w:val="Normal"/>
    <w:pPr>
      <w:numPr>
        <w:ilvl w:val="3"/>
        <w:numId w:val="23"/>
      </w:numPr>
    </w:pPr>
  </w:style>
  <w:style w:type="paragraph" w:customStyle="1" w:styleId="Objetacteprincipal">
    <w:name w:val="Objet acte principal"/>
    <w:basedOn w:val="Normal"/>
    <w:next w:val="Normal"/>
    <w:pPr>
      <w:spacing w:before="0" w:after="360"/>
      <w:jc w:val="center"/>
    </w:pPr>
    <w:rPr>
      <w:b/>
    </w:rPr>
  </w:style>
  <w:style w:type="paragraph" w:customStyle="1" w:styleId="ObjetacteprincipalPagedecouverture">
    <w:name w:val="Objet acte principal (Page de couverture)"/>
    <w:basedOn w:val="Objetacteprincipal"/>
    <w:next w:val="Normal"/>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style>
  <w:style w:type="paragraph" w:customStyle="1" w:styleId="PartTitle">
    <w:name w:val="PartTitle"/>
    <w:basedOn w:val="Normal"/>
    <w:next w:val="ChapterTitle"/>
    <w:pPr>
      <w:keepNext/>
      <w:pageBreakBefore/>
      <w:spacing w:after="360"/>
      <w:jc w:val="center"/>
    </w:pPr>
    <w:rPr>
      <w:b/>
      <w:sz w:val="36"/>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Point0">
    <w:name w:val="Point 0"/>
    <w:basedOn w:val="Normal"/>
    <w:pPr>
      <w:ind w:left="850" w:hanging="850"/>
    </w:pPr>
  </w:style>
  <w:style w:type="paragraph" w:customStyle="1" w:styleId="Point0letter">
    <w:name w:val="Point 0 (letter)"/>
    <w:basedOn w:val="Normal"/>
  </w:style>
  <w:style w:type="paragraph" w:customStyle="1" w:styleId="Point0number">
    <w:name w:val="Point 0 (number)"/>
    <w:basedOn w:val="Normal"/>
  </w:style>
  <w:style w:type="paragraph" w:customStyle="1" w:styleId="Point1">
    <w:name w:val="Point 1"/>
    <w:basedOn w:val="Normal"/>
    <w:pPr>
      <w:ind w:left="1417" w:hanging="567"/>
    </w:pPr>
  </w:style>
  <w:style w:type="paragraph" w:customStyle="1" w:styleId="Point1letter">
    <w:name w:val="Point 1 (letter)"/>
    <w:basedOn w:val="Normal"/>
  </w:style>
  <w:style w:type="paragraph" w:customStyle="1" w:styleId="Point1number">
    <w:name w:val="Point 1 (number)"/>
    <w:basedOn w:val="Normal"/>
  </w:style>
  <w:style w:type="paragraph" w:customStyle="1" w:styleId="Point2">
    <w:name w:val="Point 2"/>
    <w:basedOn w:val="Normal"/>
    <w:pPr>
      <w:ind w:left="1984" w:hanging="567"/>
    </w:pPr>
  </w:style>
  <w:style w:type="paragraph" w:customStyle="1" w:styleId="Point2letter">
    <w:name w:val="Point 2 (letter)"/>
    <w:basedOn w:val="Normal"/>
    <w:pPr>
      <w:numPr>
        <w:ilvl w:val="5"/>
        <w:numId w:val="7"/>
      </w:numPr>
    </w:pPr>
  </w:style>
  <w:style w:type="paragraph" w:customStyle="1" w:styleId="Point2number">
    <w:name w:val="Point 2 (number)"/>
    <w:basedOn w:val="Normal"/>
    <w:pPr>
      <w:numPr>
        <w:ilvl w:val="4"/>
        <w:numId w:val="7"/>
      </w:numPr>
    </w:pPr>
  </w:style>
  <w:style w:type="paragraph" w:customStyle="1" w:styleId="Point3">
    <w:name w:val="Point 3"/>
    <w:basedOn w:val="Normal"/>
    <w:pPr>
      <w:ind w:left="2551" w:hanging="567"/>
    </w:pPr>
  </w:style>
  <w:style w:type="paragraph" w:customStyle="1" w:styleId="Point3letter">
    <w:name w:val="Point 3 (letter)"/>
    <w:basedOn w:val="Normal"/>
    <w:pPr>
      <w:numPr>
        <w:ilvl w:val="7"/>
        <w:numId w:val="7"/>
      </w:numPr>
    </w:pPr>
  </w:style>
  <w:style w:type="paragraph" w:customStyle="1" w:styleId="Point3number">
    <w:name w:val="Point 3 (number)"/>
    <w:basedOn w:val="Normal"/>
    <w:pPr>
      <w:numPr>
        <w:ilvl w:val="6"/>
        <w:numId w:val="7"/>
      </w:numPr>
    </w:pPr>
  </w:style>
  <w:style w:type="paragraph" w:customStyle="1" w:styleId="Point4">
    <w:name w:val="Point 4"/>
    <w:basedOn w:val="Normal"/>
    <w:pPr>
      <w:ind w:left="3118" w:hanging="567"/>
    </w:pPr>
  </w:style>
  <w:style w:type="paragraph" w:customStyle="1" w:styleId="Point4letter">
    <w:name w:val="Point 4 (letter)"/>
    <w:basedOn w:val="Normal"/>
    <w:pPr>
      <w:numPr>
        <w:ilvl w:val="8"/>
        <w:numId w:val="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QuotedNumPar">
    <w:name w:val="Quoted NumPar"/>
    <w:basedOn w:val="Normal"/>
    <w:pPr>
      <w:ind w:left="1417" w:hanging="567"/>
    </w:pPr>
  </w:style>
  <w:style w:type="paragraph" w:customStyle="1" w:styleId="QuotedText">
    <w:name w:val="Quoted Text"/>
    <w:basedOn w:val="Normal"/>
    <w:pPr>
      <w:ind w:left="1417"/>
    </w:pPr>
  </w:style>
  <w:style w:type="paragraph" w:customStyle="1" w:styleId="Rfrencecroise">
    <w:name w:val="Référence croisée"/>
    <w:basedOn w:val="Normal"/>
    <w:pPr>
      <w:spacing w:before="0" w:after="0"/>
      <w:jc w:val="center"/>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Normal"/>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style>
  <w:style w:type="paragraph" w:customStyle="1" w:styleId="Rfrenceinterne">
    <w:name w:val="Référence interne"/>
    <w:basedOn w:val="Normal"/>
    <w:next w:val="Rfrenceinterinstitutionnelle"/>
    <w:pPr>
      <w:spacing w:before="0" w:after="0"/>
      <w:ind w:left="5103"/>
      <w:jc w:val="left"/>
    </w:pPr>
  </w:style>
  <w:style w:type="paragraph" w:customStyle="1" w:styleId="SectionTitle">
    <w:name w:val="SectionTitle"/>
    <w:basedOn w:val="Normal"/>
    <w:next w:val="Heading1"/>
    <w:pPr>
      <w:keepNext/>
      <w:spacing w:after="360"/>
      <w:jc w:val="center"/>
    </w:pPr>
    <w:rPr>
      <w:b/>
      <w:smallCaps/>
      <w:sz w:val="28"/>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Statut">
    <w:name w:val="Statut"/>
    <w:basedOn w:val="Normal"/>
    <w:next w:val="Normal"/>
    <w:pPr>
      <w:spacing w:before="360" w:after="0"/>
      <w:jc w:val="center"/>
    </w:pPr>
  </w:style>
  <w:style w:type="paragraph" w:customStyle="1" w:styleId="StatutPagedecouverture">
    <w:name w:val="Statut (Page de couverture)"/>
    <w:basedOn w:val="Statut"/>
    <w:next w:val="Normal"/>
  </w:style>
  <w:style w:type="paragraph" w:customStyle="1" w:styleId="Supertitre">
    <w:name w:val="Supertitre"/>
    <w:basedOn w:val="Normal"/>
    <w:next w:val="Normal"/>
    <w:pPr>
      <w:spacing w:before="0" w:after="600"/>
      <w:jc w:val="center"/>
    </w:pPr>
    <w:rPr>
      <w:b/>
    </w:rPr>
  </w:style>
  <w:style w:type="paragraph" w:customStyle="1" w:styleId="TableTitle">
    <w:name w:val="Table Title"/>
    <w:basedOn w:val="Normal"/>
    <w:next w:val="Normal"/>
    <w:pPr>
      <w:jc w:val="center"/>
    </w:pPr>
    <w:rPr>
      <w:b/>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iret0">
    <w:name w:val="Tiret 0"/>
    <w:basedOn w:val="Point0"/>
    <w:pPr>
      <w:numPr>
        <w:numId w:val="8"/>
      </w:numPr>
    </w:pPr>
  </w:style>
  <w:style w:type="paragraph" w:customStyle="1" w:styleId="Tiret1">
    <w:name w:val="Tiret 1"/>
    <w:basedOn w:val="Point1"/>
    <w:pPr>
      <w:numPr>
        <w:numId w:val="9"/>
      </w:numPr>
    </w:pPr>
  </w:style>
  <w:style w:type="paragraph" w:customStyle="1" w:styleId="Tiret2">
    <w:name w:val="Tiret 2"/>
    <w:basedOn w:val="Point2"/>
    <w:pPr>
      <w:numPr>
        <w:numId w:val="10"/>
      </w:numPr>
    </w:pPr>
  </w:style>
  <w:style w:type="paragraph" w:customStyle="1" w:styleId="Tiret3">
    <w:name w:val="Tiret 3"/>
    <w:basedOn w:val="Point3"/>
    <w:pPr>
      <w:numPr>
        <w:numId w:val="11"/>
      </w:numPr>
    </w:pPr>
  </w:style>
  <w:style w:type="paragraph" w:customStyle="1" w:styleId="Tiret4">
    <w:name w:val="Tiret 4"/>
    <w:basedOn w:val="Point4"/>
    <w:pPr>
      <w:numPr>
        <w:numId w:val="12"/>
      </w:numP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agedecouverture">
    <w:name w:val="Titre objet (Page de couverture)"/>
    <w:basedOn w:val="Titreobjet"/>
    <w:next w:val="Sous-titreobjetPagedecouverture"/>
  </w:style>
  <w:style w:type="paragraph" w:styleId="TOC1">
    <w:name w:val="toc 1"/>
    <w:basedOn w:val="Normal"/>
    <w:next w:val="Normal"/>
    <w:uiPriority w:val="39"/>
    <w:pPr>
      <w:tabs>
        <w:tab w:val="right" w:leader="dot" w:pos="9071"/>
      </w:tabs>
      <w:spacing w:before="60"/>
      <w:ind w:left="850" w:hanging="850"/>
      <w:jc w:val="left"/>
    </w:pPr>
  </w:style>
  <w:style w:type="paragraph" w:styleId="TOC2">
    <w:name w:val="toc 2"/>
    <w:basedOn w:val="Normal"/>
    <w:next w:val="Normal"/>
    <w:uiPriority w:val="39"/>
    <w:pPr>
      <w:tabs>
        <w:tab w:val="right" w:leader="dot" w:pos="9071"/>
      </w:tabs>
      <w:spacing w:before="60"/>
      <w:ind w:left="850" w:hanging="850"/>
      <w:jc w:val="left"/>
    </w:pPr>
  </w:style>
  <w:style w:type="paragraph" w:styleId="TOC3">
    <w:name w:val="toc 3"/>
    <w:basedOn w:val="Normal"/>
    <w:next w:val="Normal"/>
    <w:uiPriority w:val="39"/>
    <w:pPr>
      <w:tabs>
        <w:tab w:val="right" w:leader="dot" w:pos="9071"/>
      </w:tabs>
      <w:spacing w:before="60"/>
      <w:ind w:left="850" w:hanging="850"/>
      <w:jc w:val="left"/>
    </w:pPr>
  </w:style>
  <w:style w:type="paragraph" w:styleId="TOC4">
    <w:name w:val="toc 4"/>
    <w:basedOn w:val="Normal"/>
    <w:next w:val="Normal"/>
    <w:semiHidden/>
    <w:pPr>
      <w:tabs>
        <w:tab w:val="right" w:leader="dot" w:pos="9071"/>
      </w:tabs>
      <w:spacing w:before="60"/>
      <w:ind w:left="850" w:hanging="850"/>
      <w:jc w:val="left"/>
    </w:pPr>
  </w:style>
  <w:style w:type="paragraph" w:styleId="TOC5">
    <w:name w:val="toc 5"/>
    <w:basedOn w:val="Normal"/>
    <w:next w:val="Normal"/>
    <w:semiHidden/>
    <w:pPr>
      <w:tabs>
        <w:tab w:val="right" w:leader="dot" w:pos="9071"/>
      </w:tabs>
      <w:spacing w:before="300"/>
      <w:jc w:val="left"/>
    </w:pPr>
  </w:style>
  <w:style w:type="paragraph" w:styleId="TOC6">
    <w:name w:val="toc 6"/>
    <w:basedOn w:val="Normal"/>
    <w:next w:val="Normal"/>
    <w:semiHidden/>
    <w:pPr>
      <w:tabs>
        <w:tab w:val="right" w:leader="dot" w:pos="9071"/>
      </w:tabs>
      <w:spacing w:before="240"/>
      <w:jc w:val="left"/>
    </w:pPr>
  </w:style>
  <w:style w:type="paragraph" w:styleId="TOC7">
    <w:name w:val="toc 7"/>
    <w:basedOn w:val="Normal"/>
    <w:next w:val="Normal"/>
    <w:semiHidden/>
    <w:pPr>
      <w:tabs>
        <w:tab w:val="right" w:leader="dot" w:pos="9071"/>
      </w:tabs>
      <w:spacing w:before="180"/>
      <w:jc w:val="left"/>
    </w:pPr>
  </w:style>
  <w:style w:type="paragraph" w:styleId="TOC8">
    <w:name w:val="toc 8"/>
    <w:basedOn w:val="Normal"/>
    <w:next w:val="Normal"/>
    <w:semiHidden/>
    <w:pPr>
      <w:tabs>
        <w:tab w:val="right" w:leader="dot" w:pos="9071"/>
      </w:tabs>
      <w:jc w:val="left"/>
    </w:pPr>
  </w:style>
  <w:style w:type="paragraph" w:styleId="TOC9">
    <w:name w:val="toc 9"/>
    <w:basedOn w:val="Normal"/>
    <w:next w:val="Normal"/>
    <w:semiHidden/>
    <w:pPr>
      <w:tabs>
        <w:tab w:val="right" w:leader="dot" w:pos="9071"/>
      </w:tabs>
    </w:pPr>
  </w:style>
  <w:style w:type="paragraph" w:styleId="TOCHeading">
    <w:name w:val="TOC Heading"/>
    <w:basedOn w:val="Normal"/>
    <w:next w:val="Normal"/>
    <w:link w:val="TOCHeadingChar"/>
    <w:uiPriority w:val="39"/>
    <w:qFormat/>
    <w:pPr>
      <w:spacing w:after="240"/>
      <w:jc w:val="center"/>
    </w:pPr>
    <w:rPr>
      <w:b/>
      <w:sz w:val="28"/>
    </w:rPr>
  </w:style>
  <w:style w:type="paragraph" w:customStyle="1" w:styleId="Typeacteprincipal">
    <w:name w:val="Type acte principal"/>
    <w:basedOn w:val="Normal"/>
    <w:next w:val="Objetacteprincipal"/>
    <w:pPr>
      <w:spacing w:before="0" w:after="240"/>
      <w:jc w:val="center"/>
    </w:pPr>
    <w:rPr>
      <w:b/>
    </w:rPr>
  </w:style>
  <w:style w:type="paragraph" w:customStyle="1" w:styleId="TypeacteprincipalPagedecouverture">
    <w:name w:val="Type acte principal (Page de couverture)"/>
    <w:basedOn w:val="Typeacteprincipal"/>
    <w:next w:val="ObjetacteprincipalPagedecouverture"/>
  </w:style>
  <w:style w:type="paragraph" w:customStyle="1" w:styleId="Typedudocument">
    <w:name w:val="Type du document"/>
    <w:basedOn w:val="Normal"/>
    <w:next w:val="Titreobjet"/>
    <w:pPr>
      <w:spacing w:before="360" w:after="0"/>
      <w:jc w:val="center"/>
    </w:pPr>
    <w:rPr>
      <w:b/>
    </w:rPr>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styleId="ListBullet">
    <w:name w:val="List Bullet"/>
    <w:basedOn w:val="Normal"/>
    <w:pPr>
      <w:numPr>
        <w:numId w:val="15"/>
      </w:numPr>
    </w:pPr>
    <w:rPr>
      <w:lang w:eastAsia="de-DE"/>
    </w:rPr>
  </w:style>
  <w:style w:type="table" w:styleId="TableGrid">
    <w:name w:val="Table Grid"/>
    <w:basedOn w:val="TableNormal"/>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shd w:val="clear" w:color="auto" w:fill="auto"/>
      <w:lang w:eastAsia="en-US"/>
    </w:rPr>
  </w:style>
  <w:style w:type="paragraph" w:styleId="ListBullet2">
    <w:name w:val="List Bullet 2"/>
    <w:basedOn w:val="Normal"/>
    <w:pPr>
      <w:numPr>
        <w:numId w:val="16"/>
      </w:numPr>
    </w:pPr>
  </w:style>
  <w:style w:type="paragraph" w:styleId="ListBullet3">
    <w:name w:val="List Bullet 3"/>
    <w:basedOn w:val="Normal"/>
    <w:pPr>
      <w:numPr>
        <w:numId w:val="17"/>
      </w:numPr>
    </w:pPr>
  </w:style>
  <w:style w:type="paragraph" w:styleId="ListBullet4">
    <w:name w:val="List Bullet 4"/>
    <w:basedOn w:val="Normal"/>
    <w:pPr>
      <w:numPr>
        <w:numId w:val="18"/>
      </w:numPr>
    </w:pPr>
  </w:style>
  <w:style w:type="paragraph" w:styleId="Caption">
    <w:name w:val="caption"/>
    <w:basedOn w:val="Normal"/>
    <w:next w:val="Normal"/>
    <w:qFormat/>
    <w:rPr>
      <w:b/>
      <w:bCs/>
      <w:sz w:val="20"/>
      <w:szCs w:val="20"/>
    </w:rPr>
  </w:style>
  <w:style w:type="paragraph" w:styleId="TableofFigures">
    <w:name w:val="table of figures"/>
    <w:basedOn w:val="Normal"/>
    <w:next w:val="Normal"/>
  </w:style>
  <w:style w:type="paragraph" w:styleId="ListNumber">
    <w:name w:val="List Number"/>
    <w:basedOn w:val="Normal"/>
    <w:pPr>
      <w:numPr>
        <w:numId w:val="19"/>
      </w:numPr>
    </w:pPr>
  </w:style>
  <w:style w:type="paragraph" w:styleId="ListNumber2">
    <w:name w:val="List Number 2"/>
    <w:basedOn w:val="Normal"/>
    <w:pPr>
      <w:numPr>
        <w:numId w:val="20"/>
      </w:numPr>
    </w:pPr>
  </w:style>
  <w:style w:type="paragraph" w:styleId="ListNumber3">
    <w:name w:val="List Number 3"/>
    <w:basedOn w:val="Normal"/>
    <w:pPr>
      <w:numPr>
        <w:numId w:val="21"/>
      </w:numPr>
    </w:pPr>
  </w:style>
  <w:style w:type="paragraph" w:styleId="ListNumber4">
    <w:name w:val="List Number 4"/>
    <w:basedOn w:val="Normal"/>
    <w:pPr>
      <w:numPr>
        <w:numId w:val="22"/>
      </w:numPr>
    </w:pPr>
  </w:style>
  <w:style w:type="character" w:styleId="CommentReference">
    <w:name w:val="annotation reference"/>
    <w:rPr>
      <w:rFonts w:cs="Times New Roman"/>
      <w:sz w:val="16"/>
      <w:szCs w:val="16"/>
      <w:shd w:val="clear" w:color="auto" w:fill="auto"/>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shd w:val="clear" w:color="auto" w:fill="auto"/>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shd w:val="clear" w:color="auto" w:fill="auto"/>
      <w:lang w:eastAsia="en-US"/>
    </w:rPr>
  </w:style>
  <w:style w:type="character" w:styleId="Hyperlink">
    <w:name w:val="Hyperlink"/>
    <w:uiPriority w:val="99"/>
    <w:rPr>
      <w:rFonts w:cs="Times New Roman"/>
      <w:color w:val="0000FF"/>
      <w:u w:val="single"/>
      <w:shd w:val="clear" w:color="auto" w:fill="auto"/>
    </w:rPr>
  </w:style>
  <w:style w:type="paragraph" w:customStyle="1" w:styleId="Default">
    <w:name w:val="Default"/>
    <w:pPr>
      <w:autoSpaceDE w:val="0"/>
      <w:autoSpaceDN w:val="0"/>
      <w:adjustRightInd w:val="0"/>
    </w:pPr>
    <w:rPr>
      <w:color w:val="000000"/>
      <w:sz w:val="24"/>
      <w:szCs w:val="24"/>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link w:val="TOCHeading"/>
    <w:uiPriority w:val="39"/>
    <w:rPr>
      <w:b/>
      <w:sz w:val="28"/>
      <w:szCs w:val="24"/>
      <w:shd w:val="clear" w:color="auto" w:fill="auto"/>
      <w:lang w:eastAsia="en-US"/>
    </w:rPr>
  </w:style>
  <w:style w:type="character" w:customStyle="1" w:styleId="FooterCoverPageChar">
    <w:name w:val="Footer Cover Page Char"/>
    <w:link w:val="FooterCoverPage"/>
    <w:rPr>
      <w:sz w:val="24"/>
      <w:szCs w:val="24"/>
      <w:lang w:eastAsia="en-US"/>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link w:val="HeaderCoverPage"/>
    <w:rPr>
      <w:sz w:val="24"/>
      <w:szCs w:val="24"/>
      <w:lang w:eastAsia="en-US"/>
    </w:rPr>
  </w:style>
  <w:style w:type="character" w:customStyle="1" w:styleId="FootnoteTextChar">
    <w:name w:val="Footnote Text Char"/>
    <w:link w:val="FootnoteText"/>
    <w:uiPriority w:val="99"/>
    <w:rPr>
      <w:lang w:eastAsia="en-US"/>
    </w:rPr>
  </w:style>
  <w:style w:type="character" w:customStyle="1" w:styleId="Heading4Char">
    <w:name w:val="Heading 4 Char"/>
    <w:link w:val="Heading4"/>
    <w:rPr>
      <w:bCs/>
      <w:sz w:val="24"/>
      <w:szCs w:val="28"/>
      <w:lang w:eastAsia="en-US"/>
    </w:rPr>
  </w:style>
  <w:style w:type="character" w:customStyle="1" w:styleId="FooterChar">
    <w:name w:val="Footer Char"/>
    <w:link w:val="Footer"/>
    <w:uiPriority w:val="99"/>
    <w:rPr>
      <w:rFonts w:eastAsia="Calibri"/>
      <w:sz w:val="24"/>
      <w:szCs w:val="22"/>
      <w:lang w:eastAsia="en-US"/>
    </w:rPr>
  </w:style>
  <w:style w:type="paragraph" w:styleId="Revision">
    <w:name w:val="Revision"/>
    <w:hidden/>
    <w:uiPriority w:val="99"/>
    <w:semiHidden/>
    <w:rPr>
      <w:sz w:val="24"/>
      <w:szCs w:val="24"/>
      <w:lang w:eastAsia="en-US"/>
    </w:rPr>
  </w:style>
  <w:style w:type="character" w:customStyle="1" w:styleId="Heading3Char">
    <w:name w:val="Heading 3 Char"/>
    <w:link w:val="Heading3"/>
    <w:rPr>
      <w:bCs/>
      <w:i/>
      <w:sz w:val="24"/>
      <w:szCs w:val="26"/>
      <w:lang w:eastAsia="en-US"/>
    </w:rPr>
  </w:style>
  <w:style w:type="paragraph" w:customStyle="1" w:styleId="Declassification">
    <w:name w:val="Declassification"/>
    <w:basedOn w:val="Normal"/>
    <w:next w:val="Normal"/>
    <w:pPr>
      <w:spacing w:before="0" w:after="0"/>
    </w:pPr>
    <w:rPr>
      <w:rFonts w:eastAsia="Calibri"/>
      <w:szCs w:val="22"/>
    </w:rPr>
  </w:style>
  <w:style w:type="character" w:customStyle="1" w:styleId="HeaderChar">
    <w:name w:val="Header Char"/>
    <w:link w:val="Header"/>
    <w:uiPriority w:val="99"/>
    <w:rPr>
      <w:rFonts w:eastAsia="Calibri"/>
      <w:sz w:val="24"/>
      <w:szCs w:val="22"/>
      <w:lang w:eastAsia="en-US"/>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jc w:val="both"/>
    </w:pPr>
    <w:rPr>
      <w:sz w:val="24"/>
      <w:szCs w:val="24"/>
      <w:lang w:eastAsia="en-US"/>
    </w:rPr>
  </w:style>
  <w:style w:type="paragraph" w:styleId="Heading1">
    <w:name w:val="heading 1"/>
    <w:basedOn w:val="Normal"/>
    <w:next w:val="Normal"/>
    <w:qFormat/>
    <w:pPr>
      <w:keepNext/>
      <w:numPr>
        <w:numId w:val="24"/>
      </w:numPr>
      <w:spacing w:before="360"/>
      <w:outlineLvl w:val="0"/>
    </w:pPr>
    <w:rPr>
      <w:b/>
      <w:bCs/>
      <w:smallCaps/>
      <w:szCs w:val="32"/>
    </w:rPr>
  </w:style>
  <w:style w:type="paragraph" w:styleId="Heading2">
    <w:name w:val="heading 2"/>
    <w:basedOn w:val="Normal"/>
    <w:next w:val="Normal"/>
    <w:qFormat/>
    <w:pPr>
      <w:keepNext/>
      <w:numPr>
        <w:ilvl w:val="1"/>
        <w:numId w:val="24"/>
      </w:numPr>
      <w:outlineLvl w:val="1"/>
    </w:pPr>
    <w:rPr>
      <w:b/>
      <w:bCs/>
      <w:iCs/>
      <w:szCs w:val="28"/>
    </w:rPr>
  </w:style>
  <w:style w:type="paragraph" w:styleId="Heading3">
    <w:name w:val="heading 3"/>
    <w:basedOn w:val="Normal"/>
    <w:next w:val="Normal"/>
    <w:link w:val="Heading3Char"/>
    <w:autoRedefine/>
    <w:qFormat/>
    <w:pPr>
      <w:keepNext/>
      <w:numPr>
        <w:ilvl w:val="2"/>
        <w:numId w:val="24"/>
      </w:numPr>
      <w:outlineLvl w:val="2"/>
    </w:pPr>
    <w:rPr>
      <w:bCs/>
      <w:i/>
      <w:szCs w:val="26"/>
    </w:rPr>
  </w:style>
  <w:style w:type="paragraph" w:styleId="Heading4">
    <w:name w:val="heading 4"/>
    <w:basedOn w:val="Normal"/>
    <w:next w:val="Normal"/>
    <w:link w:val="Heading4Char"/>
    <w:qFormat/>
    <w:pPr>
      <w:keepNext/>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pPr>
      <w:spacing w:before="0" w:after="240"/>
      <w:jc w:val="center"/>
    </w:pPr>
    <w:rPr>
      <w:b/>
      <w:i/>
    </w:rPr>
  </w:style>
  <w:style w:type="paragraph" w:customStyle="1" w:styleId="AccompagnantPagedecouverture">
    <w:name w:val="Accompagnant (Page de couverture)"/>
    <w:basedOn w:val="Accompagnant"/>
    <w:next w:val="Normal"/>
  </w:style>
  <w:style w:type="character" w:customStyle="1" w:styleId="Added">
    <w:name w:val="Added"/>
    <w:rPr>
      <w:b/>
      <w:u w:val="single"/>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Annexetitre">
    <w:name w:val="Annexe titre"/>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Normal"/>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Bullet0">
    <w:name w:val="Bullet 0"/>
    <w:basedOn w:val="Normal"/>
    <w:pPr>
      <w:numPr>
        <w:numId w:val="1"/>
      </w:numPr>
    </w:pPr>
  </w:style>
  <w:style w:type="paragraph" w:customStyle="1" w:styleId="Bullet1">
    <w:name w:val="Bullet 1"/>
    <w:basedOn w:val="Normal"/>
    <w:pPr>
      <w:numPr>
        <w:numId w:val="2"/>
      </w:numPr>
    </w:pPr>
  </w:style>
  <w:style w:type="paragraph" w:customStyle="1" w:styleId="Bullet2">
    <w:name w:val="Bullet 2"/>
    <w:basedOn w:val="Normal"/>
    <w:pPr>
      <w:numPr>
        <w:numId w:val="3"/>
      </w:numPr>
    </w:pPr>
  </w:style>
  <w:style w:type="paragraph" w:customStyle="1" w:styleId="Bullet3">
    <w:name w:val="Bullet 3"/>
    <w:basedOn w:val="Normal"/>
    <w:pPr>
      <w:numPr>
        <w:numId w:val="4"/>
      </w:numPr>
    </w:pPr>
  </w:style>
  <w:style w:type="paragraph" w:customStyle="1" w:styleId="Bullet4">
    <w:name w:val="Bullet 4"/>
    <w:basedOn w:val="Normal"/>
    <w:pPr>
      <w:numPr>
        <w:numId w:val="5"/>
      </w:numPr>
    </w:pPr>
  </w:style>
  <w:style w:type="paragraph" w:customStyle="1" w:styleId="ChapterTitle">
    <w:name w:val="ChapterTitle"/>
    <w:basedOn w:val="Normal"/>
    <w:next w:val="Normal"/>
    <w:pPr>
      <w:keepNext/>
      <w:spacing w:after="360"/>
      <w:jc w:val="center"/>
    </w:pPr>
    <w:rPr>
      <w:b/>
      <w:sz w:val="32"/>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Normal"/>
    <w:pPr>
      <w:spacing w:before="240" w:after="240"/>
      <w:ind w:left="5103"/>
    </w:pPr>
    <w:rPr>
      <w:u w:val="single"/>
    </w:rPr>
  </w:style>
  <w:style w:type="paragraph" w:customStyle="1" w:styleId="Considrant">
    <w:name w:val="Considérant"/>
    <w:basedOn w:val="Normal"/>
    <w:pPr>
      <w:numPr>
        <w:numId w:val="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Normal"/>
    <w:pPr>
      <w:spacing w:before="360" w:after="0"/>
      <w:jc w:val="center"/>
    </w:pPr>
    <w:rPr>
      <w:b/>
    </w:rPr>
  </w:style>
  <w:style w:type="paragraph" w:customStyle="1" w:styleId="DatedadoptionPagedecouverture">
    <w:name w:val="Date d'adoption (Page de couverture)"/>
    <w:basedOn w:val="Datedadoption"/>
    <w:next w:val="Normal"/>
  </w:style>
  <w:style w:type="character" w:customStyle="1" w:styleId="Deleted">
    <w:name w:val="Deleted"/>
    <w:rPr>
      <w:strike/>
      <w:shd w:val="clear" w:color="auto" w:fill="auto"/>
    </w:rPr>
  </w:style>
  <w:style w:type="paragraph" w:customStyle="1" w:styleId="Emission">
    <w:name w:val="Emission"/>
    <w:basedOn w:val="Normal"/>
    <w:next w:val="Normal"/>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Normal"/>
    <w:pPr>
      <w:keepNext/>
      <w:spacing w:after="0"/>
    </w:pPr>
  </w:style>
  <w:style w:type="paragraph" w:customStyle="1" w:styleId="Fichefinanciretitre">
    <w:name w:val="Fiche financière titre"/>
    <w:basedOn w:val="Normal"/>
    <w:next w:val="Normal"/>
    <w:pPr>
      <w:jc w:val="center"/>
    </w:pPr>
    <w:rPr>
      <w:b/>
      <w:u w:val="singl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rFonts w:eastAsia="Calibri"/>
      <w:szCs w:val="22"/>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rFonts w:eastAsia="Calibri"/>
      <w:szCs w:val="22"/>
    </w:rPr>
  </w:style>
  <w:style w:type="character" w:styleId="FootnoteReference">
    <w:name w:val="footnote reference"/>
    <w:uiPriority w:val="99"/>
    <w:rPr>
      <w:shd w:val="clear" w:color="auto" w:fill="auto"/>
      <w:vertAlign w:val="superscript"/>
    </w:rPr>
  </w:style>
  <w:style w:type="paragraph" w:styleId="FootnoteText">
    <w:name w:val="footnote text"/>
    <w:basedOn w:val="Normal"/>
    <w:link w:val="FootnoteTextChar"/>
    <w:uiPriority w:val="99"/>
    <w:pPr>
      <w:spacing w:before="0" w:after="0"/>
      <w:ind w:left="720" w:hanging="720"/>
    </w:pPr>
    <w:rPr>
      <w:sz w:val="20"/>
      <w:szCs w:val="20"/>
    </w:rPr>
  </w:style>
  <w:style w:type="paragraph" w:customStyle="1" w:styleId="Formuledadoption">
    <w:name w:val="Formule d'adoption"/>
    <w:basedOn w:val="Normal"/>
    <w:next w:val="Normal"/>
    <w:pPr>
      <w:keepNext/>
    </w:pPr>
  </w:style>
  <w:style w:type="paragraph" w:styleId="Header">
    <w:name w:val="header"/>
    <w:basedOn w:val="Normal"/>
    <w:link w:val="HeaderChar"/>
    <w:uiPriority w:val="99"/>
    <w:unhideWhenUsed/>
    <w:pPr>
      <w:tabs>
        <w:tab w:val="center" w:pos="4535"/>
        <w:tab w:val="right" w:pos="9071"/>
      </w:tabs>
      <w:spacing w:before="0"/>
    </w:pPr>
    <w:rPr>
      <w:rFonts w:eastAsia="Calibri"/>
      <w:szCs w:val="22"/>
    </w:rPr>
  </w:style>
  <w:style w:type="paragraph" w:customStyle="1" w:styleId="HeaderLandscape">
    <w:name w:val="HeaderLandscape"/>
    <w:basedOn w:val="Normal"/>
    <w:pPr>
      <w:tabs>
        <w:tab w:val="center" w:pos="7285"/>
        <w:tab w:val="right" w:pos="14003"/>
      </w:tabs>
      <w:spacing w:before="0"/>
    </w:pPr>
    <w:rPr>
      <w:rFonts w:eastAsia="Calibri"/>
      <w:szCs w:val="22"/>
    </w:r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Normal"/>
    <w:pPr>
      <w:keepNext/>
      <w:tabs>
        <w:tab w:val="left" w:pos="4252"/>
      </w:tabs>
      <w:spacing w:before="720" w:after="0"/>
    </w:pPr>
    <w:rPr>
      <w:i/>
    </w:rPr>
  </w:style>
  <w:style w:type="paragraph" w:customStyle="1" w:styleId="Languesfaisantfoi">
    <w:name w:val="Langues faisant foi"/>
    <w:basedOn w:val="Normal"/>
    <w:next w:val="Normal"/>
    <w:pPr>
      <w:spacing w:before="360" w:after="0"/>
      <w:jc w:val="center"/>
    </w:pPr>
  </w:style>
  <w:style w:type="paragraph" w:customStyle="1" w:styleId="IntrtEEE">
    <w:name w:val="Intérêt EEE"/>
    <w:basedOn w:val="Languesfaisantfoi"/>
    <w:next w:val="Normal"/>
    <w:pPr>
      <w:spacing w:after="240"/>
    </w:pPr>
  </w:style>
  <w:style w:type="paragraph" w:customStyle="1" w:styleId="IntrtEEEPagedecouverture">
    <w:name w:val="Intérêt EEE (Page de couverture)"/>
    <w:basedOn w:val="IntrtEEE"/>
    <w:next w:val="Normal"/>
  </w:style>
  <w:style w:type="paragraph" w:customStyle="1" w:styleId="Langue">
    <w:name w:val="Langue"/>
    <w:basedOn w:val="Normal"/>
    <w:next w:val="Normal"/>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pPr>
      <w:spacing w:before="360" w:after="0"/>
      <w:jc w:val="center"/>
    </w:pPr>
  </w:style>
  <w:style w:type="paragraph" w:customStyle="1" w:styleId="ManualConsidrant">
    <w:name w:val="Manual Considérant"/>
    <w:basedOn w:val="Normal"/>
    <w:pPr>
      <w:ind w:left="709" w:hanging="709"/>
    </w:pPr>
  </w:style>
  <w:style w:type="paragraph" w:customStyle="1" w:styleId="ManualHeading1">
    <w:name w:val="Manual Heading 1"/>
    <w:basedOn w:val="Normal"/>
    <w:next w:val="Normal"/>
    <w:pPr>
      <w:keepNext/>
      <w:tabs>
        <w:tab w:val="left" w:pos="850"/>
      </w:tabs>
      <w:spacing w:before="360"/>
      <w:ind w:left="850" w:hanging="850"/>
      <w:outlineLvl w:val="0"/>
    </w:pPr>
    <w:rPr>
      <w:b/>
      <w:smallCaps/>
    </w:rPr>
  </w:style>
  <w:style w:type="paragraph" w:customStyle="1" w:styleId="ManualHeading2">
    <w:name w:val="Manual Heading 2"/>
    <w:basedOn w:val="Normal"/>
    <w:next w:val="Normal"/>
    <w:pPr>
      <w:keepNext/>
      <w:tabs>
        <w:tab w:val="left" w:pos="850"/>
      </w:tabs>
      <w:ind w:left="850" w:hanging="850"/>
      <w:outlineLvl w:val="1"/>
    </w:pPr>
    <w:rPr>
      <w:b/>
    </w:rPr>
  </w:style>
  <w:style w:type="paragraph" w:customStyle="1" w:styleId="ManualHeading3">
    <w:name w:val="Manual Heading 3"/>
    <w:basedOn w:val="Normal"/>
    <w:next w:val="Normal"/>
    <w:pPr>
      <w:keepNext/>
      <w:tabs>
        <w:tab w:val="left" w:pos="850"/>
      </w:tabs>
      <w:ind w:left="850" w:hanging="850"/>
      <w:outlineLvl w:val="2"/>
    </w:pPr>
    <w:rPr>
      <w:i/>
    </w:rPr>
  </w:style>
  <w:style w:type="paragraph" w:customStyle="1" w:styleId="ManualHeading4">
    <w:name w:val="Manual Heading 4"/>
    <w:basedOn w:val="Normal"/>
    <w:next w:val="Normal"/>
    <w:pPr>
      <w:keepNext/>
      <w:tabs>
        <w:tab w:val="left" w:pos="850"/>
      </w:tabs>
      <w:ind w:left="850" w:hanging="850"/>
      <w:outlineLvl w:val="3"/>
    </w:pPr>
  </w:style>
  <w:style w:type="paragraph" w:customStyle="1" w:styleId="ManualNumPar1">
    <w:name w:val="Manual NumPar 1"/>
    <w:basedOn w:val="Normal"/>
    <w:next w:val="Normal"/>
    <w:pPr>
      <w:ind w:left="850" w:hanging="850"/>
    </w:pPr>
  </w:style>
  <w:style w:type="paragraph" w:customStyle="1" w:styleId="ManualNumPar2">
    <w:name w:val="Manual NumPar 2"/>
    <w:basedOn w:val="Normal"/>
    <w:next w:val="Normal"/>
    <w:pPr>
      <w:ind w:left="850" w:hanging="850"/>
    </w:pPr>
  </w:style>
  <w:style w:type="paragraph" w:customStyle="1" w:styleId="ManualNumPar3">
    <w:name w:val="Manual NumPar 3"/>
    <w:basedOn w:val="Normal"/>
    <w:next w:val="Normal"/>
    <w:pPr>
      <w:ind w:left="850" w:hanging="850"/>
    </w:pPr>
  </w:style>
  <w:style w:type="paragraph" w:customStyle="1" w:styleId="ManualNumPar4">
    <w:name w:val="Manual NumPar 4"/>
    <w:basedOn w:val="Normal"/>
    <w:next w:val="Normal"/>
    <w:pPr>
      <w:ind w:left="850" w:hanging="850"/>
    </w:p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NumPar1">
    <w:name w:val="NumPar 1"/>
    <w:basedOn w:val="Normal"/>
    <w:next w:val="Normal"/>
    <w:pPr>
      <w:numPr>
        <w:numId w:val="23"/>
      </w:numPr>
    </w:pPr>
  </w:style>
  <w:style w:type="paragraph" w:customStyle="1" w:styleId="NumPar2">
    <w:name w:val="NumPar 2"/>
    <w:basedOn w:val="Normal"/>
    <w:next w:val="Normal"/>
    <w:pPr>
      <w:numPr>
        <w:ilvl w:val="1"/>
        <w:numId w:val="23"/>
      </w:numPr>
    </w:pPr>
  </w:style>
  <w:style w:type="paragraph" w:customStyle="1" w:styleId="NumPar3">
    <w:name w:val="NumPar 3"/>
    <w:basedOn w:val="Normal"/>
    <w:next w:val="Normal"/>
    <w:pPr>
      <w:numPr>
        <w:ilvl w:val="2"/>
        <w:numId w:val="23"/>
      </w:numPr>
    </w:pPr>
  </w:style>
  <w:style w:type="paragraph" w:customStyle="1" w:styleId="NumPar4">
    <w:name w:val="NumPar 4"/>
    <w:basedOn w:val="Normal"/>
    <w:next w:val="Normal"/>
    <w:pPr>
      <w:numPr>
        <w:ilvl w:val="3"/>
        <w:numId w:val="23"/>
      </w:numPr>
    </w:pPr>
  </w:style>
  <w:style w:type="paragraph" w:customStyle="1" w:styleId="Objetacteprincipal">
    <w:name w:val="Objet acte principal"/>
    <w:basedOn w:val="Normal"/>
    <w:next w:val="Normal"/>
    <w:pPr>
      <w:spacing w:before="0" w:after="360"/>
      <w:jc w:val="center"/>
    </w:pPr>
    <w:rPr>
      <w:b/>
    </w:rPr>
  </w:style>
  <w:style w:type="paragraph" w:customStyle="1" w:styleId="ObjetacteprincipalPagedecouverture">
    <w:name w:val="Objet acte principal (Page de couverture)"/>
    <w:basedOn w:val="Objetacteprincipal"/>
    <w:next w:val="Normal"/>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style>
  <w:style w:type="paragraph" w:customStyle="1" w:styleId="PartTitle">
    <w:name w:val="PartTitle"/>
    <w:basedOn w:val="Normal"/>
    <w:next w:val="ChapterTitle"/>
    <w:pPr>
      <w:keepNext/>
      <w:pageBreakBefore/>
      <w:spacing w:after="360"/>
      <w:jc w:val="center"/>
    </w:pPr>
    <w:rPr>
      <w:b/>
      <w:sz w:val="36"/>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Point0">
    <w:name w:val="Point 0"/>
    <w:basedOn w:val="Normal"/>
    <w:pPr>
      <w:ind w:left="850" w:hanging="850"/>
    </w:pPr>
  </w:style>
  <w:style w:type="paragraph" w:customStyle="1" w:styleId="Point0letter">
    <w:name w:val="Point 0 (letter)"/>
    <w:basedOn w:val="Normal"/>
  </w:style>
  <w:style w:type="paragraph" w:customStyle="1" w:styleId="Point0number">
    <w:name w:val="Point 0 (number)"/>
    <w:basedOn w:val="Normal"/>
  </w:style>
  <w:style w:type="paragraph" w:customStyle="1" w:styleId="Point1">
    <w:name w:val="Point 1"/>
    <w:basedOn w:val="Normal"/>
    <w:pPr>
      <w:ind w:left="1417" w:hanging="567"/>
    </w:pPr>
  </w:style>
  <w:style w:type="paragraph" w:customStyle="1" w:styleId="Point1letter">
    <w:name w:val="Point 1 (letter)"/>
    <w:basedOn w:val="Normal"/>
  </w:style>
  <w:style w:type="paragraph" w:customStyle="1" w:styleId="Point1number">
    <w:name w:val="Point 1 (number)"/>
    <w:basedOn w:val="Normal"/>
  </w:style>
  <w:style w:type="paragraph" w:customStyle="1" w:styleId="Point2">
    <w:name w:val="Point 2"/>
    <w:basedOn w:val="Normal"/>
    <w:pPr>
      <w:ind w:left="1984" w:hanging="567"/>
    </w:pPr>
  </w:style>
  <w:style w:type="paragraph" w:customStyle="1" w:styleId="Point2letter">
    <w:name w:val="Point 2 (letter)"/>
    <w:basedOn w:val="Normal"/>
    <w:pPr>
      <w:numPr>
        <w:ilvl w:val="5"/>
        <w:numId w:val="7"/>
      </w:numPr>
    </w:pPr>
  </w:style>
  <w:style w:type="paragraph" w:customStyle="1" w:styleId="Point2number">
    <w:name w:val="Point 2 (number)"/>
    <w:basedOn w:val="Normal"/>
    <w:pPr>
      <w:numPr>
        <w:ilvl w:val="4"/>
        <w:numId w:val="7"/>
      </w:numPr>
    </w:pPr>
  </w:style>
  <w:style w:type="paragraph" w:customStyle="1" w:styleId="Point3">
    <w:name w:val="Point 3"/>
    <w:basedOn w:val="Normal"/>
    <w:pPr>
      <w:ind w:left="2551" w:hanging="567"/>
    </w:pPr>
  </w:style>
  <w:style w:type="paragraph" w:customStyle="1" w:styleId="Point3letter">
    <w:name w:val="Point 3 (letter)"/>
    <w:basedOn w:val="Normal"/>
    <w:pPr>
      <w:numPr>
        <w:ilvl w:val="7"/>
        <w:numId w:val="7"/>
      </w:numPr>
    </w:pPr>
  </w:style>
  <w:style w:type="paragraph" w:customStyle="1" w:styleId="Point3number">
    <w:name w:val="Point 3 (number)"/>
    <w:basedOn w:val="Normal"/>
    <w:pPr>
      <w:numPr>
        <w:ilvl w:val="6"/>
        <w:numId w:val="7"/>
      </w:numPr>
    </w:pPr>
  </w:style>
  <w:style w:type="paragraph" w:customStyle="1" w:styleId="Point4">
    <w:name w:val="Point 4"/>
    <w:basedOn w:val="Normal"/>
    <w:pPr>
      <w:ind w:left="3118" w:hanging="567"/>
    </w:pPr>
  </w:style>
  <w:style w:type="paragraph" w:customStyle="1" w:styleId="Point4letter">
    <w:name w:val="Point 4 (letter)"/>
    <w:basedOn w:val="Normal"/>
    <w:pPr>
      <w:numPr>
        <w:ilvl w:val="8"/>
        <w:numId w:val="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QuotedNumPar">
    <w:name w:val="Quoted NumPar"/>
    <w:basedOn w:val="Normal"/>
    <w:pPr>
      <w:ind w:left="1417" w:hanging="567"/>
    </w:pPr>
  </w:style>
  <w:style w:type="paragraph" w:customStyle="1" w:styleId="QuotedText">
    <w:name w:val="Quoted Text"/>
    <w:basedOn w:val="Normal"/>
    <w:pPr>
      <w:ind w:left="1417"/>
    </w:pPr>
  </w:style>
  <w:style w:type="paragraph" w:customStyle="1" w:styleId="Rfrencecroise">
    <w:name w:val="Référence croisée"/>
    <w:basedOn w:val="Normal"/>
    <w:pPr>
      <w:spacing w:before="0" w:after="0"/>
      <w:jc w:val="center"/>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Normal"/>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style>
  <w:style w:type="paragraph" w:customStyle="1" w:styleId="Rfrenceinterne">
    <w:name w:val="Référence interne"/>
    <w:basedOn w:val="Normal"/>
    <w:next w:val="Rfrenceinterinstitutionnelle"/>
    <w:pPr>
      <w:spacing w:before="0" w:after="0"/>
      <w:ind w:left="5103"/>
      <w:jc w:val="left"/>
    </w:pPr>
  </w:style>
  <w:style w:type="paragraph" w:customStyle="1" w:styleId="SectionTitle">
    <w:name w:val="SectionTitle"/>
    <w:basedOn w:val="Normal"/>
    <w:next w:val="Heading1"/>
    <w:pPr>
      <w:keepNext/>
      <w:spacing w:after="360"/>
      <w:jc w:val="center"/>
    </w:pPr>
    <w:rPr>
      <w:b/>
      <w:smallCaps/>
      <w:sz w:val="28"/>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Statut">
    <w:name w:val="Statut"/>
    <w:basedOn w:val="Normal"/>
    <w:next w:val="Normal"/>
    <w:pPr>
      <w:spacing w:before="360" w:after="0"/>
      <w:jc w:val="center"/>
    </w:pPr>
  </w:style>
  <w:style w:type="paragraph" w:customStyle="1" w:styleId="StatutPagedecouverture">
    <w:name w:val="Statut (Page de couverture)"/>
    <w:basedOn w:val="Statut"/>
    <w:next w:val="Normal"/>
  </w:style>
  <w:style w:type="paragraph" w:customStyle="1" w:styleId="Supertitre">
    <w:name w:val="Supertitre"/>
    <w:basedOn w:val="Normal"/>
    <w:next w:val="Normal"/>
    <w:pPr>
      <w:spacing w:before="0" w:after="600"/>
      <w:jc w:val="center"/>
    </w:pPr>
    <w:rPr>
      <w:b/>
    </w:rPr>
  </w:style>
  <w:style w:type="paragraph" w:customStyle="1" w:styleId="TableTitle">
    <w:name w:val="Table Title"/>
    <w:basedOn w:val="Normal"/>
    <w:next w:val="Normal"/>
    <w:pPr>
      <w:jc w:val="center"/>
    </w:pPr>
    <w:rPr>
      <w:b/>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iret0">
    <w:name w:val="Tiret 0"/>
    <w:basedOn w:val="Point0"/>
    <w:pPr>
      <w:numPr>
        <w:numId w:val="8"/>
      </w:numPr>
    </w:pPr>
  </w:style>
  <w:style w:type="paragraph" w:customStyle="1" w:styleId="Tiret1">
    <w:name w:val="Tiret 1"/>
    <w:basedOn w:val="Point1"/>
    <w:pPr>
      <w:numPr>
        <w:numId w:val="9"/>
      </w:numPr>
    </w:pPr>
  </w:style>
  <w:style w:type="paragraph" w:customStyle="1" w:styleId="Tiret2">
    <w:name w:val="Tiret 2"/>
    <w:basedOn w:val="Point2"/>
    <w:pPr>
      <w:numPr>
        <w:numId w:val="10"/>
      </w:numPr>
    </w:pPr>
  </w:style>
  <w:style w:type="paragraph" w:customStyle="1" w:styleId="Tiret3">
    <w:name w:val="Tiret 3"/>
    <w:basedOn w:val="Point3"/>
    <w:pPr>
      <w:numPr>
        <w:numId w:val="11"/>
      </w:numPr>
    </w:pPr>
  </w:style>
  <w:style w:type="paragraph" w:customStyle="1" w:styleId="Tiret4">
    <w:name w:val="Tiret 4"/>
    <w:basedOn w:val="Point4"/>
    <w:pPr>
      <w:numPr>
        <w:numId w:val="12"/>
      </w:numP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agedecouverture">
    <w:name w:val="Titre objet (Page de couverture)"/>
    <w:basedOn w:val="Titreobjet"/>
    <w:next w:val="Sous-titreobjetPagedecouverture"/>
  </w:style>
  <w:style w:type="paragraph" w:styleId="TOC1">
    <w:name w:val="toc 1"/>
    <w:basedOn w:val="Normal"/>
    <w:next w:val="Normal"/>
    <w:uiPriority w:val="39"/>
    <w:pPr>
      <w:tabs>
        <w:tab w:val="right" w:leader="dot" w:pos="9071"/>
      </w:tabs>
      <w:spacing w:before="60"/>
      <w:ind w:left="850" w:hanging="850"/>
      <w:jc w:val="left"/>
    </w:pPr>
  </w:style>
  <w:style w:type="paragraph" w:styleId="TOC2">
    <w:name w:val="toc 2"/>
    <w:basedOn w:val="Normal"/>
    <w:next w:val="Normal"/>
    <w:uiPriority w:val="39"/>
    <w:pPr>
      <w:tabs>
        <w:tab w:val="right" w:leader="dot" w:pos="9071"/>
      </w:tabs>
      <w:spacing w:before="60"/>
      <w:ind w:left="850" w:hanging="850"/>
      <w:jc w:val="left"/>
    </w:pPr>
  </w:style>
  <w:style w:type="paragraph" w:styleId="TOC3">
    <w:name w:val="toc 3"/>
    <w:basedOn w:val="Normal"/>
    <w:next w:val="Normal"/>
    <w:uiPriority w:val="39"/>
    <w:pPr>
      <w:tabs>
        <w:tab w:val="right" w:leader="dot" w:pos="9071"/>
      </w:tabs>
      <w:spacing w:before="60"/>
      <w:ind w:left="850" w:hanging="850"/>
      <w:jc w:val="left"/>
    </w:pPr>
  </w:style>
  <w:style w:type="paragraph" w:styleId="TOC4">
    <w:name w:val="toc 4"/>
    <w:basedOn w:val="Normal"/>
    <w:next w:val="Normal"/>
    <w:semiHidden/>
    <w:pPr>
      <w:tabs>
        <w:tab w:val="right" w:leader="dot" w:pos="9071"/>
      </w:tabs>
      <w:spacing w:before="60"/>
      <w:ind w:left="850" w:hanging="850"/>
      <w:jc w:val="left"/>
    </w:pPr>
  </w:style>
  <w:style w:type="paragraph" w:styleId="TOC5">
    <w:name w:val="toc 5"/>
    <w:basedOn w:val="Normal"/>
    <w:next w:val="Normal"/>
    <w:semiHidden/>
    <w:pPr>
      <w:tabs>
        <w:tab w:val="right" w:leader="dot" w:pos="9071"/>
      </w:tabs>
      <w:spacing w:before="300"/>
      <w:jc w:val="left"/>
    </w:pPr>
  </w:style>
  <w:style w:type="paragraph" w:styleId="TOC6">
    <w:name w:val="toc 6"/>
    <w:basedOn w:val="Normal"/>
    <w:next w:val="Normal"/>
    <w:semiHidden/>
    <w:pPr>
      <w:tabs>
        <w:tab w:val="right" w:leader="dot" w:pos="9071"/>
      </w:tabs>
      <w:spacing w:before="240"/>
      <w:jc w:val="left"/>
    </w:pPr>
  </w:style>
  <w:style w:type="paragraph" w:styleId="TOC7">
    <w:name w:val="toc 7"/>
    <w:basedOn w:val="Normal"/>
    <w:next w:val="Normal"/>
    <w:semiHidden/>
    <w:pPr>
      <w:tabs>
        <w:tab w:val="right" w:leader="dot" w:pos="9071"/>
      </w:tabs>
      <w:spacing w:before="180"/>
      <w:jc w:val="left"/>
    </w:pPr>
  </w:style>
  <w:style w:type="paragraph" w:styleId="TOC8">
    <w:name w:val="toc 8"/>
    <w:basedOn w:val="Normal"/>
    <w:next w:val="Normal"/>
    <w:semiHidden/>
    <w:pPr>
      <w:tabs>
        <w:tab w:val="right" w:leader="dot" w:pos="9071"/>
      </w:tabs>
      <w:jc w:val="left"/>
    </w:pPr>
  </w:style>
  <w:style w:type="paragraph" w:styleId="TOC9">
    <w:name w:val="toc 9"/>
    <w:basedOn w:val="Normal"/>
    <w:next w:val="Normal"/>
    <w:semiHidden/>
    <w:pPr>
      <w:tabs>
        <w:tab w:val="right" w:leader="dot" w:pos="9071"/>
      </w:tabs>
    </w:pPr>
  </w:style>
  <w:style w:type="paragraph" w:styleId="TOCHeading">
    <w:name w:val="TOC Heading"/>
    <w:basedOn w:val="Normal"/>
    <w:next w:val="Normal"/>
    <w:link w:val="TOCHeadingChar"/>
    <w:uiPriority w:val="39"/>
    <w:qFormat/>
    <w:pPr>
      <w:spacing w:after="240"/>
      <w:jc w:val="center"/>
    </w:pPr>
    <w:rPr>
      <w:b/>
      <w:sz w:val="28"/>
    </w:rPr>
  </w:style>
  <w:style w:type="paragraph" w:customStyle="1" w:styleId="Typeacteprincipal">
    <w:name w:val="Type acte principal"/>
    <w:basedOn w:val="Normal"/>
    <w:next w:val="Objetacteprincipal"/>
    <w:pPr>
      <w:spacing w:before="0" w:after="240"/>
      <w:jc w:val="center"/>
    </w:pPr>
    <w:rPr>
      <w:b/>
    </w:rPr>
  </w:style>
  <w:style w:type="paragraph" w:customStyle="1" w:styleId="TypeacteprincipalPagedecouverture">
    <w:name w:val="Type acte principal (Page de couverture)"/>
    <w:basedOn w:val="Typeacteprincipal"/>
    <w:next w:val="ObjetacteprincipalPagedecouverture"/>
  </w:style>
  <w:style w:type="paragraph" w:customStyle="1" w:styleId="Typedudocument">
    <w:name w:val="Type du document"/>
    <w:basedOn w:val="Normal"/>
    <w:next w:val="Titreobjet"/>
    <w:pPr>
      <w:spacing w:before="360" w:after="0"/>
      <w:jc w:val="center"/>
    </w:pPr>
    <w:rPr>
      <w:b/>
    </w:rPr>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styleId="ListBullet">
    <w:name w:val="List Bullet"/>
    <w:basedOn w:val="Normal"/>
    <w:pPr>
      <w:numPr>
        <w:numId w:val="15"/>
      </w:numPr>
    </w:pPr>
    <w:rPr>
      <w:lang w:eastAsia="de-DE"/>
    </w:rPr>
  </w:style>
  <w:style w:type="table" w:styleId="TableGrid">
    <w:name w:val="Table Grid"/>
    <w:basedOn w:val="TableNormal"/>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shd w:val="clear" w:color="auto" w:fill="auto"/>
      <w:lang w:eastAsia="en-US"/>
    </w:rPr>
  </w:style>
  <w:style w:type="paragraph" w:styleId="ListBullet2">
    <w:name w:val="List Bullet 2"/>
    <w:basedOn w:val="Normal"/>
    <w:pPr>
      <w:numPr>
        <w:numId w:val="16"/>
      </w:numPr>
    </w:pPr>
  </w:style>
  <w:style w:type="paragraph" w:styleId="ListBullet3">
    <w:name w:val="List Bullet 3"/>
    <w:basedOn w:val="Normal"/>
    <w:pPr>
      <w:numPr>
        <w:numId w:val="17"/>
      </w:numPr>
    </w:pPr>
  </w:style>
  <w:style w:type="paragraph" w:styleId="ListBullet4">
    <w:name w:val="List Bullet 4"/>
    <w:basedOn w:val="Normal"/>
    <w:pPr>
      <w:numPr>
        <w:numId w:val="18"/>
      </w:numPr>
    </w:pPr>
  </w:style>
  <w:style w:type="paragraph" w:styleId="Caption">
    <w:name w:val="caption"/>
    <w:basedOn w:val="Normal"/>
    <w:next w:val="Normal"/>
    <w:qFormat/>
    <w:rPr>
      <w:b/>
      <w:bCs/>
      <w:sz w:val="20"/>
      <w:szCs w:val="20"/>
    </w:rPr>
  </w:style>
  <w:style w:type="paragraph" w:styleId="TableofFigures">
    <w:name w:val="table of figures"/>
    <w:basedOn w:val="Normal"/>
    <w:next w:val="Normal"/>
  </w:style>
  <w:style w:type="paragraph" w:styleId="ListNumber">
    <w:name w:val="List Number"/>
    <w:basedOn w:val="Normal"/>
    <w:pPr>
      <w:numPr>
        <w:numId w:val="19"/>
      </w:numPr>
    </w:pPr>
  </w:style>
  <w:style w:type="paragraph" w:styleId="ListNumber2">
    <w:name w:val="List Number 2"/>
    <w:basedOn w:val="Normal"/>
    <w:pPr>
      <w:numPr>
        <w:numId w:val="20"/>
      </w:numPr>
    </w:pPr>
  </w:style>
  <w:style w:type="paragraph" w:styleId="ListNumber3">
    <w:name w:val="List Number 3"/>
    <w:basedOn w:val="Normal"/>
    <w:pPr>
      <w:numPr>
        <w:numId w:val="21"/>
      </w:numPr>
    </w:pPr>
  </w:style>
  <w:style w:type="paragraph" w:styleId="ListNumber4">
    <w:name w:val="List Number 4"/>
    <w:basedOn w:val="Normal"/>
    <w:pPr>
      <w:numPr>
        <w:numId w:val="22"/>
      </w:numPr>
    </w:pPr>
  </w:style>
  <w:style w:type="character" w:styleId="CommentReference">
    <w:name w:val="annotation reference"/>
    <w:rPr>
      <w:rFonts w:cs="Times New Roman"/>
      <w:sz w:val="16"/>
      <w:szCs w:val="16"/>
      <w:shd w:val="clear" w:color="auto" w:fill="auto"/>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shd w:val="clear" w:color="auto" w:fill="auto"/>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shd w:val="clear" w:color="auto" w:fill="auto"/>
      <w:lang w:eastAsia="en-US"/>
    </w:rPr>
  </w:style>
  <w:style w:type="character" w:styleId="Hyperlink">
    <w:name w:val="Hyperlink"/>
    <w:uiPriority w:val="99"/>
    <w:rPr>
      <w:rFonts w:cs="Times New Roman"/>
      <w:color w:val="0000FF"/>
      <w:u w:val="single"/>
      <w:shd w:val="clear" w:color="auto" w:fill="auto"/>
    </w:rPr>
  </w:style>
  <w:style w:type="paragraph" w:customStyle="1" w:styleId="Default">
    <w:name w:val="Default"/>
    <w:pPr>
      <w:autoSpaceDE w:val="0"/>
      <w:autoSpaceDN w:val="0"/>
      <w:adjustRightInd w:val="0"/>
    </w:pPr>
    <w:rPr>
      <w:color w:val="000000"/>
      <w:sz w:val="24"/>
      <w:szCs w:val="24"/>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link w:val="TOCHeading"/>
    <w:uiPriority w:val="39"/>
    <w:rPr>
      <w:b/>
      <w:sz w:val="28"/>
      <w:szCs w:val="24"/>
      <w:shd w:val="clear" w:color="auto" w:fill="auto"/>
      <w:lang w:eastAsia="en-US"/>
    </w:rPr>
  </w:style>
  <w:style w:type="character" w:customStyle="1" w:styleId="FooterCoverPageChar">
    <w:name w:val="Footer Cover Page Char"/>
    <w:link w:val="FooterCoverPage"/>
    <w:rPr>
      <w:sz w:val="24"/>
      <w:szCs w:val="24"/>
      <w:lang w:eastAsia="en-US"/>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link w:val="HeaderCoverPage"/>
    <w:rPr>
      <w:sz w:val="24"/>
      <w:szCs w:val="24"/>
      <w:lang w:eastAsia="en-US"/>
    </w:rPr>
  </w:style>
  <w:style w:type="character" w:customStyle="1" w:styleId="FootnoteTextChar">
    <w:name w:val="Footnote Text Char"/>
    <w:link w:val="FootnoteText"/>
    <w:uiPriority w:val="99"/>
    <w:rPr>
      <w:lang w:eastAsia="en-US"/>
    </w:rPr>
  </w:style>
  <w:style w:type="character" w:customStyle="1" w:styleId="Heading4Char">
    <w:name w:val="Heading 4 Char"/>
    <w:link w:val="Heading4"/>
    <w:rPr>
      <w:bCs/>
      <w:sz w:val="24"/>
      <w:szCs w:val="28"/>
      <w:lang w:eastAsia="en-US"/>
    </w:rPr>
  </w:style>
  <w:style w:type="character" w:customStyle="1" w:styleId="FooterChar">
    <w:name w:val="Footer Char"/>
    <w:link w:val="Footer"/>
    <w:uiPriority w:val="99"/>
    <w:rPr>
      <w:rFonts w:eastAsia="Calibri"/>
      <w:sz w:val="24"/>
      <w:szCs w:val="22"/>
      <w:lang w:eastAsia="en-US"/>
    </w:rPr>
  </w:style>
  <w:style w:type="paragraph" w:styleId="Revision">
    <w:name w:val="Revision"/>
    <w:hidden/>
    <w:uiPriority w:val="99"/>
    <w:semiHidden/>
    <w:rPr>
      <w:sz w:val="24"/>
      <w:szCs w:val="24"/>
      <w:lang w:eastAsia="en-US"/>
    </w:rPr>
  </w:style>
  <w:style w:type="character" w:customStyle="1" w:styleId="Heading3Char">
    <w:name w:val="Heading 3 Char"/>
    <w:link w:val="Heading3"/>
    <w:rPr>
      <w:bCs/>
      <w:i/>
      <w:sz w:val="24"/>
      <w:szCs w:val="26"/>
      <w:lang w:eastAsia="en-US"/>
    </w:rPr>
  </w:style>
  <w:style w:type="paragraph" w:customStyle="1" w:styleId="Declassification">
    <w:name w:val="Declassification"/>
    <w:basedOn w:val="Normal"/>
    <w:next w:val="Normal"/>
    <w:pPr>
      <w:spacing w:before="0" w:after="0"/>
    </w:pPr>
    <w:rPr>
      <w:rFonts w:eastAsia="Calibri"/>
      <w:szCs w:val="22"/>
    </w:rPr>
  </w:style>
  <w:style w:type="character" w:customStyle="1" w:styleId="HeaderChar">
    <w:name w:val="Header Char"/>
    <w:link w:val="Header"/>
    <w:uiPriority w:val="99"/>
    <w:rPr>
      <w:rFonts w:eastAsia="Calibri"/>
      <w:sz w:val="24"/>
      <w:szCs w:val="22"/>
      <w:lang w:eastAsia="en-US"/>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62315">
      <w:bodyDiv w:val="1"/>
      <w:marLeft w:val="0"/>
      <w:marRight w:val="0"/>
      <w:marTop w:val="0"/>
      <w:marBottom w:val="0"/>
      <w:divBdr>
        <w:top w:val="none" w:sz="0" w:space="0" w:color="auto"/>
        <w:left w:val="none" w:sz="0" w:space="0" w:color="auto"/>
        <w:bottom w:val="none" w:sz="0" w:space="0" w:color="auto"/>
        <w:right w:val="none" w:sz="0" w:space="0" w:color="auto"/>
      </w:divBdr>
    </w:div>
    <w:div w:id="154536141">
      <w:bodyDiv w:val="1"/>
      <w:marLeft w:val="0"/>
      <w:marRight w:val="0"/>
      <w:marTop w:val="0"/>
      <w:marBottom w:val="0"/>
      <w:divBdr>
        <w:top w:val="none" w:sz="0" w:space="0" w:color="auto"/>
        <w:left w:val="none" w:sz="0" w:space="0" w:color="auto"/>
        <w:bottom w:val="none" w:sz="0" w:space="0" w:color="auto"/>
        <w:right w:val="none" w:sz="0" w:space="0" w:color="auto"/>
      </w:divBdr>
    </w:div>
    <w:div w:id="287206346">
      <w:bodyDiv w:val="1"/>
      <w:marLeft w:val="0"/>
      <w:marRight w:val="0"/>
      <w:marTop w:val="0"/>
      <w:marBottom w:val="0"/>
      <w:divBdr>
        <w:top w:val="none" w:sz="0" w:space="0" w:color="auto"/>
        <w:left w:val="none" w:sz="0" w:space="0" w:color="auto"/>
        <w:bottom w:val="none" w:sz="0" w:space="0" w:color="auto"/>
        <w:right w:val="none" w:sz="0" w:space="0" w:color="auto"/>
      </w:divBdr>
    </w:div>
    <w:div w:id="571963191">
      <w:bodyDiv w:val="1"/>
      <w:marLeft w:val="0"/>
      <w:marRight w:val="0"/>
      <w:marTop w:val="0"/>
      <w:marBottom w:val="0"/>
      <w:divBdr>
        <w:top w:val="none" w:sz="0" w:space="0" w:color="auto"/>
        <w:left w:val="none" w:sz="0" w:space="0" w:color="auto"/>
        <w:bottom w:val="none" w:sz="0" w:space="0" w:color="auto"/>
        <w:right w:val="none" w:sz="0" w:space="0" w:color="auto"/>
      </w:divBdr>
    </w:div>
    <w:div w:id="593324760">
      <w:bodyDiv w:val="1"/>
      <w:marLeft w:val="0"/>
      <w:marRight w:val="0"/>
      <w:marTop w:val="0"/>
      <w:marBottom w:val="0"/>
      <w:divBdr>
        <w:top w:val="none" w:sz="0" w:space="0" w:color="auto"/>
        <w:left w:val="none" w:sz="0" w:space="0" w:color="auto"/>
        <w:bottom w:val="none" w:sz="0" w:space="0" w:color="auto"/>
        <w:right w:val="none" w:sz="0" w:space="0" w:color="auto"/>
      </w:divBdr>
    </w:div>
    <w:div w:id="789208158">
      <w:bodyDiv w:val="1"/>
      <w:marLeft w:val="0"/>
      <w:marRight w:val="0"/>
      <w:marTop w:val="0"/>
      <w:marBottom w:val="0"/>
      <w:divBdr>
        <w:top w:val="none" w:sz="0" w:space="0" w:color="auto"/>
        <w:left w:val="none" w:sz="0" w:space="0" w:color="auto"/>
        <w:bottom w:val="none" w:sz="0" w:space="0" w:color="auto"/>
        <w:right w:val="none" w:sz="0" w:space="0" w:color="auto"/>
      </w:divBdr>
    </w:div>
    <w:div w:id="1042828534">
      <w:bodyDiv w:val="1"/>
      <w:marLeft w:val="0"/>
      <w:marRight w:val="0"/>
      <w:marTop w:val="0"/>
      <w:marBottom w:val="0"/>
      <w:divBdr>
        <w:top w:val="none" w:sz="0" w:space="0" w:color="auto"/>
        <w:left w:val="none" w:sz="0" w:space="0" w:color="auto"/>
        <w:bottom w:val="none" w:sz="0" w:space="0" w:color="auto"/>
        <w:right w:val="none" w:sz="0" w:space="0" w:color="auto"/>
      </w:divBdr>
    </w:div>
    <w:div w:id="1199899282">
      <w:bodyDiv w:val="1"/>
      <w:marLeft w:val="0"/>
      <w:marRight w:val="0"/>
      <w:marTop w:val="0"/>
      <w:marBottom w:val="0"/>
      <w:divBdr>
        <w:top w:val="none" w:sz="0" w:space="0" w:color="auto"/>
        <w:left w:val="none" w:sz="0" w:space="0" w:color="auto"/>
        <w:bottom w:val="none" w:sz="0" w:space="0" w:color="auto"/>
        <w:right w:val="none" w:sz="0" w:space="0" w:color="auto"/>
      </w:divBdr>
    </w:div>
    <w:div w:id="1219515736">
      <w:bodyDiv w:val="1"/>
      <w:marLeft w:val="0"/>
      <w:marRight w:val="0"/>
      <w:marTop w:val="0"/>
      <w:marBottom w:val="0"/>
      <w:divBdr>
        <w:top w:val="none" w:sz="0" w:space="0" w:color="auto"/>
        <w:left w:val="none" w:sz="0" w:space="0" w:color="auto"/>
        <w:bottom w:val="none" w:sz="0" w:space="0" w:color="auto"/>
        <w:right w:val="none" w:sz="0" w:space="0" w:color="auto"/>
      </w:divBdr>
    </w:div>
    <w:div w:id="1228687047">
      <w:bodyDiv w:val="1"/>
      <w:marLeft w:val="0"/>
      <w:marRight w:val="0"/>
      <w:marTop w:val="0"/>
      <w:marBottom w:val="0"/>
      <w:divBdr>
        <w:top w:val="none" w:sz="0" w:space="0" w:color="auto"/>
        <w:left w:val="none" w:sz="0" w:space="0" w:color="auto"/>
        <w:bottom w:val="none" w:sz="0" w:space="0" w:color="auto"/>
        <w:right w:val="none" w:sz="0" w:space="0" w:color="auto"/>
      </w:divBdr>
    </w:div>
    <w:div w:id="1236281064">
      <w:bodyDiv w:val="1"/>
      <w:marLeft w:val="0"/>
      <w:marRight w:val="0"/>
      <w:marTop w:val="0"/>
      <w:marBottom w:val="0"/>
      <w:divBdr>
        <w:top w:val="none" w:sz="0" w:space="0" w:color="auto"/>
        <w:left w:val="none" w:sz="0" w:space="0" w:color="auto"/>
        <w:bottom w:val="none" w:sz="0" w:space="0" w:color="auto"/>
        <w:right w:val="none" w:sz="0" w:space="0" w:color="auto"/>
      </w:divBdr>
    </w:div>
    <w:div w:id="1283414360">
      <w:bodyDiv w:val="1"/>
      <w:marLeft w:val="0"/>
      <w:marRight w:val="0"/>
      <w:marTop w:val="0"/>
      <w:marBottom w:val="0"/>
      <w:divBdr>
        <w:top w:val="none" w:sz="0" w:space="0" w:color="auto"/>
        <w:left w:val="none" w:sz="0" w:space="0" w:color="auto"/>
        <w:bottom w:val="none" w:sz="0" w:space="0" w:color="auto"/>
        <w:right w:val="none" w:sz="0" w:space="0" w:color="auto"/>
      </w:divBdr>
    </w:div>
    <w:div w:id="1452437525">
      <w:bodyDiv w:val="1"/>
      <w:marLeft w:val="0"/>
      <w:marRight w:val="0"/>
      <w:marTop w:val="0"/>
      <w:marBottom w:val="0"/>
      <w:divBdr>
        <w:top w:val="none" w:sz="0" w:space="0" w:color="auto"/>
        <w:left w:val="none" w:sz="0" w:space="0" w:color="auto"/>
        <w:bottom w:val="none" w:sz="0" w:space="0" w:color="auto"/>
        <w:right w:val="none" w:sz="0" w:space="0" w:color="auto"/>
      </w:divBdr>
    </w:div>
    <w:div w:id="1477989874">
      <w:bodyDiv w:val="1"/>
      <w:marLeft w:val="0"/>
      <w:marRight w:val="0"/>
      <w:marTop w:val="0"/>
      <w:marBottom w:val="0"/>
      <w:divBdr>
        <w:top w:val="none" w:sz="0" w:space="0" w:color="auto"/>
        <w:left w:val="none" w:sz="0" w:space="0" w:color="auto"/>
        <w:bottom w:val="none" w:sz="0" w:space="0" w:color="auto"/>
        <w:right w:val="none" w:sz="0" w:space="0" w:color="auto"/>
      </w:divBdr>
    </w:div>
    <w:div w:id="1576280807">
      <w:bodyDiv w:val="1"/>
      <w:marLeft w:val="0"/>
      <w:marRight w:val="0"/>
      <w:marTop w:val="0"/>
      <w:marBottom w:val="0"/>
      <w:divBdr>
        <w:top w:val="none" w:sz="0" w:space="0" w:color="auto"/>
        <w:left w:val="none" w:sz="0" w:space="0" w:color="auto"/>
        <w:bottom w:val="none" w:sz="0" w:space="0" w:color="auto"/>
        <w:right w:val="none" w:sz="0" w:space="0" w:color="auto"/>
      </w:divBdr>
    </w:div>
    <w:div w:id="1591739440">
      <w:bodyDiv w:val="1"/>
      <w:marLeft w:val="0"/>
      <w:marRight w:val="0"/>
      <w:marTop w:val="0"/>
      <w:marBottom w:val="0"/>
      <w:divBdr>
        <w:top w:val="none" w:sz="0" w:space="0" w:color="auto"/>
        <w:left w:val="none" w:sz="0" w:space="0" w:color="auto"/>
        <w:bottom w:val="none" w:sz="0" w:space="0" w:color="auto"/>
        <w:right w:val="none" w:sz="0" w:space="0" w:color="auto"/>
      </w:divBdr>
    </w:div>
    <w:div w:id="1611084318">
      <w:bodyDiv w:val="1"/>
      <w:marLeft w:val="0"/>
      <w:marRight w:val="0"/>
      <w:marTop w:val="0"/>
      <w:marBottom w:val="0"/>
      <w:divBdr>
        <w:top w:val="none" w:sz="0" w:space="0" w:color="auto"/>
        <w:left w:val="none" w:sz="0" w:space="0" w:color="auto"/>
        <w:bottom w:val="none" w:sz="0" w:space="0" w:color="auto"/>
        <w:right w:val="none" w:sz="0" w:space="0" w:color="auto"/>
      </w:divBdr>
    </w:div>
    <w:div w:id="1772168232">
      <w:bodyDiv w:val="1"/>
      <w:marLeft w:val="0"/>
      <w:marRight w:val="0"/>
      <w:marTop w:val="0"/>
      <w:marBottom w:val="0"/>
      <w:divBdr>
        <w:top w:val="none" w:sz="0" w:space="0" w:color="auto"/>
        <w:left w:val="none" w:sz="0" w:space="0" w:color="auto"/>
        <w:bottom w:val="none" w:sz="0" w:space="0" w:color="auto"/>
        <w:right w:val="none" w:sz="0" w:space="0" w:color="auto"/>
      </w:divBdr>
    </w:div>
    <w:div w:id="1784960793">
      <w:bodyDiv w:val="1"/>
      <w:marLeft w:val="0"/>
      <w:marRight w:val="0"/>
      <w:marTop w:val="0"/>
      <w:marBottom w:val="0"/>
      <w:divBdr>
        <w:top w:val="none" w:sz="0" w:space="0" w:color="auto"/>
        <w:left w:val="none" w:sz="0" w:space="0" w:color="auto"/>
        <w:bottom w:val="none" w:sz="0" w:space="0" w:color="auto"/>
        <w:right w:val="none" w:sz="0" w:space="0" w:color="auto"/>
      </w:divBdr>
    </w:div>
    <w:div w:id="1816411327">
      <w:bodyDiv w:val="1"/>
      <w:marLeft w:val="0"/>
      <w:marRight w:val="0"/>
      <w:marTop w:val="0"/>
      <w:marBottom w:val="0"/>
      <w:divBdr>
        <w:top w:val="none" w:sz="0" w:space="0" w:color="auto"/>
        <w:left w:val="none" w:sz="0" w:space="0" w:color="auto"/>
        <w:bottom w:val="none" w:sz="0" w:space="0" w:color="auto"/>
        <w:right w:val="none" w:sz="0" w:space="0" w:color="auto"/>
      </w:divBdr>
    </w:div>
    <w:div w:id="1877502957">
      <w:bodyDiv w:val="1"/>
      <w:marLeft w:val="0"/>
      <w:marRight w:val="0"/>
      <w:marTop w:val="0"/>
      <w:marBottom w:val="0"/>
      <w:divBdr>
        <w:top w:val="none" w:sz="0" w:space="0" w:color="auto"/>
        <w:left w:val="none" w:sz="0" w:space="0" w:color="auto"/>
        <w:bottom w:val="none" w:sz="0" w:space="0" w:color="auto"/>
        <w:right w:val="none" w:sz="0" w:space="0" w:color="auto"/>
      </w:divBdr>
    </w:div>
    <w:div w:id="1882089300">
      <w:bodyDiv w:val="1"/>
      <w:marLeft w:val="0"/>
      <w:marRight w:val="0"/>
      <w:marTop w:val="0"/>
      <w:marBottom w:val="0"/>
      <w:divBdr>
        <w:top w:val="none" w:sz="0" w:space="0" w:color="auto"/>
        <w:left w:val="none" w:sz="0" w:space="0" w:color="auto"/>
        <w:bottom w:val="none" w:sz="0" w:space="0" w:color="auto"/>
        <w:right w:val="none" w:sz="0" w:space="0" w:color="auto"/>
      </w:divBdr>
    </w:div>
    <w:div w:id="1965887953">
      <w:bodyDiv w:val="1"/>
      <w:marLeft w:val="0"/>
      <w:marRight w:val="0"/>
      <w:marTop w:val="0"/>
      <w:marBottom w:val="0"/>
      <w:divBdr>
        <w:top w:val="none" w:sz="0" w:space="0" w:color="auto"/>
        <w:left w:val="none" w:sz="0" w:space="0" w:color="auto"/>
        <w:bottom w:val="none" w:sz="0" w:space="0" w:color="auto"/>
        <w:right w:val="none" w:sz="0" w:space="0" w:color="auto"/>
      </w:divBdr>
    </w:div>
    <w:div w:id="214029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81A1E-2911-4438-BAF1-E928F5066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2669</Words>
  <Characters>15351</Characters>
  <Application>Microsoft Office Word</Application>
  <DocSecurity>0</DocSecurity>
  <Lines>383</Lines>
  <Paragraphs>193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17827</CharactersWithSpaces>
  <SharedDoc>false</SharedDoc>
  <HLinks>
    <vt:vector size="78" baseType="variant">
      <vt:variant>
        <vt:i4>1376314</vt:i4>
      </vt:variant>
      <vt:variant>
        <vt:i4>74</vt:i4>
      </vt:variant>
      <vt:variant>
        <vt:i4>0</vt:i4>
      </vt:variant>
      <vt:variant>
        <vt:i4>5</vt:i4>
      </vt:variant>
      <vt:variant>
        <vt:lpwstr/>
      </vt:variant>
      <vt:variant>
        <vt:lpwstr>_Toc478625467</vt:lpwstr>
      </vt:variant>
      <vt:variant>
        <vt:i4>1376314</vt:i4>
      </vt:variant>
      <vt:variant>
        <vt:i4>68</vt:i4>
      </vt:variant>
      <vt:variant>
        <vt:i4>0</vt:i4>
      </vt:variant>
      <vt:variant>
        <vt:i4>5</vt:i4>
      </vt:variant>
      <vt:variant>
        <vt:lpwstr/>
      </vt:variant>
      <vt:variant>
        <vt:lpwstr>_Toc478625464</vt:lpwstr>
      </vt:variant>
      <vt:variant>
        <vt:i4>1441850</vt:i4>
      </vt:variant>
      <vt:variant>
        <vt:i4>62</vt:i4>
      </vt:variant>
      <vt:variant>
        <vt:i4>0</vt:i4>
      </vt:variant>
      <vt:variant>
        <vt:i4>5</vt:i4>
      </vt:variant>
      <vt:variant>
        <vt:lpwstr/>
      </vt:variant>
      <vt:variant>
        <vt:lpwstr>_Toc478625458</vt:lpwstr>
      </vt:variant>
      <vt:variant>
        <vt:i4>1441850</vt:i4>
      </vt:variant>
      <vt:variant>
        <vt:i4>56</vt:i4>
      </vt:variant>
      <vt:variant>
        <vt:i4>0</vt:i4>
      </vt:variant>
      <vt:variant>
        <vt:i4>5</vt:i4>
      </vt:variant>
      <vt:variant>
        <vt:lpwstr/>
      </vt:variant>
      <vt:variant>
        <vt:lpwstr>_Toc478625457</vt:lpwstr>
      </vt:variant>
      <vt:variant>
        <vt:i4>1507386</vt:i4>
      </vt:variant>
      <vt:variant>
        <vt:i4>50</vt:i4>
      </vt:variant>
      <vt:variant>
        <vt:i4>0</vt:i4>
      </vt:variant>
      <vt:variant>
        <vt:i4>5</vt:i4>
      </vt:variant>
      <vt:variant>
        <vt:lpwstr/>
      </vt:variant>
      <vt:variant>
        <vt:lpwstr>_Toc478625447</vt:lpwstr>
      </vt:variant>
      <vt:variant>
        <vt:i4>1507386</vt:i4>
      </vt:variant>
      <vt:variant>
        <vt:i4>44</vt:i4>
      </vt:variant>
      <vt:variant>
        <vt:i4>0</vt:i4>
      </vt:variant>
      <vt:variant>
        <vt:i4>5</vt:i4>
      </vt:variant>
      <vt:variant>
        <vt:lpwstr/>
      </vt:variant>
      <vt:variant>
        <vt:lpwstr>_Toc478625446</vt:lpwstr>
      </vt:variant>
      <vt:variant>
        <vt:i4>1507386</vt:i4>
      </vt:variant>
      <vt:variant>
        <vt:i4>38</vt:i4>
      </vt:variant>
      <vt:variant>
        <vt:i4>0</vt:i4>
      </vt:variant>
      <vt:variant>
        <vt:i4>5</vt:i4>
      </vt:variant>
      <vt:variant>
        <vt:lpwstr/>
      </vt:variant>
      <vt:variant>
        <vt:lpwstr>_Toc478625443</vt:lpwstr>
      </vt:variant>
      <vt:variant>
        <vt:i4>1048634</vt:i4>
      </vt:variant>
      <vt:variant>
        <vt:i4>32</vt:i4>
      </vt:variant>
      <vt:variant>
        <vt:i4>0</vt:i4>
      </vt:variant>
      <vt:variant>
        <vt:i4>5</vt:i4>
      </vt:variant>
      <vt:variant>
        <vt:lpwstr/>
      </vt:variant>
      <vt:variant>
        <vt:lpwstr>_Toc478625439</vt:lpwstr>
      </vt:variant>
      <vt:variant>
        <vt:i4>1048634</vt:i4>
      </vt:variant>
      <vt:variant>
        <vt:i4>26</vt:i4>
      </vt:variant>
      <vt:variant>
        <vt:i4>0</vt:i4>
      </vt:variant>
      <vt:variant>
        <vt:i4>5</vt:i4>
      </vt:variant>
      <vt:variant>
        <vt:lpwstr/>
      </vt:variant>
      <vt:variant>
        <vt:lpwstr>_Toc478625438</vt:lpwstr>
      </vt:variant>
      <vt:variant>
        <vt:i4>1048634</vt:i4>
      </vt:variant>
      <vt:variant>
        <vt:i4>20</vt:i4>
      </vt:variant>
      <vt:variant>
        <vt:i4>0</vt:i4>
      </vt:variant>
      <vt:variant>
        <vt:i4>5</vt:i4>
      </vt:variant>
      <vt:variant>
        <vt:lpwstr/>
      </vt:variant>
      <vt:variant>
        <vt:lpwstr>_Toc478625437</vt:lpwstr>
      </vt:variant>
      <vt:variant>
        <vt:i4>1048634</vt:i4>
      </vt:variant>
      <vt:variant>
        <vt:i4>14</vt:i4>
      </vt:variant>
      <vt:variant>
        <vt:i4>0</vt:i4>
      </vt:variant>
      <vt:variant>
        <vt:i4>5</vt:i4>
      </vt:variant>
      <vt:variant>
        <vt:lpwstr/>
      </vt:variant>
      <vt:variant>
        <vt:lpwstr>_Toc478625436</vt:lpwstr>
      </vt:variant>
      <vt:variant>
        <vt:i4>1048634</vt:i4>
      </vt:variant>
      <vt:variant>
        <vt:i4>8</vt:i4>
      </vt:variant>
      <vt:variant>
        <vt:i4>0</vt:i4>
      </vt:variant>
      <vt:variant>
        <vt:i4>5</vt:i4>
      </vt:variant>
      <vt:variant>
        <vt:lpwstr/>
      </vt:variant>
      <vt:variant>
        <vt:lpwstr>_Toc478625435</vt:lpwstr>
      </vt:variant>
      <vt:variant>
        <vt:i4>1048634</vt:i4>
      </vt:variant>
      <vt:variant>
        <vt:i4>2</vt:i4>
      </vt:variant>
      <vt:variant>
        <vt:i4>0</vt:i4>
      </vt:variant>
      <vt:variant>
        <vt:i4>5</vt:i4>
      </vt:variant>
      <vt:variant>
        <vt:lpwstr/>
      </vt:variant>
      <vt:variant>
        <vt:lpwstr>_Toc478625434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2019-04-25T14:20:00Z</cp:lastPrinted>
  <dcterms:created xsi:type="dcterms:W3CDTF">2019-07-15T12:56:00Z</dcterms:created>
  <dcterms:modified xsi:type="dcterms:W3CDTF">2019-07-29T07:58:00Z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6.0.1, Build 20180503</vt:lpwstr>
  </property>
  <property fmtid="{D5CDD505-2E9C-101B-9397-08002B2CF9AE}" pid="7" name="Created using">
    <vt:lpwstr>LW 6.0.1, Build 20180503</vt:lpwstr>
  </property>
  <property name="OP_sanitized" fmtid="{D5CDD505-2E9C-101B-9397-08002B2CF9AE}" pid="8">
    <vt:lpwstr>True</vt:lpwstr>
  </property>
</Properties>
</file>