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DFAED8C1-6955-40A1-9F18-1D0C70B700B6" style="width:450.75pt;height:349.5pt">
            <v:imagedata r:id="rId9" o:title=""/>
          </v:shape>
        </w:pict>
      </w:r>
    </w:p>
    <w:bookmarkEnd w:id="0"/>
    <w:p>
      <w:pPr>
        <w:rPr>
          <w:noProof/>
          <w:lang w:eastAsia="en-GB"/>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before="360" w:after="0" w:line="240" w:lineRule="auto"/>
        <w:jc w:val="center"/>
        <w:rPr>
          <w:rFonts w:ascii="Times New Roman" w:hAnsi="Times New Roman"/>
          <w:b/>
          <w:noProof/>
          <w:sz w:val="24"/>
        </w:rPr>
      </w:pPr>
      <w:bookmarkStart w:id="1" w:name="_GoBack"/>
      <w:bookmarkEnd w:id="1"/>
      <w:r>
        <w:rPr>
          <w:rFonts w:ascii="Times New Roman" w:hAnsi="Times New Roman"/>
          <w:b/>
          <w:noProof/>
          <w:sz w:val="24"/>
        </w:rPr>
        <w:lastRenderedPageBreak/>
        <w:t>ΕΚΘΕΣΗ ΤΗΣ ΕΠΙΤΡΟΠΗΣ ΠΡΟΣ ΤΟ ΕΥΡΩΠΑΪΚΟ ΚΟΙΝΟΒΟΥΛΙΟ ΚΑΙ ΤΟ ΣΥΜΒΟΥΛΙΟ</w:t>
      </w:r>
    </w:p>
    <w:p>
      <w:pPr>
        <w:spacing w:before="360" w:after="360" w:line="240" w:lineRule="auto"/>
        <w:jc w:val="center"/>
        <w:rPr>
          <w:rFonts w:ascii="Times New Roman" w:hAnsi="Times New Roman"/>
          <w:b/>
          <w:noProof/>
          <w:sz w:val="24"/>
        </w:rPr>
      </w:pPr>
      <w:r>
        <w:rPr>
          <w:rFonts w:ascii="Times New Roman" w:hAnsi="Times New Roman"/>
          <w:b/>
          <w:noProof/>
          <w:sz w:val="24"/>
        </w:rPr>
        <w:t>σχετικά με την άσκηση της εξουσίας έκδοσης κατ’ εξουσιοδότηση πράξεων που ανατίθεται στην Επιτροπή δυνάμει της οδηγίας 2014/90/ΕΕ του Ευρωπαϊκού Κοινοβουλίου και του Συμβουλίου, της 23ης Ιουλίου 2014, σχετικά με τον εξοπλισμό πλοίων</w:t>
      </w:r>
    </w:p>
    <w:p>
      <w:pPr>
        <w:tabs>
          <w:tab w:val="left" w:pos="2070"/>
        </w:tabs>
        <w:spacing w:after="0" w:line="240" w:lineRule="auto"/>
        <w:rPr>
          <w:rFonts w:ascii="Times New Roman" w:eastAsia="Times New Roman" w:hAnsi="Times New Roman"/>
          <w:b/>
          <w:bCs/>
          <w:smallCaps/>
          <w:noProof/>
          <w:sz w:val="24"/>
          <w:szCs w:val="28"/>
        </w:rPr>
      </w:pPr>
      <w:r>
        <w:rPr>
          <w:rFonts w:ascii="Times New Roman" w:hAnsi="Times New Roman"/>
          <w:b/>
          <w:bCs/>
          <w:smallCaps/>
          <w:noProof/>
          <w:sz w:val="24"/>
          <w:szCs w:val="28"/>
        </w:rPr>
        <w:tab/>
      </w:r>
    </w:p>
    <w:p>
      <w:pPr>
        <w:keepNext/>
        <w:numPr>
          <w:ilvl w:val="0"/>
          <w:numId w:val="1"/>
        </w:numPr>
        <w:shd w:val="clear" w:color="auto" w:fill="FFFFFF"/>
        <w:spacing w:before="360" w:after="120" w:line="240" w:lineRule="auto"/>
        <w:jc w:val="both"/>
        <w:outlineLvl w:val="0"/>
        <w:rPr>
          <w:rFonts w:ascii="Times New Roman" w:hAnsi="Times New Roman"/>
          <w:b/>
          <w:bCs/>
          <w:smallCaps/>
          <w:noProof/>
          <w:sz w:val="24"/>
          <w:szCs w:val="28"/>
        </w:rPr>
      </w:pPr>
      <w:r>
        <w:rPr>
          <w:rFonts w:ascii="Times New Roman" w:hAnsi="Times New Roman"/>
          <w:b/>
          <w:bCs/>
          <w:smallCaps/>
          <w:noProof/>
          <w:sz w:val="24"/>
          <w:szCs w:val="28"/>
        </w:rPr>
        <w:t>Ιστορικό</w:t>
      </w:r>
    </w:p>
    <w:p>
      <w:pPr>
        <w:spacing w:before="120" w:after="120" w:line="240" w:lineRule="auto"/>
        <w:ind w:left="850"/>
        <w:jc w:val="both"/>
        <w:rPr>
          <w:rFonts w:ascii="Times New Roman" w:hAnsi="Times New Roman"/>
          <w:noProof/>
          <w:sz w:val="24"/>
        </w:rPr>
      </w:pPr>
      <w:r>
        <w:rPr>
          <w:rFonts w:ascii="Times New Roman" w:hAnsi="Times New Roman"/>
          <w:noProof/>
          <w:sz w:val="24"/>
        </w:rPr>
        <w:t>Το άρθρο 37 παράγραφος 1, της οδηγίας 2014/90/ΕΕ του Ευρωπαϊκού Κοινοβουλίου και του Συμβουλίου, της 23ης Ιουλίου 2014, σχετικά με τον εξοπλισμό πλοίων</w:t>
      </w:r>
      <w:r>
        <w:rPr>
          <w:rStyle w:val="FootnoteReference"/>
          <w:noProof/>
        </w:rPr>
        <w:footnoteReference w:id="1"/>
      </w:r>
      <w:r>
        <w:rPr>
          <w:rFonts w:ascii="Times New Roman" w:hAnsi="Times New Roman"/>
          <w:noProof/>
          <w:sz w:val="24"/>
        </w:rPr>
        <w:t xml:space="preserve"> αναθέτει στην Επιτροπή την εξουσία να εκδίδει κατ’ εξουσιοδότηση πράξεις υπό τους όρους που καθορίζονται στο άρθρο. Δυνάμει του άρθρου 37 παράγραφος 2 της οδηγίας, η εξουσία έκδοσης κατ’ εξουσιοδότηση πράξεων ανατίθεται για περίοδο πέντε ετών από τις 17 Σεπτεμβρίου 2014. Η περίοδος λήγει στις 17 Σεπτεμβρίου 2019. Σύμφωνα με το άρθρο 37, ανατίθεται στην Επιτροπή η προβλεπόμενη στα άρθρα 8, 11, 27 και 36 της οδηγίας εξουσία έκδοσης κατ’ εξουσιοδότηση πράξεων.</w:t>
      </w:r>
    </w:p>
    <w:p>
      <w:pPr>
        <w:spacing w:before="120" w:after="120" w:line="240" w:lineRule="auto"/>
        <w:ind w:left="850"/>
        <w:jc w:val="both"/>
        <w:rPr>
          <w:rFonts w:ascii="Times New Roman" w:hAnsi="Times New Roman"/>
          <w:noProof/>
          <w:sz w:val="24"/>
        </w:rPr>
      </w:pPr>
      <w:r>
        <w:rPr>
          <w:rFonts w:ascii="Times New Roman" w:hAnsi="Times New Roman"/>
          <w:noProof/>
          <w:sz w:val="24"/>
        </w:rPr>
        <w:t>Οι εν λόγω κατ’ εξουσιοδότηση πράξεις μπορεί να αφορούν:</w:t>
      </w:r>
    </w:p>
    <w:p>
      <w:pPr>
        <w:numPr>
          <w:ilvl w:val="0"/>
          <w:numId w:val="4"/>
        </w:numPr>
        <w:spacing w:before="120" w:after="120" w:line="240" w:lineRule="auto"/>
        <w:contextualSpacing/>
        <w:jc w:val="both"/>
        <w:rPr>
          <w:rFonts w:ascii="Times New Roman" w:hAnsi="Times New Roman"/>
          <w:noProof/>
          <w:sz w:val="24"/>
        </w:rPr>
      </w:pPr>
      <w:r>
        <w:rPr>
          <w:rFonts w:ascii="Times New Roman" w:hAnsi="Times New Roman"/>
          <w:noProof/>
          <w:sz w:val="24"/>
        </w:rPr>
        <w:t xml:space="preserve">Άρθρο 8: την έγκριση εναρμονισμένων τεχνικών προδιαγραφών και προτύπων δοκιμών </w:t>
      </w:r>
    </w:p>
    <w:p>
      <w:pPr>
        <w:numPr>
          <w:ilvl w:val="5"/>
          <w:numId w:val="5"/>
        </w:numPr>
        <w:spacing w:before="120" w:after="120" w:line="240" w:lineRule="auto"/>
        <w:contextualSpacing/>
        <w:jc w:val="both"/>
        <w:rPr>
          <w:rFonts w:ascii="Times New Roman" w:hAnsi="Times New Roman"/>
          <w:noProof/>
          <w:sz w:val="24"/>
        </w:rPr>
      </w:pPr>
      <w:r>
        <w:rPr>
          <w:rFonts w:ascii="Times New Roman" w:hAnsi="Times New Roman"/>
          <w:noProof/>
          <w:sz w:val="24"/>
        </w:rPr>
        <w:t>ελλείψει διεθνούς προτύπου και</w:t>
      </w:r>
    </w:p>
    <w:p>
      <w:pPr>
        <w:numPr>
          <w:ilvl w:val="5"/>
          <w:numId w:val="5"/>
        </w:numPr>
        <w:spacing w:before="120" w:after="120" w:line="240" w:lineRule="auto"/>
        <w:contextualSpacing/>
        <w:jc w:val="both"/>
        <w:rPr>
          <w:rFonts w:ascii="Times New Roman" w:hAnsi="Times New Roman"/>
          <w:noProof/>
          <w:sz w:val="24"/>
        </w:rPr>
      </w:pPr>
      <w:r>
        <w:rPr>
          <w:rFonts w:ascii="Times New Roman" w:hAnsi="Times New Roman"/>
          <w:noProof/>
          <w:sz w:val="24"/>
        </w:rPr>
        <w:t>λόγω σοβαρής αδυναμίας ή ανωμαλίας σε υπάρχον πρότυπο</w:t>
      </w:r>
    </w:p>
    <w:p>
      <w:pPr>
        <w:spacing w:before="120" w:after="120" w:line="240" w:lineRule="auto"/>
        <w:ind w:left="1571"/>
        <w:contextualSpacing/>
        <w:jc w:val="both"/>
        <w:rPr>
          <w:rFonts w:ascii="Times New Roman" w:hAnsi="Times New Roman"/>
          <w:noProof/>
          <w:sz w:val="24"/>
        </w:rPr>
      </w:pPr>
      <w:r>
        <w:rPr>
          <w:rFonts w:ascii="Times New Roman" w:hAnsi="Times New Roman"/>
          <w:noProof/>
          <w:sz w:val="24"/>
        </w:rPr>
        <w:t>για συγκεκριμένο στοιχείο εξοπλισμού πλοίων, σε εξαιρετικές περιστάσεις που αιτιολογούνται δεόντως βάσει κατάλληλης ανάλυσης και προκειμένου να εξαλειφθεί σοβαρή και απαράδεκτη απειλή για την ασφάλεια της ναυσιπλοΐας, την υγεία ή το περιβάλλον, και λαμβανομένων υπόψη των εν εξελίξει εργασιών στο επίπεδο του ΔΝΟ.</w:t>
      </w:r>
    </w:p>
    <w:p>
      <w:pPr>
        <w:numPr>
          <w:ilvl w:val="0"/>
          <w:numId w:val="4"/>
        </w:numPr>
        <w:spacing w:before="120" w:after="120" w:line="240" w:lineRule="auto"/>
        <w:ind w:left="1571"/>
        <w:contextualSpacing/>
        <w:jc w:val="both"/>
        <w:rPr>
          <w:rFonts w:ascii="Times New Roman" w:hAnsi="Times New Roman"/>
          <w:noProof/>
          <w:sz w:val="24"/>
        </w:rPr>
      </w:pPr>
      <w:r>
        <w:rPr>
          <w:rFonts w:ascii="Times New Roman" w:hAnsi="Times New Roman"/>
          <w:noProof/>
          <w:sz w:val="24"/>
        </w:rPr>
        <w:t>Άρθρο 11: τον προσδιορισμό των συγκεκριμένων στοιχείων εξοπλισμού πλοίων που μπορούν να επωφεληθούν από την ηλεκτρονική σήμανση.</w:t>
      </w:r>
    </w:p>
    <w:p>
      <w:pPr>
        <w:numPr>
          <w:ilvl w:val="0"/>
          <w:numId w:val="4"/>
        </w:numPr>
        <w:spacing w:before="120" w:after="120" w:line="240" w:lineRule="auto"/>
        <w:ind w:left="1571"/>
        <w:contextualSpacing/>
        <w:jc w:val="both"/>
        <w:rPr>
          <w:rFonts w:ascii="Times New Roman" w:hAnsi="Times New Roman"/>
          <w:noProof/>
          <w:sz w:val="24"/>
        </w:rPr>
      </w:pPr>
      <w:r>
        <w:rPr>
          <w:rFonts w:ascii="Times New Roman" w:hAnsi="Times New Roman"/>
          <w:noProof/>
          <w:sz w:val="24"/>
        </w:rPr>
        <w:t>Άρθρο 27: προσωρινά εναρμονισμένες απαιτήσεις και πρότυπα δοκιμών, για συγκεκριμένα στοιχεία εξοπλισμού πλοίων που υπόκεινται σε ενωσιακή διαδικασία διασφάλισης, όταν η μη συμμόρφωση του εξοπλισμού πλοίων αποδίδεται σε ελλείψεις των προτύπων δοκιμών.</w:t>
      </w:r>
    </w:p>
    <w:p>
      <w:pPr>
        <w:numPr>
          <w:ilvl w:val="0"/>
          <w:numId w:val="4"/>
        </w:numPr>
        <w:spacing w:before="120" w:after="120" w:line="240" w:lineRule="auto"/>
        <w:ind w:left="1571"/>
        <w:contextualSpacing/>
        <w:jc w:val="both"/>
        <w:rPr>
          <w:rFonts w:ascii="Times New Roman" w:hAnsi="Times New Roman"/>
          <w:noProof/>
          <w:sz w:val="24"/>
        </w:rPr>
      </w:pPr>
      <w:r>
        <w:rPr>
          <w:rFonts w:ascii="Times New Roman" w:hAnsi="Times New Roman"/>
          <w:noProof/>
          <w:sz w:val="24"/>
        </w:rPr>
        <w:t>Άρθρο 36: επικαιροποιήσεις των παραπομπών σε πρότυπα που περιλαμβάνονται στο παράρτημα III και αφορούν τις απαιτήσεις που πρέπει να πληρούν οι οργανισμοί αξιολόγησης της συμμόρφωσης προκειμένου να γίνουν κοινοποιημένοι οργανισμοί (επί του παρόντος τα πρότυπα EN ISO/IEC 17065: 2012 και EN ISO/IEC 17025/2005).</w:t>
      </w:r>
    </w:p>
    <w:p>
      <w:pPr>
        <w:spacing w:before="120" w:after="120" w:line="240" w:lineRule="auto"/>
        <w:ind w:left="850"/>
        <w:jc w:val="both"/>
        <w:rPr>
          <w:rFonts w:ascii="Times New Roman" w:hAnsi="Times New Roman"/>
          <w:noProof/>
          <w:sz w:val="24"/>
          <w:lang w:eastAsia="en-GB"/>
        </w:rPr>
      </w:pP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Σύμφωνα με το άρθρο 37 παράγραφος 2 της οδηγίας 2014/90/ΕΕ, η Επιτροπή πρέπει να συντάξει έκθεση σχετικά με τις εξουσίες που της έχουν ανατεθεί το αργότερο εννέα μήνες πριν από τη λήξη της περιόδου των πέντε ετών. Η εξουσιοδότηση ανανεώνεται σιωπηρά για περιόδους ίδιας διάρκειας, εκτός εάν το Ευρωπαϊκό Κοινοβούλιο ή το Συμβούλιο προβάλουν αντιρρήσεις το αργότερο εντός τριών μηνών πριν από τη λήξη της κάθε περιόδου. </w:t>
      </w:r>
    </w:p>
    <w:p>
      <w:pPr>
        <w:keepNext/>
        <w:numPr>
          <w:ilvl w:val="0"/>
          <w:numId w:val="1"/>
        </w:numPr>
        <w:shd w:val="clear" w:color="auto" w:fill="FFFFFF"/>
        <w:spacing w:before="360" w:after="120" w:line="240" w:lineRule="auto"/>
        <w:jc w:val="both"/>
        <w:outlineLvl w:val="0"/>
        <w:rPr>
          <w:rFonts w:ascii="Times New Roman" w:eastAsia="Times New Roman" w:hAnsi="Times New Roman"/>
          <w:b/>
          <w:bCs/>
          <w:smallCaps/>
          <w:noProof/>
          <w:sz w:val="24"/>
          <w:szCs w:val="28"/>
        </w:rPr>
      </w:pPr>
      <w:r>
        <w:rPr>
          <w:rFonts w:ascii="Times New Roman" w:hAnsi="Times New Roman"/>
          <w:b/>
          <w:bCs/>
          <w:smallCaps/>
          <w:noProof/>
          <w:sz w:val="24"/>
          <w:szCs w:val="28"/>
        </w:rPr>
        <w:t xml:space="preserve">Άσκηση από την Επιτροπή εξουσιών που της έχουν ανατεθεί δυνάμει της οδηγίας 2014/90/ΕΕ του Ευρωπαϊκού Κοινοβουλίου και του Συμβουλίου, της 23ης Ιουλίου 2014, σχετικά με τον εξοπλισμό πλοίων </w:t>
      </w:r>
    </w:p>
    <w:p>
      <w:pPr>
        <w:spacing w:before="120" w:after="120" w:line="240" w:lineRule="auto"/>
        <w:ind w:left="850"/>
        <w:jc w:val="both"/>
        <w:rPr>
          <w:rFonts w:ascii="Times New Roman" w:hAnsi="Times New Roman"/>
          <w:noProof/>
          <w:sz w:val="24"/>
        </w:rPr>
      </w:pPr>
      <w:r>
        <w:rPr>
          <w:rFonts w:ascii="Times New Roman" w:hAnsi="Times New Roman"/>
          <w:noProof/>
          <w:sz w:val="24"/>
        </w:rPr>
        <w:t>Κατά την περίοδο αναφοράς, η Επιτροπή άσκησε μία φορά την εξουσία έκδοσης κατ’ εξουσιοδότηση πράξεων που της ανατέθηκε βάσει της οδηγίας 2014/90/ΕΕ.</w:t>
      </w:r>
    </w:p>
    <w:p>
      <w:pPr>
        <w:spacing w:before="120" w:after="120" w:line="240" w:lineRule="auto"/>
        <w:ind w:left="850"/>
        <w:jc w:val="both"/>
        <w:rPr>
          <w:rFonts w:ascii="Times New Roman" w:hAnsi="Times New Roman"/>
          <w:noProof/>
          <w:sz w:val="24"/>
        </w:rPr>
      </w:pPr>
      <w:r>
        <w:rPr>
          <w:rFonts w:ascii="Times New Roman" w:hAnsi="Times New Roman"/>
          <w:noProof/>
          <w:sz w:val="24"/>
        </w:rPr>
        <w:t>Η εκδοθείσα πράξη είναι ο κατ’ εξουσιοδότηση κανονισμός (ΕΕ) 2018/414 της Επιτροπής, της 9ης Ιανουαρίου 2018, για τη συμπλήρωση της οδηγίας 2014/90/ΕΕ του Ευρωπαϊκού Κοινοβουλίου και του Συμβουλίου όσον αφορά την αναγνώριση συγκεκριμένων στοιχείων του εξοπλισμού πλοίων που επιδέχονται ηλεκτρονική σήμανση.</w:t>
      </w:r>
    </w:p>
    <w:p>
      <w:pPr>
        <w:spacing w:before="120" w:after="120" w:line="240" w:lineRule="auto"/>
        <w:ind w:left="850"/>
        <w:jc w:val="both"/>
        <w:rPr>
          <w:rFonts w:ascii="Times New Roman" w:hAnsi="Times New Roman"/>
          <w:noProof/>
          <w:sz w:val="24"/>
        </w:rPr>
      </w:pPr>
      <w:r>
        <w:rPr>
          <w:rFonts w:ascii="Times New Roman" w:hAnsi="Times New Roman"/>
          <w:noProof/>
          <w:sz w:val="24"/>
        </w:rPr>
        <w:t>Η ανωτέρω πράξη εκδόθηκε σύμφωνα με το άρθρο 11 της οδηγίας για τον εξοπλισμό πλοίων. Ο προσδιορισμός του εξοπλισμού πλοίων που επιδέχεται ηλεκτρονική σήμανση ήταν απαραίτητος προκειμένου να καταστεί δυνατή η εθελοντική χρήση των ηλεκτρονικών ετικετών από τους οικονομικούς παράγοντες, να διευκολυνθεί η εποπτεία της αγοράς και να αποτραπεί η παραποίηση συγκεκριμένων στοιχείων του εξοπλισμού πλοίων.</w:t>
      </w:r>
    </w:p>
    <w:p>
      <w:pPr>
        <w:keepNext/>
        <w:numPr>
          <w:ilvl w:val="0"/>
          <w:numId w:val="1"/>
        </w:numPr>
        <w:shd w:val="clear" w:color="auto" w:fill="FFFFFF"/>
        <w:spacing w:before="360" w:after="120" w:line="240" w:lineRule="auto"/>
        <w:jc w:val="both"/>
        <w:outlineLvl w:val="0"/>
        <w:rPr>
          <w:rFonts w:ascii="Times New Roman" w:hAnsi="Times New Roman"/>
          <w:b/>
          <w:bCs/>
          <w:smallCaps/>
          <w:noProof/>
          <w:sz w:val="24"/>
          <w:szCs w:val="28"/>
        </w:rPr>
      </w:pPr>
      <w:r>
        <w:rPr>
          <w:rFonts w:ascii="Times New Roman" w:hAnsi="Times New Roman"/>
          <w:b/>
          <w:bCs/>
          <w:smallCaps/>
          <w:noProof/>
          <w:sz w:val="24"/>
          <w:szCs w:val="28"/>
        </w:rPr>
        <w:t>Συμπεράσματα</w:t>
      </w:r>
    </w:p>
    <w:p>
      <w:pPr>
        <w:spacing w:before="120" w:after="120" w:line="240" w:lineRule="auto"/>
        <w:ind w:left="850"/>
        <w:jc w:val="both"/>
        <w:rPr>
          <w:rFonts w:ascii="Times New Roman" w:hAnsi="Times New Roman"/>
          <w:noProof/>
          <w:sz w:val="24"/>
        </w:rPr>
      </w:pPr>
      <w:r>
        <w:rPr>
          <w:rFonts w:ascii="Times New Roman" w:hAnsi="Times New Roman"/>
          <w:noProof/>
          <w:sz w:val="24"/>
        </w:rPr>
        <w:t>Η Επιτροπή θεωρεί ότι είναι απαραίτητο να παραταθεί η εξουσιοδότηση λόγω της ανάγκης συμπλήρωσης ή τροποποίησης των αντίστοιχων διατάξεων της οδηγίας ενόψει του διαρκώς μεταβαλλόμενου καταλόγου των στοιχείων εξοπλισμού πλοίων που εμπίπτουν στο πεδίο εφαρμογής της οδηγίας (άρθρο 11), των επικαιροποιημένων διεθνών προτύπων που συνδέονται με τις απαιτήσεις που πρέπει να πληρούν οι οργανισμοί αξιολόγησης της συμμόρφωσης (άρθρο 36) και προκειμένου να εξαλειφθούν σοβαρές και απαράδεκτες απειλές για την ασφάλεια της ναυσιπλοΐας, την υγεία ή το περιβάλλον σε σύντομο χρονικό διάστημα εάν αυτό καταστεί απαραίτητο (άρθρα 8 και 27).</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EL</w:t>
    </w:r>
    <w:r>
      <w:rPr>
        <w:rFonts w:ascii="Arial" w:hAnsi="Arial" w:cs="Arial"/>
        <w:b/>
        <w:sz w:val="48"/>
      </w:rPr>
      <w:tab/>
    </w:r>
    <w:r>
      <w:rPr>
        <w:rFonts w:ascii="Arial" w:hAnsi="Arial" w:cs="Arial"/>
        <w:b/>
        <w:sz w:val="48"/>
      </w:rPr>
      <w:tab/>
    </w:r>
    <w:r>
      <w:tab/>
    </w:r>
    <w:r>
      <w:rPr>
        <w:rFonts w:ascii="Arial" w:hAnsi="Arial" w:cs="Arial"/>
        <w:b/>
        <w:sz w:val="48"/>
      </w:rPr>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r>
        <w:rPr>
          <w:rFonts w:ascii="Times New Roman" w:hAnsi="Times New Roman"/>
        </w:rPr>
        <w:t>ΕΕ L 257 της 28.8.2014, σ. 168.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A47F3"/>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7908675B"/>
    <w:multiLevelType w:val="hybridMultilevel"/>
    <w:tmpl w:val="B844B158"/>
    <w:lvl w:ilvl="0" w:tplc="08090001">
      <w:start w:val="1"/>
      <w:numFmt w:val="bullet"/>
      <w:lvlText w:val=""/>
      <w:lvlJc w:val="left"/>
      <w:pPr>
        <w:ind w:left="1570" w:hanging="360"/>
      </w:pPr>
      <w:rPr>
        <w:rFonts w:ascii="Symbol" w:hAnsi="Symbol" w:hint="default"/>
      </w:rPr>
    </w:lvl>
    <w:lvl w:ilvl="1" w:tplc="08090003">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dgnword-docGUID" w:val="{8486E9B6-35E5-48F1-8B60-DDDD15B0357B}"/>
    <w:docVar w:name="dgnword-eventsink" w:val="735117944"/>
    <w:docVar w:name="DocStatus" w:val="Green"/>
    <w:docVar w:name="LW_CORRIGENDUM" w:val="&lt;UNUSED&gt;"/>
    <w:docVar w:name="LW_COVERPAGE_EXISTS" w:val="True"/>
    <w:docVar w:name="LW_COVERPAGE_GUID" w:val="DFAED8C1-6955-40A1-9F18-1D0C70B700B6"/>
    <w:docVar w:name="LW_COVERPAGE_TYPE" w:val="1"/>
    <w:docVar w:name="LW_CROSSREFERENCE" w:val="&lt;UNUSED&gt;"/>
    <w:docVar w:name="LW_DocType" w:val="NORMAL"/>
    <w:docVar w:name="LW_EMISSION" w:val="1.2.2019"/>
    <w:docVar w:name="LW_EMISSION_ISODATE" w:val="2019-02-01"/>
    <w:docVar w:name="LW_EMISSION_LOCATION" w:val="BRX"/>
    <w:docVar w:name="LW_EMISSION_PREFIX" w:val="Βρυξέλλες, "/>
    <w:docVar w:name="LW_EMISSION_SUFFIX" w:val=" "/>
    <w:docVar w:name="LW_ID_DOCTYPE_NONLW" w:val="CP-006"/>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NST.NEW" w:val="COM"/>
    <w:docVar w:name="LW_REF.INST.NEW_ADOPTED" w:val="final"/>
    <w:docVar w:name="LW_REF.INST.NEW_TEXT" w:val="(2019) 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Font=Calibri Greek&gt;\u963?\u967?\u949?\u964?\u953?\u954?\u940? \u956?\u949? \u964?\u951?\u957? \u940?\u963?\u954?\u951?\u963?\u951? \u964?\u951?\u962? \u949?\u958?\u959?\u965?\u963?\u943?\u945?\u962? \u941?\u954?\u948?\u959?\u963?\u951?\u962? \u954?\u945?\u964?\u8217?&lt;/FMT&gt;&lt;FMT:Font=Calibri&gt; &lt;/FMT&gt;&lt;FMT:Font=Calibri Greek&gt;\u949?\u958?\u959?\u965?\u963?\u953?\u959?\u948?\u972?\u964?\u951?\u963?\u951? \u960?\u961?\u940?\u958?\u949?\u969?\u957? \u960?\u959?\u965? \u945?\u957?\u945?\u964?\u943?\u952?\u949?\u964?\u945?\u953? \u963?\u964?\u951?\u957? \u917?\u960?\u953?\u964?\u961?\u959?\u960?\u942? \u948?\u965?\u957?\u940?\u956?\u949?\u953? \u964?\u951?\u962? \u959?\u948?\u951?\u947?\u943?\u945?\u962? 2014/90/\u917?\u917? \u964?\u959?\u965? \u917?\u965?\u961?\u969?\u960?\u945?\u970?\u954?\u959?\u973? \u922?\u959?\u953?\u957?\u959?\u946?\u959?\u965?\u955?\u943?\u959?\u965? \u954?\u945?\u953? \u964?\u959?\u965? \u931?\u965?\u956?\u946?\u959?\u965?\u955?\u943?\u959?\u965?, \u964?\u951?\u962? 23\u951?\u962? \u921?\u959?\u965?\u955?\u943?\u959?\u965? 2014, \u963?\u967?\u949?\u964?\u953?\u954?\u940? \u956?\u949? \u964?\u959?\u957? \u949?\u958?\u959?\u960?\u955?\u953?\u963?\u956?\u972? \u960?\u955?\u959?\u943?\u969?\u957?&lt;/FMT&gt;"/>
    <w:docVar w:name="LW_TYPE.DOC.CP" w:val="\u917?\u922?\u920?\u917?\u931?\u919? \u932?\u919?\u931? \u917?\u928?\u921?\u932?\u929?\u927?\u928?\u919?\u931? \u928?\u929?\u927?\u931? \u932?\u927? \u917?\u933?\u929?\u937?\u928?\u913?\u938?\u922?\u927? \u922?\u927?\u921?\u925?\u927?\u914?\u927?\u933?\u923?\u921?\u927? \u922?\u913?\u921? \u932?\u927? \u931?\u933?\u924?\u914?\u927?\u933?\u923?\u921?\u927?"/>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pPr>
      <w:keepNext/>
      <w:tabs>
        <w:tab w:val="num" w:pos="850"/>
      </w:tabs>
      <w:spacing w:before="120" w:after="120" w:line="240" w:lineRule="auto"/>
      <w:ind w:left="850" w:hanging="850"/>
      <w:jc w:val="both"/>
      <w:outlineLvl w:val="3"/>
    </w:pPr>
    <w:rPr>
      <w:rFonts w:ascii="Times New Roman" w:eastAsia="Times New Roman" w:hAnsi="Times New Roman"/>
      <w:bCs/>
      <w:iCs/>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color w:val="365F91"/>
      <w:sz w:val="28"/>
      <w:szCs w:val="28"/>
    </w:rPr>
  </w:style>
  <w:style w:type="character" w:customStyle="1" w:styleId="Heading2Char">
    <w:name w:val="Heading 2 Char"/>
    <w:link w:val="Heading2"/>
    <w:uiPriority w:val="9"/>
    <w:rPr>
      <w:rFonts w:ascii="Cambria" w:eastAsia="Times New Roman" w:hAnsi="Cambria" w:cs="Times New Roman"/>
      <w:b/>
      <w:bCs/>
      <w:color w:val="4F81BD"/>
      <w:sz w:val="26"/>
      <w:szCs w:val="26"/>
    </w:rPr>
  </w:style>
  <w:style w:type="character" w:customStyle="1" w:styleId="Heading3Char">
    <w:name w:val="Heading 3 Char"/>
    <w:link w:val="Heading3"/>
    <w:uiPriority w:val="9"/>
    <w:rPr>
      <w:rFonts w:ascii="Cambria" w:eastAsia="Times New Roman" w:hAnsi="Cambria" w:cs="Times New Roman"/>
      <w:b/>
      <w:bCs/>
      <w:color w:val="4F81BD"/>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rPr>
      <w:rFonts w:ascii="Calibri" w:hAnsi="Calibri"/>
      <w:sz w:val="20"/>
      <w:szCs w:val="20"/>
    </w:rPr>
  </w:style>
  <w:style w:type="character" w:customStyle="1" w:styleId="Heading4Char">
    <w:name w:val="Heading 4 Char"/>
    <w:link w:val="Heading4"/>
    <w:uiPriority w:val="9"/>
    <w:semiHidden/>
    <w:rPr>
      <w:rFonts w:ascii="Times New Roman" w:eastAsia="Times New Roman" w:hAnsi="Times New Roman" w:cs="Times New Roman"/>
      <w:bCs/>
      <w:iCs/>
      <w:sz w:val="24"/>
      <w:lang w:eastAsia="en-GB"/>
    </w:rPr>
  </w:style>
  <w:style w:type="character" w:styleId="FootnoteReference">
    <w:name w:val="footnote reference"/>
    <w:uiPriority w:val="99"/>
    <w:unhideWhenUsed/>
    <w:rPr>
      <w:shd w:val="clear" w:color="auto" w:fill="auto"/>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Pr>
      <w:rFonts w:ascii="Times New Roman" w:hAnsi="Times New Roman"/>
      <w:sz w:val="24"/>
      <w:szCs w:val="22"/>
      <w:lang w:val="el-GR" w:eastAsia="en-US"/>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Pr>
      <w:rFonts w:ascii="Times New Roman" w:hAnsi="Times New Roman"/>
      <w:sz w:val="24"/>
      <w:szCs w:val="22"/>
      <w:lang w:val="el-GR"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rFonts w:ascii="Calibri" w:hAnsi="Calibri"/>
      <w:sz w:val="20"/>
      <w:szCs w:val="20"/>
    </w:rPr>
  </w:style>
  <w:style w:type="character" w:styleId="CommentReference">
    <w:name w:val="annotation reference"/>
    <w:uiPriority w:val="99"/>
    <w:semiHidden/>
    <w:unhideWhenUsed/>
    <w:rPr>
      <w:sz w:val="16"/>
      <w:szCs w:val="16"/>
    </w:rPr>
  </w:style>
  <w:style w:type="paragraph" w:customStyle="1" w:styleId="Titreobjet">
    <w:name w:val="Titre objet"/>
    <w:basedOn w:val="Normal"/>
    <w:next w:val="Normal"/>
    <w:pPr>
      <w:spacing w:before="360" w:after="360" w:line="240" w:lineRule="auto"/>
      <w:jc w:val="center"/>
    </w:pPr>
    <w:rPr>
      <w:rFonts w:ascii="Times New Roman" w:hAnsi="Times New Roman"/>
      <w:b/>
      <w:sz w:val="24"/>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CommentSubject">
    <w:name w:val="annotation subject"/>
    <w:basedOn w:val="CommentText"/>
    <w:next w:val="CommentText"/>
    <w:link w:val="CommentSubjectChar"/>
    <w:uiPriority w:val="99"/>
    <w:semiHidden/>
    <w:unhideWhenUsed/>
    <w:pPr>
      <w:spacing w:line="276" w:lineRule="auto"/>
    </w:pPr>
    <w:rPr>
      <w:b/>
      <w:bCs/>
    </w:rPr>
  </w:style>
  <w:style w:type="character" w:customStyle="1" w:styleId="CommentSubjectChar">
    <w:name w:val="Comment Subject Char"/>
    <w:link w:val="CommentSubject"/>
    <w:uiPriority w:val="99"/>
    <w:semiHidden/>
    <w:rPr>
      <w:rFonts w:ascii="Calibri" w:hAnsi="Calibri"/>
      <w:b/>
      <w:bCs/>
      <w:sz w:val="20"/>
      <w:szCs w:val="20"/>
      <w:lang w:val="el-G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pPr>
      <w:keepNext/>
      <w:tabs>
        <w:tab w:val="num" w:pos="850"/>
      </w:tabs>
      <w:spacing w:before="120" w:after="120" w:line="240" w:lineRule="auto"/>
      <w:ind w:left="850" w:hanging="850"/>
      <w:jc w:val="both"/>
      <w:outlineLvl w:val="3"/>
    </w:pPr>
    <w:rPr>
      <w:rFonts w:ascii="Times New Roman" w:eastAsia="Times New Roman" w:hAnsi="Times New Roman"/>
      <w:bCs/>
      <w:iCs/>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color w:val="365F91"/>
      <w:sz w:val="28"/>
      <w:szCs w:val="28"/>
    </w:rPr>
  </w:style>
  <w:style w:type="character" w:customStyle="1" w:styleId="Heading2Char">
    <w:name w:val="Heading 2 Char"/>
    <w:link w:val="Heading2"/>
    <w:uiPriority w:val="9"/>
    <w:rPr>
      <w:rFonts w:ascii="Cambria" w:eastAsia="Times New Roman" w:hAnsi="Cambria" w:cs="Times New Roman"/>
      <w:b/>
      <w:bCs/>
      <w:color w:val="4F81BD"/>
      <w:sz w:val="26"/>
      <w:szCs w:val="26"/>
    </w:rPr>
  </w:style>
  <w:style w:type="character" w:customStyle="1" w:styleId="Heading3Char">
    <w:name w:val="Heading 3 Char"/>
    <w:link w:val="Heading3"/>
    <w:uiPriority w:val="9"/>
    <w:rPr>
      <w:rFonts w:ascii="Cambria" w:eastAsia="Times New Roman" w:hAnsi="Cambria" w:cs="Times New Roman"/>
      <w:b/>
      <w:bCs/>
      <w:color w:val="4F81BD"/>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rPr>
      <w:rFonts w:ascii="Calibri" w:hAnsi="Calibri"/>
      <w:sz w:val="20"/>
      <w:szCs w:val="20"/>
    </w:rPr>
  </w:style>
  <w:style w:type="character" w:customStyle="1" w:styleId="Heading4Char">
    <w:name w:val="Heading 4 Char"/>
    <w:link w:val="Heading4"/>
    <w:uiPriority w:val="9"/>
    <w:semiHidden/>
    <w:rPr>
      <w:rFonts w:ascii="Times New Roman" w:eastAsia="Times New Roman" w:hAnsi="Times New Roman" w:cs="Times New Roman"/>
      <w:bCs/>
      <w:iCs/>
      <w:sz w:val="24"/>
      <w:lang w:eastAsia="en-GB"/>
    </w:rPr>
  </w:style>
  <w:style w:type="character" w:styleId="FootnoteReference">
    <w:name w:val="footnote reference"/>
    <w:uiPriority w:val="99"/>
    <w:unhideWhenUsed/>
    <w:rPr>
      <w:shd w:val="clear" w:color="auto" w:fill="auto"/>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Pr>
      <w:rFonts w:ascii="Times New Roman" w:hAnsi="Times New Roman"/>
      <w:sz w:val="24"/>
      <w:szCs w:val="22"/>
      <w:lang w:val="el-GR" w:eastAsia="en-US"/>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Pr>
      <w:rFonts w:ascii="Times New Roman" w:hAnsi="Times New Roman"/>
      <w:sz w:val="24"/>
      <w:szCs w:val="22"/>
      <w:lang w:val="el-GR"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rFonts w:ascii="Calibri" w:hAnsi="Calibri"/>
      <w:sz w:val="20"/>
      <w:szCs w:val="20"/>
    </w:rPr>
  </w:style>
  <w:style w:type="character" w:styleId="CommentReference">
    <w:name w:val="annotation reference"/>
    <w:uiPriority w:val="99"/>
    <w:semiHidden/>
    <w:unhideWhenUsed/>
    <w:rPr>
      <w:sz w:val="16"/>
      <w:szCs w:val="16"/>
    </w:rPr>
  </w:style>
  <w:style w:type="paragraph" w:customStyle="1" w:styleId="Titreobjet">
    <w:name w:val="Titre objet"/>
    <w:basedOn w:val="Normal"/>
    <w:next w:val="Normal"/>
    <w:pPr>
      <w:spacing w:before="360" w:after="360" w:line="240" w:lineRule="auto"/>
      <w:jc w:val="center"/>
    </w:pPr>
    <w:rPr>
      <w:rFonts w:ascii="Times New Roman" w:hAnsi="Times New Roman"/>
      <w:b/>
      <w:sz w:val="24"/>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CommentSubject">
    <w:name w:val="annotation subject"/>
    <w:basedOn w:val="CommentText"/>
    <w:next w:val="CommentText"/>
    <w:link w:val="CommentSubjectChar"/>
    <w:uiPriority w:val="99"/>
    <w:semiHidden/>
    <w:unhideWhenUsed/>
    <w:pPr>
      <w:spacing w:line="276" w:lineRule="auto"/>
    </w:pPr>
    <w:rPr>
      <w:b/>
      <w:bCs/>
    </w:rPr>
  </w:style>
  <w:style w:type="character" w:customStyle="1" w:styleId="CommentSubjectChar">
    <w:name w:val="Comment Subject Char"/>
    <w:link w:val="CommentSubject"/>
    <w:uiPriority w:val="99"/>
    <w:semiHidden/>
    <w:rPr>
      <w:rFonts w:ascii="Calibri" w:hAnsi="Calibri"/>
      <w:b/>
      <w:bCs/>
      <w:sz w:val="20"/>
      <w:szCs w:val="20"/>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55929">
      <w:bodyDiv w:val="1"/>
      <w:marLeft w:val="0"/>
      <w:marRight w:val="0"/>
      <w:marTop w:val="0"/>
      <w:marBottom w:val="0"/>
      <w:divBdr>
        <w:top w:val="none" w:sz="0" w:space="0" w:color="auto"/>
        <w:left w:val="none" w:sz="0" w:space="0" w:color="auto"/>
        <w:bottom w:val="none" w:sz="0" w:space="0" w:color="auto"/>
        <w:right w:val="none" w:sz="0" w:space="0" w:color="auto"/>
      </w:divBdr>
    </w:div>
    <w:div w:id="381027463">
      <w:bodyDiv w:val="1"/>
      <w:marLeft w:val="0"/>
      <w:marRight w:val="0"/>
      <w:marTop w:val="0"/>
      <w:marBottom w:val="0"/>
      <w:divBdr>
        <w:top w:val="none" w:sz="0" w:space="0" w:color="auto"/>
        <w:left w:val="none" w:sz="0" w:space="0" w:color="auto"/>
        <w:bottom w:val="none" w:sz="0" w:space="0" w:color="auto"/>
        <w:right w:val="none" w:sz="0" w:space="0" w:color="auto"/>
      </w:divBdr>
    </w:div>
    <w:div w:id="82439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AC89A-CAD2-4ABC-A7E7-5E236A4D7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613</Words>
  <Characters>3654</Characters>
  <Application>Microsoft Office Word</Application>
  <DocSecurity>0</DocSecurity>
  <Lines>73</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17</cp:revision>
  <dcterms:created xsi:type="dcterms:W3CDTF">2019-01-03T13:34:00Z</dcterms:created>
  <dcterms:modified xsi:type="dcterms:W3CDTF">2019-02-01T09:08:00Z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6.0.1, Build 20180503</vt:lpwstr>
  </property>
  <property fmtid="{D5CDD505-2E9C-101B-9397-08002B2CF9AE}" pid="7" name="Created using">
    <vt:lpwstr>LW 6.0.1, Build 20180503</vt:lpwstr>
  </property>
  <property name="OP_sanitized" fmtid="{D5CDD505-2E9C-101B-9397-08002B2CF9AE}" pid="8">
    <vt:lpwstr>True</vt:lpwstr>
  </property>
</Properties>
</file>