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19ECDF9-39BB-415A-94B7-7DAFB55CFCC2"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ΑΙΤΙΟΛΟΓΙΚΗ ΕΚΘΕΣΗ</w:t>
      </w:r>
    </w:p>
    <w:p>
      <w:pPr>
        <w:pStyle w:val="ManualHeading1"/>
        <w:rPr>
          <w:noProof/>
        </w:rPr>
      </w:pPr>
      <w:r>
        <w:rPr>
          <w:noProof/>
        </w:rPr>
        <w:t>1.</w:t>
      </w:r>
      <w:r>
        <w:rPr>
          <w:noProof/>
        </w:rPr>
        <w:tab/>
        <w:t>ΠΛΑΙΣΙΟ ΤΗΣ ΠΡΟΤΑΣΗΣ</w:t>
      </w:r>
    </w:p>
    <w:p>
      <w:pPr>
        <w:pStyle w:val="ManualHeading2"/>
        <w:rPr>
          <w:rFonts w:eastAsia="Arial Unicode MS"/>
          <w:noProof/>
        </w:rPr>
      </w:pPr>
      <w:r>
        <w:rPr>
          <w:noProof/>
          <w:color w:val="000000"/>
          <w:u w:color="000000"/>
          <w:bdr w:val="nil"/>
        </w:rPr>
        <w:t>•</w:t>
      </w:r>
      <w:r>
        <w:rPr>
          <w:noProof/>
        </w:rPr>
        <w:tab/>
        <w:t>Αιτιολόγηση και στόχοι της πρότασης</w:t>
      </w:r>
    </w:p>
    <w:p>
      <w:pPr>
        <w:spacing w:before="0" w:after="100" w:afterAutospacing="1"/>
        <w:rPr>
          <w:rFonts w:eastAsia="Times New Roman"/>
          <w:noProof/>
          <w:szCs w:val="24"/>
        </w:rPr>
      </w:pPr>
      <w:r>
        <w:rPr>
          <w:noProof/>
        </w:rPr>
        <w:t>Οι διατάξεις του ενωσιακού τελωνειακού κώδικα</w:t>
      </w:r>
      <w:r>
        <w:rPr>
          <w:rStyle w:val="FootnoteReference"/>
          <w:noProof/>
        </w:rPr>
        <w:footnoteReference w:id="2"/>
      </w:r>
      <w:r>
        <w:rPr>
          <w:noProof/>
        </w:rPr>
        <w:t xml:space="preserve"> (ο κώδικας) εφαρμόζονται από την 1η Μαΐου 2016. Ένας από τους βασικούς στόχους του κώδικα είναι η μετάβαση στην εξ ολοκλήρου χρήση ηλεκτρονικών συστημάτων για τις αλληλεπιδράσεις μεταξύ των οικονομικών φορέων και των τελωνειακών αρχών, καθώς και μεταξύ των τελωνειακών αρχών, και το τέλος των τελωνειακών διαδικασιών σε έντυπη μορφή. </w:t>
      </w:r>
    </w:p>
    <w:p>
      <w:pPr>
        <w:spacing w:before="0" w:after="100" w:afterAutospacing="1"/>
        <w:rPr>
          <w:noProof/>
        </w:rPr>
      </w:pPr>
      <w:r>
        <w:rPr>
          <w:noProof/>
        </w:rPr>
        <w:t>Στον κώδικα προβλέπεται ότι οι διάφορες τελωνειακές διαδικασίες θα πρέπει να διεκπεραιώνονται από ηλεκτρονικά συστήματα καθώς και ότι οι λεπτομέρειες και ο σχεδιασμός των εν λόγω συστημάτων θα πρέπει να καθορίζονται σε χωριστό πρόγραμμα εργασιών. Το πρόγραμμα εργασιών του ενωσιακού τελωνειακού κώδικα (ΕΤΚ)</w:t>
      </w:r>
      <w:r>
        <w:rPr>
          <w:rStyle w:val="FootnoteReference"/>
          <w:noProof/>
        </w:rPr>
        <w:footnoteReference w:id="3"/>
      </w:r>
      <w:r>
        <w:rPr>
          <w:noProof/>
        </w:rPr>
        <w:t xml:space="preserve"> περιλαμβάνει σχεδιασμό για δεκαεπτά ηλεκτρονικά συστήματα ΕΤΚ συνολικά, με βάση το πολυετές στρατηγικό σχέδιο (MASP) για όλα τα ηλεκτρονικά έργα για τα τελωνεία το οποίο καταρτίζεται και επικαιροποιείται τακτικά σύμφωνα με απόφαση</w:t>
      </w:r>
      <w:r>
        <w:rPr>
          <w:rStyle w:val="FootnoteReference"/>
          <w:noProof/>
        </w:rPr>
        <w:footnoteReference w:id="4"/>
      </w:r>
      <w:r>
        <w:rPr>
          <w:noProof/>
        </w:rPr>
        <w:t xml:space="preserve"> του 2008 του Ευρωπαϊκού Κοινοβουλίου και του Συμβουλίου. Τα συστήματα διακρίνονται σε δύο κατηγορίες: </w:t>
      </w:r>
    </w:p>
    <w:p>
      <w:pPr>
        <w:pStyle w:val="Point0"/>
        <w:rPr>
          <w:noProof/>
        </w:rPr>
      </w:pPr>
      <w:r>
        <w:rPr>
          <w:noProof/>
        </w:rPr>
        <w:t>α)</w:t>
      </w:r>
      <w:r>
        <w:rPr>
          <w:noProof/>
        </w:rPr>
        <w:tab/>
        <w:t xml:space="preserve">δεκατέσσερα διευρωπαϊκά συστήματα όπως, μεταξύ άλλων, ορισμένα συστήματα για τα οποία προβλέπεται η ανάπτυξη εθνικών συνιστωσών από τα κράτη μέλη και </w:t>
      </w:r>
    </w:p>
    <w:p>
      <w:pPr>
        <w:pStyle w:val="Point0"/>
        <w:rPr>
          <w:noProof/>
        </w:rPr>
      </w:pPr>
      <w:r>
        <w:rPr>
          <w:noProof/>
        </w:rPr>
        <w:t>β)</w:t>
      </w:r>
      <w:r>
        <w:rPr>
          <w:noProof/>
        </w:rPr>
        <w:tab/>
        <w:t xml:space="preserve">τρία εθνικά συστήματα που πρέπει να αναπτυχθούν ή να αναβαθμιστούν από τα ίδια τα κράτη μέλη και μόνο. </w:t>
      </w:r>
    </w:p>
    <w:p>
      <w:pPr>
        <w:spacing w:before="0"/>
        <w:contextualSpacing/>
        <w:rPr>
          <w:rFonts w:eastAsia="Times New Roman"/>
          <w:noProof/>
          <w:szCs w:val="24"/>
        </w:rPr>
      </w:pPr>
      <w:r>
        <w:rPr>
          <w:noProof/>
        </w:rPr>
        <w:t>Στο άρθρο 278 του κώδικα ορίζεται ότι, μέχρις ότου καταστούν λειτουργικά όλα τα προβλεπόμενα νέα ηλεκτρονικά συστήματα, για τη διεκπεραίωση των τελωνειακών διαδικασιών μπορούν να εξακολουθήσουν να χρησιμοποιούνται τα υφιστάμενα ηλεκτρονικά συστήματα και τα συστήματα βάσει εντύπων. Επίσης, ορίζεται ότι οι εν λόγω μεταβατικές ρυθμίσεις θα πρέπει να έχουν σταματήσει να χρησιμοποιούνται το αργότερο έως το τέλος του 2020. Με βάση τη συγκεκριμένη προθεσμία, στο πρόγραμμα εργασιών καθορίζονται σχέδια για τη σταδιακή ολοκλήρωση του έργου που αφορά τα ηλεκτρονικά συστήματα έως το 2020.</w:t>
      </w:r>
    </w:p>
    <w:p>
      <w:pPr>
        <w:spacing w:before="0"/>
        <w:contextualSpacing/>
        <w:rPr>
          <w:rFonts w:eastAsia="Times New Roman"/>
          <w:noProof/>
          <w:szCs w:val="24"/>
        </w:rPr>
      </w:pPr>
    </w:p>
    <w:p>
      <w:pPr>
        <w:rPr>
          <w:noProof/>
        </w:rPr>
      </w:pPr>
      <w:r>
        <w:rPr>
          <w:noProof/>
        </w:rPr>
        <w:t xml:space="preserve">Η Επιτροπή και τα κράτη μέλη βρίσκονται στην τελική ευθεία για την εμπρόθεσμη ολοκλήρωση του σημαντικότερου τμήματος των εργασιών για τα ηλεκτρονικά συστήματα. Το 2017, τέθηκαν σε λειτουργία τρία από τα δεκαεπτά συστήματα και ολοκληρώθηκε η πρώτη φάση ενός άλλου συστήματος, στο σύνολό τους εντός των προκαθορισμένων προθεσμιών. Στην πραγματικότητα, έως τη συγκεκριμένη ημερομηνία θα έχει ολοκληρωθεί το 80 % περίπου των εργασιών της Επιτροπής σχετικά με τα διευρωπαϊκά συστήματα που προβλέπονται βάσει του προγράμματος εργασιών. Ωστόσο, οι τελευταίες φάσεις της ανάπτυξης πληροφοριακών συστημάτων είναι συχνά οι πλέον χρονοβόρες και, ως εκ τούτου, παρότι τα περισσότερα συστήματα θα έχουν ολοκληρωθεί μέχρι το 2020, ορισμένα εξ αυτών θα έχουν ολοκληρωθεί μόνο εν μέρει. Στο πλαίσιο των εν λόγω εργασιών για την υλοποίηση δεκαεπτά ηλεκτρονικών συστημάτων, η Επιτροπή και τα κράτη μέλη καλούνται να αντιμετωπίσουν πολλές προκλήσεις. Οι προκλήσεις αυτές, οι οποίες δεν ήταν δυνατόν να έχουν προβλεφθεί κατά τον χρόνο καθορισμού της προθεσμίας, είναι, μεταξύ άλλων, οι ακόλουθες: </w:t>
      </w:r>
    </w:p>
    <w:p>
      <w:pPr>
        <w:pStyle w:val="Bullet0"/>
        <w:numPr>
          <w:ilvl w:val="0"/>
          <w:numId w:val="12"/>
        </w:numPr>
        <w:rPr>
          <w:noProof/>
        </w:rPr>
      </w:pPr>
      <w:r>
        <w:rPr>
          <w:noProof/>
        </w:rPr>
        <w:t>Η αναπόφευκτη καθυστέρηση όσον αφορά την ολοκλήρωση του σχεδιασμού των ηλεκτρονικών συστημάτων. Κατά τον καθορισμό της προθεσμίας του 2020, αναμενόταν ότι οι συμπληρωματικοί και εκτελεστικοί κανόνες του ΕΤΚ (ο κατ’ εξουσιοδότηση κανονισμός ΕΤΚ,</w:t>
      </w:r>
      <w:r>
        <w:rPr>
          <w:rStyle w:val="FootnoteReference"/>
          <w:noProof/>
        </w:rPr>
        <w:footnoteReference w:id="5"/>
      </w:r>
      <w:r>
        <w:rPr>
          <w:noProof/>
        </w:rPr>
        <w:t xml:space="preserve"> ο εκτελεστικός κανονισμός ΕΤΚ</w:t>
      </w:r>
      <w:r>
        <w:rPr>
          <w:rStyle w:val="FootnoteReference"/>
          <w:noProof/>
        </w:rPr>
        <w:footnoteReference w:id="6"/>
      </w:r>
      <w:r>
        <w:rPr>
          <w:noProof/>
        </w:rPr>
        <w:t xml:space="preserve"> και ο μεταβατικός κατ’ εξουσιοδότηση κανονισμός ΕΤΚ</w:t>
      </w:r>
      <w:r>
        <w:rPr>
          <w:rStyle w:val="FootnoteReference"/>
          <w:noProof/>
        </w:rPr>
        <w:footnoteReference w:id="7"/>
      </w:r>
      <w:r>
        <w:rPr>
          <w:noProof/>
        </w:rPr>
        <w:t xml:space="preserve">) θα εγκρίνονταν πολύ σύντομα μετά την έγκριση του ΕΤΚ το 2013, ώστε να μπορούν να ληφθούν υπόψη οι διατάξεις τους στην ανάπτυξη των πληροφοριακών συστημάτων. Ωστόσο, οι συζητήσεις χρειάστηκαν πολύ περισσότερο χρόνο από τον αναμενόμενο και οι πράξεις εγκρίθηκαν στην τελική τους μορφή στα τέλη του 2015/αρχές του 2016. Η καθυστέρηση αυτή είχε ως συνέπεια να καθυστερήσει η εκπόνηση των λειτουργικών και τεχνικών προδιαγραφών για πολλά από τα ηλεκτρονικά συστήματα. </w:t>
      </w:r>
    </w:p>
    <w:p>
      <w:pPr>
        <w:pStyle w:val="Bullet0"/>
        <w:rPr>
          <w:noProof/>
        </w:rPr>
      </w:pPr>
      <w:r>
        <w:rPr>
          <w:noProof/>
        </w:rPr>
        <w:t>Ο τεράστιος όγκος των εργασιών για τη διασύνδεση δεκαεπτά ηλεκτρονικών συστημάτων σε ολόκληρη την ΕΕ και η ιδιαίτερη πολυπλοκότητα ορισμένων από τα ηλεκτρονικά συστήματα. Τα στοιχεία αυτά δεν έγιναν εμφανή παρά μόνο με την έναρξη των εργασιών για την εκπόνηση των λειτουργικών και τεχνικών προδιαγραφών για τα συστήματα. Η διαμόρφωση της πλήρους εικόνας μετά την ολοκλήρωση των εργασιών για τις προδιαγραφές οδήγησε την Επιτροπή και τα κράτη μέλη στο συμπέρασμα ότι, σε ορισμένες περιπτώσεις, είναι απαραίτητη η επανεξέταση της ημερομηνίας στόχου όσον αφορά την ολοκλήρωση των συστημάτων. Αυτό ισχύει ιδιαίτερα για εκείνα τα ηλεκτρονικά συστήματα των οποίων οι προδιαγραφές δεν θα ολοκληρωθούν παρά το 2018.</w:t>
      </w:r>
    </w:p>
    <w:p>
      <w:pPr>
        <w:pStyle w:val="Bullet0"/>
        <w:rPr>
          <w:noProof/>
        </w:rPr>
      </w:pPr>
      <w:r>
        <w:rPr>
          <w:noProof/>
        </w:rPr>
        <w:t xml:space="preserve">Δυσκολίες εναρμόνισης δεδομένων. Μετά την έκδοση του κατ’ εξουσιοδότηση κανονισμού και του εκτελεστικού κανονισμού, προχωρούν επίσης με εντατικούς ρυθμούς οι εργασίες σχετικά με την εναρμόνιση των δεδομένων που παρέχουν οι οικονομικοί φορείς. Το στοιχείο αυτό είναι καίριας σημασίας για τη διαλειτουργικότητα των διαφόρων ηλεκτρονικών συστημάτων ΕΤΚ, για την εναρμονισμένη εφαρμογή των νομικών κανόνων και για τη συνεργασία με άλλες δημόσιες υπηρεσίες που λειτουργούν στα σύνορα. Η εναρμόνιση των δεδομένων με τα διεθνή μοντέλα δεδομένων, όπως αυτό του Παγκόσμιου Οργανισμού Τελωνείων, διασφαλίζει επίσης την καλύτερη διασύνδεση με τα πληροφοριακά συστήματα τρίτων χωρών και, συνεπώς, διευκολύνει σημαντικά το εμπόριο. Ωστόσο, το εγχείρημα αυτό συνεπάγεται πολύ μεγαλύτερη από την αναμενόμενη επένδυση από χρονική και οικονομική άποψη για τον πλήρη επαναπρογραμματισμό ορισμένων από τα υπάρχοντα ηλεκτρονικά συστήματα. </w:t>
      </w:r>
    </w:p>
    <w:p>
      <w:pPr>
        <w:pStyle w:val="Bullet0"/>
        <w:rPr>
          <w:noProof/>
        </w:rPr>
      </w:pPr>
      <w:r>
        <w:rPr>
          <w:noProof/>
        </w:rPr>
        <w:t xml:space="preserve">Προσδιορισμός αλληλουχίας. Κατά τον σχεδιασμό ρεαλιστικών προθεσμιών και δαπανών, πρέπει να δίδεται ιδιαίτερη προσοχή στον αντίκτυπο των προτεινόμενων ηλεκτρονικών αλλαγών στο οικοσύστημα των τελωνείων και των εμπορικών επιχειρήσεων. Καθώς τα ηλεκτρονικά συστήματα είναι στενά συνδεδεμένα μεταξύ τους, είναι σημαντικό να εφαρμόζονται με τη σωστή σειρά (αλληλουχία), έτσι ώστε να διασφαλίζεται ότι τηρούνται οι αλληλεξαρτήσεις και ότι οι αλλαγές για τις διοικήσεις και τις εμπορικές επιχειρήσεις εισάγονται με δομημένο και συνεκτικό τρόπο. </w:t>
      </w:r>
    </w:p>
    <w:p>
      <w:pPr>
        <w:pStyle w:val="NormalWeb"/>
        <w:widowControl w:val="0"/>
        <w:spacing w:after="120" w:afterAutospacing="0"/>
        <w:jc w:val="both"/>
        <w:rPr>
          <w:noProof/>
        </w:rPr>
      </w:pPr>
      <w:r>
        <w:rPr>
          <w:noProof/>
        </w:rPr>
        <w:t xml:space="preserve">Για όλους τους παραπάνω λόγους, ήταν ανάγκη να οριστεί μεταγενέστερη ημερομηνία (το 2025 το αργότερο) όσον αφορά την πλήρη ολοκλήρωση των εργασιών σε ορισμένα από τα συστήματα. Η εν λόγω ημερομηνία στόχος θα διασφαλίσει την ομαλή υλοποίηση έως το 2020 της πλειονότητας των συστημάτων και τη μεταγενέστερη υλοποίηση των υπόλοιπων συστημάτων, με βάση τη δέουσα αλληλουχία, σε ημερομηνίες μεταξύ του 2021 και του 2025. Τα μισά από τα συστήματα των οποίων η υλοποίηση πρόκειται να καθυστερήσει υπάρχουν ήδη και απλώς αναβαθμίζονται βάσει του ΕΤΚ, ενώ τα υπόλοιπα μισά είναι νέα συστήματα. </w:t>
      </w:r>
    </w:p>
    <w:p>
      <w:pPr>
        <w:pStyle w:val="NormalWeb"/>
        <w:widowControl w:val="0"/>
        <w:spacing w:after="120" w:afterAutospacing="0"/>
        <w:jc w:val="both"/>
        <w:rPr>
          <w:noProof/>
        </w:rPr>
      </w:pPr>
      <w:r>
        <w:rPr>
          <w:noProof/>
        </w:rPr>
        <w:t xml:space="preserve">Τα συστήματα των οποίων η υλοποίηση θα αναβληθεί είναι τα ακόλουθα: </w:t>
      </w:r>
    </w:p>
    <w:p>
      <w:pPr>
        <w:pStyle w:val="Bullet0"/>
        <w:rPr>
          <w:noProof/>
        </w:rPr>
      </w:pPr>
      <w:r>
        <w:rPr>
          <w:noProof/>
        </w:rPr>
        <w:t xml:space="preserve">αναβαθμίσεις των οποίων η βασική τεχνική δυσκολία έγκειται στην εναρμόνιση των δεδομένων, δηλ. αναβαθμίσεις του Συστήματος Ελέγχου Εισαγωγών (ICS/ΣΕΕ), του Νέου Μηχανογραφημένου Συστήματος Διαμετακόμισης (NCTS/ΝΜΣΔ), του Αυτοματοποιημένου Συστήματος Εξαγωγών (AES/ΑΣΕ) και του Εθνικού Συστήματος Εξαγωγών (συμπεριλαμβανομένης της συνιστώσας εξαγωγών του εθνικού συστήματος για Ειδικά Καθεστώτα), και </w:t>
      </w:r>
    </w:p>
    <w:p>
      <w:pPr>
        <w:pStyle w:val="Bullet0"/>
        <w:rPr>
          <w:noProof/>
        </w:rPr>
      </w:pPr>
      <w:r>
        <w:rPr>
          <w:noProof/>
        </w:rPr>
        <w:t xml:space="preserve">τρία νέα συστήματα που έχουν σχεδιαστεί για την εφαρμογή καινοτόμων χαρακτηριστικών του κώδικα, δηλ. το σύστημα Κεντρικού Τελωνισμού για Εισαγωγή (CCI/KTE),το σύστημα Αποδεικτικού Ενωσιακού Καθεστώτος (PoUS/AEK) και το σύστημα Διαχείρισης Εγγυήσεων (GUM/ΔΕ). </w:t>
      </w:r>
    </w:p>
    <w:p>
      <w:pPr>
        <w:pStyle w:val="ListParagraph"/>
        <w:spacing w:after="120"/>
        <w:ind w:left="0"/>
        <w:jc w:val="both"/>
        <w:rPr>
          <w:noProof/>
        </w:rPr>
      </w:pPr>
      <w:r>
        <w:rPr>
          <w:noProof/>
        </w:rPr>
        <w:t xml:space="preserve">Η αναβολή μέχρι το 2025 της τελευταίας ημερομηνίας παράδοσης όσον αφορά τα εν λόγω ηλεκτρονικά συστήματα αντιβαίνει στο άρθρο 278 του κώδικα, βάσει του οποίου επιτρέπεται μόνο μέχρι το 2020 η χρήση μέσων για την ανταλλαγή και αποθήκευση πληροφοριών, πλην των προβλεπόμενων ηλεκτρονικών συστημάτων. Συνεπώς, η προθεσμία του άρθρου 278 πρέπει να παραταθεί σε ό,τι αφορά τα καθυστερημένα συστήματα. Επιπλέον, πρέπει να ληφθούν γρήγορα μέτρα προκειμένου να διασφαλιστεί η ασφάλεια δικαίου· οι διοικήσεις των επιχειρήσεων και των τελωνείων θα αντιμετωπίσουν σοβαρά προβλήματα εάν, έως το 2020, ορισμένα από τα ηλεκτρονικά συστήματα δεν υλοποιηθούν και, ταυτόχρονα, η νομοθεσία απαγορεύει τη συνεχιζόμενη μεταβατική χρήση εναλλακτικών ρυθμίσεων. </w:t>
      </w:r>
    </w:p>
    <w:p>
      <w:pPr>
        <w:pStyle w:val="ListParagraph"/>
        <w:spacing w:after="120"/>
        <w:ind w:left="0"/>
        <w:jc w:val="both"/>
        <w:rPr>
          <w:noProof/>
        </w:rPr>
      </w:pPr>
    </w:p>
    <w:p>
      <w:pPr>
        <w:pStyle w:val="ListParagraph"/>
        <w:spacing w:after="120"/>
        <w:ind w:left="0"/>
        <w:jc w:val="both"/>
        <w:rPr>
          <w:noProof/>
        </w:rPr>
      </w:pPr>
      <w:r>
        <w:rPr>
          <w:noProof/>
        </w:rPr>
        <w:t>Δεδομένου ότι τα κράτη μέλη και οι επιχειρήσεις χρειάζονται, κατά μέσο όρο, δύο έτη για να καταλήξουν στις ρυθμίσεις που θα ισχύουν για το κάθε ηλεκτρονικό σύστημα, η Επιτροπή πρέπει να παράσχει έως το 2018 ασφάλεια δικαίου σχετικά με τον επανασχεδιασμό ορισμένων από τα συστήματα καθώς και τη σχετική παράταση της δυνατότητας εφαρμογής των μεταβατικών ρυθμίσεων μετά το 2020 έως το 2025.</w:t>
      </w:r>
    </w:p>
    <w:p>
      <w:pPr>
        <w:pStyle w:val="ManualHeading2"/>
        <w:rPr>
          <w:rFonts w:eastAsia="Arial Unicode MS"/>
          <w:noProof/>
          <w:color w:val="000000"/>
          <w:u w:color="000000"/>
          <w:bdr w:val="nil"/>
        </w:rPr>
      </w:pPr>
      <w:r>
        <w:rPr>
          <w:noProof/>
          <w:color w:val="000000"/>
          <w:u w:color="000000"/>
          <w:bdr w:val="nil"/>
        </w:rPr>
        <w:t>•</w:t>
      </w:r>
      <w:r>
        <w:rPr>
          <w:noProof/>
        </w:rPr>
        <w:tab/>
        <w:t>Συνέπεια με τις ισχύουσες διατάξεις στον τομέα πολιτικής</w:t>
      </w:r>
    </w:p>
    <w:p>
      <w:pPr>
        <w:pStyle w:val="ListParagraph"/>
        <w:spacing w:after="120"/>
        <w:ind w:left="0"/>
        <w:jc w:val="both"/>
        <w:rPr>
          <w:noProof/>
        </w:rPr>
      </w:pPr>
      <w:r>
        <w:rPr>
          <w:noProof/>
        </w:rPr>
        <w:t>Η τροποποίηση του άρθρου 278 του κώδικα συνάδει με το χρονοδιάγραμμα σχεδιασμού πληροφοριακών συστημάτων του πολυετούς στρατηγικού σχεδίου (MASP), ενώ το πρόγραμμα εργασιών για τον κώδικα σύντομα θα επικαιροποιηθεί με βάση νέα εκτελεστική απόφαση της Επιτροπής.</w:t>
      </w:r>
    </w:p>
    <w:p>
      <w:pPr>
        <w:pStyle w:val="ListParagraph"/>
        <w:spacing w:after="120"/>
        <w:ind w:left="0"/>
        <w:jc w:val="both"/>
        <w:rPr>
          <w:noProof/>
        </w:rPr>
      </w:pPr>
    </w:p>
    <w:p>
      <w:pPr>
        <w:pStyle w:val="ManualHeading2"/>
        <w:rPr>
          <w:noProof/>
        </w:rPr>
      </w:pPr>
      <w:r>
        <w:rPr>
          <w:noProof/>
        </w:rPr>
        <w:t>2.</w:t>
      </w:r>
      <w:r>
        <w:rPr>
          <w:noProof/>
        </w:rPr>
        <w:tab/>
        <w:t>ΝΟΜΙΚΗ ΒΑΣΗ, ΕΠΙΚΟΥΡΙΚΟΤΗΤΑ ΚΑΙ ΑΝΑΛΟΓΙΚΟΤΗΤΑ</w:t>
      </w:r>
    </w:p>
    <w:p>
      <w:pPr>
        <w:pStyle w:val="ManualHeading2"/>
        <w:rPr>
          <w:rFonts w:eastAsia="Arial Unicode MS"/>
          <w:noProof/>
          <w:u w:color="000000"/>
          <w:bdr w:val="nil"/>
        </w:rPr>
      </w:pPr>
      <w:r>
        <w:rPr>
          <w:noProof/>
        </w:rPr>
        <w:t>•</w:t>
      </w:r>
      <w:r>
        <w:rPr>
          <w:noProof/>
        </w:rPr>
        <w:tab/>
        <w:t>Νομική βάση</w:t>
      </w:r>
    </w:p>
    <w:p>
      <w:pPr>
        <w:rPr>
          <w:noProof/>
        </w:rPr>
      </w:pPr>
      <w:r>
        <w:rPr>
          <w:noProof/>
        </w:rPr>
        <w:t>Η νομική βάση είναι το άρθρο 33 και το άρθρο 207 της Συνθήκης για τη λειτουργία της Ευρωπαϊκής Ένωσης (ΣΛΕΕ) (τελωνειακή συνεργασία και κοινή εμπορική πολιτική).</w:t>
      </w:r>
    </w:p>
    <w:p>
      <w:pPr>
        <w:pStyle w:val="ManualHeading2"/>
        <w:rPr>
          <w:rFonts w:eastAsia="Arial Unicode MS"/>
          <w:noProof/>
          <w:u w:color="000000"/>
          <w:bdr w:val="nil"/>
        </w:rPr>
      </w:pPr>
      <w:r>
        <w:rPr>
          <w:noProof/>
        </w:rPr>
        <w:t>•</w:t>
      </w:r>
      <w:r>
        <w:rPr>
          <w:noProof/>
        </w:rPr>
        <w:tab/>
        <w:t xml:space="preserve">Επικουρικότητα (σε περίπτωση μη αποκλειστικής αρμοδιότητας) </w:t>
      </w:r>
    </w:p>
    <w:p>
      <w:pPr>
        <w:pStyle w:val="ManualHeading2"/>
        <w:rPr>
          <w:rFonts w:eastAsia="Arial Unicode MS"/>
          <w:noProof/>
          <w:u w:color="000000"/>
          <w:bdr w:val="nil"/>
        </w:rPr>
      </w:pPr>
      <w:r>
        <w:rPr>
          <w:noProof/>
        </w:rPr>
        <w:t>Η πρόταση εμπίπτει στην αποκλειστική αρμοδιότητα της ΕΕ σύμφωνα με το άρθρο 3 παράγραφος 1 στοιχείο ε) της ΣΛΕΕ. •</w:t>
      </w:r>
      <w:r>
        <w:rPr>
          <w:noProof/>
        </w:rPr>
        <w:tab/>
        <w:t>Αναλογικότητα</w:t>
      </w:r>
    </w:p>
    <w:p>
      <w:pPr>
        <w:rPr>
          <w:rFonts w:eastAsia="Arial Unicode MS"/>
          <w:noProof/>
        </w:rPr>
      </w:pPr>
      <w:r>
        <w:rPr>
          <w:noProof/>
        </w:rPr>
        <w:t>Η πρόταση δεν συνεπάγεται νέες εξελίξεις της πολιτικής σε σύγκριση με τη νομοθετική πράξη που αποσκοπεί να τροποποιήσει· τροποποιεί μια μοναδική διάταξη της συγκεκριμένης νομοθετικής πράξης με σκοπό την παράταση της προθεσμίας της εφαρμογής μεταβατικών μέτρων για περιορισμένο αριθμό τελωνειακών διαδικασιών προκειμένου να διασφαλιστεί καλύτερα μια υφιστάμενη επιλογή πολιτικής (σταδιακή μετάβαση σε ηλεκτρονικό περιβάλλον). Δεδομένου ότι ο κώδικας αποτελεί νομική πράξη της ΕΕ, μπορεί να τροποποιηθεί μόνο με ισοδύναμη νομική πράξη. Τα κράτη μέλη δεν δύνανται να ενεργούν μεμονωμένα στον εν λόγω τομέα.</w:t>
      </w:r>
    </w:p>
    <w:p>
      <w:pPr>
        <w:pStyle w:val="ManualHeading2"/>
        <w:rPr>
          <w:rFonts w:eastAsia="Arial Unicode MS"/>
          <w:noProof/>
          <w:u w:color="000000"/>
          <w:bdr w:val="nil"/>
        </w:rPr>
      </w:pPr>
      <w:r>
        <w:rPr>
          <w:noProof/>
        </w:rPr>
        <w:t>•</w:t>
      </w:r>
      <w:r>
        <w:rPr>
          <w:noProof/>
        </w:rPr>
        <w:tab/>
        <w:t>Επιλογή της νομικής πράξης</w:t>
      </w:r>
    </w:p>
    <w:p>
      <w:pPr>
        <w:rPr>
          <w:noProof/>
        </w:rPr>
      </w:pPr>
      <w:r>
        <w:rPr>
          <w:noProof/>
        </w:rPr>
        <w:t>Για την αντιμετώπιση του προαναφερθέντος προβλήματος, η Επιτροπή προτείνει την τροποποίηση του άρθρου 278 του κώδικα, ούτως ώστε οι μεταβατικές ρυθμίσεις για την ανταλλαγή και την αποθήκευση τελωνειακών πληροφοριών (δηλ. τα υφιστάμενα ηλεκτρονικά συστήματα και τα συστήματα βάσει εντύπων) να μπορούν να εξακολουθήσουν να εφαρμόζονται και μετά το 2020 όσον αφορά τις τελωνειακές διαδικασίες που καλύπτονται από τα ηλεκτρονικά συστήματα τα οποία δεν θα έχουν υλοποιηθεί έως το 2020.</w:t>
      </w:r>
    </w:p>
    <w:p>
      <w:pPr>
        <w:rPr>
          <w:noProof/>
        </w:rPr>
      </w:pPr>
      <w:r>
        <w:rPr>
          <w:noProof/>
        </w:rPr>
        <w:t xml:space="preserve">Με την προτεινόμενη τροποποίηση διατηρείται η προθεσμία του 2020 του άρθρου 278 αλλά, ταυτόχρονα, προβλέπεται παράταση της προθεσμίας έως το 2025 όσον αφορά τις τελωνειακές διαδικασίες που καλύπτονται από τα προαναφερθέντα ηλεκτρονικά συστήματα τα οποία δεν θα έχουν τεθεί σε λειτουργία έως το 2020. </w:t>
      </w:r>
    </w:p>
    <w:p>
      <w:pPr>
        <w:rPr>
          <w:rFonts w:eastAsia="Arial Unicode MS"/>
          <w:noProof/>
        </w:rPr>
      </w:pPr>
    </w:p>
    <w:p>
      <w:pPr>
        <w:pStyle w:val="ManualHeading1"/>
        <w:rPr>
          <w:noProof/>
        </w:rPr>
      </w:pPr>
      <w:r>
        <w:rPr>
          <w:noProof/>
        </w:rPr>
        <w:t>3.</w:t>
      </w:r>
      <w:r>
        <w:rPr>
          <w:noProof/>
        </w:rPr>
        <w:tab/>
        <w:t>ΔΙΑΒΟΥΛΕΥΣΕΙΣ ΜΕ ΤΑ ΕΝΔΙΑΦΕΡΟΜΕΝΑ ΜΕΡΗ ΚΑΙ ΕΚΤΙΜΗΣΕΙΣ ΕΠΙΠΤΩΣΕΩΝ</w:t>
      </w:r>
    </w:p>
    <w:p>
      <w:pPr>
        <w:pStyle w:val="ManualHeading2"/>
        <w:rPr>
          <w:rFonts w:eastAsia="Arial Unicode MS"/>
          <w:noProof/>
          <w:u w:color="000000"/>
          <w:bdr w:val="nil"/>
        </w:rPr>
      </w:pPr>
      <w:r>
        <w:rPr>
          <w:noProof/>
        </w:rPr>
        <w:t>Διαβουλεύσεις με τα ενδιαφερόμενα μέρη</w:t>
      </w:r>
    </w:p>
    <w:p>
      <w:pPr>
        <w:rPr>
          <w:rFonts w:eastAsia="Times New Roman"/>
          <w:noProof/>
          <w:szCs w:val="24"/>
        </w:rPr>
      </w:pPr>
      <w:r>
        <w:rPr>
          <w:noProof/>
        </w:rPr>
        <w:t xml:space="preserve">Η Επιτροπή διεξήγαγε εκτεταμένες διαβουλεύσεις με τα κράτη μέλη και κατέγραψε τις ανησυχίες τους σχετικά με την ανάγκη για ένα πιο ρεαλιστικό χρονοδιάγραμμα όσον αφορά την ανάπτυξη των ηλεκτρονικών συστημάτων του ενωσιακού τελωνειακού κώδικα, καθώς και σχετικά με την αντίστοιχη ανάγκη για τη συνέχιση της δυνατότητας εφαρμογής των μεταβατικών διατάξεων αναφορικά με την ανταλλαγή και την αποθήκευση των τελωνειακών πληροφοριών πέραν της ισχύουσας προθεσμίας του 2020. Πέραν ορισμένων γραπτών και διμερών διαβουλεύσεων, τα συγκεκριμένα ζητήματα εξετάστηκαν αναλυτικά στο πλαίσιο των συνεδριάσεων της Επιτροπής με τα κράτη μέλη στις 31 Μαρτίου 2017 και στις 29-30 Ιουνίου 2017. Η Επιτροπή απέστειλε επίσης στα κράτη μέλη λεπτομερές ερωτηματολόγιο προκειμένου να ενημερωθεί για τις προτιμήσεις τους όσον αφορά συστήματα των οποίων η υλοποίηση θα πρέπει ενδεχομένως να καθυστερήσει.  Η προτεινόμενη νέα προθεσμία και το νέο χρονοδιάγραμμα σχεδιασμού για τα ηλεκτρονικά συστήματα λαμβάνει υπόψη τις απαντήσεις των κρατών μελών στο εν λόγω ερωτηματολόγιο. </w:t>
      </w:r>
    </w:p>
    <w:p>
      <w:pPr>
        <w:rPr>
          <w:noProof/>
        </w:rPr>
      </w:pPr>
      <w:r>
        <w:rPr>
          <w:noProof/>
        </w:rPr>
        <w:t xml:space="preserve">Η Επιτροπή ζήτησε επίσης τη γνώμη της </w:t>
      </w:r>
      <w:hyperlink r:id="rId16">
        <w:r>
          <w:rPr>
            <w:rStyle w:val="Hyperlink"/>
            <w:noProof/>
          </w:rPr>
          <w:t>Ομάδας Εμπορικών Επαφών</w:t>
        </w:r>
      </w:hyperlink>
      <w:r>
        <w:rPr>
          <w:noProof/>
        </w:rPr>
        <w:t xml:space="preserve">, δηλ. των εκπροσώπων του εμπορικού κλάδου στο φόρουμ της ομάδας εμπειρογνωμόνων στο οποίο συμμετέχουν εκπρόσωποι από διάφορες επαγγελματικές ενώσεις, </w:t>
      </w:r>
      <w:hyperlink r:id="rId17"/>
      <w:r>
        <w:rPr>
          <w:noProof/>
        </w:rPr>
        <w:t xml:space="preserve"> στο πλαίσιο των συνεδριάσεων της ολομέλειας της 27ης Απριλίου 2017 και της 12ης Ιουλίου 2017. Οι επιχειρήσεις χρειάζονται ρεαλιστικά χρονοδιαγράμματα και συμφωνούν ότι η προθεσμία εφαρμογής των μεταβατικών ρυθμίσεων για την ανταλλαγή και την αποθήκευση τελωνειακών πληροφοριών πρέπει να παραταθεί στην περίπτωση ηλεκτρονικών συστημάτων τα οποία θα είναι έτοιμα μετά το 2020.</w:t>
      </w:r>
    </w:p>
    <w:p>
      <w:pPr>
        <w:pStyle w:val="ManualHeading2"/>
        <w:rPr>
          <w:rFonts w:eastAsia="Arial Unicode MS"/>
          <w:noProof/>
          <w:u w:color="000000"/>
          <w:bdr w:val="nil"/>
        </w:rPr>
      </w:pPr>
      <w:r>
        <w:rPr>
          <w:noProof/>
        </w:rPr>
        <w:t>Εκτίμηση επιπτώσεων</w:t>
      </w:r>
    </w:p>
    <w:p>
      <w:pPr>
        <w:spacing w:before="0" w:after="0"/>
        <w:rPr>
          <w:rFonts w:eastAsia="Times New Roman"/>
          <w:noProof/>
          <w:szCs w:val="24"/>
        </w:rPr>
      </w:pPr>
      <w:r>
        <w:rPr>
          <w:noProof/>
        </w:rPr>
        <w:t>Για την εν λόγω πρωτοβουλία δεν απαιτείται εκτίμηση των επιπτώσεων διότι δεν αφορά επιλογή πολιτικής. Απλώς προτείνει την παράταση της εφαρμογής των μεταβατικών ρυθμίσεων που ήδη προβλέπονται στον ενωσιακό τελωνειακό κώδικα για πρόσθετη χρονική περίοδο. Στην πραγματικότητα, με την παράταση αυτή θα διασφαλιστεί η ομαλότερη και λιγότερο αποσταθεροποιητική εφαρμογή της επιλογής πολιτικής που περιλαμβάνεται στον κώδικα για τη σταδιακή μετάβαση στην εξ ολοκλήρου  χρήση ηλεκτρονικών συστημάτων για τις αλληλεπιδράσεις μεταξύ των οικονομικών φορέων και των τελωνειακών αρχών, καθώς και μεταξύ των τελωνειακών αρχών, και για το τέλος των διαδικασιών σε έντυπη μορφή.</w:t>
      </w:r>
    </w:p>
    <w:p>
      <w:pPr>
        <w:spacing w:before="0" w:after="0"/>
        <w:rPr>
          <w:rFonts w:eastAsia="Times New Roman"/>
          <w:noProof/>
          <w:szCs w:val="24"/>
        </w:rPr>
      </w:pPr>
    </w:p>
    <w:p>
      <w:pPr>
        <w:spacing w:before="0" w:after="0"/>
        <w:rPr>
          <w:rFonts w:eastAsia="Times New Roman"/>
          <w:noProof/>
          <w:szCs w:val="24"/>
        </w:rPr>
      </w:pPr>
      <w:r>
        <w:rPr>
          <w:noProof/>
        </w:rPr>
        <w:t>Η Επιτροπή ενέκρινε έκθεση</w:t>
      </w:r>
      <w:r>
        <w:rPr>
          <w:rStyle w:val="FootnoteReference"/>
          <w:noProof/>
        </w:rPr>
        <w:footnoteReference w:id="8"/>
      </w:r>
      <w:r>
        <w:rPr>
          <w:noProof/>
        </w:rPr>
        <w:t xml:space="preserve"> σχετικά με την εφαρμογή και τις επιπτώσεις του ενωσιακού τελωνειακού κώδικα μέχρι σήμερα, συμπεριλαμβανομένων των ηλεκτρονικών συστημάτων του, στην οποία παρέχονται περισσότερες αναλυτικές πληροφορίες σχετικά με το ιστορικό της καθυστέρησης υλοποίησης ορισμένων ηλεκτρονικών συστημάτων. </w:t>
      </w:r>
    </w:p>
    <w:p>
      <w:pPr>
        <w:spacing w:before="0" w:after="0"/>
        <w:rPr>
          <w:rFonts w:eastAsia="Times New Roman"/>
          <w:noProof/>
          <w:szCs w:val="24"/>
        </w:rPr>
      </w:pPr>
    </w:p>
    <w:p>
      <w:pPr>
        <w:pStyle w:val="ManualHeading2"/>
        <w:rPr>
          <w:noProof/>
          <w:u w:color="000000"/>
          <w:bdr w:val="nil"/>
        </w:rPr>
      </w:pPr>
      <w:r>
        <w:rPr>
          <w:noProof/>
        </w:rPr>
        <w:t>Καταλληλότητα και απλούστευση του κανονιστικού πλαισίου</w:t>
      </w:r>
    </w:p>
    <w:p>
      <w:pPr>
        <w:spacing w:before="0" w:after="0"/>
        <w:rPr>
          <w:noProof/>
        </w:rPr>
      </w:pPr>
      <w:r>
        <w:rPr>
          <w:noProof/>
        </w:rPr>
        <w:t>Ο κώδικας αποσκοπεί να διασφαλίσει τη μετάβαση σε ένα πλήρως ηλεκτρονικό περιβάλλον για όλες τις τελωνειακές διαδικασίες προκειμένου να εξασφαλιστεί ένα πλαίσιο για τα τελωνεία της ΕΕ το οποίο θα είναι προσαρμοσμένο στη σύγχρονη πραγματικότητα του εμπορίου και, ως εκ τούτου, θα βελτιώνει την ανταγωνιστικότητα των ευρωπαϊκών επιχειρήσεων, προστατεύοντας παράλληλα τα χρηματοοικονομικά και οικονομικά συμφέροντα της Ένωσης και των κρατών μελών και διασφαλίζοντας την ασφάλεια και προστασία των καταναλωτών της ΕΕ. Εντούτοις, η προθεσμία για την υλοποίηση του συνόλου των δεκαεπτά σχετικών ηλεκτρονικών συστημάτων έως το 2020 ασκεί σημαντικές πιέσεις σε όλους τους συμμετέχοντες, δηλ. στα κράτη μέλη, την Επιτροπή και την επιχειρηματική κοινότητα. Η προτεινόμενη καθυστέρηση της υλοποίησης περιορισμένου αριθμού συστημάτων θα συμβάλει στο να δοθεί έμφαση στη διασφάλιση της αποτελεσματικής παράδοσης των υπόλοιπων συστημάτων έως το 2020. Επιπλέον, η καθυστέρηση μπορεί να αντιμετωπιστεί μέσω της παρούσας τροποποίησης του νομικού πλαισίου κατά τρόπον ώστε η μεταβατική χρήση των υφιστάμενων ρυθμίσεων μετά το 2020 να μπορεί να συνεχιστεί στην περίπτωση των τελωνειακών θεμάτων που διεκπεραιώνονται με τα ηλεκτρονικά συστήματα των οποίων η υλοποίηση θα καθυστερήσει. Στην πραγματικότητα, οι εν λόγω υφιστάμενες ρυθμίσεις αφορούν ήδη, σε ορισμένες περιπτώσεις, ηλεκτρονικά συστήματα, και οι διατάξεις του κώδικα απλώς προβλέπουν την αναβάθμισή τους. Συνεπώς, η αναβολή της προθεσμίας παράδοσης ορισμένων πληροφοριακών συστημάτων δεν θα θέσει σε κίνδυνο την επίτευξη των στόχων του ΕΤΚ.</w:t>
      </w:r>
    </w:p>
    <w:p>
      <w:pPr>
        <w:pStyle w:val="ManualHeading1"/>
        <w:rPr>
          <w:noProof/>
        </w:rPr>
      </w:pPr>
      <w:r>
        <w:rPr>
          <w:noProof/>
        </w:rPr>
        <w:t>4.</w:t>
      </w:r>
      <w:r>
        <w:rPr>
          <w:noProof/>
        </w:rPr>
        <w:tab/>
        <w:t>ΔΗΜΟΣΙΟΝΟΜΙΚΕΣ ΕΠΙΠΤΩΣΕΙΣ</w:t>
      </w:r>
    </w:p>
    <w:p>
      <w:pPr>
        <w:pBdr>
          <w:top w:val="nil"/>
          <w:left w:val="nil"/>
          <w:bottom w:val="nil"/>
          <w:right w:val="nil"/>
          <w:between w:val="nil"/>
          <w:bar w:val="nil"/>
        </w:pBdr>
        <w:spacing w:before="0" w:after="240"/>
        <w:rPr>
          <w:rFonts w:eastAsia="Arial Unicode MS"/>
          <w:noProof/>
        </w:rPr>
      </w:pPr>
      <w:r>
        <w:rPr>
          <w:noProof/>
        </w:rPr>
        <w:t xml:space="preserve">Η δυνατότητα χρήσης εναλλακτικών μέσων ανταλλαγής και αποθήκευσης των τελωνειακών πληροφοριών στην περίπτωση ορισμένων από τα ηλεκτρονικά συστήματα του ΕΤΚ δεν έχει βραχυπρόθεσμες δημοσιονομικές επιπτώσεις. Η παρούσα πρωτοβουλία παρέχει τη δυνατότητα, μέσω ενός νομικού πλαισίου ασφάλειας για τον περιορισμένο αριθμό ηλεκτρονικών συστημάτων που θα αναπτυχθούν μετά το 2020, να επικεντρωθεί πλήρως η προσοχή κατά τα επόμενα δύο έτη στο εγχείρημα της διασφάλισης της ολοκλήρωσης της πλειονότητας των συστημάτων έως το 2020. Κατ’ αυτόν τον τρόπο, συμβάλλει στην επίτευξη των στόχων του ΕΤΚ, συμπεριλαμβανομένου του στόχου της καλύτερης διασφάλισης της προστασίας των χρηματοδοτικών πόρων της ΕΕ. </w:t>
      </w:r>
    </w:p>
    <w:p>
      <w:pPr>
        <w:pBdr>
          <w:top w:val="nil"/>
          <w:left w:val="nil"/>
          <w:bottom w:val="nil"/>
          <w:right w:val="nil"/>
          <w:between w:val="nil"/>
          <w:bar w:val="nil"/>
        </w:pBdr>
        <w:spacing w:before="0" w:after="240"/>
        <w:rPr>
          <w:noProof/>
        </w:rPr>
      </w:pPr>
      <w:r>
        <w:rPr>
          <w:noProof/>
        </w:rPr>
        <w:t xml:space="preserve">Στο πλαίσιο της νέας γενιάς χρηματοδοτικών προγραμμάτων για τα τελωνεία της ΕΕ για την περίοδο μετά το 2020 θα απαιτηθεί χρηματοδότηση προκειμένου να διασφαλιστεί η συνέχιση των εργασιών όσον αφορά την ανάπτυξη των ηλεκτρονικών συστημάτων του ΕΤΚ μέχρι το 2025. </w:t>
      </w:r>
    </w:p>
    <w:p>
      <w:pPr>
        <w:pStyle w:val="ManualHeading1"/>
        <w:rPr>
          <w:noProof/>
        </w:rPr>
      </w:pPr>
      <w:r>
        <w:rPr>
          <w:noProof/>
        </w:rPr>
        <w:t>5.</w:t>
      </w:r>
      <w:r>
        <w:rPr>
          <w:noProof/>
        </w:rPr>
        <w:tab/>
        <w:t>ΛΟΙΠΑ ΣΤΟΙΧΕΙΑ</w:t>
      </w:r>
    </w:p>
    <w:p>
      <w:pPr>
        <w:pStyle w:val="ManualHeading2"/>
        <w:rPr>
          <w:rFonts w:eastAsia="Arial Unicode MS"/>
          <w:noProof/>
          <w:u w:color="000000"/>
          <w:bdr w:val="nil"/>
        </w:rPr>
      </w:pPr>
      <w:r>
        <w:rPr>
          <w:noProof/>
        </w:rPr>
        <w:t>•</w:t>
      </w:r>
      <w:r>
        <w:rPr>
          <w:noProof/>
        </w:rPr>
        <w:tab/>
        <w:t>Σχέδια εφαρμογής και ρυθμίσεις παρακολούθησης, αξιολόγησης και υποβολής εκθέσεων</w:t>
      </w:r>
    </w:p>
    <w:p>
      <w:pPr>
        <w:spacing w:before="0" w:after="0"/>
        <w:rPr>
          <w:rFonts w:eastAsia="Times New Roman"/>
          <w:noProof/>
          <w:szCs w:val="24"/>
        </w:rPr>
      </w:pPr>
      <w:r>
        <w:rPr>
          <w:noProof/>
        </w:rPr>
        <w:t>Η Επιτροπή θα διεξαγάγει, έως το 2021, ενδιάμεση αξιολόγηση του νομικού πλαισίου του ΕΤΚ και των ηλεκτρονικών συστημάτων που θα έχουν υλοποιηθεί έως τότε. Η Επιτροπή θα διενεργήσει πιο ολοκληρωμένο έλεγχο καταλληλότητας μετά το 2025, αφού τεθούν σε λειτουργία όλα τα ηλεκτρονικά συστήματα, προκειμένου να προσδιορίσει κατά πόσον υφίστανται κενά ή σφάλματα στον κώδικα τα οποία πρέπει να αντιμετωπιστούν μέσω μιας πιο ολοκληρωμένης πρότασης τροποποίησης.</w:t>
      </w:r>
    </w:p>
    <w:p>
      <w:pPr>
        <w:pStyle w:val="ManualHeading2"/>
        <w:rPr>
          <w:rFonts w:eastAsia="Arial Unicode MS"/>
          <w:noProof/>
          <w:u w:color="000000"/>
          <w:bdr w:val="nil"/>
        </w:rPr>
      </w:pPr>
      <w:r>
        <w:rPr>
          <w:noProof/>
        </w:rPr>
        <w:t>•</w:t>
      </w:r>
      <w:r>
        <w:rPr>
          <w:noProof/>
        </w:rPr>
        <w:tab/>
        <w:t>Αναλυτική επεξήγηση των επιμέρους διατάξεων της πρότασης</w:t>
      </w:r>
    </w:p>
    <w:p>
      <w:pPr>
        <w:rPr>
          <w:noProof/>
        </w:rPr>
      </w:pPr>
      <w:r>
        <w:rPr>
          <w:noProof/>
        </w:rPr>
        <w:t>Σύμφωνα με τη νομοθετική προσέγγιση που υιοθετήθηκε για την τρέχουσα διατύπωση του άρθρου 278, και για τον κώδικα στο σύνολό του, η Επιτροπή προτείνει να μην αναφέρονται στο τροποποιημένο άρθρο 278 τα συστήματα των οποίων η υλοποίηση καθυστερεί. Αντ’ αυτού, η τροποποίηση θα αναφέρεται στις ομάδες νομοθετικών διατάξεων τις οποίες τα εν λόγω ηλεκτρονικά συστήματα έχουν σχεδιαστεί να εφαρμόσουν, ως εξής:</w:t>
      </w:r>
    </w:p>
    <w:p>
      <w:pPr>
        <w:pStyle w:val="Bullet0"/>
        <w:rPr>
          <w:noProof/>
        </w:rPr>
      </w:pPr>
      <w:r>
        <w:rPr>
          <w:noProof/>
        </w:rPr>
        <w:t>το σύστημα Διαχείρισης Εγγυήσεων (GUM/ΔΕ) αναφέρεται ως το ηλεκτρονικό σύστημα που έχει σχεδιαστεί για την εφαρμογή των άρθρων 89 έως 98 του κώδικα (εγγύηση για δυνητική ή υφιστάμενη τελωνειακή οφειλή),</w:t>
      </w:r>
    </w:p>
    <w:p>
      <w:pPr>
        <w:pStyle w:val="Bullet0"/>
        <w:rPr>
          <w:noProof/>
        </w:rPr>
      </w:pPr>
      <w:r>
        <w:rPr>
          <w:noProof/>
        </w:rPr>
        <w:t>το Σύστημα Ελέγχου Εισαγωγών (ICS/ΣΕΕ) αναφέρεται ως το ηλεκτρονικό σύστημα που έχει σχεδιαστεί για την εφαρμογή των άρθρων 127 έως 130 του κώδικα (συνοπτική διασάφηση εισόδου),</w:t>
      </w:r>
    </w:p>
    <w:p>
      <w:pPr>
        <w:pStyle w:val="Bullet0"/>
        <w:rPr>
          <w:noProof/>
        </w:rPr>
      </w:pPr>
      <w:r>
        <w:rPr>
          <w:noProof/>
        </w:rPr>
        <w:t xml:space="preserve">το σύστημα Αποδεικτικού Ενωσιακού Καθεστώτος (PoUS/ΑΕΚ) αναφέρεται ως το ηλεκτρονικό σύστημα που έχει σχεδιαστεί για την εφαρμογή των άρθρων 153 έως 155 του κώδικα (τελωνειακός χαρακτήρας των ενωσιακών εμπορευμάτων), </w:t>
      </w:r>
    </w:p>
    <w:p>
      <w:pPr>
        <w:pStyle w:val="Bullet0"/>
        <w:rPr>
          <w:noProof/>
        </w:rPr>
      </w:pPr>
      <w:r>
        <w:rPr>
          <w:noProof/>
        </w:rPr>
        <w:t xml:space="preserve">το σύστημα Κεντρικού Τελωνισμού για Εισαγωγή (CCI/ΚΤΕ) αναφέρεται ως το ηλεκτρονικό σύστημα που έχει σχεδιαστεί για την εφαρμογή του άρθρου 179 του κώδικα, </w:t>
      </w:r>
    </w:p>
    <w:p>
      <w:pPr>
        <w:pStyle w:val="Bullet0"/>
        <w:rPr>
          <w:noProof/>
        </w:rPr>
      </w:pPr>
      <w:r>
        <w:rPr>
          <w:noProof/>
        </w:rPr>
        <w:t>το Νέο Μηχανογραφημένο Σύστημα Διαμετακόμισης (NCTS/ΝΜΣΔ) αναφέρεται ως το ηλεκτρονικό σύστημα που έχει σχεδιαστεί για την εφαρμογή του άρθρου 210 στοιχείο α), του άρθρου 215 παράγραφος 2, των άρθρων 226 έως 230 και των άρθρων 233 έως 234 του κώδικα (διαμετακόμιση), και</w:t>
      </w:r>
    </w:p>
    <w:p>
      <w:pPr>
        <w:pStyle w:val="Bullet0"/>
        <w:rPr>
          <w:noProof/>
        </w:rPr>
      </w:pPr>
      <w:r>
        <w:rPr>
          <w:noProof/>
        </w:rPr>
        <w:t xml:space="preserve">το Αυτοματοποιημένο Σύστημα Εξαγωγών (AES/ΑΣΕ) καθώς και η αναβάθμιση του Εθνικού Συστήματος Εξαγωγών (που καλύπτει επίσης τη συνιστώσα εξαγωγών του εθνικού συστήματος για Ειδικά Καθεστώτα) αναφέρονται ως τα ηλεκτρονικά συστήματα που έχουν σχεδιαστεί για την εφαρμογή του άρθρου 210 στοιχείο δ), του άρθρου 215 παράγραφος 1 και των άρθρων 263, 264, 267, 269 έως 272, 274 και 275 του κώδικα (όπως εφαρμόζονται σε εμπορεύματα που εξέρχονται από το τελωνειακό έδαφος της Ένωσης). </w:t>
      </w:r>
    </w:p>
    <w:p>
      <w:pPr>
        <w:pStyle w:val="TableText"/>
        <w:spacing w:before="0" w:after="120"/>
        <w:ind w:left="0"/>
        <w:jc w:val="both"/>
        <w:rPr>
          <w:rFonts w:ascii="Times New Roman" w:hAnsi="Times New Roman" w:cs="Times New Roman"/>
          <w:noProof/>
          <w:sz w:val="24"/>
        </w:rPr>
      </w:pPr>
      <w:r>
        <w:rPr>
          <w:rFonts w:ascii="Times New Roman" w:hAnsi="Times New Roman"/>
          <w:noProof/>
          <w:sz w:val="24"/>
        </w:rPr>
        <w:t>Το Αυτοματοποιημένο Σύστημα Εξαγωγών (AES/ΑΣΕ) έχει επίσης σχεδιαστεί για την εφαρμογή κεντρικού τελωνισμού για εξαγωγή (άρθρο 179 του κώδικα), ωστόσο, στον βαθμό που τόσο το σύστημα κεντρικού τελωνισμού (CCI/ΚΤΕ) όσο και το AES/ΑΣΕ πρόκειται να παραδοθούν μετά το 2020, δεν υπάρχει ανάγκη ρητής αναφοράς της σχέσης μεταξύ του άρθρου 179 και του AES/ΑΣΕ στην προτεινόμενη νέα παράγραφο του άρθρου 278 του κώδικα.</w:t>
      </w:r>
    </w:p>
    <w:p>
      <w:pPr>
        <w:rPr>
          <w:noProof/>
        </w:rPr>
      </w:pPr>
      <w:r>
        <w:rPr>
          <w:noProof/>
        </w:rPr>
        <w:t>Σε περίπτωση που εγκριθεί, το τροποποιημένο κείμενο θα παράσχει τη δυνατότητα ομαλής μετάβασης από τα υφιστάμενα συστήματα που βασίζονται κυρίως σε έντυπα στο νέο ηλεκτρονικό περιβάλλον που προβλέπεται στον κώδικα. Οι μεταβατικές διατάξεις για καθένα από τα υπό ανάπτυξη ηλεκτρονικά συστήματα, οι οποίες θα εξακολουθήσουν να εφαρμόζονται στην περίπτωση των καθυστερημένων συστημάτων, αναλύονται στον μεταβατικό κατ’ εξουσιοδότηση κανονισμό του ΕΤΚ. Οι νομικές επιπτώσεις από την τροποποίηση του άρθρου 278 του κώδικα υπό την έννοια που περιγράφεται ανωτέρω θα είναι ότι ορισμένες από τις εν λόγω μεταβατικές διατάξεις θα εφαρμόζονται για μεγαλύτερο χρονικό διάστημα. Τα σημαντικότερα από τα εν λόγω μέτρα είναι τα ακόλουθα:</w:t>
      </w:r>
    </w:p>
    <w:p>
      <w:pPr>
        <w:pStyle w:val="Bullet0"/>
        <w:rPr>
          <w:noProof/>
        </w:rPr>
      </w:pPr>
      <w:r>
        <w:rPr>
          <w:noProof/>
        </w:rPr>
        <w:t xml:space="preserve">τα ηλεκτρονικά συστήματα για την διεκπεραίωση της συνοπτικής διασάφησης εισόδου, του καθεστώτος διαμετακόμισης και του ελέγχου κατά την εξαγωγή θα εξακολουθήσουν να είναι οι υφιστάμενες εκδόσεις των ICS/ΣΕΕ, NCTS/ΝΜΣΔ και του Συστήματος Ελέγχου Εξαγωγών, </w:t>
      </w:r>
    </w:p>
    <w:p>
      <w:pPr>
        <w:pStyle w:val="Bullet0"/>
        <w:rPr>
          <w:noProof/>
        </w:rPr>
      </w:pPr>
      <w:r>
        <w:rPr>
          <w:noProof/>
        </w:rPr>
        <w:t xml:space="preserve">το έντυπο έγγραφο T2L θα εξακολουθήσει να θεωρείται από τις τελωνειακές αρχές ως αποδεικτικό ενωσιακού καθεστώτος, </w:t>
      </w:r>
    </w:p>
    <w:p>
      <w:pPr>
        <w:pStyle w:val="Bullet0"/>
        <w:rPr>
          <w:noProof/>
        </w:rPr>
      </w:pPr>
      <w:r>
        <w:rPr>
          <w:noProof/>
        </w:rPr>
        <w:t xml:space="preserve">στο παράρτημα 9 του μεταβατικού κατ’ εξουσιοδότηση κανονισμού, αντί του παραρτήματος B του κατ’ εξουσιοδότηση κανονισμού, θα καθορίζονται οι ισχύουσες απαιτήσεις δεδομένων για τις διασαφήσεις και τις γνωστοποιήσεις στα προαναφερθέντα πληροφοριακά συστήματα που θα αναπτυχθούν μετά το 2020, </w:t>
      </w:r>
    </w:p>
    <w:p>
      <w:pPr>
        <w:pStyle w:val="Bullet0"/>
        <w:rPr>
          <w:noProof/>
        </w:rPr>
      </w:pPr>
      <w:r>
        <w:rPr>
          <w:noProof/>
        </w:rPr>
        <w:t xml:space="preserve">τα υφιστάμενα καθεστώτα ενωσιακής διαμετακόμισης σε έντυπη μορφή για τις σιδηροδρομικές, αεροπορικές ή θαλάσσιες μεταφορές θα εξακολουθήσουν να ισχύουν, </w:t>
      </w:r>
    </w:p>
    <w:p>
      <w:pPr>
        <w:pStyle w:val="Bullet0"/>
        <w:rPr>
          <w:noProof/>
        </w:rPr>
      </w:pPr>
      <w:r>
        <w:rPr>
          <w:noProof/>
        </w:rPr>
        <w:t xml:space="preserve">τα έντυπα έγγραφα μπορούν να εξακολουθήσουν να χρησιμοποιούνται για τη γνωστοποίηση της εξόδου εμπορευμάτων από το τελωνειακό έδαφος, </w:t>
      </w:r>
    </w:p>
    <w:p>
      <w:pPr>
        <w:pStyle w:val="Bullet0"/>
        <w:rPr>
          <w:noProof/>
        </w:rPr>
      </w:pPr>
      <w:r>
        <w:rPr>
          <w:noProof/>
        </w:rPr>
        <w:t xml:space="preserve">παρότι τα κράτη μέλη που ενέχονται σε άδεια κεντρικού τελωνισμού θα πρέπει να συνεργάζονται, θα έχουν επίσης το δικαίωμα να απορρίπτουν αίτηση άδειας σε περίπτωση που η χορήγησή της συνεπάγεται δυσανάλογο διοικητικό φόρτο, και </w:t>
      </w:r>
    </w:p>
    <w:p>
      <w:pPr>
        <w:pStyle w:val="Bullet0"/>
        <w:rPr>
          <w:noProof/>
        </w:rPr>
      </w:pPr>
      <w:r>
        <w:rPr>
          <w:noProof/>
        </w:rPr>
        <w:t>οι πληροφορίες σχετικά με τις εγγυήσεις που χρησιμοποιούνται σε αρκετά κράτη μέλη για σκοπούς άλλους από τη διαμετακόμιση θα πρέπει να ανταλλάσσονται μεταξύ των κρατών μελών μέσω ηλεκτρονικού ταχυδρομείου και να αποθηκεύονται στα εθνικά συστήματα των κρατών μελών.</w:t>
      </w:r>
    </w:p>
    <w:p>
      <w:pPr>
        <w:rPr>
          <w:noProof/>
        </w:rPr>
        <w:sectPr>
          <w:footerReference w:type="default" r:id="rId18"/>
          <w:footerReference w:type="first" r:id="rId19"/>
          <w:pgSz w:w="11907" w:h="16839"/>
          <w:pgMar w:top="1134" w:right="1417" w:bottom="1134" w:left="1417" w:header="709" w:footer="709" w:gutter="0"/>
          <w:pgNumType w:start="1"/>
          <w:cols w:space="708"/>
          <w:docGrid w:linePitch="360"/>
        </w:sectPr>
      </w:pPr>
    </w:p>
    <w:p>
      <w:pPr>
        <w:pStyle w:val="Rfrenceinterinstitutionnelle"/>
        <w:rPr>
          <w:noProof/>
        </w:rPr>
      </w:pPr>
      <w:r>
        <w:rPr>
          <w:noProof/>
        </w:rPr>
        <w:t>2018/0040 (COD)</w:t>
      </w:r>
    </w:p>
    <w:p>
      <w:pPr>
        <w:pStyle w:val="Statut"/>
        <w:rPr>
          <w:noProof/>
        </w:rPr>
      </w:pPr>
      <w:r>
        <w:rPr>
          <w:noProof/>
        </w:rPr>
        <w:t>Πρόταση</w:t>
      </w:r>
    </w:p>
    <w:p>
      <w:pPr>
        <w:pStyle w:val="Typedudocument"/>
        <w:rPr>
          <w:noProof/>
        </w:rPr>
      </w:pPr>
      <w:r>
        <w:rPr>
          <w:noProof/>
        </w:rPr>
        <w:t>ΚΑΝΟΝΙΣΜΟΣ ΤΟΥ ΕΥΡΩΠΑΪΚΟΥ ΚΟΙΝΟΒΟΥΛΙΟΥ ΚΑΙ ΤΟΥ ΣΥΜΒΟΥΛΙΟΥ</w:t>
      </w:r>
    </w:p>
    <w:p>
      <w:pPr>
        <w:pStyle w:val="Titreobjet"/>
        <w:rPr>
          <w:noProof/>
        </w:rPr>
      </w:pPr>
      <w:r>
        <w:rPr>
          <w:noProof/>
        </w:rPr>
        <w:t>για την τροποποίηση του κανονισμού (ΕΕ) αριθ. 952/2013 για την παράταση της μεταβατικής χρήσης μέσων άλλων από τις ηλεκτρονικές τεχνικές επεξεργασίας δεδομένων που προβλέπονται στον ενωσιακό τελωνειακό κώδικα</w:t>
      </w:r>
    </w:p>
    <w:p>
      <w:pPr>
        <w:pStyle w:val="Institutionquiagit"/>
        <w:rPr>
          <w:noProof/>
        </w:rPr>
      </w:pPr>
      <w:r>
        <w:rPr>
          <w:noProof/>
        </w:rPr>
        <w:t>ΤΟ ΕΥΡΩΠΑΪΚΟ ΚΟΙΝΟΒΟΥΛΙΟ ΚΑΙ ΤΟ ΣΥΜΒΟΥΛΙΟ ΤΗΣ ΕΥΡΩΠΑΪΚΗΣ ΕΝΩΣΗΣ,</w:t>
      </w:r>
    </w:p>
    <w:p>
      <w:pPr>
        <w:rPr>
          <w:noProof/>
        </w:rPr>
      </w:pPr>
      <w:r>
        <w:rPr>
          <w:noProof/>
        </w:rPr>
        <w:t>Έχοντας υπόψη τη Συνθήκη για τη λειτουργία της Ευρωπαϊκής Ένωσης, και ιδίως το άρθρο 33 και το άρθρο 207,</w:t>
      </w:r>
    </w:p>
    <w:p>
      <w:pPr>
        <w:rPr>
          <w:noProof/>
        </w:rPr>
      </w:pPr>
      <w:r>
        <w:rPr>
          <w:noProof/>
        </w:rPr>
        <w:t>Έχοντας υπόψη την πρόταση της Ευρωπαϊκής Επιτροπής,</w:t>
      </w:r>
    </w:p>
    <w:p>
      <w:pPr>
        <w:rPr>
          <w:noProof/>
        </w:rPr>
      </w:pPr>
      <w:r>
        <w:rPr>
          <w:noProof/>
        </w:rPr>
        <w:t>Κατόπιν διαβίβασης του σχεδίου νομοθετικής πράξης στα εθνικά κοινοβούλια,</w:t>
      </w:r>
    </w:p>
    <w:p>
      <w:pPr>
        <w:rPr>
          <w:noProof/>
        </w:rPr>
      </w:pPr>
      <w:r>
        <w:rPr>
          <w:noProof/>
        </w:rPr>
        <w:t>Αποφασίζοντας σύμφωνα με τη συνήθη νομοθετική διαδικασία,</w:t>
      </w:r>
    </w:p>
    <w:p>
      <w:pPr>
        <w:rPr>
          <w:noProof/>
        </w:rPr>
      </w:pPr>
      <w:r>
        <w:rPr>
          <w:noProof/>
        </w:rPr>
        <w:t>Εκτιμώντας τα ακόλουθα:</w:t>
      </w:r>
    </w:p>
    <w:p>
      <w:pPr>
        <w:pStyle w:val="ManualConsidrant"/>
        <w:rPr>
          <w:noProof/>
        </w:rPr>
      </w:pPr>
      <w:r>
        <w:t>(1)</w:t>
      </w:r>
      <w:r>
        <w:tab/>
      </w:r>
      <w:r>
        <w:rPr>
          <w:noProof/>
        </w:rPr>
        <w:t>Βάσει του κανονισμού (ΕΕ) αριθ. 952/2013 του Ευρωπαϊκού Κοινοβουλίου και του Συμβουλίου για τη θέσπιση του ενωσιακού τελωνειακού κώδικα</w:t>
      </w:r>
      <w:r>
        <w:rPr>
          <w:rStyle w:val="FootnoteReference"/>
          <w:noProof/>
        </w:rPr>
        <w:footnoteReference w:id="9"/>
      </w:r>
      <w:r>
        <w:rPr>
          <w:noProof/>
        </w:rPr>
        <w:t xml:space="preserve"> (ο κώδικας), όλες οι ανταλλαγές πληροφοριών μεταξύ των τελωνειακών αρχών και μεταξύ των οικονομικών φορέων και των τελωνειακών αρχών και η αποθήκευση των πληροφοριών αυτών πρέπει να πραγματοποιούνται με τη χρήση ηλεκτρονικών τεχνικών επεξεργασίας δεδομένων.</w:t>
      </w:r>
    </w:p>
    <w:p>
      <w:pPr>
        <w:pStyle w:val="ManualConsidrant"/>
        <w:rPr>
          <w:noProof/>
        </w:rPr>
      </w:pPr>
      <w:r>
        <w:t>(2)</w:t>
      </w:r>
      <w:r>
        <w:tab/>
      </w:r>
      <w:r>
        <w:rPr>
          <w:noProof/>
        </w:rPr>
        <w:t>Ωστόσο, ο κώδικας επιτρέπει τη χρήση μέσων ανταλλαγής και αποθήκευσης πληροφοριών άλλων από τις ηλεκτρονικές τεχνικές επεξεργασίας δεδομένων κατά τη διάρκεια μεταβατικής περιόδου, στον βαθμό που τα ηλεκτρονικά συστήματα που είναι απαραίτητα για την εφαρμογή των διατάξεων του κώδικα δεν έχουν τεθεί ακόμη σε λειτουργία, αλλά μόνο μέχρι τις 31 Δεκεμβρίου 2020 το αργότερο.</w:t>
      </w:r>
    </w:p>
    <w:p>
      <w:pPr>
        <w:pStyle w:val="ManualConsidrant"/>
        <w:rPr>
          <w:noProof/>
        </w:rPr>
      </w:pPr>
      <w:r>
        <w:t>(3)</w:t>
      </w:r>
      <w:r>
        <w:tab/>
      </w:r>
      <w:r>
        <w:rPr>
          <w:noProof/>
        </w:rPr>
        <w:t>Σύμφωνα με τον κώδικα, τα κράτη μέλη πρέπει να συνεργάζονται με την Επιτροπή για τη δημιουργία, τη διατήρηση και τη χρήση ηλεκτρονικών συστημάτων για την ανταλλαγή και την αποθήκευση των τελωνειακών πληροφοριών, και η Επιτροπή πρόκειται να καταρτίσει πρόγραμμα εργασιών σχετικά με την ανάπτυξη και την εγκατάσταση των εν λόγω ηλεκτρονικών συστημάτων.</w:t>
      </w:r>
    </w:p>
    <w:p>
      <w:pPr>
        <w:pStyle w:val="ManualConsidrant"/>
        <w:rPr>
          <w:noProof/>
        </w:rPr>
      </w:pPr>
      <w:r>
        <w:t>(4)</w:t>
      </w:r>
      <w:r>
        <w:tab/>
      </w:r>
      <w:r>
        <w:rPr>
          <w:noProof/>
        </w:rPr>
        <w:t>Το πρόγραμμα εργασιών εκπονήθηκε με την εκτελεστική απόφαση της Επιτροπής (ΕΕ) 2016/578</w:t>
      </w:r>
      <w:r>
        <w:rPr>
          <w:rStyle w:val="FootnoteReference"/>
          <w:noProof/>
        </w:rPr>
        <w:footnoteReference w:id="10"/>
      </w:r>
      <w:r>
        <w:rPr>
          <w:noProof/>
        </w:rPr>
        <w:t>. Περιλαμβάνει κατάλογο σχετικά με την ανάπτυξη δεκαεπτά ηλεκτρονικών συστημάτων για τους σκοπούς της εφαρμογής του κώδικα, είτε μόνο από τα κράτη μέλη (στην περίπτωση συστημάτων των οποίων η διαχείριση θα πραγματοποιείται σε εθνικό επίπεδο - «εθνικά συστήματα») είτε από τα κράτη μέλη σε στενή συνεργασία με την Επιτροπή (στην περίπτωση συστημάτων σε επίπεδο Ένωσης, ορισμένα από τα οποία απαρτίζονται τόσο από συνιστώσες σε επίπεδο Ένωσης όσο και από συνιστώσες σε εθνικό επίπεδο - «διευρωπαϊκά συστήματα»).</w:t>
      </w:r>
    </w:p>
    <w:p>
      <w:pPr>
        <w:pStyle w:val="ManualConsidrant"/>
        <w:rPr>
          <w:noProof/>
        </w:rPr>
      </w:pPr>
      <w:r>
        <w:t>(5)</w:t>
      </w:r>
      <w:r>
        <w:tab/>
      </w:r>
      <w:r>
        <w:rPr>
          <w:noProof/>
        </w:rPr>
        <w:t>Στο πρόγραμμα εργασιών καθορίζεται το χρονοδιάγραμμα σχεδιασμού για την υλοποίηση των εν λόγω εθνικών και διευρωπαϊκών συστημάτων.</w:t>
      </w:r>
    </w:p>
    <w:p>
      <w:pPr>
        <w:pStyle w:val="ManualConsidrant"/>
        <w:rPr>
          <w:noProof/>
        </w:rPr>
      </w:pPr>
      <w:r>
        <w:t>(6)</w:t>
      </w:r>
      <w:r>
        <w:tab/>
      </w:r>
      <w:r>
        <w:rPr>
          <w:noProof/>
        </w:rPr>
        <w:t>Το εγχείρημα της εγκατάστασης όλων των απαραίτητων ηλεκτρονικών συστημάτων έως το 2020 εμπεριέχει πολλές προκλήσεις για την Επιτροπή και τα κράτη μέλη. Πρώτον, σε ορισμένες περιπτώσεις, για την εναρμόνιση των στοιχείων δεδομένων με βάση διεθνώς αποδεκτά μοντέλα, όπως απαιτείται από τον κώδικα, είναι απαραίτητος ο πλήρης αναπρογραμματισμός των υφιστάμενων ηλεκτρονικών συστημάτων και η πραγματοποίηση επενδύσεων, τόσο από την άποψη της χρηματοδότησης όσο και από την άποψη του χρόνου, οι οποίες θα είναι μεγαλύτερες από τις επενδύσεις που προβλέφθηκαν κατά την έγκριση του κώδικα. Δεύτερον, δεδομένου ότι τα ηλεκτρονικά συστήματα είναι στενά συνδεδεμένα μεταξύ τους, είναι σημαντικό να εισαχθούν με την κατάλληλη σειρά. Συνεπώς, οι καθυστερήσεις στην ανάπτυξη ενός συστήματος θα οδηγήσουν αναπόφευκτα σε καθυστερήσεις στην ανάπτυξη των υπολοίπων συστημάτων. Τρίτον, ο κώδικας (συμπεριλαμβανομένης της καταληκτικής ημερομηνίας για τα μεταβατικά μέτρα στις 31 Δεκεμβρίου 2020) εκδόθηκε το 2013, ενώ οι σχετικοί συμπληρωματικοί και εκτελεστικοί κανόνες, ήτοι ο κατ’ εξουσιοδότηση κανονισμός (ΕΕ) 2015/2446 της Επιτροπής</w:t>
      </w:r>
      <w:r>
        <w:rPr>
          <w:rStyle w:val="FootnoteReference"/>
          <w:noProof/>
        </w:rPr>
        <w:footnoteReference w:id="11"/>
      </w:r>
      <w:r>
        <w:rPr>
          <w:noProof/>
        </w:rPr>
        <w:t>, ο εκτελεστικός κανονισμός (ΕΕ) 2015/2447 της Επιτροπής</w:t>
      </w:r>
      <w:r>
        <w:rPr>
          <w:rStyle w:val="FootnoteReference"/>
          <w:noProof/>
        </w:rPr>
        <w:footnoteReference w:id="12"/>
      </w:r>
      <w:r>
        <w:rPr>
          <w:noProof/>
        </w:rPr>
        <w:t xml:space="preserve"> και ο κατ’ εξουσιοδότηση κανονισμός (ΕΕ) 2016/341 της Επιτροπής</w:t>
      </w:r>
      <w:r>
        <w:rPr>
          <w:rStyle w:val="FootnoteReference"/>
          <w:noProof/>
        </w:rPr>
        <w:footnoteReference w:id="13"/>
      </w:r>
      <w:r>
        <w:rPr>
          <w:noProof/>
        </w:rPr>
        <w:t>, εκδόθηκαν το 2015 και το 2016. Οι συζητήσεις σχετικά με τους εν λόγω κανόνες διήρκεσαν περισσότερο από το αναμενόμενο, με αποτέλεσμα να καθυστερήσει ο καθορισμός των λειτουργικών και τεχνικών προδιαγραφών που απαιτούνται για την ανάπτυξη των ηλεκτρονικών συστημάτων.</w:t>
      </w:r>
    </w:p>
    <w:p>
      <w:pPr>
        <w:pStyle w:val="ManualConsidrant"/>
        <w:rPr>
          <w:noProof/>
        </w:rPr>
      </w:pPr>
      <w:r>
        <w:t>(7)</w:t>
      </w:r>
      <w:r>
        <w:tab/>
      </w:r>
      <w:r>
        <w:rPr>
          <w:noProof/>
        </w:rPr>
        <w:t xml:space="preserve">Έχει καταστεί σαφές ότι, ενώ τα περισσότερα συστήματα θα αναπτυχθούν έως το 2020, ορισμένα άλλα μπορούν να ολοκληρωθούν μόνο εν μέρει έως τη συγκεκριμένη ημερομηνία. </w:t>
      </w:r>
    </w:p>
    <w:p>
      <w:pPr>
        <w:pStyle w:val="ManualConsidrant"/>
        <w:rPr>
          <w:noProof/>
        </w:rPr>
      </w:pPr>
      <w:r>
        <w:t>(8)</w:t>
      </w:r>
      <w:r>
        <w:tab/>
      </w:r>
      <w:r>
        <w:rPr>
          <w:noProof/>
        </w:rPr>
        <w:t>Ως εκ τούτου, η Επιτροπή, κατόπιν διαβουλεύσεων με τα κράτη μέλη και τους οικονομικούς φορείς, προτείνει τη συνέχιση των εργασιών και μετά τις 31 Δεκεμβρίου 2020 όσον αφορά δύο ομάδες συστημάτων. Μια πρώτη ομάδα απαρτίζεται από υφιστάμενα ηλεκτρονικά συστήματα που πρέπει να αναβαθμιστούν προκειμένου να ληφθούν υπόψη ορισμένες απαιτήσεις του κώδικα, όπως η εναρμόνιση των απαιτήσεων σχετικά με τα δεδομένα που θα εισάγονται στα συστήματα. Η εν λόγω ομάδα περιλαμβάνει τρία διευρωπαϊκά συστήματα (το σύστημα για τις συνοπτικές διασαφήσεις εισόδου, το σύστημα για την εξωτερική και την εσωτερική διαμετακόμιση και το σύστημα για τα εμπορεύματα που εξέρχονται από το τελωνειακό έδαφος της Ένωσης) καθώς και το Εθνικό Σύστημα Εξαγωγών (συμπεριλαμβανομένης της συνιστώσας εξαγωγών του εθνικού συστήματος για Ειδικά Καθεστώτα). Η δεύτερη ομάδα απαρτίζεται από τρία νέα διευρωπαϊκά ηλεκτρονικά συστήματα (τα συστήματα που αφορούν τις εγγυήσεις για δυνητική ή υφιστάμενη τελωνειακή οφειλή, τον τελωνειακό χαρακτήρα των εμπορευμάτων και τον κεντρικό τελωνισμό). Η Επιτροπή, σε συνεργασία με τα κράτη μέλη, έχει καταρτίσει αναλυτικό χρονοδιάγραμμα για την ανάπτυξη των εν λόγω συστημάτων έως τα τέλη του 2025.</w:t>
      </w:r>
    </w:p>
    <w:p>
      <w:pPr>
        <w:pStyle w:val="ManualConsidrant"/>
        <w:rPr>
          <w:noProof/>
        </w:rPr>
      </w:pPr>
      <w:r>
        <w:t>(9)</w:t>
      </w:r>
      <w:r>
        <w:tab/>
      </w:r>
      <w:r>
        <w:rPr>
          <w:noProof/>
        </w:rPr>
        <w:t xml:space="preserve">Σε συμφωνία με τον νέο σχεδιασμό για την ανάπτυξη των ηλεκτρονικών συστημάτων, η περίοδος που καθορίζεται στον κώδικα και στη διάρκεια της οποίας μπορούν να χρησιμοποιούνται σε μεταβατική βάση μέσα για την ανταλλαγή και την αποθήκευση πληροφοριών, άλλα από τις ηλεκτρονικές τεχνικές επεξεργασίας δεδομένων που αναφέρονται στο άρθρο 6 παράγραφος 1 του κώδικα, θα πρέπει επίσης να παραταθεί έως το 2025 σε ό,τι αφορά τις εν λόγω δύο ομάδες ηλεκτρονικών συστημάτων. </w:t>
      </w:r>
    </w:p>
    <w:p>
      <w:pPr>
        <w:pStyle w:val="ManualConsidrant"/>
        <w:rPr>
          <w:noProof/>
        </w:rPr>
      </w:pPr>
      <w:r>
        <w:t>(10)</w:t>
      </w:r>
      <w:r>
        <w:tab/>
      </w:r>
      <w:r>
        <w:rPr>
          <w:noProof/>
        </w:rPr>
        <w:t xml:space="preserve">Όσον αφορά τα άλλα συστήματα που θα υλοποιηθούν για τους σκοπούς της εφαρμογής του κώδικα, η γενική καταληκτική ημερομηνία της 31ης Δεκεμβρίου 2020 για τη χρήση μέσων ανταλλαγής και αποθήκευσης πληροφοριών άλλων από τις ηλεκτρονικές τεχνικές επεξεργασίας δεδομένων που αναφέρονται στο άρθρο 6 παράγραφος 1 του κώδικα θα πρέπει εξακολουθήσει να ισχύει. </w:t>
      </w:r>
    </w:p>
    <w:p>
      <w:pPr>
        <w:pStyle w:val="ManualConsidrant"/>
        <w:rPr>
          <w:noProof/>
        </w:rPr>
      </w:pPr>
      <w:r>
        <w:t>(11)</w:t>
      </w:r>
      <w:r>
        <w:tab/>
      </w:r>
      <w:r>
        <w:rPr>
          <w:noProof/>
        </w:rPr>
        <w:t>Επομένως, ο κώδικας θα πρέπει να τροποποιηθεί αναλόγως,</w:t>
      </w:r>
    </w:p>
    <w:p>
      <w:pPr>
        <w:pStyle w:val="Formuledadoption"/>
        <w:rPr>
          <w:noProof/>
        </w:rPr>
      </w:pPr>
      <w:r>
        <w:rPr>
          <w:noProof/>
        </w:rPr>
        <w:t>ΕΞΕΔΩΣΑΝ ΤΟΝ ΠΑΡΟΝΤΑ ΚΑΝΟΝΙΣΜΟ:</w:t>
      </w:r>
    </w:p>
    <w:p>
      <w:pPr>
        <w:pStyle w:val="Titrearticle"/>
        <w:rPr>
          <w:noProof/>
        </w:rPr>
      </w:pPr>
      <w:r>
        <w:rPr>
          <w:noProof/>
        </w:rPr>
        <w:t>Άρθρο 1</w:t>
      </w:r>
    </w:p>
    <w:p>
      <w:pPr>
        <w:rPr>
          <w:noProof/>
        </w:rPr>
      </w:pPr>
      <w:r>
        <w:rPr>
          <w:noProof/>
        </w:rPr>
        <w:t xml:space="preserve">Ο κανονισμός (ΕΕ) αριθ. 952/2013 τροποποιείται ως εξής: </w:t>
      </w:r>
    </w:p>
    <w:p>
      <w:pPr>
        <w:pStyle w:val="Point0number"/>
        <w:numPr>
          <w:ilvl w:val="0"/>
          <w:numId w:val="10"/>
        </w:numPr>
        <w:rPr>
          <w:b/>
          <w:noProof/>
        </w:rPr>
      </w:pPr>
      <w:r>
        <w:rPr>
          <w:noProof/>
        </w:rPr>
        <w:t>Το άρθρο 278 αντικαθίσταται από το ακόλουθο κείμενο:</w:t>
      </w:r>
    </w:p>
    <w:p>
      <w:pPr>
        <w:spacing w:before="0"/>
        <w:ind w:firstLine="10"/>
        <w:jc w:val="center"/>
        <w:rPr>
          <w:rFonts w:eastAsia="Times New Roman"/>
          <w:bCs/>
          <w:i/>
          <w:iCs/>
          <w:noProof/>
          <w:szCs w:val="20"/>
        </w:rPr>
      </w:pPr>
      <w:r>
        <w:rPr>
          <w:i/>
          <w:noProof/>
        </w:rPr>
        <w:t>«Άρθρο 278</w:t>
      </w:r>
    </w:p>
    <w:p>
      <w:pPr>
        <w:spacing w:before="0"/>
        <w:ind w:firstLine="10"/>
        <w:jc w:val="center"/>
        <w:rPr>
          <w:rFonts w:eastAsia="Times New Roman"/>
          <w:b/>
          <w:bCs/>
          <w:iCs/>
          <w:noProof/>
          <w:szCs w:val="20"/>
        </w:rPr>
      </w:pPr>
      <w:r>
        <w:rPr>
          <w:b/>
          <w:noProof/>
        </w:rPr>
        <w:t>Μεταβατικά μέτρα</w:t>
      </w:r>
    </w:p>
    <w:p>
      <w:pPr>
        <w:pStyle w:val="ManualNumPar1"/>
        <w:rPr>
          <w:noProof/>
        </w:rPr>
      </w:pPr>
      <w:r>
        <w:t>1.</w:t>
      </w:r>
      <w:r>
        <w:tab/>
      </w:r>
      <w:r>
        <w:rPr>
          <w:noProof/>
        </w:rPr>
        <w:t xml:space="preserve">Τα μέσα ανταλλαγής και αποθήκευσης πληροφοριών, πλην των ηλεκτρονικών τεχνικών  επεξεργασίας δεδομένων που αναφέρονται στο άρθρο 6 παράγραφος 1, μπορούν να χρησιμοποιούνται μεταβατικά, έως τις 31 Δεκεμβρίου 2020 το αργότερο, όταν δεν έχουν ακόμη τεθεί σε λειτουργία τα ηλεκτρονικά συστήματα τα οποία είναι απαραίτητα για την εφαρμογή των διατάξεων του κώδικα, πλην όσων αναφέρονται στην παράγραφο 2. </w:t>
      </w:r>
    </w:p>
    <w:p>
      <w:pPr>
        <w:pStyle w:val="ManualNumPar1"/>
        <w:rPr>
          <w:noProof/>
        </w:rPr>
      </w:pPr>
      <w:r>
        <w:t>2.</w:t>
      </w:r>
      <w:r>
        <w:tab/>
      </w:r>
      <w:r>
        <w:rPr>
          <w:noProof/>
        </w:rPr>
        <w:t xml:space="preserve">Τα μέσα, πλην των ηλεκτρονικών τεχνικών επεξεργασίας δεδομένων που αναφέρονται στο άρθρο 6 παράγραφος 1, μπορούν να χρησιμοποιούνται μεταβατικά, έως τις 31 Δεκεμβρίου 2025 το αργότερο, όταν δεν έχουν ακόμη τεθεί σε λειτουργία τα ηλεκτρονικά συστήματα τα οποία είναι απαραίτητα προκειμένου να εφαρμοστούν οι ακόλουθες διατάξεις του κώδικα: </w:t>
      </w:r>
    </w:p>
    <w:p>
      <w:pPr>
        <w:pStyle w:val="Point1"/>
        <w:rPr>
          <w:noProof/>
        </w:rPr>
      </w:pPr>
      <w:r>
        <w:rPr>
          <w:noProof/>
        </w:rPr>
        <w:t>α)</w:t>
      </w:r>
      <w:r>
        <w:rPr>
          <w:noProof/>
        </w:rPr>
        <w:tab/>
        <w:t>οι διατάξεις σχετικά με τις εγγυήσεις για δυνητική ή υφιστάμενη τελωνειακή οφειλή που καθορίζονται στα άρθρα 89 έως 98,</w:t>
      </w:r>
    </w:p>
    <w:p>
      <w:pPr>
        <w:pStyle w:val="Point1"/>
        <w:rPr>
          <w:noProof/>
        </w:rPr>
      </w:pPr>
      <w:r>
        <w:rPr>
          <w:noProof/>
        </w:rPr>
        <w:t>β)</w:t>
      </w:r>
      <w:r>
        <w:rPr>
          <w:noProof/>
        </w:rPr>
        <w:tab/>
        <w:t>οι διατάξεις σχετικά με τις συνοπτικές διασαφήσεις εισόδου που καθορίζονται στα άρθρα 127 έως 130,</w:t>
      </w:r>
    </w:p>
    <w:p>
      <w:pPr>
        <w:pStyle w:val="Point1"/>
        <w:rPr>
          <w:noProof/>
        </w:rPr>
      </w:pPr>
      <w:r>
        <w:rPr>
          <w:noProof/>
        </w:rPr>
        <w:t>γ)</w:t>
      </w:r>
      <w:r>
        <w:rPr>
          <w:noProof/>
        </w:rPr>
        <w:tab/>
        <w:t>οι διατάξεις σχετικά με τον τελωνειακό χαρακτήρα των εμπορευμάτων που καθορίζονται στα άρθρα 153 έως 155,</w:t>
      </w:r>
    </w:p>
    <w:p>
      <w:pPr>
        <w:pStyle w:val="Point1"/>
        <w:rPr>
          <w:noProof/>
        </w:rPr>
      </w:pPr>
      <w:r>
        <w:rPr>
          <w:noProof/>
        </w:rPr>
        <w:t>δ)</w:t>
      </w:r>
      <w:r>
        <w:rPr>
          <w:noProof/>
        </w:rPr>
        <w:tab/>
        <w:t xml:space="preserve">οι διατάξεις σχετικά με τον κεντρικό τελωνισμό που καθορίζονται στο άρθρο 179, </w:t>
      </w:r>
    </w:p>
    <w:p>
      <w:pPr>
        <w:pStyle w:val="Point1"/>
        <w:rPr>
          <w:noProof/>
        </w:rPr>
      </w:pPr>
      <w:r>
        <w:rPr>
          <w:noProof/>
        </w:rPr>
        <w:t>ε)</w:t>
      </w:r>
      <w:r>
        <w:rPr>
          <w:noProof/>
        </w:rPr>
        <w:tab/>
        <w:t>οι διατάξεις σχετικά με τη διαμετακόμιση που καθορίζονται στο άρθρο 210 στοιχείο α), στο άρθρο 215 παράγραφος 2, στα άρθρα 226 έως 230 και στα άρθρα 233 έως 234, και</w:t>
      </w:r>
    </w:p>
    <w:p>
      <w:pPr>
        <w:pStyle w:val="Point1"/>
        <w:rPr>
          <w:noProof/>
        </w:rPr>
      </w:pPr>
      <w:r>
        <w:rPr>
          <w:noProof/>
        </w:rPr>
        <w:t>στ)</w:t>
      </w:r>
      <w:r>
        <w:rPr>
          <w:noProof/>
        </w:rPr>
        <w:tab/>
        <w:t>οι διατάξεις σχετικά με τα εμπορεύματα που εξέρχονται από το τελωνειακό έδαφος της Ένωσης που καθορίζονται στο άρθρο 210 στοιχείο δ)</w:t>
      </w:r>
      <w:r>
        <w:rPr>
          <w:i/>
          <w:noProof/>
        </w:rPr>
        <w:t>,</w:t>
      </w:r>
      <w:r>
        <w:rPr>
          <w:noProof/>
        </w:rPr>
        <w:t xml:space="preserve"> στο άρθρο 215 παράγραφος 1, στα άρθρα 263 έως 264, στο άρθρο 267, στα άρθρα 269 έως 272 και στα άρθρα 274 έως 275.</w:t>
      </w:r>
    </w:p>
    <w:p>
      <w:pPr>
        <w:pStyle w:val="Point0number"/>
        <w:rPr>
          <w:rFonts w:eastAsia="Times New Roman"/>
          <w:b/>
          <w:bCs/>
          <w:iCs/>
          <w:noProof/>
          <w:szCs w:val="20"/>
        </w:rPr>
      </w:pPr>
      <w:r>
        <w:rPr>
          <w:noProof/>
        </w:rPr>
        <w:t>Στο άρθρο 279, η φράση «στην κατάσταση που αναφέρεται στο» αντικαθίσταται από τη φράση «στις καταστάσεις που αναφέρονται στο».</w:t>
      </w:r>
    </w:p>
    <w:p>
      <w:pPr>
        <w:pStyle w:val="Titrearticle"/>
        <w:rPr>
          <w:noProof/>
        </w:rPr>
      </w:pPr>
      <w:r>
        <w:rPr>
          <w:noProof/>
        </w:rPr>
        <w:t>Άρθρο 2</w:t>
      </w:r>
    </w:p>
    <w:p>
      <w:pPr>
        <w:rPr>
          <w:noProof/>
        </w:rPr>
      </w:pPr>
      <w:r>
        <w:rPr>
          <w:noProof/>
        </w:rPr>
        <w:t xml:space="preserve">Ο παρών κανονισμός αρχίζει να ισχύει την εικοστή ημέρα από τη δημοσίευσή του στην </w:t>
      </w:r>
      <w:r>
        <w:rPr>
          <w:i/>
          <w:noProof/>
        </w:rPr>
        <w:t>Επίσημη Εφημερίδα της Ευρωπαϊκής Ένωσης</w:t>
      </w:r>
      <w:r>
        <w:rPr>
          <w:noProof/>
        </w:rPr>
        <w:t>.</w:t>
      </w:r>
    </w:p>
    <w:p>
      <w:pPr>
        <w:pStyle w:val="Applicationdirecte"/>
        <w:rPr>
          <w:noProof/>
        </w:rPr>
      </w:pPr>
      <w:r>
        <w:rPr>
          <w:noProof/>
        </w:rPr>
        <w:t>Ο παρών κανονισμός είναι δεσμευτικός ως προς όλα τα μέρη του και ισχύει άμεσα σε κάθε κράτος μέλος.</w:t>
      </w:r>
    </w:p>
    <w:p>
      <w:pPr>
        <w:pStyle w:val="Fait"/>
        <w:rPr>
          <w:noProof/>
        </w:rPr>
      </w:pPr>
      <w:r>
        <w:t>Βρυξέλλες,</w:t>
      </w:r>
    </w:p>
    <w:p>
      <w:pPr>
        <w:pStyle w:val="Institutionquisigne"/>
        <w:rPr>
          <w:noProof/>
        </w:rPr>
      </w:pPr>
      <w:r>
        <w:rPr>
          <w:noProof/>
        </w:rPr>
        <w:t>Για το Ευρωπαϊκό Κοινοβούλιο</w:t>
      </w:r>
      <w:r>
        <w:rPr>
          <w:noProof/>
        </w:rPr>
        <w:tab/>
        <w:t>Για το Συμβούλιο</w:t>
      </w:r>
    </w:p>
    <w:p>
      <w:pPr>
        <w:pStyle w:val="Personnequisigne"/>
        <w:rPr>
          <w:noProof/>
        </w:rPr>
      </w:pPr>
      <w:r>
        <w:rPr>
          <w:noProof/>
        </w:rPr>
        <w:t>Ο Πρόεδρος</w:t>
      </w:r>
      <w:r>
        <w:rPr>
          <w:noProof/>
        </w:rPr>
        <w:tab/>
        <w:t>Ο Πρόεδρος</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EL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r>
      <w:r>
        <w:rPr>
          <w:rStyle w:val="Strong"/>
          <w:b w:val="0"/>
        </w:rPr>
        <w:t>Κανονισμός (ΕΕ) αριθ. 952/2013 του Ευρωπαϊκού Κοινοβουλίου και του Συμβουλίου, της 9ης Οκτωβρίου 2013, για τη θέσπιση του ενωσιακού τελωνειακού κώδικα (αναδιατύπωση) (</w:t>
      </w:r>
      <w:r>
        <w:t>ΕΕ L 56 της 10.10.2013, σ. 1).</w:t>
      </w:r>
    </w:p>
  </w:footnote>
  <w:footnote w:id="3">
    <w:p>
      <w:pPr>
        <w:pStyle w:val="FootnoteText"/>
      </w:pPr>
    </w:p>
    <w:p>
      <w:pPr>
        <w:pStyle w:val="FootnoteText"/>
      </w:pPr>
      <w:r>
        <w:rPr>
          <w:rStyle w:val="FootnoteReference"/>
        </w:rPr>
        <w:footnoteRef/>
      </w:r>
      <w:r>
        <w:tab/>
        <w:t>Εκτελεστική απόφαση (ΕΕ) 2016/578 της Επιτροπής, της 11ης Απριλίου 2016, για την εκπόνηση του προγράμματος εργασιών σχετικά με την ανάπτυξη και εγκατάσταση των ηλεκτρονικών συστημάτων που προβλέπεται στον ενωσιακό τελωνειακό κώδικα (ΕΕ L 99 της 15.4.2016, σ. 6).</w:t>
      </w:r>
    </w:p>
    <w:p>
      <w:pPr>
        <w:pStyle w:val="FootnoteText"/>
      </w:pPr>
    </w:p>
  </w:footnote>
  <w:footnote w:id="4">
    <w:p>
      <w:pPr>
        <w:pStyle w:val="FootnoteText"/>
      </w:pPr>
      <w:r>
        <w:rPr>
          <w:rStyle w:val="FootnoteReference"/>
        </w:rPr>
        <w:footnoteRef/>
      </w:r>
      <w:r>
        <w:tab/>
        <w:t>Απόφαση αριθ. 70/2008/ΕΚ του Ευρωπαϊκού Κοινοβουλίου και του Συμβουλίου, της 15ης Ιανουαρίου 2008, για ένα περιβάλλον χωρίς χαρτί για τα τελωνεία και τις εμπορικές επιχειρήσεις (ΕΕ L 23 της 26.1.2008, σ. 21).</w:t>
      </w:r>
    </w:p>
    <w:p>
      <w:pPr>
        <w:pStyle w:val="FootnoteText"/>
      </w:pPr>
    </w:p>
  </w:footnote>
  <w:footnote w:id="5">
    <w:p>
      <w:pPr>
        <w:pStyle w:val="FootnoteText"/>
      </w:pPr>
      <w:r>
        <w:rPr>
          <w:rStyle w:val="FootnoteReference"/>
        </w:rPr>
        <w:footnoteRef/>
      </w:r>
      <w:r>
        <w:tab/>
        <w:t xml:space="preserve">Κατ’ εξουσιοδότηση κανονισμός (ΕΕ) 2015/2446 της Επιτροπής, της 28ης Ιουλίου 2015, για τη συμπλήρωση του </w:t>
      </w:r>
      <w:r>
        <w:rPr>
          <w:rStyle w:val="Strong"/>
          <w:b w:val="0"/>
        </w:rPr>
        <w:t>κανονισμού (EE) αριθ. 952/2013 του Ευρωπαϊκού Κοινοβουλίου και του Συμβουλίου, της 9ης Οκτωβρίου 2013, όσον αφορά λεπτομερείς κανόνες σχετικούς με ορισμένες από τις διατάξεις του ενωσιακού τελωνειακού κώδικα (ΕΕ L 58 της 29.12.2015, σ. 1).</w:t>
      </w:r>
    </w:p>
  </w:footnote>
  <w:footnote w:id="6">
    <w:p>
      <w:pPr>
        <w:pStyle w:val="FootnoteText"/>
      </w:pPr>
      <w:r>
        <w:rPr>
          <w:rStyle w:val="FootnoteReference"/>
        </w:rPr>
        <w:footnoteRef/>
      </w:r>
      <w:r>
        <w:tab/>
        <w:t xml:space="preserve">Εκτελεστικός κανονισμός (ΕΕ) 2015/2447 της Επιτροπής, της 24ης Νοεμβρίου 2015, για τη θέσπιση λεπτομερών κανόνων εφαρμογής ορισμένων διατάξεων του </w:t>
      </w:r>
      <w:r>
        <w:rPr>
          <w:rStyle w:val="Strong"/>
          <w:b w:val="0"/>
        </w:rPr>
        <w:t>κανονισμού (ΕΕ) αριθ. 952/2013 του Ευρωπαϊκού Κοινοβουλίου και του Συμβουλίου, της 9ης Οκτωβρίου 2013, για τη θέσπιση του ενωσιακού τελωνειακού κώδικα (ΕΕ L 58 της 29.12.2015, σ. 558).</w:t>
      </w:r>
    </w:p>
  </w:footnote>
  <w:footnote w:id="7">
    <w:p>
      <w:pPr>
        <w:pStyle w:val="FootnoteText"/>
      </w:pPr>
      <w:r>
        <w:rPr>
          <w:rStyle w:val="FootnoteReference"/>
        </w:rPr>
        <w:footnoteRef/>
      </w:r>
      <w:r>
        <w:tab/>
        <w:t xml:space="preserve">Κατ’ εξουσιοδότηση κανονισμός (ΕΕ) 2016/341 της Επιτροπής, της 17ης Δεκεμβρίου 2015, για τη συμπλήρωση του </w:t>
      </w:r>
      <w:r>
        <w:rPr>
          <w:rStyle w:val="Strong"/>
          <w:b w:val="0"/>
        </w:rPr>
        <w:t>κανονισμού (ΕΕ) αριθ. 952/2013 του Ευρωπαϊκού Κοινοβουλίου και του Συμβουλίου όσον αφορά μεταβατικούς κανόνες για ορισμένες διατάξεις του ενωσιακού τελωνειακού κώδικα για τις περιπτώσεις που τα σχετικά ηλεκτρονικά συστήματα δεν έχουν τεθεί ακόμη σε λειτουργία (ΕΕ 69 της 15.3.2016, σ. 1).</w:t>
      </w:r>
    </w:p>
  </w:footnote>
  <w:footnote w:id="8">
    <w:p>
      <w:pPr>
        <w:pStyle w:val="FootnoteText"/>
      </w:pPr>
      <w:r>
        <w:rPr>
          <w:rStyle w:val="FootnoteReference"/>
        </w:rPr>
        <w:footnoteRef/>
      </w:r>
      <w:r>
        <w:tab/>
      </w:r>
      <w:r>
        <w:rPr>
          <w:rStyle w:val="Strong"/>
          <w:b w:val="0"/>
        </w:rPr>
        <w:t>Έκθεση της Επιτροπής προς το Ευρωπαϊκό Κοινοβούλιο και το Συμβούλιο σχετικά με την εφαρμογή του ενωσιακού τελωνειακού κώδικα και την άσκηση της εξουσίας έκδοσης κατ’ εξουσιοδότηση πράξεων δυνάμει του άρθρου 284 του εν λόγω κώδικα [COM (2018)39]</w:t>
      </w:r>
    </w:p>
  </w:footnote>
  <w:footnote w:id="9">
    <w:p>
      <w:pPr>
        <w:pStyle w:val="FootnoteText"/>
      </w:pPr>
      <w:r>
        <w:rPr>
          <w:rStyle w:val="FootnoteReference"/>
        </w:rPr>
        <w:footnoteRef/>
      </w:r>
      <w:r>
        <w:tab/>
        <w:t>Κανονισμός (ΕΕ) αριθ. 952/2013 του Ευρωπαϊκού Κοινοβουλίου και του Συμβουλίου, της 9ης Οκτωβρίου 2013, για τη θέσπιση του ενωσιακού τελωνειακού κώδικα (ΕΕ L 269 της 10.10.2013, σ. 1).</w:t>
      </w:r>
    </w:p>
  </w:footnote>
  <w:footnote w:id="10">
    <w:p>
      <w:pPr>
        <w:pStyle w:val="FootnoteText"/>
      </w:pPr>
      <w:r>
        <w:rPr>
          <w:rStyle w:val="FootnoteReference"/>
        </w:rPr>
        <w:footnoteRef/>
      </w:r>
      <w:r>
        <w:tab/>
        <w:t>Εκτελεστική απόφαση (ΕΕ) 2016/578 της Επιτροπής, της 11ης Απριλίου 2016, για την εκπόνηση του προγράμματος εργασιών σχετικά με την ανάπτυξη και εγκατάσταση των ηλεκτρονικών συστημάτων που προβλέπεται στον ενωσιακό τελωνειακό κώδικα (ΕΕ L 99 της 15.4.2016, σ. 6).</w:t>
      </w:r>
    </w:p>
  </w:footnote>
  <w:footnote w:id="11">
    <w:p>
      <w:pPr>
        <w:pStyle w:val="FootnoteText"/>
        <w:rPr>
          <w:b/>
        </w:rPr>
      </w:pPr>
      <w:r>
        <w:rPr>
          <w:rStyle w:val="FootnoteReference"/>
        </w:rPr>
        <w:footnoteRef/>
      </w:r>
      <w:r>
        <w:tab/>
        <w:t>Κατ’ εξουσιοδότηση κανονισμός (ΕΕ) 2015/2446 της Επιτροπής, της 28ης Ιουλίου 2015, για τη συμπλήρωση του</w:t>
      </w:r>
      <w:r>
        <w:rPr>
          <w:b/>
        </w:rPr>
        <w:t xml:space="preserve"> </w:t>
      </w:r>
      <w:r>
        <w:rPr>
          <w:rStyle w:val="Strong"/>
          <w:b w:val="0"/>
        </w:rPr>
        <w:t xml:space="preserve">κανονισμού (ΕΕ) αριθ. 952/2013 του Ευρωπαϊκού Κοινοβουλίου και του Συμβουλίου, όσον αφορά λεπτομερείς κανόνες σχετικούς με ορισμένες από τις διατάξεις του ενωσιακού τελωνειακού κώδικα (ΕΕ L 343 της 29.12.2015, σ. 1). </w:t>
      </w:r>
    </w:p>
  </w:footnote>
  <w:footnote w:id="12">
    <w:p>
      <w:pPr>
        <w:pStyle w:val="FootnoteText"/>
      </w:pPr>
      <w:r>
        <w:rPr>
          <w:rStyle w:val="FootnoteReference"/>
        </w:rPr>
        <w:footnoteRef/>
      </w:r>
      <w:r>
        <w:tab/>
        <w:t xml:space="preserve">Εκτελεστικός κανονισμός (ΕΕ) 2015/2447 της Επιτροπής, της 24ης Νοεμβρίου 2015, για τη θέσπιση λεπτομερών κανόνων εφαρμογής ορισμένων διατάξεων του </w:t>
      </w:r>
      <w:r>
        <w:rPr>
          <w:rStyle w:val="Strong"/>
          <w:b w:val="0"/>
        </w:rPr>
        <w:t>κανονισμού (ΕΕ) αριθ. 952/2013 του Ευρωπαϊκού Κοινοβουλίου και του Συμβουλίου για τη θέσπιση του ενωσιακού τελωνειακού κώδικα (ΕΕ L 343 της 29.12.2015, σ. 558).</w:t>
      </w:r>
    </w:p>
  </w:footnote>
  <w:footnote w:id="13">
    <w:p>
      <w:pPr>
        <w:pStyle w:val="FootnoteText"/>
      </w:pPr>
      <w:r>
        <w:rPr>
          <w:rStyle w:val="FootnoteReference"/>
        </w:rPr>
        <w:footnoteRef/>
      </w:r>
      <w:r>
        <w:tab/>
        <w:t>Κατ’ εξουσιοδότηση κανονισμός (ΕΕ) 2016/341 της Επιτροπής, της 17ης Δεκεμβρίου 2015, για τη συμπλήρωση του κανονισμού (ΕΕ) αριθ. 952/2013 του Ευρωπαϊκού Κοινοβουλίου και του Συμβουλίου όσον αφορά μεταβατικούς κανόνες για ορισμένες διατάξεις του ενωσιακού τελωνειακού κώδικα για τις περιπτώσεις που τα σχετικά ηλεκτρονικά συστήματα δεν έχουν τεθεί ακόμη σε λειτουργία, και την τροποποίηση του κατ’ εξουσιοδότηση κανονισμού (ΕΕ) 2015/2446 της Επιτροπής (ΕΕ L 69 της 15.3.2016, σ.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E5029E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C0A2D0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3283076"/>
    <w:lvl w:ilvl="0">
      <w:start w:val="1"/>
      <w:numFmt w:val="decimal"/>
      <w:pStyle w:val="ListNumber2"/>
      <w:lvlText w:val="%1."/>
      <w:lvlJc w:val="left"/>
      <w:pPr>
        <w:tabs>
          <w:tab w:val="num" w:pos="643"/>
        </w:tabs>
        <w:ind w:left="643" w:hanging="360"/>
      </w:pPr>
    </w:lvl>
  </w:abstractNum>
  <w:abstractNum w:abstractNumId="3">
    <w:nsid w:val="FFFFFF81"/>
    <w:multiLevelType w:val="singleLevel"/>
    <w:tmpl w:val="F3EAF35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798A95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E2264D6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266C0A2"/>
    <w:lvl w:ilvl="0">
      <w:start w:val="1"/>
      <w:numFmt w:val="decimal"/>
      <w:pStyle w:val="ListNumber"/>
      <w:lvlText w:val="%1."/>
      <w:lvlJc w:val="left"/>
      <w:pPr>
        <w:tabs>
          <w:tab w:val="num" w:pos="360"/>
        </w:tabs>
        <w:ind w:left="360" w:hanging="360"/>
      </w:pPr>
    </w:lvl>
  </w:abstractNum>
  <w:abstractNum w:abstractNumId="7">
    <w:nsid w:val="FFFFFF89"/>
    <w:multiLevelType w:val="singleLevel"/>
    <w:tmpl w:val="E7205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2-23 15:48:1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1"/>
    <w:docVar w:name="DQCResult_StructureCheck" w:val="0;0"/>
    <w:docVar w:name="DQCResult_SuperfluousWhitespace" w:val="0;13"/>
    <w:docVar w:name="DQCResult_UnknownFonts" w:val="0;0"/>
    <w:docVar w:name="DQCResult_UnknownStyles" w:val="0;8"/>
    <w:docVar w:name="DQCStatus" w:val="Green"/>
    <w:docVar w:name="DQCVersion" w:val="3"/>
    <w:docVar w:name="DQCWithWarnings" w:val="0"/>
    <w:docVar w:name="LW_CORRIGENDUM" w:val="&lt;UNUSED&gt;"/>
    <w:docVar w:name="LW_COVERPAGE_EXISTS" w:val="True"/>
    <w:docVar w:name="LW_COVERPAGE_GUID" w:val="B19ECDF9-39BB-415A-94B7-7DAFB55CFCC2"/>
    <w:docVar w:name="LW_COVERPAGE_TYPE" w:val="1"/>
    <w:docVar w:name="LW_CROSSREFERENCE" w:val="&lt;UNUSED&gt;"/>
    <w:docVar w:name="LW_DocType" w:val="COM"/>
    <w:docVar w:name="LW_EMISSION" w:val="2.3.2018"/>
    <w:docVar w:name="LW_EMISSION_ISODATE" w:val="2018-03-02"/>
    <w:docVar w:name="LW_EMISSION_LOCATION" w:val="BRX"/>
    <w:docVar w:name="LW_EMISSION_PREFIX" w:val="Βρυξέλλες,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COD"/>
    <w:docVar w:name="LW_REF.II.NEW.CP_NUMBER" w:val="0040"/>
    <w:docVar w:name="LW_REF.II.NEW.CP_YEAR" w:val="2018"/>
    <w:docVar w:name="LW_REF.INST.NEW" w:val="COM"/>
    <w:docVar w:name="LW_REF.INST.NEW_ADOPTED" w:val="final"/>
    <w:docVar w:name="LW_REF.INST.NEW_TEXT" w:val="(2018) 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u928?\u961?\u972?\u964?\u945?\u963?\u951?"/>
    <w:docVar w:name="LW_SUPERTITRE" w:val="&lt;UNUSED&gt;"/>
    <w:docVar w:name="LW_TITRE.OBJ.CP" w:val="\u947?\u953?\u945? \u964?\u951?\u957? \u964?\u961?\u959?\u960?\u959?\u960?\u959?\u943?\u951?\u963?\u951? \u964?\u959?\u965? \u954?\u945?\u957?\u959?\u957?\u953?\u963?\u956?\u959?\u973? (\u917?\u917?) \u945?\u961?\u953?\u952?. 952/2013 \u947?\u953?\u945? \u964?\u951?\u957? \u960?\u945?\u961?\u940?\u964?\u945?\u963?\u951? \u964?\u951?\u962? \u956?\u949?\u964?\u945?\u946?\u945?\u964?\u953?\u954?\u942?\u962? \u967?\u961?\u942?\u963?\u951?\u962? \u956?\u941?\u963?\u969?\u957? \u940?\u955?\u955?\u969?\u957? \u945?\u960?\u972? \u964?\u953?\u962? \u951?\u955?\u949?\u954?\u964?\u961?\u959?\u957?\u953?\u954?\u941?\u962? \u964?\u949?\u967?\u957?\u953?\u954?\u941?\u962? \u949?\u960?\u949?\u958?\u949?\u961?\u947?\u945?\u963?\u943?\u945?\u962? \u948?\u949?\u948?\u959?\u956?\u941?\u957?\u969?\u957? \u960?\u959?\u965? \u960?\u961?\u959?\u946?\u955?\u941?\u960?\u959?\u957?\u964?\u945?\u953? \u963?\u964?\u959?\u957? \u949?\u957?\u969?\u963?\u953?\u945?\u954?\u972? \u964?\u949?\u955?\u969?\u957?\u949?\u953?\u945?\u954?\u972? \u954?\u974?\u948?\u953?\u954?\u945?"/>
    <w:docVar w:name="LW_TYPE.DOC.CP" w:val="\u922?\u913?\u925?\u927?\u925?\u921?\u931?\u924?\u927?\u931? \u932?\u927?\u933? \u917?\u933?\u929?\u937?\u928?\u913?\u938?\u922?\u927?\u933? \u922?\u927?\u921?\u925?\u927?\u914?\u927?\u933?\u923?\u921?\u927?\u933? \u922?\u913?\u921?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ListParagraph">
    <w:name w:val="List Paragraph"/>
    <w:aliases w:val="2,1st level - Bullet List Paragraph,List Paragraph1,Lettre d'introduction,Paragrafo elenco,Medium Grid 1 - Accent 21"/>
    <w:basedOn w:val="Normal"/>
    <w:link w:val="ListParagraphChar"/>
    <w:uiPriority w:val="34"/>
    <w:qFormat/>
    <w:pPr>
      <w:spacing w:before="0" w:after="0"/>
      <w:ind w:left="720"/>
      <w:contextualSpacing/>
      <w:jc w:val="left"/>
    </w:pPr>
    <w:rPr>
      <w:rFonts w:eastAsia="Times New Roman"/>
      <w:szCs w:val="24"/>
    </w:rPr>
  </w:style>
  <w:style w:type="paragraph" w:customStyle="1" w:styleId="TableText">
    <w:name w:val="TableText"/>
    <w:basedOn w:val="Normal"/>
    <w:pPr>
      <w:keepNext/>
      <w:keepLines/>
      <w:spacing w:before="60" w:after="60"/>
      <w:ind w:left="10"/>
      <w:jc w:val="left"/>
    </w:pPr>
    <w:rPr>
      <w:rFonts w:ascii="Arial" w:eastAsia="Times New Roman" w:hAnsi="Arial" w:cs="Arial"/>
      <w:sz w:val="16"/>
      <w:szCs w:val="24"/>
    </w:rPr>
  </w:style>
  <w:style w:type="character" w:styleId="Hyperlink">
    <w:name w:val="Hyperlink"/>
    <w:uiPriority w:val="99"/>
    <w:unhideWhenUsed/>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Strong">
    <w:name w:val="Strong"/>
    <w:basedOn w:val="DefaultParagraphFont"/>
    <w:uiPriority w:val="22"/>
    <w:qFormat/>
    <w:rPr>
      <w:b/>
      <w:bCs/>
    </w:rPr>
  </w:style>
  <w:style w:type="paragraph" w:styleId="NormalWeb">
    <w:name w:val="Normal (Web)"/>
    <w:basedOn w:val="Normal"/>
    <w:link w:val="NormalWebChar"/>
    <w:uiPriority w:val="99"/>
    <w:pPr>
      <w:spacing w:before="100" w:beforeAutospacing="1" w:after="100" w:afterAutospacing="1"/>
      <w:jc w:val="left"/>
    </w:pPr>
    <w:rPr>
      <w:rFonts w:eastAsia="Times New Roman"/>
      <w:szCs w:val="24"/>
    </w:rPr>
  </w:style>
  <w:style w:type="character" w:customStyle="1" w:styleId="NormalWebChar">
    <w:name w:val="Normal (Web) Char"/>
    <w:link w:val="NormalWeb"/>
    <w:rPr>
      <w:rFonts w:ascii="Times New Roman" w:eastAsia="Times New Roman" w:hAnsi="Times New Roman" w:cs="Times New Roman"/>
      <w:sz w:val="24"/>
      <w:szCs w:val="24"/>
      <w:lang w:val="el-GR" w:eastAsia="el-GR"/>
    </w:rPr>
  </w:style>
  <w:style w:type="paragraph" w:customStyle="1" w:styleId="Normlal">
    <w:name w:val="Normlal"/>
    <w:basedOn w:val="ListParagraph"/>
    <w:pPr>
      <w:spacing w:after="120"/>
      <w:ind w:left="0"/>
      <w:jc w:val="both"/>
    </w:pPr>
  </w:style>
  <w:style w:type="character" w:customStyle="1" w:styleId="ListParagraphChar">
    <w:name w:val="List Paragraph Char"/>
    <w:aliases w:val="2 Char,1st level - Bullet List Paragraph Char,List Paragraph1 Char,Lettre d'introduction Char,Paragrafo elenco Char,Medium Grid 1 - Accent 21 Char"/>
    <w:link w:val="ListParagraph"/>
    <w:uiPriority w:val="34"/>
    <w:locked/>
    <w:rPr>
      <w:rFonts w:ascii="Times New Roman" w:eastAsia="Times New Roman" w:hAnsi="Times New Roman" w:cs="Times New Roman"/>
      <w:sz w:val="24"/>
      <w:szCs w:val="24"/>
      <w:lang w:val="el-GR" w:eastAsia="el-GR"/>
    </w:rPr>
  </w:style>
  <w:style w:type="character" w:customStyle="1" w:styleId="iceouttxt38">
    <w:name w:val="iceouttxt38"/>
    <w:basedOn w:val="DefaultParagraphFont"/>
    <w:rPr>
      <w:sz w:val="24"/>
      <w:szCs w:val="24"/>
      <w:bdr w:val="none" w:sz="0" w:space="0" w:color="auto" w:frame="1"/>
      <w:vertAlign w:val="baselin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ListParagraph">
    <w:name w:val="List Paragraph"/>
    <w:aliases w:val="2,1st level - Bullet List Paragraph,List Paragraph1,Lettre d'introduction,Paragrafo elenco,Medium Grid 1 - Accent 21"/>
    <w:basedOn w:val="Normal"/>
    <w:link w:val="ListParagraphChar"/>
    <w:uiPriority w:val="34"/>
    <w:qFormat/>
    <w:pPr>
      <w:spacing w:before="0" w:after="0"/>
      <w:ind w:left="720"/>
      <w:contextualSpacing/>
      <w:jc w:val="left"/>
    </w:pPr>
    <w:rPr>
      <w:rFonts w:eastAsia="Times New Roman"/>
      <w:szCs w:val="24"/>
    </w:rPr>
  </w:style>
  <w:style w:type="paragraph" w:customStyle="1" w:styleId="TableText">
    <w:name w:val="TableText"/>
    <w:basedOn w:val="Normal"/>
    <w:pPr>
      <w:keepNext/>
      <w:keepLines/>
      <w:spacing w:before="60" w:after="60"/>
      <w:ind w:left="10"/>
      <w:jc w:val="left"/>
    </w:pPr>
    <w:rPr>
      <w:rFonts w:ascii="Arial" w:eastAsia="Times New Roman" w:hAnsi="Arial" w:cs="Arial"/>
      <w:sz w:val="16"/>
      <w:szCs w:val="24"/>
    </w:rPr>
  </w:style>
  <w:style w:type="character" w:styleId="Hyperlink">
    <w:name w:val="Hyperlink"/>
    <w:uiPriority w:val="99"/>
    <w:unhideWhenUsed/>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Strong">
    <w:name w:val="Strong"/>
    <w:basedOn w:val="DefaultParagraphFont"/>
    <w:uiPriority w:val="22"/>
    <w:qFormat/>
    <w:rPr>
      <w:b/>
      <w:bCs/>
    </w:rPr>
  </w:style>
  <w:style w:type="paragraph" w:styleId="NormalWeb">
    <w:name w:val="Normal (Web)"/>
    <w:basedOn w:val="Normal"/>
    <w:link w:val="NormalWebChar"/>
    <w:uiPriority w:val="99"/>
    <w:pPr>
      <w:spacing w:before="100" w:beforeAutospacing="1" w:after="100" w:afterAutospacing="1"/>
      <w:jc w:val="left"/>
    </w:pPr>
    <w:rPr>
      <w:rFonts w:eastAsia="Times New Roman"/>
      <w:szCs w:val="24"/>
    </w:rPr>
  </w:style>
  <w:style w:type="character" w:customStyle="1" w:styleId="NormalWebChar">
    <w:name w:val="Normal (Web) Char"/>
    <w:link w:val="NormalWeb"/>
    <w:rPr>
      <w:rFonts w:ascii="Times New Roman" w:eastAsia="Times New Roman" w:hAnsi="Times New Roman" w:cs="Times New Roman"/>
      <w:sz w:val="24"/>
      <w:szCs w:val="24"/>
      <w:lang w:val="el-GR" w:eastAsia="el-GR"/>
    </w:rPr>
  </w:style>
  <w:style w:type="paragraph" w:customStyle="1" w:styleId="Normlal">
    <w:name w:val="Normlal"/>
    <w:basedOn w:val="ListParagraph"/>
    <w:pPr>
      <w:spacing w:after="120"/>
      <w:ind w:left="0"/>
      <w:jc w:val="both"/>
    </w:pPr>
  </w:style>
  <w:style w:type="character" w:customStyle="1" w:styleId="ListParagraphChar">
    <w:name w:val="List Paragraph Char"/>
    <w:aliases w:val="2 Char,1st level - Bullet List Paragraph Char,List Paragraph1 Char,Lettre d'introduction Char,Paragrafo elenco Char,Medium Grid 1 - Accent 21 Char"/>
    <w:link w:val="ListParagraph"/>
    <w:uiPriority w:val="34"/>
    <w:locked/>
    <w:rPr>
      <w:rFonts w:ascii="Times New Roman" w:eastAsia="Times New Roman" w:hAnsi="Times New Roman" w:cs="Times New Roman"/>
      <w:sz w:val="24"/>
      <w:szCs w:val="24"/>
      <w:lang w:val="el-GR" w:eastAsia="el-GR"/>
    </w:rPr>
  </w:style>
  <w:style w:type="character" w:customStyle="1" w:styleId="iceouttxt38">
    <w:name w:val="iceouttxt38"/>
    <w:basedOn w:val="DefaultParagraphFont"/>
    <w:rPr>
      <w:sz w:val="24"/>
      <w:szCs w:val="24"/>
      <w:bdr w:val="none" w:sz="0" w:space="0" w:color="auto" w:frame="1"/>
      <w:vertAlign w:val="baselin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358942">
      <w:bodyDiv w:val="1"/>
      <w:marLeft w:val="0"/>
      <w:marRight w:val="0"/>
      <w:marTop w:val="0"/>
      <w:marBottom w:val="0"/>
      <w:divBdr>
        <w:top w:val="none" w:sz="0" w:space="0" w:color="auto"/>
        <w:left w:val="none" w:sz="0" w:space="0" w:color="auto"/>
        <w:bottom w:val="none" w:sz="0" w:space="0" w:color="auto"/>
        <w:right w:val="none" w:sz="0" w:space="0" w:color="auto"/>
      </w:divBdr>
    </w:div>
    <w:div w:id="210648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ec.europa.eu/transparency/regexpert/index.cfm?do=groupDetail.groupDetail&amp;groupID=2134&amp;NewSearch=1&amp;NewSearch=1" TargetMode="External"/><Relationship Id="rId2" Type="http://schemas.openxmlformats.org/officeDocument/2006/relationships/numbering" Target="numbering.xml"/><Relationship Id="rId16" Type="http://schemas.openxmlformats.org/officeDocument/2006/relationships/hyperlink" Target="http://ec.europa.eu/transparency/regexpert/index.cfm?do=groupDetail.groupDetail&amp;groupID=2134&amp;NewSearch=1&amp;NewSearch=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8BE1E-F82A-4D51-9714-718E7D7E6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13</Pages>
  <Words>4266</Words>
  <Characters>25600</Characters>
  <Application>Microsoft Office Word</Application>
  <DocSecurity>0</DocSecurity>
  <Lines>441</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2018-01-23T13:57:00Z</cp:lastPrinted>
  <dcterms:created xsi:type="dcterms:W3CDTF">2018-02-16T10:20:00Z</dcterms:created>
  <dcterms:modified xsi:type="dcterms:W3CDTF">2018-02-23T14:48:00Z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5.84.2.0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Level of sensitivity">
    <vt:lpwstr>Standard treatment</vt:lpwstr>
  </property>
  <property fmtid="{D5CDD505-2E9C-101B-9397-08002B2CF9AE}" pid="10" name="DQCStatus">
    <vt:lpwstr>Green (DQC version 03)</vt:lpwstr>
  </property>
  <property name="OP_sanitized" fmtid="{D5CDD505-2E9C-101B-9397-08002B2CF9AE}" pid="11">
    <vt:lpwstr>True</vt:lpwstr>
  </property>
</Properties>
</file>