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B4BFBC5-A4B9-4B0E-93F3-07D9243FCE4F" style="width:450.75pt;height:348pt">
            <v:imagedata r:id="rId15" o:title=""/>
          </v:shape>
        </w:pict>
      </w:r>
    </w:p>
    <w:bookmarkEnd w:id="0"/>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26"/>
        </w:sectPr>
      </w:pPr>
    </w:p>
    <w:p>
      <w:pPr>
        <w:pStyle w:val="Heading1"/>
        <w:numPr>
          <w:ilvl w:val="0"/>
          <w:numId w:val="0"/>
        </w:numPr>
        <w:ind w:left="480"/>
        <w:jc w:val="center"/>
        <w:rPr>
          <w:noProof/>
        </w:rPr>
      </w:pPr>
      <w:bookmarkStart w:id="1" w:name="_GoBack"/>
      <w:bookmarkEnd w:id="1"/>
      <w:r>
        <w:rPr>
          <w:noProof/>
        </w:rPr>
        <w:lastRenderedPageBreak/>
        <w:t>σχετικά με την κατάσταση που επικρατεί όσον αφορά την κοινή αλιευτική πολιτική και τη διαβούλευση για τις αλιευτικές δυνατότητες το 2019</w:t>
      </w:r>
    </w:p>
    <w:p>
      <w:pPr>
        <w:pStyle w:val="Heading1"/>
        <w:numPr>
          <w:ilvl w:val="0"/>
          <w:numId w:val="0"/>
        </w:numPr>
        <w:rPr>
          <w:noProof/>
        </w:rPr>
      </w:pPr>
      <w:r>
        <w:rPr>
          <w:noProof/>
        </w:rPr>
        <w:t>1.</w:t>
      </w:r>
      <w:r>
        <w:rPr>
          <w:noProof/>
        </w:rPr>
        <w:tab/>
        <w:t>Εισαγωγή</w:t>
      </w:r>
    </w:p>
    <w:p>
      <w:pPr>
        <w:spacing w:after="0"/>
        <w:rPr>
          <w:noProof/>
          <w:szCs w:val="24"/>
        </w:rPr>
      </w:pPr>
      <w:r>
        <w:rPr>
          <w:noProof/>
        </w:rPr>
        <w:t>Στην παρούσα ανακοίνωση γίνεται επισκόπηση της κατάστασης που επικρατεί όσον αφορά την κοινή αλιευτική πολιτική (ΚΑΠ). Παρουσιάζονται η πρόοδος που έχει σημειωθεί ως προς την επίτευξη του δείκτη F</w:t>
      </w:r>
      <w:r>
        <w:rPr>
          <w:smallCaps/>
          <w:noProof/>
          <w:vertAlign w:val="subscript"/>
        </w:rPr>
        <w:t>msy</w:t>
      </w:r>
      <w:r>
        <w:rPr>
          <w:noProof/>
        </w:rPr>
        <w:t xml:space="preserve"> (δηλαδή του επιπέδου θνησιμότητας λόγω αλιείας που παράγει τη μέγιστη βιώσιμη απόδοση), οι αλλαγές στην κατάσταση των αποθεμάτων, οι προσπάθειες ώστε να αντιστραφεί η κατάσταση στη Μεσόγειο και στον Εύξεινο Πόντο, η κατάσταση του στόλου της ΕΕ, η πρόοδος σε ό,τι αφορά τη διακυβέρνηση, η σταδιακή εφαρμογή της υποχρέωσης εκφόρτωσης και η εξωτερική διάσταση της ΚΑΠ</w:t>
      </w:r>
      <w:r>
        <w:rPr>
          <w:rStyle w:val="FootnoteReference"/>
          <w:noProof/>
        </w:rPr>
        <w:footnoteReference w:id="2"/>
      </w:r>
      <w:r>
        <w:rPr>
          <w:noProof/>
        </w:rPr>
        <w:t>. Η ανακοίνωση καθορίζει επίσης τις αρχές επί των οποίων προβλέπεται να βασιστούν οι προτάσεις της Επιτροπής για τις αλιευτικές δυνατότητες κατά το 2019. Τα κράτη μέλη, τα γνωμοδοτικά συμβούλια (ΓΣ), άλλοι ενδιαφερόμενοι φορείς και το ευρύ κοινό μπορούν να διαβιβάσουν προτάσεις σχετικά με τις εν λόγω κατευθύνσεις πολιτικής.</w:t>
      </w:r>
    </w:p>
    <w:p>
      <w:pPr>
        <w:spacing w:after="0"/>
        <w:rPr>
          <w:noProof/>
          <w:szCs w:val="24"/>
        </w:rPr>
      </w:pPr>
    </w:p>
    <w:p>
      <w:pPr>
        <w:spacing w:after="0"/>
        <w:rPr>
          <w:noProof/>
          <w:szCs w:val="24"/>
        </w:rPr>
      </w:pPr>
      <w:r>
        <w:rPr>
          <w:noProof/>
        </w:rPr>
        <w:t>Στο πλαίσιο της ΚΑΠ, η αλιευτική πίεση στα συναφή αποθέματα πρέπει να ευθυγραμμιστεί το συντομότερο δυνατόν, και το αργότερο έως το 2020, με τον στόχο της αποκατάστασης και διατήρησης των αποθεμάτων σε επίπεδα τα οποία μπορούν να εξασφαλίσουν τη μέγιστη βιώσιμη απόδοση (ΜΒΑ). Η επίτευξη του στόχου αυτού θα συμβάλει επίσης στην επίτευξη της καλής περιβαλλοντικής κατάστασης των ευρωπαϊκών θαλασσών έως το 2020</w:t>
      </w:r>
      <w:r>
        <w:rPr>
          <w:rStyle w:val="FootnoteReference"/>
          <w:noProof/>
        </w:rPr>
        <w:footnoteReference w:id="3"/>
      </w:r>
      <w:r>
        <w:rPr>
          <w:noProof/>
        </w:rPr>
        <w:t xml:space="preserve"> και στην ελαχιστοποίηση των αρνητικών επιπτώσεων των αλιευτικών δραστηριοτήτων στα θαλάσσια οικοσυστήματα.</w:t>
      </w:r>
    </w:p>
    <w:p>
      <w:pPr>
        <w:pStyle w:val="Heading1"/>
        <w:rPr>
          <w:noProof/>
        </w:rPr>
      </w:pPr>
      <w:r>
        <w:rPr>
          <w:noProof/>
        </w:rPr>
        <w:t>Πρόοδος ως προς την εφαρμογή της ΚΑΠ</w:t>
      </w:r>
    </w:p>
    <w:p>
      <w:pPr>
        <w:rPr>
          <w:noProof/>
          <w:szCs w:val="24"/>
        </w:rPr>
      </w:pPr>
      <w:r>
        <w:rPr>
          <w:noProof/>
        </w:rPr>
        <w:t>Εξακολουθεί να σημειώνεται σημαντική πρόοδος ως προς την εφαρμογή της ΚΑΠ:</w:t>
      </w:r>
    </w:p>
    <w:p>
      <w:pPr>
        <w:pStyle w:val="ListParagraph"/>
        <w:numPr>
          <w:ilvl w:val="0"/>
          <w:numId w:val="30"/>
        </w:numPr>
        <w:spacing w:after="120"/>
        <w:ind w:left="527" w:hanging="357"/>
        <w:jc w:val="both"/>
        <w:rPr>
          <w:rFonts w:ascii="Times New Roman" w:hAnsi="Times New Roman"/>
          <w:noProof/>
          <w:sz w:val="24"/>
          <w:szCs w:val="24"/>
        </w:rPr>
      </w:pPr>
      <w:r>
        <w:rPr>
          <w:rFonts w:ascii="Times New Roman" w:hAnsi="Times New Roman"/>
          <w:b/>
          <w:i/>
          <w:noProof/>
          <w:sz w:val="24"/>
        </w:rPr>
        <w:t>Επίτευξη του στόχου F</w:t>
      </w:r>
      <w:r>
        <w:rPr>
          <w:rFonts w:ascii="Times New Roman" w:hAnsi="Times New Roman"/>
          <w:b/>
          <w:i/>
          <w:smallCaps/>
          <w:noProof/>
          <w:sz w:val="24"/>
          <w:vertAlign w:val="subscript"/>
        </w:rPr>
        <w:t>msy</w:t>
      </w:r>
      <w:r>
        <w:rPr>
          <w:rFonts w:ascii="Times New Roman" w:hAnsi="Times New Roman"/>
          <w:b/>
          <w:i/>
          <w:noProof/>
          <w:sz w:val="24"/>
        </w:rPr>
        <w:t xml:space="preserve"> </w:t>
      </w:r>
      <w:r>
        <w:rPr>
          <w:rFonts w:ascii="Times New Roman" w:hAnsi="Times New Roman"/>
          <w:b/>
          <w:noProof/>
          <w:sz w:val="24"/>
        </w:rPr>
        <w:t>.</w:t>
      </w:r>
      <w:r>
        <w:rPr>
          <w:rFonts w:ascii="Times New Roman" w:hAnsi="Times New Roman"/>
          <w:noProof/>
          <w:sz w:val="24"/>
        </w:rPr>
        <w:t xml:space="preserve"> Στην περιοχή του ICES</w:t>
      </w:r>
      <w:r>
        <w:rPr>
          <w:rStyle w:val="FootnoteReference"/>
          <w:rFonts w:ascii="Times New Roman" w:hAnsi="Times New Roman"/>
          <w:noProof/>
          <w:sz w:val="24"/>
        </w:rPr>
        <w:footnoteReference w:id="4"/>
      </w:r>
      <w:r>
        <w:rPr>
          <w:rFonts w:ascii="Times New Roman" w:hAnsi="Times New Roman"/>
          <w:noProof/>
          <w:sz w:val="24"/>
        </w:rPr>
        <w:t>, η αλιευτική πίεση εμφανίζει συνολική πτωτική τάση και ο σχετικός δείκτης (F/F</w:t>
      </w:r>
      <w:r>
        <w:rPr>
          <w:rFonts w:ascii="Times New Roman" w:hAnsi="Times New Roman"/>
          <w:smallCaps/>
          <w:noProof/>
          <w:sz w:val="24"/>
          <w:vertAlign w:val="subscript"/>
        </w:rPr>
        <w:t>msy</w:t>
      </w:r>
      <w:r>
        <w:rPr>
          <w:rFonts w:ascii="Times New Roman" w:hAnsi="Times New Roman"/>
          <w:noProof/>
          <w:sz w:val="24"/>
        </w:rPr>
        <w:t>) έχει σταθεροποιηθεί πλέον στην τιμή 1, περίπου, το οποίο σημαίνει ότι τα επίπεδα εκμετάλλευσης βρίσκονται, κατά μέσο όρο, κοντά στο επίπεδο του δείκτη F</w:t>
      </w:r>
      <w:r>
        <w:rPr>
          <w:rFonts w:ascii="Times New Roman" w:hAnsi="Times New Roman"/>
          <w:smallCaps/>
          <w:noProof/>
          <w:sz w:val="24"/>
          <w:vertAlign w:val="subscript"/>
        </w:rPr>
        <w:t>msy</w:t>
      </w:r>
      <w:r>
        <w:rPr>
          <w:rFonts w:ascii="Times New Roman" w:hAnsi="Times New Roman"/>
          <w:noProof/>
          <w:sz w:val="24"/>
        </w:rPr>
        <w:t xml:space="preserve"> όσον αφορά όλα τα αποθέματα. Παράλληλα, ο αριθμός των συνολικών επιτρεπόμενων αλιευμάτων (TAC)</w:t>
      </w:r>
      <w:r>
        <w:rPr>
          <w:rStyle w:val="FootnoteReference"/>
          <w:rFonts w:ascii="Times New Roman" w:hAnsi="Times New Roman"/>
          <w:noProof/>
          <w:sz w:val="24"/>
        </w:rPr>
        <w:footnoteReference w:id="5"/>
      </w:r>
      <w:r>
        <w:rPr>
          <w:rFonts w:ascii="Times New Roman" w:hAnsi="Times New Roman"/>
          <w:noProof/>
          <w:sz w:val="24"/>
        </w:rPr>
        <w:t xml:space="preserve"> που καθορίστηκαν σύμφωνα με τον δείκτη F</w:t>
      </w:r>
      <w:r>
        <w:rPr>
          <w:rFonts w:ascii="Times New Roman" w:hAnsi="Times New Roman"/>
          <w:smallCaps/>
          <w:noProof/>
          <w:sz w:val="24"/>
          <w:vertAlign w:val="subscript"/>
        </w:rPr>
        <w:t>msy</w:t>
      </w:r>
      <w:r>
        <w:rPr>
          <w:rFonts w:ascii="Times New Roman" w:hAnsi="Times New Roman"/>
          <w:noProof/>
          <w:sz w:val="24"/>
        </w:rPr>
        <w:t>, αυξήθηκε περαιτέρω το 2018 από 44 σε 53, αντιπροσωπεύοντας ποσοστό 69 % των TAC που αξιολογήθηκαν με βάση τον δείκτη F</w:t>
      </w:r>
      <w:r>
        <w:rPr>
          <w:rFonts w:ascii="Times New Roman" w:hAnsi="Times New Roman"/>
          <w:smallCaps/>
          <w:noProof/>
          <w:sz w:val="24"/>
          <w:vertAlign w:val="subscript"/>
        </w:rPr>
        <w:t>msy</w:t>
      </w:r>
      <w:r>
        <w:rPr>
          <w:rFonts w:ascii="Times New Roman" w:hAnsi="Times New Roman"/>
          <w:noProof/>
          <w:sz w:val="24"/>
        </w:rPr>
        <w:t xml:space="preserve"> στην περιοχή του ICES. </w:t>
      </w:r>
    </w:p>
    <w:p>
      <w:pPr>
        <w:pStyle w:val="ListParagraph"/>
        <w:numPr>
          <w:ilvl w:val="0"/>
          <w:numId w:val="30"/>
        </w:numPr>
        <w:spacing w:after="120"/>
        <w:ind w:left="527" w:hanging="357"/>
        <w:jc w:val="both"/>
        <w:rPr>
          <w:rFonts w:ascii="Times New Roman" w:hAnsi="Times New Roman"/>
          <w:noProof/>
          <w:sz w:val="24"/>
          <w:szCs w:val="24"/>
        </w:rPr>
      </w:pPr>
      <w:r>
        <w:rPr>
          <w:rFonts w:ascii="Times New Roman" w:hAnsi="Times New Roman"/>
          <w:b/>
          <w:i/>
          <w:noProof/>
          <w:sz w:val="24"/>
        </w:rPr>
        <w:t>Αποκατάσταση των αποθεμάτων</w:t>
      </w:r>
      <w:r>
        <w:rPr>
          <w:rFonts w:ascii="Times New Roman" w:hAnsi="Times New Roman"/>
          <w:i/>
          <w:noProof/>
          <w:sz w:val="24"/>
        </w:rPr>
        <w:t>.</w:t>
      </w:r>
      <w:r>
        <w:rPr>
          <w:rFonts w:ascii="Times New Roman" w:hAnsi="Times New Roman"/>
          <w:noProof/>
          <w:sz w:val="24"/>
        </w:rPr>
        <w:t xml:space="preserve"> Από το 2013 η βιομάζα αποθέματος αναπαραγωγής (SSB) αυξήθηκε στην περιοχή του ICES και το 2016 ήταν κατά μέσον όρο περίπου 39 % υψηλότερη από ό, τι το 2003, ενώ το ποσοστό των αποθεμάτων εκτός ασφαλών βιολογικών ορίων μειώθηκε από 65 % το 2003 σε περίπου 30 % το 2016.</w:t>
      </w:r>
    </w:p>
    <w:p>
      <w:pPr>
        <w:pStyle w:val="ListParagraph"/>
        <w:numPr>
          <w:ilvl w:val="0"/>
          <w:numId w:val="30"/>
        </w:numPr>
        <w:spacing w:after="120"/>
        <w:ind w:left="527" w:hanging="357"/>
        <w:jc w:val="both"/>
        <w:rPr>
          <w:rFonts w:ascii="Times New Roman" w:hAnsi="Times New Roman"/>
          <w:noProof/>
          <w:sz w:val="24"/>
          <w:szCs w:val="24"/>
        </w:rPr>
      </w:pPr>
      <w:r>
        <w:rPr>
          <w:rFonts w:ascii="Times New Roman" w:hAnsi="Times New Roman"/>
          <w:b/>
          <w:i/>
          <w:noProof/>
          <w:sz w:val="24"/>
        </w:rPr>
        <w:t>Βελτίωση της κατάστασης των αποθεμάτων στη Μεσόγειο και στον Εύξεινο Πόντο.</w:t>
      </w:r>
      <w:r>
        <w:rPr>
          <w:rFonts w:ascii="Times New Roman" w:hAnsi="Times New Roman"/>
          <w:b/>
          <w:noProof/>
          <w:sz w:val="24"/>
        </w:rPr>
        <w:t xml:space="preserve"> </w:t>
      </w:r>
      <w:r>
        <w:rPr>
          <w:rFonts w:ascii="Times New Roman" w:hAnsi="Times New Roman"/>
          <w:noProof/>
          <w:sz w:val="24"/>
        </w:rPr>
        <w:t xml:space="preserve">Αν και η κατάσταση στη Μεσόγειο και τον Εύξεινο Πόντο παραμένει πολύ ανησυχητική, σημειώνονται σημαντικά βήματα ως προς την καταπολέμηση της υπεραλίευσης σε όλα τα επίπεδα. </w:t>
      </w:r>
    </w:p>
    <w:p>
      <w:pPr>
        <w:pStyle w:val="ListParagraph"/>
        <w:numPr>
          <w:ilvl w:val="0"/>
          <w:numId w:val="30"/>
        </w:numPr>
        <w:spacing w:after="120"/>
        <w:ind w:left="527" w:hanging="357"/>
        <w:jc w:val="both"/>
        <w:rPr>
          <w:rFonts w:ascii="Times New Roman" w:hAnsi="Times New Roman"/>
          <w:noProof/>
          <w:sz w:val="24"/>
          <w:szCs w:val="24"/>
        </w:rPr>
      </w:pPr>
      <w:r>
        <w:rPr>
          <w:rFonts w:ascii="Times New Roman" w:hAnsi="Times New Roman"/>
          <w:b/>
          <w:i/>
          <w:noProof/>
          <w:sz w:val="24"/>
        </w:rPr>
        <w:t>Αύξηση των συνολικών κοινωνικοοικονομικών επιδόσεων</w:t>
      </w:r>
      <w:r>
        <w:rPr>
          <w:rFonts w:ascii="Times New Roman" w:hAnsi="Times New Roman"/>
          <w:i/>
          <w:noProof/>
          <w:sz w:val="24"/>
        </w:rPr>
        <w:t>.</w:t>
      </w:r>
      <w:r>
        <w:rPr>
          <w:rFonts w:ascii="Times New Roman" w:hAnsi="Times New Roman"/>
          <w:noProof/>
          <w:sz w:val="24"/>
        </w:rPr>
        <w:t xml:space="preserve"> Οι οικονομικές επιδόσεις του στόλου της ΕΕ εξακολουθούν να βελτιώνονται, με 1,3 δισ. EUR καθαρά κέρδη το 2016. </w:t>
      </w:r>
    </w:p>
    <w:p>
      <w:pPr>
        <w:pStyle w:val="ListParagraph"/>
        <w:numPr>
          <w:ilvl w:val="0"/>
          <w:numId w:val="30"/>
        </w:numPr>
        <w:spacing w:after="120"/>
        <w:ind w:left="527" w:hanging="357"/>
        <w:jc w:val="both"/>
        <w:rPr>
          <w:rFonts w:ascii="Times New Roman" w:hAnsi="Times New Roman"/>
          <w:bCs/>
          <w:noProof/>
          <w:sz w:val="24"/>
          <w:szCs w:val="24"/>
        </w:rPr>
      </w:pPr>
      <w:r>
        <w:rPr>
          <w:rFonts w:ascii="Times New Roman" w:hAnsi="Times New Roman"/>
          <w:b/>
          <w:i/>
          <w:noProof/>
          <w:sz w:val="24"/>
        </w:rPr>
        <w:t>Καλύτερη ισορροπία μεταξύ αλιευτικής ικανότητας και αλιευτικών δυνατοτήτων</w:t>
      </w:r>
      <w:r>
        <w:rPr>
          <w:rFonts w:ascii="Times New Roman" w:hAnsi="Times New Roman"/>
          <w:i/>
          <w:noProof/>
          <w:sz w:val="24"/>
        </w:rPr>
        <w:t>.</w:t>
      </w:r>
      <w:r>
        <w:rPr>
          <w:rFonts w:ascii="Times New Roman" w:hAnsi="Times New Roman"/>
          <w:noProof/>
          <w:sz w:val="24"/>
        </w:rPr>
        <w:t xml:space="preserve"> Η αλιευτική ικανότητα του ενωσιακού στόλου συνέχισε να μειώνεται. Είναι πλέον σχεδόν 20 % χαμηλότερη από τα ανώτατα όρια ικανότητας όσον αφορά τη χωρητικότητα και περισσότερο από 13 % χαμηλότερη από τα ανώτατα όρια ικανότητας όσον αφορά την ισχύ του κινητήρα.</w:t>
      </w:r>
    </w:p>
    <w:p>
      <w:pPr>
        <w:pStyle w:val="ListParagraph"/>
        <w:numPr>
          <w:ilvl w:val="0"/>
          <w:numId w:val="30"/>
        </w:numPr>
        <w:spacing w:after="120"/>
        <w:ind w:left="527" w:hanging="357"/>
        <w:jc w:val="both"/>
        <w:rPr>
          <w:rFonts w:ascii="Times New Roman" w:hAnsi="Times New Roman"/>
          <w:noProof/>
          <w:sz w:val="24"/>
          <w:szCs w:val="24"/>
        </w:rPr>
      </w:pPr>
      <w:r>
        <w:rPr>
          <w:rFonts w:ascii="Times New Roman" w:hAnsi="Times New Roman"/>
          <w:b/>
          <w:i/>
          <w:noProof/>
          <w:sz w:val="24"/>
        </w:rPr>
        <w:t xml:space="preserve">Πρόοδος που έχει σημειωθεί όσον αφορά τα πολυετή σχέδια </w:t>
      </w:r>
      <w:r>
        <w:rPr>
          <w:rFonts w:ascii="Times New Roman" w:hAnsi="Times New Roman"/>
          <w:b/>
          <w:noProof/>
          <w:sz w:val="24"/>
        </w:rPr>
        <w:t xml:space="preserve">. </w:t>
      </w:r>
      <w:r>
        <w:rPr>
          <w:rFonts w:ascii="Times New Roman" w:hAnsi="Times New Roman"/>
          <w:noProof/>
          <w:sz w:val="24"/>
        </w:rPr>
        <w:t>Μετά την έναρξη ισχύος του πολυετούς σχεδίου για τη Βαλτική</w:t>
      </w:r>
      <w:r>
        <w:rPr>
          <w:rStyle w:val="FootnoteReference"/>
          <w:rFonts w:ascii="Times New Roman" w:hAnsi="Times New Roman"/>
          <w:noProof/>
          <w:sz w:val="24"/>
        </w:rPr>
        <w:footnoteReference w:id="6"/>
      </w:r>
      <w:r>
        <w:rPr>
          <w:rFonts w:ascii="Times New Roman" w:hAnsi="Times New Roman"/>
          <w:noProof/>
          <w:sz w:val="24"/>
        </w:rPr>
        <w:t xml:space="preserve"> και την έγκριση εκείνου για τη Βόρεια Θάλασσα</w:t>
      </w:r>
      <w:r>
        <w:rPr>
          <w:rStyle w:val="FootnoteReference"/>
          <w:rFonts w:ascii="Times New Roman" w:hAnsi="Times New Roman"/>
          <w:noProof/>
          <w:sz w:val="24"/>
        </w:rPr>
        <w:footnoteReference w:id="7"/>
      </w:r>
      <w:r>
        <w:rPr>
          <w:rFonts w:ascii="Times New Roman" w:hAnsi="Times New Roman"/>
          <w:noProof/>
          <w:sz w:val="24"/>
        </w:rPr>
        <w:t xml:space="preserve"> η Επιτροπή πρότεινε δύο νέα πολυετή προγράμματα: ένα για τα βενθοπελαγικά είδη στη Δυτική Μεσόγειο</w:t>
      </w:r>
      <w:r>
        <w:rPr>
          <w:rStyle w:val="FootnoteReference"/>
          <w:rFonts w:ascii="Times New Roman" w:hAnsi="Times New Roman"/>
          <w:noProof/>
          <w:sz w:val="24"/>
        </w:rPr>
        <w:footnoteReference w:id="8"/>
      </w:r>
      <w:r>
        <w:rPr>
          <w:rFonts w:ascii="Times New Roman" w:hAnsi="Times New Roman"/>
          <w:noProof/>
          <w:sz w:val="24"/>
        </w:rPr>
        <w:t xml:space="preserve"> και ένα για τα βενθοπελαγικά είδη στα Δυτικά Ύδατα</w:t>
      </w:r>
      <w:r>
        <w:rPr>
          <w:rStyle w:val="FootnoteReference"/>
          <w:rFonts w:ascii="Times New Roman" w:hAnsi="Times New Roman"/>
          <w:noProof/>
          <w:sz w:val="24"/>
        </w:rPr>
        <w:footnoteReference w:id="9"/>
      </w:r>
      <w:r>
        <w:rPr>
          <w:rFonts w:ascii="Times New Roman" w:hAnsi="Times New Roman"/>
          <w:noProof/>
          <w:sz w:val="24"/>
        </w:rPr>
        <w:t>. Συνεχίζονται επίσης οι εργασίες όσον αφορά το πολυετές σχέδιο για την Αδριατική που προτάθηκε το προηγούμενο έτος</w:t>
      </w:r>
      <w:r>
        <w:rPr>
          <w:rStyle w:val="FootnoteReference"/>
          <w:rFonts w:ascii="Times New Roman" w:hAnsi="Times New Roman"/>
          <w:noProof/>
          <w:sz w:val="24"/>
        </w:rPr>
        <w:footnoteReference w:id="10"/>
      </w:r>
      <w:r>
        <w:rPr>
          <w:rFonts w:ascii="Times New Roman" w:hAnsi="Times New Roman"/>
          <w:noProof/>
          <w:sz w:val="24"/>
        </w:rPr>
        <w:t xml:space="preserve">. </w:t>
      </w:r>
    </w:p>
    <w:p>
      <w:pPr>
        <w:pStyle w:val="ListParagraph"/>
        <w:numPr>
          <w:ilvl w:val="0"/>
          <w:numId w:val="30"/>
        </w:numPr>
        <w:spacing w:after="120"/>
        <w:ind w:left="527" w:hanging="357"/>
        <w:jc w:val="both"/>
        <w:rPr>
          <w:rFonts w:ascii="Times New Roman" w:hAnsi="Times New Roman"/>
          <w:noProof/>
          <w:sz w:val="24"/>
          <w:szCs w:val="24"/>
        </w:rPr>
      </w:pPr>
      <w:r>
        <w:rPr>
          <w:rFonts w:ascii="Times New Roman" w:hAnsi="Times New Roman"/>
          <w:b/>
          <w:i/>
          <w:noProof/>
          <w:sz w:val="24"/>
        </w:rPr>
        <w:t>Σταδιακή εφαρμογή της υποχρέωσης εκφόρτωσης.</w:t>
      </w:r>
      <w:r>
        <w:rPr>
          <w:rFonts w:ascii="Times New Roman" w:hAnsi="Times New Roman"/>
          <w:b/>
          <w:noProof/>
          <w:sz w:val="24"/>
        </w:rPr>
        <w:t xml:space="preserve"> </w:t>
      </w:r>
      <w:r>
        <w:rPr>
          <w:rFonts w:ascii="Times New Roman" w:hAnsi="Times New Roman"/>
          <w:noProof/>
          <w:sz w:val="24"/>
        </w:rPr>
        <w:t xml:space="preserve">Την 1η Ιανουαρίου 2019, η υποχρέωση εκφόρτωσης θα τεθεί σε ισχύ για όλα τα είδη που υπόκεινται σε όρια αλιευμάτων και επίσης, στη Μεσόγειο, για όλα τα είδη που υπόκεινται σε ελάχιστο μέγεθος αναφοράς διατήρησης. Η Επιτροπή εργάζεται από κοινού με τα κράτη μέλη και με τα ενδιαφερόμενα μέρη για να διευκολύνει την πλήρη εφαρμογή της υποχρέωσης εκφόρτωσης. </w:t>
      </w:r>
    </w:p>
    <w:p>
      <w:pPr>
        <w:pStyle w:val="ListParagraph"/>
        <w:numPr>
          <w:ilvl w:val="0"/>
          <w:numId w:val="30"/>
        </w:numPr>
        <w:spacing w:after="120"/>
        <w:ind w:left="527" w:hanging="357"/>
        <w:jc w:val="both"/>
        <w:rPr>
          <w:rFonts w:ascii="Times New Roman" w:hAnsi="Times New Roman"/>
          <w:noProof/>
          <w:sz w:val="24"/>
          <w:szCs w:val="24"/>
        </w:rPr>
      </w:pPr>
      <w:r>
        <w:rPr>
          <w:rFonts w:ascii="Times New Roman" w:hAnsi="Times New Roman"/>
          <w:b/>
          <w:i/>
          <w:noProof/>
          <w:sz w:val="24"/>
        </w:rPr>
        <w:t>Προώθηση των αρχών της ΕΕ για τη διαχείριση της αλιείας σε διεθνές επίπεδο.</w:t>
      </w:r>
      <w:r>
        <w:rPr>
          <w:rFonts w:ascii="Times New Roman" w:hAnsi="Times New Roman"/>
          <w:noProof/>
          <w:sz w:val="24"/>
        </w:rPr>
        <w:t xml:space="preserve"> Η ΕΕ κατέχει ηγετικό ρόλο στην προώθηση και ανάπτυξη</w:t>
      </w:r>
      <w:r>
        <w:rPr>
          <w:rFonts w:ascii="Times New Roman" w:hAnsi="Times New Roman"/>
          <w:noProof/>
        </w:rPr>
        <w:t xml:space="preserve"> </w:t>
      </w:r>
      <w:r>
        <w:rPr>
          <w:rFonts w:ascii="Times New Roman" w:hAnsi="Times New Roman"/>
          <w:noProof/>
          <w:sz w:val="24"/>
        </w:rPr>
        <w:t>της βιώσιμης αλιείας σε διεθνές επίπεδο, όπως καταδεικνύεται από την επιτυχία της τελευταίας</w:t>
      </w:r>
      <w:r>
        <w:rPr>
          <w:rFonts w:ascii="Times New Roman" w:hAnsi="Times New Roman"/>
          <w:b/>
          <w:noProof/>
          <w:sz w:val="24"/>
        </w:rPr>
        <w:t xml:space="preserve"> </w:t>
      </w:r>
      <w:r>
        <w:rPr>
          <w:rFonts w:ascii="Times New Roman" w:hAnsi="Times New Roman"/>
          <w:noProof/>
          <w:sz w:val="24"/>
        </w:rPr>
        <w:t>έκδοσης της διάσκεψης «Our Ocean» υπό την αιγίδα της ΕΕ.</w:t>
      </w:r>
    </w:p>
    <w:p>
      <w:pPr>
        <w:pStyle w:val="ListParagraph"/>
        <w:ind w:left="584"/>
        <w:jc w:val="both"/>
        <w:rPr>
          <w:rFonts w:ascii="Times New Roman" w:hAnsi="Times New Roman"/>
          <w:b/>
          <w:noProof/>
          <w:sz w:val="24"/>
          <w:szCs w:val="24"/>
        </w:rPr>
      </w:pPr>
    </w:p>
    <w:p>
      <w:pPr>
        <w:pStyle w:val="ListParagraph"/>
        <w:ind w:left="584"/>
        <w:jc w:val="both"/>
        <w:rPr>
          <w:rFonts w:ascii="Times New Roman" w:hAnsi="Times New Roman"/>
          <w:noProof/>
          <w:sz w:val="24"/>
          <w:szCs w:val="24"/>
        </w:rPr>
      </w:pPr>
      <w:r>
        <w:rPr>
          <w:rFonts w:ascii="Times New Roman" w:hAnsi="Times New Roman"/>
          <w:noProof/>
          <w:sz w:val="24"/>
        </w:rPr>
        <w:t xml:space="preserve"> </w:t>
      </w:r>
    </w:p>
    <w:p>
      <w:pPr>
        <w:pStyle w:val="Heading2"/>
        <w:ind w:left="720"/>
        <w:rPr>
          <w:noProof/>
        </w:rPr>
      </w:pPr>
      <w:r>
        <w:rPr>
          <w:noProof/>
        </w:rPr>
        <w:t>Πρόοδος προς την επίτευξη του δείκτη F</w:t>
      </w:r>
      <w:r>
        <w:rPr>
          <w:noProof/>
          <w:vertAlign w:val="subscript"/>
        </w:rPr>
        <w:t>MSY</w:t>
      </w:r>
      <w:r>
        <w:rPr>
          <w:noProof/>
        </w:rPr>
        <w:t xml:space="preserve"> </w:t>
      </w:r>
    </w:p>
    <w:p>
      <w:pPr>
        <w:spacing w:after="0"/>
        <w:rPr>
          <w:noProof/>
        </w:rPr>
      </w:pPr>
      <w:r>
        <w:rPr>
          <w:noProof/>
        </w:rPr>
        <w:t>Η Επιστημονική, Τεχνική και Οικονομική Επιτροπή Αλιείας (ΕΤΟΕΑ) υπολόγισε τις τάσεις στην αλιευτική πίεση (F/F</w:t>
      </w:r>
      <w:r>
        <w:rPr>
          <w:smallCaps/>
          <w:noProof/>
          <w:vertAlign w:val="subscript"/>
        </w:rPr>
        <w:t>msy</w:t>
      </w:r>
      <w:r>
        <w:rPr>
          <w:noProof/>
        </w:rPr>
        <w:t>)</w:t>
      </w:r>
      <w:r>
        <w:rPr>
          <w:rStyle w:val="FootnoteReference"/>
          <w:noProof/>
        </w:rPr>
        <w:footnoteReference w:id="11"/>
      </w:r>
      <w:r>
        <w:rPr>
          <w:noProof/>
        </w:rPr>
        <w:t>.</w:t>
      </w:r>
    </w:p>
    <w:p>
      <w:pPr>
        <w:spacing w:after="0"/>
        <w:rPr>
          <w:noProof/>
          <w:szCs w:val="24"/>
        </w:rPr>
      </w:pPr>
    </w:p>
    <w:p>
      <w:pPr>
        <w:spacing w:after="0"/>
        <w:rPr>
          <w:b/>
          <w:noProof/>
          <w:szCs w:val="24"/>
          <w:u w:val="single"/>
        </w:rPr>
      </w:pPr>
      <w:r>
        <w:rPr>
          <w:noProof/>
        </w:rPr>
        <w:t>Σύμφωνα με την ΕΤΟΕΑ</w:t>
      </w:r>
      <w:r>
        <w:rPr>
          <w:noProof/>
          <w:vertAlign w:val="subscript"/>
        </w:rPr>
        <w:t>,</w:t>
      </w:r>
      <w:r>
        <w:rPr>
          <w:noProof/>
        </w:rPr>
        <w:t xml:space="preserve"> στην </w:t>
      </w:r>
      <w:r>
        <w:rPr>
          <w:b/>
          <w:noProof/>
        </w:rPr>
        <w:t>περιοχή του ICES</w:t>
      </w:r>
      <w:r>
        <w:rPr>
          <w:noProof/>
        </w:rPr>
        <w:t>, η θνησιμότητα λόγω αλιείας μειώνεται σταθερά και η τιμή του δείκτη το 2016 προσέγγισε το 1 (σε σύγκριση με 1,5 το 2003), το οποίο σημαίνει ότι όλα τα επίπεδα εκμετάλλευσης των αποθεμάτων βρίσκονται, κατά μέσο όρο, κοντά στον δείκτη F</w:t>
      </w:r>
      <w:r>
        <w:rPr>
          <w:noProof/>
          <w:vertAlign w:val="subscript"/>
        </w:rPr>
        <w:t>MSY</w:t>
      </w:r>
      <w:r>
        <w:rPr>
          <w:noProof/>
        </w:rPr>
        <w:t>. Στη</w:t>
      </w:r>
      <w:r>
        <w:rPr>
          <w:b/>
          <w:noProof/>
        </w:rPr>
        <w:t xml:space="preserve"> Μεσόγειο Θάλασσα και στον Εύξεινο Πόντο</w:t>
      </w:r>
      <w:r>
        <w:rPr>
          <w:noProof/>
        </w:rPr>
        <w:t>, οι τάσεις όσον αφορά τον δείκτη F/F</w:t>
      </w:r>
      <w:r>
        <w:rPr>
          <w:noProof/>
          <w:vertAlign w:val="subscript"/>
        </w:rPr>
        <w:t>MSY</w:t>
      </w:r>
      <w:r>
        <w:rPr>
          <w:noProof/>
        </w:rPr>
        <w:t xml:space="preserve"> εμφανίζουν ένα μέσο επίπεδο που διαφέρει ελαφρώς, παραμένοντας σε τιμή περίπου 2,3 από το 2003 έως το 2015, δίχως να παρουσιάζουν φθίνουσα τάση.  </w:t>
      </w:r>
    </w:p>
    <w:p>
      <w:pPr>
        <w:spacing w:after="0"/>
        <w:rPr>
          <w:b/>
          <w:noProof/>
          <w:szCs w:val="24"/>
          <w:u w:val="single"/>
        </w:rPr>
      </w:pPr>
    </w:p>
    <w:p>
      <w:pPr>
        <w:spacing w:after="0"/>
        <w:rPr>
          <w:noProof/>
          <w:szCs w:val="24"/>
        </w:rPr>
      </w:pPr>
      <w:r>
        <w:rPr>
          <w:noProof/>
        </w:rPr>
        <w:t xml:space="preserve">Στην </w:t>
      </w:r>
      <w:r>
        <w:rPr>
          <w:b/>
          <w:noProof/>
        </w:rPr>
        <w:t>περιοχή του ICES</w:t>
      </w:r>
      <w:r>
        <w:rPr>
          <w:noProof/>
        </w:rPr>
        <w:t>, η Επιτροπή πρότεινε TAC σύμφωνα με το επίπεδο του δείκτη F</w:t>
      </w:r>
      <w:r>
        <w:rPr>
          <w:smallCaps/>
          <w:noProof/>
          <w:vertAlign w:val="subscript"/>
        </w:rPr>
        <w:t>msy</w:t>
      </w:r>
      <w:r>
        <w:rPr>
          <w:noProof/>
        </w:rPr>
        <w:t xml:space="preserve"> ή ελαφρώς χαμηλότερα για το 2018 για το σύνολο των 76 TAC, παρέχοντας συμβουλές όσον αφορά τον δείκτη F</w:t>
      </w:r>
      <w:r>
        <w:rPr>
          <w:smallCaps/>
          <w:noProof/>
          <w:vertAlign w:val="subscript"/>
        </w:rPr>
        <w:t>msy</w:t>
      </w:r>
      <w:r>
        <w:rPr>
          <w:noProof/>
        </w:rPr>
        <w:t>. Το Συμβούλιο όρισε 53 TAC με βάση τον δείκτη F</w:t>
      </w:r>
      <w:r>
        <w:rPr>
          <w:smallCaps/>
          <w:noProof/>
          <w:vertAlign w:val="subscript"/>
        </w:rPr>
        <w:t>MSY</w:t>
      </w:r>
      <w:r>
        <w:rPr>
          <w:noProof/>
        </w:rPr>
        <w:t xml:space="preserve">: 29 στα Δυτικά Ύδατα (συν 1 απόθεμα βαθέων υδάτων), 17 στη Βόρεια Θάλασσα και 7 στη Βαλτική Θάλασσα. </w:t>
      </w:r>
    </w:p>
    <w:p>
      <w:pPr>
        <w:spacing w:after="0"/>
        <w:rPr>
          <w:noProof/>
          <w:szCs w:val="24"/>
        </w:rPr>
      </w:pPr>
    </w:p>
    <w:p>
      <w:pPr>
        <w:spacing w:after="0"/>
        <w:rPr>
          <w:noProof/>
          <w:szCs w:val="24"/>
        </w:rPr>
      </w:pPr>
      <w:r>
        <w:rPr>
          <w:noProof/>
        </w:rPr>
        <w:t>Όσον αφορά τον όγκο:</w:t>
      </w:r>
    </w:p>
    <w:p>
      <w:pPr>
        <w:spacing w:after="0"/>
        <w:rPr>
          <w:noProof/>
        </w:rPr>
      </w:pPr>
    </w:p>
    <w:p>
      <w:pPr>
        <w:pStyle w:val="ListParagraph"/>
        <w:numPr>
          <w:ilvl w:val="0"/>
          <w:numId w:val="37"/>
        </w:numPr>
        <w:jc w:val="both"/>
        <w:rPr>
          <w:rFonts w:ascii="Times New Roman" w:hAnsi="Times New Roman"/>
          <w:noProof/>
          <w:sz w:val="24"/>
          <w:szCs w:val="24"/>
        </w:rPr>
      </w:pPr>
      <w:r>
        <w:rPr>
          <w:rFonts w:ascii="Times New Roman" w:hAnsi="Times New Roman"/>
          <w:noProof/>
          <w:sz w:val="24"/>
        </w:rPr>
        <w:t xml:space="preserve">Στη </w:t>
      </w:r>
      <w:r>
        <w:rPr>
          <w:rFonts w:ascii="Times New Roman" w:hAnsi="Times New Roman"/>
          <w:b/>
          <w:noProof/>
          <w:sz w:val="24"/>
        </w:rPr>
        <w:t>Βαλτική Θάλασσα</w:t>
      </w:r>
      <w:r>
        <w:rPr>
          <w:rFonts w:ascii="Times New Roman" w:hAnsi="Times New Roman"/>
          <w:noProof/>
          <w:sz w:val="24"/>
        </w:rPr>
        <w:t>, τα TAC είχαν οριστεί βάσει του πολυετούς σχεδίου για τη Βαλτική. Το 95 % των αναμενόμενων αλιευμάτων προέρχονται από TAC που έχουν καθοριστεί βάσει του δείκτη F</w:t>
      </w:r>
      <w:r>
        <w:rPr>
          <w:rFonts w:ascii="Times New Roman" w:hAnsi="Times New Roman"/>
          <w:smallCaps/>
          <w:noProof/>
          <w:sz w:val="24"/>
          <w:vertAlign w:val="subscript"/>
        </w:rPr>
        <w:t>msy</w:t>
      </w:r>
      <w:r>
        <w:rPr>
          <w:rFonts w:ascii="Times New Roman" w:hAnsi="Times New Roman"/>
          <w:noProof/>
          <w:sz w:val="24"/>
        </w:rPr>
        <w:t xml:space="preserve"> και το 4 % των συνολικών επιτρεπόμενων αλιευμάτων (TAC) βάσει της προληπτικής γνωμοδότησης. </w:t>
      </w:r>
    </w:p>
    <w:p>
      <w:pPr>
        <w:pStyle w:val="ListParagraph"/>
        <w:numPr>
          <w:ilvl w:val="0"/>
          <w:numId w:val="37"/>
        </w:numPr>
        <w:jc w:val="both"/>
        <w:rPr>
          <w:rFonts w:ascii="Times New Roman" w:hAnsi="Times New Roman"/>
          <w:noProof/>
          <w:sz w:val="24"/>
          <w:szCs w:val="24"/>
        </w:rPr>
      </w:pPr>
      <w:r>
        <w:rPr>
          <w:rFonts w:ascii="Times New Roman" w:hAnsi="Times New Roman"/>
          <w:noProof/>
          <w:sz w:val="24"/>
        </w:rPr>
        <w:t xml:space="preserve">Στη </w:t>
      </w:r>
      <w:r>
        <w:rPr>
          <w:rFonts w:ascii="Times New Roman" w:hAnsi="Times New Roman"/>
          <w:b/>
          <w:noProof/>
          <w:sz w:val="24"/>
        </w:rPr>
        <w:t>Βόρεια Θάλασσα, στο Skagerrak και στο Kattegat</w:t>
      </w:r>
      <w:r>
        <w:rPr>
          <w:rFonts w:ascii="Times New Roman" w:hAnsi="Times New Roman"/>
          <w:noProof/>
          <w:sz w:val="24"/>
        </w:rPr>
        <w:t>, όσον αφορά τα αποθέματα που αξιολογήθηκαν με βάση το δείκτη μέγιστης βιώσιμης απόδοσης F</w:t>
      </w:r>
      <w:r>
        <w:rPr>
          <w:rFonts w:ascii="Times New Roman" w:hAnsi="Times New Roman"/>
          <w:smallCaps/>
          <w:noProof/>
          <w:sz w:val="24"/>
          <w:vertAlign w:val="subscript"/>
        </w:rPr>
        <w:t>MSY</w:t>
      </w:r>
      <w:r>
        <w:rPr>
          <w:rFonts w:ascii="Times New Roman" w:hAnsi="Times New Roman"/>
          <w:noProof/>
          <w:sz w:val="24"/>
        </w:rPr>
        <w:t>, που αποτελούν αντικείμενο διαχείρισης αποκλειστικά από την ΕΕ, ποσοστό 99,7 % των αναμενόμενων εκφορτώσεων προέρχονται από TAC που καθορίστηκαν σύμφωνα με το επίπεδο του δείκτη F</w:t>
      </w:r>
      <w:r>
        <w:rPr>
          <w:rFonts w:ascii="Times New Roman" w:hAnsi="Times New Roman"/>
          <w:smallCaps/>
          <w:noProof/>
          <w:sz w:val="24"/>
          <w:vertAlign w:val="subscript"/>
        </w:rPr>
        <w:t>msy</w:t>
      </w:r>
      <w:r>
        <w:rPr>
          <w:rFonts w:ascii="Times New Roman" w:hAnsi="Times New Roman"/>
          <w:noProof/>
          <w:sz w:val="24"/>
        </w:rPr>
        <w:t xml:space="preserve">. </w:t>
      </w:r>
    </w:p>
    <w:p>
      <w:pPr>
        <w:pStyle w:val="ListParagraph"/>
        <w:numPr>
          <w:ilvl w:val="0"/>
          <w:numId w:val="37"/>
        </w:numPr>
        <w:jc w:val="both"/>
        <w:rPr>
          <w:rFonts w:ascii="Times New Roman" w:hAnsi="Times New Roman"/>
          <w:noProof/>
          <w:sz w:val="24"/>
          <w:szCs w:val="24"/>
        </w:rPr>
      </w:pPr>
      <w:r>
        <w:rPr>
          <w:rFonts w:ascii="Times New Roman" w:hAnsi="Times New Roman"/>
          <w:noProof/>
          <w:sz w:val="24"/>
        </w:rPr>
        <w:t xml:space="preserve">Στα </w:t>
      </w:r>
      <w:r>
        <w:rPr>
          <w:rFonts w:ascii="Times New Roman" w:hAnsi="Times New Roman"/>
          <w:b/>
          <w:noProof/>
          <w:sz w:val="24"/>
        </w:rPr>
        <w:t>Βορειοδυτικά</w:t>
      </w:r>
      <w:r>
        <w:rPr>
          <w:rFonts w:ascii="Times New Roman" w:hAnsi="Times New Roman"/>
          <w:noProof/>
          <w:sz w:val="24"/>
        </w:rPr>
        <w:t xml:space="preserve"> και </w:t>
      </w:r>
      <w:r>
        <w:rPr>
          <w:rFonts w:ascii="Times New Roman" w:hAnsi="Times New Roman"/>
          <w:b/>
          <w:noProof/>
          <w:sz w:val="24"/>
        </w:rPr>
        <w:t>Νοτιοδυτικά ύδατα</w:t>
      </w:r>
      <w:r>
        <w:rPr>
          <w:rFonts w:ascii="Times New Roman" w:hAnsi="Times New Roman"/>
          <w:noProof/>
          <w:sz w:val="24"/>
        </w:rPr>
        <w:t>, όσον αφορά τα αποθέματα που αξιολογήθηκαν με βάση τον δείκτη F</w:t>
      </w:r>
      <w:r>
        <w:rPr>
          <w:rFonts w:ascii="Times New Roman" w:hAnsi="Times New Roman"/>
          <w:smallCaps/>
          <w:noProof/>
          <w:sz w:val="24"/>
          <w:vertAlign w:val="subscript"/>
        </w:rPr>
        <w:t>msy</w:t>
      </w:r>
      <w:r>
        <w:rPr>
          <w:rFonts w:ascii="Times New Roman" w:hAnsi="Times New Roman"/>
          <w:noProof/>
          <w:sz w:val="24"/>
        </w:rPr>
        <w:t>, τα οποία διαχειρίζεται αποκλειστικά η ΕΕ, το ποσοστό αυτό είναι 94 % και 90 % αντίστοιχα.</w:t>
      </w:r>
    </w:p>
    <w:p>
      <w:pPr>
        <w:pStyle w:val="PlainText"/>
        <w:spacing w:after="0"/>
        <w:rPr>
          <w:rFonts w:ascii="Times New Roman" w:hAnsi="Times New Roman"/>
          <w:noProof/>
          <w:sz w:val="24"/>
          <w:szCs w:val="24"/>
        </w:rPr>
      </w:pPr>
    </w:p>
    <w:p>
      <w:pPr>
        <w:spacing w:after="0"/>
        <w:rPr>
          <w:iCs/>
          <w:noProof/>
        </w:rPr>
      </w:pPr>
      <w:r>
        <w:rPr>
          <w:noProof/>
        </w:rPr>
        <w:t>Για πρώτη φορά, το Συμβούλιο συμφώνησε επίσης για τρίμηνη απαγόρευση της αλιείας χελιού, με στόχο την προστασία των γεννητόρων. Επιπλέον, η Επιτροπή και τα κράτη μέλη ανέλαβαν πολιτική δέσμευση για την ενίσχυση της εφαρμογής του κανονισμού για το χέλι και την αξιολόγηση της αποτελεσματικότητάς της</w:t>
      </w:r>
      <w:r>
        <w:rPr>
          <w:rStyle w:val="FootnoteReference"/>
          <w:noProof/>
        </w:rPr>
        <w:footnoteReference w:id="12"/>
      </w:r>
      <w:r>
        <w:rPr>
          <w:noProof/>
        </w:rPr>
        <w:t>.</w:t>
      </w:r>
    </w:p>
    <w:p>
      <w:pPr>
        <w:spacing w:after="0"/>
        <w:rPr>
          <w:noProof/>
          <w:szCs w:val="24"/>
        </w:rPr>
      </w:pPr>
    </w:p>
    <w:p>
      <w:pPr>
        <w:spacing w:after="0"/>
        <w:rPr>
          <w:noProof/>
          <w:szCs w:val="24"/>
        </w:rPr>
      </w:pPr>
      <w:r>
        <w:rPr>
          <w:noProof/>
        </w:rPr>
        <w:t xml:space="preserve">Όσον αφορά τα </w:t>
      </w:r>
      <w:r>
        <w:rPr>
          <w:b/>
          <w:noProof/>
        </w:rPr>
        <w:t>αποθέματα βαθέων υδάτων</w:t>
      </w:r>
      <w:r>
        <w:rPr>
          <w:noProof/>
        </w:rPr>
        <w:t>, ορίστηκαν αλιευτικές δυνατότητες τον Νοέμβριο του 2016 για τα έτη 2017 και 2018, οι οποίες αντιπροσωπεύουν λιγότερο από το 1 % των συνολικών εκφορτώσεων στην ΕΕ. Τα αποθέματα βαθέων υδάτων είναι αποθέματα περιορισμένων δεδομένων ή αξιολόγησης, με εξαίρεση τον γρεναδιέρο των βράχων στα Βορειοδυτικά ύδατα, το TAC του οποίου καθορίστηκε στο επίπεδο του δείκτη F</w:t>
      </w:r>
      <w:r>
        <w:rPr>
          <w:smallCaps/>
          <w:noProof/>
          <w:vertAlign w:val="subscript"/>
        </w:rPr>
        <w:t>msy</w:t>
      </w:r>
      <w:r>
        <w:rPr>
          <w:noProof/>
        </w:rPr>
        <w:t xml:space="preserve">. </w:t>
      </w:r>
    </w:p>
    <w:p>
      <w:pPr>
        <w:spacing w:after="0"/>
        <w:rPr>
          <w:noProof/>
          <w:szCs w:val="24"/>
        </w:rPr>
      </w:pPr>
    </w:p>
    <w:p>
      <w:pPr>
        <w:spacing w:after="0"/>
        <w:rPr>
          <w:noProof/>
          <w:szCs w:val="24"/>
        </w:rPr>
      </w:pPr>
      <w:r>
        <w:rPr>
          <w:noProof/>
        </w:rPr>
        <w:t xml:space="preserve">Όσον αφροά τα </w:t>
      </w:r>
      <w:r>
        <w:rPr>
          <w:b/>
          <w:noProof/>
        </w:rPr>
        <w:t>αποθέματα που υπόκεινται σε διαβουλεύσεις μεταξύ των παράκτιων κρατών</w:t>
      </w:r>
      <w:r>
        <w:rPr>
          <w:noProof/>
        </w:rPr>
        <w:t>, μόνον 1 εκ των 10 TAC για τα οποία ίσχυε γνωμοδότηση σχετικά με τον δείκτη F</w:t>
      </w:r>
      <w:r>
        <w:rPr>
          <w:smallCaps/>
          <w:noProof/>
          <w:vertAlign w:val="subscript"/>
        </w:rPr>
        <w:t>msy</w:t>
      </w:r>
      <w:r>
        <w:rPr>
          <w:noProof/>
        </w:rPr>
        <w:t xml:space="preserve"> συνάδει με τον δείκτη F</w:t>
      </w:r>
      <w:r>
        <w:rPr>
          <w:smallCaps/>
          <w:noProof/>
          <w:vertAlign w:val="subscript"/>
        </w:rPr>
        <w:t>msy</w:t>
      </w:r>
      <w:r>
        <w:rPr>
          <w:noProof/>
        </w:rPr>
        <w:t>, ήτοι αυτό για την Ατλαντοσκανδιναβική ρέγγα, που αντιπροσωπεύει ποσοστό 4 % των εκφορτώσεων όλων των TAC των παράκτιων κρατών, από πλευράς όγκου. Η επίτευξη του δείκτη F</w:t>
      </w:r>
      <w:r>
        <w:rPr>
          <w:smallCaps/>
          <w:noProof/>
          <w:vertAlign w:val="subscript"/>
        </w:rPr>
        <w:t>msy</w:t>
      </w:r>
      <w:r>
        <w:rPr>
          <w:noProof/>
        </w:rPr>
        <w:t xml:space="preserve"> έως το 2020 για όλα τα αποθέματα των παράκτιων κρατών αποτελεί, επομένως, πρόκληση. </w:t>
      </w:r>
    </w:p>
    <w:p>
      <w:pPr>
        <w:spacing w:after="0"/>
        <w:rPr>
          <w:noProof/>
          <w:szCs w:val="24"/>
        </w:rPr>
      </w:pPr>
    </w:p>
    <w:p>
      <w:pPr>
        <w:spacing w:after="0"/>
        <w:rPr>
          <w:noProof/>
        </w:rPr>
      </w:pPr>
      <w:r>
        <w:rPr>
          <w:noProof/>
        </w:rPr>
        <w:t xml:space="preserve">Στη </w:t>
      </w:r>
      <w:r>
        <w:rPr>
          <w:b/>
          <w:noProof/>
        </w:rPr>
        <w:t>Μεσόγειο Θάλασσα</w:t>
      </w:r>
      <w:r>
        <w:rPr>
          <w:noProof/>
        </w:rPr>
        <w:t xml:space="preserve">, εκ των 47 αποθεμάτων, μόνο το 13 % περίπου (6 αποθέματα) δεν έχουν υποστεί υπεραλίευση: η κουτσομούρα στη γεωγραφική υποπεριοχή (ΓΥ) 10, (Νότιο Τυρρηνικό Πέλαγος), στις ΓΥ 17-18 (Αδριατική Θάλασσα) και στη ΓΥ 22 (Αιγαίο πέλαγος)· ο γαύρος στη ΓΥ 22 (Αιγαίο Πέλαγος)· η κόκκινη γαρίδα βαθέων υδάτων στη ΓΥ 9 (Λιγυρικό και Βόρειο Τυρρηνικό Πέλαγος)· και η σουπιά στη ΓΥ 17 (Βόρεια Αδριατική Θάλασσα). Στον </w:t>
      </w:r>
      <w:r>
        <w:rPr>
          <w:b/>
          <w:noProof/>
        </w:rPr>
        <w:t>Εύξεινο Πόντο</w:t>
      </w:r>
      <w:r>
        <w:rPr>
          <w:noProof/>
        </w:rPr>
        <w:t>, 5 εκ των 6 γνωστών αποθεμάτων εξακολουθούν να υπεραλιεύονται, με εξαίρεση την παπαλίνα. Είναι σαφές ότι απαιτούνται περαιτέρω προσπάθειες για την επίτευξη του στόχου F</w:t>
      </w:r>
      <w:r>
        <w:rPr>
          <w:smallCaps/>
          <w:noProof/>
          <w:vertAlign w:val="subscript"/>
        </w:rPr>
        <w:t>msy</w:t>
      </w:r>
      <w:r>
        <w:rPr>
          <w:noProof/>
        </w:rPr>
        <w:t xml:space="preserve"> για το 2020 στις εν λόγω θαλάσσιες λεκάνες, όπως περιγράφεται παρακάτω στο σημείο 2.3.</w:t>
      </w:r>
    </w:p>
    <w:p>
      <w:pPr>
        <w:pStyle w:val="ListParagraph"/>
        <w:ind w:left="0"/>
        <w:jc w:val="both"/>
        <w:rPr>
          <w:rFonts w:ascii="Times New Roman" w:hAnsi="Times New Roman"/>
          <w:noProof/>
          <w:sz w:val="24"/>
          <w:szCs w:val="24"/>
        </w:rPr>
      </w:pPr>
    </w:p>
    <w:p>
      <w:pPr>
        <w:spacing w:after="0"/>
        <w:rPr>
          <w:noProof/>
          <w:szCs w:val="24"/>
        </w:rPr>
      </w:pPr>
    </w:p>
    <w:p>
      <w:pPr>
        <w:spacing w:after="0"/>
        <w:rPr>
          <w:noProof/>
          <w:szCs w:val="24"/>
        </w:rPr>
      </w:pPr>
    </w:p>
    <w:p>
      <w:pPr>
        <w:pStyle w:val="Heading2"/>
        <w:ind w:left="720"/>
        <w:rPr>
          <w:noProof/>
        </w:rPr>
      </w:pPr>
      <w:r>
        <w:rPr>
          <w:noProof/>
        </w:rPr>
        <w:t>Τάσεις βιομάζας</w:t>
      </w:r>
    </w:p>
    <w:p>
      <w:pPr>
        <w:spacing w:after="0"/>
        <w:rPr>
          <w:noProof/>
        </w:rPr>
      </w:pPr>
      <w:r>
        <w:rPr>
          <w:noProof/>
        </w:rPr>
        <w:t>Η ΕΤΟΕΑ υπολόγισε επίσης την εξέλιξη της βιομάζας αποθέματος αναπαραγωγής (ΒΑΑ) μετά το 2003</w:t>
      </w:r>
      <w:r>
        <w:rPr>
          <w:rStyle w:val="FootnoteReference"/>
          <w:noProof/>
        </w:rPr>
        <w:footnoteReference w:id="13"/>
      </w:r>
      <w:r>
        <w:rPr>
          <w:noProof/>
        </w:rPr>
        <w:t xml:space="preserve">. </w:t>
      </w:r>
    </w:p>
    <w:p>
      <w:pPr>
        <w:spacing w:after="0"/>
        <w:rPr>
          <w:noProof/>
        </w:rPr>
      </w:pPr>
    </w:p>
    <w:p>
      <w:pPr>
        <w:spacing w:after="0"/>
        <w:rPr>
          <w:noProof/>
          <w:szCs w:val="24"/>
        </w:rPr>
      </w:pPr>
      <w:r>
        <w:rPr>
          <w:b/>
          <w:noProof/>
          <w:u w:val="single"/>
        </w:rPr>
        <w:t>Στην περιοχή του ICES</w:t>
      </w:r>
      <w:r>
        <w:rPr>
          <w:noProof/>
        </w:rPr>
        <w:t xml:space="preserve">,  η ΒΑΑ παρουσίασε γενικά αύξηση κατά τη διάρκεια αυτής της περιόδου και το 2016 ήταν κατά μέσον όρο περίπου 39 % υψηλότερη από ό, τι το 2003. Το ποσοστό των αποθεμάτων εντός ασφαλών βιολογικών ορίων αυξάνεται επίσης. Το 2018, το 81 % των αλιευτικών δυνατοτήτων αναμένεται να προέλθει από αποθέματα που βρίσκονται εντός ασφαλών βιολογικών ορίων, ποσοστό 11 % από αποθέματα εκτός αυτών, και 8 % από αποθέματα που αποτελούν αντικείμενο προληπτικής γνωμοδότησης, για τα οποία δεν γνωρίζουμε αν βρίσκονται εντός ή εκτός ασφαλών βιολογικών ορίων. </w:t>
      </w:r>
    </w:p>
    <w:p>
      <w:pPr>
        <w:spacing w:after="0"/>
        <w:rPr>
          <w:noProof/>
          <w:szCs w:val="24"/>
        </w:rPr>
      </w:pPr>
    </w:p>
    <w:p>
      <w:pPr>
        <w:spacing w:after="0"/>
        <w:rPr>
          <w:noProof/>
          <w:szCs w:val="24"/>
        </w:rPr>
      </w:pPr>
      <w:r>
        <w:rPr>
          <w:b/>
          <w:noProof/>
          <w:u w:val="single"/>
        </w:rPr>
        <w:t>Για τη Μεσόγειο και τον Εύξεινο Πόντο</w:t>
      </w:r>
      <w:r>
        <w:rPr>
          <w:noProof/>
        </w:rPr>
        <w:t>, η ΒΑΑ παρέμεινε ουσιαστικά αμετάβλητη από το 2003. Ωστόσο, τα εν λόγω αποτελέσματα θα πρέπει να λαμβάνονται υπόψη με επιφύλαξη, δεδομένου ότι υφίσταται υψηλός βαθμός αβεβαιότητας.</w:t>
      </w:r>
    </w:p>
    <w:p>
      <w:pPr>
        <w:rPr>
          <w:noProof/>
          <w:szCs w:val="24"/>
        </w:rPr>
      </w:pPr>
    </w:p>
    <w:p>
      <w:pPr>
        <w:pStyle w:val="Heading2"/>
        <w:ind w:left="720"/>
        <w:rPr>
          <w:noProof/>
        </w:rPr>
      </w:pPr>
      <w:r>
        <w:rPr>
          <w:noProof/>
        </w:rPr>
        <w:t>Ειδικές δράσεις για τη Μεσόγειο και τον Εύξεινο Πόντο</w:t>
      </w:r>
    </w:p>
    <w:p>
      <w:pPr>
        <w:spacing w:after="0"/>
        <w:rPr>
          <w:rFonts w:eastAsia="Calibri"/>
          <w:iCs/>
          <w:noProof/>
          <w:szCs w:val="24"/>
        </w:rPr>
      </w:pPr>
      <w:r>
        <w:rPr>
          <w:noProof/>
        </w:rPr>
        <w:t>Η Ευρωπαϊκή Επιτροπή έλαβε σημαντικά μέτρα για την αντιμετώπιση της υπεραλίευσης στη Μεσόγειο και τον Εύξεινο Πόντο, τόσο σε επίπεδο ΕΕ όσο και με τους διεθνείς εταίρους της.</w:t>
      </w:r>
    </w:p>
    <w:p>
      <w:pPr>
        <w:spacing w:after="0"/>
        <w:rPr>
          <w:rFonts w:eastAsia="Calibri"/>
          <w:iCs/>
          <w:noProof/>
          <w:szCs w:val="24"/>
        </w:rPr>
      </w:pPr>
    </w:p>
    <w:p>
      <w:pPr>
        <w:spacing w:after="0"/>
        <w:rPr>
          <w:noProof/>
          <w:szCs w:val="24"/>
        </w:rPr>
      </w:pPr>
      <w:r>
        <w:rPr>
          <w:noProof/>
        </w:rPr>
        <w:t xml:space="preserve">Σε </w:t>
      </w:r>
      <w:r>
        <w:rPr>
          <w:b/>
          <w:noProof/>
        </w:rPr>
        <w:t>επίπεδο ΕΕ</w:t>
      </w:r>
      <w:r>
        <w:rPr>
          <w:noProof/>
        </w:rPr>
        <w:t>, μία από τις προτεραιότητες της Επιτροπής είναι η περαιτέρω ευθυγράμμιση των εθνικών σχεδίων διαχείρισης που εγκρίθηκαν δυνάμει του κανονισμού για τη Μεσόγειο</w:t>
      </w:r>
      <w:r>
        <w:rPr>
          <w:rStyle w:val="FootnoteReference"/>
          <w:noProof/>
        </w:rPr>
        <w:footnoteReference w:id="14"/>
      </w:r>
      <w:r>
        <w:rPr>
          <w:noProof/>
        </w:rPr>
        <w:t xml:space="preserve"> με την ΚΑΠ.  Το 2017, πέντε εθνικά σχέδια διαχείρισης αναθεωρήθηκαν και επικαιροποιήθηκαν σύμφωνα με γνωμοδότηση της ΕΤΟΕΑ. Αυτά περιλαμβάνουν σχέδια για την αλιεία που διεξάγεται με  γρίπους συρόμενους από σκάφος, πεζότρατες, ζευγαρωτά σκάφη («gangui») και μικρά γρι-γρι στην Κροατία, τη Γαλλία, την Ελλάδα και την Ισπανία. Η εν λόγω διαδικασία θα επιταχυνθεί το 2018.</w:t>
      </w:r>
    </w:p>
    <w:p>
      <w:pPr>
        <w:spacing w:after="0"/>
        <w:rPr>
          <w:rFonts w:eastAsia="Calibri"/>
          <w:iCs/>
          <w:noProof/>
          <w:szCs w:val="24"/>
        </w:rPr>
      </w:pPr>
    </w:p>
    <w:p>
      <w:pPr>
        <w:spacing w:after="0"/>
        <w:rPr>
          <w:rFonts w:eastAsia="Calibri"/>
          <w:iCs/>
          <w:noProof/>
          <w:szCs w:val="24"/>
        </w:rPr>
      </w:pPr>
      <w:r>
        <w:rPr>
          <w:noProof/>
        </w:rPr>
        <w:t>Η καλύτερη επιβολή και ο έλεγχος αποτελούν επίσης προτεραιότητα στις εν λόγω θαλάσσιες λεκάνες. Το 2017, η Επιτροπή διεύρυνε το πεδίο εφαρμογής του ειδικού προγράμματος ελέγχου και επιθεώρησης (ΕΠΕΕ) για τη Μεσόγειο ώστε να συμπεριλάβει τον μπακαλιάρο και την κόκκινη γαρίδα στο στενό της Σικελίας</w:t>
      </w:r>
      <w:r>
        <w:rPr>
          <w:rStyle w:val="FootnoteReference"/>
          <w:noProof/>
        </w:rPr>
        <w:footnoteReference w:id="15"/>
      </w:r>
      <w:r>
        <w:rPr>
          <w:noProof/>
        </w:rPr>
        <w:t>. Ο αριθμός των κοινών εκστρατειών που συντονίζει η Ευρωπαϊκή Υπηρεσία Ελέγχου της Αλιείας έχει επίσης αυξηθεί σημαντικά</w:t>
      </w:r>
      <w:r>
        <w:rPr>
          <w:rStyle w:val="FootnoteReference"/>
          <w:noProof/>
        </w:rPr>
        <w:footnoteReference w:id="16"/>
      </w:r>
      <w:r>
        <w:rPr>
          <w:noProof/>
        </w:rPr>
        <w:t xml:space="preserve">. </w:t>
      </w:r>
    </w:p>
    <w:p>
      <w:pPr>
        <w:spacing w:after="0"/>
        <w:rPr>
          <w:rFonts w:eastAsia="Calibri"/>
          <w:iCs/>
          <w:noProof/>
          <w:szCs w:val="24"/>
        </w:rPr>
      </w:pPr>
    </w:p>
    <w:p>
      <w:pPr>
        <w:spacing w:after="0"/>
        <w:rPr>
          <w:rFonts w:eastAsia="Calibri"/>
          <w:iCs/>
          <w:noProof/>
          <w:szCs w:val="24"/>
        </w:rPr>
      </w:pPr>
      <w:r>
        <w:rPr>
          <w:noProof/>
        </w:rPr>
        <w:t>Όσον αφορά την πρόοδο στα πολυετή σχέδια στην ΕΕ, βλ. κατωτέρω, σημείο 2.5.1.</w:t>
      </w:r>
    </w:p>
    <w:p>
      <w:pPr>
        <w:spacing w:after="0"/>
        <w:rPr>
          <w:rFonts w:eastAsia="Calibri"/>
          <w:iCs/>
          <w:noProof/>
          <w:szCs w:val="24"/>
        </w:rPr>
      </w:pPr>
    </w:p>
    <w:p>
      <w:pPr>
        <w:spacing w:after="0"/>
        <w:rPr>
          <w:rFonts w:eastAsia="Calibri"/>
          <w:iCs/>
          <w:noProof/>
          <w:szCs w:val="24"/>
        </w:rPr>
      </w:pPr>
      <w:r>
        <w:rPr>
          <w:noProof/>
        </w:rPr>
        <w:t xml:space="preserve">Σε </w:t>
      </w:r>
      <w:r>
        <w:rPr>
          <w:b/>
          <w:noProof/>
        </w:rPr>
        <w:t>διεθνές επίπεδο</w:t>
      </w:r>
      <w:r>
        <w:rPr>
          <w:noProof/>
        </w:rPr>
        <w:t>, η Επιτροπή έχει σκοπό να μετατρέψει τις πολιτικές δεσμεύσεις της «Διακήρυξης της Μάλτας «MedFish4Ever»»</w:t>
      </w:r>
      <w:r>
        <w:rPr>
          <w:rStyle w:val="FootnoteReference"/>
          <w:noProof/>
        </w:rPr>
        <w:footnoteReference w:id="17"/>
      </w:r>
      <w:r>
        <w:rPr>
          <w:noProof/>
        </w:rPr>
        <w:t xml:space="preserve"> σε συγκεκριμένα μέτρα. </w:t>
      </w:r>
    </w:p>
    <w:p>
      <w:pPr>
        <w:spacing w:after="0"/>
        <w:rPr>
          <w:rFonts w:eastAsia="Calibri"/>
          <w:iCs/>
          <w:noProof/>
          <w:szCs w:val="24"/>
        </w:rPr>
      </w:pPr>
    </w:p>
    <w:p>
      <w:pPr>
        <w:spacing w:after="0"/>
        <w:rPr>
          <w:rFonts w:eastAsia="Calibri"/>
          <w:iCs/>
          <w:noProof/>
          <w:szCs w:val="24"/>
        </w:rPr>
      </w:pPr>
      <w:r>
        <w:rPr>
          <w:noProof/>
        </w:rPr>
        <w:t xml:space="preserve">Στο πλαίσιο της </w:t>
      </w:r>
      <w:r>
        <w:rPr>
          <w:b/>
          <w:noProof/>
        </w:rPr>
        <w:t xml:space="preserve">Γενικής Επιτροπής Αλιείας για τη Μεσόγειο και τον Εύξεινο Πόντο (ΓΕΑΜ), </w:t>
      </w:r>
      <w:r>
        <w:rPr>
          <w:noProof/>
        </w:rPr>
        <w:t>το 2017, συμφωνήθηκαν σημαντικά μέτρα που προτάθηκαν από την ΕΕ:</w:t>
      </w:r>
    </w:p>
    <w:p>
      <w:pPr>
        <w:spacing w:after="0"/>
        <w:rPr>
          <w:rFonts w:eastAsia="Calibri"/>
          <w:iCs/>
          <w:noProof/>
          <w:szCs w:val="24"/>
        </w:rPr>
      </w:pPr>
    </w:p>
    <w:p>
      <w:pPr>
        <w:pStyle w:val="ListParagraph"/>
        <w:numPr>
          <w:ilvl w:val="0"/>
          <w:numId w:val="38"/>
        </w:numPr>
        <w:jc w:val="both"/>
        <w:rPr>
          <w:rFonts w:ascii="Times New Roman" w:eastAsia="Calibri" w:hAnsi="Times New Roman"/>
          <w:iCs/>
          <w:noProof/>
          <w:sz w:val="24"/>
          <w:szCs w:val="24"/>
        </w:rPr>
      </w:pPr>
      <w:r>
        <w:rPr>
          <w:rFonts w:ascii="Times New Roman" w:hAnsi="Times New Roman"/>
          <w:noProof/>
          <w:sz w:val="24"/>
        </w:rPr>
        <w:t>πολυετές σχέδιο για το καλκάνι στον Εύξεινο Πόντο·</w:t>
      </w:r>
    </w:p>
    <w:p>
      <w:pPr>
        <w:pStyle w:val="ListParagraph"/>
        <w:numPr>
          <w:ilvl w:val="0"/>
          <w:numId w:val="38"/>
        </w:numPr>
        <w:jc w:val="both"/>
        <w:rPr>
          <w:rFonts w:ascii="Times New Roman" w:eastAsia="Calibri" w:hAnsi="Times New Roman"/>
          <w:iCs/>
          <w:noProof/>
          <w:sz w:val="24"/>
          <w:szCs w:val="24"/>
        </w:rPr>
      </w:pPr>
      <w:r>
        <w:rPr>
          <w:rFonts w:ascii="Times New Roman" w:hAnsi="Times New Roman"/>
          <w:noProof/>
          <w:sz w:val="24"/>
        </w:rPr>
        <w:t>περιφερειακό σχέδιο δράσης για την καταπολέμηση της παράνομης, λαθραίας και άναρχης αλιείας (ΠΛΑ)·</w:t>
      </w:r>
    </w:p>
    <w:p>
      <w:pPr>
        <w:pStyle w:val="ListParagraph"/>
        <w:numPr>
          <w:ilvl w:val="0"/>
          <w:numId w:val="38"/>
        </w:numPr>
        <w:jc w:val="both"/>
        <w:rPr>
          <w:rFonts w:ascii="Times New Roman" w:eastAsia="Calibri" w:hAnsi="Times New Roman"/>
          <w:iCs/>
          <w:noProof/>
          <w:sz w:val="24"/>
          <w:szCs w:val="24"/>
        </w:rPr>
      </w:pPr>
      <w:r>
        <w:rPr>
          <w:rFonts w:ascii="Times New Roman" w:hAnsi="Times New Roman"/>
          <w:noProof/>
          <w:sz w:val="24"/>
        </w:rPr>
        <w:t>διεθνές κοινό πρόγραμμα επιθεώρησης και επιτήρησης εκτός των υδάτων υπό εθνική δικαιοδοσία του Στενού της Σικελίας·</w:t>
      </w:r>
    </w:p>
    <w:p>
      <w:pPr>
        <w:pStyle w:val="ListParagraph"/>
        <w:numPr>
          <w:ilvl w:val="0"/>
          <w:numId w:val="38"/>
        </w:numPr>
        <w:jc w:val="both"/>
        <w:rPr>
          <w:rFonts w:ascii="Times New Roman" w:eastAsia="Calibri" w:hAnsi="Times New Roman"/>
          <w:iCs/>
          <w:noProof/>
          <w:sz w:val="24"/>
          <w:szCs w:val="24"/>
        </w:rPr>
      </w:pPr>
      <w:r>
        <w:rPr>
          <w:rFonts w:ascii="Times New Roman" w:hAnsi="Times New Roman"/>
          <w:noProof/>
          <w:sz w:val="24"/>
        </w:rPr>
        <w:t>περιφερειακό, ευέλικτο σχέδιο διαχείρισης της εκμετάλλευσης κόκκινων κοραλλιών στη Μεσόγειο Θάλασσα· και</w:t>
      </w:r>
    </w:p>
    <w:p>
      <w:pPr>
        <w:pStyle w:val="ListParagraph"/>
        <w:numPr>
          <w:ilvl w:val="0"/>
          <w:numId w:val="38"/>
        </w:numPr>
        <w:jc w:val="both"/>
        <w:rPr>
          <w:rFonts w:ascii="Times New Roman" w:eastAsia="Calibri" w:hAnsi="Times New Roman"/>
          <w:iCs/>
          <w:noProof/>
          <w:sz w:val="24"/>
          <w:szCs w:val="24"/>
        </w:rPr>
      </w:pPr>
      <w:r>
        <w:rPr>
          <w:rFonts w:ascii="Times New Roman" w:hAnsi="Times New Roman"/>
          <w:noProof/>
          <w:sz w:val="24"/>
        </w:rPr>
        <w:t xml:space="preserve">απαγορευμένη περιοχή αλιείας στην περιοχή Jabuka/Pomo Pit στην Αδριατική Θάλασσα.  </w:t>
      </w:r>
    </w:p>
    <w:p>
      <w:pPr>
        <w:spacing w:after="0"/>
        <w:rPr>
          <w:rFonts w:eastAsia="Calibri"/>
          <w:iCs/>
          <w:noProof/>
          <w:szCs w:val="24"/>
        </w:rPr>
      </w:pPr>
    </w:p>
    <w:p>
      <w:pPr>
        <w:spacing w:after="0"/>
        <w:rPr>
          <w:noProof/>
          <w:szCs w:val="24"/>
        </w:rPr>
      </w:pPr>
      <w:r>
        <w:rPr>
          <w:noProof/>
        </w:rPr>
        <w:t xml:space="preserve">Το 2018, το πλέον σημαντικό ορόσημο θα είναι η έγκριση της </w:t>
      </w:r>
      <w:r>
        <w:rPr>
          <w:b/>
          <w:noProof/>
        </w:rPr>
        <w:t>δήλωσης της Σόφιας</w:t>
      </w:r>
      <w:r>
        <w:rPr>
          <w:noProof/>
        </w:rPr>
        <w:t xml:space="preserve"> από παρευξείνιες χώρες, ως συνέχεια της Δήλωσης του Βουκουρεστίου</w:t>
      </w:r>
      <w:r>
        <w:rPr>
          <w:b/>
          <w:noProof/>
        </w:rPr>
        <w:t xml:space="preserve"> </w:t>
      </w:r>
      <w:r>
        <w:rPr>
          <w:noProof/>
        </w:rPr>
        <w:t xml:space="preserve"> που εγκρίθηκε το 2016</w:t>
      </w:r>
      <w:r>
        <w:rPr>
          <w:b/>
          <w:noProof/>
        </w:rPr>
        <w:t xml:space="preserve">. </w:t>
      </w:r>
      <w:r>
        <w:rPr>
          <w:noProof/>
        </w:rPr>
        <w:t xml:space="preserve">Η Επιτροπή θα επιδιώξει επίσης να καταλήξει σε συμφωνία για ένα περιφερειακό σχέδιο διαχείρισης για το ευρωπαϊκό χέλι και για μέτρα διατήρησης για τύπους αλιείας βενθοπελαγικών ειδών στην Κεντρική και Ανατολική Μεσόγειο, για βασικά εμπορικά είδη όπως το γαστερόποδο Rapana venosa, καθώς και για μικρά πελαγικά είδη στην Αδριατική, δεδομένου ότι δεν έχουν καταρτιστεί πολυετή σχέδια της ΕΕ. </w:t>
      </w:r>
    </w:p>
    <w:p>
      <w:pPr>
        <w:spacing w:after="0"/>
        <w:rPr>
          <w:rFonts w:eastAsia="Calibri"/>
          <w:iCs/>
          <w:noProof/>
          <w:szCs w:val="24"/>
        </w:rPr>
      </w:pPr>
    </w:p>
    <w:p>
      <w:pPr>
        <w:spacing w:after="0"/>
        <w:rPr>
          <w:rFonts w:eastAsia="Calibri"/>
          <w:iCs/>
          <w:noProof/>
          <w:szCs w:val="24"/>
        </w:rPr>
      </w:pPr>
      <w:r>
        <w:rPr>
          <w:noProof/>
        </w:rPr>
        <w:t xml:space="preserve">Το έργο της ΕΕ στο πλαίσιο της </w:t>
      </w:r>
      <w:r>
        <w:rPr>
          <w:b/>
          <w:noProof/>
        </w:rPr>
        <w:t>Διεθνούς Επιτροπής για τη Διατήρηση των Θυννοειδών του Ατλαντικού (ICCAT)</w:t>
      </w:r>
      <w:r>
        <w:rPr>
          <w:noProof/>
        </w:rPr>
        <w:t xml:space="preserve"> έχει επίσης αρχίσει να αποδίδει καρπούς: </w:t>
      </w:r>
      <w:r>
        <w:rPr>
          <w:b/>
          <w:noProof/>
        </w:rPr>
        <w:t xml:space="preserve"> </w:t>
      </w:r>
      <w:r>
        <w:rPr>
          <w:noProof/>
        </w:rPr>
        <w:t>τα υψηλά επίπεδα βιομάζας του τόνου που αναφέρθηκαν στον Ανατολικό Ατλαντικό και στη Μεσόγειο κατέστησαν δυνατή την αύξηση των TAC για τα έτη 2018-2020</w:t>
      </w:r>
      <w:r>
        <w:rPr>
          <w:rStyle w:val="FootnoteReference"/>
          <w:noProof/>
        </w:rPr>
        <w:footnoteReference w:id="18"/>
      </w:r>
      <w:r>
        <w:rPr>
          <w:noProof/>
        </w:rPr>
        <w:t xml:space="preserve"> σύμφωνα με τις επιστημονικές γνωμοδοτήσεις. Αυτή η αύξηση προετοίμασε επίσης το έδαφος για ένα νέο πλαίσιο διαχείρισης που κινείται από ένα σχέδιο ανασύστασης σε ένα σχέδιο διαχείρισης, το οποίο επιτρέπει στην αλιεία μικρής κλίμακας να επιστρέψει στην αλιευτική δραστηριότητα, με παράλληλη διατήρηση αυστηρών κανόνων ελέγχου. Όσον αφορά τον ξιφία της Μεσογείου, το πρόσφατα εγκριθέν σχέδιο αποκατάστασης καθορίζει TAC ύψους 10.500 τόνων από το 2017 και γραμμική μείωση κατά 3 % ετησίως έως το 2022. Το 2017, η ICCAT ενέκρινε επίσης το πάγωμα της αλιευτικής ικανότητας όσον αφορά τα σκάφη τα οποία εκμεταλλεύονται μακρύπτερο τόνο στη Μεσόγειο</w:t>
      </w:r>
      <w:r>
        <w:rPr>
          <w:rStyle w:val="FootnoteReference"/>
          <w:noProof/>
        </w:rPr>
        <w:footnoteReference w:id="19"/>
      </w:r>
      <w:r>
        <w:rPr>
          <w:noProof/>
        </w:rPr>
        <w:t xml:space="preserve">. </w:t>
      </w:r>
    </w:p>
    <w:p>
      <w:pPr>
        <w:spacing w:after="0"/>
        <w:rPr>
          <w:noProof/>
          <w:szCs w:val="24"/>
        </w:rPr>
      </w:pPr>
    </w:p>
    <w:p>
      <w:pPr>
        <w:spacing w:after="0"/>
        <w:rPr>
          <w:noProof/>
          <w:szCs w:val="24"/>
        </w:rPr>
      </w:pPr>
    </w:p>
    <w:p>
      <w:pPr>
        <w:pStyle w:val="Heading2"/>
        <w:ind w:left="720"/>
        <w:rPr>
          <w:noProof/>
        </w:rPr>
      </w:pPr>
      <w:r>
        <w:rPr>
          <w:noProof/>
        </w:rPr>
        <w:t>Η κατάσταση του στόλου της ΕΕ</w:t>
      </w:r>
    </w:p>
    <w:p>
      <w:pPr>
        <w:spacing w:after="0"/>
        <w:rPr>
          <w:bCs/>
          <w:noProof/>
          <w:szCs w:val="24"/>
        </w:rPr>
      </w:pPr>
      <w:r>
        <w:rPr>
          <w:noProof/>
          <w:u w:val="single"/>
        </w:rPr>
        <w:t>Η αλιευτική ικανότητα του ενωσιακού στόλου</w:t>
      </w:r>
      <w:r>
        <w:rPr>
          <w:noProof/>
        </w:rPr>
        <w:t xml:space="preserve"> συνέχισε να μειώνεται. Τον Δεκέμβριο του 2017, το μητρώο αλιευτικού στόλου της ΕΕ περιελάμβανε 82.912 σκάφη με συνολική χωρητικότητα 1.487,983 σε ολική χωρητικότητα (GT) και 5.763,933 σε κιλοβάτ (KW). Πρόκειται για μείωση κατά 1,45 % σε σύγκριση με το προηγούμενο έτος όσον αφορά τον αριθμό των σκαφών, κατά 6,54 % σε KW και κατά 9,59 % σε GT. Ωστόσο, πολλά από τα τμήματα του στόλου δεν βρίσκονται σε ισορροπία με τις αλιευτικές τους δυνατότητες.</w:t>
      </w:r>
    </w:p>
    <w:p>
      <w:pPr>
        <w:spacing w:after="0"/>
        <w:rPr>
          <w:bCs/>
          <w:noProof/>
          <w:szCs w:val="24"/>
        </w:rPr>
      </w:pPr>
    </w:p>
    <w:p>
      <w:pPr>
        <w:spacing w:after="0"/>
        <w:rPr>
          <w:noProof/>
          <w:szCs w:val="24"/>
        </w:rPr>
      </w:pPr>
      <w:r>
        <w:rPr>
          <w:noProof/>
          <w:u w:val="single"/>
        </w:rPr>
        <w:t>Οι οικονομικές επιδόσεις του ενωσιακού στόλου</w:t>
      </w:r>
      <w:r>
        <w:rPr>
          <w:noProof/>
        </w:rPr>
        <w:t xml:space="preserve"> βελτιώθηκαν εκ νέου και τα καθαρά κέρδη ανήλθαν σε 1,3 δισ. EUR το 2016. Περίπου 5 εκατομμύρια τόνοι θαλασσινών εκφορτώθηκαν από τον στόλο της ΕΕ, με δηλωθείσα αξία εκφορτώσεων ύψους 7,7 δισ. EUR. Η ακαθάριστη προστιθέμενη αξία και το ακαθάριστο κέρδος (πλην επιδοτήσεων) που προήλθαν από τον στόλο της ΕΕ (πλην αυτόν της Ελλάδας), ανήλθαν σε 4,5 δισ. EUR και σε 2,1 δισ. EUR, αντίστοιχα. Όσον αφορά το καθαρό περιθώριο κέρδους, ανήλθε σε 17 %, ήτοι σημαντικά υψηλότερο από το περιθώριο του 2015 (11 %). Οι προβλέψεις για το 2017 και το 2018 δείχνουν θετικά οικονομικά αποτελέσματα. </w:t>
      </w:r>
    </w:p>
    <w:p>
      <w:pPr>
        <w:spacing w:after="0"/>
        <w:rPr>
          <w:noProof/>
          <w:szCs w:val="24"/>
        </w:rPr>
      </w:pPr>
    </w:p>
    <w:p>
      <w:pPr>
        <w:spacing w:after="0"/>
        <w:rPr>
          <w:noProof/>
          <w:szCs w:val="24"/>
        </w:rPr>
      </w:pPr>
      <w:r>
        <w:rPr>
          <w:noProof/>
          <w:u w:val="single"/>
        </w:rPr>
        <w:t>Όσον αφορά την κοινωνική βιωσιμότητα</w:t>
      </w:r>
      <w:r>
        <w:rPr>
          <w:noProof/>
        </w:rPr>
        <w:t>, η συνολική απασχόληση στον στόλο της ΕΕ σε ισοδύναμο πλήρους απασχόλησης (ΙΠΑ) σημείωσε μείωση κατά μέσο όρο σε ποσοστό 1,3 % ετησίως από το 2008, εν μέρει λόγω της μείωσης της ικανότητας του αλιευτικού στόλου της ΕΕ. Ωστόσο, ο μέσος μισθός ανά ΙΠΑ, σημείωσε, κατά μέσο όρο, αύξηση της τάξης του 2,7 % ανά έτος. Ο μέσος ετήσιος μισθός ανά ΙΠΑ ανέρχεται σε 24.800 EUR.</w:t>
      </w:r>
    </w:p>
    <w:p>
      <w:pPr>
        <w:spacing w:after="0"/>
        <w:rPr>
          <w:noProof/>
          <w:szCs w:val="24"/>
        </w:rPr>
      </w:pPr>
    </w:p>
    <w:p>
      <w:pPr>
        <w:spacing w:after="0"/>
        <w:rPr>
          <w:noProof/>
          <w:szCs w:val="24"/>
        </w:rPr>
      </w:pPr>
      <w:r>
        <w:rPr>
          <w:noProof/>
        </w:rPr>
        <w:t>Σημαντική εξέλιξη στη βελτίωση των συνθηκών εργασίας στον στόλο της ΕΕ αποτελεί η επιτυχής μεταφορά της σύμβασης αριθ. 188 της Διεθνούς Οργάνωσης Εργασίας για την εργασία στον τομέα της αλιείας  στο δίκαιο της ΕΕ, όπως συμφωνήθηκε από τους κοινωνικούς εταίρους της ΕΕ</w:t>
      </w:r>
      <w:r>
        <w:rPr>
          <w:rStyle w:val="FootnoteReference"/>
          <w:noProof/>
        </w:rPr>
        <w:footnoteReference w:id="20"/>
      </w:r>
      <w:r>
        <w:rPr>
          <w:noProof/>
        </w:rPr>
        <w:t>. Η εν λόγω σύμβαση δημιουργεί ένα ενιαίο και συνεκτικό μέσο για τη βελτίωση των συνθηκών διαβίωσης και εργασίας επί των αλιευτικών σκαφών. Ωστόσο, λίγα, μόνο, κράτη μέλη έχουν κυρώσει τις διεθνείς συμβάσεις που αφορούν την αλιεία</w:t>
      </w:r>
      <w:r>
        <w:rPr>
          <w:rStyle w:val="FootnoteReference"/>
          <w:noProof/>
        </w:rPr>
        <w:footnoteReference w:id="21"/>
      </w:r>
      <w:r>
        <w:rPr>
          <w:noProof/>
        </w:rPr>
        <w:t xml:space="preserve"> και η μεταφορά των εν λόγω κανόνων στο δίκαιο της ΕΕ δεν έχει ακόμη ολοκληρωθεί. Η διασφάλιση αξιοπρεπών συνθηκών εργασίας, υγιεινής και ασφάλειας επί των αλιευτικών σκαφών, βρίσκεται υψηλά στην ημερήσια διάταξη της Επιτροπής. </w:t>
      </w:r>
    </w:p>
    <w:p>
      <w:pPr>
        <w:rPr>
          <w:noProof/>
          <w:szCs w:val="24"/>
        </w:rPr>
      </w:pPr>
    </w:p>
    <w:p>
      <w:pPr>
        <w:pStyle w:val="Heading2"/>
        <w:ind w:left="720"/>
        <w:rPr>
          <w:noProof/>
        </w:rPr>
      </w:pPr>
      <w:r>
        <w:rPr>
          <w:noProof/>
        </w:rPr>
        <w:t>Διακυβέρνηση</w:t>
      </w:r>
    </w:p>
    <w:p>
      <w:pPr>
        <w:pStyle w:val="Heading3"/>
        <w:rPr>
          <w:noProof/>
        </w:rPr>
      </w:pPr>
      <w:r>
        <w:rPr>
          <w:noProof/>
        </w:rPr>
        <w:t>Πρόοδος που έχει σημειωθεί όσον αφορά τα πολυετή σχέδια</w:t>
      </w:r>
    </w:p>
    <w:p>
      <w:pPr>
        <w:spacing w:after="0"/>
        <w:rPr>
          <w:noProof/>
        </w:rPr>
      </w:pPr>
      <w:r>
        <w:rPr>
          <w:noProof/>
        </w:rPr>
        <w:t xml:space="preserve">Η πρόσφατη έγκριση του πολυετούς σχεδίου για τα βενθοπελαγικά είδη στη Βόρεια Θάλασσα αποτελεί σημαντική εξέλιξη, η οποία θα συμβάλει στη διασφάλιση βιώσιμης αλιείας μακροπρόθεσμα. Πρόκειται για το δεύτερο πολυετές σχέδιο μετά το πολυετές σχέδιο για τη Βαλτική το 2016. Αντιθέτως, το Ευρωπαϊκό Κοινοβούλιο και το Συμβούλιο δεν έχουν καταλήξει ακόμη σε συμφωνία σχετικά με το πολυετές σχέδιο για τις σαρδέλες και τις αντσούγιες στην Αδριατική Θάλασσα που πρότεινε η Επιτροπή το 2017, και οι προοπτικές για την ταχεία έγκρισή του είναι ισχνές. Η Επιτροπή συνεργάζεται στενά με όλα τα ενδιαφερόμενα μέρη για να διευκολυνθούν οι συζητήσεις ώστε να καταστεί δυνατή η εφαρμογή μέτρων το συντομότερο δυνατό για την προστασία των αποθεμάτων σε κρίσιμη κατάσταση. </w:t>
      </w:r>
    </w:p>
    <w:p>
      <w:pPr>
        <w:spacing w:after="0"/>
        <w:rPr>
          <w:noProof/>
        </w:rPr>
      </w:pPr>
    </w:p>
    <w:p>
      <w:pPr>
        <w:spacing w:after="0"/>
        <w:rPr>
          <w:noProof/>
        </w:rPr>
      </w:pPr>
      <w:r>
        <w:rPr>
          <w:noProof/>
        </w:rPr>
        <w:t xml:space="preserve">Τον Μάρτιο του 2018, η Επιτροπή πρότεινε δύο νέα πολυετή προγράμματα: ένα </w:t>
      </w:r>
      <w:r>
        <w:rPr>
          <w:b/>
          <w:noProof/>
        </w:rPr>
        <w:t>όσον αφορά την αλιεία βενθοπελαγικών αποθεμάτων στη δυτική Μεσόγειο</w:t>
      </w:r>
      <w:r>
        <w:rPr>
          <w:noProof/>
        </w:rPr>
        <w:t xml:space="preserve"> και ένα</w:t>
      </w:r>
      <w:r>
        <w:rPr>
          <w:b/>
          <w:noProof/>
        </w:rPr>
        <w:t xml:space="preserve"> για τα βενθοπελαγικά είδη στα Δυτικά Ύδατα</w:t>
      </w:r>
      <w:r>
        <w:rPr>
          <w:noProof/>
        </w:rPr>
        <w:t>. Η επίτευξη συμφωνίας επί των προτάσεων αυτών είναι σημαντική για την επίτευξη του δείκτη F</w:t>
      </w:r>
      <w:r>
        <w:rPr>
          <w:smallCaps/>
          <w:noProof/>
          <w:vertAlign w:val="subscript"/>
        </w:rPr>
        <w:t>msy</w:t>
      </w:r>
      <w:r>
        <w:rPr>
          <w:noProof/>
        </w:rPr>
        <w:t xml:space="preserve"> και για την πλήρη εφαρμογή της υποχρέωσης εκφόρτωσης. </w:t>
      </w:r>
    </w:p>
    <w:p>
      <w:pPr>
        <w:spacing w:after="0"/>
        <w:rPr>
          <w:bCs/>
          <w:noProof/>
          <w:szCs w:val="24"/>
        </w:rPr>
      </w:pPr>
    </w:p>
    <w:p>
      <w:pPr>
        <w:pStyle w:val="Heading3"/>
        <w:rPr>
          <w:noProof/>
        </w:rPr>
      </w:pPr>
      <w:r>
        <w:rPr>
          <w:noProof/>
        </w:rPr>
        <w:t>Περιφερειοποίηση και συμμετοχή των ενδιαφερόμενων μερών</w:t>
      </w:r>
    </w:p>
    <w:p>
      <w:pPr>
        <w:spacing w:after="0"/>
        <w:rPr>
          <w:bCs/>
          <w:noProof/>
          <w:szCs w:val="24"/>
        </w:rPr>
      </w:pPr>
      <w:r>
        <w:rPr>
          <w:noProof/>
        </w:rPr>
        <w:t xml:space="preserve">Η μεταρρύθμιση της κοινής αλιευτικής πολιτικής το 2013 εισήγαγε τη διαδικασία της περιφερειοποίησης: στις περιπτώσεις στις οποίες εφαρμόζεται περιφερειοποίηση, τα ενδιαφερόμενα κράτη μέλη δύνανται να υποβάλλουν κοινές συστάσεις για την έκδοση κατ’ εξουσιοδότηση πράξεων της Επιτροπής.  Η νέα γενιά πολυετών προγραμμάτων περιλαμβάνει επίσης διατάξεις για την περιφερειοποίηση, που επιτρέπουν στα κράτη μέλη και στους ενδιαφερόμενους φορείς να συνεργάζονται σε προσαρμοσμένα μέτρα διαχείρισης που καλύπτουν τις θαλάσσιες λεκάνες στις οποίες ανήκουν. </w:t>
      </w:r>
    </w:p>
    <w:p>
      <w:pPr>
        <w:spacing w:after="0"/>
        <w:rPr>
          <w:noProof/>
          <w:szCs w:val="24"/>
        </w:rPr>
      </w:pPr>
    </w:p>
    <w:p>
      <w:pPr>
        <w:spacing w:after="0"/>
        <w:rPr>
          <w:noProof/>
          <w:sz w:val="22"/>
        </w:rPr>
      </w:pPr>
      <w:r>
        <w:rPr>
          <w:noProof/>
        </w:rPr>
        <w:t>Η περιφερειοποίηση έχει διαδραματίσει σημαντικό ρόλο στη σταδιακή εφαρμογή της υποχρέωσης εκφόρτωσης. Αντιθέτως, ο αριθμός των κοινών συστάσεων για τα μέτρα διατήρησης στους τόπους του δικτύου Natura 2000 και σε άλλες προστατευόμενες περιοχές, σύμφωνα με το άρθρο 11 της ΚΑΠ, ήταν μικρότερος, και καλύπτει μόνο ορισμένες περιοχές της Βόρειας Θάλασσας και της Βαλτικής. Για να βοηθηθούν τα κράτη μέλη της Μεσογείου να κατανοήσουν καλύτερα τα πλεονεκτήματα της θέσπισης μέτρων διατήρησης στο πλαίσιο της ΚΑΠ, πραγματοποιήθηκε ειδικό εργαστήριο για το θέμα αυτό στο Zadar τον Οκτώβριο του 2017. Τα κράτη μέλη και τα ενδιαφερόμενα μέρη πρέπει να καταβάλουν περισσότερες προσπάθειες ως προς το θέμα αυτό. Για να διευκολυνθούν οι εργασίες αυτές, η Επιτροπή θα εκδώσει έγγραφο καθοδήγησης σχετικά με τη διαμόρφωση των κατ’ εξουσιοδότηση πράξεων σύμφωνα με το άρθρο 11 της ΚΑΠ. Επιπλέον, στις αρχές του τρέχοντος έτους, η Επιτροπή υπέβαλε έκθεση σχετικά με την άσκηση των κατ’ εξουσιοδότηση αρμοδιοτήτων στο πλαίσιο της ΚΑΠ</w:t>
      </w:r>
      <w:r>
        <w:rPr>
          <w:rStyle w:val="FootnoteReference"/>
          <w:noProof/>
        </w:rPr>
        <w:footnoteReference w:id="22"/>
      </w:r>
      <w:r>
        <w:rPr>
          <w:noProof/>
        </w:rPr>
        <w:t>.</w:t>
      </w:r>
    </w:p>
    <w:p>
      <w:pPr>
        <w:spacing w:after="0"/>
        <w:rPr>
          <w:noProof/>
          <w:szCs w:val="24"/>
        </w:rPr>
      </w:pPr>
    </w:p>
    <w:p>
      <w:pPr>
        <w:spacing w:after="0"/>
        <w:rPr>
          <w:noProof/>
        </w:rPr>
      </w:pPr>
      <w:r>
        <w:rPr>
          <w:noProof/>
        </w:rPr>
        <w:t xml:space="preserve">Η περιφερειοποίηση ενίσχυσε επίσης τον ρόλο των γνωμοδοτικών συμβουλίων (ΓΣ), τις κύριες οργανώσεις ενδιαφερομένων που συγκροτήθηκαν στο πλαίσιο της ΚΑΠ. Τα κράτη μέλη πρέπει να συμβουλεύονται τα ΓΣ κατά τη χάραξη των κοινών συστάσεών τους. Ως εκ τούτου, ο αριθμός των συστάσεων των ΓΣ αυξήθηκε και πάλι από 56 το 2016 σε 64 το 2017. </w:t>
      </w:r>
    </w:p>
    <w:p>
      <w:pPr>
        <w:spacing w:after="0"/>
        <w:rPr>
          <w:noProof/>
        </w:rPr>
      </w:pPr>
    </w:p>
    <w:p>
      <w:pPr>
        <w:spacing w:after="0"/>
        <w:rPr>
          <w:noProof/>
        </w:rPr>
      </w:pPr>
      <w:r>
        <w:rPr>
          <w:noProof/>
        </w:rPr>
        <w:t>Η εμπειρογνωμοσύνη των ΓΣ είναι καθοριστικής σημασίας για την επιτυχημένη εφαρμογή της ΚΑΠ. Η Επιτροπή και τα κράτη μέλη βασίζονται στις αναλύσεις τους για την πρόληψη ή τουλάχιστον τον μετριασμό περιπτώσεων περιοριστικής ποσόστωσης, στο πλαίσιο των ισχυόντων κανόνων της ΕΕ. Τα ΓΣ μπορούν επίσης να αναπτύξουν βιώσιμες στρατηγικές διαχείρισης, όπως οι δύο στρατηγικές διαχείρισης για τη γλώσσα στον Βισκαϊκό Κόλπο και στην Ανατολική Μάγχη, που επέτρεψαν τη συλλογή αλιευμάτων τηρώντας το επίπεδο του δείκτη F</w:t>
      </w:r>
      <w:r>
        <w:rPr>
          <w:smallCaps/>
          <w:noProof/>
          <w:vertAlign w:val="subscript"/>
        </w:rPr>
        <w:t>msy</w:t>
      </w:r>
      <w:r>
        <w:rPr>
          <w:noProof/>
        </w:rPr>
        <w:t xml:space="preserve">, με αποτέλεσμα την αύξηση των ποσοστώσεων για τους αλιείς. </w:t>
      </w:r>
    </w:p>
    <w:p>
      <w:pPr>
        <w:spacing w:after="0"/>
        <w:rPr>
          <w:noProof/>
        </w:rPr>
      </w:pPr>
    </w:p>
    <w:p>
      <w:pPr>
        <w:spacing w:after="0"/>
        <w:rPr>
          <w:noProof/>
        </w:rPr>
      </w:pPr>
      <w:r>
        <w:rPr>
          <w:noProof/>
        </w:rPr>
        <w:t xml:space="preserve"> </w:t>
      </w:r>
    </w:p>
    <w:p>
      <w:pPr>
        <w:pStyle w:val="Heading2"/>
        <w:ind w:left="720"/>
        <w:rPr>
          <w:noProof/>
        </w:rPr>
      </w:pPr>
      <w:r>
        <w:rPr>
          <w:noProof/>
        </w:rPr>
        <w:t>Η υποχρέωση εκφόρτωσης</w:t>
      </w:r>
    </w:p>
    <w:p>
      <w:pPr>
        <w:spacing w:after="0"/>
        <w:rPr>
          <w:noProof/>
        </w:rPr>
      </w:pPr>
      <w:r>
        <w:rPr>
          <w:noProof/>
        </w:rPr>
        <w:t xml:space="preserve">Η σταδιακή καθιέρωση της υποχρέωσης εκφόρτωσης σημείωσε περαιτέρω πρόοδο κατά το 2018. Η αλιεία πελαγικών ειδών και η αλιεία στη Βαλτική και στον Εύξεινο Πόντο υπόκεινται ήδη πλήρως στην υποχρέωση εκφόρτωσης. Όσον αφορά τη βενθοπελαγική αλιεία, σημειώθηκε γενική αύξηση του πεδίου εφαρμογής της υποχρέωσης εκφόρτωσης σε όγκο από 35 % σε 44 % από το περασμένο έτος: αυτή αντιστοιχεί σε ποσοστό 34 % στη Βόρεια Θάλασσα, σε 51 % στα Βορειοδυτικά Ύδατα και 65 % στα Νοτιοδυτικά Ύδατα. Στη Μεσόγειο, το 66 %, περίπου, των συνολικών εκφορτώσεων υπόκειται, επί του παρόντος, σε υποχρέωση εκφόρτωσης. Το ποσοστό αυτό ανέρχεται σε 94 % περίπου για την αλιεία μικρών πελαγικών ειδών, σε 24 % για τα βενθοπελαγικά είδη και σε 71 % για τα δίθυρα μαλάκια. Στον Εύξεινο Πόντο, από το 2017, η υποχρέωση εκφόρτωσης καλύπτει όλα τα αλιεύματα των ειδών που υπόκεινται σε TAC, ήτοι την παπαλίνα και το καλκάνι. </w:t>
      </w:r>
    </w:p>
    <w:p>
      <w:pPr>
        <w:spacing w:after="0"/>
        <w:rPr>
          <w:noProof/>
        </w:rPr>
      </w:pPr>
    </w:p>
    <w:p>
      <w:pPr>
        <w:spacing w:after="0"/>
        <w:rPr>
          <w:noProof/>
        </w:rPr>
      </w:pPr>
      <w:r>
        <w:rPr>
          <w:noProof/>
        </w:rPr>
        <w:t xml:space="preserve">Σύμφωνα με τις διατάξεις του βασικού κανονισμού, από την 1η Ιανουαρίου 2019, η υποχρέωση εκφόρτωσης θα εφαρμόζεται για όλα τα αλιεύματα ειδών που υπόκεινται σε όρια αλιευμάτων και στη Μεσόγειο, επίσης, για τα αλιεύματα των ειδών που υπόκεινται σε ελάχιστα μεγέθη αναφοράς διατήρησης. Προκειμένου να διευκολυνθεί η πλήρης και έγκαιρη εφαρμογή της υποχρέωσης εκφόρτωσης, θα πρέπει να αξιοποιηθούν πλήρως όλα τα υφιστάμενα περιθώρια ευελιξίας στο πλαίσιο της ΚΑΠ. </w:t>
      </w:r>
    </w:p>
    <w:p>
      <w:pPr>
        <w:spacing w:after="0"/>
        <w:rPr>
          <w:noProof/>
        </w:rPr>
      </w:pPr>
    </w:p>
    <w:p>
      <w:pPr>
        <w:spacing w:after="0"/>
        <w:rPr>
          <w:noProof/>
        </w:rPr>
      </w:pPr>
      <w:r>
        <w:rPr>
          <w:noProof/>
        </w:rPr>
        <w:t>Με βάση τις έως σήμερα διαθέσιμες πληροφορίες, δεν υπήρξαν περιπτώσεις περιοριστικής ποσόστωσης που προέκυψαν ως αποτέλεσμα της υποχρέωσης εκφόρτωσης. Ωστόσο, οι στόχοι της επίτευξης του δείκτη F</w:t>
      </w:r>
      <w:r>
        <w:rPr>
          <w:smallCaps/>
          <w:noProof/>
          <w:vertAlign w:val="subscript"/>
        </w:rPr>
        <w:t>msy</w:t>
      </w:r>
      <w:r>
        <w:rPr>
          <w:noProof/>
        </w:rPr>
        <w:t xml:space="preserve"> για το 2020 και της πλήρους εφαρμογής της υποχρέωσης εκφόρτωσης αποτελούν πρόκληση και, ως εκ τούτου, τα κράτη μέλη και τα ΓΣ ενθαρρύνονται να συνεχίσουν τις εργασίες τους, κυρίως για τον εντοπισμό των περιπτώσεων στις οποίες υπάρχει επαρκής ποσότητα ψαριών στο σύστημα και, ως εκ τούτου, η ανταλλαγή ποσοστώσεων μπορεί να αποτρέψει την επιβολή περιοριστικής ποσόστωσης. Τα κράτη μέλη θα πρέπει επίσης να εξετάσουν εάν θα μπορούσαν να βελτιωθούν οι εσωτερικοί κανόνες τους. Η χρήση του Ευρωπαϊκού Ταμείου Θάλασσας και Αλιείας για τη στήριξη της εφαρμογής της υποχρέωσης εκφόρτωσης εξακολουθεί να είναι πολύ περιορισμένη, με μόνο 49 εκατ. EUR να προορίζονται για μέτρα που συνδέονται με την υποχρέωση εκφόρτωσης</w:t>
      </w:r>
      <w:r>
        <w:rPr>
          <w:rStyle w:val="FootnoteReference"/>
          <w:noProof/>
        </w:rPr>
        <w:footnoteReference w:id="23"/>
      </w:r>
      <w:r>
        <w:rPr>
          <w:noProof/>
        </w:rPr>
        <w:t xml:space="preserve">. </w:t>
      </w:r>
    </w:p>
    <w:p>
      <w:pPr>
        <w:spacing w:after="0"/>
        <w:rPr>
          <w:noProof/>
          <w:szCs w:val="24"/>
        </w:rPr>
      </w:pPr>
    </w:p>
    <w:p>
      <w:pPr>
        <w:spacing w:after="0"/>
        <w:rPr>
          <w:noProof/>
          <w:szCs w:val="24"/>
        </w:rPr>
      </w:pPr>
      <w:r>
        <w:rPr>
          <w:noProof/>
        </w:rPr>
        <w:t>Η Επιτροπή είναι απολύτως προσηλωμένη στη συνεργασία με τα κράτη μέλη και τα ΓΣ για τη διευκόλυνση της εφαρμογής της υποχρέωσης εκφόρτωσης. Η πρόσφατη τροποποίηση του άρθρου 15 παράγραφος 6 της ΚΑΠ, προκειμένου να καταστεί δυνατή η ανανέωση των σχεδίων απορρίψεων για συμπληρωματική περίοδο τριών ετών, αποτελεί ένδειξη της δέσμευσης αυτής</w:t>
      </w:r>
      <w:r>
        <w:rPr>
          <w:rStyle w:val="FootnoteReference"/>
          <w:noProof/>
        </w:rPr>
        <w:footnoteReference w:id="24"/>
      </w:r>
      <w:r>
        <w:rPr>
          <w:noProof/>
        </w:rPr>
        <w:t>. Το Ευρωπαϊκό Κοινοβούλιο και το Συμβούλιο θα πρέπει να χρησιμοποιήσουν την εν λόγω επιπλέον περίοδο για να καταλήξουν σε συμφωνία σχετικά με τα πολυετή σχέδια που πρότεινε πρόσφατα η Επιτροπή, δεδομένου ότι αυτά αποτελούν χρήσιμο εργαλείο για την αντιμετώπιση του ενδεχομένου περιπτώσεων περιοριστικής ποσόστωσης. Η Επιτροπή θα εξακολουθήσει να συμβάλει στην περαιτέρω διερεύνηση δυνατοτήτων, ιδίως όσον αφορά περιπτώσεις περιοριστικής ποσόστωσης, εντός των ορίων των ισχυόντων κανόνων της ΕΕ και με βάση συγκεκριμένα παραδείγματα που παρουσιάζουν τα κράτη μέλη.</w:t>
      </w:r>
    </w:p>
    <w:p>
      <w:pPr>
        <w:spacing w:after="0"/>
        <w:rPr>
          <w:noProof/>
          <w:szCs w:val="24"/>
        </w:rPr>
      </w:pPr>
    </w:p>
    <w:p>
      <w:pPr>
        <w:spacing w:after="0"/>
        <w:rPr>
          <w:noProof/>
          <w:szCs w:val="24"/>
        </w:rPr>
      </w:pPr>
      <w:r>
        <w:rPr>
          <w:noProof/>
        </w:rPr>
        <w:t>Όσον αφορά την επιβολή και τον έλεγχο, καθίσταται όλο και πιο σαφές ότι τα παραδοσιακά μέσα ελέγχου, όπως οι επιθεωρήσεις στη θάλασσα και η επιτήρηση από αέρος, είναι λιγότερο αποτελεσματικά σε σχέση με τη συνεχή χρήση ηλεκτρονικών τεχνολογιών παρακολούθησης εξ αποστάσεως (REM), όπως είναι οι τηλεοπτικές κάμερες κλειστού κυκλώματος (CCTV) και οι αισθητήρες. Ελλείψει συμφωνίας σε περιφερειακό επίπεδο, και προκειμένου να εξασφαλίσει ίσους όρους ανταγωνισμού, η Επιτροπή πρόσφατα ξεκίνησε συζητήσεις με τα κράτη μέλη και την ΕΥΕΑ για την αντιμετώπιση του ζητήματος αυτού στο πλαίσιο των ΕΠΕΕ που εγκρίθηκαν δυνάμει του κανονισμού ελέγχου</w:t>
      </w:r>
      <w:r>
        <w:rPr>
          <w:rStyle w:val="FootnoteReference"/>
          <w:noProof/>
        </w:rPr>
        <w:footnoteReference w:id="25"/>
      </w:r>
      <w:r>
        <w:rPr>
          <w:noProof/>
        </w:rPr>
        <w:t>.</w:t>
      </w:r>
    </w:p>
    <w:p>
      <w:pPr>
        <w:spacing w:after="0"/>
        <w:rPr>
          <w:noProof/>
        </w:rPr>
      </w:pPr>
    </w:p>
    <w:p>
      <w:pPr>
        <w:pStyle w:val="Heading2"/>
        <w:numPr>
          <w:ilvl w:val="0"/>
          <w:numId w:val="0"/>
        </w:numPr>
        <w:spacing w:after="0"/>
        <w:rPr>
          <w:noProof/>
        </w:rPr>
      </w:pPr>
    </w:p>
    <w:p>
      <w:pPr>
        <w:pStyle w:val="Heading2"/>
        <w:spacing w:after="0"/>
        <w:ind w:left="720"/>
        <w:contextualSpacing/>
        <w:rPr>
          <w:noProof/>
        </w:rPr>
      </w:pPr>
      <w:r>
        <w:rPr>
          <w:noProof/>
        </w:rPr>
        <w:t>Το ευρύτερο πλαίσιο: Διεθνής διακυβέρνηση των ωκεανών και διάσκεψη «Our Ocean» το 2017</w:t>
      </w:r>
    </w:p>
    <w:p>
      <w:pPr>
        <w:pStyle w:val="Heading2"/>
        <w:numPr>
          <w:ilvl w:val="0"/>
          <w:numId w:val="0"/>
        </w:numPr>
        <w:spacing w:after="0"/>
        <w:ind w:left="720"/>
        <w:contextualSpacing/>
        <w:rPr>
          <w:noProof/>
          <w:szCs w:val="24"/>
        </w:rPr>
      </w:pPr>
    </w:p>
    <w:p>
      <w:pPr>
        <w:spacing w:after="0"/>
        <w:contextualSpacing/>
        <w:rPr>
          <w:noProof/>
          <w:szCs w:val="24"/>
        </w:rPr>
      </w:pPr>
      <w:r>
        <w:rPr>
          <w:noProof/>
        </w:rPr>
        <w:t>Το 2017, η ΕΕ φιλοξένησε την τέταρτη διάσκεψη «Our Ocean»  με μεγάλη επιτυχία, καθώς είχε ως αποτέλεσμα την ανάληψη 433 απτών δεσμεύσεων ύψους 7,2 δισ. EUR σε χρηματοδοτικές δεσμεύσεις και σε επιπλέον έκταση 2,5 εκατ. Km</w:t>
      </w:r>
      <w:r>
        <w:rPr>
          <w:noProof/>
          <w:vertAlign w:val="superscript"/>
        </w:rPr>
        <w:t>²</w:t>
      </w:r>
      <w:r>
        <w:rPr>
          <w:noProof/>
        </w:rPr>
        <w:t xml:space="preserve">  προστατευόμενων θαλάσσιων περιοχών. </w:t>
      </w:r>
    </w:p>
    <w:p>
      <w:pPr>
        <w:spacing w:after="0"/>
        <w:contextualSpacing/>
        <w:rPr>
          <w:noProof/>
          <w:szCs w:val="24"/>
        </w:rPr>
      </w:pPr>
    </w:p>
    <w:p>
      <w:pPr>
        <w:spacing w:after="0"/>
        <w:contextualSpacing/>
        <w:rPr>
          <w:noProof/>
          <w:szCs w:val="24"/>
        </w:rPr>
      </w:pPr>
      <w:r>
        <w:rPr>
          <w:noProof/>
        </w:rPr>
        <w:t>Στο πλαίσιο της κοινής ανακοίνωσης σχετικά με τη διεθνή διακυβέρνηση των ωκεανών, το έργο που επιτελεί η Επιτροπή σε διεθνές επίπεδο επικεντρώνεται περαιτέρω στα εξής:</w:t>
      </w:r>
    </w:p>
    <w:p>
      <w:pPr>
        <w:spacing w:after="0"/>
        <w:contextualSpacing/>
        <w:rPr>
          <w:noProof/>
          <w:szCs w:val="24"/>
        </w:rPr>
      </w:pPr>
    </w:p>
    <w:p>
      <w:pPr>
        <w:pStyle w:val="ListParagraph"/>
        <w:numPr>
          <w:ilvl w:val="0"/>
          <w:numId w:val="39"/>
        </w:numPr>
        <w:contextualSpacing/>
        <w:jc w:val="both"/>
        <w:rPr>
          <w:rFonts w:ascii="Times New Roman" w:hAnsi="Times New Roman"/>
          <w:noProof/>
          <w:sz w:val="24"/>
          <w:szCs w:val="24"/>
        </w:rPr>
      </w:pPr>
      <w:r>
        <w:rPr>
          <w:rFonts w:ascii="Times New Roman" w:hAnsi="Times New Roman"/>
          <w:noProof/>
          <w:sz w:val="24"/>
        </w:rPr>
        <w:t>στην ενεργό προώθηση της βιώσιμης διαχείρισης της αλιείας εκτός των υδάτων της ΕΕ μέσω των Περιφερειακών Οργανώσεων Διαχείρισης της Αλιείας (ΠΟΔΑ)·</w:t>
      </w:r>
    </w:p>
    <w:p>
      <w:pPr>
        <w:pStyle w:val="ListParagraph"/>
        <w:numPr>
          <w:ilvl w:val="0"/>
          <w:numId w:val="39"/>
        </w:numPr>
        <w:autoSpaceDE w:val="0"/>
        <w:autoSpaceDN w:val="0"/>
        <w:adjustRightInd w:val="0"/>
        <w:jc w:val="both"/>
        <w:rPr>
          <w:rFonts w:ascii="Times New Roman" w:hAnsi="Times New Roman"/>
          <w:noProof/>
          <w:color w:val="000000"/>
          <w:sz w:val="18"/>
          <w:szCs w:val="16"/>
        </w:rPr>
      </w:pPr>
      <w:r>
        <w:rPr>
          <w:rFonts w:ascii="Times New Roman" w:hAnsi="Times New Roman"/>
          <w:noProof/>
          <w:color w:val="000000"/>
          <w:sz w:val="24"/>
        </w:rPr>
        <w:t>στη στήριξη του καλύτερου συντονισμού μεταξύ των ΠΟΔΑ και των περιφερειακών συμβάσεων για τη θάλασσα και τη συνεργασία με διεθνείς οργανισμούς·</w:t>
      </w:r>
    </w:p>
    <w:p>
      <w:pPr>
        <w:pStyle w:val="ListParagraph"/>
        <w:numPr>
          <w:ilvl w:val="0"/>
          <w:numId w:val="39"/>
        </w:numPr>
        <w:contextualSpacing/>
        <w:jc w:val="both"/>
        <w:rPr>
          <w:rFonts w:ascii="Times New Roman" w:hAnsi="Times New Roman"/>
          <w:noProof/>
          <w:sz w:val="24"/>
          <w:szCs w:val="24"/>
        </w:rPr>
      </w:pPr>
      <w:r>
        <w:rPr>
          <w:rFonts w:ascii="Times New Roman" w:hAnsi="Times New Roman"/>
          <w:noProof/>
          <w:sz w:val="24"/>
        </w:rPr>
        <w:t>στην καταπολέμηση της ΠΛΑ αλιείας και την ενίσχυση της βιώσιμης διαχείρισης των ωκεάνιων πόρων μέσω διμερών διαλόγων όσον αφορά την ΠΛΑ και μέσω ομάδων εργασίας. Η έναρξη ισχύος της συμφωνίας σχετικά με τα μέτρα που λαμβάνει το κράτος λιμένα  (PSMA) τον Ιούνιο του 2016, η έγκριση των προαιρετικών κατευθυντήριων γραμμών του Οργανισμού Τροφίμων και Γεωργίας (FAO) σχετικά με συστήματα τεκμηρίωσης αλιευμάτων τον Ιούλιο του 2017 και η έναρξη της πρώτης ισχύουσας εκδοχής του παγκόσμιου μητρώου καταχώρησης αλιευτικών σκαφών, σκαφών μεταφοράς κατεψυγμένων προϊόντων και σκαφών εφοδιασμού του FAO, τον Απρίλιο του 2017, αποτελούν σημαντικές εξελίξεις σε αυτόν τον τομέα·</w:t>
      </w:r>
    </w:p>
    <w:p>
      <w:pPr>
        <w:pStyle w:val="ListParagraph"/>
        <w:numPr>
          <w:ilvl w:val="0"/>
          <w:numId w:val="39"/>
        </w:numPr>
        <w:jc w:val="both"/>
        <w:rPr>
          <w:rFonts w:ascii="Times New Roman" w:hAnsi="Times New Roman"/>
          <w:noProof/>
          <w:sz w:val="24"/>
          <w:szCs w:val="24"/>
        </w:rPr>
      </w:pPr>
      <w:r>
        <w:rPr>
          <w:rFonts w:ascii="Times New Roman" w:hAnsi="Times New Roman"/>
          <w:noProof/>
          <w:sz w:val="24"/>
        </w:rPr>
        <w:t>στην κάλυψη των κενών στο διεθνές πλαίσιο. Στην επίτευξη διεθνούς συμφωνίας βάσει της οποίας θα αποτρέπεται κάθε δραστηριότητα άναρχης εμπορικής αλιείας στην ανοικτή θάλασσα της Αρκτικής, αποτελεί βασικό επίτευγμα σε αυτόν τον τομέα·</w:t>
      </w:r>
    </w:p>
    <w:p>
      <w:pPr>
        <w:pStyle w:val="ListParagraph"/>
        <w:numPr>
          <w:ilvl w:val="0"/>
          <w:numId w:val="39"/>
        </w:numPr>
        <w:contextualSpacing/>
        <w:jc w:val="both"/>
        <w:rPr>
          <w:rFonts w:ascii="Times New Roman" w:hAnsi="Times New Roman"/>
          <w:noProof/>
          <w:sz w:val="24"/>
          <w:szCs w:val="24"/>
        </w:rPr>
      </w:pPr>
      <w:r>
        <w:rPr>
          <w:rFonts w:ascii="Times New Roman" w:hAnsi="Times New Roman"/>
          <w:noProof/>
          <w:sz w:val="24"/>
        </w:rPr>
        <w:t>Στην ανάπτυξη βιώσιμης αλιείας και υδατοκαλλιέργειας και στην ενίσχυση της ικανότητας στον κλάδο στο πλαίσιο χρηματοδοτούμενων από την ΕΕ προγραμμάτων στήριξης με περιφερειακούς φορείς και τις χώρες του Ειρηνικού, της Δυτικής Αφρικής και του Ινδικού Ωκεανού. Το 2017, εγκρίθηκαν δύο νέα περιφερειακά προγράμματα, το PESCAO (στη Δυτική Αφρική) και το PEUMP (στον Ειρηνικό)·</w:t>
      </w:r>
    </w:p>
    <w:p>
      <w:pPr>
        <w:pStyle w:val="ListParagraph"/>
        <w:numPr>
          <w:ilvl w:val="0"/>
          <w:numId w:val="39"/>
        </w:numPr>
        <w:contextualSpacing/>
        <w:jc w:val="both"/>
        <w:rPr>
          <w:rFonts w:ascii="Times New Roman" w:hAnsi="Times New Roman"/>
          <w:noProof/>
          <w:sz w:val="24"/>
          <w:szCs w:val="24"/>
        </w:rPr>
      </w:pPr>
      <w:r>
        <w:rPr>
          <w:rFonts w:ascii="Times New Roman" w:hAnsi="Times New Roman"/>
          <w:noProof/>
          <w:sz w:val="24"/>
        </w:rPr>
        <w:t xml:space="preserve">Στη βελτίωση της διακυβέρνησης στον τομέα της αλιείας και στη βιώσιμη ανάπτυξη της τοπικής αλιείας μέσω συμφωνιών σύμπραξης βιώσιμης αλιείας (ΣΣΒΑ). </w:t>
      </w:r>
    </w:p>
    <w:p>
      <w:pPr>
        <w:spacing w:after="0"/>
        <w:rPr>
          <w:noProof/>
          <w:szCs w:val="24"/>
        </w:rPr>
      </w:pPr>
    </w:p>
    <w:p>
      <w:pPr>
        <w:spacing w:after="0"/>
        <w:rPr>
          <w:noProof/>
          <w:szCs w:val="24"/>
        </w:rPr>
      </w:pPr>
      <w:r>
        <w:rPr>
          <w:noProof/>
        </w:rPr>
        <w:t>Ο νέος κανονισμός σχετικά με τη βιώσιμη διαχείριση των εξωτερικών αλιευτικών στόλων</w:t>
      </w:r>
      <w:r>
        <w:rPr>
          <w:rStyle w:val="FootnoteReference"/>
          <w:noProof/>
        </w:rPr>
        <w:footnoteReference w:id="26"/>
      </w:r>
      <w:r>
        <w:rPr>
          <w:noProof/>
        </w:rPr>
        <w:t xml:space="preserve">, ο οποίος τέθηκε σε ισχύ στις 12 Δεκεμβρίου 2017, έχει ως στόχο την ενίσχυση του ρόλου της ΕΕ ως βασικού παγκόσμιου παράγοντα στον τομέα της αλιείας, στη διακυβέρνηση των ωκεανών και στην καταπολέμηση της ΠΛΑ αλιείας. </w:t>
      </w:r>
    </w:p>
    <w:p>
      <w:pPr>
        <w:spacing w:after="0"/>
        <w:rPr>
          <w:noProof/>
          <w:szCs w:val="24"/>
        </w:rPr>
      </w:pPr>
    </w:p>
    <w:p>
      <w:pPr>
        <w:pStyle w:val="Heading1"/>
        <w:rPr>
          <w:noProof/>
        </w:rPr>
      </w:pPr>
      <w:r>
        <w:rPr>
          <w:noProof/>
        </w:rPr>
        <w:t xml:space="preserve">Προτάσεις για τα TAC του 2019 </w:t>
      </w:r>
    </w:p>
    <w:p>
      <w:pPr>
        <w:spacing w:after="0"/>
        <w:rPr>
          <w:bCs/>
          <w:noProof/>
        </w:rPr>
      </w:pPr>
      <w:r>
        <w:rPr>
          <w:noProof/>
        </w:rPr>
        <w:t>Ο καθορισμός TAC για το έτος 2019 θα χαρακτηρίζεται από τρία ορόσημα: τον επικείμενο στόχο της επίτευξης του δείκτη F</w:t>
      </w:r>
      <w:r>
        <w:rPr>
          <w:smallCaps/>
          <w:noProof/>
          <w:vertAlign w:val="subscript"/>
        </w:rPr>
        <w:t>msy</w:t>
      </w:r>
      <w:r>
        <w:rPr>
          <w:noProof/>
        </w:rPr>
        <w:t xml:space="preserve"> για το 2020, την πλήρη εφαρμογή της υποχρέωσης εκφόρτωσης από το 2019 και τις αλιευτικές δυνατότητες βάσει των πολυετών προγραμμάτων για τη Βαλτική και τη Βόρειο Θάλασσα. Και τα τρία ορόσημα είναι εξίσου σημαντικά για τα ενδιαφερόμενα μέρη καθώς και για τα κράτη μέλη και πρέπει να ληφθούν υπόψη κατά τον καθορισμό των TAC, για τη διασφάλιση της συνοχής.</w:t>
      </w:r>
    </w:p>
    <w:p>
      <w:pPr>
        <w:spacing w:after="0"/>
        <w:rPr>
          <w:b/>
          <w:i/>
          <w:noProof/>
          <w:szCs w:val="24"/>
        </w:rPr>
      </w:pPr>
    </w:p>
    <w:p>
      <w:pPr>
        <w:pStyle w:val="Heading2"/>
        <w:tabs>
          <w:tab w:val="clear" w:pos="7665"/>
          <w:tab w:val="num" w:pos="1200"/>
        </w:tabs>
        <w:ind w:left="1200"/>
        <w:rPr>
          <w:noProof/>
        </w:rPr>
      </w:pPr>
      <w:r>
        <w:rPr>
          <w:noProof/>
        </w:rPr>
        <w:t>Γενικοί στόχοι των προτάσεων για τις αλιευτικές δυνατότητες το 2019</w:t>
      </w:r>
    </w:p>
    <w:p>
      <w:pPr>
        <w:spacing w:after="0"/>
        <w:rPr>
          <w:bCs/>
          <w:noProof/>
          <w:szCs w:val="24"/>
        </w:rPr>
      </w:pPr>
      <w:r>
        <w:rPr>
          <w:noProof/>
        </w:rPr>
        <w:t>Κύριος στόχος της Επιτροπής είναι να επιτευχθεί σημαντική περαιτέρω πρόοδος ως προς την επίτευξη του δείκτη F</w:t>
      </w:r>
      <w:r>
        <w:rPr>
          <w:smallCaps/>
          <w:noProof/>
          <w:vertAlign w:val="subscript"/>
        </w:rPr>
        <w:t>msy</w:t>
      </w:r>
      <w:r>
        <w:rPr>
          <w:noProof/>
        </w:rPr>
        <w:t>, δεδομένου ότι πρόκειται για το τελευταίο έτος πριν από την επίτευξη του δείκτη F</w:t>
      </w:r>
      <w:r>
        <w:rPr>
          <w:smallCaps/>
          <w:noProof/>
          <w:vertAlign w:val="subscript"/>
        </w:rPr>
        <w:t>msy</w:t>
      </w:r>
      <w:r>
        <w:rPr>
          <w:noProof/>
        </w:rPr>
        <w:t xml:space="preserve"> το 2020. Όσον αφορά τα αποθέματα που αξιολογούνται με βάση τον δείκτη F</w:t>
      </w:r>
      <w:r>
        <w:rPr>
          <w:smallCaps/>
          <w:noProof/>
          <w:vertAlign w:val="subscript"/>
        </w:rPr>
        <w:t>msy</w:t>
      </w:r>
      <w:r>
        <w:rPr>
          <w:noProof/>
        </w:rPr>
        <w:t xml:space="preserve">, τα οποία διαχειρίζεται αποκλειστικά η ΕΕ, η Ένωση έχει σημειώσει σημαντική πρόοδο, όπως προαναφέρθηκε. </w:t>
      </w:r>
    </w:p>
    <w:p>
      <w:pPr>
        <w:spacing w:after="0"/>
        <w:rPr>
          <w:bCs/>
          <w:noProof/>
          <w:szCs w:val="24"/>
        </w:rPr>
      </w:pPr>
    </w:p>
    <w:p>
      <w:pPr>
        <w:spacing w:after="0"/>
        <w:rPr>
          <w:bCs/>
          <w:noProof/>
          <w:szCs w:val="24"/>
        </w:rPr>
      </w:pPr>
      <w:r>
        <w:rPr>
          <w:noProof/>
        </w:rPr>
        <w:t>Ωστόσο, η διασφάλιση της επίτευξης του δείκτη F</w:t>
      </w:r>
      <w:r>
        <w:rPr>
          <w:smallCaps/>
          <w:noProof/>
          <w:vertAlign w:val="subscript"/>
        </w:rPr>
        <w:t>msy</w:t>
      </w:r>
      <w:r>
        <w:rPr>
          <w:noProof/>
        </w:rPr>
        <w:t>, ανά πάσα στιγμή, όσον αφορά όλα τα TAC, αποτελεί πρόκληση. Τόσο για βιολογικούς όσο και για κοινωνικοοικονομικούς λόγους, ενδέχεται να μην είναι δυνατή η επίτευξη του δείκτη F</w:t>
      </w:r>
      <w:r>
        <w:rPr>
          <w:smallCaps/>
          <w:noProof/>
          <w:vertAlign w:val="subscript"/>
        </w:rPr>
        <w:t>msy</w:t>
      </w:r>
      <w:r>
        <w:rPr>
          <w:noProof/>
        </w:rPr>
        <w:t xml:space="preserve"> για όλα τα αποθέματα, ταυτόχρονα. Συνεπώς, η διατήρηση του στόχου επίτευξης του δείκτη F</w:t>
      </w:r>
      <w:r>
        <w:rPr>
          <w:smallCaps/>
          <w:noProof/>
          <w:vertAlign w:val="subscript"/>
        </w:rPr>
        <w:t>msy</w:t>
      </w:r>
      <w:r>
        <w:rPr>
          <w:noProof/>
        </w:rPr>
        <w:t xml:space="preserve"> στο πλαίσιο της ΚΑΠ, αποτελεί συνεχή προσπάθεια.</w:t>
      </w:r>
    </w:p>
    <w:p>
      <w:pPr>
        <w:spacing w:after="0"/>
        <w:rPr>
          <w:bCs/>
          <w:noProof/>
          <w:szCs w:val="24"/>
        </w:rPr>
      </w:pPr>
    </w:p>
    <w:p>
      <w:pPr>
        <w:spacing w:after="0" w:line="288" w:lineRule="auto"/>
        <w:rPr>
          <w:noProof/>
          <w:szCs w:val="24"/>
        </w:rPr>
      </w:pPr>
    </w:p>
    <w:p>
      <w:pPr>
        <w:pStyle w:val="Heading2"/>
        <w:tabs>
          <w:tab w:val="clear" w:pos="7665"/>
          <w:tab w:val="num" w:pos="1200"/>
        </w:tabs>
        <w:ind w:left="1200"/>
        <w:rPr>
          <w:noProof/>
        </w:rPr>
      </w:pPr>
      <w:r>
        <w:rPr>
          <w:noProof/>
        </w:rPr>
        <w:t>Πώς θα επιτύχουμε τους στόχους μας – η διαδικασία από τις επιστημονικές γνωμοδοτήσεις έως τη διαπραγμάτευση των αλιευτικών δυνατοτήτων</w:t>
      </w:r>
    </w:p>
    <w:p>
      <w:pPr>
        <w:spacing w:after="0"/>
        <w:rPr>
          <w:noProof/>
          <w:szCs w:val="24"/>
        </w:rPr>
      </w:pPr>
      <w:r>
        <w:rPr>
          <w:i/>
          <w:noProof/>
        </w:rPr>
        <w:t>Βάση</w:t>
      </w:r>
      <w:r>
        <w:rPr>
          <w:noProof/>
        </w:rPr>
        <w:t xml:space="preserve"> των προτάσεων της Επιτροπής για τις αλιευτικές δυνατότητες θα αποτελέσουν οι επιστημονικές γνωμοδοτήσεις του Διεθνούς Συμβουλίου για την Εξερεύνηση των Θαλασσών (ICES), που εκδίδονται τμηματικά</w:t>
      </w:r>
      <w:r>
        <w:rPr>
          <w:rStyle w:val="FootnoteReference"/>
          <w:noProof/>
        </w:rPr>
        <w:footnoteReference w:id="27"/>
      </w:r>
      <w:r>
        <w:rPr>
          <w:noProof/>
        </w:rPr>
        <w:t xml:space="preserve">. Η Επιτροπή προτίθεται να καλύψει όσο το δυνατόν περισσότερα αποθέματα στις αρχικές της προτάσεις. Στη συγκεκριμένη περίπτωση της Βόρειας θάλασσας και του Ατλαντικού, λόγω της έκδοσης γνωμοδοτήσεων με καθυστέρηση από τον Οκτώβριο έως τον Δεκέμβριο, η πρόταση θα συνεχίσει, εντούτοις, να περιέχει αλιευτικές δυνατότητες με την ένδειξη </w:t>
      </w:r>
      <w:r>
        <w:rPr>
          <w:i/>
          <w:noProof/>
        </w:rPr>
        <w:t>προς υπόμνηση</w:t>
      </w:r>
      <w:r>
        <w:rPr>
          <w:noProof/>
        </w:rPr>
        <w:t xml:space="preserve"> όσον αφορά εκείνες τις γνωμοδοτήσεις αποθεμάτων που εκδόθηκαν με καθυστέρηση. </w:t>
      </w:r>
    </w:p>
    <w:p>
      <w:pPr>
        <w:spacing w:after="0"/>
        <w:rPr>
          <w:noProof/>
          <w:szCs w:val="24"/>
        </w:rPr>
      </w:pPr>
    </w:p>
    <w:p>
      <w:pPr>
        <w:spacing w:after="0"/>
        <w:rPr>
          <w:noProof/>
          <w:szCs w:val="24"/>
        </w:rPr>
      </w:pPr>
      <w:r>
        <w:rPr>
          <w:noProof/>
        </w:rPr>
        <w:t>Σημαντικό στοιχείο στη διαδικασία αυτή είναι η διαβούλευση με τους ενδιαφερομένους, η οποία διαδραματίζει καθοριστικό ρόλο. Η Επιτροπή καλεί τα κράτη μέλη και τα ενδιαφερόμενα μέρη να ξεκινήσουν εγκαίρως τις εργασίες τους, με βάση τη γνωμοδότηση του ICES η οποία είναι διαθέσιμη στο κοινό, και να μην αναμένουν τις προτάσεις της Επιτροπής. Τα ενδιαφερόμενα μέρη θα έχουν στη συνέχεια την ευκαιρία να υποβάλουν συστάσεις σχετικά με τις αλιευτικές δυνατότητες στην Επιτροπή, ιδίως μέσω των αντίστοιχων ΓΣ, και να ανταλλάξουν απόψεις με τα κράτη μέλη. Σε αυτό το στάδιο, οι ενδιαφερόμενοι φορείς θα πρέπει επίσης να εξετάσουν τον κοινωνικοοικονομικό αντίκτυπο της γνωμοδότησης του ICES.</w:t>
      </w:r>
    </w:p>
    <w:p>
      <w:pPr>
        <w:spacing w:after="0"/>
        <w:rPr>
          <w:noProof/>
          <w:szCs w:val="24"/>
        </w:rPr>
      </w:pPr>
    </w:p>
    <w:p>
      <w:pPr>
        <w:spacing w:after="0"/>
        <w:rPr>
          <w:noProof/>
          <w:szCs w:val="24"/>
        </w:rPr>
      </w:pPr>
      <w:r>
        <w:rPr>
          <w:noProof/>
        </w:rPr>
        <w:t xml:space="preserve">Λαμβάνοντας υπόψη τις ανωτέρω διαβουλεύσεις, η Επιτροπή θα καταρτίσει τις προτάσεις της. Θα καταρτιστούν τέσσερις προτάσεις, οι οποίες θα καλύπτουν, αντίστοιχα, τη Βαλτική Θάλασσα (τον Σεπτέμβριο), τα αποθέματα βαθέων υδάτων (τον Σεπτέμβριο), τις περιοχές του Ατλαντικού και της Βόρειας Θάλασσας (τον Νοέμβριο) και τον Εύξεινο Πόντο (τον Νοέμβριο), που θα συζητηθούν στο πλαίσιο τριών χωριστών συνόδων του Συμβουλίου. </w:t>
      </w:r>
    </w:p>
    <w:p>
      <w:pPr>
        <w:spacing w:after="0"/>
        <w:rPr>
          <w:noProof/>
          <w:szCs w:val="24"/>
        </w:rPr>
      </w:pPr>
    </w:p>
    <w:p>
      <w:pPr>
        <w:spacing w:after="0"/>
        <w:rPr>
          <w:noProof/>
          <w:szCs w:val="24"/>
        </w:rPr>
      </w:pPr>
      <w:r>
        <w:rPr>
          <w:noProof/>
        </w:rPr>
        <w:t>Η Επιτροπή θα αναπτύξει και θα συζητήσει τις προτάσεις με τα κράτη μέλη, τόσο ενόψει των σχετικών συνόδων του Συμβουλίου όσο και κατά τη διάρκεια αυτών. Κατά τη διάρκεια των συζητήσεων, η Επιτροπή θα αξιολογήσει, με βάση έγκυρη οικονομική ανάλυση που θα παρασχεθεί από τα κράτη μέλη, εάν η επίτευξη των ποσοστών εκμετάλλευσης με βάση τον δείκτη F</w:t>
      </w:r>
      <w:r>
        <w:rPr>
          <w:smallCaps/>
          <w:noProof/>
          <w:vertAlign w:val="subscript"/>
        </w:rPr>
        <w:t>msy</w:t>
      </w:r>
      <w:r>
        <w:rPr>
          <w:noProof/>
        </w:rPr>
        <w:t xml:space="preserve"> το 2019 θα έθετε σε σοβαρό κίνδυνο την κοινωνική και οικονομική βιωσιμότητα των θιγόμενων αλιευτικών στόλων</w:t>
      </w:r>
      <w:r>
        <w:rPr>
          <w:rStyle w:val="FootnoteReference"/>
          <w:noProof/>
        </w:rPr>
        <w:footnoteReference w:id="28"/>
      </w:r>
      <w:r>
        <w:rPr>
          <w:noProof/>
        </w:rPr>
        <w:t xml:space="preserve">. Για την καλύτερη οργάνωση των συζητήσεων αυτών, η Επιτροπή καλεί τα κράτη μέλη να επεξεργαστούν τις κοινωνικοοικονομικές πτυχές σε εύθετο χρόνο, με βάση τις γνωμοδοτήσεις του ICES και να προβούν σε διαβούλευση με τους ενδιαφερόμενους φορείς. Για την ουσιαστική αξιολόγηση των κοινωνικοοικονομικών πτυχών, τα κράτη μέλη θα πρέπει να αποστείλουν τις παρατηρήσεις τους στην Επιτροπή το αργότερο δύο μήνες πριν από τη σχετική σύνοδο του Συμβουλίου. </w:t>
      </w:r>
    </w:p>
    <w:p>
      <w:pPr>
        <w:spacing w:after="0"/>
        <w:rPr>
          <w:noProof/>
          <w:szCs w:val="24"/>
        </w:rPr>
      </w:pPr>
    </w:p>
    <w:p>
      <w:pPr>
        <w:spacing w:after="0"/>
        <w:rPr>
          <w:noProof/>
          <w:sz w:val="22"/>
        </w:rPr>
      </w:pPr>
      <w:r>
        <w:rPr>
          <w:noProof/>
        </w:rPr>
        <w:t>Δεδομένου ότι οι προτάσεις για τα TAC αναμένεται να εκδοθούν πριν από την αποχώρηση του Ηνωμένου Βασιλείου, δεν προβλέπεται καμία αλλαγή στη διαδικασία λήψης αποφάσεων για το 2018. Οι ισχύουσες διατάξεις του σχεδίου συμφωνίας αποχώρησης, όπως συμφωνήθηκε σε επίπεδο διαπραγματευτών στις 19 Μαρτίου 2018, προβλέπουν μεταβατική περίοδο, κατά την οποία οι αποφάσεις του Συμβουλίου σχετικά με τις αλιευτικές δυνατότητες για το 2019 θα πρέπει να εφαρμόζονται πλήρως στο Ηνωμένο Βασίλειο για όλο το 2019. Ωστόσο, οι εν λόγω διατάξεις ισχύουν με την επιφύλαξη της επίσημης έγκρισης της συμφωνίας αποχώρησης στο σύνολό της, τόσο από την Ένωση όσο και από το Ηνωμένο Βασίλειο, ενώ δεν υπάρχει νομική βεβαιότητα όσον αφορά την εφαρμογή τους έως τότε.</w:t>
      </w:r>
    </w:p>
    <w:p>
      <w:pPr>
        <w:spacing w:after="0"/>
        <w:rPr>
          <w:noProof/>
        </w:rPr>
      </w:pPr>
    </w:p>
    <w:p>
      <w:pPr>
        <w:spacing w:after="0"/>
        <w:rPr>
          <w:noProof/>
        </w:rPr>
      </w:pPr>
    </w:p>
    <w:p>
      <w:pPr>
        <w:pStyle w:val="Heading2"/>
        <w:numPr>
          <w:ilvl w:val="0"/>
          <w:numId w:val="0"/>
        </w:numPr>
        <w:ind w:left="1200" w:hanging="720"/>
        <w:rPr>
          <w:i/>
          <w:noProof/>
          <w:szCs w:val="24"/>
        </w:rPr>
      </w:pPr>
      <w:r>
        <w:rPr>
          <w:noProof/>
        </w:rPr>
        <w:t>3.3 Καθορισμός των αλιευτικών δυνατοτήτων για διαφορετικούς τύπους αποθεμάτων</w:t>
      </w:r>
    </w:p>
    <w:p>
      <w:pPr>
        <w:spacing w:after="0"/>
        <w:rPr>
          <w:bCs/>
          <w:noProof/>
          <w:szCs w:val="24"/>
        </w:rPr>
      </w:pPr>
      <w:r>
        <w:rPr>
          <w:noProof/>
        </w:rPr>
        <w:t xml:space="preserve">Οι αλιευτικές δυνατότητες </w:t>
      </w:r>
      <w:r>
        <w:rPr>
          <w:i/>
          <w:noProof/>
        </w:rPr>
        <w:t>στη Βαλτική και στη Βόρεια Θάλασσα</w:t>
      </w:r>
      <w:r>
        <w:rPr>
          <w:noProof/>
        </w:rPr>
        <w:t xml:space="preserve"> θα καθοριστούν στο πλαίσιο των συναφών πολυετών προγραμμάτων, που καθορίζουν το εύρος τιμών θνησιμότητας λόγω αλιείας με βάση τον δείκτη F</w:t>
      </w:r>
      <w:r>
        <w:rPr>
          <w:smallCaps/>
          <w:noProof/>
          <w:vertAlign w:val="subscript"/>
        </w:rPr>
        <w:t>msy</w:t>
      </w:r>
      <w:r>
        <w:rPr>
          <w:noProof/>
        </w:rPr>
        <w:t xml:space="preserve"> και συνεπώς προσφέρουν έναν βαθμό ευελιξίας. Στόχος της Επιτροπής είναι να προβλέπει καλύτερα την ανάγκη για χρήση αυτής της ευελιξίας και εργάζεται επί του παρόντος με το ICES ώστε να λάβει πληροφορίες σχετικά με την ύπαρξη μικτής αλιείας ή εξαρτήσεων εντός του ιδίου είδους ή μεταξύ διαφορετικών ειδών, στο πλαίσιο των ετήσιων γνωμοδοτήσεων. Εάν οι γνωμοδοτήσεις αυτές καταστούν διαθέσιμες εγκαίρως, η Επιτροπή σκοπεύει να χρησιμοποιήσει ολόκληρο το φάσμα των τιμών του δείκτη F</w:t>
      </w:r>
      <w:r>
        <w:rPr>
          <w:smallCaps/>
          <w:noProof/>
          <w:vertAlign w:val="subscript"/>
        </w:rPr>
        <w:t>msy</w:t>
      </w:r>
      <w:r>
        <w:rPr>
          <w:noProof/>
        </w:rPr>
        <w:t xml:space="preserve"> για να προτείνει TAC, εφόσον αυτό δικαιολογείται από την ύπαρξη εξαρτήσεων εντός του ιδίου είδους ή μεταξύ διαφορετικών ειδών ή σε περιπτώσεις μεικτής αλιείας, όπως ορίζεται στα πολυετή σχέδια.</w:t>
      </w:r>
    </w:p>
    <w:p>
      <w:pPr>
        <w:spacing w:after="0"/>
        <w:rPr>
          <w:bCs/>
          <w:noProof/>
          <w:szCs w:val="24"/>
        </w:rPr>
      </w:pPr>
    </w:p>
    <w:p>
      <w:pPr>
        <w:spacing w:after="0"/>
        <w:rPr>
          <w:noProof/>
          <w:szCs w:val="24"/>
        </w:rPr>
      </w:pPr>
      <w:r>
        <w:rPr>
          <w:noProof/>
        </w:rPr>
        <w:t>Κατά την κατάρτιση των προτάσεων, είναι επίσης σημαντικό να ληφθεί υπόψη ότι από το 2019 και έπειτα οι αλιευτικές δυνατότητες θα προτείνονται στο πλαίσιο της πλήρους εφαρμογής της υποχρέωσης εκφόρτωσης. Ενώ κατά τα προηγούμενα έτη η Επιτροπή πρότεινε συμπληρωματικές τιμές μετά την αρχική πρόταση της Επιτροπής, από εφέτος η Επιτροπή προτίθεται να προτείνει για τη Βαλτική και τη Βόρεια Θάλασσα τη γνωμοδότηση του ICES όσον αφορά τις εκφορτώσεις για τα εύρη τιμών του δείκτη F</w:t>
      </w:r>
      <w:r>
        <w:rPr>
          <w:smallCaps/>
          <w:noProof/>
          <w:vertAlign w:val="subscript"/>
        </w:rPr>
        <w:t>msy</w:t>
      </w:r>
      <w:r>
        <w:rPr>
          <w:noProof/>
        </w:rPr>
        <w:t xml:space="preserve">, αφαιρώντας ταυτόχρονα τα </w:t>
      </w:r>
      <w:r>
        <w:rPr>
          <w:i/>
          <w:noProof/>
        </w:rPr>
        <w:t xml:space="preserve">ελάχιστα </w:t>
      </w:r>
      <w:r>
        <w:rPr>
          <w:noProof/>
        </w:rPr>
        <w:t xml:space="preserve"> δικαιώματα, ανάλογα με την περίπτωση. Το ίδιο θα ισχύει και για τον </w:t>
      </w:r>
      <w:r>
        <w:rPr>
          <w:i/>
          <w:noProof/>
        </w:rPr>
        <w:t>Ατλαντικό</w:t>
      </w:r>
      <w:r>
        <w:rPr>
          <w:noProof/>
        </w:rPr>
        <w:t>. Προκειμένου να διευκολύνει την πλήρη εφαρμογή της υποχρέωσης εκφόρτωσης για το 2019, είναι σημαντικό να αξιοποιήσει όλα τα εργαλεία που διαθέτει, μεταξύ άλλων και τυχόν γνωμοδότηση του ICES σχετικά με την προσέγγιση με βάση μικτούς τύπους αλιείας, κατά περίπτωση.</w:t>
      </w:r>
    </w:p>
    <w:p>
      <w:pPr>
        <w:spacing w:after="0"/>
        <w:rPr>
          <w:bCs/>
          <w:noProof/>
          <w:szCs w:val="24"/>
        </w:rPr>
      </w:pPr>
    </w:p>
    <w:p>
      <w:pPr>
        <w:pStyle w:val="Text2"/>
        <w:ind w:left="0"/>
        <w:rPr>
          <w:noProof/>
        </w:rPr>
      </w:pPr>
      <w:r>
        <w:rPr>
          <w:noProof/>
        </w:rPr>
        <w:t xml:space="preserve">Όσον αφορά τις επιστημονικές γνωμοδοτήσεις, πρέπει να επισημανθεί ότι το ICES προβαίνει στον καθορισμό </w:t>
      </w:r>
      <w:r>
        <w:rPr>
          <w:i/>
          <w:noProof/>
        </w:rPr>
        <w:t>κριτηρίων αξιολόγησης</w:t>
      </w:r>
      <w:r>
        <w:rPr>
          <w:noProof/>
        </w:rPr>
        <w:t xml:space="preserve"> των αποθεμάτων ανά διαστήματα λίγων ετών. Σε περίπτωση που τα κριτήρια αξιολόγησης έχουν ως αποτέλεσμα σημαντικές διαφορές στη γνωμοδότηση του 2019 σε σύγκριση με τη γνωμοδότηση του ICES για το 2018, η Επιτροπή θα εξετάσει την κάλυψη των υπερβολικά μεγάλων διαφοροποιήσεων κατά περίπτωση προκειμένου να εφαρμόσει σταδιακά τη γνωμοδότηση και να αμβλύνει τον αντίκτυπό της στον καθορισμό των TAC, σεβόμενη ταυτόχρονα το νομικό πλαίσιο.</w:t>
      </w:r>
    </w:p>
    <w:p>
      <w:pPr>
        <w:spacing w:after="0"/>
        <w:rPr>
          <w:bCs/>
          <w:noProof/>
          <w:szCs w:val="24"/>
        </w:rPr>
      </w:pPr>
      <w:r>
        <w:rPr>
          <w:noProof/>
        </w:rPr>
        <w:t xml:space="preserve">Ορισμένα </w:t>
      </w:r>
      <w:r>
        <w:rPr>
          <w:i/>
          <w:noProof/>
        </w:rPr>
        <w:t>πολυετή σχέδια τα οποία εγκρίθηκαν πριν από την ΚΑΠ το 2013</w:t>
      </w:r>
      <w:r>
        <w:rPr>
          <w:noProof/>
        </w:rPr>
        <w:t xml:space="preserve"> δεν είναι πλέον συμβατά με τους στόχους της νέας ΚΑΠ, για παράδειγμα επειδή συμπεριλαμβάνουν έναν λιγότερο φιλόδοξο στόχο. Αυτό ισχύει για τον μερλούκιο του Νότου και την καραβίδα. Σε αυτές τις περιπτώσεις, η Επιτροπή προτίθεται να προτείνει TAC που επιτυγχάνουν το επίπεδο του δείκτη F</w:t>
      </w:r>
      <w:r>
        <w:rPr>
          <w:smallCaps/>
          <w:noProof/>
          <w:vertAlign w:val="subscript"/>
        </w:rPr>
        <w:t>msy</w:t>
      </w:r>
      <w:r>
        <w:rPr>
          <w:noProof/>
        </w:rPr>
        <w:t xml:space="preserve"> το 2019, λαμβάνοντας παράλληλα υπόψη τις επιστημονικές γνωμοδοτήσεις του ICES για τους μικτούς τύπους αλιείας.</w:t>
      </w:r>
    </w:p>
    <w:p>
      <w:pPr>
        <w:spacing w:after="0"/>
        <w:rPr>
          <w:rFonts w:eastAsia="Calibri"/>
          <w:noProof/>
          <w:szCs w:val="24"/>
        </w:rPr>
      </w:pPr>
    </w:p>
    <w:p>
      <w:pPr>
        <w:spacing w:after="0"/>
        <w:rPr>
          <w:rFonts w:eastAsia="Calibri"/>
          <w:noProof/>
          <w:szCs w:val="24"/>
        </w:rPr>
      </w:pPr>
      <w:r>
        <w:rPr>
          <w:noProof/>
        </w:rPr>
        <w:t>Όσον αφορά τα αποθέματα που αξιολογούνται με βάση τον δείκτη F</w:t>
      </w:r>
      <w:r>
        <w:rPr>
          <w:smallCaps/>
          <w:noProof/>
          <w:vertAlign w:val="subscript"/>
        </w:rPr>
        <w:t>msy</w:t>
      </w:r>
      <w:r>
        <w:rPr>
          <w:noProof/>
        </w:rPr>
        <w:t xml:space="preserve"> που υπόκεινται σε διαβουλεύσεις </w:t>
      </w:r>
      <w:r>
        <w:rPr>
          <w:i/>
          <w:noProof/>
        </w:rPr>
        <w:t>με τρίτες χώρες εταίρους, στο πλαίσιο των διαβουλεύσεων ΕΕ-Νορβηγίας και των διαβουλεύσεων με τα παράκτια κράτη μέλη</w:t>
      </w:r>
      <w:r>
        <w:rPr>
          <w:noProof/>
        </w:rPr>
        <w:t>, η Επιτροπή εξακολουθεί να επιδιώκει τη σύναψη συμφωνίας μαζί τους, παράλληλα με την προσπάθεια επίτευξης του δείκτη F</w:t>
      </w:r>
      <w:r>
        <w:rPr>
          <w:smallCaps/>
          <w:noProof/>
          <w:vertAlign w:val="subscript"/>
        </w:rPr>
        <w:t>msy</w:t>
      </w:r>
      <w:r>
        <w:rPr>
          <w:noProof/>
        </w:rPr>
        <w:t>.</w:t>
      </w:r>
    </w:p>
    <w:p>
      <w:pPr>
        <w:spacing w:after="0"/>
        <w:rPr>
          <w:rFonts w:eastAsia="Calibri"/>
          <w:noProof/>
          <w:szCs w:val="24"/>
        </w:rPr>
      </w:pPr>
    </w:p>
    <w:p>
      <w:pPr>
        <w:spacing w:after="0"/>
        <w:rPr>
          <w:bCs/>
          <w:noProof/>
          <w:szCs w:val="24"/>
        </w:rPr>
      </w:pPr>
      <w:r>
        <w:rPr>
          <w:noProof/>
        </w:rPr>
        <w:t>Παράλληλα με τα αποθέματα που αξιολογούνται με βάση τον δείκτη F</w:t>
      </w:r>
      <w:r>
        <w:rPr>
          <w:smallCaps/>
          <w:noProof/>
          <w:vertAlign w:val="subscript"/>
        </w:rPr>
        <w:t>msy</w:t>
      </w:r>
      <w:r>
        <w:rPr>
          <w:noProof/>
        </w:rPr>
        <w:t>, η πρόταση της Επιτροπής θα καλύψει επίσης ορισμένα αποθέματα, για τα οποία το ICES θα χρησιμοποιήσει μοντέλα πρόβλεψης τάσεων, και θα παράσχει ποσοτικές γνωμοδοτήσεις περί αλιευμάτων βάσει αντιπροσωπευτικού δείκτη F</w:t>
      </w:r>
      <w:r>
        <w:rPr>
          <w:smallCaps/>
          <w:noProof/>
          <w:vertAlign w:val="subscript"/>
        </w:rPr>
        <w:t>msy</w:t>
      </w:r>
      <w:r>
        <w:rPr>
          <w:noProof/>
        </w:rPr>
        <w:t xml:space="preserve">. Για τα εν λόγω αποθέματα, η Επιτροπή προτίθεται να ακολουθήσει την ίδια προσέγγιση όπως και για τα αποθέματα που αξιολογήθηκαν με βάση τη ΜΒΑ. </w:t>
      </w:r>
    </w:p>
    <w:p>
      <w:pPr>
        <w:spacing w:after="0"/>
        <w:rPr>
          <w:bCs/>
          <w:noProof/>
          <w:szCs w:val="24"/>
        </w:rPr>
      </w:pPr>
    </w:p>
    <w:p>
      <w:pPr>
        <w:spacing w:after="0"/>
        <w:rPr>
          <w:bCs/>
          <w:noProof/>
          <w:szCs w:val="24"/>
        </w:rPr>
      </w:pPr>
      <w:r>
        <w:rPr>
          <w:noProof/>
        </w:rPr>
        <w:t xml:space="preserve">Τέλος, για σειρά </w:t>
      </w:r>
      <w:r>
        <w:rPr>
          <w:i/>
          <w:noProof/>
        </w:rPr>
        <w:t>αποθεμάτων τα οποία αλιεύονται μόνον ως παρεμπίπτοντα αλιεύματα</w:t>
      </w:r>
      <w:r>
        <w:rPr>
          <w:noProof/>
        </w:rPr>
        <w:t>, όπως εκείνα που περιλαμβάνονται στη δήλωση για τα αποθέματα, η Επιτροπή λαμβάνει προληπτική γνωμοδότηση του ICES. Αυτό ισχύει για τα παρεμπίπτοντα αλιεύματα σύμφωνα με το σχέδιο για τη Βαλτική και τη Βόρεια Θάλασσα αλλά και για τα παρεμπίπτοντα αλιεύματα στον Ατλαντικό. Σε ορισμένες περιπτώσεις, τα εν λόγω TAC παρεμπιπτόντων αλιευμάτων έχουν χαμηλά επίπεδα απορρόφησης των ποσοστώσεων. Είναι μικρής οικονομικής σημασίας και τα στοιχεία σχετικά με την κατάσταση του αποθέματος είναι περιορισμένα. Η Επιτροπή θα αξιολογήσει την καλύτερη προσέγγιση για το μέλλον, λαμβάνοντας υπόψη: τη γνωμοδότηση του ICES· το γεγονός ότι αντιπροσωπεύουν μόνον το 5 % των εκφορτώσεων που υπόκεινται σε TAC και· την ανάγκη να αποφευχθούν περιπτώσεις περιοριστικής ποσόστωσης για σημαντικά από οικονομικής πλευράς στοχευόμενα αλιεύματα.</w:t>
      </w:r>
    </w:p>
    <w:p>
      <w:pPr>
        <w:spacing w:after="0"/>
        <w:rPr>
          <w:noProof/>
        </w:rPr>
      </w:pPr>
    </w:p>
    <w:p>
      <w:pPr>
        <w:spacing w:after="0"/>
        <w:rPr>
          <w:noProof/>
        </w:rPr>
      </w:pPr>
      <w:r>
        <w:rPr>
          <w:noProof/>
        </w:rPr>
        <w:t xml:space="preserve">Όσον αφορά το χέλι, ένα απόθεμα σε κρίσιμη κατάσταση, η Επιτροπή σκοπεύει να συμπεριλάβει κατάλληλα μέτρα για όλες τις θαλάσσιες λεκάνες στην πρότασή της για τις αλιευτικές δυνατότητες στον Ατλαντικό και στη Βόρεια Θάλασσα με βάση τις τελευταίες επιστημονικές γνωμοδοτήσεις. Η Επιτροπή θα επανεκτιμήσει την κατάσταση το επόμενο έτος, λαμβάνοντας υπόψη τα αποτελέσματα της αξιολόγησης του κανονισμού για το χέλι, τα πορίσματα των εκθέσεων των κρατών μελών σχετικά με την υλοποίηση των σχεδίων διαχείρισης για το χέλι και τα αποτελέσματα όσον αφορά την εφαρμογή της θέσπισης προσωρινής απαγόρευσης της αλιείας.  </w:t>
      </w:r>
    </w:p>
    <w:p>
      <w:pPr>
        <w:spacing w:after="0"/>
        <w:rPr>
          <w:noProof/>
        </w:rPr>
      </w:pPr>
    </w:p>
    <w:p>
      <w:pPr>
        <w:spacing w:after="0"/>
        <w:rPr>
          <w:bCs/>
          <w:noProof/>
          <w:szCs w:val="24"/>
        </w:rPr>
      </w:pPr>
      <w:r>
        <w:rPr>
          <w:noProof/>
        </w:rPr>
        <w:t xml:space="preserve">Οι αλιευτικές δυνατότητες </w:t>
      </w:r>
      <w:r>
        <w:rPr>
          <w:b/>
          <w:noProof/>
        </w:rPr>
        <w:t>για τα αποθέματα που υπάγονται στην αρμοδιότητα των περιφερειακών οργανώσεων διαχείρισης αλιείας</w:t>
      </w:r>
      <w:r>
        <w:rPr>
          <w:noProof/>
        </w:rPr>
        <w:t xml:space="preserve"> θα μεταφερθούν στο εθνικό δίκαιο με βάση τις αποφάσεις τους, κατά τη συνήθη διαδικασία. </w:t>
      </w:r>
    </w:p>
    <w:p>
      <w:pPr>
        <w:rPr>
          <w:noProof/>
        </w:rPr>
      </w:pPr>
    </w:p>
    <w:p>
      <w:pPr>
        <w:pStyle w:val="Heading1"/>
        <w:rPr>
          <w:noProof/>
        </w:rPr>
      </w:pPr>
      <w:r>
        <w:rPr>
          <w:noProof/>
        </w:rPr>
        <w:t>Συμπέρασμα</w:t>
      </w:r>
    </w:p>
    <w:p>
      <w:pPr>
        <w:rPr>
          <w:noProof/>
        </w:rPr>
      </w:pPr>
      <w:r>
        <w:rPr>
          <w:noProof/>
        </w:rPr>
        <w:t>Συνολικά, η Ευρωπαϊκή Ένωση σημειώνει πρόοδο όσον αφορά την υλοποίηση της ΚΑΠ, με αυξανόμενο αριθμό των TAC να συνάδουν με το επίπεδο του δείκτη F</w:t>
      </w:r>
      <w:r>
        <w:rPr>
          <w:smallCaps/>
          <w:noProof/>
          <w:vertAlign w:val="subscript"/>
        </w:rPr>
        <w:t>msy</w:t>
      </w:r>
      <w:r>
        <w:rPr>
          <w:noProof/>
        </w:rPr>
        <w:t xml:space="preserve">. Ωστόσο, δεν είναι καιρός για εφησυχασμό. Πρέπει να συνεχιστεί η πορεία προς την κατεύθυνση αυτή, καθώς το 2020 πλησιάζει ταχύτατα. </w:t>
      </w:r>
    </w:p>
    <w:p>
      <w:pPr>
        <w:rPr>
          <w:noProof/>
        </w:rPr>
      </w:pPr>
      <w:r>
        <w:rPr>
          <w:noProof/>
        </w:rPr>
        <w:t xml:space="preserve">Στη Μεσόγειο και στον Εύξεινο Πόντο, η κατάσταση παραμένει ανησυχητική. Η ΕΕ έχει αναλάβει ηγετικό ρόλο για την ανατροπή αυτής της τάσης, καθώς και με τους διεθνείς εταίρους της. Η Επιτροπή θα πράξει παν το δυνατόν για να διευκολύνει την ταχεία και ουσιαστική συμφωνία σχετικά με τα δύο νέα προτεινόμενα πολυετή σχέδια, για πελαγικά είδη στην Αδριατική και για βενθικά είδη στη Δυτική Μεσόγειο.   Τα κράτη μέλη θα πρέπει επίσης να εντείνουν τις προσπάθειες ώστε να εξασφαλίσουν ότι τα εθνικά τους σχέδια διαχείρισης βάσει του κανονισμού για τη Μεσόγειο συνάδουν με τη νέα ΚΑΠ.  </w:t>
      </w:r>
    </w:p>
    <w:p>
      <w:pPr>
        <w:rPr>
          <w:b/>
          <w:bCs/>
          <w:smallCaps/>
          <w:noProof/>
          <w:szCs w:val="32"/>
        </w:rPr>
      </w:pPr>
      <w:r>
        <w:rPr>
          <w:noProof/>
        </w:rPr>
        <w:t>Η πλήρης εφαρμογή της υποχρέωσης εκφόρτωσης παρουσιάζει επίσης προκλήσεις, τόσο για τον μετριασμό του ενδεχομένου περιπτώσεων περιοριστικής ποσόστωσης, όσο και για την εξασφάλιση εναρμονισμένης εφαρμογής στη θάλασσα μέσω των κατάλληλων εργαλείων επιβολής και ελέγχου.  Με τον στόλο της ΕΕ να είναι σε μεγάλο βαθμό πλέον επικερδής, είναι τώρα η κατάλληλη στιγμή να εξασφαλιστεί ότι έχουν ληφθεί τα αναγκαία μέτρα, ώστε να διασφαλιστεί ένα αειφόρο και ανταγωνιστικό μέλλον για τον τομέα της αλιείας στην ΕΕ.</w:t>
      </w:r>
      <w:r>
        <w:rPr>
          <w:noProof/>
        </w:rPr>
        <w:br w:type="page"/>
      </w:r>
    </w:p>
    <w:p>
      <w:pPr>
        <w:keepNext/>
        <w:tabs>
          <w:tab w:val="num" w:pos="850"/>
        </w:tabs>
        <w:spacing w:before="240" w:after="120"/>
        <w:ind w:left="851" w:hanging="851"/>
        <w:outlineLvl w:val="0"/>
        <w:rPr>
          <w:b/>
          <w:bCs/>
          <w:smallCaps/>
          <w:noProof/>
          <w:szCs w:val="32"/>
        </w:rPr>
      </w:pPr>
      <w:r>
        <w:rPr>
          <w:b/>
          <w:smallCaps/>
          <w:noProof/>
        </w:rPr>
        <w:t xml:space="preserve">Χρονοδιάγραμμα </w:t>
      </w:r>
    </w:p>
    <w:p>
      <w:pPr>
        <w:spacing w:after="60"/>
        <w:rPr>
          <w:noProof/>
          <w:szCs w:val="24"/>
        </w:rPr>
      </w:pPr>
    </w:p>
    <w:p>
      <w:pPr>
        <w:spacing w:after="60"/>
        <w:rPr>
          <w:noProof/>
          <w:szCs w:val="24"/>
        </w:rPr>
      </w:pPr>
      <w:r>
        <w:rPr>
          <w:noProof/>
        </w:rPr>
        <w:t>Το προβλεπόμενο χρονοδιάγραμμα των εργασιών έχει ως εξής: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4787"/>
      </w:tblGrid>
      <w:tr>
        <w:tc>
          <w:tcPr>
            <w:tcW w:w="0" w:type="auto"/>
            <w:shd w:val="clear" w:color="auto" w:fill="auto"/>
          </w:tcPr>
          <w:p>
            <w:pPr>
              <w:spacing w:before="120" w:after="60"/>
              <w:jc w:val="center"/>
              <w:rPr>
                <w:b/>
                <w:noProof/>
              </w:rPr>
            </w:pPr>
            <w:r>
              <w:rPr>
                <w:b/>
                <w:noProof/>
              </w:rPr>
              <w:t>Ημερομηνία</w:t>
            </w:r>
          </w:p>
        </w:tc>
        <w:tc>
          <w:tcPr>
            <w:tcW w:w="0" w:type="auto"/>
            <w:shd w:val="clear" w:color="auto" w:fill="auto"/>
          </w:tcPr>
          <w:p>
            <w:pPr>
              <w:spacing w:before="120" w:after="60"/>
              <w:jc w:val="center"/>
              <w:rPr>
                <w:b/>
                <w:noProof/>
              </w:rPr>
            </w:pPr>
            <w:r>
              <w:rPr>
                <w:b/>
                <w:noProof/>
              </w:rPr>
              <w:t>Περιγραφή</w:t>
            </w:r>
          </w:p>
        </w:tc>
      </w:tr>
      <w:tr>
        <w:tc>
          <w:tcPr>
            <w:tcW w:w="0" w:type="auto"/>
            <w:shd w:val="clear" w:color="auto" w:fill="auto"/>
          </w:tcPr>
          <w:p>
            <w:pPr>
              <w:spacing w:before="120" w:after="60"/>
              <w:rPr>
                <w:noProof/>
                <w:szCs w:val="24"/>
              </w:rPr>
            </w:pPr>
            <w:r>
              <w:rPr>
                <w:noProof/>
              </w:rPr>
              <w:t>Μάιος/Ιούνιος/Οκτώβριος/Δεκέμβριος</w:t>
            </w:r>
          </w:p>
        </w:tc>
        <w:tc>
          <w:tcPr>
            <w:tcW w:w="0" w:type="auto"/>
            <w:shd w:val="clear" w:color="auto" w:fill="auto"/>
          </w:tcPr>
          <w:p>
            <w:pPr>
              <w:spacing w:before="120" w:after="60"/>
              <w:rPr>
                <w:noProof/>
                <w:szCs w:val="24"/>
              </w:rPr>
            </w:pPr>
            <w:r>
              <w:rPr>
                <w:noProof/>
              </w:rPr>
              <w:t>Γνωμοδότηση του ICES σχετικά με τα αποθέματα</w:t>
            </w:r>
          </w:p>
        </w:tc>
      </w:tr>
      <w:tr>
        <w:tc>
          <w:tcPr>
            <w:tcW w:w="0" w:type="auto"/>
            <w:shd w:val="clear" w:color="auto" w:fill="auto"/>
          </w:tcPr>
          <w:p>
            <w:pPr>
              <w:spacing w:before="120" w:after="60"/>
              <w:rPr>
                <w:noProof/>
                <w:szCs w:val="24"/>
              </w:rPr>
            </w:pPr>
            <w:r>
              <w:rPr>
                <w:noProof/>
              </w:rPr>
              <w:t>Ιούνιος — Σεπτέμβριος</w:t>
            </w:r>
          </w:p>
        </w:tc>
        <w:tc>
          <w:tcPr>
            <w:tcW w:w="0" w:type="auto"/>
            <w:shd w:val="clear" w:color="auto" w:fill="auto"/>
          </w:tcPr>
          <w:p>
            <w:pPr>
              <w:spacing w:before="120" w:after="60"/>
              <w:rPr>
                <w:noProof/>
                <w:szCs w:val="24"/>
              </w:rPr>
            </w:pPr>
            <w:r>
              <w:rPr>
                <w:noProof/>
              </w:rPr>
              <w:t>Δημόσια διαβούλευση σχετικά με την ανακοίνωση</w:t>
            </w:r>
          </w:p>
        </w:tc>
      </w:tr>
      <w:tr>
        <w:tc>
          <w:tcPr>
            <w:tcW w:w="0" w:type="auto"/>
            <w:shd w:val="clear" w:color="auto" w:fill="auto"/>
          </w:tcPr>
          <w:p>
            <w:pPr>
              <w:spacing w:before="120" w:after="60"/>
              <w:rPr>
                <w:noProof/>
                <w:szCs w:val="24"/>
              </w:rPr>
            </w:pPr>
            <w:r>
              <w:rPr>
                <w:noProof/>
              </w:rPr>
              <w:t>14 Σεπτεμβρίου</w:t>
            </w:r>
          </w:p>
        </w:tc>
        <w:tc>
          <w:tcPr>
            <w:tcW w:w="0" w:type="auto"/>
            <w:shd w:val="clear" w:color="auto" w:fill="auto"/>
          </w:tcPr>
          <w:p>
            <w:pPr>
              <w:spacing w:before="120" w:after="60"/>
              <w:rPr>
                <w:noProof/>
                <w:szCs w:val="24"/>
              </w:rPr>
            </w:pPr>
            <w:r>
              <w:rPr>
                <w:noProof/>
              </w:rPr>
              <w:t>Σεμινάριο σχετικά με την κατάσταση των αποθεμάτων με τη συμμετοχή ενδιαφερόμενων φορέων</w:t>
            </w:r>
          </w:p>
        </w:tc>
      </w:tr>
      <w:tr>
        <w:tc>
          <w:tcPr>
            <w:tcW w:w="0" w:type="auto"/>
            <w:shd w:val="clear" w:color="auto" w:fill="auto"/>
          </w:tcPr>
          <w:p>
            <w:pPr>
              <w:spacing w:before="120" w:after="60"/>
              <w:rPr>
                <w:noProof/>
                <w:szCs w:val="24"/>
              </w:rPr>
            </w:pPr>
            <w:r>
              <w:rPr>
                <w:noProof/>
              </w:rPr>
              <w:t>Σεπτέμβριος</w:t>
            </w:r>
          </w:p>
        </w:tc>
        <w:tc>
          <w:tcPr>
            <w:tcW w:w="0" w:type="auto"/>
            <w:shd w:val="clear" w:color="auto" w:fill="auto"/>
          </w:tcPr>
          <w:p>
            <w:pPr>
              <w:spacing w:before="120" w:after="60"/>
              <w:rPr>
                <w:noProof/>
                <w:szCs w:val="24"/>
              </w:rPr>
            </w:pPr>
            <w:r>
              <w:rPr>
                <w:noProof/>
              </w:rPr>
              <w:t>Έγκριση των προτάσεων σχετικά με τα TAC για τη Βαλτική Θάλασσα</w:t>
            </w:r>
          </w:p>
        </w:tc>
      </w:tr>
      <w:tr>
        <w:tc>
          <w:tcPr>
            <w:tcW w:w="0" w:type="auto"/>
            <w:shd w:val="clear" w:color="auto" w:fill="auto"/>
          </w:tcPr>
          <w:p>
            <w:pPr>
              <w:spacing w:before="120" w:after="60"/>
              <w:rPr>
                <w:noProof/>
                <w:szCs w:val="24"/>
              </w:rPr>
            </w:pPr>
            <w:r>
              <w:rPr>
                <w:noProof/>
              </w:rPr>
              <w:t>Οκτώβριος</w:t>
            </w:r>
          </w:p>
        </w:tc>
        <w:tc>
          <w:tcPr>
            <w:tcW w:w="0" w:type="auto"/>
            <w:shd w:val="clear" w:color="auto" w:fill="auto"/>
          </w:tcPr>
          <w:p>
            <w:pPr>
              <w:spacing w:before="120" w:after="60"/>
              <w:rPr>
                <w:noProof/>
                <w:szCs w:val="24"/>
              </w:rPr>
            </w:pPr>
            <w:r>
              <w:rPr>
                <w:noProof/>
              </w:rPr>
              <w:t>Έγκριση των προτάσεων σχετικά με τα TAC για τα Βαθέα Ύδατα</w:t>
            </w:r>
          </w:p>
          <w:p>
            <w:pPr>
              <w:spacing w:before="120" w:after="60"/>
              <w:rPr>
                <w:noProof/>
                <w:szCs w:val="24"/>
              </w:rPr>
            </w:pPr>
            <w:r>
              <w:rPr>
                <w:noProof/>
              </w:rPr>
              <w:t>Συμβούλιο επί των TAC για τη Βαλτική Θάλασσα</w:t>
            </w:r>
          </w:p>
        </w:tc>
      </w:tr>
      <w:tr>
        <w:tc>
          <w:tcPr>
            <w:tcW w:w="0" w:type="auto"/>
            <w:shd w:val="clear" w:color="auto" w:fill="auto"/>
          </w:tcPr>
          <w:p>
            <w:pPr>
              <w:spacing w:before="120" w:after="60"/>
              <w:rPr>
                <w:noProof/>
                <w:szCs w:val="24"/>
              </w:rPr>
            </w:pPr>
            <w:r>
              <w:rPr>
                <w:noProof/>
              </w:rPr>
              <w:t>Νοέμβριος</w:t>
            </w:r>
          </w:p>
        </w:tc>
        <w:tc>
          <w:tcPr>
            <w:tcW w:w="0" w:type="auto"/>
            <w:shd w:val="clear" w:color="auto" w:fill="auto"/>
          </w:tcPr>
          <w:p>
            <w:pPr>
              <w:spacing w:before="120" w:after="60"/>
              <w:rPr>
                <w:noProof/>
                <w:szCs w:val="24"/>
              </w:rPr>
            </w:pPr>
            <w:r>
              <w:rPr>
                <w:noProof/>
              </w:rPr>
              <w:t>Έγκριση των προτάσεων σχετικά με τα TAC για Ατλαντικό/Βόρεια Θάλασσα/Εύξεινο Πόντο</w:t>
            </w:r>
          </w:p>
          <w:p>
            <w:pPr>
              <w:spacing w:before="120" w:after="60"/>
              <w:rPr>
                <w:noProof/>
                <w:szCs w:val="24"/>
              </w:rPr>
            </w:pPr>
            <w:r>
              <w:rPr>
                <w:noProof/>
              </w:rPr>
              <w:t>Συμβούλιο για τα TAC Βαθέων Υδάτων</w:t>
            </w:r>
          </w:p>
        </w:tc>
      </w:tr>
      <w:tr>
        <w:tc>
          <w:tcPr>
            <w:tcW w:w="0" w:type="auto"/>
            <w:shd w:val="clear" w:color="auto" w:fill="auto"/>
          </w:tcPr>
          <w:p>
            <w:pPr>
              <w:spacing w:before="120" w:after="60"/>
              <w:rPr>
                <w:noProof/>
                <w:szCs w:val="24"/>
              </w:rPr>
            </w:pPr>
            <w:r>
              <w:rPr>
                <w:noProof/>
              </w:rPr>
              <w:t>Δεκέμβριος</w:t>
            </w:r>
          </w:p>
        </w:tc>
        <w:tc>
          <w:tcPr>
            <w:tcW w:w="0" w:type="auto"/>
            <w:shd w:val="clear" w:color="auto" w:fill="auto"/>
          </w:tcPr>
          <w:p>
            <w:pPr>
              <w:spacing w:before="120" w:after="60"/>
              <w:rPr>
                <w:noProof/>
                <w:szCs w:val="24"/>
              </w:rPr>
            </w:pPr>
            <w:r>
              <w:rPr>
                <w:noProof/>
              </w:rPr>
              <w:t>Συμβούλιο για τα TAC στον Ατλαντικό/Βόρεια Θάλασσα/Εύξεινο Πόντο</w:t>
            </w:r>
          </w:p>
        </w:tc>
      </w:tr>
    </w:tbl>
    <w:p>
      <w:pPr>
        <w:spacing w:after="0"/>
        <w:rPr>
          <w:noProof/>
        </w:rPr>
      </w:pPr>
      <w:r>
        <w:rPr>
          <w:noProof/>
        </w:rPr>
        <w:tab/>
      </w:r>
    </w:p>
    <w:p>
      <w:pPr>
        <w:spacing w:after="0"/>
        <w:jc w:val="left"/>
        <w:rPr>
          <w:noProof/>
        </w:rPr>
      </w:pPr>
    </w:p>
    <w:sectPr>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EDF778" w16cid:durableId="1E522C16"/>
  <w16cid:commentId w16cid:paraId="41B1DD46" w16cid:durableId="1E522C17"/>
  <w16cid:commentId w16cid:paraId="0DD414BA" w16cid:durableId="1E522C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83901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ind w:left="0" w:firstLine="0"/>
      </w:pPr>
      <w:r>
        <w:rPr>
          <w:rStyle w:val="FootnoteReference"/>
        </w:rPr>
        <w:footnoteRef/>
      </w:r>
      <w:r>
        <w:t xml:space="preserve"> Οι πλήρεις εκθέσεις σχετικά με την εφαρμογή της υποχρέωσης εκφόρτωσης, την ισορροπία μεταξύ της αλιευτικής ικανότητας και των αλιευτικών δυνατοτήτων καθώς και όσον αφορά την πρόοδο που έχει επιτευχθεί ως προς τον δείκτη F</w:t>
      </w:r>
      <w:r>
        <w:rPr>
          <w:smallCaps/>
          <w:vertAlign w:val="subscript"/>
        </w:rPr>
        <w:t>msy</w:t>
      </w:r>
      <w:r>
        <w:t xml:space="preserve"> και την κατάσταση των αποθεμάτων, όπως απαιτείται δυνάμει των άρθρων 15 παράγραφος 14, 22 παράγραφος 4 και 50 του κανονισμού (ΕΕ) αριθ. 1380/2013 της 11ης Δεκεμβρίου 2013 (ΕΕ L 354 της 28.12.2013), περιλαμβάνονται στο έγγραφο εργασίας των υπηρεσιών της Επιτροπής που συνοδεύει την παρούσα ανακοίνωση.  </w:t>
      </w:r>
    </w:p>
  </w:footnote>
  <w:footnote w:id="3">
    <w:p>
      <w:pPr>
        <w:pStyle w:val="FootnoteText"/>
        <w:spacing w:after="0"/>
        <w:rPr>
          <w:rFonts w:ascii="Calibri" w:hAnsi="Calibri"/>
        </w:rPr>
      </w:pPr>
      <w:r>
        <w:rPr>
          <w:rStyle w:val="FootnoteReference"/>
        </w:rPr>
        <w:footnoteRef/>
      </w:r>
      <w:r>
        <w:t xml:space="preserve"> Οδηγία 2008/56/ΕΚ, ΕΕ L 164 της 25/6/2008, σ. 19-40.</w:t>
      </w:r>
    </w:p>
  </w:footnote>
  <w:footnote w:id="4">
    <w:p>
      <w:pPr>
        <w:pStyle w:val="FootnoteText"/>
        <w:spacing w:after="0"/>
        <w:ind w:left="0" w:firstLine="0"/>
      </w:pPr>
      <w:r>
        <w:rPr>
          <w:rStyle w:val="FootnoteReference"/>
        </w:rPr>
        <w:footnoteRef/>
      </w:r>
      <w:r>
        <w:t xml:space="preserve"> Περιοχή FAO 27, ήτοι στον Βορειοανατολικό Ατλαντικό και στις παρακείμενες θάλασσες.</w:t>
      </w:r>
    </w:p>
  </w:footnote>
  <w:footnote w:id="5">
    <w:p>
      <w:pPr>
        <w:pStyle w:val="FootnoteText"/>
        <w:spacing w:after="0"/>
        <w:ind w:left="0" w:firstLine="0"/>
      </w:pPr>
      <w:r>
        <w:rPr>
          <w:rStyle w:val="FootnoteReference"/>
        </w:rPr>
        <w:footnoteRef/>
      </w:r>
      <w:r>
        <w:t xml:space="preserve"> Τα συνολικά επιτρεπόμενα αλιεύματα (TAC) ή οι αλιευτικές δυνατότητες είναι όρια αλιευμάτων, εκπεφρασμένα σε τόνους ή αριθμούς και καθορίζονται για τα περισσότερα εμπορικά ιχθυαποθέματα. </w:t>
      </w:r>
    </w:p>
  </w:footnote>
  <w:footnote w:id="6">
    <w:p>
      <w:pPr>
        <w:pStyle w:val="FootnoteText"/>
        <w:spacing w:after="0"/>
        <w:ind w:left="0" w:firstLine="0"/>
      </w:pPr>
      <w:r>
        <w:rPr>
          <w:rStyle w:val="FootnoteReference"/>
        </w:rPr>
        <w:footnoteRef/>
      </w:r>
      <w:r>
        <w:t xml:space="preserve"> Κανονισμός (ΕΕ) 2016/ της 6ης Ιουλίου 2016 (ΕΕ L 191, της 15.7.2016, σ. 1) </w:t>
      </w:r>
    </w:p>
  </w:footnote>
  <w:footnote w:id="7">
    <w:p>
      <w:pPr>
        <w:pStyle w:val="FootnoteText"/>
        <w:spacing w:after="0"/>
        <w:ind w:left="0" w:firstLine="0"/>
      </w:pPr>
      <w:r>
        <w:rPr>
          <w:rStyle w:val="FootnoteReference"/>
        </w:rPr>
        <w:footnoteRef/>
      </w:r>
      <w:r>
        <w:t xml:space="preserve"> </w:t>
      </w:r>
      <w:r>
        <w:rPr>
          <w:color w:val="444444"/>
        </w:rPr>
        <w:t>COM/2016/0493 τελικό - 2016/0238 (COD)</w:t>
      </w:r>
    </w:p>
  </w:footnote>
  <w:footnote w:id="8">
    <w:p>
      <w:pPr>
        <w:pStyle w:val="FootnoteText"/>
        <w:spacing w:after="0"/>
        <w:ind w:left="0" w:firstLine="0"/>
      </w:pPr>
      <w:r>
        <w:rPr>
          <w:rStyle w:val="FootnoteReference"/>
        </w:rPr>
        <w:footnoteRef/>
      </w:r>
      <w:r>
        <w:t xml:space="preserve"> </w:t>
      </w:r>
      <w:r>
        <w:rPr>
          <w:color w:val="444444"/>
        </w:rPr>
        <w:t>COM/2018/0115 τελικό - 2018/050 (COD)</w:t>
      </w:r>
      <w:r>
        <w:t xml:space="preserve"> </w:t>
      </w:r>
    </w:p>
  </w:footnote>
  <w:footnote w:id="9">
    <w:p>
      <w:pPr>
        <w:pStyle w:val="FootnoteText"/>
        <w:spacing w:after="0"/>
        <w:ind w:left="0" w:firstLine="0"/>
      </w:pPr>
      <w:r>
        <w:rPr>
          <w:rStyle w:val="FootnoteReference"/>
        </w:rPr>
        <w:footnoteRef/>
      </w:r>
      <w:r>
        <w:t xml:space="preserve"> COM/2018/0149 τελικό - 2018/074 (COD)</w:t>
      </w:r>
    </w:p>
  </w:footnote>
  <w:footnote w:id="10">
    <w:p>
      <w:pPr>
        <w:pStyle w:val="FootnoteText"/>
        <w:spacing w:after="0"/>
        <w:ind w:left="0" w:firstLine="0"/>
      </w:pPr>
      <w:r>
        <w:rPr>
          <w:rStyle w:val="FootnoteReference"/>
        </w:rPr>
        <w:footnoteRef/>
      </w:r>
      <w:r>
        <w:t xml:space="preserve"> </w:t>
      </w:r>
      <w:r>
        <w:rPr>
          <w:color w:val="444444"/>
        </w:rPr>
        <w:t>COM/2017/097 τελικό - 2017/043 (COD)</w:t>
      </w:r>
    </w:p>
  </w:footnote>
  <w:footnote w:id="11">
    <w:p>
      <w:pPr>
        <w:pStyle w:val="FootnoteText"/>
        <w:spacing w:after="0"/>
        <w:ind w:left="0" w:firstLine="0"/>
      </w:pPr>
      <w:r>
        <w:rPr>
          <w:rStyle w:val="FootnoteReference"/>
        </w:rPr>
        <w:footnoteRef/>
      </w:r>
      <w:r>
        <w:t xml:space="preserve"> STECF-Adhoc-18-01.</w:t>
      </w:r>
    </w:p>
  </w:footnote>
  <w:footnote w:id="12">
    <w:p>
      <w:pPr>
        <w:pStyle w:val="FootnoteText"/>
        <w:spacing w:after="0"/>
        <w:ind w:left="0" w:firstLine="0"/>
      </w:pPr>
      <w:r>
        <w:rPr>
          <w:rStyle w:val="FootnoteReference"/>
        </w:rPr>
        <w:footnoteRef/>
      </w:r>
      <w:r>
        <w:t xml:space="preserve"> Κανονισμός (ΕΚ) 1100/2007 του Συμβουλίου της 18ης Σεπτεμβρίου 2007 (ΕΕ L 248, της 22.9.2007, σ. 17). Ο χάρτης πορείας της αξιολόγησης δημοσιεύτηκε τον Απρίλιο του 2018: </w:t>
      </w:r>
      <w:hyperlink r:id="rId1">
        <w:r>
          <w:rPr>
            <w:rStyle w:val="Hyperlink"/>
          </w:rPr>
          <w:t>http://ec.europa.eu/info/law/better-regulation/initiatives/ares-2018-1986447_el</w:t>
        </w:r>
      </w:hyperlink>
      <w:r>
        <w:t xml:space="preserve"> </w:t>
      </w:r>
    </w:p>
  </w:footnote>
  <w:footnote w:id="13">
    <w:p>
      <w:pPr>
        <w:pStyle w:val="FootnoteText"/>
        <w:spacing w:after="0"/>
        <w:ind w:left="0" w:firstLine="0"/>
      </w:pPr>
      <w:r>
        <w:rPr>
          <w:rStyle w:val="FootnoteReference"/>
        </w:rPr>
        <w:footnoteRef/>
      </w:r>
      <w:r>
        <w:t xml:space="preserve"> STECF-Adhoc-18-01.</w:t>
      </w:r>
    </w:p>
  </w:footnote>
  <w:footnote w:id="14">
    <w:p>
      <w:pPr>
        <w:pStyle w:val="FootnoteText"/>
        <w:spacing w:after="0"/>
        <w:ind w:left="0" w:firstLine="0"/>
      </w:pPr>
      <w:r>
        <w:rPr>
          <w:rStyle w:val="FootnoteReference"/>
        </w:rPr>
        <w:footnoteRef/>
      </w:r>
      <w:r>
        <w:t xml:space="preserve"> Κανονισμός (ΕΚ) αριθ. 1967/2006 του Συμβουλίου της 21ης Δεκεμβρίου 2006 (</w:t>
      </w:r>
      <w:hyperlink r:id="rId2">
        <w:r>
          <w:rPr>
            <w:rStyle w:val="Hyperlink"/>
          </w:rPr>
          <w:t>ΕΕ L 36, 8.2.2007, σ. 6</w:t>
        </w:r>
      </w:hyperlink>
      <w:r>
        <w:t>).</w:t>
      </w:r>
    </w:p>
  </w:footnote>
  <w:footnote w:id="15">
    <w:p>
      <w:pPr>
        <w:pStyle w:val="FootnoteText"/>
        <w:spacing w:after="0"/>
        <w:ind w:left="0" w:firstLine="0"/>
      </w:pPr>
      <w:r>
        <w:rPr>
          <w:rStyle w:val="FootnoteReference"/>
        </w:rPr>
        <w:footnoteRef/>
      </w:r>
      <w:r>
        <w:t xml:space="preserve"> Εκτελεστική απόφαση της Επιτροπής (ΕΕ) 2018/17 της 5ης Ιανουαρίου 2018 (</w:t>
      </w:r>
      <w:hyperlink r:id="rId3">
        <w:r>
          <w:rPr>
            <w:rStyle w:val="Hyperlink"/>
          </w:rPr>
          <w:t>ΕΕ L 4, της 9.1.2018, σ. 20</w:t>
        </w:r>
      </w:hyperlink>
      <w:r>
        <w:t>).</w:t>
      </w:r>
    </w:p>
  </w:footnote>
  <w:footnote w:id="16">
    <w:p>
      <w:pPr>
        <w:pStyle w:val="FootnoteText"/>
        <w:spacing w:after="0"/>
        <w:ind w:left="0" w:firstLine="0"/>
      </w:pPr>
      <w:r>
        <w:rPr>
          <w:rStyle w:val="FootnoteReference"/>
        </w:rPr>
        <w:footnoteRef/>
      </w:r>
      <w:r>
        <w:t xml:space="preserve"> Από 482 επιθεωρήσεις το 2014 — για τον ερυθρό τόνο — έως 2.855 επιθεωρήσεις το 2017 — για τον τόνο, τον ξιφία, τον μακρύπτερο τόνο, μικρά πελαγικά είδη της Αδριατικής Θάλασσας και βενθοπελαγικά είδη στο στενό της Σικελίας).</w:t>
      </w:r>
    </w:p>
  </w:footnote>
  <w:footnote w:id="17">
    <w:p>
      <w:pPr>
        <w:pStyle w:val="FootnoteText"/>
        <w:spacing w:after="0"/>
        <w:ind w:left="0" w:firstLine="0"/>
      </w:pPr>
      <w:r>
        <w:rPr>
          <w:rStyle w:val="FootnoteReference"/>
        </w:rPr>
        <w:footnoteRef/>
      </w:r>
      <w:r>
        <w:t xml:space="preserve"> Υπουργική διακήρυξη της Μάλτας «Medfish4Ever». Υπουργική σύνοδος σχετικά με τη βιωσιμότητα της αλιείας στη Μεσόγειο (</w:t>
      </w:r>
      <w:hyperlink r:id="rId4" w:anchor="quicktabs-medfish4ever=6">
        <w:r>
          <w:rPr>
            <w:rStyle w:val="Hyperlink"/>
          </w:rPr>
          <w:t>Μάλτα, 30 Μαρτίου 2017</w:t>
        </w:r>
      </w:hyperlink>
      <w:r>
        <w:t>).</w:t>
      </w:r>
    </w:p>
  </w:footnote>
  <w:footnote w:id="18">
    <w:p>
      <w:pPr>
        <w:pStyle w:val="FootnoteText"/>
        <w:spacing w:after="0"/>
        <w:ind w:left="0" w:firstLine="0"/>
      </w:pPr>
      <w:r>
        <w:rPr>
          <w:rStyle w:val="FootnoteReference"/>
        </w:rPr>
        <w:footnoteRef/>
      </w:r>
      <w:r>
        <w:t xml:space="preserve"> Σύσταση 17-07 ICCAT, η οποία τροποποιεί τη σύσταση 14-04.</w:t>
      </w:r>
    </w:p>
  </w:footnote>
  <w:footnote w:id="19">
    <w:p>
      <w:pPr>
        <w:pStyle w:val="FootnoteText"/>
        <w:spacing w:after="0"/>
        <w:ind w:left="0" w:firstLine="0"/>
      </w:pPr>
      <w:r>
        <w:rPr>
          <w:rStyle w:val="FootnoteReference"/>
        </w:rPr>
        <w:footnoteRef/>
      </w:r>
      <w:r>
        <w:t xml:space="preserve"> Σύσταση 17-05 ICCAT για τη θέσπιση μέτρων διαχείρισης για το απόθεμα του μακρύπτερου τόνου στη Μεσόγειο. </w:t>
      </w:r>
    </w:p>
  </w:footnote>
  <w:footnote w:id="20">
    <w:p>
      <w:pPr>
        <w:pStyle w:val="FootnoteText"/>
        <w:spacing w:after="0"/>
        <w:ind w:left="0" w:firstLine="0"/>
      </w:pPr>
      <w:r>
        <w:rPr>
          <w:rStyle w:val="FootnoteReference"/>
        </w:rPr>
        <w:footnoteRef/>
      </w:r>
      <w:r>
        <w:t xml:space="preserve"> Οδηγία 2017/159 της 19ης Δεκεμβρίου 2016 (ΕΕ L 25, της 31.1.2017, σ. 12).</w:t>
      </w:r>
    </w:p>
  </w:footnote>
  <w:footnote w:id="21">
    <w:p>
      <w:pPr>
        <w:pStyle w:val="FootnoteText"/>
        <w:spacing w:after="0"/>
        <w:ind w:left="0" w:firstLine="0"/>
      </w:pPr>
      <w:r>
        <w:rPr>
          <w:rStyle w:val="FootnoteReference"/>
        </w:rPr>
        <w:footnoteRef/>
      </w:r>
      <w:r>
        <w:t xml:space="preserve"> Σύμβαση C188 Εργασία στον τομέα της αλιείας, ILO 2007· Σύμβαση STCW-F, ΔΝΟ 1995· Συμφωνία του Κέιπ Τάουν για την εφαρμογή των διατάξεων του πρωτοκόλλου Torremolinos σχετικά με την ασφάλεια των αλιευτικών σκαφών, IMO 2012.</w:t>
      </w:r>
    </w:p>
  </w:footnote>
  <w:footnote w:id="22">
    <w:p>
      <w:pPr>
        <w:pStyle w:val="FootnoteText"/>
        <w:spacing w:after="0"/>
        <w:ind w:left="0" w:firstLine="0"/>
      </w:pPr>
      <w:r>
        <w:rPr>
          <w:rStyle w:val="FootnoteReference"/>
        </w:rPr>
        <w:footnoteRef/>
      </w:r>
      <w:r>
        <w:t xml:space="preserve"> </w:t>
      </w:r>
      <w:r>
        <w:rPr>
          <w:color w:val="444444"/>
        </w:rPr>
        <w:t>COM/2018/079 τελικό.</w:t>
      </w:r>
    </w:p>
  </w:footnote>
  <w:footnote w:id="23">
    <w:p>
      <w:pPr>
        <w:spacing w:after="0"/>
        <w:rPr>
          <w:sz w:val="20"/>
        </w:rPr>
      </w:pPr>
      <w:r>
        <w:rPr>
          <w:rStyle w:val="FootnoteReference"/>
          <w:sz w:val="20"/>
        </w:rPr>
        <w:footnoteRef/>
      </w:r>
      <w:r>
        <w:rPr>
          <w:sz w:val="20"/>
        </w:rPr>
        <w:t>Τα μέτρα αυτά περιλαμβάνουν : τη στήριξη σε εξοπλισμό για τη βελτίωση της επιλεκτικότητας των αλιευτικών εργαλείων·</w:t>
      </w:r>
      <w:r>
        <w:rPr>
          <w:rStyle w:val="apple-converted-space"/>
          <w:sz w:val="20"/>
        </w:rPr>
        <w:t> </w:t>
      </w:r>
      <w:r>
        <w:rPr>
          <w:sz w:val="20"/>
        </w:rPr>
        <w:t>σε εξοπλισμό επί του σκάφους ή σε εξοπλισμό εξάλειψης των απορρίψεων· επενδύσεις σε αλιευτικούς λιμένες, ιχθυόσκαλες, τόπους εκφόρτωσης και καταφύγια· μέτρα εμπορίας που αποσκοπούν στην εξεύρεση νέων αγορών και στη βελτίωση των συνθηκών όσον αφορά τη διάθεση προϊόντων αλιείας στην αγορά, συμπεριλαμβανομένων των ανεπιθύμητων αλιευμάτων που εκφορτώνονται.</w:t>
      </w:r>
    </w:p>
  </w:footnote>
  <w:footnote w:id="24">
    <w:p>
      <w:pPr>
        <w:pStyle w:val="FootnoteText"/>
        <w:spacing w:after="0"/>
      </w:pPr>
      <w:r>
        <w:rPr>
          <w:rStyle w:val="FootnoteReference"/>
        </w:rPr>
        <w:footnoteRef/>
      </w:r>
      <w:r>
        <w:t xml:space="preserve"> Κανονισμός (ΕΕ) 2017/2092, ΕΕ L 302, της 17.11.2017, σ. 1.</w:t>
      </w:r>
    </w:p>
  </w:footnote>
  <w:footnote w:id="25">
    <w:p>
      <w:pPr>
        <w:pStyle w:val="FootnoteText"/>
        <w:spacing w:after="0"/>
        <w:ind w:left="0" w:firstLine="0"/>
      </w:pPr>
      <w:r>
        <w:rPr>
          <w:rStyle w:val="FootnoteReference"/>
        </w:rPr>
        <w:footnoteRef/>
      </w:r>
      <w:r>
        <w:t xml:space="preserve"> Κανονισμός (ΕΚ) αριθ. 1224/2009 της 20ής Νοεμβρίου 2009 (</w:t>
      </w:r>
      <w:r>
        <w:rPr>
          <w:color w:val="444444"/>
        </w:rPr>
        <w:t>ΕΕ L 343, της 22.12.2009</w:t>
      </w:r>
      <w:r>
        <w:t>).</w:t>
      </w:r>
    </w:p>
  </w:footnote>
  <w:footnote w:id="26">
    <w:p>
      <w:pPr>
        <w:pStyle w:val="FootnoteText"/>
        <w:spacing w:after="0"/>
        <w:ind w:left="0" w:firstLine="0"/>
      </w:pPr>
      <w:r>
        <w:rPr>
          <w:rStyle w:val="FootnoteReference"/>
        </w:rPr>
        <w:footnoteRef/>
      </w:r>
      <w:r>
        <w:t xml:space="preserve"> Κανονισμός (ΕΕ) 2017/2403 της 12ης Δεκεμβρίου 2017 (ΕΕ L 347 της 28.12.2017, σ. 81).</w:t>
      </w:r>
    </w:p>
  </w:footnote>
  <w:footnote w:id="27">
    <w:p>
      <w:pPr>
        <w:pStyle w:val="FootnoteText"/>
        <w:spacing w:after="0"/>
        <w:ind w:left="0" w:firstLine="0"/>
      </w:pPr>
      <w:r>
        <w:rPr>
          <w:rStyle w:val="FootnoteReference"/>
        </w:rPr>
        <w:footnoteRef/>
      </w:r>
      <w:r>
        <w:t xml:space="preserve"> Στα τέλη Μαΐου 2018 για όλα τα αποθέματα της Βαλτικής, στις αρχές Ιουνίου για τα αποθέματα βαθέων υδάτων, στα τέλη Ιουνίου 2018 για 61 αποθέματα στη Βόρεια Θάλασσα, στον Βισκαϊκό Κόλπο και στην Κελτική Θάλασσα και μεταξύ Οκτωβρίου και Δεκεμβρίου 2018 για περαιτέρω αποθέματα στη Βόρειο Θάλασσα και στον Ατλαντικό.</w:t>
      </w:r>
    </w:p>
  </w:footnote>
  <w:footnote w:id="28">
    <w:p>
      <w:pPr>
        <w:pStyle w:val="FootnoteText"/>
        <w:spacing w:after="0"/>
        <w:ind w:left="0" w:firstLine="0"/>
      </w:pPr>
      <w:r>
        <w:rPr>
          <w:rStyle w:val="FootnoteReference"/>
        </w:rPr>
        <w:footnoteRef/>
      </w:r>
      <w:r>
        <w:t xml:space="preserve"> Βασικός κανονισμός για την ΚΑΠ, αιτιολογική σκέψη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DF6DBB"/>
    <w:multiLevelType w:val="hybridMultilevel"/>
    <w:tmpl w:val="CD38925A"/>
    <w:lvl w:ilvl="0" w:tplc="B9EE7B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077442"/>
    <w:multiLevelType w:val="hybridMultilevel"/>
    <w:tmpl w:val="C952CA64"/>
    <w:lvl w:ilvl="0" w:tplc="1A7202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B3763F"/>
    <w:multiLevelType w:val="hybridMultilevel"/>
    <w:tmpl w:val="EF16B7F0"/>
    <w:lvl w:ilvl="0" w:tplc="B9EE7B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647DA8"/>
    <w:multiLevelType w:val="hybridMultilevel"/>
    <w:tmpl w:val="CCD6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6F01FE"/>
    <w:multiLevelType w:val="hybridMultilevel"/>
    <w:tmpl w:val="2870B5CC"/>
    <w:lvl w:ilvl="0" w:tplc="B9EE7B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200B6D"/>
    <w:multiLevelType w:val="hybridMultilevel"/>
    <w:tmpl w:val="237EE0BE"/>
    <w:lvl w:ilvl="0" w:tplc="E99C8A7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833137"/>
    <w:multiLevelType w:val="hybridMultilevel"/>
    <w:tmpl w:val="AC46A35E"/>
    <w:lvl w:ilvl="0" w:tplc="FE42B9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734306"/>
    <w:multiLevelType w:val="multilevel"/>
    <w:tmpl w:val="E3DCF54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7665"/>
        </w:tabs>
        <w:ind w:left="7665"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0903D98"/>
    <w:multiLevelType w:val="hybridMultilevel"/>
    <w:tmpl w:val="7D6627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68F5B9D"/>
    <w:multiLevelType w:val="hybridMultilevel"/>
    <w:tmpl w:val="D846AA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1">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2">
    <w:nsid w:val="40C7436F"/>
    <w:multiLevelType w:val="hybridMultilevel"/>
    <w:tmpl w:val="627E1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592F31"/>
    <w:multiLevelType w:val="hybridMultilevel"/>
    <w:tmpl w:val="2BEE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5">
    <w:nsid w:val="4A9A28CB"/>
    <w:multiLevelType w:val="hybridMultilevel"/>
    <w:tmpl w:val="44C82D00"/>
    <w:lvl w:ilvl="0" w:tplc="E99C8A7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6447D6"/>
    <w:multiLevelType w:val="hybridMultilevel"/>
    <w:tmpl w:val="2D8C9EB4"/>
    <w:lvl w:ilvl="0" w:tplc="E99C8A7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92366A"/>
    <w:multiLevelType w:val="hybridMultilevel"/>
    <w:tmpl w:val="689EDF1E"/>
    <w:lvl w:ilvl="0" w:tplc="0809000B">
      <w:start w:val="1"/>
      <w:numFmt w:val="bullet"/>
      <w:lvlText w:val=""/>
      <w:lvlJc w:val="left"/>
      <w:pPr>
        <w:ind w:left="720" w:hanging="360"/>
      </w:pPr>
      <w:rPr>
        <w:rFonts w:ascii="Wingdings" w:hAnsi="Wingdings" w:hint="default"/>
      </w:rPr>
    </w:lvl>
    <w:lvl w:ilvl="1" w:tplc="FBB4B018">
      <w:numFmt w:val="bullet"/>
      <w:lvlText w:val=""/>
      <w:lvlJc w:val="left"/>
      <w:pPr>
        <w:ind w:left="1620" w:hanging="54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9">
    <w:nsid w:val="5D432972"/>
    <w:multiLevelType w:val="hybridMultilevel"/>
    <w:tmpl w:val="62F24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3">
    <w:nsid w:val="65012481"/>
    <w:multiLevelType w:val="hybridMultilevel"/>
    <w:tmpl w:val="383A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BBB3530"/>
    <w:multiLevelType w:val="hybridMultilevel"/>
    <w:tmpl w:val="6386A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44354F"/>
    <w:multiLevelType w:val="multilevel"/>
    <w:tmpl w:val="A65C84E8"/>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righ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7">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37A4EF4"/>
    <w:multiLevelType w:val="hybridMultilevel"/>
    <w:tmpl w:val="2C866166"/>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620" w:hanging="54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942A33"/>
    <w:multiLevelType w:val="hybridMultilevel"/>
    <w:tmpl w:val="5030CA8E"/>
    <w:lvl w:ilvl="0" w:tplc="B9EE7B1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11"/>
  </w:num>
  <w:num w:numId="4">
    <w:abstractNumId w:val="21"/>
  </w:num>
  <w:num w:numId="5">
    <w:abstractNumId w:val="13"/>
  </w:num>
  <w:num w:numId="6">
    <w:abstractNumId w:val="20"/>
  </w:num>
  <w:num w:numId="7">
    <w:abstractNumId w:val="32"/>
  </w:num>
  <w:num w:numId="8">
    <w:abstractNumId w:val="36"/>
  </w:num>
  <w:num w:numId="9">
    <w:abstractNumId w:val="17"/>
  </w:num>
  <w:num w:numId="10">
    <w:abstractNumId w:val="31"/>
  </w:num>
  <w:num w:numId="11">
    <w:abstractNumId w:val="30"/>
  </w:num>
  <w:num w:numId="12">
    <w:abstractNumId w:val="24"/>
  </w:num>
  <w:num w:numId="13">
    <w:abstractNumId w:val="28"/>
  </w:num>
  <w:num w:numId="14">
    <w:abstractNumId w:val="12"/>
  </w:num>
  <w:num w:numId="15">
    <w:abstractNumId w:val="18"/>
  </w:num>
  <w:num w:numId="16">
    <w:abstractNumId w:val="8"/>
  </w:num>
  <w:num w:numId="17">
    <w:abstractNumId w:val="14"/>
  </w:num>
  <w:num w:numId="18">
    <w:abstractNumId w:val="37"/>
  </w:num>
  <w:num w:numId="19">
    <w:abstractNumId w:val="15"/>
  </w:num>
  <w:num w:numId="20">
    <w:abstractNumId w:val="10"/>
  </w:num>
  <w:num w:numId="21">
    <w:abstractNumId w:val="23"/>
  </w:num>
  <w:num w:numId="22">
    <w:abstractNumId w:val="3"/>
  </w:num>
  <w:num w:numId="23">
    <w:abstractNumId w:val="34"/>
  </w:num>
  <w:num w:numId="24">
    <w:abstractNumId w:val="4"/>
  </w:num>
  <w:num w:numId="25">
    <w:abstractNumId w:val="6"/>
  </w:num>
  <w:num w:numId="26">
    <w:abstractNumId w:val="33"/>
  </w:num>
  <w:num w:numId="27">
    <w:abstractNumId w:val="26"/>
  </w:num>
  <w:num w:numId="28">
    <w:abstractNumId w:val="9"/>
  </w:num>
  <w:num w:numId="29">
    <w:abstractNumId w:val="25"/>
  </w:num>
  <w:num w:numId="30">
    <w:abstractNumId w:val="27"/>
  </w:num>
  <w:num w:numId="31">
    <w:abstractNumId w:val="19"/>
  </w:num>
  <w:num w:numId="32">
    <w:abstractNumId w:val="16"/>
  </w:num>
  <w:num w:numId="33">
    <w:abstractNumId w:val="22"/>
  </w:num>
  <w:num w:numId="34">
    <w:abstractNumId w:val="38"/>
  </w:num>
  <w:num w:numId="35">
    <w:abstractNumId w:val="35"/>
  </w:num>
  <w:num w:numId="36">
    <w:abstractNumId w:val="29"/>
  </w:num>
  <w:num w:numId="37">
    <w:abstractNumId w:val="5"/>
  </w:num>
  <w:num w:numId="38">
    <w:abstractNumId w:val="39"/>
  </w:num>
  <w:num w:numId="39">
    <w:abstractNumId w:val="2"/>
  </w:num>
  <w:num w:numId="40">
    <w:abstractNumId w:val="7"/>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B4BFBC5-A4B9-4B0E-93F3-07D9243FCE4F"/>
    <w:docVar w:name="LW_COVERPAGE_TYPE" w:val="1"/>
    <w:docVar w:name="LW_CROSSREFERENCE" w:val="{SWD(2018) 329 final}"/>
    <w:docVar w:name="LW_DocType" w:val="REP"/>
    <w:docVar w:name="LW_EMISSION" w:val="11.6.2018"/>
    <w:docVar w:name="LW_EMISSION_ISODATE" w:val="2018-06-11"/>
    <w:docVar w:name="LW_EMISSION_LOCATION" w:val="BRX"/>
    <w:docVar w:name="LW_EMISSION_PREFIX" w:val="Βρυξέλλες, "/>
    <w:docVar w:name="LW_EMISSION_SUFFIX" w:val="&lt;EMPTY&gt;"/>
    <w:docVar w:name="LW_ID_DOCTYPE_NONLW" w:val="CP-012"/>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8) 4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u963?\u967?\u949?\u964?\u953?\u954?\u940? \u956?\u949? \u964?\u951?\u957? \u954?\u945?\u964?\u940?\u963?\u964?\u945?\u963?\u951? \u960?\u959?\u965? \u949?\u960?\u953?\u954?\u961?\u945?\u964?\u949?\u943? \u972?\u963?\u959?\u957? \u945?\u966?\u959?\u961?\u940? \u964?\u951?\u957? \u954?\u959?\u953?\u957?\u942? \u945?\u955?\u953?\u949?\u965?\u964?\u953?\u954?\u942? \u960?\u959?\u955?\u953?\u964?\u953?\u954?\u942? \u954?\u945?\u953? \u964?\u951? \u948?\u953?\u945?\u946?\u959?\u973?\u955?\u949?\u965?\u963?\u951? \u947?\u953?\u945? \u964?\u953?\u962? \u945?\u955?\u953?\u949?\u965?\u964?\u953?\u954?\u941?\u962? \u948?\u965?\u957?\u945?\u964?\u972?\u964?\u951?\u964?\u949?\u962? \u964?\u959? 2019_x000b_"/>
    <w:docVar w:name="LW_TYPE.DOC.CP" w:val="\u913?\u925?\u913?\u922?\u927?\u921?\u925?\u937?\u931?\u919? \u932?\u919?\u931? \u917?\u928?\u921?\u932?\u929?\u927?\u928?\u919?\u931? \u928?\u929?\u927?\u931? \u932?\u927? \u917?\u933?\u929?\u937?\u928?\u913?\u938?\u922?\u927? \u922?\u927?\u921?\u925?\u927?\u914?\u927?\u933?\u923?\u921?\u927? \u922?\u913?\u921? \u932?\u927? \u931?\u933?\u924?\u914?\u927?\u933?\u923?\u921?\u927?"/>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pPr>
      <w:tabs>
        <w:tab w:val="right" w:leader="dot" w:pos="8640"/>
      </w:tabs>
      <w:spacing w:before="120" w:after="120"/>
      <w:ind w:left="482" w:right="720" w:hanging="482"/>
    </w:pPr>
    <w:rPr>
      <w:caps/>
    </w:rPr>
  </w:style>
  <w:style w:type="paragraph" w:styleId="TOC2">
    <w:name w:val="toc 2"/>
    <w:basedOn w:val="Normal"/>
    <w:next w:val="Normal"/>
    <w:pPr>
      <w:tabs>
        <w:tab w:val="right" w:leader="dot" w:pos="8640"/>
      </w:tabs>
      <w:spacing w:before="60" w:after="60"/>
      <w:ind w:left="1077" w:right="720" w:hanging="595"/>
    </w:pPr>
  </w:style>
  <w:style w:type="paragraph" w:styleId="TOC3">
    <w:name w:val="toc 3"/>
    <w:basedOn w:val="Normal"/>
    <w:next w:val="Normal"/>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eastAsiaTheme="minorHAnsi"/>
      <w:sz w:val="24"/>
      <w:szCs w:val="22"/>
      <w:lang w:eastAsia="el-GR"/>
    </w:rPr>
  </w:style>
  <w:style w:type="character" w:customStyle="1" w:styleId="HeaderChar">
    <w:name w:val="Header Char"/>
    <w:basedOn w:val="DefaultParagraphFont"/>
    <w:link w:val="Header"/>
    <w:uiPriority w:val="99"/>
    <w:rPr>
      <w:rFonts w:eastAsiaTheme="minorHAnsi"/>
      <w:sz w:val="24"/>
      <w:szCs w:val="22"/>
      <w:lang w:eastAsia="el-GR"/>
    </w:rPr>
  </w:style>
  <w:style w:type="character" w:styleId="FootnoteReference">
    <w:name w:val="footnote reference"/>
    <w:uiPriority w:val="99"/>
    <w:semiHidden/>
    <w:rPr>
      <w:shd w:val="clear" w:color="auto" w:fill="auto"/>
      <w:vertAlign w:val="superscrip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l-GR"/>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lang w:eastAsia="el-GR"/>
    </w:rPr>
  </w:style>
  <w:style w:type="character" w:customStyle="1" w:styleId="CommentSubjectChar">
    <w:name w:val="Comment Subject Char"/>
    <w:basedOn w:val="CommentTextChar"/>
    <w:link w:val="CommentSubject"/>
    <w:uiPriority w:val="99"/>
    <w:semiHidden/>
    <w:rPr>
      <w:b/>
      <w:bCs/>
      <w:lang w:eastAsia="el-GR"/>
    </w:rPr>
  </w:style>
  <w:style w:type="paragraph" w:styleId="ListParagraph">
    <w:name w:val="List Paragraph"/>
    <w:basedOn w:val="Normal"/>
    <w:uiPriority w:val="34"/>
    <w:qFormat/>
    <w:pPr>
      <w:spacing w:after="0"/>
      <w:ind w:left="720"/>
      <w:jc w:val="left"/>
    </w:pPr>
    <w:rPr>
      <w:rFonts w:ascii="Calibri"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Default">
    <w:name w:val="Default"/>
    <w:pPr>
      <w:autoSpaceDE w:val="0"/>
      <w:autoSpaceDN w:val="0"/>
      <w:adjustRightInd w:val="0"/>
    </w:pPr>
    <w:rPr>
      <w:rFonts w:eastAsiaTheme="minorHAnsi"/>
      <w:color w:val="000000"/>
      <w:sz w:val="24"/>
      <w:szCs w:val="24"/>
    </w:rPr>
  </w:style>
  <w:style w:type="character" w:customStyle="1" w:styleId="FootnoteTextChar">
    <w:name w:val="Footnote Text Char"/>
    <w:link w:val="FootnoteText"/>
    <w:uiPriority w:val="99"/>
    <w:semiHidden/>
    <w:rPr>
      <w:lang w:eastAsia="el-GR"/>
    </w:rPr>
  </w:style>
  <w:style w:type="paragraph" w:customStyle="1" w:styleId="CM4">
    <w:name w:val="CM4"/>
    <w:basedOn w:val="Default"/>
    <w:next w:val="Default"/>
    <w:uiPriority w:val="99"/>
    <w:rPr>
      <w:rFonts w:eastAsia="Times New Roman"/>
      <w:color w:val="auto"/>
    </w:rPr>
  </w:style>
  <w:style w:type="paragraph" w:styleId="NormalWeb">
    <w:name w:val="Normal (Web)"/>
    <w:basedOn w:val="Normal"/>
    <w:uiPriority w:val="99"/>
    <w:semiHidden/>
    <w:unhideWhenUsed/>
    <w:pPr>
      <w:spacing w:before="100" w:beforeAutospacing="1" w:after="100" w:afterAutospacing="1"/>
      <w:jc w:val="left"/>
    </w:pPr>
    <w:rPr>
      <w:szCs w:val="24"/>
    </w:rPr>
  </w:style>
  <w:style w:type="character" w:styleId="Strong">
    <w:name w:val="Strong"/>
    <w:basedOn w:val="DefaultParagraphFont"/>
    <w:uiPriority w:val="22"/>
    <w:qFormat/>
    <w:rPr>
      <w:b/>
      <w:bCs/>
    </w:rPr>
  </w:style>
  <w:style w:type="paragraph" w:styleId="Revision">
    <w:name w:val="Revision"/>
    <w:hidden/>
    <w:uiPriority w:val="99"/>
    <w:semiHidden/>
    <w:rPr>
      <w:sz w:val="24"/>
    </w:rPr>
  </w:style>
  <w:style w:type="character" w:styleId="Hyperlink">
    <w:name w:val="Hyperlink"/>
    <w:basedOn w:val="DefaultParagraphFont"/>
    <w:uiPriority w:val="99"/>
    <w:unhideWhenUsed/>
    <w:rPr>
      <w:color w:val="0000FF"/>
      <w:u w:val="single"/>
    </w:rPr>
  </w:style>
  <w:style w:type="character" w:customStyle="1" w:styleId="PlainTextChar">
    <w:name w:val="Plain Text Char"/>
    <w:basedOn w:val="DefaultParagraphFont"/>
    <w:link w:val="PlainText"/>
    <w:uiPriority w:val="99"/>
    <w:rPr>
      <w:rFonts w:ascii="Courier New" w:hAnsi="Courier New"/>
      <w:lang w:eastAsia="el-GR"/>
    </w:rPr>
  </w:style>
  <w:style w:type="paragraph" w:customStyle="1" w:styleId="Declassification">
    <w:name w:val="Declassification"/>
    <w:basedOn w:val="Normal"/>
    <w:next w:val="Normal"/>
    <w:pPr>
      <w:spacing w:after="0"/>
    </w:pPr>
    <w:rPr>
      <w:rFonts w:eastAsiaTheme="minorHAnsi"/>
      <w:szCs w:val="22"/>
    </w:rPr>
  </w:style>
  <w:style w:type="paragraph" w:customStyle="1" w:styleId="HeaderLandscape">
    <w:name w:val="HeaderLandscape"/>
    <w:basedOn w:val="Normal"/>
    <w:pPr>
      <w:tabs>
        <w:tab w:val="center" w:pos="7285"/>
        <w:tab w:val="right" w:pos="14003"/>
      </w:tabs>
      <w:spacing w:after="120"/>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rPr>
      <w:b/>
      <w:smallCaps/>
      <w:sz w:val="24"/>
      <w:lang w:eastAsia="el-GR"/>
    </w:rPr>
  </w:style>
  <w:style w:type="character" w:customStyle="1" w:styleId="Heading2Char">
    <w:name w:val="Heading 2 Char"/>
    <w:basedOn w:val="DefaultParagraphFont"/>
    <w:link w:val="Heading2"/>
    <w:rPr>
      <w:b/>
      <w:sz w:val="24"/>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TitreobjetPagedecouverture">
    <w:name w:val="Titre objet (Page de couverture)"/>
    <w:basedOn w:val="Titreobjet"/>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pPr>
      <w:tabs>
        <w:tab w:val="right" w:leader="dot" w:pos="8640"/>
      </w:tabs>
      <w:spacing w:before="120" w:after="120"/>
      <w:ind w:left="482" w:right="720" w:hanging="482"/>
    </w:pPr>
    <w:rPr>
      <w:caps/>
    </w:rPr>
  </w:style>
  <w:style w:type="paragraph" w:styleId="TOC2">
    <w:name w:val="toc 2"/>
    <w:basedOn w:val="Normal"/>
    <w:next w:val="Normal"/>
    <w:pPr>
      <w:tabs>
        <w:tab w:val="right" w:leader="dot" w:pos="8640"/>
      </w:tabs>
      <w:spacing w:before="60" w:after="60"/>
      <w:ind w:left="1077" w:right="720" w:hanging="595"/>
    </w:pPr>
  </w:style>
  <w:style w:type="paragraph" w:styleId="TOC3">
    <w:name w:val="toc 3"/>
    <w:basedOn w:val="Normal"/>
    <w:next w:val="Normal"/>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eastAsiaTheme="minorHAnsi"/>
      <w:sz w:val="24"/>
      <w:szCs w:val="22"/>
      <w:lang w:eastAsia="el-GR"/>
    </w:rPr>
  </w:style>
  <w:style w:type="character" w:customStyle="1" w:styleId="HeaderChar">
    <w:name w:val="Header Char"/>
    <w:basedOn w:val="DefaultParagraphFont"/>
    <w:link w:val="Header"/>
    <w:uiPriority w:val="99"/>
    <w:rPr>
      <w:rFonts w:eastAsiaTheme="minorHAnsi"/>
      <w:sz w:val="24"/>
      <w:szCs w:val="22"/>
      <w:lang w:eastAsia="el-GR"/>
    </w:rPr>
  </w:style>
  <w:style w:type="character" w:styleId="FootnoteReference">
    <w:name w:val="footnote reference"/>
    <w:uiPriority w:val="99"/>
    <w:semiHidden/>
    <w:rPr>
      <w:shd w:val="clear" w:color="auto" w:fill="auto"/>
      <w:vertAlign w:val="superscrip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l-GR"/>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lang w:eastAsia="el-GR"/>
    </w:rPr>
  </w:style>
  <w:style w:type="character" w:customStyle="1" w:styleId="CommentSubjectChar">
    <w:name w:val="Comment Subject Char"/>
    <w:basedOn w:val="CommentTextChar"/>
    <w:link w:val="CommentSubject"/>
    <w:uiPriority w:val="99"/>
    <w:semiHidden/>
    <w:rPr>
      <w:b/>
      <w:bCs/>
      <w:lang w:eastAsia="el-GR"/>
    </w:rPr>
  </w:style>
  <w:style w:type="paragraph" w:styleId="ListParagraph">
    <w:name w:val="List Paragraph"/>
    <w:basedOn w:val="Normal"/>
    <w:uiPriority w:val="34"/>
    <w:qFormat/>
    <w:pPr>
      <w:spacing w:after="0"/>
      <w:ind w:left="720"/>
      <w:jc w:val="left"/>
    </w:pPr>
    <w:rPr>
      <w:rFonts w:ascii="Calibri"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Default">
    <w:name w:val="Default"/>
    <w:pPr>
      <w:autoSpaceDE w:val="0"/>
      <w:autoSpaceDN w:val="0"/>
      <w:adjustRightInd w:val="0"/>
    </w:pPr>
    <w:rPr>
      <w:rFonts w:eastAsiaTheme="minorHAnsi"/>
      <w:color w:val="000000"/>
      <w:sz w:val="24"/>
      <w:szCs w:val="24"/>
    </w:rPr>
  </w:style>
  <w:style w:type="character" w:customStyle="1" w:styleId="FootnoteTextChar">
    <w:name w:val="Footnote Text Char"/>
    <w:link w:val="FootnoteText"/>
    <w:uiPriority w:val="99"/>
    <w:semiHidden/>
    <w:rPr>
      <w:lang w:eastAsia="el-GR"/>
    </w:rPr>
  </w:style>
  <w:style w:type="paragraph" w:customStyle="1" w:styleId="CM4">
    <w:name w:val="CM4"/>
    <w:basedOn w:val="Default"/>
    <w:next w:val="Default"/>
    <w:uiPriority w:val="99"/>
    <w:rPr>
      <w:rFonts w:eastAsia="Times New Roman"/>
      <w:color w:val="auto"/>
    </w:rPr>
  </w:style>
  <w:style w:type="paragraph" w:styleId="NormalWeb">
    <w:name w:val="Normal (Web)"/>
    <w:basedOn w:val="Normal"/>
    <w:uiPriority w:val="99"/>
    <w:semiHidden/>
    <w:unhideWhenUsed/>
    <w:pPr>
      <w:spacing w:before="100" w:beforeAutospacing="1" w:after="100" w:afterAutospacing="1"/>
      <w:jc w:val="left"/>
    </w:pPr>
    <w:rPr>
      <w:szCs w:val="24"/>
    </w:rPr>
  </w:style>
  <w:style w:type="character" w:styleId="Strong">
    <w:name w:val="Strong"/>
    <w:basedOn w:val="DefaultParagraphFont"/>
    <w:uiPriority w:val="22"/>
    <w:qFormat/>
    <w:rPr>
      <w:b/>
      <w:bCs/>
    </w:rPr>
  </w:style>
  <w:style w:type="paragraph" w:styleId="Revision">
    <w:name w:val="Revision"/>
    <w:hidden/>
    <w:uiPriority w:val="99"/>
    <w:semiHidden/>
    <w:rPr>
      <w:sz w:val="24"/>
    </w:rPr>
  </w:style>
  <w:style w:type="character" w:styleId="Hyperlink">
    <w:name w:val="Hyperlink"/>
    <w:basedOn w:val="DefaultParagraphFont"/>
    <w:uiPriority w:val="99"/>
    <w:unhideWhenUsed/>
    <w:rPr>
      <w:color w:val="0000FF"/>
      <w:u w:val="single"/>
    </w:rPr>
  </w:style>
  <w:style w:type="character" w:customStyle="1" w:styleId="PlainTextChar">
    <w:name w:val="Plain Text Char"/>
    <w:basedOn w:val="DefaultParagraphFont"/>
    <w:link w:val="PlainText"/>
    <w:uiPriority w:val="99"/>
    <w:rPr>
      <w:rFonts w:ascii="Courier New" w:hAnsi="Courier New"/>
      <w:lang w:eastAsia="el-GR"/>
    </w:rPr>
  </w:style>
  <w:style w:type="paragraph" w:customStyle="1" w:styleId="Declassification">
    <w:name w:val="Declassification"/>
    <w:basedOn w:val="Normal"/>
    <w:next w:val="Normal"/>
    <w:pPr>
      <w:spacing w:after="0"/>
    </w:pPr>
    <w:rPr>
      <w:rFonts w:eastAsiaTheme="minorHAnsi"/>
      <w:szCs w:val="22"/>
    </w:rPr>
  </w:style>
  <w:style w:type="paragraph" w:customStyle="1" w:styleId="HeaderLandscape">
    <w:name w:val="HeaderLandscape"/>
    <w:basedOn w:val="Normal"/>
    <w:pPr>
      <w:tabs>
        <w:tab w:val="center" w:pos="7285"/>
        <w:tab w:val="right" w:pos="14003"/>
      </w:tabs>
      <w:spacing w:after="120"/>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rPr>
      <w:b/>
      <w:smallCaps/>
      <w:sz w:val="24"/>
      <w:lang w:eastAsia="el-GR"/>
    </w:rPr>
  </w:style>
  <w:style w:type="character" w:customStyle="1" w:styleId="Heading2Char">
    <w:name w:val="Heading 2 Char"/>
    <w:basedOn w:val="DefaultParagraphFont"/>
    <w:link w:val="Heading2"/>
    <w:rPr>
      <w:b/>
      <w:sz w:val="24"/>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TitreobjetPagedecouverture">
    <w:name w:val="Titre objet (Page de couverture)"/>
    <w:basedOn w:val="Titreobjet"/>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008">
      <w:bodyDiv w:val="1"/>
      <w:marLeft w:val="0"/>
      <w:marRight w:val="0"/>
      <w:marTop w:val="0"/>
      <w:marBottom w:val="0"/>
      <w:divBdr>
        <w:top w:val="none" w:sz="0" w:space="0" w:color="auto"/>
        <w:left w:val="none" w:sz="0" w:space="0" w:color="auto"/>
        <w:bottom w:val="none" w:sz="0" w:space="0" w:color="auto"/>
        <w:right w:val="none" w:sz="0" w:space="0" w:color="auto"/>
      </w:divBdr>
    </w:div>
    <w:div w:id="26489878">
      <w:bodyDiv w:val="1"/>
      <w:marLeft w:val="0"/>
      <w:marRight w:val="0"/>
      <w:marTop w:val="0"/>
      <w:marBottom w:val="0"/>
      <w:divBdr>
        <w:top w:val="none" w:sz="0" w:space="0" w:color="auto"/>
        <w:left w:val="none" w:sz="0" w:space="0" w:color="auto"/>
        <w:bottom w:val="none" w:sz="0" w:space="0" w:color="auto"/>
        <w:right w:val="none" w:sz="0" w:space="0" w:color="auto"/>
      </w:divBdr>
    </w:div>
    <w:div w:id="29691069">
      <w:bodyDiv w:val="1"/>
      <w:marLeft w:val="0"/>
      <w:marRight w:val="0"/>
      <w:marTop w:val="0"/>
      <w:marBottom w:val="0"/>
      <w:divBdr>
        <w:top w:val="none" w:sz="0" w:space="0" w:color="auto"/>
        <w:left w:val="none" w:sz="0" w:space="0" w:color="auto"/>
        <w:bottom w:val="none" w:sz="0" w:space="0" w:color="auto"/>
        <w:right w:val="none" w:sz="0" w:space="0" w:color="auto"/>
      </w:divBdr>
    </w:div>
    <w:div w:id="38214179">
      <w:bodyDiv w:val="1"/>
      <w:marLeft w:val="0"/>
      <w:marRight w:val="0"/>
      <w:marTop w:val="0"/>
      <w:marBottom w:val="0"/>
      <w:divBdr>
        <w:top w:val="none" w:sz="0" w:space="0" w:color="auto"/>
        <w:left w:val="none" w:sz="0" w:space="0" w:color="auto"/>
        <w:bottom w:val="none" w:sz="0" w:space="0" w:color="auto"/>
        <w:right w:val="none" w:sz="0" w:space="0" w:color="auto"/>
      </w:divBdr>
    </w:div>
    <w:div w:id="137384792">
      <w:bodyDiv w:val="1"/>
      <w:marLeft w:val="0"/>
      <w:marRight w:val="0"/>
      <w:marTop w:val="0"/>
      <w:marBottom w:val="0"/>
      <w:divBdr>
        <w:top w:val="none" w:sz="0" w:space="0" w:color="auto"/>
        <w:left w:val="none" w:sz="0" w:space="0" w:color="auto"/>
        <w:bottom w:val="none" w:sz="0" w:space="0" w:color="auto"/>
        <w:right w:val="none" w:sz="0" w:space="0" w:color="auto"/>
      </w:divBdr>
    </w:div>
    <w:div w:id="185799069">
      <w:bodyDiv w:val="1"/>
      <w:marLeft w:val="0"/>
      <w:marRight w:val="0"/>
      <w:marTop w:val="0"/>
      <w:marBottom w:val="0"/>
      <w:divBdr>
        <w:top w:val="none" w:sz="0" w:space="0" w:color="auto"/>
        <w:left w:val="none" w:sz="0" w:space="0" w:color="auto"/>
        <w:bottom w:val="none" w:sz="0" w:space="0" w:color="auto"/>
        <w:right w:val="none" w:sz="0" w:space="0" w:color="auto"/>
      </w:divBdr>
    </w:div>
    <w:div w:id="217935662">
      <w:bodyDiv w:val="1"/>
      <w:marLeft w:val="0"/>
      <w:marRight w:val="0"/>
      <w:marTop w:val="0"/>
      <w:marBottom w:val="0"/>
      <w:divBdr>
        <w:top w:val="none" w:sz="0" w:space="0" w:color="auto"/>
        <w:left w:val="none" w:sz="0" w:space="0" w:color="auto"/>
        <w:bottom w:val="none" w:sz="0" w:space="0" w:color="auto"/>
        <w:right w:val="none" w:sz="0" w:space="0" w:color="auto"/>
      </w:divBdr>
    </w:div>
    <w:div w:id="329187580">
      <w:bodyDiv w:val="1"/>
      <w:marLeft w:val="0"/>
      <w:marRight w:val="0"/>
      <w:marTop w:val="0"/>
      <w:marBottom w:val="0"/>
      <w:divBdr>
        <w:top w:val="none" w:sz="0" w:space="0" w:color="auto"/>
        <w:left w:val="none" w:sz="0" w:space="0" w:color="auto"/>
        <w:bottom w:val="none" w:sz="0" w:space="0" w:color="auto"/>
        <w:right w:val="none" w:sz="0" w:space="0" w:color="auto"/>
      </w:divBdr>
    </w:div>
    <w:div w:id="393242066">
      <w:bodyDiv w:val="1"/>
      <w:marLeft w:val="0"/>
      <w:marRight w:val="0"/>
      <w:marTop w:val="0"/>
      <w:marBottom w:val="0"/>
      <w:divBdr>
        <w:top w:val="none" w:sz="0" w:space="0" w:color="auto"/>
        <w:left w:val="none" w:sz="0" w:space="0" w:color="auto"/>
        <w:bottom w:val="none" w:sz="0" w:space="0" w:color="auto"/>
        <w:right w:val="none" w:sz="0" w:space="0" w:color="auto"/>
      </w:divBdr>
    </w:div>
    <w:div w:id="445545164">
      <w:bodyDiv w:val="1"/>
      <w:marLeft w:val="0"/>
      <w:marRight w:val="0"/>
      <w:marTop w:val="0"/>
      <w:marBottom w:val="0"/>
      <w:divBdr>
        <w:top w:val="none" w:sz="0" w:space="0" w:color="auto"/>
        <w:left w:val="none" w:sz="0" w:space="0" w:color="auto"/>
        <w:bottom w:val="none" w:sz="0" w:space="0" w:color="auto"/>
        <w:right w:val="none" w:sz="0" w:space="0" w:color="auto"/>
      </w:divBdr>
    </w:div>
    <w:div w:id="522397675">
      <w:bodyDiv w:val="1"/>
      <w:marLeft w:val="0"/>
      <w:marRight w:val="0"/>
      <w:marTop w:val="0"/>
      <w:marBottom w:val="0"/>
      <w:divBdr>
        <w:top w:val="none" w:sz="0" w:space="0" w:color="auto"/>
        <w:left w:val="none" w:sz="0" w:space="0" w:color="auto"/>
        <w:bottom w:val="none" w:sz="0" w:space="0" w:color="auto"/>
        <w:right w:val="none" w:sz="0" w:space="0" w:color="auto"/>
      </w:divBdr>
    </w:div>
    <w:div w:id="585067880">
      <w:bodyDiv w:val="1"/>
      <w:marLeft w:val="0"/>
      <w:marRight w:val="0"/>
      <w:marTop w:val="0"/>
      <w:marBottom w:val="0"/>
      <w:divBdr>
        <w:top w:val="none" w:sz="0" w:space="0" w:color="auto"/>
        <w:left w:val="none" w:sz="0" w:space="0" w:color="auto"/>
        <w:bottom w:val="none" w:sz="0" w:space="0" w:color="auto"/>
        <w:right w:val="none" w:sz="0" w:space="0" w:color="auto"/>
      </w:divBdr>
    </w:div>
    <w:div w:id="712970898">
      <w:bodyDiv w:val="1"/>
      <w:marLeft w:val="0"/>
      <w:marRight w:val="0"/>
      <w:marTop w:val="0"/>
      <w:marBottom w:val="0"/>
      <w:divBdr>
        <w:top w:val="none" w:sz="0" w:space="0" w:color="auto"/>
        <w:left w:val="none" w:sz="0" w:space="0" w:color="auto"/>
        <w:bottom w:val="none" w:sz="0" w:space="0" w:color="auto"/>
        <w:right w:val="none" w:sz="0" w:space="0" w:color="auto"/>
      </w:divBdr>
    </w:div>
    <w:div w:id="750081080">
      <w:bodyDiv w:val="1"/>
      <w:marLeft w:val="0"/>
      <w:marRight w:val="0"/>
      <w:marTop w:val="0"/>
      <w:marBottom w:val="0"/>
      <w:divBdr>
        <w:top w:val="none" w:sz="0" w:space="0" w:color="auto"/>
        <w:left w:val="none" w:sz="0" w:space="0" w:color="auto"/>
        <w:bottom w:val="none" w:sz="0" w:space="0" w:color="auto"/>
        <w:right w:val="none" w:sz="0" w:space="0" w:color="auto"/>
      </w:divBdr>
    </w:div>
    <w:div w:id="757748646">
      <w:bodyDiv w:val="1"/>
      <w:marLeft w:val="0"/>
      <w:marRight w:val="0"/>
      <w:marTop w:val="0"/>
      <w:marBottom w:val="0"/>
      <w:divBdr>
        <w:top w:val="none" w:sz="0" w:space="0" w:color="auto"/>
        <w:left w:val="none" w:sz="0" w:space="0" w:color="auto"/>
        <w:bottom w:val="none" w:sz="0" w:space="0" w:color="auto"/>
        <w:right w:val="none" w:sz="0" w:space="0" w:color="auto"/>
      </w:divBdr>
    </w:div>
    <w:div w:id="773745018">
      <w:bodyDiv w:val="1"/>
      <w:marLeft w:val="0"/>
      <w:marRight w:val="0"/>
      <w:marTop w:val="0"/>
      <w:marBottom w:val="0"/>
      <w:divBdr>
        <w:top w:val="none" w:sz="0" w:space="0" w:color="auto"/>
        <w:left w:val="none" w:sz="0" w:space="0" w:color="auto"/>
        <w:bottom w:val="none" w:sz="0" w:space="0" w:color="auto"/>
        <w:right w:val="none" w:sz="0" w:space="0" w:color="auto"/>
      </w:divBdr>
    </w:div>
    <w:div w:id="854996623">
      <w:bodyDiv w:val="1"/>
      <w:marLeft w:val="0"/>
      <w:marRight w:val="0"/>
      <w:marTop w:val="0"/>
      <w:marBottom w:val="0"/>
      <w:divBdr>
        <w:top w:val="none" w:sz="0" w:space="0" w:color="auto"/>
        <w:left w:val="none" w:sz="0" w:space="0" w:color="auto"/>
        <w:bottom w:val="none" w:sz="0" w:space="0" w:color="auto"/>
        <w:right w:val="none" w:sz="0" w:space="0" w:color="auto"/>
      </w:divBdr>
    </w:div>
    <w:div w:id="975527975">
      <w:bodyDiv w:val="1"/>
      <w:marLeft w:val="0"/>
      <w:marRight w:val="0"/>
      <w:marTop w:val="0"/>
      <w:marBottom w:val="0"/>
      <w:divBdr>
        <w:top w:val="none" w:sz="0" w:space="0" w:color="auto"/>
        <w:left w:val="none" w:sz="0" w:space="0" w:color="auto"/>
        <w:bottom w:val="none" w:sz="0" w:space="0" w:color="auto"/>
        <w:right w:val="none" w:sz="0" w:space="0" w:color="auto"/>
      </w:divBdr>
    </w:div>
    <w:div w:id="1129933316">
      <w:bodyDiv w:val="1"/>
      <w:marLeft w:val="0"/>
      <w:marRight w:val="0"/>
      <w:marTop w:val="0"/>
      <w:marBottom w:val="0"/>
      <w:divBdr>
        <w:top w:val="none" w:sz="0" w:space="0" w:color="auto"/>
        <w:left w:val="none" w:sz="0" w:space="0" w:color="auto"/>
        <w:bottom w:val="none" w:sz="0" w:space="0" w:color="auto"/>
        <w:right w:val="none" w:sz="0" w:space="0" w:color="auto"/>
      </w:divBdr>
    </w:div>
    <w:div w:id="1209689108">
      <w:bodyDiv w:val="1"/>
      <w:marLeft w:val="0"/>
      <w:marRight w:val="0"/>
      <w:marTop w:val="0"/>
      <w:marBottom w:val="0"/>
      <w:divBdr>
        <w:top w:val="none" w:sz="0" w:space="0" w:color="auto"/>
        <w:left w:val="none" w:sz="0" w:space="0" w:color="auto"/>
        <w:bottom w:val="none" w:sz="0" w:space="0" w:color="auto"/>
        <w:right w:val="none" w:sz="0" w:space="0" w:color="auto"/>
      </w:divBdr>
    </w:div>
    <w:div w:id="1211921636">
      <w:bodyDiv w:val="1"/>
      <w:marLeft w:val="0"/>
      <w:marRight w:val="0"/>
      <w:marTop w:val="0"/>
      <w:marBottom w:val="0"/>
      <w:divBdr>
        <w:top w:val="none" w:sz="0" w:space="0" w:color="auto"/>
        <w:left w:val="none" w:sz="0" w:space="0" w:color="auto"/>
        <w:bottom w:val="none" w:sz="0" w:space="0" w:color="auto"/>
        <w:right w:val="none" w:sz="0" w:space="0" w:color="auto"/>
      </w:divBdr>
      <w:divsChild>
        <w:div w:id="681859143">
          <w:marLeft w:val="0"/>
          <w:marRight w:val="0"/>
          <w:marTop w:val="0"/>
          <w:marBottom w:val="0"/>
          <w:divBdr>
            <w:top w:val="none" w:sz="0" w:space="0" w:color="auto"/>
            <w:left w:val="none" w:sz="0" w:space="0" w:color="auto"/>
            <w:bottom w:val="none" w:sz="0" w:space="0" w:color="auto"/>
            <w:right w:val="none" w:sz="0" w:space="0" w:color="auto"/>
          </w:divBdr>
          <w:divsChild>
            <w:div w:id="49501831">
              <w:marLeft w:val="0"/>
              <w:marRight w:val="0"/>
              <w:marTop w:val="0"/>
              <w:marBottom w:val="0"/>
              <w:divBdr>
                <w:top w:val="none" w:sz="0" w:space="0" w:color="auto"/>
                <w:left w:val="none" w:sz="0" w:space="0" w:color="auto"/>
                <w:bottom w:val="none" w:sz="0" w:space="0" w:color="auto"/>
                <w:right w:val="none" w:sz="0" w:space="0" w:color="auto"/>
              </w:divBdr>
              <w:divsChild>
                <w:div w:id="2139757770">
                  <w:marLeft w:val="0"/>
                  <w:marRight w:val="0"/>
                  <w:marTop w:val="0"/>
                  <w:marBottom w:val="0"/>
                  <w:divBdr>
                    <w:top w:val="none" w:sz="0" w:space="0" w:color="auto"/>
                    <w:left w:val="none" w:sz="0" w:space="0" w:color="auto"/>
                    <w:bottom w:val="none" w:sz="0" w:space="0" w:color="auto"/>
                    <w:right w:val="none" w:sz="0" w:space="0" w:color="auto"/>
                  </w:divBdr>
                  <w:divsChild>
                    <w:div w:id="2369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3620">
          <w:marLeft w:val="0"/>
          <w:marRight w:val="0"/>
          <w:marTop w:val="0"/>
          <w:marBottom w:val="0"/>
          <w:divBdr>
            <w:top w:val="none" w:sz="0" w:space="0" w:color="auto"/>
            <w:left w:val="none" w:sz="0" w:space="0" w:color="auto"/>
            <w:bottom w:val="none" w:sz="0" w:space="0" w:color="auto"/>
            <w:right w:val="none" w:sz="0" w:space="0" w:color="auto"/>
          </w:divBdr>
          <w:divsChild>
            <w:div w:id="557013538">
              <w:marLeft w:val="0"/>
              <w:marRight w:val="0"/>
              <w:marTop w:val="0"/>
              <w:marBottom w:val="0"/>
              <w:divBdr>
                <w:top w:val="none" w:sz="0" w:space="0" w:color="auto"/>
                <w:left w:val="none" w:sz="0" w:space="0" w:color="auto"/>
                <w:bottom w:val="none" w:sz="0" w:space="0" w:color="auto"/>
                <w:right w:val="none" w:sz="0" w:space="0" w:color="auto"/>
              </w:divBdr>
              <w:divsChild>
                <w:div w:id="39745652">
                  <w:marLeft w:val="0"/>
                  <w:marRight w:val="0"/>
                  <w:marTop w:val="0"/>
                  <w:marBottom w:val="0"/>
                  <w:divBdr>
                    <w:top w:val="none" w:sz="0" w:space="0" w:color="auto"/>
                    <w:left w:val="none" w:sz="0" w:space="0" w:color="auto"/>
                    <w:bottom w:val="none" w:sz="0" w:space="0" w:color="auto"/>
                    <w:right w:val="none" w:sz="0" w:space="0" w:color="auto"/>
                  </w:divBdr>
                  <w:divsChild>
                    <w:div w:id="16831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357301">
      <w:bodyDiv w:val="1"/>
      <w:marLeft w:val="0"/>
      <w:marRight w:val="0"/>
      <w:marTop w:val="0"/>
      <w:marBottom w:val="0"/>
      <w:divBdr>
        <w:top w:val="none" w:sz="0" w:space="0" w:color="auto"/>
        <w:left w:val="none" w:sz="0" w:space="0" w:color="auto"/>
        <w:bottom w:val="none" w:sz="0" w:space="0" w:color="auto"/>
        <w:right w:val="none" w:sz="0" w:space="0" w:color="auto"/>
      </w:divBdr>
    </w:div>
    <w:div w:id="1334190031">
      <w:bodyDiv w:val="1"/>
      <w:marLeft w:val="0"/>
      <w:marRight w:val="0"/>
      <w:marTop w:val="0"/>
      <w:marBottom w:val="0"/>
      <w:divBdr>
        <w:top w:val="none" w:sz="0" w:space="0" w:color="auto"/>
        <w:left w:val="none" w:sz="0" w:space="0" w:color="auto"/>
        <w:bottom w:val="none" w:sz="0" w:space="0" w:color="auto"/>
        <w:right w:val="none" w:sz="0" w:space="0" w:color="auto"/>
      </w:divBdr>
    </w:div>
    <w:div w:id="1352878964">
      <w:bodyDiv w:val="1"/>
      <w:marLeft w:val="0"/>
      <w:marRight w:val="0"/>
      <w:marTop w:val="0"/>
      <w:marBottom w:val="0"/>
      <w:divBdr>
        <w:top w:val="none" w:sz="0" w:space="0" w:color="auto"/>
        <w:left w:val="none" w:sz="0" w:space="0" w:color="auto"/>
        <w:bottom w:val="none" w:sz="0" w:space="0" w:color="auto"/>
        <w:right w:val="none" w:sz="0" w:space="0" w:color="auto"/>
      </w:divBdr>
    </w:div>
    <w:div w:id="1378892482">
      <w:bodyDiv w:val="1"/>
      <w:marLeft w:val="0"/>
      <w:marRight w:val="0"/>
      <w:marTop w:val="0"/>
      <w:marBottom w:val="0"/>
      <w:divBdr>
        <w:top w:val="none" w:sz="0" w:space="0" w:color="auto"/>
        <w:left w:val="none" w:sz="0" w:space="0" w:color="auto"/>
        <w:bottom w:val="none" w:sz="0" w:space="0" w:color="auto"/>
        <w:right w:val="none" w:sz="0" w:space="0" w:color="auto"/>
      </w:divBdr>
    </w:div>
    <w:div w:id="1420179318">
      <w:bodyDiv w:val="1"/>
      <w:marLeft w:val="0"/>
      <w:marRight w:val="0"/>
      <w:marTop w:val="0"/>
      <w:marBottom w:val="0"/>
      <w:divBdr>
        <w:top w:val="none" w:sz="0" w:space="0" w:color="auto"/>
        <w:left w:val="none" w:sz="0" w:space="0" w:color="auto"/>
        <w:bottom w:val="none" w:sz="0" w:space="0" w:color="auto"/>
        <w:right w:val="none" w:sz="0" w:space="0" w:color="auto"/>
      </w:divBdr>
    </w:div>
    <w:div w:id="1436942515">
      <w:bodyDiv w:val="1"/>
      <w:marLeft w:val="0"/>
      <w:marRight w:val="0"/>
      <w:marTop w:val="0"/>
      <w:marBottom w:val="0"/>
      <w:divBdr>
        <w:top w:val="none" w:sz="0" w:space="0" w:color="auto"/>
        <w:left w:val="none" w:sz="0" w:space="0" w:color="auto"/>
        <w:bottom w:val="none" w:sz="0" w:space="0" w:color="auto"/>
        <w:right w:val="none" w:sz="0" w:space="0" w:color="auto"/>
      </w:divBdr>
    </w:div>
    <w:div w:id="1502964024">
      <w:bodyDiv w:val="1"/>
      <w:marLeft w:val="0"/>
      <w:marRight w:val="0"/>
      <w:marTop w:val="0"/>
      <w:marBottom w:val="0"/>
      <w:divBdr>
        <w:top w:val="none" w:sz="0" w:space="0" w:color="auto"/>
        <w:left w:val="none" w:sz="0" w:space="0" w:color="auto"/>
        <w:bottom w:val="none" w:sz="0" w:space="0" w:color="auto"/>
        <w:right w:val="none" w:sz="0" w:space="0" w:color="auto"/>
      </w:divBdr>
    </w:div>
    <w:div w:id="1639452068">
      <w:bodyDiv w:val="1"/>
      <w:marLeft w:val="0"/>
      <w:marRight w:val="0"/>
      <w:marTop w:val="0"/>
      <w:marBottom w:val="0"/>
      <w:divBdr>
        <w:top w:val="none" w:sz="0" w:space="0" w:color="auto"/>
        <w:left w:val="none" w:sz="0" w:space="0" w:color="auto"/>
        <w:bottom w:val="none" w:sz="0" w:space="0" w:color="auto"/>
        <w:right w:val="none" w:sz="0" w:space="0" w:color="auto"/>
      </w:divBdr>
    </w:div>
    <w:div w:id="1811291158">
      <w:bodyDiv w:val="1"/>
      <w:marLeft w:val="0"/>
      <w:marRight w:val="0"/>
      <w:marTop w:val="0"/>
      <w:marBottom w:val="0"/>
      <w:divBdr>
        <w:top w:val="none" w:sz="0" w:space="0" w:color="auto"/>
        <w:left w:val="none" w:sz="0" w:space="0" w:color="auto"/>
        <w:bottom w:val="none" w:sz="0" w:space="0" w:color="auto"/>
        <w:right w:val="none" w:sz="0" w:space="0" w:color="auto"/>
      </w:divBdr>
    </w:div>
    <w:div w:id="1941798111">
      <w:bodyDiv w:val="1"/>
      <w:marLeft w:val="0"/>
      <w:marRight w:val="0"/>
      <w:marTop w:val="0"/>
      <w:marBottom w:val="0"/>
      <w:divBdr>
        <w:top w:val="none" w:sz="0" w:space="0" w:color="auto"/>
        <w:left w:val="none" w:sz="0" w:space="0" w:color="auto"/>
        <w:bottom w:val="none" w:sz="0" w:space="0" w:color="auto"/>
        <w:right w:val="none" w:sz="0" w:space="0" w:color="auto"/>
      </w:divBdr>
    </w:div>
    <w:div w:id="1957523820">
      <w:bodyDiv w:val="1"/>
      <w:marLeft w:val="0"/>
      <w:marRight w:val="0"/>
      <w:marTop w:val="0"/>
      <w:marBottom w:val="0"/>
      <w:divBdr>
        <w:top w:val="none" w:sz="0" w:space="0" w:color="auto"/>
        <w:left w:val="none" w:sz="0" w:space="0" w:color="auto"/>
        <w:bottom w:val="none" w:sz="0" w:space="0" w:color="auto"/>
        <w:right w:val="none" w:sz="0" w:space="0" w:color="auto"/>
      </w:divBdr>
    </w:div>
    <w:div w:id="1990012210">
      <w:bodyDiv w:val="1"/>
      <w:marLeft w:val="0"/>
      <w:marRight w:val="0"/>
      <w:marTop w:val="0"/>
      <w:marBottom w:val="0"/>
      <w:divBdr>
        <w:top w:val="none" w:sz="0" w:space="0" w:color="auto"/>
        <w:left w:val="none" w:sz="0" w:space="0" w:color="auto"/>
        <w:bottom w:val="none" w:sz="0" w:space="0" w:color="auto"/>
        <w:right w:val="none" w:sz="0" w:space="0" w:color="auto"/>
      </w:divBdr>
    </w:div>
    <w:div w:id="2010062544">
      <w:bodyDiv w:val="1"/>
      <w:marLeft w:val="0"/>
      <w:marRight w:val="0"/>
      <w:marTop w:val="0"/>
      <w:marBottom w:val="0"/>
      <w:divBdr>
        <w:top w:val="none" w:sz="0" w:space="0" w:color="auto"/>
        <w:left w:val="none" w:sz="0" w:space="0" w:color="auto"/>
        <w:bottom w:val="none" w:sz="0" w:space="0" w:color="auto"/>
        <w:right w:val="none" w:sz="0" w:space="0" w:color="auto"/>
      </w:divBdr>
    </w:div>
    <w:div w:id="2081707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5.xm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TXT/?uri=CELEX:32018D0017" TargetMode="External"/><Relationship Id="rId2" Type="http://schemas.openxmlformats.org/officeDocument/2006/relationships/hyperlink" Target="http://eur-lex.europa.eu/legal-content/EN/TXT/?uri=celex:32006R1967R(01)" TargetMode="External"/><Relationship Id="rId1" Type="http://schemas.openxmlformats.org/officeDocument/2006/relationships/hyperlink" Target="http://ec.europa.eu/info/law/better-regulation/initiatives/ares-2018-1986447_el" TargetMode="External"/><Relationship Id="rId4" Type="http://schemas.openxmlformats.org/officeDocument/2006/relationships/hyperlink" Target="https://ec.europa.eu/fisheries/inseparable/en/medfish4e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ECC506078DB840AA0734C63B456C7F" ma:contentTypeVersion="2" ma:contentTypeDescription="Create a new document." ma:contentTypeScope="" ma:versionID="40b194734fdc9153997f1696afadc8eb">
  <xsd:schema xmlns:xsd="http://www.w3.org/2001/XMLSchema" xmlns:xs="http://www.w3.org/2001/XMLSchema" xmlns:p="http://schemas.microsoft.com/office/2006/metadata/properties" xmlns:ns1="4962eb87-691e-4ab8-bcad-1e23c43f590e" xmlns:ns3="http://schemas.microsoft.com/sharepoint/v4" targetNamespace="http://schemas.microsoft.com/office/2006/metadata/properties" ma:root="true" ma:fieldsID="38722e2cbe80aff242ee89183d1815ef" ns1:_="" ns3:_="">
    <xsd:import namespace="4962eb87-691e-4ab8-bcad-1e23c43f590e"/>
    <xsd:import namespace="http://schemas.microsoft.com/sharepoint/v4"/>
    <xsd:element name="properties">
      <xsd:complexType>
        <xsd:sequence>
          <xsd:element name="documentManagement">
            <xsd:complexType>
              <xsd:all>
                <xsd:element ref="ns1:Hyperlink"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2eb87-691e-4ab8-bcad-1e23c43f590e" elementFormDefault="qualified">
    <xsd:import namespace="http://schemas.microsoft.com/office/2006/documentManagement/types"/>
    <xsd:import namespace="http://schemas.microsoft.com/office/infopath/2007/PartnerControls"/>
    <xsd:element name="Hyperlink" ma:index="0"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4.xml><?xml version="1.0" encoding="utf-8"?>
<Author Role="Creator">
  <Id>ddfe5cfd-e857-4716-9728-fe2b13c30ad4</Id>
  <Names>
    <Latin>
      <FirstName/>
      <LastName/>
    </Latin>
    <Greek>
      <FirstName/>
      <LastName/>
    </Greek>
    <Cyrillic>
      <FirstName/>
      <LastName/>
    </Cyrillic>
    <DocumentScript>
      <FirstName/>
      <LastName/>
      <FullName/>
    </DocumentScript>
  </Names>
  <Initials/>
  <Gender>f</Gender>
  <Email>Evangelia.GEORGITSI@ec.europa.eu</Email>
  <Service>MARE.D.3</Service>
  <Function/>
  <WebAddress/>
  <InheritedWebAddress/>
  <Addresses>
    <Address>
      <Id>1264fb81-f6bb-475e-9f9d-a937d3be6ee2</Id>
      <Name>Luxembourg</Name>
      <PhoneNumberPrefix>+352 4301</PhoneNumberPrefix>
      <Location>Luxembourg,</Location>
      <Footer>Commission européenne, 2920 Luxembourg, LUXEMBOURG — Tel. +352 43011</Footer>
    </Address>
    <Address>
      <Id>f03b5801-04c9-4931-aa17-c6d6c70bc579</Id>
      <Name>Brussels</Name>
      <PhoneNumberPrefix>+32 229 </PhoneNumberPrefix>
      <Location>Brussels,</Location>
      <Footer>Commission européenne/Europese Commissie, 1049 Bruxelles/Brussel, BELGIQUE/BELGIË — Tel. +32 22991111</Footer>
    </Address>
  </Addresses>
  <JobAssignmentId/>
  <MainWorkplace IsMain="true">
    <AddressId>f03b5801-04c9-4931-aa17-c6d6c70bc579</AddressId>
    <Fax/>
    <Phone>+32 229 50443</Phone>
    <Office>J-99 01/036</Office>
  </MainWorkplace>
  <Workplaces>
    <Workplace IsMain="false">
      <AddressId>1264fb81-f6bb-475e-9f9d-a937d3be6ee2</AddressId>
      <Fax/>
      <Phone/>
      <Office/>
    </Workplace>
    <Workplace IsMain="true">
      <AddressId>f03b5801-04c9-4931-aa17-c6d6c70bc579</AddressId>
      <Fax/>
      <Phone>+32 229 50443</Phone>
      <Office>J-99 01/036</Office>
    </Workplace>
  </Workplaces>
</Author>
</file>

<file path=customXml/item5.xml><?xml version="1.0" encoding="utf-8"?>
<EurolookProperties>
  <Created>
    <Version>4.6</Version>
    <Date>2018-03-01T15:37:53</Date>
    <Language>EN</Language>
  </Created>
  <Edited>
    <Version>10.0.36920.0</Version>
    <Date>2018-03-20T12:37:56</Date>
  </Edited>
  <DocumentModel>
    <Id>6cbda13a-4db2-46c6-876a-ef72275827ef</Id>
    <Name>Report</Name>
  </DocumentModel>
  <DocumentDate/>
  <DocumentVersion/>
  <CompatibilityMode>Eurolook4x</CompatibilityMode>
  <Address/>
</EurolookProperti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yperlink xmlns="4962eb87-691e-4ab8-bcad-1e23c43f590e">
      <Url xsi:nil="true"/>
      <Description xsi:nil="true"/>
    </Hyperlink>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DF94C-6B9B-4A2C-BA6D-BB825799FD19}">
  <ds:schemaRefs>
    <ds:schemaRef ds:uri="http://schemas.microsoft.com/sharepoint/v3/contenttype/forms"/>
  </ds:schemaRefs>
</ds:datastoreItem>
</file>

<file path=customXml/itemProps2.xml><?xml version="1.0" encoding="utf-8"?>
<ds:datastoreItem xmlns:ds="http://schemas.openxmlformats.org/officeDocument/2006/customXml" ds:itemID="{B4F33626-50F0-4A50-8132-1290677B1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2eb87-691e-4ab8-bcad-1e23c43f59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399EB-A270-41E3-9C7F-FC7F0CAA0503}">
  <ds:schemaRefs/>
</ds:datastoreItem>
</file>

<file path=customXml/itemProps4.xml><?xml version="1.0" encoding="utf-8"?>
<ds:datastoreItem xmlns:ds="http://schemas.openxmlformats.org/officeDocument/2006/customXml" ds:itemID="{84A72812-48FE-4747-BA02-567D8EEBC741}">
  <ds:schemaRefs/>
</ds:datastoreItem>
</file>

<file path=customXml/itemProps5.xml><?xml version="1.0" encoding="utf-8"?>
<ds:datastoreItem xmlns:ds="http://schemas.openxmlformats.org/officeDocument/2006/customXml" ds:itemID="{3F8E4C76-ADD6-45EF-9952-02A2B770F8CC}">
  <ds:schemaRefs/>
</ds:datastoreItem>
</file>

<file path=customXml/itemProps6.xml><?xml version="1.0" encoding="utf-8"?>
<ds:datastoreItem xmlns:ds="http://schemas.openxmlformats.org/officeDocument/2006/customXml" ds:itemID="{B424AB90-A4AC-48F5-9DDE-169C8A144294}">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http://schemas.microsoft.com/sharepoint/v4"/>
    <ds:schemaRef ds:uri="4962eb87-691e-4ab8-bcad-1e23c43f590e"/>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1F14C805-2EB0-4512-A568-434B5820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5674</Words>
  <Characters>31606</Characters>
  <Application>Microsoft Office Word</Application>
  <DocSecurity>0</DocSecurity>
  <PresentationFormat>Microsoft Word 14.0</PresentationFormat>
  <Lines>619</Lines>
  <Paragraphs>140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17</cp:revision>
  <cp:lastPrinted>2018-03-20T11:32:00Z</cp:lastPrinted>
  <dcterms:created xsi:type="dcterms:W3CDTF">2018-06-05T14:29:00Z</dcterms:created>
  <dcterms:modified xsi:type="dcterms:W3CDTF">2018-06-29T07:14:00Z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Ernesto PENAS LADO</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ontentTypeId">
    <vt:lpwstr>0x01010081ECC506078DB840AA0734C63B456C7F</vt:lpwstr>
  </property>
  <property fmtid="{D5CDD505-2E9C-101B-9397-08002B2CF9AE}" pid="16" name="DocStatus">
    <vt:lpwstr>Green</vt:lpwstr>
  </property>
  <property fmtid="{D5CDD505-2E9C-101B-9397-08002B2CF9AE}" pid="17" name="Level of sensitivity">
    <vt:lpwstr>Standard treatment</vt:lpwstr>
  </property>
  <property name="OP_sanitized" fmtid="{D5CDD505-2E9C-101B-9397-08002B2CF9AE}" pid="18">
    <vt:lpwstr>True</vt:lpwstr>
  </property>
</Properties>
</file>