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8CCE321-9658-4B96-B51E-B414C386580D" style="width:450.7pt;height:374.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ΕΚΘΕΣΗ ΤΗΣ ΕΠΙΤΡΟΠΗΣ ΠΡΟΣ ΤΟ ΕΥΡΩΠΑΪΚΟ ΚΟΙΝΟΒΟΥΛΙΟ ΚΑΙ</w:t>
      </w:r>
    </w:p>
    <w:p>
      <w:pPr>
        <w:spacing w:line="240" w:lineRule="auto"/>
        <w:jc w:val="center"/>
        <w:rPr>
          <w:rFonts w:ascii="Times New Roman" w:hAnsi="Times New Roman"/>
          <w:b/>
          <w:noProof/>
          <w:sz w:val="24"/>
          <w:szCs w:val="24"/>
        </w:rPr>
      </w:pPr>
      <w:r>
        <w:rPr>
          <w:rFonts w:ascii="Times New Roman" w:hAnsi="Times New Roman"/>
          <w:b/>
          <w:noProof/>
          <w:sz w:val="24"/>
        </w:rPr>
        <w:t>ΤΟ ΣΥΜΒΟΥΛΙΟ</w:t>
      </w:r>
    </w:p>
    <w:p>
      <w:pPr>
        <w:spacing w:line="240" w:lineRule="auto"/>
        <w:jc w:val="center"/>
        <w:rPr>
          <w:rFonts w:ascii="Times New Roman" w:hAnsi="Times New Roman"/>
          <w:b/>
          <w:noProof/>
          <w:sz w:val="24"/>
          <w:szCs w:val="24"/>
        </w:rPr>
      </w:pPr>
      <w:r>
        <w:rPr>
          <w:rFonts w:ascii="Times New Roman" w:hAnsi="Times New Roman"/>
          <w:b/>
          <w:noProof/>
          <w:sz w:val="24"/>
        </w:rPr>
        <w:t>σχετικά με την άσκηση της εξουσίας έκδοσης κατ’ εξουσιοδότηση πράξεων που παρέχεται στην Επιτροπή σύμφωνα με την οδηγία 2013/55/ΕΕ του Ευρωπαϊκού Κοινοβουλίου και του Συμβουλίου, της 20ής Νοεμβρίου 2013, για την τροποποίηση της οδηγίας 2005/36/ΕΚ σχετικά με την αναγνώριση των επαγγελματικών προσόντων και του κανονισμού (ΕΕ) αριθ. 1024/2012 σχετικά με τη διοικητική συνεργασία μέσω του συστήματος πληροφόρησης της εσωτερικής αγοράς («κανονισμός IMI»)</w:t>
      </w:r>
    </w:p>
    <w:p>
      <w:pPr>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 xml:space="preserve">1. </w:t>
      </w:r>
      <w:r>
        <w:rPr>
          <w:noProof/>
        </w:rPr>
        <w:tab/>
      </w:r>
      <w:r>
        <w:rPr>
          <w:rFonts w:ascii="Times New Roman" w:hAnsi="Times New Roman"/>
          <w:b/>
          <w:noProof/>
          <w:sz w:val="24"/>
        </w:rPr>
        <w:t>ΕΙΣΑΓΩΓΗ</w:t>
      </w:r>
    </w:p>
    <w:p>
      <w:pPr>
        <w:jc w:val="both"/>
        <w:rPr>
          <w:rFonts w:ascii="Times New Roman" w:hAnsi="Times New Roman"/>
          <w:noProof/>
          <w:sz w:val="24"/>
          <w:szCs w:val="24"/>
        </w:rPr>
      </w:pPr>
      <w:r>
        <w:rPr>
          <w:rFonts w:ascii="Times New Roman" w:hAnsi="Times New Roman"/>
          <w:noProof/>
          <w:sz w:val="24"/>
        </w:rPr>
        <w:t>Η οδηγία 2005/36/ΕΚ του Ευρωπαϊκού Κοινοβουλίου και του Συμβουλίου, της 7ης Σεπτεμβρίου 2005, σχετικά με την αναγνώριση των επαγγελματικών προσόντων</w:t>
      </w:r>
      <w:r>
        <w:rPr>
          <w:rStyle w:val="FootnoteReference"/>
          <w:rFonts w:ascii="Times New Roman" w:hAnsi="Times New Roman"/>
          <w:noProof/>
          <w:sz w:val="24"/>
        </w:rPr>
        <w:footnoteReference w:id="1"/>
      </w:r>
      <w:r>
        <w:rPr>
          <w:rFonts w:ascii="Times New Roman" w:hAnsi="Times New Roman"/>
          <w:noProof/>
          <w:sz w:val="24"/>
        </w:rPr>
        <w:t xml:space="preserve"> ενοποίησε το σύστημα αμοιβαίας αναγνώρισης που βασιζόταν αρχικά σε 15 οδηγίες. </w:t>
      </w:r>
    </w:p>
    <w:p>
      <w:pPr>
        <w:jc w:val="both"/>
        <w:rPr>
          <w:rFonts w:ascii="Times New Roman" w:hAnsi="Times New Roman"/>
          <w:noProof/>
          <w:sz w:val="24"/>
          <w:szCs w:val="24"/>
        </w:rPr>
      </w:pPr>
      <w:r>
        <w:rPr>
          <w:rFonts w:ascii="Times New Roman" w:hAnsi="Times New Roman"/>
          <w:noProof/>
          <w:sz w:val="24"/>
        </w:rPr>
        <w:t>Η Επιτροπή, στην ανακοίνωση που εξέδωσε στις 27 Οκτωβρίου 2011</w:t>
      </w:r>
      <w:r>
        <w:rPr>
          <w:rStyle w:val="FootnoteReference"/>
          <w:rFonts w:ascii="Times New Roman" w:hAnsi="Times New Roman"/>
          <w:noProof/>
          <w:sz w:val="24"/>
        </w:rPr>
        <w:footnoteReference w:id="2"/>
      </w:r>
      <w:r>
        <w:rPr>
          <w:rFonts w:ascii="Times New Roman" w:hAnsi="Times New Roman"/>
          <w:noProof/>
          <w:sz w:val="24"/>
        </w:rPr>
        <w:t>, επισήμανε την ανάγκη εκσυγχρονισμού του ενωσιακού δικαίου στον τομέα αυτόν. Αυτό οδήγησε στην έκδοση της οδηγίας 2013/55/ΕΕ</w:t>
      </w:r>
      <w:r>
        <w:rPr>
          <w:rStyle w:val="FootnoteReference"/>
          <w:rFonts w:ascii="Times New Roman" w:hAnsi="Times New Roman"/>
          <w:noProof/>
          <w:sz w:val="24"/>
        </w:rPr>
        <w:footnoteReference w:id="3"/>
      </w:r>
      <w:r>
        <w:rPr>
          <w:rFonts w:ascii="Times New Roman" w:hAnsi="Times New Roman"/>
          <w:noProof/>
          <w:sz w:val="24"/>
        </w:rPr>
        <w:t xml:space="preserve"> στις 20 Νοεμβρίου 2013.</w:t>
      </w:r>
    </w:p>
    <w:p>
      <w:pPr>
        <w:jc w:val="both"/>
        <w:rPr>
          <w:rFonts w:ascii="Times New Roman" w:hAnsi="Times New Roman"/>
          <w:noProof/>
          <w:sz w:val="24"/>
          <w:szCs w:val="24"/>
        </w:rPr>
      </w:pPr>
      <w:r>
        <w:rPr>
          <w:rFonts w:ascii="Times New Roman" w:hAnsi="Times New Roman"/>
          <w:noProof/>
          <w:sz w:val="24"/>
        </w:rPr>
        <w:t>Για την επίτευξη των στόχων της, η οδηγία 2013/55/ΕΕ για την τροποποίηση της οδηγίας 2005/36/ΕΚ παρέχει στην Επιτροπή την εξουσία να εκδίδει κατ’ εξουσιοδότηση πράξεις σε ορισμένα θέματα που απαριθμούνται στο άρθρο 57γ παράγραφος 2 της οδηγίας 2005/36/ΕΚ («η οδηγία») και υπό τους όρους που καθορίζονται στο εν λόγω άρθρο, σύμφωνα με το άρθρο 290 της ΣΛΕΕ.</w:t>
      </w:r>
    </w:p>
    <w:p>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ΝΟΜΙΚΗ ΒΑΣΗ</w:t>
      </w:r>
    </w:p>
    <w:p>
      <w:pPr>
        <w:jc w:val="both"/>
        <w:rPr>
          <w:rFonts w:ascii="Times New Roman" w:hAnsi="Times New Roman"/>
          <w:noProof/>
          <w:sz w:val="24"/>
          <w:szCs w:val="24"/>
        </w:rPr>
      </w:pPr>
      <w:r>
        <w:rPr>
          <w:rFonts w:ascii="Times New Roman" w:hAnsi="Times New Roman"/>
          <w:noProof/>
          <w:sz w:val="24"/>
        </w:rPr>
        <w:t>Το άρθρο 57γ παράγραφος 2 της οδηγίας 2005/36/ΕΚ, όπως τροποποιήθηκε με την οδηγία 2013/55/ΕΕ, εξουσιοδοτεί την Επιτροπή να εκδίδει κατ’ εξουσιοδότηση πράξεις σχετικά με τα θέματα που απαριθμούνται σ’ αυτήν για περίοδο πέντε ετών από τις 17 Ιανουαρίου 2014. Επιπλέον, υποχρεώνει την Επιτροπή να καταρτίσει έκθεση σχετικά με την εξουσιοδότηση το αργότερο εννέα μήνες πριν από τη λήξη της πενταετούς περιόδου.</w:t>
      </w:r>
    </w:p>
    <w:p>
      <w:pPr>
        <w:jc w:val="both"/>
        <w:rPr>
          <w:rFonts w:ascii="Times New Roman" w:hAnsi="Times New Roman"/>
          <w:noProof/>
          <w:sz w:val="24"/>
          <w:szCs w:val="24"/>
        </w:rPr>
      </w:pPr>
      <w:r>
        <w:rPr>
          <w:rFonts w:ascii="Times New Roman" w:hAnsi="Times New Roman"/>
          <w:noProof/>
          <w:sz w:val="24"/>
        </w:rPr>
        <w:t>Η εξουσιοδότηση ανανεώνεται σιωπηρά για περιόδους πέντε ετών, εκτός αν το Ευρωπαϊκό Κοινοβούλιο ή το Συμβούλιο προβάλουν αντιρρήσεις το αργότερο τρεις μήνες πριν από τη λήξη της κάθε περιόδου.</w:t>
      </w:r>
    </w:p>
    <w:p>
      <w:pPr>
        <w:jc w:val="both"/>
        <w:rPr>
          <w:rFonts w:ascii="Times New Roman" w:hAnsi="Times New Roman"/>
          <w:noProof/>
          <w:sz w:val="24"/>
          <w:szCs w:val="24"/>
        </w:rPr>
      </w:pPr>
      <w:r>
        <w:rPr>
          <w:rFonts w:ascii="Times New Roman" w:hAnsi="Times New Roman"/>
          <w:noProof/>
          <w:sz w:val="24"/>
        </w:rPr>
        <w:t xml:space="preserve">Η εξουσία για την έκδοση κατ’ εξουσιοδότηση πράξεων ανατίθεται στην Επιτροπή υπό τους όρους που καθορίζονται στο άρθρο 57γ της οδηγίας 2005/36/ΕΚ, όπως τροποποιήθηκε με την οδηγία 2013/55/ΕΕ. Μπορεί να ανακληθεί ανά πάσα στιγμή από το Ευρωπαϊκό Κοινοβούλιο ή το Συμβούλιο. </w:t>
      </w:r>
    </w:p>
    <w:p>
      <w:pPr>
        <w:jc w:val="both"/>
        <w:rPr>
          <w:noProof/>
        </w:rPr>
      </w:pPr>
      <w:r>
        <w:rPr>
          <w:rFonts w:ascii="Times New Roman" w:hAnsi="Times New Roman"/>
          <w:noProof/>
          <w:sz w:val="24"/>
        </w:rPr>
        <w:t>Το άρθρο 57γ παράγραφος 2 της οδηγίας 2005/36/ΕΚ, όπως τροποποιήθηκε με την οδηγία 2013/55/ΕΕ, εξουσιοδοτεί την Επιτροπή να εκδίδει κατ’ εξουσιοδότηση πράξεις για τα ακόλουθα θέματα:</w:t>
      </w:r>
    </w:p>
    <w:p>
      <w:pPr>
        <w:pStyle w:val="CM3"/>
        <w:spacing w:before="60" w:after="60"/>
        <w:rPr>
          <w:rFonts w:cs="EUAlbertina"/>
          <w:noProof/>
          <w:color w:val="000000"/>
        </w:rPr>
      </w:pPr>
    </w:p>
    <w:p>
      <w:pPr>
        <w:ind w:left="720" w:hanging="360"/>
        <w:jc w:val="both"/>
        <w:rPr>
          <w:rFonts w:ascii="Times New Roman" w:hAnsi="Times New Roman"/>
          <w:noProof/>
          <w:sz w:val="24"/>
          <w:szCs w:val="24"/>
        </w:rPr>
      </w:pPr>
      <w:r>
        <w:rPr>
          <w:rFonts w:ascii="Times New Roman" w:hAnsi="Times New Roman"/>
          <w:noProof/>
          <w:sz w:val="24"/>
        </w:rPr>
        <w:t>α)</w:t>
      </w:r>
      <w:r>
        <w:rPr>
          <w:rFonts w:ascii="Times New Roman" w:hAnsi="Times New Roman"/>
          <w:noProof/>
          <w:sz w:val="24"/>
        </w:rPr>
        <w:tab/>
        <w:t>επικαιροποίηση των τίτλων εκπαίδευσης και, κατά περίπτωση, του οργανισμού που εκδίδει τους εν λόγω τίτλους, του πιστοποιητικού που τους συνοδεύει και του αντίστοιχου επαγγελματικού τίτλου, που αναφέρονται στα σημεία 5.1.1 έως 5.1.4, 5.2.2, 5.3.2 , 5.3.3, 5.4.2, 5.5.2, 5.6.2 και 5.7.1 του παραρτήματος V·</w:t>
      </w:r>
    </w:p>
    <w:p>
      <w:pPr>
        <w:ind w:left="720" w:hanging="360"/>
        <w:jc w:val="both"/>
        <w:rPr>
          <w:rFonts w:ascii="Times New Roman" w:hAnsi="Times New Roman"/>
          <w:noProof/>
          <w:sz w:val="24"/>
          <w:szCs w:val="24"/>
        </w:rPr>
      </w:pPr>
      <w:r>
        <w:rPr>
          <w:rFonts w:ascii="Times New Roman" w:hAnsi="Times New Roman"/>
          <w:noProof/>
          <w:sz w:val="24"/>
        </w:rPr>
        <w:t>β)</w:t>
      </w:r>
      <w:r>
        <w:rPr>
          <w:rFonts w:ascii="Times New Roman" w:hAnsi="Times New Roman"/>
          <w:noProof/>
          <w:sz w:val="24"/>
        </w:rPr>
        <w:tab/>
        <w:t>επικαιροποίηση των ελάχιστων απαιτήσεων εκπαίδευσης που θεσπίστηκαν βάσει της οδηγίας για έξι επαγγέλματα·</w:t>
      </w:r>
    </w:p>
    <w:p>
      <w:pPr>
        <w:ind w:left="720" w:hanging="360"/>
        <w:jc w:val="both"/>
        <w:rPr>
          <w:rFonts w:ascii="Times New Roman" w:hAnsi="Times New Roman"/>
          <w:noProof/>
          <w:sz w:val="24"/>
          <w:szCs w:val="24"/>
        </w:rPr>
      </w:pPr>
      <w:r>
        <w:rPr>
          <w:rFonts w:ascii="Times New Roman" w:hAnsi="Times New Roman"/>
          <w:noProof/>
          <w:sz w:val="24"/>
        </w:rPr>
        <w:t>γ)</w:t>
      </w:r>
      <w:r>
        <w:rPr>
          <w:rFonts w:ascii="Times New Roman" w:hAnsi="Times New Roman"/>
          <w:noProof/>
          <w:sz w:val="24"/>
        </w:rPr>
        <w:tab/>
        <w:t>θέσπιση κοινών πλαισίων εκπαίδευσης ή κοινών δοκιμασιών εκπαίδευσης.</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Η Επιτροπή, όταν εκδίδει κατ’ εξουσιοδότηση πράξη, την κοινοποιεί ταυτόχρονα στο Ευρωπαϊκό Κοινοβούλιο και στο Συμβούλιο (άρθρο 57γ παράγραφος 4 της οδηγίας 2005/36/ΕΚ, όπως τροποποιήθηκε με την οδηγία 2013/55/ΕΕ).</w:t>
      </w:r>
    </w:p>
    <w:p>
      <w:pPr>
        <w:jc w:val="both"/>
        <w:rPr>
          <w:rFonts w:ascii="Times New Roman" w:hAnsi="Times New Roman"/>
          <w:noProof/>
          <w:sz w:val="24"/>
          <w:szCs w:val="24"/>
        </w:rPr>
      </w:pPr>
      <w:r>
        <w:rPr>
          <w:rFonts w:ascii="Times New Roman" w:hAnsi="Times New Roman"/>
          <w:noProof/>
          <w:sz w:val="24"/>
        </w:rPr>
        <w:t>Σύμφωνα με το άρθρο 57γ παράγραφος 5 της οδηγίας 2005/36/ΕΚ, όπως τροποποιήθηκε με την οδηγία 2013/55/ΕΕ, η κατ’ εξουσιοδότηση πράξη  τίθεται σε ισχύ μόνο αν δεν προβληθεί αντίρρηση από το Ευρωπαϊκό Κοινοβούλιο ή το Συμβούλιο εντός δύο μηνών από την κοινοποίηση της εν λόγω πράξης στο Ευρωπαϊκό Κοινοβούλιο και το Συμβούλιο ή αν, πριν λήξει αυτή η περίοδος, το Ευρωπαϊκό Κοινοβούλιο και το Συμβούλιο ενημερώσουν αμφότερα την Επιτροπή ότι δεν θα προβάλουν αντίρρηση. Η προθεσμία αυτή παρατείνεται κατά δύο μήνες κατόπιν πρωτοβουλίας του Ευρωπαϊκού Κοινοβουλίου ή του Συμβουλίου.</w:t>
      </w:r>
    </w:p>
    <w:p>
      <w:pPr>
        <w:jc w:val="both"/>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ΑΣΚΗΣΗ ΤΗΣ ΕΞΟΥΣΙΟΔΟΤΗΣΗΣ</w:t>
      </w:r>
    </w:p>
    <w:p>
      <w:pPr>
        <w:jc w:val="both"/>
        <w:rPr>
          <w:rFonts w:ascii="Times New Roman" w:hAnsi="Times New Roman"/>
          <w:b/>
          <w:noProof/>
          <w:sz w:val="24"/>
          <w:szCs w:val="24"/>
        </w:rPr>
      </w:pPr>
      <w:r>
        <w:rPr>
          <w:rFonts w:ascii="Times New Roman" w:hAnsi="Times New Roman"/>
          <w:b/>
          <w:noProof/>
          <w:sz w:val="24"/>
        </w:rPr>
        <w:t>3.1 Κατ’ εξουσιοδότηση πράξεις που έχουν ήδη εκδοθεί</w:t>
      </w:r>
    </w:p>
    <w:p>
      <w:pPr>
        <w:jc w:val="both"/>
        <w:rPr>
          <w:rFonts w:ascii="Times New Roman" w:hAnsi="Times New Roman" w:cs="Times New Roman"/>
          <w:bCs/>
          <w:noProof/>
          <w:sz w:val="24"/>
          <w:szCs w:val="24"/>
        </w:rPr>
      </w:pPr>
      <w:r>
        <w:rPr>
          <w:rFonts w:ascii="Times New Roman" w:hAnsi="Times New Roman"/>
          <w:noProof/>
          <w:sz w:val="24"/>
        </w:rPr>
        <w:t xml:space="preserve">Κατά την περίοδο αναφοράς, η Επιτροπή άσκησε τις ακόλουθες εξουσίες: </w:t>
      </w:r>
    </w:p>
    <w:p>
      <w:pPr>
        <w:jc w:val="both"/>
        <w:rPr>
          <w:rFonts w:ascii="Times New Roman" w:hAnsi="Times New Roman"/>
          <w:noProof/>
          <w:sz w:val="24"/>
          <w:szCs w:val="24"/>
        </w:rPr>
      </w:pPr>
      <w:r>
        <w:rPr>
          <w:rFonts w:ascii="Times New Roman" w:hAnsi="Times New Roman"/>
          <w:noProof/>
          <w:sz w:val="24"/>
        </w:rPr>
        <w:t xml:space="preserve">Βάσει του άρθρου 21α παράγραφος 4 της οδηγίας 2005/36/ΕΚ, όπως τροποποιήθηκε με την οδηγία 2013/55/ΕΕ, εκδόθηκαν δύο κατ’ εξουσιοδότηση αποφάσεις της Επιτροπής για την τροποποίηση του παραρτήματος V της οδηγίας 2005/36/ΕΚ όσον αφορά τους τίτλους εκπαίδευσης [βλ. σημείο 2 στοιχείο α) ανωτέρω. </w:t>
      </w:r>
    </w:p>
    <w:p>
      <w:pPr>
        <w:jc w:val="both"/>
        <w:rPr>
          <w:rFonts w:ascii="Times New Roman" w:hAnsi="Times New Roman"/>
          <w:noProof/>
          <w:sz w:val="24"/>
          <w:szCs w:val="24"/>
        </w:rPr>
      </w:pPr>
      <w:r>
        <w:rPr>
          <w:rFonts w:ascii="Times New Roman" w:hAnsi="Times New Roman"/>
          <w:noProof/>
          <w:sz w:val="24"/>
        </w:rPr>
        <w:t>Η πρώτη κατ’ εξουσιοδότηση απόφαση για την τροποποίηση του παραρτήματος V με στόχο την ενσωμάτωση τροποποιήσεων των εθνικών διπλωμάτων στα τομεακά επαγγέλματα που κοινοποιήθηκαν από τα κράτη μέλη στην Επιτροπή εκδόθηκε στις 13 Ιανουαρίου 2016</w:t>
      </w:r>
      <w:r>
        <w:rPr>
          <w:rStyle w:val="FootnoteReference"/>
          <w:rFonts w:ascii="Times New Roman" w:hAnsi="Times New Roman"/>
          <w:noProof/>
          <w:sz w:val="24"/>
        </w:rPr>
        <w:footnoteReference w:id="4"/>
      </w:r>
      <w:r>
        <w:rPr>
          <w:rFonts w:ascii="Times New Roman" w:hAnsi="Times New Roman"/>
          <w:noProof/>
          <w:sz w:val="24"/>
        </w:rPr>
        <w:t xml:space="preserve"> και η δεύτερη κατ’ εξουσιοδότηση απόφαση εκδόθηκε την 1η Δεκεμβρίου 2017</w:t>
      </w:r>
      <w:r>
        <w:rPr>
          <w:rStyle w:val="FootnoteReference"/>
          <w:rFonts w:ascii="Times New Roman" w:hAnsi="Times New Roman"/>
          <w:noProof/>
          <w:sz w:val="24"/>
        </w:rPr>
        <w:footnoteReference w:id="5"/>
      </w:r>
      <w:r>
        <w:rPr>
          <w:rFonts w:ascii="Times New Roman" w:hAnsi="Times New Roman"/>
          <w:noProof/>
          <w:sz w:val="24"/>
        </w:rPr>
        <w:t xml:space="preserve">. </w:t>
      </w:r>
    </w:p>
    <w:p>
      <w:pPr>
        <w:rPr>
          <w:noProof/>
        </w:rPr>
      </w:pPr>
    </w:p>
    <w:p>
      <w:pPr>
        <w:jc w:val="both"/>
        <w:rPr>
          <w:rFonts w:ascii="Times New Roman" w:hAnsi="Times New Roman"/>
          <w:b/>
          <w:noProof/>
          <w:sz w:val="24"/>
          <w:szCs w:val="24"/>
        </w:rPr>
      </w:pPr>
      <w:r>
        <w:rPr>
          <w:rFonts w:ascii="Times New Roman" w:hAnsi="Times New Roman"/>
          <w:b/>
          <w:noProof/>
          <w:sz w:val="24"/>
        </w:rPr>
        <w:t>3.2 Διαβούλευση πριν από την έκδοση</w:t>
      </w:r>
    </w:p>
    <w:p>
      <w:pPr>
        <w:jc w:val="both"/>
        <w:rPr>
          <w:rFonts w:ascii="Times New Roman" w:hAnsi="Times New Roman"/>
          <w:noProof/>
          <w:sz w:val="24"/>
          <w:szCs w:val="24"/>
        </w:rPr>
      </w:pPr>
      <w:r>
        <w:rPr>
          <w:rFonts w:ascii="Times New Roman" w:hAnsi="Times New Roman"/>
          <w:noProof/>
          <w:sz w:val="24"/>
        </w:rPr>
        <w:t>Σύμφωνα με τις δεσμεύσεις που έχει αναλάβει στη διοργανική συμφωνία για τη βελτίωση του νομοθετικού έργου</w:t>
      </w:r>
      <w:r>
        <w:rPr>
          <w:rStyle w:val="FootnoteReference"/>
          <w:rFonts w:ascii="Times New Roman" w:hAnsi="Times New Roman"/>
          <w:noProof/>
          <w:sz w:val="24"/>
        </w:rPr>
        <w:footnoteReference w:id="6"/>
      </w:r>
      <w:r>
        <w:rPr>
          <w:rFonts w:ascii="Times New Roman" w:hAnsi="Times New Roman"/>
          <w:noProof/>
          <w:sz w:val="24"/>
        </w:rPr>
        <w:t xml:space="preserve">, η Επιτροπή, κατά την εκπόνηση των κατ’ εξουσιοδότηση πράξεων, πραγματοποίησε διαβουλεύσεις με εμπειρογνώμονες που ορίστηκαν από τα κράτη μέλη και τους σχετικούς ενδιαφερομένους, μέσω τακτικών ειδικών συνεδριάσεων εμπειρογνωμόνων και γραπτών διαβουλεύσεων. </w:t>
      </w:r>
    </w:p>
    <w:p>
      <w:pPr>
        <w:jc w:val="both"/>
        <w:rPr>
          <w:rFonts w:ascii="Times New Roman" w:hAnsi="Times New Roman"/>
          <w:noProof/>
          <w:sz w:val="24"/>
          <w:szCs w:val="24"/>
        </w:rPr>
      </w:pPr>
      <w:r>
        <w:rPr>
          <w:rFonts w:ascii="Times New Roman" w:hAnsi="Times New Roman"/>
          <w:noProof/>
          <w:sz w:val="24"/>
        </w:rPr>
        <w:t>Η ομάδα εμπειρογνωμόνων που συμμετείχε στην εκπόνηση των κατ’ εξουσιοδότηση πράξεων ήταν η ομάδα συντονιστών για την αναγνώριση των επαγγελματικών προσόντων, που συστάθηκε με απόφαση της Επιτροπής της 19ης Μαρτίου 2007</w:t>
      </w:r>
      <w:r>
        <w:rPr>
          <w:rStyle w:val="FootnoteReference"/>
          <w:rFonts w:ascii="Times New Roman" w:hAnsi="Times New Roman"/>
          <w:noProof/>
          <w:sz w:val="24"/>
        </w:rPr>
        <w:footnoteReference w:id="7"/>
      </w:r>
      <w:r>
        <w:rPr>
          <w:rFonts w:ascii="Times New Roman" w:hAnsi="Times New Roman"/>
          <w:noProof/>
          <w:sz w:val="24"/>
        </w:rPr>
        <w:t>.</w:t>
      </w:r>
      <w:r>
        <w:rPr>
          <w:noProof/>
        </w:rPr>
        <w:t xml:space="preserve"> </w:t>
      </w:r>
      <w:r>
        <w:rPr>
          <w:rFonts w:ascii="Times New Roman" w:hAnsi="Times New Roman"/>
          <w:noProof/>
          <w:sz w:val="24"/>
        </w:rPr>
        <w:t>Οι παρατηρήσεις που υποβλήθηκαν στις διαβουλεύσεις αυτές ελήφθησαν υπόψη κατά τη σύνταξη των τελικών εκδόσεων των κατ’ εξουσιοδότηση πράξεων.</w:t>
      </w:r>
    </w:p>
    <w:p>
      <w:pPr>
        <w:jc w:val="both"/>
        <w:rPr>
          <w:rFonts w:ascii="Times New Roman" w:hAnsi="Times New Roman"/>
          <w:noProof/>
          <w:sz w:val="24"/>
          <w:szCs w:val="24"/>
        </w:rPr>
      </w:pPr>
      <w:r>
        <w:rPr>
          <w:rFonts w:ascii="Times New Roman" w:hAnsi="Times New Roman"/>
          <w:noProof/>
          <w:sz w:val="24"/>
        </w:rPr>
        <w:t>Τα έγγραφα τα σχετικά με τις διαβουλεύσεις αυτές διαβιβάστηκαν ταυτόχρονα στο Ευρωπαϊκό Κοινοβούλιο και στο Συμβούλιο και τα δύο θεσμικά όργανα είχαν την ευκαιρία να αποστείλουν εμπειρογνώμονες στις συνεδριάσεις της ομάδας εμπειρογνωμόνων.</w:t>
      </w:r>
    </w:p>
    <w:p>
      <w:pPr>
        <w:jc w:val="both"/>
        <w:rPr>
          <w:rFonts w:ascii="Times New Roman" w:hAnsi="Times New Roman"/>
          <w:b/>
          <w:noProof/>
          <w:sz w:val="24"/>
          <w:szCs w:val="24"/>
        </w:rPr>
      </w:pPr>
      <w:r>
        <w:rPr>
          <w:rFonts w:ascii="Times New Roman" w:hAnsi="Times New Roman"/>
          <w:b/>
          <w:noProof/>
          <w:sz w:val="24"/>
        </w:rPr>
        <w:t>3.3 Μη προβολή αντιρρήσεων για τις κατ’ εξουσιοδότηση πράξεις</w:t>
      </w:r>
    </w:p>
    <w:p>
      <w:pPr>
        <w:jc w:val="both"/>
        <w:rPr>
          <w:rFonts w:ascii="Times New Roman" w:hAnsi="Times New Roman"/>
          <w:noProof/>
          <w:sz w:val="24"/>
          <w:szCs w:val="24"/>
        </w:rPr>
      </w:pPr>
      <w:r>
        <w:rPr>
          <w:rFonts w:ascii="Times New Roman" w:hAnsi="Times New Roman"/>
          <w:noProof/>
          <w:sz w:val="24"/>
        </w:rPr>
        <w:t>Σύμφωνα με το άρθρο 57γ παράγραφος 5 της οδηγίας 2005/36/ΕΚ, όπως τροποποιήθηκε με την οδηγία 2013/55/ΕΕ,  το Ευρωπαϊκό Κοινοβούλιο ή το Συμβούλιο μπορούν να προβάλουν αντιρρήσεις για μια κατ’ εξουσιοδότηση πράξη εντός περιόδου δύο μηνών από την ημερομηνία κοινοποίησης, η οποία μπορεί να παραταθεί κατά δύο ακόμη μήνες κατόπιν σχετικής πρωτοβουλίας του Ευρωπαϊκού Κοινοβουλίου ή του Συμβουλίου. Αν είτε το Ευρωπαϊκό Κοινοβούλιο είτε το Συμβούλιο προβάλουν αντιρρήσεις για μια κατ’ εξουσιοδότηση πράξη εντός της προθεσμίας αυτής, η πράξη δεν τίθεται σε ισχύ.</w:t>
      </w:r>
    </w:p>
    <w:p>
      <w:pPr>
        <w:jc w:val="both"/>
        <w:rPr>
          <w:rFonts w:ascii="Times New Roman" w:hAnsi="Times New Roman"/>
          <w:b/>
          <w:noProof/>
          <w:sz w:val="24"/>
          <w:szCs w:val="24"/>
        </w:rPr>
      </w:pPr>
      <w:r>
        <w:rPr>
          <w:rFonts w:ascii="Times New Roman" w:hAnsi="Times New Roman"/>
          <w:noProof/>
          <w:sz w:val="24"/>
        </w:rPr>
        <w:t>Ούτε το Ευρωπαϊκό Κοινοβούλιο ούτε το Συμβούλιο πρόβαλαν αντιρρήσεις σχετικά με οποιαδήποτε από τις κατ’ εξουσιοδότηση πράξεις που αναφέρονται στο σημείο 3.1. ανωτέρω και, επομένως, οι κατ’ εξουσιοδότηση πράξεις δημοσιεύθηκαν και τέθηκαν σε ισχύ κατά τη λήξη της περιόδου προβολής αντιρρήσεων.</w:t>
      </w:r>
    </w:p>
    <w:p>
      <w:pPr>
        <w:jc w:val="both"/>
        <w:rPr>
          <w:rFonts w:ascii="Times New Roman" w:hAnsi="Times New Roman"/>
          <w:b/>
          <w:noProof/>
          <w:sz w:val="24"/>
          <w:szCs w:val="24"/>
        </w:rPr>
      </w:pPr>
      <w:r>
        <w:rPr>
          <w:rFonts w:ascii="Times New Roman" w:hAnsi="Times New Roman"/>
          <w:b/>
          <w:noProof/>
          <w:sz w:val="24"/>
        </w:rPr>
        <w:t>3.4 Πιθανές μελλοντικές κατ’ εξουσιοδότηση πράξεις</w:t>
      </w:r>
    </w:p>
    <w:p>
      <w:pPr>
        <w:jc w:val="both"/>
        <w:rPr>
          <w:rFonts w:ascii="Times New Roman" w:hAnsi="Times New Roman"/>
          <w:noProof/>
          <w:sz w:val="24"/>
          <w:szCs w:val="24"/>
        </w:rPr>
      </w:pPr>
      <w:r>
        <w:rPr>
          <w:rFonts w:ascii="Times New Roman" w:hAnsi="Times New Roman"/>
          <w:noProof/>
          <w:sz w:val="24"/>
        </w:rPr>
        <w:t>Θα χρειαστεί να εκδίδονται τακτικά και άλλες κατ’ εξουσιοδότηση πράξεις βάσει του άρθρου 21α παράγραφος 4, προκειμένου να τροποποιείται το παράρτημα V της οδηγίας 2005/36/ΕΚ όσον αφορά τους τίτλους εκπαίδευσης. Οι υπηρεσίες της Επιτροπής εκπονούν αυτήν την περίοδο την τρίτη κατ’ εξουσιοδότηση απόφαση.</w:t>
      </w:r>
    </w:p>
    <w:p>
      <w:pPr>
        <w:jc w:val="both"/>
        <w:rPr>
          <w:rFonts w:ascii="Times New Roman" w:hAnsi="Times New Roman"/>
          <w:noProof/>
          <w:sz w:val="24"/>
          <w:szCs w:val="24"/>
        </w:rPr>
      </w:pPr>
      <w:r>
        <w:rPr>
          <w:rFonts w:ascii="Times New Roman" w:hAnsi="Times New Roman"/>
          <w:noProof/>
          <w:sz w:val="24"/>
        </w:rPr>
        <w:t>Επιπλέον, οι υπηρεσίες της Επιτροπής ετοιμάζουν έναν πιθανό κατ’ εξουσιοδότηση κανονισμό για τη θέσπιση κοινής δοκιμασίας εκπαίδευσης για τους εκπαιδευτές σκι δυνάμει του άρθρου 49β της οδηγίας.</w:t>
      </w:r>
    </w:p>
    <w:p>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ΣΥΜΠΕΡΑΣΜΑ</w:t>
      </w:r>
    </w:p>
    <w:p>
      <w:pPr>
        <w:jc w:val="both"/>
        <w:rPr>
          <w:rFonts w:ascii="Times New Roman" w:hAnsi="Times New Roman"/>
          <w:noProof/>
          <w:sz w:val="24"/>
          <w:szCs w:val="24"/>
        </w:rPr>
      </w:pPr>
      <w:r>
        <w:rPr>
          <w:rFonts w:ascii="Times New Roman" w:hAnsi="Times New Roman"/>
          <w:noProof/>
          <w:sz w:val="24"/>
        </w:rPr>
        <w:t>Η Επιτροπή θεωρεί ότι άσκησε τις κατ’ εξουσιοδότηση αρμοδιότητες που της έχουν ανατεθεί εντός των ορίων και υπό τους όρους του άρθρου 57γ της οδηγίας 2005/36/ΕΚ, όπως τροποποιήθηκε με την οδηγία 2013/55 / ΕΕ. Η Επιτροπή θεωρεί ότι είναι αναγκαίο να παραταθούν οι εξουσιοδοτήσεις, διότι θα απαιτηθούν στο μέλλον και άλλες κατ’ εξουσιοδότηση πράξεις που θα τροποποιούν, μεταξύ άλλων, το παράρτημα V της οδηγίας 2005/36/ΕΚ όσον αφορά τους τίτλους εκπαίδευσης. Με την παρούσα έκθεση, η Επιτροπή συμμορφώνεται με την υποχρέωση υποβολής έκθεσης την οποία υπέχει βάσει του άρθρου 57γ παράγραφος 2 της οδηγίας 2005/36/ΕΚ, όπως τροποποιήθηκε με την οδηγία 2013/55 / ΕΕ. Η Επιτροπή καλεί το Ευρωπαϊκό Κοινοβούλιο και το Συμβούλιο να λάβουν υπόψη την παρούσα έκθεση.</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ΕΕ L 255 της 30.9.2005, σ. 22.</w:t>
      </w:r>
    </w:p>
  </w:footnote>
  <w:footnote w:id="2">
    <w:p>
      <w:pPr>
        <w:pStyle w:val="FootnoteText"/>
      </w:pPr>
      <w:r>
        <w:rPr>
          <w:rStyle w:val="FootnoteReference"/>
        </w:rPr>
        <w:footnoteRef/>
      </w:r>
      <w:r>
        <w:t xml:space="preserve"> «Η Πράξη για την Ενιαία αγορά - Δώδεκα δράσεις για την τόνωση της ανάπτυξης και την ενίσχυση της εμπιστοσύνης "Μαζί για μια νέα ανάπτυξη"», COM(2011) 206 τελικό.</w:t>
      </w:r>
    </w:p>
  </w:footnote>
  <w:footnote w:id="3">
    <w:p>
      <w:pPr>
        <w:pStyle w:val="FootnoteText"/>
        <w:rPr>
          <w:lang w:val="pl-PL"/>
        </w:rPr>
      </w:pPr>
      <w:r>
        <w:rPr>
          <w:rStyle w:val="FootnoteReference"/>
        </w:rPr>
        <w:footnoteRef/>
      </w:r>
      <w:r>
        <w:t xml:space="preserve"> ΕΕ L 354 της 28.12.2013, σ. 132.</w:t>
      </w:r>
    </w:p>
  </w:footnote>
  <w:footnote w:id="4">
    <w:p>
      <w:pPr>
        <w:pStyle w:val="FootnoteText"/>
        <w:rPr>
          <w:lang w:val="pl-PL"/>
        </w:rPr>
      </w:pPr>
      <w:r>
        <w:rPr>
          <w:rStyle w:val="FootnoteReference"/>
        </w:rPr>
        <w:footnoteRef/>
      </w:r>
      <w:r>
        <w:t xml:space="preserve"> ΕΕ L 134 της 24.5.2016, σ. 135.</w:t>
      </w:r>
    </w:p>
  </w:footnote>
  <w:footnote w:id="5">
    <w:p>
      <w:pPr>
        <w:pStyle w:val="FootnoteText"/>
        <w:rPr>
          <w:lang w:val="pl-PL"/>
        </w:rPr>
      </w:pPr>
      <w:r>
        <w:rPr>
          <w:rStyle w:val="FootnoteReference"/>
        </w:rPr>
        <w:footnoteRef/>
      </w:r>
      <w:r>
        <w:t xml:space="preserve"> ΕΕ </w:t>
      </w:r>
      <w:r>
        <w:rPr>
          <w:sz w:val="19"/>
        </w:rPr>
        <w:t>L 317 της 1.12.2017, σ. 119.</w:t>
      </w:r>
    </w:p>
  </w:footnote>
  <w:footnote w:id="6">
    <w:p>
      <w:pPr>
        <w:pStyle w:val="FootnoteText"/>
      </w:pPr>
      <w:r>
        <w:rPr>
          <w:rStyle w:val="FootnoteReference"/>
        </w:rPr>
        <w:footnoteRef/>
      </w:r>
      <w:r>
        <w:t xml:space="preserve"> ΕΕ L 123 της 12.5.2016.</w:t>
      </w:r>
    </w:p>
  </w:footnote>
  <w:footnote w:id="7">
    <w:p>
      <w:pPr>
        <w:pStyle w:val="FootnoteText"/>
      </w:pPr>
      <w:r>
        <w:rPr>
          <w:rStyle w:val="FootnoteReference"/>
        </w:rPr>
        <w:footnoteRef/>
      </w:r>
      <w:r>
        <w:t xml:space="preserve"> ΕΕ L 79 της 20.3.2007, σ.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781"/>
    <w:multiLevelType w:val="hybridMultilevel"/>
    <w:tmpl w:val="2FF67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B524EA4"/>
    <w:multiLevelType w:val="hybridMultilevel"/>
    <w:tmpl w:val="C31C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B0F7B56"/>
    <w:multiLevelType w:val="hybridMultilevel"/>
    <w:tmpl w:val="E4787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717966"/>
    <w:multiLevelType w:val="hybridMultilevel"/>
    <w:tmpl w:val="FEDE20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8CCE321-9658-4B96-B51E-B414C386580D"/>
    <w:docVar w:name="LW_COVERPAGE_TYPE" w:val="1"/>
    <w:docVar w:name="LW_CROSSREFERENCE" w:val="&lt;UNUSED&gt;"/>
    <w:docVar w:name="LW_DocType" w:val="NORMAL"/>
    <w:docVar w:name="LW_EMISSION" w:val="7.5.2018"/>
    <w:docVar w:name="LW_EMISSION_ISODATE" w:val="2018-05-07"/>
    <w:docVar w:name="LW_EMISSION_LOCATION" w:val="BRX"/>
    <w:docVar w:name="LW_EMISSION_PREFIX" w:val="Βρυξέλλες, "/>
    <w:docVar w:name="LW_EMISSION_SUFFIX" w:val="&lt;EMPTY&gt;"/>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8) 2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u963?\u967?\u949?\u964?\u953?\u954?\u940? \u956?\u949? \u964?\u951?\u957? \u940?\u963?\u954?\u951?\u963?\u951? \u964?\u951?\u962? \u949?\u958?\u959?\u965?\u963?\u943?\u945?\u962? \u941?\u954?\u948?\u959?\u963?\u951?\u962? \u954?\u945?\u964?\u8217? \u949?\u958?\u959?\u965?\u963?\u953?\u959?\u948?\u972?\u964?\u951?\u963?\u951? \u960?\u961?\u940?\u958?\u949?\u969?\u957? \u960?\u959?\u965? \u960?\u945?\u961?\u941?\u967?\u949?\u964?\u945?\u953? \u963?\u964?\u951?\u957? \u917?\u960?\u953?\u964?\u961?\u959?\u960?\u942? \u963?\u973?\u956?\u966?\u969?\u957?\u945? \u956?\u949? \u964?\u951?\u957? \u959?\u948?\u951?\u947?\u943?\u945? 2013/55/\u917?\u917? \u964?\u959?\u965? \u917?\u965?\u961?\u969?\u960?\u945?\u970?\u954?\u959?\u973? \u922?\u959?\u953?\u957?\u959?\u946?\u959?\u965?\u955?\u943?\u959?\u965? \u954?\u945?\u953? \u964?\u959?\u965? \u931?\u965?\u956?\u946?\u959?\u965?\u955?\u943?\u959?\u965?, \u964?\u951?\u962? 20\u942?\u962? \u925?\u959?\u949?\u956?\u946?\u961?\u943?\u959?\u965? 2013, \u947?\u953?\u945? \u964?\u951?\u957? \u964?\u961?\u959?\u960?\u959?\u960?\u959?\u943?\u951?\u963?\u951? \u964?\u951?\u962? \u959?\u948?\u951?\u947?\u943?\u945?\u962? 2005/36/\u917?\u922? \u963?\u967?\u949?\u964?\u953?\u954?\u940? \u956?\u949? \u964?\u951?\u957? \u945?\u957?\u945?\u947?\u957?\u974?\u961?\u953?\u963?\u951? \u964?\u969?\u957? \u949?\u960?\u945?\u947?\u947?\u949?\u955?\u956?\u945?\u964?\u953?\u954?\u974?\u957? \u960?\u961?\u959?\u963?\u972?\u957?\u964?\u969?\u957? \u954?\u945?\u953? \u964?\u959?\u965? \u954?\u945?\u957?\u959?\u957?\u953?\u963?\u956?\u959?\u973? (\u917?\u917?) \u945?\u961?\u953?\u952?. 1024/2012 \u963?\u967?\u949?\u964?\u953?\u954?\u940? \u956?\u949? \u964?\u951? \u948?\u953?\u959?\u953?\u954?\u951?\u964?\u953?\u954?\u942? \u963?\u965?\u957?\u949?\u961?\u947?\u945?\u963?\u943?\u945? \u956?\u941?\u963?\u969? \u964?\u959?\u965? \u963?\u965?\u963?\u964?\u942?\u956?\u945?\u964?\u959?\u962? \u960?\u955?\u951?\u961?\u959?\u966?\u972?\u961?\u951?\u963?\u951?\u962? \u964?\u951?\u962? \u949?\u963?\u969?\u964?\u949?\u961?\u953?\u954?\u942?\u962? \u945?\u947?\u959?\u961?\u940?\u962? («\u954?\u945?\u957?\u959?\u957?\u953?\u963?\u956?\u972?\u962? IMI»)&lt;/FMT&gt;"/>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33C94-A1BE-4142-A205-9069CCCF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1116</Words>
  <Characters>6588</Characters>
  <Application>Microsoft Office Word</Application>
  <DocSecurity>0</DocSecurity>
  <Lines>117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20</cp:revision>
  <cp:lastPrinted>2018-04-10T07:53:00Z</cp:lastPrinted>
  <dcterms:created xsi:type="dcterms:W3CDTF">2018-04-11T09:02:00Z</dcterms:created>
  <dcterms:modified xsi:type="dcterms:W3CDTF">2018-04-25T15:52:00Z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