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18A82D65E5CF4F0FB63DC5E074FB54C7" style="width:450.75pt;height:429.75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1"/>
          <w:cols w:space="720"/>
          <w:docGrid w:linePitch="360"/>
        </w:sectPr>
      </w:pPr>
    </w:p>
    <w:p>
      <w:pPr>
        <w:pStyle w:val="Rfrenceinterinstitutionnelle"/>
        <w:rPr>
          <w:noProof/>
        </w:rPr>
      </w:pPr>
      <w:bookmarkStart w:id="0" w:name="_GoBack"/>
      <w:bookmarkEnd w:id="0"/>
      <w:r>
        <w:rPr>
          <w:noProof/>
        </w:rPr>
        <w:lastRenderedPageBreak/>
        <w:t>2013/0304 (COD)</w:t>
      </w:r>
    </w:p>
    <w:p>
      <w:pPr>
        <w:pStyle w:val="Typedudocument"/>
        <w:rPr>
          <w:noProof/>
        </w:rPr>
      </w:pPr>
      <w:r>
        <w:rPr>
          <w:noProof/>
        </w:rPr>
        <w:t>ΑΝΑΚΟΙΝΩΣΗ ΤΗΣ ΕΠΙΤΡΟΠΗΣ</w:t>
      </w:r>
      <w:r>
        <w:rPr>
          <w:noProof/>
        </w:rPr>
        <w:br/>
        <w:t>ΠΡΟΣ ΤΟ ΕΥΡΩΠΑΪΚΟ ΚΟΙΝΟΒΟΥΛΙΟ</w:t>
      </w:r>
      <w:r>
        <w:rPr>
          <w:noProof/>
        </w:rPr>
        <w:br/>
      </w:r>
      <w:r>
        <w:rPr>
          <w:noProof/>
        </w:rPr>
        <w:br/>
        <w:t>σύμφωνα με το άρθρο 294 παράγραφος 6 της Συνθήκης για τη λειτουργία της Ευρωπαϊκής Ένωσης</w:t>
      </w:r>
      <w:r>
        <w:rPr>
          <w:noProof/>
        </w:rPr>
        <w:br/>
      </w:r>
      <w:r>
        <w:rPr>
          <w:noProof/>
        </w:rPr>
        <w:br/>
        <w:t>σχετικά με τη</w:t>
      </w:r>
    </w:p>
    <w:p>
      <w:pPr>
        <w:pStyle w:val="Titreobjet"/>
        <w:rPr>
          <w:noProof/>
        </w:rPr>
      </w:pPr>
      <w:r>
        <w:rPr>
          <w:noProof/>
        </w:rPr>
        <w:t>θέση του Συμβουλίου για την έκδοση οδηγίας του Ευρωπαϊκού Κοινοβουλίου και του Συμβουλίου για την τροποποίηση της απόφασης-πλαισίου 2004/757/ΔΕΥ του Συμβουλίου, με σκοπό να περιληφθούν νέες ψυχοδραστικές ουσίες στον ορισμό των ναρκωτικών και να καταργηθεί η απόφαση 2005/387/ΔΕΥ του Συμβουλίου</w:t>
      </w:r>
    </w:p>
    <w:p>
      <w:pPr>
        <w:pStyle w:val="ManualHeading1"/>
        <w:rPr>
          <w:noProof/>
          <w:sz w:val="22"/>
        </w:rPr>
      </w:pPr>
      <w:r>
        <w:rPr>
          <w:noProof/>
        </w:rPr>
        <w:t>1.</w:t>
      </w:r>
      <w:r>
        <w:rPr>
          <w:noProof/>
        </w:rPr>
        <w:tab/>
        <w:t xml:space="preserve">Ιστορικό </w:t>
      </w:r>
    </w:p>
    <w:tbl>
      <w:tblPr>
        <w:tblW w:w="0" w:type="auto"/>
        <w:tblLayout w:type="fixed"/>
        <w:tblLook w:val="0000" w:firstRow="0" w:lastRow="0" w:firstColumn="0" w:lastColumn="0" w:noHBand="0" w:noVBand="0"/>
      </w:tblPr>
      <w:tblGrid>
        <w:gridCol w:w="6804"/>
        <w:gridCol w:w="2483"/>
      </w:tblGrid>
      <w:tr>
        <w:tc>
          <w:tcPr>
            <w:tcW w:w="6804" w:type="dxa"/>
          </w:tcPr>
          <w:p>
            <w:pPr>
              <w:jc w:val="left"/>
              <w:rPr>
                <w:noProof/>
              </w:rPr>
            </w:pPr>
            <w:r>
              <w:rPr>
                <w:noProof/>
              </w:rPr>
              <w:t>Ημερομηνία διαβίβασης της πρότασης στο Ευρωπαϊκό Κοινοβούλιο και στο Συμβούλιο (έγγραφο COM(2013) 618 final – 2013/0304 COD):</w:t>
            </w:r>
          </w:p>
        </w:tc>
        <w:tc>
          <w:tcPr>
            <w:tcW w:w="2483" w:type="dxa"/>
          </w:tcPr>
          <w:p>
            <w:pPr>
              <w:jc w:val="left"/>
              <w:rPr>
                <w:noProof/>
              </w:rPr>
            </w:pPr>
            <w:r>
              <w:rPr>
                <w:noProof/>
              </w:rPr>
              <w:t>17.9.2013</w:t>
            </w:r>
            <w:r>
              <w:rPr>
                <w:noProof/>
                <w:color w:val="000000" w:themeColor="text1"/>
              </w:rPr>
              <w:t>.</w:t>
            </w:r>
          </w:p>
        </w:tc>
      </w:tr>
      <w:tr>
        <w:tc>
          <w:tcPr>
            <w:tcW w:w="6804" w:type="dxa"/>
          </w:tcPr>
          <w:p>
            <w:pPr>
              <w:rPr>
                <w:noProof/>
              </w:rPr>
            </w:pPr>
            <w:r>
              <w:rPr>
                <w:noProof/>
              </w:rPr>
              <w:t>Ημερομηνία γνωμοδότησης της Ευρωπαϊκής Οικονομικής και Κοινωνικής Επιτροπής (ΕΕ C 177 της 11.6.2014, σ. 52).</w:t>
            </w:r>
          </w:p>
        </w:tc>
        <w:tc>
          <w:tcPr>
            <w:tcW w:w="2483" w:type="dxa"/>
          </w:tcPr>
          <w:p>
            <w:pPr>
              <w:jc w:val="left"/>
              <w:rPr>
                <w:noProof/>
              </w:rPr>
            </w:pPr>
            <w:r>
              <w:rPr>
                <w:noProof/>
              </w:rPr>
              <w:t>21.1.2014.</w:t>
            </w:r>
          </w:p>
        </w:tc>
      </w:tr>
      <w:tr>
        <w:tc>
          <w:tcPr>
            <w:tcW w:w="6804" w:type="dxa"/>
          </w:tcPr>
          <w:p>
            <w:pPr>
              <w:rPr>
                <w:noProof/>
              </w:rPr>
            </w:pPr>
            <w:r>
              <w:rPr>
                <w:noProof/>
              </w:rPr>
              <w:t>Ημερομηνία καθορισμού της θέσης του Ευρωπαϊκού Κοινοβουλίου, πρώτη ανάγνωση:</w:t>
            </w:r>
          </w:p>
        </w:tc>
        <w:tc>
          <w:tcPr>
            <w:tcW w:w="2483" w:type="dxa"/>
          </w:tcPr>
          <w:p>
            <w:pPr>
              <w:jc w:val="left"/>
              <w:rPr>
                <w:noProof/>
              </w:rPr>
            </w:pPr>
            <w:r>
              <w:rPr>
                <w:noProof/>
              </w:rPr>
              <w:t>17.4.2014.</w:t>
            </w:r>
          </w:p>
        </w:tc>
      </w:tr>
      <w:tr>
        <w:tc>
          <w:tcPr>
            <w:tcW w:w="6804" w:type="dxa"/>
          </w:tcPr>
          <w:p>
            <w:pPr>
              <w:rPr>
                <w:noProof/>
              </w:rPr>
            </w:pPr>
            <w:r>
              <w:rPr>
                <w:noProof/>
              </w:rPr>
              <w:t>Ημερομηνία διαβίβασης της τροποποιημένης πρότασης</w:t>
            </w:r>
          </w:p>
        </w:tc>
        <w:tc>
          <w:tcPr>
            <w:tcW w:w="2483" w:type="dxa"/>
          </w:tcPr>
          <w:p>
            <w:pPr>
              <w:jc w:val="left"/>
              <w:rPr>
                <w:noProof/>
              </w:rPr>
            </w:pPr>
            <w:r>
              <w:rPr>
                <w:noProof/>
              </w:rPr>
              <w:t>Άνευ αντικειμένου</w:t>
            </w:r>
            <w:r>
              <w:rPr>
                <w:noProof/>
                <w:color w:val="000000" w:themeColor="text1"/>
              </w:rPr>
              <w:t>.</w:t>
            </w:r>
          </w:p>
        </w:tc>
      </w:tr>
      <w:tr>
        <w:tc>
          <w:tcPr>
            <w:tcW w:w="6804" w:type="dxa"/>
          </w:tcPr>
          <w:p>
            <w:pPr>
              <w:rPr>
                <w:noProof/>
              </w:rPr>
            </w:pPr>
            <w:r>
              <w:rPr>
                <w:noProof/>
              </w:rPr>
              <w:t>Ημερομηνία έκδοσης της θέσης του Συμβουλίου</w:t>
            </w:r>
          </w:p>
        </w:tc>
        <w:tc>
          <w:tcPr>
            <w:tcW w:w="2483" w:type="dxa"/>
          </w:tcPr>
          <w:p>
            <w:pPr>
              <w:jc w:val="left"/>
              <w:rPr>
                <w:noProof/>
              </w:rPr>
            </w:pPr>
            <w:r>
              <w:rPr>
                <w:noProof/>
              </w:rPr>
              <w:t>25.9.2017.</w:t>
            </w:r>
          </w:p>
        </w:tc>
      </w:tr>
    </w:tbl>
    <w:p>
      <w:pPr>
        <w:pStyle w:val="ManualHeading1"/>
        <w:rPr>
          <w:noProof/>
        </w:rPr>
      </w:pPr>
      <w:r>
        <w:rPr>
          <w:noProof/>
        </w:rPr>
        <w:t>2.</w:t>
      </w:r>
      <w:r>
        <w:rPr>
          <w:noProof/>
        </w:rPr>
        <w:tab/>
        <w:t>Αντικείμενο της πρότασης της Επιτροπής</w:t>
      </w:r>
    </w:p>
    <w:p>
      <w:pPr>
        <w:pBdr>
          <w:top w:val="nil"/>
          <w:left w:val="nil"/>
          <w:bottom w:val="nil"/>
          <w:right w:val="nil"/>
          <w:between w:val="nil"/>
          <w:bar w:val="nil"/>
        </w:pBdr>
        <w:spacing w:before="0" w:after="240"/>
        <w:rPr>
          <w:rFonts w:eastAsia="Arial Unicode MS"/>
          <w:noProof/>
        </w:rPr>
      </w:pPr>
      <w:r>
        <w:rPr>
          <w:noProof/>
        </w:rPr>
        <w:t>Η οδηγία εντάσσεται σε δέσμη δύο νομοθετικών προτάσεων για τις νέες ψυχοδραστικές ουσίες που παρουσιάστηκε από την Επιτροπή στις 17 Σεπτεμβρίου 2013: πρόταση κανονισμού για νέες ψυχοδραστικές ουσίες</w:t>
      </w:r>
      <w:r>
        <w:rPr>
          <w:rStyle w:val="FootnoteReference"/>
          <w:noProof/>
        </w:rPr>
        <w:footnoteReference w:id="1"/>
      </w:r>
      <w:r>
        <w:rPr>
          <w:noProof/>
        </w:rPr>
        <w:t xml:space="preserve"> και πρόταση οδηγίας για την τροποποίηση της απόφασης-πλαισίου 2004/757/ΔΕΥ του Συμβουλίου, της 25ης Οκτωβρίου 2004, για τη θέσπιση ελάχιστων διατάξεων σχετικά με τα στοιχεία της αντικειμενικής υπόστασης των εγκλημάτων και τις ποινές που ισχύουν στον τομέα της παράνομης διακίνησης ναρκωτικών, όσον αφορά τον ορισμό των ναρκωτικών</w:t>
      </w:r>
      <w:r>
        <w:rPr>
          <w:rStyle w:val="FootnoteReference"/>
          <w:noProof/>
        </w:rPr>
        <w:footnoteReference w:id="2"/>
      </w:r>
      <w:r>
        <w:rPr>
          <w:noProof/>
        </w:rPr>
        <w:t xml:space="preserve">. </w:t>
      </w:r>
    </w:p>
    <w:p>
      <w:pPr>
        <w:pBdr>
          <w:top w:val="nil"/>
          <w:left w:val="nil"/>
          <w:bottom w:val="nil"/>
          <w:right w:val="nil"/>
          <w:between w:val="nil"/>
          <w:bar w:val="nil"/>
        </w:pBdr>
        <w:spacing w:before="0" w:after="240"/>
        <w:rPr>
          <w:rFonts w:eastAsia="Arial Unicode MS"/>
          <w:noProof/>
        </w:rPr>
      </w:pPr>
      <w:r>
        <w:rPr>
          <w:noProof/>
        </w:rPr>
        <w:t xml:space="preserve">Στόχος της δέσμης ήταν η μείωση της διαθεσιμότητας νέων ψυχοτρόπων ουσιών που ενέχουν κινδύνους μέσω ταχύτερης και αποτελεσματικότερης δράσης σε επίπεδο Ένωσης σε σύγκριση με το σύστημα που εφαρμόζεται επί του παρόντος βάσει της απόφασης </w:t>
      </w:r>
      <w:r>
        <w:rPr>
          <w:noProof/>
        </w:rPr>
        <w:lastRenderedPageBreak/>
        <w:t>2005/387/ΔΕΥ του Συμβουλίου, της 10ης Μαΐου 2005, σχετικά με την ανταλλαγή πληροφοριών, την αξιολόγηση κινδύνων και τον έλεγχο νέων ψυχοδραστικών ουσιών</w:t>
      </w:r>
      <w:r>
        <w:rPr>
          <w:rStyle w:val="FootnoteReference"/>
          <w:noProof/>
        </w:rPr>
        <w:footnoteReference w:id="3"/>
      </w:r>
      <w:r>
        <w:rPr>
          <w:noProof/>
        </w:rPr>
        <w:t>.</w:t>
      </w:r>
    </w:p>
    <w:p>
      <w:pPr>
        <w:pStyle w:val="ManualHeading1"/>
        <w:rPr>
          <w:noProof/>
        </w:rPr>
      </w:pPr>
      <w:r>
        <w:rPr>
          <w:noProof/>
        </w:rPr>
        <w:t>3.</w:t>
      </w:r>
      <w:r>
        <w:rPr>
          <w:noProof/>
        </w:rPr>
        <w:tab/>
        <w:t>Παρατηρήσεις για τη θέση του Συμβουλίου</w:t>
      </w:r>
    </w:p>
    <w:p>
      <w:pPr>
        <w:pBdr>
          <w:top w:val="nil"/>
          <w:left w:val="nil"/>
          <w:bottom w:val="nil"/>
          <w:right w:val="nil"/>
          <w:between w:val="nil"/>
          <w:bar w:val="nil"/>
        </w:pBdr>
        <w:spacing w:before="0" w:after="240"/>
        <w:rPr>
          <w:rFonts w:eastAsia="Arial Unicode MS"/>
          <w:noProof/>
        </w:rPr>
      </w:pPr>
      <w:r>
        <w:rPr>
          <w:noProof/>
        </w:rPr>
        <w:t>Οι διοργανικές διαπραγματεύσεις σχετικά με αυτή τη νομοθετική δέσμη συνεχίζονται για τέσσερα και πλέον έτη. Στο Συμβούλιο, κατά τη διάρκεια της εξέτασης των προτάσεων, τα κράτη μέλη εξέφρασαν αμφιβολίες σχετικά με την επιλογή του άρθρου 114 της Συνθήκης για τη λειτουργία της Ευρωπαϊκής Ένωσης (ΣΛΕΕ) ως νομικής βάσης του προτεινόμενου κανονισμού. Για την επίτευξη του ίδιου στόχου για ταχύτερη, αποτελεσματικότερη δράση της ΕΕ όσον αφορά τις νέες ψυχοδραστικές ουσίες, η Επιτροπή των Μόνιμων Αντιπροσώπων (ΕΜΑ) συμφώνησε, ως εκ τούτου,  στις 6 Απριλίου 2016</w:t>
      </w:r>
      <w:r>
        <w:rPr>
          <w:rStyle w:val="FootnoteReference"/>
          <w:noProof/>
        </w:rPr>
        <w:footnoteReference w:id="4"/>
      </w:r>
      <w:r>
        <w:rPr>
          <w:noProof/>
        </w:rPr>
        <w:t xml:space="preserve"> σε μια νέα προσέγγιση την οποία πρότεινε η Προεδρία. </w:t>
      </w:r>
    </w:p>
    <w:p>
      <w:pPr>
        <w:pBdr>
          <w:top w:val="nil"/>
          <w:left w:val="nil"/>
          <w:bottom w:val="nil"/>
          <w:right w:val="nil"/>
          <w:between w:val="nil"/>
          <w:bar w:val="nil"/>
        </w:pBdr>
        <w:spacing w:before="0" w:after="240"/>
        <w:rPr>
          <w:rFonts w:eastAsia="Arial Unicode MS"/>
          <w:noProof/>
        </w:rPr>
      </w:pPr>
      <w:r>
        <w:rPr>
          <w:noProof/>
        </w:rPr>
        <w:t>Στο πλαίσιο αυτής της νέας προσέγγισης, εγκαταλείφθηκε η ιδέα για πρόταση της Επιτροπής του 2013 για κανονισμό σχετικά με νέες ψυχοδραστικές ουσίες με βάση το άρθρο 114 ΣΛΕΕ. Οι διατάξεις της πρότασης της Επιτροπής του 2013 για κανονισμό σχετικά με νέες ψυχοδραστικές ουσίες περιλαμβάνονται, αφενός, στο κείμενο της οδηγίας για την τροποποίηση της απόφασης-πλαισίου 2004/757/ΔΕΥ του Συμβουλίου, και, αφετέρου, στο κείμενο της νέας πρότασης για την τροποποίηση του ιδρυτικού κανονισμού του Ευρωπαϊκού Κέντρου Παρακολούθησης Ναρκωτικών και Τοξικομανίας (EMCDDA), δηλ. του κανονισμού 1920/2006, την οποία η Επιτροπή κλήθηκε να παρουσιάσει. Η Επιτροπή ενέκρινε στις 29 Αυγούστου 2016 την πρόταση τροποποίησης του κανονισμού (ΕΚ) αριθ. 1920/2006 όσον αφορά την ανταλλαγή πληροφοριών, το σύστημα έγκαιρης προειδοποίησης και τη διαδικασία αξιολόγησης κινδύνων για νέες ψυχοδραστικές ουσίες</w:t>
      </w:r>
      <w:r>
        <w:rPr>
          <w:rStyle w:val="FootnoteReference"/>
          <w:noProof/>
        </w:rPr>
        <w:footnoteReference w:id="5"/>
      </w:r>
      <w:r>
        <w:rPr>
          <w:noProof/>
        </w:rPr>
        <w:t xml:space="preserve"> Η πρόταση κανονισμού για νέες ψυχοδραστικές ουσίες του 2013 αποσύρθηκε στο πλαίσιο του προγράμματος εργασίας της Επιτροπής για το 2017.</w:t>
      </w:r>
    </w:p>
    <w:p>
      <w:pPr>
        <w:widowControl w:val="0"/>
        <w:rPr>
          <w:noProof/>
        </w:rPr>
      </w:pPr>
      <w:r>
        <w:rPr>
          <w:noProof/>
        </w:rPr>
        <w:t>Πολιτική συμφωνία μεταξύ των συννομοθετών όσον αφορά τη δέσμη των εν λόγω μέτρων επιτεύχθηκε στην τριμερή συνάντηση της 29ης Μαΐου 2017, και εγκρίθηκε από την ΕΜΑ (COREPER) στις 31 Μαΐου 2017 και από την Επιτροπή LIBE στις 8 Ιουνίου 2017.</w:t>
      </w:r>
    </w:p>
    <w:p>
      <w:pPr>
        <w:widowControl w:val="0"/>
        <w:rPr>
          <w:noProof/>
        </w:rPr>
      </w:pPr>
      <w:r>
        <w:rPr>
          <w:noProof/>
        </w:rPr>
        <w:t xml:space="preserve">Σύμφωνα με την προαναφερθείσα νέα προσέγγιση, το κείμενο της οδηγίας περιλαμβάνει σημαντικές τροποποιήσεις στην πρόταση οδηγίας της Επιτροπής του 2013 για την τροποποίηση της απόφασης-πλαισίου 2004/757/ΔΕΥ του Συμβουλίου της 25ης Οκτωβρίου 2004. Ειδικότερα, η οδηγία περιλαμβάνει επίσης διατάξεις σχετικά με τον ορισμό των νέων ψυχοδραστικών ουσιών και σχετικά με την ταχεία λήψη αποφάσεων σε επίπεδο ΕΕ σχετικά με νέες ψυχοδραστικές ουσίες. Ουσίες που μπορούν να χαρακτηριστούν ως νέες ψυχοδραστικές ουσίες απαριθμούνται σε νέο παράρτημα της απόφασης — πλαισίου 2004/757/ΔΕΥ την οποία η Επιτροπή έχει το δικαίωμα να τροποποιεί με κατ’ εξουσιοδότηση πράξεις προκειμένου να συμπεριλάβει στον ορισμό των «ναρκωτικών» νέες ψυχοδραστικές ουσίες. Όλες οι ουσίες που απαριθμούνται στο παράρτημα καλύπτονται από τις διατάξεις ποινικού δικαίου που θεσπίζονται στην απόφαση-πλαίσιο, σύμφωνα με τη νομική της βάση, ήτοι το άρθρο 83 παράγραφος 1 της ΣΛΕΕ. Η δέσμη μέτρων εξακολουθεί, ωστόσο, να εκπληρώνει τον αρχικό στόχο της Επιτροπής για τη μείωση της διαθεσιμότητας νέων </w:t>
      </w:r>
      <w:r>
        <w:rPr>
          <w:noProof/>
        </w:rPr>
        <w:lastRenderedPageBreak/>
        <w:t>ψυχοδραστικών ουσιών που ενέχουν κινδύνους μέσω ταχύτερης και αποτελεσματικότερης δράσης σε επίπεδο Ένωσης σε σύγκριση με το σύστημα που εφαρμόζεται επί του παρόντος.</w:t>
      </w:r>
    </w:p>
    <w:p>
      <w:pPr>
        <w:pStyle w:val="ManualHeading1"/>
        <w:rPr>
          <w:noProof/>
        </w:rPr>
      </w:pPr>
      <w:r>
        <w:rPr>
          <w:noProof/>
        </w:rPr>
        <w:t>4.</w:t>
      </w:r>
      <w:r>
        <w:rPr>
          <w:noProof/>
        </w:rPr>
        <w:tab/>
        <w:t>Συμπέρασμα</w:t>
      </w:r>
    </w:p>
    <w:p>
      <w:pPr>
        <w:rPr>
          <w:noProof/>
        </w:rPr>
      </w:pPr>
      <w:r>
        <w:rPr>
          <w:noProof/>
        </w:rPr>
        <w:t>Η Επιτροπή υποστηρίζει πλήρως τη θέση του Συμβουλίου, καθόσον αυτή εξακολουθεί να εκπληρώνει τον αρχικό στόχο της Επιτροπής.</w:t>
      </w:r>
    </w:p>
    <w:sectPr>
      <w:footerReference w:type="default" r:id="rId16"/>
      <w:footerReference w:type="first" r:id="rId17"/>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EL</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EL</w:t>
    </w:r>
    <w:r>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EL</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rPr>
          <w:lang w:val="pt-PT"/>
        </w:rPr>
      </w:pPr>
      <w:r>
        <w:rPr>
          <w:rStyle w:val="FootnoteReference"/>
        </w:rPr>
        <w:footnoteRef/>
      </w:r>
      <w:r>
        <w:rPr>
          <w:lang w:val="pt-PT"/>
        </w:rPr>
        <w:tab/>
        <w:t>COM(2013) 619 final.</w:t>
      </w:r>
    </w:p>
  </w:footnote>
  <w:footnote w:id="2">
    <w:p>
      <w:pPr>
        <w:pStyle w:val="FootnoteText"/>
        <w:rPr>
          <w:lang w:val="pt-PT"/>
        </w:rPr>
      </w:pPr>
      <w:r>
        <w:rPr>
          <w:rStyle w:val="FootnoteReference"/>
        </w:rPr>
        <w:footnoteRef/>
      </w:r>
      <w:r>
        <w:rPr>
          <w:lang w:val="pt-PT"/>
        </w:rPr>
        <w:tab/>
        <w:t>COM(2013) 618 final.</w:t>
      </w:r>
    </w:p>
  </w:footnote>
  <w:footnote w:id="3">
    <w:p>
      <w:pPr>
        <w:pStyle w:val="FootnoteText"/>
      </w:pPr>
      <w:r>
        <w:rPr>
          <w:rStyle w:val="FootnoteReference"/>
        </w:rPr>
        <w:footnoteRef/>
      </w:r>
      <w:r>
        <w:rPr>
          <w:lang w:val="pt-PT"/>
        </w:rPr>
        <w:tab/>
      </w:r>
      <w:r>
        <w:t>ΕΕ</w:t>
      </w:r>
      <w:r>
        <w:rPr>
          <w:lang w:val="pt-PT"/>
        </w:rPr>
        <w:t xml:space="preserve"> L 127 </w:t>
      </w:r>
      <w:r>
        <w:t>της</w:t>
      </w:r>
      <w:r>
        <w:rPr>
          <w:lang w:val="pt-PT"/>
        </w:rPr>
        <w:t xml:space="preserve"> 10.5.2005, </w:t>
      </w:r>
      <w:r>
        <w:t>σ</w:t>
      </w:r>
      <w:r>
        <w:rPr>
          <w:lang w:val="pt-PT"/>
        </w:rPr>
        <w:t xml:space="preserve">. 32. </w:t>
      </w:r>
      <w:r>
        <w:t>Οι διάφορες επιλογές πολιτικής έχουν αναλυθεί στην εκτίμηση επιπτώσεων που συνοδεύει και τις δύο προτάσεις, SWD(2013) 319 final.</w:t>
      </w:r>
    </w:p>
  </w:footnote>
  <w:footnote w:id="4">
    <w:p>
      <w:pPr>
        <w:pStyle w:val="FootnoteText"/>
      </w:pPr>
      <w:r>
        <w:rPr>
          <w:rStyle w:val="FootnoteReference"/>
        </w:rPr>
        <w:footnoteRef/>
      </w:r>
      <w:r>
        <w:tab/>
        <w:t>Συνοπτικά πρακτικά, έγγραφο 7908/1/16 REV 1 του Συμβουλίου της 27ης Μαΐου 2016.</w:t>
      </w:r>
    </w:p>
  </w:footnote>
  <w:footnote w:id="5">
    <w:p>
      <w:pPr>
        <w:pStyle w:val="FootnoteText"/>
        <w:rPr>
          <w:lang w:val="de-DE"/>
        </w:rPr>
      </w:pPr>
      <w:r>
        <w:rPr>
          <w:rStyle w:val="FootnoteReference"/>
        </w:rPr>
        <w:footnoteRef/>
      </w:r>
      <w:r>
        <w:tab/>
        <w:t>COM(2016) 547 final.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295AAD8C"/>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6F72CD6E"/>
    <w:lvl w:ilvl="0">
      <w:start w:val="1"/>
      <w:numFmt w:val="decimal"/>
      <w:pStyle w:val="ListNumber3"/>
      <w:lvlText w:val="%1."/>
      <w:lvlJc w:val="left"/>
      <w:pPr>
        <w:tabs>
          <w:tab w:val="num" w:pos="926"/>
        </w:tabs>
        <w:ind w:left="926" w:hanging="360"/>
      </w:pPr>
    </w:lvl>
  </w:abstractNum>
  <w:abstractNum w:abstractNumId="2">
    <w:nsid w:val="FFFFFF7F"/>
    <w:multiLevelType w:val="singleLevel"/>
    <w:tmpl w:val="4830AB04"/>
    <w:lvl w:ilvl="0">
      <w:start w:val="1"/>
      <w:numFmt w:val="decimal"/>
      <w:pStyle w:val="ListNumber2"/>
      <w:lvlText w:val="%1."/>
      <w:lvlJc w:val="left"/>
      <w:pPr>
        <w:tabs>
          <w:tab w:val="num" w:pos="643"/>
        </w:tabs>
        <w:ind w:left="643" w:hanging="360"/>
      </w:pPr>
    </w:lvl>
  </w:abstractNum>
  <w:abstractNum w:abstractNumId="3">
    <w:nsid w:val="FFFFFF81"/>
    <w:multiLevelType w:val="singleLevel"/>
    <w:tmpl w:val="8EBC3D8E"/>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ACBC1544"/>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D1D0A386"/>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3DB6E1FA"/>
    <w:lvl w:ilvl="0">
      <w:start w:val="1"/>
      <w:numFmt w:val="decimal"/>
      <w:pStyle w:val="ListNumber"/>
      <w:lvlText w:val="%1."/>
      <w:lvlJc w:val="left"/>
      <w:pPr>
        <w:tabs>
          <w:tab w:val="num" w:pos="360"/>
        </w:tabs>
        <w:ind w:left="360" w:hanging="360"/>
      </w:pPr>
    </w:lvl>
  </w:abstractNum>
  <w:abstractNum w:abstractNumId="7">
    <w:nsid w:val="FFFFFF89"/>
    <w:multiLevelType w:val="singleLevel"/>
    <w:tmpl w:val="372879C2"/>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8"/>
  </w:num>
  <w:num w:numId="10">
    <w:abstractNumId w:val="12"/>
  </w:num>
  <w:num w:numId="11">
    <w:abstractNumId w:val="20"/>
  </w:num>
  <w:num w:numId="12">
    <w:abstractNumId w:val="11"/>
  </w:num>
  <w:num w:numId="13">
    <w:abstractNumId w:val="13"/>
  </w:num>
  <w:num w:numId="14">
    <w:abstractNumId w:val="9"/>
  </w:num>
  <w:num w:numId="15">
    <w:abstractNumId w:val="19"/>
  </w:num>
  <w:num w:numId="16">
    <w:abstractNumId w:val="8"/>
  </w:num>
  <w:num w:numId="17">
    <w:abstractNumId w:val="14"/>
  </w:num>
  <w:num w:numId="18">
    <w:abstractNumId w:val="16"/>
  </w:num>
  <w:num w:numId="19">
    <w:abstractNumId w:val="17"/>
  </w:num>
  <w:num w:numId="20">
    <w:abstractNumId w:val="10"/>
  </w:num>
  <w:num w:numId="21">
    <w:abstractNumId w:val="15"/>
  </w:num>
  <w:num w:numId="22">
    <w:abstractNumId w:val="21"/>
  </w:num>
  <w:num w:numId="23">
    <w:abstractNumId w:val="18"/>
  </w:num>
  <w:num w:numId="24">
    <w:abstractNumId w:val="12"/>
  </w:num>
  <w:num w:numId="25">
    <w:abstractNumId w:val="20"/>
  </w:num>
  <w:num w:numId="26">
    <w:abstractNumId w:val="11"/>
  </w:num>
  <w:num w:numId="27">
    <w:abstractNumId w:val="13"/>
  </w:num>
  <w:num w:numId="28">
    <w:abstractNumId w:val="9"/>
  </w:num>
  <w:num w:numId="29">
    <w:abstractNumId w:val="19"/>
  </w:num>
  <w:num w:numId="30">
    <w:abstractNumId w:val="8"/>
  </w:num>
  <w:num w:numId="31">
    <w:abstractNumId w:val="14"/>
  </w:num>
  <w:num w:numId="32">
    <w:abstractNumId w:val="16"/>
  </w:num>
  <w:num w:numId="33">
    <w:abstractNumId w:val="17"/>
  </w:num>
  <w:num w:numId="34">
    <w:abstractNumId w:val="10"/>
  </w:num>
  <w:num w:numId="35">
    <w:abstractNumId w:val="15"/>
  </w:num>
  <w:num w:numId="36">
    <w:abstractNumId w:val="21"/>
  </w:num>
  <w:num w:numId="37">
    <w:abstractNumId w:val="18"/>
  </w:num>
  <w:num w:numId="38">
    <w:abstractNumId w:val="12"/>
  </w:num>
  <w:num w:numId="39">
    <w:abstractNumId w:val="20"/>
  </w:num>
  <w:num w:numId="40">
    <w:abstractNumId w:val="11"/>
  </w:num>
  <w:num w:numId="41">
    <w:abstractNumId w:val="13"/>
  </w:num>
  <w:num w:numId="42">
    <w:abstractNumId w:val="9"/>
  </w:num>
  <w:num w:numId="43">
    <w:abstractNumId w:val="19"/>
  </w:num>
  <w:num w:numId="44">
    <w:abstractNumId w:val="8"/>
  </w:num>
  <w:num w:numId="45">
    <w:abstractNumId w:val="14"/>
  </w:num>
  <w:num w:numId="46">
    <w:abstractNumId w:val="16"/>
  </w:num>
  <w:num w:numId="47">
    <w:abstractNumId w:val="17"/>
  </w:num>
  <w:num w:numId="48">
    <w:abstractNumId w:val="10"/>
  </w:num>
  <w:num w:numId="49">
    <w:abstractNumId w:val="15"/>
  </w:num>
  <w:num w:numId="50">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
  <w:hideSpellingErrors/>
  <w:hideGrammaticalErrors/>
  <w:attachedTemplate r:id="rId1"/>
  <w:revisionView w:markup="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7-09-25 14:02:48"/>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1"/>
    <w:docVar w:name="DQCResult_UnknownFonts" w:val="0;0"/>
    <w:docVar w:name="DQCResult_UnknownStyles" w:val="0;0"/>
    <w:docVar w:name="DQCStatus" w:val="Green"/>
    <w:docVar w:name="DQCVersion" w:val="3"/>
    <w:docVar w:name="DQCWithWarnings" w:val="0"/>
    <w:docVar w:name="LW_CONFIDENCE" w:val=" "/>
    <w:docVar w:name="LW_CONST_RESTREINT_UE" w:val="RESTREINT UE"/>
    <w:docVar w:name="LW_CORRIGENDUM" w:val="&lt;UNUSED&gt;"/>
    <w:docVar w:name="LW_COVERPAGE_GUID" w:val="18A82D65E5CF4F0FB63DC5E074FB54C7"/>
    <w:docVar w:name="LW_CROSSREFERENCE" w:val="&lt;UNUSED&gt;"/>
    <w:docVar w:name="LW_DocType" w:val="COM"/>
    <w:docVar w:name="LW_EMISSION" w:val="27.9.2017"/>
    <w:docVar w:name="LW_EMISSION_ISODATE" w:val="2017-09-27"/>
    <w:docVar w:name="LW_EMISSION_LOCATION" w:val="BRX"/>
    <w:docVar w:name="LW_EMISSION_PREFIX" w:val="\u914?\u961?\u965?\u958?\u941?\u955?\u955?\u949?\u962?, "/>
    <w:docVar w:name="LW_EMISSION_SUFFIX" w:val=" "/>
    <w:docVar w:name="LW_ID_DOCMODEL" w:val="SJ-028"/>
    <w:docVar w:name="LW_ID_DOCSTRUCTURE" w:val="COM/PL/CODEC"/>
    <w:docVar w:name="LW_ID_DOCTYPE" w:val="SJ-028"/>
    <w:docVar w:name="LW_INTERETEEE.CP" w:val="&lt;UNUSED&gt;"/>
    <w:docVar w:name="LW_LANGUE" w:val="EL"/>
    <w:docVar w:name="LW_MARKING" w:val="&lt;UNUSED&gt;"/>
    <w:docVar w:name="LW_NOM.INST" w:val="\u917?\u933?\u929?\u937?\u928?\u913?\u938?\u922?\u919? \u917?\u928?\u921?\u932?\u929?\u927?\u928?\u919?"/>
    <w:docVar w:name="LW_NOM.INST_JOINTDOC" w:val="&lt;EMPTY&gt;"/>
    <w:docVar w:name="LW_PART_NBR" w:val="1"/>
    <w:docVar w:name="LW_PART_NBR_TOTAL" w:val="1"/>
    <w:docVar w:name="LW_REF.II.NEW.CP" w:val="COD"/>
    <w:docVar w:name="LW_REF.II.NEW.CP_NUMBER" w:val="0304"/>
    <w:docVar w:name="LW_REF.II.NEW.CP_YEAR" w:val="2013"/>
    <w:docVar w:name="LW_REF.INST.NEW" w:val="COM"/>
    <w:docVar w:name="LW_REF.INST.NEW_ADOPTED" w:val="final"/>
    <w:docVar w:name="LW_REF.INST.NEW_TEXT" w:val="(2017) 560"/>
    <w:docVar w:name="LW_REF.INTERNE" w:val="&lt;UNUSED&gt;"/>
    <w:docVar w:name="LW_SOUS.TITRE.OBJ.CP" w:val="&lt;UNUSED&gt;"/>
    <w:docVar w:name="LW_SUPERTITRE" w:val="&lt;UNUSED&gt;"/>
    <w:docVar w:name="LW_TITRE.OBJ.CP" w:val="\u952?\u941?\u963?\u951? \u964?\u959?\u965? \u931?\u965?\u956?\u946?\u959?\u965?\u955?\u943?\u959?\u965? \u947?\u953?\u945? \u964?\u951?\u957? \u941?\u954?\u948?\u959?\u963?\u951? \u959?\u948?\u951?\u947?\u943?\u945?\u962? \u964?\u959?\u965? \u917?\u965?\u961?\u969?\u960?\u945?\u970?\u954?\u959?\u973? \u922?\u959?\u953?\u957?\u959?\u946?\u959?\u965?\u955?\u943?\u959?\u965? \u954?\u945?\u953? \u964?\u959?\u965? \u931?\u965?\u956?\u946?\u959?\u965?\u955?\u943?\u959?\u965? \u947?\u953?\u945? \u964?\u951?\u957? \u964?\u961?\u959?\u960?\u959?\u960?\u959?\u943?\u951?\u963?\u951? \u964?\u951?\u962? \u945?\u960?\u972?\u966?\u945?\u963?\u951?\u962?-\u960?\u955?\u945?\u953?\u963?\u943?\u959?\u965? 2004/757/\u916?\u917?\u933? \u964?\u959?\u965? \u931?\u965?\u956?\u946?\u959?\u965?\u955?\u943?\u959?\u965?, \u956?\u949? \u963?\u954?\u959?\u960?\u972? \u957?\u945? \u960?\u949?\u961?\u953?\u955?\u951?\u966?\u952?\u959?\u973?\u957? \u957?\u941?\u949?\u962? \u968?\u965?\u967?\u959?\u948?\u961?\u945?\u963?\u964?\u953?\u954?\u941?\u962? \u959?\u965?\u963?\u943?\u949?\u962? \u963?\u964?\u959?\u957? \u959?\u961?\u953?\u963?\u956?\u972? \u964?\u969?\u957? \u957?\u945?\u961?\u954?\u969?\u964?\u953?\u954?\u974?\u957? \u954?\u945?\u953? \u957?\u945? \u954?\u945?\u964?\u945?\u961?\u947?\u951?\u952?\u949?\u943? \u951? \u945?\u960?\u972?\u966?\u945?\u963?\u951? 2005/387/\u916?\u917?\u933? \u964?\u959?\u965? \u931?\u965?\u956?\u946?\u959?\u965?\u955?\u943?\u959?\u965?"/>
    <w:docVar w:name="LW_TYPE.DOC.CP" w:val="\u913?\u925?\u913?\u922?\u927?\u921?\u925?\u937?\u931?\u919? \u932?\u919?\u931? \u917?\u928?\u921?\u932?\u929?\u927?\u928?\u919?\u931?_x000b_\u928?\u929?\u927?\u931? \u932?\u927? \u917?\u933?\u929?\u937?\u928?\u913?\u938?\u922?\u927? \u922?\u927?\u921?\u925?\u927?\u914?\u927?\u933?\u923?\u921?\u927?_x000b__x000b_\u963?\u973?\u956?\u966?\u969?\u957?\u945? \u956?\u949? \u964?\u959? \u940?\u961?\u952?\u961?\u959? 294 \u960?\u945?\u961?\u940?\u947?\u961?\u945?\u966?\u959?\u962? 6 \u964?\u951?\u962? \u931?\u965?\u957?\u952?\u942?\u954?\u951?\u962? \u947?\u953?\u945? \u964?\u951? \u955?\u949?\u953?\u964?\u959?\u965?\u961?\u947?\u943?\u945? \u964?\u951?\u962? \u917?\u965?\u961?\u969?\u960?\u945?\u970?\u954?\u942?\u962? \u904?\u957?\u969?\u963?\u951?\u962?_x000b__x000b_\u963?\u967?\u949?\u964?\u953?\u954?\u940? \u956?\u949? \u964?\u951?"/>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l-GR" w:bidi="el-G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4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l-GR"/>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l-G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l-GR"/>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7"/>
      </w:numPr>
    </w:pPr>
  </w:style>
  <w:style w:type="paragraph" w:customStyle="1" w:styleId="Tiret1">
    <w:name w:val="Tiret 1"/>
    <w:basedOn w:val="Point1"/>
    <w:pPr>
      <w:numPr>
        <w:numId w:val="38"/>
      </w:numPr>
    </w:pPr>
  </w:style>
  <w:style w:type="paragraph" w:customStyle="1" w:styleId="Tiret2">
    <w:name w:val="Tiret 2"/>
    <w:basedOn w:val="Point2"/>
    <w:pPr>
      <w:numPr>
        <w:numId w:val="39"/>
      </w:numPr>
    </w:pPr>
  </w:style>
  <w:style w:type="paragraph" w:customStyle="1" w:styleId="Tiret3">
    <w:name w:val="Tiret 3"/>
    <w:basedOn w:val="Point3"/>
    <w:pPr>
      <w:numPr>
        <w:numId w:val="40"/>
      </w:numPr>
    </w:pPr>
  </w:style>
  <w:style w:type="paragraph" w:customStyle="1" w:styleId="Tiret4">
    <w:name w:val="Tiret 4"/>
    <w:basedOn w:val="Point4"/>
    <w:pPr>
      <w:numPr>
        <w:numId w:val="4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2"/>
      </w:numPr>
    </w:pPr>
  </w:style>
  <w:style w:type="paragraph" w:customStyle="1" w:styleId="NumPar2">
    <w:name w:val="NumPar 2"/>
    <w:basedOn w:val="Normal"/>
    <w:next w:val="Text1"/>
    <w:pPr>
      <w:numPr>
        <w:ilvl w:val="1"/>
        <w:numId w:val="42"/>
      </w:numPr>
    </w:pPr>
  </w:style>
  <w:style w:type="paragraph" w:customStyle="1" w:styleId="NumPar3">
    <w:name w:val="NumPar 3"/>
    <w:basedOn w:val="Normal"/>
    <w:next w:val="Text1"/>
    <w:pPr>
      <w:numPr>
        <w:ilvl w:val="2"/>
        <w:numId w:val="42"/>
      </w:numPr>
    </w:pPr>
  </w:style>
  <w:style w:type="paragraph" w:customStyle="1" w:styleId="NumPar4">
    <w:name w:val="NumPar 4"/>
    <w:basedOn w:val="Normal"/>
    <w:next w:val="Text1"/>
    <w:pPr>
      <w:numPr>
        <w:ilvl w:val="3"/>
        <w:numId w:val="4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4"/>
      </w:numPr>
    </w:pPr>
  </w:style>
  <w:style w:type="paragraph" w:customStyle="1" w:styleId="Point1number">
    <w:name w:val="Point 1 (number)"/>
    <w:basedOn w:val="Normal"/>
    <w:pPr>
      <w:numPr>
        <w:ilvl w:val="2"/>
        <w:numId w:val="44"/>
      </w:numPr>
    </w:pPr>
  </w:style>
  <w:style w:type="paragraph" w:customStyle="1" w:styleId="Point2number">
    <w:name w:val="Point 2 (number)"/>
    <w:basedOn w:val="Normal"/>
    <w:pPr>
      <w:numPr>
        <w:ilvl w:val="4"/>
        <w:numId w:val="44"/>
      </w:numPr>
    </w:pPr>
  </w:style>
  <w:style w:type="paragraph" w:customStyle="1" w:styleId="Point3number">
    <w:name w:val="Point 3 (number)"/>
    <w:basedOn w:val="Normal"/>
    <w:pPr>
      <w:numPr>
        <w:ilvl w:val="6"/>
        <w:numId w:val="44"/>
      </w:numPr>
    </w:pPr>
  </w:style>
  <w:style w:type="paragraph" w:customStyle="1" w:styleId="Point0letter">
    <w:name w:val="Point 0 (letter)"/>
    <w:basedOn w:val="Normal"/>
    <w:pPr>
      <w:numPr>
        <w:ilvl w:val="1"/>
        <w:numId w:val="44"/>
      </w:numPr>
    </w:pPr>
  </w:style>
  <w:style w:type="paragraph" w:customStyle="1" w:styleId="Point1letter">
    <w:name w:val="Point 1 (letter)"/>
    <w:basedOn w:val="Normal"/>
    <w:pPr>
      <w:numPr>
        <w:ilvl w:val="3"/>
        <w:numId w:val="44"/>
      </w:numPr>
    </w:pPr>
  </w:style>
  <w:style w:type="paragraph" w:customStyle="1" w:styleId="Point2letter">
    <w:name w:val="Point 2 (letter)"/>
    <w:basedOn w:val="Normal"/>
    <w:pPr>
      <w:numPr>
        <w:ilvl w:val="5"/>
        <w:numId w:val="44"/>
      </w:numPr>
    </w:pPr>
  </w:style>
  <w:style w:type="paragraph" w:customStyle="1" w:styleId="Point3letter">
    <w:name w:val="Point 3 (letter)"/>
    <w:basedOn w:val="Normal"/>
    <w:pPr>
      <w:numPr>
        <w:ilvl w:val="7"/>
        <w:numId w:val="44"/>
      </w:numPr>
    </w:pPr>
  </w:style>
  <w:style w:type="paragraph" w:customStyle="1" w:styleId="Point4letter">
    <w:name w:val="Point 4 (letter)"/>
    <w:basedOn w:val="Normal"/>
    <w:pPr>
      <w:numPr>
        <w:ilvl w:val="8"/>
        <w:numId w:val="44"/>
      </w:numPr>
    </w:pPr>
  </w:style>
  <w:style w:type="paragraph" w:customStyle="1" w:styleId="Bullet0">
    <w:name w:val="Bullet 0"/>
    <w:basedOn w:val="Normal"/>
    <w:pPr>
      <w:numPr>
        <w:numId w:val="45"/>
      </w:numPr>
    </w:pPr>
  </w:style>
  <w:style w:type="paragraph" w:customStyle="1" w:styleId="Bullet1">
    <w:name w:val="Bullet 1"/>
    <w:basedOn w:val="Normal"/>
    <w:pPr>
      <w:numPr>
        <w:numId w:val="46"/>
      </w:numPr>
    </w:pPr>
  </w:style>
  <w:style w:type="paragraph" w:customStyle="1" w:styleId="Bullet2">
    <w:name w:val="Bullet 2"/>
    <w:basedOn w:val="Normal"/>
    <w:pPr>
      <w:numPr>
        <w:numId w:val="47"/>
      </w:numPr>
    </w:pPr>
  </w:style>
  <w:style w:type="paragraph" w:customStyle="1" w:styleId="Bullet3">
    <w:name w:val="Bullet 3"/>
    <w:basedOn w:val="Normal"/>
    <w:pPr>
      <w:numPr>
        <w:numId w:val="48"/>
      </w:numPr>
    </w:pPr>
  </w:style>
  <w:style w:type="paragraph" w:customStyle="1" w:styleId="Bullet4">
    <w:name w:val="Bullet 4"/>
    <w:basedOn w:val="Normal"/>
    <w:pPr>
      <w:numPr>
        <w:numId w:val="49"/>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5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l-GR" w:bidi="el-G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4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l-GR"/>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l-G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l-GR"/>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7"/>
      </w:numPr>
    </w:pPr>
  </w:style>
  <w:style w:type="paragraph" w:customStyle="1" w:styleId="Tiret1">
    <w:name w:val="Tiret 1"/>
    <w:basedOn w:val="Point1"/>
    <w:pPr>
      <w:numPr>
        <w:numId w:val="38"/>
      </w:numPr>
    </w:pPr>
  </w:style>
  <w:style w:type="paragraph" w:customStyle="1" w:styleId="Tiret2">
    <w:name w:val="Tiret 2"/>
    <w:basedOn w:val="Point2"/>
    <w:pPr>
      <w:numPr>
        <w:numId w:val="39"/>
      </w:numPr>
    </w:pPr>
  </w:style>
  <w:style w:type="paragraph" w:customStyle="1" w:styleId="Tiret3">
    <w:name w:val="Tiret 3"/>
    <w:basedOn w:val="Point3"/>
    <w:pPr>
      <w:numPr>
        <w:numId w:val="40"/>
      </w:numPr>
    </w:pPr>
  </w:style>
  <w:style w:type="paragraph" w:customStyle="1" w:styleId="Tiret4">
    <w:name w:val="Tiret 4"/>
    <w:basedOn w:val="Point4"/>
    <w:pPr>
      <w:numPr>
        <w:numId w:val="4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2"/>
      </w:numPr>
    </w:pPr>
  </w:style>
  <w:style w:type="paragraph" w:customStyle="1" w:styleId="NumPar2">
    <w:name w:val="NumPar 2"/>
    <w:basedOn w:val="Normal"/>
    <w:next w:val="Text1"/>
    <w:pPr>
      <w:numPr>
        <w:ilvl w:val="1"/>
        <w:numId w:val="42"/>
      </w:numPr>
    </w:pPr>
  </w:style>
  <w:style w:type="paragraph" w:customStyle="1" w:styleId="NumPar3">
    <w:name w:val="NumPar 3"/>
    <w:basedOn w:val="Normal"/>
    <w:next w:val="Text1"/>
    <w:pPr>
      <w:numPr>
        <w:ilvl w:val="2"/>
        <w:numId w:val="42"/>
      </w:numPr>
    </w:pPr>
  </w:style>
  <w:style w:type="paragraph" w:customStyle="1" w:styleId="NumPar4">
    <w:name w:val="NumPar 4"/>
    <w:basedOn w:val="Normal"/>
    <w:next w:val="Text1"/>
    <w:pPr>
      <w:numPr>
        <w:ilvl w:val="3"/>
        <w:numId w:val="4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4"/>
      </w:numPr>
    </w:pPr>
  </w:style>
  <w:style w:type="paragraph" w:customStyle="1" w:styleId="Point1number">
    <w:name w:val="Point 1 (number)"/>
    <w:basedOn w:val="Normal"/>
    <w:pPr>
      <w:numPr>
        <w:ilvl w:val="2"/>
        <w:numId w:val="44"/>
      </w:numPr>
    </w:pPr>
  </w:style>
  <w:style w:type="paragraph" w:customStyle="1" w:styleId="Point2number">
    <w:name w:val="Point 2 (number)"/>
    <w:basedOn w:val="Normal"/>
    <w:pPr>
      <w:numPr>
        <w:ilvl w:val="4"/>
        <w:numId w:val="44"/>
      </w:numPr>
    </w:pPr>
  </w:style>
  <w:style w:type="paragraph" w:customStyle="1" w:styleId="Point3number">
    <w:name w:val="Point 3 (number)"/>
    <w:basedOn w:val="Normal"/>
    <w:pPr>
      <w:numPr>
        <w:ilvl w:val="6"/>
        <w:numId w:val="44"/>
      </w:numPr>
    </w:pPr>
  </w:style>
  <w:style w:type="paragraph" w:customStyle="1" w:styleId="Point0letter">
    <w:name w:val="Point 0 (letter)"/>
    <w:basedOn w:val="Normal"/>
    <w:pPr>
      <w:numPr>
        <w:ilvl w:val="1"/>
        <w:numId w:val="44"/>
      </w:numPr>
    </w:pPr>
  </w:style>
  <w:style w:type="paragraph" w:customStyle="1" w:styleId="Point1letter">
    <w:name w:val="Point 1 (letter)"/>
    <w:basedOn w:val="Normal"/>
    <w:pPr>
      <w:numPr>
        <w:ilvl w:val="3"/>
        <w:numId w:val="44"/>
      </w:numPr>
    </w:pPr>
  </w:style>
  <w:style w:type="paragraph" w:customStyle="1" w:styleId="Point2letter">
    <w:name w:val="Point 2 (letter)"/>
    <w:basedOn w:val="Normal"/>
    <w:pPr>
      <w:numPr>
        <w:ilvl w:val="5"/>
        <w:numId w:val="44"/>
      </w:numPr>
    </w:pPr>
  </w:style>
  <w:style w:type="paragraph" w:customStyle="1" w:styleId="Point3letter">
    <w:name w:val="Point 3 (letter)"/>
    <w:basedOn w:val="Normal"/>
    <w:pPr>
      <w:numPr>
        <w:ilvl w:val="7"/>
        <w:numId w:val="44"/>
      </w:numPr>
    </w:pPr>
  </w:style>
  <w:style w:type="paragraph" w:customStyle="1" w:styleId="Point4letter">
    <w:name w:val="Point 4 (letter)"/>
    <w:basedOn w:val="Normal"/>
    <w:pPr>
      <w:numPr>
        <w:ilvl w:val="8"/>
        <w:numId w:val="44"/>
      </w:numPr>
    </w:pPr>
  </w:style>
  <w:style w:type="paragraph" w:customStyle="1" w:styleId="Bullet0">
    <w:name w:val="Bullet 0"/>
    <w:basedOn w:val="Normal"/>
    <w:pPr>
      <w:numPr>
        <w:numId w:val="45"/>
      </w:numPr>
    </w:pPr>
  </w:style>
  <w:style w:type="paragraph" w:customStyle="1" w:styleId="Bullet1">
    <w:name w:val="Bullet 1"/>
    <w:basedOn w:val="Normal"/>
    <w:pPr>
      <w:numPr>
        <w:numId w:val="46"/>
      </w:numPr>
    </w:pPr>
  </w:style>
  <w:style w:type="paragraph" w:customStyle="1" w:styleId="Bullet2">
    <w:name w:val="Bullet 2"/>
    <w:basedOn w:val="Normal"/>
    <w:pPr>
      <w:numPr>
        <w:numId w:val="47"/>
      </w:numPr>
    </w:pPr>
  </w:style>
  <w:style w:type="paragraph" w:customStyle="1" w:styleId="Bullet3">
    <w:name w:val="Bullet 3"/>
    <w:basedOn w:val="Normal"/>
    <w:pPr>
      <w:numPr>
        <w:numId w:val="48"/>
      </w:numPr>
    </w:pPr>
  </w:style>
  <w:style w:type="paragraph" w:customStyle="1" w:styleId="Bullet4">
    <w:name w:val="Bullet 4"/>
    <w:basedOn w:val="Normal"/>
    <w:pPr>
      <w:numPr>
        <w:numId w:val="49"/>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5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690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1866F5-2A32-4663-BFBD-08375FCC6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4</Pages>
  <Words>740</Words>
  <Characters>4475</Characters>
  <Application>Microsoft Office Word</Application>
  <DocSecurity>0</DocSecurity>
  <Lines>86</Lines>
  <Paragraphs>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16</cp:revision>
  <cp:lastPrinted>2017-09-11T09:24:00Z</cp:lastPrinted>
  <dcterms:created xsi:type="dcterms:W3CDTF">2017-09-20T15:59:00Z</dcterms:created>
  <dcterms:modified xsi:type="dcterms:W3CDTF">2017-09-25T12:02:00Z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COM/PL/CODEC</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SJ-028</vt:lpwstr>
  </property>
  <property fmtid="{D5CDD505-2E9C-101B-9397-08002B2CF9AE}" pid="10" name="DQCStatus">
    <vt:lpwstr>Green (DQC version 03)</vt:lpwstr>
  </property>
  <property name="OP_sanitized" fmtid="{D5CDD505-2E9C-101B-9397-08002B2CF9AE}" pid="11">
    <vt:lpwstr>True</vt:lpwstr>
  </property>
</Properties>
</file>