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E1EB838718F4694AA9316DBA0514268"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jc w:val="both"/>
        <w:rPr>
          <w:rFonts w:ascii="Times New Roman" w:hAnsi="Times New Roman"/>
          <w:noProof/>
          <w:sz w:val="24"/>
          <w:szCs w:val="24"/>
        </w:rPr>
      </w:pPr>
      <w:bookmarkStart w:id="1" w:name="_GoBack"/>
      <w:bookmarkEnd w:id="1"/>
      <w:r>
        <w:rPr>
          <w:rFonts w:ascii="Times New Roman" w:hAnsi="Times New Roman"/>
          <w:noProof/>
          <w:sz w:val="24"/>
        </w:rPr>
        <w:lastRenderedPageBreak/>
        <w:t>Δεδομένης της στρατηγικής σημασίας των πρώτων υλών για τη μεταποιητική βιομηχανία της ΕΕ</w:t>
      </w:r>
      <w:r>
        <w:rPr>
          <w:rStyle w:val="FootnoteReference"/>
          <w:noProof/>
        </w:rPr>
        <w:footnoteReference w:id="1"/>
      </w:r>
      <w:r>
        <w:rPr>
          <w:rFonts w:ascii="Times New Roman" w:hAnsi="Times New Roman"/>
          <w:noProof/>
          <w:sz w:val="24"/>
        </w:rPr>
        <w:t xml:space="preserve">, η Επιτροπή έχει θέσει σε εφαρμογή ένα ευρύ φάσμα μέτρων στο πλαίσιο της ενωσιακής πρωτοβουλίας για τις πρώτες ύλες, έτσι ώστε να εξασφαλίζεται η ασφαλής, βιώσιμη και οικονομικά προσιτή προμήθειά τους. Ο κατάλογος των πρώτων υλών κρίσιμης σημασίας για την ΕΕ συνιστά κεντρικό στοιχείο της πρωτοβουλίας αυτής. </w:t>
      </w:r>
    </w:p>
    <w:p>
      <w:pPr>
        <w:spacing w:after="120"/>
        <w:jc w:val="both"/>
        <w:rPr>
          <w:rFonts w:ascii="Times New Roman" w:hAnsi="Times New Roman"/>
          <w:noProof/>
          <w:sz w:val="24"/>
          <w:szCs w:val="24"/>
        </w:rPr>
      </w:pPr>
      <w:r>
        <w:rPr>
          <w:rFonts w:ascii="Times New Roman" w:hAnsi="Times New Roman"/>
          <w:noProof/>
          <w:sz w:val="24"/>
        </w:rPr>
        <w:t>Η πρωτοβουλία για τις πρώτες ύλες προτάθηκε το 2008 με σκοπό να αντιμετωπιστούν οι προκλήσεις που συνδέονται με την πρόσβαση σε πρώτες ύλες. Η παρούσα ανακοίνωση επικαιροποιεί τον κατάλογο των πρώτων υλών κρίσιμης σημασίας από το 2014. Ο κύριος σκοπός του πίνακα είναι ο προσδιορισμός των πρώτων υλών για τις οποίες υπάρχει υψηλός κίνδυνος προβλημάτων στον εφοδιασμό και οι οποίες έχουν μεγάλη οικονομική σημασία, και η αξιόπιστη και ανεμπόδιστη πρόσβαση στις οποίες αποτελεί μέλημα για τους βιομηχανικούς κλάδους και τις αλυσίδες αξίας στην Ευρώπη. Ο κατάλογος ακολουθεί αντικειμενική μεθοδολογία και αποτελεί ένα τεκμηριωμένο εργαλείο για τη λήψη μέτρων πολιτικής στο εμπόριο, την καινοτομία και τη βιομηχανία με σκοπό την ενίσχυση της ανταγωνιστικότητας των ευρωπαϊκών βιομηχανικών κλάδων σύμφωνα με την ανανεωμένη βιομηχανική στρατηγική για την Ευρώπη</w:t>
      </w:r>
      <w:r>
        <w:rPr>
          <w:rStyle w:val="FootnoteReference"/>
          <w:rFonts w:ascii="Times New Roman" w:hAnsi="Times New Roman"/>
          <w:noProof/>
          <w:sz w:val="24"/>
        </w:rPr>
        <w:footnoteReference w:id="2"/>
      </w:r>
      <w:r>
        <w:rPr>
          <w:rFonts w:ascii="Times New Roman" w:hAnsi="Times New Roman"/>
          <w:noProof/>
          <w:sz w:val="24"/>
        </w:rPr>
        <w:t xml:space="preserve">, μεταξύ άλλων με τους εξής τρόπους: </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προσδιορισμός των επενδυτικών αναγκών που μπορούν να συμβάλουν στη μείωση της εξάρτησης της Ευρώπης από τις εισαγωγές πρώτων υλών·</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καθοδήγηση και υποστήριξη στην καινοτομία για τον εφοδιασμό με πρώτες ύλες στο πλαίσιο του προγράμματος «Ορίζοντας 2020» για την έρευνα και την καινοτομία·</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 xml:space="preserve">ανάδειξη της σπουδαιότητας των πρώτων υλών κρίσιμης σημασίας για τη μετάβαση σε μια περισσότερο κυκλική οικονομία με χαμηλές εκπομπές άνθρακα και αποδοτική χρήση των πόρων. </w:t>
      </w:r>
    </w:p>
    <w:p>
      <w:pPr>
        <w:spacing w:after="120"/>
        <w:jc w:val="both"/>
        <w:rPr>
          <w:rFonts w:ascii="Times New Roman" w:hAnsi="Times New Roman"/>
          <w:noProof/>
          <w:sz w:val="24"/>
          <w:szCs w:val="24"/>
        </w:rPr>
      </w:pPr>
      <w:r>
        <w:rPr>
          <w:rFonts w:ascii="Times New Roman" w:hAnsi="Times New Roman"/>
          <w:noProof/>
          <w:sz w:val="24"/>
        </w:rPr>
        <w:t xml:space="preserve">Ο κατάλογος αναμένεται επίσης να συμβάλει στην κινητροδότηση της ευρωπαϊκής παραγωγής πρώτων υλών κρίσιμης σημασίας μέσω της ενίσχυσης των δραστηριοτήτων ανακύκλωσης και, όπου απαιτείται, να διευκολύνει την έναρξη νέων εξορυκτικών δραστηριοτήτων. Επίσης, επιτρέπει να κατανοηθεί καλύτερα ο τρόπος με τον οποίο μπορεί να εξασφαλιστεί ο εφοδιασμός σε πρώτες ύλες μέσω της διαφοροποίησης των πηγών εφοδιασμού, από διαφορετικές γεωγραφικές πηγές μέσω εξόρυξης/εξαγωγής, ανακύκλωσης ή υποκατάστασης. </w:t>
      </w:r>
    </w:p>
    <w:p>
      <w:pPr>
        <w:spacing w:after="120"/>
        <w:jc w:val="both"/>
        <w:rPr>
          <w:rFonts w:ascii="Times New Roman" w:hAnsi="Times New Roman"/>
          <w:noProof/>
          <w:sz w:val="24"/>
          <w:szCs w:val="24"/>
        </w:rPr>
      </w:pPr>
      <w:r>
        <w:rPr>
          <w:rFonts w:ascii="Times New Roman" w:hAnsi="Times New Roman"/>
          <w:noProof/>
          <w:sz w:val="24"/>
        </w:rPr>
        <w:t>Ο κατάλογος χρησιμοποιείται από την Επιτροπή ως υποστηρικτικό στοιχείο κατά τη διαπραγμάτευση εμπορικών συμφωνιών, την αμφισβήτηση μέτρων που δημιουργούν στρέβλωση του εμπορίου, την ανάπτυξη δράσεων έρευνας και καινοτομίας και την υλοποίηση του θεματολογίου 2030 για τη βιώσιμη ανάπτυξη και των σχετικών στόχων βιώσιμης ανάπτυξης. Οι πρώτες ύλες κρίσιμης σημασίας αποτελούν προτεραιότητα στο σχέδιο δράσης της ΕΕ για την κυκλική οικονομία</w:t>
      </w:r>
      <w:r>
        <w:rPr>
          <w:rStyle w:val="FootnoteReference"/>
          <w:rFonts w:ascii="Times New Roman" w:hAnsi="Times New Roman"/>
          <w:noProof/>
          <w:sz w:val="24"/>
        </w:rPr>
        <w:footnoteReference w:id="3"/>
      </w:r>
      <w:r>
        <w:rPr>
          <w:rFonts w:ascii="Times New Roman" w:hAnsi="Times New Roman"/>
          <w:noProof/>
          <w:sz w:val="24"/>
        </w:rPr>
        <w:t xml:space="preserve"> προκειμένου να ενισχυθεί η αποδοτική χρήση και ανακύκλωσή τους. Ο κατάλογος ενδέχεται επίσης να χρησιμεύσει κατά την </w:t>
      </w:r>
      <w:r>
        <w:rPr>
          <w:rFonts w:ascii="Times New Roman" w:hAnsi="Times New Roman"/>
          <w:noProof/>
          <w:sz w:val="24"/>
        </w:rPr>
        <w:lastRenderedPageBreak/>
        <w:t>επανεξέταση των άμεσων ξένων επενδύσεων στην ΕΕ</w:t>
      </w:r>
      <w:r>
        <w:rPr>
          <w:rStyle w:val="FootnoteReference"/>
          <w:rFonts w:ascii="Times New Roman" w:hAnsi="Times New Roman"/>
          <w:noProof/>
          <w:sz w:val="24"/>
        </w:rPr>
        <w:footnoteReference w:id="4"/>
      </w:r>
      <w:r>
        <w:rPr>
          <w:rFonts w:ascii="Times New Roman" w:hAnsi="Times New Roman"/>
          <w:noProof/>
          <w:sz w:val="24"/>
        </w:rPr>
        <w:t>, όπως προτείνεται παράλληλα με την παρούσα ανακοίνωση. Μπορεί επίσης να χρησιμοποιηθεί από κράτη μέλη, επιχειρήσεις και επενδυτές σε εθελοντική βάση προκειμένου αυτοί να πληροφορηθούν τους δυνητικούς κινδύνους στον εφοδιασμό με πρώτες ύλες και τις σχετικές ευκαιρίες.</w:t>
      </w:r>
    </w:p>
    <w:p>
      <w:pPr>
        <w:spacing w:after="120"/>
        <w:jc w:val="both"/>
        <w:rPr>
          <w:rFonts w:ascii="Times New Roman" w:hAnsi="Times New Roman"/>
          <w:noProof/>
          <w:sz w:val="24"/>
          <w:szCs w:val="24"/>
        </w:rPr>
      </w:pPr>
      <w:r>
        <w:rPr>
          <w:rFonts w:ascii="Times New Roman" w:hAnsi="Times New Roman"/>
          <w:noProof/>
          <w:sz w:val="24"/>
        </w:rPr>
        <w:t>Στην παρούσα ανακοίνωση παρουσιάζεται ένας επικαιροποιημένος κατάλογος με 27 πρώτες ύλες κρίσιμης σημασίας για την ΕΕ, που προέκυψε από μια τρίτη αξιολόγηση. Ακολουθεί τις δύο προηγούμενες ανακοινώσεις για τις πρώτες ύλες, με τις οποίες καταρτίστηκε ένας κατάλογος με 14 πρώτες ύλες κρίσιμης σημασίας το 2011</w:t>
      </w:r>
      <w:r>
        <w:rPr>
          <w:rStyle w:val="FootnoteReference"/>
          <w:rFonts w:ascii="Times New Roman" w:hAnsi="Times New Roman"/>
          <w:noProof/>
          <w:sz w:val="24"/>
        </w:rPr>
        <w:footnoteReference w:id="5"/>
      </w:r>
      <w:r>
        <w:rPr>
          <w:rFonts w:ascii="Times New Roman" w:hAnsi="Times New Roman"/>
          <w:noProof/>
          <w:sz w:val="24"/>
        </w:rPr>
        <w:t xml:space="preserve"> και ένας αναθεωρημένος κατάλογος με 20 πρώτες ύλες το 2014</w:t>
      </w:r>
      <w:r>
        <w:rPr>
          <w:rStyle w:val="FootnoteReference"/>
          <w:rFonts w:ascii="Times New Roman" w:hAnsi="Times New Roman"/>
          <w:noProof/>
          <w:sz w:val="24"/>
        </w:rPr>
        <w:footnoteReference w:id="6"/>
      </w:r>
      <w:r>
        <w:rPr>
          <w:rFonts w:ascii="Times New Roman" w:hAnsi="Times New Roman"/>
          <w:noProof/>
          <w:sz w:val="24"/>
        </w:rPr>
        <w:t>. Ο κατάλογος των πρώτων υλών κρίσιμης σημασίας για την ΕΕ υπόκειται σε τακτική επικαιροποίηση τουλάχιστον κάθε τρία έτη, ώστε να αντικατοπτρίζονται οι εξελίξεις στην παραγωγή, την αγορά και την τεχνολογία, και ο αριθμός των αξιολογούμενων πρώτων υλών αυξάνεται με κάθε επικαιροποίηση.</w:t>
      </w:r>
    </w:p>
    <w:p>
      <w:pPr>
        <w:spacing w:after="120"/>
        <w:jc w:val="both"/>
        <w:rPr>
          <w:rFonts w:ascii="Times New Roman" w:hAnsi="Times New Roman"/>
          <w:noProof/>
          <w:sz w:val="24"/>
          <w:szCs w:val="24"/>
        </w:rPr>
      </w:pPr>
      <w:r>
        <w:rPr>
          <w:rFonts w:ascii="Times New Roman" w:hAnsi="Times New Roman"/>
          <w:noProof/>
          <w:sz w:val="24"/>
        </w:rPr>
        <w:t>Σύμφωνα με τις συστάσεις της έκθεσης του 2014 της ειδικής ομάδας εργασίας σχετικά με τον προσδιορισμό των πρώτων υλών κρίσιμης σημασίας</w:t>
      </w:r>
      <w:r>
        <w:rPr>
          <w:rStyle w:val="FootnoteReference"/>
          <w:rFonts w:ascii="Times New Roman" w:hAnsi="Times New Roman"/>
          <w:noProof/>
          <w:sz w:val="24"/>
        </w:rPr>
        <w:footnoteReference w:id="7"/>
      </w:r>
      <w:r>
        <w:rPr>
          <w:rFonts w:ascii="Times New Roman" w:hAnsi="Times New Roman"/>
          <w:noProof/>
          <w:sz w:val="24"/>
        </w:rPr>
        <w:t>, η τρίτη αυτή αξιολόγηση των πρώτων υλών κρίσιμης σημασίας διεξήχθη με μια βελτιωμένη μεθοδολογία που έχει αναπτυχθεί από την Επιτροπή</w:t>
      </w:r>
      <w:r>
        <w:rPr>
          <w:rStyle w:val="FootnoteReference"/>
          <w:rFonts w:ascii="Times New Roman" w:hAnsi="Times New Roman"/>
          <w:noProof/>
          <w:sz w:val="24"/>
        </w:rPr>
        <w:footnoteReference w:id="8"/>
      </w:r>
      <w:r>
        <w:rPr>
          <w:rFonts w:ascii="Times New Roman" w:hAnsi="Times New Roman"/>
          <w:noProof/>
          <w:sz w:val="24"/>
        </w:rPr>
        <w:t xml:space="preserve">, εξασφαλίζοντας παράλληλα τη συγκρισιμότητα με τις προηγούμενες μεθοδολογικές προσεγγίσεις (του 2011 και του 2014). Η οικονομική σημασία και οι εφοδιαστικοί κίνδυνοι παραμένουν οι δύο βασικές παράμετροι για τον προσδιορισμό της κρισιμότητας των πρώτων υλών. Οι κυριότερες βελτιώσεις στην αναθεωρημένη μεθοδολογία αφορούν το εμπόριο (εξάρτηση από εισαγωγές και περιορισμοί στις εξαγωγές κατά τον υπολογισμό του κινδύνου στον εφοδιασμό), την υποκατάσταση ως παράγοντα διόρθωσης τόσο της οικονομικής σημασίας όσο και του εφοδιαστικού κινδύνου, και τη λεπτομερή κατανομή των τελικών χρήσεων πρώτων υλών με βάση τις βιομηχανικές εφαρμογές προκειμένου να προσδιοριστεί η οικονομική σημασία. </w:t>
      </w:r>
    </w:p>
    <w:p>
      <w:pPr>
        <w:spacing w:after="120"/>
        <w:jc w:val="both"/>
        <w:rPr>
          <w:rFonts w:ascii="Times New Roman" w:hAnsi="Times New Roman"/>
          <w:noProof/>
          <w:sz w:val="24"/>
          <w:szCs w:val="24"/>
        </w:rPr>
      </w:pPr>
      <w:r>
        <w:rPr>
          <w:rFonts w:ascii="Times New Roman" w:hAnsi="Times New Roman"/>
          <w:noProof/>
          <w:sz w:val="24"/>
        </w:rPr>
        <w:t>Οι πρώτες ύλες, ακόμη και εκείνες που δεν χαρακτηρίζονται κρίσιμης σημασίας, είναι σημαντικές για την ευρωπαϊκή οικονομία, καθώς βρίσκονται στην αρχή των αλυσίδων αξίας της μεταποιητικής βιομηχανίας. Η διαθεσιμότητά τους μπορεί να μεταβάλλεται γρήγορα ανάλογα με τις εμπορικές ροές ή τις εξελίξεις στην εμπορική πολιτική, γεγονός που τονίζει τη γενική ανάγκη διαφοροποίησης των πηγών εφοδιασμού και την αύξηση των ποσοστών ανακύκλωσης όλων των πρώτων υλών.</w:t>
      </w:r>
    </w:p>
    <w:p>
      <w:pPr>
        <w:rPr>
          <w:rFonts w:ascii="Times New Roman" w:hAnsi="Times New Roman"/>
          <w:b/>
          <w:noProof/>
          <w:sz w:val="24"/>
        </w:rPr>
      </w:pPr>
      <w:r>
        <w:rPr>
          <w:noProof/>
        </w:rPr>
        <w:br w:type="page"/>
      </w:r>
    </w:p>
    <w:p>
      <w:pPr>
        <w:spacing w:before="120" w:after="120" w:line="240" w:lineRule="auto"/>
        <w:jc w:val="center"/>
        <w:rPr>
          <w:rFonts w:ascii="Times New Roman" w:hAnsi="Times New Roman"/>
          <w:b/>
          <w:noProof/>
          <w:sz w:val="24"/>
        </w:rPr>
      </w:pPr>
      <w:r>
        <w:rPr>
          <w:rFonts w:ascii="Times New Roman" w:hAnsi="Times New Roman"/>
          <w:b/>
          <w:noProof/>
          <w:sz w:val="24"/>
        </w:rPr>
        <w:t>Παράρτημα 1</w:t>
      </w:r>
    </w:p>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b/>
          <w:noProof/>
          <w:sz w:val="24"/>
        </w:rPr>
      </w:pPr>
      <w:r>
        <w:rPr>
          <w:rFonts w:ascii="Times New Roman" w:hAnsi="Times New Roman"/>
          <w:b/>
          <w:noProof/>
          <w:sz w:val="24"/>
        </w:rPr>
        <w:t>Κατάλογος πρώτων υλών κρίσιμης σημασίας για την ΕΕ</w:t>
      </w:r>
    </w:p>
    <w:p>
      <w:pPr>
        <w:spacing w:before="120" w:after="120" w:line="240" w:lineRule="auto"/>
        <w:jc w:val="both"/>
        <w:rPr>
          <w:rFonts w:ascii="Times New Roman" w:hAnsi="Times New Roman"/>
          <w:noProof/>
          <w:sz w:val="24"/>
        </w:rPr>
      </w:pPr>
      <w:r>
        <w:rPr>
          <w:rFonts w:ascii="Times New Roman" w:hAnsi="Times New Roman"/>
          <w:noProof/>
          <w:sz w:val="24"/>
        </w:rPr>
        <w:t xml:space="preserve">Οι 27 πρώτες ύλες που απαριθμούνται παρακάτω θεωρούνται κρίσιμης σημασίας για την ΕΕ διότι οι κίνδυνοι ανεπαρκούς εφοδιασμού και οι επιπτώσεις τους για την οικονομία είναι μεγαλύτερα σε σύγκριση με τις περισσότερες άλλες πρώτες ύλες. Ο πίνακας δείχνει την ύπαρξη εγχώριας παραγωγής ορισμένων πρώτων υλών κρίσιμης σημασίας στην ΕΕ, κυρίως του αφνίου. Ωστόσο, η Κίνα είναι η χώρα με τη μεγαλύτερη βαρύτητα, σε παγκόσμιο επίπεδο, στην προμήθεια των περισσότερων κρίσιμων πρώτων υλών, όπως οι σπάνιες γαίες, το μαγνήσιο, το βολφράμιο, το αντιμόνιο, το γάλλιο και το γερμάνιο, μεταξύ άλλων. Αρκετές άλλες χώρες κατέχουν δεσπόζουσα θέση στην προμήθεια συγκεκριμένων πρώτων υλών, όπως η Βραζιλία (νιόβιο) και οι ΗΠΑ (βηρύλλιο και ήλιο). Η προμήθεια των μετάλλων της ομάδας του λευκόχρυσου συγκεντρώνεται στη Ρωσία (παλλάδιο) και στη Νότια Αφρική (ιρίδιο, λευκόχρυσος, ρόδιο και ρουθήνιο). Οι κίνδυνοι που συνδέονται με αυτή τη συγκέντρωση της παραγωγής επιτείνονται σε πολλές περιπτώσεις από τον περιορισμένο βαθμό υποκατάστασης και τα χαμηλά ποσοστά ανακύκλωσης. </w:t>
      </w:r>
    </w:p>
    <w:p>
      <w:pPr>
        <w:spacing w:before="120" w:after="120" w:line="240" w:lineRule="auto"/>
        <w:jc w:val="both"/>
        <w:rPr>
          <w:rFonts w:ascii="Times New Roman" w:hAnsi="Times New Roman"/>
          <w:noProof/>
          <w:sz w:val="24"/>
          <w:szCs w:val="24"/>
        </w:rPr>
      </w:pPr>
      <w:r>
        <w:rPr>
          <w:rFonts w:ascii="Times New Roman" w:hAnsi="Times New Roman"/>
          <w:noProof/>
          <w:sz w:val="24"/>
        </w:rPr>
        <w:t>Η αξιολόγηση κρισιμότητας του 2017 αφορούσε 78 πρώτες ύλες. Το διευρυμένο αντικείμενό της περιλάμβανε 9 νέα υλικά σε σύγκριση με την αξιολόγηση του 2014</w:t>
      </w:r>
      <w:r>
        <w:rPr>
          <w:rStyle w:val="FootnoteReference"/>
          <w:rFonts w:ascii="Times New Roman" w:hAnsi="Times New Roman"/>
          <w:noProof/>
          <w:sz w:val="24"/>
        </w:rPr>
        <w:footnoteReference w:id="9"/>
      </w:r>
      <w:r>
        <w:rPr>
          <w:rFonts w:ascii="Times New Roman" w:hAnsi="Times New Roman"/>
          <w:noProof/>
          <w:sz w:val="24"/>
        </w:rPr>
        <w:t xml:space="preserve">.  </w:t>
      </w:r>
    </w:p>
    <w:p>
      <w:pPr>
        <w:spacing w:before="120" w:after="0" w:line="240" w:lineRule="auto"/>
        <w:jc w:val="both"/>
        <w:rPr>
          <w:rFonts w:ascii="Times New Roman" w:hAnsi="Times New Roman"/>
          <w:noProof/>
          <w:sz w:val="24"/>
        </w:rPr>
      </w:pPr>
      <w:r>
        <w:rPr>
          <w:rFonts w:ascii="Times New Roman" w:hAnsi="Times New Roman"/>
          <w:noProof/>
          <w:sz w:val="24"/>
        </w:rPr>
        <w:t>Οι εννέα πρώτες ύλες κρίσιμης σημασίας για την ΕΕ που είναι νέες σε σχέση με τον κατάλογο του 2014 παρουσιάζονται τονισμένες με ανοικτό γκρίζο χρώμα στον πίνακα που ακολουθεί. Τρεις πρώτες ύλες (χρώμιο, άνθρακας οπτανθρακοποίησης και μαγνησίτης)</w:t>
      </w:r>
      <w:r>
        <w:rPr>
          <w:rStyle w:val="FootnoteReference"/>
          <w:rFonts w:ascii="Times New Roman" w:hAnsi="Times New Roman"/>
          <w:noProof/>
          <w:sz w:val="24"/>
        </w:rPr>
        <w:footnoteReference w:id="10"/>
      </w:r>
      <w:r>
        <w:rPr>
          <w:rFonts w:ascii="Times New Roman" w:hAnsi="Times New Roman"/>
          <w:noProof/>
          <w:sz w:val="24"/>
        </w:rPr>
        <w:t xml:space="preserve"> δεν θεωρούνται κρίσιμης σημασίας με βάση την αξιολόγηση του 2017. Οι βαριές σπάνιες γαίες</w:t>
      </w:r>
      <w:r>
        <w:rPr>
          <w:rStyle w:val="FootnoteReference"/>
          <w:rFonts w:ascii="Times New Roman" w:hAnsi="Times New Roman"/>
          <w:noProof/>
          <w:sz w:val="24"/>
        </w:rPr>
        <w:footnoteReference w:id="11"/>
      </w:r>
      <w:r>
        <w:rPr>
          <w:rFonts w:ascii="Times New Roman" w:hAnsi="Times New Roman"/>
          <w:noProof/>
          <w:sz w:val="24"/>
        </w:rPr>
        <w:t>, οι ελαφρές σπάνιες γαίες</w:t>
      </w:r>
      <w:r>
        <w:rPr>
          <w:rStyle w:val="FootnoteReference"/>
          <w:rFonts w:ascii="Times New Roman" w:hAnsi="Times New Roman"/>
          <w:noProof/>
          <w:sz w:val="24"/>
        </w:rPr>
        <w:footnoteReference w:id="12"/>
      </w:r>
      <w:r>
        <w:rPr>
          <w:rFonts w:ascii="Times New Roman" w:hAnsi="Times New Roman"/>
          <w:noProof/>
          <w:sz w:val="24"/>
        </w:rPr>
        <w:t xml:space="preserve"> και τα μέταλλα της ομάδας του λευκόχρυσου</w:t>
      </w:r>
      <w:r>
        <w:rPr>
          <w:rStyle w:val="FootnoteReference"/>
          <w:rFonts w:ascii="Times New Roman" w:hAnsi="Times New Roman"/>
          <w:noProof/>
          <w:sz w:val="24"/>
        </w:rPr>
        <w:footnoteReference w:id="13"/>
      </w:r>
      <w:r>
        <w:rPr>
          <w:rFonts w:ascii="Times New Roman" w:hAnsi="Times New Roman"/>
          <w:noProof/>
          <w:sz w:val="24"/>
        </w:rPr>
        <w:t xml:space="preserve"> αξιολογήθηκαν χωριστά αλλά εξακολουθούν να παρουσιάζονται ως ομάδες στον κατάλογο κρισιμότητας (στον πίνακα δίνεται ο αριθμητικός μέσος όρος) προκειμένου να εξασφαλιστεί η συγκρισιμότητα με την προηγούμενη αξιολόγηση.</w:t>
      </w:r>
    </w:p>
    <w:p>
      <w:pPr>
        <w:spacing w:before="120" w:after="120" w:line="240" w:lineRule="auto"/>
        <w:jc w:val="both"/>
        <w:rPr>
          <w:rFonts w:ascii="Times New Roman" w:hAnsi="Times New Roman"/>
          <w:noProof/>
          <w:sz w:val="24"/>
        </w:rPr>
      </w:pPr>
    </w:p>
    <w:tbl>
      <w:tblPr>
        <w:tblW w:w="5944" w:type="pct"/>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98"/>
        <w:gridCol w:w="2044"/>
        <w:gridCol w:w="2041"/>
        <w:gridCol w:w="1632"/>
        <w:gridCol w:w="1371"/>
        <w:gridCol w:w="1318"/>
        <w:gridCol w:w="1438"/>
      </w:tblGrid>
      <w:tr>
        <w:trPr>
          <w:cantSplit/>
          <w:trHeight w:val="765"/>
          <w:tblHeader/>
        </w:trPr>
        <w:tc>
          <w:tcPr>
            <w:tcW w:w="542"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Πρώτες ύλες</w:t>
            </w:r>
          </w:p>
        </w:tc>
        <w:tc>
          <w:tcPr>
            <w:tcW w:w="925" w:type="pct"/>
            <w:shd w:val="clear" w:color="auto" w:fill="auto"/>
            <w:vAlign w:val="center"/>
            <w:hideMark/>
          </w:tcPr>
          <w:p>
            <w:pPr>
              <w:spacing w:after="0" w:line="240" w:lineRule="auto"/>
              <w:ind w:left="32"/>
              <w:rPr>
                <w:rFonts w:ascii="Times New Roman" w:eastAsia="Times New Roman" w:hAnsi="Times New Roman"/>
                <w:b/>
                <w:bCs/>
                <w:noProof/>
                <w:color w:val="000000"/>
                <w:sz w:val="20"/>
                <w:szCs w:val="20"/>
              </w:rPr>
            </w:pPr>
            <w:r>
              <w:rPr>
                <w:rFonts w:ascii="Times New Roman" w:hAnsi="Times New Roman"/>
                <w:b/>
                <w:noProof/>
                <w:color w:val="000000"/>
                <w:sz w:val="20"/>
              </w:rPr>
              <w:t xml:space="preserve">Κυριότεροι παραγωγοί σε παγκόσμιο επίπεδο </w:t>
            </w:r>
          </w:p>
          <w:p>
            <w:pPr>
              <w:spacing w:after="0" w:line="240" w:lineRule="auto"/>
              <w:ind w:left="32"/>
              <w:rPr>
                <w:rFonts w:ascii="Times New Roman" w:eastAsia="Times New Roman" w:hAnsi="Times New Roman"/>
                <w:b/>
                <w:bCs/>
                <w:noProof/>
                <w:color w:val="000000"/>
                <w:sz w:val="20"/>
                <w:szCs w:val="20"/>
              </w:rPr>
            </w:pPr>
            <w:r>
              <w:rPr>
                <w:rFonts w:ascii="Times New Roman" w:hAnsi="Times New Roman"/>
                <w:b/>
                <w:noProof/>
                <w:color w:val="000000"/>
                <w:sz w:val="20"/>
              </w:rPr>
              <w:t>(μέσος όρος 2010–2014)</w:t>
            </w:r>
          </w:p>
        </w:tc>
        <w:tc>
          <w:tcPr>
            <w:tcW w:w="924"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 xml:space="preserve">Κυριότεροι εισαγωγείς </w:t>
            </w:r>
            <w:r>
              <w:rPr>
                <w:rFonts w:ascii="Times New Roman" w:eastAsia="Times New Roman" w:hAnsi="Times New Roman"/>
                <w:b/>
                <w:bCs/>
                <w:noProof/>
                <w:color w:val="000000"/>
                <w:sz w:val="20"/>
                <w:szCs w:val="20"/>
              </w:rPr>
              <w:br/>
            </w:r>
            <w:r>
              <w:rPr>
                <w:rFonts w:ascii="Times New Roman" w:hAnsi="Times New Roman"/>
                <w:b/>
                <w:noProof/>
                <w:color w:val="000000"/>
                <w:sz w:val="20"/>
              </w:rPr>
              <w:t xml:space="preserve">στην ΕΕ </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(μέσος όρος 2010–2014)</w:t>
            </w:r>
          </w:p>
        </w:tc>
        <w:tc>
          <w:tcPr>
            <w:tcW w:w="739" w:type="pct"/>
            <w:vAlign w:val="center"/>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 xml:space="preserve">Πηγές </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εφοδιασμού της ΕΕ</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(μέσος όρος 2010–2014)</w:t>
            </w:r>
          </w:p>
        </w:tc>
        <w:tc>
          <w:tcPr>
            <w:tcW w:w="621" w:type="pct"/>
            <w:vAlign w:val="center"/>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Βαθμός εξάρτησης από εισαγωγές*</w:t>
            </w:r>
          </w:p>
        </w:tc>
        <w:tc>
          <w:tcPr>
            <w:tcW w:w="597"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Δείκτες υποκατάστασης EI/SR**</w:t>
            </w:r>
          </w:p>
        </w:tc>
        <w:tc>
          <w:tcPr>
            <w:tcW w:w="651"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Βαθμός εισροής από ανακύκλωση στο τέλος του κύκλου ζωής***</w:t>
            </w:r>
          </w:p>
        </w:tc>
      </w:tr>
      <w:tr>
        <w:trPr>
          <w:cantSplit/>
          <w:trHeight w:val="62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Αντιμόνιο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(87 %)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(11 %)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(90 %)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(4 %)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(90 %)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(4 %)</w:t>
            </w:r>
          </w:p>
        </w:tc>
        <w:tc>
          <w:tcPr>
            <w:tcW w:w="62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0,93</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28 %</w:t>
            </w:r>
          </w:p>
        </w:tc>
      </w:tr>
      <w:tr>
        <w:trPr>
          <w:cantSplit/>
          <w:trHeight w:val="163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Βαρίτης</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Ινδία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Μαρόκο (10 %)</w:t>
            </w:r>
          </w:p>
        </w:tc>
        <w:tc>
          <w:tcPr>
            <w:tcW w:w="924"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(53 %)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Μαρόκο (37 %)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Τουρκία (7 %)</w:t>
            </w:r>
          </w:p>
        </w:tc>
        <w:tc>
          <w:tcPr>
            <w:tcW w:w="739"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Μαρόκο (30 %)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Γερμανία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Τουρκία (6 %)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Ηνωμένο Βασίλειο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Άλλες χώρες της ΕΕ (4 %)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 / 0,94</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56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Βηρύλλιο</w:t>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(90 %)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(8 %)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ά.α.</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ά.α.</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ά.α.</w:t>
            </w:r>
            <w:r>
              <w:rPr>
                <w:rStyle w:val="FootnoteReference"/>
                <w:rFonts w:ascii="Times New Roman" w:hAnsi="Times New Roman"/>
                <w:noProof/>
                <w:color w:val="000000"/>
                <w:sz w:val="20"/>
              </w:rPr>
              <w:footnoteReference w:id="14"/>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0,99 / 0,99</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Βισμούθιο</w:t>
            </w:r>
          </w:p>
        </w:tc>
        <w:tc>
          <w:tcPr>
            <w:tcW w:w="925"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(82 %),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Μεξικό (11 %)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Ιαπωνία (7 %)</w:t>
            </w:r>
          </w:p>
        </w:tc>
        <w:tc>
          <w:tcPr>
            <w:tcW w:w="924"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(84 %)</w:t>
            </w:r>
          </w:p>
        </w:tc>
        <w:tc>
          <w:tcPr>
            <w:tcW w:w="739"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(84 %)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0,96 / 0,94</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6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Βορικά άλατα</w:t>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Τουρκία (38 %)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(23 %)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Αργεντινή (12 %)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Τουρκία (98 %)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Τουρκία (98 %)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 / 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04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Κοβάλτιο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Λαϊκή Δημοκρατία του Κονγκό (64 %)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Ρωσία (91 %)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Λαϊκή Δημοκρατία του Κονγκό (7 %)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Φινλανδία (66 %)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(31 %)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32 %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 / 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045"/>
          <w:tblHeader/>
        </w:trPr>
        <w:tc>
          <w:tcPr>
            <w:tcW w:w="542"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Άνθρακας οπτανθρακοποίησης</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Αυστραλία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(7 %)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(39 %)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Αυστραλία (36 %)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Ρωσία (9 %)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Καναδάς (8 %)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(38 %)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Αυστραλία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Πολωνία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Γερμανία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Τσεχική Δημοκρατία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Ηνωμένο Βασίλειο (1 %)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63 %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0,92 / 0,92</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7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Αργυραδάμας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Μεξικό (16 %)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Μογγολία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Μεξικό (38 %)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(17 %)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Νότια Αφρική (15 %)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Ναμίμπια (12 %)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Κένυα (9 %)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Μεξικό (27 %)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Ισπανία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Αφρική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Ναμίμπια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Κένυα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Γερμανία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Βουλγαρία (4 %)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Ηνωμένο Βασίλειο (4 %)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Άλλες χώρες της ΕΕ (1 %)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0,98 / 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6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Γάλλιο</w:t>
            </w:r>
            <w:r>
              <w:rPr>
                <w:rFonts w:ascii="Times New Roman" w:hAnsi="Times New Roman"/>
                <w:noProof/>
                <w:color w:val="000000"/>
                <w:sz w:val="20"/>
                <w:vertAlign w:val="superscript"/>
              </w:rPr>
              <w:footnoteReference w:id="15"/>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(85 %)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Γερμανία (7 %)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Καζαχστάν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Κίνα (53 %)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(11 %)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Ουκρανία (9 %)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Νότια Κορέα (8 %)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(36 %)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Γερμανία (27 %)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Ουκρανία (6 %)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Κορέα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Ουγγαρία (5 %)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0,95 / 0,96</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10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Γερμάνιο</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Κίνα (67 %)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Φινλανδία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Καναδάς (9 %)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(9 %)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(16 %)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Φινλανδία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(12 %)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 / 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Άφνιο</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Γαλλία (43 %)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(41 %)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Ουκρανία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(8 %)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(33 %)</w:t>
            </w:r>
          </w:p>
        </w:tc>
        <w:tc>
          <w:tcPr>
            <w:tcW w:w="739"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Γαλλία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(10 %)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 / 0,97</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Ήλιο</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(73 %)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Κατάρ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Αλγερία (10 %)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(53 %)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Αλγερία (29 %)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Κατάρ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(8 %)</w:t>
            </w:r>
          </w:p>
        </w:tc>
        <w:tc>
          <w:tcPr>
            <w:tcW w:w="739"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(51 %)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Αλγερία (29 %)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Κατάρ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Πολωνία (3 %)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96 %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 / 0,96</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128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Ίνδιο</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Κορέα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Ιαπωνία (10 %)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Κορέα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Χονγκ Κονγκ (8 %)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Βέλγιο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Γαλλία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Κορέα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Χονγκ Κονγκ (6 %)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 / 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62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Μαγνήσιο</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(87 %)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(5 %)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(94 %)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(94 %)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0,91</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9 %</w:t>
            </w:r>
          </w:p>
        </w:tc>
      </w:tr>
      <w:tr>
        <w:trPr>
          <w:cantSplit/>
          <w:trHeight w:val="128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Φυσικός γραφίτης</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Ινδία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(8 %)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Νορβηγία (7 %)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Νορβηγία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ΕΕ (&lt; 1 %)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99 %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0,95 / 0,97</w:t>
            </w:r>
          </w:p>
        </w:tc>
        <w:tc>
          <w:tcPr>
            <w:tcW w:w="65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Φυσικό καουτσούκ</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Ταϊλάνδη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Ινδονησία (26 %)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Ινδία (8 %)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Ινδονησία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Μαλαισία (20 %)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Ταϊλάνδη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Ακτή Ελεφαντοστού (12 %)</w:t>
            </w:r>
          </w:p>
        </w:tc>
        <w:tc>
          <w:tcPr>
            <w:tcW w:w="739"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Ινδονησία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Μαλαισία (20 %)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Ταϊλάνδη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Ακτή Ελεφαντοστού (12 %)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0,92 / 0,92</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0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Νιόβιο</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Βραζιλία (90 %)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(10 %)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(13 %)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Καναδάς (13 %)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0,94</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0,3 %</w:t>
            </w:r>
          </w:p>
        </w:tc>
      </w:tr>
      <w:tr>
        <w:trPr>
          <w:cantSplit/>
          <w:trHeight w:val="84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Φωσφορίτης</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Μαρόκο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(13 %)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Μαρόκο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Συρία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Αλγερία (12 %)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Μαρόκο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(16 %)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Συρία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Αλγερία (10 %)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ΕΕ – Φινλανδία (12 %)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88 %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 / 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17 %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Φωσφόρος</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(11 %)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(77 %)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(8 %)</w:t>
            </w:r>
          </w:p>
        </w:tc>
        <w:tc>
          <w:tcPr>
            <w:tcW w:w="739"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(77 %)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(8 %)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0,91</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721"/>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Σκάνδιο</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(26 %)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Ουκρανία (7 %)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(33 %)</w:t>
            </w:r>
          </w:p>
        </w:tc>
        <w:tc>
          <w:tcPr>
            <w:tcW w:w="739"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Καζαχστάν (33 %)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0,95</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14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Μεταλλικό πυρίτιο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(61 %)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Νορβηγία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Γαλλία (5 %)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Νορβηγία (35 %)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(18 %)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Νορβηγία (23 %)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Γαλλία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Ισπανία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Γερμανία (5 %)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0,99 / 0,99</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Ταντάλιο</w:t>
            </w:r>
            <w:r>
              <w:rPr>
                <w:rStyle w:val="FootnoteReference"/>
                <w:rFonts w:ascii="Times New Roman" w:hAnsi="Times New Roman"/>
                <w:noProof/>
                <w:color w:val="000000"/>
                <w:sz w:val="20"/>
              </w:rPr>
              <w:footnoteReference w:id="16"/>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Ρουάντα (31 %)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Λαϊκή Δημοκρατία του Κονγκό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Βραζιλία (14 %)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Νιγηρία (81 %)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Ρουάντα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(5 %)</w:t>
            </w:r>
          </w:p>
        </w:tc>
        <w:tc>
          <w:tcPr>
            <w:tcW w:w="739"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Νιγηρία (81 %)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Ρουάντα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(5 %)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 / 0,95</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128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Βολφράμιο</w:t>
            </w:r>
            <w:r>
              <w:rPr>
                <w:rStyle w:val="FootnoteReference"/>
                <w:rFonts w:ascii="Times New Roman" w:hAnsi="Times New Roman"/>
                <w:noProof/>
                <w:color w:val="000000"/>
                <w:sz w:val="20"/>
              </w:rPr>
              <w:footnoteReference w:id="17"/>
            </w:r>
            <w:r>
              <w:rPr>
                <w:rFonts w:ascii="Times New Roman" w:hAnsi="Times New Roman"/>
                <w:noProof/>
                <w:color w:val="000000"/>
                <w:sz w:val="20"/>
              </w:rPr>
              <w:t xml:space="preserve">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(84 %)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(4 %)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(84 %)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Βολιβία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Βιετνάμ (5 %)</w:t>
            </w:r>
          </w:p>
        </w:tc>
        <w:tc>
          <w:tcPr>
            <w:tcW w:w="739"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(50 %)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Πορτογαλία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Ισπανία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Αυστρία (8 %)</w:t>
            </w:r>
          </w:p>
        </w:tc>
        <w:tc>
          <w:tcPr>
            <w:tcW w:w="62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 / 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42 %</w:t>
            </w:r>
          </w:p>
        </w:tc>
      </w:tr>
      <w:tr>
        <w:trPr>
          <w:cantSplit/>
          <w:trHeight w:val="420"/>
          <w:tblHeader/>
        </w:trPr>
        <w:tc>
          <w:tcPr>
            <w:tcW w:w="542"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Βανάδιο</w:t>
            </w:r>
          </w:p>
        </w:tc>
        <w:tc>
          <w:tcPr>
            <w:tcW w:w="925" w:type="pct"/>
            <w:shd w:val="clear" w:color="auto" w:fill="D9D9D9" w:themeFill="background1" w:themeFillShade="D9"/>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Κίνα (53 %)</w:t>
            </w:r>
          </w:p>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Νότια Αφρική (25 %)</w:t>
            </w:r>
          </w:p>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Ρωσία (20 %)</w:t>
            </w:r>
          </w:p>
        </w:tc>
        <w:tc>
          <w:tcPr>
            <w:tcW w:w="924"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Αφρική (13 %)</w:t>
            </w:r>
          </w:p>
        </w:tc>
        <w:tc>
          <w:tcPr>
            <w:tcW w:w="739"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(60 %)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Αφρική (10 %)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Βέλγιο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Ηνωμένο Βασίλειο (3 %)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Κάτω Χώρες (2 %)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Γερμανία (2 %)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Άλλες χώρες της ΕΕ (0,5 %)</w:t>
            </w:r>
          </w:p>
        </w:tc>
        <w:tc>
          <w:tcPr>
            <w:tcW w:w="62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84 %</w:t>
            </w:r>
          </w:p>
        </w:tc>
        <w:tc>
          <w:tcPr>
            <w:tcW w:w="597"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 / 0,94</w:t>
            </w:r>
          </w:p>
        </w:tc>
        <w:tc>
          <w:tcPr>
            <w:tcW w:w="65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44 %</w:t>
            </w:r>
          </w:p>
        </w:tc>
      </w:tr>
      <w:tr>
        <w:trPr>
          <w:cantSplit/>
          <w:trHeight w:val="1165"/>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Μέταλλα της ομάδας του λευκό</w:t>
            </w:r>
            <w:r>
              <w:rPr>
                <w:rFonts w:ascii="Times New Roman" w:hAnsi="Times New Roman"/>
                <w:noProof/>
                <w:color w:val="000000"/>
                <w:sz w:val="20"/>
              </w:rPr>
              <w:softHyphen/>
              <w:t>χρυσου</w:t>
            </w:r>
          </w:p>
        </w:tc>
        <w:tc>
          <w:tcPr>
            <w:tcW w:w="925" w:type="pct"/>
            <w:shd w:val="clear" w:color="auto" w:fill="auto"/>
            <w:noWrap/>
            <w:vAlign w:val="center"/>
          </w:tcPr>
          <w:p>
            <w:pPr>
              <w:spacing w:before="60" w:after="0" w:line="240" w:lineRule="auto"/>
              <w:rPr>
                <w:rFonts w:ascii="Times New Roman" w:hAnsi="Times New Roman"/>
                <w:noProof/>
                <w:color w:val="000000"/>
                <w:sz w:val="20"/>
                <w:szCs w:val="20"/>
              </w:rPr>
            </w:pPr>
            <w:r>
              <w:rPr>
                <w:rFonts w:ascii="Times New Roman" w:hAnsi="Times New Roman"/>
                <w:noProof/>
                <w:color w:val="000000"/>
                <w:sz w:val="20"/>
              </w:rPr>
              <w:t>Νότια Αφρική (83 %)</w:t>
            </w:r>
          </w:p>
          <w:p>
            <w:pPr>
              <w:spacing w:after="60" w:line="240" w:lineRule="auto"/>
              <w:rPr>
                <w:rFonts w:ascii="Times New Roman" w:hAnsi="Times New Roman"/>
                <w:noProof/>
                <w:color w:val="000000"/>
                <w:sz w:val="20"/>
                <w:szCs w:val="20"/>
              </w:rPr>
            </w:pPr>
            <w:r>
              <w:rPr>
                <w:rFonts w:ascii="Times New Roman" w:hAnsi="Times New Roman"/>
                <w:noProof/>
                <w:color w:val="000000"/>
                <w:sz w:val="20"/>
              </w:rPr>
              <w:t xml:space="preserve">– </w:t>
            </w:r>
            <w:r>
              <w:rPr>
                <w:rFonts w:ascii="Times New Roman" w:hAnsi="Times New Roman"/>
                <w:noProof/>
                <w:color w:val="000000"/>
                <w:sz w:val="16"/>
              </w:rPr>
              <w:t>ιρίδιο, λευκόχρυσος, ρόδιο, ρουθήνιο</w:t>
            </w:r>
          </w:p>
          <w:p>
            <w:pPr>
              <w:spacing w:before="60" w:after="0" w:line="240" w:lineRule="auto"/>
              <w:jc w:val="both"/>
              <w:rPr>
                <w:rFonts w:ascii="Times New Roman" w:hAnsi="Times New Roman"/>
                <w:noProof/>
                <w:color w:val="000000"/>
                <w:sz w:val="20"/>
                <w:szCs w:val="20"/>
              </w:rPr>
            </w:pPr>
            <w:r>
              <w:rPr>
                <w:rFonts w:ascii="Times New Roman" w:hAnsi="Times New Roman"/>
                <w:noProof/>
                <w:color w:val="000000"/>
                <w:sz w:val="20"/>
              </w:rPr>
              <w:t>Ρωσία (46 %)</w:t>
            </w:r>
          </w:p>
          <w:p>
            <w:pPr>
              <w:spacing w:after="60" w:line="240" w:lineRule="auto"/>
              <w:rPr>
                <w:rFonts w:ascii="Times New Roman" w:hAnsi="Times New Roman"/>
                <w:noProof/>
                <w:color w:val="000000"/>
                <w:sz w:val="20"/>
                <w:szCs w:val="20"/>
              </w:rPr>
            </w:pPr>
            <w:r>
              <w:rPr>
                <w:rFonts w:ascii="Times New Roman" w:hAnsi="Times New Roman"/>
                <w:noProof/>
                <w:color w:val="000000"/>
                <w:sz w:val="20"/>
              </w:rPr>
              <w:t xml:space="preserve">– </w:t>
            </w:r>
            <w:r>
              <w:rPr>
                <w:rFonts w:ascii="Times New Roman" w:hAnsi="Times New Roman"/>
                <w:noProof/>
                <w:color w:val="000000"/>
                <w:sz w:val="16"/>
              </w:rPr>
              <w:t>παλλάδιο</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Ελβετία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Αφρική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(21 %)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(8 %)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Ελβετία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Νότια Αφρική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Ηνωμένες Πολιτείες (21 %)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(8 %)</w:t>
            </w:r>
          </w:p>
        </w:tc>
        <w:tc>
          <w:tcPr>
            <w:tcW w:w="62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99,6 %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 / 0,98</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14 %</w:t>
            </w:r>
          </w:p>
        </w:tc>
      </w:tr>
      <w:tr>
        <w:trPr>
          <w:cantSplit/>
          <w:trHeight w:val="850"/>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Βαριές σπάνιες γαίες </w:t>
            </w:r>
          </w:p>
        </w:tc>
        <w:tc>
          <w:tcPr>
            <w:tcW w:w="925" w:type="pct"/>
            <w:shd w:val="clear" w:color="auto" w:fill="auto"/>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Κίνα (95 %)</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ΗΠΑ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(25 %)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ΗΠΑ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(25 %)</w:t>
            </w:r>
          </w:p>
        </w:tc>
        <w:tc>
          <w:tcPr>
            <w:tcW w:w="62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0,96 / 0,89</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8 %</w:t>
            </w:r>
          </w:p>
        </w:tc>
      </w:tr>
      <w:tr>
        <w:trPr>
          <w:cantSplit/>
          <w:trHeight w:val="493"/>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Ελαφρές σπάνιες γαίες</w:t>
            </w:r>
          </w:p>
        </w:tc>
        <w:tc>
          <w:tcPr>
            <w:tcW w:w="925" w:type="pct"/>
            <w:shd w:val="clear" w:color="auto" w:fill="auto"/>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Κίνα (95 %)</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ΗΠΑ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(25 %)</w:t>
            </w:r>
          </w:p>
        </w:tc>
        <w:tc>
          <w:tcPr>
            <w:tcW w:w="739"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Κίνα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ΗΠΑ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Ρωσία (25 %)</w:t>
            </w:r>
          </w:p>
        </w:tc>
        <w:tc>
          <w:tcPr>
            <w:tcW w:w="62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0,90 / 0,93</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3 %</w:t>
            </w:r>
          </w:p>
        </w:tc>
      </w:tr>
    </w:tbl>
    <w:p>
      <w:pPr>
        <w:spacing w:before="120" w:after="120" w:line="240" w:lineRule="auto"/>
        <w:jc w:val="both"/>
        <w:rPr>
          <w:rFonts w:ascii="Times New Roman" w:hAnsi="Times New Roman"/>
          <w:noProof/>
          <w:sz w:val="24"/>
        </w:rPr>
      </w:pPr>
      <w:r>
        <w:rPr>
          <w:rFonts w:ascii="Times New Roman" w:hAnsi="Times New Roman"/>
          <w:noProof/>
          <w:sz w:val="24"/>
        </w:rPr>
        <w:t xml:space="preserve"> </w:t>
      </w:r>
    </w:p>
    <w:p>
      <w:pPr>
        <w:spacing w:before="120" w:after="120" w:line="240" w:lineRule="auto"/>
        <w:jc w:val="both"/>
        <w:rPr>
          <w:rFonts w:ascii="Times New Roman" w:hAnsi="Times New Roman"/>
          <w:noProof/>
          <w:color w:val="000000"/>
          <w:sz w:val="24"/>
        </w:rPr>
      </w:pPr>
      <w:r>
        <w:rPr>
          <w:rFonts w:ascii="Times New Roman" w:hAnsi="Times New Roman"/>
          <w:noProof/>
          <w:color w:val="000000"/>
          <w:sz w:val="24"/>
        </w:rPr>
        <w:t>Σημειώσεις:</w:t>
      </w:r>
    </w:p>
    <w:p>
      <w:pP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rPr>
        <w:t>(*) Ο βαθμός εξάρτησης από τις εισαγωγές λαμβάνει υπόψη την προμήθεια σε παγκόσμιο επίπεδο και την πραγματική προμήθεια σε επίπεδο ΕΕ για τον υπολογισμό του εφοδιαστικού κινδύνου και υπολογίζεται ως εξής: καθαρές εισαγωγές στην ΕΕ / (καθαρές εισαγωγές στην ΕΕ + εγχώρια παραγωγή στην ΕΕ).</w:t>
      </w:r>
    </w:p>
    <w:p>
      <w:pP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rPr>
        <w:t xml:space="preserve">(**) Ο δείκτης υποκατάστασης είναι ένα μέτρο της δυσκολίας υποκατάστασης του υλικού, βαθμολογημένο και σταθμισμένο σε όλες τις εφαρμογές του υλικού, και υπολογίζεται χωριστά για τις παραμέτρους οικονομικής σημασίας και εφοδιαστικού κινδύνου. Οι τιμές κυμαίνονται μεταξύ 0 και 1, με την τιμή 1 να αντιστοιχεί στη μικρότερη δυνατότητα υποκατάστασης. </w:t>
      </w:r>
    </w:p>
    <w:p>
      <w:pPr>
        <w:spacing w:before="120" w:after="120" w:line="240" w:lineRule="auto"/>
        <w:jc w:val="both"/>
        <w:rPr>
          <w:rFonts w:ascii="Times New Roman" w:hAnsi="Times New Roman"/>
          <w:noProof/>
          <w:color w:val="000000"/>
          <w:sz w:val="24"/>
          <w:szCs w:val="24"/>
        </w:rPr>
      </w:pPr>
      <w:r>
        <w:rPr>
          <w:rFonts w:ascii="Times New Roman" w:hAnsi="Times New Roman"/>
          <w:noProof/>
          <w:sz w:val="24"/>
        </w:rPr>
        <w:t>Η τιμή οικονομικής σημασίας διορθώνεται κατά τον δείκτη υποκατάστασης SI</w:t>
      </w:r>
      <w:r>
        <w:rPr>
          <w:rFonts w:ascii="Times New Roman" w:hAnsi="Times New Roman"/>
          <w:noProof/>
          <w:sz w:val="24"/>
          <w:vertAlign w:val="subscript"/>
        </w:rPr>
        <w:t>EI</w:t>
      </w:r>
      <w:r>
        <w:rPr>
          <w:rFonts w:ascii="Times New Roman" w:hAnsi="Times New Roman"/>
          <w:noProof/>
          <w:sz w:val="24"/>
        </w:rPr>
        <w:t>, ο οποίος συνδέεται με τις τεχνικές και οικονομικές επιδόσεις των υποκαταστάτων στις επιμέρους εφαρμογές κάθε υλικού. Η τιμή εφοδιαστικού κινδύνου διορθώνεται κατά τον δείκτη υποκατάστασης SI</w:t>
      </w:r>
      <w:r>
        <w:rPr>
          <w:rFonts w:ascii="Times New Roman" w:hAnsi="Times New Roman"/>
          <w:noProof/>
          <w:sz w:val="24"/>
          <w:vertAlign w:val="subscript"/>
        </w:rPr>
        <w:t>SR</w:t>
      </w:r>
      <w:r>
        <w:rPr>
          <w:rFonts w:ascii="Times New Roman" w:hAnsi="Times New Roman"/>
          <w:noProof/>
          <w:sz w:val="24"/>
        </w:rPr>
        <w:t xml:space="preserve">, ο οποίος συνδέεται με την παγκόσμια παραγωγή, την κρισιμότητα και την παραγωγή των υποκαταστάτων ως υποπροϊόν/παραπροϊόν στις επιμέρους εφαρμογές κάθε υλικού. </w:t>
      </w:r>
    </w:p>
    <w:p>
      <w:pPr>
        <w:spacing w:before="120" w:after="120" w:line="240" w:lineRule="auto"/>
        <w:jc w:val="both"/>
        <w:rPr>
          <w:rFonts w:ascii="Times New Roman" w:hAnsi="Times New Roman"/>
          <w:noProof/>
          <w:sz w:val="24"/>
          <w:szCs w:val="24"/>
        </w:rPr>
      </w:pPr>
      <w:r>
        <w:rPr>
          <w:rFonts w:ascii="Times New Roman" w:hAnsi="Times New Roman"/>
          <w:noProof/>
          <w:color w:val="000000"/>
          <w:sz w:val="24"/>
        </w:rPr>
        <w:t>(***) Ο βαθμός εισροής από ανακύκλωση στο τέλος του κύκλου ζωής μετρά την αναλογία της ανακύκλωσης από παλαιά απορρίμματα προς τη ζήτηση στην ΕΕ για μια ορισμένη πρώτη ύλη. Η ζήτηση ισούται με το άθροισμα των εισροών πρωτογενούς και δευτερογενούς προμήθειας του υλικού στην ΕΕ.</w:t>
      </w:r>
    </w:p>
    <w:p>
      <w:pPr>
        <w:spacing w:before="120" w:after="120" w:line="240" w:lineRule="auto"/>
        <w:jc w:val="both"/>
        <w:rPr>
          <w:rFonts w:ascii="Times New Roman" w:hAnsi="Times New Roman"/>
          <w:noProof/>
          <w:color w:val="000000"/>
          <w:sz w:val="24"/>
        </w:rPr>
      </w:pPr>
      <w:r>
        <w:rPr>
          <w:rFonts w:ascii="Times New Roman" w:hAnsi="Times New Roman"/>
          <w:noProof/>
          <w:color w:val="000000"/>
          <w:sz w:val="24"/>
        </w:rPr>
        <w:t xml:space="preserve">Πηγή: συντάχθηκε με βάση την τελική έκθεση της μελέτης σχετικά με την επανεξέταση του καταλόγου πρώτων υλών κρίσιμης σημασίας για το 2017.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705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Σύμφωνα με το κέντρο VDI για την αποδοτική χρήση των πόρων (VDI ZRE), τα υλικά αποτελούν τον κύριο παράγοντα κόστους στον μεταποιητικό τομέα (44 %, έναντι 18 % για την εργασία, 3 % για τους φόρους και 2 % για την ενέργεια). </w:t>
      </w:r>
    </w:p>
  </w:footnote>
  <w:footnote w:id="2">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Ανακοίνωση της Επιτροπής «</w:t>
      </w:r>
      <w:r>
        <w:rPr>
          <w:rFonts w:ascii="Times New Roman" w:hAnsi="Times New Roman"/>
          <w:i/>
        </w:rPr>
        <w:t>Επενδύοντας στην έξυπνη, καινοτόμο και βιώσιμη βιομηχανία: μια ανανεωμένη στρατηγική για τη βιομηχανική πολιτική της ΕΕ</w:t>
      </w:r>
      <w:r>
        <w:rPr>
          <w:rFonts w:ascii="Times New Roman" w:hAnsi="Times New Roman"/>
        </w:rPr>
        <w:t>» [COM(2017) 479]</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Ανακοίνωση της Επιτροπής «</w:t>
      </w:r>
      <w:r>
        <w:rPr>
          <w:rFonts w:ascii="Times New Roman" w:hAnsi="Times New Roman"/>
          <w:i/>
        </w:rPr>
        <w:t>Το κλείσιμο του κύκλου – Ένα σχέδιο δράσης της ΕΕ για την κυκλική οικονομία</w:t>
      </w:r>
      <w:r>
        <w:rPr>
          <w:rFonts w:ascii="Times New Roman" w:hAnsi="Times New Roman"/>
        </w:rPr>
        <w:t>» [COM(2015) 614]</w:t>
      </w:r>
    </w:p>
  </w:footnote>
  <w:footnote w:id="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Πρόταση της Επιτροπής για κανονισμό του Ευρωπαϊκού Κοινοβουλίου και του Συμβουλίου για τη θέσπιση πλαισίου για τη διαλογή των άμεσων ξένων επενδύσεων στην Ευρωπαϊκή Ένωση [COM(2017) 487]</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Ανακοίνωση της Επιτροπής «</w:t>
      </w:r>
      <w:hyperlink r:id="rId1">
        <w:r>
          <w:rPr>
            <w:rFonts w:ascii="Times New Roman" w:hAnsi="Times New Roman"/>
            <w:i/>
          </w:rPr>
          <w:t>Η αντιμετώπιση των προκλήσεων που αφορούν τις αγορές βασικών εμπορευμάτων και τις πρώτες ύλες</w:t>
        </w:r>
      </w:hyperlink>
      <w:r>
        <w:t>» [COM(2011) 25]</w:t>
      </w:r>
    </w:p>
  </w:footnote>
  <w:footnote w:id="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Ανακοίνωση της Επιτροπής «</w:t>
      </w:r>
      <w:r>
        <w:rPr>
          <w:rFonts w:ascii="Times New Roman" w:hAnsi="Times New Roman"/>
          <w:i/>
        </w:rPr>
        <w:t>Σχετικά με την επανεξέταση του καταλόγου πρώτων υλών κρίσιμης σημασίας για την ΕΕ και την εφαρμογή της πρωτοβουλίας για τις πρώτες ύλες</w:t>
      </w:r>
      <w:r>
        <w:rPr>
          <w:rFonts w:ascii="Times New Roman" w:hAnsi="Times New Roman"/>
        </w:rPr>
        <w:t>» [COM(2014) 297]</w:t>
      </w:r>
    </w:p>
  </w:footnote>
  <w:footnote w:id="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eastAsiaTheme="minorHAnsi" w:hAnsi="Times New Roman"/>
          <w:i/>
        </w:rPr>
        <w:t>Έκθεση σχετικά με τις πρώτες ύλες κρίσιμης σημασίας για την ΕΕ</w:t>
      </w:r>
      <w:r>
        <w:rPr>
          <w:rFonts w:ascii="Times New Roman" w:hAnsi="Times New Roman"/>
        </w:rPr>
        <w:t>: Αναφορά της ειδικής ομάδας εργασίας για τον προσδιορισμό των πρώτων υλών κρίσιμης σημασίας, Μάιος 2014</w:t>
      </w:r>
    </w:p>
  </w:footnote>
  <w:footnote w:id="8">
    <w:p>
      <w:pPr>
        <w:pStyle w:val="DocumentTitle"/>
        <w:spacing w:after="120"/>
        <w:jc w:val="both"/>
        <w:rPr>
          <w:rFonts w:ascii="Times New Roman" w:hAnsi="Times New Roman"/>
          <w:b w:val="0"/>
          <w:sz w:val="20"/>
          <w:lang w:val="en-GB"/>
        </w:rPr>
      </w:pPr>
      <w:r>
        <w:rPr>
          <w:rStyle w:val="FootnoteReference"/>
          <w:rFonts w:ascii="Times New Roman" w:hAnsi="Times New Roman"/>
          <w:b w:val="0"/>
          <w:sz w:val="20"/>
        </w:rPr>
        <w:footnoteRef/>
      </w:r>
      <w:r>
        <w:rPr>
          <w:rFonts w:ascii="Times New Roman" w:hAnsi="Times New Roman"/>
          <w:b w:val="0"/>
          <w:sz w:val="20"/>
        </w:rPr>
        <w:t xml:space="preserve"> Βλέπε: </w:t>
      </w:r>
      <w:r>
        <w:rPr>
          <w:rFonts w:ascii="Times New Roman" w:hAnsi="Times New Roman"/>
          <w:b w:val="0"/>
          <w:i/>
          <w:sz w:val="20"/>
        </w:rPr>
        <w:t>Methodology for establishing the EU List of Critical Raw Materials</w:t>
      </w:r>
      <w:r>
        <w:rPr>
          <w:rFonts w:ascii="Times New Roman" w:hAnsi="Times New Roman"/>
          <w:b w:val="0"/>
          <w:sz w:val="20"/>
        </w:rPr>
        <w:t>, 2017, ISBN 978-92-79-68051-9</w:t>
      </w:r>
    </w:p>
  </w:footnote>
  <w:footnote w:id="9">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Αβιοτικά: αδρανή υλικά, βισμούθιο, ήλιο, μόλυβδος, φωσφόρος, θείο· βιοτικά: φυσικός φελλός, φυσική ξυλεία teak, ξυλεία Sapele.</w:t>
      </w:r>
    </w:p>
  </w:footnote>
  <w:footnote w:id="10">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Ο άνθρακας οπτανθρακοποίησης, ωστόσο, που περιλαμβανόταν στον κατάλογο των πρώτων υλών κρίσιμης σημασίας για την ΕΕ από το 2014, θεωρείται οριακή περίπτωση. Βρίσκεται ελάχιστα εκτός του ορίου οικονομικής σημασίας αλλά, για λόγους σύνεσης, συμπεριλαμβάνεται στον κατάλογο πρώτων υλών κρίσιμης σημασίας για την ΕΕ και ως εκ τούτου συμπεριλαμβάνεται στον πίνακα. Εάν όμως δεν καλύψει πλήρως τα κριτήρια, δεν θα συμπεριληφθεί στον επόμενο κατάλογο.</w:t>
      </w:r>
    </w:p>
  </w:footnote>
  <w:footnote w:id="11">
    <w:p>
      <w:pPr>
        <w:pStyle w:val="FootnoteText"/>
        <w:spacing w:after="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Δυσπρόσιο, έρβιο, ευρώπιο, γαδολίνιο, όλμιο, λουτέκιο, τέρβιο, θούλιο, υττέρβιο, ύττριο</w:t>
      </w:r>
    </w:p>
  </w:footnote>
  <w:footnote w:id="12">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Λανθάνιο, δημήτριο, πρασεοδύμιο, νεοδύμιο, σαμάριο</w:t>
      </w:r>
    </w:p>
  </w:footnote>
  <w:footnote w:id="13">
    <w:p>
      <w:pPr>
        <w:pStyle w:val="FootnoteText"/>
        <w:spacing w:after="0"/>
        <w:rPr>
          <w:lang w:val="en-US"/>
        </w:rPr>
      </w:pPr>
      <w:r>
        <w:rPr>
          <w:rStyle w:val="FootnoteReference"/>
          <w:rFonts w:ascii="Times New Roman" w:hAnsi="Times New Roman"/>
        </w:rPr>
        <w:footnoteRef/>
      </w:r>
      <w:r>
        <w:rPr>
          <w:rFonts w:ascii="Times New Roman" w:hAnsi="Times New Roman"/>
        </w:rPr>
        <w:t xml:space="preserve"> Παλλάδιο, λευκόχρυσος, ρόδιο, ρουθήνιο, ιρίδιο</w:t>
      </w:r>
    </w:p>
  </w:footnote>
  <w:footnote w:id="14">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Η εξάρτηση της ΕΕ από εισαγωγές για το βηρύλλιο δεν μπορεί να υπολογιστεί επειδή εντός της ΕΕ δεν πραγματοποιείται παραγωγή ή εμπόριο μεταλλευμάτων και εμπλουτισμένων μεταλλευμάτων βηρυλλίου</w:t>
      </w:r>
    </w:p>
  </w:footnote>
  <w:footnote w:id="15">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Το γάλλιο είναι ένα υποπροϊόν· τα βέλτιστα διαθέσιμα στοιχεία αφορούν την παραγωγική ικανότητα και όχι την παραγωγή αυτή καθεαυτή.</w:t>
      </w:r>
    </w:p>
  </w:footnote>
  <w:footnote w:id="16">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Το ταντάλιο καλύπτεται από τον κανονισμό περί ορυκτών από περιοχές συγκρούσεων [κανονισμός (ΕΕ) 2017/821], με τον οποίο θεσπίζεται ενωσιακό σύστημα για τη δέουσα επιμέλεια στην αλυσίδα εφοδιασμού προκειμένου να περιοριστούν οι δυνατότητες ενόπλων ομάδων και δυνάμεων ασφαλείας να εμπορεύονται κασσίτερο, ταντάλιο και βολφράμιο και μεταλλεύματα αυτών, ή χρυσό.</w:t>
      </w:r>
    </w:p>
  </w:footnote>
  <w:footnote w:id="17">
    <w:p>
      <w:pPr>
        <w:pStyle w:val="FootnoteText"/>
        <w:jc w:val="both"/>
      </w:pPr>
      <w:r>
        <w:rPr>
          <w:rStyle w:val="FootnoteReference"/>
        </w:rPr>
        <w:footnoteRef/>
      </w:r>
      <w:r>
        <w:t xml:space="preserve"> </w:t>
      </w:r>
      <w:r>
        <w:rPr>
          <w:rFonts w:ascii="Times New Roman" w:hAnsi="Times New Roman"/>
        </w:rPr>
        <w:t>Το βολφράμιο καλύπτεται από τον κανονισμό περί ορυκτών από περιοχές συγκρούσεων [κανονισμός (ΕΕ) 2017/821], με τον οποίο θεσπίζεται ενωσιακό σύστημα για τη δέουσα επιμέλεια στην αλυσίδα εφοδιασμού προκειμένου να περιοριστούν οι δυνατότητες ενόπλων ομάδων και δυνάμεων ασφαλείας να εμπορεύονται κασσίτερο, ταντάλιο και βολφράμιο και μεταλλεύματα αυτών, ή χρυσό.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2BAF"/>
    <w:multiLevelType w:val="hybridMultilevel"/>
    <w:tmpl w:val="244AAC4C"/>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5D3E5E06"/>
    <w:multiLevelType w:val="hybridMultilevel"/>
    <w:tmpl w:val="FE56B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E244B34"/>
    <w:multiLevelType w:val="hybridMultilevel"/>
    <w:tmpl w:val="A6A4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E1EB838718F4694AA9316DBA0514268"/>
    <w:docVar w:name="LW_CROSSREFERENCE" w:val="&lt;UNUSED&gt;"/>
    <w:docVar w:name="LW_DocType" w:val="NORMAL"/>
    <w:docVar w:name="LW_EMISSION" w:val="13.9.2017"/>
    <w:docVar w:name="LW_EMISSION_ISODATE" w:val="2017-09-13"/>
    <w:docVar w:name="LW_EMISSION_LOCATION" w:val="BRX"/>
    <w:docVar w:name="LW_EMISSION_PREFIX" w:val="Βρυξέλλες, "/>
    <w:docVar w:name="LW_EMISSION_SUFFIX" w:val=" "/>
    <w:docVar w:name="LW_ID_DOCTYPE_NONLW" w:val="CP-014"/>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7) 490"/>
    <w:docVar w:name="LW_REF.INTERNE" w:val="&lt;UNUSED&gt;"/>
    <w:docVar w:name="LW_SOUS.TITRE.OBJ.CP" w:val="&lt;UNUSED&gt;"/>
    <w:docVar w:name="LW_SUPERTITRE" w:val="&lt;UNUSED&gt;"/>
    <w:docVar w:name="LW_TITRE.OBJ.CP" w:val="\u963?\u967?\u949?\u964?\u953?\u954?\u940? \u956?\u949? \u964?\u959?\u957? \u954?\u945?\u964?\u940?\u955?\u959?\u947?\u959? \u960?\u961?\u974?\u964?\u969?\u957? \u965?\u955?\u974?\u957? \u954?\u961?\u943?\u963?\u953?\u956?\u951?\u962? \u963?\u951?\u956?\u945?\u963?\u943?\u945?\u962? \u947?\u953?\u945? \u964?\u951?\u957? \u917?\u917?, \u947?\u953?\u945? \u964?\u959? 2017"/>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link w:val="FootnotesymbolCarZchn"/>
    <w:uiPriority w:val="99"/>
    <w:unhideWhenUsed/>
    <w:qFormat/>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es,Resume Title,Citation List,Ha,Body"/>
    <w:basedOn w:val="Normal"/>
    <w:link w:val="ListParagraphChar"/>
    <w:uiPriority w:val="34"/>
    <w:qFormat/>
    <w:pPr>
      <w:spacing w:after="160" w:line="252" w:lineRule="auto"/>
      <w:ind w:left="720"/>
      <w:contextualSpacing/>
    </w:pPr>
    <w:rPr>
      <w:rFonts w:ascii="Verdana" w:eastAsiaTheme="minorHAnsi" w:hAnsi="Verdana"/>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Pr>
      <w:rFonts w:ascii="Verdana" w:hAnsi="Verdana" w:cs="Times New Roman"/>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b/>
      <w:sz w:val="52"/>
      <w:szCs w:val="20"/>
    </w:rPr>
  </w:style>
  <w:style w:type="character" w:customStyle="1" w:styleId="DocumentTitleChar">
    <w:name w:val="Document Title Char"/>
    <w:link w:val="DocumentTitle"/>
    <w:rPr>
      <w:rFonts w:ascii="Verdana" w:eastAsia="Times New Roman" w:hAnsi="Verdana" w:cs="Times New Roman"/>
      <w:b/>
      <w:sz w:val="52"/>
      <w:szCs w:val="20"/>
      <w:lang w:val="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link w:val="FootnotesymbolCarZchn"/>
    <w:uiPriority w:val="99"/>
    <w:unhideWhenUsed/>
    <w:qFormat/>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es,Resume Title,Citation List,Ha,Body"/>
    <w:basedOn w:val="Normal"/>
    <w:link w:val="ListParagraphChar"/>
    <w:uiPriority w:val="34"/>
    <w:qFormat/>
    <w:pPr>
      <w:spacing w:after="160" w:line="252" w:lineRule="auto"/>
      <w:ind w:left="720"/>
      <w:contextualSpacing/>
    </w:pPr>
    <w:rPr>
      <w:rFonts w:ascii="Verdana" w:eastAsiaTheme="minorHAnsi" w:hAnsi="Verdana"/>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Pr>
      <w:rFonts w:ascii="Verdana" w:hAnsi="Verdana" w:cs="Times New Roman"/>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b/>
      <w:sz w:val="52"/>
      <w:szCs w:val="20"/>
    </w:rPr>
  </w:style>
  <w:style w:type="character" w:customStyle="1" w:styleId="DocumentTitleChar">
    <w:name w:val="Document Title Char"/>
    <w:link w:val="DocumentTitle"/>
    <w:rPr>
      <w:rFonts w:ascii="Verdana" w:eastAsia="Times New Roman" w:hAnsi="Verdana" w:cs="Times New Roman"/>
      <w:b/>
      <w:sz w:val="52"/>
      <w:szCs w:val="20"/>
      <w:lang w:val="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52011DC0025&amp;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7056-EE8A-4F1E-B225-69BEFE7A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2371</Words>
  <Characters>11642</Characters>
  <Application>Microsoft Office Word</Application>
  <DocSecurity>0</DocSecurity>
  <Lines>612</Lines>
  <Paragraphs>483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2017-09-07T11:51:00Z</cp:lastPrinted>
  <dcterms:created xsi:type="dcterms:W3CDTF">2017-09-12T06:26:00Z</dcterms:created>
  <dcterms:modified xsi:type="dcterms:W3CDTF">2017-09-18T07:56:00Z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