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B2B08EA8527C46BF958427EE859838F0" style="width:449.85pt;height:408.95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code="9"/>
          <w:pgMar w:top="1134" w:right="1417" w:bottom="1134" w:left="1417" w:header="709" w:footer="709" w:gutter="0"/>
          <w:pgNumType w:start="1"/>
          <w:cols w:space="720"/>
          <w:docGrid w:linePitch="360"/>
        </w:sectPr>
      </w:pPr>
    </w:p>
    <w:p>
      <w:pPr>
        <w:pStyle w:val="Pagedecouverture"/>
        <w:rPr>
          <w:noProof/>
        </w:rPr>
      </w:pPr>
      <w:bookmarkStart w:id="1" w:name="_GoBack"/>
      <w:bookmarkEnd w:id="1"/>
    </w:p>
    <w:tbl>
      <w:tblPr>
        <w:tblStyle w:val="TableGrid"/>
        <w:tblW w:w="10188" w:type="dxa"/>
        <w:tblLook w:val="01E0" w:firstRow="1" w:lastRow="1" w:firstColumn="1" w:lastColumn="1" w:noHBand="0" w:noVBand="0"/>
      </w:tblPr>
      <w:tblGrid>
        <w:gridCol w:w="10188"/>
      </w:tblGrid>
      <w:tr>
        <w:tc>
          <w:tcPr>
            <w:tcW w:w="10188" w:type="dxa"/>
            <w:tcBorders>
              <w:bottom w:val="single" w:sz="4" w:space="0" w:color="auto"/>
            </w:tcBorders>
            <w:shd w:val="clear" w:color="auto" w:fill="CCCCCC"/>
          </w:tcPr>
          <w:p>
            <w:pPr>
              <w:spacing w:before="60" w:after="60"/>
              <w:jc w:val="center"/>
              <w:rPr>
                <w:rFonts w:ascii="Tahoma" w:hAnsi="Tahoma" w:cs="Tahoma"/>
                <w:b/>
                <w:noProof/>
                <w:sz w:val="22"/>
                <w:szCs w:val="22"/>
                <w:lang w:val="el-GR" w:eastAsia="el-GR" w:bidi="el-GR"/>
              </w:rPr>
            </w:pPr>
            <w:r>
              <w:rPr>
                <w:noProof/>
              </w:rPr>
              <w:br w:type="page"/>
            </w:r>
            <w:r>
              <w:rPr>
                <w:rFonts w:ascii="Tahoma" w:hAnsi="Tahoma"/>
                <w:b/>
                <w:noProof/>
                <w:sz w:val="22"/>
              </w:rPr>
              <w:t>Δελτίο συνοπτικής παρουσίασης</w:t>
            </w:r>
          </w:p>
        </w:tc>
      </w:tr>
      <w:tr>
        <w:tc>
          <w:tcPr>
            <w:tcW w:w="10188" w:type="dxa"/>
            <w:tcBorders>
              <w:top w:val="single" w:sz="4" w:space="0" w:color="auto"/>
              <w:left w:val="single" w:sz="4" w:space="0" w:color="auto"/>
              <w:bottom w:val="single" w:sz="4" w:space="0" w:color="auto"/>
              <w:right w:val="single" w:sz="4" w:space="0" w:color="auto"/>
            </w:tcBorders>
            <w:shd w:val="clear" w:color="auto" w:fill="4F81BD" w:themeFill="accent1"/>
          </w:tcPr>
          <w:p>
            <w:pPr>
              <w:spacing w:before="120" w:after="120"/>
              <w:jc w:val="center"/>
              <w:rPr>
                <w:rFonts w:ascii="Tahoma" w:hAnsi="Tahoma" w:cs="Tahoma"/>
                <w:noProof/>
                <w:sz w:val="20"/>
                <w:szCs w:val="20"/>
                <w:lang w:val="el-GR" w:eastAsia="el-GR" w:bidi="el-GR"/>
              </w:rPr>
            </w:pPr>
            <w:r>
              <w:rPr>
                <w:rFonts w:ascii="Tahoma" w:hAnsi="Tahoma"/>
                <w:noProof/>
                <w:color w:val="FFFFFF" w:themeColor="background1"/>
                <w:sz w:val="20"/>
                <w:lang w:val="el-GR"/>
              </w:rPr>
              <w:t>Εκτίμηση επιπτώσεων της πρότασης κανονισμού σχετικά με την αμοιβαία αναγνώριση των αποφάσεων δέσμευσης και δήμευσης</w:t>
            </w:r>
          </w:p>
        </w:tc>
      </w:tr>
      <w:tr>
        <w:tc>
          <w:tcPr>
            <w:tcW w:w="10188" w:type="dxa"/>
            <w:tcBorders>
              <w:bottom w:val="single" w:sz="4" w:space="0" w:color="auto"/>
            </w:tcBorders>
            <w:shd w:val="clear" w:color="auto" w:fill="CCCCCC"/>
          </w:tcPr>
          <w:p>
            <w:pPr>
              <w:spacing w:before="60" w:after="60"/>
              <w:jc w:val="center"/>
              <w:rPr>
                <w:rFonts w:ascii="Tahoma" w:hAnsi="Tahoma" w:cs="Tahoma"/>
                <w:b/>
                <w:noProof/>
                <w:sz w:val="23"/>
                <w:szCs w:val="23"/>
                <w:lang w:val="el-GR" w:eastAsia="el-GR" w:bidi="el-GR"/>
              </w:rPr>
            </w:pPr>
            <w:r>
              <w:rPr>
                <w:rFonts w:ascii="Tahoma" w:hAnsi="Tahoma"/>
                <w:b/>
                <w:noProof/>
                <w:sz w:val="23"/>
              </w:rPr>
              <w:t>Α. Ανάγκη ανάληψης δράσης</w:t>
            </w:r>
          </w:p>
        </w:tc>
      </w:tr>
      <w:tr>
        <w:tc>
          <w:tcPr>
            <w:tcW w:w="10188" w:type="dxa"/>
            <w:tcBorders>
              <w:bottom w:val="single" w:sz="4" w:space="0" w:color="auto"/>
            </w:tcBorders>
            <w:shd w:val="clear" w:color="auto" w:fill="E0E0E0"/>
          </w:tcPr>
          <w:p>
            <w:pPr>
              <w:spacing w:before="60" w:after="60"/>
              <w:jc w:val="both"/>
              <w:rPr>
                <w:rFonts w:ascii="Tahoma" w:hAnsi="Tahoma" w:cs="Tahoma"/>
                <w:noProof/>
                <w:sz w:val="23"/>
                <w:szCs w:val="23"/>
                <w:lang w:val="el-GR" w:eastAsia="el-GR" w:bidi="el-GR"/>
              </w:rPr>
            </w:pPr>
            <w:r>
              <w:rPr>
                <w:rFonts w:ascii="Tahoma" w:hAnsi="Tahoma"/>
                <w:b/>
                <w:noProof/>
                <w:sz w:val="23"/>
                <w:lang w:val="el-GR"/>
              </w:rPr>
              <w:t xml:space="preserve">Γιατί; Ποιο είναι το πρόβλημα που εξετάζεται; </w:t>
            </w:r>
          </w:p>
        </w:tc>
      </w:tr>
      <w:tr>
        <w:tc>
          <w:tcPr>
            <w:tcW w:w="10188" w:type="dxa"/>
            <w:tcBorders>
              <w:bottom w:val="single" w:sz="4" w:space="0" w:color="auto"/>
            </w:tcBorders>
            <w:shd w:val="clear" w:color="auto" w:fill="auto"/>
          </w:tcPr>
          <w:p>
            <w:pPr>
              <w:jc w:val="both"/>
              <w:rPr>
                <w:noProof/>
                <w:lang w:val="el-GR" w:eastAsia="el-GR" w:bidi="el-GR"/>
              </w:rPr>
            </w:pPr>
            <w:r>
              <w:rPr>
                <w:noProof/>
                <w:lang w:val="el-GR"/>
              </w:rPr>
              <w:t xml:space="preserve">Το ισχύον νομικό πλαίσιο για την ανάκτηση περιουσιακών στοιχείων εγκληματικής προέλευσης στο εσωτερικό της ΕΕ δεν αντιμετωπίζει αποτελεσματικά τις περιπτώσεις κατά τις οποίες οι εγκληματίες αποκρύπτουν περιουσιακά τους στοιχεία σε άλλα κράτη μέλη. Ελάχιστες μόνο αποφάσεις δέσμευσης και δήμευσης εκτελούνται σε άλλα κράτη μέλη. Ως εκ τούτου, τα περιουσιακά στοιχεία εγκληματικής προέλευσης που δεσμεύονται και δημεύονται στο σύνολο της ΕΕ είναι πενιχρά, γεγονός το οποίο επιτρέπει στους εγκληματίες να εκμεταλλεύονται τα παράνομα κέρδη τους. </w:t>
            </w:r>
            <w:r>
              <w:rPr>
                <w:noProof/>
                <w:color w:val="000000"/>
                <w:lang w:val="el-GR"/>
              </w:rPr>
              <w:t xml:space="preserve">Έχουν προσδιοριστεί διάφοροι λόγοι στους οποίους οφείλεται η περιορισμένη χρήση των δύο αποφάσεων-πλαισίων. Ένα σημαντικό ζήτημα είναι ότι οι δύο ισχύουσες πράξεις αμοιβαίας αναγνώρισης δεν καλύπτουν πολλούς τύπους αποφάσεων δέσμευσης και δήμευσης που μπορούν να εκδοθούν σε εθνικό επίπεδο </w:t>
            </w:r>
            <w:r>
              <w:rPr>
                <w:noProof/>
                <w:lang w:val="el-GR"/>
              </w:rPr>
              <w:t>(κυρίως όσον αφορά τη μη βασιζόμενη σε καταδίκη δήμευση, αλλά και την εκτεταμένη δήμευση και τη δήμευση εις χείρας τρίτου)</w:t>
            </w:r>
            <w:r>
              <w:rPr>
                <w:noProof/>
                <w:color w:val="000000"/>
                <w:lang w:val="el-GR"/>
              </w:rPr>
              <w:t>. Επιπλέον, οι υφιστάμενες διαδικασίες και τα απαιτούμενα πιστοποιητικά είναι αδικαιολόγητα περίπλοκα και αναποτελεσματικά. Εκτός από τα προαναφερθέντα προβλήματα, οι ισχύουσες πράξεις δεν περιέχουν διατάξεις σχετικά με την αποζημίωση ή την αποκατάσταση των θυμάτων.</w:t>
            </w:r>
          </w:p>
        </w:tc>
      </w:tr>
      <w:tr>
        <w:tc>
          <w:tcPr>
            <w:tcW w:w="10188" w:type="dxa"/>
            <w:tcBorders>
              <w:bottom w:val="single" w:sz="4" w:space="0" w:color="auto"/>
            </w:tcBorders>
            <w:shd w:val="clear" w:color="auto" w:fill="E6E6E6"/>
          </w:tcPr>
          <w:p>
            <w:pPr>
              <w:spacing w:before="60" w:after="60"/>
              <w:jc w:val="both"/>
              <w:rPr>
                <w:rFonts w:ascii="Tahoma" w:hAnsi="Tahoma" w:cs="Tahoma"/>
                <w:noProof/>
                <w:sz w:val="23"/>
                <w:szCs w:val="23"/>
                <w:lang w:val="el-GR" w:eastAsia="el-GR" w:bidi="el-GR"/>
              </w:rPr>
            </w:pPr>
            <w:r>
              <w:rPr>
                <w:rFonts w:ascii="Tahoma" w:hAnsi="Tahoma"/>
                <w:b/>
                <w:noProof/>
                <w:sz w:val="23"/>
                <w:lang w:val="el-GR"/>
              </w:rPr>
              <w:t xml:space="preserve">Τι αναμένεται να επιτευχθεί με την παρούσα πρωτοβουλία; </w:t>
            </w:r>
          </w:p>
        </w:tc>
      </w:tr>
      <w:tr>
        <w:tc>
          <w:tcPr>
            <w:tcW w:w="10188" w:type="dxa"/>
            <w:tcBorders>
              <w:bottom w:val="single" w:sz="4" w:space="0" w:color="auto"/>
            </w:tcBorders>
            <w:shd w:val="clear" w:color="auto" w:fill="auto"/>
          </w:tcPr>
          <w:p>
            <w:pPr>
              <w:widowControl w:val="0"/>
              <w:autoSpaceDE w:val="0"/>
              <w:autoSpaceDN w:val="0"/>
              <w:adjustRightInd w:val="0"/>
              <w:spacing w:before="60" w:after="60"/>
              <w:jc w:val="both"/>
              <w:rPr>
                <w:noProof/>
                <w:lang w:val="el-GR"/>
              </w:rPr>
            </w:pPr>
            <w:r>
              <w:rPr>
                <w:b/>
                <w:noProof/>
                <w:lang w:val="el-GR"/>
              </w:rPr>
              <w:t>Οι γενικοί στόχοι</w:t>
            </w:r>
            <w:r>
              <w:rPr>
                <w:noProof/>
                <w:lang w:val="el-GR"/>
              </w:rPr>
              <w:t xml:space="preserve"> της πρότασης είναι οι εξής:</w:t>
            </w:r>
          </w:p>
          <w:p>
            <w:pPr>
              <w:widowControl w:val="0"/>
              <w:autoSpaceDE w:val="0"/>
              <w:autoSpaceDN w:val="0"/>
              <w:adjustRightInd w:val="0"/>
              <w:spacing w:before="60" w:after="60"/>
              <w:jc w:val="both"/>
              <w:rPr>
                <w:noProof/>
                <w:lang w:val="el-GR"/>
              </w:rPr>
            </w:pPr>
            <w:r>
              <w:rPr>
                <w:noProof/>
                <w:lang w:val="el-GR"/>
              </w:rPr>
              <w:t>1. δέσμευση και δήμευση περισσότερων περιουσιακών στοιχείων που προέρχονται από εγκληματικές δραστηριότητες σε διασυνοριακές υποθέσεις, με σκοπό την πρόληψη και την καταπολέμηση του εγκλήματος, συμπεριλαμβανομένης της τρομοκρατίας και του οργανωμένου εγκλήματος·</w:t>
            </w:r>
          </w:p>
          <w:p>
            <w:pPr>
              <w:widowControl w:val="0"/>
              <w:autoSpaceDE w:val="0"/>
              <w:autoSpaceDN w:val="0"/>
              <w:adjustRightInd w:val="0"/>
              <w:spacing w:before="60" w:after="60"/>
              <w:jc w:val="both"/>
              <w:rPr>
                <w:noProof/>
                <w:lang w:val="el-GR"/>
              </w:rPr>
            </w:pPr>
            <w:r>
              <w:rPr>
                <w:noProof/>
                <w:lang w:val="el-GR"/>
              </w:rPr>
              <w:t xml:space="preserve">2. ενίσχυση της προστασίας των δικαιωμάτων των θυμάτων σε διασυνοριακές υποθέσεις. </w:t>
            </w:r>
          </w:p>
          <w:p>
            <w:pPr>
              <w:widowControl w:val="0"/>
              <w:autoSpaceDE w:val="0"/>
              <w:autoSpaceDN w:val="0"/>
              <w:adjustRightInd w:val="0"/>
              <w:spacing w:before="60" w:after="60"/>
              <w:jc w:val="both"/>
              <w:rPr>
                <w:noProof/>
                <w:lang w:val="el-GR"/>
              </w:rPr>
            </w:pPr>
            <w:r>
              <w:rPr>
                <w:noProof/>
                <w:lang w:val="el-GR"/>
              </w:rPr>
              <w:t xml:space="preserve">Οι </w:t>
            </w:r>
            <w:r>
              <w:rPr>
                <w:b/>
                <w:noProof/>
                <w:lang w:val="el-GR"/>
              </w:rPr>
              <w:t>ειδικοί στόχοι</w:t>
            </w:r>
            <w:r>
              <w:rPr>
                <w:noProof/>
                <w:lang w:val="el-GR"/>
              </w:rPr>
              <w:t xml:space="preserve"> είναι οι εξής:</w:t>
            </w:r>
          </w:p>
          <w:p>
            <w:pPr>
              <w:widowControl w:val="0"/>
              <w:autoSpaceDE w:val="0"/>
              <w:autoSpaceDN w:val="0"/>
              <w:adjustRightInd w:val="0"/>
              <w:spacing w:before="60" w:after="60"/>
              <w:jc w:val="both"/>
              <w:rPr>
                <w:noProof/>
                <w:lang w:val="el-GR"/>
              </w:rPr>
            </w:pPr>
            <w:r>
              <w:rPr>
                <w:noProof/>
                <w:lang w:val="el-GR"/>
              </w:rPr>
              <w:t xml:space="preserve">1. βελτίωση της αμοιβαίας αναγνώρισης των αποφάσεων δέσμευσης και δήμευσης σε διασυνοριακές υποθέσεις με την επέκταση του πεδίου εφαρμογής της πράξης αμοιβαίας αναγνώρισης· </w:t>
            </w:r>
          </w:p>
          <w:p>
            <w:pPr>
              <w:widowControl w:val="0"/>
              <w:autoSpaceDE w:val="0"/>
              <w:autoSpaceDN w:val="0"/>
              <w:adjustRightInd w:val="0"/>
              <w:spacing w:before="60" w:after="60"/>
              <w:jc w:val="both"/>
              <w:rPr>
                <w:noProof/>
                <w:lang w:val="el-GR"/>
              </w:rPr>
            </w:pPr>
            <w:r>
              <w:rPr>
                <w:noProof/>
                <w:lang w:val="el-GR"/>
              </w:rPr>
              <w:t xml:space="preserve">2. απλούστευση και επιτάχυνση των διαδικασιών και της έκδοσης πιστοποιητικών· </w:t>
            </w:r>
          </w:p>
          <w:p>
            <w:pPr>
              <w:rPr>
                <w:noProof/>
                <w:lang w:val="el-GR" w:eastAsia="el-GR" w:bidi="el-GR"/>
              </w:rPr>
            </w:pPr>
            <w:r>
              <w:rPr>
                <w:noProof/>
                <w:lang w:val="el-GR"/>
              </w:rPr>
              <w:t>3. αύξηση του αριθμού των θυμάτων που αποζημιώνονται σε διασυνοριακό επίπεδο.</w:t>
            </w:r>
            <w:r>
              <w:rPr>
                <w:noProof/>
                <w:sz w:val="23"/>
                <w:lang w:val="el-GR"/>
              </w:rPr>
              <w:t xml:space="preserve"> </w:t>
            </w:r>
          </w:p>
        </w:tc>
      </w:tr>
      <w:tr>
        <w:tc>
          <w:tcPr>
            <w:tcW w:w="10188" w:type="dxa"/>
            <w:tcBorders>
              <w:bottom w:val="single" w:sz="4" w:space="0" w:color="auto"/>
            </w:tcBorders>
            <w:shd w:val="clear" w:color="auto" w:fill="E6E6E6"/>
          </w:tcPr>
          <w:p>
            <w:pPr>
              <w:spacing w:before="60" w:after="60"/>
              <w:jc w:val="both"/>
              <w:rPr>
                <w:rFonts w:ascii="Tahoma" w:hAnsi="Tahoma" w:cs="Tahoma"/>
                <w:noProof/>
                <w:sz w:val="23"/>
                <w:szCs w:val="23"/>
                <w:highlight w:val="yellow"/>
                <w:lang w:val="el-GR" w:eastAsia="el-GR" w:bidi="el-GR"/>
              </w:rPr>
            </w:pPr>
            <w:r>
              <w:rPr>
                <w:rFonts w:ascii="Tahoma" w:hAnsi="Tahoma"/>
                <w:b/>
                <w:noProof/>
                <w:sz w:val="23"/>
                <w:lang w:val="el-GR"/>
              </w:rPr>
              <w:t>Ποια είναι η προστιθέμενη αξία της δράσης σε επίπεδο ΕΕ;</w:t>
            </w:r>
            <w:r>
              <w:rPr>
                <w:rFonts w:ascii="Tahoma" w:hAnsi="Tahoma"/>
                <w:noProof/>
                <w:sz w:val="23"/>
                <w:lang w:val="el-GR"/>
              </w:rPr>
              <w:t xml:space="preserve"> </w:t>
            </w:r>
          </w:p>
        </w:tc>
      </w:tr>
      <w:tr>
        <w:tc>
          <w:tcPr>
            <w:tcW w:w="10188" w:type="dxa"/>
            <w:tcBorders>
              <w:bottom w:val="single" w:sz="4" w:space="0" w:color="auto"/>
            </w:tcBorders>
            <w:shd w:val="clear" w:color="auto" w:fill="auto"/>
          </w:tcPr>
          <w:p>
            <w:pPr>
              <w:jc w:val="both"/>
              <w:rPr>
                <w:noProof/>
                <w:sz w:val="23"/>
                <w:szCs w:val="23"/>
                <w:highlight w:val="yellow"/>
                <w:lang w:val="el-GR" w:eastAsia="el-GR" w:bidi="el-GR"/>
              </w:rPr>
            </w:pPr>
            <w:r>
              <w:rPr>
                <w:noProof/>
                <w:lang w:val="el-GR"/>
              </w:rPr>
              <w:t>Καθώς οι εγκληματίες συχνά κρύβουν τα περιουσιακά τους στοιχεία σε άλλα κράτη μέλη, η αποτελεσματική διασυνοριακή συνεργασία είναι εξαιρετικά σημαντική για τη δήμευση των προϊόντων του εγκλήματος. Η νομοθεσία της ΕΕ προβλέπει ήδη την αμοιβαία αναγνώριση των αποφάσεων δέσμευσης και δήμευσης. Ωστόσο, η νομοθεσία αυτή δεν αντανακλά τις πρόσφατες εξελίξεις στην εθνική νομοθεσία ορισμένων κρατών μελών ούτε την πρόσφατη νομοθεσία της ΕΕ σχετικά με τους κοινούς ελάχιστους κανόνες. Η υπό εξέταση πρόταση διευρύνει το πεδίο συνεργασίας και επεκτείνει το φάσμα των αποφάσεων δήμευσης που θα είναι εκτελεστές σε όλα τα κράτη μέλη.</w:t>
            </w:r>
            <w:r>
              <w:rPr>
                <w:noProof/>
                <w:sz w:val="23"/>
                <w:lang w:val="el-GR"/>
              </w:rPr>
              <w:t xml:space="preserve"> Θα προβλέπει επίσης την απλούστευση και την επιτάχυνση των διαδικασιών και της έκδοσης πιστοποιητικών. Επιπλέον, θα θεσπίζει ειδικούς κανόνες σχετικά με τη δυνατότητα των θυμάτων να αξιώσουν αποκατάσταση ή αποζημίωση σε διασυνοριακές υποθέσεις.</w:t>
            </w:r>
          </w:p>
        </w:tc>
      </w:tr>
      <w:tr>
        <w:tc>
          <w:tcPr>
            <w:tcW w:w="10188" w:type="dxa"/>
            <w:tcBorders>
              <w:bottom w:val="single" w:sz="4" w:space="0" w:color="auto"/>
            </w:tcBorders>
            <w:shd w:val="clear" w:color="auto" w:fill="CCCCCC"/>
          </w:tcPr>
          <w:p>
            <w:pPr>
              <w:spacing w:before="60" w:after="60"/>
              <w:jc w:val="center"/>
              <w:rPr>
                <w:rFonts w:ascii="Tahoma" w:hAnsi="Tahoma" w:cs="Tahoma"/>
                <w:b/>
                <w:noProof/>
                <w:sz w:val="23"/>
                <w:szCs w:val="23"/>
                <w:highlight w:val="yellow"/>
                <w:lang w:val="el-GR" w:eastAsia="el-GR" w:bidi="el-GR"/>
              </w:rPr>
            </w:pPr>
            <w:r>
              <w:rPr>
                <w:rFonts w:ascii="Tahoma" w:hAnsi="Tahoma"/>
                <w:b/>
                <w:noProof/>
                <w:sz w:val="23"/>
              </w:rPr>
              <w:t>Β. Λύσεις</w:t>
            </w:r>
          </w:p>
        </w:tc>
      </w:tr>
      <w:tr>
        <w:tc>
          <w:tcPr>
            <w:tcW w:w="10188" w:type="dxa"/>
            <w:tcBorders>
              <w:bottom w:val="single" w:sz="4" w:space="0" w:color="auto"/>
            </w:tcBorders>
            <w:shd w:val="clear" w:color="auto" w:fill="E6E6E6"/>
          </w:tcPr>
          <w:p>
            <w:pPr>
              <w:spacing w:before="60"/>
              <w:jc w:val="both"/>
              <w:rPr>
                <w:rFonts w:ascii="Tahoma" w:hAnsi="Tahoma" w:cs="Tahoma"/>
                <w:noProof/>
                <w:sz w:val="23"/>
                <w:szCs w:val="23"/>
                <w:highlight w:val="yellow"/>
                <w:lang w:val="el-GR" w:eastAsia="el-GR" w:bidi="el-GR"/>
              </w:rPr>
            </w:pPr>
            <w:r>
              <w:rPr>
                <w:rFonts w:ascii="Tahoma" w:hAnsi="Tahoma"/>
                <w:b/>
                <w:noProof/>
                <w:sz w:val="23"/>
                <w:lang w:val="el-GR"/>
              </w:rPr>
              <w:t>Ποιες νομοθετικές και μη νομοθετικές επιλογές πολιτικής έχουν εξεταστεί;</w:t>
            </w:r>
            <w:r>
              <w:rPr>
                <w:rFonts w:ascii="Tahoma" w:hAnsi="Tahoma"/>
                <w:noProof/>
                <w:sz w:val="23"/>
                <w:lang w:val="el-GR"/>
              </w:rPr>
              <w:t xml:space="preserve"> </w:t>
            </w:r>
            <w:r>
              <w:rPr>
                <w:rFonts w:ascii="Tahoma" w:hAnsi="Tahoma"/>
                <w:b/>
                <w:noProof/>
                <w:sz w:val="23"/>
              </w:rPr>
              <w:t xml:space="preserve">Υπάρχει προτιμώμενη επιλογή ή όχι; Γιατί; </w:t>
            </w:r>
          </w:p>
        </w:tc>
      </w:tr>
      <w:tr>
        <w:tc>
          <w:tcPr>
            <w:tcW w:w="10188" w:type="dxa"/>
            <w:tcBorders>
              <w:bottom w:val="single" w:sz="4" w:space="0" w:color="auto"/>
            </w:tcBorders>
            <w:shd w:val="clear" w:color="auto" w:fill="auto"/>
          </w:tcPr>
          <w:p>
            <w:pPr>
              <w:widowControl w:val="0"/>
              <w:autoSpaceDE w:val="0"/>
              <w:autoSpaceDN w:val="0"/>
              <w:adjustRightInd w:val="0"/>
              <w:jc w:val="both"/>
              <w:rPr>
                <w:noProof/>
                <w:lang w:val="el-GR"/>
              </w:rPr>
            </w:pPr>
            <w:r>
              <w:rPr>
                <w:noProof/>
                <w:lang w:val="el-GR"/>
              </w:rPr>
              <w:t>Εξετάστηκαν τέσσερις βασικές επιλογές πολιτικής: διατήρηση της ισχύουσας κατάστασης (επιλογή 1), μια επιλογή μη δεσμευτικού δικαίου (επιλογή 2) και δύο επιλογές ρυθμιστικής πολιτικής (επιλογές 3 και 4). Η διατήρηση της ισχύουσας κατάστασης θα συνεπαγόταν τη μη ανάληψη δράσης σε επίπεδο ΕΕ, ενώ οι άλλες τρεις εναλλακτικές επιλογές πολιτικής θα βελτίωναν, σε διαφορετικό βαθμό, τη δυνατότητα κατάσχεσης και δήμευσης των προϊόντων εγκλήματος σε διασυνοριακή βάση. Η επιλογή 2 (μη νομοθετική δράση / μη δεσμευτικό δίκαιο) θα υποστήριζε την αμοιβαία αναγνώριση των αποφάσεων δέσμευσης και δήμευσης μέσω, π.χ., της κατάρτισης και της διάδοσης βέλτιστων πρακτικών, καθώς και με την εντατικότερη χρήση διεθνών πράξεων για την προώθηση των διασυνοριακών κατασχέσεων και δημεύσεων. Ωστόσο, οι αναμενόμενες επιπτώσεις της θα ήταν μάλλον περιορισμένες και ορισμένα κράτη μέλη της ΕΕ θα εξακολουθούσαν να μην έχουν τη δυνατότητα να ανταποκριθούν σε ορισμένα αιτήματα άλλων κρατών μελών. Οι επιλογές 3 και 4 (νομοθετική δράση που προβλέπει ελάχιστες έως υψηλού επιπέδου υποχρεώσεις) θα συνεπάγονταν την υποχρέωση αναγνώρισης και εκτέλεσης ορισμένων αποφάσεων δέσμευσης και δήμευσης περιουσιακών στοιχείων εγκληματικής προέλευσης. Η επιλογή 3 θα καθιστούσε υποχρεωτική την αναγνώριση μόνο των αποφάσεων δέσμευσης και δήμευσης που προβλέπονται στην οδηγία 2014/42/ΕΕ. Η επιλογή 4 θα καθιστούσε υποχρεωτική την αναγνώριση των αποφάσεων μη βασιζόμενης σε καταδίκη δήμευσης. Η επιμέρους επιλογή 4α (μέση επιλογή) θα υπερέβαινε την επιλογή 3 και θα κάλυπτε όλους τους τύπους δήμευσης στο πλαίσιο ποινικών διαδικασιών, συμπεριλαμβανομένης της δήμευσης που δεν βασίζεται σε ποινική καταδίκη. Η επιμέρους επιλογή 4β (μέγιστη επιλογή) θα περιλάμβανε, επίσης, αστικές ή διοικητικές μορφές μη βασιζόμενης σε καταδίκη δήμευσης. Η προτιμώμενη επιλογή είναι η επιμέρους επιλογή 4α, δεδομένου ότι προβλέπει μια νέα πράξη αμοιβαίας αναγνώρισης με διευρυμένο πεδίο εφαρμογής που καλύπτει όλους τους τύπους των αποφάσεων δέσμευσης και δήμευσης οι οποίες έχουν εκδοθεί στο πλαίσιο ποινικών διαδικασιών. Με αυτόν τον τρόπο, συμπληρώνει τα μέτρα εναρμόνισης που θεσπίζονται με την οδηγία 2014/42/ΕΕ. Θα προβλέπει, επίσης, ειδικούς κανόνες για την προστασία των δικαιωμάτων των θυμάτων σε διασυνοριακές υποθέσεις.</w:t>
            </w:r>
          </w:p>
          <w:p>
            <w:pPr>
              <w:widowControl w:val="0"/>
              <w:autoSpaceDE w:val="0"/>
              <w:autoSpaceDN w:val="0"/>
              <w:adjustRightInd w:val="0"/>
              <w:jc w:val="both"/>
              <w:rPr>
                <w:noProof/>
                <w:sz w:val="23"/>
                <w:szCs w:val="23"/>
                <w:highlight w:val="yellow"/>
                <w:lang w:val="el-GR" w:eastAsia="el-GR" w:bidi="el-GR"/>
              </w:rPr>
            </w:pPr>
          </w:p>
        </w:tc>
      </w:tr>
      <w:tr>
        <w:tc>
          <w:tcPr>
            <w:tcW w:w="10188" w:type="dxa"/>
            <w:shd w:val="clear" w:color="auto" w:fill="CCCCCC"/>
          </w:tcPr>
          <w:p>
            <w:pPr>
              <w:spacing w:before="60"/>
              <w:jc w:val="both"/>
              <w:rPr>
                <w:rFonts w:ascii="Tahoma" w:hAnsi="Tahoma" w:cs="Tahoma"/>
                <w:noProof/>
                <w:sz w:val="23"/>
                <w:szCs w:val="23"/>
                <w:highlight w:val="yellow"/>
                <w:lang w:val="el-GR" w:eastAsia="el-GR" w:bidi="el-GR"/>
              </w:rPr>
            </w:pPr>
            <w:r>
              <w:rPr>
                <w:rFonts w:ascii="Tahoma" w:hAnsi="Tahoma"/>
                <w:b/>
                <w:noProof/>
                <w:sz w:val="23"/>
                <w:lang w:val="el-GR"/>
              </w:rPr>
              <w:t xml:space="preserve">Ποιος υποστηρίζει την κάθε επιλογή; </w:t>
            </w:r>
          </w:p>
        </w:tc>
      </w:tr>
      <w:tr>
        <w:tc>
          <w:tcPr>
            <w:tcW w:w="10188" w:type="dxa"/>
            <w:shd w:val="clear" w:color="auto" w:fill="auto"/>
          </w:tcPr>
          <w:p>
            <w:pPr>
              <w:jc w:val="both"/>
              <w:rPr>
                <w:noProof/>
                <w:lang w:val="el-GR"/>
              </w:rPr>
            </w:pPr>
            <w:r>
              <w:rPr>
                <w:noProof/>
                <w:lang w:val="el-GR"/>
              </w:rPr>
              <w:t>Τα κράτη μέλη αναγνωρίζουν την ανάγκη να βελτιωθεί η αμοιβαία αναγνώριση των αποφάσεων δέσμευσης και δήμευσης με νέα νομοθετική πράξη. Επομένως, υποστηρίζουν μια επιλογή πολιτικής που συνεπάγεται τη θέσπιση νέας νομοθεσίας (επιλογές 3, 4α ή 4β). Ωστόσο, διαπιστώνονται αποκλίσεις μεταξύ των θέσεων των κρατών μελών ως προς το είδος των μέτρων που θα πρέπει να καλύπτει η πράξη. Η επιλογή 3 δεν θα προκαλούσε ιδιαίτερες ανησυχίες στα κράτη μέλη, αλλά δεν θα θεωρούνταν επαρκής από τα κράτη μέλη που έχουν πιο εκτεταμένες μορφές δήμευσης. Η επιλογή 4α θα ήταν η επιλογή που θα γινόταν πιο εύκολα αποδεκτή από τα κράτη μέλη, καθώς τα περισσότερα από αυτά έχουν ήδη διατάξεις που καλύπτουν τη μη βασιζόμενη σε καταδίκη δήμευση. Οι απόψεις των κρατών μελών διίστανται ως προς την επιλογή 4β. Το Ευρωπαϊκό Κοινοβούλιο τάσσεται υπέρ μιας νομοθετικής πρότασης που θα ενισχύει την αμοιβαία αναγνώριση των αποφάσεων δήμευσης και δέσμευσης.</w:t>
            </w:r>
          </w:p>
          <w:p>
            <w:pPr>
              <w:jc w:val="both"/>
              <w:rPr>
                <w:noProof/>
                <w:sz w:val="23"/>
                <w:szCs w:val="23"/>
                <w:lang w:val="el-GR" w:eastAsia="el-GR" w:bidi="el-GR"/>
              </w:rPr>
            </w:pPr>
          </w:p>
        </w:tc>
      </w:tr>
      <w:tr>
        <w:tc>
          <w:tcPr>
            <w:tcW w:w="10188" w:type="dxa"/>
            <w:tcBorders>
              <w:bottom w:val="single" w:sz="4" w:space="0" w:color="auto"/>
            </w:tcBorders>
            <w:shd w:val="clear" w:color="auto" w:fill="CCCCCC"/>
          </w:tcPr>
          <w:p>
            <w:pPr>
              <w:spacing w:before="60" w:after="60"/>
              <w:jc w:val="center"/>
              <w:rPr>
                <w:rFonts w:ascii="Tahoma" w:hAnsi="Tahoma" w:cs="Tahoma"/>
                <w:b/>
                <w:noProof/>
                <w:sz w:val="23"/>
                <w:szCs w:val="23"/>
                <w:highlight w:val="yellow"/>
                <w:lang w:val="el-GR" w:eastAsia="el-GR" w:bidi="el-GR"/>
              </w:rPr>
            </w:pPr>
            <w:r>
              <w:rPr>
                <w:rFonts w:ascii="Tahoma" w:hAnsi="Tahoma"/>
                <w:b/>
                <w:noProof/>
                <w:sz w:val="23"/>
                <w:lang w:val="el-GR"/>
              </w:rPr>
              <w:t>Γ. Επιπτώσεις της προτιμώμενης επιλογής</w:t>
            </w:r>
          </w:p>
        </w:tc>
      </w:tr>
      <w:tr>
        <w:tc>
          <w:tcPr>
            <w:tcW w:w="10188" w:type="dxa"/>
            <w:tcBorders>
              <w:bottom w:val="single" w:sz="4" w:space="0" w:color="auto"/>
            </w:tcBorders>
            <w:shd w:val="clear" w:color="auto" w:fill="E6E6E6"/>
          </w:tcPr>
          <w:p>
            <w:pPr>
              <w:spacing w:before="60" w:after="60"/>
              <w:jc w:val="both"/>
              <w:rPr>
                <w:rFonts w:ascii="Tahoma" w:hAnsi="Tahoma" w:cs="Tahoma"/>
                <w:noProof/>
                <w:sz w:val="22"/>
                <w:szCs w:val="22"/>
                <w:highlight w:val="yellow"/>
                <w:lang w:val="el-GR" w:eastAsia="el-GR" w:bidi="el-GR"/>
              </w:rPr>
            </w:pPr>
            <w:r>
              <w:rPr>
                <w:rFonts w:ascii="Tahoma" w:hAnsi="Tahoma"/>
                <w:b/>
                <w:noProof/>
                <w:sz w:val="22"/>
                <w:lang w:val="el-GR"/>
              </w:rPr>
              <w:t>Ποια είναι τα οφέλη</w:t>
            </w:r>
            <w:r>
              <w:rPr>
                <w:rFonts w:ascii="Tahoma" w:hAnsi="Tahoma"/>
                <w:noProof/>
                <w:sz w:val="22"/>
                <w:lang w:val="el-GR"/>
              </w:rPr>
              <w:t xml:space="preserve"> </w:t>
            </w:r>
            <w:r>
              <w:rPr>
                <w:rFonts w:ascii="Tahoma" w:hAnsi="Tahoma"/>
                <w:b/>
                <w:noProof/>
                <w:sz w:val="22"/>
                <w:lang w:val="el-GR"/>
              </w:rPr>
              <w:t>της προτιμώμενης επιλογής (αν υπάρχει· ειδάλλως των κυριότερων επιλογών);</w:t>
            </w:r>
            <w:r>
              <w:rPr>
                <w:rFonts w:ascii="Tahoma" w:hAnsi="Tahoma"/>
                <w:noProof/>
                <w:sz w:val="22"/>
                <w:lang w:val="el-GR"/>
              </w:rPr>
              <w:t xml:space="preserve"> </w:t>
            </w:r>
          </w:p>
        </w:tc>
      </w:tr>
      <w:tr>
        <w:tc>
          <w:tcPr>
            <w:tcW w:w="10188" w:type="dxa"/>
            <w:tcBorders>
              <w:bottom w:val="single" w:sz="4" w:space="0" w:color="auto"/>
            </w:tcBorders>
            <w:shd w:val="clear" w:color="auto" w:fill="auto"/>
          </w:tcPr>
          <w:p>
            <w:pPr>
              <w:jc w:val="both"/>
              <w:rPr>
                <w:noProof/>
                <w:lang w:val="el-GR"/>
              </w:rPr>
            </w:pPr>
            <w:r>
              <w:rPr>
                <w:noProof/>
                <w:lang w:val="el-GR"/>
              </w:rPr>
              <w:t>Η απαίτηση αναγνώρισης ευρύτερου φάσματος αποφάσεων δέσμευσης και δήμευσης αναμένεται ότι θα  αυξήσει τον όγκο των περιουσιακών στοιχείων εγκληματικής προέλευσης που δεσμεύονται και δημεύονται σε διασυνοριακό επίπεδο μεταξύ των κρατών μελών. Επομένως, αναμένεται ότι θα οδηγήσει τελικά σε μείωση των κερδών για το οργανωμένο έγκλημα και θα στερήσει από τους εγκληματίες τη δυνατότητα να επανεπενδύουν τα κέρδη τους στην περαιτέρω χρηματοδότηση της εγκληματικότητας. Η αύξηση της πιθανότητας δήμευσης ενισχύει και τον αποτρεπτικό αντίκτυπο στις εγκληματικές πράξεις. Αναμένεται επίσης ότι θα  μειώσει τις απώλειες των κρατών μελών όσον αφορά τα έσοδά τους. Ο κοινωνικός αντίκτυπος θα είναι συνολικά πολύ θετικός, καθώς τα περιουσιακά στοιχεία εγκληματικής προέλευσης που δημεύονται μπορούν να επιστραφούν στα θύματα από τα οποία εκλάπησαν ή να χρησιμοποιηθούν για θετικούς κοινωνικούς σκοπούς.</w:t>
            </w:r>
          </w:p>
          <w:p>
            <w:pPr>
              <w:jc w:val="both"/>
              <w:rPr>
                <w:rFonts w:ascii="Arial" w:hAnsi="Arial" w:cs="Arial"/>
                <w:i/>
                <w:noProof/>
                <w:sz w:val="23"/>
                <w:szCs w:val="23"/>
                <w:highlight w:val="yellow"/>
                <w:lang w:val="el-GR" w:eastAsia="el-GR" w:bidi="el-GR"/>
              </w:rPr>
            </w:pPr>
          </w:p>
        </w:tc>
      </w:tr>
      <w:tr>
        <w:tc>
          <w:tcPr>
            <w:tcW w:w="10188" w:type="dxa"/>
            <w:tcBorders>
              <w:bottom w:val="single" w:sz="4" w:space="0" w:color="auto"/>
            </w:tcBorders>
            <w:shd w:val="clear" w:color="auto" w:fill="E6E6E6"/>
          </w:tcPr>
          <w:p>
            <w:pPr>
              <w:spacing w:before="60" w:after="60"/>
              <w:jc w:val="both"/>
              <w:rPr>
                <w:rFonts w:ascii="Tahoma" w:hAnsi="Tahoma" w:cs="Tahoma"/>
                <w:noProof/>
                <w:sz w:val="23"/>
                <w:szCs w:val="23"/>
                <w:highlight w:val="yellow"/>
                <w:lang w:val="el-GR" w:eastAsia="el-GR" w:bidi="el-GR"/>
              </w:rPr>
            </w:pPr>
            <w:r>
              <w:rPr>
                <w:rFonts w:ascii="Tahoma" w:hAnsi="Tahoma"/>
                <w:b/>
                <w:noProof/>
                <w:sz w:val="23"/>
                <w:lang w:val="el-GR"/>
              </w:rPr>
              <w:t>Ποιο είναι το κόστος της προτιμώμενης επιλογής (αν υπάρχει· ειδάλλως· των κυριότερων επιλογών);</w:t>
            </w:r>
            <w:r>
              <w:rPr>
                <w:rFonts w:ascii="Tahoma" w:hAnsi="Tahoma"/>
                <w:noProof/>
                <w:sz w:val="23"/>
                <w:lang w:val="el-GR"/>
              </w:rPr>
              <w:t xml:space="preserve">                                       </w:t>
            </w:r>
          </w:p>
        </w:tc>
      </w:tr>
      <w:tr>
        <w:tc>
          <w:tcPr>
            <w:tcW w:w="10188" w:type="dxa"/>
            <w:tcBorders>
              <w:bottom w:val="single" w:sz="4" w:space="0" w:color="auto"/>
            </w:tcBorders>
            <w:shd w:val="clear" w:color="auto" w:fill="auto"/>
          </w:tcPr>
          <w:p>
            <w:pPr>
              <w:jc w:val="both"/>
              <w:rPr>
                <w:rFonts w:ascii="Arial" w:hAnsi="Arial" w:cs="Arial"/>
                <w:i/>
                <w:noProof/>
                <w:sz w:val="23"/>
                <w:szCs w:val="23"/>
                <w:highlight w:val="yellow"/>
                <w:lang w:val="el-GR" w:eastAsia="el-GR" w:bidi="el-GR"/>
              </w:rPr>
            </w:pPr>
            <w:r>
              <w:rPr>
                <w:noProof/>
                <w:lang w:val="el-GR"/>
              </w:rPr>
              <w:t xml:space="preserve">Θα υπάρξει αύξηση του διοικητικού κόστους τόσο για τις αρχές έκδοσης όσο και για τις αρχές εκτέλεσης, λόγω της αύξησης των διασυνοριακών διαδικασιών και της εφαρμογής των αποφάσεων δέσμευσης και δήμευσης. Ωστόσο, τα διοικητικά αυτά έξοδα θα αντισταθμιστούν (και με το παραπάνω) από την αναμενόμενη αυξημένη ανάκτηση διασυνοριακών περιουσιακών στοιχείων. Θα προκύψουν επίσης σημαντικά οφέλη από την πρόληψη των εγκληματικών δραστηριοτήτων και των τρομοκρατικών επιθέσεων, καθώς οι εγκληματίες θα αποκοπούν από τις πηγές χρηματοδότησής τους. </w:t>
            </w:r>
          </w:p>
        </w:tc>
      </w:tr>
      <w:tr>
        <w:tc>
          <w:tcPr>
            <w:tcW w:w="10188" w:type="dxa"/>
            <w:tcBorders>
              <w:bottom w:val="single" w:sz="4" w:space="0" w:color="auto"/>
            </w:tcBorders>
            <w:shd w:val="clear" w:color="auto" w:fill="E6E6E6"/>
          </w:tcPr>
          <w:p>
            <w:pPr>
              <w:spacing w:before="60" w:after="60"/>
              <w:jc w:val="both"/>
              <w:rPr>
                <w:rFonts w:ascii="Tahoma" w:hAnsi="Tahoma" w:cs="Tahoma"/>
                <w:noProof/>
                <w:sz w:val="23"/>
                <w:szCs w:val="23"/>
                <w:highlight w:val="yellow"/>
                <w:lang w:val="el-GR" w:eastAsia="el-GR" w:bidi="el-GR"/>
              </w:rPr>
            </w:pPr>
            <w:r>
              <w:rPr>
                <w:rFonts w:ascii="Tahoma" w:hAnsi="Tahoma"/>
                <w:b/>
                <w:noProof/>
                <w:sz w:val="23"/>
                <w:lang w:val="el-GR"/>
              </w:rPr>
              <w:t xml:space="preserve">Πώς θα επηρεαστούν οι μεγάλες, οι μικρομεσαίες και οι πολύ μικρές επιχειρήσεις; </w:t>
            </w:r>
          </w:p>
        </w:tc>
      </w:tr>
      <w:tr>
        <w:tc>
          <w:tcPr>
            <w:tcW w:w="10188" w:type="dxa"/>
            <w:tcBorders>
              <w:bottom w:val="single" w:sz="4" w:space="0" w:color="auto"/>
            </w:tcBorders>
            <w:shd w:val="clear" w:color="auto" w:fill="auto"/>
          </w:tcPr>
          <w:p>
            <w:pPr>
              <w:spacing w:before="60" w:after="60"/>
              <w:jc w:val="both"/>
              <w:rPr>
                <w:noProof/>
                <w:sz w:val="23"/>
                <w:szCs w:val="23"/>
                <w:highlight w:val="yellow"/>
                <w:lang w:val="el-GR" w:eastAsia="el-GR" w:bidi="el-GR"/>
              </w:rPr>
            </w:pPr>
            <w:r>
              <w:rPr>
                <w:noProof/>
                <w:lang w:val="el-GR"/>
              </w:rPr>
              <w:t>Οι μεγάλες, οι μικρομεσαίες (ΜΜΕ) και οι πολύ μικρές επιχειρήσεις δεν θα επηρεαστούν άμεσα από την παρούσα πρόταση. Ωστόσο, η δήμευση περιουσιακών στοιχείων εγκληματικής προέλευσης δυσχεραίνει τη λειτουργία των εγκληματικών επιχειρήσεων, οπότε, μακροπρόθεσμα, αναμένεται ότι θα βοηθήσει τις νόμιμες επιχειρήσεις μέσω της μείωσης του ανταγωνισμού από παράνομους φορείς.</w:t>
            </w:r>
          </w:p>
        </w:tc>
      </w:tr>
      <w:tr>
        <w:tc>
          <w:tcPr>
            <w:tcW w:w="10188" w:type="dxa"/>
            <w:tcBorders>
              <w:bottom w:val="single" w:sz="4" w:space="0" w:color="auto"/>
            </w:tcBorders>
            <w:shd w:val="clear" w:color="auto" w:fill="E6E6E6"/>
          </w:tcPr>
          <w:p>
            <w:pPr>
              <w:spacing w:before="60"/>
              <w:jc w:val="both"/>
              <w:rPr>
                <w:rFonts w:ascii="Tahoma" w:hAnsi="Tahoma" w:cs="Tahoma"/>
                <w:b/>
                <w:i/>
                <w:noProof/>
                <w:sz w:val="23"/>
                <w:szCs w:val="23"/>
                <w:highlight w:val="yellow"/>
                <w:lang w:val="el-GR" w:eastAsia="el-GR" w:bidi="el-GR"/>
              </w:rPr>
            </w:pPr>
            <w:r>
              <w:rPr>
                <w:rFonts w:ascii="Tahoma" w:hAnsi="Tahoma"/>
                <w:b/>
                <w:noProof/>
                <w:sz w:val="23"/>
                <w:lang w:val="el-GR"/>
              </w:rPr>
              <w:t>Θα υπάρξουν σημαντικές επιπτώσεις</w:t>
            </w:r>
            <w:r>
              <w:rPr>
                <w:rFonts w:ascii="Tahoma" w:hAnsi="Tahoma"/>
                <w:noProof/>
                <w:sz w:val="23"/>
                <w:lang w:val="el-GR"/>
              </w:rPr>
              <w:t xml:space="preserve"> </w:t>
            </w:r>
            <w:r>
              <w:rPr>
                <w:rFonts w:ascii="Tahoma" w:hAnsi="Tahoma"/>
                <w:b/>
                <w:noProof/>
                <w:sz w:val="23"/>
                <w:lang w:val="el-GR"/>
              </w:rPr>
              <w:t>στους εθνικούς προϋπολογισμούς και στις εθνικές διοικητικές αρχές;</w:t>
            </w:r>
            <w:r>
              <w:rPr>
                <w:rFonts w:ascii="Tahoma" w:hAnsi="Tahoma"/>
                <w:noProof/>
                <w:sz w:val="23"/>
                <w:lang w:val="el-GR"/>
              </w:rPr>
              <w:t xml:space="preserve"> </w:t>
            </w:r>
          </w:p>
        </w:tc>
      </w:tr>
      <w:tr>
        <w:tc>
          <w:tcPr>
            <w:tcW w:w="10188" w:type="dxa"/>
            <w:shd w:val="clear" w:color="auto" w:fill="auto"/>
          </w:tcPr>
          <w:p>
            <w:pPr>
              <w:jc w:val="both"/>
              <w:rPr>
                <w:noProof/>
                <w:lang w:val="el-GR"/>
              </w:rPr>
            </w:pPr>
            <w:r>
              <w:rPr>
                <w:noProof/>
                <w:lang w:val="el-GR"/>
              </w:rPr>
              <w:t>Η απαίτηση αναγνώρισης και εκτέλεσης ευρύτερου φάσματος αποφάσεων δέσμευσης και δήμευσης θα οδηγήσει σε περιορισμένη αύξηση των δαπανών για τις αρχές επιβολής του νόμου και τις δικαστικές αρχές. Ωστόσο, αυτό αναμένεται ότι θα αντισταθμιστεί από την αυξημένη δυνατότητα ανάκτησης και, κατά περίπτωση, επαναχρησιμοποίησης των προϊόντων εγκλήματος.</w:t>
            </w:r>
          </w:p>
          <w:p>
            <w:pPr>
              <w:jc w:val="both"/>
              <w:rPr>
                <w:noProof/>
                <w:sz w:val="23"/>
                <w:szCs w:val="23"/>
                <w:lang w:val="el-GR" w:eastAsia="el-GR" w:bidi="el-GR"/>
              </w:rPr>
            </w:pPr>
          </w:p>
        </w:tc>
      </w:tr>
      <w:tr>
        <w:tc>
          <w:tcPr>
            <w:tcW w:w="10188" w:type="dxa"/>
            <w:tcBorders>
              <w:bottom w:val="single" w:sz="4" w:space="0" w:color="auto"/>
            </w:tcBorders>
            <w:shd w:val="clear" w:color="auto" w:fill="E6E6E6"/>
          </w:tcPr>
          <w:p>
            <w:pPr>
              <w:spacing w:before="60"/>
              <w:jc w:val="both"/>
              <w:rPr>
                <w:rFonts w:ascii="Tahoma" w:hAnsi="Tahoma" w:cs="Tahoma"/>
                <w:noProof/>
                <w:sz w:val="23"/>
                <w:szCs w:val="23"/>
                <w:lang w:val="el-GR" w:eastAsia="el-GR" w:bidi="el-GR"/>
              </w:rPr>
            </w:pPr>
            <w:r>
              <w:rPr>
                <w:rFonts w:ascii="Tahoma" w:hAnsi="Tahoma"/>
                <w:b/>
                <w:noProof/>
                <w:sz w:val="23"/>
                <w:lang w:val="el-GR"/>
              </w:rPr>
              <w:t>Θα υπάρξουν άλλες σημαντικές επιπτώσεις;</w:t>
            </w:r>
            <w:r>
              <w:rPr>
                <w:rFonts w:ascii="Tahoma" w:hAnsi="Tahoma"/>
                <w:noProof/>
                <w:sz w:val="23"/>
                <w:lang w:val="el-GR"/>
              </w:rPr>
              <w:t xml:space="preserve"> </w:t>
            </w:r>
          </w:p>
        </w:tc>
      </w:tr>
      <w:tr>
        <w:tc>
          <w:tcPr>
            <w:tcW w:w="10188" w:type="dxa"/>
            <w:tcBorders>
              <w:bottom w:val="single" w:sz="4" w:space="0" w:color="auto"/>
            </w:tcBorders>
            <w:shd w:val="clear" w:color="auto" w:fill="auto"/>
          </w:tcPr>
          <w:p>
            <w:pPr>
              <w:jc w:val="both"/>
              <w:rPr>
                <w:noProof/>
                <w:sz w:val="23"/>
                <w:szCs w:val="23"/>
                <w:lang w:val="el-GR" w:eastAsia="el-GR" w:bidi="el-GR"/>
              </w:rPr>
            </w:pPr>
            <w:r>
              <w:rPr>
                <w:noProof/>
                <w:lang w:val="el-GR"/>
              </w:rPr>
              <w:t xml:space="preserve">Η δυνατότητα αποτελεσματικής δέσμευσης και δήμευσης περιουσιακών στοιχείων εγκληματικής προέλευσης σε διασυνοριακό επίπεδο και επιστροφής των περιουσιακών στοιχείων στα θύματα κατά περίπτωση θα ενίσχυε την εμπιστοσύνη στα δικαστικά συστήματα των κρατών μελών και στην ΕΕ γενικότερα. </w:t>
            </w:r>
          </w:p>
        </w:tc>
      </w:tr>
      <w:tr>
        <w:tc>
          <w:tcPr>
            <w:tcW w:w="10188" w:type="dxa"/>
            <w:tcBorders>
              <w:bottom w:val="single" w:sz="4" w:space="0" w:color="auto"/>
            </w:tcBorders>
            <w:shd w:val="clear" w:color="auto" w:fill="C0C0C0"/>
          </w:tcPr>
          <w:p>
            <w:pPr>
              <w:spacing w:before="60" w:after="60"/>
              <w:jc w:val="center"/>
              <w:rPr>
                <w:rFonts w:ascii="Tahoma" w:hAnsi="Tahoma" w:cs="Tahoma"/>
                <w:b/>
                <w:noProof/>
                <w:sz w:val="23"/>
                <w:szCs w:val="23"/>
                <w:lang w:val="el-GR" w:eastAsia="el-GR" w:bidi="el-GR"/>
              </w:rPr>
            </w:pPr>
            <w:r>
              <w:rPr>
                <w:rFonts w:ascii="Tahoma" w:hAnsi="Tahoma"/>
                <w:b/>
                <w:noProof/>
                <w:sz w:val="23"/>
              </w:rPr>
              <w:t>Δ. Παρακολούθηση</w:t>
            </w:r>
          </w:p>
        </w:tc>
      </w:tr>
      <w:tr>
        <w:tc>
          <w:tcPr>
            <w:tcW w:w="10188" w:type="dxa"/>
            <w:tcBorders>
              <w:bottom w:val="single" w:sz="4" w:space="0" w:color="auto"/>
            </w:tcBorders>
            <w:shd w:val="clear" w:color="auto" w:fill="E6E6E6"/>
          </w:tcPr>
          <w:p>
            <w:pPr>
              <w:spacing w:before="60"/>
              <w:jc w:val="both"/>
              <w:rPr>
                <w:rFonts w:ascii="Tahoma" w:hAnsi="Tahoma" w:cs="Tahoma"/>
                <w:noProof/>
                <w:sz w:val="23"/>
                <w:szCs w:val="23"/>
                <w:lang w:val="el-GR" w:eastAsia="el-GR" w:bidi="el-GR"/>
              </w:rPr>
            </w:pPr>
            <w:r>
              <w:rPr>
                <w:rFonts w:ascii="Tahoma" w:hAnsi="Tahoma"/>
                <w:b/>
                <w:noProof/>
                <w:sz w:val="23"/>
                <w:lang w:val="el-GR"/>
              </w:rPr>
              <w:t xml:space="preserve">Πότε θα επανεξεταστεί η πολιτική; </w:t>
            </w:r>
          </w:p>
        </w:tc>
      </w:tr>
      <w:tr>
        <w:tc>
          <w:tcPr>
            <w:tcW w:w="10188" w:type="dxa"/>
            <w:tcBorders>
              <w:bottom w:val="single" w:sz="4" w:space="0" w:color="auto"/>
            </w:tcBorders>
            <w:shd w:val="clear" w:color="auto" w:fill="auto"/>
          </w:tcPr>
          <w:p>
            <w:pPr>
              <w:jc w:val="both"/>
              <w:rPr>
                <w:b/>
                <w:noProof/>
                <w:lang w:val="el-GR" w:eastAsia="el-GR" w:bidi="el-GR"/>
              </w:rPr>
            </w:pPr>
            <w:r>
              <w:rPr>
                <w:noProof/>
                <w:lang w:val="el-GR"/>
              </w:rPr>
              <w:t xml:space="preserve">5 έτη μετά την έναρξη εφαρμογής της νέας νομικής πράξης. </w:t>
            </w:r>
          </w:p>
        </w:tc>
      </w:tr>
    </w:tbl>
    <w:p>
      <w:pPr>
        <w:rPr>
          <w:noProof/>
          <w:lang w:val="el-GR"/>
        </w:rPr>
      </w:pPr>
    </w:p>
    <w:sectPr>
      <w:headerReference w:type="even" r:id="rId19"/>
      <w:headerReference w:type="default" r:id="rId20"/>
      <w:footerReference w:type="even" r:id="rId21"/>
      <w:footerReference w:type="default" r:id="rId22"/>
      <w:headerReference w:type="first" r:id="rId23"/>
      <w:footerReference w:type="first" r:id="rId24"/>
      <w:pgSz w:w="11906" w:h="16838" w:code="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764821"/>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pPr>
      <w:pStyle w:val="FooterCoverPage"/>
      <w:rPr>
        <w:rFonts w:ascii="Arial" w:hAnsi="Arial" w:cs="Arial"/>
        <w:b/>
        <w:sz w:val="4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3387C"/>
    <w:multiLevelType w:val="hybridMultilevel"/>
    <w:tmpl w:val="7006399E"/>
    <w:lvl w:ilvl="0" w:tplc="23DE7F78">
      <w:start w:val="1"/>
      <w:numFmt w:val="bullet"/>
      <w:lvlText w:val="­"/>
      <w:lvlJc w:val="left"/>
      <w:pPr>
        <w:tabs>
          <w:tab w:val="num" w:pos="360"/>
        </w:tabs>
        <w:ind w:left="360" w:hanging="360"/>
      </w:pPr>
      <w:rPr>
        <w:rFonts w:ascii="Courier New" w:hAnsi="Courier New"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
    <w:nsid w:val="4C4E1654"/>
    <w:multiLevelType w:val="multilevel"/>
    <w:tmpl w:val="7006399E"/>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
    <w:nsid w:val="55FD19AF"/>
    <w:multiLevelType w:val="hybridMultilevel"/>
    <w:tmpl w:val="0E623F1A"/>
    <w:lvl w:ilvl="0" w:tplc="08090011">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
    <w:nsid w:val="671B39AB"/>
    <w:multiLevelType w:val="multilevel"/>
    <w:tmpl w:val="0E623F1A"/>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4">
    <w:nsid w:val="6BBD73C0"/>
    <w:multiLevelType w:val="hybridMultilevel"/>
    <w:tmpl w:val="24C4D2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921736"/>
    <w:multiLevelType w:val="hybridMultilevel"/>
    <w:tmpl w:val="EB723742"/>
    <w:lvl w:ilvl="0" w:tplc="32B48AAA">
      <w:start w:val="1"/>
      <w:numFmt w:val="decimal"/>
      <w:lvlText w:val="%1."/>
      <w:lvlJc w:val="left"/>
      <w:pPr>
        <w:ind w:left="360" w:hanging="360"/>
      </w:pPr>
      <w:rPr>
        <w:rFonts w:ascii="Times New Roman" w:hAnsi="Times New Roman" w:cs="Times New Roman"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6F777665"/>
    <w:multiLevelType w:val="hybridMultilevel"/>
    <w:tmpl w:val="A470FD4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
    <w:nsid w:val="77775577"/>
    <w:multiLevelType w:val="hybridMultilevel"/>
    <w:tmpl w:val="FC98EE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1"/>
  </w:num>
  <w:num w:numId="4">
    <w:abstractNumId w:val="2"/>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ACCOMPAGNANT.CP" w:val="\u960?\u959?\u965? \u963?\u965?\u957?\u959?\u948?\u949?\u973?\u949?\u953? \u964?\u959? \u941?\u947?\u947?\u961?\u945?\u966?\u959?"/>
    <w:docVar w:name="LW_CONFIDENCE" w:val=" "/>
    <w:docVar w:name="LW_CONST_RESTREINT_UE" w:val="RESTREINT UE"/>
    <w:docVar w:name="LW_CORRIGENDUM" w:val="&lt;UNUSED&gt;"/>
    <w:docVar w:name="LW_COVERPAGE_GUID" w:val="B2B08EA8527C46BF958427EE859838F0"/>
    <w:docVar w:name="LW_CROSSREFERENCE" w:val="{COM(2016) 819 final}_x000b_{SWD(2016) 468 final}"/>
    <w:docVar w:name="LW_DocType" w:val="NORMAL"/>
    <w:docVar w:name="LW_EMISSION" w:val="21.12.2016"/>
    <w:docVar w:name="LW_EMISSION_ISODATE" w:val="2016-12-21"/>
    <w:docVar w:name="LW_EMISSION_LOCATION" w:val="BRX"/>
    <w:docVar w:name="LW_EMISSION_PREFIX" w:val="Βρυξέλλες, "/>
    <w:docVar w:name="LW_EMISSION_SUFFIX" w:val=" "/>
    <w:docVar w:name="LW_ID_DOCTYPE_NONLW" w:val="CP-027"/>
    <w:docVar w:name="LW_LANGUE" w:val="EL"/>
    <w:docVar w:name="LW_MARKING" w:val="&lt;UNUSED&gt;"/>
    <w:docVar w:name="LW_NOM.INST" w:val="\u917?\u933?\u929?\u937?\u928?\u913?\u938?\u922?\u919? \u917?\u928?\u921?\u932?\u929?\u927?\u928?\u919?"/>
    <w:docVar w:name="LW_NOM.INST_JOINTDOC" w:val="&lt;EMPTY&gt;"/>
    <w:docVar w:name="LW_OBJETACTEPRINCIPAL.CP" w:val="\u963?\u967?\u949?\u964?\u953?\u954?\u940? \u956?\u949? \u964?\u951?\u957? \u945?\u956?\u959?\u953?\u946?\u945?\u943?\u945? \u945?\u957?\u945?\u947?\u957?\u974?\u961?\u953?\u963?\u951? \u964?\u969?\u957? \u945?\u960?\u959?\u966?\u940?\u963?\u949?\u969?\u957? \u948?\u941?\u963?\u956?\u949?\u965?\u963?\u951?\u962? \u954?\u945?\u953? \u948?\u942?\u956?\u949?\u965?\u963?\u951?\u962?_x000b_"/>
    <w:docVar w:name="LW_PART_NBR" w:val="1"/>
    <w:docVar w:name="LW_PART_NBR_TOTAL" w:val="1"/>
    <w:docVar w:name="LW_REF.INST.NEW" w:val="SWD"/>
    <w:docVar w:name="LW_REF.INST.NEW_ADOPTED" w:val="final"/>
    <w:docVar w:name="LW_REF.INST.NEW_TEXT" w:val="(2016) 469"/>
    <w:docVar w:name="LW_REF.INTERNE" w:val="&lt;UNUSED&gt;"/>
    <w:docVar w:name="LW_SUPERTITRE" w:val="&lt;UNUSED&gt;"/>
    <w:docVar w:name="LW_TITRE.OBJ.CP" w:val="&lt;UNUSED&gt;"/>
    <w:docVar w:name="LW_TYPE.DOC.CP" w:val="\u917?\u915?\u915?\u929?\u913?\u934?\u927? \u917?\u929?\u915?\u913?\u931?\u921?\u913?\u931? \u932?\u937?\u925? \u933?\u928?\u919?\u929?\u917?\u931?\u921?\u937?\u925? \u932?\u919?\u931? \u917?\u928?\u921?\u932?\u929?\u927?\u928?\u919?\u931?_x000b__x000b_\u928?\u917?\u929?\u921?\u923?\u919?\u936?\u919? \u932?\u919?\u931? \u917?\u922?\u932?\u921?\u924?\u919?\u931?\u919?\u931? \u917?\u928?\u921?\u928?\u932?\u937?\u931?\u917?\u937?\u925?_x000b_"/>
    <w:docVar w:name="LW_TYPEACTEPRINCIPAL.CP" w:val="\u928?\u961?\u972?\u964?\u945?\u963?\u951? \u954?\u945?\u957?\u959?\u957?\u953?\u963?\u956?\u959?\u973? \u964?\u959?\u965? \u917?\u965?\u961?\u969?\u960?\u945?\u970?\u954?\u959?\u973? \u922?\u959?\u953?\u957?\u959?\u946?\u959?\u965?\u955?\u943?\u959?\u965? \u954?\u945?\u953? \u964?\u959?\u965? \u931?\u965?\u956?\u946?\u959?\u965?\u955?\u943?\u959?\u965?"/>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FootnoteText">
    <w:name w:val="footnote text"/>
    <w:aliases w:val="Testo nota a piè di pagina_Rientro,stile 1,Footnote,Footnote1,Footnote2,Footnote3,Footnote4,Footnote5,Footnote6,Footnote7,Footnote8,Footnote9,Footnote10,Footnote11,Footnote21,Footnote31,Footnote41,Footnote51,Footnote61,ft,fn,Fußnotentextf"/>
    <w:basedOn w:val="Normal"/>
    <w:link w:val="FootnoteTextChar"/>
    <w:qFormat/>
    <w:pPr>
      <w:ind w:left="720" w:hanging="720"/>
      <w:jc w:val="both"/>
    </w:pPr>
    <w:rPr>
      <w:sz w:val="20"/>
      <w:szCs w:val="20"/>
      <w:lang w:eastAsia="de-DE"/>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FR,Re"/>
    <w:basedOn w:val="DefaultParagraphFont"/>
    <w:uiPriority w:val="99"/>
    <w:qFormat/>
    <w:rPr>
      <w:vertAlign w:val="superscript"/>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HeaderChar">
    <w:name w:val="Header Char"/>
    <w:basedOn w:val="DefaultParagraphFont"/>
    <w:link w:val="Header"/>
    <w:uiPriority w:val="99"/>
    <w:rPr>
      <w:sz w:val="24"/>
      <w:szCs w:val="24"/>
    </w:rPr>
  </w:style>
  <w:style w:type="paragraph" w:customStyle="1" w:styleId="ZCom">
    <w:name w:val="Z_Com"/>
    <w:basedOn w:val="Normal"/>
    <w:next w:val="ZDGName"/>
    <w:uiPriority w:val="99"/>
    <w:pPr>
      <w:widowControl w:val="0"/>
      <w:autoSpaceDE w:val="0"/>
      <w:autoSpaceDN w:val="0"/>
      <w:ind w:right="85"/>
      <w:jc w:val="both"/>
    </w:pPr>
    <w:rPr>
      <w:rFonts w:ascii="Arial" w:eastAsiaTheme="minorEastAsia" w:hAnsi="Arial" w:cs="Arial"/>
    </w:rPr>
  </w:style>
  <w:style w:type="paragraph" w:customStyle="1" w:styleId="ZDGName">
    <w:name w:val="Z_DGName"/>
    <w:basedOn w:val="Normal"/>
    <w:uiPriority w:val="99"/>
    <w:pPr>
      <w:widowControl w:val="0"/>
      <w:autoSpaceDE w:val="0"/>
      <w:autoSpaceDN w:val="0"/>
      <w:ind w:right="85"/>
    </w:pPr>
    <w:rPr>
      <w:rFonts w:ascii="Arial" w:eastAsiaTheme="minorEastAsia" w:hAnsi="Arial" w:cs="Arial"/>
      <w:sz w:val="16"/>
      <w:szCs w:val="16"/>
    </w:rPr>
  </w:style>
  <w:style w:type="paragraph" w:customStyle="1" w:styleId="Text1">
    <w:name w:val="Text 1"/>
    <w:basedOn w:val="Normal"/>
    <w:pPr>
      <w:spacing w:before="120" w:after="120"/>
      <w:ind w:left="850"/>
      <w:jc w:val="both"/>
    </w:pPr>
    <w:rPr>
      <w:lang w:eastAsia="en-US"/>
    </w:rPr>
  </w:style>
  <w:style w:type="paragraph" w:styleId="ListParagraph">
    <w:name w:val="List Paragraph"/>
    <w:basedOn w:val="Normal"/>
    <w:uiPriority w:val="34"/>
    <w:qFormat/>
    <w:pPr>
      <w:ind w:left="720"/>
      <w:contextualSpacing/>
    </w:pPr>
  </w:style>
  <w:style w:type="character" w:customStyle="1" w:styleId="FootnoteTextChar">
    <w:name w:val="Footnote Text Char"/>
    <w:aliases w:val="Testo nota a piè di pagina_Rientro Char,stile 1 Char,Footnote Char,Footnote1 Char,Footnote2 Char,Footnote3 Char,Footnote4 Char,Footnote5 Char,Footnote6 Char,Footnote7 Char,Footnote8 Char,Footnote9 Char,Footnote10 Char,Footnote11 Char"/>
    <w:link w:val="FootnoteText"/>
    <w:rPr>
      <w:lang w:eastAsia="de-D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Pr>
      <w:sz w:val="24"/>
      <w:szCs w:val="24"/>
    </w:rPr>
  </w:style>
  <w:style w:type="paragraph" w:customStyle="1" w:styleId="HeaderCoverPage">
    <w:name w:val="Header Cover Page"/>
    <w:basedOn w:val="Normal"/>
    <w:link w:val="HeaderCoverPageChar"/>
    <w:pPr>
      <w:tabs>
        <w:tab w:val="center" w:pos="4535"/>
        <w:tab w:val="right" w:pos="9071"/>
      </w:tabs>
      <w:spacing w:after="120"/>
      <w:jc w:val="both"/>
    </w:pPr>
  </w:style>
  <w:style w:type="character" w:customStyle="1" w:styleId="HeaderCoverPageChar">
    <w:name w:val="Header Cover Page Char"/>
    <w:basedOn w:val="DefaultParagraphFont"/>
    <w:link w:val="HeaderCoverPage"/>
    <w:rPr>
      <w:sz w:val="24"/>
      <w:szCs w:val="24"/>
    </w:rPr>
  </w:style>
  <w:style w:type="character" w:customStyle="1" w:styleId="FooterChar">
    <w:name w:val="Footer Char"/>
    <w:basedOn w:val="DefaultParagraphFont"/>
    <w:link w:val="Footer"/>
    <w:uiPriority w:val="9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FootnoteText">
    <w:name w:val="footnote text"/>
    <w:aliases w:val="Testo nota a piè di pagina_Rientro,stile 1,Footnote,Footnote1,Footnote2,Footnote3,Footnote4,Footnote5,Footnote6,Footnote7,Footnote8,Footnote9,Footnote10,Footnote11,Footnote21,Footnote31,Footnote41,Footnote51,Footnote61,ft,fn,Fußnotentextf"/>
    <w:basedOn w:val="Normal"/>
    <w:link w:val="FootnoteTextChar"/>
    <w:qFormat/>
    <w:pPr>
      <w:ind w:left="720" w:hanging="720"/>
      <w:jc w:val="both"/>
    </w:pPr>
    <w:rPr>
      <w:sz w:val="20"/>
      <w:szCs w:val="20"/>
      <w:lang w:eastAsia="de-DE"/>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FR,Re"/>
    <w:basedOn w:val="DefaultParagraphFont"/>
    <w:uiPriority w:val="99"/>
    <w:qFormat/>
    <w:rPr>
      <w:vertAlign w:val="superscript"/>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HeaderChar">
    <w:name w:val="Header Char"/>
    <w:basedOn w:val="DefaultParagraphFont"/>
    <w:link w:val="Header"/>
    <w:uiPriority w:val="99"/>
    <w:rPr>
      <w:sz w:val="24"/>
      <w:szCs w:val="24"/>
    </w:rPr>
  </w:style>
  <w:style w:type="paragraph" w:customStyle="1" w:styleId="ZCom">
    <w:name w:val="Z_Com"/>
    <w:basedOn w:val="Normal"/>
    <w:next w:val="ZDGName"/>
    <w:uiPriority w:val="99"/>
    <w:pPr>
      <w:widowControl w:val="0"/>
      <w:autoSpaceDE w:val="0"/>
      <w:autoSpaceDN w:val="0"/>
      <w:ind w:right="85"/>
      <w:jc w:val="both"/>
    </w:pPr>
    <w:rPr>
      <w:rFonts w:ascii="Arial" w:eastAsiaTheme="minorEastAsia" w:hAnsi="Arial" w:cs="Arial"/>
    </w:rPr>
  </w:style>
  <w:style w:type="paragraph" w:customStyle="1" w:styleId="ZDGName">
    <w:name w:val="Z_DGName"/>
    <w:basedOn w:val="Normal"/>
    <w:uiPriority w:val="99"/>
    <w:pPr>
      <w:widowControl w:val="0"/>
      <w:autoSpaceDE w:val="0"/>
      <w:autoSpaceDN w:val="0"/>
      <w:ind w:right="85"/>
    </w:pPr>
    <w:rPr>
      <w:rFonts w:ascii="Arial" w:eastAsiaTheme="minorEastAsia" w:hAnsi="Arial" w:cs="Arial"/>
      <w:sz w:val="16"/>
      <w:szCs w:val="16"/>
    </w:rPr>
  </w:style>
  <w:style w:type="paragraph" w:customStyle="1" w:styleId="Text1">
    <w:name w:val="Text 1"/>
    <w:basedOn w:val="Normal"/>
    <w:pPr>
      <w:spacing w:before="120" w:after="120"/>
      <w:ind w:left="850"/>
      <w:jc w:val="both"/>
    </w:pPr>
    <w:rPr>
      <w:lang w:eastAsia="en-US"/>
    </w:rPr>
  </w:style>
  <w:style w:type="paragraph" w:styleId="ListParagraph">
    <w:name w:val="List Paragraph"/>
    <w:basedOn w:val="Normal"/>
    <w:uiPriority w:val="34"/>
    <w:qFormat/>
    <w:pPr>
      <w:ind w:left="720"/>
      <w:contextualSpacing/>
    </w:pPr>
  </w:style>
  <w:style w:type="character" w:customStyle="1" w:styleId="FootnoteTextChar">
    <w:name w:val="Footnote Text Char"/>
    <w:aliases w:val="Testo nota a piè di pagina_Rientro Char,stile 1 Char,Footnote Char,Footnote1 Char,Footnote2 Char,Footnote3 Char,Footnote4 Char,Footnote5 Char,Footnote6 Char,Footnote7 Char,Footnote8 Char,Footnote9 Char,Footnote10 Char,Footnote11 Char"/>
    <w:link w:val="FootnoteText"/>
    <w:rPr>
      <w:lang w:eastAsia="de-D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Pr>
      <w:sz w:val="24"/>
      <w:szCs w:val="24"/>
    </w:rPr>
  </w:style>
  <w:style w:type="paragraph" w:customStyle="1" w:styleId="HeaderCoverPage">
    <w:name w:val="Header Cover Page"/>
    <w:basedOn w:val="Normal"/>
    <w:link w:val="HeaderCoverPageChar"/>
    <w:pPr>
      <w:tabs>
        <w:tab w:val="center" w:pos="4535"/>
        <w:tab w:val="right" w:pos="9071"/>
      </w:tabs>
      <w:spacing w:after="120"/>
      <w:jc w:val="both"/>
    </w:pPr>
  </w:style>
  <w:style w:type="character" w:customStyle="1" w:styleId="HeaderCoverPageChar">
    <w:name w:val="Header Cover Page Char"/>
    <w:basedOn w:val="DefaultParagraphFont"/>
    <w:link w:val="HeaderCoverPage"/>
    <w:rPr>
      <w:sz w:val="24"/>
      <w:szCs w:val="24"/>
    </w:rPr>
  </w:style>
  <w:style w:type="character" w:customStyle="1" w:styleId="FooterChar">
    <w:name w:val="Footer Char"/>
    <w:basedOn w:val="DefaultParagraphFont"/>
    <w:link w:val="Footer"/>
    <w:uiPriority w:val="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6FECACCE805D46AEC5C254E74743BD" ma:contentTypeVersion="1" ma:contentTypeDescription="Create a new document." ma:contentTypeScope="" ma:versionID="e1674d709df721e1c3723109296cd176">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7B3CE-EE00-43FE-BE10-7423387A8B58}">
  <ds:schemaRefs>
    <ds:schemaRef ds:uri="http://schemas.microsoft.com/sharepoint/v3/contenttype/forms"/>
  </ds:schemaRefs>
</ds:datastoreItem>
</file>

<file path=customXml/itemProps2.xml><?xml version="1.0" encoding="utf-8"?>
<ds:datastoreItem xmlns:ds="http://schemas.openxmlformats.org/officeDocument/2006/customXml" ds:itemID="{23424173-A8CF-4AAB-BE0C-126D8400FDC0}">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E29C073E-B590-45EE-9F54-05F159164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9B5051F-69C4-4DBC-B20F-6055308B5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1345</Words>
  <Characters>8286</Characters>
  <Application>Microsoft Office Word</Application>
  <DocSecurity>0</DocSecurity>
  <Lines>131</Lines>
  <Paragraphs>39</Paragraphs>
  <ScaleCrop>false</ScaleCrop>
  <HeadingPairs>
    <vt:vector size="2" baseType="variant">
      <vt:variant>
        <vt:lpstr>Title</vt:lpstr>
      </vt:variant>
      <vt:variant>
        <vt:i4>1</vt:i4>
      </vt:variant>
    </vt:vector>
  </HeadingPairs>
  <TitlesOfParts>
    <vt:vector size="1" baseType="lpstr">
      <vt:lpstr>ROADMAP (Template)</vt:lpstr>
    </vt:vector>
  </TitlesOfParts>
  <Manager/>
  <Company/>
  <LinksUpToDate>false</LinksUpToDate>
  <CharactersWithSpaces>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ROADMAP (Template)</dc:title>
  <dc:creator/>
  <cp:lastModifiedBy/>
  <cp:revision>17</cp:revision>
  <cp:lastPrinted>2016-12-14T14:32:00Z</cp:lastPrinted>
  <dcterms:created xsi:type="dcterms:W3CDTF">2016-12-16T15:52:00Z</dcterms:created>
  <dcterms:modified xsi:type="dcterms:W3CDTF">2017-01-24T10:08:00Z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0x0101001B6FECACCE805D46AEC5C254E74743BD</vt:lpwstr>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Part">
    <vt:lpwstr>1</vt:lpwstr>
  </property>
  <property fmtid="{D5CDD505-2E9C-101B-9397-08002B2CF9AE}" pid="10" name="Total parts">
    <vt:lpwstr>1</vt:lpwstr>
  </property>
  <property fmtid="{D5CDD505-2E9C-101B-9397-08002B2CF9AE}" pid="11" name="Classification">
    <vt:lpwstr> </vt:lpwstr>
  </property>
  <property fmtid="{D5CDD505-2E9C-101B-9397-08002B2CF9AE}" pid="12" name="DocStatus">
    <vt:lpwstr>Green</vt:lpwstr>
  </property>
  <property name="OP_sanitized" fmtid="{D5CDD505-2E9C-101B-9397-08002B2CF9AE}" pid="13">
    <vt:lpwstr>True</vt:lpwstr>
  </property>
</Properties>
</file>