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2C19347C58743C390D17220198E9593" style="width:450.7pt;height:324.9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r>
      <w:r>
        <w:rPr>
          <w:rStyle w:val="Heading1Char"/>
          <w:b/>
          <w:noProof/>
          <w:lang w:val="el-GR"/>
        </w:rPr>
        <w:t>ΠΛΑΙΣΙΟ ΤΗΣ ΠΡΟΤΑΣΗΣ</w:t>
      </w:r>
    </w:p>
    <w:p>
      <w:pPr>
        <w:rPr>
          <w:noProof/>
        </w:rPr>
      </w:pPr>
      <w:r>
        <w:rPr>
          <w:noProof/>
        </w:rPr>
        <w:t>Ο κανονισμός (ΕΕ, Ευρατόμ) αριθ. 1311/2013 του Συμβουλίου της 2ας Δεκεμβρίου 2013 για τον καθορισμό του πολυετούς δημοσιονομικού πλαισίου για την περίοδο 2014-2020</w:t>
      </w:r>
      <w:r>
        <w:rPr>
          <w:rStyle w:val="FootnoteReference"/>
          <w:noProof/>
        </w:rPr>
        <w:footnoteReference w:id="1"/>
      </w:r>
      <w:r>
        <w:rPr>
          <w:noProof/>
        </w:rPr>
        <w:t xml:space="preserve"> («κανονισμός για το ΠΔΠ») επιτρέπει την κινητοποίηση του περιθωρίου για απρόβλεπτες ανάγκες έως το 0,03 % του Ακαθάριστου Εθνικού Εισοδήματος της ΕΕ-28 ως έσχατου μέσου αντιμετώπισης απρόβλεπτων καταστάσεων. Στην τεχνική προσαρμογή του ΠΔΠ για το 2017</w:t>
      </w:r>
      <w:r>
        <w:rPr>
          <w:rStyle w:val="FootnoteReference"/>
          <w:noProof/>
        </w:rPr>
        <w:footnoteReference w:id="2"/>
      </w:r>
      <w:r>
        <w:rPr>
          <w:noProof/>
        </w:rPr>
        <w:t>, βάσει του άρθρου 6 του κανονισμού για το ΠΔΠ, το απόλυτο ποσό του περιθωρίου για απρόβλεπτες ανάγκες για το έτος 2017 ορίζεται στα 4 496,8 εκατ. EUR.</w:t>
      </w:r>
    </w:p>
    <w:p>
      <w:pPr>
        <w:rPr>
          <w:noProof/>
        </w:rPr>
      </w:pPr>
      <w:r>
        <w:rPr>
          <w:noProof/>
        </w:rPr>
        <w:t xml:space="preserve">Σύμφωνα με το άρθρο 13 του κανονισμού για το ΠΔΠ, και αφού εξέτασε όλες τις δυνατότητες για τη χρηματοδότηση των συμπληρωματικών και απρόβλεπτων αναγκών ανάληψης υποχρεώσεων, η Επιτροπή προτείνει την κινητοποίηση του περιθωρίου για απρόβλεπτες ανάγκες για το 2017 για ποσό ύψους 2 150,6 εκατ. EUR προκειμένου να συμπληρωθούν οι πιστώσεις ανάληψης υποχρεώσεων που αφορούν τις δαπάνες του τομέα 3 </w:t>
      </w:r>
      <w:r>
        <w:rPr>
          <w:i/>
          <w:noProof/>
        </w:rPr>
        <w:t>Ασφάλεια και ιθαγένεια</w:t>
      </w:r>
      <w:r>
        <w:rPr>
          <w:noProof/>
        </w:rPr>
        <w:t xml:space="preserve"> και του τομέα 4 </w:t>
      </w:r>
      <w:r>
        <w:rPr>
          <w:i/>
          <w:noProof/>
        </w:rPr>
        <w:t>Η Ευρώπη στον κόσμο</w:t>
      </w:r>
      <w:r>
        <w:rPr>
          <w:noProof/>
        </w:rPr>
        <w:t xml:space="preserve"> του γενικού προϋπολογισμού της Ευρωπαϊκής Ένωσης για το οικονομικό έτος 2017, πάνω από τα ανώτατα όρια ανάληψης υποχρεώσεων ύψους 2 578 εκατ. EUR και 9 432 εκατ. EUR, αντίστοιχα, σε τρέχουσες τιμές.</w:t>
      </w:r>
    </w:p>
    <w:p>
      <w:pPr>
        <w:rPr>
          <w:noProof/>
        </w:rPr>
      </w:pPr>
      <w:r>
        <w:rPr>
          <w:noProof/>
        </w:rPr>
        <w:t>Σύμφωνα με το σημείο 14 της διοργανικής συμφωνίας της 2ας Δεκεμβρίου 2013 μεταξύ του Ευρωπαϊκού Κοινοβουλίου, του Συμβουλίου και της Επιτροπής για τη δημοσιονομική πειθαρχία, τη συνεργασία σε δημοσιονομικά θέματα και τη χρηστή δημοσιονομική διαχείριση</w:t>
      </w:r>
      <w:r>
        <w:rPr>
          <w:rStyle w:val="FootnoteReference"/>
          <w:noProof/>
        </w:rPr>
        <w:footnoteReference w:id="3"/>
      </w:r>
      <w:r>
        <w:rPr>
          <w:noProof/>
        </w:rPr>
        <w:t xml:space="preserve">, η Επιτροπή προέβη σε ανάλυση της δυνατότητας να ανακατανείμει σημαντικά ποσά στο πλαίσιο του υφιστάμενου προϋπολογισμού. Σύμφωνα με το άρθρο 13 παράγραφος 3 του κανονισμού για το ΠΔΠ, η Επιτροπή προτείνει να αντισταθμιστεί η αύξηση του ανώτατου ορίου δαπανών των τομέων 3 και 4 ως εξής: </w:t>
      </w:r>
    </w:p>
    <w:p>
      <w:pPr>
        <w:pStyle w:val="Bullet0"/>
        <w:numPr>
          <w:ilvl w:val="0"/>
          <w:numId w:val="10"/>
        </w:numPr>
        <w:rPr>
          <w:noProof/>
        </w:rPr>
      </w:pPr>
      <w:r>
        <w:rPr>
          <w:noProof/>
        </w:rPr>
        <w:t xml:space="preserve">2017: 850 εκατ. EUR από το αδιάθετο περιθώριο που είναι διαθέσιμο κάτω από το ανώτατο όριο δαπανών του τομέα </w:t>
      </w:r>
      <w:r>
        <w:rPr>
          <w:i/>
          <w:noProof/>
        </w:rPr>
        <w:t>2 Βιώσιμη ανάπτυξη: Φυσικοί πόροι</w:t>
      </w:r>
      <w:r>
        <w:rPr>
          <w:noProof/>
        </w:rPr>
        <w:t xml:space="preserve"> και 514,4 εκατ. EUR από το αδιάθετο περιθώριο που είναι διαθέσιμο στον τομέα </w:t>
      </w:r>
      <w:r>
        <w:rPr>
          <w:i/>
          <w:noProof/>
        </w:rPr>
        <w:t>5 Διοίκηση</w:t>
      </w:r>
      <w:r>
        <w:rPr>
          <w:noProof/>
        </w:rPr>
        <w:t>.</w:t>
      </w:r>
    </w:p>
    <w:p>
      <w:pPr>
        <w:pStyle w:val="Bullet0"/>
        <w:rPr>
          <w:noProof/>
        </w:rPr>
      </w:pPr>
      <w:r>
        <w:rPr>
          <w:noProof/>
        </w:rPr>
        <w:t xml:space="preserve">2018: 570 εκατ. EUR από το αδιάθετο περιθώριο που είναι διαθέσιμο στον τομέα </w:t>
      </w:r>
      <w:r>
        <w:rPr>
          <w:i/>
          <w:noProof/>
        </w:rPr>
        <w:t>5 Διοίκηση</w:t>
      </w:r>
      <w:r>
        <w:rPr>
          <w:noProof/>
        </w:rPr>
        <w:t>.</w:t>
      </w:r>
    </w:p>
    <w:p>
      <w:pPr>
        <w:pStyle w:val="Bullet0"/>
        <w:rPr>
          <w:noProof/>
        </w:rPr>
      </w:pPr>
      <w:r>
        <w:rPr>
          <w:noProof/>
        </w:rPr>
        <w:t xml:space="preserve">2019: 216,2 εκατ. EUR από το αδιάθετο περιθώριο που είναι διαθέσιμο στον τομέα </w:t>
      </w:r>
      <w:r>
        <w:rPr>
          <w:i/>
          <w:noProof/>
        </w:rPr>
        <w:t>5 Διοίκηση</w:t>
      </w:r>
      <w:r>
        <w:rPr>
          <w:noProof/>
        </w:rPr>
        <w:t>.</w:t>
      </w:r>
    </w:p>
    <w:p>
      <w:pPr>
        <w:rPr>
          <w:rFonts w:eastAsia="Times New Roman"/>
          <w:noProof/>
        </w:rPr>
      </w:pPr>
      <w:r>
        <w:rPr>
          <w:noProof/>
        </w:rPr>
        <w:t>Στην ανωτέρω πρόταση περιλαμβάνεται ποσό ύψους 1 164,4 εκατ. EUR σχετικά με το οποίο η Επιτροπή είχε ήδη υποβάλει πρόταση για κινητοποίηση του περιθωρίου για απρόβλεπτες ανάγκες για τον τομέα 3, η οποία συνόδευε το αρχικό σχέδιο προϋπολογισμού του 2017</w:t>
      </w:r>
      <w:r>
        <w:rPr>
          <w:rStyle w:val="FootnoteReference"/>
          <w:noProof/>
        </w:rPr>
        <w:footnoteReference w:id="4"/>
      </w:r>
      <w:r>
        <w:rPr>
          <w:noProof/>
        </w:rPr>
        <w:t xml:space="preserve"> και έχει πλέον καταργηθεί και αντικατασταθεί από την παρούσα πρόταση.</w:t>
      </w:r>
    </w:p>
    <w:p>
      <w:pPr>
        <w:rPr>
          <w:noProof/>
        </w:rPr>
      </w:pPr>
      <w:r>
        <w:rPr>
          <w:noProof/>
        </w:rPr>
        <w:t>Της εν λόγω πρότασης προηγήθηκε πρόταση της Επιτροπής να κινητοποιηθεί πλήρως, και για τον τομέα 3, το ποσό του μηχανισμού ευελιξίας</w:t>
      </w:r>
      <w:r>
        <w:rPr>
          <w:rStyle w:val="FootnoteReference"/>
          <w:noProof/>
        </w:rPr>
        <w:footnoteReference w:id="5"/>
      </w:r>
      <w:r>
        <w:rPr>
          <w:noProof/>
        </w:rPr>
        <w:t xml:space="preserve"> για το 2017 (530 εκατ. EUR).</w:t>
      </w:r>
    </w:p>
    <w:p>
      <w:pPr>
        <w:spacing w:before="0" w:after="200" w:line="276" w:lineRule="auto"/>
        <w:jc w:val="left"/>
        <w:rPr>
          <w:b/>
          <w:smallCaps/>
          <w:noProof/>
        </w:rPr>
      </w:pPr>
      <w:r>
        <w:rPr>
          <w:noProof/>
        </w:rPr>
        <w:br w:type="page"/>
      </w:r>
    </w:p>
    <w:p>
      <w:pPr>
        <w:pStyle w:val="ManualHeading1"/>
        <w:ind w:left="851" w:hanging="851"/>
        <w:rPr>
          <w:noProof/>
        </w:rPr>
      </w:pPr>
      <w:r>
        <w:rPr>
          <w:noProof/>
        </w:rPr>
        <w:t>2.</w:t>
      </w:r>
      <w:r>
        <w:rPr>
          <w:noProof/>
        </w:rPr>
        <w:tab/>
      </w:r>
      <w:r>
        <w:rPr>
          <w:rStyle w:val="Heading1Char"/>
          <w:b/>
          <w:noProof/>
          <w:lang w:val="el-GR"/>
        </w:rPr>
        <w:t>ΑΙΤΙΟΛΟΓΗΣΗ ΤΗΣ ΚΙΝΗΤΟΠΟΙΗΣΗΣ</w:t>
      </w:r>
    </w:p>
    <w:p>
      <w:pPr>
        <w:pStyle w:val="ManualHeading2"/>
        <w:rPr>
          <w:noProof/>
        </w:rPr>
      </w:pPr>
      <w:r>
        <w:rPr>
          <w:noProof/>
        </w:rPr>
        <w:t>2.1.</w:t>
      </w:r>
      <w:r>
        <w:rPr>
          <w:noProof/>
        </w:rPr>
        <w:tab/>
        <w:t xml:space="preserve">ΕΙΣΑΓΩΓΗ </w:t>
      </w:r>
    </w:p>
    <w:p>
      <w:pPr>
        <w:rPr>
          <w:i/>
          <w:noProof/>
        </w:rPr>
      </w:pPr>
      <w:r>
        <w:rPr>
          <w:i/>
          <w:noProof/>
        </w:rPr>
        <w:t>2.1.1</w:t>
      </w:r>
      <w:r>
        <w:rPr>
          <w:noProof/>
        </w:rPr>
        <w:tab/>
      </w:r>
      <w:r>
        <w:rPr>
          <w:i/>
          <w:noProof/>
        </w:rPr>
        <w:t>Τομέας 3 Ασφάλεια και ιθαγένεια</w:t>
      </w:r>
    </w:p>
    <w:p>
      <w:pPr>
        <w:rPr>
          <w:noProof/>
        </w:rPr>
      </w:pPr>
      <w:r>
        <w:rPr>
          <w:noProof/>
        </w:rPr>
        <w:t xml:space="preserve">Η εσωτερική διάσταση της κρίσης στον τομέα της μετανάστευσης, των προσφύγων και της ασφάλειας χρηματοδοτείται από τον τομέα 3 μέσω του Ταμείου Ασύλου, Μετανάστευσης και Ένταξης (ΤΑΜΕ), του Ταμείου Εσωτερικής Ασφάλειας (ΤΕΑ), καθώς και μέσω εξειδικευμένων οργανισμών όπως ο Frontex, η EASO, ο eu-LISA και η Ευρωπόλ. Το 2016 εγκρίθηκε από το Συμβούλιο ένα νέο μέσο για την παροχή στήριξης έκτακτης ανάγκης εντός της Ένωσης μέσω του οποίου θα εξακολουθήσει να παρέχεται και το 2017 στήριξη έκτακτης ανάγκης ανθρωπιστικού χαρακτήρα για την αντιμετώπιση της τρέχουσας εισροής προσφύγων και μεταναστών στην Ένωση. </w:t>
      </w:r>
    </w:p>
    <w:p>
      <w:pPr>
        <w:rPr>
          <w:noProof/>
        </w:rPr>
      </w:pPr>
      <w:r>
        <w:rPr>
          <w:noProof/>
        </w:rPr>
        <w:t>Το ανώτατο όριο δαπανών του τομέα 3 το 2017 ανέρχεται σε 2 578 εκατ. EUR σε τρέχουσες τιμές. Οι εγκεκριμένες πιστώσεις ανάληψης υποχρεώσεων για τον τομέα 3 στον προϋπολογισμό του 2016 ανέρχονται σε 4 052 εκατ. EUR, γεγονός που απαιτεί την αξιοποίηση όλου του διαθέσιμου ποσού του μηχανισμού ευελιξίας ύψους 1 506 εκατ. EUR, πάνω από το ανώτατο όριο του τομέα 3, σύμφωνα με το άρθρο 11 παράγραφος 2 του κανονισμού για το ΠΔΠ.</w:t>
      </w:r>
    </w:p>
    <w:p>
      <w:pPr>
        <w:rPr>
          <w:noProof/>
        </w:rPr>
      </w:pPr>
      <w:r>
        <w:rPr>
          <w:noProof/>
        </w:rPr>
        <w:t>Η Επιτροπή προτείνει την πλήρη κινητοποίηση του ετήσιου ανώτατου ορίου του μηχανισμού ευελιξίας που είναι διαθέσιμο το 2017, ύψους 530 εκατ. EUR, ώστε να αυξηθούν οι δαπάνες πάνω από το ανώτατο όριο δαπανών του τομέα 3.</w:t>
      </w:r>
    </w:p>
    <w:p>
      <w:pPr>
        <w:rPr>
          <w:noProof/>
          <w:color w:val="231F20"/>
          <w:szCs w:val="24"/>
        </w:rPr>
      </w:pPr>
      <w:r>
        <w:rPr>
          <w:noProof/>
          <w:color w:val="231F20"/>
        </w:rPr>
        <w:t>Ωστόσο, το επίπεδο των δημοσιονομικών αναγκών για τη διαχείριση των επιπτώσεων της κρίσης στον τομέα της μετανάστευσης, των προσφύγων και της ασφάλειας θα είναι το 2017 αντίστοιχο τουλάχιστον με εκείνο του 2016. Ως πολιτική απόκριση, η Επιτροπή πρότεινε ευρύ φάσμα διαρθρωτικών ενεργειών σε σχέση με την ασφάλεια και τη διαχείριση των εξωτερικών συνόρων, τη</w:t>
      </w:r>
      <w:r>
        <w:rPr>
          <w:noProof/>
        </w:rPr>
        <w:t xml:space="preserve"> μεταρρύθμιση του κοινού ευρωπαϊκού συστήματος ασύλου, την ένταξη και την επιστροφή</w:t>
      </w:r>
      <w:r>
        <w:rPr>
          <w:noProof/>
          <w:color w:val="231F20"/>
        </w:rPr>
        <w:t xml:space="preserve">. </w:t>
      </w:r>
    </w:p>
    <w:p>
      <w:pPr>
        <w:rPr>
          <w:noProof/>
          <w:color w:val="231F20"/>
          <w:szCs w:val="24"/>
        </w:rPr>
      </w:pPr>
      <w:r>
        <w:rPr>
          <w:noProof/>
          <w:color w:val="231F20"/>
        </w:rPr>
        <w:t>Οι δαπάνες που σχετίζονται με τη μετανάστευση, τους πρόσφυγες και την ασφάλεια στον τομέα 3 αντιπροσωπεύουν ποσοστό άνω του 70 % των συνολικών δαπανών κάτω από το ανώτατο όριο. Η Επιτροπή έχει εξετάσει προσεκτικά όλες τις δυνατότητες αναδιάταξης και προτείνει να μειωθεί το επίπεδο των πιστώσεων (σε σύγκριση με τον δημοσιονομικό προγραμματισμό) που αφορούν τα τρόφιμα και τις ζωοτροφές, καθώς και τον μηχανισμό πολιτικής προστασίας. Ωστόσο, το περιθώριο ελιγμών είναι περιορισμένο λόγω του μικρού μεγέθους των προγραμμάτων και λόγω των νέων απαιτήσεων, όπως τα νέα μέτρα έκτακτης ανάγκης για την υγεία των φυτών που προβλέπονται στον κανονισμό για τα τρόφιμα και τις ζωοτροφές για το 2017. Συνεπώς, η αναδιάταξη πιστώσεων εντός του τομέα 3 δύναται να καλύψει μικρό μόνο ποσοστό των πρόσθετων αναγκών σχετικά με τη μετανάστευση και τους πρόσφυγες.</w:t>
      </w:r>
    </w:p>
    <w:p>
      <w:pPr>
        <w:rPr>
          <w:noProof/>
          <w:color w:val="231F20"/>
          <w:szCs w:val="24"/>
        </w:rPr>
      </w:pPr>
      <w:r>
        <w:rPr>
          <w:noProof/>
          <w:color w:val="231F20"/>
        </w:rPr>
        <w:t xml:space="preserve">Ως εκ τούτου, το μόνο πιθανό μέσο για την κάλυψη των δημοσιονομικών αναγκών είναι η κινητοποίηση του περιθωρίου για απρόβλεπτες ανάγκες. Διαθέσιμα περιθώρια σε άλλους τομείς επιτρέπουν την πλήρη αντιστάθμιση της εν λόγω κινητοποίησης εντός του 2017. </w:t>
      </w:r>
    </w:p>
    <w:p>
      <w:pPr>
        <w:rPr>
          <w:noProof/>
          <w:color w:val="231F20"/>
          <w:szCs w:val="24"/>
        </w:rPr>
      </w:pPr>
      <w:r>
        <w:rPr>
          <w:noProof/>
          <w:color w:val="231F20"/>
        </w:rPr>
        <w:t>Οι αντίστοιχες πιστώσεις πληρωμών θα ενσωματωθούν στο ανώτατο όριο πληρωμών του 2017· δεν υπάρχει συνεπώς ανάγκη να κινητοποιηθεί το περιθώριο για απρόβλεπτες ανάγκες για πληρωμές.</w:t>
      </w:r>
    </w:p>
    <w:p>
      <w:pPr>
        <w:spacing w:before="0" w:after="200" w:line="276" w:lineRule="auto"/>
        <w:jc w:val="left"/>
        <w:rPr>
          <w:i/>
          <w:noProof/>
        </w:rPr>
      </w:pPr>
      <w:r>
        <w:rPr>
          <w:noProof/>
        </w:rPr>
        <w:br w:type="page"/>
      </w:r>
    </w:p>
    <w:p>
      <w:pPr>
        <w:rPr>
          <w:i/>
          <w:noProof/>
        </w:rPr>
      </w:pPr>
      <w:r>
        <w:rPr>
          <w:i/>
          <w:noProof/>
        </w:rPr>
        <w:t>2.1.2</w:t>
      </w:r>
      <w:r>
        <w:rPr>
          <w:noProof/>
        </w:rPr>
        <w:tab/>
      </w:r>
      <w:r>
        <w:rPr>
          <w:i/>
          <w:noProof/>
        </w:rPr>
        <w:t>Τομέας 4 Η Ευρώπη στον κόσμο</w:t>
      </w:r>
    </w:p>
    <w:p>
      <w:pPr>
        <w:rPr>
          <w:noProof/>
          <w:color w:val="231F20"/>
          <w:szCs w:val="24"/>
        </w:rPr>
      </w:pPr>
      <w:r>
        <w:rPr>
          <w:noProof/>
        </w:rPr>
        <w:t xml:space="preserve">Στις 7 Ιουνίου 2016, η Επιτροπή υπέβαλε ανακοίνωση </w:t>
      </w:r>
      <w:r>
        <w:rPr>
          <w:i/>
          <w:noProof/>
        </w:rPr>
        <w:t>σχετικά με τη θέσπιση νέου πλαισίου εταιρικής σχέσης με τρίτες χώρες βάσει του Ευρωπαϊκού Προγράμματος Δράσης για τη Μετανάστευση</w:t>
      </w:r>
      <w:r>
        <w:rPr>
          <w:rStyle w:val="FootnoteReference"/>
          <w:noProof/>
        </w:rPr>
        <w:footnoteReference w:id="6"/>
      </w:r>
      <w:r>
        <w:rPr>
          <w:noProof/>
        </w:rPr>
        <w:t>, το οποίο βασίζεται στο σχέδιο δράσης της Βαλέτας</w:t>
      </w:r>
      <w:r>
        <w:rPr>
          <w:rStyle w:val="FootnoteReference"/>
          <w:noProof/>
        </w:rPr>
        <w:footnoteReference w:id="7"/>
      </w:r>
      <w:r>
        <w:rPr>
          <w:noProof/>
        </w:rPr>
        <w:t xml:space="preserve"> και στα αποτελέσματα των διαλόγων υψηλού επιπέδου για τη μετανάστευση, καθώς και σε </w:t>
      </w:r>
      <w:r>
        <w:rPr>
          <w:i/>
          <w:noProof/>
        </w:rPr>
        <w:t>συμφωνίες</w:t>
      </w:r>
      <w:r>
        <w:rPr>
          <w:rStyle w:val="FootnoteReference"/>
          <w:i/>
          <w:noProof/>
        </w:rPr>
        <w:footnoteReference w:id="8"/>
      </w:r>
      <w:r>
        <w:rPr>
          <w:noProof/>
        </w:rPr>
        <w:t xml:space="preserve"> με ορισμένους εταίρους προτεραιότητας, και για το οποίο θα απαιτηθεί πρόσθετη χρηματοδότηση. </w:t>
      </w:r>
      <w:r>
        <w:rPr>
          <w:noProof/>
          <w:color w:val="231F20"/>
        </w:rPr>
        <w:t xml:space="preserve">Ο βραχυπρόθεσμος στόχος αυτών των συμφώνων, που είναι ειδικά προσαρμοσμένα σε κάθε δικαιούχο χώρα, είναι να προσφέρουν καλύτερες προοπτικές στους πρόσφυγες και τους υποψηφίους μετανάστες, ώστε να παραμένουν όσο το δυνατόν εγγύτερα στις εστίες τους και να μην επιχειρούν επικίνδυνα ταξίδια. Πρόκειται για  ιδιαιτέρως επείγον εγχείρημα δεδομένου του μεγάλου αριθμού μεταναστών που έχασαν τη ζωή τους προσπαθώντας να φθάσουν στις ακτές της Ευρώπης από τη Βόρειο Αφρική. </w:t>
      </w:r>
    </w:p>
    <w:p>
      <w:pPr>
        <w:rPr>
          <w:noProof/>
          <w:color w:val="231F20"/>
          <w:szCs w:val="24"/>
        </w:rPr>
      </w:pPr>
      <w:r>
        <w:rPr>
          <w:noProof/>
          <w:color w:val="231F20"/>
        </w:rPr>
        <w:t>Για να επιτευχθεί αυτός ο στόχος σε χρονοδιάγραμμα συμβατό με την ανάγκη για ταχεία ανάληψη δράσης, ιδίως με τους εταίρους προτεραιότητας, η Επιτροπή προτείνει να ενισχυθούν ο μηχανισμός αναπτυξιακής συνεργασίας (ΜΑΣ) και ο ευρωπαϊκός μηχανισμός γειτονίας (ΕΜΓ) κατά 750 εκατ. EUR σε πιστώσεις ανάληψης υποχρεώσεων. Ειδικότερα, ο στόχος είναι να στηριχθούν μεσογειακές χώρες όπως ο Λίβανος, η Ιορδανία, η Τυνησία και η Λιβύη μέσω του ευρωπαϊκού μηχανισμού γειτονίας, αλλά και να αντιμετωπιστούν τα βαθύτερα αιτία της μετανάστευσης με συνδρομή προς τις χώρες της υποσαχάριας Αφρικής και της Ασίας, με τη χρήση του μηχανισμού αναπτυξιακής συνεργασίας.</w:t>
      </w:r>
    </w:p>
    <w:p>
      <w:pPr>
        <w:rPr>
          <w:noProof/>
          <w:color w:val="231F20"/>
          <w:szCs w:val="24"/>
        </w:rPr>
      </w:pPr>
      <w:r>
        <w:rPr>
          <w:noProof/>
          <w:color w:val="231F20"/>
        </w:rPr>
        <w:t>Προκειμένου να αντιμετωπιστούν τα βαθύτερα αιτία της μετανάστευσης, η Επιτροπή εγκαινίασε το Ευρωπαϊκό Ταμείο για τη Βιώσιμη Ανάπτυξη (ΕΤΒΑ) που βασίζεται στη θέσπιση Εγγύησης του ΕΤΒΑ και ενός Ταμείου Εγγυήσεων του ΕΤΒΑ. Η Επιτροπή προτείνει να εγγραφούν στο Ταμείο Εγγυήσεων του ΕΤΒΑ 750 εκατ. EUR κατά την περίοδο 2017-2020, εκ των οποίων 400 εκατ. EUR από το Ευρωπαϊκό Ταμείο Ανάπτυξης (ΕΤΑ) για την τετραετία, 100 εκατ. EUR από τον ΕΜΓ για την περίοδο 2017 – 2020 (εκ των οποίων 25 εκατ. EUR το 2017) και 250 εκατ. EUR για πιστώσεις ανάληψης υποχρεώσεων (και πληρωμών) το 2017.</w:t>
      </w:r>
    </w:p>
    <w:p>
      <w:pPr>
        <w:rPr>
          <w:noProof/>
          <w:color w:val="231F20"/>
          <w:szCs w:val="24"/>
        </w:rPr>
      </w:pPr>
      <w:r>
        <w:rPr>
          <w:noProof/>
          <w:color w:val="231F20"/>
        </w:rPr>
        <w:t>Η μεταφορά ποσού 13,8 εκατ. EUR στο πλαίσιο των δαπανών για τους τρεις ειδικούς εντεταλμένους της Ευρωπαϊκής Ένωσης με διττή ιδιότητα από τον τομέα 4 στον προϋπολογισμό της Ευρωπαϊκής Υπηρεσίας Εξωτερικής Δράσης (τομέας 5) δημιουργεί αντίστοιχο περιθώριο κάτω από το ανώτατο όριο δαπανών του τομέα 4. Το εν λόγω περιθώριο μπορεί να χρησιμοποιηθεί πρώτα για την κάλυψη μέρους του 1 δισ. EUR επιπλέον και απρόβλεπτων αναγκών στο πλαίσιο του συγκεκριμένου τομέα, όπως περιγράφεται στη διορθωτική επιστολή αριθ. 1 στο σχέδιο προϋπολογισμού του 2017</w:t>
      </w:r>
      <w:r>
        <w:rPr>
          <w:rStyle w:val="FootnoteReference"/>
          <w:noProof/>
          <w:color w:val="231F20"/>
        </w:rPr>
        <w:footnoteReference w:id="9"/>
      </w:r>
      <w:r>
        <w:rPr>
          <w:noProof/>
          <w:color w:val="231F20"/>
        </w:rPr>
        <w:t xml:space="preserve">, πριν από την προσφυγή στο περιθώριο για απρόβλεπτες ανάγκες για να καλύψει το υπόλοιπο ποσό (986,2 εκατ. EUR). Η Επιτροπή προτείνει να αντισταθμίσει ένα μέρος (200 εκατ. EUR) του εν λόγω υπόλοιπου ποσού από το διαθέσιμο περιθώριο στον τομέα 2 </w:t>
      </w:r>
      <w:r>
        <w:rPr>
          <w:i/>
          <w:noProof/>
          <w:color w:val="231F20"/>
        </w:rPr>
        <w:t>Βιώσιμη ανάπτυξη — Φυσικοί πόροι</w:t>
      </w:r>
      <w:r>
        <w:rPr>
          <w:noProof/>
          <w:color w:val="231F20"/>
        </w:rPr>
        <w:t xml:space="preserve"> το 2017, αφήνοντας υπόλοιπο περιθωρίου 439,3 εκατ. EUR· το υπόλοιπο μέρος (786,2 εκατ. EUR) πρέπει να αντισταθμιστεί από τα περιθώρια του τομέα 5 </w:t>
      </w:r>
      <w:r>
        <w:rPr>
          <w:i/>
          <w:noProof/>
          <w:color w:val="231F20"/>
        </w:rPr>
        <w:t>Διοίκηση</w:t>
      </w:r>
      <w:r>
        <w:rPr>
          <w:noProof/>
          <w:color w:val="231F20"/>
        </w:rPr>
        <w:t xml:space="preserve"> το 2018 (570 εκατ. EUR) και το 2019 (216,2 εκατ. EUR). Κατ’ αυτόν τον τρόπο η αντιστάθμιση διατηρεί όσο το δυνατόν περισσότερο περιθώριο για την αντιμετώπιση μελλοντικών απρόβλεπτων γεγονότων. </w:t>
      </w:r>
    </w:p>
    <w:p>
      <w:pPr>
        <w:spacing w:before="0" w:after="200" w:line="276" w:lineRule="auto"/>
        <w:jc w:val="left"/>
        <w:rPr>
          <w:b/>
          <w:noProof/>
        </w:rPr>
      </w:pPr>
      <w:r>
        <w:rPr>
          <w:noProof/>
        </w:rPr>
        <w:br w:type="page"/>
      </w:r>
    </w:p>
    <w:p>
      <w:pPr>
        <w:pStyle w:val="ManualHeading2"/>
        <w:rPr>
          <w:noProof/>
        </w:rPr>
      </w:pPr>
      <w:r>
        <w:rPr>
          <w:noProof/>
        </w:rPr>
        <w:t>2.2.</w:t>
      </w:r>
      <w:r>
        <w:rPr>
          <w:noProof/>
        </w:rPr>
        <w:tab/>
        <w:t>ΤΟ ΠΕΡΙΘΩΡΙΟ ΓΙΑ ΑΠΡΟΒΛΕΠΤΕΣ ΑΝΑΓΚΕΣ ΩΣ ΕΣΧΑΤΟ ΜΕΣΟ</w:t>
      </w:r>
    </w:p>
    <w:p>
      <w:pPr>
        <w:rPr>
          <w:noProof/>
        </w:rPr>
      </w:pPr>
      <w:r>
        <w:rPr>
          <w:noProof/>
        </w:rPr>
        <w:t xml:space="preserve">Στο άρθρο 13 παράγραφος 1 του κανονισμού για το ΠΔΠ το περιθώριο για απρόβλεπτες ανάγκες ορίζεται ως έσχατο μέσο αντιμετώπισης απρόβλεπτων καταστάσεων. Στο σχέδιο προϋπολογισμού (ΣΠ) του 2017, η Επιτροπή, αφού εξέτασε όλες τις δυνατότητες ανακατανομής πιστώσεων στο πλαίσιο των τομέων 3 και 4, προτείνει να χρησιμοποιηθεί πλήρως το αδιάθετο περιθώριο κάτω από το ανώτατο όριο ανάληψης υποχρεώσεων των εν λόγω τομέων. </w:t>
      </w:r>
    </w:p>
    <w:p>
      <w:pPr>
        <w:rPr>
          <w:noProof/>
        </w:rPr>
      </w:pPr>
      <w:r>
        <w:rPr>
          <w:noProof/>
        </w:rPr>
        <w:t xml:space="preserve">Λόγω της πλήρους αξιοποίησης του μέσου ευελιξίας στο ΣΠ 2017 (530 εκατ. EUR), η κινητοποίηση του περιθωρίου για απρόβλεπτες ανάγκες για το 2017 για ποσό ύψους 2 150,6 εκατ. EUR είναι, επομένως, το μόνο διαθέσιμο μέσο για την αντιμετώπιση του χάσματος ανάμεσα στο ανώτατο όριο δαπανών των τομέων 3 και 4 το 2017 και στις εκτιμώμενες για το 2017 πρόσθετες απρόβλεπτες ανάγκες. </w:t>
      </w:r>
    </w:p>
    <w:p>
      <w:pPr>
        <w:pStyle w:val="ManualHeading2"/>
        <w:rPr>
          <w:noProof/>
        </w:rPr>
      </w:pPr>
      <w:r>
        <w:rPr>
          <w:noProof/>
        </w:rPr>
        <w:t>2.3.</w:t>
      </w:r>
      <w:r>
        <w:rPr>
          <w:noProof/>
        </w:rPr>
        <w:tab/>
        <w:t>ΔΗΜΟΣΙΟΝΟΜΙΚΕΣ ΕΠΙΠΤΩΣΕΙΣ ΤΩΝ ΑΠΡΟΒΛΕΠΤΩΝ ΚΑΤΑΣΤΑΣΕΩΝ ΤΟ 2017</w:t>
      </w:r>
    </w:p>
    <w:p>
      <w:pPr>
        <w:rPr>
          <w:noProof/>
        </w:rPr>
      </w:pPr>
      <w:r>
        <w:rPr>
          <w:noProof/>
        </w:rPr>
        <w:t>Αν και η κρίση στον τομέα της μετανάστευσης, των προσφύγων και της ασφάλειας άρχισε το 2015, ο αντίκτυπος και οι συνέπειές της εξακολουθούν να εξελίσσονται καθημερινά. Οι πολιτικές αποφάσεις σε τρίτες χώρες σχετικά με την αποδοχή προσφύγων στο έδαφός τους και με το άνοιγμα και κλείσιμο των συνόρων καθιστούν εξαιρετικά δύσκολη την πρόβλεψη των μακροπρόθεσμων εξελίξεων στον συγκεκριμένο τομέα. Ο μεταβαλλόμενος και μη προβλέψιμος χαρακτήρας της κρίσης αιτιολογεί τη χρήση του περιθωρίου για απρόβλεπτες ανάγκες ως έσχατου μέσου για την αντιμετώπιση των απρόβλεπτων συνεπειών της κρίσης στον τομέα της μετανάστευσης, των προσφύγων και της ασφάλειας όσον αφορά τις ανάγκες για δαπάνες στους τομείς 3 και 4.</w:t>
      </w:r>
    </w:p>
    <w:p>
      <w:pPr>
        <w:pStyle w:val="ManualHeading1"/>
        <w:rPr>
          <w:noProof/>
        </w:rPr>
      </w:pPr>
      <w:r>
        <w:rPr>
          <w:noProof/>
        </w:rPr>
        <w:t>3.</w:t>
      </w:r>
      <w:r>
        <w:rPr>
          <w:noProof/>
        </w:rPr>
        <w:tab/>
        <w:t xml:space="preserve">ΑΝΤΙΣΤΑΘΜΙΣΗ ΤΟΥ ΠΕΡΙΘΩΡΙΟΥ ΓΙΑ ΑΠΡΟΒΛΕΠΤΕΣ ΑΝΑΓΚΕΣ ΜΕ ΤΑ ΑΝΩΤΑΤΑ ΟΡΙΑ ΤΟΥ ΠΔΠ </w:t>
      </w:r>
    </w:p>
    <w:p>
      <w:pPr>
        <w:rPr>
          <w:noProof/>
        </w:rPr>
      </w:pPr>
      <w:r>
        <w:rPr>
          <w:noProof/>
        </w:rPr>
        <w:t>Το άρθρο 13 παράγραφος 3 του κανονισμού για το ΠΔΠ απαιτεί τα ποσά που διατίθενται μέσω της αξιοποίησης του περιθωρίου για απρόβλεπτες ανάγκες να αντισταθμίζονται εξ ολοκλήρου με τα περιθώρια για το τρέχον ή τα μελλοντικά οικονομικά έτη.</w:t>
      </w:r>
    </w:p>
    <w:p>
      <w:pPr>
        <w:spacing w:before="0" w:after="0"/>
        <w:rPr>
          <w:noProof/>
        </w:rPr>
      </w:pPr>
      <w:r>
        <w:rPr>
          <w:noProof/>
        </w:rPr>
        <w:t xml:space="preserve">Σύμφωνα με το άρθρο 13 παράγραφος 4 του κανονισμού για το ΠΔΠ, τα ποσά που αντισταθμίζονται με αυτόν τον τρόπο δεν αξιοποιούνται περαιτέρω στο πλαίσιο του ΠΔΠ, έτσι ώστε να μη σημειώνεται υπέρβαση των συνολικών ανώτατων ορίων των πιστώσεων ανάληψης υποχρεώσεων και πληρωμών που προβλέπει το ΠΔΠ για το τρέχον και για τα μελλοντικά οικονομικά έτη. Συνεπώς, η κινητοποίηση του περιθωρίου για απρόβλεπτες ανάγκες για πιστώσεις ανάληψης υποχρεώσεων το 2017 στο πλαίσιο των τομέων 3 και 4 και η σχετική αντιστάθμιση πρέπει να τηρούν το συνολικό ανώτατο όριο ανάληψης υποχρεώσεων για τα έτη 2017 έως 2020. </w:t>
      </w:r>
    </w:p>
    <w:p>
      <w:pPr>
        <w:rPr>
          <w:noProof/>
        </w:rPr>
      </w:pPr>
      <w:r>
        <w:rPr>
          <w:noProof/>
        </w:rPr>
        <w:t xml:space="preserve">Η Επιτροπή προτείνει να αντισταθμιστεί η αύξηση των ανώτατων ορίων για τις δαπάνες των τομέων 3 και 4 σε τέσσερις δόσεις μεταξύ 2017 και 2019 ως εξής: </w:t>
      </w:r>
    </w:p>
    <w:p>
      <w:pPr>
        <w:pStyle w:val="Bullet0"/>
        <w:rPr>
          <w:noProof/>
        </w:rPr>
      </w:pPr>
      <w:r>
        <w:rPr>
          <w:noProof/>
        </w:rPr>
        <w:t xml:space="preserve">2017: </w:t>
      </w:r>
    </w:p>
    <w:p>
      <w:pPr>
        <w:pStyle w:val="Bullet1"/>
        <w:numPr>
          <w:ilvl w:val="0"/>
          <w:numId w:val="11"/>
        </w:numPr>
        <w:rPr>
          <w:noProof/>
        </w:rPr>
      </w:pPr>
      <w:r>
        <w:rPr>
          <w:noProof/>
        </w:rPr>
        <w:t xml:space="preserve">850 εκατ. EUR με το αδιάθετο περιθώριο που είναι διαθέσιμο κάτω από το ανώτατο όριο δαπανών του τομέα 2, και </w:t>
      </w:r>
    </w:p>
    <w:p>
      <w:pPr>
        <w:pStyle w:val="Bullet1"/>
        <w:rPr>
          <w:noProof/>
        </w:rPr>
      </w:pPr>
      <w:r>
        <w:rPr>
          <w:noProof/>
        </w:rPr>
        <w:t>514,4 εκατ. EUR με το αδιάθετο περιθώριο που είναι διαθέσιμο κάτω από το ανώτατο όριο δαπανών του τομέα 5.</w:t>
      </w:r>
    </w:p>
    <w:p>
      <w:pPr>
        <w:pStyle w:val="Bullet0"/>
        <w:rPr>
          <w:noProof/>
        </w:rPr>
      </w:pPr>
      <w:r>
        <w:rPr>
          <w:noProof/>
        </w:rPr>
        <w:t>2018: 570 εκατ. EUR με το αδιάθετο περιθώριο που είναι διαθέσιμο κάτω από το ανώτατο όριο δαπανών του τομέα 5.</w:t>
      </w:r>
    </w:p>
    <w:p>
      <w:pPr>
        <w:pStyle w:val="Bullet0"/>
        <w:rPr>
          <w:noProof/>
        </w:rPr>
      </w:pPr>
      <w:r>
        <w:rPr>
          <w:noProof/>
        </w:rPr>
        <w:t>2019: 216,2 εκατ. EUR με το αδιάθετο περιθώριο που είναι διαθέσιμο κάτω από το ανώτατο όριο δαπανών του τομέα 5.</w:t>
      </w:r>
    </w:p>
    <w:p>
      <w:pPr>
        <w:rPr>
          <w:noProof/>
        </w:rPr>
      </w:pPr>
      <w:r>
        <w:rPr>
          <w:noProof/>
        </w:rPr>
        <w:t>Μετά την αντιστάθμιση θα μείνει περιθώριο 439,3 εκατ. EUR κάτω από το ανώτατο όριο δαπανών του τομέα 2, αλλά κανένα περιθώριο κάτω από το ανώτατο όριο δαπανών του τομέα 5 το 2017. Για το 2018 και το 2019, η αντιστάθμιση που προτείνεται θα αφήσει περιθώριο τουλάχιστον 100 εκατ. EUR στον τομέα 5 σύμφωνα με τις προβλέψεις του ενδεικτικού δημοσιονομικού προγραμματισμού.</w:t>
      </w:r>
    </w:p>
    <w:p>
      <w:pPr>
        <w:rPr>
          <w:noProof/>
        </w:rPr>
      </w:pPr>
      <w:r>
        <w:rPr>
          <w:noProof/>
        </w:rPr>
        <w:t>Το συνολικό ανώτατο όριο ανάληψης υποχρεώσεων για το σύνολο του ΠΔΠ θα παραμείνει αμετάβλητο.</w:t>
      </w:r>
    </w:p>
    <w:p>
      <w:pPr>
        <w:pStyle w:val="ManualHeading1"/>
        <w:rPr>
          <w:noProof/>
        </w:rPr>
      </w:pPr>
      <w:r>
        <w:rPr>
          <w:noProof/>
        </w:rPr>
        <w:t>4.</w:t>
      </w:r>
      <w:r>
        <w:rPr>
          <w:noProof/>
        </w:rPr>
        <w:tab/>
        <w:t xml:space="preserve">ΠΡΟΣΘΕΤΑ ΣΤΟΙΧΕΙΑ </w:t>
      </w:r>
    </w:p>
    <w:p>
      <w:pPr>
        <w:rPr>
          <w:noProof/>
        </w:rPr>
      </w:pPr>
      <w:r>
        <w:rPr>
          <w:noProof/>
        </w:rPr>
        <w:t>Υπενθυμίζεται στο Ευρωπαϊκό Κοινοβούλιο και στο Συμβούλιο ότι η δημοσίευση της παρούσας απόφασης στην Επίσημη Εφημερίδα της Ευρωπαϊκής Ένωσης δεν μπορεί να πραγματοποιηθεί μετά την ημερομηνία δημοσίευσης του προϋπολογισμού του 2017 της Ευρωπαϊκής Ένωσης, σύμφωνα με το άρθρο 13 παράγραφος 1 τελευταία περίοδος του κανονισμού για το ΠΔΠ.</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Statut"/>
        <w:rPr>
          <w:noProof/>
        </w:rPr>
      </w:pPr>
      <w:r>
        <w:rPr>
          <w:noProof/>
        </w:rPr>
        <w:t>Πρόταση</w:t>
      </w:r>
    </w:p>
    <w:p>
      <w:pPr>
        <w:pStyle w:val="Typedudocument"/>
        <w:rPr>
          <w:noProof/>
        </w:rPr>
      </w:pPr>
      <w:r>
        <w:rPr>
          <w:noProof/>
        </w:rPr>
        <w:t>ΑΠΟΦΑΣΗ ΤΟΥ ΕΥΡΩΠΑΪΚΟΥ ΚΟΙΝΟΒΟΥΛΙΟΥ ΚΑΙ ΤΟΥ ΣΥΜΒΟΥΛΙΟΥ</w:t>
      </w:r>
    </w:p>
    <w:p>
      <w:pPr>
        <w:pStyle w:val="Titreobjet"/>
        <w:rPr>
          <w:noProof/>
        </w:rPr>
      </w:pPr>
      <w:r>
        <w:rPr>
          <w:noProof/>
        </w:rPr>
        <w:t>για την κινητοποίηση του περιθωρίου για απρόβλεπτες ανάγκες το 2017</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w:t>
      </w:r>
    </w:p>
    <w:p>
      <w:pPr>
        <w:rPr>
          <w:noProof/>
        </w:rPr>
      </w:pPr>
      <w:r>
        <w:rPr>
          <w:noProof/>
        </w:rPr>
        <w:t>Έχοντας υπόψη τη διοργανική συμφωνία της 2ας Δεκεμβρίου 2013 μεταξύ του Ευρωπαϊκού Κοινοβουλίου, του Συμβουλίου και της Επιτροπής για τη δημοσιονομική πειθαρχία, τη συνεργασία σε δημοσιονομικά θέματα και τη χρηστή δημοσιονομική διαχείριση</w:t>
      </w:r>
      <w:r>
        <w:rPr>
          <w:rStyle w:val="FootnoteReference"/>
          <w:noProof/>
        </w:rPr>
        <w:footnoteReference w:id="10"/>
      </w:r>
      <w:r>
        <w:rPr>
          <w:noProof/>
        </w:rPr>
        <w:t>, και ιδίως το σημείο 14 δεύτερο εδάφιο,</w:t>
      </w:r>
    </w:p>
    <w:p>
      <w:pPr>
        <w:rPr>
          <w:noProof/>
        </w:rPr>
      </w:pPr>
      <w:r>
        <w:rPr>
          <w:noProof/>
        </w:rPr>
        <w:t>Έχοντας υπόψη την πρόταση της Ευρωπαϊκής Επιτροπής,</w:t>
      </w:r>
    </w:p>
    <w:p>
      <w:pPr>
        <w:rPr>
          <w:noProof/>
        </w:rPr>
      </w:pPr>
      <w:r>
        <w:rPr>
          <w:noProof/>
        </w:rPr>
        <w:t xml:space="preserve">Εκτιμώντας τα ακόλουθα: </w:t>
      </w:r>
    </w:p>
    <w:p>
      <w:pPr>
        <w:rPr>
          <w:noProof/>
        </w:rPr>
      </w:pPr>
      <w:r>
        <w:rPr>
          <w:noProof/>
        </w:rPr>
        <w:t>(1) Το άρθρο 13 του κανονισμού αριθ. 1311/2013 του Συμβουλίου</w:t>
      </w:r>
      <w:r>
        <w:rPr>
          <w:rStyle w:val="FootnoteReference"/>
          <w:noProof/>
        </w:rPr>
        <w:footnoteReference w:id="11"/>
      </w:r>
      <w:r>
        <w:rPr>
          <w:noProof/>
        </w:rPr>
        <w:t xml:space="preserve"> καθιέρωσε περιθώριο για απρόβλεπτες ανάγκες ύψους έως 0,03 % του Ακαθάριστου Εθνικού Εισοδήματος της Ένωσης. </w:t>
      </w:r>
    </w:p>
    <w:p>
      <w:pPr>
        <w:rPr>
          <w:noProof/>
        </w:rPr>
      </w:pPr>
      <w:r>
        <w:rPr>
          <w:noProof/>
        </w:rPr>
        <w:t>(2) Σύμφωνα με το άρθρο 6 του κανονισμού (ΕΕ, Ευρατόμ) αριθ. 1311/2013, η Επιτροπή έχει υπολογίσει το απόλυτο ποσό αυτού του περιθωρίου για απρόβλεπτες ανάγκες για το 2017</w:t>
      </w:r>
      <w:r>
        <w:rPr>
          <w:rStyle w:val="FootnoteReference"/>
          <w:noProof/>
        </w:rPr>
        <w:footnoteReference w:id="12"/>
      </w:r>
      <w:r>
        <w:rPr>
          <w:noProof/>
        </w:rPr>
        <w:t>.</w:t>
      </w:r>
    </w:p>
    <w:p>
      <w:pPr>
        <w:rPr>
          <w:noProof/>
        </w:rPr>
      </w:pPr>
      <w:r>
        <w:rPr>
          <w:noProof/>
        </w:rPr>
        <w:t xml:space="preserve">(3) Αφού εξετάστηκαν όλες οι άλλες δημοσιονομικές δυνατότητες αντιμετώπισης απρόβλεπτων συνθηκών εντός του ανώτατου ορίου δαπανών του 2017 για τους τομείς </w:t>
      </w:r>
      <w:r>
        <w:rPr>
          <w:i/>
          <w:noProof/>
        </w:rPr>
        <w:t>3 Ασφάλεια και ιθαγένεια</w:t>
      </w:r>
      <w:r>
        <w:rPr>
          <w:noProof/>
        </w:rPr>
        <w:t xml:space="preserve"> και </w:t>
      </w:r>
      <w:r>
        <w:rPr>
          <w:i/>
          <w:noProof/>
        </w:rPr>
        <w:t>4 Η Ευρώπη στον κόσμο</w:t>
      </w:r>
      <w:r>
        <w:rPr>
          <w:noProof/>
        </w:rPr>
        <w:t xml:space="preserve"> που καθορίζονται στο πολυετές δημοσιονομικό πλαίσιο (ΠΔΠ), και αφού προτάθηκε η κινητοποίηση του μέσου ευελιξίας για τον τομέα 3 του ΠΔΠ για ολόκληρο το διαθέσιμο για το 2017 ποσό των 530 000 000 EUR, η κινητοποίηση του περιθωρίου για απρόβλεπτες ανάγκες είναι απαραίτητη για την κάλυψη των αναγκών που προκύπτουν από την κρίση στον τομέα της μετανάστευσης, των προσφύγων και της ασφάλειας, με την αύξηση των πιστώσεων ανάληψης υποχρεώσεων των τομέων 3 και 4 του ΠΔΠ στον γενικό προϋπολογισμό της Ευρωπαϊκής Ένωσης για το οικονομικό έτος 2017, πάνω από τα ανώτατα όρια των εν λόγω τομέων.</w:t>
      </w:r>
    </w:p>
    <w:p>
      <w:pPr>
        <w:rPr>
          <w:noProof/>
        </w:rPr>
      </w:pPr>
      <w:r>
        <w:rPr>
          <w:noProof/>
        </w:rPr>
        <w:t>(4) Έχοντας υπόψη τη συγκεκριμένη εξαιρετικά ιδιάζουσα κατάσταση, πληρούται ο όρος του έσχατου μέσου αντιμετώπισης απρόβλεπτων καταστάσεων του άρθρου 13 παράγραφος 1 του κανονισμού (ΕΕ, Ευρατόμ) αριθ. 1311/2013.</w:t>
      </w:r>
    </w:p>
    <w:p>
      <w:pPr>
        <w:rPr>
          <w:noProof/>
        </w:rPr>
      </w:pPr>
      <w:r>
        <w:rPr>
          <w:noProof/>
        </w:rPr>
        <w:t>(5) Προκειμένου να ελαχιστοποιηθεί ο χρόνος που χρειάζεται για την αξιοποίηση του περιθωρίου για απρόβλεπτες ανάγκες, η παρούσα απόφαση θα πρέπει να εφαρμοστεί από τις αρχές του οικονομικού έτους 2017,</w:t>
      </w:r>
    </w:p>
    <w:p>
      <w:pPr>
        <w:pStyle w:val="Formuledadoption"/>
        <w:rPr>
          <w:noProof/>
        </w:rPr>
      </w:pPr>
      <w:r>
        <w:rPr>
          <w:noProof/>
        </w:rPr>
        <w:t>ΕΞΕΔΩΣΑΝ ΤΗΝ ΠΑΡΟΥΣΑ ΑΠΟΦΑΣΗ:</w:t>
      </w:r>
    </w:p>
    <w:p>
      <w:pPr>
        <w:pStyle w:val="Titrearticle"/>
        <w:rPr>
          <w:noProof/>
        </w:rPr>
      </w:pPr>
      <w:r>
        <w:rPr>
          <w:noProof/>
        </w:rPr>
        <w:t>Άρθρο 1</w:t>
      </w:r>
    </w:p>
    <w:p>
      <w:pPr>
        <w:rPr>
          <w:noProof/>
        </w:rPr>
      </w:pPr>
      <w:r>
        <w:rPr>
          <w:noProof/>
        </w:rPr>
        <w:t xml:space="preserve">Στο πλαίσιο του γενικού προϋπολογισμού της Ένωσης για το οικονομικό έτος 2017, το περιθώριο για απρόβλεπτες ανάγκες κινητοποιείται για την παροχή 1 164 380 960 EUR σε πιστώσεις ανάληψης υποχρεώσεων πάνω από το ανώτατο όριο ανάληψης υποχρεώσεων του τομέα 3 </w:t>
      </w:r>
      <w:r>
        <w:rPr>
          <w:i/>
          <w:noProof/>
        </w:rPr>
        <w:t>Ασφάλεια και ιθαγένεια</w:t>
      </w:r>
      <w:r>
        <w:rPr>
          <w:noProof/>
        </w:rPr>
        <w:t xml:space="preserve"> και 986 230 000 EUR σε πιστώσεις ανάληψης υποχρεώσεων πάνω από το ανώτατο όριο ανάληψης υποχρεώσεων του τομέα 4 </w:t>
      </w:r>
      <w:r>
        <w:rPr>
          <w:i/>
          <w:noProof/>
        </w:rPr>
        <w:t>Η Ευρώπη στον κόσμο</w:t>
      </w:r>
      <w:r>
        <w:rPr>
          <w:noProof/>
        </w:rPr>
        <w:t xml:space="preserve"> του πολυετούς δημοσιονομικού πλαισίου.</w:t>
      </w:r>
    </w:p>
    <w:p>
      <w:pPr>
        <w:pStyle w:val="Titrearticle"/>
        <w:rPr>
          <w:noProof/>
        </w:rPr>
      </w:pPr>
      <w:r>
        <w:rPr>
          <w:noProof/>
        </w:rPr>
        <w:t>Άρθρο 2</w:t>
      </w:r>
    </w:p>
    <w:p>
      <w:pPr>
        <w:rPr>
          <w:noProof/>
        </w:rPr>
      </w:pPr>
      <w:r>
        <w:rPr>
          <w:noProof/>
        </w:rPr>
        <w:t>Το ποσό των  2 150 610 960 EUR σε πιστώσεις ανάληψης υποχρεώσεων που κινητοποιείται μέσω του περιθωρίου για απρόβλεπτες ανάγκες για το οικονομικό έτος 2017 αντισταθμίζεται με τα περιθώρια των ετών 2017 έως 2019 των ακόλουθων τομέων:</w:t>
      </w:r>
    </w:p>
    <w:p>
      <w:pPr>
        <w:pStyle w:val="Point0letter"/>
        <w:numPr>
          <w:ilvl w:val="1"/>
          <w:numId w:val="12"/>
        </w:numPr>
        <w:rPr>
          <w:noProof/>
        </w:rPr>
      </w:pPr>
      <w:r>
        <w:rPr>
          <w:noProof/>
        </w:rPr>
        <w:t>2017:</w:t>
      </w:r>
    </w:p>
    <w:p>
      <w:pPr>
        <w:ind w:left="720" w:firstLine="720"/>
        <w:jc w:val="left"/>
        <w:rPr>
          <w:noProof/>
        </w:rPr>
      </w:pPr>
      <w:r>
        <w:rPr>
          <w:noProof/>
        </w:rPr>
        <w:t xml:space="preserve">I) τομέας 2 </w:t>
      </w:r>
      <w:r>
        <w:rPr>
          <w:i/>
          <w:noProof/>
        </w:rPr>
        <w:t>Βιώσιμη ανάπτυξη – Φυσικοί πόροι</w:t>
      </w:r>
      <w:r>
        <w:rPr>
          <w:noProof/>
        </w:rPr>
        <w:t>: 850 000 000 EUR·</w:t>
      </w:r>
      <w:r>
        <w:rPr>
          <w:noProof/>
        </w:rPr>
        <w:br/>
      </w:r>
      <w:r>
        <w:rPr>
          <w:noProof/>
        </w:rPr>
        <w:tab/>
        <w:t xml:space="preserve">ii) τομέας 5 </w:t>
      </w:r>
      <w:r>
        <w:rPr>
          <w:i/>
          <w:noProof/>
        </w:rPr>
        <w:t>Διοίκηση</w:t>
      </w:r>
      <w:r>
        <w:rPr>
          <w:noProof/>
        </w:rPr>
        <w:t xml:space="preserve"> 514 380 960 EUR·</w:t>
      </w:r>
    </w:p>
    <w:p>
      <w:pPr>
        <w:pStyle w:val="Point0letter"/>
        <w:rPr>
          <w:noProof/>
        </w:rPr>
      </w:pPr>
      <w:r>
        <w:rPr>
          <w:noProof/>
        </w:rPr>
        <w:t>2018: τομέας 5 Διοίκηση: 570 000 000 εκατ. EUR·</w:t>
      </w:r>
    </w:p>
    <w:p>
      <w:pPr>
        <w:pStyle w:val="Point0letter"/>
        <w:rPr>
          <w:noProof/>
        </w:rPr>
      </w:pPr>
      <w:r>
        <w:rPr>
          <w:noProof/>
        </w:rPr>
        <w:t>2019: τομέας 5 Διοίκηση: 216 230 000 εκατ. EUR.</w:t>
      </w:r>
    </w:p>
    <w:p>
      <w:pPr>
        <w:pStyle w:val="Titrearticle"/>
        <w:rPr>
          <w:noProof/>
        </w:rPr>
      </w:pPr>
      <w:r>
        <w:rPr>
          <w:noProof/>
        </w:rPr>
        <w:t>Άρθρο 3</w:t>
      </w:r>
    </w:p>
    <w:p>
      <w:pPr>
        <w:rPr>
          <w:i/>
          <w:noProof/>
        </w:rPr>
      </w:pPr>
      <w:r>
        <w:rPr>
          <w:noProof/>
        </w:rPr>
        <w:t xml:space="preserve">Η παρούσα απόφαση αρχίζει να ισχύει την ημέρα της δημοσίευσής της στην </w:t>
      </w:r>
      <w:r>
        <w:rPr>
          <w:i/>
          <w:noProof/>
        </w:rPr>
        <w:t>Επίσημη Εφημερίδα της Ευρωπαϊκής Ένωσης</w:t>
      </w:r>
      <w:r>
        <w:rPr>
          <w:noProof/>
        </w:rPr>
        <w:t>.</w:t>
      </w:r>
    </w:p>
    <w:p>
      <w:pPr>
        <w:rPr>
          <w:noProof/>
        </w:rPr>
      </w:pPr>
      <w:r>
        <w:rPr>
          <w:noProof/>
        </w:rPr>
        <w:t>Εφαρμόζεται από την 1η Ιανουαρίου 2017.</w:t>
      </w:r>
    </w:p>
    <w:p>
      <w:pPr>
        <w:pStyle w:val="Fait"/>
        <w:rPr>
          <w:noProof/>
        </w:rPr>
      </w:pPr>
      <w:r>
        <w:rPr>
          <w:noProof/>
        </w:rP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 Πρόεδρος</w:t>
      </w:r>
      <w:r>
        <w:rPr>
          <w:noProof/>
        </w:rPr>
        <w:tab/>
        <w:t>Ο Πρόεδρος</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ΕΕ L 347 της 20.12.2013, σ. 884.</w:t>
      </w:r>
    </w:p>
  </w:footnote>
  <w:footnote w:id="2">
    <w:p>
      <w:pPr>
        <w:pStyle w:val="FootnoteText"/>
        <w:tabs>
          <w:tab w:val="left" w:pos="709"/>
        </w:tabs>
        <w:ind w:left="170" w:hanging="170"/>
      </w:pPr>
      <w:r>
        <w:rPr>
          <w:rStyle w:val="FootnoteReference"/>
        </w:rPr>
        <w:footnoteRef/>
      </w:r>
      <w:r>
        <w:tab/>
        <w:t>COM(2016) 311 της 30.6.2016.</w:t>
      </w:r>
    </w:p>
  </w:footnote>
  <w:footnote w:id="3">
    <w:p>
      <w:pPr>
        <w:pStyle w:val="FootnoteText"/>
      </w:pPr>
      <w:r>
        <w:rPr>
          <w:rStyle w:val="FootnoteReference"/>
        </w:rPr>
        <w:footnoteRef/>
      </w:r>
      <w:r>
        <w:tab/>
        <w:t>ΕΕ C 373 της 20.12.2013, σ. 1.</w:t>
      </w:r>
    </w:p>
  </w:footnote>
  <w:footnote w:id="4">
    <w:p>
      <w:pPr>
        <w:pStyle w:val="FootnoteText"/>
      </w:pPr>
      <w:r>
        <w:rPr>
          <w:rStyle w:val="FootnoteReference"/>
        </w:rPr>
        <w:footnoteRef/>
      </w:r>
      <w:r>
        <w:tab/>
        <w:t>COM(2016) 314 της 30.6.2016.</w:t>
      </w:r>
    </w:p>
  </w:footnote>
  <w:footnote w:id="5">
    <w:p>
      <w:pPr>
        <w:pStyle w:val="FootnoteText"/>
      </w:pPr>
      <w:r>
        <w:rPr>
          <w:rStyle w:val="FootnoteReference"/>
        </w:rPr>
        <w:footnoteRef/>
      </w:r>
      <w:r>
        <w:tab/>
        <w:t>COM(2016) 313 της 30.6.2016.</w:t>
      </w:r>
    </w:p>
  </w:footnote>
  <w:footnote w:id="6">
    <w:p>
      <w:pPr>
        <w:pStyle w:val="FootnoteText"/>
      </w:pPr>
      <w:r>
        <w:rPr>
          <w:rStyle w:val="FootnoteReference"/>
        </w:rPr>
        <w:footnoteRef/>
      </w:r>
      <w:r>
        <w:tab/>
        <w:t>COM(2016) 385 της 7.6.2016.</w:t>
      </w:r>
    </w:p>
  </w:footnote>
  <w:footnote w:id="7">
    <w:p>
      <w:pPr>
        <w:pStyle w:val="FootnoteText"/>
      </w:pPr>
      <w:r>
        <w:rPr>
          <w:rStyle w:val="FootnoteReference"/>
        </w:rPr>
        <w:footnoteRef/>
      </w:r>
      <w:r>
        <w:tab/>
        <w:t>http://www.consilium.europa.eu/en/meetings/international-summit/2015/11/11-12</w:t>
      </w:r>
    </w:p>
  </w:footnote>
  <w:footnote w:id="8">
    <w:p>
      <w:pPr>
        <w:spacing w:before="0" w:after="0"/>
        <w:ind w:left="709" w:hanging="709"/>
      </w:pPr>
      <w:r>
        <w:rPr>
          <w:rStyle w:val="FootnoteReference"/>
        </w:rPr>
        <w:footnoteRef/>
      </w:r>
      <w:r>
        <w:tab/>
      </w:r>
      <w:r>
        <w:rPr>
          <w:sz w:val="20"/>
        </w:rPr>
        <w:t>Εξειδικευμένες ανά χώρα δέσμες για την εφαρμογή του νέου πλαισίου εταιρικής σχέσης. Ο βραχυπρόθεσμος στόχος είναι να παρέχεται η δυνατότητα στους πρόσφυγες να παραμένουν όσο το δυνατόν εγγύτερα στις εστίες τους και να μην επιχειρούν επικίνδυνα ταξίδια.</w:t>
      </w:r>
    </w:p>
  </w:footnote>
  <w:footnote w:id="9">
    <w:p>
      <w:pPr>
        <w:pStyle w:val="FootnoteText"/>
      </w:pPr>
      <w:r>
        <w:rPr>
          <w:rStyle w:val="FootnoteReference"/>
        </w:rPr>
        <w:footnoteRef/>
      </w:r>
      <w:r>
        <w:tab/>
        <w:t>COM(2016) 679 final της 17.10.2016.</w:t>
      </w:r>
    </w:p>
  </w:footnote>
  <w:footnote w:id="10">
    <w:p>
      <w:pPr>
        <w:pStyle w:val="FootnoteText"/>
      </w:pPr>
      <w:r>
        <w:rPr>
          <w:rStyle w:val="FootnoteReference"/>
        </w:rPr>
        <w:footnoteRef/>
      </w:r>
      <w:r>
        <w:tab/>
        <w:t>ΕΕ C 373 της 20.12.2013, σ. 1.</w:t>
      </w:r>
    </w:p>
  </w:footnote>
  <w:footnote w:id="11">
    <w:p>
      <w:pPr>
        <w:pStyle w:val="FootnoteText"/>
      </w:pPr>
      <w:r>
        <w:rPr>
          <w:rStyle w:val="FootnoteReference"/>
        </w:rPr>
        <w:footnoteRef/>
      </w:r>
      <w:r>
        <w:tab/>
        <w:t>Κανονισμός (ΕΕ, Ευρατόμ) αριθ. 1311/2013 του Συμβουλίου, της 2ας Δεκεμβρίου 2013, για τον καθορισμό του πολυετούς δημοσιονομικού πλαισίου για την περίοδο 2014-2020 (ΕΕ L 347 της 20.12.2013, σ. 884).</w:t>
      </w:r>
    </w:p>
  </w:footnote>
  <w:footnote w:id="12">
    <w:p>
      <w:pPr>
        <w:pStyle w:val="FootnoteText"/>
      </w:pPr>
      <w:r>
        <w:rPr>
          <w:rStyle w:val="FootnoteReference"/>
        </w:rPr>
        <w:footnoteRef/>
      </w:r>
      <w:r>
        <w:tab/>
        <w:t>Ανακοίνωση της Επιτροπής προς το Συμβούλιο και το Ευρωπαϊκό Κοινοβούλιο, της 30ής Ιουνίου 2016, για την τεχνική προσαρμογή του δημοσιονομικού πλαισίου για το 2017 σε συνάρτηση με την εξέλιξη του ΑΕΕ (COM(2016) 311 της 30ής Ιουνίου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55CD04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0001082"/>
    <w:lvl w:ilvl="0">
      <w:start w:val="1"/>
      <w:numFmt w:val="decimal"/>
      <w:pStyle w:val="ListNumber3"/>
      <w:lvlText w:val="%1."/>
      <w:lvlJc w:val="left"/>
      <w:pPr>
        <w:tabs>
          <w:tab w:val="num" w:pos="926"/>
        </w:tabs>
        <w:ind w:left="926" w:hanging="360"/>
      </w:pPr>
    </w:lvl>
  </w:abstractNum>
  <w:abstractNum w:abstractNumId="2">
    <w:nsid w:val="FFFFFF7F"/>
    <w:multiLevelType w:val="singleLevel"/>
    <w:tmpl w:val="1ED40C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08419E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8AC50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C8E361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E6E3A90"/>
    <w:lvl w:ilvl="0">
      <w:start w:val="1"/>
      <w:numFmt w:val="decimal"/>
      <w:pStyle w:val="ListNumber"/>
      <w:lvlText w:val="%1."/>
      <w:lvlJc w:val="left"/>
      <w:pPr>
        <w:tabs>
          <w:tab w:val="num" w:pos="360"/>
        </w:tabs>
        <w:ind w:left="360" w:hanging="360"/>
      </w:pPr>
    </w:lvl>
  </w:abstractNum>
  <w:abstractNum w:abstractNumId="7">
    <w:nsid w:val="FFFFFF89"/>
    <w:multiLevelType w:val="singleLevel"/>
    <w:tmpl w:val="B81A51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num>
  <w:num w:numId="10">
    <w:abstractNumId w:val="15"/>
    <w:lvlOverride w:ilvl="0">
      <w:startOverride w:val="1"/>
    </w:lvlOverride>
  </w:num>
  <w:num w:numId="11">
    <w:abstractNumId w:val="17"/>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21"/>
  </w:num>
  <w:num w:numId="16">
    <w:abstractNumId w:val="11"/>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3"/>
  </w:num>
  <w:num w:numId="29">
    <w:abstractNumId w:val="21"/>
  </w:num>
  <w:num w:numId="30">
    <w:abstractNumId w:val="11"/>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pe-Voyage">
    <w15:presenceInfo w15:providerId="None" w15:userId="Philippe-Voya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28 11:23: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42C19347C58743C390D17220198E9593"/>
    <w:docVar w:name="LW_CROSSREFERENCE" w:val="&lt;UNUSED&gt;"/>
    <w:docVar w:name="LW_DocType" w:val="COM"/>
    <w:docVar w:name="LW_EMISSION" w:val="17.10.2016"/>
    <w:docVar w:name="LW_EMISSION_ISODATE" w:val="2016-10-17"/>
    <w:docVar w:name="LW_EMISSION_LOCATION" w:val="BRX"/>
    <w:docVar w:name="LW_EMISSION_PREFIX" w:val="Βρυξέλλες, "/>
    <w:docVar w:name="LW_EMISSION_SUFFIX" w:val=" "/>
    <w:docVar w:name="LW_ID_DOCMODEL" w:val="SJ-025"/>
    <w:docVar w:name="LW_ID_DOCSIGNATURE" w:val="SJ-025"/>
    <w:docVar w:name="LW_ID_DOCSTRUCTURE" w:val="COM/PL/ORG"/>
    <w:docVar w:name="LW_ID_DOCTYPE" w:val="SJ-025"/>
    <w:docVar w:name="LW_ID_STATUT" w:val="SJ-025"/>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678"/>
    <w:docVar w:name="LW_REF.INTERNE" w:val="&lt;UNUSED&gt;"/>
    <w:docVar w:name="LW_SOUS.TITRE.OBJ.CP" w:val="&lt;UNUSED&gt;"/>
    <w:docVar w:name="LW_STATUT.CP" w:val="\u928?\u961?\u972?\u964?\u945?\u963?\u951?"/>
    <w:docVar w:name="LW_SUPERTITRE" w:val="&lt;UNUSED&gt;"/>
    <w:docVar w:name="LW_TITRE.OBJ.CP" w:val="\u947?\u953?\u945? \u964?\u951?\u957? \u954?\u953?\u957?\u951?\u964?\u959?\u960?\u959?\u943?\u951?\u963?\u951? \u964?\u959?\u965? \u960?\u949?\u961?\u953?\u952?\u969?\u961?\u943?\u959?\u965? \u947?\u953?\u945? \u945?\u960?\u961?\u972?\u946?\u955?\u949?\u960?\u964?\u949?\u962? \u945?\u957?\u940?\u947?\u954?\u949?\u962? \u964?\u959? 2017"/>
    <w:docVar w:name="LW_TYPE.DOC.CP" w:val="\u913?\u928?\u927?\u934?\u913?\u931?\u919?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customStyle="1" w:styleId="ListDash">
    <w:name w:val="List Dash"/>
    <w:basedOn w:val="Normal"/>
    <w:pPr>
      <w:numPr>
        <w:numId w:val="9"/>
      </w:numPr>
    </w:pPr>
    <w:rPr>
      <w:rFonts w:eastAsia="Times New Roman"/>
      <w:szCs w:val="24"/>
    </w:rPr>
  </w:style>
  <w:style w:type="paragraph" w:styleId="Revision">
    <w:name w:val="Revision"/>
    <w:hidden/>
    <w:uiPriority w:val="99"/>
    <w:semiHidden/>
    <w:rPr>
      <w:rFonts w:ascii="Times New Roman" w:hAnsi="Times New Roman"/>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l-GR"/>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customStyle="1" w:styleId="ListDash">
    <w:name w:val="List Dash"/>
    <w:basedOn w:val="Normal"/>
    <w:pPr>
      <w:numPr>
        <w:numId w:val="9"/>
      </w:numPr>
    </w:pPr>
    <w:rPr>
      <w:rFonts w:eastAsia="Times New Roman"/>
      <w:szCs w:val="24"/>
    </w:rPr>
  </w:style>
  <w:style w:type="paragraph" w:styleId="Revision">
    <w:name w:val="Revision"/>
    <w:hidden/>
    <w:uiPriority w:val="99"/>
    <w:semiHidden/>
    <w:rPr>
      <w:rFonts w:ascii="Times New Roman" w:hAnsi="Times New Roman"/>
      <w:sz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5942">
      <w:bodyDiv w:val="1"/>
      <w:marLeft w:val="0"/>
      <w:marRight w:val="0"/>
      <w:marTop w:val="0"/>
      <w:marBottom w:val="0"/>
      <w:divBdr>
        <w:top w:val="none" w:sz="0" w:space="0" w:color="auto"/>
        <w:left w:val="none" w:sz="0" w:space="0" w:color="auto"/>
        <w:bottom w:val="none" w:sz="0" w:space="0" w:color="auto"/>
        <w:right w:val="none" w:sz="0" w:space="0" w:color="auto"/>
      </w:divBdr>
    </w:div>
    <w:div w:id="437066267">
      <w:bodyDiv w:val="1"/>
      <w:marLeft w:val="0"/>
      <w:marRight w:val="0"/>
      <w:marTop w:val="0"/>
      <w:marBottom w:val="0"/>
      <w:divBdr>
        <w:top w:val="none" w:sz="0" w:space="0" w:color="auto"/>
        <w:left w:val="none" w:sz="0" w:space="0" w:color="auto"/>
        <w:bottom w:val="none" w:sz="0" w:space="0" w:color="auto"/>
        <w:right w:val="none" w:sz="0" w:space="0" w:color="auto"/>
      </w:divBdr>
    </w:div>
    <w:div w:id="583300590">
      <w:bodyDiv w:val="1"/>
      <w:marLeft w:val="0"/>
      <w:marRight w:val="0"/>
      <w:marTop w:val="0"/>
      <w:marBottom w:val="0"/>
      <w:divBdr>
        <w:top w:val="none" w:sz="0" w:space="0" w:color="auto"/>
        <w:left w:val="none" w:sz="0" w:space="0" w:color="auto"/>
        <w:bottom w:val="none" w:sz="0" w:space="0" w:color="auto"/>
        <w:right w:val="none" w:sz="0" w:space="0" w:color="auto"/>
      </w:divBdr>
    </w:div>
    <w:div w:id="604966165">
      <w:bodyDiv w:val="1"/>
      <w:marLeft w:val="0"/>
      <w:marRight w:val="0"/>
      <w:marTop w:val="0"/>
      <w:marBottom w:val="0"/>
      <w:divBdr>
        <w:top w:val="none" w:sz="0" w:space="0" w:color="auto"/>
        <w:left w:val="none" w:sz="0" w:space="0" w:color="auto"/>
        <w:bottom w:val="none" w:sz="0" w:space="0" w:color="auto"/>
        <w:right w:val="none" w:sz="0" w:space="0" w:color="auto"/>
      </w:divBdr>
    </w:div>
    <w:div w:id="788546335">
      <w:bodyDiv w:val="1"/>
      <w:marLeft w:val="0"/>
      <w:marRight w:val="0"/>
      <w:marTop w:val="0"/>
      <w:marBottom w:val="0"/>
      <w:divBdr>
        <w:top w:val="none" w:sz="0" w:space="0" w:color="auto"/>
        <w:left w:val="none" w:sz="0" w:space="0" w:color="auto"/>
        <w:bottom w:val="none" w:sz="0" w:space="0" w:color="auto"/>
        <w:right w:val="none" w:sz="0" w:space="0" w:color="auto"/>
      </w:divBdr>
    </w:div>
    <w:div w:id="967472392">
      <w:bodyDiv w:val="1"/>
      <w:marLeft w:val="0"/>
      <w:marRight w:val="0"/>
      <w:marTop w:val="0"/>
      <w:marBottom w:val="0"/>
      <w:divBdr>
        <w:top w:val="none" w:sz="0" w:space="0" w:color="auto"/>
        <w:left w:val="none" w:sz="0" w:space="0" w:color="auto"/>
        <w:bottom w:val="none" w:sz="0" w:space="0" w:color="auto"/>
        <w:right w:val="none" w:sz="0" w:space="0" w:color="auto"/>
      </w:divBdr>
    </w:div>
    <w:div w:id="1558853405">
      <w:bodyDiv w:val="1"/>
      <w:marLeft w:val="0"/>
      <w:marRight w:val="0"/>
      <w:marTop w:val="0"/>
      <w:marBottom w:val="0"/>
      <w:divBdr>
        <w:top w:val="none" w:sz="0" w:space="0" w:color="auto"/>
        <w:left w:val="none" w:sz="0" w:space="0" w:color="auto"/>
        <w:bottom w:val="none" w:sz="0" w:space="0" w:color="auto"/>
        <w:right w:val="none" w:sz="0" w:space="0" w:color="auto"/>
      </w:divBdr>
      <w:divsChild>
        <w:div w:id="1014765455">
          <w:marLeft w:val="0"/>
          <w:marRight w:val="0"/>
          <w:marTop w:val="0"/>
          <w:marBottom w:val="0"/>
          <w:divBdr>
            <w:top w:val="none" w:sz="0" w:space="0" w:color="auto"/>
            <w:left w:val="none" w:sz="0" w:space="0" w:color="auto"/>
            <w:bottom w:val="none" w:sz="0" w:space="0" w:color="auto"/>
            <w:right w:val="none" w:sz="0" w:space="0" w:color="auto"/>
          </w:divBdr>
          <w:divsChild>
            <w:div w:id="2023820427">
              <w:marLeft w:val="0"/>
              <w:marRight w:val="0"/>
              <w:marTop w:val="0"/>
              <w:marBottom w:val="0"/>
              <w:divBdr>
                <w:top w:val="none" w:sz="0" w:space="0" w:color="auto"/>
                <w:left w:val="none" w:sz="0" w:space="0" w:color="auto"/>
                <w:bottom w:val="none" w:sz="0" w:space="0" w:color="auto"/>
                <w:right w:val="none" w:sz="0" w:space="0" w:color="auto"/>
              </w:divBdr>
              <w:divsChild>
                <w:div w:id="689718226">
                  <w:marLeft w:val="0"/>
                  <w:marRight w:val="0"/>
                  <w:marTop w:val="0"/>
                  <w:marBottom w:val="0"/>
                  <w:divBdr>
                    <w:top w:val="none" w:sz="0" w:space="0" w:color="auto"/>
                    <w:left w:val="none" w:sz="0" w:space="0" w:color="auto"/>
                    <w:bottom w:val="none" w:sz="0" w:space="0" w:color="auto"/>
                    <w:right w:val="none" w:sz="0" w:space="0" w:color="auto"/>
                  </w:divBdr>
                  <w:divsChild>
                    <w:div w:id="197676326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78419">
      <w:bodyDiv w:val="1"/>
      <w:marLeft w:val="0"/>
      <w:marRight w:val="0"/>
      <w:marTop w:val="0"/>
      <w:marBottom w:val="0"/>
      <w:divBdr>
        <w:top w:val="none" w:sz="0" w:space="0" w:color="auto"/>
        <w:left w:val="none" w:sz="0" w:space="0" w:color="auto"/>
        <w:bottom w:val="none" w:sz="0" w:space="0" w:color="auto"/>
        <w:right w:val="none" w:sz="0" w:space="0" w:color="auto"/>
      </w:divBdr>
    </w:div>
    <w:div w:id="1665282216">
      <w:bodyDiv w:val="1"/>
      <w:marLeft w:val="0"/>
      <w:marRight w:val="0"/>
      <w:marTop w:val="0"/>
      <w:marBottom w:val="0"/>
      <w:divBdr>
        <w:top w:val="none" w:sz="0" w:space="0" w:color="auto"/>
        <w:left w:val="none" w:sz="0" w:space="0" w:color="auto"/>
        <w:bottom w:val="none" w:sz="0" w:space="0" w:color="auto"/>
        <w:right w:val="none" w:sz="0" w:space="0" w:color="auto"/>
      </w:divBdr>
    </w:div>
    <w:div w:id="1885940574">
      <w:bodyDiv w:val="1"/>
      <w:marLeft w:val="0"/>
      <w:marRight w:val="0"/>
      <w:marTop w:val="0"/>
      <w:marBottom w:val="0"/>
      <w:divBdr>
        <w:top w:val="none" w:sz="0" w:space="0" w:color="auto"/>
        <w:left w:val="none" w:sz="0" w:space="0" w:color="auto"/>
        <w:bottom w:val="none" w:sz="0" w:space="0" w:color="auto"/>
        <w:right w:val="none" w:sz="0" w:space="0" w:color="auto"/>
      </w:divBdr>
    </w:div>
    <w:div w:id="2132672570">
      <w:bodyDiv w:val="1"/>
      <w:marLeft w:val="0"/>
      <w:marRight w:val="0"/>
      <w:marTop w:val="0"/>
      <w:marBottom w:val="0"/>
      <w:divBdr>
        <w:top w:val="none" w:sz="0" w:space="0" w:color="auto"/>
        <w:left w:val="none" w:sz="0" w:space="0" w:color="auto"/>
        <w:bottom w:val="none" w:sz="0" w:space="0" w:color="auto"/>
        <w:right w:val="none" w:sz="0" w:space="0" w:color="auto"/>
      </w:divBdr>
      <w:divsChild>
        <w:div w:id="1661734940">
          <w:marLeft w:val="0"/>
          <w:marRight w:val="0"/>
          <w:marTop w:val="0"/>
          <w:marBottom w:val="0"/>
          <w:divBdr>
            <w:top w:val="none" w:sz="0" w:space="0" w:color="auto"/>
            <w:left w:val="none" w:sz="0" w:space="0" w:color="auto"/>
            <w:bottom w:val="none" w:sz="0" w:space="0" w:color="auto"/>
            <w:right w:val="none" w:sz="0" w:space="0" w:color="auto"/>
          </w:divBdr>
          <w:divsChild>
            <w:div w:id="1074743374">
              <w:marLeft w:val="0"/>
              <w:marRight w:val="0"/>
              <w:marTop w:val="0"/>
              <w:marBottom w:val="0"/>
              <w:divBdr>
                <w:top w:val="none" w:sz="0" w:space="0" w:color="auto"/>
                <w:left w:val="none" w:sz="0" w:space="0" w:color="auto"/>
                <w:bottom w:val="none" w:sz="0" w:space="0" w:color="auto"/>
                <w:right w:val="none" w:sz="0" w:space="0" w:color="auto"/>
              </w:divBdr>
              <w:divsChild>
                <w:div w:id="268701305">
                  <w:marLeft w:val="0"/>
                  <w:marRight w:val="0"/>
                  <w:marTop w:val="0"/>
                  <w:marBottom w:val="0"/>
                  <w:divBdr>
                    <w:top w:val="none" w:sz="0" w:space="0" w:color="auto"/>
                    <w:left w:val="none" w:sz="0" w:space="0" w:color="auto"/>
                    <w:bottom w:val="none" w:sz="0" w:space="0" w:color="auto"/>
                    <w:right w:val="none" w:sz="0" w:space="0" w:color="auto"/>
                  </w:divBdr>
                  <w:divsChild>
                    <w:div w:id="78717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618D-41D4-41EA-9C35-73156071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Pages>
  <Words>2550</Words>
  <Characters>13874</Characters>
  <Application>Microsoft Office Word</Application>
  <DocSecurity>0</DocSecurity>
  <Lines>247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2016-05-11T14:55:00Z</cp:lastPrinted>
  <dcterms:created xsi:type="dcterms:W3CDTF">2016-10-27T15:37:00Z</dcterms:created>
  <dcterms:modified xsi:type="dcterms:W3CDTF">2016-10-28T09:23:00Z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