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02AE34FD4F44C5CB66C4B0585EE5F1B" style="width:450.8pt;height:379.4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ΑΙΤΙΟΛΟΓΙΚΗ ΕΚΘΕΣΗ</w:t>
      </w:r>
    </w:p>
    <w:p>
      <w:pPr>
        <w:pStyle w:val="ManualHeading1"/>
        <w:tabs>
          <w:tab w:val="clear" w:pos="850"/>
          <w:tab w:val="left" w:pos="426"/>
        </w:tabs>
        <w:ind w:left="567" w:hanging="567"/>
        <w:rPr>
          <w:noProof/>
        </w:rPr>
      </w:pPr>
      <w:r>
        <w:rPr>
          <w:noProof/>
        </w:rPr>
        <w:t>1.</w:t>
      </w:r>
      <w:r>
        <w:rPr>
          <w:noProof/>
        </w:rPr>
        <w:tab/>
        <w:t>ΠΛΑΙΣΙΟ ΤΗΣ ΠΡΟΤΑΣΗΣ</w:t>
      </w:r>
    </w:p>
    <w:p>
      <w:pPr>
        <w:pStyle w:val="ManualHeading2"/>
        <w:ind w:hanging="283"/>
        <w:rPr>
          <w:rFonts w:eastAsia="Arial Unicode MS"/>
          <w:noProof/>
        </w:rPr>
      </w:pPr>
      <w:r>
        <w:rPr>
          <w:noProof/>
          <w:color w:val="000000"/>
          <w:u w:color="000000"/>
          <w:bdr w:val="nil"/>
        </w:rPr>
        <w:t>•</w:t>
      </w:r>
      <w:r>
        <w:rPr>
          <w:noProof/>
        </w:rPr>
        <w:tab/>
        <w:t>Αιτιολόγηση και στόχοι της πρότασης</w:t>
      </w:r>
    </w:p>
    <w:p>
      <w:pPr>
        <w:rPr>
          <w:noProof/>
          <w:color w:val="000000"/>
        </w:rPr>
      </w:pPr>
      <w:r>
        <w:rPr>
          <w:noProof/>
          <w:color w:val="000000"/>
        </w:rPr>
        <w:t>Η 21η διάσκεψη των συμβαλλομένων μερών της σύμβασης των Ηνωμένων Εθνών για την κλιματική αλλαγή ενέκρινε με επιτυχία τη συμφωνία του Παρισιού, στόχος της οποίας είναι να περιορισθεί η αύξηση της θερμοκρασίας του πλανήτη πολύ πιο κάτω από τους 2 C ως προς τα προβιομηχανικά επίπεδα και να συνεχισθούν οι προσπάθειες για τον περιορισμό της αύξησης της θερμοκρασίας στον 1,5° C. Έως το 2050, οι παγκόσμιες εκπομπές αερίων του θερμοκηπίου πρέπει να μειωθούν κατά τουλάχιστον 50 % ως προς τα αντίστοιχα επίπεδα του 1990. Όλοι οι τομείς της οικονομίας, μεταξύ των οποίων είναι και οι διεθνείς αερομεταφορές, πρέπει να συμβάλουν στην επίτευξη μείωσης των εν λόγω εκπομπών.</w:t>
      </w:r>
    </w:p>
    <w:p>
      <w:pPr>
        <w:rPr>
          <w:noProof/>
        </w:rPr>
      </w:pPr>
      <w:r>
        <w:rPr>
          <w:noProof/>
        </w:rPr>
        <w:t>Οι εκπομπές αερίων του θερμοκηπίου από τις διεθνείς αερομεταφορές αντιπροσωπεύουν περισσότερο από το 2 % των παγκόσμιων εκπομπών και αυξάνονται εκθετικά, καθώς οι προβολές για το 2050 δείχνουν ότι, σύμφωνα με το σενάριο «διατήρηση της υφιστάμενης κατάστασης», οι εκπομπές από αεροπορικές δραστηριότητες θα μπορούσαν να αυξηθούν περισσότερο από 200 % ως προς τα σημερινά επίπεδα. Στην ανακοίνωση της Επιτροπής προς το Ευρωπαϊκό Κοινοβούλιο και το Συμβούλιο με τίτλο «</w:t>
      </w:r>
      <w:r>
        <w:rPr>
          <w:i/>
          <w:noProof/>
        </w:rPr>
        <w:t>Το Πρωτόκολλο του Παρισιού – Ένα σχέδιο στρατηγικής για την αντιμετώπιση της παγκόσμιας κλιματικής αλλαγής μετά το 2020»</w:t>
      </w:r>
      <w:r>
        <w:rPr>
          <w:rStyle w:val="FootnoteReference"/>
          <w:i/>
          <w:noProof/>
        </w:rPr>
        <w:footnoteReference w:id="2"/>
      </w:r>
      <w:r>
        <w:rPr>
          <w:noProof/>
        </w:rPr>
        <w:t xml:space="preserve"> τονίζεται ότι ο ΔΟΠΑ πρέπει να ενεργήσει πριν από το τέλος του 2016 για την αποτελεσματική ρύθμιση των εκπομπών από τις διεθνείς αεροπορικές μεταφορές. Παρά την τεχνολογική πρόοδο, είναι περιορισμένες οι δυνατότητες μείωσης των συνολικών εκπομπών στον τομέα των αεροπορικών μεταφορών και για τον λόγο αυτόν αναγνωρίσθηκε ότι αρμόζουν μέτρα αγορακεντρικά που θα καταστήσουν δυνατή τη συμβολή των αερομεταφορών στη συνολική μείωση των εκπομπών αερίων του θερμοκηπίου. Στην 38η σύνοδο της Συνέλευσης του ΔΟΠΑ (2013) αποφασίσθηκε να αναπτυχθεί ένα </w:t>
      </w:r>
      <w:r>
        <w:rPr>
          <w:noProof/>
          <w:color w:val="000000"/>
        </w:rPr>
        <w:t>ενιαίο παγκόσμιο αγορακεντρικό μέτρο αντιμετώπισης των εκπομπών από τις διεθνείς αερομεταφορές</w:t>
      </w:r>
      <w:r>
        <w:rPr>
          <w:noProof/>
        </w:rPr>
        <w:t>, το οποίο θα αποφασισθεί στην 39η σύνοδο της Συνέλευσης του ΔΟΠΑ το 2016 (27 Σεπτεμβρίου έως 7 Οκτωβρίου) και θα τεθεί σε εφαρμογή από το 2020</w:t>
      </w:r>
      <w:r>
        <w:rPr>
          <w:rStyle w:val="FootnoteReference"/>
          <w:noProof/>
        </w:rPr>
        <w:footnoteReference w:id="3"/>
      </w:r>
      <w:r>
        <w:rPr>
          <w:noProof/>
          <w:color w:val="000000"/>
        </w:rPr>
        <w:t>.</w:t>
      </w:r>
      <w:r>
        <w:rPr>
          <w:noProof/>
        </w:rPr>
        <w:t xml:space="preserve"> </w:t>
      </w:r>
    </w:p>
    <w:p>
      <w:pPr>
        <w:rPr>
          <w:noProof/>
        </w:rPr>
      </w:pPr>
      <w:r>
        <w:rPr>
          <w:noProof/>
        </w:rPr>
        <w:t xml:space="preserve">Συνεπώς, είναι αναγκαίο να εγκριθεί, το ταχύτερο δυνατόν και πολύ νωρίτερα από την επόμενη Συνέλευση του ΔΟΠΑ, η θέση την οποία πρέπει να υιοθετήσουν τα κράτη μέλη, ενεργώντας από κοινού προς το συμφέρον της ΕΕ, όσον αφορά την </w:t>
      </w:r>
      <w:r>
        <w:rPr>
          <w:noProof/>
          <w:color w:val="000000"/>
        </w:rPr>
        <w:t>απόφαση που θα λάβει ο ΔΟΠΑ</w:t>
      </w:r>
      <w:r>
        <w:rPr>
          <w:noProof/>
        </w:rPr>
        <w:t xml:space="preserve">. </w:t>
      </w:r>
    </w:p>
    <w:p>
      <w:pPr>
        <w:rPr>
          <w:noProof/>
        </w:rPr>
      </w:pPr>
      <w:r>
        <w:rPr>
          <w:noProof/>
        </w:rPr>
        <w:t>Η θέση της Ένωσης εκφράζεται από την Επιτροπή και τα κράτη μέλη στα όργανα του ΔΟΠΑ. Στην εκπόνηση της πρότασης για το μέτρο αυτό εμπλέκονται πολλά όργανα του ΔΟΠΑ, μεταξύ των οποίων είναι και το Συμβούλιο του ΔΟΠΑ. Είναι επίσης αναγκαίο η θέση της ΕΕ να συνάδει με το υφιστάμενο δίκαιο της ΕΕ.</w:t>
      </w:r>
    </w:p>
    <w:p>
      <w:pPr>
        <w:pStyle w:val="ManualHeading2"/>
        <w:ind w:hanging="283"/>
        <w:rPr>
          <w:rFonts w:eastAsia="Arial Unicode MS"/>
          <w:noProof/>
          <w:color w:val="000000"/>
          <w:u w:color="000000"/>
          <w:bdr w:val="nil"/>
        </w:rPr>
      </w:pPr>
      <w:r>
        <w:rPr>
          <w:noProof/>
          <w:color w:val="000000"/>
          <w:u w:color="000000"/>
          <w:bdr w:val="nil"/>
        </w:rPr>
        <w:lastRenderedPageBreak/>
        <w:t>•</w:t>
      </w:r>
      <w:r>
        <w:rPr>
          <w:noProof/>
        </w:rPr>
        <w:tab/>
        <w:t>Συνεκτικότητα με ισχύουσες διατάξεις στον τομέα πολιτικής</w:t>
      </w:r>
    </w:p>
    <w:p>
      <w:pPr>
        <w:rPr>
          <w:noProof/>
        </w:rPr>
      </w:pPr>
      <w:r>
        <w:rPr>
          <w:noProof/>
        </w:rPr>
        <w:t>Η απόφαση 1600/2002/ΕΚ του Ευρωπαϊκού Κοινοβουλίου και του Συμβουλίου καλούσε την Ένωση να καθορίσει και να αναλάβει συγκεκριμένες δράσεις για τη μείωση των εκπομπών αερίων του θερμοκηπίου από τις αερομεταφορές εάν μέχρι το 2002 ο ΔΟΠΑ δεν συμφωνούσε σε ανάλογη δράση. Μετά την απόφαση που έλαβε η 33η σύνοδος της Συνέλευσης του ΔΟΠΑ (2001) να υιοθετηθεί ένα σύστημα ανοικτής εμπορίας εκπομπών αερίων του θερμοκηπίου για τις διεθνείς αερομεταφορές</w:t>
      </w:r>
      <w:r>
        <w:rPr>
          <w:rStyle w:val="FootnoteReference"/>
          <w:noProof/>
        </w:rPr>
        <w:footnoteReference w:id="4"/>
      </w:r>
      <w:r>
        <w:rPr>
          <w:noProof/>
        </w:rPr>
        <w:t xml:space="preserve"> και την απόφαση που έλαβε η 35η σύνοδος της Συνέλευσης του ΔΟΠΑ (2004) να εκπονηθούν κατευθύνσεις για την ένταξη των εκπομπών από τις διεθνείς αερομεταφορές στα συστήματα εμπορίας εκπομπών των συμβαλλομένων μερών του ΔΟΠΑ</w:t>
      </w:r>
      <w:r>
        <w:rPr>
          <w:rStyle w:val="FootnoteReference"/>
          <w:noProof/>
        </w:rPr>
        <w:footnoteReference w:id="5"/>
      </w:r>
      <w:r>
        <w:rPr>
          <w:noProof/>
        </w:rPr>
        <w:t>, το Ευρωπαϊκό Κοινοβούλιο και το Συμβούλιο εξέδωσαν την οδηγία 2008/101/EΚ, με την οποία τροποποιήθηκε η οδηγία 2003/87/EΚ για τη θέσπιση συστήματος εμπορίας δικαιωμάτων εκπομπής αερίων του θερμοκηπίου, ώστε να περιληφθούν οι αεροπορικές δραστηριότητες</w:t>
      </w:r>
      <w:r>
        <w:rPr>
          <w:rStyle w:val="FootnoteReference"/>
          <w:noProof/>
        </w:rPr>
        <w:footnoteReference w:id="6"/>
      </w:r>
      <w:r>
        <w:rPr>
          <w:noProof/>
        </w:rPr>
        <w:t>.</w:t>
      </w:r>
    </w:p>
    <w:p>
      <w:pPr>
        <w:autoSpaceDE w:val="0"/>
        <w:autoSpaceDN w:val="0"/>
        <w:adjustRightInd w:val="0"/>
        <w:spacing w:before="0" w:after="0"/>
        <w:rPr>
          <w:noProof/>
        </w:rPr>
      </w:pPr>
      <w:r>
        <w:rPr>
          <w:noProof/>
        </w:rPr>
        <w:t>Πέραν της απόφασης για την ανάπτυξη ενός παγκόσμιου αγορακεντρικού μέτρου, η 38η σύνοδο της Συνέλευσης του ΔΟΠΑ (2013) αποφάσισε ότι ο ΔΟΠΑ και οι χώρες μέλη του, μαζί με τους αρμόδιους οργανισμούς, θα εργαστούν από κοινού για να επιτευχθεί ο συλλογικός, μεσοπρόθεσμος, γενικός και φιλόδοξος στόχος να διατηρηθούν από το 2020 στο ίδιο επίπεδο οι συνολικές καθαρές ανθρακούχες εκπομπές από τις διεθνείς αεροπορικές μεταφορές. Οι εκπομπές των διεθνών αεροπορικών μεταφορών προβλέπεται ότι θα είναι περίπου 70 % υψηλότερες το 2020 σε σύγκριση με το 2005</w:t>
      </w:r>
      <w:r>
        <w:rPr>
          <w:rStyle w:val="FootnoteReference"/>
          <w:noProof/>
        </w:rPr>
        <w:footnoteReference w:id="7"/>
      </w:r>
      <w:r>
        <w:rPr>
          <w:noProof/>
        </w:rPr>
        <w:t>, ενώ η Ένωση και τα κράτη μέλη της έχουν υποστηρίξει επανειλημμένα ότι ο στόχος παγκόσμιας μείωσης των εκπομπών αερίων του θερμοκηπίου από τις διεθνείς αεροπορικές μεταφορές είναι να σημειωθεί έως το 2020 μείωση 10 % σε σύγκριση με τα επίπεδα του 2005. Ωστόσο, κρίνεται επείγον να εκμεταλλευθεί η Ένωση την ευκαιρία για να προωθήσει την ανάπτυξη, εντός σχετικά μικρού χρονικού διαστήματος, ενός παγκόσμιου αγορακεντρικού μέτρου για τον περιορισμό των εκπομπών αερίων του θερμοκηπίου από τις διεθνείς αερομεταφορές στα επίπεδα του 2020, λαμβανομένης υπόψη της δυνατότητας να επανεξετασθούν οι στόχοι στο μέλλον, αν χρειασθεί.</w:t>
      </w:r>
    </w:p>
    <w:p>
      <w:pPr>
        <w:rPr>
          <w:noProof/>
        </w:rPr>
      </w:pPr>
      <w:r>
        <w:rPr>
          <w:noProof/>
        </w:rPr>
        <w:t>Για να σημειωθεί πρόοδος στην 39η σύνοδο της Συνέλευσης του ΔΟΠΑ (2016) όσον αφορά το κατάλληλο μέσο, οι νομοθέτες της Ένωσης αποφάσισαν ότι να θεωρηθεί προσωρινά ότι πληρούνται οι απαιτήσεις της οδηγίας 2003/87/ΕΚ σχετικά με τις πτήσεις από και προς αεροδρόμια σε χώρες εκτός του Ευρωπαϊκού Οικονομικού Χώρου (ΕΟΧ)</w:t>
      </w:r>
      <w:r>
        <w:rPr>
          <w:rStyle w:val="FootnoteReference"/>
          <w:noProof/>
        </w:rPr>
        <w:footnoteReference w:id="8"/>
      </w:r>
      <w:r>
        <w:rPr>
          <w:noProof/>
        </w:rPr>
        <w:t xml:space="preserve">. Μετά την 39η σύνοδο της Συνέλευσης του ΔΟΠΑ (2016), η Επιτροπή θα υποβάλει έκθεση στο Ευρωπαϊκό Κοινοβούλιο και στο Συμβούλιο σχετικά με τις δράσεις για την εφαρμογή ενός διεθνούς μέσου που θα έχει ως αντικείμενο ένα παγκόσμιο αγορακεντρικό μέτρο από το 2020, με το οποίο θα μειωθούν οι εκπομπές αερίων του θερμοκηπίου από τις διεθνείς αερομεταφορές χωρίς την εισαγωγή διακρίσεων. Στην έκθεσή της, η Επιτροπή θα εξετάσει και θα περιλάβει προτάσεις, αν χρειασθεί, όσον αφορά το κατάλληλο πεδίο εφαρμογής για την κάλυψη των εκπομπών που οφείλονται στις δραστηριότητες από και προς αεροδρόμια που βρίσκονται σε χώρες εκτός του ΕΟΧ από την 1η Ιανουαρίου 2017 και εντεύθεν. </w:t>
      </w:r>
    </w:p>
    <w:p>
      <w:pPr>
        <w:pStyle w:val="ManualHeading2"/>
        <w:ind w:hanging="283"/>
        <w:rPr>
          <w:rFonts w:eastAsia="Arial Unicode MS"/>
          <w:noProof/>
        </w:rPr>
      </w:pPr>
      <w:r>
        <w:rPr>
          <w:noProof/>
          <w:color w:val="000000"/>
          <w:u w:color="000000"/>
          <w:bdr w:val="nil"/>
        </w:rPr>
        <w:lastRenderedPageBreak/>
        <w:t>•</w:t>
      </w:r>
      <w:r>
        <w:rPr>
          <w:noProof/>
        </w:rPr>
        <w:tab/>
        <w:t>Συνεκτικότητα με άλλες πολιτικές της Ένωσης</w:t>
      </w:r>
    </w:p>
    <w:p>
      <w:pPr>
        <w:pBdr>
          <w:top w:val="nil"/>
          <w:left w:val="nil"/>
          <w:bottom w:val="nil"/>
          <w:right w:val="nil"/>
          <w:between w:val="nil"/>
          <w:bar w:val="nil"/>
        </w:pBdr>
        <w:spacing w:before="0" w:after="240"/>
        <w:rPr>
          <w:noProof/>
          <w:sz w:val="23"/>
          <w:szCs w:val="23"/>
        </w:rPr>
      </w:pPr>
      <w:r>
        <w:rPr>
          <w:noProof/>
          <w:sz w:val="23"/>
        </w:rPr>
        <w:t>Η πρόταση απόφασης συνάδει με άλλες πολιτικές της Ένωσης και τις συμπληρώνει, ιδίως όσον αφορά την ενέργεια, το περιβάλλον και τις μεταφορές</w:t>
      </w:r>
      <w:r>
        <w:rPr>
          <w:rStyle w:val="FootnoteReference"/>
          <w:noProof/>
          <w:sz w:val="23"/>
        </w:rPr>
        <w:footnoteReference w:id="9"/>
      </w:r>
      <w:r>
        <w:rPr>
          <w:noProof/>
          <w:color w:val="000000"/>
        </w:rPr>
        <w:t>.</w:t>
      </w:r>
    </w:p>
    <w:p>
      <w:pPr>
        <w:pBdr>
          <w:top w:val="nil"/>
          <w:left w:val="nil"/>
          <w:bottom w:val="nil"/>
          <w:right w:val="nil"/>
          <w:between w:val="nil"/>
          <w:bar w:val="nil"/>
        </w:pBdr>
        <w:spacing w:before="0" w:after="240"/>
        <w:rPr>
          <w:noProof/>
          <w:sz w:val="23"/>
          <w:szCs w:val="23"/>
        </w:rPr>
      </w:pPr>
      <w:r>
        <w:rPr>
          <w:noProof/>
          <w:sz w:val="23"/>
        </w:rPr>
        <w:t xml:space="preserve"> </w:t>
      </w:r>
      <w:r>
        <w:rPr>
          <w:noProof/>
        </w:rPr>
        <w:t xml:space="preserve">Η </w:t>
      </w:r>
      <w:r>
        <w:rPr>
          <w:noProof/>
          <w:sz w:val="23"/>
        </w:rPr>
        <w:t>παγκόσμια μετάβαση προς την καθαρή ενέργεια θα απαιτήσει αλλαγές στην επιχειρηματική και επενδυτική συμπεριφορά και παροχή κινήτρων σε ολόκληρο το φάσμα πολιτικών.</w:t>
      </w:r>
    </w:p>
    <w:p>
      <w:pPr>
        <w:pStyle w:val="ManualHeading1"/>
        <w:tabs>
          <w:tab w:val="clear" w:pos="850"/>
          <w:tab w:val="left" w:pos="426"/>
        </w:tabs>
        <w:ind w:left="426" w:hanging="426"/>
        <w:rPr>
          <w:noProof/>
        </w:rPr>
      </w:pPr>
      <w:r>
        <w:rPr>
          <w:noProof/>
        </w:rPr>
        <w:t>2.</w:t>
      </w:r>
      <w:r>
        <w:rPr>
          <w:noProof/>
        </w:rPr>
        <w:tab/>
        <w:t>ΝΟΜΙΚΗ ΒΑΣΗ, ΕΠΙΚΟΥΡΙΚΟΤΗΤΑ ΚΑΙ ΑΝΑΛΟΓΙΚΟΤΗΤΑ</w:t>
      </w:r>
    </w:p>
    <w:p>
      <w:pPr>
        <w:pStyle w:val="ManualHeading2"/>
        <w:ind w:hanging="283"/>
        <w:rPr>
          <w:rFonts w:eastAsia="Arial Unicode MS"/>
          <w:noProof/>
          <w:u w:color="000000"/>
          <w:bdr w:val="nil"/>
        </w:rPr>
      </w:pPr>
      <w:r>
        <w:rPr>
          <w:noProof/>
        </w:rPr>
        <w:t>•</w:t>
      </w:r>
      <w:r>
        <w:rPr>
          <w:noProof/>
        </w:rPr>
        <w:tab/>
        <w:t>Νομική βάση</w:t>
      </w:r>
    </w:p>
    <w:p>
      <w:pPr>
        <w:pBdr>
          <w:top w:val="nil"/>
          <w:left w:val="nil"/>
          <w:bottom w:val="nil"/>
          <w:right w:val="nil"/>
          <w:between w:val="nil"/>
          <w:bar w:val="nil"/>
        </w:pBdr>
        <w:spacing w:before="0" w:after="240"/>
        <w:rPr>
          <w:noProof/>
        </w:rPr>
      </w:pPr>
      <w:r>
        <w:rPr>
          <w:noProof/>
        </w:rPr>
        <w:t xml:space="preserve">Η πρόταση υποβάλλεται δυνάμει του άρθρου 192 παράγραφος 1 σε συνδυασμό με το άρθρο 218 παράγραφος 9 της ΣΛΕΕ. </w:t>
      </w:r>
    </w:p>
    <w:p>
      <w:pPr>
        <w:pBdr>
          <w:top w:val="nil"/>
          <w:left w:val="nil"/>
          <w:bottom w:val="nil"/>
          <w:right w:val="nil"/>
          <w:between w:val="nil"/>
          <w:bar w:val="nil"/>
        </w:pBdr>
        <w:spacing w:before="0" w:after="240"/>
        <w:rPr>
          <w:noProof/>
        </w:rPr>
      </w:pPr>
      <w:r>
        <w:rPr>
          <w:noProof/>
        </w:rPr>
        <w:t xml:space="preserve">Το άρθρο 218 παράγραφος 9 της ΣΛΕΕ καθορίζει τη διαδικασία για τον καθορισμό της θέσης εξ ονόματος της Ένωσης σε όργανο που έχει συσταθεί από συμφωνία, όταν το εν λόγω όργανο καλείται να εκδώσει πράξεις που παράγουν νομικά αποτελέσματα. </w:t>
      </w:r>
    </w:p>
    <w:p>
      <w:pPr>
        <w:pBdr>
          <w:top w:val="nil"/>
          <w:left w:val="nil"/>
          <w:bottom w:val="nil"/>
          <w:right w:val="nil"/>
          <w:between w:val="nil"/>
          <w:bar w:val="nil"/>
        </w:pBdr>
        <w:spacing w:before="0" w:after="240"/>
        <w:rPr>
          <w:noProof/>
        </w:rPr>
      </w:pPr>
      <w:r>
        <w:rPr>
          <w:noProof/>
        </w:rPr>
        <w:t>Στην παρούσα περίπτωση, η πράξη που αναμένεται να εγκριθεί από τη Συνέλευση του ΔΟΠΑ έχει τις έννομες συνέπειες που προβλέπονται στο άρθρο 28α της οδηγίας 2003/87/ΕΚ.</w:t>
      </w:r>
    </w:p>
    <w:p>
      <w:pPr>
        <w:pBdr>
          <w:top w:val="nil"/>
          <w:left w:val="nil"/>
          <w:bottom w:val="nil"/>
          <w:right w:val="nil"/>
          <w:between w:val="nil"/>
          <w:bar w:val="nil"/>
        </w:pBdr>
        <w:spacing w:before="0" w:after="240"/>
        <w:rPr>
          <w:noProof/>
        </w:rPr>
      </w:pPr>
      <w:r>
        <w:rPr>
          <w:noProof/>
        </w:rPr>
        <w:t>Σύμφωνα με το άρθρο 192 παράγραφος 1 και το άρθρο 191 της ΣΛΕΕ, η Ευρωπαϊκή Ένωση συμβάλλει στην επίτευξη, μεταξύ άλλων, των ακόλουθων στόχων: διατήρηση, προστασία και βελτίωση της ποιότητας του περιβάλλοντος, προώθηση μέτρων σε διεθνές επίπεδο για την αντιμετώπιση των περιφερειακών ή παγκόσμιων περιβαλλοντικών προβλημάτων, και ιδίως για την καταπολέμηση της κλιματικής αλλαγής.</w:t>
      </w:r>
    </w:p>
    <w:p>
      <w:pPr>
        <w:pStyle w:val="ManualHeading2"/>
        <w:ind w:hanging="283"/>
        <w:rPr>
          <w:rFonts w:eastAsia="Arial Unicode MS"/>
          <w:noProof/>
          <w:szCs w:val="24"/>
          <w:u w:color="000000"/>
          <w:bdr w:val="nil"/>
        </w:rPr>
      </w:pPr>
      <w:r>
        <w:rPr>
          <w:noProof/>
          <w:szCs w:val="24"/>
        </w:rPr>
        <w:t>•</w:t>
      </w:r>
      <w:r>
        <w:rPr>
          <w:noProof/>
          <w:szCs w:val="24"/>
        </w:rPr>
        <w:tab/>
        <w:t>Επιλογή του νομικού μέσου</w:t>
      </w:r>
    </w:p>
    <w:p>
      <w:pPr>
        <w:pBdr>
          <w:top w:val="nil"/>
          <w:left w:val="nil"/>
          <w:bottom w:val="nil"/>
          <w:right w:val="nil"/>
          <w:between w:val="nil"/>
          <w:bar w:val="nil"/>
        </w:pBdr>
        <w:spacing w:before="0" w:after="240"/>
        <w:rPr>
          <w:noProof/>
          <w:szCs w:val="24"/>
        </w:rPr>
      </w:pPr>
      <w:r>
        <w:rPr>
          <w:noProof/>
          <w:szCs w:val="24"/>
        </w:rPr>
        <w:t>Το άρθρο 218 παράγραφος 9 της ΣΛΕΕ προβλέπει ως εφαρμοστέο μέσο απόφαση του Συμβουλίου.</w:t>
      </w:r>
    </w:p>
    <w:p>
      <w:pPr>
        <w:pStyle w:val="ManualHeading1"/>
        <w:tabs>
          <w:tab w:val="clear" w:pos="850"/>
          <w:tab w:val="left" w:pos="426"/>
        </w:tabs>
        <w:ind w:left="426" w:hanging="426"/>
        <w:rPr>
          <w:noProof/>
        </w:rPr>
      </w:pPr>
      <w:r>
        <w:rPr>
          <w:noProof/>
        </w:rPr>
        <w:t>3.</w:t>
      </w:r>
      <w:r>
        <w:rPr>
          <w:noProof/>
        </w:rPr>
        <w:tab/>
        <w:t>ΑΠΟΤΕΛΕΣΜΑΤΑ ΕΚ ΤΩΝ ΥΣΤΕΡΩΝ ΑΞΙΟΛΟΓΗΣΕΩΝ, ΔΙΑΒΟΥΛΕΥΣΕΙΣ ΜΕ ΤΑ ΕΝΔΙΑΦΕΡΟΜΕΝΑ ΜΕΡΗ ΚΑΙ ΕΚΤΙΜΗΣΕΙΣ ΤΩΝ ΕΠΙΠΤΩΣΕΩΝ</w:t>
      </w:r>
    </w:p>
    <w:p>
      <w:pPr>
        <w:pBdr>
          <w:top w:val="nil"/>
          <w:left w:val="nil"/>
          <w:bottom w:val="nil"/>
          <w:right w:val="nil"/>
          <w:between w:val="nil"/>
          <w:bar w:val="nil"/>
        </w:pBdr>
        <w:spacing w:before="0" w:after="240"/>
        <w:rPr>
          <w:rFonts w:eastAsia="Arial Unicode MS"/>
          <w:noProof/>
        </w:rPr>
      </w:pPr>
      <w:r>
        <w:rPr>
          <w:noProof/>
        </w:rPr>
        <w:t>Άνευ αντικειμένου.</w:t>
      </w:r>
    </w:p>
    <w:p>
      <w:pPr>
        <w:pStyle w:val="ManualHeading1"/>
        <w:tabs>
          <w:tab w:val="clear" w:pos="850"/>
          <w:tab w:val="left" w:pos="426"/>
        </w:tabs>
        <w:ind w:left="426" w:hanging="426"/>
        <w:rPr>
          <w:noProof/>
        </w:rPr>
      </w:pPr>
      <w:r>
        <w:rPr>
          <w:noProof/>
        </w:rPr>
        <w:t>4.</w:t>
      </w:r>
      <w:r>
        <w:rPr>
          <w:noProof/>
        </w:rPr>
        <w:tab/>
        <w:t>ΔΗΜΟΣΙΟΝΟΜΙΚΕΣ ΕΠΙΠΤΩΣΕΙΣ</w:t>
      </w:r>
    </w:p>
    <w:p>
      <w:pPr>
        <w:pBdr>
          <w:top w:val="nil"/>
          <w:left w:val="nil"/>
          <w:bottom w:val="nil"/>
          <w:right w:val="nil"/>
          <w:between w:val="nil"/>
          <w:bar w:val="nil"/>
        </w:pBdr>
        <w:spacing w:before="0" w:after="240"/>
        <w:rPr>
          <w:rFonts w:eastAsia="Arial Unicode MS"/>
          <w:noProof/>
        </w:rPr>
      </w:pPr>
      <w:r>
        <w:rPr>
          <w:noProof/>
          <w:sz w:val="23"/>
        </w:rPr>
        <w:t>Η πρόταση δεν έχει καμία επίπτωση στον προϋπολογισμό της Ευρωπαϊκής Ένωσης.</w:t>
      </w:r>
    </w:p>
    <w:p>
      <w:pPr>
        <w:pStyle w:val="ManualHeading1"/>
        <w:tabs>
          <w:tab w:val="clear" w:pos="850"/>
          <w:tab w:val="left" w:pos="426"/>
        </w:tabs>
        <w:ind w:left="426" w:hanging="426"/>
        <w:rPr>
          <w:noProof/>
        </w:rPr>
      </w:pPr>
      <w:r>
        <w:rPr>
          <w:noProof/>
        </w:rPr>
        <w:lastRenderedPageBreak/>
        <w:t>5.</w:t>
      </w:r>
      <w:r>
        <w:rPr>
          <w:noProof/>
        </w:rPr>
        <w:tab/>
        <w:t>ΛΟΙΠΑ ΣΤΟΙΧΕΙΑ</w:t>
      </w:r>
    </w:p>
    <w:p>
      <w:pPr>
        <w:pBdr>
          <w:top w:val="nil"/>
          <w:left w:val="nil"/>
          <w:bottom w:val="nil"/>
          <w:right w:val="nil"/>
          <w:between w:val="nil"/>
          <w:bar w:val="nil"/>
        </w:pBdr>
        <w:spacing w:before="0" w:after="240"/>
        <w:rPr>
          <w:rFonts w:eastAsia="Arial Unicode MS"/>
          <w:noProof/>
        </w:rPr>
      </w:pPr>
      <w:r>
        <w:rPr>
          <w:noProof/>
        </w:rPr>
        <w:t>Άνευ αντικειμένου.</w:t>
      </w:r>
    </w:p>
    <w:p>
      <w:pPr>
        <w:pBdr>
          <w:top w:val="nil"/>
          <w:left w:val="nil"/>
          <w:bottom w:val="nil"/>
          <w:right w:val="nil"/>
          <w:between w:val="nil"/>
          <w:bar w:val="nil"/>
        </w:pBdr>
        <w:spacing w:before="0" w:after="240"/>
        <w:rPr>
          <w:noProof/>
        </w:rPr>
      </w:pPr>
      <w:r>
        <w:rPr>
          <w:noProof/>
        </w:rPr>
        <w:br w:type="page"/>
      </w:r>
    </w:p>
    <w:p>
      <w:pPr>
        <w:pStyle w:val="Rfrenceinterinstitutionnelle"/>
        <w:rPr>
          <w:noProof/>
        </w:rPr>
      </w:pPr>
      <w:r>
        <w:rPr>
          <w:noProof/>
        </w:rPr>
        <w:t>2016/0094 (NLE)</w:t>
      </w:r>
    </w:p>
    <w:p>
      <w:pPr>
        <w:pStyle w:val="Statut"/>
        <w:rPr>
          <w:noProof/>
        </w:rPr>
      </w:pPr>
      <w:r>
        <w:rPr>
          <w:noProof/>
        </w:rPr>
        <w:t>Πρόταση</w:t>
      </w:r>
    </w:p>
    <w:p>
      <w:pPr>
        <w:pStyle w:val="Typedudocument"/>
        <w:rPr>
          <w:noProof/>
        </w:rPr>
      </w:pPr>
      <w:r>
        <w:rPr>
          <w:noProof/>
        </w:rPr>
        <w:t>ΑΠΟΦΑΣΗ ΤΟΥ ΣΥΜΒΟΥΛΙΟΥ</w:t>
      </w:r>
    </w:p>
    <w:p>
      <w:pPr>
        <w:pStyle w:val="Titreobjet"/>
        <w:rPr>
          <w:noProof/>
        </w:rPr>
      </w:pPr>
      <w:r>
        <w:rPr>
          <w:noProof/>
        </w:rPr>
        <w:t>σχετικά με τη θέση που πρέπει να ληφθεί, εξ ονόματος της Ευρωπαϊκής Ένωσης, όσον αφορά το διεθνές μέσο που θα εκπονήσουν τα όργανα του ΔΟΠΑ με σκοπό την εφαρμογή από το 2020 ενιαίου παγκόσμιου αγορακεντρικού μέτρου για την αντιμετώπιση των εκπομπών από τις διεθνείς αεροπορικές μεταφορές</w:t>
      </w:r>
    </w:p>
    <w:p>
      <w:pPr>
        <w:rPr>
          <w:noProof/>
        </w:rPr>
      </w:pPr>
      <w:r>
        <w:rPr>
          <w:noProof/>
        </w:rPr>
        <w:t xml:space="preserve"> ΤΟ ΣΥΜΒΟΥΛΙΟ ΤΗΣ ΕΥΡΩΠΑΪΚΗΣ ΕΝΩΣΗΣ,</w:t>
      </w:r>
    </w:p>
    <w:p>
      <w:pPr>
        <w:rPr>
          <w:noProof/>
        </w:rPr>
      </w:pPr>
      <w:r>
        <w:rPr>
          <w:noProof/>
        </w:rPr>
        <w:t>Έχοντας υπόψη τη Συνθήκη για τη λειτουργία της Ευρωπαϊκής Ένωσης, και ιδίως το άρθρο 192 παράγραφος 1, σε συνδυασμό με το άρθρο 218 παράγραφος 9,</w:t>
      </w:r>
    </w:p>
    <w:p>
      <w:pPr>
        <w:rPr>
          <w:noProof/>
        </w:rPr>
      </w:pPr>
      <w:r>
        <w:rPr>
          <w:noProof/>
        </w:rPr>
        <w:t>Έχοντας υπόψη την πρόταση της Ευρωπαϊκής Επιτροπής,</w:t>
      </w:r>
    </w:p>
    <w:p>
      <w:pPr>
        <w:rPr>
          <w:noProof/>
        </w:rPr>
      </w:pPr>
      <w:r>
        <w:rPr>
          <w:noProof/>
        </w:rPr>
        <w:t>Εκτιμώντας τα ακόλουθα:</w:t>
      </w:r>
    </w:p>
    <w:p>
      <w:pPr>
        <w:ind w:left="709" w:hanging="709"/>
        <w:rPr>
          <w:noProof/>
          <w:color w:val="000000"/>
        </w:rPr>
      </w:pPr>
      <w:bookmarkStart w:id="1" w:name="DQPStarAt1DQPStarAt29A08E2759CC4ACDBEC81"/>
      <w:bookmarkEnd w:id="1"/>
      <w:r>
        <w:rPr>
          <w:noProof/>
        </w:rPr>
        <w:t>1.</w:t>
      </w:r>
      <w:r>
        <w:rPr>
          <w:noProof/>
        </w:rPr>
        <w:tab/>
        <w:t xml:space="preserve">Οι εκπομπές αερίων του θερμοκηπίου από τις διεθνείς αερομεταφορές αντιπροσωπεύουν περισσότερο από το 2% των παγκόσμιων εκπομπών και αυξάνονται εκθετικά, καθώς οι προβολές για το 2050 δείχνουν ότι, σύμφωνα με το σενάριο «διατήρηση της υφιστάμενης κατάστασης», οι εκπομπές από αεροπορικές δραστηριότητες θα μπορούσαν να αυξηθούν περισσότερο από 200% ως προς τα σημερινά επίπεδα. </w:t>
      </w:r>
      <w:r>
        <w:rPr>
          <w:noProof/>
          <w:color w:val="000000"/>
        </w:rPr>
        <w:t>Έως το 2050, οι παγκόσμιες εκπομπές αερίων του θερμοκηπίου πρέπει να μειωθούν κατά τουλάχιστον 50% ως προς τα αντίστοιχα επίπεδα του 1990. Όλοι οι τομείς της οικονομίας, μεταξύ των οποίων είναι και οι διεθνείς αερομεταφορές, πρέπει να συμβάλουν στην επίτευξη μείωσης των εν λόγω εκπομπών.</w:t>
      </w:r>
    </w:p>
    <w:p>
      <w:pPr>
        <w:ind w:left="720"/>
        <w:rPr>
          <w:noProof/>
          <w:color w:val="000000"/>
        </w:rPr>
      </w:pPr>
      <w:r>
        <w:rPr>
          <w:noProof/>
          <w:color w:val="000000"/>
        </w:rPr>
        <w:t>Η 21η διάσκεψη των συμβαλλομένων μερών της σύμβασης των Ηνωμένων Εθνών για την κλιματική αλλαγή έληξε με επιτυχία με την έγκριση της συμφωνίας του Παρισιού, στόχος της οποίας είναι να περιορισθεί η αύξηση της θερμοκρασίας του πλανήτη πολύ πιο κάτω από τους 2°C ως προς τα προβιομηχανικά επίπεδα και να συνεχισθούν οι προσπάθειες για τον περιορισμό της αύξησης της θερμοκρασίας στον 1,5° C.</w:t>
      </w:r>
    </w:p>
    <w:p>
      <w:pPr>
        <w:ind w:left="709" w:hanging="709"/>
        <w:rPr>
          <w:noProof/>
        </w:rPr>
      </w:pPr>
      <w:r>
        <w:rPr>
          <w:noProof/>
        </w:rPr>
        <w:t>2.</w:t>
      </w:r>
      <w:r>
        <w:rPr>
          <w:noProof/>
        </w:rPr>
        <w:tab/>
        <w:t>Ο</w:t>
      </w:r>
      <w:r>
        <w:rPr>
          <w:noProof/>
          <w:color w:val="000000"/>
        </w:rPr>
        <w:t xml:space="preserve"> Διεθνής Οργανισμός Πολιτικής Αεροπορίας (ΔΟΠΑ) συστάθηκε με </w:t>
      </w:r>
      <w:r>
        <w:rPr>
          <w:noProof/>
        </w:rPr>
        <w:t xml:space="preserve">τη σύμβαση του Σικάγου περί Διεθνούς Πολιτικής Αεροπορίας του 1944. Όλα τα κράτη μέλη είναι συμβαλλόμενα μέρη της σύμβασης και μέλη του ΔΟΠΑ, ενώ η Ένωση έχει την ιδιότητα του παρατηρητή σε ορισμένες συνεδριάσεις του ΔΟΠΑ, όπως και στη Συνέλευση του ΔΟΠΑ που πραγματοποιείται κάθε τρία έτη. Η Ένωση και όλα τα κράτη μέλη της είναι συμβαλλόμενα μέρη στο πρωτόκολλο του Κιότο του 1997, με βάση το οποίο τα συμβαλλόμενα μέρη απαιτείται να επιδιώξουν τον περιορισμό των εκπομπών αερίων του θερμοκηπίου από τις διεθνείς αερομεταφορές μέσω του ΔΟΠΑ. Η απόφαση 1600/2002/ΕΚ του Ευρωπαϊκού Κοινοβουλίου και του Συμβουλίου καλούσε την Ένωση να καθορίσει και να αναλάβει συγκεκριμένες δράσεις για τη </w:t>
      </w:r>
      <w:r>
        <w:rPr>
          <w:noProof/>
        </w:rPr>
        <w:lastRenderedPageBreak/>
        <w:t>μείωση των εκπομπών αερίων του θερμοκηπίου από τις αερομεταφορές εάν μέχρι το 2002 ο ΔΟΠΑ δεν συμφωνούσε σε ανάλογη δράση.</w:t>
      </w:r>
    </w:p>
    <w:p>
      <w:pPr>
        <w:ind w:left="709" w:hanging="709"/>
        <w:rPr>
          <w:noProof/>
        </w:rPr>
      </w:pPr>
      <w:r>
        <w:rPr>
          <w:noProof/>
        </w:rPr>
        <w:t>3.</w:t>
      </w:r>
      <w:r>
        <w:rPr>
          <w:noProof/>
        </w:rPr>
        <w:tab/>
        <w:t>Η 33η σύνοδος της Συνέλευσης του ΔΟΠΑ (2001) ενέκρινε σύστημα ανοικτής εμπορίας εκπομπών για τις διεθνείς αεροπορικές μεταφορές</w:t>
      </w:r>
      <w:r>
        <w:rPr>
          <w:rStyle w:val="FootnoteReference"/>
          <w:noProof/>
        </w:rPr>
        <w:footnoteReference w:id="10"/>
      </w:r>
      <w:r>
        <w:rPr>
          <w:noProof/>
        </w:rPr>
        <w:t>. Η επιτροπή αεροπορίας και προστασίας του περιβάλλοντος του ΔΟΠΑ συνέστησε το 2004 ότι δεν πρέπει να επιδιωχθεί σύστημα εμπορίας εκπομπών ειδικά για τις αερομεταφορές, βασισμένο σε νέο νομικό μέσο υπό την αιγίδα του ΔΟΠΑ. Η 35η σύνοδος της Συνέλευσης του ΔΟΠΑ (2004) επικρότησε την ανοικτή εμπορία εκπομπών και την ευχέρεια των κρατών να εντάξουν τις εκπομπές των διεθνών αεροπορικών μεταφορών στα οικεία συστήματα εμπορίας εκπομπών</w:t>
      </w:r>
      <w:r>
        <w:rPr>
          <w:rStyle w:val="FootnoteReference"/>
          <w:noProof/>
        </w:rPr>
        <w:footnoteReference w:id="11"/>
      </w:r>
      <w:r>
        <w:rPr>
          <w:noProof/>
        </w:rPr>
        <w:t>, αλλά η 36η σύνοδος της Συνέλευσης του ΔΟΠΑ (2007) ζήτησε απαλλαγή των φορέων εκμετάλλευσης αεροσκαφών που εδρεύουν σε άλλα κράτη, εκτός αν υφίσταται διμερής συμφωνία</w:t>
      </w:r>
      <w:r>
        <w:rPr>
          <w:rStyle w:val="FootnoteReference"/>
          <w:noProof/>
        </w:rPr>
        <w:footnoteReference w:id="12"/>
      </w:r>
      <w:r>
        <w:rPr>
          <w:noProof/>
        </w:rPr>
        <w:t>. Η Ένωση, τα κράτη μέλη της και άλλα ευρωπαϊκά κράτη επιφυλάχθηκαν πάντοτε του δικαιώματός τους να εφαρμόσουν χωρίς διακρίσεις αγορακεντρικά μέτρα σε όλους τους φορείς εκμετάλλευσης αεροσκαφών που εκτελούν δρομολόγια προς, από ή εντός της επικράτειάς τους, υπενθυμίζοντας ότι η σύμβαση του Σικάγου αναγνωρίζει το δικαίωμα των συμβαλλομένων μερών να εφαρμόζουν χωρίς διακρίσεις</w:t>
      </w:r>
      <w:r>
        <w:rPr>
          <w:rStyle w:val="FootnoteReference"/>
          <w:noProof/>
        </w:rPr>
        <w:footnoteReference w:id="13"/>
      </w:r>
      <w:r>
        <w:rPr>
          <w:noProof/>
        </w:rPr>
        <w:t xml:space="preserve"> τους δικούς τους νόμους και κανονισμούς περί αεροπορίας στα αεροσκάφη όλων των κρατών που εκτελούν δρομολόγια προς, από ή εντός της επικράτειάς τους.</w:t>
      </w:r>
    </w:p>
    <w:p>
      <w:pPr>
        <w:ind w:left="709" w:hanging="709"/>
        <w:rPr>
          <w:noProof/>
        </w:rPr>
      </w:pPr>
      <w:r>
        <w:rPr>
          <w:noProof/>
        </w:rPr>
        <w:t>4.</w:t>
      </w:r>
      <w:r>
        <w:rPr>
          <w:noProof/>
        </w:rPr>
        <w:tab/>
        <w:t>Λαμβάνοντας υπόψη ότι ο περιορισμός των εκπομπών αερίων του θερμοκηπίου από τις αεροπορικές δραστηριότητες αποτελεί ουσιαστική συμβολή που συνάδει με τις γενικές δεσμεύσεις για μείωση των εκπομπών, το Ευρωπαϊκό Κοινοβούλιο και το Συμβούλιο εξέδωσαν την οδηγία 2008/101/ΕΚ</w:t>
      </w:r>
      <w:r>
        <w:rPr>
          <w:rStyle w:val="FootnoteReference"/>
          <w:noProof/>
        </w:rPr>
        <w:footnoteReference w:id="14"/>
      </w:r>
      <w:r>
        <w:rPr>
          <w:noProof/>
        </w:rPr>
        <w:t xml:space="preserve"> με την οποία τροποποιήθηκε η οδηγία 2003/87/ΕΚ του Ευρωπαϊκού Κοινοβουλίου και του Συμβουλίου, της 13ης Οκτωβρίου 2003, σχετικά με την καθιέρωση συστήματος εμπορίας δικαιωμάτων εκπομπής αερίων του θερμοκηπίου, ώστε να περιληφθούν οι αεροπορικές δραστηριότητες και με την τροποποίηση της οδηγίας 96/61/ΕΚ του Συμβουλίου</w:t>
      </w:r>
      <w:r>
        <w:rPr>
          <w:rStyle w:val="FootnoteReference"/>
          <w:noProof/>
        </w:rPr>
        <w:footnoteReference w:id="15"/>
      </w:r>
      <w:r>
        <w:rPr>
          <w:noProof/>
        </w:rPr>
        <w:t>. Η πέμπτη αιτιολογική σκέψη της οδηγίας 2008/101/ΕΚ ορίζει ότι η ΕΕ θα επιδιώξει να διασφαλίσει ότι η παγκόσμια αυτή συμφωνία για τον περιορισμό της αύξησης της θερμοκρασίας του πλανήτη θα περιλαμβάνει μέτρα για τη μείωση των εκπομπών αερίων του θερμοκηπίου από τις διεθνείς αεροπορικές μεταφορές και, στην περίπτωση αυτή, η Επιτροπή πρέπει να εξετάσει ποιες τροποποιήσεις της οδηγίας 2008/101/ΕΚ είναι απαραίτητες για την εφαρμογή τους στους φορείς εκμετάλλευσης αεροσκαφών.</w:t>
      </w:r>
    </w:p>
    <w:p>
      <w:pPr>
        <w:ind w:left="709" w:hanging="709"/>
        <w:rPr>
          <w:noProof/>
          <w:color w:val="000000"/>
        </w:rPr>
      </w:pPr>
      <w:r>
        <w:rPr>
          <w:noProof/>
        </w:rPr>
        <w:t>5.</w:t>
      </w:r>
      <w:r>
        <w:rPr>
          <w:noProof/>
        </w:rPr>
        <w:tab/>
        <w:t>Στην ανακοίνωση της Επιτροπής προς το Ευρωπαϊκό Κοινοβούλιο και το Συμβούλιο με τίτλο «</w:t>
      </w:r>
      <w:r>
        <w:rPr>
          <w:i/>
          <w:noProof/>
        </w:rPr>
        <w:t xml:space="preserve">Το Πρωτόκολλο του Παρισιού — Ένα σχέδιο στρατηγικής για την </w:t>
      </w:r>
      <w:r>
        <w:rPr>
          <w:i/>
          <w:noProof/>
        </w:rPr>
        <w:lastRenderedPageBreak/>
        <w:t>αντιμετώπιση της παγκόσμιας κλιματικής αλλαγής μετά το 2020»</w:t>
      </w:r>
      <w:r>
        <w:rPr>
          <w:rStyle w:val="FootnoteReference"/>
          <w:i/>
          <w:noProof/>
        </w:rPr>
        <w:footnoteReference w:id="16"/>
      </w:r>
      <w:r>
        <w:rPr>
          <w:noProof/>
        </w:rPr>
        <w:t xml:space="preserve"> τονίζεται ότι ο Διεθνής Οργανισμός Πολιτικής Αεροπορίας (ΔΟΠΑ) πρέπει να ενεργήσει για την αποτελεσματική ρύθμιση των εκπομπών από τις διεθνείς αεροπορικές μεταφορές πριν από το τέλος του 2016. Η επόμενη σύνοδος της Συνέλευσης του ΔΟΠΑ θα πραγματοποιηθεί το 2016 και αναμένεται ότι θα συμφωνήσει σε ένα διεθνές μέσο που θα έχει ως αποτέλεσμα την εφαρμογή έως το 2020 ενιαίου παγκόσμιου αγορακεντρικού μέτρου για τις εκπομπές των διεθνών αεροπορικών μεταφορών.</w:t>
      </w:r>
    </w:p>
    <w:p>
      <w:pPr>
        <w:autoSpaceDE w:val="0"/>
        <w:autoSpaceDN w:val="0"/>
        <w:adjustRightInd w:val="0"/>
        <w:spacing w:before="0" w:after="0"/>
        <w:ind w:left="709" w:hanging="709"/>
        <w:rPr>
          <w:noProof/>
        </w:rPr>
      </w:pPr>
      <w:r>
        <w:rPr>
          <w:noProof/>
          <w:color w:val="000000"/>
        </w:rPr>
        <w:t>6.</w:t>
      </w:r>
      <w:r>
        <w:rPr>
          <w:noProof/>
        </w:rPr>
        <w:tab/>
        <w:t>Η 38η σύνοδος της Συνέλευσης του ΔΟΠΑ (2013) αποφάσισε ότι ο ΔΟΠΑ και τα κράτη μέλη του, μαζί με τους αρμόδιους οργανισμούς, θα συνεργαστούν ώστε με τις προσπάθειές τους να επιτύχουν μεσοπρόθεσμα τον συλλογικό, φιλόδοξο και παγκόσμιο στόχο να διατηρηθούν οι συνολικές μη ανθρακούχες εκπομπές από τις διεθνείς αεροπορικές μεταφορές από το 2020 στο ίδιο επίπεδο («στόχος του ΔΟΠΑ»), και αποφάσισε να αναπτυχθεί ένα παγκόσμιο αγορακεντρικό μέτρο για τις διεθνείς αεροπορικές μεταφορές και να υποβάλει τα αποτελέσματα των εργασιών της για τη λήψη απόφασης στην 39η σύνοδο της Συνέλευσης του ΔΟΠΑ (2016). Οι εκπομπές των διεθνών αεροπορικών μεταφορών προβλέπεται ότι θα είναι περίπου 70 % υψηλότερες το 2020 σε σύγκριση με το 2005</w:t>
      </w:r>
      <w:r>
        <w:rPr>
          <w:rStyle w:val="FootnoteReference"/>
          <w:noProof/>
        </w:rPr>
        <w:footnoteReference w:id="17"/>
      </w:r>
      <w:r>
        <w:rPr>
          <w:noProof/>
        </w:rPr>
        <w:t>, ενώ η Ένωση και τα κράτη μέλη της έχουν υποστηρίξει επανειλημμένα ότι ο στόχος παγκόσμιας μείωσης των εκπομπών αερίων του θερμοκηπίου από τις διεθνείς αεροπορικές μεταφορές είναι να σημειωθεί έως το 2020 μείωση 10 % σε σύγκριση με τα επίπεδα του 2005. Ωστόσο, κρίνεται επείγον να εκμεταλλευθεί η Ένωση την ευκαιρία για να προωθήσει την ανάπτυξη, εντός σχετικά μικρού χρονικού διαστήματος, παγκόσμιου αγορακεντρικού μέτρου για τον περιορισμό των εκπομπών αερίων του θερμοκηπίου από τις διεθνείς αερομεταφορές στα επίπεδα του 2020, λαμβανομένης υπόψη της επανεξέτασης του στόχου στο μέλλον, αν χρειασθεί.</w:t>
      </w:r>
    </w:p>
    <w:p>
      <w:pPr>
        <w:ind w:left="709" w:hanging="709"/>
        <w:rPr>
          <w:noProof/>
        </w:rPr>
      </w:pPr>
      <w:r>
        <w:rPr>
          <w:noProof/>
        </w:rPr>
        <w:t>7.</w:t>
      </w:r>
      <w:r>
        <w:rPr>
          <w:noProof/>
        </w:rPr>
        <w:tab/>
        <w:t>Για να σημειωθεί πρόοδος στη Συνέλευση του ΔΟΠΑ το 2016 όσον αφορά το κατάλληλο μέσο, οι νομοθέτες της Ένωσης αποφάσισαν να θεωρηθεί προσωρινά ότι πληρούνται οι απαιτήσεις της οδηγίας 2003/87/ΕΚ όσον αφορά τις πτήσεις από και προς αεροδρόμια σε χώρες εκτός του Ευρωπαϊκού Οικονομικού Χώρου (ΕΟΧ). Κατά τον τρόπο αυτόν, η Ένωση τονίζει ότι είναι δυνατόν να εφαρμόζονται νομικές απαιτήσεις για τις πτήσεις από και προς αεροδρόμια που βρίσκονται σε κράτη του ΕΟΧ, όπως μπορούν να εφαρμόζονται νομικές απαιτήσεις και για τις εκπομπές από τις πτήσεις μεταξύ των αεροδρομίων αυτών</w:t>
      </w:r>
      <w:r>
        <w:rPr>
          <w:rStyle w:val="FootnoteReference"/>
          <w:noProof/>
        </w:rPr>
        <w:footnoteReference w:id="18"/>
      </w:r>
      <w:r>
        <w:rPr>
          <w:noProof/>
        </w:rPr>
        <w:t>.</w:t>
      </w:r>
    </w:p>
    <w:p>
      <w:pPr>
        <w:pStyle w:val="Normal1"/>
        <w:ind w:left="709" w:hanging="709"/>
        <w:rPr>
          <w:noProof/>
          <w:color w:val="000000"/>
        </w:rPr>
      </w:pPr>
      <w:r>
        <w:rPr>
          <w:noProof/>
          <w:color w:val="000000"/>
        </w:rPr>
        <w:t>8.</w:t>
      </w:r>
      <w:r>
        <w:rPr>
          <w:noProof/>
        </w:rPr>
        <w:tab/>
      </w:r>
      <w:r>
        <w:rPr>
          <w:noProof/>
          <w:color w:val="000000"/>
        </w:rPr>
        <w:t xml:space="preserve">Η οδηγία 2003/87/ΕΚ όπως τροποποιήθηκε καθορίζει ορισμένες υποχρεώσεις της Επιτροπής μετά την 39η σύνοδο της Συνέλευσης του ΔΟΠΑ (2016). Η Επιτροπή θα υποβάλει έκθεση στο Ευρωπαϊκό Κοινοβούλιο και το Συμβούλιο σχετικά με τις δράσεις για την εφαρμογή ενός διεθνούς μέσου που θα έχει ως αντικείμενο ένα παγκόσμιο αγορακεντρικό μέτρο από το 2020, με το οποίο θα μειωθούν οι εκπομπές </w:t>
      </w:r>
      <w:r>
        <w:rPr>
          <w:noProof/>
          <w:color w:val="000000"/>
        </w:rPr>
        <w:lastRenderedPageBreak/>
        <w:t>αερίων του θερμοκηπίου από τις διεθνείς</w:t>
      </w:r>
      <w:r>
        <w:rPr>
          <w:noProof/>
        </w:rPr>
        <w:t xml:space="preserve"> </w:t>
      </w:r>
      <w:r>
        <w:rPr>
          <w:noProof/>
          <w:color w:val="000000"/>
        </w:rPr>
        <w:t>αερομεταφορές χωρίς την εισαγωγή διακρίσεων. Στην έκθεσή της, η Επιτροπή θα εξετάσει και θα περιλάβει προτάσεις, αν χρειασθεί, όσον αφορά το κατάλληλο πεδίο εφαρμογής για την κάλυψη των εκπομπών που οφείλονται στις δραστηριότητες από και προς αεροδρόμια που βρίσκονται σε χώρες εκτός του ΕΟΧ από την 1η Ιανουαρίου 2017 και εντεύθεν.</w:t>
      </w:r>
    </w:p>
    <w:p>
      <w:pPr>
        <w:pStyle w:val="Normal1"/>
        <w:ind w:left="709" w:hanging="709"/>
        <w:rPr>
          <w:noProof/>
          <w:color w:val="000000"/>
          <w:highlight w:val="yellow"/>
        </w:rPr>
      </w:pPr>
      <w:r>
        <w:rPr>
          <w:noProof/>
          <w:color w:val="000000"/>
        </w:rPr>
        <w:t>9.</w:t>
      </w:r>
      <w:r>
        <w:rPr>
          <w:noProof/>
        </w:rPr>
        <w:tab/>
        <w:t>Πρέπει να καθορισθεί η θέση που θα λάβει η Ένωση για το διεθνές νομικό μέσο που θα εκπονήσει ο ΔΟΠΑ θα έχει ως αποτέλεσμα την εφαρμογή ενιαίου παγκόσμιου αγορακεντρικού μέτρου από το 2020 για τις εκπομπές των διεθνών αεροπορικών μεταφορών.</w:t>
      </w:r>
    </w:p>
    <w:p>
      <w:pPr>
        <w:pStyle w:val="Normal1"/>
        <w:ind w:left="709" w:hanging="709"/>
        <w:rPr>
          <w:noProof/>
        </w:rPr>
      </w:pPr>
      <w:r>
        <w:rPr>
          <w:noProof/>
        </w:rPr>
        <w:t>10.</w:t>
      </w:r>
      <w:r>
        <w:rPr>
          <w:noProof/>
        </w:rPr>
        <w:tab/>
        <w:t>Είναι αναγκαίο να εγκριθεί η θέση της Ένωσης πολύ πριν από την επόμενη συνέλευση του ΔΟΠΑ,</w:t>
      </w:r>
    </w:p>
    <w:p>
      <w:pPr>
        <w:rPr>
          <w:noProof/>
        </w:rPr>
      </w:pPr>
    </w:p>
    <w:p>
      <w:pPr>
        <w:rPr>
          <w:noProof/>
        </w:rPr>
      </w:pPr>
      <w:r>
        <w:rPr>
          <w:noProof/>
        </w:rPr>
        <w:t xml:space="preserve">ΕΞΕΔΩΣΕ ΤΗΝ ΠΑΡΟΥΣΑ ΑΠΟΦΑΣΗ: </w:t>
      </w:r>
    </w:p>
    <w:p>
      <w:pPr>
        <w:pStyle w:val="Titrearticle"/>
        <w:rPr>
          <w:noProof/>
        </w:rPr>
      </w:pPr>
      <w:r>
        <w:rPr>
          <w:noProof/>
        </w:rPr>
        <w:t>Άρθρο 1</w:t>
      </w:r>
    </w:p>
    <w:p>
      <w:pPr>
        <w:rPr>
          <w:noProof/>
        </w:rPr>
      </w:pPr>
      <w:r>
        <w:rPr>
          <w:noProof/>
        </w:rPr>
        <w:t>Η θέση που πρέπει να ληφθεί εξ ονόματος της Ευρωπαϊκής Ένωσης με σκοπό τη θέσπιση νομικού μέσου σχετικά με ένα παγκόσμιο αγορακεντρικό μέτρο του ΔΟΠΑ ανταποκρίνεται στο παράρτημα της παρούσας απόφασης και εκφράζεται από την Επιτροπή και τα κράτη μέλη, ενεργώντας από κοινού προς το συμφέρον της Ένωσης, στο πλαίσιο των οργάνων του ΔΟΠΑ.</w:t>
      </w:r>
    </w:p>
    <w:p>
      <w:pPr>
        <w:pStyle w:val="Titrearticle"/>
        <w:rPr>
          <w:noProof/>
        </w:rPr>
      </w:pPr>
      <w:r>
        <w:rPr>
          <w:noProof/>
        </w:rPr>
        <w:t>Άρθρο 2</w:t>
      </w:r>
    </w:p>
    <w:p>
      <w:pPr>
        <w:autoSpaceDE w:val="0"/>
        <w:autoSpaceDN w:val="0"/>
        <w:adjustRightInd w:val="0"/>
        <w:spacing w:before="0" w:after="0"/>
        <w:rPr>
          <w:noProof/>
        </w:rPr>
      </w:pPr>
      <w:r>
        <w:rPr>
          <w:noProof/>
        </w:rPr>
        <w:t>Η Επιτροπή τηρεί πλήρως ενήμερα τα αρμόδια όργανα του Συμβουλίου σχετικά με τις διεξαγόμενες συζητήσεις. Προκειμένου να είναι σε θέση η Επιτροπή να είναι πλήρως ενημερωμένη σχετικά με τις απόψεις του Συμβουλίου όσον αφορά την ορθή εφαρμογή των όρων του παραρτήματος, η Επιτροπή συμβουλεύεται τα όργανα αυτά καθ’ όλη τη διάρκεια της διαδικασίας, όποτε είναι απαραίτητο, ανάλογα με τις εξελίξεις στα όργανα του ΔΟΠΑ.</w:t>
      </w:r>
    </w:p>
    <w:p>
      <w:pPr>
        <w:pStyle w:val="Fait"/>
        <w:rPr>
          <w:noProof/>
        </w:rPr>
      </w:pPr>
      <w:r>
        <w:rPr>
          <w:noProof/>
        </w:rPr>
        <w:t>Βρυξέλλες,</w:t>
      </w:r>
    </w:p>
    <w:p>
      <w:pPr>
        <w:pStyle w:val="Institutionquisigne"/>
        <w:rPr>
          <w:noProof/>
        </w:rPr>
      </w:pPr>
      <w:r>
        <w:rPr>
          <w:noProof/>
        </w:rPr>
        <w:tab/>
        <w:t>Για το Συμβούλιο</w:t>
      </w:r>
    </w:p>
    <w:p>
      <w:pPr>
        <w:pStyle w:val="Personnequisigne"/>
        <w:rPr>
          <w:noProof/>
        </w:rPr>
      </w:pPr>
      <w:r>
        <w:rPr>
          <w:noProof/>
        </w:rPr>
        <w:tab/>
        <w:t>Ο Πρόεδρος</w:t>
      </w:r>
    </w:p>
    <w:sectPr>
      <w:footerReference w:type="default" r:id="rId11"/>
      <w:footerReference w:type="first" r:id="rId12"/>
      <w:pgSz w:w="11907" w:h="16839"/>
      <w:pgMar w:top="1134" w:right="1417"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pStyle w:val="Fichefinanciretitre"/>
      </w:pPr>
      <w:r>
        <w:separator/>
      </w:r>
    </w:p>
  </w:endnote>
  <w:endnote w:type="continuationSeparator" w:id="0">
    <w:p>
      <w:pPr>
        <w:pStyle w:val="Fichefinanciretitr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ichefinanciretitre"/>
      </w:pPr>
      <w:r>
        <w:separator/>
      </w:r>
    </w:p>
  </w:footnote>
  <w:footnote w:type="continuationSeparator" w:id="0">
    <w:p>
      <w:pPr>
        <w:pStyle w:val="Fichefinanciretitre"/>
      </w:pPr>
      <w:r>
        <w:continuationSeparator/>
      </w:r>
    </w:p>
  </w:footnote>
  <w:footnote w:type="continuationNotice" w:id="1">
    <w:p>
      <w:pPr>
        <w:spacing w:before="0" w:after="0"/>
      </w:pPr>
    </w:p>
  </w:footnote>
  <w:footnote w:id="2">
    <w:p>
      <w:pPr>
        <w:pStyle w:val="FootnoteText"/>
      </w:pPr>
      <w:r>
        <w:rPr>
          <w:rStyle w:val="FootnoteReference"/>
        </w:rPr>
        <w:footnoteRef/>
      </w:r>
      <w:r>
        <w:tab/>
      </w:r>
      <w:r>
        <w:rPr>
          <w:color w:val="000000"/>
        </w:rPr>
        <w:t>COM(2015)81 της 4ης Μαρτίου 2015.</w:t>
      </w:r>
    </w:p>
  </w:footnote>
  <w:footnote w:id="3">
    <w:p>
      <w:pPr>
        <w:pStyle w:val="FootnoteText"/>
      </w:pPr>
      <w:r>
        <w:rPr>
          <w:rStyle w:val="FootnoteReference"/>
        </w:rPr>
        <w:footnoteRef/>
      </w:r>
      <w:r>
        <w:tab/>
        <w:t>Απόφαση του ΔΟΠΑ A38-18 (2013)</w:t>
      </w:r>
    </w:p>
  </w:footnote>
  <w:footnote w:id="4">
    <w:p>
      <w:pPr>
        <w:pStyle w:val="FootnoteText"/>
      </w:pPr>
      <w:r>
        <w:rPr>
          <w:rStyle w:val="FootnoteReference"/>
        </w:rPr>
        <w:footnoteRef/>
      </w:r>
      <w:r>
        <w:tab/>
        <w:t>Απόφαση του ΔΟΠΑ A33-7 (2001)</w:t>
      </w:r>
    </w:p>
  </w:footnote>
  <w:footnote w:id="5">
    <w:p>
      <w:pPr>
        <w:pStyle w:val="FootnoteText"/>
      </w:pPr>
      <w:r>
        <w:rPr>
          <w:rStyle w:val="FootnoteReference"/>
        </w:rPr>
        <w:footnoteRef/>
      </w:r>
      <w:r>
        <w:tab/>
        <w:t>Απόφαση του ΔΟΠΑ A35-5 (2004)</w:t>
      </w:r>
    </w:p>
  </w:footnote>
  <w:footnote w:id="6">
    <w:p>
      <w:pPr>
        <w:pStyle w:val="FootnoteText"/>
      </w:pPr>
      <w:r>
        <w:rPr>
          <w:rStyle w:val="FootnoteReference"/>
        </w:rPr>
        <w:footnoteRef/>
      </w:r>
      <w:r>
        <w:tab/>
        <w:t>ΕΕ L 275 της 25.10.2003, σ. 32.</w:t>
      </w:r>
    </w:p>
  </w:footnote>
  <w:footnote w:id="7">
    <w:p>
      <w:pPr>
        <w:pStyle w:val="FootnoteText"/>
      </w:pPr>
      <w:r>
        <w:rPr>
          <w:rStyle w:val="FootnoteReference"/>
        </w:rPr>
        <w:footnoteRef/>
      </w:r>
      <w:r>
        <w:tab/>
        <w:t>Βλ. επιφυλάξεις σχετικά με την απόφαση του ΔΟΠΑ του 2013, στην υποσημείωση 4 ανωτέρω.</w:t>
      </w:r>
    </w:p>
  </w:footnote>
  <w:footnote w:id="8">
    <w:p>
      <w:pPr>
        <w:pStyle w:val="FootnoteText"/>
      </w:pPr>
      <w:r>
        <w:rPr>
          <w:rStyle w:val="FootnoteReference"/>
        </w:rPr>
        <w:footnoteRef/>
      </w:r>
      <w:r>
        <w:tab/>
        <w:t>Κανονισμός 421/2014 του Ευρωπαϊκού Κοινοβουλίου και του Συμβουλίου.</w:t>
      </w:r>
    </w:p>
  </w:footnote>
  <w:footnote w:id="9">
    <w:p>
      <w:pPr>
        <w:pStyle w:val="FootnoteText"/>
      </w:pPr>
      <w:r>
        <w:rPr>
          <w:rStyle w:val="FootnoteReference"/>
        </w:rPr>
        <w:footnoteRef/>
      </w:r>
      <w:r>
        <w:tab/>
        <w:t>COM(2016) 110 final.</w:t>
      </w:r>
    </w:p>
  </w:footnote>
  <w:footnote w:id="10">
    <w:p>
      <w:pPr>
        <w:pStyle w:val="FootnoteText"/>
      </w:pPr>
      <w:r>
        <w:rPr>
          <w:rStyle w:val="FootnoteReference"/>
        </w:rPr>
        <w:footnoteRef/>
      </w:r>
      <w:r>
        <w:tab/>
        <w:t>Απόφαση του ΔΟΠΑ A33-7</w:t>
      </w:r>
    </w:p>
  </w:footnote>
  <w:footnote w:id="11">
    <w:p>
      <w:pPr>
        <w:pStyle w:val="FootnoteText"/>
      </w:pPr>
      <w:r>
        <w:rPr>
          <w:rStyle w:val="FootnoteReference"/>
        </w:rPr>
        <w:footnoteRef/>
      </w:r>
      <w:r>
        <w:tab/>
        <w:t>Απόφαση του ΔΟΠΑ A35-5</w:t>
      </w:r>
    </w:p>
  </w:footnote>
  <w:footnote w:id="12">
    <w:p>
      <w:pPr>
        <w:pStyle w:val="FootnoteText"/>
      </w:pPr>
      <w:r>
        <w:rPr>
          <w:rStyle w:val="FootnoteReference"/>
        </w:rPr>
        <w:footnoteRef/>
      </w:r>
      <w:r>
        <w:tab/>
        <w:t>Προσάρτημα L της απόφασης Α36-22</w:t>
      </w:r>
    </w:p>
  </w:footnote>
  <w:footnote w:id="13">
    <w:p>
      <w:pPr>
        <w:pStyle w:val="FootnoteText"/>
        <w:jc w:val="left"/>
      </w:pPr>
      <w:r>
        <w:rPr>
          <w:rStyle w:val="FootnoteReference"/>
        </w:rPr>
        <w:footnoteRef/>
      </w:r>
      <w:r>
        <w:tab/>
        <w:t xml:space="preserve">Επιφυλάξεις για την απόφαση του ΔΟΠΑ του 2007, την απόφαση του ΔΟΠΑ του 2010, την απόφαση του Συμβουλίου του ΔΟΠΑ του 2012 για την έγκριση της Δήλωσης του Δελχί και την απόφαση του ΔΟΠΑ του 2013, βλ. </w:t>
      </w:r>
      <w:hyperlink r:id="rId1">
        <w:r>
          <w:rPr>
            <w:rStyle w:val="Hyperlink"/>
            <w:noProof/>
          </w:rPr>
          <w:t>http://ec.europa.eu/clima/policies/transport/aviation/documentation_en.htm</w:t>
        </w:r>
      </w:hyperlink>
      <w:r>
        <w:t xml:space="preserve"> </w:t>
      </w:r>
    </w:p>
  </w:footnote>
  <w:footnote w:id="14">
    <w:p>
      <w:pPr>
        <w:pStyle w:val="FootnoteText"/>
      </w:pPr>
      <w:r>
        <w:rPr>
          <w:rStyle w:val="FootnoteReference"/>
        </w:rPr>
        <w:footnoteRef/>
      </w:r>
      <w:r>
        <w:tab/>
        <w:t>ΕΕ L 8 της 13.1.2009, σ. 3.</w:t>
      </w:r>
    </w:p>
  </w:footnote>
  <w:footnote w:id="15">
    <w:p>
      <w:pPr>
        <w:pStyle w:val="FootnoteText"/>
      </w:pPr>
      <w:r>
        <w:rPr>
          <w:rStyle w:val="FootnoteReference"/>
        </w:rPr>
        <w:footnoteRef/>
      </w:r>
      <w:r>
        <w:tab/>
        <w:t>ΕΕ L 275 της 25.10.2003, σ. 32.</w:t>
      </w:r>
    </w:p>
  </w:footnote>
  <w:footnote w:id="16">
    <w:p>
      <w:pPr>
        <w:pStyle w:val="FootnoteText"/>
      </w:pPr>
      <w:r>
        <w:rPr>
          <w:rStyle w:val="FootnoteReference"/>
        </w:rPr>
        <w:footnoteRef/>
      </w:r>
      <w:r>
        <w:tab/>
      </w:r>
      <w:r>
        <w:rPr>
          <w:color w:val="000000"/>
        </w:rPr>
        <w:t>COM(2015)81 της 4ης Μαρτίου 2015.</w:t>
      </w:r>
    </w:p>
  </w:footnote>
  <w:footnote w:id="17">
    <w:p>
      <w:pPr>
        <w:pStyle w:val="FootnoteText"/>
      </w:pPr>
      <w:r>
        <w:rPr>
          <w:rStyle w:val="FootnoteReference"/>
        </w:rPr>
        <w:footnoteRef/>
      </w:r>
      <w:r>
        <w:tab/>
        <w:t>Βλ. επιφυλάξεις σχετικά με την απόφαση του ΔΟΠΑ του 2013, στην υποσημείωση 4 ανωτέρω.</w:t>
      </w:r>
    </w:p>
  </w:footnote>
  <w:footnote w:id="18">
    <w:p>
      <w:pPr>
        <w:pStyle w:val="FootnoteText"/>
      </w:pPr>
      <w:r>
        <w:rPr>
          <w:rStyle w:val="FootnoteReference"/>
        </w:rPr>
        <w:footnoteRef/>
      </w:r>
      <w:r>
        <w:tab/>
        <w:t>Κανονισμός 421/2014 του Ευρωπαϊκού Κοινοβουλίου και του Συμβουλίου, της 16ης Απριλίου 2014, για την τροποποίηση της οδηγίας 2003/87/ΕΚ σχετικά με τη θέσπιση συστήματος εμπορίας δικαιωμάτων εκπομπής αερίων θερμοκηπίου εντός της Κοινότητας, ενόψει της εφαρμογής έως το 2020 μιας διεθνούς συμφωνίας για τη θέσπιση ενός ενιαίου παγκόσμιου αγορακεντρικού μέτρου σχετικά με τις εκπομπές που οφείλονται στις διεθνείς αεροπορικές μεταφορές, ΕΕ L 129 της 30.4.2014, σ.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FB1"/>
    <w:multiLevelType w:val="multilevel"/>
    <w:tmpl w:val="30847FD6"/>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5E43525"/>
    <w:multiLevelType w:val="multilevel"/>
    <w:tmpl w:val="76202BFE"/>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E930D7"/>
    <w:multiLevelType w:val="multilevel"/>
    <w:tmpl w:val="EFD2E05E"/>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9">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4">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5F8C3B69"/>
    <w:multiLevelType w:val="multilevel"/>
    <w:tmpl w:val="9B14DAA8"/>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6A6901C1"/>
    <w:multiLevelType w:val="singleLevel"/>
    <w:tmpl w:val="208841AE"/>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3">
    <w:nsid w:val="6D2B5511"/>
    <w:multiLevelType w:val="singleLevel"/>
    <w:tmpl w:val="74A09970"/>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24">
    <w:nsid w:val="78A241BD"/>
    <w:multiLevelType w:val="singleLevel"/>
    <w:tmpl w:val="53C4DF32"/>
    <w:name w:val="List Dash 3"/>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25">
    <w:nsid w:val="79C96D36"/>
    <w:multiLevelType w:val="multilevel"/>
    <w:tmpl w:val="BE983CE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7">
    <w:nsid w:val="7D8820A0"/>
    <w:multiLevelType w:val="singleLevel"/>
    <w:tmpl w:val="54F6C7B4"/>
    <w:name w:val="List Dash 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28">
    <w:nsid w:val="7F7154E1"/>
    <w:multiLevelType w:val="singleLevel"/>
    <w:tmpl w:val="E3F6D2C6"/>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18"/>
  </w:num>
  <w:num w:numId="2">
    <w:abstractNumId w:val="25"/>
  </w:num>
  <w:num w:numId="3">
    <w:abstractNumId w:val="5"/>
  </w:num>
  <w:num w:numId="4">
    <w:abstractNumId w:val="1"/>
  </w:num>
  <w:num w:numId="5">
    <w:abstractNumId w:val="0"/>
  </w:num>
  <w:num w:numId="6">
    <w:abstractNumId w:val="23"/>
  </w:num>
  <w:num w:numId="7">
    <w:abstractNumId w:val="22"/>
  </w:num>
  <w:num w:numId="8">
    <w:abstractNumId w:val="2"/>
  </w:num>
  <w:num w:numId="9">
    <w:abstractNumId w:val="8"/>
  </w:num>
  <w:num w:numId="10">
    <w:abstractNumId w:val="28"/>
  </w:num>
  <w:num w:numId="11">
    <w:abstractNumId w:val="9"/>
  </w:num>
  <w:num w:numId="12">
    <w:abstractNumId w:val="19"/>
  </w:num>
  <w:num w:numId="13">
    <w:abstractNumId w:val="14"/>
  </w:num>
  <w:num w:numId="14">
    <w:abstractNumId w:val="24"/>
  </w:num>
  <w:num w:numId="15">
    <w:abstractNumId w:val="27"/>
  </w:num>
  <w:num w:numId="16">
    <w:abstractNumId w:val="17"/>
  </w:num>
  <w:num w:numId="17">
    <w:abstractNumId w:val="10"/>
  </w:num>
  <w:num w:numId="18">
    <w:abstractNumId w:val="21"/>
  </w:num>
  <w:num w:numId="19">
    <w:abstractNumId w:val="7"/>
  </w:num>
  <w:num w:numId="20">
    <w:abstractNumId w:val="11"/>
  </w:num>
  <w:num w:numId="21">
    <w:abstractNumId w:val="4"/>
  </w:num>
  <w:num w:numId="22">
    <w:abstractNumId w:val="20"/>
  </w:num>
  <w:num w:numId="23">
    <w:abstractNumId w:val="3"/>
  </w:num>
  <w:num w:numId="24">
    <w:abstractNumId w:val="12"/>
  </w:num>
  <w:num w:numId="25">
    <w:abstractNumId w:val="15"/>
  </w:num>
  <w:num w:numId="26">
    <w:abstractNumId w:val="16"/>
  </w:num>
  <w:num w:numId="27">
    <w:abstractNumId w:val="6"/>
  </w:num>
  <w:num w:numId="28">
    <w:abstractNumId w:val="13"/>
  </w:num>
  <w:num w:numId="2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57"/>
  <w:characterSpacingControl w:val="doNotCompress"/>
  <w:hdrShapeDefaults>
    <o:shapedefaults v:ext="edit" spidmax="29697"/>
  </w:hdrShapeDefaults>
  <w:footnotePr>
    <w:footnote w:id="-1"/>
    <w:footnote w:id="0"/>
    <w:footnote w:id="1"/>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6-04-07 14:56:5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1"/>
    <w:docVar w:name="DQCResult_ModifiedMarkers" w:val="0;0"/>
    <w:docVar w:name="DQCResult_ModifiedNumbering" w:val="0;0"/>
    <w:docVar w:name="DQCResult_Objects" w:val="0;0"/>
    <w:docVar w:name="DQCResult_Sections" w:val="0;1"/>
    <w:docVar w:name="DQCResult_StructureCheck" w:val="0;0"/>
    <w:docVar w:name="DQCResult_SuperfluousWhitespace" w:val="0;3"/>
    <w:docVar w:name="DQCResult_UnknownFonts" w:val="0;0"/>
    <w:docVar w:name="DQCResult_UnknownStyles" w:val="0;3"/>
    <w:docVar w:name="DQCStatus" w:val="Green"/>
    <w:docVar w:name="DQCVersion" w:val="3"/>
    <w:docVar w:name="DQCWithWarnings" w:val="0"/>
    <w:docVar w:name="LW_CONFIDENCE" w:val=" "/>
    <w:docVar w:name="LW_CONST_RESTREINT_UE" w:val="RESTREINT UE"/>
    <w:docVar w:name="LW_CORRIGENDUM" w:val="&lt;UNUSED&gt;"/>
    <w:docVar w:name="LW_COVERPAGE_GUID" w:val="F02AE34FD4F44C5CB66C4B0585EE5F1B"/>
    <w:docVar w:name="LW_CROSSREFERENCE" w:val="&lt;UNUSED&gt;"/>
    <w:docVar w:name="LW_DocType" w:val="COM"/>
    <w:docVar w:name="LW_EMISSION" w:val="8.4.2016"/>
    <w:docVar w:name="LW_EMISSION_ISODATE" w:val="2016-04-08"/>
    <w:docVar w:name="LW_EMISSION_LOCATION" w:val="BRX"/>
    <w:docVar w:name="LW_EMISSION_PREFIX" w:val="Βρυξέλλες, "/>
    <w:docVar w:name="LW_EMISSION_SUFFIX" w:val=" "/>
    <w:docVar w:name="LW_FAITA" w:val="Done at Brussels,"/>
    <w:docVar w:name="LW_ID_DOCMODEL" w:val="SJ-019"/>
    <w:docVar w:name="LW_ID_DOCSIGNATURE" w:val="SJ-019"/>
    <w:docVar w:name="LW_ID_DOCSTRUCTURE" w:val="COM/PL/ORG"/>
    <w:docVar w:name="LW_ID_DOCTYPE" w:val="SJ-019"/>
    <w:docVar w:name="LW_ID_STATUT" w:val="SJ-019"/>
    <w:docVar w:name="LW_INST.SIGNE" w:val="_x0009_For the Council"/>
    <w:docVar w:name="LW_INTERETEEE.CP" w:val="&lt;UNUSED&gt;"/>
    <w:docVar w:name="LW_LANGUE" w:val="EL"/>
    <w:docVar w:name="LW_MARKING" w:val="&lt;UNUSED&gt;"/>
    <w:docVar w:name="LW_NOM.INST" w:val="\u917?\u933?\u929?\u937?\u928?\u913?\u938?\u922?\u919? \u917?\u928?\u921?\u932?\u929?\u927?\u928?\u919?"/>
    <w:docVar w:name="LW_NOM.INST_JOINTDOC" w:val="&lt;EMPTY&gt;"/>
    <w:docVar w:name="LW_PART_NBR" w:val="1"/>
    <w:docVar w:name="LW_PART_NBR_TOTAL" w:val="1"/>
    <w:docVar w:name="LW_PERS.SIGNE" w:val="_x0009_The President"/>
    <w:docVar w:name="LW_REF.II.NEW.CP" w:val="NLE"/>
    <w:docVar w:name="LW_REF.II.NEW.CP_NUMBER" w:val="0094"/>
    <w:docVar w:name="LW_REF.II.NEW.CP_YEAR" w:val="2016"/>
    <w:docVar w:name="LW_REF.INST.NEW" w:val="COM"/>
    <w:docVar w:name="LW_REF.INST.NEW_ADOPTED" w:val="final"/>
    <w:docVar w:name="LW_REF.INST.NEW_TEXT" w:val="(2016) 183"/>
    <w:docVar w:name="LW_REF.INTERNE" w:val="&lt;UNUSED&gt;"/>
    <w:docVar w:name="LW_SOUS.TITRE.OBJ.CP" w:val="&lt;UNUSED&gt;"/>
    <w:docVar w:name="LW_STATUT.CP" w:val="\u928?\u961?\u972?\u964?\u945?\u963?\u951?"/>
    <w:docVar w:name="LW_SUPERTITRE" w:val="&lt;UNUSED&gt;"/>
    <w:docVar w:name="LW_TITRE.OBJ.CP" w:val="\u963?\u967?\u949?\u964?\u953?\u954?\u940? \u956?\u949? \u964?\u951? \u952?\u941?\u963?\u951? \u960?\u959?\u965? \u960?\u961?\u941?\u960?\u949?\u953? \u957?\u945? \u955?\u951?\u966?\u952?\u949?\u943?, \u949?\u958? \u959?\u957?\u972?\u956?\u945?\u964?\u959?\u962? \u964?\u951?\u962? \u917?\u965?\u961?\u969?\u960?\u945?\u970?\u954?\u942?\u962? \u904?\u957?\u969?\u963?\u951?\u962?, \u972?\u963?\u959?\u957? \u945?\u966?\u959?\u961?\u940? \u964?\u959? \u948?\u953?\u949?\u952?\u957?\u941?\u962? \u956?\u941?\u963?\u959? \u960?\u959?\u965? \u952?\u945? \u949?\u954?\u960?\u959?\u957?\u942?\u963?\u959?\u965?\u957? \u964?\u945? \u972?\u961?\u947?\u945?\u957?\u945? \u964?\u959?\u965? \u916?\u927?\u928?\u913? \u956?\u949? \u963?\u954?\u959?\u960?\u972? \u964?\u951?\u957? \u949?\u966?\u945?\u961?\u956?\u959?\u947?\u942? \u945?\u960?\u972? \u964?\u959? 2020 \u949?\u957?\u953?\u945?\u943?\u959?\u965? \u960?\u945?\u947?\u954?\u972?\u963?\u956?\u953?\u959?\u965? \u945?\u947?\u959?\u961?\u945?\u954?\u949?\u957?\u964?\u961?\u953?\u954?\u959?\u973? \u956?\u941?\u964?\u961?\u959?\u965? \u947?\u953?\u945? \u964?\u951?\u957? \u945?\u957?\u964?\u953?\u956?\u949?\u964?\u974?\u960?\u953?\u963?\u951? \u964?\u969?\u957? \u949?\u954?\u960?\u959?\u956?\u960?\u974?\u957? \u945?\u960?\u972? \u964?\u953?\u962? \u948?\u953?\u949?\u952?\u957?\u949?\u943?\u962? \u945?\u949?\u961?\u959?\u960?\u959?\u961?\u953?\u954?\u941?\u962? \u956?\u949?\u964?\u945?\u966?\u959?\u961?\u941?\u962?"/>
    <w:docVar w:name="LW_TYPE.DOC.CP" w:val="\u913?\u928?\u927?\u934?\u913?\u931?\u919? \u932?\u927?\u933? \u931?\u933?\u924?\u914?\u927?\u933?\u923?\u921?\u927?\u933?"/>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el-GR"/>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line="240" w:lineRule="auto"/>
      <w:jc w:val="both"/>
    </w:pPr>
    <w:rPr>
      <w:sz w:val="24"/>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style>
  <w:style w:type="paragraph" w:customStyle="1" w:styleId="ListNumberLevel2">
    <w:name w:val="List Number (Level 2)"/>
    <w:basedOn w:val="Normal"/>
    <w:pPr>
      <w:numPr>
        <w:ilvl w:val="1"/>
        <w:numId w:val="1"/>
      </w:numPr>
    </w:pPr>
  </w:style>
  <w:style w:type="paragraph" w:customStyle="1" w:styleId="ListNumberLevel3">
    <w:name w:val="List Number (Level 3)"/>
    <w:basedOn w:val="Normal"/>
    <w:pPr>
      <w:numPr>
        <w:ilvl w:val="2"/>
        <w:numId w:val="1"/>
      </w:numPr>
    </w:pPr>
  </w:style>
  <w:style w:type="paragraph" w:customStyle="1" w:styleId="ListNumberLevel4">
    <w:name w:val="List Number (Level 4)"/>
    <w:basedOn w:val="Normal"/>
    <w:pPr>
      <w:numPr>
        <w:ilvl w:val="3"/>
        <w:numId w:val="1"/>
      </w:numPr>
    </w:p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b/>
      <w:bCs/>
      <w:sz w:val="20"/>
      <w:szCs w:val="20"/>
    </w:rPr>
  </w:style>
  <w:style w:type="paragraph" w:customStyle="1" w:styleId="ListNumber1">
    <w:name w:val="List Number 1"/>
    <w:basedOn w:val="Text1"/>
    <w:pPr>
      <w:numPr>
        <w:numId w:val="2"/>
      </w:numPr>
    </w:pPr>
  </w:style>
  <w:style w:type="paragraph" w:styleId="ListNumber2">
    <w:name w:val="List Number 2"/>
    <w:basedOn w:val="Normal"/>
    <w:pPr>
      <w:numPr>
        <w:numId w:val="3"/>
      </w:numPr>
    </w:pPr>
  </w:style>
  <w:style w:type="paragraph" w:styleId="ListNumber3">
    <w:name w:val="List Number 3"/>
    <w:basedOn w:val="Normal"/>
    <w:pPr>
      <w:numPr>
        <w:numId w:val="4"/>
      </w:numPr>
    </w:pPr>
  </w:style>
  <w:style w:type="paragraph" w:styleId="ListNumber4">
    <w:name w:val="List Number 4"/>
    <w:basedOn w:val="Normal"/>
    <w:pPr>
      <w:numPr>
        <w:numId w:val="5"/>
      </w:numPr>
    </w:pPr>
  </w:style>
  <w:style w:type="paragraph" w:customStyle="1" w:styleId="ListNumber1Level2">
    <w:name w:val="List Number 1 (Level 2)"/>
    <w:basedOn w:val="Text1"/>
    <w:pPr>
      <w:numPr>
        <w:ilvl w:val="1"/>
        <w:numId w:val="2"/>
      </w:numPr>
    </w:pPr>
  </w:style>
  <w:style w:type="paragraph" w:customStyle="1" w:styleId="ListNumber2Level2">
    <w:name w:val="List Number 2 (Level 2)"/>
    <w:basedOn w:val="Text2"/>
    <w:pPr>
      <w:numPr>
        <w:ilvl w:val="1"/>
        <w:numId w:val="3"/>
      </w:numPr>
    </w:pPr>
  </w:style>
  <w:style w:type="paragraph" w:customStyle="1" w:styleId="ListNumber3Level2">
    <w:name w:val="List Number 3 (Level 2)"/>
    <w:basedOn w:val="Text3"/>
    <w:pPr>
      <w:numPr>
        <w:ilvl w:val="1"/>
        <w:numId w:val="4"/>
      </w:numPr>
    </w:pPr>
  </w:style>
  <w:style w:type="paragraph" w:customStyle="1" w:styleId="ListNumber4Level2">
    <w:name w:val="List Number 4 (Level 2)"/>
    <w:basedOn w:val="Text4"/>
    <w:pPr>
      <w:numPr>
        <w:ilvl w:val="1"/>
        <w:numId w:val="5"/>
      </w:numPr>
    </w:pPr>
  </w:style>
  <w:style w:type="paragraph" w:customStyle="1" w:styleId="ListNumber1Level3">
    <w:name w:val="List Number 1 (Level 3)"/>
    <w:basedOn w:val="Text1"/>
    <w:pPr>
      <w:numPr>
        <w:ilvl w:val="2"/>
        <w:numId w:val="2"/>
      </w:numPr>
    </w:pPr>
  </w:style>
  <w:style w:type="paragraph" w:customStyle="1" w:styleId="ListNumber2Level3">
    <w:name w:val="List Number 2 (Level 3)"/>
    <w:basedOn w:val="Text2"/>
    <w:pPr>
      <w:numPr>
        <w:ilvl w:val="2"/>
        <w:numId w:val="3"/>
      </w:numPr>
    </w:pPr>
  </w:style>
  <w:style w:type="paragraph" w:customStyle="1" w:styleId="ListNumber3Level3">
    <w:name w:val="List Number 3 (Level 3)"/>
    <w:basedOn w:val="Text3"/>
    <w:pPr>
      <w:numPr>
        <w:ilvl w:val="2"/>
        <w:numId w:val="4"/>
      </w:numPr>
    </w:pPr>
  </w:style>
  <w:style w:type="paragraph" w:customStyle="1" w:styleId="ListNumber4Level3">
    <w:name w:val="List Number 4 (Level 3)"/>
    <w:basedOn w:val="Text4"/>
    <w:pPr>
      <w:numPr>
        <w:ilvl w:val="2"/>
        <w:numId w:val="5"/>
      </w:numPr>
    </w:pPr>
  </w:style>
  <w:style w:type="paragraph" w:customStyle="1" w:styleId="ListNumber1Level4">
    <w:name w:val="List Number 1 (Level 4)"/>
    <w:basedOn w:val="Text1"/>
    <w:pPr>
      <w:numPr>
        <w:ilvl w:val="3"/>
        <w:numId w:val="2"/>
      </w:numPr>
    </w:pPr>
  </w:style>
  <w:style w:type="paragraph" w:customStyle="1" w:styleId="ListNumber2Level4">
    <w:name w:val="List Number 2 (Level 4)"/>
    <w:basedOn w:val="Text2"/>
    <w:pPr>
      <w:numPr>
        <w:ilvl w:val="3"/>
        <w:numId w:val="3"/>
      </w:numPr>
    </w:pPr>
  </w:style>
  <w:style w:type="paragraph" w:customStyle="1" w:styleId="ListNumber3Level4">
    <w:name w:val="List Number 3 (Level 4)"/>
    <w:basedOn w:val="Text3"/>
    <w:pPr>
      <w:numPr>
        <w:ilvl w:val="3"/>
        <w:numId w:val="4"/>
      </w:numPr>
    </w:pPr>
  </w:style>
  <w:style w:type="paragraph" w:customStyle="1" w:styleId="ListNumber4Level4">
    <w:name w:val="List Number 4 (Level 4)"/>
    <w:basedOn w:val="Text4"/>
    <w:pPr>
      <w:numPr>
        <w:ilvl w:val="3"/>
        <w:numId w:val="5"/>
      </w:numPr>
    </w:pPr>
  </w:style>
  <w:style w:type="paragraph" w:styleId="ListBullet">
    <w:name w:val="List Bullet"/>
    <w:basedOn w:val="Normal"/>
    <w:pPr>
      <w:numPr>
        <w:numId w:val="6"/>
      </w:numPr>
    </w:pPr>
  </w:style>
  <w:style w:type="paragraph" w:customStyle="1" w:styleId="ListBullet1">
    <w:name w:val="List Bullet 1"/>
    <w:basedOn w:val="Normal"/>
    <w:pPr>
      <w:numPr>
        <w:numId w:val="7"/>
      </w:numPr>
    </w:pPr>
  </w:style>
  <w:style w:type="paragraph" w:styleId="ListBullet2">
    <w:name w:val="List Bullet 2"/>
    <w:basedOn w:val="Normal"/>
    <w:pPr>
      <w:numPr>
        <w:numId w:val="8"/>
      </w:numPr>
    </w:pPr>
  </w:style>
  <w:style w:type="paragraph" w:styleId="ListBullet3">
    <w:name w:val="List Bullet 3"/>
    <w:basedOn w:val="Normal"/>
    <w:pPr>
      <w:numPr>
        <w:numId w:val="9"/>
      </w:numPr>
    </w:pPr>
  </w:style>
  <w:style w:type="paragraph" w:styleId="ListBullet4">
    <w:name w:val="List Bullet 4"/>
    <w:basedOn w:val="Normal"/>
    <w:pPr>
      <w:numPr>
        <w:numId w:val="10"/>
      </w:numPr>
    </w:pPr>
  </w:style>
  <w:style w:type="paragraph" w:customStyle="1" w:styleId="ListDash">
    <w:name w:val="List Dash"/>
    <w:basedOn w:val="Normal"/>
    <w:pPr>
      <w:numPr>
        <w:numId w:val="11"/>
      </w:numPr>
    </w:pPr>
  </w:style>
  <w:style w:type="paragraph" w:customStyle="1" w:styleId="ListDash1">
    <w:name w:val="List Dash 1"/>
    <w:basedOn w:val="Normal"/>
    <w:pPr>
      <w:numPr>
        <w:numId w:val="12"/>
      </w:numPr>
    </w:pPr>
  </w:style>
  <w:style w:type="paragraph" w:customStyle="1" w:styleId="ListDash2">
    <w:name w:val="List Dash 2"/>
    <w:basedOn w:val="Normal"/>
    <w:pPr>
      <w:numPr>
        <w:numId w:val="13"/>
      </w:numPr>
    </w:pPr>
  </w:style>
  <w:style w:type="paragraph" w:customStyle="1" w:styleId="ListDash3">
    <w:name w:val="List Dash 3"/>
    <w:basedOn w:val="Normal"/>
    <w:pPr>
      <w:numPr>
        <w:numId w:val="14"/>
      </w:numPr>
    </w:pPr>
  </w:style>
  <w:style w:type="paragraph" w:customStyle="1" w:styleId="ListDash4">
    <w:name w:val="List Dash 4"/>
    <w:basedOn w:val="Normal"/>
    <w:pPr>
      <w:numPr>
        <w:numId w:val="15"/>
      </w:numPr>
    </w:pPr>
  </w:style>
  <w:style w:type="paragraph" w:styleId="TableofFigures">
    <w:name w:val="table of figures"/>
    <w:basedOn w:val="Normal"/>
    <w:next w:val="Normal"/>
    <w:semiHidden/>
  </w:style>
  <w:style w:type="character" w:styleId="CommentReference">
    <w:name w:val="annotation reference"/>
    <w:semiHidden/>
    <w:rPr>
      <w:sz w:val="16"/>
      <w:szCs w:val="16"/>
      <w:shd w:val="clear" w:color="auto" w:fill="auto"/>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customStyle="1" w:styleId="Normal1">
    <w:name w:val="Normal1"/>
    <w:basedOn w:val="Normal"/>
    <w:pPr>
      <w:spacing w:after="0"/>
    </w:pPr>
  </w:style>
  <w:style w:type="paragraph" w:customStyle="1" w:styleId="Default">
    <w:name w:val="Default"/>
    <w:pPr>
      <w:autoSpaceDE w:val="0"/>
      <w:autoSpaceDN w:val="0"/>
      <w:adjustRightInd w:val="0"/>
    </w:pPr>
    <w:rPr>
      <w:rFonts w:ascii="Symbol" w:hAnsi="Symbol" w:cs="Symbol"/>
      <w:color w:val="000000"/>
      <w:sz w:val="24"/>
      <w:szCs w:val="24"/>
    </w:rPr>
  </w:style>
  <w:style w:type="character" w:customStyle="1" w:styleId="super">
    <w:name w:val="super"/>
    <w:rPr>
      <w:sz w:val="17"/>
      <w:szCs w:val="17"/>
      <w:shd w:val="clear" w:color="auto" w:fill="auto"/>
      <w:vertAlign w:val="superscript"/>
    </w:rPr>
  </w:style>
  <w:style w:type="paragraph" w:styleId="Revision">
    <w:name w:val="Revision"/>
    <w:hidden/>
    <w:uiPriority w:val="99"/>
    <w:semiHidden/>
    <w:rPr>
      <w:sz w:val="24"/>
      <w:szCs w:val="24"/>
    </w:rPr>
  </w:style>
  <w:style w:type="paragraph" w:styleId="Header">
    <w:name w:val="header"/>
    <w:basedOn w:val="Normal"/>
    <w:link w:val="HeaderChar"/>
    <w:uiPriority w:val="99"/>
    <w:unhideWhenUsed/>
    <w:pPr>
      <w:tabs>
        <w:tab w:val="center" w:pos="4535"/>
        <w:tab w:val="right" w:pos="9071"/>
      </w:tabs>
      <w:spacing w:before="0"/>
    </w:pPr>
    <w:rPr>
      <w:rFonts w:eastAsia="Calibri"/>
      <w:lang w:eastAsia="en-US" w:bidi="ar-SA"/>
    </w:rPr>
  </w:style>
  <w:style w:type="character" w:customStyle="1" w:styleId="HeaderChar">
    <w:name w:val="Header Char"/>
    <w:link w:val="Header"/>
    <w:uiPriority w:val="99"/>
    <w:rPr>
      <w:rFonts w:eastAsia="Calibri"/>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eastAsiaTheme="majorEastAsia"/>
      <w:b/>
      <w:bCs/>
      <w:smallCaps/>
      <w:sz w:val="24"/>
      <w:szCs w:val="28"/>
      <w:lang w:val="en-GB"/>
    </w:rPr>
  </w:style>
  <w:style w:type="character" w:customStyle="1" w:styleId="Heading2Char">
    <w:name w:val="Heading 2 Char"/>
    <w:basedOn w:val="DefaultParagraphFont"/>
    <w:link w:val="Heading2"/>
    <w:uiPriority w:val="9"/>
    <w:semiHidden/>
    <w:rPr>
      <w:rFonts w:eastAsiaTheme="majorEastAsia"/>
      <w:b/>
      <w:bCs/>
      <w:sz w:val="24"/>
      <w:szCs w:val="26"/>
      <w:lang w:val="en-GB"/>
    </w:rPr>
  </w:style>
  <w:style w:type="character" w:customStyle="1" w:styleId="Heading3Char">
    <w:name w:val="Heading 3 Char"/>
    <w:basedOn w:val="DefaultParagraphFont"/>
    <w:link w:val="Heading3"/>
    <w:uiPriority w:val="9"/>
    <w:semiHidden/>
    <w:rPr>
      <w:rFonts w:eastAsiaTheme="majorEastAsia"/>
      <w:bCs/>
      <w:i/>
      <w:sz w:val="24"/>
      <w:lang w:val="en-GB"/>
    </w:rPr>
  </w:style>
  <w:style w:type="character" w:customStyle="1" w:styleId="Heading4Char">
    <w:name w:val="Heading 4 Char"/>
    <w:basedOn w:val="DefaultParagraphFont"/>
    <w:link w:val="Heading4"/>
    <w:uiPriority w:val="9"/>
    <w:semiHidden/>
    <w:rPr>
      <w:rFonts w:eastAsiaTheme="majorEastAsia"/>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Calibr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3217">
      <w:bodyDiv w:val="1"/>
      <w:marLeft w:val="0"/>
      <w:marRight w:val="0"/>
      <w:marTop w:val="0"/>
      <w:marBottom w:val="0"/>
      <w:divBdr>
        <w:top w:val="none" w:sz="0" w:space="0" w:color="auto"/>
        <w:left w:val="none" w:sz="0" w:space="0" w:color="auto"/>
        <w:bottom w:val="none" w:sz="0" w:space="0" w:color="auto"/>
        <w:right w:val="none" w:sz="0" w:space="0" w:color="auto"/>
      </w:divBdr>
    </w:div>
    <w:div w:id="330454563">
      <w:bodyDiv w:val="1"/>
      <w:marLeft w:val="390"/>
      <w:marRight w:val="390"/>
      <w:marTop w:val="0"/>
      <w:marBottom w:val="0"/>
      <w:divBdr>
        <w:top w:val="none" w:sz="0" w:space="0" w:color="auto"/>
        <w:left w:val="none" w:sz="0" w:space="0" w:color="auto"/>
        <w:bottom w:val="none" w:sz="0" w:space="0" w:color="auto"/>
        <w:right w:val="none" w:sz="0" w:space="0" w:color="auto"/>
      </w:divBdr>
      <w:divsChild>
        <w:div w:id="1222524699">
          <w:marLeft w:val="0"/>
          <w:marRight w:val="0"/>
          <w:marTop w:val="0"/>
          <w:marBottom w:val="0"/>
          <w:divBdr>
            <w:top w:val="none" w:sz="0" w:space="0" w:color="auto"/>
            <w:left w:val="none" w:sz="0" w:space="0" w:color="auto"/>
            <w:bottom w:val="none" w:sz="0" w:space="0" w:color="auto"/>
            <w:right w:val="none" w:sz="0" w:space="0" w:color="auto"/>
          </w:divBdr>
        </w:div>
      </w:divsChild>
    </w:div>
    <w:div w:id="377048839">
      <w:bodyDiv w:val="1"/>
      <w:marLeft w:val="0"/>
      <w:marRight w:val="0"/>
      <w:marTop w:val="0"/>
      <w:marBottom w:val="0"/>
      <w:divBdr>
        <w:top w:val="none" w:sz="0" w:space="0" w:color="auto"/>
        <w:left w:val="none" w:sz="0" w:space="0" w:color="auto"/>
        <w:bottom w:val="none" w:sz="0" w:space="0" w:color="auto"/>
        <w:right w:val="none" w:sz="0" w:space="0" w:color="auto"/>
      </w:divBdr>
    </w:div>
    <w:div w:id="478887612">
      <w:bodyDiv w:val="1"/>
      <w:marLeft w:val="0"/>
      <w:marRight w:val="0"/>
      <w:marTop w:val="0"/>
      <w:marBottom w:val="0"/>
      <w:divBdr>
        <w:top w:val="none" w:sz="0" w:space="0" w:color="auto"/>
        <w:left w:val="none" w:sz="0" w:space="0" w:color="auto"/>
        <w:bottom w:val="none" w:sz="0" w:space="0" w:color="auto"/>
        <w:right w:val="none" w:sz="0" w:space="0" w:color="auto"/>
      </w:divBdr>
    </w:div>
    <w:div w:id="609623370">
      <w:bodyDiv w:val="1"/>
      <w:marLeft w:val="0"/>
      <w:marRight w:val="0"/>
      <w:marTop w:val="0"/>
      <w:marBottom w:val="0"/>
      <w:divBdr>
        <w:top w:val="none" w:sz="0" w:space="0" w:color="auto"/>
        <w:left w:val="none" w:sz="0" w:space="0" w:color="auto"/>
        <w:bottom w:val="none" w:sz="0" w:space="0" w:color="auto"/>
        <w:right w:val="none" w:sz="0" w:space="0" w:color="auto"/>
      </w:divBdr>
    </w:div>
    <w:div w:id="712998600">
      <w:bodyDiv w:val="1"/>
      <w:marLeft w:val="0"/>
      <w:marRight w:val="0"/>
      <w:marTop w:val="0"/>
      <w:marBottom w:val="0"/>
      <w:divBdr>
        <w:top w:val="none" w:sz="0" w:space="0" w:color="auto"/>
        <w:left w:val="none" w:sz="0" w:space="0" w:color="auto"/>
        <w:bottom w:val="none" w:sz="0" w:space="0" w:color="auto"/>
        <w:right w:val="none" w:sz="0" w:space="0" w:color="auto"/>
      </w:divBdr>
    </w:div>
    <w:div w:id="1234924060">
      <w:bodyDiv w:val="1"/>
      <w:marLeft w:val="0"/>
      <w:marRight w:val="0"/>
      <w:marTop w:val="0"/>
      <w:marBottom w:val="0"/>
      <w:divBdr>
        <w:top w:val="none" w:sz="0" w:space="0" w:color="auto"/>
        <w:left w:val="none" w:sz="0" w:space="0" w:color="auto"/>
        <w:bottom w:val="none" w:sz="0" w:space="0" w:color="auto"/>
        <w:right w:val="none" w:sz="0" w:space="0" w:color="auto"/>
      </w:divBdr>
    </w:div>
    <w:div w:id="1239709638">
      <w:bodyDiv w:val="1"/>
      <w:marLeft w:val="0"/>
      <w:marRight w:val="0"/>
      <w:marTop w:val="0"/>
      <w:marBottom w:val="0"/>
      <w:divBdr>
        <w:top w:val="none" w:sz="0" w:space="0" w:color="auto"/>
        <w:left w:val="none" w:sz="0" w:space="0" w:color="auto"/>
        <w:bottom w:val="none" w:sz="0" w:space="0" w:color="auto"/>
        <w:right w:val="none" w:sz="0" w:space="0" w:color="auto"/>
      </w:divBdr>
    </w:div>
    <w:div w:id="1356882727">
      <w:bodyDiv w:val="1"/>
      <w:marLeft w:val="0"/>
      <w:marRight w:val="0"/>
      <w:marTop w:val="0"/>
      <w:marBottom w:val="0"/>
      <w:divBdr>
        <w:top w:val="none" w:sz="0" w:space="0" w:color="auto"/>
        <w:left w:val="none" w:sz="0" w:space="0" w:color="auto"/>
        <w:bottom w:val="none" w:sz="0" w:space="0" w:color="auto"/>
        <w:right w:val="none" w:sz="0" w:space="0" w:color="auto"/>
      </w:divBdr>
    </w:div>
    <w:div w:id="1404451259">
      <w:bodyDiv w:val="1"/>
      <w:marLeft w:val="0"/>
      <w:marRight w:val="0"/>
      <w:marTop w:val="0"/>
      <w:marBottom w:val="0"/>
      <w:divBdr>
        <w:top w:val="none" w:sz="0" w:space="0" w:color="auto"/>
        <w:left w:val="none" w:sz="0" w:space="0" w:color="auto"/>
        <w:bottom w:val="none" w:sz="0" w:space="0" w:color="auto"/>
        <w:right w:val="none" w:sz="0" w:space="0" w:color="auto"/>
      </w:divBdr>
    </w:div>
    <w:div w:id="1513107436">
      <w:bodyDiv w:val="1"/>
      <w:marLeft w:val="0"/>
      <w:marRight w:val="0"/>
      <w:marTop w:val="0"/>
      <w:marBottom w:val="0"/>
      <w:divBdr>
        <w:top w:val="none" w:sz="0" w:space="0" w:color="auto"/>
        <w:left w:val="none" w:sz="0" w:space="0" w:color="auto"/>
        <w:bottom w:val="none" w:sz="0" w:space="0" w:color="auto"/>
        <w:right w:val="none" w:sz="0" w:space="0" w:color="auto"/>
      </w:divBdr>
      <w:divsChild>
        <w:div w:id="1789886462">
          <w:marLeft w:val="0"/>
          <w:marRight w:val="0"/>
          <w:marTop w:val="0"/>
          <w:marBottom w:val="0"/>
          <w:divBdr>
            <w:top w:val="none" w:sz="0" w:space="0" w:color="auto"/>
            <w:left w:val="none" w:sz="0" w:space="0" w:color="auto"/>
            <w:bottom w:val="none" w:sz="0" w:space="0" w:color="auto"/>
            <w:right w:val="none" w:sz="0" w:space="0" w:color="auto"/>
          </w:divBdr>
          <w:divsChild>
            <w:div w:id="1532107200">
              <w:marLeft w:val="0"/>
              <w:marRight w:val="0"/>
              <w:marTop w:val="0"/>
              <w:marBottom w:val="0"/>
              <w:divBdr>
                <w:top w:val="none" w:sz="0" w:space="0" w:color="auto"/>
                <w:left w:val="none" w:sz="0" w:space="0" w:color="auto"/>
                <w:bottom w:val="none" w:sz="0" w:space="0" w:color="auto"/>
                <w:right w:val="none" w:sz="0" w:space="0" w:color="auto"/>
              </w:divBdr>
              <w:divsChild>
                <w:div w:id="1879472396">
                  <w:marLeft w:val="0"/>
                  <w:marRight w:val="0"/>
                  <w:marTop w:val="0"/>
                  <w:marBottom w:val="0"/>
                  <w:divBdr>
                    <w:top w:val="none" w:sz="0" w:space="0" w:color="auto"/>
                    <w:left w:val="none" w:sz="0" w:space="0" w:color="auto"/>
                    <w:bottom w:val="none" w:sz="0" w:space="0" w:color="auto"/>
                    <w:right w:val="none" w:sz="0" w:space="0" w:color="auto"/>
                  </w:divBdr>
                  <w:divsChild>
                    <w:div w:id="606156129">
                      <w:marLeft w:val="1"/>
                      <w:marRight w:val="1"/>
                      <w:marTop w:val="0"/>
                      <w:marBottom w:val="0"/>
                      <w:divBdr>
                        <w:top w:val="none" w:sz="0" w:space="0" w:color="auto"/>
                        <w:left w:val="none" w:sz="0" w:space="0" w:color="auto"/>
                        <w:bottom w:val="none" w:sz="0" w:space="0" w:color="auto"/>
                        <w:right w:val="none" w:sz="0" w:space="0" w:color="auto"/>
                      </w:divBdr>
                      <w:divsChild>
                        <w:div w:id="2130277668">
                          <w:marLeft w:val="0"/>
                          <w:marRight w:val="0"/>
                          <w:marTop w:val="0"/>
                          <w:marBottom w:val="0"/>
                          <w:divBdr>
                            <w:top w:val="none" w:sz="0" w:space="0" w:color="auto"/>
                            <w:left w:val="none" w:sz="0" w:space="0" w:color="auto"/>
                            <w:bottom w:val="none" w:sz="0" w:space="0" w:color="auto"/>
                            <w:right w:val="none" w:sz="0" w:space="0" w:color="auto"/>
                          </w:divBdr>
                          <w:divsChild>
                            <w:div w:id="1731927469">
                              <w:marLeft w:val="0"/>
                              <w:marRight w:val="0"/>
                              <w:marTop w:val="0"/>
                              <w:marBottom w:val="360"/>
                              <w:divBdr>
                                <w:top w:val="none" w:sz="0" w:space="0" w:color="auto"/>
                                <w:left w:val="none" w:sz="0" w:space="0" w:color="auto"/>
                                <w:bottom w:val="none" w:sz="0" w:space="0" w:color="auto"/>
                                <w:right w:val="none" w:sz="0" w:space="0" w:color="auto"/>
                              </w:divBdr>
                              <w:divsChild>
                                <w:div w:id="1263226998">
                                  <w:marLeft w:val="0"/>
                                  <w:marRight w:val="0"/>
                                  <w:marTop w:val="0"/>
                                  <w:marBottom w:val="0"/>
                                  <w:divBdr>
                                    <w:top w:val="none" w:sz="0" w:space="0" w:color="auto"/>
                                    <w:left w:val="none" w:sz="0" w:space="0" w:color="auto"/>
                                    <w:bottom w:val="none" w:sz="0" w:space="0" w:color="auto"/>
                                    <w:right w:val="none" w:sz="0" w:space="0" w:color="auto"/>
                                  </w:divBdr>
                                  <w:divsChild>
                                    <w:div w:id="3434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633943">
      <w:bodyDiv w:val="1"/>
      <w:marLeft w:val="0"/>
      <w:marRight w:val="0"/>
      <w:marTop w:val="0"/>
      <w:marBottom w:val="0"/>
      <w:divBdr>
        <w:top w:val="none" w:sz="0" w:space="0" w:color="auto"/>
        <w:left w:val="none" w:sz="0" w:space="0" w:color="auto"/>
        <w:bottom w:val="none" w:sz="0" w:space="0" w:color="auto"/>
        <w:right w:val="none" w:sz="0" w:space="0" w:color="auto"/>
      </w:divBdr>
      <w:divsChild>
        <w:div w:id="1799520001">
          <w:marLeft w:val="0"/>
          <w:marRight w:val="0"/>
          <w:marTop w:val="0"/>
          <w:marBottom w:val="0"/>
          <w:divBdr>
            <w:top w:val="none" w:sz="0" w:space="0" w:color="auto"/>
            <w:left w:val="none" w:sz="0" w:space="0" w:color="auto"/>
            <w:bottom w:val="none" w:sz="0" w:space="0" w:color="auto"/>
            <w:right w:val="none" w:sz="0" w:space="0" w:color="auto"/>
          </w:divBdr>
          <w:divsChild>
            <w:div w:id="1672295741">
              <w:marLeft w:val="0"/>
              <w:marRight w:val="0"/>
              <w:marTop w:val="0"/>
              <w:marBottom w:val="0"/>
              <w:divBdr>
                <w:top w:val="none" w:sz="0" w:space="0" w:color="auto"/>
                <w:left w:val="none" w:sz="0" w:space="0" w:color="auto"/>
                <w:bottom w:val="none" w:sz="0" w:space="0" w:color="auto"/>
                <w:right w:val="none" w:sz="0" w:space="0" w:color="auto"/>
              </w:divBdr>
              <w:divsChild>
                <w:div w:id="1652294785">
                  <w:marLeft w:val="0"/>
                  <w:marRight w:val="0"/>
                  <w:marTop w:val="0"/>
                  <w:marBottom w:val="0"/>
                  <w:divBdr>
                    <w:top w:val="none" w:sz="0" w:space="0" w:color="auto"/>
                    <w:left w:val="none" w:sz="0" w:space="0" w:color="auto"/>
                    <w:bottom w:val="none" w:sz="0" w:space="0" w:color="auto"/>
                    <w:right w:val="none" w:sz="0" w:space="0" w:color="auto"/>
                  </w:divBdr>
                  <w:divsChild>
                    <w:div w:id="205727793">
                      <w:marLeft w:val="1"/>
                      <w:marRight w:val="1"/>
                      <w:marTop w:val="0"/>
                      <w:marBottom w:val="0"/>
                      <w:divBdr>
                        <w:top w:val="none" w:sz="0" w:space="0" w:color="auto"/>
                        <w:left w:val="none" w:sz="0" w:space="0" w:color="auto"/>
                        <w:bottom w:val="none" w:sz="0" w:space="0" w:color="auto"/>
                        <w:right w:val="none" w:sz="0" w:space="0" w:color="auto"/>
                      </w:divBdr>
                      <w:divsChild>
                        <w:div w:id="1910262956">
                          <w:marLeft w:val="0"/>
                          <w:marRight w:val="0"/>
                          <w:marTop w:val="0"/>
                          <w:marBottom w:val="0"/>
                          <w:divBdr>
                            <w:top w:val="none" w:sz="0" w:space="0" w:color="auto"/>
                            <w:left w:val="none" w:sz="0" w:space="0" w:color="auto"/>
                            <w:bottom w:val="none" w:sz="0" w:space="0" w:color="auto"/>
                            <w:right w:val="none" w:sz="0" w:space="0" w:color="auto"/>
                          </w:divBdr>
                          <w:divsChild>
                            <w:div w:id="1462311624">
                              <w:marLeft w:val="0"/>
                              <w:marRight w:val="0"/>
                              <w:marTop w:val="0"/>
                              <w:marBottom w:val="360"/>
                              <w:divBdr>
                                <w:top w:val="none" w:sz="0" w:space="0" w:color="auto"/>
                                <w:left w:val="none" w:sz="0" w:space="0" w:color="auto"/>
                                <w:bottom w:val="none" w:sz="0" w:space="0" w:color="auto"/>
                                <w:right w:val="none" w:sz="0" w:space="0" w:color="auto"/>
                              </w:divBdr>
                              <w:divsChild>
                                <w:div w:id="504369629">
                                  <w:marLeft w:val="0"/>
                                  <w:marRight w:val="0"/>
                                  <w:marTop w:val="0"/>
                                  <w:marBottom w:val="0"/>
                                  <w:divBdr>
                                    <w:top w:val="none" w:sz="0" w:space="0" w:color="auto"/>
                                    <w:left w:val="none" w:sz="0" w:space="0" w:color="auto"/>
                                    <w:bottom w:val="none" w:sz="0" w:space="0" w:color="auto"/>
                                    <w:right w:val="none" w:sz="0" w:space="0" w:color="auto"/>
                                  </w:divBdr>
                                  <w:divsChild>
                                    <w:div w:id="200331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lima/policies/transport/aviation/documentation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CF47E-4C7A-4030-B02D-D77E9DCFF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9</Pages>
  <Words>2587</Words>
  <Characters>14334</Characters>
  <Application>Microsoft Office Word</Application>
  <DocSecurity>0</DocSecurity>
  <Lines>247</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16857</CharactersWithSpaces>
  <SharedDoc>false</SharedDoc>
  <HLinks>
    <vt:vector size="6" baseType="variant">
      <vt:variant>
        <vt:i4>393332</vt:i4>
      </vt:variant>
      <vt:variant>
        <vt:i4>0</vt:i4>
      </vt:variant>
      <vt:variant>
        <vt:i4>0</vt:i4>
      </vt:variant>
      <vt:variant>
        <vt:i4>5</vt:i4>
      </vt:variant>
      <vt:variant>
        <vt:lpwstr>http://ec.europa.eu/clima/policies/transport/aviation/documentation_en.htm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18</cp:revision>
  <cp:lastPrinted>2016-03-08T16:52:00Z</cp:lastPrinted>
  <dcterms:created xsi:type="dcterms:W3CDTF">2016-04-07T09:39:00Z</dcterms:created>
  <dcterms:modified xsi:type="dcterms:W3CDTF">2016-04-07T12:56:00Z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5.8.40.0</vt:lpwstr>
  </property>
  <property fmtid="{D5CDD505-2E9C-101B-9397-08002B2CF9AE}" pid="5" name="Last edited using">
    <vt:lpwstr>LW 5.8.4, Build 20150407</vt:lpwstr>
  </property>
  <property fmtid="{D5CDD505-2E9C-101B-9397-08002B2CF9AE}" pid="6" name="Created using">
    <vt:lpwstr>LW 5.8, Build 20111205</vt:lpwstr>
  </property>
  <property fmtid="{D5CDD505-2E9C-101B-9397-08002B2CF9AE}" pid="7" name="_NewReviewCycle">
    <vt:lpwstr/>
  </property>
  <property fmtid="{D5CDD505-2E9C-101B-9397-08002B2CF9AE}" pid="8" name="LWTemplateID">
    <vt:lpwstr>SJ-019</vt:lpwstr>
  </property>
  <property fmtid="{D5CDD505-2E9C-101B-9397-08002B2CF9AE}" pid="9" name="Part">
    <vt:lpwstr>1</vt:lpwstr>
  </property>
  <property fmtid="{D5CDD505-2E9C-101B-9397-08002B2CF9AE}" pid="10" name="Total parts">
    <vt:lpwstr>1</vt:lpwstr>
  </property>
  <property fmtid="{D5CDD505-2E9C-101B-9397-08002B2CF9AE}" pid="11" name="DQCStatus">
    <vt:lpwstr>Green (DQC version 03)</vt:lpwstr>
  </property>
  <property name="OP_sanitized" fmtid="{D5CDD505-2E9C-101B-9397-08002B2CF9AE}" pid="12">
    <vt:lpwstr>True</vt:lpwstr>
  </property>
</Properties>
</file>