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4E3CD50647204A3A95EEEC41D9ED7D9A" style="width:450.6pt;height:333.9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pStyle w:val="Heading1"/>
        <w:spacing w:before="240" w:after="240" w:line="240" w:lineRule="auto"/>
        <w:rPr>
          <w:rFonts w:ascii="Times New Roman" w:hAnsi="Times New Roman"/>
          <w:smallCaps/>
          <w:noProof/>
          <w:color w:val="auto"/>
          <w:sz w:val="24"/>
          <w:szCs w:val="24"/>
        </w:rPr>
      </w:pPr>
      <w:bookmarkStart w:id="1" w:name="_GoBack"/>
      <w:bookmarkEnd w:id="1"/>
      <w:r>
        <w:rPr>
          <w:rFonts w:ascii="Times New Roman" w:hAnsi="Times New Roman"/>
          <w:smallCaps/>
          <w:noProof/>
          <w:color w:val="auto"/>
          <w:sz w:val="24"/>
        </w:rPr>
        <w:lastRenderedPageBreak/>
        <w:t>I.</w:t>
      </w:r>
      <w:r>
        <w:rPr>
          <w:noProof/>
        </w:rPr>
        <w:tab/>
      </w:r>
      <w:r>
        <w:rPr>
          <w:rFonts w:ascii="Times New Roman" w:hAnsi="Times New Roman"/>
          <w:smallCaps/>
          <w:noProof/>
          <w:color w:val="auto"/>
          <w:sz w:val="24"/>
        </w:rPr>
        <w:t>Εισαγωγή</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Στις 12 Απριλίου 2016, η Επιτροπή εξέδωσε ανακοίνωση για την τρέχουσα κατάσταση και την πιθανή μελλοντική πορεία όσον αφορά την κατάσταση μη αμοιβαιότητας με ορισμένες τρίτες χώρες στον τομέα της πολιτικής θεωρήσεων </w:t>
      </w:r>
      <w:r>
        <w:rPr>
          <w:rFonts w:ascii="Times New Roman" w:hAnsi="Times New Roman"/>
          <w:noProof/>
          <w:color w:val="0D0D0D"/>
          <w:sz w:val="24"/>
        </w:rPr>
        <w:t>(</w:t>
      </w:r>
      <w:r>
        <w:rPr>
          <w:rFonts w:ascii="Times New Roman" w:hAnsi="Times New Roman"/>
          <w:noProof/>
          <w:sz w:val="24"/>
        </w:rPr>
        <w:t xml:space="preserve">εφεξής «η ανακοίνωση του Απριλίου»). </w:t>
      </w:r>
      <w:r>
        <w:rPr>
          <w:rFonts w:ascii="Times New Roman" w:hAnsi="Times New Roman"/>
          <w:noProof/>
          <w:color w:val="0D0D0D"/>
          <w:sz w:val="24"/>
        </w:rPr>
        <w:t>Στην εν λόγω ανακοίνωση περιγράφεται η κατάσταση με τις ενδιαφερόμενες τρίτες χώρες και</w:t>
      </w:r>
      <w:r>
        <w:rPr>
          <w:rFonts w:ascii="Times New Roman" w:hAnsi="Times New Roman"/>
          <w:noProof/>
          <w:sz w:val="24"/>
        </w:rPr>
        <w:t xml:space="preserve"> υπενθυμίζεται ότι σύμφωνα με τον μηχανισμό αμοιβαιότητας στον τομέα των θεωρήσεων, εάν η ενδιαφερόμενη τρίτη χώρα δεν έχει άρει την υποχρέωση θεώρησης μέχρι τις 12 Απριλίου 2016, ο κανονισμός (ΕΚ) αριθ. 539/2001 του Συμβουλίου, της 15ης Μαρτίου 2001 (εφεξής «ο κανονισμός»), όπως τροποποιήθηκε με τον κανονισμό (ΕΕ) αριθ. 1289/2013 της 11ης Δεκεμβρίου 2013</w:t>
      </w:r>
      <w:r>
        <w:rPr>
          <w:rStyle w:val="FootnoteReference"/>
          <w:rFonts w:ascii="Times New Roman" w:hAnsi="Times New Roman"/>
          <w:noProof/>
          <w:sz w:val="24"/>
        </w:rPr>
        <w:footnoteReference w:id="2"/>
      </w:r>
      <w:r>
        <w:rPr>
          <w:rFonts w:ascii="Times New Roman" w:hAnsi="Times New Roman"/>
          <w:noProof/>
          <w:sz w:val="24"/>
        </w:rPr>
        <w:t>, υποχρεώνει την Επιτροπή να εκδώσει κατ’ εξουσιοδότηση πράξη για την αναστολή για 12 μήνες της απαλλαγής από την υποχρέωση θεώρησης για τους υπηκόους της εν λόγω τρίτης χώρας. Σύμφωνα με τον κανονισμό, η Επιτροπή πρέπει επίσης να λαμβάνει υπόψη τις συνέπειες της αναστολής της απαλλαγής από την υποχρέωση θεώρησης για τις εξωτερικές σχέσεις της ΕΕ και των κρατών μελών της.</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Η ανακοίνωση κατέληξε στο συμπέρασμα ότι με τρεις τρίτες χώρες - το Μπρουνέι, τον Καναδά και τις Ηνωμένες Πολιτείες - η πλήρης αμοιβαιότητα στον τομέα των θεωρήσεων δεν είχε ακόμη επιτευχθεί μέχρι τις 12 Απριλίου 2016 και ότι θα πρέπει να συνεχισθούν οι προσπάθειες για την επίτευξή της.</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Σύμφωνα με τις κατευθυντήριες γραμμές για τη βελτίωση της νομοθεσίας, η Επιτροπή αξιολόγησε τις συνέπειες και τις επιπτώσεις της αναστολής της απαλλαγής από την υποχρέωση θεώρησης και κατέληξε στο συμπέρασμα ότι, εκτός από τις επιπτώσεις στους πολίτες της ΕΕ και τις δυσκολίες εφαρμογής, θα πρέπει επίσης να λαμβάνονται υπόψη οι σημαντικές επιπτώσεις σε ευρύ φάσμα πολιτικών/τομέων, ιδίως οι επιπτώσεις στις εξωτερικές σχέσεις της Ευρωπαϊκής Ένωσης με τον Καναδά και τις Ηνωμένες Πολιτείες σε έτος κατά το οποίο σημαντικές συμφωνίες στον τομέα του εμπορίου διανύουν κρίσιμο στάδιο ή αναμένεται να οριστικοποιηθούν. Κατέληξε, επίσης, στο συμπέρασμα ότι είναι λογικό να αναμένεται μείωση του αριθμού των ταξιδιωτών από τον Καναδά και τις Ηνωμένες Πολιτείες, με αποτέλεσμα σημαντική οικονομική ζημία για την ΕΕ χωρίς την επίτευξη του στόχου της πλήρους αμοιβαιότητας στον τομέα των θεωρήσεων για όλους τους πολίτες της ΕΕ.</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Η Επιτροπή κάλεσε το Ευρωπαϊκό Κοινοβούλιο και το Συμβούλιο να αρχίσουν επειγόντως συζητήσεις και να λάβουν θέση το αργότερο μέχρι τις 12 Ιουλίου 2016 σχετικά με την πλέον ενδεδειγμένη μελλοντική πορεία, υπό το πρίσμα της αξιολόγησης των συνεπειών της αναστολής της απαλλαγής από την υποχρέωση θεώρησης που περιέχεται στην ανακοίνωση του Απριλίου.</w:t>
      </w:r>
    </w:p>
    <w:p>
      <w:pPr>
        <w:autoSpaceDE w:val="0"/>
        <w:autoSpaceDN w:val="0"/>
        <w:adjustRightInd w:val="0"/>
        <w:spacing w:before="120" w:after="120" w:line="240" w:lineRule="auto"/>
        <w:jc w:val="both"/>
        <w:rPr>
          <w:rFonts w:ascii="Times New Roman" w:hAnsi="Times New Roman" w:cs="Times New Roman"/>
          <w:noProof/>
          <w:sz w:val="24"/>
          <w:szCs w:val="24"/>
        </w:rPr>
      </w:pPr>
      <w:r>
        <w:rPr>
          <w:rFonts w:ascii="Times New Roman" w:hAnsi="Times New Roman"/>
          <w:noProof/>
          <w:sz w:val="24"/>
        </w:rPr>
        <w:t>Η παρούσα ανακοίνωση λαμβάνει υπόψη την πρόοδο που έχει επιτευχθεί στις συνομιλίες με τον Καναδά και τις Ηνωμένες Πολιτείες μετά την έκδοση της ανακοίνωσης του Απριλίου, εκθέτει τις θέσεις που λαμβάνονται ως απάντηση στην ανακοίνωση και καθορίζει τα επόμενα βήματα.</w:t>
      </w:r>
    </w:p>
    <w:p>
      <w:pPr>
        <w:pStyle w:val="Heading1"/>
        <w:spacing w:before="240" w:after="240" w:line="240" w:lineRule="auto"/>
        <w:rPr>
          <w:rFonts w:ascii="Times New Roman" w:hAnsi="Times New Roman"/>
          <w:smallCaps/>
          <w:noProof/>
          <w:color w:val="auto"/>
          <w:sz w:val="24"/>
          <w:szCs w:val="24"/>
        </w:rPr>
      </w:pPr>
      <w:r>
        <w:rPr>
          <w:rFonts w:ascii="Times New Roman" w:hAnsi="Times New Roman"/>
          <w:smallCaps/>
          <w:noProof/>
          <w:color w:val="auto"/>
          <w:sz w:val="24"/>
        </w:rPr>
        <w:lastRenderedPageBreak/>
        <w:t>II.</w:t>
      </w:r>
      <w:r>
        <w:rPr>
          <w:noProof/>
        </w:rPr>
        <w:tab/>
      </w:r>
      <w:r>
        <w:rPr>
          <w:rFonts w:ascii="Times New Roman" w:hAnsi="Times New Roman"/>
          <w:smallCaps/>
          <w:noProof/>
          <w:color w:val="auto"/>
          <w:sz w:val="24"/>
        </w:rPr>
        <w:t>Εξελίξεις μετά την έκδοση της ανακοίνωσης του Απριλίου για την επίτευξη πλήρους αμοιβαιότητας στον τομέα των θεωρήσεων</w:t>
      </w:r>
    </w:p>
    <w:p>
      <w:pPr>
        <w:rPr>
          <w:rFonts w:ascii="Times New Roman" w:hAnsi="Times New Roman"/>
          <w:b/>
          <w:i/>
          <w:noProof/>
        </w:rPr>
      </w:pPr>
      <w:r>
        <w:rPr>
          <w:rFonts w:ascii="Times New Roman" w:hAnsi="Times New Roman"/>
          <w:b/>
          <w:i/>
          <w:noProof/>
        </w:rPr>
        <w:t xml:space="preserve">Μπρουνέι (κοινοποίηση από την Κροατία)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Η ανακοίνωση του Απριλίου ανέφερε ότι αν και δεν είχε επιτευχθεί πλήρης αμοιβαιότητα στον τομέα των θεωρήσεων με το Μπρουνέι, από τις πρόσφατες επαφές προέκυψαν θετικά μηνύματα. Στις 12 Απριλίου 2016, παράλληλα με την έκδοση της ανακοίνωσης του Απριλίου, το Μπρουνέι επισήμως κατήργησε την υποχρέωση θεώρησης για τους πολίτες της Κροατίας και άρχισε να χορηγεί δικαίωμα παραμονής 90 ημερών χωρίς την υποχρέωση θεώρησης στους πολίτες του Λιχτενστάιν. Αυτό κοινοποιήθηκε επισήμως στις 13 Απριλίου. Η Επιτροπή χαιρετίζει το γεγονός ότι η περίπτωση μη αμοιβαιότητας με το Μπρουνέι διευθετήθηκε</w:t>
      </w:r>
      <w:r>
        <w:rPr>
          <w:rStyle w:val="FootnoteReference"/>
          <w:rFonts w:ascii="Times New Roman" w:hAnsi="Times New Roman"/>
          <w:noProof/>
          <w:sz w:val="24"/>
        </w:rPr>
        <w:footnoteReference w:id="3"/>
      </w:r>
      <w:r>
        <w:rPr>
          <w:rFonts w:ascii="Times New Roman" w:hAnsi="Times New Roman"/>
          <w:noProof/>
          <w:sz w:val="24"/>
        </w:rPr>
        <w:t>.</w:t>
      </w:r>
    </w:p>
    <w:p>
      <w:pPr>
        <w:spacing w:before="240" w:after="120" w:line="240" w:lineRule="auto"/>
        <w:jc w:val="both"/>
        <w:rPr>
          <w:rFonts w:ascii="Times New Roman" w:hAnsi="Times New Roman" w:cs="Times New Roman"/>
          <w:b/>
          <w:i/>
          <w:noProof/>
          <w:sz w:val="24"/>
          <w:szCs w:val="24"/>
        </w:rPr>
      </w:pPr>
      <w:r>
        <w:rPr>
          <w:rFonts w:ascii="Times New Roman" w:hAnsi="Times New Roman"/>
          <w:b/>
          <w:i/>
          <w:noProof/>
          <w:sz w:val="24"/>
        </w:rPr>
        <w:t>Καναδάς (κοινοποίηση από τη Βουλγαρία και τη Ρουμανία)</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Στην ανακοίνωση του Απριλίου, η Επιτροπή τόνισε την ανάγκη να ασκηθεί πίεση για πλήρη αμοιβαιότητα στον τομέα των θεωρήσεων και κάλεσε επειγόντως τον Καναδά να αποδείξει τη δέσμευσή του θεσπίζοντας συγκεκριμένα μέτρα για την επίτευξη πλήρους αμοιβαιότητας στον τομέα των θεωρήσεων και για τα 28 κράτη μέλη της Ευρωπαϊκής Ένωσης. Για την επίτευξη αυτού του στόχου είχαν πραγματοποιηθεί κατά τους τελευταίους μήνες συναντήσεις υψηλού επιπέδου με τον Καναδά σε πολιτικό επίπεδο. Οι πρόεδροι κκ. Juncker και Tusk συζήτησαν το θέμα με τον Καναδό πρωθυπουργό κ. Trudeau στο περιθώριο της διάσκεψης της Ομάδας G7 στην Ιαπωνία στις 27 Μαΐου. Ο πρόεδρος του Ευρωπαϊκού Κοινοβουλίου κ. Schulz και ο πρωθυπουργός της Ρουμανίας κ. Cioloş είχαν επίσης συνάντηση με τον πρωθυπουργό κ. Trudeau, στις 18 Μαΐου και στις 15 Ιουνίου αντιστοίχως. Σε υπουργικό επίπεδο, ο Επίτροπος κ. Αβραμόπουλος είχε συνάντηση με τον Καναδό υπουργό Μετανάστευσης κ. McCallum στις 23 Μαΐου και η </w:t>
      </w:r>
      <w:r>
        <w:rPr>
          <w:rFonts w:ascii="Times New Roman" w:hAnsi="Times New Roman"/>
          <w:noProof/>
          <w:color w:val="0D0D0D"/>
          <w:sz w:val="24"/>
        </w:rPr>
        <w:t xml:space="preserve">Ύπατη Εκπρόσωπος/Αντιπρόεδρος κα Mogherini είχε συναντήσεις με τον Καναδό υπουργό Εξωτερικών κ. Dion, </w:t>
      </w:r>
      <w:r>
        <w:rPr>
          <w:rFonts w:ascii="Times New Roman" w:hAnsi="Times New Roman"/>
          <w:noProof/>
          <w:sz w:val="24"/>
        </w:rPr>
        <w:t xml:space="preserve">τον Καναδό υπουργό Μετανάστευσης κ. McCallum </w:t>
      </w:r>
      <w:r>
        <w:rPr>
          <w:rFonts w:ascii="Times New Roman" w:hAnsi="Times New Roman"/>
          <w:noProof/>
          <w:color w:val="0D0D0D"/>
          <w:sz w:val="24"/>
        </w:rPr>
        <w:t>και την Καναδή υπουργό Εμπορίου κα Freeland στις 8 Ιουνίου.</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Η Βουλγαρία και η Ρουμανία έχουν επίσης υπογραμμίσει σε ανώτατο πολιτικό επίπεδο τη σημασία του θέματος της αμοιβαιότητας στον τομέα των θεωρήσεων υπό το πρίσμα της συμφωνίας στρατηγικής εταιρικής σχέσης ΕΕ-Καναδά, και ιδίως της προετοιμασίας για την υπογραφή και επικύρωση της Συνολικής Οικονομικής και Εμπορικής Συμφωνίας μεταξύ ΕΕ-Καναδά (CETA). Αμφότερα τα κράτη μέλη έχουν επίσης υποστηρίξει ότι τα οικονομικά οφέλη που θα προέκυπταν από την έναρξη ισχύος της CETA θα αντισταθμίζονταν από το γεγονός ότι δεν θα επιτρέπεται στους Βούλγαρους και Ρουμάνους πολίτες, συμπεριλαμβανομένων των επιχειρηματιών και των καταναλωτών, να ταξιδεύουν στον Καναδά χωρίς θεώρηση.</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Παράλληλα, σε τεχνικό επίπεδο, για την οικοδόμηση της εμπιστοσύνης και για να δοθεί στους Καναδούς εμπειρογνώμονες η δυνατότητα να εντοπίσουν τους πιθανούς κινδύνους που συνδέονται με την απαλλαγή από την υποχρέωση θεώρησης και να προσδιορίσουν επιλογές για τον μετριασμό αυτών των κινδύνων ή ανησυχιών, πραγματοποιήθηκε αποστολή Καναδών εμπειρογνωμόνων στη Ρουμανία από τις 9 έως τις 15 Ιουνίου. Αμφότερες οι πλευρές διατύπωσαν θετικά σχόλια σχετικά με την αποστολή. Οι καναδικές αρχές έχουν προγραμματίσει παρόμοια αποστολή εμπειρογνωμόνων στη Βουλγαρία από τις 21 έως τις 27 Ιουλίου.</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lastRenderedPageBreak/>
        <w:t>Η αμοιβαιότητα στον τομέα των θεωρήσεων συζητήθηκε επίσης κατά την κοινή διαβούλευση για τη μετανάστευση και το άσυλο, μεταξύ εκπροσώπων του καναδικού υπουργείου Μετανάστευσης, Προσφύγων και Ιθαγένειας και της Ευρωπαϊκής Επιτροπής στις 28 Ιουνίου. Στην εν λόγω συνεδρίαση, η καναδική πλευρά εξήγησε ότι μετά τις αποστολές εμπειρογνωμόνων, ο Καναδός υπουργός Μετανάστευσης, Ιθαγένειας και Προσφύγων θα προβεί σε εκτίμηση της δυνατότητας άρσης της υποχρέωσης θεώρησης για τους Βούλγαρους και τους Ρουμάνους πολίτες.</w:t>
      </w:r>
    </w:p>
    <w:p>
      <w:pPr>
        <w:spacing w:before="120" w:after="120" w:line="240" w:lineRule="auto"/>
        <w:jc w:val="both"/>
        <w:rPr>
          <w:rFonts w:ascii="Times New Roman" w:hAnsi="Times New Roman" w:cs="Times New Roman"/>
          <w:noProof/>
          <w:sz w:val="24"/>
          <w:szCs w:val="24"/>
        </w:rPr>
      </w:pPr>
      <w:r>
        <w:rPr>
          <w:rFonts w:ascii="Times New Roman" w:hAnsi="Times New Roman"/>
          <w:noProof/>
          <w:color w:val="0D0D0D"/>
          <w:sz w:val="24"/>
        </w:rPr>
        <w:t>Όπως περιγράφεται στην ανακοίνωση του Απριλίου, εν αναμονή των εξελίξεων για την πλήρη αμοιβαιότητα στον τομέα των θεωρήσεων, ένα από τα στοιχεία των συζητήσεων με τον Καναδά αποτελεί η δυνατότητα εφαρμογής προσωρινής τεχνικής λύσης, όπως της σταδιακής επέκτασης της ηλεκτρονικής άδειας ταξιδίου (eΤΑ) στους Βούλγαρους και τους Ρουμάνους πολίτες</w:t>
      </w:r>
      <w:r>
        <w:rPr>
          <w:rStyle w:val="FootnoteReference"/>
          <w:rFonts w:ascii="Times New Roman" w:hAnsi="Times New Roman"/>
          <w:noProof/>
          <w:sz w:val="24"/>
        </w:rPr>
        <w:footnoteReference w:id="4"/>
      </w:r>
      <w:r>
        <w:rPr>
          <w:rFonts w:ascii="Times New Roman" w:hAnsi="Times New Roman"/>
          <w:noProof/>
          <w:sz w:val="24"/>
        </w:rPr>
        <w:t>. Στόχος της ΕΕ παραμένει η πλήρης αμοιβαιότητα στον τομέα των θεωρήσεων για όλους τους πολίτες της Βουλγαρίας και της Ρουμανίας. Για τον σκοπό αυτό, η Επιτροπή διερευνά όλες τις λύσεις και τις επιλογές με τα ενδιαφερόμενα κράτη μέλη. Στο πλαίσιο αυτό, η καναδική ανακοίνωση της 28ης Ιουνίου 2016 για την άρση της υποχρέωσης θεώρησης για τους πολίτες του Μεξικού, με την επιφύλαξη ορισμένων όρων και προϋποθέσεων, από την 1η Δεκεμβρίου 2016, είναι θέμα που πρέπει να συζητηθεί περαιτέρω με τις καναδικές αρχές.</w:t>
      </w:r>
    </w:p>
    <w:p>
      <w:pPr>
        <w:spacing w:line="240" w:lineRule="auto"/>
        <w:jc w:val="both"/>
        <w:rPr>
          <w:rFonts w:ascii="Times New Roman" w:hAnsi="Times New Roman" w:cs="Times New Roman"/>
          <w:noProof/>
          <w:color w:val="0D0D0D"/>
          <w:sz w:val="24"/>
          <w:szCs w:val="24"/>
        </w:rPr>
      </w:pPr>
      <w:r>
        <w:rPr>
          <w:rFonts w:ascii="Times New Roman" w:hAnsi="Times New Roman"/>
          <w:noProof/>
          <w:sz w:val="24"/>
        </w:rPr>
        <w:t xml:space="preserve">Οι εντατικές εργασίες και οι εποικοδομητικές συζητήσεις προετοίμασαν το έδαφος για τη διεξαγωγή της υπουργικής συνόδου μεταξύ του Καναδά, της Βουλγαρίας, της Ρουμανίας και της Επιτροπής, η οποία πραγματοποιήθηκε στις </w:t>
      </w:r>
      <w:r>
        <w:rPr>
          <w:rFonts w:ascii="Times New Roman" w:hAnsi="Times New Roman"/>
          <w:noProof/>
          <w:color w:val="0D0D0D"/>
          <w:sz w:val="24"/>
        </w:rPr>
        <w:t>11 Ιουλίου στις Βρυξέλλες</w:t>
      </w:r>
      <w:r>
        <w:rPr>
          <w:rFonts w:ascii="Times New Roman" w:hAnsi="Times New Roman"/>
          <w:noProof/>
          <w:sz w:val="24"/>
        </w:rPr>
        <w:t>, προκειμένου να επανεξαστεί η πραγματοποιηθείσα πρόοδος και να συζητηθούν τα επόμενα βήματα για την επίτευξη πλήρους αμοιβαιότητας στον τομέα των θεωρήσεων.</w:t>
      </w:r>
      <w:r>
        <w:rPr>
          <w:rFonts w:ascii="Times New Roman" w:hAnsi="Times New Roman"/>
          <w:noProof/>
          <w:color w:val="0D0D0D"/>
          <w:sz w:val="24"/>
        </w:rPr>
        <w:t xml:space="preserve"> Κατά τη διάρκεια της συνόδου, ο Καναδάς δεσμεύτηκε να ενημερώσει στις αρχές του φθινοπώρου σχετικά με τα αποτελέσματα των αξιολογήσεων και με τα χρονοδιαγράμματα για την κατάργηση της υποχρέωσης θεώρησης, καθώς και σχετικά με τα απαραίτητα στοιχεία της συνεργασίας με τη Βουλγαρία και τη Ρουμανία.</w:t>
      </w:r>
    </w:p>
    <w:p>
      <w:pPr>
        <w:spacing w:line="240" w:lineRule="auto"/>
        <w:jc w:val="both"/>
        <w:rPr>
          <w:rFonts w:ascii="Times New Roman" w:hAnsi="Times New Roman" w:cs="Times New Roman"/>
          <w:b/>
          <w:noProof/>
          <w:sz w:val="24"/>
          <w:szCs w:val="24"/>
        </w:rPr>
      </w:pPr>
      <w:r>
        <w:rPr>
          <w:rFonts w:ascii="Times New Roman" w:hAnsi="Times New Roman"/>
          <w:b/>
          <w:noProof/>
          <w:sz w:val="24"/>
        </w:rPr>
        <w:t xml:space="preserve">Παρά το γεγονός ότι κατά τους τελευταίους μήνες έχουν εντατικοποιηθεί οι εποικοδομητικές συζητήσεις με τον Καναδά μεταξύ άλλων και σε ανώτατο πολιτικό επίπεδο, οι Βούλγαροι και Ρουμάνοι πολίτες εξακολουθούν να είναι υποχρεωμένοι να διαθέτουν θεώρηση για να ταξιδέψουν στον Καναδά. Η Επιτροπή σημειώνει τη δέσμευση της καναδικής κυβέρνησης να συνεχίσει τη συνεργασία της με την ΕΕ για την επίτευξη πλήρους αμοιβαιότητας στον τομέα των θεωρήσεων για όλους τους πολίτες της ΕΕ. Ως εκ τούτου, η Επιτροπή θα εξακολουθήσει να ασκεί πιέσεις για πλήρη αμοιβαιότητα στον τομέα των θεωρήσεων σε συντονισμό με τη Βουλγαρία και τη Ρουμανία, για να επισπεύσει την επίτευξη αποτελεσμάτων. </w:t>
      </w:r>
      <w:r>
        <w:rPr>
          <w:rFonts w:ascii="Times New Roman" w:hAnsi="Times New Roman"/>
          <w:b/>
          <w:noProof/>
          <w:color w:val="0D0D0D"/>
          <w:sz w:val="24"/>
        </w:rPr>
        <w:t>Η Επιτροπή αναμένει με ενδιαφέρον τη σύνοδο κορυφής ΕΕ-Καναδά, που θα πραγματοποιηθεί στις 27 Οκτωβρίου 2016, ως ευκαιρία για να επιβεβαιώσει την επίτευξη απτής προόδου όσον αφορά την άρση της υποχρέωσης θεώρησης για τους Βούλγαρους και τους Ρουμάνους πολίτες.</w:t>
      </w:r>
      <w:r>
        <w:rPr>
          <w:rFonts w:ascii="Times New Roman" w:hAnsi="Times New Roman"/>
          <w:noProof/>
          <w:color w:val="0D0D0D"/>
          <w:sz w:val="24"/>
        </w:rPr>
        <w:t xml:space="preserve"> </w:t>
      </w:r>
    </w:p>
    <w:p>
      <w:pPr>
        <w:spacing w:before="240" w:after="120" w:line="240" w:lineRule="auto"/>
        <w:jc w:val="both"/>
        <w:rPr>
          <w:rFonts w:ascii="Times New Roman" w:hAnsi="Times New Roman" w:cs="Times New Roman"/>
          <w:b/>
          <w:i/>
          <w:noProof/>
          <w:sz w:val="24"/>
          <w:szCs w:val="24"/>
        </w:rPr>
      </w:pPr>
      <w:r>
        <w:rPr>
          <w:rFonts w:ascii="Times New Roman" w:hAnsi="Times New Roman"/>
          <w:b/>
          <w:i/>
          <w:noProof/>
          <w:sz w:val="24"/>
        </w:rPr>
        <w:t>Ηνωμένες Πολιτείες (κοινοποίηση από τη Βουλγαρία, την Κροατία, την Κύπρο, την Πολωνία και τη Ρουμανία)</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lastRenderedPageBreak/>
        <w:t xml:space="preserve">Στην ανακοίνωση του Απριλίου, η Επιτροπή τόνισε την ανάγκη να ασκηθεί πίεση για πλήρη αμοιβαιότητα στον τομέα των θεωρήσεων και κάλεσε επειγόντως τις Ηνωμένες Πολιτείες να αποδείξουν τη δέσμευσή τους θεσπίζοντας συγκεκριμένα μέτρα για την επίτευξη πλήρους αμοιβαιότητας στον τομέα των θεωρήσεων και για τα 28 κράτη μέλη της Ευρωπαϊκής Ένωσης. Για την επίτευξη αυτού του στόχου, οι επαφές με τις ΗΠΑ έχουν ενταθεί τόσο σε τεχνικό όσο και σε πολιτικό επίπεδο.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Στις 15 Απριλίου, λίγο μετά την έκδοση της ανακοίνωσης του Απριλίου, ο Επίτροπος κ. Αβραμόπουλος είχε συζήτηση για το θέμα αυτό με τον υπουργό Εσωτερικής Ασφάλειας (Department of Homeland Security - DHS) κ. Johnson. Παράλληλα, η αντιπροσωπεία της ΕΕ στην Ουάσινγκτον τονίζει τακτικά την ανάγκη πλήρους αμοιβαιότητας κατά τις επαφές της με το Κογκρέσο.</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Κατά την υπουργική σύνοδο υψηλού επιπέδου ΕΕ-ΗΠΑ σε θέματα Δικαιοσύνης και Εσωτερικών Υποθέσεων, στις 2 Ιουνίου, συζητήθηκε λεπτομερώς η αμοιβαιότητα στον τομέα των θεωρήσεων. Μολονότι οι εκπρόσωποι της κυβέρνησης των Ηνωμένων Πολιτειών εξήγησαν ότι οι ΗΠΑ παραμένουν προσηλωμένες στη συνεργασία με την ΕΕ και τα πέντε ενδιαφερόμενα κράτη μέλη για την επίτευξη πλήρους αμοιβαιότητας στον τομέα των θεωρήσεων, σημείωσαν ότι η θέση του Κογκρέσου των Ηνωμένων Πολιτειών δεν έχει μεταβληθεί ως προς το ότι υπάρχει μικρή πιθανότητα εξέλιξης πριν από τις προσεχείς προεδρικές εκλογές και τις εκλογές για το Κογκρέσο. Ανέφεραν επίσης τις ανησυχίες για την ασφάλεια ως λόγο για να μην επεκταθεί το πρόγραμμα απαλλαγής από την υποχρέωση θεώρησης των Ηνωμένων Πολιτειών στα πέντε ενδιαφερόμενα κράτη μέλη της ΕΕ.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Οι Ηνωμένες Πολιτείες έχουν επανειλημμένα ταχθεί κατά των μέτρων της ΕΕ που θα μπορούσαν να έχουν δυσμενείς επιπτώσεις πέρα από το ζήτημα της αμοιβαιότητας στον τομέα των θεωρήσεων. Υπογράμμισαν ότι η επιβολή θεωρήσεων για τους πολίτες των Ηνωμένων Πολιτειών θα οδηγούσε ασφαλώς το Κογκρέσο να επαναφέρει την υποχρέωση θεώρησης για όλους τους πολίτες της ΕΕ.</w:t>
      </w:r>
      <w:r>
        <w:rPr>
          <w:rFonts w:ascii="Times New Roman" w:hAnsi="Times New Roman"/>
          <w:b/>
          <w:noProof/>
          <w:sz w:val="24"/>
        </w:rPr>
        <w:t xml:space="preserve"> </w:t>
      </w:r>
      <w:r>
        <w:rPr>
          <w:rFonts w:ascii="Times New Roman" w:hAnsi="Times New Roman"/>
          <w:noProof/>
          <w:sz w:val="24"/>
        </w:rPr>
        <w:t xml:space="preserve">Αναφερόμενες στις ιδέες που προωθεί η Επιτροπή στην ανακοίνωση του Απριλίου (ήτοι, την επέκταση του συστήματος ESTA των Ηνωμένων Πολιτειών σε ορισμένες κατηγορίες ταξιδιωτών), η αμερικανική πλευρά απάντησε ότι η ισχύουσα νομοθεσία δεν επιτρέπει αυτή την ευελιξία και επίσης απέκλεισε την πιθανότητα εισαγωγής νομοθετικών προτάσεων προς τον σκοπό αυτό στο εγγύς μέλλον. Ταυτοχρόνως, αναγνωρίζοντας την ευαισθησία του ζητήματος, οι Ηνωμένες Πολιτείες επισήμαναν ορισμένες διαθέσιμες διευκολύνσεις όσον αφορά τη διαδικασία αίτησης και έκδοσης θεωρήσεων. Αυτές αφορούν την παράταση ισχύος των θεωρήσεων, και περιλαμβάνουν την παροχή ορισμένων διευκολύνσεων για τους αιτούντες θεώρηση (δηλαδή, απαλλαγή από τη λήψη δακτυλικών αποτυπωμάτων και από τη συνέντευξη). Ωστόσο, τα στοιχεία αυτά ισχύουν ήδη εδώ και κάποιο χρονικό διάστημα και δεν μπορούν να θεωρηθούν ως πρόοδος για την επίτευξη πλήρους αμοιβαιότητας στον τομέα των θεωρήσεων.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Μετά τον Απρίλιο, δεν έχει σημειωθεί πρόοδος στο Κογκρέσο των Ηνωμένων Πολιτειών για τους πολίτες της ΕΕ από τις τρέχουσες αμερικανικές νομοθετικές πρωτοβουλίες, και συγκεκριμένα τον νόμο του 2015 «Jobs Originating through Launching Travel Act of 2015</w:t>
      </w:r>
      <w:r>
        <w:rPr>
          <w:rStyle w:val="FootnoteReference"/>
          <w:rFonts w:ascii="Times New Roman" w:hAnsi="Times New Roman"/>
          <w:noProof/>
          <w:sz w:val="24"/>
        </w:rPr>
        <w:footnoteReference w:id="5"/>
      </w:r>
      <w:r>
        <w:rPr>
          <w:rFonts w:ascii="Times New Roman" w:hAnsi="Times New Roman"/>
          <w:noProof/>
          <w:sz w:val="24"/>
        </w:rPr>
        <w:t>» και τον νόμο του 2016 για την ισότητα όσον αφορά την προστασία στα ταξίδια «Equal Protection in Travel Act of 2016</w:t>
      </w:r>
      <w:r>
        <w:rPr>
          <w:rStyle w:val="FootnoteReference"/>
          <w:rFonts w:ascii="Times New Roman" w:hAnsi="Times New Roman"/>
          <w:noProof/>
          <w:sz w:val="24"/>
        </w:rPr>
        <w:footnoteReference w:id="6"/>
      </w:r>
      <w:r>
        <w:rPr>
          <w:rFonts w:ascii="Times New Roman" w:hAnsi="Times New Roman"/>
          <w:noProof/>
          <w:sz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Η αμοιβαιότητα στον τομέα των θεωρήσεων ήταν επίσης μεταξύ των θεμάτων που συζητήθηκαν κατά την επίσκεψη αντιπροσωπείας της </w:t>
      </w:r>
      <w:r>
        <w:rPr>
          <w:rStyle w:val="Emphasis"/>
          <w:rFonts w:ascii="Times New Roman" w:hAnsi="Times New Roman"/>
          <w:i w:val="0"/>
          <w:noProof/>
          <w:sz w:val="24"/>
        </w:rPr>
        <w:t>Επιτροπής</w:t>
      </w:r>
      <w:r>
        <w:rPr>
          <w:rStyle w:val="st"/>
          <w:rFonts w:ascii="Times New Roman" w:hAnsi="Times New Roman"/>
          <w:i/>
          <w:noProof/>
          <w:sz w:val="24"/>
        </w:rPr>
        <w:t xml:space="preserve"> </w:t>
      </w:r>
      <w:r>
        <w:rPr>
          <w:rStyle w:val="st"/>
          <w:rFonts w:ascii="Times New Roman" w:hAnsi="Times New Roman"/>
          <w:noProof/>
          <w:sz w:val="24"/>
        </w:rPr>
        <w:t xml:space="preserve">Πολιτικών Ελευθεριών, </w:t>
      </w:r>
      <w:r>
        <w:rPr>
          <w:rStyle w:val="st"/>
          <w:rFonts w:ascii="Times New Roman" w:hAnsi="Times New Roman"/>
          <w:noProof/>
          <w:sz w:val="24"/>
        </w:rPr>
        <w:lastRenderedPageBreak/>
        <w:t>Δικαιοσύνης και Εσωτερικών Υποθέσεων (</w:t>
      </w:r>
      <w:r>
        <w:rPr>
          <w:rFonts w:ascii="Times New Roman" w:hAnsi="Times New Roman"/>
          <w:noProof/>
          <w:sz w:val="24"/>
        </w:rPr>
        <w:t xml:space="preserve">LIBE) του Ευρωπαϊκού Κοινοβουλίου στην Ουάσιγκτον στις 16-18 Μαΐου. </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Σημειωτέον ότι η Υπηρεσία Λογοδοσίας της κυβέρνησης των ΗΠΑ (United States Government Accountability Office) δημοσίευσε έκθεση στις 7 Ιουνίου για τον τρόπο ανταλλαγής πληροφοριών μεταξύ των χωρών εταίρων του προγράμματος απαλλαγής από την υποχρέωση θεώρησης και των Ηνωμένων Πολιτειών σχετικά με την ταυτότητα τρομοκρατών, το ποινικό μητρώο, καθώς και τα απολεσθέντα και κλαπέντα διαβατήρια. Η έκθεση επισημαίνει ότι οι Ηνωμένες Πολιτείες ήσαν σε θέση να λαμβάνουν πληροφορίες από τις χώρες εταίρους του προγράμματος απαλλαγής από την υποχρέωση θεώρησης για πάνω από 12.000 υπόπτους τρομοκρατικών πράξεων, συμπεριλαμβανομένων περίπου 5.000 ατόμων που δεν είχαν προηγουμένως ταυτοποιηθεί από τις αρχές των Ηνωμένων Πολιτειών. Η Επιτροπή θεωρεί πολύ σημαντική αυτή την ανταλλαγή πληροφοριών: απεικονίζει το γεγονός ότι το πρόγραμμα απαλλαγής από την υποχρέωση θεώρησης όχι μόνο διευκολύνει τη ζωή εκατομμυρίων νόμιμων διατλαντικών ταξιδιωτών, αλλά αποφέρει επίσης σημαντικά οφέλη ως προς την ασφάλεια στις Ηνωμένες Πολιτείες. Η έκθεση αναφέρει επίσης ότι η ανταλλαγή πληροφοριών αυξήθηκε εκθετικά κατά το παρελθόν έτος.</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Η Επιτροπή σημειώνει ότι τούτο υπογραμμίστηκε επίσης από τον αναπληρωτή υπουργό Εσωτερικής Ασφάλειας κ. Mayorkas και τον αναπληρωτή συντονιστή Αντιτρομοκρατικής Δράσης κ. Siberell (Υπουργείο Εξωτερικών) κατά την ακρόαση που έλαβε χώρα στην Επιτροπή Εσωτερικής Ασφάλειας της Γερουσίας των Ηνωμένων Πολιτειών στις 26 Μαΐου</w:t>
      </w:r>
      <w:r>
        <w:rPr>
          <w:rStyle w:val="FootnoteReference"/>
          <w:rFonts w:ascii="Times New Roman" w:hAnsi="Times New Roman"/>
          <w:noProof/>
          <w:sz w:val="24"/>
        </w:rPr>
        <w:footnoteReference w:id="7"/>
      </w:r>
      <w:r>
        <w:rPr>
          <w:rFonts w:ascii="Times New Roman" w:hAnsi="Times New Roman"/>
          <w:noProof/>
          <w:sz w:val="24"/>
        </w:rPr>
        <w:t xml:space="preserve">, στην οποία αναγνωρίστηκαν τα πρόσφατα επιτεύγματα της ΕΕ στον τομέα της ασφάλειας, όπως η οδηγία της ΕΕ για τις Καταστάσεις Ονομάτων Επιβατών ή η συγκρότηση του Ευρωπαϊκού Αντιτρομοκρατικού Κέντρου της Ευρωπόλ. </w:t>
      </w:r>
    </w:p>
    <w:p>
      <w:pPr>
        <w:spacing w:before="120" w:after="120" w:line="240" w:lineRule="auto"/>
        <w:jc w:val="both"/>
        <w:rPr>
          <w:rFonts w:ascii="Times New Roman" w:hAnsi="Times New Roman" w:cs="Times New Roman"/>
          <w:b/>
          <w:noProof/>
          <w:color w:val="0D0D0D"/>
          <w:sz w:val="24"/>
          <w:szCs w:val="24"/>
        </w:rPr>
      </w:pPr>
      <w:r>
        <w:rPr>
          <w:rFonts w:ascii="Times New Roman" w:hAnsi="Times New Roman"/>
          <w:b/>
          <w:noProof/>
          <w:sz w:val="24"/>
        </w:rPr>
        <w:t>Παρά την εντατικοποίηση των πολιτικών και τεχνικών επαφών, δεν υπήρξαν συγκρίσιμες με τον Καναδά ενδείξεις προόδου με τις Ηνωμένες Πολιτείες. Κ</w:t>
      </w:r>
      <w:r>
        <w:rPr>
          <w:rFonts w:ascii="Times New Roman" w:hAnsi="Times New Roman"/>
          <w:b/>
          <w:noProof/>
          <w:color w:val="0D0D0D"/>
          <w:sz w:val="24"/>
        </w:rPr>
        <w:t xml:space="preserve">ατά τους τελευταίους τρεις μήνες, οι Ηνωμένες Πολιτείες δεν έχουν προβεί σε άρση της υποχρέωσης θεώρησης για </w:t>
      </w:r>
      <w:r>
        <w:rPr>
          <w:rFonts w:ascii="Times New Roman" w:hAnsi="Times New Roman"/>
          <w:b/>
          <w:noProof/>
          <w:sz w:val="24"/>
        </w:rPr>
        <w:t xml:space="preserve">τους πολίτες της Βουλγαρίας, της Κροατίας, της Κύπρου, της Πολωνίας και της Ρουμανίας που ταξιδεύουν στις Ηνωμένες Πολιτείες. Ως εκ τούτου, η Επιτροπή θα εξακολουθήσει να ασκεί πιέσεις για πλήρη αμοιβαιότητα στον τομέα των θεωρήσεων σε συντονισμό με τα πέντε ενδιαφερόμενα κράτη μέλη, για να επισπεύσει την επίτευξη αποτελεσμάτων. </w:t>
      </w:r>
      <w:r>
        <w:rPr>
          <w:rFonts w:ascii="Times New Roman" w:hAnsi="Times New Roman"/>
          <w:b/>
          <w:noProof/>
          <w:color w:val="0D0D0D"/>
          <w:sz w:val="24"/>
        </w:rPr>
        <w:t xml:space="preserve">Στο πλαίσιο αυτό, η Επιτροπή θα αξιοποιήσει όλες τις δυνατότητες, μεταξύ άλλων, </w:t>
      </w:r>
      <w:r>
        <w:rPr>
          <w:rFonts w:ascii="Times New Roman" w:hAnsi="Times New Roman"/>
          <w:b/>
          <w:noProof/>
          <w:sz w:val="24"/>
        </w:rPr>
        <w:t xml:space="preserve">το κοινό πρόγευμα των υπουργών Εξωτερικών της ΕΕ και του Αμερικανού υπουργού Εξωτερικών κ. Kerry στις 18 Ιουλίου, καθώς και </w:t>
      </w:r>
      <w:r>
        <w:rPr>
          <w:rFonts w:ascii="Times New Roman" w:hAnsi="Times New Roman"/>
          <w:b/>
          <w:noProof/>
          <w:color w:val="0D0D0D"/>
          <w:sz w:val="24"/>
        </w:rPr>
        <w:t xml:space="preserve">την επόμενη συνεδρίαση των υπουργών και ανώτερων υπαλλήλων Δικαιοσύνης και Εσωτερικών Υποθέσεων ΕΕ-ΗΠΑ που προβλέπεται πριν από το τέλος του 2016, για να εξετάσει </w:t>
      </w:r>
      <w:r>
        <w:rPr>
          <w:rFonts w:ascii="Times New Roman" w:hAnsi="Times New Roman"/>
          <w:b/>
          <w:noProof/>
          <w:sz w:val="24"/>
        </w:rPr>
        <w:t xml:space="preserve">τη μελλοντική πορεία και </w:t>
      </w:r>
      <w:r>
        <w:rPr>
          <w:rFonts w:ascii="Times New Roman" w:hAnsi="Times New Roman"/>
          <w:b/>
          <w:noProof/>
          <w:color w:val="0D0D0D"/>
          <w:sz w:val="24"/>
        </w:rPr>
        <w:t xml:space="preserve">όλες τις επιλογές </w:t>
      </w:r>
      <w:r>
        <w:rPr>
          <w:rFonts w:ascii="Times New Roman" w:hAnsi="Times New Roman"/>
          <w:b/>
          <w:noProof/>
          <w:sz w:val="24"/>
        </w:rPr>
        <w:t>ή τις δράσεις που πρέπει να αναληφθούν για την επίτευξη αυτού του στόχου</w:t>
      </w:r>
      <w:r>
        <w:rPr>
          <w:rFonts w:ascii="Times New Roman" w:hAnsi="Times New Roman"/>
          <w:b/>
          <w:noProof/>
          <w:color w:val="0D0D0D"/>
          <w:sz w:val="24"/>
        </w:rPr>
        <w:t>.</w:t>
      </w:r>
    </w:p>
    <w:p>
      <w:pPr>
        <w:pStyle w:val="Heading1"/>
        <w:spacing w:after="240" w:line="240" w:lineRule="auto"/>
        <w:rPr>
          <w:rFonts w:ascii="Times New Roman" w:hAnsi="Times New Roman"/>
          <w:smallCaps/>
          <w:noProof/>
          <w:color w:val="auto"/>
          <w:sz w:val="24"/>
          <w:szCs w:val="24"/>
        </w:rPr>
      </w:pPr>
      <w:r>
        <w:rPr>
          <w:rFonts w:ascii="Times New Roman" w:hAnsi="Times New Roman"/>
          <w:smallCaps/>
          <w:noProof/>
          <w:color w:val="auto"/>
          <w:sz w:val="24"/>
        </w:rPr>
        <w:t>ΙΙΙ.</w:t>
      </w:r>
      <w:r>
        <w:rPr>
          <w:noProof/>
        </w:rPr>
        <w:tab/>
      </w:r>
      <w:r>
        <w:rPr>
          <w:rFonts w:ascii="Times New Roman" w:hAnsi="Times New Roman"/>
          <w:smallCaps/>
          <w:noProof/>
          <w:color w:val="auto"/>
          <w:sz w:val="24"/>
        </w:rPr>
        <w:t xml:space="preserve">Θέσεις που έχουν ληφθεί ως απάντηση στην ανακοίνωση του Απριλίου </w:t>
      </w:r>
    </w:p>
    <w:p>
      <w:pPr>
        <w:spacing w:line="240" w:lineRule="auto"/>
        <w:jc w:val="both"/>
        <w:rPr>
          <w:rFonts w:ascii="Times New Roman" w:hAnsi="Times New Roman" w:cs="Times New Roman"/>
          <w:noProof/>
          <w:sz w:val="24"/>
          <w:szCs w:val="24"/>
        </w:rPr>
      </w:pPr>
      <w:r>
        <w:rPr>
          <w:rFonts w:ascii="Times New Roman" w:hAnsi="Times New Roman"/>
          <w:noProof/>
          <w:sz w:val="24"/>
        </w:rPr>
        <w:t>Στην ανακοίνωση του Απριλίου, η Επιτροπή κάλεσε το Ευρωπαϊκό Κοινοβούλιο και το Συμβούλιο να αρχίσουν επειγόντως συζητήσεις σχετικά με τον υφιστάμενο μηχανισμό αμοιβαιότητας και να λάβουν θέση σχετικά με την πλέον ενδεδειγμένη μελλοντική πορεία, υπό το πρίσμα της αξιολόγησης που περιέχεται στην ανακοίνωση του Απριλίου. Κάλεσε τα δύο θεσμικά όργανα να ενημερώσουν την Επιτροπή σχετικά με τις αντίστοιχες θέσεις τους έως τις 12 Ιουλίου 2016 το αργότερο.</w:t>
      </w:r>
    </w:p>
    <w:p>
      <w:pPr>
        <w:pStyle w:val="NormalWeb"/>
        <w:spacing w:before="120" w:beforeAutospacing="0" w:after="120" w:afterAutospacing="0"/>
        <w:jc w:val="both"/>
        <w:rPr>
          <w:noProof/>
        </w:rPr>
      </w:pPr>
      <w:r>
        <w:rPr>
          <w:noProof/>
        </w:rPr>
        <w:lastRenderedPageBreak/>
        <w:t xml:space="preserve">Όσον αφορά το </w:t>
      </w:r>
      <w:r>
        <w:rPr>
          <w:b/>
          <w:noProof/>
        </w:rPr>
        <w:t>Ευρωπαϊκό Κοινοβούλιο</w:t>
      </w:r>
      <w:r>
        <w:rPr>
          <w:noProof/>
        </w:rPr>
        <w:t xml:space="preserve">, δεν πραγματοποιήθηκε σύνοδος ολομέλειας με σκοπό τη λήψη σχετικής θέσης. Ο πρόεδρος της </w:t>
      </w:r>
      <w:r>
        <w:rPr>
          <w:rStyle w:val="Emphasis"/>
          <w:i w:val="0"/>
          <w:noProof/>
        </w:rPr>
        <w:t>Επιτροπής</w:t>
      </w:r>
      <w:r>
        <w:rPr>
          <w:rStyle w:val="st"/>
          <w:i/>
          <w:noProof/>
        </w:rPr>
        <w:t xml:space="preserve"> </w:t>
      </w:r>
      <w:r>
        <w:rPr>
          <w:rStyle w:val="st"/>
          <w:noProof/>
        </w:rPr>
        <w:t>Πολιτικών Ελευθεριών, Δικαιοσύνης και Εσωτερικών Υποθέσεων (</w:t>
      </w:r>
      <w:r>
        <w:rPr>
          <w:noProof/>
        </w:rPr>
        <w:t>LIBE) διαβίβασε επιστολή στην Επιτροπή στις 7 Ιουνίου με την οποία ζήτησε από την Επιτροπή να εκδώσει τις κατ’ εξουσιοδότηση πράξεις που προβλέπονται στον κανονισμό το συντομότερο δυνατόν. Η επιστολή του προέδρου της επιτροπής LIBE έκρινε ότι η Επιτροπή έχει την υποχρέωση να εκδώσει κατ’ εξουσιοδότηση πράξη σύμφωνα με το άρθρο 1 παράγραφος 4 στοιχείο στ) του κανονισμού για την προσωρινή αναστολή της απαλλαγής από την υποχρέωση θεώρησης για τους υπηκόους των εν λόγω τρίτων χωρών, δεδομένου ότι οι Ηνωμένες Πολιτείες και ο Καναδάς δεν έχουν άρει την υποχρέωση θεώρησης εντός περιόδου 24 μηνών από την κοινοποίηση της μη αμοιβαιότητας από τα ενδιαφερόμενα κράτη μέλη της ΕΕ. Η επιστολή ζητεί από την Επιτροπή να τηρήσει την εν λόγω νομική υποχρέωση και να εκδώσει τις απαιτούμενες κατ’ εξουσιοδότηση πράξεις το συντομότερο δυνατό, υπενθυμίζοντας ότι, σύμφωνα με το άρθρο 265 της ΣΛΕΕ, αν η Επιτροπή παραλείπει να αποφασίσει, τα θεσμικά όργανα της ΕΕ δύνανται να ασκούν προσφυγή στο Δικαστήριο της Ευρωπαϊκής Ένωσης.</w:t>
      </w:r>
    </w:p>
    <w:p>
      <w:pPr>
        <w:pStyle w:val="NormalWeb"/>
        <w:spacing w:before="120" w:beforeAutospacing="0" w:after="120" w:afterAutospacing="0"/>
        <w:jc w:val="both"/>
        <w:rPr>
          <w:noProof/>
        </w:rPr>
      </w:pPr>
      <w:r>
        <w:rPr>
          <w:noProof/>
        </w:rPr>
        <w:t xml:space="preserve">Το </w:t>
      </w:r>
      <w:r>
        <w:rPr>
          <w:b/>
          <w:noProof/>
        </w:rPr>
        <w:t xml:space="preserve">Συμβούλιο </w:t>
      </w:r>
      <w:r>
        <w:rPr>
          <w:noProof/>
        </w:rPr>
        <w:t xml:space="preserve">δεν συμπεριέλαβε το ζήτημα αυτό στην ημερήσια διάταξη του Συμβουλίου των Υπουργών και ούτε το Συμβούλιο ούτε η Προεδρία εξέφρασαν γνώμη επί του υφιστάμενου μηχανισμού αμοιβαιότητας υπό το πρίσμα της αξιολόγησης που περιέχεται στην ανακοίνωση. </w:t>
      </w:r>
    </w:p>
    <w:p>
      <w:pPr>
        <w:pStyle w:val="NormalWeb"/>
        <w:spacing w:before="120" w:beforeAutospacing="0" w:after="120" w:afterAutospacing="0"/>
        <w:jc w:val="both"/>
        <w:rPr>
          <w:noProof/>
        </w:rPr>
      </w:pPr>
      <w:r>
        <w:rPr>
          <w:noProof/>
        </w:rPr>
        <w:t xml:space="preserve">Μεταξύ των κρατών μελών, η </w:t>
      </w:r>
      <w:r>
        <w:rPr>
          <w:b/>
          <w:noProof/>
        </w:rPr>
        <w:t>Βουλγαρία και η Ρουμανία</w:t>
      </w:r>
      <w:r>
        <w:rPr>
          <w:noProof/>
        </w:rPr>
        <w:t xml:space="preserve"> κοινοποίησαν με σθένος τη θέση τους στην Επιτροπή και στις δύο ενδιαφερόμενες τρίτες χώρες, ιδίως στον Καναδά, στο υψηλότερο πολιτικό επίπεδο. </w:t>
      </w:r>
    </w:p>
    <w:p>
      <w:pPr>
        <w:spacing w:before="120" w:after="120" w:line="240" w:lineRule="auto"/>
        <w:jc w:val="both"/>
        <w:rPr>
          <w:rFonts w:ascii="Times New Roman" w:hAnsi="Times New Roman" w:cs="Times New Roman"/>
          <w:i/>
          <w:noProof/>
          <w:sz w:val="24"/>
          <w:szCs w:val="24"/>
        </w:rPr>
      </w:pPr>
      <w:r>
        <w:rPr>
          <w:rFonts w:ascii="Times New Roman" w:hAnsi="Times New Roman"/>
          <w:i/>
          <w:noProof/>
          <w:sz w:val="24"/>
        </w:rPr>
        <w:t xml:space="preserve">Άλλα ενδιαφερόμενα μέρη: </w:t>
      </w:r>
    </w:p>
    <w:p>
      <w:pPr>
        <w:spacing w:before="120" w:after="120" w:line="240" w:lineRule="auto"/>
        <w:jc w:val="both"/>
        <w:rPr>
          <w:rFonts w:ascii="Times New Roman" w:hAnsi="Times New Roman" w:cs="Times New Roman"/>
          <w:b/>
          <w:noProof/>
          <w:color w:val="0D0D0D"/>
          <w:sz w:val="24"/>
          <w:szCs w:val="24"/>
        </w:rPr>
      </w:pPr>
      <w:r>
        <w:rPr>
          <w:rFonts w:ascii="Times New Roman" w:hAnsi="Times New Roman"/>
          <w:noProof/>
          <w:sz w:val="24"/>
        </w:rPr>
        <w:t xml:space="preserve">Ορισμένα </w:t>
      </w:r>
      <w:r>
        <w:rPr>
          <w:rFonts w:ascii="Times New Roman" w:hAnsi="Times New Roman"/>
          <w:b/>
          <w:noProof/>
          <w:sz w:val="24"/>
        </w:rPr>
        <w:t>ενδιαφερόμενα μέρη</w:t>
      </w:r>
      <w:r>
        <w:rPr>
          <w:rFonts w:ascii="Times New Roman" w:hAnsi="Times New Roman"/>
          <w:noProof/>
          <w:sz w:val="24"/>
        </w:rPr>
        <w:t xml:space="preserve"> εξέφρασαν επίσης τις απόψεις τους σχετικά με το θέμα αυτό. Η </w:t>
      </w:r>
      <w:r>
        <w:rPr>
          <w:rFonts w:ascii="Times New Roman" w:hAnsi="Times New Roman"/>
          <w:b/>
          <w:noProof/>
          <w:sz w:val="24"/>
        </w:rPr>
        <w:t>Διεθνής Ένωση Αεροπορικών Μεταφορών</w:t>
      </w:r>
      <w:r>
        <w:rPr>
          <w:rFonts w:ascii="Times New Roman" w:hAnsi="Times New Roman"/>
          <w:noProof/>
          <w:sz w:val="24"/>
        </w:rPr>
        <w:t xml:space="preserve"> (IATA), η οποία συγκεντρώνει περίπου 260 αεροπορικές εταιρείες που αντιπροσωπεύουν το 83% της παγκόσμιας εναέριας κυκλοφορίας, αναφέρθηκε στις οικονομικές συνέπειες της θέσπισης νέων απαιτήσεων για τους ταξιδιώτες από τον Καναδά και τις Ηνωμένες Πολιτείες προς την ΕΕ</w:t>
      </w:r>
      <w:r>
        <w:rPr>
          <w:rStyle w:val="FootnoteReference"/>
          <w:rFonts w:ascii="Times New Roman" w:hAnsi="Times New Roman"/>
          <w:noProof/>
          <w:sz w:val="24"/>
        </w:rPr>
        <w:footnoteReference w:id="8"/>
      </w:r>
      <w:r>
        <w:rPr>
          <w:rFonts w:ascii="Times New Roman" w:hAnsi="Times New Roman"/>
          <w:noProof/>
          <w:sz w:val="24"/>
        </w:rPr>
        <w:t xml:space="preserve">. Η IATA αναφέρθηκε σε στοιχεία της Ευρωπαϊκής Επιτροπής Ταξιδίων, σύμφωνα με τα οποία, κάθε χρόνο, επισκέπτονται την Ευρώπη περισσότεροι από 30 εκατομμύρια τουρίστες από τον Καναδά και τις Ηνωμένες Πολιτείες, οι οποίοι το 2014 ξόδεψαν πάνω από 54 δισ. δολάρια ΗΠΑ. Επιπλέον, 31 εκπρόσωποι του </w:t>
      </w:r>
      <w:r>
        <w:rPr>
          <w:rFonts w:ascii="Times New Roman" w:hAnsi="Times New Roman"/>
          <w:b/>
          <w:noProof/>
          <w:sz w:val="24"/>
        </w:rPr>
        <w:t>τουριστικού κλάδου</w:t>
      </w:r>
      <w:r>
        <w:rPr>
          <w:rFonts w:ascii="Times New Roman" w:hAnsi="Times New Roman"/>
          <w:noProof/>
          <w:sz w:val="24"/>
        </w:rPr>
        <w:t xml:space="preserve"> απηύθυναν κοινή επιστολή στην επιτροπή LIBE του Ευρωπαϊκού Κοινοβουλίου στην οποία δήλωσαν ότι η αναστολή της απαλλαγής από την υποχρέωση θεώρησης για τους πολίτες του Καναδά και των Ηνωμένων Πολιτειών θα αντιστρέψει τις θετικές τάσεις στις τουριστικές ροές από τις Ηνωμένες Πολιτείες και τον Καναδά, θα στερήσει τις ευρωπαϊκές επιχειρήσεις τουρισμού και ταξιδίων από σημαντικά έσοδα και θα διακυβεύσει χιλιάδες ευρωπαϊκές θέσεις εργασίας</w:t>
      </w:r>
      <w:r>
        <w:rPr>
          <w:rStyle w:val="FootnoteReference"/>
          <w:rFonts w:ascii="Times New Roman" w:hAnsi="Times New Roman"/>
          <w:noProof/>
          <w:sz w:val="24"/>
        </w:rPr>
        <w:footnoteReference w:id="9"/>
      </w:r>
      <w:r>
        <w:rPr>
          <w:rFonts w:ascii="Times New Roman" w:hAnsi="Times New Roman"/>
          <w:noProof/>
          <w:sz w:val="24"/>
        </w:rPr>
        <w:t xml:space="preserve">. </w:t>
      </w:r>
    </w:p>
    <w:p>
      <w:pPr>
        <w:pStyle w:val="Heading1"/>
        <w:spacing w:before="240" w:after="240" w:line="240" w:lineRule="auto"/>
        <w:rPr>
          <w:rFonts w:ascii="Times New Roman" w:hAnsi="Times New Roman"/>
          <w:b w:val="0"/>
          <w:smallCaps/>
          <w:noProof/>
          <w:color w:val="auto"/>
          <w:sz w:val="24"/>
          <w:szCs w:val="24"/>
        </w:rPr>
      </w:pPr>
      <w:r>
        <w:rPr>
          <w:rFonts w:ascii="Times New Roman" w:hAnsi="Times New Roman"/>
          <w:smallCaps/>
          <w:noProof/>
          <w:color w:val="auto"/>
          <w:sz w:val="24"/>
        </w:rPr>
        <w:t>IV. Συμπεράσματα</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Η Επιτροπή χαιρετίζει την επίτευξη πλήρους αμοιβαιότητας στον τομέα των θεωρήσεων με το Μπρουνέι.</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sz w:val="24"/>
        </w:rPr>
        <w:t xml:space="preserve">Όσον αφορά τον Καναδά, η Επιτροπή σημειώνει ότι, παρά τις εντατικές και εποικοδομητικές συζητήσεις και τη συνεργασία με τις καναδικές αρχές για να σημειωθεί πρόοδος στην επίτευξη πλήρους αμοιβαιότητας στον τομέα των θεωρήσεων κατά τους τελευταίους τρεις </w:t>
      </w:r>
      <w:r>
        <w:rPr>
          <w:rFonts w:ascii="Times New Roman" w:hAnsi="Times New Roman"/>
          <w:noProof/>
          <w:sz w:val="24"/>
        </w:rPr>
        <w:lastRenderedPageBreak/>
        <w:t xml:space="preserve">μήνες, οι πολίτες της Βουλγαρίας και της Ρουμανίας εξακολουθούν να είναι υποχρεωμένοι να διαθέτουν θεώρηση για να ταξιδέψουν στον Καναδά. Ως εκ τούτου, η Επιτροπή θα εξακολουθήσει να ασκεί πιέσεις για πλήρη αμοιβαιότητα στον τομέα των θεωρήσεων σε συντονισμό με τη Βουλγαρία και τη Ρουμανία, για να επισπεύσει την επίτευξη αποτελεσμάτων. Στο πλαίσιο αυτό, </w:t>
      </w:r>
      <w:r>
        <w:rPr>
          <w:rFonts w:ascii="Times New Roman" w:hAnsi="Times New Roman"/>
          <w:noProof/>
          <w:color w:val="0D0D0D"/>
          <w:sz w:val="24"/>
        </w:rPr>
        <w:t>κατά την υπουργική σύνοδο της 11ης Ιουλίου στις Βρυξέλλες, ο Καναδάς δεσμεύθηκε να ενημερώσει στις αρχές του φθινοπώρου σχετικά με τα αποτελέσματα των αξιολογήσεων και τα χρονοδιαγράμματα για την κατάργηση της υποχρέωσης θεώρησης, καθώς και σχετικά με τα απαραίτητα στοιχεία της συνεργασίας με τη Βουλγαρία και τη Ρουμανία.</w:t>
      </w:r>
      <w:r>
        <w:rPr>
          <w:rFonts w:ascii="Times New Roman" w:hAnsi="Times New Roman"/>
          <w:noProof/>
          <w:sz w:val="24"/>
        </w:rPr>
        <w:t xml:space="preserve"> </w:t>
      </w:r>
      <w:r>
        <w:rPr>
          <w:rFonts w:ascii="Times New Roman" w:hAnsi="Times New Roman"/>
          <w:noProof/>
          <w:color w:val="0D0D0D"/>
          <w:sz w:val="24"/>
        </w:rPr>
        <w:t>Η Επιτροπή αναμένει με ενδιαφέρον τη σύνοδο κορυφής ΕΕ-Καναδά, που θα πραγματοποιηθεί στις 27-28 Οκτωβρίου 2016, ως ευκαιρία για να επιβεβαιώσει την επίτευξη απτής προόδου όσον αφορά την άρση της υποχρέωσης θεώρησης για τους πολίτες της Βουλγαρίας και της Ρουμανίας.</w:t>
      </w:r>
    </w:p>
    <w:p>
      <w:pPr>
        <w:spacing w:line="240" w:lineRule="auto"/>
        <w:jc w:val="both"/>
        <w:rPr>
          <w:rFonts w:ascii="Times New Roman" w:hAnsi="Times New Roman" w:cs="Times New Roman"/>
          <w:noProof/>
          <w:color w:val="0D0D0D"/>
          <w:sz w:val="24"/>
          <w:szCs w:val="24"/>
        </w:rPr>
      </w:pPr>
      <w:r>
        <w:rPr>
          <w:rFonts w:ascii="Times New Roman" w:hAnsi="Times New Roman"/>
          <w:noProof/>
          <w:sz w:val="24"/>
        </w:rPr>
        <w:t>Όσον αφορά τις Ηνωμένες Πολιτείες, η Επιτροπή σημειώνει ότι κατά</w:t>
      </w:r>
      <w:r>
        <w:rPr>
          <w:rFonts w:ascii="Times New Roman" w:hAnsi="Times New Roman"/>
          <w:noProof/>
          <w:color w:val="0D0D0D"/>
          <w:sz w:val="24"/>
        </w:rPr>
        <w:t xml:space="preserve"> τους τελευταίους τρεις μήνες οι Ηνωμένες Πολιτείες δεν έχουν προβεί σε άρση της υποχρέωσης θεώρησης για </w:t>
      </w:r>
      <w:r>
        <w:rPr>
          <w:rFonts w:ascii="Times New Roman" w:hAnsi="Times New Roman"/>
          <w:noProof/>
          <w:sz w:val="24"/>
        </w:rPr>
        <w:t>τους πολίτες της Βουλγαρίας, της Κροατίας, της Κύπρου, της Πολωνίας και της Ρουμανίας που ταξιδεύουν στις Ηνωμένες Πολιτείες. Ως εκ τούτου, η Επιτροπή, όπως αναφέρθηκε παραπάνω, θα αξιοποιήσει όλες τις δυνατότητες για να εξακολουθήσει να ασκεί πιέσεις για επίτευξη πλήρους αμοιβαιότητας στον τομέα των θεωρήσεων, σε συντονισμό με τα πέντε ενδιαφερόμενα κράτη μέλη, για να επισπεύσει την επίτευξη αποτελεσμάτων.</w:t>
      </w:r>
    </w:p>
    <w:p>
      <w:pPr>
        <w:spacing w:line="240" w:lineRule="auto"/>
        <w:jc w:val="both"/>
        <w:rPr>
          <w:rFonts w:ascii="Times New Roman" w:hAnsi="Times New Roman" w:cs="Times New Roman"/>
          <w:noProof/>
          <w:color w:val="0D0D0D"/>
          <w:sz w:val="24"/>
          <w:szCs w:val="24"/>
        </w:rPr>
      </w:pPr>
      <w:r>
        <w:rPr>
          <w:rFonts w:ascii="Times New Roman" w:hAnsi="Times New Roman"/>
          <w:noProof/>
          <w:color w:val="0D0D0D"/>
          <w:sz w:val="24"/>
        </w:rPr>
        <w:t xml:space="preserve">Η Επιτροπή θα συνεργαστεί στενά με το Ευρωπαϊκό Κοινοβούλιο και το Συμβούλιο για να διασφαλιστεί ότι η Ευρωπαϊκή Ένωση τηρεί ενιαία στάση στο σημαντικό αυτό θέμα και θα υποβάλει έκθεση σχετικά με την περαιτέρω πρόοδο πριν από το τέλος του έτους. </w:t>
      </w:r>
    </w:p>
    <w:p>
      <w:pPr>
        <w:pStyle w:val="NormalWeb"/>
        <w:spacing w:before="120" w:beforeAutospacing="0" w:after="120" w:afterAutospacing="0"/>
        <w:jc w:val="center"/>
        <w:rPr>
          <w:noProof/>
        </w:rPr>
      </w:pPr>
      <w:r>
        <w:rPr>
          <w:noProof/>
        </w:rPr>
        <w:t>_______</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49373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284" w:hanging="284"/>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Κανονισμός (ΕΕ) αριθ. 1289/2013 του Ευρωπαϊκού Κοινοβουλίου και του Συμβουλίου, της 11ης Δεκεμβρίου 2013, για την τροποποίηση του κανονισμού (ΕΚ) αριθ. 539/2001 του Συμβουλίου περί του καταλόγου τρίτων χωρών οι υπήκοοι των οποίων υπόκεινται στην υποχρέωση θεώρησης για τη διέλευση των εξωτερικών συνόρων και του καταλόγου τρίτων χωρών οι υπήκοοι των οποίων απαλλάσσονται από την υποχρέωση αυτή, ΕΕ L 347 της 20.12.2013, σ. 74-80.</w:t>
      </w:r>
    </w:p>
  </w:footnote>
  <w:footnote w:id="3">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Βλ. Daily News της 14ης Απριλίου 2016.</w:t>
      </w:r>
    </w:p>
  </w:footnote>
  <w:footnote w:id="4">
    <w:p>
      <w:pPr>
        <w:pStyle w:val="FootnoteText"/>
        <w:ind w:left="284" w:hanging="284"/>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Για περισσότερες λεπτομέρειες: Έκθεση της Επιτροπής για την αξιολόγηση της κατάστασης μη αμοιβαιότητας στον τομέα της πολιτικής θεωρήσεων (C(2015) 7455 final της 5.11.2015), σ. 4 και COM(2016) 221 final.</w:t>
      </w:r>
    </w:p>
  </w:footnote>
  <w:footnote w:id="5">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https://www.congress.gov/bill/114th-congress/house-bill/1401  </w:t>
      </w:r>
    </w:p>
  </w:footnote>
  <w:footnote w:id="6">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https://www.congress.gov/bill/114th-congress/house-bill/4380/text</w:t>
      </w:r>
    </w:p>
  </w:footnote>
  <w:footnote w:id="7">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http://www.hsgac.senate.gov/hearings/protecting-america-from-the-threat-of-isis</w:t>
      </w:r>
    </w:p>
  </w:footnote>
  <w:footnote w:id="8">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http://www.iata.org/pressroom/pr/Pages/2016-06-02-07.aspx</w:t>
      </w:r>
    </w:p>
  </w:footnote>
  <w:footnote w:id="9">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http://www.tourismmanifesto.eu/#!blank/c20x9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778"/>
    <w:multiLevelType w:val="hybridMultilevel"/>
    <w:tmpl w:val="C3C027F6"/>
    <w:lvl w:ilvl="0" w:tplc="021C4F64">
      <w:numFmt w:val="bullet"/>
      <w:lvlText w:val="-"/>
      <w:lvlJc w:val="left"/>
      <w:pPr>
        <w:ind w:left="720" w:hanging="360"/>
      </w:pPr>
      <w:rPr>
        <w:rFonts w:ascii="Times" w:eastAsia="Calibri" w:hAnsi="Times" w:cs="Times New Roman"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BBB55AE"/>
    <w:multiLevelType w:val="hybridMultilevel"/>
    <w:tmpl w:val="9D846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3370D14"/>
    <w:multiLevelType w:val="hybridMultilevel"/>
    <w:tmpl w:val="C6E84FD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8E61493"/>
    <w:multiLevelType w:val="hybridMultilevel"/>
    <w:tmpl w:val="33548B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39634FE3"/>
    <w:multiLevelType w:val="hybridMultilevel"/>
    <w:tmpl w:val="00D2D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767D1F"/>
    <w:multiLevelType w:val="hybridMultilevel"/>
    <w:tmpl w:val="E912EEEE"/>
    <w:lvl w:ilvl="0" w:tplc="FFFFFFFF">
      <w:start w:val="1"/>
      <w:numFmt w:val="bullet"/>
      <w:lvlText w:val="–"/>
      <w:lvlJc w:val="left"/>
      <w:pPr>
        <w:ind w:left="1791" w:hanging="360"/>
      </w:pPr>
      <w:rPr>
        <w:rFonts w:ascii="Times New Roman" w:hAnsi="Times New Roman"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6">
    <w:nsid w:val="4E734986"/>
    <w:multiLevelType w:val="hybridMultilevel"/>
    <w:tmpl w:val="A7281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76D19D9"/>
    <w:multiLevelType w:val="hybridMultilevel"/>
    <w:tmpl w:val="97B0D540"/>
    <w:lvl w:ilvl="0" w:tplc="D2A23B4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312D09"/>
    <w:multiLevelType w:val="hybridMultilevel"/>
    <w:tmpl w:val="1F5EB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D876787"/>
    <w:multiLevelType w:val="hybridMultilevel"/>
    <w:tmpl w:val="DB12F150"/>
    <w:lvl w:ilvl="0" w:tplc="FFFFFFFF">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8"/>
  </w:num>
  <w:num w:numId="5">
    <w:abstractNumId w:val="7"/>
  </w:num>
  <w:num w:numId="6">
    <w:abstractNumId w:val="0"/>
  </w:num>
  <w:num w:numId="7">
    <w:abstractNumId w:val="3"/>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hideSpellingErrors/>
  <w:hideGrammaticalErrors/>
  <w:revisionView w:markup="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4E3CD50647204A3A95EEEC41D9ED7D9A"/>
    <w:docVar w:name="LW_CROSSREFERENCE" w:val="&lt;UNUSED&gt;"/>
    <w:docVar w:name="LW_DocType" w:val="NORMAL"/>
    <w:docVar w:name="LW_EMISSION" w:val="13.7.2016"/>
    <w:docVar w:name="LW_EMISSION_ISODATE" w:val="2016-07-13"/>
    <w:docVar w:name="LW_EMISSION_LOCATION" w:val="BRX"/>
    <w:docVar w:name="LW_EMISSION_PREFIX" w:val="Βρυξέλλες, "/>
    <w:docVar w:name="LW_EMISSION_SUFFIX" w:val=" "/>
    <w:docVar w:name="LW_ID_DOCTYPE_NONLW" w:val="CP-012"/>
    <w:docVar w:name="LW_LANGUE" w:val="EL"/>
    <w:docVar w:name="LW_MARKING" w:val="&lt;UNUSED&g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16) 481"/>
    <w:docVar w:name="LW_REF.INTERNE" w:val="&lt;UNUSED&gt;"/>
    <w:docVar w:name="LW_SOUS.TITRE.OBJ.CP" w:val="&lt;UNUSED&gt;"/>
    <w:docVar w:name="LW_SUPERTITRE" w:val="&lt;UNUSED&gt;"/>
    <w:docVar w:name="LW_TITRE.OBJ.CP" w:val="\u932?\u961?\u941?\u967?\u959?\u965?\u963?\u945? \u954?\u945?\u964?\u940?\u963?\u964?\u945?\u963?\u951? \u954?\u945?\u953? \u960?\u953?\u952?\u945?\u957?\u942? \u956?\u949?\u955?\u955?\u959?\u957?\u964?\u953?\u954?\u942? \u960?\u959?\u961?\u949?\u943?\u945? \u972?\u963?\u959?\u957? \u945?\u966?\u959?\u961?\u940? \u964?\u951?\u957? \u954?\u945?\u964?\u940?\u963?\u964?\u945?\u963?\u951? \u956?\u951? \u945?\u956?\u959?\u953?\u946?\u945?\u953?\u972?\u964?\u951?\u964?\u945?\u962? \u956?\u949? \u959?\u961?\u953?\u963?\u956?\u941?\u957?\u949?\u962? \u964?\u961?\u943?\u964?\u949?\u962? \u967?\u974?\u961?\u949?\u962? \u963?\u964?\u959?\u957? \u964?\u959?\u956?\u941?\u945? \u964?\u951?\u962? \u960?\u959?\u955?\u953?\u964?\u953?\u954?\u942?\u962? \u952?\u949?\u969?\u961?\u942?\u963?\u949?\u969?\u957? _x000b_(\u931?\u965?\u957?\u941?\u967?\u949?\u953?\u945? \u960?\u959?\u965? \u948?\u972?\u952?\u951?\u954?\u949? \u963?\u964?\u951?\u957? \u945?\u957?\u945?\u954?\u959?\u943?\u957?\u969?\u963?\u951? \u964?\u951?\u962? 12\u951?\u962? \u913?\u960?\u961?\u953?\u955?\u943?\u959?\u965?)"/>
    <w:docVar w:name="LW_TYPE.DOC.CP" w:val="\u913?\u925?\u913?\u922?\u927?\u921?\u925?\u937?\u931?\u919? \u932?\u919?\u931? \u917?\u928?\u921?\u932?\u929?\u927?\u928?\u919?\u931? \u928?\u929?\u927?\u931? \u932?\u927? \u917?\u933?\u929?\u937?\u928?\u913?\u938?\u922?\u927? \u922?\u927?\u921?\u925?\u927?\u914?\u927?\u933?\u923?\u921?\u927? \u922?\u913?\u921? \u932?\u927? \u931?\u933?\u924?\u914?\u927?\u933?\u923?\u921?\u927?"/>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jc w:val="both"/>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Pr>
      <w:rFonts w:ascii="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Reference Superscript,BVI fnr,Footnote symbol,SUPERS,(Footnote Reference),Footnote,Voetnootverwijzing,Times 10 Point,Exposant 3 Point,Footnote reference number,note TESI,Odwołanie przypisu"/>
    <w:basedOn w:val="DefaultParagraphFont"/>
    <w:uiPriority w:val="99"/>
    <w:unhideWhenUsed/>
    <w:rPr>
      <w:vertAlign w:val="superscript"/>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lock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jc w:val="both"/>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Pr>
      <w:rFonts w:ascii="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Reference Superscript,BVI fnr,Footnote symbol,SUPERS,(Footnote Reference),Footnote,Voetnootverwijzing,Times 10 Point,Exposant 3 Point,Footnote reference number,note TESI,Odwołanie przypisu"/>
    <w:basedOn w:val="DefaultParagraphFont"/>
    <w:uiPriority w:val="99"/>
    <w:unhideWhenUsed/>
    <w:rPr>
      <w:vertAlign w:val="superscript"/>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lock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2213">
      <w:bodyDiv w:val="1"/>
      <w:marLeft w:val="0"/>
      <w:marRight w:val="0"/>
      <w:marTop w:val="0"/>
      <w:marBottom w:val="0"/>
      <w:divBdr>
        <w:top w:val="none" w:sz="0" w:space="0" w:color="auto"/>
        <w:left w:val="none" w:sz="0" w:space="0" w:color="auto"/>
        <w:bottom w:val="none" w:sz="0" w:space="0" w:color="auto"/>
        <w:right w:val="none" w:sz="0" w:space="0" w:color="auto"/>
      </w:divBdr>
    </w:div>
    <w:div w:id="117340325">
      <w:bodyDiv w:val="1"/>
      <w:marLeft w:val="0"/>
      <w:marRight w:val="0"/>
      <w:marTop w:val="0"/>
      <w:marBottom w:val="0"/>
      <w:divBdr>
        <w:top w:val="none" w:sz="0" w:space="0" w:color="auto"/>
        <w:left w:val="none" w:sz="0" w:space="0" w:color="auto"/>
        <w:bottom w:val="none" w:sz="0" w:space="0" w:color="auto"/>
        <w:right w:val="none" w:sz="0" w:space="0" w:color="auto"/>
      </w:divBdr>
    </w:div>
    <w:div w:id="140195787">
      <w:bodyDiv w:val="1"/>
      <w:marLeft w:val="0"/>
      <w:marRight w:val="0"/>
      <w:marTop w:val="0"/>
      <w:marBottom w:val="0"/>
      <w:divBdr>
        <w:top w:val="none" w:sz="0" w:space="0" w:color="auto"/>
        <w:left w:val="none" w:sz="0" w:space="0" w:color="auto"/>
        <w:bottom w:val="none" w:sz="0" w:space="0" w:color="auto"/>
        <w:right w:val="none" w:sz="0" w:space="0" w:color="auto"/>
      </w:divBdr>
    </w:div>
    <w:div w:id="328022626">
      <w:bodyDiv w:val="1"/>
      <w:marLeft w:val="0"/>
      <w:marRight w:val="0"/>
      <w:marTop w:val="0"/>
      <w:marBottom w:val="0"/>
      <w:divBdr>
        <w:top w:val="none" w:sz="0" w:space="0" w:color="auto"/>
        <w:left w:val="none" w:sz="0" w:space="0" w:color="auto"/>
        <w:bottom w:val="none" w:sz="0" w:space="0" w:color="auto"/>
        <w:right w:val="none" w:sz="0" w:space="0" w:color="auto"/>
      </w:divBdr>
    </w:div>
    <w:div w:id="355153257">
      <w:bodyDiv w:val="1"/>
      <w:marLeft w:val="0"/>
      <w:marRight w:val="0"/>
      <w:marTop w:val="0"/>
      <w:marBottom w:val="0"/>
      <w:divBdr>
        <w:top w:val="none" w:sz="0" w:space="0" w:color="auto"/>
        <w:left w:val="none" w:sz="0" w:space="0" w:color="auto"/>
        <w:bottom w:val="none" w:sz="0" w:space="0" w:color="auto"/>
        <w:right w:val="none" w:sz="0" w:space="0" w:color="auto"/>
      </w:divBdr>
    </w:div>
    <w:div w:id="409012340">
      <w:bodyDiv w:val="1"/>
      <w:marLeft w:val="0"/>
      <w:marRight w:val="0"/>
      <w:marTop w:val="0"/>
      <w:marBottom w:val="0"/>
      <w:divBdr>
        <w:top w:val="none" w:sz="0" w:space="0" w:color="auto"/>
        <w:left w:val="none" w:sz="0" w:space="0" w:color="auto"/>
        <w:bottom w:val="none" w:sz="0" w:space="0" w:color="auto"/>
        <w:right w:val="none" w:sz="0" w:space="0" w:color="auto"/>
      </w:divBdr>
    </w:div>
    <w:div w:id="445931592">
      <w:bodyDiv w:val="1"/>
      <w:marLeft w:val="0"/>
      <w:marRight w:val="0"/>
      <w:marTop w:val="0"/>
      <w:marBottom w:val="0"/>
      <w:divBdr>
        <w:top w:val="none" w:sz="0" w:space="0" w:color="auto"/>
        <w:left w:val="none" w:sz="0" w:space="0" w:color="auto"/>
        <w:bottom w:val="none" w:sz="0" w:space="0" w:color="auto"/>
        <w:right w:val="none" w:sz="0" w:space="0" w:color="auto"/>
      </w:divBdr>
    </w:div>
    <w:div w:id="621619972">
      <w:bodyDiv w:val="1"/>
      <w:marLeft w:val="0"/>
      <w:marRight w:val="0"/>
      <w:marTop w:val="0"/>
      <w:marBottom w:val="0"/>
      <w:divBdr>
        <w:top w:val="none" w:sz="0" w:space="0" w:color="auto"/>
        <w:left w:val="none" w:sz="0" w:space="0" w:color="auto"/>
        <w:bottom w:val="none" w:sz="0" w:space="0" w:color="auto"/>
        <w:right w:val="none" w:sz="0" w:space="0" w:color="auto"/>
      </w:divBdr>
    </w:div>
    <w:div w:id="669597696">
      <w:bodyDiv w:val="1"/>
      <w:marLeft w:val="0"/>
      <w:marRight w:val="0"/>
      <w:marTop w:val="0"/>
      <w:marBottom w:val="0"/>
      <w:divBdr>
        <w:top w:val="none" w:sz="0" w:space="0" w:color="auto"/>
        <w:left w:val="none" w:sz="0" w:space="0" w:color="auto"/>
        <w:bottom w:val="none" w:sz="0" w:space="0" w:color="auto"/>
        <w:right w:val="none" w:sz="0" w:space="0" w:color="auto"/>
      </w:divBdr>
    </w:div>
    <w:div w:id="776488375">
      <w:bodyDiv w:val="1"/>
      <w:marLeft w:val="0"/>
      <w:marRight w:val="0"/>
      <w:marTop w:val="0"/>
      <w:marBottom w:val="0"/>
      <w:divBdr>
        <w:top w:val="none" w:sz="0" w:space="0" w:color="auto"/>
        <w:left w:val="none" w:sz="0" w:space="0" w:color="auto"/>
        <w:bottom w:val="none" w:sz="0" w:space="0" w:color="auto"/>
        <w:right w:val="none" w:sz="0" w:space="0" w:color="auto"/>
      </w:divBdr>
    </w:div>
    <w:div w:id="829834655">
      <w:bodyDiv w:val="1"/>
      <w:marLeft w:val="0"/>
      <w:marRight w:val="0"/>
      <w:marTop w:val="0"/>
      <w:marBottom w:val="0"/>
      <w:divBdr>
        <w:top w:val="none" w:sz="0" w:space="0" w:color="auto"/>
        <w:left w:val="none" w:sz="0" w:space="0" w:color="auto"/>
        <w:bottom w:val="none" w:sz="0" w:space="0" w:color="auto"/>
        <w:right w:val="none" w:sz="0" w:space="0" w:color="auto"/>
      </w:divBdr>
    </w:div>
    <w:div w:id="1012414899">
      <w:bodyDiv w:val="1"/>
      <w:marLeft w:val="0"/>
      <w:marRight w:val="0"/>
      <w:marTop w:val="0"/>
      <w:marBottom w:val="0"/>
      <w:divBdr>
        <w:top w:val="none" w:sz="0" w:space="0" w:color="auto"/>
        <w:left w:val="none" w:sz="0" w:space="0" w:color="auto"/>
        <w:bottom w:val="none" w:sz="0" w:space="0" w:color="auto"/>
        <w:right w:val="none" w:sz="0" w:space="0" w:color="auto"/>
      </w:divBdr>
    </w:div>
    <w:div w:id="1216893163">
      <w:bodyDiv w:val="1"/>
      <w:marLeft w:val="0"/>
      <w:marRight w:val="0"/>
      <w:marTop w:val="0"/>
      <w:marBottom w:val="0"/>
      <w:divBdr>
        <w:top w:val="none" w:sz="0" w:space="0" w:color="auto"/>
        <w:left w:val="none" w:sz="0" w:space="0" w:color="auto"/>
        <w:bottom w:val="none" w:sz="0" w:space="0" w:color="auto"/>
        <w:right w:val="none" w:sz="0" w:space="0" w:color="auto"/>
      </w:divBdr>
    </w:div>
    <w:div w:id="1385909790">
      <w:bodyDiv w:val="1"/>
      <w:marLeft w:val="0"/>
      <w:marRight w:val="0"/>
      <w:marTop w:val="0"/>
      <w:marBottom w:val="0"/>
      <w:divBdr>
        <w:top w:val="none" w:sz="0" w:space="0" w:color="auto"/>
        <w:left w:val="none" w:sz="0" w:space="0" w:color="auto"/>
        <w:bottom w:val="none" w:sz="0" w:space="0" w:color="auto"/>
        <w:right w:val="none" w:sz="0" w:space="0" w:color="auto"/>
      </w:divBdr>
    </w:div>
    <w:div w:id="1447237707">
      <w:bodyDiv w:val="1"/>
      <w:marLeft w:val="0"/>
      <w:marRight w:val="0"/>
      <w:marTop w:val="0"/>
      <w:marBottom w:val="0"/>
      <w:divBdr>
        <w:top w:val="none" w:sz="0" w:space="0" w:color="auto"/>
        <w:left w:val="none" w:sz="0" w:space="0" w:color="auto"/>
        <w:bottom w:val="none" w:sz="0" w:space="0" w:color="auto"/>
        <w:right w:val="none" w:sz="0" w:space="0" w:color="auto"/>
      </w:divBdr>
    </w:div>
    <w:div w:id="1768959551">
      <w:bodyDiv w:val="1"/>
      <w:marLeft w:val="0"/>
      <w:marRight w:val="0"/>
      <w:marTop w:val="0"/>
      <w:marBottom w:val="0"/>
      <w:divBdr>
        <w:top w:val="none" w:sz="0" w:space="0" w:color="auto"/>
        <w:left w:val="none" w:sz="0" w:space="0" w:color="auto"/>
        <w:bottom w:val="none" w:sz="0" w:space="0" w:color="auto"/>
        <w:right w:val="none" w:sz="0" w:space="0" w:color="auto"/>
      </w:divBdr>
    </w:div>
    <w:div w:id="1863664704">
      <w:bodyDiv w:val="1"/>
      <w:marLeft w:val="0"/>
      <w:marRight w:val="0"/>
      <w:marTop w:val="0"/>
      <w:marBottom w:val="0"/>
      <w:divBdr>
        <w:top w:val="none" w:sz="0" w:space="0" w:color="auto"/>
        <w:left w:val="none" w:sz="0" w:space="0" w:color="auto"/>
        <w:bottom w:val="none" w:sz="0" w:space="0" w:color="auto"/>
        <w:right w:val="none" w:sz="0" w:space="0" w:color="auto"/>
      </w:divBdr>
    </w:div>
    <w:div w:id="1873837383">
      <w:bodyDiv w:val="1"/>
      <w:marLeft w:val="0"/>
      <w:marRight w:val="0"/>
      <w:marTop w:val="0"/>
      <w:marBottom w:val="0"/>
      <w:divBdr>
        <w:top w:val="none" w:sz="0" w:space="0" w:color="auto"/>
        <w:left w:val="none" w:sz="0" w:space="0" w:color="auto"/>
        <w:bottom w:val="none" w:sz="0" w:space="0" w:color="auto"/>
        <w:right w:val="none" w:sz="0" w:space="0" w:color="auto"/>
      </w:divBdr>
    </w:div>
    <w:div w:id="1877043100">
      <w:bodyDiv w:val="1"/>
      <w:marLeft w:val="0"/>
      <w:marRight w:val="0"/>
      <w:marTop w:val="0"/>
      <w:marBottom w:val="0"/>
      <w:divBdr>
        <w:top w:val="none" w:sz="0" w:space="0" w:color="auto"/>
        <w:left w:val="none" w:sz="0" w:space="0" w:color="auto"/>
        <w:bottom w:val="none" w:sz="0" w:space="0" w:color="auto"/>
        <w:right w:val="none" w:sz="0" w:space="0" w:color="auto"/>
      </w:divBdr>
    </w:div>
    <w:div w:id="190490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C7CD5-F6A9-4CCA-8FA3-FE3591580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3120</Words>
  <Characters>17912</Characters>
  <Application>Microsoft Office Word</Application>
  <DocSecurity>0</DocSecurity>
  <Lines>284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2016-07-08T12:58:00Z</cp:lastPrinted>
  <dcterms:created xsi:type="dcterms:W3CDTF">2016-07-12T10:35:00Z</dcterms:created>
  <dcterms:modified xsi:type="dcterms:W3CDTF">2016-08-01T07:36:00Z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