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F2" w:rsidRPr="004E2724" w:rsidRDefault="009641F3" w:rsidP="009641F3">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2F17A26C-0EDD-42AC-BB86-39620E40F0A1" style="width:455.25pt;height:369.75pt">
            <v:imagedata r:id="rId11" o:title=""/>
          </v:shape>
        </w:pict>
      </w:r>
    </w:p>
    <w:p w:rsidR="00A93BF2" w:rsidRPr="004E2724" w:rsidRDefault="00A93BF2" w:rsidP="00A93BF2">
      <w:pPr>
        <w:rPr>
          <w:noProof/>
        </w:rPr>
        <w:sectPr w:rsidR="00A93BF2" w:rsidRPr="004E2724" w:rsidSect="009641F3">
          <w:footerReference w:type="even" r:id="rId12"/>
          <w:footerReference w:type="default" r:id="rId13"/>
          <w:pgSz w:w="11907" w:h="16839"/>
          <w:pgMar w:top="1134" w:right="1417" w:bottom="1134" w:left="1417" w:header="709" w:footer="709" w:gutter="0"/>
          <w:pgNumType w:start="0"/>
          <w:cols w:space="720"/>
          <w:docGrid w:linePitch="360"/>
        </w:sectPr>
      </w:pPr>
    </w:p>
    <w:p w:rsidR="00A93BF2" w:rsidRPr="004E2724" w:rsidRDefault="00A93BF2" w:rsidP="0010030D">
      <w:pPr>
        <w:pStyle w:val="Exposdesmotifstitre"/>
        <w:rPr>
          <w:noProof/>
        </w:rPr>
      </w:pPr>
      <w:bookmarkStart w:id="0" w:name="_GoBack"/>
      <w:bookmarkEnd w:id="0"/>
      <w:r w:rsidRPr="004E2724">
        <w:rPr>
          <w:noProof/>
        </w:rPr>
        <w:lastRenderedPageBreak/>
        <w:t>BEGRÜNDUNG</w:t>
      </w:r>
    </w:p>
    <w:p w:rsidR="00A93BF2" w:rsidRPr="004E2724" w:rsidRDefault="000D1649" w:rsidP="000D1649">
      <w:pPr>
        <w:pStyle w:val="ManualHeading1"/>
        <w:rPr>
          <w:rFonts w:eastAsia="Arial Unicode MS"/>
          <w:noProof/>
        </w:rPr>
      </w:pPr>
      <w:r w:rsidRPr="000D1649">
        <w:rPr>
          <w:noProof/>
        </w:rPr>
        <w:t>1.</w:t>
      </w:r>
      <w:r w:rsidRPr="000D1649">
        <w:rPr>
          <w:noProof/>
        </w:rPr>
        <w:tab/>
      </w:r>
      <w:r w:rsidR="00A93BF2" w:rsidRPr="004E2724">
        <w:rPr>
          <w:noProof/>
        </w:rPr>
        <w:t>Gegenstand des Vorschlags</w:t>
      </w:r>
    </w:p>
    <w:p w:rsidR="0048503B" w:rsidRPr="004E2724" w:rsidRDefault="0048503B" w:rsidP="0048503B">
      <w:pPr>
        <w:rPr>
          <w:rFonts w:eastAsia="Arial Unicode MS"/>
          <w:noProof/>
        </w:rPr>
      </w:pPr>
      <w:r w:rsidRPr="004E2724">
        <w:rPr>
          <w:noProof/>
        </w:rPr>
        <w:t xml:space="preserve">Der vorliegende Vorschlag betrifft den Beschluss zur Festlegung des Standpunkts, der im Namen der Union im Internationalen Getreiderat (IGC) im Zusammenhang mit der geplanten Annahme einer Verlängerung des </w:t>
      </w:r>
      <w:r w:rsidRPr="004E2724">
        <w:rPr>
          <w:b/>
          <w:noProof/>
        </w:rPr>
        <w:t>Getreidehandels-Übereinkommens von 1995</w:t>
      </w:r>
      <w:r w:rsidRPr="004E2724">
        <w:rPr>
          <w:noProof/>
        </w:rPr>
        <w:t xml:space="preserve"> bis zum 30. Juni 2027 zu vertreten ist.</w:t>
      </w:r>
    </w:p>
    <w:p w:rsidR="00A93BF2" w:rsidRPr="004E2724" w:rsidRDefault="000D1649" w:rsidP="000D1649">
      <w:pPr>
        <w:pStyle w:val="ManualHeading1"/>
        <w:rPr>
          <w:noProof/>
        </w:rPr>
      </w:pPr>
      <w:r w:rsidRPr="000D1649">
        <w:rPr>
          <w:noProof/>
        </w:rPr>
        <w:t>2.</w:t>
      </w:r>
      <w:r w:rsidRPr="000D1649">
        <w:rPr>
          <w:noProof/>
        </w:rPr>
        <w:tab/>
      </w:r>
      <w:r w:rsidR="00A93BF2" w:rsidRPr="004E2724">
        <w:rPr>
          <w:noProof/>
        </w:rPr>
        <w:t>Kontext des Vorschlags</w:t>
      </w:r>
    </w:p>
    <w:p w:rsidR="00A93BF2" w:rsidRPr="004E2724" w:rsidRDefault="000D1649" w:rsidP="000D1649">
      <w:pPr>
        <w:pStyle w:val="ManualHeading2"/>
        <w:rPr>
          <w:noProof/>
        </w:rPr>
      </w:pPr>
      <w:r w:rsidRPr="000D1649">
        <w:rPr>
          <w:noProof/>
        </w:rPr>
        <w:t>2.1.</w:t>
      </w:r>
      <w:r w:rsidRPr="000D1649">
        <w:rPr>
          <w:noProof/>
        </w:rPr>
        <w:tab/>
      </w:r>
      <w:r w:rsidR="00A93BF2" w:rsidRPr="004E2724">
        <w:rPr>
          <w:noProof/>
        </w:rPr>
        <w:t>Getreidehandels-Übereinkommen von 1995</w:t>
      </w:r>
    </w:p>
    <w:p w:rsidR="0048503B" w:rsidRPr="004E2724" w:rsidRDefault="0048503B" w:rsidP="0048503B">
      <w:pPr>
        <w:rPr>
          <w:rFonts w:eastAsia="Arial Unicode MS"/>
          <w:noProof/>
        </w:rPr>
      </w:pPr>
      <w:r w:rsidRPr="004E2724">
        <w:rPr>
          <w:noProof/>
        </w:rPr>
        <w:t>Das Getreidehandels-Übereinkommen von 1995 (im Folgenden das „Übereinkommen“) soll die internationale Zusammenarbeit bei allen Aspekten des Getreidehandels und die Ausweitung des internationalen Getreidehandels fördern sowie den möglichst freien Fluss dieses Handels sicherstellen. Darüber hinaus soll das Übereinkommen, im Interesse aller Mitglieder möglichst weitgehend zur Stabilität der internationalen Getreidemärkte beitragen, die Sicherheit der Versorgung der Welt mit Nahrungsmitteln erhöhen und ein Forum für den Informationsaustausch und die Beratung über Besorgnisse der Mitglieder bezüglich des Getreidehandels schaffen.</w:t>
      </w:r>
    </w:p>
    <w:p w:rsidR="0048503B" w:rsidRPr="004E2724" w:rsidRDefault="0048503B" w:rsidP="0048503B">
      <w:pPr>
        <w:rPr>
          <w:rFonts w:eastAsia="Arial Unicode MS"/>
          <w:noProof/>
        </w:rPr>
      </w:pPr>
      <w:r w:rsidRPr="004E2724">
        <w:rPr>
          <w:noProof/>
        </w:rPr>
        <w:t xml:space="preserve">Das Übereinkommen ist am 1. Juli 1995 in Kraft getreten. </w:t>
      </w:r>
    </w:p>
    <w:p w:rsidR="0048503B" w:rsidRPr="004E2724" w:rsidRDefault="0048503B" w:rsidP="0048503B">
      <w:pPr>
        <w:rPr>
          <w:rFonts w:eastAsia="Arial Unicode MS"/>
          <w:noProof/>
        </w:rPr>
      </w:pPr>
      <w:r w:rsidRPr="004E2724">
        <w:rPr>
          <w:noProof/>
        </w:rPr>
        <w:t>Die Europäische Union ist Vertragspartei des Übereinkommens</w:t>
      </w:r>
      <w:r w:rsidRPr="004E2724">
        <w:rPr>
          <w:noProof/>
          <w:vertAlign w:val="superscript"/>
        </w:rPr>
        <w:t>3</w:t>
      </w:r>
      <w:r w:rsidRPr="004E2724">
        <w:rPr>
          <w:noProof/>
        </w:rPr>
        <w:t>.</w:t>
      </w:r>
    </w:p>
    <w:p w:rsidR="0048503B" w:rsidRPr="004E2724" w:rsidRDefault="0048503B" w:rsidP="0010030D">
      <w:pPr>
        <w:rPr>
          <w:rFonts w:eastAsia="Arial Unicode MS"/>
          <w:noProof/>
        </w:rPr>
      </w:pPr>
    </w:p>
    <w:p w:rsidR="00A93BF2" w:rsidRPr="004E2724" w:rsidRDefault="000D1649" w:rsidP="000D1649">
      <w:pPr>
        <w:pStyle w:val="ManualHeading2"/>
        <w:rPr>
          <w:noProof/>
        </w:rPr>
      </w:pPr>
      <w:r w:rsidRPr="000D1649">
        <w:rPr>
          <w:noProof/>
        </w:rPr>
        <w:t>2.2.</w:t>
      </w:r>
      <w:r w:rsidRPr="000D1649">
        <w:rPr>
          <w:noProof/>
        </w:rPr>
        <w:tab/>
      </w:r>
      <w:r w:rsidR="00A93BF2" w:rsidRPr="004E2724">
        <w:rPr>
          <w:noProof/>
        </w:rPr>
        <w:t>Internationaler Getreiderat</w:t>
      </w:r>
    </w:p>
    <w:p w:rsidR="0048503B" w:rsidRPr="004E2724" w:rsidRDefault="0048503B" w:rsidP="0048503B">
      <w:pPr>
        <w:rPr>
          <w:rFonts w:eastAsia="Arial Unicode MS"/>
          <w:noProof/>
        </w:rPr>
      </w:pPr>
      <w:r w:rsidRPr="004E2724">
        <w:rPr>
          <w:noProof/>
        </w:rPr>
        <w:t>Der IGC ist eine zwischenstaatliche Organisation, die bestrebt ist, die in Artikel 1 des Übereinkommens festgelegten Ziele zu erreichen. Der IGC verfolgt insbesondere folgende Ziele:</w:t>
      </w:r>
    </w:p>
    <w:p w:rsidR="0048503B" w:rsidRPr="004E2724" w:rsidRDefault="0048503B" w:rsidP="00681687">
      <w:pPr>
        <w:pStyle w:val="Bullet0"/>
        <w:numPr>
          <w:ilvl w:val="0"/>
          <w:numId w:val="35"/>
        </w:numPr>
        <w:rPr>
          <w:noProof/>
        </w:rPr>
      </w:pPr>
      <w:r w:rsidRPr="004E2724">
        <w:rPr>
          <w:noProof/>
        </w:rPr>
        <w:t>Förderung der internationalen Zusammenarbeit in allen Aspekten des Handels mit Getreide;</w:t>
      </w:r>
    </w:p>
    <w:p w:rsidR="0048503B" w:rsidRPr="004E2724" w:rsidRDefault="0048503B" w:rsidP="004A3B30">
      <w:pPr>
        <w:pStyle w:val="Bullet0"/>
        <w:rPr>
          <w:noProof/>
        </w:rPr>
      </w:pPr>
      <w:r w:rsidRPr="004E2724">
        <w:rPr>
          <w:noProof/>
        </w:rPr>
        <w:t>Förderung der Ausweitung, Offenheit und Fairness des internationalen Handels im Getreidesektor;</w:t>
      </w:r>
    </w:p>
    <w:p w:rsidR="0048503B" w:rsidRPr="004E2724" w:rsidRDefault="0048503B" w:rsidP="004A3B30">
      <w:pPr>
        <w:pStyle w:val="Bullet0"/>
        <w:rPr>
          <w:noProof/>
        </w:rPr>
      </w:pPr>
      <w:r w:rsidRPr="004E2724">
        <w:rPr>
          <w:noProof/>
        </w:rPr>
        <w:t>Beitrag zur Stabilität des internationalen Getreidemarktes, Erhöhung der Sicherheit der Versorgung der Welt mit Nahrungsmitteln und Beitrag zur Entwicklung der Länder, deren Wirtschaft in hohem Maß von kommerziellen Getreideverkäufen abhängt.</w:t>
      </w:r>
    </w:p>
    <w:p w:rsidR="0048503B" w:rsidRPr="004E2724" w:rsidRDefault="0048503B" w:rsidP="0048503B">
      <w:pPr>
        <w:rPr>
          <w:rFonts w:eastAsia="Arial Unicode MS"/>
          <w:noProof/>
        </w:rPr>
      </w:pPr>
      <w:r w:rsidRPr="004E2724">
        <w:rPr>
          <w:noProof/>
        </w:rPr>
        <w:t>Um diese Ziele zu erreichen, soll die Markttransparenz im Wege der gemeinsamen Nutzung von Informationen, der Analyse und der Konsultation über Entwicklungen des Marktes und der Politik verbessert werden.</w:t>
      </w:r>
    </w:p>
    <w:p w:rsidR="0048503B" w:rsidRPr="004E2724" w:rsidRDefault="0048503B" w:rsidP="0048503B">
      <w:pPr>
        <w:rPr>
          <w:rFonts w:eastAsia="Arial Unicode MS"/>
          <w:noProof/>
        </w:rPr>
      </w:pPr>
      <w:r w:rsidRPr="004E2724">
        <w:rPr>
          <w:noProof/>
        </w:rPr>
        <w:t xml:space="preserve">Der Internationale Getreiderat hat 30 Mitglieder, darunter zahlreiche der weltweit größten Getreideerzeuger und Getreideeinführer. Neben der Europäischen Union gehören unter anderem Argentinien, Australien, Indien, Japan, Kanada, Russland, die Ukraine, die USA und das Vereinigte Königreich zu seinen Mitgliedern. China und Brasilien sind jedoch keine Mitglieder. </w:t>
      </w:r>
    </w:p>
    <w:p w:rsidR="0048503B" w:rsidRPr="004E2724" w:rsidRDefault="0048503B" w:rsidP="0048503B">
      <w:pPr>
        <w:rPr>
          <w:rFonts w:eastAsia="Arial Unicode MS"/>
          <w:noProof/>
        </w:rPr>
      </w:pPr>
      <w:r w:rsidRPr="004E2724">
        <w:rPr>
          <w:noProof/>
        </w:rPr>
        <w:t xml:space="preserve">Die 30 Mitglieder des IGC haben insgesamt 2 000 Stimmen. </w:t>
      </w:r>
    </w:p>
    <w:p w:rsidR="0048503B" w:rsidRPr="004E2724" w:rsidRDefault="0048503B" w:rsidP="0048503B">
      <w:pPr>
        <w:rPr>
          <w:rFonts w:eastAsia="Arial Unicode MS"/>
          <w:noProof/>
        </w:rPr>
      </w:pPr>
      <w:r w:rsidRPr="004E2724">
        <w:rPr>
          <w:noProof/>
        </w:rPr>
        <w:t>In Haushaltsverfahren (siehe Artikel 11 des Übereinkommens), d. h. zur Festsetzung der jährlichen Finanzbeiträge der Mitglieder, hat die Union im Jahr 2024/25</w:t>
      </w:r>
      <w:r w:rsidRPr="004E2724">
        <w:rPr>
          <w:noProof/>
          <w:vertAlign w:val="superscript"/>
        </w:rPr>
        <w:t>4</w:t>
      </w:r>
      <w:r w:rsidRPr="004E2724">
        <w:rPr>
          <w:noProof/>
        </w:rPr>
        <w:t xml:space="preserve"> 375 Stimmen. </w:t>
      </w:r>
    </w:p>
    <w:p w:rsidR="0048503B" w:rsidRPr="004E2724" w:rsidRDefault="0048503B" w:rsidP="0048503B">
      <w:pPr>
        <w:rPr>
          <w:rFonts w:eastAsia="Arial Unicode MS"/>
          <w:noProof/>
        </w:rPr>
      </w:pPr>
      <w:r w:rsidRPr="004E2724">
        <w:rPr>
          <w:noProof/>
        </w:rPr>
        <w:t>Bei der Beschlussfassung, d. h. bei Abstimmungen (siehe Artikel 12 des Übereinkommens), teilen sich die 11 Ausfuhrmitglieder 1 000 Stimmen (einschließlich der Union mit 240 Stimmen) und die 19 Einfuhrmitglieder 1 000 Stimmen. Es sei darauf hingewiesen, dass der IGC grundsätzlich auf Konsensbasis arbeitet und es sehr selten ist, dass tatsächlich eine Abstimmung stattfindet.</w:t>
      </w:r>
    </w:p>
    <w:p w:rsidR="0048503B" w:rsidRPr="004E2724" w:rsidRDefault="0048503B" w:rsidP="0010030D">
      <w:pPr>
        <w:rPr>
          <w:noProof/>
        </w:rPr>
      </w:pPr>
    </w:p>
    <w:p w:rsidR="0048503B" w:rsidRPr="004E2724" w:rsidRDefault="0048503B" w:rsidP="0048503B">
      <w:pPr>
        <w:rPr>
          <w:rFonts w:eastAsia="Arial Unicode MS"/>
          <w:noProof/>
        </w:rPr>
      </w:pPr>
      <w:r w:rsidRPr="004E2724">
        <w:rPr>
          <w:noProof/>
        </w:rPr>
        <w:t>Auf den Tagungen des Internationalen Getreiderats wird die Europäische Union durch die Europäische Kommission vertreten. Die Mitgliedstaaten können an den Tagungen des IGC teilnehmen, insbesondere an den Ratstagungen.</w:t>
      </w:r>
    </w:p>
    <w:p w:rsidR="00A93BF2" w:rsidRPr="004E2724" w:rsidRDefault="000D1649" w:rsidP="000D1649">
      <w:pPr>
        <w:pStyle w:val="ManualHeading2"/>
        <w:rPr>
          <w:noProof/>
        </w:rPr>
      </w:pPr>
      <w:r w:rsidRPr="000D1649">
        <w:rPr>
          <w:noProof/>
        </w:rPr>
        <w:t>2.3.</w:t>
      </w:r>
      <w:r w:rsidRPr="000D1649">
        <w:rPr>
          <w:noProof/>
        </w:rPr>
        <w:tab/>
      </w:r>
      <w:r w:rsidR="00A93BF2" w:rsidRPr="004E2724">
        <w:rPr>
          <w:noProof/>
        </w:rPr>
        <w:t>Geplanter Rechtsakt des Internationalen Getreiderats</w:t>
      </w:r>
    </w:p>
    <w:p w:rsidR="00A93BF2" w:rsidRPr="004E2724" w:rsidRDefault="00A93BF2" w:rsidP="0010030D">
      <w:pPr>
        <w:rPr>
          <w:rFonts w:eastAsia="Arial Unicode MS"/>
          <w:noProof/>
        </w:rPr>
      </w:pPr>
    </w:p>
    <w:p w:rsidR="0048503B" w:rsidRPr="004E2724" w:rsidRDefault="0048503B" w:rsidP="0048503B">
      <w:pPr>
        <w:rPr>
          <w:rFonts w:eastAsia="Arial Unicode MS"/>
          <w:noProof/>
        </w:rPr>
      </w:pPr>
      <w:r w:rsidRPr="004E2724">
        <w:rPr>
          <w:noProof/>
        </w:rPr>
        <w:t>Der IGC soll am 12. Juni 2025 auf seiner 62. Tagung einen Beschluss über die Verlängerung des Übereinkommens um zwei Jahre (im Folgenden „geplanter Rechtsakt“) fassen.</w:t>
      </w:r>
    </w:p>
    <w:p w:rsidR="0048503B" w:rsidRPr="004E2724" w:rsidRDefault="0048503B" w:rsidP="0048503B">
      <w:pPr>
        <w:rPr>
          <w:rFonts w:eastAsia="Arial Unicode MS"/>
          <w:noProof/>
        </w:rPr>
      </w:pPr>
      <w:r w:rsidRPr="004E2724">
        <w:rPr>
          <w:noProof/>
        </w:rPr>
        <w:t>Mit dem vorgesehenen Rechtsakt, der sich auf Artikel 33 des Übereinkommens stützt, soll der Internationale Getreiderat seine Arbeit fortsetzen können.</w:t>
      </w:r>
    </w:p>
    <w:p w:rsidR="0048503B" w:rsidRPr="004E2724" w:rsidRDefault="0048503B" w:rsidP="0048503B">
      <w:pPr>
        <w:rPr>
          <w:rFonts w:eastAsia="Arial Unicode MS"/>
          <w:noProof/>
        </w:rPr>
      </w:pPr>
      <w:r w:rsidRPr="004E2724">
        <w:rPr>
          <w:noProof/>
        </w:rPr>
        <w:t>Die Verlängerung des Übereinkommens erstreckt sich auf den Zeitraum vom 1. Juli 2025 bis zum 30. Juni 2027.</w:t>
      </w:r>
    </w:p>
    <w:p w:rsidR="00A93BF2" w:rsidRPr="004E2724" w:rsidRDefault="000D1649" w:rsidP="000D1649">
      <w:pPr>
        <w:pStyle w:val="ManualHeading1"/>
        <w:rPr>
          <w:rFonts w:eastAsia="Arial Unicode MS"/>
          <w:noProof/>
        </w:rPr>
      </w:pPr>
      <w:r w:rsidRPr="000D1649">
        <w:rPr>
          <w:noProof/>
        </w:rPr>
        <w:t>3.</w:t>
      </w:r>
      <w:r w:rsidRPr="000D1649">
        <w:rPr>
          <w:noProof/>
        </w:rPr>
        <w:tab/>
      </w:r>
      <w:r w:rsidR="00A93BF2" w:rsidRPr="004E2724">
        <w:rPr>
          <w:noProof/>
        </w:rPr>
        <w:t>Im Namen der Union zu vertretender Standpunkt</w:t>
      </w:r>
    </w:p>
    <w:p w:rsidR="00A93BF2" w:rsidRPr="004E2724" w:rsidRDefault="00A93BF2" w:rsidP="0010030D">
      <w:pPr>
        <w:rPr>
          <w:rFonts w:eastAsia="Arial Unicode MS"/>
          <w:noProof/>
        </w:rPr>
      </w:pPr>
    </w:p>
    <w:p w:rsidR="002C3E05" w:rsidRPr="004E2724" w:rsidRDefault="002C3E05" w:rsidP="00B6133D">
      <w:pPr>
        <w:pStyle w:val="Bullet0"/>
        <w:numPr>
          <w:ilvl w:val="0"/>
          <w:numId w:val="18"/>
        </w:numPr>
        <w:rPr>
          <w:noProof/>
        </w:rPr>
      </w:pPr>
      <w:r w:rsidRPr="004E2724">
        <w:rPr>
          <w:noProof/>
        </w:rPr>
        <w:t>Das Übereinkommen wurde von der Europäischen Union mit dem Beschluss 96/88/EG des Rates</w:t>
      </w:r>
      <w:r w:rsidRPr="004E2724">
        <w:rPr>
          <w:noProof/>
          <w:vertAlign w:val="superscript"/>
        </w:rPr>
        <w:t>5</w:t>
      </w:r>
      <w:r w:rsidRPr="004E2724">
        <w:rPr>
          <w:noProof/>
        </w:rPr>
        <w:t xml:space="preserve"> für die Zeit bis zum 30. Juni 1998 geschlossen und ist seitdem regelmäßig verlängert worden. Jedes Mal beträgt der Verlängerungszeitraum im Einklang mit Artikel 33 des Übereinkommens höchstens zwei Jahre. Das Übereinkommen wurde zuletzt mit Beschluss des Internationalen Getreiderats vom 14. Juni 2023 verlängert und bleibt bis zum 30. Juni 2025 in Kraft. </w:t>
      </w:r>
    </w:p>
    <w:p w:rsidR="002C3E05" w:rsidRPr="004E2724" w:rsidRDefault="002C3E05" w:rsidP="00291C68">
      <w:pPr>
        <w:pStyle w:val="Bullet0"/>
        <w:rPr>
          <w:noProof/>
        </w:rPr>
      </w:pPr>
      <w:r w:rsidRPr="004E2724">
        <w:rPr>
          <w:noProof/>
        </w:rPr>
        <w:t xml:space="preserve">Die Europäische Union ist von Beginn an ein aktives Mitglied des Getreidehandels-Übereinkommens gewesen, und eine weitere Verlängerung des Übereinkommens um bis zu zwei Jahre liegt im Interesse der Union. Die Union ist ein wichtiger Getreideerzeuger und ein führender Ausführer von Weizen und Gerste sowie gleichzeitig der größte Einführer von Mais. </w:t>
      </w:r>
      <w:r w:rsidRPr="004E2724">
        <w:rPr>
          <w:noProof/>
        </w:rPr>
        <w:tab/>
      </w:r>
    </w:p>
    <w:p w:rsidR="002C3E05" w:rsidRPr="004E2724" w:rsidRDefault="002C3E05" w:rsidP="00291C68">
      <w:pPr>
        <w:pStyle w:val="Bullet0"/>
        <w:rPr>
          <w:noProof/>
        </w:rPr>
      </w:pPr>
      <w:r w:rsidRPr="004E2724">
        <w:rPr>
          <w:noProof/>
        </w:rPr>
        <w:t>Der vorliegende Vorschlag hat zum Zweck, die Genehmigung des Rates für die Kommission einzuholen, um im Internationalen Getreiderat im Namen der Europäischen Union für eine Verlängerung des Übereinkommens bis zum 30. Juni 2027 zu stimmen. Der förmliche Beschluss über die Verlängerung des Übereinkommens ist für die 62. Tagung des Internationalen Getreiderats vorgesehen, die am 12. Juni 2025 stattfinden soll.</w:t>
      </w:r>
    </w:p>
    <w:p w:rsidR="00A93BF2" w:rsidRPr="004E2724" w:rsidRDefault="000D1649" w:rsidP="000D1649">
      <w:pPr>
        <w:pStyle w:val="ManualHeading1"/>
        <w:rPr>
          <w:noProof/>
        </w:rPr>
      </w:pPr>
      <w:r w:rsidRPr="000D1649">
        <w:rPr>
          <w:noProof/>
        </w:rPr>
        <w:t>4.</w:t>
      </w:r>
      <w:r w:rsidRPr="000D1649">
        <w:rPr>
          <w:noProof/>
        </w:rPr>
        <w:tab/>
      </w:r>
      <w:r w:rsidR="00A93BF2" w:rsidRPr="004E2724">
        <w:rPr>
          <w:noProof/>
        </w:rPr>
        <w:t>Rechtsgrundlage</w:t>
      </w:r>
    </w:p>
    <w:p w:rsidR="00A93BF2" w:rsidRPr="004E2724" w:rsidRDefault="000D1649" w:rsidP="000D1649">
      <w:pPr>
        <w:pStyle w:val="ManualHeading2"/>
        <w:rPr>
          <w:noProof/>
        </w:rPr>
      </w:pPr>
      <w:r w:rsidRPr="000D1649">
        <w:rPr>
          <w:noProof/>
        </w:rPr>
        <w:t>4.1.</w:t>
      </w:r>
      <w:r w:rsidRPr="000D1649">
        <w:rPr>
          <w:noProof/>
        </w:rPr>
        <w:tab/>
      </w:r>
      <w:r w:rsidR="00A93BF2" w:rsidRPr="004E2724">
        <w:rPr>
          <w:noProof/>
        </w:rPr>
        <w:t>Verfahrensrechtliche Grundlage</w:t>
      </w:r>
    </w:p>
    <w:p w:rsidR="00A93BF2" w:rsidRPr="004E2724" w:rsidRDefault="000D1649" w:rsidP="000D1649">
      <w:pPr>
        <w:pStyle w:val="ManualHeading3"/>
        <w:rPr>
          <w:noProof/>
        </w:rPr>
      </w:pPr>
      <w:r w:rsidRPr="000D1649">
        <w:rPr>
          <w:noProof/>
        </w:rPr>
        <w:t>4.1.1.</w:t>
      </w:r>
      <w:r w:rsidRPr="000D1649">
        <w:rPr>
          <w:noProof/>
        </w:rPr>
        <w:tab/>
      </w:r>
      <w:r w:rsidR="00242C67" w:rsidRPr="004E2724">
        <w:rPr>
          <w:noProof/>
        </w:rPr>
        <w:t xml:space="preserve"> Grundsätze</w:t>
      </w:r>
    </w:p>
    <w:p w:rsidR="0084330F" w:rsidRPr="004E2724" w:rsidRDefault="0084330F" w:rsidP="0084330F">
      <w:pPr>
        <w:rPr>
          <w:noProof/>
        </w:rPr>
      </w:pPr>
      <w:r w:rsidRPr="004E2724">
        <w:rPr>
          <w:noProof/>
        </w:rPr>
        <w:t>In Artikel 218 Absatz 9 des Vertrags über die Arbeitsweise der Europäischen Union (AEUV) sind Beschlüsse „</w:t>
      </w:r>
      <w:r w:rsidRPr="004E2724">
        <w:rPr>
          <w:i/>
          <w:noProof/>
        </w:rPr>
        <w:t>zur Festlegung der Standpunkte, die im Namen der Union in einem durch eine Übereinkunft eingesetzten Gremium zu vertreten sind, sofern dieses Gremium rechtswirksame Akte, mit Ausnahme von Rechtsakten zur Ergänzung oder Änderung des institutionellen Rahmens der betreffenden Übereinkunft, zu erlassen hat</w:t>
      </w:r>
      <w:r w:rsidRPr="004E2724">
        <w:rPr>
          <w:noProof/>
        </w:rPr>
        <w:t>“, vorgesehen.</w:t>
      </w:r>
    </w:p>
    <w:p w:rsidR="0084330F" w:rsidRPr="004E2724" w:rsidRDefault="0084330F" w:rsidP="0084330F">
      <w:pPr>
        <w:rPr>
          <w:noProof/>
        </w:rPr>
      </w:pPr>
      <w:r w:rsidRPr="004E2724">
        <w:rPr>
          <w:noProof/>
        </w:rPr>
        <w:t>Der Begriff „</w:t>
      </w:r>
      <w:r w:rsidRPr="004E2724">
        <w:rPr>
          <w:i/>
          <w:noProof/>
        </w:rPr>
        <w:t>rechtswirksame Akte</w:t>
      </w:r>
      <w:r w:rsidRPr="004E2724">
        <w:rPr>
          <w:noProof/>
        </w:rPr>
        <w:t>“ erfasst auch Akte, die kraft völkerrechtlicher Regelungen, denen das jeweilige Gremium unterliegt, Rechtswirkung entfalten. Es umfasst außerdem Instrumente, die völkerrechtlich nicht verbindlich sind, aber geeignet sind, „</w:t>
      </w:r>
      <w:r w:rsidRPr="004E2724">
        <w:rPr>
          <w:i/>
          <w:noProof/>
        </w:rPr>
        <w:t>den Inhalt der vom Unionsgesetzgeber ... erlassenen Regelung maßgeblich zu beeinflussen</w:t>
      </w:r>
      <w:r w:rsidRPr="004E2724">
        <w:rPr>
          <w:noProof/>
        </w:rPr>
        <w:t>“.</w:t>
      </w:r>
      <w:r w:rsidRPr="004E2724">
        <w:rPr>
          <w:noProof/>
          <w:vertAlign w:val="superscript"/>
        </w:rPr>
        <w:t>6</w:t>
      </w:r>
    </w:p>
    <w:p w:rsidR="00A93BF2" w:rsidRPr="004E2724" w:rsidRDefault="000D1649" w:rsidP="000D1649">
      <w:pPr>
        <w:pStyle w:val="ManualHeading3"/>
        <w:rPr>
          <w:noProof/>
        </w:rPr>
      </w:pPr>
      <w:r w:rsidRPr="000D1649">
        <w:rPr>
          <w:noProof/>
        </w:rPr>
        <w:t>4.1.2.</w:t>
      </w:r>
      <w:r w:rsidRPr="000D1649">
        <w:rPr>
          <w:noProof/>
        </w:rPr>
        <w:tab/>
      </w:r>
      <w:r w:rsidR="00242C67" w:rsidRPr="004E2724">
        <w:rPr>
          <w:noProof/>
        </w:rPr>
        <w:t xml:space="preserve"> Anwendung auf den vorliegenden Fall</w:t>
      </w:r>
    </w:p>
    <w:p w:rsidR="0084330F" w:rsidRPr="004E2724" w:rsidRDefault="0084330F" w:rsidP="0010030D">
      <w:pPr>
        <w:rPr>
          <w:noProof/>
        </w:rPr>
      </w:pPr>
      <w:r w:rsidRPr="004E2724">
        <w:rPr>
          <w:noProof/>
        </w:rPr>
        <w:t>Der IGC ist ein durch das Getreidehandels-Übereinkommen von 1995 eingesetztes Gremium.</w:t>
      </w:r>
    </w:p>
    <w:p w:rsidR="0084330F" w:rsidRPr="004E2724" w:rsidRDefault="0084330F" w:rsidP="0084330F">
      <w:pPr>
        <w:rPr>
          <w:noProof/>
        </w:rPr>
      </w:pPr>
      <w:r w:rsidRPr="004E2724">
        <w:rPr>
          <w:noProof/>
        </w:rPr>
        <w:t xml:space="preserve">Mit dem geplanten Rechtsakt des Internationalen Getreiderats wird die Gültigkeit dieses internationalen, für die Union verbindlichen Übereinkommens verlängert. Daher handelt es sich um einen rechtswirksamen Akt. </w:t>
      </w:r>
    </w:p>
    <w:p w:rsidR="0084330F" w:rsidRPr="004E2724" w:rsidRDefault="0084330F" w:rsidP="0084330F">
      <w:pPr>
        <w:rPr>
          <w:noProof/>
        </w:rPr>
      </w:pPr>
      <w:r w:rsidRPr="004E2724">
        <w:rPr>
          <w:noProof/>
        </w:rPr>
        <w:t>Mit dem geplanten Rechtsakt wird der institutionelle Rahmen des Übereinkommens weder ergänzt noch geändert.</w:t>
      </w:r>
    </w:p>
    <w:p w:rsidR="0084330F" w:rsidRPr="004E2724" w:rsidRDefault="0084330F" w:rsidP="0084330F">
      <w:pPr>
        <w:rPr>
          <w:noProof/>
        </w:rPr>
      </w:pPr>
      <w:r w:rsidRPr="004E2724">
        <w:rPr>
          <w:noProof/>
        </w:rPr>
        <w:t>Somit ist Artikel 218 Absatz 9 AEUV die verfahrensrechtliche Grundlage für den vorgeschlagenen Beschluss.</w:t>
      </w:r>
    </w:p>
    <w:p w:rsidR="0084330F" w:rsidRPr="004E2724" w:rsidRDefault="0084330F" w:rsidP="0010030D">
      <w:pPr>
        <w:rPr>
          <w:noProof/>
        </w:rPr>
      </w:pPr>
    </w:p>
    <w:p w:rsidR="00A93BF2" w:rsidRPr="004E2724" w:rsidRDefault="000D1649" w:rsidP="000D1649">
      <w:pPr>
        <w:pStyle w:val="ManualHeading2"/>
        <w:rPr>
          <w:noProof/>
        </w:rPr>
      </w:pPr>
      <w:r w:rsidRPr="000D1649">
        <w:rPr>
          <w:noProof/>
        </w:rPr>
        <w:t>4.2.</w:t>
      </w:r>
      <w:r w:rsidRPr="000D1649">
        <w:rPr>
          <w:noProof/>
        </w:rPr>
        <w:tab/>
      </w:r>
      <w:r w:rsidR="00A93BF2" w:rsidRPr="004E2724">
        <w:rPr>
          <w:noProof/>
        </w:rPr>
        <w:t>Materielle Rechtsgrundlage</w:t>
      </w:r>
    </w:p>
    <w:p w:rsidR="00A93BF2" w:rsidRPr="004E2724" w:rsidRDefault="000D1649" w:rsidP="000D1649">
      <w:pPr>
        <w:pStyle w:val="ManualHeading3"/>
        <w:rPr>
          <w:noProof/>
        </w:rPr>
      </w:pPr>
      <w:r w:rsidRPr="000D1649">
        <w:rPr>
          <w:noProof/>
        </w:rPr>
        <w:t>4.2.1.</w:t>
      </w:r>
      <w:r w:rsidRPr="000D1649">
        <w:rPr>
          <w:noProof/>
        </w:rPr>
        <w:tab/>
      </w:r>
      <w:r w:rsidR="00A93BF2" w:rsidRPr="004E2724">
        <w:rPr>
          <w:noProof/>
        </w:rPr>
        <w:t>Grundsätze</w:t>
      </w:r>
    </w:p>
    <w:p w:rsidR="0084330F" w:rsidRPr="004E2724" w:rsidRDefault="0084330F" w:rsidP="0084330F">
      <w:pPr>
        <w:rPr>
          <w:noProof/>
        </w:rPr>
      </w:pPr>
      <w:r w:rsidRPr="004E2724">
        <w:rPr>
          <w:noProof/>
        </w:rPr>
        <w:t>Die materielle Rechtsgrundlage für einen Beschluss nach Artikel 218 Absatz 9 AEUV hängt in erster Linie vom Ziel und Inhalt des geplanten Rechtsakts ab, zu dem ein im Namen der Union zu vertretender Standpunkt festgelegt wird. Liegt dem geplanten Rechtsakt ein doppelter Zweck oder Gegenstand zugrunde und ist einer davon der wesentliche, während der andere von untergeordneter Bedeutung ist, so muss der Beschluss nach Artikel 218 Absatz 9 AEUV auf eine einzige materielle Rechtsgrundlage gestützt werden, nämlich auf diejenige, die der wesentliche oder vorrangige Zweck oder Gegenstand verlangt.</w:t>
      </w:r>
    </w:p>
    <w:p w:rsidR="0084330F" w:rsidRPr="004E2724" w:rsidRDefault="0084330F" w:rsidP="0010030D">
      <w:pPr>
        <w:rPr>
          <w:noProof/>
        </w:rPr>
      </w:pPr>
    </w:p>
    <w:p w:rsidR="00A93BF2" w:rsidRPr="004E2724" w:rsidRDefault="000D1649" w:rsidP="000D1649">
      <w:pPr>
        <w:pStyle w:val="ManualHeading3"/>
        <w:rPr>
          <w:noProof/>
        </w:rPr>
      </w:pPr>
      <w:r w:rsidRPr="000D1649">
        <w:rPr>
          <w:noProof/>
        </w:rPr>
        <w:t>4.2.2.</w:t>
      </w:r>
      <w:r w:rsidRPr="000D1649">
        <w:rPr>
          <w:noProof/>
        </w:rPr>
        <w:tab/>
      </w:r>
      <w:r w:rsidR="00A93BF2" w:rsidRPr="004E2724">
        <w:rPr>
          <w:noProof/>
        </w:rPr>
        <w:t>Anwendung auf den vorliegenden Fall</w:t>
      </w:r>
    </w:p>
    <w:p w:rsidR="0084330F" w:rsidRPr="004E2724" w:rsidRDefault="0084330F" w:rsidP="0084330F">
      <w:pPr>
        <w:rPr>
          <w:noProof/>
        </w:rPr>
      </w:pPr>
      <w:r w:rsidRPr="004E2724">
        <w:rPr>
          <w:noProof/>
        </w:rPr>
        <w:t xml:space="preserve">Hauptzweck und Inhalt des geplanten Rechtsakts betreffen den Handel mit landwirtschaftlichen Erzeugnissen. </w:t>
      </w:r>
    </w:p>
    <w:p w:rsidR="0084330F" w:rsidRPr="004E2724" w:rsidRDefault="0084330F" w:rsidP="0084330F">
      <w:pPr>
        <w:rPr>
          <w:noProof/>
        </w:rPr>
      </w:pPr>
      <w:r w:rsidRPr="004E2724">
        <w:rPr>
          <w:noProof/>
        </w:rPr>
        <w:t>Somit ist Artikel 207 Absatz 4 Unterabsatz 1 AEUV die materielle Rechtsgrundlage für den vorgeschlagenen Beschluss.</w:t>
      </w:r>
    </w:p>
    <w:p w:rsidR="0084330F" w:rsidRPr="004E2724" w:rsidRDefault="0084330F" w:rsidP="0010030D">
      <w:pPr>
        <w:rPr>
          <w:noProof/>
        </w:rPr>
      </w:pPr>
    </w:p>
    <w:p w:rsidR="00A93BF2" w:rsidRPr="004E2724" w:rsidRDefault="000D1649" w:rsidP="000D1649">
      <w:pPr>
        <w:pStyle w:val="ManualHeading2"/>
        <w:rPr>
          <w:noProof/>
        </w:rPr>
      </w:pPr>
      <w:r w:rsidRPr="000D1649">
        <w:rPr>
          <w:noProof/>
        </w:rPr>
        <w:t>4.3.</w:t>
      </w:r>
      <w:r w:rsidRPr="000D1649">
        <w:rPr>
          <w:noProof/>
        </w:rPr>
        <w:tab/>
      </w:r>
      <w:r w:rsidR="00A93BF2" w:rsidRPr="004E2724">
        <w:rPr>
          <w:noProof/>
        </w:rPr>
        <w:t>Schlussfolgerung</w:t>
      </w:r>
    </w:p>
    <w:p w:rsidR="0084330F" w:rsidRPr="004E2724" w:rsidRDefault="0084330F" w:rsidP="0084330F">
      <w:pPr>
        <w:rPr>
          <w:noProof/>
        </w:rPr>
      </w:pPr>
      <w:r w:rsidRPr="004E2724">
        <w:rPr>
          <w:noProof/>
        </w:rPr>
        <w:t>Die Rechtsgrundlage für den vorgeschlagenen Beschluss sollte Artikel 207 Absatz 4 Unterabsatz 1 AEUV in Verbindung mit Artikel 218 Absatz 9 AEUV sein.</w:t>
      </w:r>
    </w:p>
    <w:p w:rsidR="0084330F" w:rsidRPr="004E2724" w:rsidRDefault="000D1649" w:rsidP="000D1649">
      <w:pPr>
        <w:pStyle w:val="ManualHeading1"/>
        <w:rPr>
          <w:noProof/>
        </w:rPr>
      </w:pPr>
      <w:r w:rsidRPr="000D1649">
        <w:rPr>
          <w:noProof/>
        </w:rPr>
        <w:t>5.</w:t>
      </w:r>
      <w:r w:rsidRPr="000D1649">
        <w:rPr>
          <w:noProof/>
        </w:rPr>
        <w:tab/>
      </w:r>
      <w:r w:rsidR="0084330F" w:rsidRPr="004E2724">
        <w:rPr>
          <w:noProof/>
        </w:rPr>
        <w:t>Einhaltung des Grundsatzes „standardmäßig digital“</w:t>
      </w:r>
    </w:p>
    <w:p w:rsidR="0084330F" w:rsidRPr="004E2724" w:rsidRDefault="0084330F" w:rsidP="0084330F">
      <w:pPr>
        <w:pStyle w:val="Text1"/>
        <w:ind w:left="0"/>
        <w:rPr>
          <w:noProof/>
        </w:rPr>
      </w:pPr>
      <w:r w:rsidRPr="004E2724">
        <w:rPr>
          <w:noProof/>
        </w:rPr>
        <w:t xml:space="preserve">Der durchgeführten Bewertung zur Digitalisierung zufolge hat der vorliegende Vorschlag keine digitale Dimension, da keine digitale Relevanz besteht. </w:t>
      </w:r>
    </w:p>
    <w:p w:rsidR="0084330F" w:rsidRPr="004E2724" w:rsidRDefault="0084330F" w:rsidP="0084330F">
      <w:pPr>
        <w:pStyle w:val="Text1"/>
        <w:ind w:left="0"/>
        <w:rPr>
          <w:noProof/>
        </w:rPr>
      </w:pPr>
      <w:r w:rsidRPr="004E2724">
        <w:rPr>
          <w:noProof/>
        </w:rPr>
        <w:t>Mit dem Vorschlag wird der Standpunkt der EU in Bezug auf die Verlängerung einer internationalen Übereinkunft, des Getreidehandels-Übereinkommens von 1995, um zwei Jahre bis zum 30. Juni 2027 festgelegt.</w:t>
      </w:r>
    </w:p>
    <w:p w:rsidR="0084330F" w:rsidRPr="004E2724" w:rsidRDefault="0084330F" w:rsidP="0084330F">
      <w:pPr>
        <w:pStyle w:val="Text1"/>
        <w:ind w:left="0"/>
        <w:rPr>
          <w:noProof/>
        </w:rPr>
      </w:pPr>
      <w:r w:rsidRPr="004E2724">
        <w:rPr>
          <w:noProof/>
        </w:rPr>
        <w:t>Digitales oder der Datenaustausch fallen nicht in den Anwendungsbereich des Vorschlags.</w:t>
      </w:r>
    </w:p>
    <w:p w:rsidR="00D01CAF" w:rsidRPr="004E2724" w:rsidRDefault="00D01CAF" w:rsidP="0084330F">
      <w:pPr>
        <w:pStyle w:val="Text1"/>
        <w:ind w:left="0"/>
        <w:rPr>
          <w:noProof/>
        </w:rPr>
      </w:pPr>
    </w:p>
    <w:p w:rsidR="00A93BF2" w:rsidRPr="004E2724" w:rsidRDefault="000D1649" w:rsidP="000D1649">
      <w:pPr>
        <w:pStyle w:val="ManualHeading1"/>
        <w:rPr>
          <w:noProof/>
        </w:rPr>
      </w:pPr>
      <w:r w:rsidRPr="000D1649">
        <w:rPr>
          <w:noProof/>
        </w:rPr>
        <w:t>6.</w:t>
      </w:r>
      <w:r w:rsidRPr="000D1649">
        <w:rPr>
          <w:noProof/>
        </w:rPr>
        <w:tab/>
      </w:r>
      <w:r w:rsidR="00A93BF2" w:rsidRPr="004E2724">
        <w:rPr>
          <w:noProof/>
        </w:rPr>
        <w:t>Veröffentlichung des geplanten Rechtsakts</w:t>
      </w:r>
    </w:p>
    <w:p w:rsidR="0084330F" w:rsidRPr="004E2724" w:rsidRDefault="0084330F" w:rsidP="0010030D">
      <w:pPr>
        <w:rPr>
          <w:noProof/>
        </w:rPr>
      </w:pPr>
    </w:p>
    <w:p w:rsidR="00502F54" w:rsidRPr="004E2724" w:rsidRDefault="00502F54" w:rsidP="00502F54">
      <w:pPr>
        <w:rPr>
          <w:noProof/>
        </w:rPr>
      </w:pPr>
      <w:r w:rsidRPr="004E2724">
        <w:rPr>
          <w:noProof/>
        </w:rPr>
        <w:t xml:space="preserve">Da mit dem Rechtsakt des Internationalen Getreiderats die Gültigkeit des Übereinkommens verlängert wird, wird er auf der offiziellen Website des Internationalen Getreiderats veröffentlicht. </w:t>
      </w:r>
    </w:p>
    <w:p w:rsidR="0084330F" w:rsidRPr="004E2724" w:rsidRDefault="0084330F" w:rsidP="0010030D">
      <w:pPr>
        <w:rPr>
          <w:noProof/>
        </w:rPr>
      </w:pPr>
    </w:p>
    <w:p w:rsidR="0084330F" w:rsidRPr="004E2724" w:rsidRDefault="0084330F" w:rsidP="0010030D">
      <w:pPr>
        <w:rPr>
          <w:noProof/>
        </w:rPr>
      </w:pPr>
    </w:p>
    <w:p w:rsidR="0084330F" w:rsidRPr="004E2724" w:rsidRDefault="0084330F" w:rsidP="0010030D">
      <w:pPr>
        <w:rPr>
          <w:noProof/>
        </w:rPr>
        <w:sectPr w:rsidR="0084330F" w:rsidRPr="004E2724" w:rsidSect="009641F3">
          <w:headerReference w:type="even" r:id="rId14"/>
          <w:footerReference w:type="even" r:id="rId15"/>
          <w:footerReference w:type="default" r:id="rId16"/>
          <w:headerReference w:type="first" r:id="rId17"/>
          <w:footerReference w:type="first" r:id="rId18"/>
          <w:pgSz w:w="11907" w:h="16839"/>
          <w:pgMar w:top="1134" w:right="1417" w:bottom="1134" w:left="1417" w:header="709" w:footer="709" w:gutter="0"/>
          <w:cols w:space="708"/>
          <w:docGrid w:linePitch="360"/>
        </w:sectPr>
      </w:pPr>
    </w:p>
    <w:p w:rsidR="00C902A9" w:rsidRDefault="004B70AE">
      <w:pPr>
        <w:pStyle w:val="Rfrenceinterinstitutionnelle"/>
        <w:rPr>
          <w:noProof/>
        </w:rPr>
      </w:pPr>
      <w:r>
        <w:rPr>
          <w:noProof/>
        </w:rPr>
        <w:t>2025/0087 (NLE)</w:t>
      </w:r>
    </w:p>
    <w:p w:rsidR="00A93BF2" w:rsidRPr="004E2724" w:rsidRDefault="004E2724" w:rsidP="004E2724">
      <w:pPr>
        <w:pStyle w:val="Statut"/>
        <w:rPr>
          <w:noProof/>
        </w:rPr>
      </w:pPr>
      <w:r w:rsidRPr="004E2724">
        <w:rPr>
          <w:noProof/>
        </w:rPr>
        <w:t>Vorschlag für einen</w:t>
      </w:r>
    </w:p>
    <w:p w:rsidR="00A93BF2" w:rsidRPr="004E2724" w:rsidRDefault="004E2724" w:rsidP="004E2724">
      <w:pPr>
        <w:pStyle w:val="Typedudocument"/>
        <w:rPr>
          <w:noProof/>
        </w:rPr>
      </w:pPr>
      <w:r w:rsidRPr="004E2724">
        <w:rPr>
          <w:noProof/>
        </w:rPr>
        <w:t>BESCHLUSS DES RATES</w:t>
      </w:r>
    </w:p>
    <w:p w:rsidR="00A93BF2" w:rsidRPr="004E2724" w:rsidRDefault="004E2724" w:rsidP="004E2724">
      <w:pPr>
        <w:pStyle w:val="Titreobjet"/>
        <w:rPr>
          <w:noProof/>
        </w:rPr>
      </w:pPr>
      <w:r w:rsidRPr="004E2724">
        <w:rPr>
          <w:noProof/>
        </w:rPr>
        <w:t>über den Standpunkt, der im Namen der Europäischen Union im Internationalen Getreiderat in Bezug auf die Verlängerung des Getreidehandels-Übereinkommens von 1995 zu vertreten ist</w:t>
      </w:r>
    </w:p>
    <w:p w:rsidR="00A93BF2" w:rsidRPr="004E2724" w:rsidRDefault="00A93BF2" w:rsidP="0010030D">
      <w:pPr>
        <w:pStyle w:val="Institutionquiagit"/>
        <w:rPr>
          <w:noProof/>
        </w:rPr>
      </w:pPr>
      <w:r w:rsidRPr="004E2724">
        <w:rPr>
          <w:noProof/>
        </w:rPr>
        <w:t>DER RAT DER EUROPÄISCHEN UNION —</w:t>
      </w:r>
    </w:p>
    <w:p w:rsidR="00A93BF2" w:rsidRPr="004E2724" w:rsidRDefault="00A93BF2" w:rsidP="0010030D">
      <w:pPr>
        <w:rPr>
          <w:noProof/>
        </w:rPr>
      </w:pPr>
      <w:r w:rsidRPr="004E2724">
        <w:rPr>
          <w:noProof/>
        </w:rPr>
        <w:t>gestützt auf den Vertrag über die Arbeitsweise der Europäischen Union, insbesondere auf Artikel 207 Absatz 4 Unterabsatz 1 in Verbindung mit Artikel 218 Absatz 9,</w:t>
      </w:r>
    </w:p>
    <w:p w:rsidR="00A93BF2" w:rsidRPr="004E2724" w:rsidRDefault="00A93BF2" w:rsidP="0010030D">
      <w:pPr>
        <w:rPr>
          <w:noProof/>
        </w:rPr>
      </w:pPr>
      <w:r w:rsidRPr="004E2724">
        <w:rPr>
          <w:noProof/>
        </w:rPr>
        <w:t>gestützt auf den Vorschlag der Europäischen Kommission,</w:t>
      </w:r>
    </w:p>
    <w:p w:rsidR="00A93BF2" w:rsidRPr="004E2724" w:rsidRDefault="00A93BF2" w:rsidP="0010030D">
      <w:pPr>
        <w:rPr>
          <w:noProof/>
        </w:rPr>
      </w:pPr>
      <w:r w:rsidRPr="004E2724">
        <w:rPr>
          <w:noProof/>
        </w:rPr>
        <w:t>in Erwägung nachstehender Gründe:</w:t>
      </w:r>
    </w:p>
    <w:p w:rsidR="00FF2D02" w:rsidRPr="004E2724" w:rsidRDefault="000D1649" w:rsidP="000D1649">
      <w:pPr>
        <w:pStyle w:val="ManualConsidrant"/>
        <w:rPr>
          <w:noProof/>
        </w:rPr>
      </w:pPr>
      <w:r w:rsidRPr="000D1649">
        <w:rPr>
          <w:noProof/>
        </w:rPr>
        <w:t>(1)</w:t>
      </w:r>
      <w:r w:rsidRPr="000D1649">
        <w:rPr>
          <w:noProof/>
        </w:rPr>
        <w:tab/>
      </w:r>
      <w:r w:rsidR="635724BD" w:rsidRPr="004E2724">
        <w:rPr>
          <w:noProof/>
        </w:rPr>
        <w:t>Das Internationale Getreidehandels-Übereinkommen von 1995 (im Folgenden das „Übereinkommen“) wurde von der Union mit dem Beschluss 96/88/EG des Rates</w:t>
      </w:r>
      <w:r w:rsidR="635724BD" w:rsidRPr="004E2724">
        <w:rPr>
          <w:rStyle w:val="FootnoteReference"/>
          <w:iCs/>
          <w:noProof/>
        </w:rPr>
        <w:footnoteReference w:id="2"/>
      </w:r>
      <w:r w:rsidR="635724BD" w:rsidRPr="004E2724">
        <w:rPr>
          <w:noProof/>
        </w:rPr>
        <w:t xml:space="preserve"> geschlossen und trat am 1. Juli 1995 in Kraft. Das Übereinkommen wurde für einen Zeitraum von drei Jahren geschlossen</w:t>
      </w:r>
      <w:r w:rsidR="635724BD" w:rsidRPr="004E2724">
        <w:rPr>
          <w:rStyle w:val="FootnoteReference"/>
          <w:noProof/>
        </w:rPr>
        <w:footnoteReference w:id="3"/>
      </w:r>
      <w:r w:rsidR="635724BD" w:rsidRPr="004E2724">
        <w:rPr>
          <w:noProof/>
        </w:rPr>
        <w:t xml:space="preserve">. </w:t>
      </w:r>
    </w:p>
    <w:p w:rsidR="00A93BF2" w:rsidRPr="004E2724" w:rsidRDefault="000D1649" w:rsidP="000D1649">
      <w:pPr>
        <w:pStyle w:val="ManualConsidrant"/>
        <w:rPr>
          <w:noProof/>
        </w:rPr>
      </w:pPr>
      <w:r w:rsidRPr="000D1649">
        <w:rPr>
          <w:noProof/>
        </w:rPr>
        <w:t>(2)</w:t>
      </w:r>
      <w:r w:rsidRPr="000D1649">
        <w:rPr>
          <w:noProof/>
        </w:rPr>
        <w:tab/>
      </w:r>
      <w:r w:rsidR="3191433F" w:rsidRPr="004E2724">
        <w:rPr>
          <w:noProof/>
        </w:rPr>
        <w:t>Gemäß Artikel 33 des Übereinkommens kann der Internationale Getreiderat das Übereinkommen um weitere Zeitabschnitte von jeweils höchstens zwei Jahren verlängern. Seit seinem Abschluss wurde das Übereinkommen regelmäßig um jeweils zwei Jahre verlängert. Das Übereinkommen wurde zuletzt mit Beschluss des Internationalen Getreiderats vom 14. Juni 2023</w:t>
      </w:r>
      <w:r w:rsidR="3191433F" w:rsidRPr="004E2724">
        <w:rPr>
          <w:noProof/>
          <w:vertAlign w:val="superscript"/>
        </w:rPr>
        <w:t>2</w:t>
      </w:r>
      <w:r w:rsidR="3191433F" w:rsidRPr="004E2724">
        <w:rPr>
          <w:noProof/>
        </w:rPr>
        <w:t xml:space="preserve"> verlängert und bleibt bis zum 30. Juni 2025 in Kraft.</w:t>
      </w:r>
    </w:p>
    <w:p w:rsidR="00A93BF2" w:rsidRPr="004E2724" w:rsidRDefault="000D1649" w:rsidP="000D1649">
      <w:pPr>
        <w:pStyle w:val="ManualConsidrant"/>
        <w:rPr>
          <w:noProof/>
        </w:rPr>
      </w:pPr>
      <w:r w:rsidRPr="000D1649">
        <w:rPr>
          <w:noProof/>
        </w:rPr>
        <w:t>(3)</w:t>
      </w:r>
      <w:r w:rsidRPr="000D1649">
        <w:rPr>
          <w:noProof/>
        </w:rPr>
        <w:tab/>
      </w:r>
      <w:r w:rsidR="00A93BF2" w:rsidRPr="004E2724">
        <w:rPr>
          <w:noProof/>
        </w:rPr>
        <w:t>Auf seiner 62. Tagung am 12. Juni 2025 soll der Internationale Getreiderat über die Verlängerung des Übereinkommens um einen weiteren Zeitraum von bis zu zwei Jahren, vom 1. Juli 2025 bis zum 30. Juni 2027, beschließen.</w:t>
      </w:r>
    </w:p>
    <w:p w:rsidR="00A93BF2" w:rsidRPr="004E2724" w:rsidRDefault="000D1649" w:rsidP="000D1649">
      <w:pPr>
        <w:pStyle w:val="ManualConsidrant"/>
        <w:rPr>
          <w:noProof/>
        </w:rPr>
      </w:pPr>
      <w:r w:rsidRPr="000D1649">
        <w:rPr>
          <w:noProof/>
        </w:rPr>
        <w:t>(4)</w:t>
      </w:r>
      <w:r w:rsidRPr="000D1649">
        <w:rPr>
          <w:noProof/>
        </w:rPr>
        <w:tab/>
      </w:r>
      <w:r w:rsidR="00A93BF2" w:rsidRPr="004E2724">
        <w:rPr>
          <w:noProof/>
        </w:rPr>
        <w:t>Auf der 62. Tagung des Internationalen Getreiderats sollte der im Namen der Union zu vertretende Standpunkt hinsichtlich der Verlängerung des Übereinkommens festgelegt werden.</w:t>
      </w:r>
    </w:p>
    <w:p w:rsidR="004F6A93" w:rsidRPr="004E2724" w:rsidRDefault="000D1649" w:rsidP="000D1649">
      <w:pPr>
        <w:pStyle w:val="ManualConsidrant"/>
        <w:rPr>
          <w:noProof/>
        </w:rPr>
      </w:pPr>
      <w:r w:rsidRPr="000D1649">
        <w:rPr>
          <w:noProof/>
        </w:rPr>
        <w:t>(5)</w:t>
      </w:r>
      <w:r w:rsidRPr="000D1649">
        <w:rPr>
          <w:noProof/>
        </w:rPr>
        <w:tab/>
      </w:r>
      <w:r w:rsidR="00B036BE" w:rsidRPr="004E2724">
        <w:rPr>
          <w:noProof/>
        </w:rPr>
        <w:t>Die Union ist ein wichtiger Getreideerzeuger und ein führender Ausführer von Weizen und Gerste sowie gleichzeitig einer der größten Einführer von Mais. Die Union war von Anfang an ein aktives Mitglied des Internationalen Getreiderats, der eine wichtige Rolle bei der Stabilisierung der weltweiten Getreidemärkte und der Erhöhung der Ernährungssicherheit spielt. Die Verlängerung des Übereinkommens liegt daher im Interesse der Union —</w:t>
      </w:r>
    </w:p>
    <w:p w:rsidR="00A93BF2" w:rsidRPr="004E2724" w:rsidRDefault="00A93BF2" w:rsidP="0010030D">
      <w:pPr>
        <w:pStyle w:val="Formuledadoption"/>
        <w:rPr>
          <w:noProof/>
        </w:rPr>
      </w:pPr>
      <w:r w:rsidRPr="004E2724">
        <w:rPr>
          <w:noProof/>
        </w:rPr>
        <w:t>HAT FOLGENDEN BESCHLUSS ERLASSEN:</w:t>
      </w:r>
    </w:p>
    <w:p w:rsidR="00A93BF2" w:rsidRPr="004E2724" w:rsidRDefault="00A93BF2" w:rsidP="0010030D">
      <w:pPr>
        <w:pStyle w:val="Titrearticle"/>
        <w:rPr>
          <w:noProof/>
        </w:rPr>
      </w:pPr>
      <w:r w:rsidRPr="004E2724">
        <w:rPr>
          <w:noProof/>
        </w:rPr>
        <w:t>Artikel 1</w:t>
      </w:r>
    </w:p>
    <w:p w:rsidR="00A93BF2" w:rsidRPr="004E2724" w:rsidRDefault="004F6A93" w:rsidP="0010030D">
      <w:pPr>
        <w:rPr>
          <w:noProof/>
        </w:rPr>
      </w:pPr>
      <w:r w:rsidRPr="004E2724">
        <w:rPr>
          <w:noProof/>
        </w:rPr>
        <w:t>Der Standpunkt, der im Namen der Union auf der 62. Tagung des Internationalen Getreiderats zu vertreten ist, besteht darin, für eine Verlängerung des Getreidehandels-Übereinkommens von 1995 um einen weiteren Zeitraum von bis zu zwei Jahren vom 1. Juli 2025 bis zum 30. Juni 2027 zu stimmen.</w:t>
      </w:r>
    </w:p>
    <w:p w:rsidR="00A93BF2" w:rsidRPr="004E2724" w:rsidRDefault="00A93BF2" w:rsidP="00F958C0">
      <w:pPr>
        <w:pStyle w:val="Titrearticle"/>
        <w:rPr>
          <w:noProof/>
        </w:rPr>
      </w:pPr>
      <w:r w:rsidRPr="004E2724">
        <w:rPr>
          <w:noProof/>
        </w:rPr>
        <w:t>Artikel 2</w:t>
      </w:r>
    </w:p>
    <w:p w:rsidR="00A93BF2" w:rsidRPr="004E2724" w:rsidRDefault="00A93BF2" w:rsidP="00F958C0">
      <w:pPr>
        <w:keepNext/>
        <w:keepLines/>
        <w:rPr>
          <w:noProof/>
        </w:rPr>
      </w:pPr>
      <w:r w:rsidRPr="004E2724">
        <w:rPr>
          <w:noProof/>
        </w:rPr>
        <w:t>Dieser Beschluss ist an die Kommission gerichtet.</w:t>
      </w:r>
    </w:p>
    <w:p w:rsidR="00A93BF2" w:rsidRPr="004E2724" w:rsidRDefault="004E2724" w:rsidP="00F958C0">
      <w:pPr>
        <w:pStyle w:val="Fait"/>
        <w:rPr>
          <w:noProof/>
        </w:rPr>
      </w:pPr>
      <w:r>
        <w:rPr>
          <w:noProof/>
        </w:rPr>
        <w:t xml:space="preserve">Geschehen zu Brüssel am </w:t>
      </w:r>
    </w:p>
    <w:p w:rsidR="00A93BF2" w:rsidRPr="004E2724" w:rsidRDefault="00A93BF2" w:rsidP="00F958C0">
      <w:pPr>
        <w:pStyle w:val="Institutionquisigne"/>
        <w:rPr>
          <w:noProof/>
        </w:rPr>
      </w:pPr>
      <w:r w:rsidRPr="004E2724">
        <w:rPr>
          <w:noProof/>
        </w:rPr>
        <w:tab/>
        <w:t>Im Namen des Rates</w:t>
      </w:r>
    </w:p>
    <w:p w:rsidR="00C64B40" w:rsidRPr="004E2724" w:rsidRDefault="00A93BF2" w:rsidP="00F958C0">
      <w:pPr>
        <w:pStyle w:val="Personnequisigne"/>
        <w:keepNext/>
        <w:rPr>
          <w:noProof/>
        </w:rPr>
      </w:pPr>
      <w:r w:rsidRPr="004E2724">
        <w:rPr>
          <w:noProof/>
        </w:rPr>
        <w:tab/>
        <w:t>Der Präsident / Die Präsidentin</w:t>
      </w:r>
    </w:p>
    <w:p w:rsidR="00C64B40" w:rsidRPr="004E2724" w:rsidRDefault="00C64B40" w:rsidP="00F958C0">
      <w:pPr>
        <w:keepNext/>
        <w:spacing w:before="0" w:after="200" w:line="276" w:lineRule="auto"/>
        <w:jc w:val="left"/>
        <w:rPr>
          <w:i/>
          <w:noProof/>
        </w:rPr>
      </w:pPr>
      <w:r w:rsidRPr="004E2724">
        <w:rPr>
          <w:noProof/>
        </w:rPr>
        <w:br w:type="page"/>
      </w:r>
    </w:p>
    <w:p w:rsidR="00C64B40" w:rsidRPr="004E2724" w:rsidRDefault="00C64B40" w:rsidP="00F958C0">
      <w:pPr>
        <w:pStyle w:val="Personnequisigne"/>
        <w:keepNext/>
        <w:rPr>
          <w:noProof/>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567"/>
        <w:gridCol w:w="3884"/>
        <w:gridCol w:w="1417"/>
        <w:gridCol w:w="1276"/>
        <w:gridCol w:w="283"/>
        <w:gridCol w:w="851"/>
        <w:gridCol w:w="850"/>
      </w:tblGrid>
      <w:tr w:rsidR="00156A44" w:rsidRPr="004E2724" w:rsidTr="00F252A0">
        <w:trPr>
          <w:trHeight w:val="355"/>
        </w:trPr>
        <w:tc>
          <w:tcPr>
            <w:tcW w:w="7144" w:type="dxa"/>
            <w:gridSpan w:val="4"/>
            <w:vMerge w:val="restart"/>
          </w:tcPr>
          <w:p w:rsidR="00156A44" w:rsidRPr="004E2724" w:rsidRDefault="00156A44" w:rsidP="00F958C0">
            <w:pPr>
              <w:pStyle w:val="Fichefinanciretitretable"/>
              <w:keepNext/>
              <w:rPr>
                <w:noProof/>
              </w:rPr>
            </w:pPr>
            <w:r w:rsidRPr="004E2724">
              <w:rPr>
                <w:noProof/>
              </w:rPr>
              <w:t>FINANZBOGEN</w:t>
            </w:r>
          </w:p>
        </w:tc>
        <w:tc>
          <w:tcPr>
            <w:tcW w:w="1984" w:type="dxa"/>
            <w:gridSpan w:val="3"/>
          </w:tcPr>
          <w:p w:rsidR="00156A44" w:rsidRPr="004E2724" w:rsidRDefault="00156A44" w:rsidP="00F958C0">
            <w:pPr>
              <w:pStyle w:val="Fichefinanciretextetable"/>
              <w:keepNext/>
              <w:rPr>
                <w:noProof/>
              </w:rPr>
            </w:pPr>
            <w:r w:rsidRPr="004E2724">
              <w:rPr>
                <w:noProof/>
              </w:rPr>
              <w:t xml:space="preserve">FinancSt/10/ </w:t>
            </w:r>
            <w:r w:rsidRPr="004E2724">
              <w:rPr>
                <w:noProof/>
              </w:rPr>
              <w:br/>
              <w:t>PS/nd/</w:t>
            </w:r>
            <w:hyperlink r:id="rId19" w:history="1">
              <w:r w:rsidRPr="004E2724">
                <w:rPr>
                  <w:rStyle w:val="Hyperlink"/>
                  <w:noProof/>
                </w:rPr>
                <w:t>Ares(2025)1094676</w:t>
              </w:r>
            </w:hyperlink>
          </w:p>
          <w:p w:rsidR="00156A44" w:rsidRPr="004E2724" w:rsidRDefault="00156A44" w:rsidP="00F958C0">
            <w:pPr>
              <w:pStyle w:val="Fichefinanciretextetable"/>
              <w:keepNext/>
              <w:rPr>
                <w:noProof/>
              </w:rPr>
            </w:pPr>
          </w:p>
        </w:tc>
      </w:tr>
      <w:tr w:rsidR="00156A44" w:rsidRPr="004E2724" w:rsidTr="00F252A0">
        <w:trPr>
          <w:trHeight w:val="355"/>
        </w:trPr>
        <w:tc>
          <w:tcPr>
            <w:tcW w:w="7144" w:type="dxa"/>
            <w:gridSpan w:val="4"/>
            <w:vMerge/>
            <w:tcBorders>
              <w:bottom w:val="nil"/>
            </w:tcBorders>
          </w:tcPr>
          <w:p w:rsidR="00156A44" w:rsidRPr="004E2724" w:rsidRDefault="00156A44" w:rsidP="00F958C0">
            <w:pPr>
              <w:pStyle w:val="Fichefinanciretitretable"/>
              <w:keepNext/>
              <w:rPr>
                <w:noProof/>
              </w:rPr>
            </w:pPr>
          </w:p>
        </w:tc>
        <w:tc>
          <w:tcPr>
            <w:tcW w:w="1984" w:type="dxa"/>
            <w:gridSpan w:val="3"/>
          </w:tcPr>
          <w:p w:rsidR="00156A44" w:rsidRPr="004E2724" w:rsidRDefault="00156A44" w:rsidP="00F958C0">
            <w:pPr>
              <w:pStyle w:val="Fichefinanciretextetable"/>
              <w:keepNext/>
              <w:rPr>
                <w:noProof/>
              </w:rPr>
            </w:pPr>
            <w:r w:rsidRPr="004E2724">
              <w:rPr>
                <w:noProof/>
              </w:rPr>
              <w:t>6.221.2025.1</w:t>
            </w:r>
          </w:p>
        </w:tc>
      </w:tr>
      <w:tr w:rsidR="00156A44" w:rsidRPr="004E2724" w:rsidTr="00F252A0">
        <w:tc>
          <w:tcPr>
            <w:tcW w:w="7144" w:type="dxa"/>
            <w:gridSpan w:val="4"/>
            <w:tcBorders>
              <w:top w:val="nil"/>
            </w:tcBorders>
          </w:tcPr>
          <w:p w:rsidR="00156A44" w:rsidRPr="004E2724" w:rsidRDefault="00156A44" w:rsidP="00F958C0">
            <w:pPr>
              <w:pStyle w:val="Fichefinanciretextetable"/>
              <w:keepNext/>
              <w:rPr>
                <w:noProof/>
              </w:rPr>
            </w:pPr>
          </w:p>
        </w:tc>
        <w:tc>
          <w:tcPr>
            <w:tcW w:w="1984" w:type="dxa"/>
            <w:gridSpan w:val="3"/>
          </w:tcPr>
          <w:p w:rsidR="00156A44" w:rsidRPr="004E2724" w:rsidRDefault="00156A44" w:rsidP="00F958C0">
            <w:pPr>
              <w:pStyle w:val="Fichefinanciretextetable"/>
              <w:keepNext/>
              <w:rPr>
                <w:noProof/>
              </w:rPr>
            </w:pPr>
            <w:r w:rsidRPr="004E2724">
              <w:rPr>
                <w:noProof/>
              </w:rPr>
              <w:t>DATUM: 24.2.2025</w:t>
            </w:r>
          </w:p>
          <w:p w:rsidR="00156A44" w:rsidRPr="004E2724" w:rsidRDefault="00156A44" w:rsidP="00F958C0">
            <w:pPr>
              <w:pStyle w:val="Fichefinanciretextetable"/>
              <w:keepNext/>
              <w:rPr>
                <w:noProof/>
              </w:rPr>
            </w:pPr>
          </w:p>
        </w:tc>
      </w:tr>
      <w:tr w:rsidR="00156A44" w:rsidRPr="004E2724" w:rsidTr="00F252A0">
        <w:tc>
          <w:tcPr>
            <w:tcW w:w="567" w:type="dxa"/>
            <w:tcBorders>
              <w:right w:val="nil"/>
            </w:tcBorders>
          </w:tcPr>
          <w:p w:rsidR="00156A44" w:rsidRPr="004E2724" w:rsidRDefault="00156A44" w:rsidP="00F958C0">
            <w:pPr>
              <w:pStyle w:val="Fichefinanciretextetable"/>
              <w:keepNext/>
              <w:rPr>
                <w:noProof/>
              </w:rPr>
            </w:pPr>
            <w:r w:rsidRPr="004E2724">
              <w:rPr>
                <w:noProof/>
              </w:rPr>
              <w:t>1.</w:t>
            </w:r>
          </w:p>
        </w:tc>
        <w:tc>
          <w:tcPr>
            <w:tcW w:w="6577" w:type="dxa"/>
            <w:gridSpan w:val="3"/>
            <w:tcBorders>
              <w:left w:val="nil"/>
              <w:right w:val="nil"/>
            </w:tcBorders>
          </w:tcPr>
          <w:p w:rsidR="00156A44" w:rsidRPr="004E2724" w:rsidRDefault="00156A44" w:rsidP="00F958C0">
            <w:pPr>
              <w:pStyle w:val="Fichefinanciretextetable"/>
              <w:keepNext/>
              <w:rPr>
                <w:noProof/>
              </w:rPr>
            </w:pPr>
            <w:r w:rsidRPr="004E2724">
              <w:rPr>
                <w:noProof/>
              </w:rPr>
              <w:t>HAUSHALTSLINIE:</w:t>
            </w:r>
          </w:p>
          <w:p w:rsidR="00156A44" w:rsidRPr="004E2724" w:rsidRDefault="00156A44" w:rsidP="00F958C0">
            <w:pPr>
              <w:pStyle w:val="Fichefinanciretextetable"/>
              <w:keepNext/>
              <w:rPr>
                <w:noProof/>
              </w:rPr>
            </w:pPr>
            <w:r w:rsidRPr="004E2724">
              <w:rPr>
                <w:noProof/>
              </w:rPr>
              <w:t>14 20 03 06 Internationale Organisationen und Übereinkünfte</w:t>
            </w:r>
          </w:p>
          <w:p w:rsidR="00156A44" w:rsidRPr="004E2724" w:rsidRDefault="00156A44" w:rsidP="00F958C0">
            <w:pPr>
              <w:pStyle w:val="Fichefinanciretextetable"/>
              <w:keepNext/>
              <w:rPr>
                <w:noProof/>
              </w:rPr>
            </w:pPr>
          </w:p>
        </w:tc>
        <w:tc>
          <w:tcPr>
            <w:tcW w:w="1984" w:type="dxa"/>
            <w:gridSpan w:val="3"/>
            <w:tcBorders>
              <w:left w:val="nil"/>
            </w:tcBorders>
          </w:tcPr>
          <w:p w:rsidR="00156A44" w:rsidRPr="004E2724" w:rsidRDefault="00156A44" w:rsidP="00F958C0">
            <w:pPr>
              <w:pStyle w:val="Fichefinanciretextetable"/>
              <w:keepNext/>
              <w:rPr>
                <w:noProof/>
              </w:rPr>
            </w:pPr>
            <w:r w:rsidRPr="004E2724">
              <w:rPr>
                <w:noProof/>
              </w:rPr>
              <w:t>MITTELANSATZ:</w:t>
            </w:r>
          </w:p>
          <w:p w:rsidR="00156A44" w:rsidRPr="004E2724" w:rsidRDefault="00156A44" w:rsidP="00F958C0">
            <w:pPr>
              <w:pStyle w:val="Fichefinanciretextetable"/>
              <w:keepNext/>
              <w:rPr>
                <w:noProof/>
              </w:rPr>
            </w:pPr>
            <w:r w:rsidRPr="004E2724">
              <w:rPr>
                <w:noProof/>
              </w:rPr>
              <w:t>B2025 5 277 000 EUR</w:t>
            </w:r>
          </w:p>
        </w:tc>
      </w:tr>
      <w:tr w:rsidR="00156A44" w:rsidRPr="004E2724" w:rsidTr="00F252A0">
        <w:tc>
          <w:tcPr>
            <w:tcW w:w="567" w:type="dxa"/>
            <w:tcBorders>
              <w:bottom w:val="nil"/>
              <w:right w:val="nil"/>
            </w:tcBorders>
          </w:tcPr>
          <w:p w:rsidR="00156A44" w:rsidRPr="004E2724" w:rsidRDefault="00156A44" w:rsidP="00F958C0">
            <w:pPr>
              <w:pStyle w:val="Fichefinanciretextetable"/>
              <w:keepNext/>
              <w:rPr>
                <w:noProof/>
              </w:rPr>
            </w:pPr>
            <w:r w:rsidRPr="004E2724">
              <w:rPr>
                <w:noProof/>
              </w:rPr>
              <w:t>2.</w:t>
            </w:r>
          </w:p>
        </w:tc>
        <w:tc>
          <w:tcPr>
            <w:tcW w:w="8561" w:type="dxa"/>
            <w:gridSpan w:val="6"/>
            <w:tcBorders>
              <w:left w:val="nil"/>
            </w:tcBorders>
          </w:tcPr>
          <w:p w:rsidR="00156A44" w:rsidRPr="004E2724" w:rsidRDefault="00156A44" w:rsidP="00F958C0">
            <w:pPr>
              <w:pStyle w:val="Fichefinanciretextetable"/>
              <w:keepNext/>
              <w:rPr>
                <w:noProof/>
              </w:rPr>
            </w:pPr>
            <w:r w:rsidRPr="004E2724">
              <w:rPr>
                <w:noProof/>
              </w:rPr>
              <w:t>TITEL:</w:t>
            </w:r>
          </w:p>
          <w:p w:rsidR="00156A44" w:rsidRPr="004E2724" w:rsidRDefault="00156A44" w:rsidP="00F958C0">
            <w:pPr>
              <w:pStyle w:val="Fichefinanciretextetable"/>
              <w:keepNext/>
              <w:spacing w:after="120"/>
              <w:rPr>
                <w:noProof/>
              </w:rPr>
            </w:pPr>
            <w:r w:rsidRPr="004E2724">
              <w:rPr>
                <w:noProof/>
              </w:rPr>
              <w:t>Vorschlag für einen Beschluss des Rates über den Standpunkt, der im Namen der Europäischen Union im Internationalen Getreiderat in Bezug auf die Verlängerung des Getreidehandels-Übereinkommens von 1995 zu vertreten ist</w:t>
            </w:r>
          </w:p>
        </w:tc>
      </w:tr>
      <w:tr w:rsidR="00156A44" w:rsidRPr="004E2724" w:rsidTr="00F252A0">
        <w:tc>
          <w:tcPr>
            <w:tcW w:w="567" w:type="dxa"/>
            <w:tcBorders>
              <w:bottom w:val="nil"/>
              <w:right w:val="nil"/>
            </w:tcBorders>
          </w:tcPr>
          <w:p w:rsidR="00156A44" w:rsidRPr="004E2724" w:rsidRDefault="00156A44" w:rsidP="00F958C0">
            <w:pPr>
              <w:pStyle w:val="Fichefinanciretextetable"/>
              <w:keepNext/>
              <w:rPr>
                <w:noProof/>
              </w:rPr>
            </w:pPr>
            <w:r w:rsidRPr="004E2724">
              <w:rPr>
                <w:noProof/>
              </w:rPr>
              <w:t>3.</w:t>
            </w:r>
          </w:p>
        </w:tc>
        <w:tc>
          <w:tcPr>
            <w:tcW w:w="8561" w:type="dxa"/>
            <w:gridSpan w:val="6"/>
            <w:tcBorders>
              <w:left w:val="nil"/>
            </w:tcBorders>
          </w:tcPr>
          <w:p w:rsidR="00156A44" w:rsidRPr="004E2724" w:rsidRDefault="00156A44" w:rsidP="00F958C0">
            <w:pPr>
              <w:pStyle w:val="Fichefinanciretextetable"/>
              <w:keepNext/>
              <w:spacing w:after="120"/>
              <w:rPr>
                <w:noProof/>
              </w:rPr>
            </w:pPr>
            <w:r w:rsidRPr="004E2724">
              <w:rPr>
                <w:noProof/>
              </w:rPr>
              <w:t>RECHTSGRUNDLAGE: Die Rechtsgrundlage für den vorgeschlagenen Beschluss sollte Artikel 207 Absatz 4 Unterabsatz 1 AEUV in Verbindung mit Artikel 218 Absatz 9 AEUV sein.</w:t>
            </w:r>
          </w:p>
        </w:tc>
      </w:tr>
      <w:tr w:rsidR="00156A44" w:rsidRPr="004E2724" w:rsidTr="00F252A0">
        <w:tc>
          <w:tcPr>
            <w:tcW w:w="567" w:type="dxa"/>
            <w:tcBorders>
              <w:right w:val="nil"/>
            </w:tcBorders>
          </w:tcPr>
          <w:p w:rsidR="00156A44" w:rsidRPr="004E2724" w:rsidRDefault="00156A44" w:rsidP="00F958C0">
            <w:pPr>
              <w:pStyle w:val="Fichefinanciretextetable"/>
              <w:keepNext/>
              <w:rPr>
                <w:noProof/>
              </w:rPr>
            </w:pPr>
            <w:r w:rsidRPr="004E2724">
              <w:rPr>
                <w:noProof/>
              </w:rPr>
              <w:t>4.</w:t>
            </w:r>
          </w:p>
        </w:tc>
        <w:tc>
          <w:tcPr>
            <w:tcW w:w="8561" w:type="dxa"/>
            <w:gridSpan w:val="6"/>
            <w:tcBorders>
              <w:left w:val="nil"/>
            </w:tcBorders>
          </w:tcPr>
          <w:p w:rsidR="00156A44" w:rsidRPr="004E2724" w:rsidRDefault="00156A44" w:rsidP="00F958C0">
            <w:pPr>
              <w:pStyle w:val="Fichefinanciretextetable"/>
              <w:keepNext/>
              <w:rPr>
                <w:noProof/>
              </w:rPr>
            </w:pPr>
            <w:r w:rsidRPr="004E2724">
              <w:rPr>
                <w:noProof/>
              </w:rPr>
              <w:t>ZIELE:</w:t>
            </w:r>
          </w:p>
          <w:p w:rsidR="00156A44" w:rsidRPr="004E2724" w:rsidRDefault="00156A44" w:rsidP="00F958C0">
            <w:pPr>
              <w:pStyle w:val="Fichefinanciretextetable"/>
              <w:keepNext/>
              <w:rPr>
                <w:noProof/>
              </w:rPr>
            </w:pPr>
            <w:r w:rsidRPr="004E2724">
              <w:rPr>
                <w:noProof/>
              </w:rPr>
              <w:t>Verlängerung des bestehenden Getreidehandels-Übereinkommens um weitere zwei Jahre (1.7.2025 bis 30.6.2027).</w:t>
            </w:r>
          </w:p>
          <w:p w:rsidR="00156A44" w:rsidRPr="004E2724" w:rsidRDefault="00156A44" w:rsidP="00F958C0">
            <w:pPr>
              <w:pStyle w:val="Fichefinanciretextetable"/>
              <w:keepNext/>
              <w:rPr>
                <w:noProof/>
              </w:rPr>
            </w:pPr>
          </w:p>
        </w:tc>
      </w:tr>
      <w:tr w:rsidR="00156A44" w:rsidRPr="004E2724" w:rsidTr="00F252A0">
        <w:tc>
          <w:tcPr>
            <w:tcW w:w="567" w:type="dxa"/>
            <w:tcBorders>
              <w:bottom w:val="nil"/>
              <w:right w:val="nil"/>
            </w:tcBorders>
          </w:tcPr>
          <w:p w:rsidR="00156A44" w:rsidRPr="004E2724" w:rsidRDefault="00156A44" w:rsidP="00F958C0">
            <w:pPr>
              <w:pStyle w:val="Fichefinanciretextetable"/>
              <w:keepNext/>
              <w:rPr>
                <w:noProof/>
              </w:rPr>
            </w:pPr>
            <w:r w:rsidRPr="004E2724">
              <w:rPr>
                <w:noProof/>
              </w:rPr>
              <w:t>5.</w:t>
            </w:r>
          </w:p>
        </w:tc>
        <w:tc>
          <w:tcPr>
            <w:tcW w:w="3884" w:type="dxa"/>
            <w:tcBorders>
              <w:left w:val="nil"/>
            </w:tcBorders>
          </w:tcPr>
          <w:p w:rsidR="00156A44" w:rsidRPr="004E2724" w:rsidRDefault="00156A44" w:rsidP="00F958C0">
            <w:pPr>
              <w:pStyle w:val="Fichefinanciretextetable"/>
              <w:keepNext/>
              <w:rPr>
                <w:noProof/>
              </w:rPr>
            </w:pPr>
            <w:r w:rsidRPr="004E2724">
              <w:rPr>
                <w:noProof/>
              </w:rPr>
              <w:t>FINANZIELLE AUSWIRKUNGEN</w:t>
            </w:r>
          </w:p>
        </w:tc>
        <w:tc>
          <w:tcPr>
            <w:tcW w:w="1417" w:type="dxa"/>
          </w:tcPr>
          <w:p w:rsidR="00156A44" w:rsidRPr="004E2724" w:rsidRDefault="00156A44" w:rsidP="00F958C0">
            <w:pPr>
              <w:pStyle w:val="Fichefinanciretextetable"/>
              <w:keepNext/>
              <w:jc w:val="center"/>
              <w:rPr>
                <w:noProof/>
              </w:rPr>
            </w:pPr>
            <w:r w:rsidRPr="004E2724">
              <w:rPr>
                <w:noProof/>
              </w:rPr>
              <w:t xml:space="preserve">12 MONATS-ZEITRAUM </w:t>
            </w:r>
            <w:r w:rsidRPr="004E2724">
              <w:rPr>
                <w:noProof/>
              </w:rPr>
              <w:br/>
              <w:t xml:space="preserve"> </w:t>
            </w:r>
            <w:r w:rsidRPr="004E2724">
              <w:rPr>
                <w:noProof/>
              </w:rPr>
              <w:br/>
              <w:t xml:space="preserve"> </w:t>
            </w:r>
            <w:r w:rsidRPr="004E2724">
              <w:rPr>
                <w:noProof/>
              </w:rPr>
              <w:br/>
              <w:t>(in Mio. EUR)</w:t>
            </w:r>
          </w:p>
        </w:tc>
        <w:tc>
          <w:tcPr>
            <w:tcW w:w="1559" w:type="dxa"/>
            <w:gridSpan w:val="2"/>
          </w:tcPr>
          <w:p w:rsidR="00156A44" w:rsidRPr="004E2724" w:rsidRDefault="00156A44" w:rsidP="00F958C0">
            <w:pPr>
              <w:pStyle w:val="Fichefinanciretextetable"/>
              <w:keepNext/>
              <w:jc w:val="center"/>
              <w:rPr>
                <w:noProof/>
              </w:rPr>
            </w:pPr>
            <w:r w:rsidRPr="004E2724">
              <w:rPr>
                <w:noProof/>
              </w:rPr>
              <w:t>LAUFENDES HAUSHALTSJAHR</w:t>
            </w:r>
          </w:p>
          <w:p w:rsidR="00156A44" w:rsidRPr="004E2724" w:rsidRDefault="00156A44" w:rsidP="00F958C0">
            <w:pPr>
              <w:pStyle w:val="Fichefinanciretextetable"/>
              <w:keepNext/>
              <w:jc w:val="center"/>
              <w:rPr>
                <w:noProof/>
              </w:rPr>
            </w:pPr>
            <w:r w:rsidRPr="004E2724">
              <w:rPr>
                <w:noProof/>
              </w:rPr>
              <w:t>2025</w:t>
            </w:r>
          </w:p>
          <w:p w:rsidR="00156A44" w:rsidRPr="004E2724" w:rsidRDefault="00156A44" w:rsidP="00F958C0">
            <w:pPr>
              <w:pStyle w:val="Fichefinanciretextetable"/>
              <w:keepNext/>
              <w:jc w:val="center"/>
              <w:rPr>
                <w:noProof/>
              </w:rPr>
            </w:pPr>
            <w:r w:rsidRPr="004E2724">
              <w:rPr>
                <w:noProof/>
              </w:rPr>
              <w:t>(in Mio. EUR)</w:t>
            </w:r>
          </w:p>
        </w:tc>
        <w:tc>
          <w:tcPr>
            <w:tcW w:w="1701" w:type="dxa"/>
            <w:gridSpan w:val="2"/>
          </w:tcPr>
          <w:p w:rsidR="00156A44" w:rsidRPr="004E2724" w:rsidRDefault="00156A44" w:rsidP="00F958C0">
            <w:pPr>
              <w:pStyle w:val="Fichefinanciretextetable"/>
              <w:keepNext/>
              <w:jc w:val="center"/>
              <w:rPr>
                <w:noProof/>
              </w:rPr>
            </w:pPr>
            <w:r w:rsidRPr="004E2724">
              <w:rPr>
                <w:noProof/>
              </w:rPr>
              <w:t>FOLGENDES HAUSHALTSJAHR</w:t>
            </w:r>
          </w:p>
          <w:p w:rsidR="00156A44" w:rsidRPr="004E2724" w:rsidRDefault="00156A44" w:rsidP="00F958C0">
            <w:pPr>
              <w:pStyle w:val="Fichefinanciretextetable"/>
              <w:keepNext/>
              <w:jc w:val="center"/>
              <w:rPr>
                <w:noProof/>
              </w:rPr>
            </w:pPr>
            <w:r w:rsidRPr="004E2724">
              <w:rPr>
                <w:noProof/>
              </w:rPr>
              <w:t>HE2026</w:t>
            </w:r>
          </w:p>
          <w:p w:rsidR="00156A44" w:rsidRPr="004E2724" w:rsidRDefault="00156A44" w:rsidP="00F958C0">
            <w:pPr>
              <w:pStyle w:val="Fichefinanciretextetable"/>
              <w:keepNext/>
              <w:jc w:val="center"/>
              <w:rPr>
                <w:noProof/>
              </w:rPr>
            </w:pPr>
            <w:r w:rsidRPr="004E2724">
              <w:rPr>
                <w:noProof/>
              </w:rPr>
              <w:t>(in Mio. EUR)</w:t>
            </w:r>
          </w:p>
        </w:tc>
      </w:tr>
      <w:tr w:rsidR="00156A44" w:rsidRPr="004E2724" w:rsidTr="00F252A0">
        <w:tc>
          <w:tcPr>
            <w:tcW w:w="567" w:type="dxa"/>
            <w:tcBorders>
              <w:bottom w:val="nil"/>
              <w:right w:val="nil"/>
            </w:tcBorders>
          </w:tcPr>
          <w:p w:rsidR="00156A44" w:rsidRPr="004E2724" w:rsidRDefault="00156A44" w:rsidP="00F958C0">
            <w:pPr>
              <w:pStyle w:val="Fichefinanciretextetable"/>
              <w:keepNext/>
              <w:rPr>
                <w:noProof/>
              </w:rPr>
            </w:pPr>
            <w:r w:rsidRPr="004E2724">
              <w:rPr>
                <w:noProof/>
              </w:rPr>
              <w:t>5.0</w:t>
            </w:r>
          </w:p>
        </w:tc>
        <w:tc>
          <w:tcPr>
            <w:tcW w:w="3884" w:type="dxa"/>
            <w:tcBorders>
              <w:left w:val="nil"/>
            </w:tcBorders>
          </w:tcPr>
          <w:p w:rsidR="00156A44" w:rsidRPr="004E2724" w:rsidRDefault="00156A44" w:rsidP="00F958C0">
            <w:pPr>
              <w:pStyle w:val="Fichefinanciretextetable"/>
              <w:keepNext/>
              <w:rPr>
                <w:noProof/>
              </w:rPr>
            </w:pPr>
            <w:r w:rsidRPr="004E2724">
              <w:rPr>
                <w:noProof/>
              </w:rPr>
              <w:t>AUSGABEN</w:t>
            </w:r>
          </w:p>
          <w:p w:rsidR="00156A44" w:rsidRPr="004E2724" w:rsidRDefault="00156A44" w:rsidP="00F958C0">
            <w:pPr>
              <w:pStyle w:val="Fichefinanciretextetable"/>
              <w:keepNext/>
              <w:rPr>
                <w:noProof/>
              </w:rPr>
            </w:pPr>
            <w:r w:rsidRPr="004E2724">
              <w:rPr>
                <w:noProof/>
              </w:rPr>
              <w:t>-</w:t>
            </w:r>
            <w:r w:rsidRPr="004E2724">
              <w:rPr>
                <w:noProof/>
              </w:rPr>
              <w:tab/>
              <w:t xml:space="preserve">ZULASTEN DES EU-HAUSHALTS </w:t>
            </w:r>
            <w:r w:rsidRPr="004E2724">
              <w:rPr>
                <w:noProof/>
              </w:rPr>
              <w:br/>
              <w:t>(ERSTATTUNGEN/INTERVENTIONEN)</w:t>
            </w:r>
          </w:p>
          <w:p w:rsidR="00156A44" w:rsidRPr="004E2724" w:rsidRDefault="00156A44" w:rsidP="00F958C0">
            <w:pPr>
              <w:pStyle w:val="Fichefinanciretextetable"/>
              <w:keepNext/>
              <w:rPr>
                <w:noProof/>
              </w:rPr>
            </w:pPr>
            <w:r w:rsidRPr="004E2724">
              <w:rPr>
                <w:noProof/>
              </w:rPr>
              <w:t>-</w:t>
            </w:r>
            <w:r w:rsidRPr="004E2724">
              <w:rPr>
                <w:noProof/>
              </w:rPr>
              <w:tab/>
              <w:t>NATIONALE BEHÖRDEN</w:t>
            </w:r>
          </w:p>
          <w:p w:rsidR="00156A44" w:rsidRPr="004E2724" w:rsidRDefault="00156A44" w:rsidP="00F958C0">
            <w:pPr>
              <w:pStyle w:val="Fichefinanciretextetable"/>
              <w:keepNext/>
              <w:rPr>
                <w:noProof/>
              </w:rPr>
            </w:pPr>
            <w:r w:rsidRPr="004E2724">
              <w:rPr>
                <w:noProof/>
              </w:rPr>
              <w:t>-</w:t>
            </w:r>
            <w:r w:rsidRPr="004E2724">
              <w:rPr>
                <w:noProof/>
              </w:rPr>
              <w:tab/>
              <w:t>SONSTIGES</w:t>
            </w:r>
          </w:p>
        </w:tc>
        <w:tc>
          <w:tcPr>
            <w:tcW w:w="1417" w:type="dxa"/>
          </w:tcPr>
          <w:p w:rsidR="00156A44" w:rsidRPr="004E2724" w:rsidRDefault="00156A44" w:rsidP="00F958C0">
            <w:pPr>
              <w:pStyle w:val="Fichefinanciretextetable"/>
              <w:keepNext/>
              <w:jc w:val="center"/>
              <w:rPr>
                <w:noProof/>
              </w:rPr>
            </w:pPr>
          </w:p>
        </w:tc>
        <w:tc>
          <w:tcPr>
            <w:tcW w:w="1559" w:type="dxa"/>
            <w:gridSpan w:val="2"/>
          </w:tcPr>
          <w:p w:rsidR="00156A44" w:rsidRPr="004E2724" w:rsidRDefault="00156A44" w:rsidP="00F958C0">
            <w:pPr>
              <w:pStyle w:val="Fichefinanciretextetable"/>
              <w:keepNext/>
              <w:jc w:val="center"/>
              <w:rPr>
                <w:noProof/>
              </w:rPr>
            </w:pPr>
            <w:r w:rsidRPr="004E2724">
              <w:rPr>
                <w:noProof/>
              </w:rPr>
              <w:t>4,2</w:t>
            </w:r>
          </w:p>
        </w:tc>
        <w:tc>
          <w:tcPr>
            <w:tcW w:w="1701" w:type="dxa"/>
            <w:gridSpan w:val="2"/>
          </w:tcPr>
          <w:p w:rsidR="00156A44" w:rsidRPr="004E2724" w:rsidRDefault="00156A44" w:rsidP="00F958C0">
            <w:pPr>
              <w:pStyle w:val="Fichefinanciretextetable"/>
              <w:keepNext/>
              <w:jc w:val="center"/>
              <w:rPr>
                <w:noProof/>
              </w:rPr>
            </w:pPr>
            <w:r w:rsidRPr="004E2724">
              <w:rPr>
                <w:noProof/>
              </w:rPr>
              <w:t>4,45</w:t>
            </w:r>
          </w:p>
        </w:tc>
      </w:tr>
      <w:tr w:rsidR="00156A44" w:rsidRPr="004E2724" w:rsidTr="00F252A0">
        <w:tc>
          <w:tcPr>
            <w:tcW w:w="567" w:type="dxa"/>
            <w:tcBorders>
              <w:right w:val="nil"/>
            </w:tcBorders>
          </w:tcPr>
          <w:p w:rsidR="00156A44" w:rsidRPr="004E2724" w:rsidRDefault="00156A44" w:rsidP="00F958C0">
            <w:pPr>
              <w:pStyle w:val="Fichefinanciretextetable"/>
              <w:keepNext/>
              <w:rPr>
                <w:noProof/>
              </w:rPr>
            </w:pPr>
            <w:r w:rsidRPr="004E2724">
              <w:rPr>
                <w:noProof/>
              </w:rPr>
              <w:t>5.1</w:t>
            </w:r>
          </w:p>
        </w:tc>
        <w:tc>
          <w:tcPr>
            <w:tcW w:w="3884" w:type="dxa"/>
            <w:tcBorders>
              <w:left w:val="nil"/>
            </w:tcBorders>
          </w:tcPr>
          <w:p w:rsidR="00156A44" w:rsidRPr="004E2724" w:rsidRDefault="00156A44" w:rsidP="00F958C0">
            <w:pPr>
              <w:pStyle w:val="Fichefinanciretextetable"/>
              <w:keepNext/>
              <w:rPr>
                <w:noProof/>
              </w:rPr>
            </w:pPr>
            <w:r w:rsidRPr="004E2724">
              <w:rPr>
                <w:noProof/>
              </w:rPr>
              <w:t>EINNAHMEN</w:t>
            </w:r>
          </w:p>
          <w:p w:rsidR="00156A44" w:rsidRPr="004E2724" w:rsidRDefault="00156A44" w:rsidP="00F958C0">
            <w:pPr>
              <w:pStyle w:val="Fichefinanciretextetable"/>
              <w:keepNext/>
              <w:rPr>
                <w:noProof/>
              </w:rPr>
            </w:pPr>
            <w:r w:rsidRPr="004E2724">
              <w:rPr>
                <w:noProof/>
              </w:rPr>
              <w:t>-</w:t>
            </w:r>
            <w:r w:rsidRPr="004E2724">
              <w:rPr>
                <w:noProof/>
              </w:rPr>
              <w:tab/>
              <w:t xml:space="preserve">EIGENE MITTEL DER EU </w:t>
            </w:r>
            <w:r w:rsidRPr="004E2724">
              <w:rPr>
                <w:noProof/>
              </w:rPr>
              <w:br/>
              <w:t>(ABGABEN/ZÖLLE)</w:t>
            </w:r>
          </w:p>
          <w:p w:rsidR="00156A44" w:rsidRPr="004E2724" w:rsidRDefault="00156A44" w:rsidP="00F958C0">
            <w:pPr>
              <w:pStyle w:val="Fichefinanciretextetable"/>
              <w:keepNext/>
              <w:rPr>
                <w:noProof/>
              </w:rPr>
            </w:pPr>
            <w:r w:rsidRPr="004E2724">
              <w:rPr>
                <w:noProof/>
              </w:rPr>
              <w:t>-</w:t>
            </w:r>
            <w:r w:rsidRPr="004E2724">
              <w:rPr>
                <w:noProof/>
              </w:rPr>
              <w:tab/>
              <w:t>IM NATIONALEN BEREICH</w:t>
            </w:r>
          </w:p>
        </w:tc>
        <w:tc>
          <w:tcPr>
            <w:tcW w:w="1417" w:type="dxa"/>
          </w:tcPr>
          <w:p w:rsidR="00156A44" w:rsidRPr="004E2724" w:rsidRDefault="00156A44" w:rsidP="00F958C0">
            <w:pPr>
              <w:pStyle w:val="Fichefinanciretextetable"/>
              <w:keepNext/>
              <w:jc w:val="center"/>
              <w:rPr>
                <w:noProof/>
              </w:rPr>
            </w:pPr>
          </w:p>
        </w:tc>
        <w:tc>
          <w:tcPr>
            <w:tcW w:w="1559" w:type="dxa"/>
            <w:gridSpan w:val="2"/>
          </w:tcPr>
          <w:p w:rsidR="00156A44" w:rsidRPr="004E2724" w:rsidRDefault="00156A44" w:rsidP="00F958C0">
            <w:pPr>
              <w:pStyle w:val="Fichefinanciretextetable"/>
              <w:keepNext/>
              <w:jc w:val="center"/>
              <w:rPr>
                <w:noProof/>
              </w:rPr>
            </w:pPr>
          </w:p>
        </w:tc>
        <w:tc>
          <w:tcPr>
            <w:tcW w:w="1701" w:type="dxa"/>
            <w:gridSpan w:val="2"/>
          </w:tcPr>
          <w:p w:rsidR="00156A44" w:rsidRPr="004E2724" w:rsidRDefault="00156A44" w:rsidP="00F958C0">
            <w:pPr>
              <w:pStyle w:val="Fichefinanciretextetable"/>
              <w:keepNext/>
              <w:jc w:val="center"/>
              <w:rPr>
                <w:noProof/>
              </w:rPr>
            </w:pPr>
          </w:p>
        </w:tc>
      </w:tr>
      <w:tr w:rsidR="00156A44" w:rsidRPr="004E2724" w:rsidTr="00F252A0">
        <w:tc>
          <w:tcPr>
            <w:tcW w:w="567" w:type="dxa"/>
            <w:tcBorders>
              <w:bottom w:val="nil"/>
              <w:right w:val="nil"/>
            </w:tcBorders>
          </w:tcPr>
          <w:p w:rsidR="00156A44" w:rsidRPr="004E2724" w:rsidRDefault="00156A44" w:rsidP="00F958C0">
            <w:pPr>
              <w:pStyle w:val="Fichefinanciretextetable"/>
              <w:keepNext/>
              <w:rPr>
                <w:noProof/>
              </w:rPr>
            </w:pPr>
          </w:p>
        </w:tc>
        <w:tc>
          <w:tcPr>
            <w:tcW w:w="3884" w:type="dxa"/>
            <w:tcBorders>
              <w:left w:val="nil"/>
              <w:bottom w:val="nil"/>
            </w:tcBorders>
          </w:tcPr>
          <w:p w:rsidR="00156A44" w:rsidRPr="004E2724" w:rsidRDefault="00156A44" w:rsidP="00F958C0">
            <w:pPr>
              <w:pStyle w:val="Fichefinanciretextetable"/>
              <w:keepNext/>
              <w:rPr>
                <w:noProof/>
              </w:rPr>
            </w:pPr>
          </w:p>
        </w:tc>
        <w:tc>
          <w:tcPr>
            <w:tcW w:w="1417" w:type="dxa"/>
            <w:tcBorders>
              <w:bottom w:val="nil"/>
            </w:tcBorders>
          </w:tcPr>
          <w:p w:rsidR="00156A44" w:rsidRPr="004E2724" w:rsidRDefault="00156A44" w:rsidP="00F958C0">
            <w:pPr>
              <w:pStyle w:val="Fichefinanciretextetable"/>
              <w:keepNext/>
              <w:jc w:val="center"/>
              <w:rPr>
                <w:noProof/>
              </w:rPr>
            </w:pPr>
            <w:r w:rsidRPr="004E2724">
              <w:rPr>
                <w:noProof/>
              </w:rPr>
              <w:t>2025</w:t>
            </w:r>
          </w:p>
        </w:tc>
        <w:tc>
          <w:tcPr>
            <w:tcW w:w="1559" w:type="dxa"/>
            <w:gridSpan w:val="2"/>
            <w:tcBorders>
              <w:bottom w:val="nil"/>
            </w:tcBorders>
          </w:tcPr>
          <w:p w:rsidR="00156A44" w:rsidRPr="004E2724" w:rsidRDefault="00156A44" w:rsidP="00F958C0">
            <w:pPr>
              <w:pStyle w:val="Fichefinanciretextetable"/>
              <w:keepNext/>
              <w:jc w:val="center"/>
              <w:rPr>
                <w:noProof/>
              </w:rPr>
            </w:pPr>
          </w:p>
        </w:tc>
        <w:tc>
          <w:tcPr>
            <w:tcW w:w="1701" w:type="dxa"/>
            <w:gridSpan w:val="2"/>
            <w:tcBorders>
              <w:bottom w:val="nil"/>
            </w:tcBorders>
          </w:tcPr>
          <w:p w:rsidR="00156A44" w:rsidRPr="004E2724" w:rsidRDefault="00156A44" w:rsidP="00F958C0">
            <w:pPr>
              <w:pStyle w:val="Fichefinanciretextetable"/>
              <w:keepNext/>
              <w:jc w:val="center"/>
              <w:rPr>
                <w:noProof/>
              </w:rPr>
            </w:pPr>
          </w:p>
        </w:tc>
      </w:tr>
      <w:tr w:rsidR="00156A44" w:rsidRPr="004E2724" w:rsidTr="00F252A0">
        <w:tc>
          <w:tcPr>
            <w:tcW w:w="567" w:type="dxa"/>
            <w:tcBorders>
              <w:top w:val="nil"/>
              <w:bottom w:val="nil"/>
              <w:right w:val="nil"/>
            </w:tcBorders>
          </w:tcPr>
          <w:p w:rsidR="00156A44" w:rsidRPr="004E2724" w:rsidRDefault="00156A44" w:rsidP="00F958C0">
            <w:pPr>
              <w:pStyle w:val="Fichefinanciretextetable"/>
              <w:keepNext/>
              <w:rPr>
                <w:noProof/>
              </w:rPr>
            </w:pPr>
            <w:r w:rsidRPr="004E2724">
              <w:rPr>
                <w:noProof/>
              </w:rPr>
              <w:t>5.0.1</w:t>
            </w:r>
          </w:p>
        </w:tc>
        <w:tc>
          <w:tcPr>
            <w:tcW w:w="3884" w:type="dxa"/>
            <w:tcBorders>
              <w:top w:val="nil"/>
              <w:left w:val="nil"/>
              <w:bottom w:val="nil"/>
            </w:tcBorders>
          </w:tcPr>
          <w:p w:rsidR="00156A44" w:rsidRPr="004E2724" w:rsidRDefault="00156A44" w:rsidP="00F958C0">
            <w:pPr>
              <w:pStyle w:val="Fichefinanciretextetable"/>
              <w:keepNext/>
              <w:rPr>
                <w:noProof/>
              </w:rPr>
            </w:pPr>
            <w:r w:rsidRPr="004E2724">
              <w:rPr>
                <w:noProof/>
              </w:rPr>
              <w:t>VORAUSSICHTLICHE AUSGABEN</w:t>
            </w:r>
          </w:p>
        </w:tc>
        <w:tc>
          <w:tcPr>
            <w:tcW w:w="1417" w:type="dxa"/>
            <w:tcBorders>
              <w:bottom w:val="nil"/>
            </w:tcBorders>
          </w:tcPr>
          <w:p w:rsidR="00156A44" w:rsidRPr="004E2724" w:rsidRDefault="00156A44" w:rsidP="00F958C0">
            <w:pPr>
              <w:pStyle w:val="Fichefinanciretextetable"/>
              <w:keepNext/>
              <w:jc w:val="center"/>
              <w:rPr>
                <w:noProof/>
              </w:rPr>
            </w:pPr>
            <w:r w:rsidRPr="004E2724">
              <w:rPr>
                <w:noProof/>
              </w:rPr>
              <w:t>-</w:t>
            </w:r>
          </w:p>
        </w:tc>
        <w:tc>
          <w:tcPr>
            <w:tcW w:w="1559" w:type="dxa"/>
            <w:gridSpan w:val="2"/>
            <w:tcBorders>
              <w:bottom w:val="nil"/>
            </w:tcBorders>
          </w:tcPr>
          <w:p w:rsidR="00156A44" w:rsidRPr="004E2724" w:rsidRDefault="00156A44" w:rsidP="00F958C0">
            <w:pPr>
              <w:pStyle w:val="Fichefinanciretextetable"/>
              <w:keepNext/>
              <w:jc w:val="center"/>
              <w:rPr>
                <w:noProof/>
              </w:rPr>
            </w:pPr>
          </w:p>
        </w:tc>
        <w:tc>
          <w:tcPr>
            <w:tcW w:w="1701" w:type="dxa"/>
            <w:gridSpan w:val="2"/>
            <w:tcBorders>
              <w:bottom w:val="nil"/>
            </w:tcBorders>
          </w:tcPr>
          <w:p w:rsidR="00156A44" w:rsidRPr="004E2724" w:rsidRDefault="00156A44" w:rsidP="00F958C0">
            <w:pPr>
              <w:pStyle w:val="Fichefinanciretextetable"/>
              <w:keepNext/>
              <w:jc w:val="center"/>
              <w:rPr>
                <w:noProof/>
              </w:rPr>
            </w:pPr>
          </w:p>
        </w:tc>
      </w:tr>
      <w:tr w:rsidR="00156A44" w:rsidRPr="004E2724" w:rsidTr="00F252A0">
        <w:tc>
          <w:tcPr>
            <w:tcW w:w="567" w:type="dxa"/>
            <w:tcBorders>
              <w:top w:val="nil"/>
              <w:right w:val="nil"/>
            </w:tcBorders>
          </w:tcPr>
          <w:p w:rsidR="00156A44" w:rsidRPr="004E2724" w:rsidRDefault="00156A44" w:rsidP="00F958C0">
            <w:pPr>
              <w:pStyle w:val="Fichefinanciretextetable"/>
              <w:keepNext/>
              <w:rPr>
                <w:noProof/>
              </w:rPr>
            </w:pPr>
            <w:r w:rsidRPr="004E2724">
              <w:rPr>
                <w:noProof/>
              </w:rPr>
              <w:t>5.1.1</w:t>
            </w:r>
          </w:p>
        </w:tc>
        <w:tc>
          <w:tcPr>
            <w:tcW w:w="3884" w:type="dxa"/>
            <w:tcBorders>
              <w:top w:val="nil"/>
              <w:left w:val="nil"/>
            </w:tcBorders>
          </w:tcPr>
          <w:p w:rsidR="00156A44" w:rsidRPr="004E2724" w:rsidRDefault="00156A44" w:rsidP="00F958C0">
            <w:pPr>
              <w:pStyle w:val="Fichefinanciretextetable"/>
              <w:keepNext/>
              <w:rPr>
                <w:noProof/>
              </w:rPr>
            </w:pPr>
            <w:r w:rsidRPr="004E2724">
              <w:rPr>
                <w:noProof/>
              </w:rPr>
              <w:t>VORAUSSICHTLICHE EINNAHMEN</w:t>
            </w:r>
          </w:p>
        </w:tc>
        <w:tc>
          <w:tcPr>
            <w:tcW w:w="1417" w:type="dxa"/>
            <w:tcBorders>
              <w:top w:val="nil"/>
            </w:tcBorders>
          </w:tcPr>
          <w:p w:rsidR="00156A44" w:rsidRPr="004E2724" w:rsidRDefault="00156A44" w:rsidP="00F958C0">
            <w:pPr>
              <w:pStyle w:val="Fichefinanciretextetable"/>
              <w:keepNext/>
              <w:jc w:val="center"/>
              <w:rPr>
                <w:noProof/>
              </w:rPr>
            </w:pPr>
          </w:p>
        </w:tc>
        <w:tc>
          <w:tcPr>
            <w:tcW w:w="1559" w:type="dxa"/>
            <w:gridSpan w:val="2"/>
            <w:tcBorders>
              <w:top w:val="nil"/>
            </w:tcBorders>
          </w:tcPr>
          <w:p w:rsidR="00156A44" w:rsidRPr="004E2724" w:rsidRDefault="00156A44" w:rsidP="00F958C0">
            <w:pPr>
              <w:pStyle w:val="Fichefinanciretextetable"/>
              <w:keepNext/>
              <w:jc w:val="center"/>
              <w:rPr>
                <w:noProof/>
              </w:rPr>
            </w:pPr>
          </w:p>
        </w:tc>
        <w:tc>
          <w:tcPr>
            <w:tcW w:w="1701" w:type="dxa"/>
            <w:gridSpan w:val="2"/>
            <w:tcBorders>
              <w:top w:val="nil"/>
            </w:tcBorders>
          </w:tcPr>
          <w:p w:rsidR="00156A44" w:rsidRPr="004E2724" w:rsidRDefault="00156A44" w:rsidP="00F958C0">
            <w:pPr>
              <w:pStyle w:val="Fichefinanciretextetable"/>
              <w:keepNext/>
              <w:jc w:val="center"/>
              <w:rPr>
                <w:noProof/>
              </w:rPr>
            </w:pPr>
          </w:p>
        </w:tc>
      </w:tr>
      <w:tr w:rsidR="00156A44" w:rsidRPr="004E2724" w:rsidTr="00F252A0">
        <w:tc>
          <w:tcPr>
            <w:tcW w:w="567" w:type="dxa"/>
            <w:tcBorders>
              <w:right w:val="nil"/>
            </w:tcBorders>
          </w:tcPr>
          <w:p w:rsidR="00156A44" w:rsidRPr="004E2724" w:rsidRDefault="00156A44" w:rsidP="00F958C0">
            <w:pPr>
              <w:pStyle w:val="Fichefinanciretextetable"/>
              <w:keepNext/>
              <w:rPr>
                <w:noProof/>
              </w:rPr>
            </w:pPr>
            <w:r w:rsidRPr="004E2724">
              <w:rPr>
                <w:noProof/>
              </w:rPr>
              <w:t>5.2</w:t>
            </w:r>
          </w:p>
        </w:tc>
        <w:tc>
          <w:tcPr>
            <w:tcW w:w="8561" w:type="dxa"/>
            <w:gridSpan w:val="6"/>
            <w:tcBorders>
              <w:left w:val="nil"/>
            </w:tcBorders>
          </w:tcPr>
          <w:p w:rsidR="00156A44" w:rsidRPr="004E2724" w:rsidRDefault="00156A44" w:rsidP="00F958C0">
            <w:pPr>
              <w:pStyle w:val="Fichefinanciretextetable"/>
              <w:keepNext/>
              <w:spacing w:before="60" w:after="60"/>
              <w:rPr>
                <w:noProof/>
              </w:rPr>
            </w:pPr>
            <w:r w:rsidRPr="004E2724">
              <w:rPr>
                <w:noProof/>
              </w:rPr>
              <w:t>BERECHNUNGSWEISE: Basierend auf der Annahme einer geschätzten Zahl der Stimmen der EU (schwankt von Jahr zu Jahr) und einem geschätzten zu zahlenden Betrag je Stimme in GBP.</w:t>
            </w:r>
          </w:p>
        </w:tc>
      </w:tr>
      <w:tr w:rsidR="00156A44" w:rsidRPr="004E2724" w:rsidTr="00F252A0">
        <w:tc>
          <w:tcPr>
            <w:tcW w:w="567" w:type="dxa"/>
            <w:tcBorders>
              <w:bottom w:val="nil"/>
              <w:right w:val="nil"/>
            </w:tcBorders>
          </w:tcPr>
          <w:p w:rsidR="00156A44" w:rsidRPr="004E2724" w:rsidRDefault="00156A44" w:rsidP="00F958C0">
            <w:pPr>
              <w:pStyle w:val="Fichefinanciretextetable"/>
              <w:keepNext/>
              <w:rPr>
                <w:noProof/>
              </w:rPr>
            </w:pPr>
            <w:r w:rsidRPr="004E2724">
              <w:rPr>
                <w:noProof/>
              </w:rPr>
              <w:t>6.0</w:t>
            </w:r>
          </w:p>
        </w:tc>
        <w:tc>
          <w:tcPr>
            <w:tcW w:w="7711" w:type="dxa"/>
            <w:gridSpan w:val="5"/>
            <w:tcBorders>
              <w:left w:val="nil"/>
              <w:right w:val="nil"/>
            </w:tcBorders>
          </w:tcPr>
          <w:p w:rsidR="00156A44" w:rsidRPr="004E2724" w:rsidRDefault="00156A44" w:rsidP="00F958C0">
            <w:pPr>
              <w:pStyle w:val="Fichefinanciretextetable"/>
              <w:keepNext/>
              <w:spacing w:before="60" w:after="60"/>
              <w:rPr>
                <w:noProof/>
              </w:rPr>
            </w:pPr>
            <w:r w:rsidRPr="004E2724">
              <w:rPr>
                <w:noProof/>
              </w:rPr>
              <w:t>IST EINE FINANZIERUNG ZULASTEN DER MITTEL MÖGLICH, DIE IM LAUFENDEN HAUSHALTSJAHR BEI DEM BETREFFENDEN KAPITEL EINGESETZT WURDEN?</w:t>
            </w:r>
          </w:p>
        </w:tc>
        <w:tc>
          <w:tcPr>
            <w:tcW w:w="850" w:type="dxa"/>
            <w:tcBorders>
              <w:left w:val="nil"/>
              <w:bottom w:val="nil"/>
            </w:tcBorders>
          </w:tcPr>
          <w:p w:rsidR="00156A44" w:rsidRPr="004E2724" w:rsidRDefault="00156A44" w:rsidP="00F958C0">
            <w:pPr>
              <w:pStyle w:val="Fichefinanciretextetable"/>
              <w:keepNext/>
              <w:jc w:val="center"/>
              <w:rPr>
                <w:noProof/>
              </w:rPr>
            </w:pPr>
            <w:r w:rsidRPr="004E2724">
              <w:rPr>
                <w:noProof/>
              </w:rPr>
              <w:t xml:space="preserve">JA </w:t>
            </w:r>
          </w:p>
        </w:tc>
      </w:tr>
      <w:tr w:rsidR="00156A44" w:rsidRPr="004E2724" w:rsidTr="00F252A0">
        <w:tc>
          <w:tcPr>
            <w:tcW w:w="567" w:type="dxa"/>
            <w:tcBorders>
              <w:bottom w:val="nil"/>
              <w:right w:val="nil"/>
            </w:tcBorders>
          </w:tcPr>
          <w:p w:rsidR="00156A44" w:rsidRPr="004E2724" w:rsidRDefault="00156A44" w:rsidP="00F958C0">
            <w:pPr>
              <w:pStyle w:val="Fichefinanciretextetable"/>
              <w:keepNext/>
              <w:rPr>
                <w:noProof/>
              </w:rPr>
            </w:pPr>
            <w:r w:rsidRPr="004E2724">
              <w:rPr>
                <w:noProof/>
              </w:rPr>
              <w:t>6.1</w:t>
            </w:r>
          </w:p>
        </w:tc>
        <w:tc>
          <w:tcPr>
            <w:tcW w:w="7711" w:type="dxa"/>
            <w:gridSpan w:val="5"/>
            <w:tcBorders>
              <w:left w:val="nil"/>
              <w:right w:val="nil"/>
            </w:tcBorders>
          </w:tcPr>
          <w:p w:rsidR="00156A44" w:rsidRPr="004E2724" w:rsidRDefault="00156A44" w:rsidP="00F958C0">
            <w:pPr>
              <w:pStyle w:val="Fichefinanciretextetable"/>
              <w:keepNext/>
              <w:spacing w:before="60" w:after="60"/>
              <w:rPr>
                <w:noProof/>
              </w:rPr>
            </w:pPr>
            <w:r w:rsidRPr="004E2724">
              <w:rPr>
                <w:noProof/>
              </w:rPr>
              <w:t>IST EINE FINANZIERUNG IM WEGE EINER MITTELÜBERTRAGUNG ZWISCHEN KAPITELN IM LAUFENDEN HAUSHALTSJAHR MÖGLICH?</w:t>
            </w:r>
          </w:p>
        </w:tc>
        <w:tc>
          <w:tcPr>
            <w:tcW w:w="850" w:type="dxa"/>
            <w:tcBorders>
              <w:left w:val="nil"/>
              <w:bottom w:val="nil"/>
            </w:tcBorders>
          </w:tcPr>
          <w:p w:rsidR="00156A44" w:rsidRPr="004E2724" w:rsidRDefault="00156A44" w:rsidP="00F958C0">
            <w:pPr>
              <w:pStyle w:val="Fichefinanciretextetable"/>
              <w:keepNext/>
              <w:jc w:val="center"/>
              <w:rPr>
                <w:noProof/>
              </w:rPr>
            </w:pPr>
            <w:r w:rsidRPr="004E2724">
              <w:rPr>
                <w:noProof/>
              </w:rPr>
              <w:t>-</w:t>
            </w:r>
          </w:p>
        </w:tc>
      </w:tr>
      <w:tr w:rsidR="00156A44" w:rsidRPr="004E2724" w:rsidTr="00F252A0">
        <w:tc>
          <w:tcPr>
            <w:tcW w:w="567" w:type="dxa"/>
            <w:tcBorders>
              <w:bottom w:val="nil"/>
              <w:right w:val="nil"/>
            </w:tcBorders>
          </w:tcPr>
          <w:p w:rsidR="00156A44" w:rsidRPr="004E2724" w:rsidRDefault="00156A44" w:rsidP="00F958C0">
            <w:pPr>
              <w:pStyle w:val="Fichefinanciretextetable"/>
              <w:keepNext/>
              <w:rPr>
                <w:noProof/>
              </w:rPr>
            </w:pPr>
            <w:r w:rsidRPr="004E2724">
              <w:rPr>
                <w:noProof/>
              </w:rPr>
              <w:t>6.2</w:t>
            </w:r>
          </w:p>
        </w:tc>
        <w:tc>
          <w:tcPr>
            <w:tcW w:w="7711" w:type="dxa"/>
            <w:gridSpan w:val="5"/>
            <w:tcBorders>
              <w:left w:val="nil"/>
              <w:right w:val="nil"/>
            </w:tcBorders>
          </w:tcPr>
          <w:p w:rsidR="00156A44" w:rsidRPr="004E2724" w:rsidRDefault="00156A44" w:rsidP="00F958C0">
            <w:pPr>
              <w:pStyle w:val="Fichefinanciretextetable"/>
              <w:keepNext/>
              <w:spacing w:before="60" w:after="60"/>
              <w:rPr>
                <w:noProof/>
              </w:rPr>
            </w:pPr>
            <w:r w:rsidRPr="004E2724">
              <w:rPr>
                <w:noProof/>
              </w:rPr>
              <w:t>IST EIN NACHTRAGSHAUSHALT ERFORDERLICH?</w:t>
            </w:r>
          </w:p>
        </w:tc>
        <w:tc>
          <w:tcPr>
            <w:tcW w:w="850" w:type="dxa"/>
            <w:tcBorders>
              <w:left w:val="nil"/>
              <w:bottom w:val="nil"/>
            </w:tcBorders>
          </w:tcPr>
          <w:p w:rsidR="00156A44" w:rsidRPr="004E2724" w:rsidRDefault="00156A44" w:rsidP="00F958C0">
            <w:pPr>
              <w:pStyle w:val="Fichefinanciretextetable"/>
              <w:keepNext/>
              <w:jc w:val="center"/>
              <w:rPr>
                <w:noProof/>
              </w:rPr>
            </w:pPr>
            <w:r w:rsidRPr="004E2724">
              <w:rPr>
                <w:noProof/>
              </w:rPr>
              <w:t>-</w:t>
            </w:r>
          </w:p>
        </w:tc>
      </w:tr>
      <w:tr w:rsidR="00156A44" w:rsidRPr="004E2724" w:rsidTr="00F252A0">
        <w:tc>
          <w:tcPr>
            <w:tcW w:w="567" w:type="dxa"/>
            <w:tcBorders>
              <w:right w:val="nil"/>
            </w:tcBorders>
          </w:tcPr>
          <w:p w:rsidR="00156A44" w:rsidRPr="004E2724" w:rsidRDefault="00156A44" w:rsidP="00F958C0">
            <w:pPr>
              <w:pStyle w:val="Fichefinanciretextetable"/>
              <w:keepNext/>
              <w:rPr>
                <w:noProof/>
              </w:rPr>
            </w:pPr>
            <w:r w:rsidRPr="004E2724">
              <w:rPr>
                <w:noProof/>
              </w:rPr>
              <w:t>6.3</w:t>
            </w:r>
          </w:p>
        </w:tc>
        <w:tc>
          <w:tcPr>
            <w:tcW w:w="7711" w:type="dxa"/>
            <w:gridSpan w:val="5"/>
            <w:tcBorders>
              <w:left w:val="nil"/>
              <w:right w:val="nil"/>
            </w:tcBorders>
          </w:tcPr>
          <w:p w:rsidR="00156A44" w:rsidRPr="004E2724" w:rsidRDefault="00156A44" w:rsidP="00F958C0">
            <w:pPr>
              <w:pStyle w:val="Fichefinanciretextetable"/>
              <w:keepNext/>
              <w:spacing w:before="60" w:after="60"/>
              <w:rPr>
                <w:noProof/>
              </w:rPr>
            </w:pPr>
            <w:r w:rsidRPr="004E2724">
              <w:rPr>
                <w:noProof/>
              </w:rPr>
              <w:t>SIND MITTEL IN KÜNFTIGE HAUSHALTSPLÄNE EINZUSETZEN?</w:t>
            </w:r>
          </w:p>
        </w:tc>
        <w:tc>
          <w:tcPr>
            <w:tcW w:w="850" w:type="dxa"/>
            <w:tcBorders>
              <w:left w:val="nil"/>
            </w:tcBorders>
          </w:tcPr>
          <w:p w:rsidR="00156A44" w:rsidRPr="004E2724" w:rsidRDefault="00156A44" w:rsidP="00F958C0">
            <w:pPr>
              <w:pStyle w:val="Fichefinanciretextetable"/>
              <w:keepNext/>
              <w:jc w:val="center"/>
              <w:rPr>
                <w:noProof/>
              </w:rPr>
            </w:pPr>
            <w:r w:rsidRPr="004E2724">
              <w:rPr>
                <w:noProof/>
              </w:rPr>
              <w:t xml:space="preserve">JA </w:t>
            </w:r>
          </w:p>
        </w:tc>
      </w:tr>
      <w:tr w:rsidR="00156A44" w:rsidRPr="004E2724" w:rsidTr="00F252A0">
        <w:tc>
          <w:tcPr>
            <w:tcW w:w="9128" w:type="dxa"/>
            <w:gridSpan w:val="7"/>
          </w:tcPr>
          <w:p w:rsidR="00156A44" w:rsidRPr="004E2724" w:rsidRDefault="00156A44" w:rsidP="00F958C0">
            <w:pPr>
              <w:pStyle w:val="Fichefinanciretextetable"/>
              <w:keepNext/>
              <w:rPr>
                <w:noProof/>
              </w:rPr>
            </w:pPr>
            <w:r w:rsidRPr="004E2724">
              <w:rPr>
                <w:noProof/>
              </w:rPr>
              <w:t>BEMERKUNGEN:</w:t>
            </w:r>
          </w:p>
          <w:p w:rsidR="00156A44" w:rsidRPr="004E2724" w:rsidRDefault="00156A44" w:rsidP="00F958C0">
            <w:pPr>
              <w:keepNext/>
              <w:autoSpaceDE w:val="0"/>
              <w:autoSpaceDN w:val="0"/>
              <w:adjustRightInd w:val="0"/>
              <w:rPr>
                <w:noProof/>
                <w:sz w:val="20"/>
              </w:rPr>
            </w:pPr>
            <w:r w:rsidRPr="004E2724">
              <w:rPr>
                <w:noProof/>
                <w:sz w:val="20"/>
              </w:rPr>
              <w:t>Die Beträge für 2026 und 2027 hängen von der Verfügbarkeit von Haushaltsmitteln ab.</w:t>
            </w:r>
          </w:p>
          <w:p w:rsidR="00156A44" w:rsidRPr="004E2724" w:rsidRDefault="00156A44" w:rsidP="00F958C0">
            <w:pPr>
              <w:keepNext/>
              <w:autoSpaceDE w:val="0"/>
              <w:autoSpaceDN w:val="0"/>
              <w:adjustRightInd w:val="0"/>
              <w:rPr>
                <w:noProof/>
                <w:sz w:val="20"/>
              </w:rPr>
            </w:pPr>
            <w:r w:rsidRPr="004E2724">
              <w:rPr>
                <w:noProof/>
                <w:sz w:val="20"/>
              </w:rPr>
              <w:t xml:space="preserve">Der jährliche Beitrag der EU wird in GBP gezahlt. Der tatsächlich zu zahlende Betrag richtet sich nach der Zahl der Stimmen, die der EU letztlich zugewiesen werden, dem je Stimme zu zahlenden Betrag und dem Wechselkurs EUR/GBP. </w:t>
            </w:r>
          </w:p>
          <w:p w:rsidR="00156A44" w:rsidRPr="004E2724" w:rsidRDefault="00156A44" w:rsidP="00F252A0">
            <w:pPr>
              <w:autoSpaceDE w:val="0"/>
              <w:autoSpaceDN w:val="0"/>
              <w:adjustRightInd w:val="0"/>
              <w:rPr>
                <w:noProof/>
              </w:rPr>
            </w:pPr>
            <w:r w:rsidRPr="004E2724">
              <w:rPr>
                <w:noProof/>
                <w:sz w:val="20"/>
              </w:rPr>
              <w:t>Wenn das hohe Inflationsniveau fortbesteht, kann der Beitrag für die Jahre 2025/26 und 2026/27 leicht steigen.</w:t>
            </w:r>
          </w:p>
        </w:tc>
      </w:tr>
    </w:tbl>
    <w:p w:rsidR="00A93BF2" w:rsidRPr="004E2724" w:rsidRDefault="00A93BF2" w:rsidP="000365D9">
      <w:pPr>
        <w:rPr>
          <w:noProof/>
        </w:rPr>
      </w:pPr>
    </w:p>
    <w:sectPr w:rsidR="00A93BF2" w:rsidRPr="004E2724" w:rsidSect="009641F3">
      <w:footnotePr>
        <w:numRestart w:val="eachSect"/>
      </w:footnotePr>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5DD3" w:rsidRDefault="00555DD3" w:rsidP="00A93BF2">
      <w:pPr>
        <w:spacing w:before="0" w:after="0"/>
      </w:pPr>
      <w:r>
        <w:separator/>
      </w:r>
    </w:p>
  </w:endnote>
  <w:endnote w:type="continuationSeparator" w:id="0">
    <w:p w:rsidR="00555DD3" w:rsidRDefault="00555DD3" w:rsidP="00A93BF2">
      <w:pPr>
        <w:spacing w:before="0" w:after="0"/>
      </w:pPr>
      <w:r>
        <w:continuationSeparator/>
      </w:r>
    </w:p>
  </w:endnote>
  <w:endnote w:type="continuationNotice" w:id="1">
    <w:p w:rsidR="00555DD3" w:rsidRDefault="00555DD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1F3" w:rsidRPr="009641F3" w:rsidRDefault="009641F3" w:rsidP="009641F3">
    <w:pPr>
      <w:pStyle w:val="Footer"/>
      <w:rPr>
        <w:rFonts w:ascii="Arial" w:hAnsi="Arial" w:cs="Arial"/>
        <w:b/>
        <w:sz w:val="48"/>
      </w:rPr>
    </w:pPr>
    <w:r w:rsidRPr="009641F3">
      <w:rPr>
        <w:rFonts w:ascii="Arial" w:hAnsi="Arial" w:cs="Arial"/>
        <w:b/>
        <w:sz w:val="48"/>
      </w:rPr>
      <w:t>DE</w:t>
    </w:r>
    <w:r w:rsidRPr="009641F3">
      <w:rPr>
        <w:rFonts w:ascii="Arial" w:hAnsi="Arial" w:cs="Arial"/>
        <w:b/>
        <w:sz w:val="48"/>
      </w:rPr>
      <w:tab/>
    </w:r>
    <w:r w:rsidRPr="009641F3">
      <w:rPr>
        <w:rFonts w:ascii="Arial" w:hAnsi="Arial" w:cs="Arial"/>
        <w:b/>
        <w:sz w:val="48"/>
      </w:rPr>
      <w:tab/>
    </w:r>
    <w:r w:rsidRPr="009641F3">
      <w:tab/>
    </w:r>
    <w:r w:rsidRPr="009641F3">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1F3" w:rsidRPr="009641F3" w:rsidRDefault="009641F3" w:rsidP="009641F3">
    <w:pPr>
      <w:pStyle w:val="Footer"/>
      <w:rPr>
        <w:rFonts w:ascii="Arial" w:hAnsi="Arial" w:cs="Arial"/>
        <w:b/>
        <w:sz w:val="48"/>
      </w:rPr>
    </w:pPr>
    <w:r w:rsidRPr="009641F3">
      <w:rPr>
        <w:rFonts w:ascii="Arial" w:hAnsi="Arial" w:cs="Arial"/>
        <w:b/>
        <w:sz w:val="48"/>
      </w:rPr>
      <w:t>DE</w:t>
    </w:r>
    <w:r w:rsidRPr="009641F3">
      <w:rPr>
        <w:rFonts w:ascii="Arial" w:hAnsi="Arial" w:cs="Arial"/>
        <w:b/>
        <w:sz w:val="48"/>
      </w:rPr>
      <w:tab/>
    </w:r>
    <w:r w:rsidRPr="009641F3">
      <w:rPr>
        <w:rFonts w:ascii="Arial" w:hAnsi="Arial" w:cs="Arial"/>
        <w:b/>
        <w:sz w:val="48"/>
      </w:rPr>
      <w:tab/>
    </w:r>
    <w:r w:rsidRPr="009641F3">
      <w:tab/>
    </w:r>
    <w:r w:rsidRPr="009641F3">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1F3" w:rsidRDefault="009641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1F3" w:rsidRPr="009641F3" w:rsidRDefault="009641F3" w:rsidP="009641F3">
    <w:pPr>
      <w:pStyle w:val="Footer"/>
      <w:rPr>
        <w:rFonts w:ascii="Arial" w:hAnsi="Arial" w:cs="Arial"/>
        <w:b/>
        <w:sz w:val="48"/>
      </w:rPr>
    </w:pPr>
    <w:r w:rsidRPr="009641F3">
      <w:rPr>
        <w:rFonts w:ascii="Arial" w:hAnsi="Arial" w:cs="Arial"/>
        <w:b/>
        <w:sz w:val="48"/>
      </w:rPr>
      <w:t>DE</w:t>
    </w:r>
    <w:r w:rsidRPr="009641F3">
      <w:rPr>
        <w:rFonts w:ascii="Arial" w:hAnsi="Arial" w:cs="Arial"/>
        <w:b/>
        <w:sz w:val="48"/>
      </w:rPr>
      <w:tab/>
    </w:r>
    <w:r>
      <w:fldChar w:fldCharType="begin"/>
    </w:r>
    <w:r>
      <w:instrText xml:space="preserve"> PAGE  \* MERGEFORMAT </w:instrText>
    </w:r>
    <w:r>
      <w:fldChar w:fldCharType="separate"/>
    </w:r>
    <w:r w:rsidR="00F958C0">
      <w:rPr>
        <w:noProof/>
      </w:rPr>
      <w:t>6</w:t>
    </w:r>
    <w:r>
      <w:fldChar w:fldCharType="end"/>
    </w:r>
    <w:r>
      <w:tab/>
    </w:r>
    <w:r w:rsidRPr="009641F3">
      <w:tab/>
    </w:r>
    <w:r w:rsidRPr="009641F3">
      <w:rPr>
        <w:rFonts w:ascii="Arial" w:hAnsi="Arial" w:cs="Arial"/>
        <w:b/>
        <w:sz w:val="48"/>
      </w:rPr>
      <w:t>DE</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1F3" w:rsidRDefault="009641F3" w:rsidP="009641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5DD3" w:rsidRDefault="00555DD3" w:rsidP="00A93BF2">
      <w:pPr>
        <w:spacing w:before="0" w:after="0"/>
      </w:pPr>
      <w:r>
        <w:separator/>
      </w:r>
    </w:p>
  </w:footnote>
  <w:footnote w:type="continuationSeparator" w:id="0">
    <w:p w:rsidR="00555DD3" w:rsidRDefault="00555DD3" w:rsidP="00A93BF2">
      <w:pPr>
        <w:spacing w:before="0" w:after="0"/>
      </w:pPr>
      <w:r>
        <w:continuationSeparator/>
      </w:r>
    </w:p>
  </w:footnote>
  <w:footnote w:type="continuationNotice" w:id="1">
    <w:p w:rsidR="00555DD3" w:rsidRDefault="00555DD3">
      <w:pPr>
        <w:spacing w:before="0" w:after="0"/>
      </w:pPr>
    </w:p>
  </w:footnote>
  <w:footnote w:id="2">
    <w:p w:rsidR="00001419" w:rsidRPr="004E2724" w:rsidRDefault="00001419">
      <w:pPr>
        <w:pStyle w:val="FootnoteText"/>
      </w:pPr>
      <w:r>
        <w:rPr>
          <w:rStyle w:val="FootnoteReference"/>
        </w:rPr>
        <w:footnoteRef/>
      </w:r>
      <w:r w:rsidRPr="004E2724">
        <w:tab/>
        <w:t>Beschluss 96/88/EG des Rates vom 19. Dezember 1995 betreffend die Genehmigung der Internationalen Getreide-Übereinkunft von 1995, bestehend aus dem Getreidehandels-Übereinkommen und dem Nahrungsmittelhilfe-Übereinkommen durch die Europäische Gemeinschaft (ABl. L 21 vom 27.1.1996, S. 47).</w:t>
      </w:r>
    </w:p>
  </w:footnote>
  <w:footnote w:id="3">
    <w:p w:rsidR="007A5E85" w:rsidRPr="004E2724" w:rsidRDefault="007A5E85">
      <w:pPr>
        <w:pStyle w:val="FootnoteText"/>
      </w:pPr>
      <w:r>
        <w:rPr>
          <w:rStyle w:val="FootnoteReference"/>
        </w:rPr>
        <w:footnoteRef/>
      </w:r>
      <w:r w:rsidRPr="004E2724">
        <w:tab/>
        <w:t xml:space="preserve">Beschluss (EU) 2023/991 des Rates vom 15. Mai 2023 über den Standpunkt, der im Namen der Europäischen Union im Internationalen Getreiderat in Bezug auf die Verlängerung des Getreidehandels-Übereinkommens von 1995 zu vertreten ist (ABl. L 135 vom 23.5.2023, S. 114, ELI: </w:t>
      </w:r>
      <w:hyperlink r:id="rId1" w:history="1">
        <w:r w:rsidRPr="004E2724">
          <w:rPr>
            <w:rStyle w:val="Hyperlink"/>
          </w:rPr>
          <w:t>http://data.europa.eu/eli/dec/2023/991/oj</w:t>
        </w:r>
      </w:hyperlink>
      <w:r w:rsidRPr="004E2724">
        <w:t>).</w:t>
      </w:r>
    </w:p>
    <w:p w:rsidR="00262CEE" w:rsidRPr="004E2724" w:rsidRDefault="00262CEE">
      <w:pPr>
        <w:pStyle w:val="FootnoteText"/>
      </w:pPr>
      <w:r w:rsidRPr="004E2724">
        <w:rPr>
          <w:vertAlign w:val="superscript"/>
        </w:rPr>
        <w:t>3</w:t>
      </w:r>
      <w:r w:rsidR="004E2724">
        <w:rPr>
          <w:vertAlign w:val="superscript"/>
        </w:rPr>
        <w:tab/>
      </w:r>
      <w:r w:rsidRPr="004E2724">
        <w:t>ABl. L 21 vom 27.1.1996, S. 47.</w:t>
      </w:r>
    </w:p>
    <w:p w:rsidR="003C134C" w:rsidRPr="004E2724" w:rsidRDefault="003C134C">
      <w:pPr>
        <w:pStyle w:val="FootnoteText"/>
      </w:pPr>
      <w:r w:rsidRPr="004E2724">
        <w:rPr>
          <w:vertAlign w:val="superscript"/>
        </w:rPr>
        <w:t>4</w:t>
      </w:r>
      <w:r w:rsidR="004E2724">
        <w:rPr>
          <w:vertAlign w:val="superscript"/>
        </w:rPr>
        <w:tab/>
      </w:r>
      <w:r w:rsidRPr="004E2724">
        <w:t>Der Internationale Getreiderat arbeitet auf Grundlage von Haushaltsjahren, die vom 1. Juli bis zum 30. Juni laufen.</w:t>
      </w:r>
    </w:p>
    <w:p w:rsidR="003C134C" w:rsidRPr="004E2724" w:rsidRDefault="003C134C">
      <w:pPr>
        <w:pStyle w:val="FootnoteText"/>
      </w:pPr>
      <w:r w:rsidRPr="004E2724">
        <w:rPr>
          <w:vertAlign w:val="superscript"/>
        </w:rPr>
        <w:t>5</w:t>
      </w:r>
      <w:r w:rsidR="004E2724">
        <w:rPr>
          <w:vertAlign w:val="superscript"/>
        </w:rPr>
        <w:tab/>
      </w:r>
      <w:r w:rsidRPr="004E2724">
        <w:t>ABl. L 21 vom 27.1.1996, S. 47.</w:t>
      </w:r>
    </w:p>
    <w:p w:rsidR="003C134C" w:rsidRPr="004E2724" w:rsidRDefault="003C134C">
      <w:pPr>
        <w:pStyle w:val="FootnoteText"/>
      </w:pPr>
      <w:r w:rsidRPr="004E2724">
        <w:rPr>
          <w:vertAlign w:val="superscript"/>
        </w:rPr>
        <w:t>6</w:t>
      </w:r>
      <w:r w:rsidRPr="004E2724">
        <w:tab/>
        <w:t>Urteil des Gerichtshofs vom 7. Oktober 2014, Deutschland/Rat, C-399/12, ECLI:EU:C:2014:2258, Rn. 63 und 64.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1F3" w:rsidRDefault="009641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41F3" w:rsidRDefault="009641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2"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7"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9"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1"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7"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8"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0"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1"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2"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4"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5"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7"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29"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0"/>
  </w:num>
  <w:num w:numId="2">
    <w:abstractNumId w:val="20"/>
  </w:num>
  <w:num w:numId="3">
    <w:abstractNumId w:val="8"/>
  </w:num>
  <w:num w:numId="4">
    <w:abstractNumId w:val="17"/>
  </w:num>
  <w:num w:numId="5">
    <w:abstractNumId w:val="16"/>
  </w:num>
  <w:num w:numId="6">
    <w:abstractNumId w:val="27"/>
  </w:num>
  <w:num w:numId="7">
    <w:abstractNumId w:val="24"/>
  </w:num>
  <w:num w:numId="8">
    <w:abstractNumId w:val="28"/>
  </w:num>
  <w:num w:numId="9">
    <w:abstractNumId w:val="29"/>
  </w:num>
  <w:num w:numId="10">
    <w:abstractNumId w:val="1"/>
  </w:num>
  <w:num w:numId="11">
    <w:abstractNumId w:val="10"/>
  </w:num>
  <w:num w:numId="12">
    <w:abstractNumId w:val="2"/>
  </w:num>
  <w:num w:numId="13">
    <w:abstractNumId w:val="11"/>
  </w:num>
  <w:num w:numId="14">
    <w:abstractNumId w:val="9"/>
  </w:num>
  <w:num w:numId="15">
    <w:abstractNumId w:val="18"/>
  </w:num>
  <w:num w:numId="16">
    <w:abstractNumId w:val="7"/>
  </w:num>
  <w:num w:numId="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num>
  <w:num w:numId="19">
    <w:abstractNumId w:val="30"/>
    <w:lvlOverride w:ilvl="0">
      <w:startOverride w:val="1"/>
    </w:lvlOverride>
  </w:num>
  <w:num w:numId="20">
    <w:abstractNumId w:val="23"/>
  </w:num>
  <w:num w:numId="21">
    <w:abstractNumId w:val="12"/>
  </w:num>
  <w:num w:numId="22">
    <w:abstractNumId w:val="26"/>
  </w:num>
  <w:num w:numId="23">
    <w:abstractNumId w:val="6"/>
  </w:num>
  <w:num w:numId="24">
    <w:abstractNumId w:val="13"/>
  </w:num>
  <w:num w:numId="25">
    <w:abstractNumId w:val="14"/>
  </w:num>
  <w:num w:numId="26">
    <w:abstractNumId w:val="4"/>
  </w:num>
  <w:num w:numId="27">
    <w:abstractNumId w:val="25"/>
  </w:num>
  <w:num w:numId="28">
    <w:abstractNumId w:val="3"/>
  </w:num>
  <w:num w:numId="29">
    <w:abstractNumId w:val="15"/>
  </w:num>
  <w:num w:numId="30">
    <w:abstractNumId w:val="21"/>
  </w:num>
  <w:num w:numId="31">
    <w:abstractNumId w:val="22"/>
  </w:num>
  <w:num w:numId="32">
    <w:abstractNumId w:val="5"/>
  </w:num>
  <w:num w:numId="33">
    <w:abstractNumId w:val="19"/>
  </w:num>
  <w:num w:numId="34">
    <w:abstractNumId w:val="30"/>
  </w:num>
  <w:num w:numId="35">
    <w:abstractNumId w:val="15"/>
    <w:lvlOverride w:ilvl="0">
      <w:startOverride w:val="1"/>
    </w:lvlOverride>
  </w:num>
  <w:num w:numId="36">
    <w:abstractNumId w:val="23"/>
  </w:num>
  <w:num w:numId="37">
    <w:abstractNumId w:val="12"/>
  </w:num>
  <w:num w:numId="38">
    <w:abstractNumId w:val="26"/>
  </w:num>
  <w:num w:numId="39">
    <w:abstractNumId w:val="6"/>
  </w:num>
  <w:num w:numId="40">
    <w:abstractNumId w:val="13"/>
  </w:num>
  <w:num w:numId="41">
    <w:abstractNumId w:val="14"/>
  </w:num>
  <w:num w:numId="42">
    <w:abstractNumId w:val="4"/>
  </w:num>
  <w:num w:numId="43">
    <w:abstractNumId w:val="25"/>
  </w:num>
  <w:num w:numId="44">
    <w:abstractNumId w:val="3"/>
  </w:num>
  <w:num w:numId="45">
    <w:abstractNumId w:val="15"/>
  </w:num>
  <w:num w:numId="46">
    <w:abstractNumId w:val="21"/>
  </w:num>
  <w:num w:numId="47">
    <w:abstractNumId w:val="22"/>
  </w:num>
  <w:num w:numId="48">
    <w:abstractNumId w:val="5"/>
  </w:num>
  <w:num w:numId="49">
    <w:abstractNumId w:val="19"/>
  </w:num>
  <w:num w:numId="50">
    <w:abstractNumId w:val="3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attachedTemplate r:id="rId1"/>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5-04-09 11:06:45"/>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2F17A26C-0EDD-42AC-BB86-39620E40F0A1"/>
    <w:docVar w:name="LW_COVERPAGE_TYPE" w:val="1"/>
    <w:docVar w:name="LW_CreatedUtc" w:val="2025-01-28T15:33:47.3362563Z"/>
    <w:docVar w:name="LW_CROSSREFERENCE" w:val="&lt;UNUSED&gt;"/>
    <w:docVar w:name="LW_DocType" w:val="COM"/>
    <w:docVar w:name="LW_EMISSION" w:val="9.4.2025"/>
    <w:docVar w:name="LW_EMISSION_ISODATE" w:val="2025-04-09"/>
    <w:docVar w:name="LW_EMISSION_LOCATION" w:val="BRX"/>
    <w:docVar w:name="LW_EMISSION_PREFIX" w:val="Brüssel, den "/>
    <w:docVar w:name="LW_EMISSION_SUFFIX" w:val=" "/>
    <w:docVar w:name="LW_ID_DOCMODEL" w:val="SJ-043"/>
    <w:docVar w:name="LW_ID_DOCSIGNATURE" w:val="SJ-019"/>
    <w:docVar w:name="LW_ID_DOCSTRUCTURE" w:val="COM/PL/ORG"/>
    <w:docVar w:name="LW_ID_DOCTYPE" w:val="SJ-043"/>
    <w:docVar w:name="LW_ID_STATUT" w:val="SJ-019"/>
    <w:docVar w:name="LW_INSERT_EXP.MOTIFS.NEW" w:val="1"/>
    <w:docVar w:name="LW_INTERETEEE.CP" w:val="&lt;UNUSED&gt;"/>
    <w:docVar w:name="LW_LANGUE" w:val="DE"/>
    <w:docVar w:name="LW_LEVEL_OF_SENSITIVITY" w:val="Standard treatment"/>
    <w:docVar w:name="LW_NOM.INST" w:val="EUROPÄISCHE KOMMISSION"/>
    <w:docVar w:name="LW_NOM.INST_JOINTDOC" w:val="&lt;EMPTY&gt;"/>
    <w:docVar w:name="LW_PART_NBR" w:val="1"/>
    <w:docVar w:name="LW_PART_NBR_TOTAL" w:val="1"/>
    <w:docVar w:name="LW_REF.II.NEW.CP" w:val="NLE"/>
    <w:docVar w:name="LW_REF.II.NEW.CP_NUMBER" w:val="0087"/>
    <w:docVar w:name="LW_REF.II.NEW.CP_YEAR" w:val="2025"/>
    <w:docVar w:name="LW_REF.INST.NEW" w:val="COM"/>
    <w:docVar w:name="LW_REF.INST.NEW_ADOPTED" w:val="final"/>
    <w:docVar w:name="LW_REF.INST.NEW_TEXT" w:val="(2025) 16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Vorschlag für einen"/>
    <w:docVar w:name="LW_SUPERTITRE" w:val="&lt;UNUSED&gt;"/>
    <w:docVar w:name="LW_TITRE.OBJ.CP" w:val="über den Standpunkt, der im Namen der Europäischen Union im Internationalen Getreiderat in Bezug auf die Verlängerung des Getreidehandels-Übereinkommens von 1995 zu vertreten ist"/>
    <w:docVar w:name="LW_TYPE.DOC.CP" w:val="BESCHLUSS DES RATES"/>
    <w:docVar w:name="LwApiVersions" w:val="LW4CoDe 1.24.5.0; LW 9.0, Build 20240221"/>
  </w:docVars>
  <w:rsids>
    <w:rsidRoot w:val="00A93BF2"/>
    <w:rsid w:val="00001419"/>
    <w:rsid w:val="0000171C"/>
    <w:rsid w:val="000043D2"/>
    <w:rsid w:val="00005BC6"/>
    <w:rsid w:val="00010744"/>
    <w:rsid w:val="00017CE2"/>
    <w:rsid w:val="000276E3"/>
    <w:rsid w:val="000365D9"/>
    <w:rsid w:val="000369CB"/>
    <w:rsid w:val="000517C5"/>
    <w:rsid w:val="000518A1"/>
    <w:rsid w:val="000600E5"/>
    <w:rsid w:val="00061191"/>
    <w:rsid w:val="000823C7"/>
    <w:rsid w:val="000835E0"/>
    <w:rsid w:val="00083F17"/>
    <w:rsid w:val="000942FD"/>
    <w:rsid w:val="000B46A7"/>
    <w:rsid w:val="000B67C8"/>
    <w:rsid w:val="000C1332"/>
    <w:rsid w:val="000D0F3F"/>
    <w:rsid w:val="000D1649"/>
    <w:rsid w:val="000D55B5"/>
    <w:rsid w:val="000E2AF2"/>
    <w:rsid w:val="000F78A5"/>
    <w:rsid w:val="0010030D"/>
    <w:rsid w:val="001030E0"/>
    <w:rsid w:val="00105D00"/>
    <w:rsid w:val="001065F5"/>
    <w:rsid w:val="00106A3B"/>
    <w:rsid w:val="0010774C"/>
    <w:rsid w:val="00110746"/>
    <w:rsid w:val="00112C68"/>
    <w:rsid w:val="00117389"/>
    <w:rsid w:val="001238EF"/>
    <w:rsid w:val="0012535A"/>
    <w:rsid w:val="00142389"/>
    <w:rsid w:val="00156A44"/>
    <w:rsid w:val="00170E41"/>
    <w:rsid w:val="00174487"/>
    <w:rsid w:val="00174E92"/>
    <w:rsid w:val="00181C14"/>
    <w:rsid w:val="00182391"/>
    <w:rsid w:val="001823A5"/>
    <w:rsid w:val="001858C7"/>
    <w:rsid w:val="0019099F"/>
    <w:rsid w:val="00192608"/>
    <w:rsid w:val="00197613"/>
    <w:rsid w:val="001A02E4"/>
    <w:rsid w:val="001A34D4"/>
    <w:rsid w:val="001A3A40"/>
    <w:rsid w:val="001B145D"/>
    <w:rsid w:val="001B65A6"/>
    <w:rsid w:val="001C6B17"/>
    <w:rsid w:val="001D3504"/>
    <w:rsid w:val="001F5869"/>
    <w:rsid w:val="0020037D"/>
    <w:rsid w:val="00204F03"/>
    <w:rsid w:val="00217EB0"/>
    <w:rsid w:val="00233DC7"/>
    <w:rsid w:val="0024268D"/>
    <w:rsid w:val="00242C67"/>
    <w:rsid w:val="00247779"/>
    <w:rsid w:val="00256803"/>
    <w:rsid w:val="00262CEE"/>
    <w:rsid w:val="002803BD"/>
    <w:rsid w:val="0028071E"/>
    <w:rsid w:val="00285BEE"/>
    <w:rsid w:val="00291C68"/>
    <w:rsid w:val="0029533F"/>
    <w:rsid w:val="002B2165"/>
    <w:rsid w:val="002B30AF"/>
    <w:rsid w:val="002C0858"/>
    <w:rsid w:val="002C3E05"/>
    <w:rsid w:val="002E34D3"/>
    <w:rsid w:val="002E481E"/>
    <w:rsid w:val="002E73CA"/>
    <w:rsid w:val="002F242E"/>
    <w:rsid w:val="002F3E8F"/>
    <w:rsid w:val="002F7493"/>
    <w:rsid w:val="003164B8"/>
    <w:rsid w:val="0033344A"/>
    <w:rsid w:val="0035560B"/>
    <w:rsid w:val="00356E42"/>
    <w:rsid w:val="00375BFB"/>
    <w:rsid w:val="00391E16"/>
    <w:rsid w:val="003C134C"/>
    <w:rsid w:val="003D24B0"/>
    <w:rsid w:val="003D308E"/>
    <w:rsid w:val="003D67D7"/>
    <w:rsid w:val="003D709F"/>
    <w:rsid w:val="003E4774"/>
    <w:rsid w:val="003F6C9A"/>
    <w:rsid w:val="00407FDA"/>
    <w:rsid w:val="0042648E"/>
    <w:rsid w:val="00432522"/>
    <w:rsid w:val="0043559B"/>
    <w:rsid w:val="00442050"/>
    <w:rsid w:val="0044287B"/>
    <w:rsid w:val="0044591A"/>
    <w:rsid w:val="00445A51"/>
    <w:rsid w:val="00450F51"/>
    <w:rsid w:val="00451A6E"/>
    <w:rsid w:val="00457290"/>
    <w:rsid w:val="0048066A"/>
    <w:rsid w:val="0048503B"/>
    <w:rsid w:val="00485422"/>
    <w:rsid w:val="004936D2"/>
    <w:rsid w:val="00493B3C"/>
    <w:rsid w:val="004A1B54"/>
    <w:rsid w:val="004A1E42"/>
    <w:rsid w:val="004A3B30"/>
    <w:rsid w:val="004A7095"/>
    <w:rsid w:val="004B21AA"/>
    <w:rsid w:val="004C0E20"/>
    <w:rsid w:val="004D11B6"/>
    <w:rsid w:val="004D26A0"/>
    <w:rsid w:val="004D3F72"/>
    <w:rsid w:val="004D586C"/>
    <w:rsid w:val="004D7817"/>
    <w:rsid w:val="004E2724"/>
    <w:rsid w:val="004F28EF"/>
    <w:rsid w:val="004F6A93"/>
    <w:rsid w:val="00502F54"/>
    <w:rsid w:val="00521314"/>
    <w:rsid w:val="00524EA0"/>
    <w:rsid w:val="005264A3"/>
    <w:rsid w:val="00534F49"/>
    <w:rsid w:val="00536E99"/>
    <w:rsid w:val="0053735E"/>
    <w:rsid w:val="00542962"/>
    <w:rsid w:val="0054566D"/>
    <w:rsid w:val="00555DD3"/>
    <w:rsid w:val="005827BF"/>
    <w:rsid w:val="005A1242"/>
    <w:rsid w:val="005A178C"/>
    <w:rsid w:val="005A5949"/>
    <w:rsid w:val="005B1EB6"/>
    <w:rsid w:val="005B3B4B"/>
    <w:rsid w:val="005B591A"/>
    <w:rsid w:val="005C2EF0"/>
    <w:rsid w:val="005E2A3E"/>
    <w:rsid w:val="005E3596"/>
    <w:rsid w:val="005E40F2"/>
    <w:rsid w:val="005F5AA2"/>
    <w:rsid w:val="00610C5A"/>
    <w:rsid w:val="00620EC3"/>
    <w:rsid w:val="006219ED"/>
    <w:rsid w:val="00623618"/>
    <w:rsid w:val="006252C1"/>
    <w:rsid w:val="006379B4"/>
    <w:rsid w:val="006405C5"/>
    <w:rsid w:val="006441C8"/>
    <w:rsid w:val="0065367C"/>
    <w:rsid w:val="00655C3D"/>
    <w:rsid w:val="00681687"/>
    <w:rsid w:val="00682A23"/>
    <w:rsid w:val="006A425A"/>
    <w:rsid w:val="006D048C"/>
    <w:rsid w:val="006D218C"/>
    <w:rsid w:val="006F5ACD"/>
    <w:rsid w:val="00726A09"/>
    <w:rsid w:val="00730ABC"/>
    <w:rsid w:val="00730B98"/>
    <w:rsid w:val="00735FA5"/>
    <w:rsid w:val="00740969"/>
    <w:rsid w:val="00741BDB"/>
    <w:rsid w:val="00763562"/>
    <w:rsid w:val="00767998"/>
    <w:rsid w:val="007709F7"/>
    <w:rsid w:val="007716ED"/>
    <w:rsid w:val="00773331"/>
    <w:rsid w:val="00774158"/>
    <w:rsid w:val="007831DC"/>
    <w:rsid w:val="007932EF"/>
    <w:rsid w:val="007A4888"/>
    <w:rsid w:val="007A5E7F"/>
    <w:rsid w:val="007A5E85"/>
    <w:rsid w:val="007B12EC"/>
    <w:rsid w:val="007D6871"/>
    <w:rsid w:val="007E00BD"/>
    <w:rsid w:val="007E05B0"/>
    <w:rsid w:val="007E27A6"/>
    <w:rsid w:val="007E3307"/>
    <w:rsid w:val="007E6259"/>
    <w:rsid w:val="0080510B"/>
    <w:rsid w:val="0084330F"/>
    <w:rsid w:val="008478CD"/>
    <w:rsid w:val="00856D25"/>
    <w:rsid w:val="00870AC2"/>
    <w:rsid w:val="00872629"/>
    <w:rsid w:val="00874C55"/>
    <w:rsid w:val="00874D22"/>
    <w:rsid w:val="00881AA6"/>
    <w:rsid w:val="008873AC"/>
    <w:rsid w:val="008A2914"/>
    <w:rsid w:val="008A2F9E"/>
    <w:rsid w:val="008A6E7F"/>
    <w:rsid w:val="008B1727"/>
    <w:rsid w:val="008E0771"/>
    <w:rsid w:val="008E4D8E"/>
    <w:rsid w:val="008F6773"/>
    <w:rsid w:val="00902675"/>
    <w:rsid w:val="00921C35"/>
    <w:rsid w:val="009268DD"/>
    <w:rsid w:val="00926C96"/>
    <w:rsid w:val="009277B2"/>
    <w:rsid w:val="009319C7"/>
    <w:rsid w:val="00932CFA"/>
    <w:rsid w:val="00935790"/>
    <w:rsid w:val="0096176C"/>
    <w:rsid w:val="009641F3"/>
    <w:rsid w:val="00973D1D"/>
    <w:rsid w:val="00984B8A"/>
    <w:rsid w:val="00993EE5"/>
    <w:rsid w:val="00994FBF"/>
    <w:rsid w:val="009961A9"/>
    <w:rsid w:val="009A28B7"/>
    <w:rsid w:val="009A6F17"/>
    <w:rsid w:val="009B256B"/>
    <w:rsid w:val="009C2A6F"/>
    <w:rsid w:val="009C3C26"/>
    <w:rsid w:val="009C716A"/>
    <w:rsid w:val="009D0F43"/>
    <w:rsid w:val="00A1038D"/>
    <w:rsid w:val="00A13AF8"/>
    <w:rsid w:val="00A2485A"/>
    <w:rsid w:val="00A54C7B"/>
    <w:rsid w:val="00A579A4"/>
    <w:rsid w:val="00A739DF"/>
    <w:rsid w:val="00A7547E"/>
    <w:rsid w:val="00A806DD"/>
    <w:rsid w:val="00A80FF9"/>
    <w:rsid w:val="00A8371A"/>
    <w:rsid w:val="00A8735B"/>
    <w:rsid w:val="00A93BF2"/>
    <w:rsid w:val="00AA19E4"/>
    <w:rsid w:val="00AB285E"/>
    <w:rsid w:val="00AB32EC"/>
    <w:rsid w:val="00AB3B30"/>
    <w:rsid w:val="00AB79EA"/>
    <w:rsid w:val="00AD13F8"/>
    <w:rsid w:val="00AD7A09"/>
    <w:rsid w:val="00B02311"/>
    <w:rsid w:val="00B036BE"/>
    <w:rsid w:val="00B0608F"/>
    <w:rsid w:val="00B166FC"/>
    <w:rsid w:val="00B3375F"/>
    <w:rsid w:val="00B44023"/>
    <w:rsid w:val="00B546A6"/>
    <w:rsid w:val="00B6133D"/>
    <w:rsid w:val="00B6366E"/>
    <w:rsid w:val="00B857F3"/>
    <w:rsid w:val="00B878C4"/>
    <w:rsid w:val="00B9210A"/>
    <w:rsid w:val="00B96955"/>
    <w:rsid w:val="00BA1E21"/>
    <w:rsid w:val="00BA2A6D"/>
    <w:rsid w:val="00BB676C"/>
    <w:rsid w:val="00BB7BCF"/>
    <w:rsid w:val="00BC3976"/>
    <w:rsid w:val="00BC6E2C"/>
    <w:rsid w:val="00BC7897"/>
    <w:rsid w:val="00BD705F"/>
    <w:rsid w:val="00BE0CC7"/>
    <w:rsid w:val="00C0366A"/>
    <w:rsid w:val="00C116AD"/>
    <w:rsid w:val="00C12301"/>
    <w:rsid w:val="00C12486"/>
    <w:rsid w:val="00C17250"/>
    <w:rsid w:val="00C24EC1"/>
    <w:rsid w:val="00C31D11"/>
    <w:rsid w:val="00C3782D"/>
    <w:rsid w:val="00C511C8"/>
    <w:rsid w:val="00C560D3"/>
    <w:rsid w:val="00C64B40"/>
    <w:rsid w:val="00C76B1D"/>
    <w:rsid w:val="00C84E3D"/>
    <w:rsid w:val="00C902A9"/>
    <w:rsid w:val="00C91EED"/>
    <w:rsid w:val="00CB7003"/>
    <w:rsid w:val="00CC1B69"/>
    <w:rsid w:val="00CC2074"/>
    <w:rsid w:val="00CE7422"/>
    <w:rsid w:val="00D01CAF"/>
    <w:rsid w:val="00D16BA0"/>
    <w:rsid w:val="00D17516"/>
    <w:rsid w:val="00D20381"/>
    <w:rsid w:val="00D23EA0"/>
    <w:rsid w:val="00D37D77"/>
    <w:rsid w:val="00D51253"/>
    <w:rsid w:val="00D55282"/>
    <w:rsid w:val="00D87271"/>
    <w:rsid w:val="00D875AE"/>
    <w:rsid w:val="00D95E23"/>
    <w:rsid w:val="00D97C13"/>
    <w:rsid w:val="00DB0664"/>
    <w:rsid w:val="00DB41F0"/>
    <w:rsid w:val="00DB73AC"/>
    <w:rsid w:val="00DC205F"/>
    <w:rsid w:val="00DC5196"/>
    <w:rsid w:val="00DD2FF9"/>
    <w:rsid w:val="00DD44C8"/>
    <w:rsid w:val="00DD5DDD"/>
    <w:rsid w:val="00DD691D"/>
    <w:rsid w:val="00DD7AC0"/>
    <w:rsid w:val="00DF6B83"/>
    <w:rsid w:val="00E0011A"/>
    <w:rsid w:val="00E01B4C"/>
    <w:rsid w:val="00E04B08"/>
    <w:rsid w:val="00E127F6"/>
    <w:rsid w:val="00E17DBC"/>
    <w:rsid w:val="00E2494E"/>
    <w:rsid w:val="00E36E64"/>
    <w:rsid w:val="00E423B9"/>
    <w:rsid w:val="00E625C3"/>
    <w:rsid w:val="00E71A7B"/>
    <w:rsid w:val="00E8152D"/>
    <w:rsid w:val="00EA1C7B"/>
    <w:rsid w:val="00EE6365"/>
    <w:rsid w:val="00EE7A09"/>
    <w:rsid w:val="00EF20B9"/>
    <w:rsid w:val="00F02A97"/>
    <w:rsid w:val="00F2330B"/>
    <w:rsid w:val="00F26ACB"/>
    <w:rsid w:val="00F41550"/>
    <w:rsid w:val="00F73F5F"/>
    <w:rsid w:val="00F8208F"/>
    <w:rsid w:val="00F958C0"/>
    <w:rsid w:val="00FC38F8"/>
    <w:rsid w:val="00FD3831"/>
    <w:rsid w:val="00FE2705"/>
    <w:rsid w:val="00FF18D4"/>
    <w:rsid w:val="00FF2D02"/>
    <w:rsid w:val="02DD19C6"/>
    <w:rsid w:val="0A677C34"/>
    <w:rsid w:val="12FA1FED"/>
    <w:rsid w:val="1B6537B9"/>
    <w:rsid w:val="1EDE5E2E"/>
    <w:rsid w:val="1F216F90"/>
    <w:rsid w:val="2191CDD7"/>
    <w:rsid w:val="3191433F"/>
    <w:rsid w:val="32452739"/>
    <w:rsid w:val="36F6D138"/>
    <w:rsid w:val="393C11FF"/>
    <w:rsid w:val="49B92305"/>
    <w:rsid w:val="4C30CCC0"/>
    <w:rsid w:val="5F28C26A"/>
    <w:rsid w:val="635724BD"/>
    <w:rsid w:val="69297CB6"/>
    <w:rsid w:val="7D32F8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5:docId w15:val="{08D35E60-35FE-4368-AD50-7F2349557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43"/>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43"/>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43"/>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43"/>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43"/>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43"/>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43"/>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rsid w:val="00A93BF2"/>
    <w:pPr>
      <w:numPr>
        <w:numId w:val="2"/>
      </w:numPr>
      <w:tabs>
        <w:tab w:val="num" w:pos="360"/>
      </w:tabs>
      <w:ind w:left="0" w:firstLine="0"/>
    </w:pPr>
    <w:rPr>
      <w:rFonts w:eastAsia="Times New Roman"/>
      <w:lang w:eastAsia="de-DE"/>
    </w:rPr>
  </w:style>
  <w:style w:type="paragraph" w:styleId="ListNumber">
    <w:name w:val="List Number"/>
    <w:basedOn w:val="Normal"/>
    <w:rsid w:val="00A93BF2"/>
    <w:pPr>
      <w:numPr>
        <w:numId w:val="6"/>
      </w:numPr>
    </w:pPr>
    <w:rPr>
      <w:rFonts w:eastAsia="Times New Roman"/>
      <w:lang w:eastAsia="de-DE"/>
    </w:rPr>
  </w:style>
  <w:style w:type="paragraph" w:customStyle="1" w:styleId="ListBullet1">
    <w:name w:val="List Bullet 1"/>
    <w:basedOn w:val="Normal"/>
    <w:rsid w:val="00A93BF2"/>
    <w:pPr>
      <w:numPr>
        <w:numId w:val="1"/>
      </w:numPr>
    </w:pPr>
    <w:rPr>
      <w:rFonts w:eastAsia="Times New Roman"/>
      <w:lang w:eastAsia="de-DE"/>
    </w:rPr>
  </w:style>
  <w:style w:type="paragraph" w:customStyle="1" w:styleId="ListDash">
    <w:name w:val="List Dash"/>
    <w:basedOn w:val="Normal"/>
    <w:rsid w:val="00A93BF2"/>
    <w:pPr>
      <w:numPr>
        <w:numId w:val="3"/>
      </w:numPr>
    </w:pPr>
    <w:rPr>
      <w:rFonts w:eastAsia="Times New Roman"/>
      <w:lang w:eastAsia="de-DE"/>
    </w:rPr>
  </w:style>
  <w:style w:type="paragraph" w:customStyle="1" w:styleId="ListDash1">
    <w:name w:val="List Dash 1"/>
    <w:basedOn w:val="Normal"/>
    <w:rsid w:val="00A93BF2"/>
    <w:pPr>
      <w:numPr>
        <w:numId w:val="4"/>
      </w:numPr>
    </w:pPr>
    <w:rPr>
      <w:rFonts w:eastAsia="Times New Roman"/>
      <w:lang w:eastAsia="de-DE"/>
    </w:rPr>
  </w:style>
  <w:style w:type="paragraph" w:customStyle="1" w:styleId="ListDash2">
    <w:name w:val="List Dash 2"/>
    <w:basedOn w:val="Normal"/>
    <w:rsid w:val="00A93BF2"/>
    <w:pPr>
      <w:numPr>
        <w:numId w:val="5"/>
      </w:numPr>
    </w:pPr>
    <w:rPr>
      <w:rFonts w:eastAsia="Times New Roman"/>
      <w:lang w:eastAsia="de-DE"/>
    </w:rPr>
  </w:style>
  <w:style w:type="paragraph" w:customStyle="1" w:styleId="ListNumberLevel2">
    <w:name w:val="List Number (Level 2)"/>
    <w:basedOn w:val="Normal"/>
    <w:rsid w:val="00A93BF2"/>
    <w:pPr>
      <w:numPr>
        <w:ilvl w:val="1"/>
        <w:numId w:val="6"/>
      </w:numPr>
    </w:pPr>
    <w:rPr>
      <w:rFonts w:eastAsia="Times New Roman"/>
      <w:lang w:eastAsia="de-DE"/>
    </w:rPr>
  </w:style>
  <w:style w:type="paragraph" w:customStyle="1" w:styleId="ListNumberLevel3">
    <w:name w:val="List Number (Level 3)"/>
    <w:basedOn w:val="Normal"/>
    <w:rsid w:val="00A93BF2"/>
    <w:pPr>
      <w:numPr>
        <w:ilvl w:val="2"/>
        <w:numId w:val="6"/>
      </w:numPr>
    </w:pPr>
    <w:rPr>
      <w:rFonts w:eastAsia="Times New Roman"/>
      <w:lang w:eastAsia="de-DE"/>
    </w:rPr>
  </w:style>
  <w:style w:type="paragraph" w:customStyle="1" w:styleId="ListNumberLevel4">
    <w:name w:val="List Number (Level 4)"/>
    <w:basedOn w:val="Normal"/>
    <w:rsid w:val="00A93BF2"/>
    <w:pPr>
      <w:numPr>
        <w:ilvl w:val="3"/>
        <w:numId w:val="6"/>
      </w:numPr>
    </w:pPr>
    <w:rPr>
      <w:rFonts w:eastAsia="Times New Roman"/>
      <w:lang w:eastAsia="de-DE"/>
    </w:rPr>
  </w:style>
  <w:style w:type="table" w:styleId="TableGrid">
    <w:name w:val="Table Grid"/>
    <w:basedOn w:val="TableNormal"/>
    <w:rsid w:val="00A93BF2"/>
    <w:pPr>
      <w:spacing w:before="120" w:after="120" w:line="240" w:lineRule="auto"/>
      <w:jc w:val="both"/>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93BF2"/>
    <w:rPr>
      <w:color w:val="0000FF"/>
      <w:u w:val="single"/>
    </w:rPr>
  </w:style>
  <w:style w:type="paragraph" w:styleId="ListBullet">
    <w:name w:val="List Bullet"/>
    <w:basedOn w:val="Normal"/>
    <w:rsid w:val="00A93BF2"/>
    <w:pPr>
      <w:numPr>
        <w:numId w:val="7"/>
      </w:numPr>
    </w:pPr>
    <w:rPr>
      <w:rFonts w:eastAsia="Times New Roman"/>
      <w:lang w:eastAsia="en-GB"/>
    </w:rPr>
  </w:style>
  <w:style w:type="paragraph" w:styleId="ListBullet2">
    <w:name w:val="List Bullet 2"/>
    <w:basedOn w:val="Normal"/>
    <w:rsid w:val="00A93BF2"/>
    <w:pPr>
      <w:numPr>
        <w:numId w:val="8"/>
      </w:numPr>
    </w:pPr>
    <w:rPr>
      <w:rFonts w:eastAsia="Times New Roman"/>
      <w:lang w:eastAsia="en-GB"/>
    </w:rPr>
  </w:style>
  <w:style w:type="paragraph" w:styleId="ListBullet3">
    <w:name w:val="List Bullet 3"/>
    <w:basedOn w:val="Normal"/>
    <w:rsid w:val="00A93BF2"/>
    <w:pPr>
      <w:numPr>
        <w:numId w:val="9"/>
      </w:numPr>
    </w:pPr>
    <w:rPr>
      <w:rFonts w:eastAsia="Times New Roman"/>
      <w:lang w:eastAsia="en-GB"/>
    </w:rPr>
  </w:style>
  <w:style w:type="paragraph" w:styleId="ListNumber2">
    <w:name w:val="List Number 2"/>
    <w:basedOn w:val="Normal"/>
    <w:rsid w:val="00A93BF2"/>
    <w:pPr>
      <w:numPr>
        <w:numId w:val="13"/>
      </w:numPr>
    </w:pPr>
    <w:rPr>
      <w:rFonts w:eastAsia="Times New Roman"/>
      <w:lang w:eastAsia="en-GB"/>
    </w:rPr>
  </w:style>
  <w:style w:type="paragraph" w:styleId="ListNumber3">
    <w:name w:val="List Number 3"/>
    <w:basedOn w:val="Normal"/>
    <w:rsid w:val="00A93BF2"/>
    <w:pPr>
      <w:numPr>
        <w:numId w:val="14"/>
      </w:numPr>
    </w:pPr>
    <w:rPr>
      <w:rFonts w:eastAsia="Times New Roman"/>
      <w:lang w:eastAsia="en-GB"/>
    </w:rPr>
  </w:style>
  <w:style w:type="paragraph" w:styleId="ListNumber4">
    <w:name w:val="List Number 4"/>
    <w:basedOn w:val="Normal"/>
    <w:rsid w:val="00A93BF2"/>
    <w:pPr>
      <w:numPr>
        <w:numId w:val="15"/>
      </w:numPr>
    </w:pPr>
    <w:rPr>
      <w:rFonts w:eastAsia="Times New Roman"/>
      <w:lang w:eastAsia="en-GB"/>
    </w:rPr>
  </w:style>
  <w:style w:type="paragraph" w:customStyle="1" w:styleId="ListDash3">
    <w:name w:val="List Dash 3"/>
    <w:basedOn w:val="Normal"/>
    <w:rsid w:val="00A93BF2"/>
    <w:pPr>
      <w:numPr>
        <w:numId w:val="10"/>
      </w:numPr>
    </w:pPr>
    <w:rPr>
      <w:rFonts w:eastAsia="Times New Roman"/>
      <w:lang w:eastAsia="en-GB"/>
    </w:rPr>
  </w:style>
  <w:style w:type="paragraph" w:customStyle="1" w:styleId="ListDash4">
    <w:name w:val="List Dash 4"/>
    <w:basedOn w:val="Normal"/>
    <w:rsid w:val="00A93BF2"/>
    <w:pPr>
      <w:numPr>
        <w:numId w:val="11"/>
      </w:numPr>
    </w:pPr>
    <w:rPr>
      <w:rFonts w:eastAsia="Times New Roman"/>
      <w:lang w:eastAsia="en-GB"/>
    </w:rPr>
  </w:style>
  <w:style w:type="paragraph" w:customStyle="1" w:styleId="ListNumber1">
    <w:name w:val="List Number 1"/>
    <w:basedOn w:val="Text1"/>
    <w:rsid w:val="00A93BF2"/>
    <w:pPr>
      <w:numPr>
        <w:numId w:val="12"/>
      </w:numPr>
    </w:pPr>
    <w:rPr>
      <w:rFonts w:eastAsia="Times New Roman"/>
      <w:lang w:eastAsia="en-GB"/>
    </w:rPr>
  </w:style>
  <w:style w:type="paragraph" w:customStyle="1" w:styleId="ListNumber1Level2">
    <w:name w:val="List Number 1 (Level 2)"/>
    <w:basedOn w:val="Text1"/>
    <w:rsid w:val="00A93BF2"/>
    <w:pPr>
      <w:numPr>
        <w:ilvl w:val="1"/>
        <w:numId w:val="12"/>
      </w:numPr>
    </w:pPr>
    <w:rPr>
      <w:rFonts w:eastAsia="Times New Roman"/>
      <w:lang w:eastAsia="en-GB"/>
    </w:rPr>
  </w:style>
  <w:style w:type="paragraph" w:customStyle="1" w:styleId="ListNumber2Level2">
    <w:name w:val="List Number 2 (Level 2)"/>
    <w:basedOn w:val="Text2"/>
    <w:rsid w:val="00A93BF2"/>
    <w:pPr>
      <w:numPr>
        <w:ilvl w:val="1"/>
        <w:numId w:val="13"/>
      </w:numPr>
    </w:pPr>
    <w:rPr>
      <w:rFonts w:eastAsia="Times New Roman"/>
      <w:lang w:eastAsia="en-GB"/>
    </w:rPr>
  </w:style>
  <w:style w:type="paragraph" w:customStyle="1" w:styleId="ListNumber3Level2">
    <w:name w:val="List Number 3 (Level 2)"/>
    <w:basedOn w:val="Text3"/>
    <w:rsid w:val="00A93BF2"/>
    <w:pPr>
      <w:numPr>
        <w:ilvl w:val="1"/>
        <w:numId w:val="14"/>
      </w:numPr>
    </w:pPr>
    <w:rPr>
      <w:rFonts w:eastAsia="Times New Roman"/>
      <w:lang w:eastAsia="en-GB"/>
    </w:rPr>
  </w:style>
  <w:style w:type="paragraph" w:customStyle="1" w:styleId="ListNumber4Level2">
    <w:name w:val="List Number 4 (Level 2)"/>
    <w:basedOn w:val="Text4"/>
    <w:rsid w:val="00A93BF2"/>
    <w:pPr>
      <w:numPr>
        <w:ilvl w:val="1"/>
        <w:numId w:val="15"/>
      </w:numPr>
    </w:pPr>
    <w:rPr>
      <w:rFonts w:eastAsia="Times New Roman"/>
      <w:lang w:eastAsia="en-GB"/>
    </w:rPr>
  </w:style>
  <w:style w:type="paragraph" w:customStyle="1" w:styleId="ListNumber1Level3">
    <w:name w:val="List Number 1 (Level 3)"/>
    <w:basedOn w:val="Text1"/>
    <w:rsid w:val="00A93BF2"/>
    <w:pPr>
      <w:numPr>
        <w:ilvl w:val="2"/>
        <w:numId w:val="12"/>
      </w:numPr>
    </w:pPr>
    <w:rPr>
      <w:rFonts w:eastAsia="Times New Roman"/>
      <w:lang w:eastAsia="en-GB"/>
    </w:rPr>
  </w:style>
  <w:style w:type="paragraph" w:customStyle="1" w:styleId="ListNumber2Level3">
    <w:name w:val="List Number 2 (Level 3)"/>
    <w:basedOn w:val="Text2"/>
    <w:rsid w:val="00A93BF2"/>
    <w:pPr>
      <w:numPr>
        <w:ilvl w:val="2"/>
        <w:numId w:val="13"/>
      </w:numPr>
    </w:pPr>
    <w:rPr>
      <w:rFonts w:eastAsia="Times New Roman"/>
      <w:lang w:eastAsia="en-GB"/>
    </w:rPr>
  </w:style>
  <w:style w:type="paragraph" w:customStyle="1" w:styleId="ListNumber3Level3">
    <w:name w:val="List Number 3 (Level 3)"/>
    <w:basedOn w:val="Text3"/>
    <w:rsid w:val="00A93BF2"/>
    <w:pPr>
      <w:numPr>
        <w:ilvl w:val="2"/>
        <w:numId w:val="14"/>
      </w:numPr>
    </w:pPr>
    <w:rPr>
      <w:rFonts w:eastAsia="Times New Roman"/>
      <w:lang w:eastAsia="en-GB"/>
    </w:rPr>
  </w:style>
  <w:style w:type="paragraph" w:customStyle="1" w:styleId="ListNumber4Level3">
    <w:name w:val="List Number 4 (Level 3)"/>
    <w:basedOn w:val="Text4"/>
    <w:rsid w:val="00A93BF2"/>
    <w:pPr>
      <w:numPr>
        <w:ilvl w:val="2"/>
        <w:numId w:val="15"/>
      </w:numPr>
    </w:pPr>
    <w:rPr>
      <w:rFonts w:eastAsia="Times New Roman"/>
      <w:lang w:eastAsia="en-GB"/>
    </w:rPr>
  </w:style>
  <w:style w:type="paragraph" w:customStyle="1" w:styleId="ListNumber1Level4">
    <w:name w:val="List Number 1 (Level 4)"/>
    <w:basedOn w:val="Text1"/>
    <w:rsid w:val="00A93BF2"/>
    <w:pPr>
      <w:numPr>
        <w:ilvl w:val="3"/>
        <w:numId w:val="12"/>
      </w:numPr>
    </w:pPr>
    <w:rPr>
      <w:rFonts w:eastAsia="Times New Roman"/>
      <w:lang w:eastAsia="en-GB"/>
    </w:rPr>
  </w:style>
  <w:style w:type="paragraph" w:customStyle="1" w:styleId="ListNumber2Level4">
    <w:name w:val="List Number 2 (Level 4)"/>
    <w:basedOn w:val="Text2"/>
    <w:rsid w:val="00A93BF2"/>
    <w:pPr>
      <w:numPr>
        <w:ilvl w:val="3"/>
        <w:numId w:val="13"/>
      </w:numPr>
    </w:pPr>
    <w:rPr>
      <w:rFonts w:eastAsia="Times New Roman"/>
      <w:lang w:eastAsia="en-GB"/>
    </w:rPr>
  </w:style>
  <w:style w:type="paragraph" w:customStyle="1" w:styleId="ListNumber3Level4">
    <w:name w:val="List Number 3 (Level 4)"/>
    <w:basedOn w:val="Text3"/>
    <w:rsid w:val="00A93BF2"/>
    <w:pPr>
      <w:numPr>
        <w:ilvl w:val="3"/>
        <w:numId w:val="14"/>
      </w:numPr>
    </w:pPr>
    <w:rPr>
      <w:rFonts w:eastAsia="Times New Roman"/>
      <w:lang w:eastAsia="en-GB"/>
    </w:rPr>
  </w:style>
  <w:style w:type="paragraph" w:customStyle="1" w:styleId="ListNumber4Level4">
    <w:name w:val="List Number 4 (Level 4)"/>
    <w:basedOn w:val="Text4"/>
    <w:rsid w:val="00A93BF2"/>
    <w:pPr>
      <w:numPr>
        <w:ilvl w:val="3"/>
        <w:numId w:val="15"/>
      </w:numPr>
    </w:pPr>
    <w:rPr>
      <w:rFonts w:eastAsia="Times New Roman"/>
      <w:lang w:eastAsia="en-GB"/>
    </w:rPr>
  </w:style>
  <w:style w:type="paragraph" w:customStyle="1" w:styleId="Annexetitreacte">
    <w:name w:val="Annexe titre (acte)"/>
    <w:basedOn w:val="Normal"/>
    <w:next w:val="Normal"/>
    <w:rsid w:val="00A93BF2"/>
    <w:pPr>
      <w:jc w:val="center"/>
    </w:pPr>
    <w:rPr>
      <w:rFonts w:eastAsia="Times New Roman"/>
      <w:b/>
      <w:u w:val="single"/>
      <w:lang w:eastAsia="en-GB"/>
    </w:rPr>
  </w:style>
  <w:style w:type="paragraph" w:customStyle="1" w:styleId="Annexetitreexposglobal">
    <w:name w:val="Annexe titre (exposé global)"/>
    <w:basedOn w:val="Normal"/>
    <w:next w:val="Normal"/>
    <w:rsid w:val="00A93BF2"/>
    <w:pPr>
      <w:jc w:val="center"/>
    </w:pPr>
    <w:rPr>
      <w:rFonts w:eastAsia="Times New Roman"/>
      <w:b/>
      <w:u w:val="single"/>
      <w:lang w:eastAsia="en-GB"/>
    </w:rPr>
  </w:style>
  <w:style w:type="paragraph" w:customStyle="1" w:styleId="Annexetitrefichefinacte">
    <w:name w:val="Annexe titre (fiche fin. acte)"/>
    <w:basedOn w:val="Normal"/>
    <w:next w:val="Normal"/>
    <w:rsid w:val="00A93BF2"/>
    <w:pPr>
      <w:jc w:val="center"/>
    </w:pPr>
    <w:rPr>
      <w:rFonts w:eastAsia="Times New Roman"/>
      <w:b/>
      <w:u w:val="single"/>
      <w:lang w:eastAsia="en-GB"/>
    </w:rPr>
  </w:style>
  <w:style w:type="paragraph" w:customStyle="1" w:styleId="Annexetitrefichefinglobale">
    <w:name w:val="Annexe titre (fiche fin. globale)"/>
    <w:basedOn w:val="Normal"/>
    <w:next w:val="Normal"/>
    <w:rsid w:val="00A93BF2"/>
    <w:pPr>
      <w:jc w:val="center"/>
    </w:pPr>
    <w:rPr>
      <w:rFonts w:eastAsia="Times New Roman"/>
      <w:b/>
      <w:u w:val="single"/>
      <w:lang w:eastAsia="en-GB"/>
    </w:rPr>
  </w:style>
  <w:style w:type="paragraph" w:customStyle="1" w:styleId="Annexetitreglobale">
    <w:name w:val="Annexe titre (globale)"/>
    <w:basedOn w:val="Normal"/>
    <w:next w:val="Normal"/>
    <w:rsid w:val="00A93BF2"/>
    <w:pPr>
      <w:jc w:val="center"/>
    </w:pPr>
    <w:rPr>
      <w:rFonts w:eastAsia="Times New Roman"/>
      <w:b/>
      <w:u w:val="single"/>
      <w:lang w:eastAsia="en-GB"/>
    </w:rPr>
  </w:style>
  <w:style w:type="paragraph" w:customStyle="1" w:styleId="Exposdesmotifstitreglobal">
    <w:name w:val="Exposé des motifs titre (global)"/>
    <w:basedOn w:val="Normal"/>
    <w:next w:val="Normal"/>
    <w:rsid w:val="00A93BF2"/>
    <w:pPr>
      <w:jc w:val="center"/>
    </w:pPr>
    <w:rPr>
      <w:rFonts w:eastAsia="Times New Roman"/>
      <w:b/>
      <w:u w:val="single"/>
      <w:lang w:eastAsia="en-GB"/>
    </w:rPr>
  </w:style>
  <w:style w:type="paragraph" w:customStyle="1" w:styleId="Langueoriginale">
    <w:name w:val="Langue originale"/>
    <w:basedOn w:val="Normal"/>
    <w:rsid w:val="00A93BF2"/>
    <w:pPr>
      <w:spacing w:before="360"/>
      <w:jc w:val="center"/>
    </w:pPr>
    <w:rPr>
      <w:rFonts w:eastAsia="Times New Roman"/>
      <w:caps/>
      <w:lang w:eastAsia="en-GB"/>
    </w:rPr>
  </w:style>
  <w:style w:type="paragraph" w:customStyle="1" w:styleId="Phrasefinale">
    <w:name w:val="Phrase finale"/>
    <w:basedOn w:val="Normal"/>
    <w:next w:val="Normal"/>
    <w:rsid w:val="00A93BF2"/>
    <w:pPr>
      <w:spacing w:before="360" w:after="0"/>
      <w:jc w:val="center"/>
    </w:pPr>
    <w:rPr>
      <w:rFonts w:eastAsia="Times New Roman"/>
      <w:lang w:eastAsia="en-GB"/>
    </w:rPr>
  </w:style>
  <w:style w:type="paragraph" w:customStyle="1" w:styleId="Prliminairetitre">
    <w:name w:val="Préliminaire titre"/>
    <w:basedOn w:val="Normal"/>
    <w:next w:val="Normal"/>
    <w:rsid w:val="00A93BF2"/>
    <w:pPr>
      <w:spacing w:before="360" w:after="360"/>
      <w:jc w:val="center"/>
    </w:pPr>
    <w:rPr>
      <w:rFonts w:eastAsia="Times New Roman"/>
      <w:b/>
      <w:lang w:eastAsia="en-GB"/>
    </w:rPr>
  </w:style>
  <w:style w:type="paragraph" w:customStyle="1" w:styleId="Prliminairetype">
    <w:name w:val="Préliminaire type"/>
    <w:basedOn w:val="Normal"/>
    <w:next w:val="Normal"/>
    <w:rsid w:val="00A93BF2"/>
    <w:pPr>
      <w:spacing w:before="360" w:after="0"/>
      <w:jc w:val="center"/>
    </w:pPr>
    <w:rPr>
      <w:rFonts w:eastAsia="Times New Roman"/>
      <w:b/>
      <w:lang w:eastAsia="en-GB"/>
    </w:rPr>
  </w:style>
  <w:style w:type="paragraph" w:customStyle="1" w:styleId="Rfrenceinstitutionelle">
    <w:name w:val="Référence institutionelle"/>
    <w:basedOn w:val="Normal"/>
    <w:next w:val="Statut"/>
    <w:rsid w:val="00A93BF2"/>
    <w:pPr>
      <w:spacing w:before="0" w:after="240"/>
      <w:ind w:left="5103"/>
      <w:jc w:val="left"/>
    </w:pPr>
    <w:rPr>
      <w:rFonts w:eastAsia="Times New Roman"/>
      <w:lang w:eastAsia="en-GB"/>
    </w:rPr>
  </w:style>
  <w:style w:type="paragraph" w:customStyle="1" w:styleId="Rfrenceinterinstitutionelle">
    <w:name w:val="Référence interinstitutionelle"/>
    <w:basedOn w:val="Normal"/>
    <w:next w:val="Statut"/>
    <w:rsid w:val="00A93BF2"/>
    <w:pPr>
      <w:spacing w:before="0" w:after="0"/>
      <w:ind w:left="5103"/>
      <w:jc w:val="left"/>
    </w:pPr>
    <w:rPr>
      <w:rFonts w:eastAsia="Times New Roman"/>
      <w:lang w:eastAsia="en-GB"/>
    </w:rPr>
  </w:style>
  <w:style w:type="paragraph" w:customStyle="1" w:styleId="Rfrenceinterinstitutionelleprliminaire">
    <w:name w:val="Référence interinstitutionelle (préliminaire)"/>
    <w:basedOn w:val="Normal"/>
    <w:next w:val="Normal"/>
    <w:rsid w:val="00A93BF2"/>
    <w:pPr>
      <w:spacing w:before="0" w:after="0"/>
      <w:ind w:left="5103"/>
      <w:jc w:val="left"/>
    </w:pPr>
    <w:rPr>
      <w:rFonts w:eastAsia="Times New Roman"/>
      <w:lang w:eastAsia="en-GB"/>
    </w:rPr>
  </w:style>
  <w:style w:type="paragraph" w:customStyle="1" w:styleId="Sous-titreobjetprliminaire">
    <w:name w:val="Sous-titre objet (préliminaire)"/>
    <w:basedOn w:val="Normal"/>
    <w:rsid w:val="00A93BF2"/>
    <w:pPr>
      <w:spacing w:before="0" w:after="0"/>
      <w:jc w:val="center"/>
    </w:pPr>
    <w:rPr>
      <w:rFonts w:eastAsia="Times New Roman"/>
      <w:b/>
      <w:lang w:eastAsia="en-GB"/>
    </w:rPr>
  </w:style>
  <w:style w:type="paragraph" w:customStyle="1" w:styleId="Statutprliminaire">
    <w:name w:val="Statut (préliminaire)"/>
    <w:basedOn w:val="Normal"/>
    <w:next w:val="Normal"/>
    <w:rsid w:val="00A93BF2"/>
    <w:pPr>
      <w:spacing w:before="360" w:after="0"/>
      <w:jc w:val="center"/>
    </w:pPr>
    <w:rPr>
      <w:rFonts w:eastAsia="Times New Roman"/>
      <w:lang w:eastAsia="en-GB"/>
    </w:rPr>
  </w:style>
  <w:style w:type="paragraph" w:customStyle="1" w:styleId="Titreobjetprliminaire">
    <w:name w:val="Titre objet (préliminaire)"/>
    <w:basedOn w:val="Normal"/>
    <w:next w:val="Normal"/>
    <w:rsid w:val="00A93BF2"/>
    <w:pPr>
      <w:spacing w:before="360" w:after="360"/>
      <w:jc w:val="center"/>
    </w:pPr>
    <w:rPr>
      <w:rFonts w:eastAsia="Times New Roman"/>
      <w:b/>
      <w:lang w:eastAsia="en-GB"/>
    </w:rPr>
  </w:style>
  <w:style w:type="paragraph" w:customStyle="1" w:styleId="Typedudocumentprliminaire">
    <w:name w:val="Type du document (préliminaire)"/>
    <w:basedOn w:val="Normal"/>
    <w:next w:val="Normal"/>
    <w:rsid w:val="00A93BF2"/>
    <w:pPr>
      <w:spacing w:before="360" w:after="0"/>
      <w:jc w:val="center"/>
    </w:pPr>
    <w:rPr>
      <w:rFonts w:eastAsia="Times New Roman"/>
      <w:b/>
      <w:lang w:eastAsia="en-GB"/>
    </w:rPr>
  </w:style>
  <w:style w:type="paragraph" w:customStyle="1" w:styleId="Fichefinancirestandardtitre">
    <w:name w:val="Fiche financière (standard) titre"/>
    <w:basedOn w:val="Normal"/>
    <w:next w:val="Normal"/>
    <w:rsid w:val="00A93BF2"/>
    <w:pPr>
      <w:jc w:val="center"/>
    </w:pPr>
    <w:rPr>
      <w:rFonts w:eastAsia="Times New Roman"/>
      <w:b/>
      <w:u w:val="single"/>
      <w:lang w:eastAsia="en-GB"/>
    </w:rPr>
  </w:style>
  <w:style w:type="paragraph" w:customStyle="1" w:styleId="Fichefinancirestandardtitreacte">
    <w:name w:val="Fiche financière (standard) titre (acte)"/>
    <w:basedOn w:val="Normal"/>
    <w:next w:val="Normal"/>
    <w:rsid w:val="00A93BF2"/>
    <w:pPr>
      <w:jc w:val="center"/>
    </w:pPr>
    <w:rPr>
      <w:rFonts w:eastAsia="Times New Roman"/>
      <w:b/>
      <w:u w:val="single"/>
      <w:lang w:eastAsia="en-GB"/>
    </w:rPr>
  </w:style>
  <w:style w:type="paragraph" w:customStyle="1" w:styleId="Fichefinanciretravailtitre">
    <w:name w:val="Fiche financière (travail) titre"/>
    <w:basedOn w:val="Normal"/>
    <w:next w:val="Normal"/>
    <w:rsid w:val="00A93BF2"/>
    <w:pPr>
      <w:jc w:val="center"/>
    </w:pPr>
    <w:rPr>
      <w:rFonts w:eastAsia="Times New Roman"/>
      <w:b/>
      <w:u w:val="single"/>
      <w:lang w:eastAsia="en-GB"/>
    </w:rPr>
  </w:style>
  <w:style w:type="paragraph" w:customStyle="1" w:styleId="Fichefinanciretravailtitreacte">
    <w:name w:val="Fiche financière (travail) titre (acte)"/>
    <w:basedOn w:val="Normal"/>
    <w:next w:val="Normal"/>
    <w:rsid w:val="00A93BF2"/>
    <w:pPr>
      <w:jc w:val="center"/>
    </w:pPr>
    <w:rPr>
      <w:rFonts w:eastAsia="Times New Roman"/>
      <w:b/>
      <w:u w:val="single"/>
      <w:lang w:eastAsia="en-GB"/>
    </w:rPr>
  </w:style>
  <w:style w:type="paragraph" w:customStyle="1" w:styleId="Fichefinancireattributiontitre">
    <w:name w:val="Fiche financière (attribution) titre"/>
    <w:basedOn w:val="Normal"/>
    <w:next w:val="Normal"/>
    <w:rsid w:val="00A93BF2"/>
    <w:pPr>
      <w:jc w:val="center"/>
    </w:pPr>
    <w:rPr>
      <w:rFonts w:eastAsia="Times New Roman"/>
      <w:b/>
      <w:u w:val="single"/>
      <w:lang w:eastAsia="en-GB"/>
    </w:rPr>
  </w:style>
  <w:style w:type="paragraph" w:customStyle="1" w:styleId="Fichefinancireattributiontitreacte">
    <w:name w:val="Fiche financière (attribution) titre (acte)"/>
    <w:basedOn w:val="Normal"/>
    <w:next w:val="Normal"/>
    <w:rsid w:val="00A93BF2"/>
    <w:pPr>
      <w:jc w:val="center"/>
    </w:pPr>
    <w:rPr>
      <w:rFonts w:eastAsia="Times New Roman"/>
      <w:b/>
      <w:u w:val="single"/>
      <w:lang w:eastAsia="en-GB"/>
    </w:rPr>
  </w:style>
  <w:style w:type="character" w:styleId="CommentReference">
    <w:name w:val="annotation reference"/>
    <w:rsid w:val="00A93BF2"/>
    <w:rPr>
      <w:rFonts w:cs="Times New Roman"/>
      <w:sz w:val="16"/>
      <w:szCs w:val="16"/>
    </w:rPr>
  </w:style>
  <w:style w:type="paragraph" w:styleId="CommentText">
    <w:name w:val="annotation text"/>
    <w:basedOn w:val="Normal"/>
    <w:link w:val="CommentTextChar"/>
    <w:rsid w:val="00A93BF2"/>
    <w:rPr>
      <w:rFonts w:eastAsia="Times New Roman"/>
      <w:sz w:val="20"/>
      <w:szCs w:val="20"/>
      <w:lang w:eastAsia="en-GB"/>
    </w:rPr>
  </w:style>
  <w:style w:type="character" w:customStyle="1" w:styleId="CommentTextChar">
    <w:name w:val="Comment Text Char"/>
    <w:basedOn w:val="DefaultParagraphFont"/>
    <w:link w:val="CommentText"/>
    <w:rsid w:val="00A93BF2"/>
    <w:rPr>
      <w:rFonts w:ascii="Times New Roman" w:eastAsia="Times New Roman" w:hAnsi="Times New Roman" w:cs="Times New Roman"/>
      <w:sz w:val="20"/>
      <w:szCs w:val="20"/>
      <w:lang w:val="de-DE" w:eastAsia="en-GB"/>
    </w:rPr>
  </w:style>
  <w:style w:type="paragraph" w:styleId="CommentSubject">
    <w:name w:val="annotation subject"/>
    <w:basedOn w:val="CommentText"/>
    <w:next w:val="CommentText"/>
    <w:link w:val="CommentSubjectChar"/>
    <w:rsid w:val="00A93BF2"/>
    <w:rPr>
      <w:b/>
      <w:bCs/>
    </w:rPr>
  </w:style>
  <w:style w:type="character" w:customStyle="1" w:styleId="CommentSubjectChar">
    <w:name w:val="Comment Subject Char"/>
    <w:basedOn w:val="CommentTextChar"/>
    <w:link w:val="CommentSubject"/>
    <w:rsid w:val="00A93BF2"/>
    <w:rPr>
      <w:rFonts w:ascii="Times New Roman" w:eastAsia="Times New Roman" w:hAnsi="Times New Roman" w:cs="Times New Roman"/>
      <w:b/>
      <w:bCs/>
      <w:sz w:val="20"/>
      <w:szCs w:val="20"/>
      <w:lang w:val="de-DE" w:eastAsia="en-GB"/>
    </w:rPr>
  </w:style>
  <w:style w:type="paragraph" w:styleId="BalloonText">
    <w:name w:val="Balloon Text"/>
    <w:basedOn w:val="Normal"/>
    <w:link w:val="BalloonTextChar"/>
    <w:rsid w:val="00A93BF2"/>
    <w:rPr>
      <w:rFonts w:ascii="Tahoma" w:eastAsia="Times New Roman" w:hAnsi="Tahoma" w:cs="Tahoma"/>
      <w:sz w:val="16"/>
      <w:szCs w:val="16"/>
      <w:lang w:eastAsia="en-GB"/>
    </w:rPr>
  </w:style>
  <w:style w:type="character" w:customStyle="1" w:styleId="BalloonTextChar">
    <w:name w:val="Balloon Text Char"/>
    <w:basedOn w:val="DefaultParagraphFont"/>
    <w:link w:val="BalloonText"/>
    <w:rsid w:val="00A93BF2"/>
    <w:rPr>
      <w:rFonts w:ascii="Tahoma" w:eastAsia="Times New Roman" w:hAnsi="Tahoma" w:cs="Tahoma"/>
      <w:sz w:val="16"/>
      <w:szCs w:val="16"/>
      <w:lang w:val="de-DE" w:eastAsia="en-GB"/>
    </w:rPr>
  </w:style>
  <w:style w:type="paragraph" w:styleId="Caption">
    <w:name w:val="caption"/>
    <w:basedOn w:val="Normal"/>
    <w:next w:val="Normal"/>
    <w:qFormat/>
    <w:rsid w:val="00A93BF2"/>
    <w:rPr>
      <w:rFonts w:eastAsia="Times New Roman"/>
      <w:b/>
      <w:bCs/>
      <w:sz w:val="20"/>
      <w:szCs w:val="20"/>
      <w:lang w:eastAsia="en-GB"/>
    </w:rPr>
  </w:style>
  <w:style w:type="paragraph" w:styleId="TableofFigures">
    <w:name w:val="table of figures"/>
    <w:basedOn w:val="Normal"/>
    <w:next w:val="Normal"/>
    <w:rsid w:val="00A93BF2"/>
    <w:rPr>
      <w:rFonts w:eastAsia="Times New Roman"/>
      <w:lang w:eastAsia="en-GB"/>
    </w:rPr>
  </w:style>
  <w:style w:type="character" w:styleId="PageNumber">
    <w:name w:val="page number"/>
    <w:rsid w:val="00A93BF2"/>
  </w:style>
  <w:style w:type="character" w:customStyle="1" w:styleId="tw4winMark">
    <w:name w:val="tw4winMark"/>
    <w:rsid w:val="00A93BF2"/>
    <w:rPr>
      <w:vanish/>
      <w:color w:val="800080"/>
      <w:vertAlign w:val="subscript"/>
    </w:rPr>
  </w:style>
  <w:style w:type="character" w:styleId="FollowedHyperlink">
    <w:name w:val="FollowedHyperlink"/>
    <w:rsid w:val="00A93BF2"/>
    <w:rPr>
      <w:color w:val="800080"/>
      <w:u w:val="single"/>
    </w:rPr>
  </w:style>
  <w:style w:type="paragraph" w:customStyle="1" w:styleId="Sous-titreobjet">
    <w:name w:val="Sous-titre objet"/>
    <w:basedOn w:val="Normal"/>
    <w:rsid w:val="00A93BF2"/>
    <w:pPr>
      <w:spacing w:before="0" w:after="0"/>
      <w:jc w:val="center"/>
    </w:pPr>
    <w:rPr>
      <w:rFonts w:eastAsia="Times New Roman"/>
      <w:b/>
      <w:lang w:eastAsia="en-GB"/>
    </w:rPr>
  </w:style>
  <w:style w:type="paragraph" w:customStyle="1" w:styleId="Sous-titreobjetPagedecouverture">
    <w:name w:val="Sous-titre objet (Page de couverture)"/>
    <w:basedOn w:val="Sous-titreobjet"/>
    <w:rsid w:val="00A93BF2"/>
  </w:style>
  <w:style w:type="paragraph" w:styleId="Revision">
    <w:name w:val="Revision"/>
    <w:hidden/>
    <w:uiPriority w:val="99"/>
    <w:semiHidden/>
    <w:rsid w:val="00A93BF2"/>
    <w:rPr>
      <w:rFonts w:ascii="Calibri" w:eastAsia="Calibri" w:hAnsi="Calibri" w:cs="Times New Roman"/>
      <w:sz w:val="24"/>
      <w:lang w:eastAsia="en-GB"/>
    </w:rPr>
  </w:style>
  <w:style w:type="paragraph" w:customStyle="1" w:styleId="FooterCoverPage">
    <w:name w:val="Footer Cover Page"/>
    <w:basedOn w:val="Normal"/>
    <w:link w:val="FooterCoverPageChar"/>
    <w:rsid w:val="00A93BF2"/>
    <w:pPr>
      <w:tabs>
        <w:tab w:val="center" w:pos="4535"/>
        <w:tab w:val="right" w:pos="9071"/>
        <w:tab w:val="right" w:pos="9921"/>
      </w:tabs>
      <w:spacing w:before="360" w:after="0"/>
      <w:ind w:left="-850" w:right="-850"/>
      <w:jc w:val="left"/>
    </w:pPr>
    <w:rPr>
      <w:rFonts w:eastAsia="Calibri"/>
      <w:lang w:eastAsia="en-GB"/>
    </w:rPr>
  </w:style>
  <w:style w:type="character" w:customStyle="1" w:styleId="TOCHeadingChar">
    <w:name w:val="TOC Heading Char"/>
    <w:uiPriority w:val="39"/>
    <w:rsid w:val="00A93BF2"/>
    <w:rPr>
      <w:rFonts w:ascii="Times New Roman" w:hAnsi="Times New Roman" w:cs="Times New Roman"/>
      <w:b/>
      <w:sz w:val="28"/>
      <w:lang w:val="de-DE"/>
    </w:rPr>
  </w:style>
  <w:style w:type="character" w:customStyle="1" w:styleId="FooterCoverPageChar">
    <w:name w:val="Footer Cover Page Char"/>
    <w:link w:val="FooterCoverPage"/>
    <w:rsid w:val="00A93BF2"/>
    <w:rPr>
      <w:rFonts w:ascii="Times New Roman" w:eastAsia="Calibri" w:hAnsi="Times New Roman" w:cs="Times New Roman"/>
      <w:sz w:val="24"/>
      <w:lang w:val="de-DE" w:eastAsia="en-GB"/>
    </w:rPr>
  </w:style>
  <w:style w:type="paragraph" w:customStyle="1" w:styleId="HeaderCoverPage">
    <w:name w:val="Header Cover Page"/>
    <w:basedOn w:val="Normal"/>
    <w:link w:val="HeaderCoverPageChar"/>
    <w:rsid w:val="00A93BF2"/>
    <w:pPr>
      <w:tabs>
        <w:tab w:val="center" w:pos="4535"/>
        <w:tab w:val="right" w:pos="9071"/>
      </w:tabs>
      <w:spacing w:before="0"/>
    </w:pPr>
    <w:rPr>
      <w:rFonts w:eastAsia="Calibri"/>
      <w:lang w:eastAsia="en-GB"/>
    </w:rPr>
  </w:style>
  <w:style w:type="character" w:customStyle="1" w:styleId="HeaderCoverPageChar">
    <w:name w:val="Header Cover Page Char"/>
    <w:link w:val="HeaderCoverPage"/>
    <w:rsid w:val="00A93BF2"/>
    <w:rPr>
      <w:rFonts w:ascii="Times New Roman" w:eastAsia="Calibri" w:hAnsi="Times New Roman" w:cs="Times New Roman"/>
      <w:sz w:val="24"/>
      <w:lang w:val="de-DE" w:eastAsia="en-GB"/>
    </w:rPr>
  </w:style>
  <w:style w:type="character" w:customStyle="1" w:styleId="FooterSensitivityChar">
    <w:name w:val="Footer Sensitivity Char"/>
    <w:rsid w:val="00A93BF2"/>
    <w:rPr>
      <w:rFonts w:ascii="Times New Roman" w:hAnsi="Times New Roman" w:cs="Times New Roman"/>
      <w:b/>
      <w:sz w:val="32"/>
      <w:lang w:val="de-DE"/>
    </w:rPr>
  </w:style>
  <w:style w:type="character" w:customStyle="1" w:styleId="HeaderSensitivityChar">
    <w:name w:val="Header Sensitivity Char"/>
    <w:rsid w:val="00A93BF2"/>
    <w:rPr>
      <w:rFonts w:ascii="Times New Roman" w:hAnsi="Times New Roman" w:cs="Times New Roman"/>
      <w:b/>
      <w:sz w:val="32"/>
      <w:lang w:val="de-DE"/>
    </w:rPr>
  </w:style>
  <w:style w:type="character" w:customStyle="1" w:styleId="HeaderSensitivityRightChar">
    <w:name w:val="Header Sensitivity Right Char"/>
    <w:rsid w:val="00A93BF2"/>
    <w:rPr>
      <w:rFonts w:ascii="Times New Roman" w:hAnsi="Times New Roman" w:cs="Times New Roman"/>
      <w:sz w:val="28"/>
      <w:lang w:val="de-DE"/>
    </w:rPr>
  </w:style>
  <w:style w:type="paragraph" w:customStyle="1" w:styleId="LegalNumPar">
    <w:name w:val="LegalNumPar"/>
    <w:basedOn w:val="Normal"/>
    <w:rsid w:val="00A93BF2"/>
    <w:pPr>
      <w:numPr>
        <w:numId w:val="16"/>
      </w:numPr>
      <w:spacing w:line="360" w:lineRule="auto"/>
    </w:pPr>
    <w:rPr>
      <w:rFonts w:eastAsia="Times New Roman"/>
      <w:lang w:eastAsia="en-GB"/>
    </w:rPr>
  </w:style>
  <w:style w:type="paragraph" w:customStyle="1" w:styleId="LegalNumPar2">
    <w:name w:val="LegalNumPar2"/>
    <w:basedOn w:val="Normal"/>
    <w:rsid w:val="00A93BF2"/>
    <w:pPr>
      <w:numPr>
        <w:ilvl w:val="1"/>
        <w:numId w:val="16"/>
      </w:numPr>
      <w:spacing w:line="360" w:lineRule="auto"/>
    </w:pPr>
    <w:rPr>
      <w:rFonts w:eastAsia="Times New Roman"/>
      <w:lang w:eastAsia="en-GB"/>
    </w:rPr>
  </w:style>
  <w:style w:type="paragraph" w:customStyle="1" w:styleId="LegalNumPar3">
    <w:name w:val="LegalNumPar3"/>
    <w:basedOn w:val="Normal"/>
    <w:rsid w:val="00A93BF2"/>
    <w:pPr>
      <w:numPr>
        <w:ilvl w:val="2"/>
        <w:numId w:val="16"/>
      </w:numPr>
      <w:spacing w:line="360" w:lineRule="auto"/>
    </w:pPr>
    <w:rPr>
      <w:rFonts w:eastAsia="Times New Roman"/>
      <w:lang w:eastAsia="en-GB"/>
    </w:rPr>
  </w:style>
  <w:style w:type="paragraph" w:styleId="ListParagraph">
    <w:name w:val="List Paragraph"/>
    <w:basedOn w:val="Normal"/>
    <w:uiPriority w:val="34"/>
    <w:qFormat/>
    <w:rsid w:val="00A93BF2"/>
    <w:pPr>
      <w:ind w:left="720"/>
      <w:contextualSpacing/>
    </w:pPr>
    <w:rPr>
      <w:rFonts w:eastAsia="Times New Roman"/>
      <w:lang w:eastAsia="en-GB"/>
    </w:rPr>
  </w:style>
  <w:style w:type="character" w:customStyle="1" w:styleId="UnresolvedMention">
    <w:name w:val="Unresolved Mention"/>
    <w:basedOn w:val="DefaultParagraphFont"/>
    <w:uiPriority w:val="99"/>
    <w:semiHidden/>
    <w:unhideWhenUsed/>
    <w:rsid w:val="00A93BF2"/>
    <w:rPr>
      <w:color w:val="605E5C"/>
      <w:shd w:val="clear" w:color="auto" w:fill="E1DFDD"/>
    </w:rPr>
  </w:style>
  <w:style w:type="character" w:styleId="Strong">
    <w:name w:val="Strong"/>
    <w:basedOn w:val="DefaultParagraphFont"/>
    <w:qFormat/>
    <w:rsid w:val="00A93BF2"/>
    <w:rPr>
      <w:b/>
      <w:bCs/>
    </w:rPr>
  </w:style>
  <w:style w:type="character" w:styleId="Emphasis">
    <w:name w:val="Emphasis"/>
    <w:basedOn w:val="DefaultParagraphFont"/>
    <w:qFormat/>
    <w:rsid w:val="00A93BF2"/>
    <w:rPr>
      <w:i/>
      <w:iCs/>
    </w:rPr>
  </w:style>
  <w:style w:type="character" w:customStyle="1" w:styleId="Mention">
    <w:name w:val="Mention"/>
    <w:basedOn w:val="DefaultParagraphFont"/>
    <w:uiPriority w:val="99"/>
    <w:unhideWhenUsed/>
    <w:rsid w:val="00A93BF2"/>
    <w:rPr>
      <w:color w:val="2B579A"/>
      <w:shd w:val="clear" w:color="auto" w:fill="E1DFDD"/>
    </w:rPr>
  </w:style>
  <w:style w:type="character" w:customStyle="1" w:styleId="normaltextrun">
    <w:name w:val="normaltextrun"/>
    <w:basedOn w:val="DefaultParagraphFont"/>
    <w:rsid w:val="00A93BF2"/>
  </w:style>
  <w:style w:type="character" w:customStyle="1" w:styleId="eop">
    <w:name w:val="eop"/>
    <w:basedOn w:val="DefaultParagraphFont"/>
    <w:rsid w:val="00A93BF2"/>
  </w:style>
  <w:style w:type="paragraph" w:customStyle="1" w:styleId="Fichefinanciretextetable">
    <w:name w:val="Fiche financière texte (table)"/>
    <w:basedOn w:val="Normal"/>
    <w:rsid w:val="003D24B0"/>
    <w:pPr>
      <w:spacing w:before="0" w:after="0"/>
      <w:jc w:val="left"/>
    </w:pPr>
    <w:rPr>
      <w:rFonts w:eastAsia="Times New Roman"/>
      <w:sz w:val="20"/>
      <w:szCs w:val="20"/>
      <w:lang w:eastAsia="en-GB"/>
    </w:rPr>
  </w:style>
  <w:style w:type="paragraph" w:customStyle="1" w:styleId="Fichefinanciretitretable">
    <w:name w:val="Fiche financière titre (table)"/>
    <w:basedOn w:val="Normal"/>
    <w:rsid w:val="003D24B0"/>
    <w:pPr>
      <w:jc w:val="center"/>
    </w:pPr>
    <w:rPr>
      <w:rFonts w:eastAsia="Times New Roman"/>
      <w:b/>
      <w:sz w:val="40"/>
      <w:szCs w:val="20"/>
      <w:lang w:eastAsia="en-GB"/>
    </w:rPr>
  </w:style>
  <w:style w:type="character" w:customStyle="1" w:styleId="HeaderChar">
    <w:name w:val="Header Char"/>
    <w:basedOn w:val="DefaultParagraphFont"/>
    <w:link w:val="Header"/>
    <w:uiPriority w:val="99"/>
    <w:rsid w:val="009641F3"/>
    <w:rPr>
      <w:rFonts w:ascii="Times New Roman" w:hAnsi="Times New Roman" w:cs="Times New Roman"/>
      <w:sz w:val="24"/>
      <w:lang w:val="de-DE"/>
    </w:rPr>
  </w:style>
  <w:style w:type="character" w:customStyle="1" w:styleId="FooterChar">
    <w:name w:val="Footer Char"/>
    <w:basedOn w:val="DefaultParagraphFont"/>
    <w:link w:val="Footer"/>
    <w:uiPriority w:val="99"/>
    <w:rsid w:val="009641F3"/>
    <w:rPr>
      <w:rFonts w:ascii="Times New Roman" w:hAnsi="Times New Roman" w:cs="Times New Roman"/>
      <w:sz w:val="24"/>
      <w:lang w:val="de-DE"/>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shd w:val="clear" w:color="auto" w:fill="auto"/>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shd w:val="clear" w:color="auto" w:fill="auto"/>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rsid w:val="009641F3"/>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9641F3"/>
    <w:pPr>
      <w:spacing w:before="0"/>
      <w:jc w:val="right"/>
    </w:pPr>
    <w:rPr>
      <w:sz w:val="28"/>
    </w:rPr>
  </w:style>
  <w:style w:type="paragraph" w:customStyle="1" w:styleId="FooterSensitivity">
    <w:name w:val="Footer Sensitivity"/>
    <w:basedOn w:val="Normal"/>
    <w:rsid w:val="009641F3"/>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36"/>
      </w:numPr>
    </w:pPr>
  </w:style>
  <w:style w:type="paragraph" w:customStyle="1" w:styleId="Tiret1">
    <w:name w:val="Tiret 1"/>
    <w:basedOn w:val="Point1"/>
    <w:pPr>
      <w:numPr>
        <w:numId w:val="37"/>
      </w:numPr>
    </w:pPr>
  </w:style>
  <w:style w:type="paragraph" w:customStyle="1" w:styleId="Tiret2">
    <w:name w:val="Tiret 2"/>
    <w:basedOn w:val="Point2"/>
    <w:pPr>
      <w:numPr>
        <w:numId w:val="38"/>
      </w:numPr>
    </w:pPr>
  </w:style>
  <w:style w:type="paragraph" w:customStyle="1" w:styleId="Tiret3">
    <w:name w:val="Tiret 3"/>
    <w:basedOn w:val="Point3"/>
    <w:pPr>
      <w:numPr>
        <w:numId w:val="39"/>
      </w:numPr>
    </w:pPr>
  </w:style>
  <w:style w:type="paragraph" w:customStyle="1" w:styleId="Tiret4">
    <w:name w:val="Tiret 4"/>
    <w:basedOn w:val="Point4"/>
    <w:pPr>
      <w:numPr>
        <w:numId w:val="40"/>
      </w:numPr>
    </w:pPr>
  </w:style>
  <w:style w:type="paragraph" w:customStyle="1" w:styleId="Tiret5">
    <w:name w:val="Tiret 5"/>
    <w:basedOn w:val="Point5"/>
    <w:pPr>
      <w:numPr>
        <w:numId w:val="41"/>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42"/>
      </w:numPr>
    </w:pPr>
  </w:style>
  <w:style w:type="paragraph" w:customStyle="1" w:styleId="NumPar2">
    <w:name w:val="NumPar 2"/>
    <w:basedOn w:val="Normal"/>
    <w:next w:val="Text1"/>
    <w:pPr>
      <w:numPr>
        <w:ilvl w:val="1"/>
        <w:numId w:val="42"/>
      </w:numPr>
    </w:pPr>
  </w:style>
  <w:style w:type="paragraph" w:customStyle="1" w:styleId="NumPar3">
    <w:name w:val="NumPar 3"/>
    <w:basedOn w:val="Normal"/>
    <w:next w:val="Text1"/>
    <w:pPr>
      <w:numPr>
        <w:ilvl w:val="2"/>
        <w:numId w:val="42"/>
      </w:numPr>
    </w:pPr>
  </w:style>
  <w:style w:type="paragraph" w:customStyle="1" w:styleId="NumPar4">
    <w:name w:val="NumPar 4"/>
    <w:basedOn w:val="Normal"/>
    <w:next w:val="Text1"/>
    <w:pPr>
      <w:numPr>
        <w:ilvl w:val="3"/>
        <w:numId w:val="42"/>
      </w:numPr>
    </w:pPr>
  </w:style>
  <w:style w:type="paragraph" w:customStyle="1" w:styleId="NumPar5">
    <w:name w:val="NumPar 5"/>
    <w:basedOn w:val="Normal"/>
    <w:next w:val="Text2"/>
    <w:pPr>
      <w:numPr>
        <w:ilvl w:val="4"/>
        <w:numId w:val="42"/>
      </w:numPr>
    </w:pPr>
  </w:style>
  <w:style w:type="paragraph" w:customStyle="1" w:styleId="NumPar6">
    <w:name w:val="NumPar 6"/>
    <w:basedOn w:val="Normal"/>
    <w:next w:val="Text2"/>
    <w:pPr>
      <w:numPr>
        <w:ilvl w:val="5"/>
        <w:numId w:val="42"/>
      </w:numPr>
    </w:pPr>
  </w:style>
  <w:style w:type="paragraph" w:customStyle="1" w:styleId="NumPar7">
    <w:name w:val="NumPar 7"/>
    <w:basedOn w:val="Normal"/>
    <w:next w:val="Text2"/>
    <w:pPr>
      <w:numPr>
        <w:ilvl w:val="6"/>
        <w:numId w:val="42"/>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44"/>
      </w:numPr>
    </w:pPr>
  </w:style>
  <w:style w:type="paragraph" w:customStyle="1" w:styleId="Point1number">
    <w:name w:val="Point 1 (number)"/>
    <w:basedOn w:val="Normal"/>
    <w:pPr>
      <w:numPr>
        <w:ilvl w:val="2"/>
        <w:numId w:val="44"/>
      </w:numPr>
    </w:pPr>
  </w:style>
  <w:style w:type="paragraph" w:customStyle="1" w:styleId="Point2number">
    <w:name w:val="Point 2 (number)"/>
    <w:basedOn w:val="Normal"/>
    <w:pPr>
      <w:numPr>
        <w:ilvl w:val="4"/>
        <w:numId w:val="44"/>
      </w:numPr>
    </w:pPr>
  </w:style>
  <w:style w:type="paragraph" w:customStyle="1" w:styleId="Point3number">
    <w:name w:val="Point 3 (number)"/>
    <w:basedOn w:val="Normal"/>
    <w:pPr>
      <w:numPr>
        <w:ilvl w:val="6"/>
        <w:numId w:val="44"/>
      </w:numPr>
    </w:pPr>
  </w:style>
  <w:style w:type="paragraph" w:customStyle="1" w:styleId="Point0letter">
    <w:name w:val="Point 0 (letter)"/>
    <w:basedOn w:val="Normal"/>
    <w:pPr>
      <w:numPr>
        <w:ilvl w:val="1"/>
        <w:numId w:val="44"/>
      </w:numPr>
    </w:pPr>
  </w:style>
  <w:style w:type="paragraph" w:customStyle="1" w:styleId="Point1letter">
    <w:name w:val="Point 1 (letter)"/>
    <w:basedOn w:val="Normal"/>
    <w:pPr>
      <w:numPr>
        <w:ilvl w:val="3"/>
        <w:numId w:val="44"/>
      </w:numPr>
    </w:pPr>
  </w:style>
  <w:style w:type="paragraph" w:customStyle="1" w:styleId="Point2letter">
    <w:name w:val="Point 2 (letter)"/>
    <w:basedOn w:val="Normal"/>
    <w:pPr>
      <w:numPr>
        <w:ilvl w:val="5"/>
        <w:numId w:val="44"/>
      </w:numPr>
    </w:pPr>
  </w:style>
  <w:style w:type="paragraph" w:customStyle="1" w:styleId="Point3letter">
    <w:name w:val="Point 3 (letter)"/>
    <w:basedOn w:val="Normal"/>
    <w:pPr>
      <w:numPr>
        <w:ilvl w:val="7"/>
        <w:numId w:val="44"/>
      </w:numPr>
    </w:pPr>
  </w:style>
  <w:style w:type="paragraph" w:customStyle="1" w:styleId="Point4letter">
    <w:name w:val="Point 4 (letter)"/>
    <w:basedOn w:val="Normal"/>
    <w:pPr>
      <w:numPr>
        <w:ilvl w:val="8"/>
        <w:numId w:val="44"/>
      </w:numPr>
    </w:pPr>
  </w:style>
  <w:style w:type="paragraph" w:customStyle="1" w:styleId="Bullet0">
    <w:name w:val="Bullet 0"/>
    <w:basedOn w:val="Normal"/>
    <w:pPr>
      <w:numPr>
        <w:numId w:val="45"/>
      </w:numPr>
    </w:pPr>
  </w:style>
  <w:style w:type="paragraph" w:customStyle="1" w:styleId="Bullet1">
    <w:name w:val="Bullet 1"/>
    <w:basedOn w:val="Normal"/>
    <w:pPr>
      <w:numPr>
        <w:numId w:val="46"/>
      </w:numPr>
    </w:pPr>
  </w:style>
  <w:style w:type="paragraph" w:customStyle="1" w:styleId="Bullet2">
    <w:name w:val="Bullet 2"/>
    <w:basedOn w:val="Normal"/>
    <w:pPr>
      <w:numPr>
        <w:numId w:val="47"/>
      </w:numPr>
    </w:pPr>
  </w:style>
  <w:style w:type="paragraph" w:customStyle="1" w:styleId="Bullet3">
    <w:name w:val="Bullet 3"/>
    <w:basedOn w:val="Normal"/>
    <w:pPr>
      <w:numPr>
        <w:numId w:val="48"/>
      </w:numPr>
    </w:pPr>
  </w:style>
  <w:style w:type="paragraph" w:customStyle="1" w:styleId="Bullet4">
    <w:name w:val="Bullet 4"/>
    <w:basedOn w:val="Normal"/>
    <w:pPr>
      <w:numPr>
        <w:numId w:val="49"/>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50"/>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 w:type="paragraph" w:styleId="Header">
    <w:name w:val="header"/>
    <w:basedOn w:val="Normal"/>
    <w:link w:val="HeaderChar"/>
    <w:uiPriority w:val="99"/>
    <w:unhideWhenUsed/>
    <w:rsid w:val="009641F3"/>
    <w:pPr>
      <w:tabs>
        <w:tab w:val="center" w:pos="4535"/>
        <w:tab w:val="right" w:pos="9071"/>
      </w:tabs>
      <w:spacing w:before="0"/>
    </w:pPr>
  </w:style>
  <w:style w:type="paragraph" w:customStyle="1" w:styleId="HeaderLandscape">
    <w:name w:val="HeaderLandscape"/>
    <w:basedOn w:val="Normal"/>
    <w:rsid w:val="009641F3"/>
    <w:pPr>
      <w:tabs>
        <w:tab w:val="center" w:pos="7285"/>
        <w:tab w:val="right" w:pos="14003"/>
      </w:tabs>
      <w:spacing w:before="0"/>
    </w:pPr>
  </w:style>
  <w:style w:type="paragraph" w:styleId="Footer">
    <w:name w:val="footer"/>
    <w:basedOn w:val="Normal"/>
    <w:link w:val="FooterChar"/>
    <w:uiPriority w:val="99"/>
    <w:unhideWhenUsed/>
    <w:rsid w:val="009641F3"/>
    <w:pPr>
      <w:tabs>
        <w:tab w:val="center" w:pos="4535"/>
        <w:tab w:val="right" w:pos="9071"/>
        <w:tab w:val="right" w:pos="9921"/>
      </w:tabs>
      <w:spacing w:before="360" w:after="0"/>
      <w:ind w:left="-850" w:right="-850"/>
      <w:jc w:val="left"/>
    </w:pPr>
  </w:style>
  <w:style w:type="paragraph" w:customStyle="1" w:styleId="FooterLandscape">
    <w:name w:val="FooterLandscape"/>
    <w:basedOn w:val="Normal"/>
    <w:rsid w:val="009641F3"/>
    <w:pPr>
      <w:tabs>
        <w:tab w:val="center" w:pos="7285"/>
        <w:tab w:val="center" w:pos="10913"/>
        <w:tab w:val="right" w:pos="15137"/>
      </w:tabs>
      <w:spacing w:before="360" w:after="0"/>
      <w:ind w:left="-567" w:right="-567"/>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ebgate.ec.testa.eu/Ares/document/show.do?documentId=080166e517a5d51a&amp;timestamp=174038744621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dec/2023/991/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lcf76f155ced4ddcb4097134ff3c332f xmlns="f7bb8512-91eb-4bfd-be42-d6f021407e9a">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144c03d0-0f03-451f-9d46-5279004462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7" ma:contentTypeDescription="Create a new document in this library." ma:contentTypeScope="" ma:versionID="e7e27166b6ddd379314dbc4ffb647a9d">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6ba0d890b3d934a84d947fa41105d8de"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element ref="ns4:lcf76f155ced4ddcb4097134ff3c332f" minOccurs="0"/>
                <xsd:element ref="ns3:TaxCatchAll"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element name="TaxCatchAll" ma:index="21" nillable="true" ma:displayName="Taxonomy Catch All Column" ma:hidden="true" ma:list="{51513471-611d-4aba-ae12-e8d0e877eea6}" ma:internalName="TaxCatchAll" ma:showField="CatchAllData" ma:web="144c03d0-0f03-451f-9d46-5279004462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996B29-BDCC-485B-8AD0-657EFD2D9F88}">
  <ds:schemaRefs>
    <ds:schemaRef ds:uri="http://schemas.microsoft.com/sharepoint/v3/contenttype/forms"/>
  </ds:schemaRefs>
</ds:datastoreItem>
</file>

<file path=customXml/itemProps2.xml><?xml version="1.0" encoding="utf-8"?>
<ds:datastoreItem xmlns:ds="http://schemas.openxmlformats.org/officeDocument/2006/customXml" ds:itemID="{0B50BDDE-8BE7-4168-9D23-D2A2F5C81C63}">
  <ds:schemaRefs>
    <ds:schemaRef ds:uri="http://schemas.microsoft.com/office/2006/documentManagement/types"/>
    <ds:schemaRef ds:uri="http://schemas.microsoft.com/sharepoint/v3/fields"/>
    <ds:schemaRef ds:uri="http://purl.org/dc/dcmitype/"/>
    <ds:schemaRef ds:uri="http://schemas.microsoft.com/office/2006/metadata/properties"/>
    <ds:schemaRef ds:uri="http://www.w3.org/XML/1998/namespace"/>
    <ds:schemaRef ds:uri="http://purl.org/dc/elements/1.1/"/>
    <ds:schemaRef ds:uri="http://schemas.microsoft.com/office/infopath/2007/PartnerControls"/>
    <ds:schemaRef ds:uri="http://purl.org/dc/terms/"/>
    <ds:schemaRef ds:uri="http://schemas.openxmlformats.org/package/2006/metadata/core-properties"/>
    <ds:schemaRef ds:uri="f7bb8512-91eb-4bfd-be42-d6f021407e9a"/>
    <ds:schemaRef ds:uri="144c03d0-0f03-451f-9d46-5279004462a4"/>
  </ds:schemaRefs>
</ds:datastoreItem>
</file>

<file path=customXml/itemProps3.xml><?xml version="1.0" encoding="utf-8"?>
<ds:datastoreItem xmlns:ds="http://schemas.openxmlformats.org/officeDocument/2006/customXml" ds:itemID="{F9CC4CD9-5A2B-4A9F-A07E-20BB6E8CB2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BFA091-8D7B-4DCE-8851-289615C93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7</TotalTime>
  <Pages>9</Pages>
  <Words>1933</Words>
  <Characters>11021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34</cp:revision>
  <dcterms:created xsi:type="dcterms:W3CDTF">2025-03-18T16:35:00Z</dcterms:created>
  <dcterms:modified xsi:type="dcterms:W3CDTF">2025-04-09T09:06:00Z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8.0.25.0</vt:lpwstr>
  </property>
  <property fmtid="{D5CDD505-2E9C-101B-9397-08002B2CF9AE}" pid="4" name="Last edited using">
    <vt:lpwstr>LW 9.1, Build 20240808</vt:lpwstr>
  </property>
  <property fmtid="{D5CDD505-2E9C-101B-9397-08002B2CF9AE}" pid="5" name="Created using">
    <vt:lpwstr>LW 9.1, Build 20240808</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SJ-043</vt:lpwstr>
  </property>
  <property fmtid="{D5CDD505-2E9C-101B-9397-08002B2CF9AE}" pid="10" name="MSIP_Label_6bd9ddd1-4d20-43f6-abfa-fc3c07406f94_Enabled">
    <vt:lpwstr>true</vt:lpwstr>
  </property>
  <property fmtid="{D5CDD505-2E9C-101B-9397-08002B2CF9AE}" pid="11" name="MSIP_Label_6bd9ddd1-4d20-43f6-abfa-fc3c07406f94_SetDate">
    <vt:lpwstr>2025-01-28T15:39:56Z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31759a29-e370-43df-8786-2b7ff5f4fc86</vt:lpwstr>
  </property>
  <property fmtid="{D5CDD505-2E9C-101B-9397-08002B2CF9AE}" pid="16" name="MSIP_Label_6bd9ddd1-4d20-43f6-abfa-fc3c07406f94_ContentBits">
    <vt:lpwstr>0</vt:lpwstr>
  </property>
  <property fmtid="{D5CDD505-2E9C-101B-9397-08002B2CF9AE}" pid="17" name="ContentTypeId">
    <vt:lpwstr>0x010100BAD999D84E12C74482EA5120F5227F6F00217DECAAC21D6B43958DFE68658C192E</vt:lpwstr>
  </property>
  <property fmtid="{D5CDD505-2E9C-101B-9397-08002B2CF9AE}" pid="18" name="MediaServiceImageTags">
    <vt:lpwstr/>
  </property>
  <property fmtid="{D5CDD505-2E9C-101B-9397-08002B2CF9AE}" pid="19" name="DQCStatus">
    <vt:lpwstr>Green (DQC version 03)</vt:lpwstr>
  </property>
  <property name="OP_sanitized" fmtid="{D5CDD505-2E9C-101B-9397-08002B2CF9AE}" pid="20">
    <vt:lpwstr>True</vt:lpwstr>
  </property>
</Properties>
</file>