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6A936" w14:textId="4A6AE825" w:rsidR="00AC1E12" w:rsidRDefault="002956AD" w:rsidP="002956AD">
      <w:pPr>
        <w:pStyle w:val="Pagedecouverture"/>
        <w:rPr>
          <w:noProof/>
        </w:rPr>
      </w:pPr>
      <w:bookmarkStart w:id="0" w:name="LW_BM_COVERPAGE"/>
      <w:r>
        <w:rPr>
          <w:noProof/>
        </w:rPr>
        <w:pict w14:anchorId="69358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E74DB846-7961-4EFD-97D3-529317303916" style="width:455.25pt;height:351.75pt">
            <v:imagedata r:id="rId7" o:title=""/>
          </v:shape>
        </w:pict>
      </w:r>
    </w:p>
    <w:bookmarkEnd w:id="0"/>
    <w:p w14:paraId="51964213" w14:textId="77777777" w:rsidR="00AC1E12" w:rsidRDefault="00AC1E12" w:rsidP="001337D4">
      <w:pPr>
        <w:jc w:val="both"/>
        <w:rPr>
          <w:noProof/>
        </w:rPr>
        <w:sectPr w:rsidR="00AC1E12" w:rsidSect="002956AD">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C71BB5B" w14:textId="77777777" w:rsidR="00AC1E12" w:rsidRPr="00AC1E12" w:rsidRDefault="00AC1E12" w:rsidP="001337D4">
      <w:pPr>
        <w:jc w:val="both"/>
        <w:rPr>
          <w:rFonts w:ascii="Times New Roman" w:hAnsi="Times New Roman" w:cs="Times New Roman"/>
          <w:noProof/>
          <w:sz w:val="24"/>
          <w:szCs w:val="24"/>
        </w:rPr>
      </w:pPr>
      <w:bookmarkStart w:id="1" w:name="_GoBack"/>
      <w:bookmarkEnd w:id="1"/>
      <w:r>
        <w:rPr>
          <w:rFonts w:ascii="Times New Roman" w:hAnsi="Times New Roman"/>
          <w:noProof/>
          <w:sz w:val="24"/>
        </w:rPr>
        <w:lastRenderedPageBreak/>
        <w:t>1. EINLEITUNG</w:t>
      </w:r>
    </w:p>
    <w:p w14:paraId="022D4D7B" w14:textId="02BC268A" w:rsidR="00AC1E12" w:rsidRDefault="00AC1E12" w:rsidP="001337D4">
      <w:pPr>
        <w:jc w:val="both"/>
        <w:rPr>
          <w:rFonts w:ascii="Times New Roman" w:hAnsi="Times New Roman" w:cs="Times New Roman"/>
          <w:noProof/>
          <w:sz w:val="24"/>
          <w:szCs w:val="24"/>
        </w:rPr>
      </w:pPr>
      <w:r>
        <w:rPr>
          <w:rFonts w:ascii="Times New Roman" w:hAnsi="Times New Roman"/>
          <w:noProof/>
          <w:sz w:val="24"/>
        </w:rPr>
        <w:t xml:space="preserve">Mit der Verordnung (EU) 2019/1148 über die Vermarktung und Verwendung von Ausgangsstoffen für Explosivstoffe (im Folgenden „Verordnung“) wurden einheitliche Vorschriften für die Bereitstellung, die Verbringung, den Besitz und die Verwendung von Stoffen oder Gemischen festgelegt, die für die unrechtmäßige Herstellung von Explosivstoffen missbraucht werden könnten; sie zielte außerdem darauf ab, die Verfügbarkeit dieser Stoffe für die Allgemeinheit einzuschränken und eine angemessene Meldung verdächtiger Transaktionen in der gesamten Lieferkette sicherzustellen. Die in der Verordnung vorgesehenen Kontrollen und Einschränkungen gelten für die in ihren Anhängen aufgeführten Stoffe sowie für Gemische und Stoffe, die solche Stoffe enthalten. </w:t>
      </w:r>
    </w:p>
    <w:p w14:paraId="7D9E6F13" w14:textId="505F87EE" w:rsidR="001337D4" w:rsidRPr="00AC1E12" w:rsidRDefault="001337D4" w:rsidP="001337D4">
      <w:pPr>
        <w:jc w:val="both"/>
        <w:rPr>
          <w:rFonts w:ascii="Times New Roman" w:hAnsi="Times New Roman" w:cs="Times New Roman"/>
          <w:noProof/>
          <w:sz w:val="24"/>
          <w:szCs w:val="24"/>
        </w:rPr>
      </w:pPr>
      <w:r>
        <w:rPr>
          <w:rFonts w:ascii="Times New Roman" w:hAnsi="Times New Roman"/>
          <w:noProof/>
          <w:sz w:val="24"/>
        </w:rPr>
        <w:t>Nach Artikel 15 der Verordnung ist die Kommission befugt, delegierte Rechtsakte zur Änderung der Verordnung zu erlassen durch a) Änderungen der Grenzwerte in Anhang I, soweit dies erforderlich ist, um entweder der Entwicklung auf dem Gebiet des Missbrauchs von Stoffen als Ausgangsstoffe für Explosivstoffe, oder Forschungs- und Testergebnissen Rechnung zu tragen, b) die Aufnahme von Stoffen in Anhang II, soweit dies erforderlich ist, um der Entwicklung auf dem Gebiet des Missbrauchs von Stoffen als Ausgangsstoffe für Explosivstoffe Rechnung zu tragen.</w:t>
      </w:r>
    </w:p>
    <w:p w14:paraId="3C5B3A6C" w14:textId="18EFE060" w:rsidR="00FC1D85" w:rsidRDefault="00FC1D85" w:rsidP="001337D4">
      <w:pPr>
        <w:jc w:val="both"/>
        <w:rPr>
          <w:rFonts w:ascii="Times New Roman" w:hAnsi="Times New Roman" w:cs="Times New Roman"/>
          <w:noProof/>
          <w:sz w:val="24"/>
          <w:szCs w:val="24"/>
        </w:rPr>
      </w:pPr>
      <w:r>
        <w:rPr>
          <w:rFonts w:ascii="Times New Roman" w:hAnsi="Times New Roman"/>
          <w:noProof/>
          <w:sz w:val="24"/>
        </w:rPr>
        <w:t>Der Ständige Ausschuss für Ausgangsstoffe für Explosivstoffe – eine von der Kommission geleitete Expertengruppe mit Vertretern der Mitgliedstaaten und von Industrieverbänden – unterstützt die Kommission dabei, die Durchführung der Verordnung (EU) 2019/1148 zu vereinfachen und zu überwachen.</w:t>
      </w:r>
    </w:p>
    <w:p w14:paraId="1F021CBC" w14:textId="0E6B1041"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Die Verordnung ist ein wichtiges Instrument für die Bekämpfung von Terrorismus und Kriminalität in der Europäischen Union, da sie Terroristen oder Kriminelle daran hindert, Ausgangsstoffe für Explosivstoffe zu erwerben, die zur Herstellung von selbst hergestellten Explosivstoffen (HME) verwendet werden könnten. Bei mehreren Terroranschlägen in der EU, darunter bei den Anschlägen in Paris 2015, Brüssel 2016, Manchester und Parsons Green 2017 und Lyon im Jahr 2019, nutzten Terroristen solche HME.</w:t>
      </w:r>
    </w:p>
    <w:p w14:paraId="58E6EBC5" w14:textId="77777777" w:rsidR="00AC1E12" w:rsidRPr="0095398A" w:rsidRDefault="00AC1E12" w:rsidP="001337D4">
      <w:pPr>
        <w:jc w:val="both"/>
        <w:rPr>
          <w:rFonts w:ascii="Times New Roman" w:hAnsi="Times New Roman" w:cs="Times New Roman"/>
          <w:noProof/>
          <w:sz w:val="24"/>
          <w:szCs w:val="24"/>
        </w:rPr>
      </w:pPr>
    </w:p>
    <w:p w14:paraId="2DEFD7F5" w14:textId="77777777"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2. RECHTSGRUNDLAGE</w:t>
      </w:r>
    </w:p>
    <w:p w14:paraId="653CA15A" w14:textId="01033C47"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 xml:space="preserve">Der vorliegende Bericht ist nach Artikel 16 Absatz 2 der Verordnung erforderlich. Nach dieser Bestimmung wird der Kommission die Befugnis zum Erlass delegierter Rechtsakte für einen Zeitraum von fünf Jahren ab dem 31. Juli 2019 übertragen. Darüber hinaus erstellt die Kommission spätestens neun Monate vor Ablauf des Zeitraums von fünf Jahren (31. Oktober 2023) einen Bericht über die Befugnisübertragung. </w:t>
      </w:r>
    </w:p>
    <w:p w14:paraId="6206E13F" w14:textId="15A0F396"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Die Befugnisübertragung verlängert sich stillschweigend um Zeiträume gleicher Länge, es sei denn, das Europäische Parlament oder der Rat widersprechen einer solchen Verlängerung spätestens drei Monate vor Ablauf des jeweiligen Zeitraums.</w:t>
      </w:r>
    </w:p>
    <w:p w14:paraId="3CFC08C6" w14:textId="77777777" w:rsidR="00AC1E12" w:rsidRPr="0095398A" w:rsidRDefault="00AC1E12" w:rsidP="001337D4">
      <w:pPr>
        <w:jc w:val="both"/>
        <w:rPr>
          <w:rFonts w:ascii="Times New Roman" w:hAnsi="Times New Roman" w:cs="Times New Roman"/>
          <w:noProof/>
          <w:sz w:val="24"/>
          <w:szCs w:val="24"/>
        </w:rPr>
      </w:pPr>
    </w:p>
    <w:p w14:paraId="2BE97A6F" w14:textId="77777777"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3. AUSÜBUNG DER BEFUGNISÜBERTRAGUNG</w:t>
      </w:r>
    </w:p>
    <w:p w14:paraId="585F5CE4" w14:textId="6177098A"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Im Berichtszeitraum – d. h. vom 31. Juli 2019 bis zum 31. Oktober 2023 – hat die Kommission ihre Befugnis gemäß Artikel 15 der Verordnung, delegierte Rechtsakte zur Änderung der Grenzwerte für die in Anhang I aufgeführten Stoffe oder zur Aufnahme von Stoffen in Anhang II der Verordnung zu erlassen, nicht ausgeübt.</w:t>
      </w:r>
    </w:p>
    <w:p w14:paraId="5D7B6B92" w14:textId="1EE1AFDC"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Die von HME ausgehende Bedrohung ist jedoch nach wie vor hoch und entwickelt sich weiter. Dies wird systematisch im jährlichen Tendenz- und Lagebericht über den Terrorismus in der EU (TE-SAT) von Europol bestätigt, in dem ein Überblick über das Phänomen des Terrorismus in der EU in einem bestimmten Jahr gegeben wird.</w:t>
      </w:r>
      <w:r>
        <w:rPr>
          <w:rStyle w:val="FootnoteReference"/>
          <w:rFonts w:ascii="Times New Roman" w:hAnsi="Times New Roman" w:cs="Times New Roman"/>
          <w:noProof/>
          <w:sz w:val="24"/>
          <w:szCs w:val="24"/>
          <w:lang w:val="en-IE"/>
        </w:rPr>
        <w:footnoteReference w:id="1"/>
      </w:r>
    </w:p>
    <w:p w14:paraId="62DAAA96" w14:textId="453FF753"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Der Ständige Ausschuss für Ausgangsstoffe für Explosivstoffe verfolgt daher stets die Entwicklungen mit Blick auf den möglichen Missbrauch neuer Stoffe oder neuer Konzentrationen oder Gemische dieser Stoffe als Ausgangsstoffe für Explosivstoffe und stützt sich dabei auf Beiträge von Sachverständigen der EU-Mitgliedstaaten, von Europol oder anderer Strafverfolgungsbehörden. Im Berichtszeitraum wurden einige neue Stoffe für eine mögliche Aufnahme in die Anhänge der Verordnung in Betracht gezogen. Allerdings wurde es im Berichtszeitraum zu keinem Zeitpunkt als notwendig erachtet, einen Vorschlag für eine delegierte Verordnung zur Änderung der Grenzwerte für die in Anhang I aufgeführten Stoffe oder zur Aufnahme von Stoffen in Anhang II der Verordnung vorzulegen, um den Entwicklungen beim Missbrauch von Stoffen als Ausgangsstoffe für Explosivstoffe Rechnung zu tragen.</w:t>
      </w:r>
    </w:p>
    <w:p w14:paraId="79CF2191" w14:textId="32892E8B"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Darüber hinaus ist darauf hinzuweisen, dass die Kommission ihre Befugnis zum Erlass delegierter Rechtsakte im Jahr 2016 ausgeübt hat, um drei Stoffe in Anhang II aufzunehmen, nämlich Aluminiumpulver, Magnesiumnitrat-Hexahydrat und Magnesiumpulver. Zu jenem Zeitpunkt fand die Verordnung (EU) Nr. 98/2013 über die Vermarktung und Verwendung von Ausgangsstoffen für Explosivstoffe, die Vorgängerin der Verordnung (EU) 2019/1148 über die Vermarktung und Verwendung von Ausgangsstoffen für Explosivstoffe, Anwendung.</w:t>
      </w:r>
    </w:p>
    <w:p w14:paraId="1A47B928" w14:textId="77777777" w:rsidR="00AC1E12" w:rsidRPr="0095398A" w:rsidRDefault="00AC1E12" w:rsidP="001337D4">
      <w:pPr>
        <w:jc w:val="both"/>
        <w:rPr>
          <w:rFonts w:ascii="Times New Roman" w:hAnsi="Times New Roman" w:cs="Times New Roman"/>
          <w:noProof/>
          <w:sz w:val="24"/>
          <w:szCs w:val="24"/>
        </w:rPr>
      </w:pPr>
    </w:p>
    <w:p w14:paraId="4C96E236" w14:textId="77777777" w:rsidR="00AC1E12" w:rsidRPr="00AC1E12" w:rsidRDefault="00AC1E12" w:rsidP="001337D4">
      <w:pPr>
        <w:jc w:val="both"/>
        <w:rPr>
          <w:rFonts w:ascii="Times New Roman" w:hAnsi="Times New Roman" w:cs="Times New Roman"/>
          <w:noProof/>
          <w:sz w:val="24"/>
          <w:szCs w:val="24"/>
        </w:rPr>
      </w:pPr>
      <w:r>
        <w:rPr>
          <w:rFonts w:ascii="Times New Roman" w:hAnsi="Times New Roman"/>
          <w:noProof/>
          <w:sz w:val="24"/>
        </w:rPr>
        <w:t>4. SCHLUSSFOLGERUNG</w:t>
      </w:r>
    </w:p>
    <w:p w14:paraId="537111AD" w14:textId="3470779C" w:rsidR="00AC1E12" w:rsidRPr="00AC1E12" w:rsidRDefault="008474A0" w:rsidP="001337D4">
      <w:pPr>
        <w:jc w:val="both"/>
        <w:rPr>
          <w:rFonts w:ascii="Times New Roman" w:hAnsi="Times New Roman" w:cs="Times New Roman"/>
          <w:noProof/>
          <w:sz w:val="24"/>
          <w:szCs w:val="24"/>
        </w:rPr>
      </w:pPr>
      <w:r>
        <w:rPr>
          <w:rFonts w:ascii="Times New Roman" w:hAnsi="Times New Roman"/>
          <w:noProof/>
          <w:sz w:val="24"/>
        </w:rPr>
        <w:t>Die Kommission ist der Auffassung, dass die ihr durch die Verordnung übertragene Befugnis zum Erlass delegierter Rechtsakte gemäß Artikel 16 Absatz 2 der Verordnung stillschweigend um fünf Jahre verlängert werden sollte.</w:t>
      </w:r>
    </w:p>
    <w:sectPr w:rsidR="00AC1E12" w:rsidRPr="00AC1E12" w:rsidSect="007F1FFE">
      <w:headerReference w:type="even" r:id="rId14"/>
      <w:headerReference w:type="default" r:id="rId15"/>
      <w:footerReference w:type="even" r:id="rId16"/>
      <w:footerReference w:type="default" r:id="rId17"/>
      <w:headerReference w:type="first" r:id="rId18"/>
      <w:footerReference w:type="first" r:id="rId1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31695" w14:textId="77777777" w:rsidR="00AC1E12" w:rsidRDefault="00AC1E12" w:rsidP="00AC1E12">
      <w:pPr>
        <w:spacing w:after="0" w:line="240" w:lineRule="auto"/>
      </w:pPr>
      <w:r>
        <w:separator/>
      </w:r>
    </w:p>
  </w:endnote>
  <w:endnote w:type="continuationSeparator" w:id="0">
    <w:p w14:paraId="38809C02" w14:textId="77777777" w:rsidR="00AC1E12" w:rsidRDefault="00AC1E12" w:rsidP="00AC1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CBC8F" w14:textId="656C9C51" w:rsidR="00FA25CC" w:rsidRPr="002956AD" w:rsidRDefault="00FA25CC" w:rsidP="00295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B923" w14:textId="44139B0B" w:rsidR="00FA25CC" w:rsidRPr="002956AD" w:rsidRDefault="002956AD" w:rsidP="002956AD">
    <w:pPr>
      <w:pStyle w:val="FooterCoverPage"/>
      <w:rPr>
        <w:rFonts w:ascii="Arial" w:hAnsi="Arial" w:cs="Arial"/>
        <w:b/>
        <w:sz w:val="48"/>
      </w:rPr>
    </w:pPr>
    <w:r w:rsidRPr="002956AD">
      <w:rPr>
        <w:rFonts w:ascii="Arial" w:hAnsi="Arial" w:cs="Arial"/>
        <w:b/>
        <w:sz w:val="48"/>
      </w:rPr>
      <w:t>DE</w:t>
    </w:r>
    <w:r w:rsidRPr="002956AD">
      <w:rPr>
        <w:rFonts w:ascii="Arial" w:hAnsi="Arial" w:cs="Arial"/>
        <w:b/>
        <w:sz w:val="48"/>
      </w:rPr>
      <w:tab/>
    </w:r>
    <w:r w:rsidRPr="002956AD">
      <w:rPr>
        <w:rFonts w:ascii="Arial" w:hAnsi="Arial" w:cs="Arial"/>
        <w:b/>
        <w:sz w:val="48"/>
      </w:rPr>
      <w:tab/>
    </w:r>
    <w:r w:rsidRPr="002956AD">
      <w:tab/>
    </w:r>
    <w:r w:rsidRPr="002956AD">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47B36" w14:textId="77777777" w:rsidR="002956AD" w:rsidRPr="002956AD" w:rsidRDefault="002956AD" w:rsidP="002956A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61CBD" w14:textId="77777777" w:rsidR="007F1FFE" w:rsidRDefault="00AC1E12">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D8761" w14:textId="7DDD16D8" w:rsidR="007F1FFE" w:rsidRDefault="00AC1E12">
    <w:pPr>
      <w:pStyle w:val="FooterLine"/>
      <w:jc w:val="center"/>
    </w:pPr>
    <w:r>
      <w:fldChar w:fldCharType="begin"/>
    </w:r>
    <w:r>
      <w:instrText>PAGE   \* MERGEFORMAT</w:instrText>
    </w:r>
    <w:r>
      <w:fldChar w:fldCharType="separate"/>
    </w:r>
    <w:r w:rsidR="002956AD">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6CEFC" w14:textId="77777777" w:rsidR="007F1FFE" w:rsidRPr="007F1FFE" w:rsidRDefault="002956AD" w:rsidP="007F1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F837E" w14:textId="77777777" w:rsidR="00AC1E12" w:rsidRDefault="00AC1E12" w:rsidP="00AC1E12">
      <w:pPr>
        <w:spacing w:after="0" w:line="240" w:lineRule="auto"/>
      </w:pPr>
      <w:r>
        <w:separator/>
      </w:r>
    </w:p>
  </w:footnote>
  <w:footnote w:type="continuationSeparator" w:id="0">
    <w:p w14:paraId="5A0BAA86" w14:textId="77777777" w:rsidR="00AC1E12" w:rsidRDefault="00AC1E12" w:rsidP="00AC1E12">
      <w:pPr>
        <w:spacing w:after="0" w:line="240" w:lineRule="auto"/>
      </w:pPr>
      <w:r>
        <w:continuationSeparator/>
      </w:r>
    </w:p>
  </w:footnote>
  <w:footnote w:id="1">
    <w:p w14:paraId="5324479D" w14:textId="183FD54E" w:rsidR="00ED5FCB" w:rsidRPr="003D0FF4" w:rsidRDefault="00ED5FCB" w:rsidP="003D0F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Dem Tendenz- und Lagebericht über den Terrorismus in der Europäischen Union (TE-SAT) 2022 zufolge sind selbst hergestellte Explosivstoffe (HME) weiterhin </w:t>
      </w:r>
      <w:r w:rsidRPr="00FA25CC">
        <w:rPr>
          <w:rFonts w:ascii="Times New Roman" w:hAnsi="Times New Roman"/>
        </w:rPr>
        <w:t>die bevorzugte Waffe dschihadistischer Terroristen. Während die Verwendung von TATP weiter zurückgegangen ist, wurde im Jahr 2021 ein kontinuierlich steigender Trend bei der Herstellung von selbst hergestellten Explosivstoffen mit geringer Sprengkraft festgestellt, die aus erworbenen Ausgangsstoffen für Explosivstoffe (z. B. Kaliumnitrat, Aluminiumpulver, Schwefel, Ammoniumnitrat) gemischt werden. In</w:t>
      </w:r>
      <w:r>
        <w:rPr>
          <w:rFonts w:ascii="Times New Roman" w:hAnsi="Times New Roman"/>
        </w:rPr>
        <w:t xml:space="preserve"> Anleitungen, die über verschlüsselte Kommunikationsplattformen veröffentlicht und geteilt werden, wird in erster Linie zur Verwendung von HME, leicht zugänglicher Pyrotechnik und unkonventionellen Spreng- und Brandvorrichtungen in Form von rudimentären Rohrbomben aufgerufen und deren Verwendung empfohlen.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575DD" w14:textId="77777777" w:rsidR="002956AD" w:rsidRPr="002956AD" w:rsidRDefault="002956AD" w:rsidP="00295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7363" w14:textId="77777777" w:rsidR="002956AD" w:rsidRPr="002956AD" w:rsidRDefault="002956AD" w:rsidP="002956A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425D8" w14:textId="77777777" w:rsidR="002956AD" w:rsidRPr="002956AD" w:rsidRDefault="002956AD" w:rsidP="002956A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B6442" w14:textId="77777777" w:rsidR="007F1FFE" w:rsidRDefault="002956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2E3AE" w14:textId="77777777" w:rsidR="007F1FFE" w:rsidRDefault="002956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9D471" w14:textId="77777777" w:rsidR="007F1FFE" w:rsidRDefault="002956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74DB846-7961-4EFD-97D3-529317303916"/>
    <w:docVar w:name="LW_COVERPAGE_TYPE" w:val="1"/>
    <w:docVar w:name="LW_CROSSREFERENCE" w:val="&lt;UNUSED&gt;"/>
    <w:docVar w:name="LW_DocType" w:val="NORMAL"/>
    <w:docVar w:name="LW_EMISSION" w:val="20.11.2023"/>
    <w:docVar w:name="LW_EMISSION_ISODATE" w:val="2023-11-20"/>
    <w:docVar w:name="LW_EMISSION_LOCATION" w:val="BRX"/>
    <w:docVar w:name="LW_EMISSION_PREFIX" w:val="Brüssel, den "/>
    <w:docVar w:name="LW_EMISSION_SUFFIX" w:val=" "/>
    <w:docVar w:name="LW_ID_DOCTYPE_NONLW" w:val="CP-006"/>
    <w:docVar w:name="LW_LANGUE" w:val="DE"/>
    <w:docVar w:name="LW_LEVEL_OF_SENSITIVITY" w:val="Standard treatmen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23) 7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über die Ausübung der der Kommission gemäß der Verordnung (EU) 2019/1148 des Europäischen Parlaments und des Rates über die Vermarktung und Verwendung von Ausgangsstoffen für Explosivstoffe, zur Änderung der Verordnung (EG) Nr. 1907/2006 und zur Aufhebung der Verordnung (EU) Nr. 98/2013 übertragenen Befugnis"/>
    <w:docVar w:name="LW_TYPE.DOC.CP" w:val="BERICHT DER KOMMISSION AN DAS EUROPÄISCHE PARLAMENT UND DEN RAT"/>
    <w:docVar w:name="LwApiVersions" w:val="LW4CoDe 1.23.2.0; LW 8.0, Build 20211117"/>
  </w:docVars>
  <w:rsids>
    <w:rsidRoot w:val="00AC1E12"/>
    <w:rsid w:val="00011A40"/>
    <w:rsid w:val="00012DD7"/>
    <w:rsid w:val="00014A10"/>
    <w:rsid w:val="000D03E0"/>
    <w:rsid w:val="000D3815"/>
    <w:rsid w:val="000F297C"/>
    <w:rsid w:val="00110CC5"/>
    <w:rsid w:val="00116A69"/>
    <w:rsid w:val="0012199B"/>
    <w:rsid w:val="00126167"/>
    <w:rsid w:val="001337D4"/>
    <w:rsid w:val="00157424"/>
    <w:rsid w:val="00193D81"/>
    <w:rsid w:val="001D66D7"/>
    <w:rsid w:val="00270AB2"/>
    <w:rsid w:val="0028749E"/>
    <w:rsid w:val="00290B60"/>
    <w:rsid w:val="002956AD"/>
    <w:rsid w:val="002A60A6"/>
    <w:rsid w:val="002D1D95"/>
    <w:rsid w:val="002E11EB"/>
    <w:rsid w:val="002F1AC1"/>
    <w:rsid w:val="00366609"/>
    <w:rsid w:val="003B498D"/>
    <w:rsid w:val="003D0FF4"/>
    <w:rsid w:val="003D53B8"/>
    <w:rsid w:val="00416ABC"/>
    <w:rsid w:val="004179A0"/>
    <w:rsid w:val="00435BF1"/>
    <w:rsid w:val="005022FE"/>
    <w:rsid w:val="00505E0F"/>
    <w:rsid w:val="00562F04"/>
    <w:rsid w:val="005B70EB"/>
    <w:rsid w:val="005D1B80"/>
    <w:rsid w:val="005F2F76"/>
    <w:rsid w:val="005F668D"/>
    <w:rsid w:val="006176DF"/>
    <w:rsid w:val="0065540C"/>
    <w:rsid w:val="00667965"/>
    <w:rsid w:val="00680759"/>
    <w:rsid w:val="006B7797"/>
    <w:rsid w:val="006E40C1"/>
    <w:rsid w:val="00760233"/>
    <w:rsid w:val="00776F2F"/>
    <w:rsid w:val="00782CA7"/>
    <w:rsid w:val="007D7540"/>
    <w:rsid w:val="007E2D17"/>
    <w:rsid w:val="00803DD5"/>
    <w:rsid w:val="008474A0"/>
    <w:rsid w:val="00856930"/>
    <w:rsid w:val="00873596"/>
    <w:rsid w:val="008B1EA8"/>
    <w:rsid w:val="00931DA6"/>
    <w:rsid w:val="00952C18"/>
    <w:rsid w:val="0095398A"/>
    <w:rsid w:val="009A5F5A"/>
    <w:rsid w:val="009B2244"/>
    <w:rsid w:val="009B5C0B"/>
    <w:rsid w:val="009C608B"/>
    <w:rsid w:val="00A85A41"/>
    <w:rsid w:val="00A90FFA"/>
    <w:rsid w:val="00AA7F10"/>
    <w:rsid w:val="00AB1BD7"/>
    <w:rsid w:val="00AC1E12"/>
    <w:rsid w:val="00AE356E"/>
    <w:rsid w:val="00B755D0"/>
    <w:rsid w:val="00C156FB"/>
    <w:rsid w:val="00C72F7E"/>
    <w:rsid w:val="00C769BB"/>
    <w:rsid w:val="00CF10A1"/>
    <w:rsid w:val="00DC0917"/>
    <w:rsid w:val="00DD56F4"/>
    <w:rsid w:val="00E031D0"/>
    <w:rsid w:val="00E03369"/>
    <w:rsid w:val="00E657F2"/>
    <w:rsid w:val="00E769B3"/>
    <w:rsid w:val="00EA0EAC"/>
    <w:rsid w:val="00EC14B7"/>
    <w:rsid w:val="00ED5FCB"/>
    <w:rsid w:val="00F00B8C"/>
    <w:rsid w:val="00F01F39"/>
    <w:rsid w:val="00F12F5A"/>
    <w:rsid w:val="00F44A7B"/>
    <w:rsid w:val="00F8557E"/>
    <w:rsid w:val="00FA25CC"/>
    <w:rsid w:val="00FA3461"/>
    <w:rsid w:val="00FC1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60D8EC"/>
  <w15:chartTrackingRefBased/>
  <w15:docId w15:val="{A5D52439-1F00-479D-8607-EF7CC0A5A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C1E12"/>
    <w:rPr>
      <w:color w:val="0000FF"/>
      <w:shd w:val="clear" w:color="auto" w:fill="auto"/>
    </w:rPr>
  </w:style>
  <w:style w:type="paragraph" w:styleId="Header">
    <w:name w:val="header"/>
    <w:basedOn w:val="Normal"/>
    <w:link w:val="HeaderChar"/>
    <w:uiPriority w:val="2"/>
    <w:unhideWhenUsed/>
    <w:rsid w:val="00AC1E12"/>
    <w:pPr>
      <w:tabs>
        <w:tab w:val="center" w:pos="4680"/>
        <w:tab w:val="right" w:pos="9360"/>
      </w:tabs>
      <w:spacing w:after="0" w:line="240" w:lineRule="auto"/>
    </w:pPr>
  </w:style>
  <w:style w:type="character" w:customStyle="1" w:styleId="HeaderChar">
    <w:name w:val="Header Char"/>
    <w:basedOn w:val="DefaultParagraphFont"/>
    <w:link w:val="Header"/>
    <w:uiPriority w:val="2"/>
    <w:rsid w:val="00AC1E12"/>
  </w:style>
  <w:style w:type="paragraph" w:styleId="Footer">
    <w:name w:val="footer"/>
    <w:basedOn w:val="Normal"/>
    <w:link w:val="FooterChar"/>
    <w:uiPriority w:val="2"/>
    <w:unhideWhenUsed/>
    <w:rsid w:val="00AC1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E12"/>
  </w:style>
  <w:style w:type="paragraph" w:customStyle="1" w:styleId="Pagedecouverture">
    <w:name w:val="Page de couverture"/>
    <w:basedOn w:val="Normal"/>
    <w:next w:val="Normal"/>
    <w:rsid w:val="00AC1E1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C1E1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C1E12"/>
    <w:rPr>
      <w:rFonts w:ascii="Times New Roman" w:hAnsi="Times New Roman" w:cs="Times New Roman"/>
      <w:sz w:val="24"/>
    </w:rPr>
  </w:style>
  <w:style w:type="paragraph" w:customStyle="1" w:styleId="FooterSensitivity">
    <w:name w:val="Footer Sensitivity"/>
    <w:basedOn w:val="Normal"/>
    <w:link w:val="FooterSensitivityChar"/>
    <w:rsid w:val="00AC1E1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C1E12"/>
    <w:rPr>
      <w:rFonts w:ascii="Times New Roman" w:hAnsi="Times New Roman" w:cs="Times New Roman"/>
      <w:b/>
      <w:sz w:val="32"/>
    </w:rPr>
  </w:style>
  <w:style w:type="paragraph" w:customStyle="1" w:styleId="HeaderCoverPage">
    <w:name w:val="Header Cover Page"/>
    <w:basedOn w:val="Normal"/>
    <w:link w:val="HeaderCoverPageChar"/>
    <w:rsid w:val="00AC1E1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C1E12"/>
    <w:rPr>
      <w:rFonts w:ascii="Times New Roman" w:hAnsi="Times New Roman" w:cs="Times New Roman"/>
      <w:sz w:val="24"/>
    </w:rPr>
  </w:style>
  <w:style w:type="paragraph" w:customStyle="1" w:styleId="HeaderSensitivity">
    <w:name w:val="Header Sensitivity"/>
    <w:basedOn w:val="Normal"/>
    <w:link w:val="HeaderSensitivityChar"/>
    <w:rsid w:val="00AC1E1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C1E12"/>
    <w:rPr>
      <w:rFonts w:ascii="Times New Roman" w:hAnsi="Times New Roman" w:cs="Times New Roman"/>
      <w:b/>
      <w:sz w:val="32"/>
    </w:rPr>
  </w:style>
  <w:style w:type="paragraph" w:customStyle="1" w:styleId="HeaderSensitivityRight">
    <w:name w:val="Header Sensitivity Right"/>
    <w:basedOn w:val="Normal"/>
    <w:link w:val="HeaderSensitivityRightChar"/>
    <w:rsid w:val="00AC1E1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C1E12"/>
    <w:rPr>
      <w:rFonts w:ascii="Times New Roman" w:hAnsi="Times New Roman" w:cs="Times New Roman"/>
      <w:sz w:val="28"/>
    </w:rPr>
  </w:style>
  <w:style w:type="paragraph" w:customStyle="1" w:styleId="FooterLine">
    <w:name w:val="Footer Line"/>
    <w:basedOn w:val="Footer"/>
    <w:next w:val="Footer"/>
    <w:uiPriority w:val="2"/>
    <w:rsid w:val="00AC1E12"/>
    <w:pPr>
      <w:tabs>
        <w:tab w:val="clear" w:pos="4680"/>
        <w:tab w:val="clear" w:pos="9360"/>
        <w:tab w:val="right" w:pos="8646"/>
      </w:tabs>
      <w:spacing w:before="120" w:line="264" w:lineRule="auto"/>
      <w:jc w:val="both"/>
    </w:pPr>
    <w:rPr>
      <w:rFonts w:ascii="Times New Roman" w:eastAsia="Times New Roman" w:hAnsi="Times New Roman" w:cs="Times New Roman"/>
      <w:sz w:val="16"/>
      <w:szCs w:val="20"/>
      <w:lang w:eastAsia="en-IE"/>
    </w:rPr>
  </w:style>
  <w:style w:type="paragraph" w:styleId="Revision">
    <w:name w:val="Revision"/>
    <w:hidden/>
    <w:uiPriority w:val="99"/>
    <w:semiHidden/>
    <w:rsid w:val="00ED5FCB"/>
    <w:pPr>
      <w:spacing w:after="0" w:line="240" w:lineRule="auto"/>
    </w:pPr>
  </w:style>
  <w:style w:type="paragraph" w:styleId="FootnoteText">
    <w:name w:val="footnote text"/>
    <w:basedOn w:val="Normal"/>
    <w:link w:val="FootnoteTextChar"/>
    <w:uiPriority w:val="99"/>
    <w:semiHidden/>
    <w:unhideWhenUsed/>
    <w:rsid w:val="00ED5F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FCB"/>
    <w:rPr>
      <w:sz w:val="20"/>
      <w:szCs w:val="20"/>
    </w:rPr>
  </w:style>
  <w:style w:type="character" w:styleId="FootnoteReference">
    <w:name w:val="footnote reference"/>
    <w:basedOn w:val="DefaultParagraphFont"/>
    <w:uiPriority w:val="99"/>
    <w:semiHidden/>
    <w:unhideWhenUsed/>
    <w:rsid w:val="00ED5F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C9BB9-C0F1-4D9B-A55F-3539FC932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693</Words>
  <Characters>4389</Characters>
  <Application>Microsoft Office Word</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28</cp:revision>
  <dcterms:created xsi:type="dcterms:W3CDTF">2023-10-09T10:05:00Z</dcterms:created>
  <dcterms:modified xsi:type="dcterms:W3CDTF">2023-11-09T10:16:00Z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2023-10-04T15:25:31Z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3c6bb9b5-2b2b-4b77-a75d-59512f3cb579</vt:lpwstr>
  </property>
  <property fmtid="{D5CDD505-2E9C-101B-9397-08002B2CF9AE}" pid="15" name="MSIP_Label_6bd9ddd1-4d20-43f6-abfa-fc3c07406f94_ContentBits">
    <vt:lpwstr>0</vt:lpwstr>
  </property>
  <property name="OP_sanitized" fmtid="{D5CDD505-2E9C-101B-9397-08002B2CF9AE}" pid="16">
    <vt:lpwstr>True</vt:lpwstr>
  </property>
</Properties>
</file>