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A06" w:rsidRPr="003F0E72" w:rsidRDefault="001E5D6E" w:rsidP="001E5D6E">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2C9BC63C-B29B-4EE8-A4BF-84919CBABC42" style="width:455.25pt;height:355.5pt">
            <v:imagedata r:id="rId8" o:title=""/>
          </v:shape>
        </w:pict>
      </w:r>
    </w:p>
    <w:p w:rsidR="00034A06" w:rsidRPr="003F0E72" w:rsidRDefault="00034A06" w:rsidP="00034A06">
      <w:pPr>
        <w:rPr>
          <w:noProof/>
        </w:rPr>
        <w:sectPr w:rsidR="00034A06" w:rsidRPr="003F0E72" w:rsidSect="001E5D6E">
          <w:footerReference w:type="default" r:id="rId9"/>
          <w:pgSz w:w="11907" w:h="16839"/>
          <w:pgMar w:top="1134" w:right="1417" w:bottom="1134" w:left="1417" w:header="709" w:footer="709" w:gutter="0"/>
          <w:pgNumType w:start="0"/>
          <w:cols w:space="720"/>
          <w:docGrid w:linePitch="360"/>
        </w:sectPr>
      </w:pPr>
    </w:p>
    <w:p w:rsidR="00034A06" w:rsidRPr="003F0E72" w:rsidRDefault="00034A06" w:rsidP="00BB6B30">
      <w:pPr>
        <w:pStyle w:val="Exposdesmotifstitre"/>
        <w:rPr>
          <w:noProof/>
        </w:rPr>
      </w:pPr>
      <w:bookmarkStart w:id="0" w:name="_GoBack"/>
      <w:bookmarkEnd w:id="0"/>
      <w:r w:rsidRPr="003F0E72">
        <w:rPr>
          <w:noProof/>
        </w:rPr>
        <w:lastRenderedPageBreak/>
        <w:t>BEGRÜNDUNG</w:t>
      </w:r>
    </w:p>
    <w:p w:rsidR="00034A06" w:rsidRPr="003F0E72" w:rsidRDefault="00034A06" w:rsidP="00BB6B30">
      <w:pPr>
        <w:pStyle w:val="ManualHeading1"/>
        <w:rPr>
          <w:noProof/>
        </w:rPr>
      </w:pPr>
      <w:r w:rsidRPr="005C47D3">
        <w:rPr>
          <w:noProof/>
        </w:rPr>
        <w:t>1</w:t>
      </w:r>
      <w:r w:rsidRPr="003F0E72">
        <w:rPr>
          <w:noProof/>
        </w:rPr>
        <w:t>.</w:t>
      </w:r>
      <w:r w:rsidRPr="003F0E72">
        <w:rPr>
          <w:noProof/>
        </w:rPr>
        <w:tab/>
        <w:t>KONTEXT DES VORSCHLAGS</w:t>
      </w:r>
    </w:p>
    <w:p w:rsidR="00034A06" w:rsidRPr="003F0E72" w:rsidRDefault="00034A06" w:rsidP="00044058">
      <w:pPr>
        <w:pStyle w:val="ManualHeading2"/>
        <w:rPr>
          <w:rFonts w:eastAsia="Arial Unicode MS"/>
          <w:noProof/>
        </w:rPr>
      </w:pPr>
      <w:r w:rsidRPr="003F0E72">
        <w:rPr>
          <w:noProof/>
          <w:color w:val="000000"/>
          <w:u w:color="000000"/>
          <w:bdr w:val="nil"/>
        </w:rPr>
        <w:t>•</w:t>
      </w:r>
      <w:r w:rsidRPr="003F0E72">
        <w:rPr>
          <w:noProof/>
        </w:rPr>
        <w:tab/>
        <w:t>Gründe und Ziele des Vorschlags</w:t>
      </w:r>
    </w:p>
    <w:p w:rsidR="006F3290" w:rsidRPr="003F0E72" w:rsidRDefault="00BC2FA6" w:rsidP="0029266A">
      <w:pPr>
        <w:pBdr>
          <w:top w:val="nil"/>
          <w:left w:val="nil"/>
          <w:bottom w:val="nil"/>
          <w:right w:val="nil"/>
          <w:between w:val="nil"/>
          <w:bar w:val="nil"/>
        </w:pBdr>
        <w:spacing w:before="0" w:after="240"/>
        <w:rPr>
          <w:noProof/>
        </w:rPr>
      </w:pPr>
      <w:r w:rsidRPr="003F0E72">
        <w:rPr>
          <w:noProof/>
        </w:rPr>
        <w:t xml:space="preserve">Am </w:t>
      </w:r>
      <w:r w:rsidRPr="005C47D3">
        <w:rPr>
          <w:noProof/>
        </w:rPr>
        <w:t>23</w:t>
      </w:r>
      <w:r w:rsidRPr="003F0E72">
        <w:rPr>
          <w:noProof/>
        </w:rPr>
        <w:t xml:space="preserve">. März </w:t>
      </w:r>
      <w:r w:rsidRPr="005C47D3">
        <w:rPr>
          <w:noProof/>
        </w:rPr>
        <w:t>2022</w:t>
      </w:r>
      <w:r w:rsidRPr="003F0E72">
        <w:rPr>
          <w:noProof/>
        </w:rPr>
        <w:t xml:space="preserve"> hat die Europäische Kommission einen Legislativvorschlag zur Änderung der Verordnung (EU) Nr. </w:t>
      </w:r>
      <w:r w:rsidRPr="005C47D3">
        <w:rPr>
          <w:noProof/>
        </w:rPr>
        <w:t>1303</w:t>
      </w:r>
      <w:r w:rsidRPr="003F0E72">
        <w:rPr>
          <w:noProof/>
        </w:rPr>
        <w:t>/</w:t>
      </w:r>
      <w:r w:rsidRPr="005C47D3">
        <w:rPr>
          <w:noProof/>
        </w:rPr>
        <w:t>2013</w:t>
      </w:r>
      <w:r w:rsidRPr="003F0E72">
        <w:rPr>
          <w:noProof/>
        </w:rPr>
        <w:t xml:space="preserve"> und der Verordnung (EU) Nr. </w:t>
      </w:r>
      <w:r w:rsidRPr="005C47D3">
        <w:rPr>
          <w:noProof/>
        </w:rPr>
        <w:t>223</w:t>
      </w:r>
      <w:r w:rsidRPr="003F0E72">
        <w:rPr>
          <w:noProof/>
        </w:rPr>
        <w:t>/</w:t>
      </w:r>
      <w:r w:rsidRPr="005C47D3">
        <w:rPr>
          <w:noProof/>
        </w:rPr>
        <w:t>2014</w:t>
      </w:r>
      <w:r w:rsidRPr="003F0E72">
        <w:rPr>
          <w:noProof/>
        </w:rPr>
        <w:t xml:space="preserve"> angenommen, um als Reaktion auf die Invasion der Ukraine durch die Russische Föderation und die Auswirkungen dieser Invasion auf die Europäische Union und insbesondere mehrere ihrer östlichen Regionen außerordentliche und g</w:t>
      </w:r>
      <w:r w:rsidR="00CE1E35" w:rsidRPr="003F0E72">
        <w:rPr>
          <w:noProof/>
        </w:rPr>
        <w:t>ezielte Änderungen vorzunehmen.</w:t>
      </w:r>
    </w:p>
    <w:p w:rsidR="00034A06" w:rsidRPr="003F0E72" w:rsidRDefault="00186045" w:rsidP="0029266A">
      <w:pPr>
        <w:pBdr>
          <w:top w:val="nil"/>
          <w:left w:val="nil"/>
          <w:bottom w:val="nil"/>
          <w:right w:val="nil"/>
          <w:between w:val="nil"/>
          <w:bar w:val="nil"/>
        </w:pBdr>
        <w:spacing w:before="0" w:after="240"/>
        <w:rPr>
          <w:noProof/>
        </w:rPr>
      </w:pPr>
      <w:r w:rsidRPr="003F0E72">
        <w:rPr>
          <w:noProof/>
        </w:rPr>
        <w:t xml:space="preserve">Mit diesem Vorschlag sollte ein zusätzlicher erster Vorschuss für aus Mitteln der Kohäsionspolitik und dem Europäischen Hilfsfonds für die am stärksten benachteiligten Personen (FEAD) unterstützte Programme des Zeitraums </w:t>
      </w:r>
      <w:r w:rsidRPr="005C47D3">
        <w:rPr>
          <w:noProof/>
        </w:rPr>
        <w:t>2014</w:t>
      </w:r>
      <w:r w:rsidRPr="003F0E72">
        <w:rPr>
          <w:noProof/>
        </w:rPr>
        <w:t>–</w:t>
      </w:r>
      <w:r w:rsidRPr="005C47D3">
        <w:rPr>
          <w:noProof/>
        </w:rPr>
        <w:t>2020</w:t>
      </w:r>
      <w:r w:rsidRPr="003F0E72">
        <w:rPr>
          <w:noProof/>
        </w:rPr>
        <w:t xml:space="preserve"> bereitgestellt werden, der im Rahmen von REACT-EU ausgezahlt und aus dem Europäischen Aufbauinstrument „NextGenerationEU“ finanziert wird.</w:t>
      </w:r>
    </w:p>
    <w:p w:rsidR="006F3290" w:rsidRPr="003F0E72" w:rsidRDefault="006F3290" w:rsidP="006F3290">
      <w:pPr>
        <w:pBdr>
          <w:top w:val="nil"/>
          <w:left w:val="nil"/>
          <w:bottom w:val="nil"/>
          <w:right w:val="nil"/>
          <w:between w:val="nil"/>
          <w:bar w:val="nil"/>
        </w:pBdr>
        <w:spacing w:before="0" w:after="240"/>
        <w:rPr>
          <w:rFonts w:eastAsia="Arial Unicode MS"/>
          <w:noProof/>
        </w:rPr>
      </w:pPr>
      <w:r w:rsidRPr="003F0E72">
        <w:rPr>
          <w:noProof/>
        </w:rPr>
        <w:t xml:space="preserve">Die Kommission hat mit ihrem Vorschlag für den Einsatz von Kohäsionsmitteln zugunsten von Flüchtlingen in Europa (CARE) vom </w:t>
      </w:r>
      <w:r w:rsidRPr="005C47D3">
        <w:rPr>
          <w:noProof/>
        </w:rPr>
        <w:t>8</w:t>
      </w:r>
      <w:r w:rsidRPr="003F0E72">
        <w:rPr>
          <w:noProof/>
        </w:rPr>
        <w:t xml:space="preserve">. März </w:t>
      </w:r>
      <w:r w:rsidRPr="005C47D3">
        <w:rPr>
          <w:noProof/>
        </w:rPr>
        <w:t>2022</w:t>
      </w:r>
      <w:r w:rsidRPr="003F0E72">
        <w:rPr>
          <w:noProof/>
        </w:rPr>
        <w:t xml:space="preserve"> bereits Maßnahmen ergriffen, um die Mitgliedstaaten</w:t>
      </w:r>
      <w:r w:rsidR="0073323F" w:rsidRPr="003F0E72">
        <w:rPr>
          <w:noProof/>
        </w:rPr>
        <w:t xml:space="preserve"> diesbezüglich zu unterstützen.</w:t>
      </w:r>
    </w:p>
    <w:p w:rsidR="006F3290" w:rsidRPr="003F0E72" w:rsidRDefault="006F3290" w:rsidP="006F3290">
      <w:pPr>
        <w:pBdr>
          <w:top w:val="nil"/>
          <w:left w:val="nil"/>
          <w:bottom w:val="nil"/>
          <w:right w:val="nil"/>
          <w:between w:val="nil"/>
          <w:bar w:val="nil"/>
        </w:pBdr>
        <w:spacing w:before="0" w:after="240"/>
        <w:rPr>
          <w:rFonts w:eastAsia="Arial Unicode MS"/>
          <w:noProof/>
        </w:rPr>
      </w:pPr>
      <w:r w:rsidRPr="003F0E72">
        <w:rPr>
          <w:noProof/>
        </w:rPr>
        <w:t xml:space="preserve">Der Europäische Rat hat auf seiner Tagung vom </w:t>
      </w:r>
      <w:r w:rsidRPr="005C47D3">
        <w:rPr>
          <w:noProof/>
        </w:rPr>
        <w:t>24</w:t>
      </w:r>
      <w:r w:rsidRPr="003F0E72">
        <w:rPr>
          <w:noProof/>
        </w:rPr>
        <w:t>./</w:t>
      </w:r>
      <w:r w:rsidRPr="005C47D3">
        <w:rPr>
          <w:noProof/>
        </w:rPr>
        <w:t>25</w:t>
      </w:r>
      <w:r w:rsidRPr="003F0E72">
        <w:rPr>
          <w:noProof/>
        </w:rPr>
        <w:t xml:space="preserve">. März </w:t>
      </w:r>
      <w:r w:rsidRPr="005C47D3">
        <w:rPr>
          <w:noProof/>
        </w:rPr>
        <w:t>2022</w:t>
      </w:r>
      <w:r w:rsidRPr="003F0E72">
        <w:rPr>
          <w:noProof/>
        </w:rPr>
        <w:t xml:space="preserve"> den militärischen Angriff Russlands auf die Ukraine erörtert und die Kommission in seinen Schlussfolgerungen ersucht, „zusätzliche Vorschläge auszuarbeiten, um die Unterstützung durch die EU in dieser Hinsicht zu verstärken“, damit „sichergestellt wird, dass rasch EU-Finanzmittel für Flüchtlinge und diejenigen, die Flüchtlinge aufnehmen, mobilisiert werden können“.</w:t>
      </w:r>
    </w:p>
    <w:p w:rsidR="004F415C" w:rsidRPr="003F0E72" w:rsidRDefault="006F3290" w:rsidP="006F3290">
      <w:pPr>
        <w:pBdr>
          <w:top w:val="nil"/>
          <w:left w:val="nil"/>
          <w:bottom w:val="nil"/>
          <w:right w:val="nil"/>
          <w:between w:val="nil"/>
          <w:bar w:val="nil"/>
        </w:pBdr>
        <w:spacing w:before="0" w:after="240"/>
        <w:rPr>
          <w:rFonts w:eastAsia="Arial Unicode MS"/>
          <w:noProof/>
        </w:rPr>
      </w:pPr>
      <w:r w:rsidRPr="003F0E72">
        <w:rPr>
          <w:noProof/>
        </w:rPr>
        <w:t xml:space="preserve">Um dieser Aufforderung nachzukommen, legt die Kommission diesen Vorschlag zur Änderung ihres Legislativvorschlags vom </w:t>
      </w:r>
      <w:r w:rsidRPr="005C47D3">
        <w:rPr>
          <w:noProof/>
        </w:rPr>
        <w:t>23</w:t>
      </w:r>
      <w:r w:rsidRPr="003F0E72">
        <w:rPr>
          <w:noProof/>
        </w:rPr>
        <w:t xml:space="preserve">. März </w:t>
      </w:r>
      <w:r w:rsidRPr="005C47D3">
        <w:rPr>
          <w:noProof/>
        </w:rPr>
        <w:t>2022</w:t>
      </w:r>
      <w:r w:rsidRPr="003F0E72">
        <w:rPr>
          <w:noProof/>
        </w:rPr>
        <w:t xml:space="preserve"> vor. Da eine der wirksamsten Methoden zur raschen Mobilisierung von Finanzmitteln darin besteht, „vereinfachte Kostenoptionen“ anzuwenden, die einen einfacheren und schnelleren Einsatz kohäsionspolitischer Mittel ermöglichen und gleichzeitig den Verwaltungsaufwand verringern, werden mit diesem Vorschlag daher neue Einheitskosten eingeführt. Die Mitgliedstaaten können diese neuen Einheitskosten anwenden, um die Finanzierung der grundlegenden Bedürfnisse und der Unterstützung von Personen, denen gemäß dem Durchführungsbeschluss (EU) </w:t>
      </w:r>
      <w:r w:rsidRPr="005C47D3">
        <w:rPr>
          <w:noProof/>
        </w:rPr>
        <w:t>2022</w:t>
      </w:r>
      <w:r w:rsidRPr="003F0E72">
        <w:rPr>
          <w:noProof/>
        </w:rPr>
        <w:t>/</w:t>
      </w:r>
      <w:r w:rsidRPr="005C47D3">
        <w:rPr>
          <w:noProof/>
        </w:rPr>
        <w:t>382</w:t>
      </w:r>
      <w:r w:rsidRPr="003F0E72">
        <w:rPr>
          <w:noProof/>
        </w:rPr>
        <w:t xml:space="preserve"> des Rates vorübergehender Schutz gewährt wurde, in allen Mitgliedstaaten zu erleichtern, in denen sich solche Personen aufhalten. Die Einheitskosten können für insgesamt höchstens </w:t>
      </w:r>
      <w:r w:rsidRPr="005C47D3">
        <w:rPr>
          <w:noProof/>
        </w:rPr>
        <w:t>13</w:t>
      </w:r>
      <w:r w:rsidRPr="003F0E72">
        <w:rPr>
          <w:noProof/>
        </w:rPr>
        <w:t> Wochen ab dem Tag der Ankunft einer Person in der Europäischen Union angewandt werden.</w:t>
      </w:r>
    </w:p>
    <w:p w:rsidR="00034A06" w:rsidRPr="003F0E72" w:rsidRDefault="00034A06" w:rsidP="00044058">
      <w:pPr>
        <w:pStyle w:val="ManualHeading2"/>
        <w:rPr>
          <w:rFonts w:eastAsia="Arial Unicode MS"/>
          <w:noProof/>
          <w:color w:val="000000"/>
          <w:u w:color="000000"/>
          <w:bdr w:val="nil"/>
        </w:rPr>
      </w:pPr>
      <w:r w:rsidRPr="003F0E72">
        <w:rPr>
          <w:noProof/>
          <w:color w:val="000000"/>
          <w:u w:color="000000"/>
          <w:bdr w:val="nil"/>
        </w:rPr>
        <w:t>•</w:t>
      </w:r>
      <w:r w:rsidRPr="003F0E72">
        <w:rPr>
          <w:noProof/>
        </w:rPr>
        <w:tab/>
        <w:t>Kohärenz mit den bestehenden Vorschriften in diesem Bereich</w:t>
      </w:r>
    </w:p>
    <w:p w:rsidR="00034A06" w:rsidRPr="003F0E72" w:rsidRDefault="00BC2FA6" w:rsidP="0029266A">
      <w:pPr>
        <w:pBdr>
          <w:top w:val="nil"/>
          <w:left w:val="nil"/>
          <w:bottom w:val="nil"/>
          <w:right w:val="nil"/>
          <w:between w:val="nil"/>
          <w:bar w:val="nil"/>
        </w:pBdr>
        <w:spacing w:before="0" w:after="240"/>
        <w:rPr>
          <w:rFonts w:eastAsia="Arial Unicode MS"/>
          <w:noProof/>
        </w:rPr>
      </w:pPr>
      <w:r w:rsidRPr="003F0E72">
        <w:rPr>
          <w:noProof/>
        </w:rPr>
        <w:t>Der geänderte Vorschlag steht im Einklang mit dem allgemeinen Rechtsrahmen für die europäischen Struktur- und Investitionsfonds und beschränkt sich auf eine gezielte und außerordentliche Änderung der Verordnung (EU) Nr. </w:t>
      </w:r>
      <w:r w:rsidRPr="005C47D3">
        <w:rPr>
          <w:noProof/>
        </w:rPr>
        <w:t>1303</w:t>
      </w:r>
      <w:r w:rsidRPr="003F0E72">
        <w:rPr>
          <w:noProof/>
        </w:rPr>
        <w:t>/</w:t>
      </w:r>
      <w:r w:rsidRPr="005C47D3">
        <w:rPr>
          <w:noProof/>
        </w:rPr>
        <w:t>2013</w:t>
      </w:r>
      <w:r w:rsidRPr="003F0E72">
        <w:rPr>
          <w:noProof/>
        </w:rPr>
        <w:t xml:space="preserve"> und der Verordnung (EU) Nr. </w:t>
      </w:r>
      <w:r w:rsidRPr="005C47D3">
        <w:rPr>
          <w:noProof/>
        </w:rPr>
        <w:t>223</w:t>
      </w:r>
      <w:r w:rsidRPr="003F0E72">
        <w:rPr>
          <w:noProof/>
        </w:rPr>
        <w:t>/</w:t>
      </w:r>
      <w:r w:rsidRPr="005C47D3">
        <w:rPr>
          <w:noProof/>
        </w:rPr>
        <w:t>2014</w:t>
      </w:r>
      <w:r w:rsidRPr="003F0E72">
        <w:rPr>
          <w:noProof/>
        </w:rPr>
        <w:t xml:space="preserve">. Der Vorschlag ergänzt darüber hinaus den vorhergehenden Änderungsvorschlag zu der Verordnung im Rahmen des CARE-Vorschlags der Kommission vom </w:t>
      </w:r>
      <w:r w:rsidRPr="005C47D3">
        <w:rPr>
          <w:noProof/>
        </w:rPr>
        <w:t>8</w:t>
      </w:r>
      <w:r w:rsidRPr="003F0E72">
        <w:rPr>
          <w:noProof/>
        </w:rPr>
        <w:t xml:space="preserve">. März </w:t>
      </w:r>
      <w:r w:rsidRPr="005C47D3">
        <w:rPr>
          <w:noProof/>
        </w:rPr>
        <w:t>2022</w:t>
      </w:r>
      <w:r w:rsidRPr="003F0E72">
        <w:rPr>
          <w:noProof/>
        </w:rPr>
        <w:t xml:space="preserve"> sowie alle anderen Maßnahmen zur Bewältigung der derzeitigen beispiellosen Situation.</w:t>
      </w:r>
    </w:p>
    <w:p w:rsidR="00034A06" w:rsidRPr="003F0E72" w:rsidRDefault="00034A06" w:rsidP="00A4693B">
      <w:pPr>
        <w:pStyle w:val="ManualHeading2"/>
        <w:rPr>
          <w:rFonts w:eastAsia="Arial Unicode MS"/>
          <w:noProof/>
        </w:rPr>
      </w:pPr>
      <w:r w:rsidRPr="003F0E72">
        <w:rPr>
          <w:noProof/>
          <w:color w:val="000000"/>
          <w:u w:color="000000"/>
          <w:bdr w:val="nil"/>
        </w:rPr>
        <w:t>•</w:t>
      </w:r>
      <w:r w:rsidRPr="003F0E72">
        <w:rPr>
          <w:noProof/>
        </w:rPr>
        <w:tab/>
        <w:t>Kohärenz mit der Politik der Union in anderen Bereichen</w:t>
      </w:r>
    </w:p>
    <w:p w:rsidR="00034A06" w:rsidRPr="003F0E72" w:rsidRDefault="00BC2FA6" w:rsidP="0029266A">
      <w:pPr>
        <w:pBdr>
          <w:top w:val="nil"/>
          <w:left w:val="nil"/>
          <w:bottom w:val="nil"/>
          <w:right w:val="nil"/>
          <w:between w:val="nil"/>
          <w:bar w:val="nil"/>
        </w:pBdr>
        <w:spacing w:before="0" w:after="240"/>
        <w:rPr>
          <w:rFonts w:eastAsia="Arial Unicode MS"/>
          <w:noProof/>
        </w:rPr>
      </w:pPr>
      <w:r w:rsidRPr="003F0E72">
        <w:rPr>
          <w:noProof/>
        </w:rPr>
        <w:t>Der Vorschlag beschränkt sich auf gezielte und außerordentliche Änderungen der Verordnung (EU) Nr. </w:t>
      </w:r>
      <w:r w:rsidRPr="005C47D3">
        <w:rPr>
          <w:noProof/>
        </w:rPr>
        <w:t>1303</w:t>
      </w:r>
      <w:r w:rsidRPr="003F0E72">
        <w:rPr>
          <w:noProof/>
        </w:rPr>
        <w:t>/</w:t>
      </w:r>
      <w:r w:rsidRPr="005C47D3">
        <w:rPr>
          <w:noProof/>
        </w:rPr>
        <w:t>2013</w:t>
      </w:r>
      <w:r w:rsidRPr="003F0E72">
        <w:rPr>
          <w:noProof/>
        </w:rPr>
        <w:t xml:space="preserve"> und der Verordnung (EU) Nr. </w:t>
      </w:r>
      <w:r w:rsidRPr="005C47D3">
        <w:rPr>
          <w:noProof/>
        </w:rPr>
        <w:t>223</w:t>
      </w:r>
      <w:r w:rsidRPr="003F0E72">
        <w:rPr>
          <w:noProof/>
        </w:rPr>
        <w:t>/</w:t>
      </w:r>
      <w:r w:rsidRPr="005C47D3">
        <w:rPr>
          <w:noProof/>
        </w:rPr>
        <w:t>2014</w:t>
      </w:r>
      <w:r w:rsidRPr="003F0E72">
        <w:rPr>
          <w:noProof/>
        </w:rPr>
        <w:t xml:space="preserve"> und steht im Einklang mit der Politik der Union in anderen Bereichen.</w:t>
      </w:r>
    </w:p>
    <w:p w:rsidR="00034A06" w:rsidRPr="003F0E72" w:rsidRDefault="00034A06" w:rsidP="00550536">
      <w:pPr>
        <w:pStyle w:val="ManualHeading1"/>
        <w:rPr>
          <w:noProof/>
        </w:rPr>
      </w:pPr>
      <w:r w:rsidRPr="005C47D3">
        <w:rPr>
          <w:noProof/>
        </w:rPr>
        <w:t>2</w:t>
      </w:r>
      <w:r w:rsidRPr="003F0E72">
        <w:rPr>
          <w:noProof/>
        </w:rPr>
        <w:t>.</w:t>
      </w:r>
      <w:r w:rsidRPr="003F0E72">
        <w:rPr>
          <w:noProof/>
        </w:rPr>
        <w:tab/>
        <w:t>RECHTSGRUNDLAGE, SUBSIDIARITÄT UND VERHÄLTNISMÄẞIGKEIT</w:t>
      </w:r>
    </w:p>
    <w:p w:rsidR="00034A06" w:rsidRPr="003F0E72" w:rsidRDefault="00034A06" w:rsidP="00A4693B">
      <w:pPr>
        <w:pStyle w:val="ManualHeading2"/>
        <w:rPr>
          <w:rFonts w:eastAsia="Arial Unicode MS"/>
          <w:noProof/>
          <w:u w:color="000000"/>
          <w:bdr w:val="nil"/>
        </w:rPr>
      </w:pPr>
      <w:r w:rsidRPr="003F0E72">
        <w:rPr>
          <w:noProof/>
          <w:u w:color="000000"/>
          <w:bdr w:val="nil"/>
        </w:rPr>
        <w:t>•</w:t>
      </w:r>
      <w:r w:rsidRPr="003F0E72">
        <w:rPr>
          <w:noProof/>
        </w:rPr>
        <w:tab/>
      </w:r>
      <w:r w:rsidRPr="003F0E72">
        <w:rPr>
          <w:noProof/>
          <w:u w:color="000000"/>
          <w:bdr w:val="nil"/>
        </w:rPr>
        <w:t>Rechtsgrundlage</w:t>
      </w:r>
    </w:p>
    <w:p w:rsidR="00034A06" w:rsidRPr="003F0E72" w:rsidRDefault="00BC2FA6" w:rsidP="00550536">
      <w:pPr>
        <w:pBdr>
          <w:top w:val="nil"/>
          <w:left w:val="nil"/>
          <w:bottom w:val="nil"/>
          <w:right w:val="nil"/>
          <w:between w:val="nil"/>
          <w:bar w:val="nil"/>
        </w:pBdr>
        <w:spacing w:before="0" w:after="240"/>
        <w:rPr>
          <w:rFonts w:eastAsia="Arial Unicode MS"/>
          <w:noProof/>
        </w:rPr>
      </w:pPr>
      <w:r w:rsidRPr="003F0E72">
        <w:rPr>
          <w:noProof/>
        </w:rPr>
        <w:t>Der Vorschlag beruht auf Artikel </w:t>
      </w:r>
      <w:r w:rsidRPr="005C47D3">
        <w:rPr>
          <w:noProof/>
        </w:rPr>
        <w:t>175</w:t>
      </w:r>
      <w:r w:rsidRPr="003F0E72">
        <w:rPr>
          <w:noProof/>
        </w:rPr>
        <w:t xml:space="preserve"> Absatz </w:t>
      </w:r>
      <w:r w:rsidRPr="005C47D3">
        <w:rPr>
          <w:noProof/>
        </w:rPr>
        <w:t>3</w:t>
      </w:r>
      <w:r w:rsidRPr="003F0E72">
        <w:rPr>
          <w:noProof/>
        </w:rPr>
        <w:t xml:space="preserve"> und Artikel </w:t>
      </w:r>
      <w:r w:rsidRPr="005C47D3">
        <w:rPr>
          <w:noProof/>
        </w:rPr>
        <w:t>177</w:t>
      </w:r>
      <w:r w:rsidRPr="003F0E72">
        <w:rPr>
          <w:noProof/>
        </w:rPr>
        <w:t xml:space="preserve"> des Vertrags über die Arbeitsweise der Europäischen Union.</w:t>
      </w:r>
    </w:p>
    <w:p w:rsidR="00034A06" w:rsidRPr="003F0E72" w:rsidRDefault="00034A06" w:rsidP="00A4693B">
      <w:pPr>
        <w:pStyle w:val="ManualHeading2"/>
        <w:rPr>
          <w:rFonts w:eastAsia="Arial Unicode MS"/>
          <w:noProof/>
          <w:u w:color="000000"/>
          <w:bdr w:val="nil"/>
        </w:rPr>
      </w:pPr>
      <w:r w:rsidRPr="003F0E72">
        <w:rPr>
          <w:noProof/>
          <w:u w:color="000000"/>
          <w:bdr w:val="nil"/>
        </w:rPr>
        <w:t>•</w:t>
      </w:r>
      <w:r w:rsidRPr="003F0E72">
        <w:rPr>
          <w:noProof/>
        </w:rPr>
        <w:tab/>
      </w:r>
      <w:r w:rsidRPr="003F0E72">
        <w:rPr>
          <w:noProof/>
          <w:u w:color="000000"/>
          <w:bdr w:val="nil"/>
        </w:rPr>
        <w:t xml:space="preserve">Subsidiarität (bei nicht ausschließlicher Zuständigkeit) </w:t>
      </w:r>
    </w:p>
    <w:p w:rsidR="00034A06" w:rsidRPr="003F0E72" w:rsidRDefault="00186045" w:rsidP="00550536">
      <w:pPr>
        <w:pBdr>
          <w:top w:val="nil"/>
          <w:left w:val="nil"/>
          <w:bottom w:val="nil"/>
          <w:right w:val="nil"/>
          <w:between w:val="nil"/>
          <w:bar w:val="nil"/>
        </w:pBdr>
        <w:spacing w:before="0" w:after="240"/>
        <w:rPr>
          <w:rFonts w:eastAsia="Arial Unicode MS"/>
          <w:noProof/>
        </w:rPr>
      </w:pPr>
      <w:r w:rsidRPr="003F0E72">
        <w:rPr>
          <w:noProof/>
        </w:rPr>
        <w:t>Da die Herausforderungen infolge der sehr hohen Zahl von Flüchtlingen aus der Ukraine von den Mitgliedstaaten allein nicht ausreichend bewältigt werden können und daher besser auf Unionsebene zu bewältigen sind, kann die Union im Einklang mit dem in Artikel </w:t>
      </w:r>
      <w:r w:rsidRPr="005C47D3">
        <w:rPr>
          <w:noProof/>
        </w:rPr>
        <w:t>5</w:t>
      </w:r>
      <w:r w:rsidRPr="003F0E72">
        <w:rPr>
          <w:noProof/>
        </w:rPr>
        <w:t xml:space="preserve"> des Vertrags über die Europäische Union verankerten Subsidiaritätsprinzip einen höheren Vorschussbetrag im Rahmen von REACT-EU und eine neue vereinfachte Kostenoption in Form von Einheitskosten vorsehen.</w:t>
      </w:r>
    </w:p>
    <w:p w:rsidR="00034A06" w:rsidRPr="003F0E72" w:rsidRDefault="00034A06" w:rsidP="00A4693B">
      <w:pPr>
        <w:pStyle w:val="ManualHeading2"/>
        <w:rPr>
          <w:rFonts w:eastAsia="Arial Unicode MS"/>
          <w:noProof/>
          <w:u w:color="000000"/>
          <w:bdr w:val="nil"/>
        </w:rPr>
      </w:pPr>
      <w:r w:rsidRPr="003F0E72">
        <w:rPr>
          <w:noProof/>
          <w:u w:color="000000"/>
          <w:bdr w:val="nil"/>
        </w:rPr>
        <w:t>•</w:t>
      </w:r>
      <w:r w:rsidRPr="003F0E72">
        <w:rPr>
          <w:noProof/>
        </w:rPr>
        <w:tab/>
      </w:r>
      <w:r w:rsidRPr="003F0E72">
        <w:rPr>
          <w:noProof/>
          <w:u w:color="000000"/>
          <w:bdr w:val="nil"/>
        </w:rPr>
        <w:t>Verhältnismäßigkeit</w:t>
      </w:r>
    </w:p>
    <w:p w:rsidR="00034A06" w:rsidRPr="003F0E72" w:rsidRDefault="00186045" w:rsidP="00550536">
      <w:pPr>
        <w:pBdr>
          <w:top w:val="nil"/>
          <w:left w:val="nil"/>
          <w:bottom w:val="nil"/>
          <w:right w:val="nil"/>
          <w:between w:val="nil"/>
          <w:bar w:val="nil"/>
        </w:pBdr>
        <w:spacing w:before="0" w:after="240"/>
        <w:rPr>
          <w:rFonts w:eastAsia="Arial Unicode MS"/>
          <w:noProof/>
        </w:rPr>
      </w:pPr>
      <w:r w:rsidRPr="003F0E72">
        <w:rPr>
          <w:noProof/>
        </w:rPr>
        <w:t>Bei dem Vorschlag handelt es sich um eine außerordentliche und gezielte Änderung, die nicht über das hinausgeht, was für das Erreichen des Ziels erforderlich ist, im Rahmen von REACT-EU einen höheren Vorschussbetrag bereitzustellen und neue Einheitskosten einzuführen, um Maßnahmen zur Bewältigung der Migrationsherausforderungen infolge des militärischen Angriffs der Russischen Föderation zu unterstützen und die damit verbundene Belastung der öffentlichen Haushalte zu verringern, damit wiederum Investitionen als Reaktion auf die weitverbreitete Krise im Bereich der öffentlichen Gesundheit, die das Wachstum der Regionen beeinträchtigt, mobilisiert werden können.</w:t>
      </w:r>
    </w:p>
    <w:p w:rsidR="00034A06" w:rsidRPr="003F0E72" w:rsidRDefault="00034A06" w:rsidP="00A4693B">
      <w:pPr>
        <w:pStyle w:val="ManualHeading2"/>
        <w:rPr>
          <w:rFonts w:eastAsia="Arial Unicode MS"/>
          <w:noProof/>
          <w:u w:color="000000"/>
          <w:bdr w:val="nil"/>
        </w:rPr>
      </w:pPr>
      <w:r w:rsidRPr="003F0E72">
        <w:rPr>
          <w:noProof/>
          <w:u w:color="000000"/>
          <w:bdr w:val="nil"/>
        </w:rPr>
        <w:t>•</w:t>
      </w:r>
      <w:r w:rsidRPr="003F0E72">
        <w:rPr>
          <w:noProof/>
        </w:rPr>
        <w:tab/>
      </w:r>
      <w:r w:rsidRPr="003F0E72">
        <w:rPr>
          <w:noProof/>
          <w:u w:color="000000"/>
          <w:bdr w:val="nil"/>
        </w:rPr>
        <w:t>Wahl des Instruments</w:t>
      </w:r>
    </w:p>
    <w:p w:rsidR="00034A06" w:rsidRPr="003F0E72" w:rsidRDefault="00186045" w:rsidP="00550536">
      <w:pPr>
        <w:pBdr>
          <w:top w:val="nil"/>
          <w:left w:val="nil"/>
          <w:bottom w:val="nil"/>
          <w:right w:val="nil"/>
          <w:between w:val="nil"/>
          <w:bar w:val="nil"/>
        </w:pBdr>
        <w:spacing w:before="0" w:after="240"/>
        <w:rPr>
          <w:rFonts w:eastAsia="Arial Unicode MS"/>
          <w:noProof/>
        </w:rPr>
      </w:pPr>
      <w:r w:rsidRPr="003F0E72">
        <w:rPr>
          <w:noProof/>
        </w:rPr>
        <w:t>Eine Verordnung ist das geeignete Instrument, um im Hinblick auf die Bewältigung dieser beispiellosen Situation einen höheren Vorschussbetrag im Rahmen von REACT-EU bereitzustellen und neue Einheitskosten einzuführen.</w:t>
      </w:r>
    </w:p>
    <w:p w:rsidR="00034A06" w:rsidRPr="003F0E72" w:rsidRDefault="00034A06" w:rsidP="00550536">
      <w:pPr>
        <w:pStyle w:val="ManualHeading1"/>
        <w:rPr>
          <w:noProof/>
        </w:rPr>
      </w:pPr>
      <w:r w:rsidRPr="005C47D3">
        <w:rPr>
          <w:noProof/>
        </w:rPr>
        <w:t>3</w:t>
      </w:r>
      <w:r w:rsidRPr="003F0E72">
        <w:rPr>
          <w:noProof/>
        </w:rPr>
        <w:t>.</w:t>
      </w:r>
      <w:r w:rsidRPr="003F0E72">
        <w:rPr>
          <w:noProof/>
        </w:rPr>
        <w:tab/>
        <w:t>ERGEBNISSE DER EX-POST-BEWERTUNG, DER KONSULTATION DER INTERESSENTRÄGER UND DER FOLGENABSCHÄTZUNG</w:t>
      </w:r>
    </w:p>
    <w:p w:rsidR="00034A06" w:rsidRPr="003F0E72" w:rsidRDefault="00034A06" w:rsidP="00A4693B">
      <w:pPr>
        <w:pStyle w:val="ManualHeading2"/>
        <w:rPr>
          <w:rFonts w:eastAsia="Arial Unicode MS"/>
          <w:noProof/>
          <w:u w:color="000000"/>
          <w:bdr w:val="nil"/>
        </w:rPr>
      </w:pPr>
      <w:r w:rsidRPr="003F0E72">
        <w:rPr>
          <w:noProof/>
          <w:u w:color="000000"/>
          <w:bdr w:val="nil"/>
        </w:rPr>
        <w:t>•</w:t>
      </w:r>
      <w:r w:rsidRPr="003F0E72">
        <w:rPr>
          <w:noProof/>
        </w:rPr>
        <w:tab/>
      </w:r>
      <w:r w:rsidRPr="003F0E72">
        <w:rPr>
          <w:noProof/>
          <w:u w:color="000000"/>
          <w:bdr w:val="nil"/>
        </w:rPr>
        <w:t>Ex-post-Bewertung/Eignungsprüfungen bestehender Rechtsvorschriften</w:t>
      </w:r>
    </w:p>
    <w:p w:rsidR="00034A06" w:rsidRPr="003F0E72" w:rsidRDefault="00186045" w:rsidP="00550536">
      <w:pPr>
        <w:pBdr>
          <w:top w:val="nil"/>
          <w:left w:val="nil"/>
          <w:bottom w:val="nil"/>
          <w:right w:val="nil"/>
          <w:between w:val="nil"/>
          <w:bar w:val="nil"/>
        </w:pBdr>
        <w:spacing w:before="0" w:after="240"/>
        <w:rPr>
          <w:rFonts w:eastAsia="Arial Unicode MS"/>
          <w:noProof/>
        </w:rPr>
      </w:pPr>
      <w:r w:rsidRPr="003F0E72">
        <w:rPr>
          <w:noProof/>
        </w:rPr>
        <w:t>Entfällt.</w:t>
      </w:r>
    </w:p>
    <w:p w:rsidR="00034A06" w:rsidRPr="003F0E72" w:rsidRDefault="00034A06" w:rsidP="00A4693B">
      <w:pPr>
        <w:pStyle w:val="ManualHeading2"/>
        <w:rPr>
          <w:rFonts w:eastAsia="Arial Unicode MS"/>
          <w:noProof/>
          <w:u w:color="000000"/>
          <w:bdr w:val="nil"/>
        </w:rPr>
      </w:pPr>
      <w:r w:rsidRPr="003F0E72">
        <w:rPr>
          <w:noProof/>
          <w:u w:color="000000"/>
          <w:bdr w:val="nil"/>
        </w:rPr>
        <w:t>•</w:t>
      </w:r>
      <w:r w:rsidRPr="003F0E72">
        <w:rPr>
          <w:noProof/>
        </w:rPr>
        <w:tab/>
      </w:r>
      <w:r w:rsidRPr="003F0E72">
        <w:rPr>
          <w:noProof/>
          <w:u w:color="000000"/>
          <w:bdr w:val="nil"/>
        </w:rPr>
        <w:t>Konsultation der Interessenträger</w:t>
      </w:r>
    </w:p>
    <w:p w:rsidR="00034A06" w:rsidRPr="003F0E72" w:rsidRDefault="00186045" w:rsidP="00550536">
      <w:pPr>
        <w:pBdr>
          <w:top w:val="nil"/>
          <w:left w:val="nil"/>
          <w:bottom w:val="nil"/>
          <w:right w:val="nil"/>
          <w:between w:val="nil"/>
          <w:bar w:val="nil"/>
        </w:pBdr>
        <w:spacing w:before="0" w:after="240"/>
        <w:rPr>
          <w:rFonts w:eastAsia="Arial Unicode MS"/>
          <w:noProof/>
        </w:rPr>
      </w:pPr>
      <w:r w:rsidRPr="003F0E72">
        <w:rPr>
          <w:noProof/>
        </w:rPr>
        <w:t>Der Vorschlag beruht auf einem Austausch auf hoher Ebene mit anderen Organen und Mitgliedstaaten. Eine öffentliche Konsultation ist nicht erforderlich, da keine Folgenabschätzung notwendig ist.</w:t>
      </w:r>
    </w:p>
    <w:p w:rsidR="00034A06" w:rsidRPr="003F0E72" w:rsidRDefault="00034A06" w:rsidP="00A4693B">
      <w:pPr>
        <w:pStyle w:val="ManualHeading2"/>
        <w:rPr>
          <w:rFonts w:eastAsia="Arial Unicode MS"/>
          <w:noProof/>
          <w:u w:color="000000"/>
          <w:bdr w:val="nil"/>
        </w:rPr>
      </w:pPr>
      <w:r w:rsidRPr="003F0E72">
        <w:rPr>
          <w:noProof/>
          <w:u w:color="000000"/>
          <w:bdr w:val="nil"/>
        </w:rPr>
        <w:t>•</w:t>
      </w:r>
      <w:r w:rsidRPr="003F0E72">
        <w:rPr>
          <w:noProof/>
        </w:rPr>
        <w:tab/>
      </w:r>
      <w:r w:rsidRPr="003F0E72">
        <w:rPr>
          <w:noProof/>
          <w:u w:color="000000"/>
          <w:bdr w:val="nil"/>
        </w:rPr>
        <w:t>Einholung und Nutzung von Expertenwissen</w:t>
      </w:r>
    </w:p>
    <w:p w:rsidR="00034A06" w:rsidRPr="003F0E72" w:rsidRDefault="00186045" w:rsidP="00550536">
      <w:pPr>
        <w:pBdr>
          <w:top w:val="nil"/>
          <w:left w:val="nil"/>
          <w:bottom w:val="nil"/>
          <w:right w:val="nil"/>
          <w:between w:val="nil"/>
          <w:bar w:val="nil"/>
        </w:pBdr>
        <w:spacing w:before="0" w:after="240"/>
        <w:rPr>
          <w:rFonts w:eastAsia="Arial Unicode MS"/>
          <w:noProof/>
        </w:rPr>
      </w:pPr>
      <w:r w:rsidRPr="003F0E72">
        <w:rPr>
          <w:noProof/>
        </w:rPr>
        <w:t>Entfällt.</w:t>
      </w:r>
    </w:p>
    <w:p w:rsidR="00034A06" w:rsidRPr="003F0E72" w:rsidRDefault="00034A06" w:rsidP="00A4693B">
      <w:pPr>
        <w:pStyle w:val="ManualHeading2"/>
        <w:rPr>
          <w:rFonts w:eastAsia="Arial Unicode MS"/>
          <w:noProof/>
          <w:u w:color="000000"/>
          <w:bdr w:val="nil"/>
        </w:rPr>
      </w:pPr>
      <w:r w:rsidRPr="003F0E72">
        <w:rPr>
          <w:noProof/>
          <w:u w:color="000000"/>
          <w:bdr w:val="nil"/>
        </w:rPr>
        <w:t>•</w:t>
      </w:r>
      <w:r w:rsidRPr="003F0E72">
        <w:rPr>
          <w:noProof/>
        </w:rPr>
        <w:tab/>
      </w:r>
      <w:r w:rsidRPr="003F0E72">
        <w:rPr>
          <w:noProof/>
          <w:u w:color="000000"/>
          <w:bdr w:val="nil"/>
        </w:rPr>
        <w:t>Folgenabschätzung</w:t>
      </w:r>
    </w:p>
    <w:p w:rsidR="00186045" w:rsidRPr="003F0E72" w:rsidRDefault="00186045" w:rsidP="00186045">
      <w:pPr>
        <w:pBdr>
          <w:top w:val="nil"/>
          <w:left w:val="nil"/>
          <w:bottom w:val="nil"/>
          <w:right w:val="nil"/>
          <w:between w:val="nil"/>
          <w:bar w:val="nil"/>
        </w:pBdr>
        <w:spacing w:before="0" w:after="240"/>
        <w:rPr>
          <w:noProof/>
        </w:rPr>
      </w:pPr>
      <w:r w:rsidRPr="003F0E72">
        <w:rPr>
          <w:noProof/>
        </w:rPr>
        <w:t>Zur Ausarbeitung der Vorschläge für die Verordnung (EU) Nr. </w:t>
      </w:r>
      <w:r w:rsidRPr="005C47D3">
        <w:rPr>
          <w:noProof/>
        </w:rPr>
        <w:t>1303</w:t>
      </w:r>
      <w:r w:rsidRPr="003F0E72">
        <w:rPr>
          <w:noProof/>
        </w:rPr>
        <w:t>/</w:t>
      </w:r>
      <w:r w:rsidRPr="005C47D3">
        <w:rPr>
          <w:noProof/>
        </w:rPr>
        <w:t>2013</w:t>
      </w:r>
      <w:r w:rsidRPr="003F0E72">
        <w:rPr>
          <w:noProof/>
        </w:rPr>
        <w:t xml:space="preserve"> und die Verordnung (EU) Nr. </w:t>
      </w:r>
      <w:r w:rsidRPr="005C47D3">
        <w:rPr>
          <w:noProof/>
        </w:rPr>
        <w:t>223</w:t>
      </w:r>
      <w:r w:rsidRPr="003F0E72">
        <w:rPr>
          <w:noProof/>
        </w:rPr>
        <w:t>/</w:t>
      </w:r>
      <w:r w:rsidRPr="005C47D3">
        <w:rPr>
          <w:noProof/>
        </w:rPr>
        <w:t>2014</w:t>
      </w:r>
      <w:r w:rsidRPr="003F0E72">
        <w:rPr>
          <w:noProof/>
        </w:rPr>
        <w:t xml:space="preserve"> wurden Folgenabschätzungen vorgenommen. Die derzeit geplante gezielte Änderung, mit der auf kritische Situationen reagiert werden soll, erfordert keine gesonderte Folgenabschätzung.</w:t>
      </w:r>
    </w:p>
    <w:p w:rsidR="00034A06" w:rsidRPr="003F0E72" w:rsidRDefault="00034A06" w:rsidP="00A4693B">
      <w:pPr>
        <w:pStyle w:val="ManualHeading2"/>
        <w:rPr>
          <w:rFonts w:eastAsia="Arial Unicode MS"/>
          <w:noProof/>
          <w:u w:color="000000"/>
          <w:bdr w:val="nil"/>
        </w:rPr>
      </w:pPr>
      <w:r w:rsidRPr="003F0E72">
        <w:rPr>
          <w:noProof/>
          <w:u w:color="000000"/>
          <w:bdr w:val="nil"/>
        </w:rPr>
        <w:t>•</w:t>
      </w:r>
      <w:r w:rsidRPr="003F0E72">
        <w:rPr>
          <w:noProof/>
        </w:rPr>
        <w:tab/>
      </w:r>
      <w:r w:rsidRPr="003F0E72">
        <w:rPr>
          <w:noProof/>
          <w:u w:color="000000"/>
          <w:bdr w:val="nil"/>
        </w:rPr>
        <w:t>Effizienz der Rechtsetzung und Vereinfachung</w:t>
      </w:r>
    </w:p>
    <w:p w:rsidR="00186045" w:rsidRPr="003F0E72" w:rsidRDefault="00186045" w:rsidP="00186045">
      <w:pPr>
        <w:rPr>
          <w:noProof/>
        </w:rPr>
      </w:pPr>
      <w:r w:rsidRPr="003F0E72">
        <w:rPr>
          <w:noProof/>
        </w:rPr>
        <w:t>Entfällt.</w:t>
      </w:r>
    </w:p>
    <w:p w:rsidR="00034A06" w:rsidRPr="003F0E72" w:rsidRDefault="00034A06" w:rsidP="00A4693B">
      <w:pPr>
        <w:pStyle w:val="ManualHeading2"/>
        <w:rPr>
          <w:rFonts w:eastAsia="Arial Unicode MS"/>
          <w:noProof/>
          <w:u w:color="000000"/>
          <w:bdr w:val="nil"/>
        </w:rPr>
      </w:pPr>
      <w:r w:rsidRPr="003F0E72">
        <w:rPr>
          <w:noProof/>
          <w:u w:color="000000"/>
          <w:bdr w:val="nil"/>
        </w:rPr>
        <w:t>•</w:t>
      </w:r>
      <w:r w:rsidRPr="003F0E72">
        <w:rPr>
          <w:noProof/>
        </w:rPr>
        <w:tab/>
      </w:r>
      <w:r w:rsidRPr="003F0E72">
        <w:rPr>
          <w:noProof/>
          <w:u w:color="000000"/>
          <w:bdr w:val="nil"/>
        </w:rPr>
        <w:t>Grundrechte</w:t>
      </w:r>
    </w:p>
    <w:p w:rsidR="00186045" w:rsidRPr="003F0E72" w:rsidRDefault="00186045" w:rsidP="00186045">
      <w:pPr>
        <w:rPr>
          <w:noProof/>
        </w:rPr>
      </w:pPr>
      <w:r w:rsidRPr="003F0E72">
        <w:rPr>
          <w:noProof/>
        </w:rPr>
        <w:t>Entfällt.</w:t>
      </w:r>
    </w:p>
    <w:p w:rsidR="00034A06" w:rsidRPr="003F0E72" w:rsidRDefault="00034A06" w:rsidP="00550536">
      <w:pPr>
        <w:pStyle w:val="ManualHeading1"/>
        <w:rPr>
          <w:noProof/>
        </w:rPr>
      </w:pPr>
      <w:r w:rsidRPr="005C47D3">
        <w:rPr>
          <w:noProof/>
        </w:rPr>
        <w:t>4</w:t>
      </w:r>
      <w:r w:rsidRPr="003F0E72">
        <w:rPr>
          <w:noProof/>
        </w:rPr>
        <w:t>.</w:t>
      </w:r>
      <w:r w:rsidRPr="003F0E72">
        <w:rPr>
          <w:noProof/>
        </w:rPr>
        <w:tab/>
        <w:t>AUSWIRKUNGEN AUF DEN HAUSHALT</w:t>
      </w:r>
    </w:p>
    <w:p w:rsidR="00034A06" w:rsidRPr="003F0E72" w:rsidRDefault="00186045" w:rsidP="00044058">
      <w:pPr>
        <w:pBdr>
          <w:top w:val="nil"/>
          <w:left w:val="nil"/>
          <w:bottom w:val="nil"/>
          <w:right w:val="nil"/>
          <w:between w:val="nil"/>
          <w:bar w:val="nil"/>
        </w:pBdr>
        <w:spacing w:before="0" w:after="240"/>
        <w:rPr>
          <w:noProof/>
        </w:rPr>
      </w:pPr>
      <w:r w:rsidRPr="003F0E72">
        <w:rPr>
          <w:noProof/>
        </w:rPr>
        <w:t xml:space="preserve">Die vorgeschlagene Änderung des Vorschlags der Kommission vom </w:t>
      </w:r>
      <w:r w:rsidRPr="005C47D3">
        <w:rPr>
          <w:noProof/>
        </w:rPr>
        <w:t>23</w:t>
      </w:r>
      <w:r w:rsidRPr="003F0E72">
        <w:rPr>
          <w:noProof/>
        </w:rPr>
        <w:t xml:space="preserve">. März </w:t>
      </w:r>
      <w:r w:rsidRPr="005C47D3">
        <w:rPr>
          <w:noProof/>
        </w:rPr>
        <w:t>2022</w:t>
      </w:r>
      <w:r w:rsidRPr="003F0E72">
        <w:rPr>
          <w:noProof/>
        </w:rPr>
        <w:t xml:space="preserve"> beinhaltet keine Änderung der Mittel für Verpflichtungen im Rahmen des Mehrjährigen Finanzrahmens </w:t>
      </w:r>
      <w:r w:rsidRPr="005C47D3">
        <w:rPr>
          <w:noProof/>
        </w:rPr>
        <w:t>2021</w:t>
      </w:r>
      <w:r w:rsidRPr="003F0E72">
        <w:rPr>
          <w:noProof/>
        </w:rPr>
        <w:t>–</w:t>
      </w:r>
      <w:r w:rsidRPr="005C47D3">
        <w:rPr>
          <w:noProof/>
        </w:rPr>
        <w:t>2027</w:t>
      </w:r>
      <w:r w:rsidRPr="003F0E72">
        <w:rPr>
          <w:noProof/>
        </w:rPr>
        <w:t>.</w:t>
      </w:r>
    </w:p>
    <w:p w:rsidR="003E62BC" w:rsidRPr="003F0E72" w:rsidRDefault="003E62BC" w:rsidP="00044058">
      <w:pPr>
        <w:pBdr>
          <w:top w:val="nil"/>
          <w:left w:val="nil"/>
          <w:bottom w:val="nil"/>
          <w:right w:val="nil"/>
          <w:between w:val="nil"/>
          <w:bar w:val="nil"/>
        </w:pBdr>
        <w:spacing w:before="0" w:after="240"/>
        <w:rPr>
          <w:rFonts w:eastAsia="Arial Unicode MS"/>
          <w:noProof/>
        </w:rPr>
      </w:pPr>
      <w:r w:rsidRPr="003F0E72">
        <w:rPr>
          <w:noProof/>
        </w:rPr>
        <w:t>Die Anwendung der neuen Einheitskosten würde eine schnellere Auszahlung der Mittel erleichtern.</w:t>
      </w:r>
    </w:p>
    <w:p w:rsidR="00034A06" w:rsidRPr="003F0E72" w:rsidRDefault="00034A06" w:rsidP="00550536">
      <w:pPr>
        <w:pStyle w:val="ManualHeading1"/>
        <w:rPr>
          <w:noProof/>
        </w:rPr>
      </w:pPr>
      <w:r w:rsidRPr="005C47D3">
        <w:rPr>
          <w:noProof/>
        </w:rPr>
        <w:t>5</w:t>
      </w:r>
      <w:r w:rsidRPr="003F0E72">
        <w:rPr>
          <w:noProof/>
        </w:rPr>
        <w:t>.</w:t>
      </w:r>
      <w:r w:rsidRPr="003F0E72">
        <w:rPr>
          <w:noProof/>
        </w:rPr>
        <w:tab/>
        <w:t>WEITERE ANGABEN</w:t>
      </w:r>
    </w:p>
    <w:p w:rsidR="00034A06" w:rsidRPr="003F0E72" w:rsidRDefault="00034A06" w:rsidP="00A4693B">
      <w:pPr>
        <w:pStyle w:val="ManualHeading2"/>
        <w:rPr>
          <w:rFonts w:eastAsia="Arial Unicode MS"/>
          <w:noProof/>
          <w:u w:color="000000"/>
          <w:bdr w:val="nil"/>
        </w:rPr>
      </w:pPr>
      <w:r w:rsidRPr="003F0E72">
        <w:rPr>
          <w:noProof/>
          <w:u w:color="000000"/>
          <w:bdr w:val="nil"/>
        </w:rPr>
        <w:t>•</w:t>
      </w:r>
      <w:r w:rsidRPr="003F0E72">
        <w:rPr>
          <w:noProof/>
        </w:rPr>
        <w:tab/>
      </w:r>
      <w:r w:rsidRPr="003F0E72">
        <w:rPr>
          <w:noProof/>
          <w:u w:color="000000"/>
          <w:bdr w:val="nil"/>
        </w:rPr>
        <w:t>Durchführungspläne sowie Monitoring-, Bewertungs- und Berichterstattungsmodalitäten</w:t>
      </w:r>
    </w:p>
    <w:p w:rsidR="00186045" w:rsidRPr="003F0E72" w:rsidRDefault="00186045" w:rsidP="00186045">
      <w:pPr>
        <w:pBdr>
          <w:top w:val="nil"/>
          <w:left w:val="nil"/>
          <w:bottom w:val="nil"/>
          <w:right w:val="nil"/>
          <w:between w:val="nil"/>
          <w:bar w:val="nil"/>
        </w:pBdr>
        <w:spacing w:before="0" w:after="240"/>
        <w:rPr>
          <w:rFonts w:eastAsia="Arial Unicode MS"/>
          <w:noProof/>
        </w:rPr>
      </w:pPr>
      <w:r w:rsidRPr="003F0E72">
        <w:rPr>
          <w:noProof/>
        </w:rPr>
        <w:t>Die Überwachung der Durchführung der Maßnahmen sowie die Berichterstattung erfolgen im Rahmen der allgemeinen Berichterstattungsmechanismen gemäß der Verordnung (EU) Nr. </w:t>
      </w:r>
      <w:r w:rsidRPr="005C47D3">
        <w:rPr>
          <w:noProof/>
        </w:rPr>
        <w:t>1303</w:t>
      </w:r>
      <w:r w:rsidRPr="003F0E72">
        <w:rPr>
          <w:noProof/>
        </w:rPr>
        <w:t>/</w:t>
      </w:r>
      <w:r w:rsidRPr="005C47D3">
        <w:rPr>
          <w:noProof/>
        </w:rPr>
        <w:t>2013</w:t>
      </w:r>
      <w:r w:rsidRPr="003F0E72">
        <w:rPr>
          <w:noProof/>
        </w:rPr>
        <w:t xml:space="preserve"> und der Verordnung (EU) Nr. </w:t>
      </w:r>
      <w:r w:rsidRPr="005C47D3">
        <w:rPr>
          <w:noProof/>
        </w:rPr>
        <w:t>223</w:t>
      </w:r>
      <w:r w:rsidRPr="003F0E72">
        <w:rPr>
          <w:noProof/>
        </w:rPr>
        <w:t>/</w:t>
      </w:r>
      <w:r w:rsidRPr="005C47D3">
        <w:rPr>
          <w:noProof/>
        </w:rPr>
        <w:t>2014</w:t>
      </w:r>
      <w:r w:rsidRPr="003F0E72">
        <w:rPr>
          <w:noProof/>
        </w:rPr>
        <w:t>.</w:t>
      </w:r>
    </w:p>
    <w:p w:rsidR="00034A06" w:rsidRPr="003F0E72" w:rsidRDefault="00034A06" w:rsidP="00A4693B">
      <w:pPr>
        <w:pStyle w:val="ManualHeading2"/>
        <w:rPr>
          <w:rFonts w:eastAsia="Arial Unicode MS"/>
          <w:noProof/>
          <w:u w:color="000000"/>
          <w:bdr w:val="nil"/>
        </w:rPr>
      </w:pPr>
      <w:r w:rsidRPr="003F0E72">
        <w:rPr>
          <w:noProof/>
          <w:u w:color="000000"/>
          <w:bdr w:val="nil"/>
        </w:rPr>
        <w:t>•</w:t>
      </w:r>
      <w:r w:rsidRPr="003F0E72">
        <w:rPr>
          <w:noProof/>
        </w:rPr>
        <w:tab/>
      </w:r>
      <w:r w:rsidRPr="003F0E72">
        <w:rPr>
          <w:noProof/>
          <w:u w:color="000000"/>
          <w:bdr w:val="nil"/>
        </w:rPr>
        <w:t>Erläuternde Dokumente (bei Richtlinien)</w:t>
      </w:r>
    </w:p>
    <w:p w:rsidR="00186045" w:rsidRPr="003F0E72" w:rsidRDefault="00186045" w:rsidP="00186045">
      <w:pPr>
        <w:pBdr>
          <w:top w:val="nil"/>
          <w:left w:val="nil"/>
          <w:bottom w:val="nil"/>
          <w:right w:val="nil"/>
          <w:between w:val="nil"/>
          <w:bar w:val="nil"/>
        </w:pBdr>
        <w:spacing w:before="0" w:after="240"/>
        <w:rPr>
          <w:noProof/>
        </w:rPr>
      </w:pPr>
      <w:r w:rsidRPr="003F0E72">
        <w:rPr>
          <w:noProof/>
        </w:rPr>
        <w:t>Entfällt.</w:t>
      </w:r>
    </w:p>
    <w:p w:rsidR="00034A06" w:rsidRPr="003F0E72" w:rsidRDefault="00034A06" w:rsidP="00A4693B">
      <w:pPr>
        <w:pStyle w:val="ManualHeading2"/>
        <w:rPr>
          <w:rFonts w:eastAsia="Arial Unicode MS"/>
          <w:noProof/>
          <w:u w:color="000000"/>
          <w:bdr w:val="nil"/>
        </w:rPr>
      </w:pPr>
      <w:r w:rsidRPr="003F0E72">
        <w:rPr>
          <w:noProof/>
          <w:u w:color="000000"/>
          <w:bdr w:val="nil"/>
        </w:rPr>
        <w:t>•</w:t>
      </w:r>
      <w:r w:rsidRPr="003F0E72">
        <w:rPr>
          <w:noProof/>
        </w:rPr>
        <w:tab/>
      </w:r>
      <w:r w:rsidRPr="003F0E72">
        <w:rPr>
          <w:noProof/>
          <w:u w:color="000000"/>
          <w:bdr w:val="nil"/>
        </w:rPr>
        <w:t>Ausführliche Erläuterung einzelner Bestimmungen des Vorschlags</w:t>
      </w:r>
    </w:p>
    <w:p w:rsidR="00034A06" w:rsidRPr="003F0E72" w:rsidRDefault="00186045" w:rsidP="00044058">
      <w:pPr>
        <w:pBdr>
          <w:top w:val="nil"/>
          <w:left w:val="nil"/>
          <w:bottom w:val="nil"/>
          <w:right w:val="nil"/>
          <w:between w:val="nil"/>
          <w:bar w:val="nil"/>
        </w:pBdr>
        <w:spacing w:before="0" w:after="240"/>
        <w:rPr>
          <w:noProof/>
        </w:rPr>
      </w:pPr>
      <w:r w:rsidRPr="003F0E72">
        <w:rPr>
          <w:noProof/>
        </w:rPr>
        <w:t xml:space="preserve">Die vorgeschlagene Änderung des Vorschlags der Kommission vom </w:t>
      </w:r>
      <w:r w:rsidRPr="005C47D3">
        <w:rPr>
          <w:noProof/>
        </w:rPr>
        <w:t>23</w:t>
      </w:r>
      <w:r w:rsidRPr="003F0E72">
        <w:rPr>
          <w:noProof/>
        </w:rPr>
        <w:t xml:space="preserve">. März </w:t>
      </w:r>
      <w:r w:rsidRPr="005C47D3">
        <w:rPr>
          <w:noProof/>
        </w:rPr>
        <w:t>2022</w:t>
      </w:r>
      <w:r w:rsidRPr="003F0E72">
        <w:rPr>
          <w:noProof/>
        </w:rPr>
        <w:t xml:space="preserve"> beinhaltet die Einführung neuer Einheitskosten zur Unterstützung von Maßnahmen zur Bewältigung der Migrationsherausforderungen infolge des militärischen Angriffs der Russischen Föderation.</w:t>
      </w:r>
    </w:p>
    <w:p w:rsidR="00034A06" w:rsidRPr="003F0E72" w:rsidRDefault="00034A06" w:rsidP="00F96E01">
      <w:pPr>
        <w:rPr>
          <w:noProof/>
        </w:rPr>
        <w:sectPr w:rsidR="00034A06" w:rsidRPr="003F0E72" w:rsidSect="001E5D6E">
          <w:footerReference w:type="default" r:id="rId10"/>
          <w:footerReference w:type="first" r:id="rId11"/>
          <w:pgSz w:w="11907" w:h="16839"/>
          <w:pgMar w:top="1134" w:right="1417" w:bottom="1134" w:left="1417" w:header="709" w:footer="709" w:gutter="0"/>
          <w:cols w:space="708"/>
          <w:docGrid w:linePitch="360"/>
        </w:sectPr>
      </w:pPr>
    </w:p>
    <w:p w:rsidR="00034A06" w:rsidRPr="003F0E72" w:rsidRDefault="00036D76" w:rsidP="00036D76">
      <w:pPr>
        <w:pStyle w:val="Rfrenceinterinstitutionnelle"/>
        <w:rPr>
          <w:noProof/>
        </w:rPr>
      </w:pPr>
      <w:r w:rsidRPr="00036D76">
        <w:t>2022/0096 (COD)</w:t>
      </w:r>
    </w:p>
    <w:p w:rsidR="00034A06" w:rsidRPr="003F0E72" w:rsidRDefault="00CE1E35" w:rsidP="00CE1E35">
      <w:pPr>
        <w:pStyle w:val="Statut"/>
        <w:rPr>
          <w:noProof/>
        </w:rPr>
      </w:pPr>
      <w:r w:rsidRPr="003F0E72">
        <w:rPr>
          <w:noProof/>
        </w:rPr>
        <w:t>Geänderter Vorschlag für eine</w:t>
      </w:r>
    </w:p>
    <w:p w:rsidR="00034A06" w:rsidRPr="003F0E72" w:rsidRDefault="00CE1E35" w:rsidP="00CE1E35">
      <w:pPr>
        <w:pStyle w:val="Typedudocument"/>
        <w:rPr>
          <w:noProof/>
        </w:rPr>
      </w:pPr>
      <w:r w:rsidRPr="003F0E72">
        <w:rPr>
          <w:noProof/>
        </w:rPr>
        <w:t>VERORDNUNG DES EUROPÄISCHEN PARLAMENTS UND DES RATES</w:t>
      </w:r>
    </w:p>
    <w:p w:rsidR="00034A06" w:rsidRPr="003F0E72" w:rsidRDefault="00CE1E35" w:rsidP="00CE1E35">
      <w:pPr>
        <w:pStyle w:val="Titreobjet"/>
        <w:rPr>
          <w:noProof/>
        </w:rPr>
      </w:pPr>
      <w:r w:rsidRPr="003F0E72">
        <w:rPr>
          <w:noProof/>
        </w:rPr>
        <w:t>zur Änderung der Verordnung (EU) Nr. </w:t>
      </w:r>
      <w:r w:rsidRPr="005C47D3">
        <w:rPr>
          <w:noProof/>
        </w:rPr>
        <w:t>1303</w:t>
      </w:r>
      <w:r w:rsidRPr="003F0E72">
        <w:rPr>
          <w:noProof/>
        </w:rPr>
        <w:t>/</w:t>
      </w:r>
      <w:r w:rsidRPr="005C47D3">
        <w:rPr>
          <w:noProof/>
        </w:rPr>
        <w:t>2013</w:t>
      </w:r>
      <w:r w:rsidRPr="003F0E72">
        <w:rPr>
          <w:noProof/>
        </w:rPr>
        <w:t xml:space="preserve"> und der Verordnung (EU) Nr. </w:t>
      </w:r>
      <w:r w:rsidRPr="005C47D3">
        <w:rPr>
          <w:noProof/>
        </w:rPr>
        <w:t>223</w:t>
      </w:r>
      <w:r w:rsidRPr="003F0E72">
        <w:rPr>
          <w:noProof/>
        </w:rPr>
        <w:t>/</w:t>
      </w:r>
      <w:r w:rsidRPr="005C47D3">
        <w:rPr>
          <w:noProof/>
        </w:rPr>
        <w:t>2014</w:t>
      </w:r>
      <w:r w:rsidRPr="003F0E72">
        <w:rPr>
          <w:noProof/>
        </w:rPr>
        <w:t xml:space="preserve"> in Bezug auf eine erhöhte Vorschusszahlung aus REACT-EU-Mitteln</w:t>
      </w:r>
    </w:p>
    <w:p w:rsidR="00A356FB" w:rsidRPr="003F0E72" w:rsidRDefault="00A356FB" w:rsidP="00A356FB">
      <w:pPr>
        <w:rPr>
          <w:noProof/>
        </w:rPr>
      </w:pPr>
      <w:r w:rsidRPr="003F0E72">
        <w:rPr>
          <w:noProof/>
        </w:rPr>
        <w:t>Der Vorschlag COM(</w:t>
      </w:r>
      <w:r w:rsidRPr="005C47D3">
        <w:rPr>
          <w:noProof/>
        </w:rPr>
        <w:t>2022</w:t>
      </w:r>
      <w:r w:rsidRPr="003F0E72">
        <w:rPr>
          <w:noProof/>
        </w:rPr>
        <w:t>) </w:t>
      </w:r>
      <w:r w:rsidRPr="005C47D3">
        <w:rPr>
          <w:noProof/>
        </w:rPr>
        <w:t>145</w:t>
      </w:r>
      <w:r w:rsidRPr="003F0E72">
        <w:rPr>
          <w:noProof/>
        </w:rPr>
        <w:t xml:space="preserve"> der Kommission wird wie folgt geändert:</w:t>
      </w:r>
    </w:p>
    <w:p w:rsidR="00564C3F" w:rsidRPr="003F0E72" w:rsidRDefault="00D04F97" w:rsidP="00D04F97">
      <w:pPr>
        <w:pStyle w:val="Point0"/>
        <w:rPr>
          <w:noProof/>
        </w:rPr>
      </w:pPr>
      <w:r w:rsidRPr="00D04F97">
        <w:t>(1)</w:t>
      </w:r>
      <w:r w:rsidRPr="00D04F97">
        <w:tab/>
      </w:r>
      <w:r w:rsidR="00564C3F" w:rsidRPr="003F0E72">
        <w:rPr>
          <w:noProof/>
        </w:rPr>
        <w:t xml:space="preserve">Der Titel erhält folgende Fassung: </w:t>
      </w:r>
    </w:p>
    <w:p w:rsidR="00564C3F" w:rsidRPr="003F0E72" w:rsidRDefault="00564C3F" w:rsidP="00784940">
      <w:pPr>
        <w:pStyle w:val="Text1"/>
        <w:rPr>
          <w:noProof/>
        </w:rPr>
      </w:pPr>
      <w:r w:rsidRPr="003F0E72">
        <w:rPr>
          <w:noProof/>
        </w:rPr>
        <w:t>„VERORDNUNG DES EUROPÄISCHEN PARLAMENTS UND DES RATES</w:t>
      </w:r>
    </w:p>
    <w:p w:rsidR="00564C3F" w:rsidRPr="003F0E72" w:rsidRDefault="00564C3F" w:rsidP="00784940">
      <w:pPr>
        <w:pStyle w:val="Text1"/>
        <w:rPr>
          <w:noProof/>
        </w:rPr>
      </w:pPr>
      <w:r w:rsidRPr="003F0E72">
        <w:rPr>
          <w:noProof/>
        </w:rPr>
        <w:t>zur Änderung der Verordnung (EU) Nr. </w:t>
      </w:r>
      <w:r w:rsidRPr="005C47D3">
        <w:rPr>
          <w:noProof/>
        </w:rPr>
        <w:t>1303</w:t>
      </w:r>
      <w:r w:rsidRPr="003F0E72">
        <w:rPr>
          <w:noProof/>
        </w:rPr>
        <w:t>/</w:t>
      </w:r>
      <w:r w:rsidRPr="005C47D3">
        <w:rPr>
          <w:noProof/>
        </w:rPr>
        <w:t>2013</w:t>
      </w:r>
      <w:r w:rsidRPr="003F0E72">
        <w:rPr>
          <w:noProof/>
        </w:rPr>
        <w:t xml:space="preserve"> und der Verordnung (EU) Nr. </w:t>
      </w:r>
      <w:r w:rsidRPr="005C47D3">
        <w:rPr>
          <w:noProof/>
        </w:rPr>
        <w:t>223</w:t>
      </w:r>
      <w:r w:rsidRPr="003F0E72">
        <w:rPr>
          <w:noProof/>
        </w:rPr>
        <w:t>/</w:t>
      </w:r>
      <w:r w:rsidRPr="005C47D3">
        <w:rPr>
          <w:noProof/>
        </w:rPr>
        <w:t>2014</w:t>
      </w:r>
      <w:r w:rsidRPr="003F0E72">
        <w:rPr>
          <w:noProof/>
        </w:rPr>
        <w:t xml:space="preserve"> in Bezug auf eine erhöhte Vorschusszahlung aus REACT-EU-Mitteln und die Festlegung von Einheitskosten“</w:t>
      </w:r>
    </w:p>
    <w:p w:rsidR="00A356FB" w:rsidRPr="003F0E72" w:rsidRDefault="00D04F97" w:rsidP="00D04F97">
      <w:pPr>
        <w:pStyle w:val="Point0"/>
        <w:rPr>
          <w:noProof/>
        </w:rPr>
      </w:pPr>
      <w:r w:rsidRPr="00D04F97">
        <w:t>(2)</w:t>
      </w:r>
      <w:r w:rsidRPr="00D04F97">
        <w:tab/>
      </w:r>
      <w:r w:rsidR="00A356FB" w:rsidRPr="003F0E72">
        <w:rPr>
          <w:noProof/>
        </w:rPr>
        <w:t>Folgender Erwägungs</w:t>
      </w:r>
      <w:r w:rsidR="00745D7F" w:rsidRPr="003F0E72">
        <w:rPr>
          <w:noProof/>
        </w:rPr>
        <w:t>grund </w:t>
      </w:r>
      <w:r w:rsidR="00A356FB" w:rsidRPr="005C47D3">
        <w:rPr>
          <w:noProof/>
        </w:rPr>
        <w:t>5</w:t>
      </w:r>
      <w:r w:rsidR="00A356FB" w:rsidRPr="003F0E72">
        <w:rPr>
          <w:noProof/>
        </w:rPr>
        <w:t>a wird eingefügt:</w:t>
      </w:r>
    </w:p>
    <w:p w:rsidR="00A356FB" w:rsidRPr="003F0E72" w:rsidRDefault="00A356FB" w:rsidP="00784940">
      <w:pPr>
        <w:pStyle w:val="Text1"/>
        <w:rPr>
          <w:noProof/>
        </w:rPr>
      </w:pPr>
      <w:r w:rsidRPr="003F0E72">
        <w:rPr>
          <w:noProof/>
        </w:rPr>
        <w:t>„Um den Einsatz der europäischen Struktur- und Investitionsfonds zu vereinfachen und den Verwaltungsaufwand für Behörden und Begünstigte in den Mitgliedstaaten im Zusammenhang mit der Bewältigung der Migrationsherausforderungen infolge des militärischen Angriffs der Russischen Föderation zu verringern, sollten darüber hinaus Einheitskosten festgelegt werden. Diese Einheitskosten sollten die Finanzierung der grundlegenden Bedürfnisse und der Unterstützung von Personen, denen gemäß dem Durchführungsbeschluss (EU) </w:t>
      </w:r>
      <w:r w:rsidRPr="005C47D3">
        <w:rPr>
          <w:noProof/>
        </w:rPr>
        <w:t>2022</w:t>
      </w:r>
      <w:r w:rsidRPr="003F0E72">
        <w:rPr>
          <w:noProof/>
        </w:rPr>
        <w:t>/</w:t>
      </w:r>
      <w:r w:rsidRPr="005C47D3">
        <w:rPr>
          <w:noProof/>
        </w:rPr>
        <w:t>382</w:t>
      </w:r>
      <w:r w:rsidRPr="003F0E72">
        <w:rPr>
          <w:noProof/>
        </w:rPr>
        <w:t xml:space="preserve"> des Rates</w:t>
      </w:r>
      <w:r w:rsidRPr="003F0E72">
        <w:rPr>
          <w:rStyle w:val="FootnoteReference"/>
          <w:noProof/>
        </w:rPr>
        <w:footnoteReference w:id="1"/>
      </w:r>
      <w:r w:rsidRPr="003F0E72">
        <w:rPr>
          <w:noProof/>
        </w:rPr>
        <w:t xml:space="preserve"> und der Richtlinie </w:t>
      </w:r>
      <w:r w:rsidRPr="005C47D3">
        <w:rPr>
          <w:noProof/>
        </w:rPr>
        <w:t>2001</w:t>
      </w:r>
      <w:r w:rsidRPr="003F0E72">
        <w:rPr>
          <w:noProof/>
        </w:rPr>
        <w:t>/</w:t>
      </w:r>
      <w:r w:rsidRPr="005C47D3">
        <w:rPr>
          <w:noProof/>
        </w:rPr>
        <w:t>55</w:t>
      </w:r>
      <w:r w:rsidRPr="003F0E72">
        <w:rPr>
          <w:noProof/>
        </w:rPr>
        <w:t>/EG des Rates</w:t>
      </w:r>
      <w:r w:rsidRPr="003F0E72">
        <w:rPr>
          <w:rStyle w:val="FootnoteReference"/>
          <w:noProof/>
        </w:rPr>
        <w:footnoteReference w:id="2"/>
      </w:r>
      <w:r w:rsidRPr="003F0E72">
        <w:rPr>
          <w:noProof/>
        </w:rPr>
        <w:t xml:space="preserve"> vorübergehender Schutz gewährt wurde, in allen Mitgliedstaaten erleichtern, in denen sich solche Personen in den </w:t>
      </w:r>
      <w:r w:rsidRPr="005C47D3">
        <w:rPr>
          <w:noProof/>
        </w:rPr>
        <w:t>13</w:t>
      </w:r>
      <w:r w:rsidRPr="003F0E72">
        <w:rPr>
          <w:noProof/>
        </w:rPr>
        <w:t xml:space="preserve"> Wochen nach ihrer Ankunft in der Europäischen Union aufhalten. Im Einklang mit dem Vorschlag der Kommission zum „Einsatz von Kohäsionsmitteln zugunsten von Flüchtlingen in Europa“ (CARE) vom </w:t>
      </w:r>
      <w:r w:rsidRPr="005C47D3">
        <w:rPr>
          <w:noProof/>
        </w:rPr>
        <w:t>8</w:t>
      </w:r>
      <w:r w:rsidRPr="003F0E72">
        <w:rPr>
          <w:noProof/>
        </w:rPr>
        <w:t xml:space="preserve">. März </w:t>
      </w:r>
      <w:r w:rsidRPr="005C47D3">
        <w:rPr>
          <w:noProof/>
        </w:rPr>
        <w:t>2022</w:t>
      </w:r>
      <w:r w:rsidRPr="003F0E72">
        <w:rPr>
          <w:noProof/>
        </w:rPr>
        <w:t xml:space="preserve"> können die Mitgliedstaaten diese Einheitskosten auch anwenden, wenn sie von der in [Artikel </w:t>
      </w:r>
      <w:r w:rsidRPr="005C47D3">
        <w:rPr>
          <w:noProof/>
        </w:rPr>
        <w:t>98</w:t>
      </w:r>
      <w:r w:rsidRPr="003F0E72">
        <w:rPr>
          <w:noProof/>
        </w:rPr>
        <w:t xml:space="preserve"> Absatz </w:t>
      </w:r>
      <w:r w:rsidRPr="005C47D3">
        <w:rPr>
          <w:noProof/>
        </w:rPr>
        <w:t>4</w:t>
      </w:r>
      <w:r w:rsidRPr="003F0E72">
        <w:rPr>
          <w:noProof/>
        </w:rPr>
        <w:t xml:space="preserve"> der Verordnung (EU) Nr. </w:t>
      </w:r>
      <w:r w:rsidRPr="005C47D3">
        <w:rPr>
          <w:noProof/>
        </w:rPr>
        <w:t>1303</w:t>
      </w:r>
      <w:r w:rsidRPr="003F0E72">
        <w:rPr>
          <w:noProof/>
        </w:rPr>
        <w:t>/</w:t>
      </w:r>
      <w:r w:rsidRPr="005C47D3">
        <w:rPr>
          <w:noProof/>
        </w:rPr>
        <w:t>2013</w:t>
      </w:r>
      <w:r w:rsidRPr="003F0E72">
        <w:rPr>
          <w:noProof/>
        </w:rPr>
        <w:t>] vorgesehenen Möglichkeit Gebrauch machen, solche Vorhaben aus dem EFRE auf der Grundlage der für den ESF geltenden Vorschriften zu finanzieren, auch in Bezug auf Mittel aus REACT-EU. Bei der Anwendung der Einheitskosten sollten die Mitgliedstaaten sicherstellen, dass geeignete Vorkehrungen vorhanden sind, damit eine Doppelfinanzierung derselben Kosten verhindert wird.“</w:t>
      </w:r>
    </w:p>
    <w:p w:rsidR="00D00E4D" w:rsidRPr="003F0E72" w:rsidRDefault="00D04F97" w:rsidP="00D04F97">
      <w:pPr>
        <w:pStyle w:val="Point0"/>
        <w:rPr>
          <w:noProof/>
        </w:rPr>
      </w:pPr>
      <w:r w:rsidRPr="00D04F97">
        <w:t>(3)</w:t>
      </w:r>
      <w:r w:rsidRPr="00D04F97">
        <w:tab/>
      </w:r>
      <w:r w:rsidR="00D00E4D" w:rsidRPr="003F0E72">
        <w:rPr>
          <w:noProof/>
        </w:rPr>
        <w:t>In Artikel </w:t>
      </w:r>
      <w:r w:rsidR="00D00E4D" w:rsidRPr="005C47D3">
        <w:rPr>
          <w:noProof/>
        </w:rPr>
        <w:t>1</w:t>
      </w:r>
      <w:r w:rsidR="00D00E4D" w:rsidRPr="003F0E72">
        <w:rPr>
          <w:noProof/>
        </w:rPr>
        <w:t xml:space="preserve"> wird eine neue Nummer </w:t>
      </w:r>
      <w:r w:rsidR="00D00E4D" w:rsidRPr="005C47D3">
        <w:rPr>
          <w:noProof/>
        </w:rPr>
        <w:t>1</w:t>
      </w:r>
      <w:r w:rsidR="00D00E4D" w:rsidRPr="003F0E72">
        <w:rPr>
          <w:noProof/>
        </w:rPr>
        <w:t xml:space="preserve"> eingefügt: </w:t>
      </w:r>
    </w:p>
    <w:p w:rsidR="00A356FB" w:rsidRPr="003F0E72" w:rsidRDefault="00361105" w:rsidP="00784940">
      <w:pPr>
        <w:pStyle w:val="Text1"/>
        <w:rPr>
          <w:noProof/>
        </w:rPr>
      </w:pPr>
      <w:r w:rsidRPr="003F0E72">
        <w:rPr>
          <w:noProof/>
        </w:rPr>
        <w:t>„</w:t>
      </w:r>
      <w:r w:rsidRPr="005C47D3">
        <w:rPr>
          <w:noProof/>
        </w:rPr>
        <w:t>1</w:t>
      </w:r>
      <w:r w:rsidRPr="003F0E72">
        <w:rPr>
          <w:noProof/>
        </w:rPr>
        <w:t>.</w:t>
      </w:r>
      <w:r w:rsidRPr="003F0E72">
        <w:rPr>
          <w:noProof/>
        </w:rPr>
        <w:tab/>
        <w:t>Folgender Artikel </w:t>
      </w:r>
      <w:r w:rsidRPr="005C47D3">
        <w:rPr>
          <w:noProof/>
        </w:rPr>
        <w:t>68</w:t>
      </w:r>
      <w:r w:rsidRPr="003F0E72">
        <w:rPr>
          <w:noProof/>
        </w:rPr>
        <w:t xml:space="preserve">c wird eingefügt: </w:t>
      </w:r>
    </w:p>
    <w:p w:rsidR="00A356FB" w:rsidRPr="003F0E72" w:rsidRDefault="00745D7F" w:rsidP="00784940">
      <w:pPr>
        <w:pStyle w:val="Text1"/>
        <w:rPr>
          <w:i/>
          <w:noProof/>
        </w:rPr>
      </w:pPr>
      <w:r w:rsidRPr="003F0E72">
        <w:rPr>
          <w:i/>
          <w:noProof/>
        </w:rPr>
        <w:t>Artikel </w:t>
      </w:r>
      <w:r w:rsidRPr="005C47D3">
        <w:rPr>
          <w:i/>
          <w:noProof/>
        </w:rPr>
        <w:t>68</w:t>
      </w:r>
      <w:r w:rsidRPr="003F0E72">
        <w:rPr>
          <w:i/>
          <w:noProof/>
        </w:rPr>
        <w:t>c</w:t>
      </w:r>
    </w:p>
    <w:p w:rsidR="00A356FB" w:rsidRPr="003F0E72" w:rsidRDefault="00A356FB" w:rsidP="00784940">
      <w:pPr>
        <w:pStyle w:val="Text1"/>
        <w:rPr>
          <w:b/>
          <w:noProof/>
        </w:rPr>
      </w:pPr>
      <w:r w:rsidRPr="003F0E72">
        <w:rPr>
          <w:b/>
          <w:noProof/>
        </w:rPr>
        <w:t>Einheitskosten für Maßnahmen zur Bewältigung der Migrationsherausforderungen infolge des militärischen Angriffs der Russischen Föderation</w:t>
      </w:r>
    </w:p>
    <w:p w:rsidR="00983B22" w:rsidRPr="003F0E72" w:rsidRDefault="00A356FB" w:rsidP="00784940">
      <w:pPr>
        <w:pStyle w:val="Text1"/>
        <w:rPr>
          <w:noProof/>
        </w:rPr>
      </w:pPr>
      <w:r w:rsidRPr="003F0E72">
        <w:rPr>
          <w:noProof/>
        </w:rPr>
        <w:t xml:space="preserve">Für die Durchführung von Vorhaben zur Bewältigung der Migrationsherausforderungen infolge des militärischen Angriffs der Russischen Föderation können die Mitgliedstaaten in die in Zahlungsanträgen geltend gemachten Ausgaben Einheitskosten für die grundlegenden Bedürfnisse und die Unterstützung von Personen aufnehmen, denen vorübergehender Schutz oder ein anderer angemessener Schutz nach nationalem Recht gemäß dem Durchführungsbeschluss (EU) </w:t>
      </w:r>
      <w:r w:rsidRPr="005C47D3">
        <w:rPr>
          <w:noProof/>
        </w:rPr>
        <w:t>2022</w:t>
      </w:r>
      <w:r w:rsidRPr="003F0E72">
        <w:rPr>
          <w:noProof/>
        </w:rPr>
        <w:t>/</w:t>
      </w:r>
      <w:r w:rsidRPr="005C47D3">
        <w:rPr>
          <w:noProof/>
        </w:rPr>
        <w:t>382</w:t>
      </w:r>
      <w:r w:rsidRPr="003F0E72">
        <w:rPr>
          <w:noProof/>
        </w:rPr>
        <w:t xml:space="preserve"> des Rates und der Richtlinie </w:t>
      </w:r>
      <w:r w:rsidRPr="005C47D3">
        <w:rPr>
          <w:noProof/>
        </w:rPr>
        <w:t>2001</w:t>
      </w:r>
      <w:r w:rsidRPr="003F0E72">
        <w:rPr>
          <w:noProof/>
        </w:rPr>
        <w:t>/</w:t>
      </w:r>
      <w:r w:rsidRPr="005C47D3">
        <w:rPr>
          <w:noProof/>
        </w:rPr>
        <w:t>55</w:t>
      </w:r>
      <w:r w:rsidRPr="003F0E72">
        <w:rPr>
          <w:noProof/>
        </w:rPr>
        <w:t xml:space="preserve">/EG des Rates gewährt wurde. Diese Einheitskosten betragen </w:t>
      </w:r>
      <w:r w:rsidRPr="005C47D3">
        <w:rPr>
          <w:noProof/>
        </w:rPr>
        <w:t>40</w:t>
      </w:r>
      <w:r w:rsidRPr="003F0E72">
        <w:rPr>
          <w:noProof/>
        </w:rPr>
        <w:t xml:space="preserve"> EUR pro voller bzw. angefangener Woche, in der sich eine Person in einem Mitgliedstaat aufhält. Die Einheitskosten können für insgesamt höchstens </w:t>
      </w:r>
      <w:r w:rsidRPr="005C47D3">
        <w:rPr>
          <w:noProof/>
        </w:rPr>
        <w:t>13</w:t>
      </w:r>
      <w:r w:rsidRPr="003F0E72">
        <w:rPr>
          <w:noProof/>
        </w:rPr>
        <w:t> Wochen ab dem Tag der Ankunft einer Person in de</w:t>
      </w:r>
      <w:r w:rsidR="00745D7F" w:rsidRPr="003F0E72">
        <w:rPr>
          <w:noProof/>
        </w:rPr>
        <w:t>r Union angewandt werden.</w:t>
      </w:r>
    </w:p>
    <w:p w:rsidR="00A356FB" w:rsidRPr="003F0E72" w:rsidRDefault="00983B22" w:rsidP="00784940">
      <w:pPr>
        <w:pStyle w:val="Text1"/>
        <w:rPr>
          <w:noProof/>
        </w:rPr>
      </w:pPr>
      <w:r w:rsidRPr="003F0E72">
        <w:rPr>
          <w:noProof/>
        </w:rPr>
        <w:t>Die auf dieser Grundlage berechneten Beträge gelten als an die Begünstigten ausgezahlte öffentliche Unterstützung und als förderfähige Ausgabe zur Durchführung dieser Verordnung.“</w:t>
      </w:r>
    </w:p>
    <w:p w:rsidR="00093372" w:rsidRPr="003F0E72" w:rsidRDefault="00D04F97" w:rsidP="00D04F97">
      <w:pPr>
        <w:pStyle w:val="Point0"/>
        <w:rPr>
          <w:noProof/>
        </w:rPr>
      </w:pPr>
      <w:r w:rsidRPr="00D04F97">
        <w:t>(4)</w:t>
      </w:r>
      <w:r w:rsidRPr="00D04F97">
        <w:tab/>
      </w:r>
      <w:r w:rsidR="00093372" w:rsidRPr="003F0E72">
        <w:rPr>
          <w:noProof/>
        </w:rPr>
        <w:t>In Artikel </w:t>
      </w:r>
      <w:r w:rsidR="00093372" w:rsidRPr="005C47D3">
        <w:rPr>
          <w:noProof/>
        </w:rPr>
        <w:t>1</w:t>
      </w:r>
      <w:r w:rsidR="00093372" w:rsidRPr="003F0E72">
        <w:rPr>
          <w:noProof/>
        </w:rPr>
        <w:t xml:space="preserve"> wird die bisherige Nummer </w:t>
      </w:r>
      <w:r w:rsidR="00093372" w:rsidRPr="005C47D3">
        <w:rPr>
          <w:noProof/>
        </w:rPr>
        <w:t>1</w:t>
      </w:r>
      <w:r w:rsidR="00093372" w:rsidRPr="003F0E72">
        <w:rPr>
          <w:noProof/>
        </w:rPr>
        <w:t xml:space="preserve"> zu Nummer </w:t>
      </w:r>
      <w:r w:rsidR="00093372" w:rsidRPr="005C47D3">
        <w:rPr>
          <w:noProof/>
        </w:rPr>
        <w:t>2</w:t>
      </w:r>
      <w:r w:rsidR="00093372" w:rsidRPr="003F0E72">
        <w:rPr>
          <w:noProof/>
        </w:rPr>
        <w:t xml:space="preserve"> und die bisherige Nummer </w:t>
      </w:r>
      <w:r w:rsidR="00093372" w:rsidRPr="005C47D3">
        <w:rPr>
          <w:noProof/>
        </w:rPr>
        <w:t>2</w:t>
      </w:r>
      <w:r w:rsidR="00093372" w:rsidRPr="003F0E72">
        <w:rPr>
          <w:noProof/>
        </w:rPr>
        <w:t xml:space="preserve"> zu Nummer </w:t>
      </w:r>
      <w:r w:rsidR="00093372" w:rsidRPr="005C47D3">
        <w:rPr>
          <w:noProof/>
        </w:rPr>
        <w:t>3</w:t>
      </w:r>
      <w:r w:rsidR="00093372" w:rsidRPr="003F0E72">
        <w:rPr>
          <w:noProof/>
        </w:rPr>
        <w:t>.</w:t>
      </w:r>
    </w:p>
    <w:p w:rsidR="00D00E4D" w:rsidRPr="003F0E72" w:rsidRDefault="00D04F97" w:rsidP="00D04F97">
      <w:pPr>
        <w:pStyle w:val="Point0"/>
        <w:rPr>
          <w:noProof/>
        </w:rPr>
      </w:pPr>
      <w:r w:rsidRPr="00D04F97">
        <w:t>(5)</w:t>
      </w:r>
      <w:r w:rsidRPr="00D04F97">
        <w:tab/>
      </w:r>
      <w:r w:rsidR="00D00E4D" w:rsidRPr="003F0E72">
        <w:rPr>
          <w:noProof/>
        </w:rPr>
        <w:t>In Artikel </w:t>
      </w:r>
      <w:r w:rsidR="00D00E4D" w:rsidRPr="005C47D3">
        <w:rPr>
          <w:noProof/>
        </w:rPr>
        <w:t>1</w:t>
      </w:r>
      <w:r w:rsidR="00D00E4D" w:rsidRPr="003F0E72">
        <w:rPr>
          <w:noProof/>
        </w:rPr>
        <w:t xml:space="preserve"> wird folgende Nummer angefügt: </w:t>
      </w:r>
    </w:p>
    <w:p w:rsidR="00CD62A0" w:rsidRPr="003F0E72" w:rsidRDefault="00361105" w:rsidP="00784940">
      <w:pPr>
        <w:pStyle w:val="Text1"/>
        <w:rPr>
          <w:noProof/>
        </w:rPr>
      </w:pPr>
      <w:r w:rsidRPr="003F0E72">
        <w:rPr>
          <w:noProof/>
        </w:rPr>
        <w:t>„</w:t>
      </w:r>
      <w:r w:rsidRPr="005C47D3">
        <w:rPr>
          <w:noProof/>
        </w:rPr>
        <w:t>4</w:t>
      </w:r>
      <w:r w:rsidRPr="003F0E72">
        <w:rPr>
          <w:noProof/>
        </w:rPr>
        <w:t>.</w:t>
      </w:r>
      <w:r w:rsidRPr="003F0E72">
        <w:rPr>
          <w:noProof/>
        </w:rPr>
        <w:tab/>
        <w:t>Artikel </w:t>
      </w:r>
      <w:r w:rsidRPr="005C47D3">
        <w:rPr>
          <w:noProof/>
        </w:rPr>
        <w:t>131</w:t>
      </w:r>
      <w:r w:rsidRPr="003F0E72">
        <w:rPr>
          <w:noProof/>
        </w:rPr>
        <w:t xml:space="preserve"> Absatz </w:t>
      </w:r>
      <w:r w:rsidRPr="005C47D3">
        <w:rPr>
          <w:noProof/>
        </w:rPr>
        <w:t>2</w:t>
      </w:r>
      <w:r w:rsidRPr="003F0E72">
        <w:rPr>
          <w:noProof/>
        </w:rPr>
        <w:t xml:space="preserve"> erhält folgende Fassung:</w:t>
      </w:r>
    </w:p>
    <w:p w:rsidR="00CD62A0" w:rsidRPr="003F0E72" w:rsidRDefault="00CD62A0" w:rsidP="00784940">
      <w:pPr>
        <w:pStyle w:val="Text1"/>
        <w:rPr>
          <w:noProof/>
        </w:rPr>
      </w:pPr>
      <w:r w:rsidRPr="003F0E72">
        <w:rPr>
          <w:noProof/>
        </w:rPr>
        <w:t>(</w:t>
      </w:r>
      <w:r w:rsidRPr="005C47D3">
        <w:rPr>
          <w:noProof/>
        </w:rPr>
        <w:t>2</w:t>
      </w:r>
      <w:r w:rsidRPr="003F0E72">
        <w:rPr>
          <w:noProof/>
        </w:rPr>
        <w:t>) Außer für Unterstützungsarten nach Artikel </w:t>
      </w:r>
      <w:r w:rsidRPr="005C47D3">
        <w:rPr>
          <w:noProof/>
        </w:rPr>
        <w:t>67</w:t>
      </w:r>
      <w:r w:rsidRPr="003F0E72">
        <w:rPr>
          <w:noProof/>
        </w:rPr>
        <w:t xml:space="preserve"> Absatz </w:t>
      </w:r>
      <w:r w:rsidRPr="005C47D3">
        <w:rPr>
          <w:noProof/>
        </w:rPr>
        <w:t>1</w:t>
      </w:r>
      <w:r w:rsidRPr="003F0E72">
        <w:rPr>
          <w:noProof/>
        </w:rPr>
        <w:t xml:space="preserve"> Unterabsatz </w:t>
      </w:r>
      <w:r w:rsidRPr="005C47D3">
        <w:rPr>
          <w:noProof/>
        </w:rPr>
        <w:t>1</w:t>
      </w:r>
      <w:r w:rsidRPr="003F0E72">
        <w:rPr>
          <w:noProof/>
        </w:rPr>
        <w:t xml:space="preserve"> Buchstaben b bis e, Artikel </w:t>
      </w:r>
      <w:r w:rsidRPr="005C47D3">
        <w:rPr>
          <w:noProof/>
        </w:rPr>
        <w:t>68</w:t>
      </w:r>
      <w:r w:rsidRPr="003F0E72">
        <w:rPr>
          <w:noProof/>
        </w:rPr>
        <w:t>, Artikel </w:t>
      </w:r>
      <w:r w:rsidRPr="005C47D3">
        <w:rPr>
          <w:noProof/>
        </w:rPr>
        <w:t>68</w:t>
      </w:r>
      <w:r w:rsidRPr="003F0E72">
        <w:rPr>
          <w:noProof/>
        </w:rPr>
        <w:t>a, Artikel </w:t>
      </w:r>
      <w:r w:rsidRPr="005C47D3">
        <w:rPr>
          <w:noProof/>
        </w:rPr>
        <w:t>68</w:t>
      </w:r>
      <w:r w:rsidRPr="003F0E72">
        <w:rPr>
          <w:noProof/>
        </w:rPr>
        <w:t>b, Artikel </w:t>
      </w:r>
      <w:r w:rsidRPr="005C47D3">
        <w:rPr>
          <w:noProof/>
        </w:rPr>
        <w:t>68</w:t>
      </w:r>
      <w:r w:rsidRPr="003F0E72">
        <w:rPr>
          <w:noProof/>
        </w:rPr>
        <w:t>c, Artikel </w:t>
      </w:r>
      <w:r w:rsidRPr="005C47D3">
        <w:rPr>
          <w:noProof/>
        </w:rPr>
        <w:t>69</w:t>
      </w:r>
      <w:r w:rsidRPr="003F0E72">
        <w:rPr>
          <w:noProof/>
        </w:rPr>
        <w:t xml:space="preserve"> Absatz </w:t>
      </w:r>
      <w:r w:rsidRPr="005C47D3">
        <w:rPr>
          <w:noProof/>
        </w:rPr>
        <w:t>1</w:t>
      </w:r>
      <w:r w:rsidRPr="003F0E72">
        <w:rPr>
          <w:noProof/>
        </w:rPr>
        <w:t xml:space="preserve"> und Artikel </w:t>
      </w:r>
      <w:r w:rsidRPr="005C47D3">
        <w:rPr>
          <w:noProof/>
        </w:rPr>
        <w:t>109</w:t>
      </w:r>
      <w:r w:rsidRPr="003F0E72">
        <w:rPr>
          <w:noProof/>
        </w:rPr>
        <w:t xml:space="preserve"> dieser Verordnung sowie nach Artikel </w:t>
      </w:r>
      <w:r w:rsidRPr="005C47D3">
        <w:rPr>
          <w:noProof/>
        </w:rPr>
        <w:t>14</w:t>
      </w:r>
      <w:r w:rsidRPr="003F0E72">
        <w:rPr>
          <w:noProof/>
        </w:rPr>
        <w:t xml:space="preserve"> der ESF-Verordnung werden die in den Zahlungsanträgen enthaltenen förderfähigen Ausgaben durch quittierte Rechnungen oder gleichwertige Buchungsbelege nachgewiesen. Für diese Unterstützungsarten entsprechen die in den Zahlungsanträgen enthaltenen Beträge den auf der jeweils geltenden Grundlage berechneten Kosten.“</w:t>
      </w:r>
    </w:p>
    <w:p w:rsidR="00034A06" w:rsidRPr="003F0E72" w:rsidRDefault="00570F0D" w:rsidP="005B4222">
      <w:pPr>
        <w:pStyle w:val="Fait"/>
        <w:rPr>
          <w:noProof/>
        </w:rPr>
      </w:pPr>
      <w:r w:rsidRPr="00570F0D">
        <w:t xml:space="preserve">Geschehen zu Brüssel am </w:t>
      </w:r>
      <w:r w:rsidRPr="00570F0D">
        <w:rPr>
          <w:rStyle w:val="Marker"/>
        </w:rPr>
        <w:t>[…]</w:t>
      </w:r>
    </w:p>
    <w:p w:rsidR="00034A06" w:rsidRPr="003F0E72" w:rsidRDefault="00034A06" w:rsidP="005B4222">
      <w:pPr>
        <w:pStyle w:val="Institutionquisigne"/>
        <w:rPr>
          <w:noProof/>
        </w:rPr>
      </w:pPr>
      <w:r w:rsidRPr="003F0E72">
        <w:rPr>
          <w:noProof/>
        </w:rPr>
        <w:t>Im Namen des Europäischen Parlaments</w:t>
      </w:r>
      <w:r w:rsidRPr="003F0E72">
        <w:rPr>
          <w:noProof/>
        </w:rPr>
        <w:tab/>
        <w:t>Im Namen des Rates</w:t>
      </w:r>
    </w:p>
    <w:p w:rsidR="00034A06" w:rsidRPr="003F0E72" w:rsidRDefault="00034A06" w:rsidP="00034A06">
      <w:pPr>
        <w:pStyle w:val="Personnequisigne"/>
        <w:rPr>
          <w:noProof/>
        </w:rPr>
      </w:pPr>
      <w:r w:rsidRPr="003F0E72">
        <w:rPr>
          <w:noProof/>
        </w:rPr>
        <w:t>Die Präsidentin</w:t>
      </w:r>
      <w:r w:rsidRPr="003F0E72">
        <w:rPr>
          <w:noProof/>
        </w:rPr>
        <w:tab/>
        <w:t>Der Präsident /// Die Präsidentin</w:t>
      </w:r>
    </w:p>
    <w:sectPr w:rsidR="00034A06" w:rsidRPr="003F0E72" w:rsidSect="001E5D6E">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867" w:rsidRDefault="00D62867" w:rsidP="00034A06">
      <w:pPr>
        <w:spacing w:before="0" w:after="0"/>
      </w:pPr>
      <w:r>
        <w:separator/>
      </w:r>
    </w:p>
  </w:endnote>
  <w:endnote w:type="continuationSeparator" w:id="0">
    <w:p w:rsidR="00D62867" w:rsidRDefault="00D62867" w:rsidP="00034A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348" w:rsidRPr="001E5D6E" w:rsidRDefault="001E5D6E" w:rsidP="001E5D6E">
    <w:pPr>
      <w:pStyle w:val="Footer"/>
      <w:rPr>
        <w:rFonts w:ascii="Arial" w:hAnsi="Arial" w:cs="Arial"/>
        <w:b/>
        <w:sz w:val="48"/>
      </w:rPr>
    </w:pPr>
    <w:r w:rsidRPr="001E5D6E">
      <w:rPr>
        <w:rFonts w:ascii="Arial" w:hAnsi="Arial" w:cs="Arial"/>
        <w:b/>
        <w:sz w:val="48"/>
      </w:rPr>
      <w:t>DE</w:t>
    </w:r>
    <w:r w:rsidRPr="001E5D6E">
      <w:rPr>
        <w:rFonts w:ascii="Arial" w:hAnsi="Arial" w:cs="Arial"/>
        <w:b/>
        <w:sz w:val="48"/>
      </w:rPr>
      <w:tab/>
    </w:r>
    <w:r w:rsidRPr="001E5D6E">
      <w:rPr>
        <w:rFonts w:ascii="Arial" w:hAnsi="Arial" w:cs="Arial"/>
        <w:b/>
        <w:sz w:val="48"/>
      </w:rPr>
      <w:tab/>
    </w:r>
    <w:r w:rsidRPr="001E5D6E">
      <w:tab/>
    </w:r>
    <w:r w:rsidRPr="001E5D6E">
      <w:rPr>
        <w:rFonts w:ascii="Arial" w:hAnsi="Arial" w:cs="Arial"/>
        <w:b/>
        <w:sz w:val="48"/>
      </w:rPr>
      <w:t>DE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D6E" w:rsidRPr="001E5D6E" w:rsidRDefault="001E5D6E" w:rsidP="001E5D6E">
    <w:pPr>
      <w:pStyle w:val="Footer"/>
      <w:rPr>
        <w:rFonts w:ascii="Arial" w:hAnsi="Arial" w:cs="Arial"/>
        <w:b/>
        <w:sz w:val="48"/>
      </w:rPr>
    </w:pPr>
    <w:r w:rsidRPr="001E5D6E">
      <w:rPr>
        <w:rFonts w:ascii="Arial" w:hAnsi="Arial" w:cs="Arial"/>
        <w:b/>
        <w:sz w:val="48"/>
      </w:rPr>
      <w:t>DE</w:t>
    </w:r>
    <w:r w:rsidRPr="001E5D6E">
      <w:rPr>
        <w:rFonts w:ascii="Arial" w:hAnsi="Arial" w:cs="Arial"/>
        <w:b/>
        <w:sz w:val="48"/>
      </w:rPr>
      <w:tab/>
    </w:r>
    <w:r>
      <w:fldChar w:fldCharType="begin"/>
    </w:r>
    <w:r>
      <w:instrText xml:space="preserve"> PAGE  \* MERGEFORMAT </w:instrText>
    </w:r>
    <w:r>
      <w:fldChar w:fldCharType="separate"/>
    </w:r>
    <w:r w:rsidR="005B4222">
      <w:rPr>
        <w:noProof/>
      </w:rPr>
      <w:t>5</w:t>
    </w:r>
    <w:r>
      <w:fldChar w:fldCharType="end"/>
    </w:r>
    <w:r>
      <w:tab/>
    </w:r>
    <w:r w:rsidRPr="001E5D6E">
      <w:tab/>
    </w:r>
    <w:r w:rsidRPr="001E5D6E">
      <w:rPr>
        <w:rFonts w:ascii="Arial" w:hAnsi="Arial" w:cs="Arial"/>
        <w:b/>
        <w:sz w:val="48"/>
      </w:rPr>
      <w:t>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D6E" w:rsidRPr="001E5D6E" w:rsidRDefault="001E5D6E" w:rsidP="001E5D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867" w:rsidRDefault="00D62867" w:rsidP="00034A06">
      <w:pPr>
        <w:spacing w:before="0" w:after="0"/>
      </w:pPr>
      <w:r>
        <w:separator/>
      </w:r>
    </w:p>
  </w:footnote>
  <w:footnote w:type="continuationSeparator" w:id="0">
    <w:p w:rsidR="00D62867" w:rsidRDefault="00D62867" w:rsidP="00034A06">
      <w:pPr>
        <w:spacing w:before="0" w:after="0"/>
      </w:pPr>
      <w:r>
        <w:continuationSeparator/>
      </w:r>
    </w:p>
  </w:footnote>
  <w:footnote w:id="1">
    <w:p w:rsidR="004C0943" w:rsidRPr="00CE1E35" w:rsidRDefault="004C0943" w:rsidP="004C0943">
      <w:pPr>
        <w:pStyle w:val="FootnoteText"/>
      </w:pPr>
      <w:r>
        <w:rPr>
          <w:rStyle w:val="FootnoteReference"/>
        </w:rPr>
        <w:footnoteRef/>
      </w:r>
      <w:r>
        <w:tab/>
        <w:t xml:space="preserve">Durchführungsbeschluss (EU) </w:t>
      </w:r>
      <w:r w:rsidRPr="005C47D3">
        <w:t>2022</w:t>
      </w:r>
      <w:r>
        <w:t>/</w:t>
      </w:r>
      <w:r w:rsidRPr="005C47D3">
        <w:t>382</w:t>
      </w:r>
      <w:r>
        <w:t xml:space="preserve"> des Rates vom </w:t>
      </w:r>
      <w:r w:rsidRPr="005C47D3">
        <w:t>4</w:t>
      </w:r>
      <w:r>
        <w:t xml:space="preserve">. März </w:t>
      </w:r>
      <w:r w:rsidRPr="005C47D3">
        <w:t>2022</w:t>
      </w:r>
      <w:r>
        <w:t xml:space="preserve"> zur Feststellung des Bestehens eines Massenzustroms von Vertriebenen aus der Ukraine im Sinne des Artikels </w:t>
      </w:r>
      <w:r w:rsidRPr="005C47D3">
        <w:t>5</w:t>
      </w:r>
      <w:r>
        <w:t xml:space="preserve"> der Richtlinie </w:t>
      </w:r>
      <w:r w:rsidRPr="005C47D3">
        <w:t>2001</w:t>
      </w:r>
      <w:r>
        <w:t>/</w:t>
      </w:r>
      <w:r w:rsidRPr="005C47D3">
        <w:t>55</w:t>
      </w:r>
      <w:r>
        <w:t xml:space="preserve">/EG und zur Einführung eines vorübergehenden Schutzes (ABl. </w:t>
      </w:r>
      <w:r w:rsidRPr="00CE1E35">
        <w:t>L </w:t>
      </w:r>
      <w:r w:rsidRPr="005C47D3">
        <w:t>71</w:t>
      </w:r>
      <w:r w:rsidRPr="00CE1E35">
        <w:t xml:space="preserve"> vom </w:t>
      </w:r>
      <w:r w:rsidRPr="005C47D3">
        <w:t>4</w:t>
      </w:r>
      <w:r w:rsidRPr="00CE1E35">
        <w:t>.</w:t>
      </w:r>
      <w:r w:rsidRPr="005C47D3">
        <w:t>3</w:t>
      </w:r>
      <w:r w:rsidRPr="00CE1E35">
        <w:t>.</w:t>
      </w:r>
      <w:r w:rsidRPr="005C47D3">
        <w:t>2022</w:t>
      </w:r>
      <w:r w:rsidRPr="00CE1E35">
        <w:t>, S. </w:t>
      </w:r>
      <w:r w:rsidRPr="005C47D3">
        <w:t>1</w:t>
      </w:r>
      <w:r w:rsidRPr="00CE1E35">
        <w:t>).</w:t>
      </w:r>
    </w:p>
  </w:footnote>
  <w:footnote w:id="2">
    <w:p w:rsidR="00093372" w:rsidRPr="00093372" w:rsidRDefault="00093372">
      <w:pPr>
        <w:pStyle w:val="FootnoteText"/>
      </w:pPr>
      <w:r>
        <w:rPr>
          <w:rStyle w:val="FootnoteReference"/>
        </w:rPr>
        <w:footnoteRef/>
      </w:r>
      <w:r w:rsidRPr="00CE1E35">
        <w:tab/>
        <w:t xml:space="preserve">Richtlinie </w:t>
      </w:r>
      <w:r w:rsidRPr="005C47D3">
        <w:t>2001</w:t>
      </w:r>
      <w:r w:rsidRPr="00CE1E35">
        <w:t>/</w:t>
      </w:r>
      <w:r w:rsidRPr="005C47D3">
        <w:t>55</w:t>
      </w:r>
      <w:r w:rsidRPr="00CE1E35">
        <w:t xml:space="preserve">/EG des Rates vom </w:t>
      </w:r>
      <w:r w:rsidRPr="005C47D3">
        <w:t>20</w:t>
      </w:r>
      <w:r w:rsidRPr="00CE1E35">
        <w:t xml:space="preserve">. Juli </w:t>
      </w:r>
      <w:r w:rsidRPr="005C47D3">
        <w:t>2001</w:t>
      </w:r>
      <w:r w:rsidRPr="00CE1E35">
        <w:t xml:space="preserve"> über Mindestnormen für die Gewährung vorübergehenden Schutzes im Falle eines Massenzustroms von Vertriebenen und Maßnahmen zur Förderung einer ausgewogenen Verteilung der Belastungen, die mit der Aufnahme dieser Personen und den Folgen dieser Aufnahme verbunden sind, auf die Mitgliedstaaten (ABl. </w:t>
      </w:r>
      <w:r>
        <w:t>L </w:t>
      </w:r>
      <w:r w:rsidRPr="005C47D3">
        <w:t>212</w:t>
      </w:r>
      <w:r>
        <w:t xml:space="preserve"> vom </w:t>
      </w:r>
      <w:r w:rsidRPr="005C47D3">
        <w:t>7</w:t>
      </w:r>
      <w:r>
        <w:t>.</w:t>
      </w:r>
      <w:r w:rsidRPr="005C47D3">
        <w:t>8</w:t>
      </w:r>
      <w:r>
        <w:t>.</w:t>
      </w:r>
      <w:r w:rsidRPr="005C47D3">
        <w:t>2001</w:t>
      </w:r>
      <w:r>
        <w:t>, S. </w:t>
      </w:r>
      <w:r w:rsidRPr="005C47D3">
        <w:t>12</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8A4919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1966DB6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884E8396"/>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08E464B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34C608D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C8A807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A14112E"/>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1156575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 w:numId="8">
    <w:abstractNumId w:val="1"/>
  </w:num>
  <w:num w:numId="9">
    <w:abstractNumId w:val="0"/>
  </w:num>
  <w:num w:numId="10">
    <w:abstractNumId w:val="19"/>
  </w:num>
  <w:num w:numId="11">
    <w:abstractNumId w:val="12"/>
  </w:num>
  <w:num w:numId="12">
    <w:abstractNumId w:val="21"/>
  </w:num>
  <w:num w:numId="13">
    <w:abstractNumId w:val="11"/>
  </w:num>
  <w:num w:numId="14">
    <w:abstractNumId w:val="13"/>
  </w:num>
  <w:num w:numId="15">
    <w:abstractNumId w:val="14"/>
  </w:num>
  <w:num w:numId="16">
    <w:abstractNumId w:val="9"/>
  </w:num>
  <w:num w:numId="17">
    <w:abstractNumId w:val="20"/>
  </w:num>
  <w:num w:numId="18">
    <w:abstractNumId w:val="8"/>
  </w:num>
  <w:num w:numId="19">
    <w:abstractNumId w:val="15"/>
  </w:num>
  <w:num w:numId="20">
    <w:abstractNumId w:val="17"/>
  </w:num>
  <w:num w:numId="21">
    <w:abstractNumId w:val="18"/>
  </w:num>
  <w:num w:numId="22">
    <w:abstractNumId w:val="10"/>
  </w:num>
  <w:num w:numId="23">
    <w:abstractNumId w:val="16"/>
  </w:num>
  <w:num w:numId="24">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22-04-01 07:49:47"/>
    <w:docVar w:name="DQCResult_Distribution" w:val="0;0"/>
    <w:docVar w:name="DQCResult_DocumentContent" w:val="0;0"/>
    <w:docVar w:name="DQCResult_DocumentSize" w:val="0;0"/>
    <w:docVar w:name="DQCResult_InvalidFootnotes" w:val="0;0"/>
    <w:docVar w:name="DQCResult_LinkedStyles" w:val="0;0"/>
    <w:docVar w:name="DQCResult_ModifiedMarkers" w:val="0;0"/>
    <w:docVar w:name="DQCResult_ModifiedNumbering" w:val="0;0"/>
    <w:docVar w:name="DQCResult_Objects" w:val="0;0"/>
    <w:docVar w:name="DQCResult_StructureCheck" w:val="0;0"/>
    <w:docVar w:name="DQCResult_UnknownFonts" w:val="0;0"/>
    <w:docVar w:name="DQCStatus" w:val="Green"/>
    <w:docVar w:name="DQCVersion" w:val="3"/>
    <w:docVar w:name="DQCWithWarnings" w:val="0"/>
    <w:docVar w:name="LW_CORRIGENDUM" w:val="&lt;UNUSED&gt;"/>
    <w:docVar w:name="LW_COVERPAGE_EXISTS" w:val="True"/>
    <w:docVar w:name="LW_COVERPAGE_GUID" w:val="2C9BC63C-B29B-4EE8-A4BF-84919CBABC42"/>
    <w:docVar w:name="LW_COVERPAGE_TYPE" w:val="1"/>
    <w:docVar w:name="LW_CROSSREFERENCE" w:val="&lt;UNUSED&gt;"/>
    <w:docVar w:name="LW_DocType" w:val="COM"/>
    <w:docVar w:name="LW_EMISSION" w:val="31.3.2022"/>
    <w:docVar w:name="LW_EMISSION_ISODATE" w:val="2022-03-31"/>
    <w:docVar w:name="LW_EMISSION_LOCATION" w:val="BRX"/>
    <w:docVar w:name="LW_EMISSION_PREFIX" w:val="Brüssel, den "/>
    <w:docVar w:name="LW_EMISSION_SUFFIX" w:val=" "/>
    <w:docVar w:name="LW_ID_DOCMODEL" w:val="SJ-023"/>
    <w:docVar w:name="LW_ID_DOCSIGNATURE" w:val="SJ-023"/>
    <w:docVar w:name="LW_ID_DOCSTRUCTURE" w:val="COM/PL/MOD"/>
    <w:docVar w:name="LW_ID_DOCTYPE" w:val="SG-005"/>
    <w:docVar w:name="LW_ID_EXP.MOTIFS.NEW" w:val="EM_PL_"/>
    <w:docVar w:name="LW_ID_STATUT" w:val="SG-005"/>
    <w:docVar w:name="LW_INTERETEEE.CP" w:val="&lt;UNUSED&gt;"/>
    <w:docVar w:name="LW_LANGUE" w:val="DE"/>
    <w:docVar w:name="LW_LEVEL_OF_SENSITIVITY" w:val="Standard treatment"/>
    <w:docVar w:name="LW_NOM.INST" w:val="EUROPÄISCHE KOMMISSION"/>
    <w:docVar w:name="LW_NOM.INST_JOINTDOC" w:val="&lt;EMPTY&gt;"/>
    <w:docVar w:name="LW_PART_NBR" w:val="1"/>
    <w:docVar w:name="LW_PART_NBR_TOTAL" w:val="1"/>
    <w:docVar w:name="LW_REF.II.NEW.CP" w:val="COD"/>
    <w:docVar w:name="LW_REF.II.NEW.CP_NUMBER" w:val="0096"/>
    <w:docVar w:name="LW_REF.II.NEW.CP_YEAR" w:val="2022"/>
    <w:docVar w:name="LW_REF.INST.NEW" w:val="COM"/>
    <w:docVar w:name="LW_REF.INST.NEW_ADOPTED" w:val="final"/>
    <w:docVar w:name="LW_REF.INST.NEW_TEXT" w:val="(2022) 16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Geänderter Vorschlag für eine"/>
    <w:docVar w:name="LW_SUPERTITRE" w:val="&lt;UNUSED&gt;"/>
    <w:docVar w:name="LW_TITRE.OBJ.CP" w:val="zur Änderung der Verordnung (EU) Nr. 1303/2013 und der Verordnung (EU) Nr. 223/2014 in Bezug auf eine erhöhte Vorschusszahlung aus REACT-EU-Mitteln"/>
    <w:docVar w:name="LW_TYPE.DOC.CP" w:val="VERORDNUNG DES EUROPÄISCHEN PARLAMENTS UND DES RATES"/>
    <w:docVar w:name="LwApiVersions" w:val="LW4CoDe 1.23.2.0; LW 8.0, Build 20211117"/>
  </w:docVars>
  <w:rsids>
    <w:rsidRoot w:val="00034A06"/>
    <w:rsid w:val="000347A2"/>
    <w:rsid w:val="00034A06"/>
    <w:rsid w:val="00036D76"/>
    <w:rsid w:val="00077717"/>
    <w:rsid w:val="0008310F"/>
    <w:rsid w:val="0008636A"/>
    <w:rsid w:val="00093372"/>
    <w:rsid w:val="000B1680"/>
    <w:rsid w:val="000B7A7D"/>
    <w:rsid w:val="00140EE2"/>
    <w:rsid w:val="001424CF"/>
    <w:rsid w:val="00152894"/>
    <w:rsid w:val="0017466F"/>
    <w:rsid w:val="00186045"/>
    <w:rsid w:val="001C469C"/>
    <w:rsid w:val="001E5D6E"/>
    <w:rsid w:val="001F3DD2"/>
    <w:rsid w:val="002155EB"/>
    <w:rsid w:val="002218BF"/>
    <w:rsid w:val="00276C39"/>
    <w:rsid w:val="00284106"/>
    <w:rsid w:val="00320988"/>
    <w:rsid w:val="0035236F"/>
    <w:rsid w:val="0035796C"/>
    <w:rsid w:val="00361105"/>
    <w:rsid w:val="00396ACD"/>
    <w:rsid w:val="003B754A"/>
    <w:rsid w:val="003E62BC"/>
    <w:rsid w:val="003F0E72"/>
    <w:rsid w:val="00420627"/>
    <w:rsid w:val="00424EF4"/>
    <w:rsid w:val="00437AA5"/>
    <w:rsid w:val="004667A7"/>
    <w:rsid w:val="004707F4"/>
    <w:rsid w:val="00492396"/>
    <w:rsid w:val="004C0943"/>
    <w:rsid w:val="004E19F9"/>
    <w:rsid w:val="004F415C"/>
    <w:rsid w:val="00517205"/>
    <w:rsid w:val="00542487"/>
    <w:rsid w:val="0055160F"/>
    <w:rsid w:val="00564C3F"/>
    <w:rsid w:val="00570F0D"/>
    <w:rsid w:val="00574C6D"/>
    <w:rsid w:val="00582810"/>
    <w:rsid w:val="00592AE8"/>
    <w:rsid w:val="00595540"/>
    <w:rsid w:val="0059639B"/>
    <w:rsid w:val="005B4222"/>
    <w:rsid w:val="005B55B3"/>
    <w:rsid w:val="005B5FA6"/>
    <w:rsid w:val="005C19FA"/>
    <w:rsid w:val="005C47D3"/>
    <w:rsid w:val="006654AB"/>
    <w:rsid w:val="006B6C42"/>
    <w:rsid w:val="006D27C6"/>
    <w:rsid w:val="006F3290"/>
    <w:rsid w:val="006F7EFE"/>
    <w:rsid w:val="00717CB6"/>
    <w:rsid w:val="0073323F"/>
    <w:rsid w:val="00745D7F"/>
    <w:rsid w:val="00784940"/>
    <w:rsid w:val="007906C3"/>
    <w:rsid w:val="007B49A0"/>
    <w:rsid w:val="007D0861"/>
    <w:rsid w:val="007E010B"/>
    <w:rsid w:val="00802FC2"/>
    <w:rsid w:val="00863DA1"/>
    <w:rsid w:val="00890746"/>
    <w:rsid w:val="008A0348"/>
    <w:rsid w:val="008D1F33"/>
    <w:rsid w:val="008E2694"/>
    <w:rsid w:val="00940731"/>
    <w:rsid w:val="00982EC6"/>
    <w:rsid w:val="00983253"/>
    <w:rsid w:val="00983B22"/>
    <w:rsid w:val="009957C5"/>
    <w:rsid w:val="00A356FB"/>
    <w:rsid w:val="00A565C7"/>
    <w:rsid w:val="00A66302"/>
    <w:rsid w:val="00A675D2"/>
    <w:rsid w:val="00AA5728"/>
    <w:rsid w:val="00B36DD0"/>
    <w:rsid w:val="00BC2FA6"/>
    <w:rsid w:val="00C278D5"/>
    <w:rsid w:val="00C3731F"/>
    <w:rsid w:val="00C65614"/>
    <w:rsid w:val="00CC28A3"/>
    <w:rsid w:val="00CD62A0"/>
    <w:rsid w:val="00CE1E35"/>
    <w:rsid w:val="00CF2693"/>
    <w:rsid w:val="00CF56F3"/>
    <w:rsid w:val="00D00E4D"/>
    <w:rsid w:val="00D04F97"/>
    <w:rsid w:val="00D62867"/>
    <w:rsid w:val="00DB4B20"/>
    <w:rsid w:val="00E07235"/>
    <w:rsid w:val="00E07458"/>
    <w:rsid w:val="00E21A3C"/>
    <w:rsid w:val="00E33C9F"/>
    <w:rsid w:val="00E366C4"/>
    <w:rsid w:val="00E415FC"/>
    <w:rsid w:val="00E54578"/>
    <w:rsid w:val="00E979AB"/>
    <w:rsid w:val="00EC39BC"/>
    <w:rsid w:val="00EE140B"/>
    <w:rsid w:val="00EF71F2"/>
    <w:rsid w:val="00F219A4"/>
    <w:rsid w:val="00FC1565"/>
    <w:rsid w:val="00FC2396"/>
    <w:rsid w:val="00FD047C"/>
    <w:rsid w:val="00FD68BB"/>
    <w:rsid w:val="00FE4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A78B3FE1-F16D-49FB-8E22-BE1C24BBE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rsid w:val="00517205"/>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517205"/>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517205"/>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rsid w:val="00517205"/>
    <w:pPr>
      <w:keepNext/>
      <w:numPr>
        <w:ilvl w:val="3"/>
        <w:numId w:val="17"/>
      </w:numPr>
      <w:outlineLvl w:val="3"/>
    </w:pPr>
    <w:rPr>
      <w:rFonts w:eastAsiaTheme="majorEastAsia"/>
      <w:bCs/>
      <w:iCs/>
    </w:rPr>
  </w:style>
  <w:style w:type="paragraph" w:styleId="Heading5">
    <w:name w:val="heading 5"/>
    <w:basedOn w:val="Normal"/>
    <w:next w:val="Text2"/>
    <w:link w:val="Heading5Char"/>
    <w:uiPriority w:val="9"/>
    <w:semiHidden/>
    <w:unhideWhenUsed/>
    <w:qFormat/>
    <w:rsid w:val="00517205"/>
    <w:pPr>
      <w:keepNext/>
      <w:numPr>
        <w:ilvl w:val="4"/>
        <w:numId w:val="17"/>
      </w:numPr>
      <w:outlineLvl w:val="4"/>
    </w:pPr>
    <w:rPr>
      <w:rFonts w:eastAsiaTheme="majorEastAsia"/>
    </w:rPr>
  </w:style>
  <w:style w:type="paragraph" w:styleId="Heading6">
    <w:name w:val="heading 6"/>
    <w:basedOn w:val="Normal"/>
    <w:next w:val="Text2"/>
    <w:link w:val="Heading6Char"/>
    <w:uiPriority w:val="9"/>
    <w:semiHidden/>
    <w:unhideWhenUsed/>
    <w:qFormat/>
    <w:rsid w:val="00517205"/>
    <w:pPr>
      <w:keepNext/>
      <w:numPr>
        <w:ilvl w:val="5"/>
        <w:numId w:val="17"/>
      </w:numPr>
      <w:outlineLvl w:val="5"/>
    </w:pPr>
    <w:rPr>
      <w:rFonts w:eastAsiaTheme="majorEastAsia"/>
      <w:iCs/>
    </w:rPr>
  </w:style>
  <w:style w:type="paragraph" w:styleId="Heading7">
    <w:name w:val="heading 7"/>
    <w:basedOn w:val="Normal"/>
    <w:next w:val="Text2"/>
    <w:link w:val="Heading7Char"/>
    <w:uiPriority w:val="9"/>
    <w:semiHidden/>
    <w:unhideWhenUsed/>
    <w:qFormat/>
    <w:rsid w:val="00517205"/>
    <w:pPr>
      <w:keepNext/>
      <w:numPr>
        <w:ilvl w:val="6"/>
        <w:numId w:val="17"/>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35236F"/>
    <w:pPr>
      <w:numPr>
        <w:numId w:val="1"/>
      </w:numPr>
      <w:contextualSpacing/>
    </w:pPr>
  </w:style>
  <w:style w:type="paragraph" w:styleId="ListBullet2">
    <w:name w:val="List Bullet 2"/>
    <w:basedOn w:val="Normal"/>
    <w:uiPriority w:val="99"/>
    <w:semiHidden/>
    <w:unhideWhenUsed/>
    <w:rsid w:val="0035236F"/>
    <w:pPr>
      <w:numPr>
        <w:numId w:val="2"/>
      </w:numPr>
      <w:contextualSpacing/>
    </w:pPr>
  </w:style>
  <w:style w:type="paragraph" w:styleId="ListBullet3">
    <w:name w:val="List Bullet 3"/>
    <w:basedOn w:val="Normal"/>
    <w:uiPriority w:val="99"/>
    <w:semiHidden/>
    <w:unhideWhenUsed/>
    <w:rsid w:val="0035236F"/>
    <w:pPr>
      <w:numPr>
        <w:numId w:val="3"/>
      </w:numPr>
      <w:contextualSpacing/>
    </w:pPr>
  </w:style>
  <w:style w:type="paragraph" w:styleId="ListBullet4">
    <w:name w:val="List Bullet 4"/>
    <w:basedOn w:val="Normal"/>
    <w:uiPriority w:val="99"/>
    <w:semiHidden/>
    <w:unhideWhenUsed/>
    <w:rsid w:val="0035236F"/>
    <w:pPr>
      <w:numPr>
        <w:numId w:val="4"/>
      </w:numPr>
      <w:contextualSpacing/>
    </w:pPr>
  </w:style>
  <w:style w:type="paragraph" w:styleId="CommentText">
    <w:name w:val="annotation text"/>
    <w:basedOn w:val="Normal"/>
    <w:link w:val="CommentTextChar"/>
    <w:uiPriority w:val="99"/>
    <w:semiHidden/>
    <w:unhideWhenUsed/>
    <w:rsid w:val="00A356FB"/>
    <w:pPr>
      <w:spacing w:before="0" w:after="200"/>
      <w:jc w:val="left"/>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356FB"/>
    <w:rPr>
      <w:sz w:val="20"/>
      <w:szCs w:val="20"/>
      <w:lang w:val="de-DE"/>
    </w:rPr>
  </w:style>
  <w:style w:type="character" w:styleId="CommentReference">
    <w:name w:val="annotation reference"/>
    <w:basedOn w:val="DefaultParagraphFont"/>
    <w:uiPriority w:val="99"/>
    <w:semiHidden/>
    <w:unhideWhenUsed/>
    <w:rsid w:val="00A356FB"/>
    <w:rPr>
      <w:sz w:val="16"/>
      <w:szCs w:val="16"/>
    </w:rPr>
  </w:style>
  <w:style w:type="paragraph" w:styleId="BalloonText">
    <w:name w:val="Balloon Text"/>
    <w:basedOn w:val="Normal"/>
    <w:link w:val="BalloonTextChar"/>
    <w:uiPriority w:val="99"/>
    <w:semiHidden/>
    <w:unhideWhenUsed/>
    <w:rsid w:val="00A356F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6FB"/>
    <w:rPr>
      <w:rFonts w:ascii="Segoe UI" w:hAnsi="Segoe UI" w:cs="Segoe UI"/>
      <w:sz w:val="18"/>
      <w:szCs w:val="18"/>
      <w:lang w:val="de-DE"/>
    </w:rPr>
  </w:style>
  <w:style w:type="paragraph" w:styleId="CommentSubject">
    <w:name w:val="annotation subject"/>
    <w:basedOn w:val="CommentText"/>
    <w:next w:val="CommentText"/>
    <w:link w:val="CommentSubjectChar"/>
    <w:uiPriority w:val="99"/>
    <w:semiHidden/>
    <w:unhideWhenUsed/>
    <w:rsid w:val="00CD62A0"/>
    <w:pPr>
      <w:spacing w:before="120" w:after="120"/>
      <w:jc w:val="both"/>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CD62A0"/>
    <w:rPr>
      <w:rFonts w:ascii="Times New Roman" w:hAnsi="Times New Roman" w:cs="Times New Roman"/>
      <w:b/>
      <w:bCs/>
      <w:sz w:val="20"/>
      <w:szCs w:val="20"/>
      <w:lang w:val="de-DE"/>
    </w:rPr>
  </w:style>
  <w:style w:type="paragraph" w:styleId="EndnoteText">
    <w:name w:val="endnote text"/>
    <w:basedOn w:val="Normal"/>
    <w:link w:val="EndnoteTextChar"/>
    <w:uiPriority w:val="99"/>
    <w:semiHidden/>
    <w:unhideWhenUsed/>
    <w:rsid w:val="004C0943"/>
    <w:pPr>
      <w:spacing w:before="0" w:after="0"/>
    </w:pPr>
    <w:rPr>
      <w:sz w:val="20"/>
      <w:szCs w:val="20"/>
    </w:rPr>
  </w:style>
  <w:style w:type="character" w:customStyle="1" w:styleId="EndnoteTextChar">
    <w:name w:val="Endnote Text Char"/>
    <w:basedOn w:val="DefaultParagraphFont"/>
    <w:link w:val="EndnoteText"/>
    <w:uiPriority w:val="99"/>
    <w:semiHidden/>
    <w:rsid w:val="004C0943"/>
    <w:rPr>
      <w:rFonts w:ascii="Times New Roman" w:hAnsi="Times New Roman" w:cs="Times New Roman"/>
      <w:sz w:val="20"/>
      <w:szCs w:val="20"/>
      <w:lang w:val="de-DE"/>
    </w:rPr>
  </w:style>
  <w:style w:type="character" w:styleId="EndnoteReference">
    <w:name w:val="endnote reference"/>
    <w:basedOn w:val="DefaultParagraphFont"/>
    <w:uiPriority w:val="99"/>
    <w:semiHidden/>
    <w:unhideWhenUsed/>
    <w:rsid w:val="004C0943"/>
    <w:rPr>
      <w:vertAlign w:val="superscript"/>
    </w:rPr>
  </w:style>
  <w:style w:type="paragraph" w:styleId="Caption">
    <w:name w:val="caption"/>
    <w:basedOn w:val="Normal"/>
    <w:next w:val="Normal"/>
    <w:uiPriority w:val="35"/>
    <w:semiHidden/>
    <w:unhideWhenUsed/>
    <w:qFormat/>
    <w:rsid w:val="008A0348"/>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8A0348"/>
    <w:pPr>
      <w:spacing w:after="0"/>
    </w:pPr>
  </w:style>
  <w:style w:type="paragraph" w:styleId="ListNumber">
    <w:name w:val="List Number"/>
    <w:basedOn w:val="Normal"/>
    <w:uiPriority w:val="99"/>
    <w:semiHidden/>
    <w:unhideWhenUsed/>
    <w:rsid w:val="008A0348"/>
    <w:pPr>
      <w:numPr>
        <w:numId w:val="6"/>
      </w:numPr>
      <w:contextualSpacing/>
    </w:pPr>
  </w:style>
  <w:style w:type="paragraph" w:styleId="ListNumber2">
    <w:name w:val="List Number 2"/>
    <w:basedOn w:val="Normal"/>
    <w:uiPriority w:val="99"/>
    <w:semiHidden/>
    <w:unhideWhenUsed/>
    <w:rsid w:val="008A0348"/>
    <w:pPr>
      <w:numPr>
        <w:numId w:val="7"/>
      </w:numPr>
      <w:contextualSpacing/>
    </w:pPr>
  </w:style>
  <w:style w:type="paragraph" w:styleId="ListNumber3">
    <w:name w:val="List Number 3"/>
    <w:basedOn w:val="Normal"/>
    <w:uiPriority w:val="99"/>
    <w:semiHidden/>
    <w:unhideWhenUsed/>
    <w:rsid w:val="008A0348"/>
    <w:pPr>
      <w:numPr>
        <w:numId w:val="8"/>
      </w:numPr>
      <w:contextualSpacing/>
    </w:pPr>
  </w:style>
  <w:style w:type="paragraph" w:styleId="ListNumber4">
    <w:name w:val="List Number 4"/>
    <w:basedOn w:val="Normal"/>
    <w:uiPriority w:val="99"/>
    <w:semiHidden/>
    <w:unhideWhenUsed/>
    <w:rsid w:val="008A0348"/>
    <w:pPr>
      <w:numPr>
        <w:numId w:val="9"/>
      </w:numPr>
      <w:contextualSpacing/>
    </w:pPr>
  </w:style>
  <w:style w:type="character" w:styleId="Hyperlink">
    <w:name w:val="Hyperlink"/>
    <w:basedOn w:val="DefaultParagraphFont"/>
    <w:uiPriority w:val="99"/>
    <w:unhideWhenUsed/>
    <w:rsid w:val="004707F4"/>
    <w:rPr>
      <w:color w:val="0000FF" w:themeColor="hyperlink"/>
      <w:u w:val="single"/>
    </w:rPr>
  </w:style>
  <w:style w:type="paragraph" w:styleId="Header">
    <w:name w:val="header"/>
    <w:basedOn w:val="Normal"/>
    <w:link w:val="HeaderChar"/>
    <w:uiPriority w:val="99"/>
    <w:unhideWhenUsed/>
    <w:rsid w:val="001E5D6E"/>
    <w:pPr>
      <w:tabs>
        <w:tab w:val="center" w:pos="4535"/>
        <w:tab w:val="right" w:pos="9071"/>
      </w:tabs>
      <w:spacing w:before="0"/>
    </w:pPr>
  </w:style>
  <w:style w:type="character" w:customStyle="1" w:styleId="HeaderChar">
    <w:name w:val="Header Char"/>
    <w:basedOn w:val="DefaultParagraphFont"/>
    <w:link w:val="Header"/>
    <w:uiPriority w:val="99"/>
    <w:rsid w:val="001E5D6E"/>
    <w:rPr>
      <w:rFonts w:ascii="Times New Roman" w:hAnsi="Times New Roman" w:cs="Times New Roman"/>
      <w:sz w:val="24"/>
      <w:lang w:val="de-DE"/>
    </w:rPr>
  </w:style>
  <w:style w:type="paragraph" w:styleId="Footer">
    <w:name w:val="footer"/>
    <w:basedOn w:val="Normal"/>
    <w:link w:val="FooterChar"/>
    <w:uiPriority w:val="99"/>
    <w:unhideWhenUsed/>
    <w:rsid w:val="001E5D6E"/>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1E5D6E"/>
    <w:rPr>
      <w:rFonts w:ascii="Times New Roman" w:hAnsi="Times New Roman" w:cs="Times New Roman"/>
      <w:sz w:val="24"/>
      <w:lang w:val="de-DE"/>
    </w:rPr>
  </w:style>
  <w:style w:type="paragraph" w:styleId="FootnoteText">
    <w:name w:val="footnote text"/>
    <w:basedOn w:val="Normal"/>
    <w:link w:val="FootnoteTextChar"/>
    <w:uiPriority w:val="99"/>
    <w:semiHidden/>
    <w:unhideWhenUsed/>
    <w:rsid w:val="00517205"/>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517205"/>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517205"/>
    <w:rPr>
      <w:rFonts w:ascii="Times New Roman" w:eastAsiaTheme="majorEastAsia" w:hAnsi="Times New Roman" w:cs="Times New Roman"/>
      <w:b/>
      <w:bCs/>
      <w:smallCaps/>
      <w:sz w:val="24"/>
      <w:szCs w:val="28"/>
      <w:lang w:val="de-DE"/>
    </w:rPr>
  </w:style>
  <w:style w:type="character" w:customStyle="1" w:styleId="Heading2Char">
    <w:name w:val="Heading 2 Char"/>
    <w:basedOn w:val="DefaultParagraphFont"/>
    <w:link w:val="Heading2"/>
    <w:uiPriority w:val="9"/>
    <w:semiHidden/>
    <w:rsid w:val="00517205"/>
    <w:rPr>
      <w:rFonts w:ascii="Times New Roman" w:eastAsiaTheme="majorEastAsia" w:hAnsi="Times New Roman" w:cs="Times New Roman"/>
      <w:b/>
      <w:bCs/>
      <w:sz w:val="24"/>
      <w:szCs w:val="26"/>
      <w:lang w:val="de-DE"/>
    </w:rPr>
  </w:style>
  <w:style w:type="character" w:customStyle="1" w:styleId="Heading3Char">
    <w:name w:val="Heading 3 Char"/>
    <w:basedOn w:val="DefaultParagraphFont"/>
    <w:link w:val="Heading3"/>
    <w:uiPriority w:val="9"/>
    <w:semiHidden/>
    <w:rsid w:val="00517205"/>
    <w:rPr>
      <w:rFonts w:ascii="Times New Roman" w:eastAsiaTheme="majorEastAsia" w:hAnsi="Times New Roman" w:cs="Times New Roman"/>
      <w:bCs/>
      <w:i/>
      <w:sz w:val="24"/>
      <w:lang w:val="de-DE"/>
    </w:rPr>
  </w:style>
  <w:style w:type="character" w:customStyle="1" w:styleId="Heading4Char">
    <w:name w:val="Heading 4 Char"/>
    <w:basedOn w:val="DefaultParagraphFont"/>
    <w:link w:val="Heading4"/>
    <w:uiPriority w:val="9"/>
    <w:semiHidden/>
    <w:rsid w:val="00517205"/>
    <w:rPr>
      <w:rFonts w:ascii="Times New Roman" w:eastAsiaTheme="majorEastAsia" w:hAnsi="Times New Roman" w:cs="Times New Roman"/>
      <w:bCs/>
      <w:iCs/>
      <w:sz w:val="24"/>
      <w:lang w:val="de-DE"/>
    </w:rPr>
  </w:style>
  <w:style w:type="character" w:customStyle="1" w:styleId="Heading5Char">
    <w:name w:val="Heading 5 Char"/>
    <w:basedOn w:val="DefaultParagraphFont"/>
    <w:link w:val="Heading5"/>
    <w:uiPriority w:val="9"/>
    <w:semiHidden/>
    <w:rsid w:val="00517205"/>
    <w:rPr>
      <w:rFonts w:ascii="Times New Roman" w:eastAsiaTheme="majorEastAsia" w:hAnsi="Times New Roman" w:cs="Times New Roman"/>
      <w:sz w:val="24"/>
      <w:lang w:val="de-DE"/>
    </w:rPr>
  </w:style>
  <w:style w:type="character" w:customStyle="1" w:styleId="Heading6Char">
    <w:name w:val="Heading 6 Char"/>
    <w:basedOn w:val="DefaultParagraphFont"/>
    <w:link w:val="Heading6"/>
    <w:uiPriority w:val="9"/>
    <w:semiHidden/>
    <w:rsid w:val="00517205"/>
    <w:rPr>
      <w:rFonts w:ascii="Times New Roman" w:eastAsiaTheme="majorEastAsia" w:hAnsi="Times New Roman" w:cs="Times New Roman"/>
      <w:iCs/>
      <w:sz w:val="24"/>
      <w:lang w:val="de-DE"/>
    </w:rPr>
  </w:style>
  <w:style w:type="character" w:customStyle="1" w:styleId="Heading7Char">
    <w:name w:val="Heading 7 Char"/>
    <w:basedOn w:val="DefaultParagraphFont"/>
    <w:link w:val="Heading7"/>
    <w:uiPriority w:val="9"/>
    <w:semiHidden/>
    <w:rsid w:val="00517205"/>
    <w:rPr>
      <w:rFonts w:ascii="Times New Roman" w:eastAsiaTheme="majorEastAsia" w:hAnsi="Times New Roman" w:cs="Times New Roman"/>
      <w:iCs/>
      <w:sz w:val="24"/>
      <w:lang w:val="de-DE"/>
    </w:rPr>
  </w:style>
  <w:style w:type="paragraph" w:styleId="TOCHeading">
    <w:name w:val="TOC Heading"/>
    <w:basedOn w:val="Normal"/>
    <w:next w:val="Normal"/>
    <w:uiPriority w:val="39"/>
    <w:semiHidden/>
    <w:unhideWhenUsed/>
    <w:qFormat/>
    <w:rsid w:val="00517205"/>
    <w:pPr>
      <w:spacing w:after="240"/>
      <w:jc w:val="center"/>
    </w:pPr>
    <w:rPr>
      <w:b/>
      <w:sz w:val="28"/>
    </w:rPr>
  </w:style>
  <w:style w:type="paragraph" w:styleId="TOC1">
    <w:name w:val="toc 1"/>
    <w:basedOn w:val="Normal"/>
    <w:next w:val="Normal"/>
    <w:uiPriority w:val="39"/>
    <w:semiHidden/>
    <w:unhideWhenUsed/>
    <w:rsid w:val="00517205"/>
    <w:pPr>
      <w:tabs>
        <w:tab w:val="right" w:leader="dot" w:pos="9071"/>
      </w:tabs>
      <w:spacing w:before="60"/>
      <w:ind w:left="850" w:hanging="850"/>
      <w:jc w:val="left"/>
    </w:pPr>
  </w:style>
  <w:style w:type="paragraph" w:styleId="TOC2">
    <w:name w:val="toc 2"/>
    <w:basedOn w:val="Normal"/>
    <w:next w:val="Normal"/>
    <w:uiPriority w:val="39"/>
    <w:semiHidden/>
    <w:unhideWhenUsed/>
    <w:rsid w:val="00517205"/>
    <w:pPr>
      <w:tabs>
        <w:tab w:val="right" w:leader="dot" w:pos="9071"/>
      </w:tabs>
      <w:spacing w:before="60"/>
      <w:ind w:left="850" w:hanging="850"/>
      <w:jc w:val="left"/>
    </w:pPr>
  </w:style>
  <w:style w:type="paragraph" w:styleId="TOC3">
    <w:name w:val="toc 3"/>
    <w:basedOn w:val="Normal"/>
    <w:next w:val="Normal"/>
    <w:uiPriority w:val="39"/>
    <w:semiHidden/>
    <w:unhideWhenUsed/>
    <w:rsid w:val="00517205"/>
    <w:pPr>
      <w:tabs>
        <w:tab w:val="right" w:leader="dot" w:pos="9071"/>
      </w:tabs>
      <w:spacing w:before="60"/>
      <w:ind w:left="850" w:hanging="850"/>
      <w:jc w:val="left"/>
    </w:pPr>
  </w:style>
  <w:style w:type="paragraph" w:styleId="TOC4">
    <w:name w:val="toc 4"/>
    <w:basedOn w:val="Normal"/>
    <w:next w:val="Normal"/>
    <w:uiPriority w:val="39"/>
    <w:semiHidden/>
    <w:unhideWhenUsed/>
    <w:rsid w:val="00517205"/>
    <w:pPr>
      <w:tabs>
        <w:tab w:val="right" w:leader="dot" w:pos="9071"/>
      </w:tabs>
      <w:spacing w:before="60"/>
      <w:ind w:left="850" w:hanging="850"/>
      <w:jc w:val="left"/>
    </w:pPr>
  </w:style>
  <w:style w:type="paragraph" w:styleId="TOC5">
    <w:name w:val="toc 5"/>
    <w:basedOn w:val="Normal"/>
    <w:next w:val="Normal"/>
    <w:uiPriority w:val="39"/>
    <w:semiHidden/>
    <w:unhideWhenUsed/>
    <w:rsid w:val="00517205"/>
    <w:pPr>
      <w:tabs>
        <w:tab w:val="right" w:leader="dot" w:pos="9071"/>
      </w:tabs>
      <w:spacing w:before="300"/>
      <w:jc w:val="left"/>
    </w:pPr>
  </w:style>
  <w:style w:type="paragraph" w:styleId="TOC6">
    <w:name w:val="toc 6"/>
    <w:basedOn w:val="Normal"/>
    <w:next w:val="Normal"/>
    <w:uiPriority w:val="39"/>
    <w:semiHidden/>
    <w:unhideWhenUsed/>
    <w:rsid w:val="00517205"/>
    <w:pPr>
      <w:tabs>
        <w:tab w:val="right" w:leader="dot" w:pos="9071"/>
      </w:tabs>
      <w:spacing w:before="240"/>
      <w:jc w:val="left"/>
    </w:pPr>
  </w:style>
  <w:style w:type="paragraph" w:styleId="TOC7">
    <w:name w:val="toc 7"/>
    <w:basedOn w:val="Normal"/>
    <w:next w:val="Normal"/>
    <w:uiPriority w:val="39"/>
    <w:semiHidden/>
    <w:unhideWhenUsed/>
    <w:rsid w:val="00517205"/>
    <w:pPr>
      <w:tabs>
        <w:tab w:val="right" w:leader="dot" w:pos="9071"/>
      </w:tabs>
      <w:spacing w:before="180"/>
      <w:jc w:val="left"/>
    </w:pPr>
  </w:style>
  <w:style w:type="paragraph" w:styleId="TOC8">
    <w:name w:val="toc 8"/>
    <w:basedOn w:val="Normal"/>
    <w:next w:val="Normal"/>
    <w:uiPriority w:val="39"/>
    <w:semiHidden/>
    <w:unhideWhenUsed/>
    <w:rsid w:val="00517205"/>
    <w:pPr>
      <w:tabs>
        <w:tab w:val="right" w:leader="dot" w:pos="9071"/>
      </w:tabs>
      <w:jc w:val="left"/>
    </w:pPr>
  </w:style>
  <w:style w:type="paragraph" w:styleId="TOC9">
    <w:name w:val="toc 9"/>
    <w:basedOn w:val="Normal"/>
    <w:next w:val="Normal"/>
    <w:uiPriority w:val="39"/>
    <w:semiHidden/>
    <w:unhideWhenUsed/>
    <w:rsid w:val="00517205"/>
    <w:pPr>
      <w:tabs>
        <w:tab w:val="right" w:leader="dot" w:pos="9071"/>
      </w:tabs>
      <w:ind w:left="1417" w:hanging="1417"/>
      <w:jc w:val="left"/>
    </w:pPr>
  </w:style>
  <w:style w:type="paragraph" w:customStyle="1" w:styleId="HeaderLandscape">
    <w:name w:val="HeaderLandscape"/>
    <w:basedOn w:val="Normal"/>
    <w:rsid w:val="001E5D6E"/>
    <w:pPr>
      <w:tabs>
        <w:tab w:val="center" w:pos="7285"/>
        <w:tab w:val="right" w:pos="14003"/>
      </w:tabs>
      <w:spacing w:before="0"/>
    </w:pPr>
  </w:style>
  <w:style w:type="paragraph" w:customStyle="1" w:styleId="FooterLandscape">
    <w:name w:val="FooterLandscape"/>
    <w:basedOn w:val="Normal"/>
    <w:rsid w:val="001E5D6E"/>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517205"/>
    <w:rPr>
      <w:shd w:val="clear" w:color="auto" w:fill="auto"/>
      <w:vertAlign w:val="superscript"/>
    </w:rPr>
  </w:style>
  <w:style w:type="paragraph" w:customStyle="1" w:styleId="HeaderSensitivity">
    <w:name w:val="Header Sensitivity"/>
    <w:basedOn w:val="Normal"/>
    <w:rsid w:val="001E5D6E"/>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1E5D6E"/>
    <w:pPr>
      <w:spacing w:before="0"/>
      <w:jc w:val="right"/>
    </w:pPr>
    <w:rPr>
      <w:sz w:val="28"/>
    </w:rPr>
  </w:style>
  <w:style w:type="paragraph" w:customStyle="1" w:styleId="FooterSensitivity">
    <w:name w:val="Footer Sensitivity"/>
    <w:basedOn w:val="Normal"/>
    <w:rsid w:val="001E5D6E"/>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517205"/>
    <w:pPr>
      <w:ind w:left="850"/>
    </w:pPr>
  </w:style>
  <w:style w:type="paragraph" w:customStyle="1" w:styleId="Text2">
    <w:name w:val="Text 2"/>
    <w:basedOn w:val="Normal"/>
    <w:rsid w:val="00517205"/>
    <w:pPr>
      <w:ind w:left="1417"/>
    </w:pPr>
  </w:style>
  <w:style w:type="paragraph" w:customStyle="1" w:styleId="Text3">
    <w:name w:val="Text 3"/>
    <w:basedOn w:val="Normal"/>
    <w:rsid w:val="00517205"/>
    <w:pPr>
      <w:ind w:left="1984"/>
    </w:pPr>
  </w:style>
  <w:style w:type="paragraph" w:customStyle="1" w:styleId="Text4">
    <w:name w:val="Text 4"/>
    <w:basedOn w:val="Normal"/>
    <w:rsid w:val="00517205"/>
    <w:pPr>
      <w:ind w:left="2551"/>
    </w:pPr>
  </w:style>
  <w:style w:type="paragraph" w:customStyle="1" w:styleId="Text5">
    <w:name w:val="Text 5"/>
    <w:basedOn w:val="Normal"/>
    <w:rsid w:val="00517205"/>
    <w:pPr>
      <w:ind w:left="3118"/>
    </w:pPr>
  </w:style>
  <w:style w:type="paragraph" w:customStyle="1" w:styleId="Text6">
    <w:name w:val="Text 6"/>
    <w:basedOn w:val="Normal"/>
    <w:rsid w:val="00517205"/>
    <w:pPr>
      <w:ind w:left="3685"/>
    </w:pPr>
  </w:style>
  <w:style w:type="paragraph" w:customStyle="1" w:styleId="NormalCentered">
    <w:name w:val="Normal Centered"/>
    <w:basedOn w:val="Normal"/>
    <w:rsid w:val="00517205"/>
    <w:pPr>
      <w:jc w:val="center"/>
    </w:pPr>
  </w:style>
  <w:style w:type="paragraph" w:customStyle="1" w:styleId="NormalLeft">
    <w:name w:val="Normal Left"/>
    <w:basedOn w:val="Normal"/>
    <w:rsid w:val="00517205"/>
    <w:pPr>
      <w:jc w:val="left"/>
    </w:pPr>
  </w:style>
  <w:style w:type="paragraph" w:customStyle="1" w:styleId="NormalRight">
    <w:name w:val="Normal Right"/>
    <w:basedOn w:val="Normal"/>
    <w:rsid w:val="00517205"/>
    <w:pPr>
      <w:jc w:val="right"/>
    </w:pPr>
  </w:style>
  <w:style w:type="paragraph" w:customStyle="1" w:styleId="QuotedText">
    <w:name w:val="Quoted Text"/>
    <w:basedOn w:val="Normal"/>
    <w:rsid w:val="00517205"/>
    <w:pPr>
      <w:ind w:left="1417"/>
    </w:pPr>
  </w:style>
  <w:style w:type="paragraph" w:customStyle="1" w:styleId="Point0">
    <w:name w:val="Point 0"/>
    <w:basedOn w:val="Normal"/>
    <w:rsid w:val="00517205"/>
    <w:pPr>
      <w:ind w:left="850" w:hanging="850"/>
    </w:pPr>
  </w:style>
  <w:style w:type="paragraph" w:customStyle="1" w:styleId="Point1">
    <w:name w:val="Point 1"/>
    <w:basedOn w:val="Normal"/>
    <w:rsid w:val="00517205"/>
    <w:pPr>
      <w:ind w:left="1417" w:hanging="567"/>
    </w:pPr>
  </w:style>
  <w:style w:type="paragraph" w:customStyle="1" w:styleId="Point2">
    <w:name w:val="Point 2"/>
    <w:basedOn w:val="Normal"/>
    <w:rsid w:val="00517205"/>
    <w:pPr>
      <w:ind w:left="1984" w:hanging="567"/>
    </w:pPr>
  </w:style>
  <w:style w:type="paragraph" w:customStyle="1" w:styleId="Point3">
    <w:name w:val="Point 3"/>
    <w:basedOn w:val="Normal"/>
    <w:rsid w:val="00517205"/>
    <w:pPr>
      <w:ind w:left="2551" w:hanging="567"/>
    </w:pPr>
  </w:style>
  <w:style w:type="paragraph" w:customStyle="1" w:styleId="Point4">
    <w:name w:val="Point 4"/>
    <w:basedOn w:val="Normal"/>
    <w:rsid w:val="00517205"/>
    <w:pPr>
      <w:ind w:left="3118" w:hanging="567"/>
    </w:pPr>
  </w:style>
  <w:style w:type="paragraph" w:customStyle="1" w:styleId="Point5">
    <w:name w:val="Point 5"/>
    <w:basedOn w:val="Normal"/>
    <w:rsid w:val="00517205"/>
    <w:pPr>
      <w:ind w:left="3685" w:hanging="567"/>
    </w:pPr>
  </w:style>
  <w:style w:type="paragraph" w:customStyle="1" w:styleId="Tiret0">
    <w:name w:val="Tiret 0"/>
    <w:basedOn w:val="Point0"/>
    <w:rsid w:val="00517205"/>
    <w:pPr>
      <w:numPr>
        <w:numId w:val="10"/>
      </w:numPr>
    </w:pPr>
  </w:style>
  <w:style w:type="paragraph" w:customStyle="1" w:styleId="Tiret1">
    <w:name w:val="Tiret 1"/>
    <w:basedOn w:val="Point1"/>
    <w:rsid w:val="00517205"/>
    <w:pPr>
      <w:numPr>
        <w:numId w:val="11"/>
      </w:numPr>
    </w:pPr>
  </w:style>
  <w:style w:type="paragraph" w:customStyle="1" w:styleId="Tiret2">
    <w:name w:val="Tiret 2"/>
    <w:basedOn w:val="Point2"/>
    <w:rsid w:val="00517205"/>
    <w:pPr>
      <w:numPr>
        <w:numId w:val="12"/>
      </w:numPr>
    </w:pPr>
  </w:style>
  <w:style w:type="paragraph" w:customStyle="1" w:styleId="Tiret3">
    <w:name w:val="Tiret 3"/>
    <w:basedOn w:val="Point3"/>
    <w:rsid w:val="00517205"/>
    <w:pPr>
      <w:numPr>
        <w:numId w:val="13"/>
      </w:numPr>
    </w:pPr>
  </w:style>
  <w:style w:type="paragraph" w:customStyle="1" w:styleId="Tiret4">
    <w:name w:val="Tiret 4"/>
    <w:basedOn w:val="Point4"/>
    <w:rsid w:val="00517205"/>
    <w:pPr>
      <w:numPr>
        <w:numId w:val="14"/>
      </w:numPr>
    </w:pPr>
  </w:style>
  <w:style w:type="paragraph" w:customStyle="1" w:styleId="Tiret5">
    <w:name w:val="Tiret 5"/>
    <w:basedOn w:val="Point5"/>
    <w:rsid w:val="00517205"/>
    <w:pPr>
      <w:numPr>
        <w:numId w:val="15"/>
      </w:numPr>
    </w:pPr>
  </w:style>
  <w:style w:type="paragraph" w:customStyle="1" w:styleId="PointDouble0">
    <w:name w:val="PointDouble 0"/>
    <w:basedOn w:val="Normal"/>
    <w:rsid w:val="00517205"/>
    <w:pPr>
      <w:tabs>
        <w:tab w:val="left" w:pos="850"/>
      </w:tabs>
      <w:ind w:left="1417" w:hanging="1417"/>
    </w:pPr>
  </w:style>
  <w:style w:type="paragraph" w:customStyle="1" w:styleId="PointDouble1">
    <w:name w:val="PointDouble 1"/>
    <w:basedOn w:val="Normal"/>
    <w:rsid w:val="00517205"/>
    <w:pPr>
      <w:tabs>
        <w:tab w:val="left" w:pos="1417"/>
      </w:tabs>
      <w:ind w:left="1984" w:hanging="1134"/>
    </w:pPr>
  </w:style>
  <w:style w:type="paragraph" w:customStyle="1" w:styleId="PointDouble2">
    <w:name w:val="PointDouble 2"/>
    <w:basedOn w:val="Normal"/>
    <w:rsid w:val="00517205"/>
    <w:pPr>
      <w:tabs>
        <w:tab w:val="left" w:pos="1984"/>
      </w:tabs>
      <w:ind w:left="2551" w:hanging="1134"/>
    </w:pPr>
  </w:style>
  <w:style w:type="paragraph" w:customStyle="1" w:styleId="PointDouble3">
    <w:name w:val="PointDouble 3"/>
    <w:basedOn w:val="Normal"/>
    <w:rsid w:val="00517205"/>
    <w:pPr>
      <w:tabs>
        <w:tab w:val="left" w:pos="2551"/>
      </w:tabs>
      <w:ind w:left="3118" w:hanging="1134"/>
    </w:pPr>
  </w:style>
  <w:style w:type="paragraph" w:customStyle="1" w:styleId="PointDouble4">
    <w:name w:val="PointDouble 4"/>
    <w:basedOn w:val="Normal"/>
    <w:rsid w:val="00517205"/>
    <w:pPr>
      <w:tabs>
        <w:tab w:val="left" w:pos="3118"/>
      </w:tabs>
      <w:ind w:left="3685" w:hanging="1134"/>
    </w:pPr>
  </w:style>
  <w:style w:type="paragraph" w:customStyle="1" w:styleId="PointTriple0">
    <w:name w:val="PointTriple 0"/>
    <w:basedOn w:val="Normal"/>
    <w:rsid w:val="00517205"/>
    <w:pPr>
      <w:tabs>
        <w:tab w:val="left" w:pos="850"/>
        <w:tab w:val="left" w:pos="1417"/>
      </w:tabs>
      <w:ind w:left="1984" w:hanging="1984"/>
    </w:pPr>
  </w:style>
  <w:style w:type="paragraph" w:customStyle="1" w:styleId="PointTriple1">
    <w:name w:val="PointTriple 1"/>
    <w:basedOn w:val="Normal"/>
    <w:rsid w:val="00517205"/>
    <w:pPr>
      <w:tabs>
        <w:tab w:val="left" w:pos="1417"/>
        <w:tab w:val="left" w:pos="1984"/>
      </w:tabs>
      <w:ind w:left="2551" w:hanging="1701"/>
    </w:pPr>
  </w:style>
  <w:style w:type="paragraph" w:customStyle="1" w:styleId="PointTriple2">
    <w:name w:val="PointTriple 2"/>
    <w:basedOn w:val="Normal"/>
    <w:rsid w:val="00517205"/>
    <w:pPr>
      <w:tabs>
        <w:tab w:val="left" w:pos="1984"/>
        <w:tab w:val="left" w:pos="2551"/>
      </w:tabs>
      <w:ind w:left="3118" w:hanging="1701"/>
    </w:pPr>
  </w:style>
  <w:style w:type="paragraph" w:customStyle="1" w:styleId="PointTriple3">
    <w:name w:val="PointTriple 3"/>
    <w:basedOn w:val="Normal"/>
    <w:rsid w:val="00517205"/>
    <w:pPr>
      <w:tabs>
        <w:tab w:val="left" w:pos="2551"/>
        <w:tab w:val="left" w:pos="3118"/>
      </w:tabs>
      <w:ind w:left="3685" w:hanging="1701"/>
    </w:pPr>
  </w:style>
  <w:style w:type="paragraph" w:customStyle="1" w:styleId="PointTriple4">
    <w:name w:val="PointTriple 4"/>
    <w:basedOn w:val="Normal"/>
    <w:rsid w:val="00517205"/>
    <w:pPr>
      <w:tabs>
        <w:tab w:val="left" w:pos="3118"/>
        <w:tab w:val="left" w:pos="3685"/>
      </w:tabs>
      <w:ind w:left="4252" w:hanging="1701"/>
    </w:pPr>
  </w:style>
  <w:style w:type="paragraph" w:customStyle="1" w:styleId="NumPar1">
    <w:name w:val="NumPar 1"/>
    <w:basedOn w:val="Normal"/>
    <w:next w:val="Text1"/>
    <w:rsid w:val="00517205"/>
    <w:pPr>
      <w:numPr>
        <w:numId w:val="16"/>
      </w:numPr>
    </w:pPr>
  </w:style>
  <w:style w:type="paragraph" w:customStyle="1" w:styleId="NumPar2">
    <w:name w:val="NumPar 2"/>
    <w:basedOn w:val="Normal"/>
    <w:next w:val="Text1"/>
    <w:rsid w:val="00517205"/>
    <w:pPr>
      <w:numPr>
        <w:ilvl w:val="1"/>
        <w:numId w:val="16"/>
      </w:numPr>
    </w:pPr>
  </w:style>
  <w:style w:type="paragraph" w:customStyle="1" w:styleId="NumPar3">
    <w:name w:val="NumPar 3"/>
    <w:basedOn w:val="Normal"/>
    <w:next w:val="Text1"/>
    <w:rsid w:val="00517205"/>
    <w:pPr>
      <w:numPr>
        <w:ilvl w:val="2"/>
        <w:numId w:val="16"/>
      </w:numPr>
    </w:pPr>
  </w:style>
  <w:style w:type="paragraph" w:customStyle="1" w:styleId="NumPar4">
    <w:name w:val="NumPar 4"/>
    <w:basedOn w:val="Normal"/>
    <w:next w:val="Text1"/>
    <w:rsid w:val="00517205"/>
    <w:pPr>
      <w:numPr>
        <w:ilvl w:val="3"/>
        <w:numId w:val="16"/>
      </w:numPr>
    </w:pPr>
  </w:style>
  <w:style w:type="paragraph" w:customStyle="1" w:styleId="NumPar5">
    <w:name w:val="NumPar 5"/>
    <w:basedOn w:val="Normal"/>
    <w:next w:val="Text2"/>
    <w:rsid w:val="00517205"/>
    <w:pPr>
      <w:numPr>
        <w:ilvl w:val="4"/>
        <w:numId w:val="16"/>
      </w:numPr>
    </w:pPr>
  </w:style>
  <w:style w:type="paragraph" w:customStyle="1" w:styleId="NumPar6">
    <w:name w:val="NumPar 6"/>
    <w:basedOn w:val="Normal"/>
    <w:next w:val="Text2"/>
    <w:rsid w:val="00517205"/>
    <w:pPr>
      <w:numPr>
        <w:ilvl w:val="5"/>
        <w:numId w:val="16"/>
      </w:numPr>
    </w:pPr>
  </w:style>
  <w:style w:type="paragraph" w:customStyle="1" w:styleId="NumPar7">
    <w:name w:val="NumPar 7"/>
    <w:basedOn w:val="Normal"/>
    <w:next w:val="Text2"/>
    <w:rsid w:val="00517205"/>
    <w:pPr>
      <w:numPr>
        <w:ilvl w:val="6"/>
        <w:numId w:val="16"/>
      </w:numPr>
    </w:pPr>
  </w:style>
  <w:style w:type="paragraph" w:customStyle="1" w:styleId="ManualNumPar1">
    <w:name w:val="Manual NumPar 1"/>
    <w:basedOn w:val="Normal"/>
    <w:next w:val="Text1"/>
    <w:rsid w:val="00517205"/>
    <w:pPr>
      <w:ind w:left="850" w:hanging="850"/>
    </w:pPr>
  </w:style>
  <w:style w:type="paragraph" w:customStyle="1" w:styleId="ManualNumPar2">
    <w:name w:val="Manual NumPar 2"/>
    <w:basedOn w:val="Normal"/>
    <w:next w:val="Text1"/>
    <w:rsid w:val="00517205"/>
    <w:pPr>
      <w:ind w:left="850" w:hanging="850"/>
    </w:pPr>
  </w:style>
  <w:style w:type="paragraph" w:customStyle="1" w:styleId="ManualNumPar3">
    <w:name w:val="Manual NumPar 3"/>
    <w:basedOn w:val="Normal"/>
    <w:next w:val="Text1"/>
    <w:rsid w:val="00517205"/>
    <w:pPr>
      <w:ind w:left="850" w:hanging="850"/>
    </w:pPr>
  </w:style>
  <w:style w:type="paragraph" w:customStyle="1" w:styleId="ManualNumPar4">
    <w:name w:val="Manual NumPar 4"/>
    <w:basedOn w:val="Normal"/>
    <w:next w:val="Text1"/>
    <w:rsid w:val="00517205"/>
    <w:pPr>
      <w:ind w:left="850" w:hanging="850"/>
    </w:pPr>
  </w:style>
  <w:style w:type="paragraph" w:customStyle="1" w:styleId="ManualNumPar5">
    <w:name w:val="Manual NumPar 5"/>
    <w:basedOn w:val="Normal"/>
    <w:next w:val="Text2"/>
    <w:rsid w:val="00517205"/>
    <w:pPr>
      <w:ind w:left="1417" w:hanging="1417"/>
    </w:pPr>
  </w:style>
  <w:style w:type="paragraph" w:customStyle="1" w:styleId="ManualNumPar6">
    <w:name w:val="Manual NumPar 6"/>
    <w:basedOn w:val="Normal"/>
    <w:next w:val="Text2"/>
    <w:rsid w:val="00517205"/>
    <w:pPr>
      <w:ind w:left="1417" w:hanging="1417"/>
    </w:pPr>
  </w:style>
  <w:style w:type="paragraph" w:customStyle="1" w:styleId="ManualNumPar7">
    <w:name w:val="Manual NumPar 7"/>
    <w:basedOn w:val="Normal"/>
    <w:next w:val="Text2"/>
    <w:rsid w:val="00517205"/>
    <w:pPr>
      <w:ind w:left="1417" w:hanging="1417"/>
    </w:pPr>
  </w:style>
  <w:style w:type="paragraph" w:customStyle="1" w:styleId="QuotedNumPar">
    <w:name w:val="Quoted NumPar"/>
    <w:basedOn w:val="Normal"/>
    <w:rsid w:val="00517205"/>
    <w:pPr>
      <w:ind w:left="1417" w:hanging="567"/>
    </w:pPr>
  </w:style>
  <w:style w:type="paragraph" w:customStyle="1" w:styleId="ManualHeading1">
    <w:name w:val="Manual Heading 1"/>
    <w:basedOn w:val="Normal"/>
    <w:next w:val="Text1"/>
    <w:rsid w:val="00517205"/>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517205"/>
    <w:pPr>
      <w:keepNext/>
      <w:tabs>
        <w:tab w:val="left" w:pos="850"/>
      </w:tabs>
      <w:ind w:left="850" w:hanging="850"/>
      <w:outlineLvl w:val="1"/>
    </w:pPr>
    <w:rPr>
      <w:b/>
    </w:rPr>
  </w:style>
  <w:style w:type="paragraph" w:customStyle="1" w:styleId="ManualHeading3">
    <w:name w:val="Manual Heading 3"/>
    <w:basedOn w:val="Normal"/>
    <w:next w:val="Text1"/>
    <w:rsid w:val="00517205"/>
    <w:pPr>
      <w:keepNext/>
      <w:tabs>
        <w:tab w:val="left" w:pos="850"/>
      </w:tabs>
      <w:ind w:left="850" w:hanging="850"/>
      <w:outlineLvl w:val="2"/>
    </w:pPr>
    <w:rPr>
      <w:i/>
    </w:rPr>
  </w:style>
  <w:style w:type="paragraph" w:customStyle="1" w:styleId="ManualHeading4">
    <w:name w:val="Manual Heading 4"/>
    <w:basedOn w:val="Normal"/>
    <w:next w:val="Text1"/>
    <w:rsid w:val="00517205"/>
    <w:pPr>
      <w:keepNext/>
      <w:tabs>
        <w:tab w:val="left" w:pos="850"/>
      </w:tabs>
      <w:ind w:left="850" w:hanging="850"/>
      <w:outlineLvl w:val="3"/>
    </w:pPr>
  </w:style>
  <w:style w:type="paragraph" w:customStyle="1" w:styleId="ManualHeading5">
    <w:name w:val="Manual Heading 5"/>
    <w:basedOn w:val="Normal"/>
    <w:next w:val="Text2"/>
    <w:rsid w:val="00517205"/>
    <w:pPr>
      <w:keepNext/>
      <w:tabs>
        <w:tab w:val="left" w:pos="1417"/>
      </w:tabs>
      <w:ind w:left="1417" w:hanging="1417"/>
      <w:outlineLvl w:val="4"/>
    </w:pPr>
  </w:style>
  <w:style w:type="paragraph" w:customStyle="1" w:styleId="ManualHeading6">
    <w:name w:val="Manual Heading 6"/>
    <w:basedOn w:val="Normal"/>
    <w:next w:val="Text2"/>
    <w:rsid w:val="00517205"/>
    <w:pPr>
      <w:keepNext/>
      <w:tabs>
        <w:tab w:val="left" w:pos="1417"/>
      </w:tabs>
      <w:ind w:left="1417" w:hanging="1417"/>
      <w:outlineLvl w:val="5"/>
    </w:pPr>
  </w:style>
  <w:style w:type="paragraph" w:customStyle="1" w:styleId="ManualHeading7">
    <w:name w:val="Manual Heading 7"/>
    <w:basedOn w:val="Normal"/>
    <w:next w:val="Text2"/>
    <w:rsid w:val="00517205"/>
    <w:pPr>
      <w:keepNext/>
      <w:tabs>
        <w:tab w:val="left" w:pos="1417"/>
      </w:tabs>
      <w:ind w:left="1417" w:hanging="1417"/>
      <w:outlineLvl w:val="6"/>
    </w:pPr>
  </w:style>
  <w:style w:type="paragraph" w:customStyle="1" w:styleId="ChapterTitle">
    <w:name w:val="ChapterTitle"/>
    <w:basedOn w:val="Normal"/>
    <w:next w:val="Normal"/>
    <w:rsid w:val="00517205"/>
    <w:pPr>
      <w:keepNext/>
      <w:spacing w:after="360"/>
      <w:jc w:val="center"/>
    </w:pPr>
    <w:rPr>
      <w:b/>
      <w:sz w:val="32"/>
    </w:rPr>
  </w:style>
  <w:style w:type="paragraph" w:customStyle="1" w:styleId="PartTitle">
    <w:name w:val="PartTitle"/>
    <w:basedOn w:val="Normal"/>
    <w:next w:val="ChapterTitle"/>
    <w:rsid w:val="00517205"/>
    <w:pPr>
      <w:keepNext/>
      <w:pageBreakBefore/>
      <w:spacing w:after="360"/>
      <w:jc w:val="center"/>
    </w:pPr>
    <w:rPr>
      <w:b/>
      <w:sz w:val="36"/>
    </w:rPr>
  </w:style>
  <w:style w:type="paragraph" w:customStyle="1" w:styleId="SectionTitle">
    <w:name w:val="SectionTitle"/>
    <w:basedOn w:val="Normal"/>
    <w:next w:val="Heading1"/>
    <w:rsid w:val="00517205"/>
    <w:pPr>
      <w:keepNext/>
      <w:spacing w:after="360"/>
      <w:jc w:val="center"/>
    </w:pPr>
    <w:rPr>
      <w:b/>
      <w:smallCaps/>
      <w:sz w:val="28"/>
    </w:rPr>
  </w:style>
  <w:style w:type="paragraph" w:customStyle="1" w:styleId="TableTitle">
    <w:name w:val="Table Title"/>
    <w:basedOn w:val="Normal"/>
    <w:next w:val="Normal"/>
    <w:rsid w:val="00517205"/>
    <w:pPr>
      <w:jc w:val="center"/>
    </w:pPr>
    <w:rPr>
      <w:b/>
    </w:rPr>
  </w:style>
  <w:style w:type="character" w:customStyle="1" w:styleId="Marker">
    <w:name w:val="Marker"/>
    <w:basedOn w:val="DefaultParagraphFont"/>
    <w:rsid w:val="001424CF"/>
    <w:rPr>
      <w:color w:val="0000FF"/>
      <w:shd w:val="clear" w:color="auto" w:fill="auto"/>
    </w:rPr>
  </w:style>
  <w:style w:type="character" w:customStyle="1" w:styleId="Marker1">
    <w:name w:val="Marker1"/>
    <w:basedOn w:val="DefaultParagraphFont"/>
    <w:rsid w:val="00517205"/>
    <w:rPr>
      <w:color w:val="008000"/>
      <w:shd w:val="clear" w:color="auto" w:fill="auto"/>
    </w:rPr>
  </w:style>
  <w:style w:type="character" w:customStyle="1" w:styleId="Marker2">
    <w:name w:val="Marker2"/>
    <w:basedOn w:val="DefaultParagraphFont"/>
    <w:rsid w:val="00517205"/>
    <w:rPr>
      <w:color w:val="FF0000"/>
      <w:shd w:val="clear" w:color="auto" w:fill="auto"/>
    </w:rPr>
  </w:style>
  <w:style w:type="paragraph" w:customStyle="1" w:styleId="Point0number">
    <w:name w:val="Point 0 (number)"/>
    <w:basedOn w:val="Normal"/>
    <w:rsid w:val="00517205"/>
    <w:pPr>
      <w:numPr>
        <w:numId w:val="18"/>
      </w:numPr>
    </w:pPr>
  </w:style>
  <w:style w:type="paragraph" w:customStyle="1" w:styleId="Point1number">
    <w:name w:val="Point 1 (number)"/>
    <w:basedOn w:val="Normal"/>
    <w:rsid w:val="00517205"/>
    <w:pPr>
      <w:numPr>
        <w:ilvl w:val="2"/>
        <w:numId w:val="18"/>
      </w:numPr>
    </w:pPr>
  </w:style>
  <w:style w:type="paragraph" w:customStyle="1" w:styleId="Point2number">
    <w:name w:val="Point 2 (number)"/>
    <w:basedOn w:val="Normal"/>
    <w:rsid w:val="00517205"/>
    <w:pPr>
      <w:numPr>
        <w:ilvl w:val="4"/>
        <w:numId w:val="18"/>
      </w:numPr>
    </w:pPr>
  </w:style>
  <w:style w:type="paragraph" w:customStyle="1" w:styleId="Point3number">
    <w:name w:val="Point 3 (number)"/>
    <w:basedOn w:val="Normal"/>
    <w:rsid w:val="00517205"/>
    <w:pPr>
      <w:numPr>
        <w:ilvl w:val="6"/>
        <w:numId w:val="18"/>
      </w:numPr>
    </w:pPr>
  </w:style>
  <w:style w:type="paragraph" w:customStyle="1" w:styleId="Point0letter">
    <w:name w:val="Point 0 (letter)"/>
    <w:basedOn w:val="Normal"/>
    <w:rsid w:val="00517205"/>
    <w:pPr>
      <w:numPr>
        <w:ilvl w:val="1"/>
        <w:numId w:val="18"/>
      </w:numPr>
    </w:pPr>
  </w:style>
  <w:style w:type="paragraph" w:customStyle="1" w:styleId="Point1letter">
    <w:name w:val="Point 1 (letter)"/>
    <w:basedOn w:val="Normal"/>
    <w:rsid w:val="00517205"/>
    <w:pPr>
      <w:numPr>
        <w:ilvl w:val="3"/>
        <w:numId w:val="18"/>
      </w:numPr>
    </w:pPr>
  </w:style>
  <w:style w:type="paragraph" w:customStyle="1" w:styleId="Point2letter">
    <w:name w:val="Point 2 (letter)"/>
    <w:basedOn w:val="Normal"/>
    <w:rsid w:val="00517205"/>
    <w:pPr>
      <w:numPr>
        <w:ilvl w:val="5"/>
        <w:numId w:val="18"/>
      </w:numPr>
    </w:pPr>
  </w:style>
  <w:style w:type="paragraph" w:customStyle="1" w:styleId="Point3letter">
    <w:name w:val="Point 3 (letter)"/>
    <w:basedOn w:val="Normal"/>
    <w:rsid w:val="00517205"/>
    <w:pPr>
      <w:numPr>
        <w:ilvl w:val="7"/>
        <w:numId w:val="18"/>
      </w:numPr>
    </w:pPr>
  </w:style>
  <w:style w:type="paragraph" w:customStyle="1" w:styleId="Point4letter">
    <w:name w:val="Point 4 (letter)"/>
    <w:basedOn w:val="Normal"/>
    <w:rsid w:val="00517205"/>
    <w:pPr>
      <w:numPr>
        <w:ilvl w:val="8"/>
        <w:numId w:val="18"/>
      </w:numPr>
    </w:pPr>
  </w:style>
  <w:style w:type="paragraph" w:customStyle="1" w:styleId="Bullet0">
    <w:name w:val="Bullet 0"/>
    <w:basedOn w:val="Normal"/>
    <w:rsid w:val="00517205"/>
    <w:pPr>
      <w:numPr>
        <w:numId w:val="19"/>
      </w:numPr>
    </w:pPr>
  </w:style>
  <w:style w:type="paragraph" w:customStyle="1" w:styleId="Bullet1">
    <w:name w:val="Bullet 1"/>
    <w:basedOn w:val="Normal"/>
    <w:rsid w:val="00517205"/>
    <w:pPr>
      <w:numPr>
        <w:numId w:val="20"/>
      </w:numPr>
    </w:pPr>
  </w:style>
  <w:style w:type="paragraph" w:customStyle="1" w:styleId="Bullet2">
    <w:name w:val="Bullet 2"/>
    <w:basedOn w:val="Normal"/>
    <w:rsid w:val="00517205"/>
    <w:pPr>
      <w:numPr>
        <w:numId w:val="21"/>
      </w:numPr>
    </w:pPr>
  </w:style>
  <w:style w:type="paragraph" w:customStyle="1" w:styleId="Bullet3">
    <w:name w:val="Bullet 3"/>
    <w:basedOn w:val="Normal"/>
    <w:rsid w:val="00517205"/>
    <w:pPr>
      <w:numPr>
        <w:numId w:val="22"/>
      </w:numPr>
    </w:pPr>
  </w:style>
  <w:style w:type="paragraph" w:customStyle="1" w:styleId="Bullet4">
    <w:name w:val="Bullet 4"/>
    <w:basedOn w:val="Normal"/>
    <w:rsid w:val="00517205"/>
    <w:pPr>
      <w:numPr>
        <w:numId w:val="23"/>
      </w:numPr>
    </w:pPr>
  </w:style>
  <w:style w:type="paragraph" w:customStyle="1" w:styleId="Langue">
    <w:name w:val="Langue"/>
    <w:basedOn w:val="Normal"/>
    <w:next w:val="Rfrenceinterne"/>
    <w:rsid w:val="00517205"/>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517205"/>
    <w:pPr>
      <w:spacing w:before="0" w:after="0"/>
      <w:jc w:val="left"/>
    </w:pPr>
    <w:rPr>
      <w:rFonts w:ascii="Arial" w:hAnsi="Arial" w:cs="Arial"/>
    </w:rPr>
  </w:style>
  <w:style w:type="paragraph" w:customStyle="1" w:styleId="Emission">
    <w:name w:val="Emission"/>
    <w:basedOn w:val="Normal"/>
    <w:next w:val="Rfrenceinstitutionnelle"/>
    <w:rsid w:val="00517205"/>
    <w:pPr>
      <w:spacing w:before="0" w:after="0"/>
      <w:ind w:left="5103"/>
      <w:jc w:val="left"/>
    </w:pPr>
  </w:style>
  <w:style w:type="paragraph" w:customStyle="1" w:styleId="Rfrenceinstitutionnelle">
    <w:name w:val="Référence institutionnelle"/>
    <w:basedOn w:val="Normal"/>
    <w:next w:val="Confidentialit"/>
    <w:rsid w:val="00517205"/>
    <w:pPr>
      <w:spacing w:before="0" w:after="240"/>
      <w:ind w:left="5103"/>
      <w:jc w:val="left"/>
    </w:pPr>
  </w:style>
  <w:style w:type="paragraph" w:customStyle="1" w:styleId="Pagedecouverture">
    <w:name w:val="Page de couverture"/>
    <w:basedOn w:val="Normal"/>
    <w:next w:val="Normal"/>
    <w:rsid w:val="00517205"/>
    <w:pPr>
      <w:spacing w:before="0" w:after="0"/>
    </w:pPr>
  </w:style>
  <w:style w:type="paragraph" w:customStyle="1" w:styleId="Declassification">
    <w:name w:val="Declassification"/>
    <w:basedOn w:val="Normal"/>
    <w:next w:val="Normal"/>
    <w:rsid w:val="00517205"/>
    <w:pPr>
      <w:spacing w:before="0" w:after="0"/>
    </w:pPr>
  </w:style>
  <w:style w:type="paragraph" w:customStyle="1" w:styleId="Disclaimer">
    <w:name w:val="Disclaimer"/>
    <w:basedOn w:val="Normal"/>
    <w:rsid w:val="00517205"/>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517205"/>
    <w:pPr>
      <w:spacing w:before="0" w:after="0" w:line="276" w:lineRule="auto"/>
      <w:ind w:left="5103"/>
      <w:jc w:val="left"/>
    </w:pPr>
    <w:rPr>
      <w:sz w:val="28"/>
    </w:rPr>
  </w:style>
  <w:style w:type="paragraph" w:customStyle="1" w:styleId="DateMarking">
    <w:name w:val="DateMarking"/>
    <w:basedOn w:val="Normal"/>
    <w:rsid w:val="00517205"/>
    <w:pPr>
      <w:spacing w:before="0" w:after="0" w:line="276" w:lineRule="auto"/>
      <w:ind w:left="5103"/>
      <w:jc w:val="left"/>
    </w:pPr>
    <w:rPr>
      <w:i/>
      <w:sz w:val="28"/>
    </w:rPr>
  </w:style>
  <w:style w:type="paragraph" w:customStyle="1" w:styleId="ReleasableTo">
    <w:name w:val="ReleasableTo"/>
    <w:basedOn w:val="Normal"/>
    <w:rsid w:val="00517205"/>
    <w:pPr>
      <w:spacing w:before="0" w:after="0" w:line="276" w:lineRule="auto"/>
      <w:ind w:left="5103"/>
      <w:jc w:val="left"/>
    </w:pPr>
    <w:rPr>
      <w:i/>
      <w:sz w:val="28"/>
    </w:rPr>
  </w:style>
  <w:style w:type="paragraph" w:customStyle="1" w:styleId="Annexetitreexpos">
    <w:name w:val="Annexe titre (exposé)"/>
    <w:basedOn w:val="Normal"/>
    <w:next w:val="Normal"/>
    <w:rsid w:val="00517205"/>
    <w:pPr>
      <w:jc w:val="center"/>
    </w:pPr>
    <w:rPr>
      <w:b/>
      <w:u w:val="single"/>
    </w:rPr>
  </w:style>
  <w:style w:type="paragraph" w:customStyle="1" w:styleId="Annexetitre">
    <w:name w:val="Annexe titre"/>
    <w:basedOn w:val="Normal"/>
    <w:next w:val="Normal"/>
    <w:rsid w:val="00517205"/>
    <w:pPr>
      <w:jc w:val="center"/>
    </w:pPr>
    <w:rPr>
      <w:b/>
      <w:u w:val="single"/>
    </w:rPr>
  </w:style>
  <w:style w:type="paragraph" w:customStyle="1" w:styleId="Annexetitrefichefinancire">
    <w:name w:val="Annexe titre (fiche financière)"/>
    <w:basedOn w:val="Normal"/>
    <w:next w:val="Normal"/>
    <w:rsid w:val="00517205"/>
    <w:pPr>
      <w:jc w:val="center"/>
    </w:pPr>
    <w:rPr>
      <w:b/>
      <w:u w:val="single"/>
    </w:rPr>
  </w:style>
  <w:style w:type="paragraph" w:customStyle="1" w:styleId="Applicationdirecte">
    <w:name w:val="Application directe"/>
    <w:basedOn w:val="Normal"/>
    <w:next w:val="Fait"/>
    <w:rsid w:val="00517205"/>
    <w:pPr>
      <w:spacing w:before="480"/>
    </w:pPr>
  </w:style>
  <w:style w:type="paragraph" w:customStyle="1" w:styleId="Avertissementtitre">
    <w:name w:val="Avertissement titre"/>
    <w:basedOn w:val="Normal"/>
    <w:next w:val="Normal"/>
    <w:rsid w:val="00517205"/>
    <w:pPr>
      <w:keepNext/>
      <w:spacing w:before="480"/>
    </w:pPr>
    <w:rPr>
      <w:u w:val="single"/>
    </w:rPr>
  </w:style>
  <w:style w:type="paragraph" w:customStyle="1" w:styleId="Confidence">
    <w:name w:val="Confidence"/>
    <w:basedOn w:val="Normal"/>
    <w:next w:val="Normal"/>
    <w:rsid w:val="00517205"/>
    <w:pPr>
      <w:spacing w:before="360"/>
      <w:jc w:val="center"/>
    </w:pPr>
  </w:style>
  <w:style w:type="paragraph" w:customStyle="1" w:styleId="Confidentialit">
    <w:name w:val="Confidentialité"/>
    <w:basedOn w:val="Normal"/>
    <w:next w:val="TypedudocumentPagedecouverture"/>
    <w:rsid w:val="00517205"/>
    <w:pPr>
      <w:spacing w:before="240" w:after="240"/>
      <w:ind w:left="5103"/>
      <w:jc w:val="left"/>
    </w:pPr>
    <w:rPr>
      <w:i/>
      <w:sz w:val="32"/>
    </w:rPr>
  </w:style>
  <w:style w:type="paragraph" w:customStyle="1" w:styleId="Considrant">
    <w:name w:val="Considérant"/>
    <w:basedOn w:val="Normal"/>
    <w:rsid w:val="00517205"/>
    <w:pPr>
      <w:numPr>
        <w:numId w:val="24"/>
      </w:numPr>
    </w:pPr>
  </w:style>
  <w:style w:type="paragraph" w:customStyle="1" w:styleId="Corrigendum">
    <w:name w:val="Corrigendum"/>
    <w:basedOn w:val="Normal"/>
    <w:next w:val="Normal"/>
    <w:rsid w:val="00517205"/>
    <w:pPr>
      <w:spacing w:before="0" w:after="240"/>
      <w:jc w:val="left"/>
    </w:pPr>
  </w:style>
  <w:style w:type="paragraph" w:customStyle="1" w:styleId="Datedadoption">
    <w:name w:val="Date d'adoption"/>
    <w:basedOn w:val="Normal"/>
    <w:next w:val="Titreobjet"/>
    <w:rsid w:val="00517205"/>
    <w:pPr>
      <w:spacing w:before="360" w:after="0"/>
      <w:jc w:val="center"/>
    </w:pPr>
    <w:rPr>
      <w:b/>
    </w:rPr>
  </w:style>
  <w:style w:type="paragraph" w:customStyle="1" w:styleId="Exposdesmotifstitre">
    <w:name w:val="Exposé des motifs titre"/>
    <w:basedOn w:val="Normal"/>
    <w:next w:val="Normal"/>
    <w:rsid w:val="00517205"/>
    <w:pPr>
      <w:jc w:val="center"/>
    </w:pPr>
    <w:rPr>
      <w:b/>
      <w:u w:val="single"/>
    </w:rPr>
  </w:style>
  <w:style w:type="paragraph" w:customStyle="1" w:styleId="Fait">
    <w:name w:val="Fait à"/>
    <w:basedOn w:val="Normal"/>
    <w:next w:val="Institutionquisigne"/>
    <w:rsid w:val="00517205"/>
    <w:pPr>
      <w:keepNext/>
      <w:spacing w:after="0"/>
    </w:pPr>
  </w:style>
  <w:style w:type="paragraph" w:customStyle="1" w:styleId="Formuledadoption">
    <w:name w:val="Formule d'adoption"/>
    <w:basedOn w:val="Normal"/>
    <w:next w:val="Titrearticle"/>
    <w:rsid w:val="00517205"/>
    <w:pPr>
      <w:keepNext/>
    </w:pPr>
  </w:style>
  <w:style w:type="paragraph" w:customStyle="1" w:styleId="Institutionquiagit">
    <w:name w:val="Institution qui agit"/>
    <w:basedOn w:val="Normal"/>
    <w:next w:val="Normal"/>
    <w:rsid w:val="00517205"/>
    <w:pPr>
      <w:keepNext/>
      <w:spacing w:before="600"/>
    </w:pPr>
  </w:style>
  <w:style w:type="paragraph" w:customStyle="1" w:styleId="Institutionquisigne">
    <w:name w:val="Institution qui signe"/>
    <w:basedOn w:val="Normal"/>
    <w:next w:val="Personnequisigne"/>
    <w:rsid w:val="00517205"/>
    <w:pPr>
      <w:keepNext/>
      <w:tabs>
        <w:tab w:val="left" w:pos="4252"/>
      </w:tabs>
      <w:spacing w:before="720" w:after="0"/>
    </w:pPr>
    <w:rPr>
      <w:i/>
    </w:rPr>
  </w:style>
  <w:style w:type="paragraph" w:customStyle="1" w:styleId="ManualConsidrant">
    <w:name w:val="Manual Considérant"/>
    <w:basedOn w:val="Normal"/>
    <w:rsid w:val="00517205"/>
    <w:pPr>
      <w:ind w:left="709" w:hanging="709"/>
    </w:pPr>
  </w:style>
  <w:style w:type="paragraph" w:customStyle="1" w:styleId="Personnequisigne">
    <w:name w:val="Personne qui signe"/>
    <w:basedOn w:val="Normal"/>
    <w:next w:val="Institutionquisigne"/>
    <w:rsid w:val="00517205"/>
    <w:pPr>
      <w:tabs>
        <w:tab w:val="left" w:pos="4252"/>
      </w:tabs>
      <w:spacing w:before="0" w:after="0"/>
      <w:jc w:val="left"/>
    </w:pPr>
    <w:rPr>
      <w:i/>
    </w:rPr>
  </w:style>
  <w:style w:type="paragraph" w:customStyle="1" w:styleId="Rfrenceinterinstitutionnelle">
    <w:name w:val="Référence interinstitutionnelle"/>
    <w:basedOn w:val="Normal"/>
    <w:next w:val="Statut"/>
    <w:rsid w:val="00517205"/>
    <w:pPr>
      <w:spacing w:before="0" w:after="0"/>
      <w:ind w:left="5103"/>
      <w:jc w:val="left"/>
    </w:pPr>
  </w:style>
  <w:style w:type="paragraph" w:customStyle="1" w:styleId="Rfrenceinterne">
    <w:name w:val="Référence interne"/>
    <w:basedOn w:val="Normal"/>
    <w:next w:val="Rfrenceinterinstitutionnelle"/>
    <w:rsid w:val="00517205"/>
    <w:pPr>
      <w:spacing w:before="0" w:after="0"/>
      <w:ind w:left="5103"/>
      <w:jc w:val="left"/>
    </w:pPr>
  </w:style>
  <w:style w:type="paragraph" w:customStyle="1" w:styleId="Statut">
    <w:name w:val="Statut"/>
    <w:basedOn w:val="Normal"/>
    <w:next w:val="Typedudocument"/>
    <w:rsid w:val="00517205"/>
    <w:pPr>
      <w:spacing w:before="360" w:after="0"/>
      <w:jc w:val="center"/>
    </w:pPr>
  </w:style>
  <w:style w:type="paragraph" w:customStyle="1" w:styleId="Titrearticle">
    <w:name w:val="Titre article"/>
    <w:basedOn w:val="Normal"/>
    <w:next w:val="Normal"/>
    <w:rsid w:val="00517205"/>
    <w:pPr>
      <w:keepNext/>
      <w:spacing w:before="360"/>
      <w:jc w:val="center"/>
    </w:pPr>
    <w:rPr>
      <w:i/>
    </w:rPr>
  </w:style>
  <w:style w:type="paragraph" w:customStyle="1" w:styleId="Titreobjet">
    <w:name w:val="Titre objet"/>
    <w:basedOn w:val="Normal"/>
    <w:next w:val="IntrtEEE"/>
    <w:rsid w:val="00517205"/>
    <w:pPr>
      <w:spacing w:before="360" w:after="360"/>
      <w:jc w:val="center"/>
    </w:pPr>
    <w:rPr>
      <w:b/>
    </w:rPr>
  </w:style>
  <w:style w:type="paragraph" w:customStyle="1" w:styleId="Typedudocument">
    <w:name w:val="Type du document"/>
    <w:basedOn w:val="Normal"/>
    <w:next w:val="Titreobjet"/>
    <w:rsid w:val="00517205"/>
    <w:pPr>
      <w:spacing w:before="360" w:after="0"/>
      <w:jc w:val="center"/>
    </w:pPr>
    <w:rPr>
      <w:b/>
    </w:rPr>
  </w:style>
  <w:style w:type="character" w:customStyle="1" w:styleId="Added">
    <w:name w:val="Added"/>
    <w:basedOn w:val="DefaultParagraphFont"/>
    <w:rsid w:val="00517205"/>
    <w:rPr>
      <w:b/>
      <w:u w:val="single"/>
      <w:shd w:val="clear" w:color="auto" w:fill="auto"/>
    </w:rPr>
  </w:style>
  <w:style w:type="character" w:customStyle="1" w:styleId="Deleted">
    <w:name w:val="Deleted"/>
    <w:basedOn w:val="DefaultParagraphFont"/>
    <w:rsid w:val="00517205"/>
    <w:rPr>
      <w:strike/>
      <w:dstrike w:val="0"/>
      <w:shd w:val="clear" w:color="auto" w:fill="auto"/>
    </w:rPr>
  </w:style>
  <w:style w:type="paragraph" w:customStyle="1" w:styleId="Address">
    <w:name w:val="Address"/>
    <w:basedOn w:val="Normal"/>
    <w:next w:val="Normal"/>
    <w:rsid w:val="00517205"/>
    <w:pPr>
      <w:keepLines/>
      <w:spacing w:line="360" w:lineRule="auto"/>
      <w:ind w:left="3402"/>
      <w:jc w:val="left"/>
    </w:pPr>
  </w:style>
  <w:style w:type="paragraph" w:customStyle="1" w:styleId="Objetexterne">
    <w:name w:val="Objet externe"/>
    <w:basedOn w:val="Normal"/>
    <w:next w:val="Normal"/>
    <w:rsid w:val="00517205"/>
    <w:rPr>
      <w:i/>
      <w:caps/>
    </w:rPr>
  </w:style>
  <w:style w:type="paragraph" w:customStyle="1" w:styleId="Supertitre">
    <w:name w:val="Supertitre"/>
    <w:basedOn w:val="Normal"/>
    <w:next w:val="Normal"/>
    <w:rsid w:val="00517205"/>
    <w:pPr>
      <w:spacing w:before="0" w:after="600"/>
      <w:jc w:val="center"/>
    </w:pPr>
    <w:rPr>
      <w:b/>
    </w:rPr>
  </w:style>
  <w:style w:type="paragraph" w:customStyle="1" w:styleId="Languesfaisantfoi">
    <w:name w:val="Langues faisant foi"/>
    <w:basedOn w:val="Normal"/>
    <w:next w:val="Normal"/>
    <w:rsid w:val="00517205"/>
    <w:pPr>
      <w:spacing w:before="360" w:after="0"/>
      <w:jc w:val="center"/>
    </w:pPr>
  </w:style>
  <w:style w:type="paragraph" w:customStyle="1" w:styleId="Rfrencecroise">
    <w:name w:val="Référence croisée"/>
    <w:basedOn w:val="Normal"/>
    <w:rsid w:val="00517205"/>
    <w:pPr>
      <w:spacing w:before="0" w:after="0"/>
      <w:jc w:val="center"/>
    </w:pPr>
  </w:style>
  <w:style w:type="paragraph" w:customStyle="1" w:styleId="Fichefinanciretitre">
    <w:name w:val="Fiche financière titre"/>
    <w:basedOn w:val="Normal"/>
    <w:next w:val="Normal"/>
    <w:rsid w:val="00517205"/>
    <w:pPr>
      <w:jc w:val="center"/>
    </w:pPr>
    <w:rPr>
      <w:b/>
      <w:u w:val="single"/>
    </w:rPr>
  </w:style>
  <w:style w:type="paragraph" w:customStyle="1" w:styleId="DatedadoptionPagedecouverture">
    <w:name w:val="Date d'adoption (Page de couverture)"/>
    <w:basedOn w:val="Datedadoption"/>
    <w:next w:val="TitreobjetPagedecouverture"/>
    <w:rsid w:val="00517205"/>
  </w:style>
  <w:style w:type="paragraph" w:customStyle="1" w:styleId="RfrenceinterinstitutionnellePagedecouverture">
    <w:name w:val="Référence interinstitutionnelle (Page de couverture)"/>
    <w:basedOn w:val="Rfrenceinterinstitutionnelle"/>
    <w:next w:val="Confidentialit"/>
    <w:rsid w:val="00517205"/>
  </w:style>
  <w:style w:type="paragraph" w:customStyle="1" w:styleId="StatutPagedecouverture">
    <w:name w:val="Statut (Page de couverture)"/>
    <w:basedOn w:val="Statut"/>
    <w:next w:val="TypedudocumentPagedecouverture"/>
    <w:rsid w:val="00517205"/>
  </w:style>
  <w:style w:type="paragraph" w:customStyle="1" w:styleId="TitreobjetPagedecouverture">
    <w:name w:val="Titre objet (Page de couverture)"/>
    <w:basedOn w:val="Titreobjet"/>
    <w:next w:val="IntrtEEEPagedecouverture"/>
    <w:rsid w:val="00517205"/>
  </w:style>
  <w:style w:type="paragraph" w:customStyle="1" w:styleId="TypedudocumentPagedecouverture">
    <w:name w:val="Type du document (Page de couverture)"/>
    <w:basedOn w:val="Typedudocument"/>
    <w:next w:val="TitreobjetPagedecouverture"/>
    <w:rsid w:val="00517205"/>
  </w:style>
  <w:style w:type="paragraph" w:customStyle="1" w:styleId="Volume">
    <w:name w:val="Volume"/>
    <w:basedOn w:val="Normal"/>
    <w:next w:val="Confidentialit"/>
    <w:rsid w:val="00517205"/>
    <w:pPr>
      <w:spacing w:before="0" w:after="240"/>
      <w:ind w:left="5103"/>
      <w:jc w:val="left"/>
    </w:pPr>
  </w:style>
  <w:style w:type="paragraph" w:customStyle="1" w:styleId="IntrtEEE">
    <w:name w:val="Intérêt EEE"/>
    <w:basedOn w:val="Languesfaisantfoi"/>
    <w:next w:val="Normal"/>
    <w:rsid w:val="00517205"/>
    <w:pPr>
      <w:spacing w:after="240"/>
    </w:pPr>
  </w:style>
  <w:style w:type="paragraph" w:customStyle="1" w:styleId="Accompagnant">
    <w:name w:val="Accompagnant"/>
    <w:basedOn w:val="Normal"/>
    <w:next w:val="Typeacteprincipal"/>
    <w:rsid w:val="00517205"/>
    <w:pPr>
      <w:spacing w:before="0" w:after="240"/>
      <w:jc w:val="center"/>
    </w:pPr>
    <w:rPr>
      <w:b/>
      <w:i/>
    </w:rPr>
  </w:style>
  <w:style w:type="paragraph" w:customStyle="1" w:styleId="Typeacteprincipal">
    <w:name w:val="Type acte principal"/>
    <w:basedOn w:val="Normal"/>
    <w:next w:val="Objetacteprincipal"/>
    <w:rsid w:val="00517205"/>
    <w:pPr>
      <w:spacing w:before="0" w:after="240"/>
      <w:jc w:val="center"/>
    </w:pPr>
    <w:rPr>
      <w:b/>
    </w:rPr>
  </w:style>
  <w:style w:type="paragraph" w:customStyle="1" w:styleId="Objetacteprincipal">
    <w:name w:val="Objet acte principal"/>
    <w:basedOn w:val="Normal"/>
    <w:next w:val="Titrearticle"/>
    <w:rsid w:val="00517205"/>
    <w:pPr>
      <w:spacing w:before="0" w:after="360"/>
      <w:jc w:val="center"/>
    </w:pPr>
    <w:rPr>
      <w:b/>
    </w:rPr>
  </w:style>
  <w:style w:type="paragraph" w:customStyle="1" w:styleId="IntrtEEEPagedecouverture">
    <w:name w:val="Intérêt EEE (Page de couverture)"/>
    <w:basedOn w:val="IntrtEEE"/>
    <w:next w:val="Rfrencecroise"/>
    <w:rsid w:val="00517205"/>
  </w:style>
  <w:style w:type="paragraph" w:customStyle="1" w:styleId="AccompagnantPagedecouverture">
    <w:name w:val="Accompagnant (Page de couverture)"/>
    <w:basedOn w:val="Accompagnant"/>
    <w:next w:val="TypeacteprincipalPagedecouverture"/>
    <w:rsid w:val="00517205"/>
  </w:style>
  <w:style w:type="paragraph" w:customStyle="1" w:styleId="TypeacteprincipalPagedecouverture">
    <w:name w:val="Type acte principal (Page de couverture)"/>
    <w:basedOn w:val="Typeacteprincipal"/>
    <w:next w:val="ObjetacteprincipalPagedecouverture"/>
    <w:rsid w:val="00517205"/>
  </w:style>
  <w:style w:type="paragraph" w:customStyle="1" w:styleId="ObjetacteprincipalPagedecouverture">
    <w:name w:val="Objet acte principal (Page de couverture)"/>
    <w:basedOn w:val="Objetacteprincipal"/>
    <w:next w:val="Rfrencecroise"/>
    <w:rsid w:val="00517205"/>
  </w:style>
  <w:style w:type="paragraph" w:customStyle="1" w:styleId="LanguesfaisantfoiPagedecouverture">
    <w:name w:val="Langues faisant foi (Page de couverture)"/>
    <w:basedOn w:val="Normal"/>
    <w:next w:val="Normal"/>
    <w:rsid w:val="00517205"/>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29495">
      <w:bodyDiv w:val="1"/>
      <w:marLeft w:val="0"/>
      <w:marRight w:val="0"/>
      <w:marTop w:val="0"/>
      <w:marBottom w:val="0"/>
      <w:divBdr>
        <w:top w:val="none" w:sz="0" w:space="0" w:color="auto"/>
        <w:left w:val="none" w:sz="0" w:space="0" w:color="auto"/>
        <w:bottom w:val="none" w:sz="0" w:space="0" w:color="auto"/>
        <w:right w:val="none" w:sz="0" w:space="0" w:color="auto"/>
      </w:divBdr>
      <w:divsChild>
        <w:div w:id="919101590">
          <w:marLeft w:val="0"/>
          <w:marRight w:val="0"/>
          <w:marTop w:val="0"/>
          <w:marBottom w:val="0"/>
          <w:divBdr>
            <w:top w:val="none" w:sz="0" w:space="0" w:color="auto"/>
            <w:left w:val="none" w:sz="0" w:space="0" w:color="auto"/>
            <w:bottom w:val="none" w:sz="0" w:space="0" w:color="auto"/>
            <w:right w:val="none" w:sz="0" w:space="0" w:color="auto"/>
          </w:divBdr>
          <w:divsChild>
            <w:div w:id="69037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083923">
      <w:bodyDiv w:val="1"/>
      <w:marLeft w:val="0"/>
      <w:marRight w:val="0"/>
      <w:marTop w:val="0"/>
      <w:marBottom w:val="0"/>
      <w:divBdr>
        <w:top w:val="none" w:sz="0" w:space="0" w:color="auto"/>
        <w:left w:val="none" w:sz="0" w:space="0" w:color="auto"/>
        <w:bottom w:val="none" w:sz="0" w:space="0" w:color="auto"/>
        <w:right w:val="none" w:sz="0" w:space="0" w:color="auto"/>
      </w:divBdr>
      <w:divsChild>
        <w:div w:id="1612011667">
          <w:marLeft w:val="0"/>
          <w:marRight w:val="0"/>
          <w:marTop w:val="0"/>
          <w:marBottom w:val="0"/>
          <w:divBdr>
            <w:top w:val="none" w:sz="0" w:space="0" w:color="auto"/>
            <w:left w:val="none" w:sz="0" w:space="0" w:color="auto"/>
            <w:bottom w:val="none" w:sz="0" w:space="0" w:color="auto"/>
            <w:right w:val="none" w:sz="0" w:space="0" w:color="auto"/>
          </w:divBdr>
          <w:divsChild>
            <w:div w:id="3161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7B6B3-0FA9-41B0-B372-7E557A95F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TotalTime>
  <Pages>6</Pages>
  <Words>1416</Words>
  <Characters>9532</Characters>
  <Application>Microsoft Office Word</Application>
  <DocSecurity>0</DocSecurity>
  <Lines>176</Lines>
  <Paragraphs>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52</cp:revision>
  <dcterms:created xsi:type="dcterms:W3CDTF">2022-03-30T18:44:00Z</dcterms:created>
  <dcterms:modified xsi:type="dcterms:W3CDTF">2022-04-01T05:49:00Z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COM/PL/MOD</vt:lpwstr>
  </property>
  <property fmtid="{D5CDD505-2E9C-101B-9397-08002B2CF9AE}" pid="3" name="Version">
    <vt:lpwstr>8.0.25.0</vt:lpwstr>
  </property>
  <property fmtid="{D5CDD505-2E9C-101B-9397-08002B2CF9AE}" pid="4" name="Last edited using">
    <vt:lpwstr>LW 8.0, Build 20220128</vt:lpwstr>
  </property>
  <property fmtid="{D5CDD505-2E9C-101B-9397-08002B2CF9AE}" pid="5" name="Part">
    <vt:lpwstr>1</vt:lpwstr>
  </property>
  <property fmtid="{D5CDD505-2E9C-101B-9397-08002B2CF9AE}" pid="6" name="Total parts">
    <vt:lpwstr>1</vt:lpwstr>
  </property>
  <property fmtid="{D5CDD505-2E9C-101B-9397-08002B2CF9AE}" pid="7" name="Level of sensitivity">
    <vt:lpwstr>Standard treatment</vt:lpwstr>
  </property>
  <property fmtid="{D5CDD505-2E9C-101B-9397-08002B2CF9AE}" pid="8" name="LWTemplateID">
    <vt:lpwstr>SG-005</vt:lpwstr>
  </property>
  <property fmtid="{D5CDD505-2E9C-101B-9397-08002B2CF9AE}" pid="9" name="DQCStatus">
    <vt:lpwstr>Green (DQC version 03)</vt:lpwstr>
  </property>
  <property name="OP_sanitized" fmtid="{D5CDD505-2E9C-101B-9397-08002B2CF9AE}" pid="10">
    <vt:lpwstr>True</vt:lpwstr>
  </property>
</Properties>
</file>