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bookmarkStart w:id="0" w:name="LW_BM_COVERPAGE"/>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alt="01976039-81E0-4D47-B2FA-C26B8E7CA70A" style="width:455.1pt;height:399.2pt">
            <v:imagedata r:id="rId7" o:title=""/>
          </v:shape>
        </w:pict>
      </w:r>
    </w:p>
    <w:bookmarkEnd w:id="0"/>
    <w:p>
      <w:pPr>
        <w:rPr>
          <w:noProof/>
        </w:rPr>
        <w:sectPr>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134" w:left="1417" w:header="709" w:footer="709" w:gutter="0"/>
          <w:pgNumType w:start="0"/>
          <w:cols w:space="720"/>
          <w:docGrid w:linePitch="360"/>
        </w:sectPr>
      </w:pPr>
    </w:p>
    <w:tbl>
      <w:tblPr>
        <w:tblW w:w="1077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4"/>
      </w:tblGrid>
      <w:tr>
        <w:tc>
          <w:tcPr>
            <w:tcW w:w="10774" w:type="dxa"/>
            <w:tcBorders>
              <w:bottom w:val="single" w:sz="4" w:space="0" w:color="auto"/>
            </w:tcBorders>
            <w:shd w:val="clear" w:color="auto" w:fill="CCCCCC"/>
          </w:tcPr>
          <w:p>
            <w:pPr>
              <w:spacing w:after="120"/>
              <w:rPr>
                <w:rFonts w:ascii="Times New Roman" w:hAnsi="Times New Roman" w:cs="Times New Roman"/>
                <w:b/>
                <w:noProof/>
                <w:sz w:val="24"/>
                <w:szCs w:val="24"/>
              </w:rPr>
            </w:pPr>
            <w:bookmarkStart w:id="1" w:name="_GoBack"/>
            <w:bookmarkEnd w:id="1"/>
            <w:r>
              <w:rPr>
                <w:rFonts w:ascii="Times New Roman" w:hAnsi="Times New Roman"/>
                <w:b/>
                <w:noProof/>
                <w:sz w:val="24"/>
                <w:szCs w:val="24"/>
              </w:rPr>
              <w:lastRenderedPageBreak/>
              <w:t xml:space="preserve">Zusammenfassung </w:t>
            </w:r>
          </w:p>
        </w:tc>
      </w:tr>
      <w:tr>
        <w:tc>
          <w:tcPr>
            <w:tcW w:w="10774" w:type="dxa"/>
            <w:tcBorders>
              <w:top w:val="single" w:sz="4" w:space="0" w:color="auto"/>
              <w:left w:val="single" w:sz="4" w:space="0" w:color="auto"/>
              <w:bottom w:val="single" w:sz="4" w:space="0" w:color="auto"/>
              <w:right w:val="single" w:sz="4" w:space="0" w:color="auto"/>
            </w:tcBorders>
            <w:shd w:val="clear" w:color="auto" w:fill="4F81BD"/>
          </w:tcPr>
          <w:p>
            <w:pPr>
              <w:spacing w:after="120"/>
              <w:rPr>
                <w:rFonts w:ascii="Times New Roman" w:hAnsi="Times New Roman" w:cs="Times New Roman"/>
                <w:noProof/>
                <w:sz w:val="24"/>
                <w:szCs w:val="24"/>
              </w:rPr>
            </w:pPr>
            <w:r>
              <w:rPr>
                <w:rFonts w:ascii="Times New Roman" w:hAnsi="Times New Roman"/>
                <w:noProof/>
                <w:sz w:val="24"/>
                <w:szCs w:val="24"/>
              </w:rPr>
              <w:t>Folgenabschätzung zur Überarbeitung der Verbraucherkreditrichtlinie (2008/48/EG)</w:t>
            </w:r>
          </w:p>
        </w:tc>
      </w:tr>
      <w:tr>
        <w:tc>
          <w:tcPr>
            <w:tcW w:w="10774" w:type="dxa"/>
            <w:tcBorders>
              <w:bottom w:val="single" w:sz="4" w:space="0" w:color="auto"/>
            </w:tcBorders>
            <w:shd w:val="clear" w:color="auto" w:fill="CCCCCC"/>
          </w:tcPr>
          <w:p>
            <w:pPr>
              <w:spacing w:after="120"/>
              <w:rPr>
                <w:rFonts w:ascii="Times New Roman" w:hAnsi="Times New Roman" w:cs="Times New Roman"/>
                <w:b/>
                <w:noProof/>
                <w:sz w:val="24"/>
                <w:szCs w:val="24"/>
              </w:rPr>
            </w:pPr>
            <w:r>
              <w:rPr>
                <w:rFonts w:ascii="Times New Roman" w:hAnsi="Times New Roman"/>
                <w:b/>
                <w:noProof/>
                <w:sz w:val="24"/>
                <w:szCs w:val="24"/>
              </w:rPr>
              <w:t>A. Handlungsbedarf</w:t>
            </w:r>
          </w:p>
        </w:tc>
      </w:tr>
      <w:tr>
        <w:tc>
          <w:tcPr>
            <w:tcW w:w="10774" w:type="dxa"/>
            <w:tcBorders>
              <w:bottom w:val="single" w:sz="4" w:space="0" w:color="auto"/>
            </w:tcBorders>
            <w:shd w:val="clear" w:color="auto" w:fill="E0E0E0"/>
          </w:tcPr>
          <w:p>
            <w:pPr>
              <w:spacing w:after="120"/>
              <w:rPr>
                <w:rFonts w:ascii="Times New Roman" w:hAnsi="Times New Roman" w:cs="Times New Roman"/>
                <w:noProof/>
                <w:sz w:val="24"/>
                <w:szCs w:val="24"/>
              </w:rPr>
            </w:pPr>
            <w:r>
              <w:rPr>
                <w:rFonts w:ascii="Times New Roman" w:hAnsi="Times New Roman"/>
                <w:b/>
                <w:noProof/>
                <w:sz w:val="24"/>
                <w:szCs w:val="24"/>
              </w:rPr>
              <w:t xml:space="preserve">Worin besteht das Problem und warum muss ihm auf EU-Ebene begegnet werden? </w:t>
            </w:r>
          </w:p>
        </w:tc>
      </w:tr>
      <w:tr>
        <w:tc>
          <w:tcPr>
            <w:tcW w:w="10774" w:type="dxa"/>
            <w:tcBorders>
              <w:bottom w:val="single" w:sz="4" w:space="0" w:color="auto"/>
            </w:tcBorders>
            <w:shd w:val="clear" w:color="auto" w:fill="auto"/>
          </w:tcPr>
          <w:p>
            <w:pPr>
              <w:spacing w:after="120"/>
              <w:rPr>
                <w:rFonts w:ascii="Times New Roman" w:hAnsi="Times New Roman" w:cs="Times New Roman"/>
                <w:noProof/>
                <w:sz w:val="24"/>
                <w:szCs w:val="24"/>
              </w:rPr>
            </w:pPr>
            <w:r>
              <w:rPr>
                <w:rFonts w:ascii="Times New Roman" w:hAnsi="Times New Roman"/>
                <w:noProof/>
                <w:sz w:val="24"/>
                <w:szCs w:val="24"/>
              </w:rPr>
              <w:t xml:space="preserve">Angesichts der marktrelevanten, technologischen und verhaltensbezogenen Entwicklungen seit der Annahme der Richtlinie erleiden Verbraucher, die Kredite aufnehmen, Nachteile, die vermieden werden könnten. </w:t>
            </w:r>
            <w:r>
              <w:rPr>
                <w:rFonts w:ascii="Times New Roman" w:hAnsi="Times New Roman"/>
                <w:b/>
                <w:noProof/>
                <w:sz w:val="24"/>
                <w:szCs w:val="24"/>
              </w:rPr>
              <w:t>Schätzungen zufolge sind bis zu 46 Millionen Menschen von verschiedenen Problemen betroffen</w:t>
            </w:r>
            <w:r>
              <w:rPr>
                <w:rFonts w:ascii="Times New Roman" w:hAnsi="Times New Roman"/>
                <w:noProof/>
                <w:sz w:val="24"/>
                <w:szCs w:val="24"/>
              </w:rPr>
              <w:t xml:space="preserve">, die einen Zusammenhang mit zentralen Bestimmungen der Richtlinie aufweisen. Darüber hinaus sind Unternehmen mit Verwaltungsaufwand und Kosten aufgrund von unklaren Verpflichtungen konfrontiert, was die Wettbewerbsfähigkeit im EU-Binnenmarkt für Verbraucherkredite beeinträchtigt, wie in der 2020 veröffentlichten </w:t>
            </w:r>
            <w:r>
              <w:rPr>
                <w:rFonts w:ascii="Times New Roman" w:hAnsi="Times New Roman"/>
                <w:b/>
                <w:noProof/>
                <w:sz w:val="24"/>
                <w:szCs w:val="24"/>
              </w:rPr>
              <w:t>Evaluierung der Richtlinie</w:t>
            </w:r>
            <w:r>
              <w:rPr>
                <w:rFonts w:ascii="Times New Roman" w:hAnsi="Times New Roman"/>
                <w:noProof/>
                <w:sz w:val="24"/>
                <w:szCs w:val="24"/>
              </w:rPr>
              <w:t xml:space="preserve"> (SWD(2020) 254 final) bestätigt wurde. Dadurch haben Verbraucher Schwierigkeiten beim Zugang zu grenzüberschreitenden Krediten und Unternehmen bei der Bereitstellung grenzüberschreitender Kredite. Die Probleme werden durch das Aufkommen neuer riskanter Produkte und neuer Akteure, die nicht (eindeutig) reguliert sind, verschärft. Diese Situation führt gekoppelt mit einem begrenzten Verbraucherbewusstsein zu Praktiken, mit denen die Situation und Verhaltensmuster der Verbraucher ausgenutzt werden, zu Krediten, die ohne gründliche Bewertung der Kreditwürdigkeit des Verbrauchers gewährt werden, und zu einer allzu leichten Überschuldung von Verbrauchern aufgrund individueller Umstände oder systemischer wirtschaftlicher Störungen. </w:t>
            </w:r>
            <w:r>
              <w:rPr>
                <w:rFonts w:ascii="Times New Roman" w:hAnsi="Times New Roman"/>
                <w:b/>
                <w:noProof/>
                <w:sz w:val="24"/>
                <w:szCs w:val="24"/>
              </w:rPr>
              <w:t>Ohne entsprechende Maßnahmen würden die Hauptursachen</w:t>
            </w:r>
            <w:r>
              <w:rPr>
                <w:rFonts w:ascii="Times New Roman" w:hAnsi="Times New Roman"/>
                <w:noProof/>
                <w:sz w:val="24"/>
                <w:szCs w:val="24"/>
              </w:rPr>
              <w:t xml:space="preserve">, nämlich Digitalisierung, Entwicklungen beim Verbraucherverhalten, mangelnde Klarheit bestimmter Bestimmungen der Richtlinie, unzureichende Billigkeitserwägungen und eine unzureichende Harmonisierung zwischen den Mitgliedstaaten, die zu einem unvollkommenen Wettbewerb führen, </w:t>
            </w:r>
            <w:r>
              <w:rPr>
                <w:rFonts w:ascii="Times New Roman" w:hAnsi="Times New Roman"/>
                <w:b/>
                <w:noProof/>
                <w:sz w:val="24"/>
                <w:szCs w:val="24"/>
              </w:rPr>
              <w:t>nach wie vor nicht angemessen angegangen</w:t>
            </w:r>
            <w:r>
              <w:rPr>
                <w:rFonts w:ascii="Times New Roman" w:hAnsi="Times New Roman"/>
                <w:noProof/>
                <w:sz w:val="24"/>
                <w:szCs w:val="24"/>
              </w:rPr>
              <w:t>. Daher würden sich die ermittelten Probleme angesichts der durch die fortschreitende Digitalisierung bedingten Markttrends weiterhin, wahrscheinlich sogar in zunehmendem Maße, auf die Interessenträger auswirken.</w:t>
            </w:r>
          </w:p>
        </w:tc>
      </w:tr>
      <w:tr>
        <w:tc>
          <w:tcPr>
            <w:tcW w:w="10774" w:type="dxa"/>
            <w:tcBorders>
              <w:bottom w:val="single" w:sz="4" w:space="0" w:color="auto"/>
            </w:tcBorders>
            <w:shd w:val="clear" w:color="auto" w:fill="E6E6E6"/>
          </w:tcPr>
          <w:p>
            <w:pPr>
              <w:spacing w:after="120"/>
              <w:rPr>
                <w:rFonts w:ascii="Times New Roman" w:hAnsi="Times New Roman" w:cs="Times New Roman"/>
                <w:noProof/>
                <w:sz w:val="24"/>
                <w:szCs w:val="24"/>
              </w:rPr>
            </w:pPr>
            <w:r>
              <w:rPr>
                <w:rFonts w:ascii="Times New Roman" w:hAnsi="Times New Roman"/>
                <w:b/>
                <w:noProof/>
                <w:sz w:val="24"/>
                <w:szCs w:val="24"/>
              </w:rPr>
              <w:t>Was soll erreicht werden?</w:t>
            </w:r>
          </w:p>
        </w:tc>
      </w:tr>
      <w:tr>
        <w:tc>
          <w:tcPr>
            <w:tcW w:w="10774" w:type="dxa"/>
            <w:tcBorders>
              <w:bottom w:val="single" w:sz="4" w:space="0" w:color="auto"/>
            </w:tcBorders>
            <w:shd w:val="clear" w:color="auto" w:fill="auto"/>
          </w:tcPr>
          <w:p>
            <w:pPr>
              <w:spacing w:after="120"/>
              <w:rPr>
                <w:rFonts w:ascii="Times New Roman" w:hAnsi="Times New Roman" w:cs="Times New Roman"/>
                <w:noProof/>
                <w:sz w:val="24"/>
                <w:szCs w:val="24"/>
              </w:rPr>
            </w:pPr>
            <w:r>
              <w:rPr>
                <w:rFonts w:ascii="Times New Roman" w:hAnsi="Times New Roman"/>
                <w:noProof/>
                <w:sz w:val="24"/>
                <w:szCs w:val="24"/>
              </w:rPr>
              <w:t xml:space="preserve">Die </w:t>
            </w:r>
            <w:r>
              <w:rPr>
                <w:rFonts w:ascii="Times New Roman" w:hAnsi="Times New Roman"/>
                <w:b/>
                <w:noProof/>
                <w:sz w:val="24"/>
                <w:szCs w:val="24"/>
              </w:rPr>
              <w:t>allgemeinen Ziele</w:t>
            </w:r>
            <w:r>
              <w:rPr>
                <w:rFonts w:ascii="Times New Roman" w:hAnsi="Times New Roman"/>
                <w:noProof/>
                <w:sz w:val="24"/>
                <w:szCs w:val="24"/>
              </w:rPr>
              <w:t xml:space="preserve"> der Überprüfung der Richtlinie bestehen darin, die Nachteile und Risiken für die Verbraucher bei der Aufnahme von Krediten in einem sich wandelnden Markt zu verringern und die grenzüberschreitende Bereitstellung von Verbraucherkrediten sowie die Wettbewerbsfähigkeit des Binnenmarkts zu erleichtern. Dies steht </w:t>
            </w:r>
            <w:r>
              <w:rPr>
                <w:rFonts w:ascii="Times New Roman" w:hAnsi="Times New Roman"/>
                <w:b/>
                <w:noProof/>
                <w:sz w:val="24"/>
                <w:szCs w:val="24"/>
              </w:rPr>
              <w:t>im Einklang mit den ursprünglichen Zielen der Richtlinie</w:t>
            </w:r>
            <w:r>
              <w:rPr>
                <w:rFonts w:ascii="Times New Roman" w:hAnsi="Times New Roman"/>
                <w:noProof/>
                <w:sz w:val="24"/>
                <w:szCs w:val="24"/>
              </w:rPr>
              <w:t>.</w:t>
            </w:r>
          </w:p>
        </w:tc>
      </w:tr>
      <w:tr>
        <w:tc>
          <w:tcPr>
            <w:tcW w:w="10774" w:type="dxa"/>
            <w:tcBorders>
              <w:bottom w:val="single" w:sz="4" w:space="0" w:color="auto"/>
            </w:tcBorders>
            <w:shd w:val="clear" w:color="auto" w:fill="E6E6E6"/>
          </w:tcPr>
          <w:p>
            <w:pPr>
              <w:spacing w:after="120"/>
              <w:rPr>
                <w:rFonts w:ascii="Times New Roman" w:hAnsi="Times New Roman" w:cs="Times New Roman"/>
                <w:noProof/>
                <w:sz w:val="24"/>
                <w:szCs w:val="24"/>
              </w:rPr>
            </w:pPr>
            <w:r>
              <w:rPr>
                <w:rFonts w:ascii="Times New Roman" w:hAnsi="Times New Roman"/>
                <w:b/>
                <w:noProof/>
                <w:sz w:val="24"/>
                <w:szCs w:val="24"/>
              </w:rPr>
              <w:t>Worin besteht der Mehrwert des Tätigwerdens auf EU-Ebene (Subsidiarität)?</w:t>
            </w:r>
            <w:r>
              <w:rPr>
                <w:rFonts w:ascii="Times New Roman" w:hAnsi="Times New Roman"/>
                <w:noProof/>
                <w:sz w:val="24"/>
                <w:szCs w:val="24"/>
              </w:rPr>
              <w:t xml:space="preserve"> </w:t>
            </w:r>
          </w:p>
        </w:tc>
      </w:tr>
      <w:tr>
        <w:tc>
          <w:tcPr>
            <w:tcW w:w="10774" w:type="dxa"/>
            <w:tcBorders>
              <w:bottom w:val="single" w:sz="4" w:space="0" w:color="auto"/>
            </w:tcBorders>
            <w:shd w:val="clear" w:color="auto" w:fill="auto"/>
          </w:tcPr>
          <w:p>
            <w:pPr>
              <w:spacing w:after="120"/>
              <w:rPr>
                <w:rFonts w:ascii="Times New Roman" w:hAnsi="Times New Roman" w:cs="Times New Roman"/>
                <w:noProof/>
                <w:sz w:val="24"/>
                <w:szCs w:val="24"/>
              </w:rPr>
            </w:pPr>
            <w:r>
              <w:rPr>
                <w:rFonts w:ascii="Times New Roman" w:hAnsi="Times New Roman"/>
                <w:noProof/>
                <w:sz w:val="24"/>
                <w:szCs w:val="24"/>
              </w:rPr>
              <w:t xml:space="preserve">In Anbetracht der Entwicklungen seit der Annahme der Richtlinie, insbesondere der unterschiedlichen Ansätze der Mitgliedstaaten, kann eine Verbesserung des derzeitigen Rechtsrahmens nur durch ein Tätigwerden auf EU-Ebene erreicht werden. </w:t>
            </w:r>
            <w:r>
              <w:rPr>
                <w:rFonts w:ascii="Times New Roman" w:hAnsi="Times New Roman"/>
                <w:b/>
                <w:noProof/>
                <w:sz w:val="24"/>
                <w:szCs w:val="24"/>
              </w:rPr>
              <w:t>Maßnahmen auf EU-Ebene würden ein einheitlich hohes Verbraucherschutzniveau und einen klareren und einheitlicheren Rechtsrahmen für Unternehmen gewährleisten und die Hindernisse für das Anbieten von Krediten in anderen Mitgliedstaaten verringern</w:t>
            </w:r>
            <w:r>
              <w:rPr>
                <w:rFonts w:ascii="Times New Roman" w:hAnsi="Times New Roman"/>
                <w:noProof/>
                <w:sz w:val="24"/>
                <w:szCs w:val="24"/>
              </w:rPr>
              <w:t xml:space="preserve"> (durch direkte grenzüberschreitende Bereitstellung oder Errichtung von Tochterunternehmen). </w:t>
            </w:r>
            <w:r>
              <w:rPr>
                <w:rFonts w:ascii="Times New Roman" w:hAnsi="Times New Roman"/>
                <w:b/>
                <w:noProof/>
                <w:sz w:val="24"/>
                <w:szCs w:val="24"/>
              </w:rPr>
              <w:t>Mit der Digitalisierung</w:t>
            </w:r>
            <w:r>
              <w:rPr>
                <w:rFonts w:ascii="Times New Roman" w:hAnsi="Times New Roman"/>
                <w:noProof/>
                <w:sz w:val="24"/>
                <w:szCs w:val="24"/>
              </w:rPr>
              <w:t xml:space="preserve"> und dem potenziellen Eintritt neuer digitaler Akteure in den Kreditmarkt </w:t>
            </w:r>
            <w:r>
              <w:rPr>
                <w:rFonts w:ascii="Times New Roman" w:hAnsi="Times New Roman"/>
                <w:b/>
                <w:noProof/>
                <w:sz w:val="24"/>
                <w:szCs w:val="24"/>
              </w:rPr>
              <w:t>dürfte die grenzüberschreitende Kreditvergabe zunehmen</w:t>
            </w:r>
            <w:r>
              <w:rPr>
                <w:rFonts w:ascii="Times New Roman" w:hAnsi="Times New Roman"/>
                <w:noProof/>
                <w:sz w:val="24"/>
                <w:szCs w:val="24"/>
              </w:rPr>
              <w:t>, weshalb gemeinsame EU-Vorschriften für das digitale Zeitalter sowohl notwendiger als auch wirksamer sein werden, um die politischen Ziele der EU zu erreichen.</w:t>
            </w:r>
          </w:p>
        </w:tc>
      </w:tr>
      <w:tr>
        <w:tc>
          <w:tcPr>
            <w:tcW w:w="10774" w:type="dxa"/>
            <w:tcBorders>
              <w:bottom w:val="single" w:sz="4" w:space="0" w:color="auto"/>
            </w:tcBorders>
            <w:shd w:val="clear" w:color="auto" w:fill="CCCCCC"/>
          </w:tcPr>
          <w:p>
            <w:pPr>
              <w:spacing w:after="120"/>
              <w:rPr>
                <w:rFonts w:ascii="Times New Roman" w:hAnsi="Times New Roman" w:cs="Times New Roman"/>
                <w:b/>
                <w:noProof/>
                <w:sz w:val="24"/>
                <w:szCs w:val="24"/>
              </w:rPr>
            </w:pPr>
            <w:r>
              <w:rPr>
                <w:rFonts w:ascii="Times New Roman" w:hAnsi="Times New Roman"/>
                <w:b/>
                <w:noProof/>
                <w:sz w:val="24"/>
                <w:szCs w:val="24"/>
              </w:rPr>
              <w:t>B. Lösungen</w:t>
            </w:r>
          </w:p>
        </w:tc>
      </w:tr>
      <w:tr>
        <w:tc>
          <w:tcPr>
            <w:tcW w:w="10774" w:type="dxa"/>
            <w:tcBorders>
              <w:bottom w:val="single" w:sz="4" w:space="0" w:color="auto"/>
            </w:tcBorders>
            <w:shd w:val="clear" w:color="auto" w:fill="E6E6E6"/>
          </w:tcPr>
          <w:p>
            <w:pPr>
              <w:spacing w:after="120"/>
              <w:rPr>
                <w:rFonts w:ascii="Times New Roman" w:hAnsi="Times New Roman" w:cs="Times New Roman"/>
                <w:noProof/>
                <w:sz w:val="24"/>
                <w:szCs w:val="24"/>
              </w:rPr>
            </w:pPr>
            <w:r>
              <w:rPr>
                <w:rFonts w:ascii="Times New Roman" w:hAnsi="Times New Roman"/>
                <w:b/>
                <w:noProof/>
                <w:sz w:val="24"/>
                <w:szCs w:val="24"/>
              </w:rPr>
              <w:t>Worin bestehen die Optionen zur Verwirklichung der Ziele?</w:t>
            </w:r>
            <w:r>
              <w:rPr>
                <w:rFonts w:ascii="Times New Roman" w:hAnsi="Times New Roman"/>
                <w:noProof/>
                <w:sz w:val="24"/>
                <w:szCs w:val="24"/>
              </w:rPr>
              <w:t xml:space="preserve"> </w:t>
            </w:r>
            <w:r>
              <w:rPr>
                <w:rFonts w:ascii="Times New Roman" w:hAnsi="Times New Roman"/>
                <w:b/>
                <w:noProof/>
                <w:sz w:val="24"/>
                <w:szCs w:val="24"/>
              </w:rPr>
              <w:t>Wird eine dieser Optionen bevorzugt? Falls nicht, warum nicht?</w:t>
            </w:r>
          </w:p>
        </w:tc>
      </w:tr>
      <w:tr>
        <w:tc>
          <w:tcPr>
            <w:tcW w:w="10774" w:type="dxa"/>
            <w:tcBorders>
              <w:bottom w:val="single" w:sz="4" w:space="0" w:color="auto"/>
            </w:tcBorders>
            <w:shd w:val="clear" w:color="auto" w:fill="auto"/>
          </w:tcPr>
          <w:p>
            <w:pPr>
              <w:spacing w:after="120"/>
              <w:rPr>
                <w:rFonts w:ascii="Times New Roman" w:hAnsi="Times New Roman" w:cs="Times New Roman"/>
                <w:noProof/>
                <w:sz w:val="24"/>
                <w:szCs w:val="24"/>
              </w:rPr>
            </w:pPr>
            <w:r>
              <w:rPr>
                <w:rFonts w:ascii="Times New Roman" w:hAnsi="Times New Roman"/>
                <w:noProof/>
                <w:sz w:val="24"/>
                <w:szCs w:val="24"/>
              </w:rPr>
              <w:t xml:space="preserve">Es wurden folgende Optionen zur Erreichung der Ziele bewertet: Szenario </w:t>
            </w:r>
            <w:r>
              <w:rPr>
                <w:rFonts w:ascii="Times New Roman" w:hAnsi="Times New Roman"/>
                <w:b/>
                <w:noProof/>
                <w:sz w:val="24"/>
                <w:szCs w:val="24"/>
              </w:rPr>
              <w:t>bei gleichbleibender Politik</w:t>
            </w:r>
            <w:r>
              <w:rPr>
                <w:rFonts w:ascii="Times New Roman" w:hAnsi="Times New Roman"/>
                <w:noProof/>
                <w:sz w:val="24"/>
                <w:szCs w:val="24"/>
              </w:rPr>
              <w:t xml:space="preserve"> (Option 0 – Basisszenario), </w:t>
            </w:r>
            <w:r>
              <w:rPr>
                <w:rFonts w:ascii="Times New Roman" w:hAnsi="Times New Roman"/>
                <w:b/>
                <w:noProof/>
                <w:sz w:val="24"/>
                <w:szCs w:val="24"/>
              </w:rPr>
              <w:t>nicht-regulatorische</w:t>
            </w:r>
            <w:r>
              <w:rPr>
                <w:rFonts w:ascii="Times New Roman" w:hAnsi="Times New Roman"/>
                <w:noProof/>
                <w:sz w:val="24"/>
                <w:szCs w:val="24"/>
              </w:rPr>
              <w:t xml:space="preserve"> Eingriffe (Option 1); </w:t>
            </w:r>
            <w:r>
              <w:rPr>
                <w:rFonts w:ascii="Times New Roman" w:hAnsi="Times New Roman"/>
                <w:b/>
                <w:noProof/>
                <w:sz w:val="24"/>
                <w:szCs w:val="24"/>
              </w:rPr>
              <w:t>gezielte Änderung</w:t>
            </w:r>
            <w:r>
              <w:rPr>
                <w:rFonts w:ascii="Times New Roman" w:hAnsi="Times New Roman"/>
                <w:noProof/>
                <w:sz w:val="24"/>
                <w:szCs w:val="24"/>
              </w:rPr>
              <w:t xml:space="preserve"> der Richtlinie, </w:t>
            </w:r>
            <w:r>
              <w:rPr>
                <w:rFonts w:ascii="Times New Roman" w:hAnsi="Times New Roman"/>
                <w:b/>
                <w:noProof/>
                <w:sz w:val="24"/>
                <w:szCs w:val="24"/>
              </w:rPr>
              <w:t>die ausschließlich darauf gerichtet ist, die Klarheit und Wirksamkeit der derzeitigen Bestimmungen zu erhöhen</w:t>
            </w:r>
            <w:r>
              <w:rPr>
                <w:rFonts w:ascii="Times New Roman" w:hAnsi="Times New Roman"/>
                <w:noProof/>
                <w:sz w:val="24"/>
                <w:szCs w:val="24"/>
              </w:rPr>
              <w:t xml:space="preserve"> (Option 2); </w:t>
            </w:r>
            <w:r>
              <w:rPr>
                <w:rFonts w:ascii="Times New Roman" w:hAnsi="Times New Roman"/>
                <w:b/>
                <w:noProof/>
                <w:sz w:val="24"/>
                <w:szCs w:val="24"/>
              </w:rPr>
              <w:t>umfassende Änderung der Richtlinie</w:t>
            </w:r>
            <w:r>
              <w:rPr>
                <w:rFonts w:ascii="Times New Roman" w:hAnsi="Times New Roman"/>
                <w:noProof/>
                <w:sz w:val="24"/>
                <w:szCs w:val="24"/>
              </w:rPr>
              <w:t xml:space="preserve">, um </w:t>
            </w:r>
            <w:r>
              <w:rPr>
                <w:rFonts w:ascii="Times New Roman" w:hAnsi="Times New Roman"/>
                <w:b/>
                <w:noProof/>
                <w:sz w:val="24"/>
                <w:szCs w:val="24"/>
              </w:rPr>
              <w:t>neue Bestimmungen</w:t>
            </w:r>
            <w:r>
              <w:rPr>
                <w:rFonts w:ascii="Times New Roman" w:hAnsi="Times New Roman"/>
                <w:noProof/>
                <w:sz w:val="24"/>
                <w:szCs w:val="24"/>
              </w:rPr>
              <w:t xml:space="preserve"> aufzunehmen, </w:t>
            </w:r>
            <w:r>
              <w:rPr>
                <w:rFonts w:ascii="Times New Roman" w:hAnsi="Times New Roman"/>
                <w:b/>
                <w:noProof/>
                <w:sz w:val="24"/>
                <w:szCs w:val="24"/>
              </w:rPr>
              <w:t>die mit dem bestehenden Besitzstand der EU im Einklang stehen</w:t>
            </w:r>
            <w:r>
              <w:rPr>
                <w:rFonts w:ascii="Times New Roman" w:hAnsi="Times New Roman"/>
                <w:noProof/>
                <w:sz w:val="24"/>
                <w:szCs w:val="24"/>
              </w:rPr>
              <w:t xml:space="preserve"> (Option3a), oder um </w:t>
            </w:r>
            <w:r>
              <w:rPr>
                <w:rFonts w:ascii="Times New Roman" w:hAnsi="Times New Roman"/>
                <w:b/>
                <w:noProof/>
                <w:sz w:val="24"/>
                <w:szCs w:val="24"/>
              </w:rPr>
              <w:t>neue Bestimmungen</w:t>
            </w:r>
            <w:r>
              <w:rPr>
                <w:rFonts w:ascii="Times New Roman" w:hAnsi="Times New Roman"/>
                <w:noProof/>
                <w:sz w:val="24"/>
                <w:szCs w:val="24"/>
              </w:rPr>
              <w:t xml:space="preserve"> aufzunehmen, </w:t>
            </w:r>
            <w:r>
              <w:rPr>
                <w:rFonts w:ascii="Times New Roman" w:hAnsi="Times New Roman"/>
                <w:b/>
                <w:noProof/>
                <w:sz w:val="24"/>
                <w:szCs w:val="24"/>
              </w:rPr>
              <w:t>die über den bestehenden EU-Besitzstand hinausgehen</w:t>
            </w:r>
            <w:r>
              <w:rPr>
                <w:rFonts w:ascii="Times New Roman" w:hAnsi="Times New Roman"/>
                <w:noProof/>
                <w:sz w:val="24"/>
                <w:szCs w:val="24"/>
              </w:rPr>
              <w:t xml:space="preserve"> (Option 3b). Auf der Grundlage der durchgeführten Bewertung </w:t>
            </w:r>
            <w:r>
              <w:rPr>
                <w:rFonts w:ascii="Times New Roman" w:hAnsi="Times New Roman"/>
                <w:b/>
                <w:noProof/>
                <w:sz w:val="24"/>
                <w:szCs w:val="24"/>
              </w:rPr>
              <w:t>wäre Option 3a die bevorzugte Option, flankiert durch bestimmte kostenwirksame Maßnahmen anderer Optionen</w:t>
            </w:r>
            <w:r>
              <w:rPr>
                <w:rFonts w:ascii="Times New Roman" w:hAnsi="Times New Roman"/>
                <w:noProof/>
                <w:sz w:val="24"/>
                <w:szCs w:val="24"/>
              </w:rPr>
              <w:t>.</w:t>
            </w:r>
          </w:p>
        </w:tc>
      </w:tr>
      <w:tr>
        <w:tc>
          <w:tcPr>
            <w:tcW w:w="10774" w:type="dxa"/>
            <w:shd w:val="clear" w:color="auto" w:fill="CCCCCC"/>
          </w:tcPr>
          <w:p>
            <w:pPr>
              <w:spacing w:after="120"/>
              <w:rPr>
                <w:rFonts w:ascii="Times New Roman" w:hAnsi="Times New Roman" w:cs="Times New Roman"/>
                <w:noProof/>
                <w:sz w:val="24"/>
                <w:szCs w:val="24"/>
              </w:rPr>
            </w:pPr>
            <w:r>
              <w:rPr>
                <w:rFonts w:ascii="Times New Roman" w:hAnsi="Times New Roman"/>
                <w:b/>
                <w:noProof/>
                <w:sz w:val="24"/>
                <w:szCs w:val="24"/>
              </w:rPr>
              <w:t xml:space="preserve">Welchen Standpunkt vertreten die verschiedenen Interessenträger? Wer unterstützt welche Option? </w:t>
            </w:r>
          </w:p>
        </w:tc>
      </w:tr>
      <w:tr>
        <w:tc>
          <w:tcPr>
            <w:tcW w:w="10774" w:type="dxa"/>
            <w:shd w:val="clear" w:color="auto" w:fill="auto"/>
          </w:tcPr>
          <w:p>
            <w:pPr>
              <w:spacing w:after="120"/>
              <w:rPr>
                <w:rFonts w:ascii="Times New Roman" w:hAnsi="Times New Roman" w:cs="Times New Roman"/>
                <w:noProof/>
                <w:sz w:val="24"/>
                <w:szCs w:val="24"/>
              </w:rPr>
            </w:pPr>
            <w:r>
              <w:rPr>
                <w:rFonts w:ascii="Times New Roman" w:hAnsi="Times New Roman"/>
                <w:b/>
                <w:noProof/>
                <w:sz w:val="24"/>
                <w:szCs w:val="24"/>
              </w:rPr>
              <w:t>Verbraucherorganisationen</w:t>
            </w:r>
            <w:r>
              <w:rPr>
                <w:rFonts w:ascii="Times New Roman" w:hAnsi="Times New Roman"/>
                <w:noProof/>
                <w:sz w:val="24"/>
                <w:szCs w:val="24"/>
              </w:rPr>
              <w:t xml:space="preserve"> befürworten eine umfassende Überarbeitung der Richtlinie (Optionen 3a und 3b). </w:t>
            </w:r>
            <w:r>
              <w:rPr>
                <w:rFonts w:ascii="Times New Roman" w:hAnsi="Times New Roman"/>
                <w:b/>
                <w:noProof/>
                <w:sz w:val="24"/>
                <w:szCs w:val="24"/>
              </w:rPr>
              <w:t>Die nationalen Behörden</w:t>
            </w:r>
            <w:r>
              <w:rPr>
                <w:rFonts w:ascii="Times New Roman" w:hAnsi="Times New Roman"/>
                <w:noProof/>
                <w:sz w:val="24"/>
                <w:szCs w:val="24"/>
              </w:rPr>
              <w:t xml:space="preserve"> unterstützen im Allgemeinen eine Änderung der Rechtsvorschriften (Optionen 2, 3a und 3b), wobei sich eine Reihe von Mitgliedstaaten für eine umfassende Änderung der Rechtsvorschriften ausspricht, um alle ermittelten Probleme anzugehen (Option 3a oder 3b). Die meisten </w:t>
            </w:r>
            <w:r>
              <w:rPr>
                <w:rFonts w:ascii="Times New Roman" w:hAnsi="Times New Roman"/>
                <w:b/>
                <w:noProof/>
                <w:sz w:val="24"/>
                <w:szCs w:val="24"/>
              </w:rPr>
              <w:t>Branchenakteure</w:t>
            </w:r>
            <w:r>
              <w:rPr>
                <w:rFonts w:ascii="Times New Roman" w:hAnsi="Times New Roman"/>
                <w:noProof/>
                <w:sz w:val="24"/>
                <w:szCs w:val="24"/>
              </w:rPr>
              <w:t xml:space="preserve"> befürworten nicht-regulatorische Eingriffe (Option 1) oder gezielte Änderungen der Richtlinie (Option 2), um sie an die Entwicklungen im Bereich der Digitalisierung anzupassen.</w:t>
            </w:r>
            <w:r>
              <w:rPr>
                <w:rFonts w:ascii="Times New Roman" w:hAnsi="Times New Roman"/>
                <w:b/>
                <w:noProof/>
                <w:sz w:val="24"/>
                <w:szCs w:val="24"/>
              </w:rPr>
              <w:t xml:space="preserve"> </w:t>
            </w:r>
          </w:p>
        </w:tc>
      </w:tr>
      <w:tr>
        <w:tc>
          <w:tcPr>
            <w:tcW w:w="10774" w:type="dxa"/>
            <w:tcBorders>
              <w:bottom w:val="single" w:sz="4" w:space="0" w:color="auto"/>
            </w:tcBorders>
            <w:shd w:val="clear" w:color="auto" w:fill="CCCCCC"/>
          </w:tcPr>
          <w:p>
            <w:pPr>
              <w:spacing w:after="120"/>
              <w:rPr>
                <w:rFonts w:ascii="Times New Roman" w:hAnsi="Times New Roman" w:cs="Times New Roman"/>
                <w:b/>
                <w:noProof/>
                <w:sz w:val="24"/>
                <w:szCs w:val="24"/>
              </w:rPr>
            </w:pPr>
            <w:r>
              <w:rPr>
                <w:rFonts w:ascii="Times New Roman" w:hAnsi="Times New Roman"/>
                <w:b/>
                <w:noProof/>
                <w:sz w:val="24"/>
                <w:szCs w:val="24"/>
              </w:rPr>
              <w:t>C. Auswirkungen der bevorzugten Option</w:t>
            </w:r>
          </w:p>
        </w:tc>
      </w:tr>
      <w:tr>
        <w:tc>
          <w:tcPr>
            <w:tcW w:w="10774" w:type="dxa"/>
            <w:tcBorders>
              <w:bottom w:val="single" w:sz="4" w:space="0" w:color="auto"/>
            </w:tcBorders>
            <w:shd w:val="clear" w:color="auto" w:fill="E6E6E6"/>
          </w:tcPr>
          <w:p>
            <w:pPr>
              <w:spacing w:after="120"/>
              <w:rPr>
                <w:rFonts w:ascii="Times New Roman" w:hAnsi="Times New Roman" w:cs="Times New Roman"/>
                <w:noProof/>
                <w:sz w:val="24"/>
                <w:szCs w:val="24"/>
              </w:rPr>
            </w:pPr>
            <w:r>
              <w:rPr>
                <w:rFonts w:ascii="Times New Roman" w:hAnsi="Times New Roman"/>
                <w:b/>
                <w:noProof/>
                <w:sz w:val="24"/>
                <w:szCs w:val="24"/>
              </w:rPr>
              <w:t>Worin bestehen die Vorteile der bevorzugten Option bzw. der wesentlichen Optionen?</w:t>
            </w:r>
            <w:r>
              <w:rPr>
                <w:rFonts w:ascii="Times New Roman" w:hAnsi="Times New Roman"/>
                <w:noProof/>
                <w:sz w:val="24"/>
                <w:szCs w:val="24"/>
              </w:rPr>
              <w:t xml:space="preserve"> </w:t>
            </w:r>
          </w:p>
        </w:tc>
      </w:tr>
      <w:tr>
        <w:tc>
          <w:tcPr>
            <w:tcW w:w="10774" w:type="dxa"/>
            <w:tcBorders>
              <w:bottom w:val="single" w:sz="4" w:space="0" w:color="auto"/>
            </w:tcBorders>
            <w:shd w:val="clear" w:color="auto" w:fill="auto"/>
          </w:tcPr>
          <w:p>
            <w:pPr>
              <w:spacing w:after="120"/>
              <w:rPr>
                <w:rFonts w:ascii="Times New Roman" w:hAnsi="Times New Roman" w:cs="Times New Roman"/>
                <w:noProof/>
                <w:sz w:val="24"/>
                <w:szCs w:val="24"/>
              </w:rPr>
            </w:pPr>
            <w:r>
              <w:rPr>
                <w:rFonts w:ascii="Times New Roman" w:hAnsi="Times New Roman"/>
                <w:noProof/>
                <w:sz w:val="24"/>
                <w:szCs w:val="24"/>
              </w:rPr>
              <w:t xml:space="preserve">Die </w:t>
            </w:r>
            <w:r>
              <w:rPr>
                <w:rFonts w:ascii="Times New Roman" w:hAnsi="Times New Roman"/>
                <w:b/>
                <w:noProof/>
                <w:sz w:val="24"/>
                <w:szCs w:val="24"/>
              </w:rPr>
              <w:t>bevorzugte Option wäre sehr wirksam</w:t>
            </w:r>
            <w:r>
              <w:rPr>
                <w:rFonts w:ascii="Times New Roman" w:hAnsi="Times New Roman"/>
                <w:noProof/>
                <w:sz w:val="24"/>
                <w:szCs w:val="24"/>
              </w:rPr>
              <w:t xml:space="preserve">, um die Ziele der Initiative zu erreichen, würde ein </w:t>
            </w:r>
            <w:r>
              <w:rPr>
                <w:rFonts w:ascii="Times New Roman" w:hAnsi="Times New Roman"/>
                <w:b/>
                <w:noProof/>
                <w:sz w:val="24"/>
                <w:szCs w:val="24"/>
              </w:rPr>
              <w:t>hohes Maß an Kohärenz</w:t>
            </w:r>
            <w:r>
              <w:rPr>
                <w:rFonts w:ascii="Times New Roman" w:hAnsi="Times New Roman"/>
                <w:noProof/>
                <w:sz w:val="24"/>
                <w:szCs w:val="24"/>
              </w:rPr>
              <w:t xml:space="preserve"> mit den EU-Rechtsvorschriften sicherstellen und wäre </w:t>
            </w:r>
            <w:r>
              <w:rPr>
                <w:rFonts w:ascii="Times New Roman" w:hAnsi="Times New Roman"/>
                <w:b/>
                <w:noProof/>
                <w:sz w:val="24"/>
                <w:szCs w:val="24"/>
              </w:rPr>
              <w:t>effizient</w:t>
            </w:r>
            <w:r>
              <w:rPr>
                <w:rFonts w:ascii="Times New Roman" w:hAnsi="Times New Roman"/>
                <w:noProof/>
                <w:sz w:val="24"/>
                <w:szCs w:val="24"/>
              </w:rPr>
              <w:t xml:space="preserve"> in Bezug auf die bewerteten wirtschaftlichen und sozialen Auswirkungen. Sie dürfte sich positiv auf den Verbraucherschutz auswirken, Nachteile verringern sowie Vertrauen und Inklusion stärken. Die bevorzugte Option dürfte zudem durch die Verringerung der Fragmentierung des derzeitigen Rechtsrahmens die gleichen Wettbewerbsbedingungen in und zwischen den Mitgliedstaaten stärken. Die quantifizierten Maßnahmen im Rahmen der bevorzugten Option würden im Zeitraum 2021-2030 zu einer Verringerung der Nachteile für die Verbraucher um rund 2 Mrd. EUR führen. Hinzu kommen Vorteile, die sich aus Maßnahmen zur Schuldenberatung und Obergrenzen für effektive Jahreszinssätze ergeben, die als sehr vorteilhaft für die Verbraucher und die Gesellschaft angesehen werden. Sie würden auch eine Verringerung des Verwaltungsaufwands für Unternehmen aufgrund größerer Rechtsklarheit, eine Vereinfachung der Informationspflichten für Werbung auf Radiokanälen (14 Mio. EUR) und eine Anpassung der Informationspflicht für die digitale Nutzung mit sich bringen.</w:t>
            </w:r>
          </w:p>
        </w:tc>
      </w:tr>
      <w:tr>
        <w:tc>
          <w:tcPr>
            <w:tcW w:w="10774" w:type="dxa"/>
            <w:tcBorders>
              <w:bottom w:val="single" w:sz="4" w:space="0" w:color="auto"/>
            </w:tcBorders>
            <w:shd w:val="clear" w:color="auto" w:fill="E6E6E6"/>
          </w:tcPr>
          <w:p>
            <w:pPr>
              <w:spacing w:after="120"/>
              <w:rPr>
                <w:rFonts w:ascii="Times New Roman" w:hAnsi="Times New Roman" w:cs="Times New Roman"/>
                <w:noProof/>
                <w:sz w:val="24"/>
                <w:szCs w:val="24"/>
              </w:rPr>
            </w:pPr>
            <w:r>
              <w:rPr>
                <w:rFonts w:ascii="Times New Roman" w:hAnsi="Times New Roman"/>
                <w:b/>
                <w:noProof/>
                <w:sz w:val="24"/>
                <w:szCs w:val="24"/>
              </w:rPr>
              <w:t>Welche Kosten entstehen bei Umsetzung der bevorzugten Option bzw. der wichtigsten Optionen?</w:t>
            </w:r>
            <w:r>
              <w:rPr>
                <w:rFonts w:ascii="Times New Roman" w:hAnsi="Times New Roman"/>
                <w:noProof/>
                <w:sz w:val="24"/>
                <w:szCs w:val="24"/>
              </w:rPr>
              <w:t xml:space="preserve"> </w:t>
            </w:r>
          </w:p>
        </w:tc>
      </w:tr>
      <w:tr>
        <w:tc>
          <w:tcPr>
            <w:tcW w:w="10774" w:type="dxa"/>
            <w:tcBorders>
              <w:bottom w:val="single" w:sz="4" w:space="0" w:color="auto"/>
            </w:tcBorders>
            <w:shd w:val="clear" w:color="auto" w:fill="auto"/>
          </w:tcPr>
          <w:p>
            <w:pPr>
              <w:spacing w:after="120"/>
              <w:rPr>
                <w:rFonts w:ascii="Times New Roman" w:hAnsi="Times New Roman" w:cs="Times New Roman"/>
                <w:noProof/>
                <w:sz w:val="24"/>
                <w:szCs w:val="24"/>
              </w:rPr>
            </w:pPr>
            <w:r>
              <w:rPr>
                <w:rFonts w:ascii="Times New Roman" w:hAnsi="Times New Roman"/>
                <w:noProof/>
                <w:sz w:val="24"/>
                <w:szCs w:val="24"/>
              </w:rPr>
              <w:t>Die Kreditgeber würden den größten Teil der Umsetzungskosten der neuen Richtlinie tragen, und einige Maßnahmen (z. B. Obergrenzen) wären für Anbieter von Produkten, die derzeit nicht unter die Richtlinie fallen, teurer. Die Kosten der quantifizierten Maßnahmen für Banken werden auf 1,4 bis 1,5 Mrd. EUR geschätzt. In einem nicht bestimmbaren Umfang dürften Kosten auf die Verbraucher abgewälzt werden.</w:t>
            </w:r>
          </w:p>
        </w:tc>
      </w:tr>
      <w:tr>
        <w:tc>
          <w:tcPr>
            <w:tcW w:w="10774" w:type="dxa"/>
            <w:tcBorders>
              <w:bottom w:val="single" w:sz="4" w:space="0" w:color="auto"/>
            </w:tcBorders>
            <w:shd w:val="clear" w:color="auto" w:fill="E6E6E6"/>
          </w:tcPr>
          <w:p>
            <w:pPr>
              <w:keepNext/>
              <w:spacing w:after="120"/>
              <w:rPr>
                <w:rFonts w:ascii="Times New Roman" w:hAnsi="Times New Roman" w:cs="Times New Roman"/>
                <w:noProof/>
                <w:sz w:val="24"/>
                <w:szCs w:val="24"/>
              </w:rPr>
            </w:pPr>
            <w:r>
              <w:rPr>
                <w:rFonts w:ascii="Times New Roman" w:hAnsi="Times New Roman"/>
                <w:b/>
                <w:noProof/>
                <w:sz w:val="24"/>
                <w:szCs w:val="24"/>
              </w:rPr>
              <w:t xml:space="preserve">Welche Auswirkungen hat die Initiative auf KMU und Wettbewerbsfähigkeit? </w:t>
            </w:r>
          </w:p>
        </w:tc>
      </w:tr>
      <w:tr>
        <w:tc>
          <w:tcPr>
            <w:tcW w:w="10774" w:type="dxa"/>
            <w:tcBorders>
              <w:bottom w:val="single" w:sz="4" w:space="0" w:color="auto"/>
            </w:tcBorders>
            <w:shd w:val="clear" w:color="auto" w:fill="auto"/>
          </w:tcPr>
          <w:p>
            <w:pPr>
              <w:spacing w:after="120"/>
              <w:rPr>
                <w:rFonts w:ascii="Times New Roman" w:hAnsi="Times New Roman" w:cs="Times New Roman"/>
                <w:noProof/>
                <w:sz w:val="24"/>
                <w:szCs w:val="24"/>
              </w:rPr>
            </w:pPr>
            <w:r>
              <w:rPr>
                <w:rFonts w:ascii="Times New Roman" w:hAnsi="Times New Roman"/>
                <w:noProof/>
                <w:sz w:val="24"/>
                <w:szCs w:val="24"/>
              </w:rPr>
              <w:t xml:space="preserve">Spezifische Auswirkungen auf KMU wurden nicht als signifikant eingestuft, weshalb sie nicht getrennt bewertet wurden. Die vorgeschlagenen Maßnahmen würden sich stärker auf Kreditgeber auswirken, die derzeit nicht regulierte Produkte anbieten. Einige von ihnen können ohne Anpassung ihrer derzeitigen Geschäftsmodelle, die häufig erhebliche Risiken für die Verbraucher mit sich bringen und die nach den neuen Vorschriften nicht mehr rentabel wären, sogar vom Markt verschwinden. </w:t>
            </w:r>
          </w:p>
        </w:tc>
      </w:tr>
      <w:tr>
        <w:tc>
          <w:tcPr>
            <w:tcW w:w="10774" w:type="dxa"/>
            <w:tcBorders>
              <w:bottom w:val="single" w:sz="4" w:space="0" w:color="auto"/>
            </w:tcBorders>
            <w:shd w:val="clear" w:color="auto" w:fill="E6E6E6"/>
          </w:tcPr>
          <w:p>
            <w:pPr>
              <w:spacing w:after="120"/>
              <w:rPr>
                <w:rFonts w:ascii="Times New Roman" w:hAnsi="Times New Roman" w:cs="Times New Roman"/>
                <w:b/>
                <w:i/>
                <w:noProof/>
                <w:sz w:val="24"/>
                <w:szCs w:val="24"/>
              </w:rPr>
            </w:pPr>
            <w:r>
              <w:rPr>
                <w:rFonts w:ascii="Times New Roman" w:hAnsi="Times New Roman"/>
                <w:b/>
                <w:noProof/>
                <w:sz w:val="24"/>
                <w:szCs w:val="24"/>
              </w:rPr>
              <w:t>Wird es spürbare Auswirkungen auf nationale Haushalte und Behörden geben?</w:t>
            </w:r>
            <w:r>
              <w:rPr>
                <w:rFonts w:ascii="Times New Roman" w:hAnsi="Times New Roman"/>
                <w:noProof/>
                <w:sz w:val="24"/>
                <w:szCs w:val="24"/>
              </w:rPr>
              <w:t xml:space="preserve"> </w:t>
            </w:r>
          </w:p>
        </w:tc>
      </w:tr>
      <w:tr>
        <w:tc>
          <w:tcPr>
            <w:tcW w:w="10774" w:type="dxa"/>
            <w:shd w:val="clear" w:color="auto" w:fill="auto"/>
          </w:tcPr>
          <w:p>
            <w:pPr>
              <w:spacing w:after="120"/>
              <w:rPr>
                <w:rFonts w:ascii="Times New Roman" w:hAnsi="Times New Roman" w:cs="Times New Roman"/>
                <w:noProof/>
                <w:sz w:val="24"/>
                <w:szCs w:val="24"/>
              </w:rPr>
            </w:pPr>
            <w:r>
              <w:rPr>
                <w:rFonts w:ascii="Times New Roman" w:hAnsi="Times New Roman"/>
                <w:noProof/>
                <w:sz w:val="24"/>
                <w:szCs w:val="24"/>
              </w:rPr>
              <w:t>Die vorgeschlagenen Änderungen der Rechtsvorschriften dürften für die EU und die nationalen Behörden moderate Kosten mit sich bringen (rund 3 Mio. EUR). Die Kosten würden jedoch zumeist einmalig sein, während die Vorteile von Dauer wären. Darüber hinaus dürfte die größere Rechtsklarheit die Durchsetzung erleichtern und letztlich positive Auswirkungen haben. Die Bereitstellung von Schuldenberatungsdiensten in allen Mitgliedstaaten würde Beträge von über 20 Mio. EUR pro Jahr erfordern. Allerdings wird jeder Euro, der für Schuldenberatung ausgegeben wird, schätzungsweise zwischen 1,4 und 5,3 EUR an entsprechendem Nutzen erbringen, was hauptsächlich auf die eingesparten sozialen Kosten vermiedener Überschuldungen zurückzuführen ist.</w:t>
            </w:r>
          </w:p>
        </w:tc>
      </w:tr>
      <w:tr>
        <w:tc>
          <w:tcPr>
            <w:tcW w:w="10774" w:type="dxa"/>
            <w:tcBorders>
              <w:bottom w:val="single" w:sz="4" w:space="0" w:color="auto"/>
            </w:tcBorders>
            <w:shd w:val="clear" w:color="auto" w:fill="E6E6E6"/>
          </w:tcPr>
          <w:p>
            <w:pPr>
              <w:spacing w:after="120"/>
              <w:rPr>
                <w:rFonts w:ascii="Times New Roman" w:hAnsi="Times New Roman" w:cs="Times New Roman"/>
                <w:noProof/>
                <w:sz w:val="24"/>
                <w:szCs w:val="24"/>
              </w:rPr>
            </w:pPr>
            <w:r>
              <w:rPr>
                <w:rFonts w:ascii="Times New Roman" w:hAnsi="Times New Roman"/>
                <w:b/>
                <w:noProof/>
                <w:sz w:val="24"/>
                <w:szCs w:val="24"/>
              </w:rPr>
              <w:t>Wird es andere nennenswerte Auswirkungen geben?</w:t>
            </w:r>
            <w:r>
              <w:rPr>
                <w:rFonts w:ascii="Times New Roman" w:hAnsi="Times New Roman"/>
                <w:noProof/>
                <w:sz w:val="24"/>
                <w:szCs w:val="24"/>
              </w:rPr>
              <w:t xml:space="preserve"> </w:t>
            </w:r>
          </w:p>
        </w:tc>
      </w:tr>
      <w:tr>
        <w:tc>
          <w:tcPr>
            <w:tcW w:w="10774" w:type="dxa"/>
            <w:tcBorders>
              <w:bottom w:val="single" w:sz="4" w:space="0" w:color="auto"/>
            </w:tcBorders>
            <w:shd w:val="clear" w:color="auto" w:fill="auto"/>
          </w:tcPr>
          <w:p>
            <w:pPr>
              <w:spacing w:after="120"/>
              <w:rPr>
                <w:rFonts w:ascii="Times New Roman" w:hAnsi="Times New Roman" w:cs="Times New Roman"/>
                <w:noProof/>
                <w:sz w:val="24"/>
                <w:szCs w:val="24"/>
              </w:rPr>
            </w:pPr>
            <w:r>
              <w:rPr>
                <w:rFonts w:ascii="Times New Roman" w:hAnsi="Times New Roman"/>
                <w:noProof/>
                <w:sz w:val="24"/>
                <w:szCs w:val="24"/>
              </w:rPr>
              <w:t>Die Auswirkungen der Initiative auf die Umwelt (z. B. Umweltrisiken oder Klimawandel) dürften vernachlässigbar sein, daher wurden sie nicht bewertet. Die Initiative dürfte keine anderen nennenswerten Auswirkungen haben.</w:t>
            </w:r>
          </w:p>
        </w:tc>
      </w:tr>
      <w:tr>
        <w:tc>
          <w:tcPr>
            <w:tcW w:w="10774" w:type="dxa"/>
            <w:tcBorders>
              <w:bottom w:val="single" w:sz="4" w:space="0" w:color="auto"/>
            </w:tcBorders>
            <w:shd w:val="clear" w:color="auto" w:fill="D9D9D9"/>
          </w:tcPr>
          <w:p>
            <w:pPr>
              <w:spacing w:after="120"/>
              <w:rPr>
                <w:rFonts w:ascii="Times New Roman" w:hAnsi="Times New Roman" w:cs="Times New Roman"/>
                <w:i/>
                <w:noProof/>
                <w:sz w:val="24"/>
                <w:szCs w:val="24"/>
              </w:rPr>
            </w:pPr>
            <w:r>
              <w:rPr>
                <w:rFonts w:ascii="Times New Roman" w:hAnsi="Times New Roman"/>
                <w:b/>
                <w:noProof/>
                <w:sz w:val="24"/>
                <w:szCs w:val="24"/>
              </w:rPr>
              <w:t>Verhältnismäßigkeit</w:t>
            </w:r>
            <w:r>
              <w:rPr>
                <w:rFonts w:ascii="Times New Roman" w:hAnsi="Times New Roman"/>
                <w:noProof/>
                <w:sz w:val="24"/>
                <w:szCs w:val="24"/>
              </w:rPr>
              <w:t xml:space="preserve"> </w:t>
            </w:r>
          </w:p>
        </w:tc>
      </w:tr>
      <w:tr>
        <w:tc>
          <w:tcPr>
            <w:tcW w:w="10774" w:type="dxa"/>
            <w:tcBorders>
              <w:bottom w:val="single" w:sz="4" w:space="0" w:color="auto"/>
            </w:tcBorders>
            <w:shd w:val="clear" w:color="auto" w:fill="auto"/>
          </w:tcPr>
          <w:p>
            <w:pPr>
              <w:spacing w:after="120"/>
              <w:rPr>
                <w:rFonts w:ascii="Times New Roman" w:hAnsi="Times New Roman" w:cs="Times New Roman"/>
                <w:i/>
                <w:noProof/>
                <w:sz w:val="24"/>
                <w:szCs w:val="24"/>
              </w:rPr>
            </w:pPr>
            <w:r>
              <w:rPr>
                <w:rFonts w:ascii="Times New Roman" w:hAnsi="Times New Roman"/>
                <w:noProof/>
                <w:sz w:val="24"/>
                <w:szCs w:val="24"/>
              </w:rPr>
              <w:t xml:space="preserve">Entsprechend dem Grundsatz der Verhältnismäßigkeit </w:t>
            </w:r>
            <w:r>
              <w:rPr>
                <w:rFonts w:ascii="Times New Roman" w:hAnsi="Times New Roman"/>
                <w:b/>
                <w:noProof/>
                <w:sz w:val="24"/>
                <w:szCs w:val="24"/>
              </w:rPr>
              <w:t>gehen die vorgeschlagenen Maßnahmen nicht über das</w:t>
            </w:r>
            <w:r>
              <w:rPr>
                <w:rFonts w:ascii="Times New Roman" w:hAnsi="Times New Roman"/>
                <w:noProof/>
                <w:sz w:val="24"/>
                <w:szCs w:val="24"/>
              </w:rPr>
              <w:t xml:space="preserve"> zum Erreichen der Ziele </w:t>
            </w:r>
            <w:r>
              <w:rPr>
                <w:rFonts w:ascii="Times New Roman" w:hAnsi="Times New Roman"/>
                <w:b/>
                <w:noProof/>
                <w:sz w:val="24"/>
                <w:szCs w:val="24"/>
              </w:rPr>
              <w:t>erforderliche Maß hinaus</w:t>
            </w:r>
            <w:r>
              <w:rPr>
                <w:rFonts w:ascii="Times New Roman" w:hAnsi="Times New Roman"/>
                <w:noProof/>
                <w:sz w:val="24"/>
                <w:szCs w:val="24"/>
              </w:rPr>
              <w:t>. Die bevorzugte Option wäre zwar mit hohen Kosten für die Anbieter verbunden, würde jedoch auch für einen ehrgeizigen und zukunftssicheren Ansatz stehen, der den Verbrauchern und der Gesellschaft einen noch höheren Nutzen bringt.</w:t>
            </w:r>
          </w:p>
        </w:tc>
      </w:tr>
      <w:tr>
        <w:tc>
          <w:tcPr>
            <w:tcW w:w="10774" w:type="dxa"/>
            <w:tcBorders>
              <w:bottom w:val="single" w:sz="4" w:space="0" w:color="auto"/>
            </w:tcBorders>
            <w:shd w:val="clear" w:color="auto" w:fill="C0C0C0"/>
          </w:tcPr>
          <w:p>
            <w:pPr>
              <w:spacing w:after="120"/>
              <w:rPr>
                <w:rFonts w:ascii="Times New Roman" w:hAnsi="Times New Roman" w:cs="Times New Roman"/>
                <w:b/>
                <w:noProof/>
                <w:sz w:val="24"/>
                <w:szCs w:val="24"/>
              </w:rPr>
            </w:pPr>
            <w:r>
              <w:rPr>
                <w:rFonts w:ascii="Times New Roman" w:hAnsi="Times New Roman"/>
                <w:b/>
                <w:noProof/>
                <w:sz w:val="24"/>
                <w:szCs w:val="24"/>
              </w:rPr>
              <w:t>D. Folgemaßnahmen</w:t>
            </w:r>
          </w:p>
        </w:tc>
      </w:tr>
      <w:tr>
        <w:tc>
          <w:tcPr>
            <w:tcW w:w="10774" w:type="dxa"/>
            <w:tcBorders>
              <w:bottom w:val="single" w:sz="4" w:space="0" w:color="auto"/>
            </w:tcBorders>
            <w:shd w:val="clear" w:color="auto" w:fill="E6E6E6"/>
          </w:tcPr>
          <w:p>
            <w:pPr>
              <w:spacing w:after="120"/>
              <w:rPr>
                <w:rFonts w:ascii="Times New Roman" w:hAnsi="Times New Roman" w:cs="Times New Roman"/>
                <w:noProof/>
                <w:sz w:val="24"/>
                <w:szCs w:val="24"/>
              </w:rPr>
            </w:pPr>
            <w:r>
              <w:rPr>
                <w:rFonts w:ascii="Times New Roman" w:hAnsi="Times New Roman"/>
                <w:b/>
                <w:noProof/>
                <w:sz w:val="24"/>
                <w:szCs w:val="24"/>
              </w:rPr>
              <w:t xml:space="preserve">Wann wird die Maßnahme überprüft? </w:t>
            </w:r>
          </w:p>
        </w:tc>
      </w:tr>
      <w:tr>
        <w:tc>
          <w:tcPr>
            <w:tcW w:w="10774" w:type="dxa"/>
            <w:tcBorders>
              <w:bottom w:val="single" w:sz="4" w:space="0" w:color="auto"/>
            </w:tcBorders>
            <w:shd w:val="clear" w:color="auto" w:fill="auto"/>
          </w:tcPr>
          <w:p>
            <w:pPr>
              <w:spacing w:after="120"/>
              <w:rPr>
                <w:rFonts w:ascii="Times New Roman" w:eastAsia="Calibri" w:hAnsi="Times New Roman" w:cs="Times New Roman"/>
                <w:noProof/>
                <w:sz w:val="24"/>
                <w:szCs w:val="24"/>
              </w:rPr>
            </w:pPr>
            <w:r>
              <w:rPr>
                <w:rFonts w:ascii="Times New Roman" w:hAnsi="Times New Roman"/>
                <w:noProof/>
                <w:sz w:val="24"/>
                <w:szCs w:val="24"/>
              </w:rPr>
              <w:t xml:space="preserve">Die Kommission wird die Umsetzung der überarbeiteten Richtlinie, sofern sie angenommen wird, nach ihrem Inkrafttreten überwachen. Eine Verpflichtung zur Bewertung der Auswirkungen der neuen Rechtsvorschriften wird in den Vorschlagsentwurf aufgenommen. Die Kommission wird in erster Linie für die Überwachung der Auswirkungen der Richtlinie zuständig sein, und zwar auf der Grundlage der von den Behörden der Mitgliedstaaten und den Kreditgebern bereitgestellten Daten, die nach Möglichkeit auf vorhandenen Datenquellen beruhen, um zusätzliche Belastungen für die verschiedenen Interessenträger zu vermeiden. </w:t>
            </w:r>
          </w:p>
        </w:tc>
      </w:tr>
    </w:tbl>
    <w:p>
      <w:pPr>
        <w:spacing w:after="120"/>
        <w:rPr>
          <w:noProof/>
        </w:rPr>
      </w:pPr>
    </w:p>
    <w:p>
      <w:pPr>
        <w:rPr>
          <w:noProof/>
        </w:rPr>
      </w:pPr>
    </w:p>
    <w:sectPr>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rPr>
        <w:rFonts w:ascii="Arial" w:hAnsi="Arial" w:cs="Arial"/>
        <w:b/>
        <w:sz w:val="48"/>
      </w:rPr>
    </w:pPr>
    <w:r>
      <w:rPr>
        <w:rFonts w:ascii="Arial" w:hAnsi="Arial" w:cs="Arial"/>
        <w:b/>
        <w:sz w:val="48"/>
      </w:rPr>
      <w:t>DE</w:t>
    </w:r>
    <w:r>
      <w:rPr>
        <w:rFonts w:ascii="Arial" w:hAnsi="Arial" w:cs="Arial"/>
        <w:b/>
        <w:sz w:val="48"/>
      </w:rPr>
      <w:tab/>
    </w:r>
    <w:r>
      <w:rPr>
        <w:rFonts w:ascii="Arial" w:hAnsi="Arial" w:cs="Arial"/>
        <w:b/>
        <w:sz w:val="48"/>
      </w:rPr>
      <w:tab/>
    </w:r>
    <w:r>
      <w:tab/>
    </w:r>
    <w:r>
      <w:rPr>
        <w:rFonts w:ascii="Arial" w:hAnsi="Arial" w:cs="Arial"/>
        <w:b/>
        <w:sz w:val="48"/>
      </w:rPr>
      <w:t>DE</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CoverPage"/>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CoverPage"/>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hideGrammaticalErrors/>
  <w:defaultTabStop w:val="720"/>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ACCOMPAGNANT.CP" w:val="Begleitunterlage zum"/>
    <w:docVar w:name="LW_CORRIGENDUM" w:val="&lt;UNUSED&gt;"/>
    <w:docVar w:name="LW_COVERPAGE_EXISTS" w:val="True"/>
    <w:docVar w:name="LW_COVERPAGE_GUID" w:val="01976039-81E0-4D47-B2FA-C26B8E7CA70A"/>
    <w:docVar w:name="LW_COVERPAGE_TYPE" w:val="1"/>
    <w:docVar w:name="LW_CROSSREFERENCE" w:val="{COM(2021) 347 final} - {SEC(2021) 281 final} - {SWD(2021) 170 final}"/>
    <w:docVar w:name="LW_DocType" w:val="NORMAL"/>
    <w:docVar w:name="LW_EMISSION" w:val="30.6.2021"/>
    <w:docVar w:name="LW_EMISSION_ISODATE" w:val="2021-06-30"/>
    <w:docVar w:name="LW_EMISSION_LOCATION" w:val="BRX"/>
    <w:docVar w:name="LW_EMISSION_PREFIX" w:val="Brüssel, den "/>
    <w:docVar w:name="LW_EMISSION_SUFFIX" w:val=" "/>
    <w:docVar w:name="LW_ID_DOCTYPE_NONLW" w:val="CP-027"/>
    <w:docVar w:name="LW_LANGUE" w:val="DE"/>
    <w:docVar w:name="LW_LEVEL_OF_SENSITIVITY" w:val="Standard treatment"/>
    <w:docVar w:name="LW_NOM.INST" w:val="EUROPÄISCHE KOMMISSION"/>
    <w:docVar w:name="LW_NOM.INST_JOINTDOC" w:val="&lt;EMPTY&gt;"/>
    <w:docVar w:name="LW_OBJETACTEPRINCIPAL.CP" w:val="über Verbraucherkredite"/>
    <w:docVar w:name="LW_PART_NBR" w:val="1"/>
    <w:docVar w:name="LW_PART_NBR_TOTAL" w:val="1"/>
    <w:docVar w:name="LW_REF.INST.NEW" w:val="SWD"/>
    <w:docVar w:name="LW_REF.INST.NEW_ADOPTED" w:val="final"/>
    <w:docVar w:name="LW_REF.INST.NEW_TEXT" w:val="(2021) 17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UNUSED&gt;"/>
    <w:docVar w:name="LW_TYPE.DOC.CP" w:val="ARBEITSUNTERLAGE DER KOMMISSIONSDIENSTSTELLEN_x000b__x000b_BERICHT ÜBER DIE FOLGENABSCHÄTZUNG (ZUSAMMENFASSUNG)_x000b_"/>
    <w:docVar w:name="LW_TYPEACTEPRINCIPAL.CP" w:val="Vorschlag für eine RICHTLINIE DES EUROPÄISCHEN PARLAMENTS UND DES RATES"/>
    <w:docVar w:name="LwApiVersions" w:val="LW4CoDe 1.23.0.0; LW 8.0, Build 20210114"/>
  </w:docVar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footer" Target="footer5.xml"/><Relationship Id="rId2" Type="http://schemas.microsoft.com/office/2007/relationships/stylesWithEffects" Target="stylesWithEffect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1205</Words>
  <Characters>8451</Characters>
  <Application>Microsoft Office Word</Application>
  <DocSecurity>0</DocSecurity>
  <Lines>114</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34</cp:revision>
  <dcterms:created xsi:type="dcterms:W3CDTF">2021-06-18T08:31:00Z</dcterms:created>
  <dcterms:modified xsi:type="dcterms:W3CDTF">2021-06-29T16:46:00Z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Part">
    <vt:lpwstr>1</vt:lpwstr>
  </property>
  <property fmtid="{D5CDD505-2E9C-101B-9397-08002B2CF9AE}" pid="4" name="Total parts">
    <vt:lpwstr>1</vt:lpwstr>
  </property>
  <property fmtid="{D5CDD505-2E9C-101B-9397-08002B2CF9AE}" pid="5" name="DocStatus">
    <vt:lpwstr>Green</vt:lpwstr>
  </property>
  <property fmtid="{D5CDD505-2E9C-101B-9397-08002B2CF9AE}" pid="6" name="CPTemplateID">
    <vt:lpwstr>CP-027</vt:lpwstr>
  </property>
  <property fmtid="{D5CDD505-2E9C-101B-9397-08002B2CF9AE}" pid="7" name="Last edited using">
    <vt:lpwstr>LW 7.0.1, Build 20200226</vt:lpwstr>
  </property>
  <property fmtid="{D5CDD505-2E9C-101B-9397-08002B2CF9AE}" pid="8" name="Created using">
    <vt:lpwstr>LW 7.0, Build 20190717</vt:lpwstr>
  </property>
  <property name="OP_sanitized" fmtid="{D5CDD505-2E9C-101B-9397-08002B2CF9AE}" pid="9">
    <vt:lpwstr>True</vt:lpwstr>
  </property>
</Properties>
</file>