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EDD50C82-011F-47DC-B164-BE779DF46D38" style="width:450.8pt;height:320.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rPr>
          <w:rFonts w:ascii="Times New Roman" w:eastAsia="Times New Roman" w:hAnsi="Times New Roman" w:cs="Times New Roman"/>
          <w:noProof/>
          <w:sz w:val="24"/>
          <w:szCs w:val="24"/>
        </w:rPr>
      </w:pPr>
      <w:bookmarkStart w:id="1" w:name="_GoBack"/>
      <w:bookmarkEnd w:id="1"/>
      <w:r>
        <w:rPr>
          <w:rFonts w:ascii="Times New Roman" w:hAnsi="Times New Roman"/>
          <w:noProof/>
          <w:sz w:val="24"/>
          <w:szCs w:val="24"/>
        </w:rPr>
        <w:lastRenderedPageBreak/>
        <w:t>Gestützt auf</w:t>
      </w:r>
    </w:p>
    <w:p>
      <w:pPr>
        <w:pStyle w:val="Tiret0"/>
        <w:rPr>
          <w:noProof/>
        </w:rPr>
      </w:pPr>
      <w:r>
        <w:rPr>
          <w:noProof/>
        </w:rPr>
        <w:t>den Vertrag über die Arbeitsweise der Europäischen Union, insbesondere auf Artikel 314, in Verbindung mit dem Vertrag zur Gründung der Europäischen Atomgemeinschaft, insbesondere mit Artikel 106a,</w:t>
      </w:r>
    </w:p>
    <w:p>
      <w:pPr>
        <w:pStyle w:val="Tiret0"/>
        <w:tabs>
          <w:tab w:val="clear" w:pos="850"/>
          <w:tab w:val="num" w:pos="927"/>
        </w:tabs>
        <w:rPr>
          <w:rFonts w:cs="Arial"/>
          <w:noProof/>
          <w:szCs w:val="18"/>
        </w:rPr>
      </w:pPr>
      <w:r>
        <w:rPr>
          <w:noProof/>
        </w:rPr>
        <w:t>die Verordnung (EU, Euratom) 2018/1046 des Europäischen Parlaments und des Rates vom 18. Juli 2018 über die Haushaltsordnung für den Gesamthaushaltsplan der Union (...)</w:t>
      </w:r>
      <w:r>
        <w:rPr>
          <w:rStyle w:val="FootnoteReference"/>
          <w:noProof/>
        </w:rPr>
        <w:footnoteReference w:id="1"/>
      </w:r>
      <w:r>
        <w:rPr>
          <w:noProof/>
        </w:rPr>
        <w:t>, insbesondere auf Artikel 44,</w:t>
      </w:r>
    </w:p>
    <w:p>
      <w:pPr>
        <w:pStyle w:val="Tiret0"/>
        <w:tabs>
          <w:tab w:val="clear" w:pos="850"/>
          <w:tab w:val="num" w:pos="927"/>
        </w:tabs>
        <w:rPr>
          <w:noProof/>
        </w:rPr>
      </w:pPr>
      <w:r>
        <w:rPr>
          <w:noProof/>
        </w:rPr>
        <w:t>den am 27. November 2019 erlassenen Gesamthaushaltsplan der Europäischen Union für das Haushaltsjahr 2020</w:t>
      </w:r>
      <w:r>
        <w:rPr>
          <w:rStyle w:val="FootnoteReference"/>
          <w:noProof/>
        </w:rPr>
        <w:footnoteReference w:id="2"/>
      </w:r>
      <w:r>
        <w:rPr>
          <w:noProof/>
        </w:rPr>
        <w:t>,</w:t>
      </w:r>
    </w:p>
    <w:p>
      <w:pPr>
        <w:pStyle w:val="Tiret0"/>
        <w:rPr>
          <w:noProof/>
        </w:rPr>
      </w:pPr>
      <w:r>
        <w:rPr>
          <w:noProof/>
        </w:rPr>
        <w:t>den am 17. April 2020 erlassenen Berichtigungshaushaltsplan Nr. 1/2020</w:t>
      </w:r>
      <w:r>
        <w:rPr>
          <w:rStyle w:val="FootnoteReference"/>
          <w:noProof/>
        </w:rPr>
        <w:footnoteReference w:id="3"/>
      </w:r>
      <w:r>
        <w:rPr>
          <w:noProof/>
        </w:rPr>
        <w:t>,</w:t>
      </w:r>
    </w:p>
    <w:p>
      <w:pPr>
        <w:pStyle w:val="Tiret0"/>
        <w:rPr>
          <w:noProof/>
        </w:rPr>
      </w:pPr>
      <w:r>
        <w:rPr>
          <w:noProof/>
        </w:rPr>
        <w:t>den am 17. April 2020 erlassenen Berichtigungshaushaltsplan Nr. 2/2020</w:t>
      </w:r>
      <w:r>
        <w:rPr>
          <w:rStyle w:val="FootnoteReference"/>
          <w:noProof/>
        </w:rPr>
        <w:footnoteReference w:id="4"/>
      </w:r>
      <w:r>
        <w:rPr>
          <w:noProof/>
        </w:rPr>
        <w:t>,</w:t>
      </w:r>
    </w:p>
    <w:p>
      <w:pPr>
        <w:pStyle w:val="Tiret0"/>
        <w:rPr>
          <w:noProof/>
        </w:rPr>
      </w:pPr>
      <w:r>
        <w:rPr>
          <w:noProof/>
        </w:rPr>
        <w:t>den am 15. April 2020 erlassenen Entwurf des Berichtigungshaushaltsplans Nr. 3/2020</w:t>
      </w:r>
      <w:r>
        <w:rPr>
          <w:rStyle w:val="FootnoteReference"/>
          <w:noProof/>
        </w:rPr>
        <w:footnoteReference w:id="5"/>
      </w:r>
    </w:p>
    <w:p>
      <w:pPr>
        <w:spacing w:after="0" w:line="240" w:lineRule="auto"/>
        <w:jc w:val="both"/>
        <w:rPr>
          <w:rFonts w:ascii="Times New Roman" w:eastAsia="Times New Roman" w:hAnsi="Times New Roman" w:cs="Times New Roman"/>
          <w:b/>
          <w:noProof/>
          <w:sz w:val="24"/>
          <w:szCs w:val="24"/>
          <w:u w:val="single"/>
        </w:rPr>
      </w:pPr>
      <w:r>
        <w:rPr>
          <w:rFonts w:ascii="Times New Roman" w:hAnsi="Times New Roman"/>
          <w:noProof/>
          <w:sz w:val="24"/>
          <w:szCs w:val="24"/>
        </w:rPr>
        <w:t>legt die Europäische Kommission dem Europäischen Parlament und dem Rat den Entwurf des Berichtigungshaushaltsplans Nr. 4 zum Haushaltsplan 2020 vor.</w:t>
      </w:r>
    </w:p>
    <w:p>
      <w:pPr>
        <w:spacing w:before="240" w:after="240"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szCs w:val="24"/>
          <w:u w:val="single"/>
        </w:rPr>
        <w:t>ÄNDERUNGEN BEI DEN EINNAHMEN UND AUSGABEN NACH EINZELPLÄNEN</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Die Änderungen am allgemeinen Einnahmenplan und die Änderungen am Einnahmen- und Ausgabenplan des Einzelplans III sind über den EUR-Lex-Server abrufbar</w:t>
      </w:r>
      <w:r>
        <w:rPr>
          <w:noProof/>
        </w:rPr>
        <w:t xml:space="preserve"> (</w:t>
      </w:r>
      <w:hyperlink r:id="rId16" w:history="1">
        <w:r>
          <w:rPr>
            <w:rFonts w:ascii="Times New Roman" w:hAnsi="Times New Roman"/>
            <w:noProof/>
            <w:sz w:val="24"/>
            <w:szCs w:val="24"/>
            <w:u w:val="single"/>
          </w:rPr>
          <w:t>https://eur-lex.europa.eu/budget/www/index-de.htm</w:t>
        </w:r>
      </w:hyperlink>
      <w:r>
        <w:rPr>
          <w:noProof/>
        </w:rPr>
        <w:t>).</w:t>
      </w:r>
    </w:p>
    <w:p>
      <w:pPr>
        <w:spacing w:after="0" w:line="240" w:lineRule="auto"/>
        <w:rPr>
          <w:rFonts w:ascii="Times New Roman" w:eastAsia="Times New Roman" w:hAnsi="Times New Roman" w:cs="Times New Roman"/>
          <w:noProof/>
          <w:sz w:val="24"/>
          <w:szCs w:val="24"/>
          <w:lang w:eastAsia="en-GB"/>
        </w:rPr>
        <w:sectPr>
          <w:headerReference w:type="even" r:id="rId17"/>
          <w:headerReference w:type="default"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TOCHeading"/>
        <w:rPr>
          <w:noProof/>
        </w:rPr>
      </w:pPr>
      <w:r>
        <w:rPr>
          <w:noProof/>
        </w:rPr>
        <w:t>INHALTSVERZEICHNIS</w:t>
      </w:r>
    </w:p>
    <w:sdt>
      <w:sdtPr>
        <w:rPr>
          <w:b w:val="0"/>
          <w:bCs w:val="0"/>
          <w:caps w:val="0"/>
          <w:smallCaps/>
          <w:noProof/>
          <w:sz w:val="24"/>
          <w:szCs w:val="24"/>
          <w:lang w:eastAsia="de-DE"/>
        </w:rPr>
        <w:id w:val="2029912794"/>
        <w:docPartObj>
          <w:docPartGallery w:val="Table of Contents"/>
          <w:docPartUnique/>
        </w:docPartObj>
      </w:sdtPr>
      <w:sdtEndPr>
        <w:rPr>
          <w:b/>
        </w:rPr>
      </w:sdtEndPr>
      <w:sdtContent>
        <w:p>
          <w:pPr>
            <w:pStyle w:val="TOC1"/>
            <w:tabs>
              <w:tab w:val="left" w:pos="480"/>
              <w:tab w:val="right" w:leader="dot" w:pos="9855"/>
            </w:tabs>
            <w:rPr>
              <w:rFonts w:asciiTheme="minorHAnsi" w:eastAsiaTheme="minorEastAsia" w:hAnsiTheme="minorHAnsi" w:cstheme="minorBidi"/>
              <w:b w:val="0"/>
              <w:bCs w:val="0"/>
              <w:caps w:val="0"/>
              <w:noProof/>
              <w:sz w:val="22"/>
              <w:szCs w:val="22"/>
              <w:lang w:eastAsia="de-DE"/>
            </w:rPr>
          </w:pPr>
          <w:r>
            <w:rPr>
              <w:noProof/>
            </w:rPr>
            <w:fldChar w:fldCharType="begin"/>
          </w:r>
          <w:r>
            <w:rPr>
              <w:noProof/>
            </w:rPr>
            <w:instrText xml:space="preserve"> TOC \o "1-3" \h \z \u </w:instrText>
          </w:r>
          <w:r>
            <w:rPr>
              <w:noProof/>
            </w:rPr>
            <w:fldChar w:fldCharType="separate"/>
          </w:r>
          <w:hyperlink w:anchor="_Toc39051430" w:history="1">
            <w:r>
              <w:rPr>
                <w:rStyle w:val="Hyperlink"/>
                <w:noProof/>
              </w:rPr>
              <w:t>1.</w:t>
            </w:r>
            <w:r>
              <w:rPr>
                <w:rFonts w:asciiTheme="minorHAnsi" w:eastAsiaTheme="minorEastAsia" w:hAnsiTheme="minorHAnsi" w:cstheme="minorBidi"/>
                <w:b w:val="0"/>
                <w:bCs w:val="0"/>
                <w:caps w:val="0"/>
                <w:noProof/>
                <w:sz w:val="22"/>
                <w:szCs w:val="22"/>
                <w:lang w:eastAsia="de-DE"/>
              </w:rPr>
              <w:tab/>
            </w:r>
            <w:r>
              <w:rPr>
                <w:rStyle w:val="Hyperlink"/>
                <w:noProof/>
              </w:rPr>
              <w:t>Einführung</w:t>
            </w:r>
            <w:r>
              <w:rPr>
                <w:noProof/>
                <w:webHidden/>
              </w:rPr>
              <w:tab/>
            </w:r>
            <w:r>
              <w:rPr>
                <w:noProof/>
                <w:webHidden/>
              </w:rPr>
              <w:fldChar w:fldCharType="begin"/>
            </w:r>
            <w:r>
              <w:rPr>
                <w:noProof/>
                <w:webHidden/>
              </w:rPr>
              <w:instrText xml:space="preserve"> PAGEREF _Toc39051430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80"/>
              <w:tab w:val="right" w:leader="dot" w:pos="9855"/>
            </w:tabs>
            <w:rPr>
              <w:rFonts w:asciiTheme="minorHAnsi" w:eastAsiaTheme="minorEastAsia" w:hAnsiTheme="minorHAnsi" w:cstheme="minorBidi"/>
              <w:b w:val="0"/>
              <w:bCs w:val="0"/>
              <w:caps w:val="0"/>
              <w:noProof/>
              <w:sz w:val="22"/>
              <w:szCs w:val="22"/>
              <w:lang w:eastAsia="de-DE"/>
            </w:rPr>
          </w:pPr>
          <w:hyperlink w:anchor="_Toc39051431" w:history="1">
            <w:r>
              <w:rPr>
                <w:rStyle w:val="Hyperlink"/>
                <w:noProof/>
              </w:rPr>
              <w:t>2.</w:t>
            </w:r>
            <w:r>
              <w:rPr>
                <w:rFonts w:asciiTheme="minorHAnsi" w:eastAsiaTheme="minorEastAsia" w:hAnsiTheme="minorHAnsi" w:cstheme="minorBidi"/>
                <w:b w:val="0"/>
                <w:bCs w:val="0"/>
                <w:caps w:val="0"/>
                <w:noProof/>
                <w:sz w:val="22"/>
                <w:szCs w:val="22"/>
                <w:lang w:eastAsia="de-DE"/>
              </w:rPr>
              <w:tab/>
            </w:r>
            <w:r>
              <w:rPr>
                <w:rStyle w:val="Hyperlink"/>
                <w:noProof/>
              </w:rPr>
              <w:t>Finanzierung</w:t>
            </w:r>
            <w:r>
              <w:rPr>
                <w:noProof/>
                <w:webHidden/>
              </w:rPr>
              <w:tab/>
            </w:r>
            <w:r>
              <w:rPr>
                <w:noProof/>
                <w:webHidden/>
              </w:rPr>
              <w:fldChar w:fldCharType="begin"/>
            </w:r>
            <w:r>
              <w:rPr>
                <w:noProof/>
                <w:webHidden/>
              </w:rPr>
              <w:instrText xml:space="preserve"> PAGEREF _Toc39051431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80"/>
              <w:tab w:val="right" w:leader="dot" w:pos="9855"/>
            </w:tabs>
            <w:rPr>
              <w:rFonts w:asciiTheme="minorHAnsi" w:eastAsiaTheme="minorEastAsia" w:hAnsiTheme="minorHAnsi" w:cstheme="minorBidi"/>
              <w:b w:val="0"/>
              <w:bCs w:val="0"/>
              <w:caps w:val="0"/>
              <w:noProof/>
              <w:sz w:val="22"/>
              <w:szCs w:val="22"/>
              <w:lang w:eastAsia="de-DE"/>
            </w:rPr>
          </w:pPr>
          <w:hyperlink w:anchor="_Toc39051432" w:history="1">
            <w:r>
              <w:rPr>
                <w:rStyle w:val="Hyperlink"/>
                <w:noProof/>
              </w:rPr>
              <w:t>3.</w:t>
            </w:r>
            <w:r>
              <w:rPr>
                <w:rFonts w:asciiTheme="minorHAnsi" w:eastAsiaTheme="minorEastAsia" w:hAnsiTheme="minorHAnsi" w:cstheme="minorBidi"/>
                <w:b w:val="0"/>
                <w:bCs w:val="0"/>
                <w:caps w:val="0"/>
                <w:noProof/>
                <w:sz w:val="22"/>
                <w:szCs w:val="22"/>
                <w:lang w:eastAsia="de-DE"/>
              </w:rPr>
              <w:tab/>
            </w:r>
            <w:r>
              <w:rPr>
                <w:rStyle w:val="Hyperlink"/>
                <w:noProof/>
              </w:rPr>
              <w:t>Für den Haushaltsplan 2020 beantragte Mittel</w:t>
            </w:r>
            <w:r>
              <w:rPr>
                <w:noProof/>
                <w:webHidden/>
              </w:rPr>
              <w:tab/>
            </w:r>
            <w:r>
              <w:rPr>
                <w:noProof/>
                <w:webHidden/>
              </w:rPr>
              <w:fldChar w:fldCharType="begin"/>
            </w:r>
            <w:r>
              <w:rPr>
                <w:noProof/>
                <w:webHidden/>
              </w:rPr>
              <w:instrText xml:space="preserve"> PAGEREF _Toc39051432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80"/>
              <w:tab w:val="right" w:leader="dot" w:pos="9855"/>
            </w:tabs>
            <w:rPr>
              <w:rFonts w:asciiTheme="minorHAnsi" w:eastAsiaTheme="minorEastAsia" w:hAnsiTheme="minorHAnsi" w:cstheme="minorBidi"/>
              <w:b w:val="0"/>
              <w:bCs w:val="0"/>
              <w:caps w:val="0"/>
              <w:noProof/>
              <w:sz w:val="22"/>
              <w:szCs w:val="22"/>
              <w:lang w:eastAsia="de-DE"/>
            </w:rPr>
          </w:pPr>
          <w:hyperlink w:anchor="_Toc39051433" w:history="1">
            <w:r>
              <w:rPr>
                <w:rStyle w:val="Hyperlink"/>
                <w:noProof/>
              </w:rPr>
              <w:t>4.</w:t>
            </w:r>
            <w:r>
              <w:rPr>
                <w:rFonts w:asciiTheme="minorHAnsi" w:eastAsiaTheme="minorEastAsia" w:hAnsiTheme="minorHAnsi" w:cstheme="minorBidi"/>
                <w:b w:val="0"/>
                <w:bCs w:val="0"/>
                <w:caps w:val="0"/>
                <w:noProof/>
                <w:sz w:val="22"/>
                <w:szCs w:val="22"/>
                <w:lang w:eastAsia="de-DE"/>
              </w:rPr>
              <w:tab/>
            </w:r>
            <w:r>
              <w:rPr>
                <w:rStyle w:val="Hyperlink"/>
                <w:noProof/>
              </w:rPr>
              <w:t>Übersicht nach Rubriken des Mehrjährigen Finanzrahmens (MFR)</w:t>
            </w:r>
            <w:r>
              <w:rPr>
                <w:noProof/>
                <w:webHidden/>
              </w:rPr>
              <w:tab/>
            </w:r>
            <w:r>
              <w:rPr>
                <w:noProof/>
                <w:webHidden/>
              </w:rPr>
              <w:fldChar w:fldCharType="begin"/>
            </w:r>
            <w:r>
              <w:rPr>
                <w:noProof/>
                <w:webHidden/>
              </w:rPr>
              <w:instrText xml:space="preserve"> PAGEREF _Toc39051433 \h </w:instrText>
            </w:r>
            <w:r>
              <w:rPr>
                <w:noProof/>
                <w:webHidden/>
              </w:rPr>
            </w:r>
            <w:r>
              <w:rPr>
                <w:noProof/>
                <w:webHidden/>
              </w:rPr>
              <w:fldChar w:fldCharType="separate"/>
            </w:r>
            <w:r>
              <w:rPr>
                <w:noProof/>
                <w:webHidden/>
              </w:rPr>
              <w:t>5</w:t>
            </w:r>
            <w:r>
              <w:rPr>
                <w:noProof/>
                <w:webHidden/>
              </w:rPr>
              <w:fldChar w:fldCharType="end"/>
            </w:r>
          </w:hyperlink>
        </w:p>
        <w:p>
          <w:pPr>
            <w:pStyle w:val="ManualHeading1"/>
            <w:ind w:left="0" w:firstLine="0"/>
            <w:rPr>
              <w:bCs/>
              <w:noProof/>
            </w:rPr>
          </w:pPr>
          <w:r>
            <w:rPr>
              <w:b w:val="0"/>
              <w:bCs/>
              <w:noProof/>
            </w:rPr>
            <w:fldChar w:fldCharType="end"/>
          </w:r>
        </w:p>
      </w:sdtContent>
    </w:sdt>
    <w:p>
      <w:pPr>
        <w:rPr>
          <w:b/>
          <w:noProof/>
          <w:u w:val="single"/>
          <w:lang w:eastAsia="de-DE"/>
        </w:rPr>
        <w:sectPr>
          <w:headerReference w:type="even" r:id="rId23"/>
          <w:headerReference w:type="default" r:id="rId24"/>
          <w:footerReference w:type="even" r:id="rId25"/>
          <w:footerReference w:type="default" r:id="rId26"/>
          <w:headerReference w:type="first" r:id="rId27"/>
          <w:footerReference w:type="first" r:id="rId28"/>
          <w:pgSz w:w="11907" w:h="16839"/>
          <w:pgMar w:top="1021" w:right="1021" w:bottom="1021" w:left="1021" w:header="709" w:footer="709" w:gutter="0"/>
          <w:cols w:space="708"/>
          <w:docGrid w:linePitch="360"/>
        </w:sectPr>
      </w:pPr>
    </w:p>
    <w:p>
      <w:pPr>
        <w:pStyle w:val="Exposdesmotifstitre"/>
        <w:rPr>
          <w:noProof/>
        </w:rPr>
      </w:pPr>
      <w:r>
        <w:rPr>
          <w:noProof/>
        </w:rPr>
        <w:t>BEGRÜNDUNG</w:t>
      </w:r>
    </w:p>
    <w:p>
      <w:pPr>
        <w:pStyle w:val="ManualHeading1"/>
        <w:spacing w:before="120"/>
        <w:rPr>
          <w:noProof/>
        </w:rPr>
      </w:pPr>
      <w:bookmarkStart w:id="2" w:name="_Toc385506031"/>
      <w:bookmarkStart w:id="3" w:name="_Toc430865946"/>
      <w:bookmarkStart w:id="4" w:name="_Toc430867524"/>
      <w:bookmarkStart w:id="5" w:name="_Toc514181799"/>
      <w:bookmarkStart w:id="6" w:name="_Toc39051430"/>
      <w:bookmarkStart w:id="7" w:name="_Toc351469332"/>
      <w:bookmarkStart w:id="8" w:name="_Toc361649879"/>
      <w:r>
        <w:rPr>
          <w:noProof/>
        </w:rPr>
        <w:t>1.</w:t>
      </w:r>
      <w:r>
        <w:rPr>
          <w:noProof/>
        </w:rPr>
        <w:tab/>
        <w:t>Einführung</w:t>
      </w:r>
      <w:bookmarkEnd w:id="2"/>
      <w:bookmarkEnd w:id="3"/>
      <w:bookmarkEnd w:id="4"/>
      <w:bookmarkEnd w:id="5"/>
      <w:bookmarkEnd w:id="6"/>
    </w:p>
    <w:p>
      <w:pPr>
        <w:spacing w:before="120" w:after="120"/>
        <w:jc w:val="both"/>
        <w:rPr>
          <w:rFonts w:ascii="Times New Roman" w:hAnsi="Times New Roman" w:cs="Times New Roman"/>
          <w:noProof/>
        </w:rPr>
      </w:pPr>
      <w:r>
        <w:rPr>
          <w:rFonts w:ascii="Times New Roman" w:hAnsi="Times New Roman"/>
          <w:noProof/>
        </w:rPr>
        <w:t>Der Entwurf des Berichtigungshaushaltsplans (EBH) Nr. 4 für das Haushaltsjahr 2020 ist dem Vorschlag</w:t>
      </w:r>
      <w:r>
        <w:rPr>
          <w:rStyle w:val="FootnoteReference"/>
          <w:rFonts w:ascii="Times New Roman" w:hAnsi="Times New Roman" w:cs="Times New Roman"/>
          <w:noProof/>
        </w:rPr>
        <w:footnoteReference w:id="6"/>
      </w:r>
      <w:r>
        <w:rPr>
          <w:rFonts w:ascii="Times New Roman" w:hAnsi="Times New Roman"/>
          <w:noProof/>
        </w:rPr>
        <w:t xml:space="preserve"> beigefügt, den Solidaritätsfonds der Europäischen Union (EUSF) in Höhe von 278 993 814 EUR zwecks Hilfeleistung für Portugal, Spanien, Italien und Österreich nach Naturkatastrophen in Anspruch zu nehmen, die im Laufe des Jahres 2019 in diesen Mitgliedstaaten eingetreten sind:</w:t>
      </w:r>
    </w:p>
    <w:p>
      <w:pPr>
        <w:pStyle w:val="ListParagraph"/>
        <w:numPr>
          <w:ilvl w:val="0"/>
          <w:numId w:val="33"/>
        </w:numPr>
        <w:spacing w:after="120" w:line="276" w:lineRule="auto"/>
        <w:jc w:val="both"/>
        <w:rPr>
          <w:noProof/>
          <w:sz w:val="22"/>
          <w:szCs w:val="22"/>
        </w:rPr>
      </w:pPr>
      <w:r>
        <w:rPr>
          <w:i/>
          <w:noProof/>
          <w:sz w:val="22"/>
          <w:szCs w:val="22"/>
        </w:rPr>
        <w:t>Portugal</w:t>
      </w:r>
      <w:r>
        <w:rPr>
          <w:noProof/>
          <w:sz w:val="22"/>
          <w:szCs w:val="22"/>
        </w:rPr>
        <w:t>: Schäden infolge des Wirbelsturms Lorenzo auf den Azoren im Oktober 2019;</w:t>
      </w:r>
    </w:p>
    <w:p>
      <w:pPr>
        <w:pStyle w:val="ListParagraph"/>
        <w:numPr>
          <w:ilvl w:val="0"/>
          <w:numId w:val="33"/>
        </w:numPr>
        <w:spacing w:after="120" w:line="276" w:lineRule="auto"/>
        <w:jc w:val="both"/>
        <w:rPr>
          <w:noProof/>
          <w:sz w:val="22"/>
          <w:szCs w:val="22"/>
        </w:rPr>
      </w:pPr>
      <w:r>
        <w:rPr>
          <w:i/>
          <w:iCs/>
          <w:noProof/>
          <w:sz w:val="22"/>
          <w:szCs w:val="22"/>
        </w:rPr>
        <w:t>Spanien</w:t>
      </w:r>
      <w:r>
        <w:rPr>
          <w:noProof/>
          <w:sz w:val="22"/>
          <w:szCs w:val="22"/>
        </w:rPr>
        <w:t>: Überschwemmungen in den Regionen Valencia, Murcia, Kastilien-La Mancha und Andalusien im September 2019;</w:t>
      </w:r>
    </w:p>
    <w:p>
      <w:pPr>
        <w:pStyle w:val="ListParagraph"/>
        <w:numPr>
          <w:ilvl w:val="0"/>
          <w:numId w:val="33"/>
        </w:numPr>
        <w:spacing w:after="120" w:line="276" w:lineRule="auto"/>
        <w:jc w:val="both"/>
        <w:rPr>
          <w:noProof/>
          <w:sz w:val="22"/>
          <w:szCs w:val="22"/>
        </w:rPr>
      </w:pPr>
      <w:r>
        <w:rPr>
          <w:i/>
          <w:iCs/>
          <w:noProof/>
          <w:sz w:val="22"/>
          <w:szCs w:val="22"/>
        </w:rPr>
        <w:t>Italien und Österreich</w:t>
      </w:r>
      <w:r>
        <w:rPr>
          <w:noProof/>
          <w:sz w:val="22"/>
          <w:szCs w:val="22"/>
        </w:rPr>
        <w:t>: extreme Wetterereignisse, die Überschwemmungen und Erdrutsche auslösten, die im Herbst 2019 den größten Teil des italienischen Hoheitsgebiets (Höhepunkt war das Hochwasser in Venedig) sowie die österreichischen Bundesländer Kärnten und Osttirol betrafen.</w:t>
      </w:r>
    </w:p>
    <w:p>
      <w:pPr>
        <w:spacing w:before="120" w:after="120"/>
        <w:jc w:val="both"/>
        <w:rPr>
          <w:rFonts w:ascii="Times New Roman" w:hAnsi="Times New Roman" w:cs="Times New Roman"/>
          <w:noProof/>
        </w:rPr>
      </w:pPr>
      <w:r>
        <w:rPr>
          <w:rFonts w:ascii="Times New Roman" w:hAnsi="Times New Roman"/>
          <w:noProof/>
        </w:rPr>
        <w:t>Im EBH Nr. 4/2020 wird beantragt, in den Gesamthaushaltsplan 2020 die notwendigen Mittel – sowohl an Mitteln für Verpflichtungen als auch für Zahlungen – nach Abzug der bereits an Portugal und Spanien gezahlten Vorschüsse (6 495 606 EUR) einzustellen.</w:t>
      </w:r>
    </w:p>
    <w:p>
      <w:pPr>
        <w:pStyle w:val="ManualHeading1"/>
        <w:spacing w:before="120"/>
        <w:rPr>
          <w:noProof/>
        </w:rPr>
      </w:pPr>
      <w:bookmarkStart w:id="9" w:name="_Toc514181800"/>
      <w:bookmarkStart w:id="10" w:name="_Toc39051431"/>
      <w:bookmarkStart w:id="11" w:name="_Toc462410050"/>
      <w:bookmarkStart w:id="12" w:name="_Toc430865947"/>
      <w:bookmarkStart w:id="13" w:name="_Toc430867525"/>
      <w:r>
        <w:rPr>
          <w:noProof/>
        </w:rPr>
        <w:t>2.</w:t>
      </w:r>
      <w:r>
        <w:rPr>
          <w:noProof/>
        </w:rPr>
        <w:tab/>
        <w:t>Finanzierung</w:t>
      </w:r>
      <w:bookmarkEnd w:id="9"/>
      <w:bookmarkEnd w:id="10"/>
    </w:p>
    <w:p>
      <w:pPr>
        <w:spacing w:before="120" w:after="120"/>
        <w:jc w:val="both"/>
        <w:rPr>
          <w:rFonts w:ascii="Times New Roman" w:hAnsi="Times New Roman" w:cs="Times New Roman"/>
          <w:noProof/>
        </w:rPr>
      </w:pPr>
      <w:bookmarkStart w:id="14" w:name="_Toc484781561"/>
      <w:bookmarkStart w:id="15" w:name="_Toc514181801"/>
      <w:bookmarkStart w:id="16" w:name="_Toc460335328"/>
      <w:bookmarkStart w:id="17" w:name="_Toc430865948"/>
      <w:bookmarkStart w:id="18" w:name="_Toc430867526"/>
      <w:bookmarkEnd w:id="11"/>
      <w:r>
        <w:rPr>
          <w:rFonts w:ascii="Times New Roman" w:hAnsi="Times New Roman"/>
          <w:noProof/>
        </w:rPr>
        <w:t>Nach Maßgabe von Artikel 10 Absatz 1 der Verordnung (EU, Euratom) Nr. 1311/2013 des Rates vom 2. Dezember 2013 zur Festlegung des mehrjährigen Finanzrahmens für die Jahre 2014-2020</w:t>
      </w:r>
      <w:r>
        <w:rPr>
          <w:rStyle w:val="FootnoteReference"/>
          <w:rFonts w:ascii="Times New Roman" w:hAnsi="Times New Roman" w:cs="Times New Roman"/>
          <w:noProof/>
        </w:rPr>
        <w:footnoteReference w:id="7"/>
      </w:r>
      <w:r>
        <w:rPr>
          <w:rFonts w:ascii="Times New Roman" w:hAnsi="Times New Roman"/>
          <w:noProof/>
        </w:rPr>
        <w:t xml:space="preserve"> (im Folgenden „MFR-Verordnung“) stand zu Beginn des Jahres 2020 ein Betrag von insgesamt 1 150 524 045 EUR für die Inanspruchnahme des EUSF zur Verfügung. Dies war die Summe aus der Zuweisung für das Jahr 2020 in Höhe von 597 546 284 EUR zuzüglich der Zuweisung für das Jahr 2019 in Höhe von 552 977 761 EUR, die nicht in Anspruch genommen und auf 2020 übertragen wurde.</w:t>
      </w:r>
    </w:p>
    <w:p>
      <w:pPr>
        <w:spacing w:before="120" w:after="120"/>
        <w:jc w:val="both"/>
        <w:rPr>
          <w:rFonts w:ascii="Times New Roman" w:hAnsi="Times New Roman" w:cs="Times New Roman"/>
          <w:noProof/>
        </w:rPr>
      </w:pPr>
      <w:r>
        <w:rPr>
          <w:rFonts w:ascii="Times New Roman" w:hAnsi="Times New Roman"/>
          <w:noProof/>
        </w:rPr>
        <w:t>Der Betrag, der zu diesem Zeitpunkt des Jahres 2020 noch in Anspruch genommen werden kann, beläuft sich auf 1 001 137 474 EUR. Das entspricht dem Anfang 2020 für die Inanspruchnahme des EUSF verfügbaren Gesamtbetrag (1 150 524 045 EUR) abzüglich eines Betrags in Höhe von 149 386 571 EUR, der einbehalten wird, um der Verpflichtung gemäß Artikel 10 Absatz 1 der MFR-Verordnung nachzukommen, 25 % der jährlichen Zuweisung 2020 bis zum 1. Oktober 2020 zur Verfügung zu halten.</w:t>
      </w:r>
    </w:p>
    <w:tbl>
      <w:tblPr>
        <w:tblStyle w:val="TableGrid"/>
        <w:tblW w:w="0" w:type="auto"/>
        <w:jc w:val="center"/>
        <w:tblLook w:val="04A0" w:firstRow="1" w:lastRow="0" w:firstColumn="1" w:lastColumn="0" w:noHBand="0" w:noVBand="1"/>
      </w:tblPr>
      <w:tblGrid>
        <w:gridCol w:w="6644"/>
        <w:gridCol w:w="1897"/>
      </w:tblGrid>
      <w:tr>
        <w:trPr>
          <w:trHeight w:val="490"/>
          <w:jc w:val="center"/>
        </w:trPr>
        <w:tc>
          <w:tcPr>
            <w:tcW w:w="6644" w:type="dxa"/>
            <w:shd w:val="clear" w:color="auto" w:fill="D9D9D9" w:themeFill="background1" w:themeFillShade="D9"/>
            <w:vAlign w:val="center"/>
          </w:tcPr>
          <w:p>
            <w:pPr>
              <w:keepNext/>
              <w:jc w:val="center"/>
              <w:rPr>
                <w:b/>
                <w:noProof/>
                <w:sz w:val="22"/>
                <w:szCs w:val="22"/>
              </w:rPr>
            </w:pPr>
            <w:r>
              <w:rPr>
                <w:b/>
                <w:noProof/>
                <w:sz w:val="22"/>
                <w:szCs w:val="22"/>
              </w:rPr>
              <w:t>Übersichtstabelle zur Finanzierung des EUSF</w:t>
            </w:r>
          </w:p>
        </w:tc>
        <w:tc>
          <w:tcPr>
            <w:tcW w:w="1897" w:type="dxa"/>
            <w:shd w:val="clear" w:color="auto" w:fill="D9D9D9" w:themeFill="background1" w:themeFillShade="D9"/>
            <w:vAlign w:val="center"/>
          </w:tcPr>
          <w:p>
            <w:pPr>
              <w:keepNext/>
              <w:jc w:val="center"/>
              <w:rPr>
                <w:b/>
                <w:noProof/>
                <w:sz w:val="22"/>
                <w:szCs w:val="22"/>
              </w:rPr>
            </w:pPr>
            <w:r>
              <w:rPr>
                <w:b/>
                <w:noProof/>
                <w:sz w:val="22"/>
                <w:szCs w:val="22"/>
              </w:rPr>
              <w:t>Betrag</w:t>
            </w:r>
          </w:p>
          <w:p>
            <w:pPr>
              <w:keepNext/>
              <w:jc w:val="center"/>
              <w:rPr>
                <w:noProof/>
                <w:sz w:val="22"/>
                <w:szCs w:val="22"/>
              </w:rPr>
            </w:pPr>
            <w:r>
              <w:rPr>
                <w:b/>
                <w:noProof/>
                <w:sz w:val="22"/>
                <w:szCs w:val="22"/>
              </w:rPr>
              <w:t>EUR</w:t>
            </w:r>
          </w:p>
        </w:tc>
      </w:tr>
      <w:tr>
        <w:trPr>
          <w:trHeight w:val="258"/>
          <w:jc w:val="center"/>
        </w:trPr>
        <w:tc>
          <w:tcPr>
            <w:tcW w:w="6644" w:type="dxa"/>
          </w:tcPr>
          <w:p>
            <w:pPr>
              <w:keepNext/>
              <w:rPr>
                <w:noProof/>
                <w:sz w:val="22"/>
                <w:szCs w:val="22"/>
              </w:rPr>
            </w:pPr>
            <w:r>
              <w:rPr>
                <w:noProof/>
                <w:sz w:val="22"/>
                <w:szCs w:val="22"/>
              </w:rPr>
              <w:t>Auf 2020 übertragene Zuweisung für 2019</w:t>
            </w:r>
          </w:p>
        </w:tc>
        <w:tc>
          <w:tcPr>
            <w:tcW w:w="1897" w:type="dxa"/>
          </w:tcPr>
          <w:p>
            <w:pPr>
              <w:keepNext/>
              <w:jc w:val="right"/>
              <w:rPr>
                <w:noProof/>
                <w:sz w:val="22"/>
                <w:szCs w:val="22"/>
              </w:rPr>
            </w:pPr>
            <w:r>
              <w:rPr>
                <w:noProof/>
                <w:sz w:val="22"/>
                <w:szCs w:val="22"/>
              </w:rPr>
              <w:t>552 977 761</w:t>
            </w:r>
          </w:p>
        </w:tc>
      </w:tr>
      <w:tr>
        <w:trPr>
          <w:trHeight w:val="297"/>
          <w:jc w:val="center"/>
        </w:trPr>
        <w:tc>
          <w:tcPr>
            <w:tcW w:w="6644" w:type="dxa"/>
          </w:tcPr>
          <w:p>
            <w:pPr>
              <w:keepNext/>
              <w:rPr>
                <w:noProof/>
                <w:sz w:val="22"/>
                <w:szCs w:val="22"/>
              </w:rPr>
            </w:pPr>
            <w:r>
              <w:rPr>
                <w:noProof/>
                <w:sz w:val="22"/>
                <w:szCs w:val="22"/>
              </w:rPr>
              <w:t>Zuweisung für 2020</w:t>
            </w:r>
          </w:p>
        </w:tc>
        <w:tc>
          <w:tcPr>
            <w:tcW w:w="1897" w:type="dxa"/>
          </w:tcPr>
          <w:p>
            <w:pPr>
              <w:keepNext/>
              <w:jc w:val="right"/>
              <w:rPr>
                <w:noProof/>
                <w:sz w:val="22"/>
                <w:szCs w:val="22"/>
              </w:rPr>
            </w:pPr>
            <w:r>
              <w:rPr>
                <w:noProof/>
                <w:sz w:val="22"/>
                <w:szCs w:val="22"/>
              </w:rPr>
              <w:t>597 546 284</w:t>
            </w:r>
          </w:p>
          <w:p>
            <w:pPr>
              <w:keepNext/>
              <w:jc w:val="right"/>
              <w:rPr>
                <w:noProof/>
                <w:sz w:val="22"/>
                <w:szCs w:val="22"/>
              </w:rPr>
            </w:pPr>
            <w:r>
              <w:rPr>
                <w:noProof/>
                <w:sz w:val="22"/>
                <w:szCs w:val="22"/>
              </w:rPr>
              <w:t>-----------------</w:t>
            </w:r>
          </w:p>
        </w:tc>
      </w:tr>
      <w:tr>
        <w:trPr>
          <w:trHeight w:val="245"/>
          <w:jc w:val="center"/>
        </w:trPr>
        <w:tc>
          <w:tcPr>
            <w:tcW w:w="6644" w:type="dxa"/>
          </w:tcPr>
          <w:p>
            <w:pPr>
              <w:keepNext/>
              <w:rPr>
                <w:b/>
                <w:noProof/>
                <w:sz w:val="22"/>
                <w:szCs w:val="22"/>
              </w:rPr>
            </w:pPr>
            <w:r>
              <w:rPr>
                <w:b/>
                <w:noProof/>
                <w:sz w:val="22"/>
                <w:szCs w:val="22"/>
              </w:rPr>
              <w:t>Insgesamt Anfang 2020 verfügbar</w:t>
            </w:r>
          </w:p>
        </w:tc>
        <w:tc>
          <w:tcPr>
            <w:tcW w:w="1897" w:type="dxa"/>
          </w:tcPr>
          <w:p>
            <w:pPr>
              <w:keepNext/>
              <w:jc w:val="right"/>
              <w:rPr>
                <w:b/>
                <w:noProof/>
                <w:sz w:val="22"/>
                <w:szCs w:val="22"/>
              </w:rPr>
            </w:pPr>
            <w:r>
              <w:rPr>
                <w:b/>
                <w:noProof/>
                <w:sz w:val="22"/>
                <w:szCs w:val="22"/>
              </w:rPr>
              <w:t>1 150 524 045</w:t>
            </w:r>
          </w:p>
        </w:tc>
      </w:tr>
      <w:tr>
        <w:trPr>
          <w:trHeight w:val="299"/>
          <w:jc w:val="center"/>
        </w:trPr>
        <w:tc>
          <w:tcPr>
            <w:tcW w:w="6644" w:type="dxa"/>
          </w:tcPr>
          <w:p>
            <w:pPr>
              <w:keepNext/>
              <w:rPr>
                <w:noProof/>
                <w:sz w:val="22"/>
                <w:szCs w:val="22"/>
              </w:rPr>
            </w:pPr>
            <w:r>
              <w:rPr>
                <w:noProof/>
                <w:sz w:val="22"/>
                <w:szCs w:val="22"/>
              </w:rPr>
              <w:t>Abzüglich 25 % der Zuweisung für 2020 (einbehaltene Mittel)</w:t>
            </w:r>
          </w:p>
        </w:tc>
        <w:tc>
          <w:tcPr>
            <w:tcW w:w="1897" w:type="dxa"/>
          </w:tcPr>
          <w:p>
            <w:pPr>
              <w:keepNext/>
              <w:jc w:val="right"/>
              <w:rPr>
                <w:noProof/>
                <w:sz w:val="22"/>
                <w:szCs w:val="22"/>
              </w:rPr>
            </w:pPr>
            <w:r>
              <w:rPr>
                <w:noProof/>
                <w:sz w:val="22"/>
                <w:szCs w:val="22"/>
              </w:rPr>
              <w:t>-149 386 571</w:t>
            </w:r>
          </w:p>
          <w:p>
            <w:pPr>
              <w:keepNext/>
              <w:jc w:val="right"/>
              <w:rPr>
                <w:noProof/>
                <w:sz w:val="22"/>
                <w:szCs w:val="22"/>
              </w:rPr>
            </w:pPr>
            <w:r>
              <w:rPr>
                <w:noProof/>
                <w:sz w:val="22"/>
                <w:szCs w:val="22"/>
              </w:rPr>
              <w:t>-----------------</w:t>
            </w:r>
          </w:p>
        </w:tc>
      </w:tr>
      <w:tr>
        <w:trPr>
          <w:trHeight w:val="245"/>
          <w:jc w:val="center"/>
        </w:trPr>
        <w:tc>
          <w:tcPr>
            <w:tcW w:w="6644" w:type="dxa"/>
          </w:tcPr>
          <w:p>
            <w:pPr>
              <w:keepNext/>
              <w:rPr>
                <w:b/>
                <w:noProof/>
                <w:sz w:val="22"/>
                <w:szCs w:val="22"/>
              </w:rPr>
            </w:pPr>
            <w:r>
              <w:rPr>
                <w:b/>
                <w:noProof/>
                <w:sz w:val="22"/>
                <w:szCs w:val="22"/>
              </w:rPr>
              <w:t>Derzeit verfügbarer Höchstbetrag (Mittelzuweisungen 2019+2020)</w:t>
            </w:r>
          </w:p>
        </w:tc>
        <w:tc>
          <w:tcPr>
            <w:tcW w:w="1897" w:type="dxa"/>
          </w:tcPr>
          <w:p>
            <w:pPr>
              <w:keepNext/>
              <w:jc w:val="right"/>
              <w:rPr>
                <w:b/>
                <w:noProof/>
                <w:sz w:val="22"/>
                <w:szCs w:val="22"/>
              </w:rPr>
            </w:pPr>
            <w:r>
              <w:rPr>
                <w:b/>
                <w:noProof/>
                <w:sz w:val="22"/>
                <w:szCs w:val="22"/>
              </w:rPr>
              <w:t>1 001 137 474</w:t>
            </w:r>
          </w:p>
        </w:tc>
      </w:tr>
      <w:tr>
        <w:trPr>
          <w:trHeight w:val="245"/>
          <w:jc w:val="center"/>
        </w:trPr>
        <w:tc>
          <w:tcPr>
            <w:tcW w:w="6644" w:type="dxa"/>
          </w:tcPr>
          <w:p>
            <w:pPr>
              <w:keepNext/>
              <w:rPr>
                <w:bCs/>
                <w:noProof/>
                <w:sz w:val="22"/>
                <w:szCs w:val="22"/>
              </w:rPr>
            </w:pPr>
            <w:r>
              <w:rPr>
                <w:bCs/>
                <w:noProof/>
                <w:sz w:val="22"/>
                <w:szCs w:val="22"/>
              </w:rPr>
              <w:t>Gesamtbetrag der vorgeschlagenen Hilfeleistung, die für Portugal, Spanien, Italien und Österreich in Anspruch genommen werden soll</w:t>
            </w:r>
          </w:p>
        </w:tc>
        <w:tc>
          <w:tcPr>
            <w:tcW w:w="1897" w:type="dxa"/>
          </w:tcPr>
          <w:p>
            <w:pPr>
              <w:keepNext/>
              <w:jc w:val="right"/>
              <w:rPr>
                <w:noProof/>
                <w:sz w:val="22"/>
                <w:szCs w:val="22"/>
              </w:rPr>
            </w:pPr>
            <w:r>
              <w:rPr>
                <w:noProof/>
                <w:sz w:val="22"/>
                <w:szCs w:val="22"/>
              </w:rPr>
              <w:t>-278 993 814</w:t>
            </w:r>
          </w:p>
          <w:p>
            <w:pPr>
              <w:keepNext/>
              <w:jc w:val="right"/>
              <w:rPr>
                <w:noProof/>
                <w:sz w:val="22"/>
                <w:szCs w:val="22"/>
              </w:rPr>
            </w:pPr>
            <w:r>
              <w:rPr>
                <w:noProof/>
                <w:sz w:val="22"/>
                <w:szCs w:val="22"/>
              </w:rPr>
              <w:t>-----------------</w:t>
            </w:r>
          </w:p>
        </w:tc>
      </w:tr>
      <w:tr>
        <w:trPr>
          <w:trHeight w:val="258"/>
          <w:jc w:val="center"/>
        </w:trPr>
        <w:tc>
          <w:tcPr>
            <w:tcW w:w="6644" w:type="dxa"/>
          </w:tcPr>
          <w:p>
            <w:pPr>
              <w:keepNext/>
              <w:rPr>
                <w:b/>
                <w:noProof/>
                <w:sz w:val="22"/>
                <w:szCs w:val="22"/>
              </w:rPr>
            </w:pPr>
            <w:r>
              <w:rPr>
                <w:b/>
                <w:noProof/>
                <w:sz w:val="22"/>
                <w:szCs w:val="22"/>
              </w:rPr>
              <w:t>Verbleibende Mittel bis 1. Oktober 2020</w:t>
            </w:r>
          </w:p>
        </w:tc>
        <w:tc>
          <w:tcPr>
            <w:tcW w:w="1897" w:type="dxa"/>
          </w:tcPr>
          <w:p>
            <w:pPr>
              <w:keepNext/>
              <w:jc w:val="right"/>
              <w:rPr>
                <w:b/>
                <w:noProof/>
                <w:sz w:val="22"/>
                <w:szCs w:val="22"/>
              </w:rPr>
            </w:pPr>
            <w:r>
              <w:rPr>
                <w:b/>
                <w:noProof/>
                <w:sz w:val="22"/>
                <w:szCs w:val="22"/>
              </w:rPr>
              <w:t>722 143 660</w:t>
            </w:r>
          </w:p>
        </w:tc>
      </w:tr>
    </w:tbl>
    <w:p>
      <w:pPr>
        <w:pStyle w:val="ManualHeading1"/>
        <w:spacing w:before="120"/>
        <w:rPr>
          <w:noProof/>
        </w:rPr>
      </w:pPr>
      <w:bookmarkStart w:id="19" w:name="_Toc39051432"/>
      <w:r>
        <w:rPr>
          <w:noProof/>
        </w:rPr>
        <w:t>3.</w:t>
      </w:r>
      <w:r>
        <w:rPr>
          <w:noProof/>
        </w:rPr>
        <w:tab/>
        <w:t xml:space="preserve">Für den Haushaltsplan </w:t>
      </w:r>
      <w:bookmarkEnd w:id="14"/>
      <w:r>
        <w:rPr>
          <w:noProof/>
        </w:rPr>
        <w:t>20</w:t>
      </w:r>
      <w:bookmarkEnd w:id="15"/>
      <w:r>
        <w:rPr>
          <w:noProof/>
        </w:rPr>
        <w:t>20 beantragte Mittel</w:t>
      </w:r>
      <w:bookmarkEnd w:id="19"/>
    </w:p>
    <w:p>
      <w:pPr>
        <w:spacing w:before="120" w:after="120"/>
        <w:jc w:val="both"/>
        <w:rPr>
          <w:rFonts w:ascii="Times New Roman" w:hAnsi="Times New Roman" w:cs="Times New Roman"/>
          <w:noProof/>
        </w:rPr>
      </w:pPr>
      <w:r>
        <w:rPr>
          <w:rFonts w:ascii="Times New Roman" w:hAnsi="Times New Roman"/>
          <w:noProof/>
        </w:rPr>
        <w:t>Auf der Grundlage der Anträge, die Portugal, Spanien, Italien und Österreich gestellt haben, wird der Finanzbeitrag aus dem EUSF auf Basis der Schätzung der direkten Gesamtschäden auf 278 993 814 EUR festgesetzt.</w:t>
      </w:r>
    </w:p>
    <w:p>
      <w:pPr>
        <w:rPr>
          <w:rFonts w:ascii="Times New Roman" w:hAnsi="Times New Roman" w:cs="Times New Roman"/>
          <w:noProof/>
        </w:rPr>
      </w:pPr>
      <w:r>
        <w:rPr>
          <w:noProof/>
        </w:rPr>
        <w:br w:type="page"/>
      </w:r>
    </w:p>
    <w:p>
      <w:pPr>
        <w:spacing w:before="120" w:after="120"/>
        <w:jc w:val="both"/>
        <w:rPr>
          <w:rFonts w:ascii="Times New Roman" w:hAnsi="Times New Roman" w:cs="Times New Roman"/>
          <w:noProof/>
          <w:snapToGrid w:val="0"/>
        </w:rPr>
      </w:pPr>
      <w:r>
        <w:rPr>
          <w:rFonts w:ascii="Times New Roman" w:hAnsi="Times New Roman"/>
          <w:noProof/>
          <w:snapToGrid w:val="0"/>
        </w:rPr>
        <w:t>Unter Berücksichtigung des Betrags von 6 495 606 EUR, der für diese EUSF-Fälle bereits als Vorschuss gezahlt wurde, schlägt die Kommission vor, den Haushaltsplan 2020 durch eine Aufstockung der Haushaltslinie 13 06 01 um 272 498 208 EUR sowohl bei den Mitteln für Verpflichtungen als auch bei den Mitteln für Zahlungen zu ändern (siehe nachstehende Tabelle).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03"/>
        <w:gridCol w:w="1701"/>
        <w:gridCol w:w="1701"/>
      </w:tblGrid>
      <w:tr>
        <w:tc>
          <w:tcPr>
            <w:tcW w:w="9781" w:type="dxa"/>
            <w:gridSpan w:val="4"/>
            <w:tcBorders>
              <w:top w:val="nil"/>
              <w:left w:val="nil"/>
              <w:bottom w:val="single" w:sz="4" w:space="0" w:color="auto"/>
              <w:right w:val="nil"/>
            </w:tcBorders>
            <w:shd w:val="clear" w:color="auto" w:fill="FFFFFF" w:themeFill="background1"/>
            <w:vAlign w:val="center"/>
          </w:tcPr>
          <w:p>
            <w:pPr>
              <w:widowControl w:val="0"/>
              <w:spacing w:before="15" w:after="15"/>
              <w:jc w:val="right"/>
              <w:rPr>
                <w:rFonts w:ascii="Times New Roman" w:hAnsi="Times New Roman" w:cs="Times New Roman"/>
                <w:b/>
                <w:noProof/>
              </w:rPr>
            </w:pPr>
            <w:r>
              <w:rPr>
                <w:rFonts w:ascii="Times New Roman" w:hAnsi="Times New Roman"/>
                <w:i/>
                <w:noProof/>
                <w:shd w:val="clear" w:color="auto" w:fill="FFFFFF" w:themeFill="background1"/>
              </w:rPr>
              <w:t>Beträge</w:t>
            </w:r>
            <w:r>
              <w:rPr>
                <w:rFonts w:ascii="Times New Roman" w:hAnsi="Times New Roman"/>
                <w:i/>
                <w:noProof/>
              </w:rPr>
              <w:t xml:space="preserve"> in EUR</w:t>
            </w:r>
          </w:p>
        </w:tc>
      </w:tr>
      <w:tr>
        <w:tc>
          <w:tcPr>
            <w:tcW w:w="1276" w:type="dxa"/>
            <w:tcBorders>
              <w:top w:val="single" w:sz="4" w:space="0" w:color="auto"/>
            </w:tcBorders>
            <w:shd w:val="clear" w:color="auto" w:fill="D9D9D9"/>
            <w:vAlign w:val="center"/>
          </w:tcPr>
          <w:p>
            <w:pPr>
              <w:widowControl w:val="0"/>
              <w:spacing w:before="15" w:after="15"/>
              <w:jc w:val="center"/>
              <w:rPr>
                <w:rFonts w:ascii="Times New Roman" w:hAnsi="Times New Roman" w:cs="Times New Roman"/>
                <w:b/>
                <w:noProof/>
              </w:rPr>
            </w:pPr>
            <w:r>
              <w:rPr>
                <w:rFonts w:ascii="Times New Roman" w:hAnsi="Times New Roman"/>
                <w:b/>
                <w:noProof/>
              </w:rPr>
              <w:t>Haushaltslinie</w:t>
            </w:r>
          </w:p>
        </w:tc>
        <w:tc>
          <w:tcPr>
            <w:tcW w:w="5103" w:type="dxa"/>
            <w:tcBorders>
              <w:top w:val="single" w:sz="4" w:space="0" w:color="auto"/>
            </w:tcBorders>
            <w:shd w:val="clear" w:color="auto" w:fill="D9D9D9"/>
            <w:vAlign w:val="center"/>
          </w:tcPr>
          <w:p>
            <w:pPr>
              <w:widowControl w:val="0"/>
              <w:spacing w:before="15" w:after="15"/>
              <w:jc w:val="center"/>
              <w:rPr>
                <w:rFonts w:ascii="Times New Roman" w:hAnsi="Times New Roman" w:cs="Times New Roman"/>
                <w:b/>
                <w:noProof/>
              </w:rPr>
            </w:pPr>
            <w:r>
              <w:rPr>
                <w:rFonts w:ascii="Times New Roman" w:hAnsi="Times New Roman"/>
                <w:b/>
                <w:noProof/>
              </w:rPr>
              <w:t>Bezeichnung</w:t>
            </w:r>
          </w:p>
        </w:tc>
        <w:tc>
          <w:tcPr>
            <w:tcW w:w="1701" w:type="dxa"/>
            <w:tcBorders>
              <w:top w:val="single" w:sz="4" w:space="0" w:color="auto"/>
            </w:tcBorders>
            <w:shd w:val="clear" w:color="auto" w:fill="D9D9D9"/>
          </w:tcPr>
          <w:p>
            <w:pPr>
              <w:widowControl w:val="0"/>
              <w:spacing w:before="15" w:after="15"/>
              <w:jc w:val="center"/>
              <w:rPr>
                <w:rFonts w:ascii="Times New Roman" w:hAnsi="Times New Roman" w:cs="Times New Roman"/>
                <w:b/>
                <w:noProof/>
              </w:rPr>
            </w:pPr>
            <w:r>
              <w:rPr>
                <w:rFonts w:ascii="Times New Roman" w:hAnsi="Times New Roman"/>
                <w:b/>
                <w:noProof/>
              </w:rPr>
              <w:t>Mittel für Verpflichtungen</w:t>
            </w:r>
          </w:p>
        </w:tc>
        <w:tc>
          <w:tcPr>
            <w:tcW w:w="1701" w:type="dxa"/>
            <w:tcBorders>
              <w:top w:val="single" w:sz="4" w:space="0" w:color="auto"/>
            </w:tcBorders>
            <w:shd w:val="clear" w:color="auto" w:fill="D9D9D9"/>
            <w:vAlign w:val="center"/>
          </w:tcPr>
          <w:p>
            <w:pPr>
              <w:widowControl w:val="0"/>
              <w:spacing w:before="15" w:after="15"/>
              <w:jc w:val="center"/>
              <w:rPr>
                <w:rFonts w:ascii="Times New Roman" w:hAnsi="Times New Roman" w:cs="Times New Roman"/>
                <w:b/>
                <w:noProof/>
              </w:rPr>
            </w:pPr>
            <w:r>
              <w:rPr>
                <w:rFonts w:ascii="Times New Roman" w:hAnsi="Times New Roman"/>
                <w:b/>
                <w:noProof/>
              </w:rPr>
              <w:t>Mittel für Zahlungen</w:t>
            </w:r>
          </w:p>
        </w:tc>
      </w:tr>
      <w:tr>
        <w:tc>
          <w:tcPr>
            <w:tcW w:w="1276" w:type="dxa"/>
          </w:tcPr>
          <w:p>
            <w:pPr>
              <w:widowControl w:val="0"/>
              <w:spacing w:before="15" w:after="15"/>
              <w:ind w:right="-113"/>
              <w:jc w:val="both"/>
              <w:rPr>
                <w:rFonts w:ascii="Times New Roman" w:hAnsi="Times New Roman" w:cs="Times New Roman"/>
                <w:noProof/>
              </w:rPr>
            </w:pPr>
            <w:r>
              <w:rPr>
                <w:rFonts w:ascii="Times New Roman" w:hAnsi="Times New Roman"/>
                <w:noProof/>
              </w:rPr>
              <w:t>13 06 01</w:t>
            </w:r>
          </w:p>
        </w:tc>
        <w:tc>
          <w:tcPr>
            <w:tcW w:w="5103" w:type="dxa"/>
          </w:tcPr>
          <w:p>
            <w:pPr>
              <w:widowControl w:val="0"/>
              <w:spacing w:before="15" w:after="15"/>
              <w:ind w:right="-113"/>
              <w:jc w:val="both"/>
              <w:rPr>
                <w:rFonts w:ascii="Times New Roman" w:hAnsi="Times New Roman" w:cs="Times New Roman"/>
                <w:noProof/>
              </w:rPr>
            </w:pPr>
            <w:r>
              <w:rPr>
                <w:rFonts w:ascii="Times New Roman" w:hAnsi="Times New Roman"/>
                <w:noProof/>
              </w:rPr>
              <w:t>Unterstützung der Mitgliedstaaten im Falle einer großen Naturkatastrophe mit schwerwiegenden Auswirkungen auf die Lebensbedingungen, die natürliche Umwelt oder die Wirtschaft</w:t>
            </w:r>
          </w:p>
        </w:tc>
        <w:tc>
          <w:tcPr>
            <w:tcW w:w="1701" w:type="dxa"/>
          </w:tcPr>
          <w:p>
            <w:pPr>
              <w:widowControl w:val="0"/>
              <w:spacing w:before="15" w:after="15"/>
              <w:jc w:val="right"/>
              <w:rPr>
                <w:rFonts w:ascii="Times New Roman" w:hAnsi="Times New Roman" w:cs="Times New Roman"/>
                <w:noProof/>
              </w:rPr>
            </w:pPr>
            <w:r>
              <w:rPr>
                <w:rFonts w:ascii="Times New Roman" w:hAnsi="Times New Roman"/>
                <w:noProof/>
              </w:rPr>
              <w:t>272 498 208</w:t>
            </w:r>
          </w:p>
        </w:tc>
        <w:tc>
          <w:tcPr>
            <w:tcW w:w="1701" w:type="dxa"/>
          </w:tcPr>
          <w:p>
            <w:pPr>
              <w:widowControl w:val="0"/>
              <w:spacing w:before="15" w:after="15"/>
              <w:jc w:val="right"/>
              <w:rPr>
                <w:rFonts w:ascii="Times New Roman" w:hAnsi="Times New Roman" w:cs="Times New Roman"/>
                <w:noProof/>
              </w:rPr>
            </w:pPr>
            <w:r>
              <w:rPr>
                <w:rFonts w:ascii="Times New Roman" w:hAnsi="Times New Roman"/>
                <w:noProof/>
              </w:rPr>
              <w:t>272 498 208</w:t>
            </w:r>
          </w:p>
        </w:tc>
      </w:tr>
      <w:tr>
        <w:tc>
          <w:tcPr>
            <w:tcW w:w="6379" w:type="dxa"/>
            <w:gridSpan w:val="2"/>
            <w:shd w:val="clear" w:color="auto" w:fill="D9D9D9"/>
          </w:tcPr>
          <w:p>
            <w:pPr>
              <w:widowControl w:val="0"/>
              <w:tabs>
                <w:tab w:val="left" w:pos="975"/>
              </w:tabs>
              <w:spacing w:before="15" w:after="15"/>
              <w:jc w:val="both"/>
              <w:rPr>
                <w:rFonts w:ascii="Times New Roman" w:hAnsi="Times New Roman" w:cs="Times New Roman"/>
                <w:b/>
                <w:noProof/>
              </w:rPr>
            </w:pPr>
            <w:r>
              <w:rPr>
                <w:rFonts w:ascii="Times New Roman" w:hAnsi="Times New Roman"/>
                <w:b/>
                <w:noProof/>
              </w:rPr>
              <w:t>Insgesamt</w:t>
            </w:r>
            <w:r>
              <w:rPr>
                <w:noProof/>
              </w:rPr>
              <w:tab/>
            </w:r>
          </w:p>
        </w:tc>
        <w:tc>
          <w:tcPr>
            <w:tcW w:w="1701" w:type="dxa"/>
            <w:shd w:val="clear" w:color="auto" w:fill="D9D9D9"/>
          </w:tcPr>
          <w:p>
            <w:pPr>
              <w:widowControl w:val="0"/>
              <w:spacing w:before="15" w:after="15"/>
              <w:jc w:val="right"/>
              <w:rPr>
                <w:rFonts w:ascii="Times New Roman" w:hAnsi="Times New Roman" w:cs="Times New Roman"/>
                <w:b/>
                <w:noProof/>
              </w:rPr>
            </w:pPr>
            <w:r>
              <w:rPr>
                <w:rFonts w:ascii="Times New Roman" w:hAnsi="Times New Roman"/>
                <w:b/>
                <w:noProof/>
              </w:rPr>
              <w:t>272 498 208</w:t>
            </w:r>
          </w:p>
        </w:tc>
        <w:tc>
          <w:tcPr>
            <w:tcW w:w="1701" w:type="dxa"/>
            <w:shd w:val="clear" w:color="auto" w:fill="D9D9D9"/>
          </w:tcPr>
          <w:p>
            <w:pPr>
              <w:widowControl w:val="0"/>
              <w:spacing w:before="15" w:after="15"/>
              <w:jc w:val="right"/>
              <w:rPr>
                <w:rFonts w:ascii="Times New Roman" w:hAnsi="Times New Roman" w:cs="Times New Roman"/>
                <w:b/>
                <w:noProof/>
              </w:rPr>
            </w:pPr>
            <w:r>
              <w:rPr>
                <w:rFonts w:ascii="Times New Roman" w:hAnsi="Times New Roman"/>
                <w:b/>
                <w:noProof/>
              </w:rPr>
              <w:t>272 498 208</w:t>
            </w:r>
          </w:p>
        </w:tc>
      </w:tr>
    </w:tbl>
    <w:p>
      <w:pPr>
        <w:pStyle w:val="ManualHeading1"/>
        <w:pageBreakBefore/>
        <w:rPr>
          <w:noProof/>
        </w:rPr>
      </w:pPr>
      <w:bookmarkStart w:id="20" w:name="_Toc514181802"/>
      <w:bookmarkStart w:id="21" w:name="_Toc39051433"/>
      <w:bookmarkEnd w:id="16"/>
      <w:bookmarkEnd w:id="17"/>
      <w:bookmarkEnd w:id="18"/>
      <w:r>
        <w:rPr>
          <w:noProof/>
        </w:rPr>
        <w:t>4.</w:t>
      </w:r>
      <w:r>
        <w:rPr>
          <w:noProof/>
        </w:rPr>
        <w:tab/>
        <w:t>Übersicht nach Rubriken des Mehrjährigen Finanzrahmens (MFR)</w:t>
      </w:r>
      <w:bookmarkEnd w:id="20"/>
      <w:bookmarkEnd w:id="21"/>
    </w:p>
    <w:tbl>
      <w:tblPr>
        <w:tblW w:w="10617" w:type="dxa"/>
        <w:jc w:val="center"/>
        <w:tblLayout w:type="fixed"/>
        <w:tblCellMar>
          <w:left w:w="70" w:type="dxa"/>
          <w:right w:w="70" w:type="dxa"/>
        </w:tblCellMar>
        <w:tblLook w:val="04A0" w:firstRow="1" w:lastRow="0" w:firstColumn="1" w:lastColumn="0" w:noHBand="0" w:noVBand="1"/>
      </w:tblPr>
      <w:tblGrid>
        <w:gridCol w:w="345"/>
        <w:gridCol w:w="2571"/>
        <w:gridCol w:w="1353"/>
        <w:gridCol w:w="1319"/>
        <w:gridCol w:w="1122"/>
        <w:gridCol w:w="1080"/>
        <w:gridCol w:w="1276"/>
        <w:gridCol w:w="1319"/>
        <w:gridCol w:w="232"/>
      </w:tblGrid>
      <w:tr>
        <w:trPr>
          <w:trHeight w:val="188"/>
          <w:jc w:val="center"/>
        </w:trPr>
        <w:tc>
          <w:tcPr>
            <w:tcW w:w="10617" w:type="dxa"/>
            <w:gridSpan w:val="9"/>
            <w:tcBorders>
              <w:top w:val="nil"/>
              <w:left w:val="nil"/>
              <w:right w:val="nil"/>
            </w:tcBorders>
            <w:shd w:val="clear" w:color="auto" w:fill="auto"/>
            <w:noWrap/>
            <w:vAlign w:val="bottom"/>
            <w:hideMark/>
          </w:tcPr>
          <w:bookmarkEnd w:id="7"/>
          <w:bookmarkEnd w:id="8"/>
          <w:bookmarkEnd w:id="12"/>
          <w:bookmarkEnd w:id="13"/>
          <w:p>
            <w:pPr>
              <w:spacing w:after="0" w:line="240" w:lineRule="auto"/>
              <w:ind w:right="105"/>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in EUR</w:t>
            </w:r>
          </w:p>
        </w:tc>
      </w:tr>
      <w:tr>
        <w:trPr>
          <w:gridAfter w:val="1"/>
          <w:wAfter w:w="232" w:type="dxa"/>
          <w:trHeight w:val="209"/>
          <w:jc w:val="center"/>
        </w:trPr>
        <w:tc>
          <w:tcPr>
            <w:tcW w:w="2911" w:type="dxa"/>
            <w:gridSpan w:val="2"/>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Rubrik</w:t>
            </w:r>
          </w:p>
        </w:tc>
        <w:tc>
          <w:tcPr>
            <w:tcW w:w="2674" w:type="dxa"/>
            <w:gridSpan w:val="2"/>
            <w:tcBorders>
              <w:top w:val="single" w:sz="4" w:space="0" w:color="auto"/>
              <w:left w:val="nil"/>
              <w:bottom w:val="nil"/>
              <w:right w:val="single" w:sz="4" w:space="0" w:color="000000"/>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Haushalt 2020</w:t>
            </w:r>
          </w:p>
        </w:tc>
        <w:tc>
          <w:tcPr>
            <w:tcW w:w="2203" w:type="dxa"/>
            <w:gridSpan w:val="2"/>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Entwurf des Berichtigungshaushaltsplans Nr. 4/2020</w:t>
            </w:r>
          </w:p>
        </w:tc>
        <w:tc>
          <w:tcPr>
            <w:tcW w:w="2597" w:type="dxa"/>
            <w:gridSpan w:val="2"/>
            <w:tcBorders>
              <w:top w:val="single" w:sz="4" w:space="0" w:color="auto"/>
              <w:left w:val="nil"/>
              <w:bottom w:val="nil"/>
              <w:right w:val="single" w:sz="4" w:space="0" w:color="000000"/>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Haushalt 2020</w:t>
            </w:r>
          </w:p>
        </w:tc>
      </w:tr>
      <w:tr>
        <w:trPr>
          <w:gridAfter w:val="1"/>
          <w:wAfter w:w="232" w:type="dxa"/>
          <w:trHeight w:val="209"/>
          <w:jc w:val="center"/>
        </w:trPr>
        <w:tc>
          <w:tcPr>
            <w:tcW w:w="2911" w:type="dxa"/>
            <w:gridSpan w:val="2"/>
            <w:vMerge/>
            <w:tcBorders>
              <w:top w:val="single" w:sz="4" w:space="0" w:color="auto"/>
              <w:left w:val="single" w:sz="4" w:space="0" w:color="auto"/>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b/>
                <w:bCs/>
                <w:noProof/>
                <w:color w:val="000000"/>
                <w:sz w:val="14"/>
                <w:szCs w:val="14"/>
                <w:lang w:val="fr-BE" w:eastAsia="fr-BE"/>
              </w:rPr>
            </w:pPr>
          </w:p>
        </w:tc>
        <w:tc>
          <w:tcPr>
            <w:tcW w:w="2674" w:type="dxa"/>
            <w:gridSpan w:val="2"/>
            <w:tcBorders>
              <w:top w:val="nil"/>
              <w:left w:val="nil"/>
              <w:bottom w:val="single" w:sz="4" w:space="0" w:color="auto"/>
              <w:right w:val="single" w:sz="4" w:space="0" w:color="000000"/>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(einschl. BH Nr. 1-2 und EBH Nr. 3/2020)</w:t>
            </w:r>
          </w:p>
        </w:tc>
        <w:tc>
          <w:tcPr>
            <w:tcW w:w="2203" w:type="dxa"/>
            <w:gridSpan w:val="2"/>
            <w:vMerge/>
            <w:tcBorders>
              <w:top w:val="single" w:sz="4" w:space="0" w:color="auto"/>
              <w:left w:val="single" w:sz="4" w:space="0" w:color="auto"/>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b/>
                <w:bCs/>
                <w:noProof/>
                <w:color w:val="000000"/>
                <w:sz w:val="14"/>
                <w:szCs w:val="14"/>
                <w:lang w:eastAsia="fr-BE"/>
              </w:rPr>
            </w:pPr>
          </w:p>
        </w:tc>
        <w:tc>
          <w:tcPr>
            <w:tcW w:w="2597" w:type="dxa"/>
            <w:gridSpan w:val="2"/>
            <w:tcBorders>
              <w:top w:val="nil"/>
              <w:left w:val="nil"/>
              <w:bottom w:val="single" w:sz="4" w:space="0" w:color="auto"/>
              <w:right w:val="single" w:sz="4" w:space="0" w:color="000000"/>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(einschl. BH Nr. 1-2 und EBH Nr. 3-4/2020)</w:t>
            </w:r>
          </w:p>
        </w:tc>
      </w:tr>
      <w:tr>
        <w:trPr>
          <w:gridAfter w:val="1"/>
          <w:wAfter w:w="232" w:type="dxa"/>
          <w:trHeight w:val="209"/>
          <w:jc w:val="center"/>
        </w:trPr>
        <w:tc>
          <w:tcPr>
            <w:tcW w:w="2911" w:type="dxa"/>
            <w:gridSpan w:val="2"/>
            <w:vMerge/>
            <w:tcBorders>
              <w:top w:val="single" w:sz="4" w:space="0" w:color="auto"/>
              <w:left w:val="single" w:sz="4" w:space="0" w:color="auto"/>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b/>
                <w:bCs/>
                <w:noProof/>
                <w:color w:val="000000"/>
                <w:sz w:val="14"/>
                <w:szCs w:val="14"/>
                <w:lang w:eastAsia="fr-BE"/>
              </w:rPr>
            </w:pPr>
          </w:p>
        </w:tc>
        <w:tc>
          <w:tcPr>
            <w:tcW w:w="1354" w:type="dxa"/>
            <w:tcBorders>
              <w:top w:val="nil"/>
              <w:left w:val="nil"/>
              <w:bottom w:val="nil"/>
              <w:right w:val="single" w:sz="4" w:space="0" w:color="auto"/>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MfV</w:t>
            </w:r>
          </w:p>
        </w:tc>
        <w:tc>
          <w:tcPr>
            <w:tcW w:w="1320" w:type="dxa"/>
            <w:tcBorders>
              <w:top w:val="nil"/>
              <w:left w:val="nil"/>
              <w:bottom w:val="single" w:sz="4" w:space="0" w:color="auto"/>
              <w:right w:val="single" w:sz="4" w:space="0" w:color="auto"/>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MfZ</w:t>
            </w:r>
          </w:p>
        </w:tc>
        <w:tc>
          <w:tcPr>
            <w:tcW w:w="1123" w:type="dxa"/>
            <w:tcBorders>
              <w:top w:val="nil"/>
              <w:left w:val="nil"/>
              <w:bottom w:val="single" w:sz="4" w:space="0" w:color="auto"/>
              <w:right w:val="single" w:sz="4" w:space="0" w:color="auto"/>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MfV</w:t>
            </w:r>
          </w:p>
        </w:tc>
        <w:tc>
          <w:tcPr>
            <w:tcW w:w="1080" w:type="dxa"/>
            <w:tcBorders>
              <w:top w:val="nil"/>
              <w:left w:val="nil"/>
              <w:bottom w:val="single" w:sz="4" w:space="0" w:color="auto"/>
              <w:right w:val="single" w:sz="4" w:space="0" w:color="auto"/>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MfZ</w:t>
            </w:r>
          </w:p>
        </w:tc>
        <w:tc>
          <w:tcPr>
            <w:tcW w:w="1277" w:type="dxa"/>
            <w:tcBorders>
              <w:top w:val="nil"/>
              <w:left w:val="nil"/>
              <w:bottom w:val="single" w:sz="4" w:space="0" w:color="auto"/>
              <w:right w:val="single" w:sz="4" w:space="0" w:color="auto"/>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MfV</w:t>
            </w:r>
          </w:p>
        </w:tc>
        <w:tc>
          <w:tcPr>
            <w:tcW w:w="1320" w:type="dxa"/>
            <w:tcBorders>
              <w:top w:val="nil"/>
              <w:left w:val="nil"/>
              <w:bottom w:val="single" w:sz="4" w:space="0" w:color="auto"/>
              <w:right w:val="single" w:sz="4" w:space="0" w:color="auto"/>
            </w:tcBorders>
            <w:shd w:val="clear" w:color="000000" w:fill="D9D9D9"/>
            <w:vAlign w:val="center"/>
            <w:hideMark/>
          </w:tcPr>
          <w:p>
            <w:pPr>
              <w:spacing w:after="0" w:line="240" w:lineRule="auto"/>
              <w:jc w:val="center"/>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MfZ</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Intelligentes und integratives Wachstum</w:t>
            </w:r>
          </w:p>
        </w:tc>
        <w:tc>
          <w:tcPr>
            <w:tcW w:w="1354"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83 930 597 837</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72 353 828 442</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83 930 597 837</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72 353 828 442</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Obergrenze </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83 661 000 000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83 661 000 000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1a</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Wettbewerbsfähigkeit für Wachstum und Beschäftigung</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25 284 773 982</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22 308 071 592</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25 284 773 982</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22 308 071 592</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im Rahmen des GSV</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93 773 982</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93 773 982</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25 191 000 000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25 191 000 000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1b </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Wirtschaftlicher, sozialer und territorialer Zusammenhalt</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58 645 823 855</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50 045 756 850</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58 645 823 855</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50 045 756 850</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im Rahmen des GSV</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175 823 855</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175 823 855</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58 470 000 000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58 470 000 000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2.</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Nachhaltiges Wachstum: natürliche Ressourcen</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59 907 021 051</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57 904 492 439</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59 907 021 051</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57 904 492 439</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60 421 000 000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60 421 000 000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513 978 949</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513 978 949</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346"/>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davon: Europäischer Garantiefonds für die Landwirtschaft (EGFL) – marktbezogene Ausgaben und Direktzahlungen</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43 410 105 687</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43 380 031 798</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43 410 105 687</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43 380 031 798</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Teilobergrenze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43 888 000 000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43 888 000 000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für die Berechnung des Spielraums ausgenommene Rundungsdifferenz</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888 000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888 000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EGFL-Spielraum</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477 006 313</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477 006 313</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3.</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Sicherheit und Unionsbürgerschaft</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7 152 374 489</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5 278 527 141</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7 152 374 489</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5 278 527 141</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im Rahmen des Flexibilitätsinstruments</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1 094 414 188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1 094 414 188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im Rahmen des GSV</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2 392 402 163</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2 392 402 163</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im Rahmen des Spielraums für unvorhergesehene Ausgaben</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714 558 138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714 558 138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2 951 000 000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2 951 000 000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000000" w:fill="FFFFFF"/>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000000" w:fill="FFFFFF"/>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4.</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Europa in der Welt</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10 406 572 239</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8 944 061 191</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10 406 572 239</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8 944 061 191</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10 510 000 000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10 510 000 000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000000" w:fill="FFFFFF"/>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103 427 761</w:t>
            </w:r>
          </w:p>
        </w:tc>
        <w:tc>
          <w:tcPr>
            <w:tcW w:w="1320" w:type="dxa"/>
            <w:tcBorders>
              <w:top w:val="nil"/>
              <w:left w:val="nil"/>
              <w:bottom w:val="single" w:sz="4" w:space="0" w:color="auto"/>
              <w:right w:val="single" w:sz="4" w:space="0" w:color="auto"/>
            </w:tcBorders>
            <w:shd w:val="clear" w:color="000000" w:fill="FFFFFF"/>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000000" w:fill="FFFFFF"/>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103 427 761</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27" w:type="dxa"/>
          <w:trHeight w:val="227"/>
          <w:jc w:val="center"/>
        </w:trPr>
        <w:tc>
          <w:tcPr>
            <w:tcW w:w="344" w:type="dxa"/>
            <w:tcBorders>
              <w:top w:val="nil"/>
              <w:left w:val="single" w:sz="4" w:space="0" w:color="auto"/>
              <w:bottom w:val="dotted" w:sz="4" w:space="0" w:color="auto"/>
              <w:right w:val="nil"/>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5.</w:t>
            </w:r>
          </w:p>
        </w:tc>
        <w:tc>
          <w:tcPr>
            <w:tcW w:w="2572" w:type="dxa"/>
            <w:tcBorders>
              <w:top w:val="nil"/>
              <w:left w:val="nil"/>
              <w:bottom w:val="dotted"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Verwaltung</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10 271 193 494</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10 274 196 704</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10 271 193 494</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10 274 196 704</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11 254 000 000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11 254 000 000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gegen den Spielraum für unvorhergesehene Ausgaben aufgerechnet</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-966 558 138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-966 558 138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16 248 368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16 248 368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360"/>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davon: Verwaltungsausgaben der Organe</w:t>
            </w:r>
          </w:p>
        </w:tc>
        <w:tc>
          <w:tcPr>
            <w:tcW w:w="1354"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7 955 303 132</w:t>
            </w:r>
          </w:p>
        </w:tc>
        <w:tc>
          <w:tcPr>
            <w:tcW w:w="1320"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7 958 306 342</w:t>
            </w:r>
          </w:p>
        </w:tc>
        <w:tc>
          <w:tcPr>
            <w:tcW w:w="1123"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080"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 xml:space="preserve"> </w:t>
            </w:r>
          </w:p>
        </w:tc>
        <w:tc>
          <w:tcPr>
            <w:tcW w:w="1277"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7 955 303 132</w:t>
            </w:r>
          </w:p>
        </w:tc>
        <w:tc>
          <w:tcPr>
            <w:tcW w:w="1320" w:type="dxa"/>
            <w:tcBorders>
              <w:top w:val="single" w:sz="4" w:space="0" w:color="auto"/>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14"/>
                <w:szCs w:val="14"/>
              </w:rPr>
            </w:pPr>
            <w:r>
              <w:rPr>
                <w:rFonts w:ascii="Times New Roman" w:hAnsi="Times New Roman"/>
                <w:noProof/>
                <w:color w:val="000000"/>
                <w:sz w:val="14"/>
                <w:szCs w:val="14"/>
              </w:rPr>
              <w:t>7 958 306 342</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Teilobergrenze</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9 071 000 000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9 071 000 000</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davon gegen den Spielraum für unvorhergesehene Ausgaben aufgerechnet</w:t>
            </w:r>
          </w:p>
        </w:tc>
        <w:tc>
          <w:tcPr>
            <w:tcW w:w="1354"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-966 558 138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-966 558 138</w:t>
            </w:r>
          </w:p>
        </w:tc>
        <w:tc>
          <w:tcPr>
            <w:tcW w:w="1320" w:type="dxa"/>
            <w:tcBorders>
              <w:top w:val="nil"/>
              <w:left w:val="nil"/>
              <w:bottom w:val="dotted"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Spielraum</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149 138 730</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149 138 730</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i/>
                <w:iCs/>
                <w:noProof/>
                <w:color w:val="000000"/>
                <w:sz w:val="14"/>
                <w:szCs w:val="14"/>
              </w:rPr>
            </w:pPr>
            <w:r>
              <w:rPr>
                <w:rFonts w:ascii="Times New Roman" w:hAnsi="Times New Roman"/>
                <w:i/>
                <w:iCs/>
                <w:noProof/>
                <w:color w:val="000000"/>
                <w:sz w:val="14"/>
                <w:szCs w:val="14"/>
              </w:rPr>
              <w:t xml:space="preserve"> </w:t>
            </w:r>
          </w:p>
        </w:tc>
      </w:tr>
      <w:tr>
        <w:trPr>
          <w:gridAfter w:val="1"/>
          <w:wAfter w:w="232" w:type="dxa"/>
          <w:trHeight w:val="227"/>
          <w:jc w:val="center"/>
        </w:trPr>
        <w:tc>
          <w:tcPr>
            <w:tcW w:w="2911" w:type="dxa"/>
            <w:gridSpan w:val="2"/>
            <w:tcBorders>
              <w:top w:val="single" w:sz="4" w:space="0" w:color="auto"/>
              <w:left w:val="single" w:sz="4" w:space="0" w:color="auto"/>
              <w:bottom w:val="dotted"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Insgesamt</w:t>
            </w:r>
          </w:p>
        </w:tc>
        <w:tc>
          <w:tcPr>
            <w:tcW w:w="1354" w:type="dxa"/>
            <w:tcBorders>
              <w:top w:val="single" w:sz="4" w:space="0" w:color="auto"/>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171 667 759 110</w:t>
            </w:r>
          </w:p>
        </w:tc>
        <w:tc>
          <w:tcPr>
            <w:tcW w:w="1320" w:type="dxa"/>
            <w:tcBorders>
              <w:top w:val="single" w:sz="4" w:space="0" w:color="auto"/>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154 755 105 917</w:t>
            </w:r>
          </w:p>
        </w:tc>
        <w:tc>
          <w:tcPr>
            <w:tcW w:w="1123" w:type="dxa"/>
            <w:tcBorders>
              <w:top w:val="single" w:sz="4" w:space="0" w:color="auto"/>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080" w:type="dxa"/>
            <w:tcBorders>
              <w:top w:val="single" w:sz="4" w:space="0" w:color="auto"/>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1277" w:type="dxa"/>
            <w:tcBorders>
              <w:top w:val="single" w:sz="4" w:space="0" w:color="auto"/>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171 667 759 110</w:t>
            </w:r>
          </w:p>
        </w:tc>
        <w:tc>
          <w:tcPr>
            <w:tcW w:w="1320" w:type="dxa"/>
            <w:tcBorders>
              <w:top w:val="single" w:sz="4" w:space="0" w:color="auto"/>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154 755 105 917</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davon im Rahmen des Flexibilitätsinstruments</w:t>
            </w:r>
          </w:p>
        </w:tc>
        <w:tc>
          <w:tcPr>
            <w:tcW w:w="1354"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1 094 414 188</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1 017 029 444</w:t>
            </w:r>
          </w:p>
        </w:tc>
        <w:tc>
          <w:tcPr>
            <w:tcW w:w="1123"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1 094 414 188</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1 017 029 444</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davon im Rahmen des GSV</w:t>
            </w:r>
          </w:p>
        </w:tc>
        <w:tc>
          <w:tcPr>
            <w:tcW w:w="1354"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2 662 000 000</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2 662 000 000</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davon im Rahmen des Spielraums für unvorhergesehene Ausgaben</w:t>
            </w:r>
          </w:p>
        </w:tc>
        <w:tc>
          <w:tcPr>
            <w:tcW w:w="1354"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714 558 138</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714 558 138</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Obergrenze</w:t>
            </w:r>
          </w:p>
        </w:tc>
        <w:tc>
          <w:tcPr>
            <w:tcW w:w="1354"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168 797 000 000</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172 420 000 000</w:t>
            </w:r>
          </w:p>
        </w:tc>
        <w:tc>
          <w:tcPr>
            <w:tcW w:w="1123"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168 797 000 000</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172 420 000 000</w:t>
            </w:r>
          </w:p>
        </w:tc>
      </w:tr>
      <w:tr>
        <w:trPr>
          <w:gridAfter w:val="1"/>
          <w:wAfter w:w="232" w:type="dxa"/>
          <w:trHeight w:val="227"/>
          <w:jc w:val="center"/>
        </w:trPr>
        <w:tc>
          <w:tcPr>
            <w:tcW w:w="2911"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davon gegen den Spielraum für unvorhergesehene Ausgaben aufgerechnet</w:t>
            </w:r>
          </w:p>
        </w:tc>
        <w:tc>
          <w:tcPr>
            <w:tcW w:w="1354"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-966 558 138</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123"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08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277"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-966 558 138</w:t>
            </w:r>
          </w:p>
        </w:tc>
        <w:tc>
          <w:tcPr>
            <w:tcW w:w="1320" w:type="dxa"/>
            <w:tcBorders>
              <w:top w:val="nil"/>
              <w:left w:val="nil"/>
              <w:bottom w:val="dotted"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r>
      <w:tr>
        <w:trPr>
          <w:gridAfter w:val="1"/>
          <w:wAfter w:w="232" w:type="dxa"/>
          <w:trHeight w:val="227"/>
          <w:jc w:val="center"/>
        </w:trPr>
        <w:tc>
          <w:tcPr>
            <w:tcW w:w="2911" w:type="dxa"/>
            <w:gridSpan w:val="2"/>
            <w:tcBorders>
              <w:top w:val="dotted" w:sz="4" w:space="0" w:color="auto"/>
              <w:left w:val="single" w:sz="4" w:space="0" w:color="auto"/>
              <w:bottom w:val="single"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Spielraum</w:t>
            </w:r>
          </w:p>
        </w:tc>
        <w:tc>
          <w:tcPr>
            <w:tcW w:w="1354"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633 655 078</w:t>
            </w:r>
          </w:p>
        </w:tc>
        <w:tc>
          <w:tcPr>
            <w:tcW w:w="1320"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18 681 923 527</w:t>
            </w:r>
          </w:p>
        </w:tc>
        <w:tc>
          <w:tcPr>
            <w:tcW w:w="1123"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080"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w:t>
            </w:r>
          </w:p>
        </w:tc>
        <w:tc>
          <w:tcPr>
            <w:tcW w:w="1277"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 xml:space="preserve"> 633 655 078</w:t>
            </w:r>
          </w:p>
        </w:tc>
        <w:tc>
          <w:tcPr>
            <w:tcW w:w="1320"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i/>
                <w:iCs/>
                <w:noProof/>
                <w:color w:val="000000"/>
                <w:sz w:val="14"/>
                <w:szCs w:val="14"/>
              </w:rPr>
            </w:pPr>
            <w:r>
              <w:rPr>
                <w:rFonts w:ascii="Times New Roman" w:hAnsi="Times New Roman"/>
                <w:b/>
                <w:bCs/>
                <w:i/>
                <w:iCs/>
                <w:noProof/>
                <w:color w:val="000000"/>
                <w:sz w:val="14"/>
                <w:szCs w:val="14"/>
              </w:rPr>
              <w:t>18 681 923 527</w:t>
            </w:r>
          </w:p>
        </w:tc>
      </w:tr>
      <w:tr>
        <w:trPr>
          <w:gridAfter w:val="1"/>
          <w:wAfter w:w="227" w:type="dxa"/>
          <w:trHeight w:val="227"/>
          <w:jc w:val="center"/>
        </w:trPr>
        <w:tc>
          <w:tcPr>
            <w:tcW w:w="344" w:type="dxa"/>
            <w:tcBorders>
              <w:top w:val="nil"/>
              <w:left w:val="single" w:sz="4" w:space="0" w:color="auto"/>
              <w:bottom w:val="single" w:sz="4" w:space="0" w:color="auto"/>
              <w:right w:val="nil"/>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w:t>
            </w:r>
          </w:p>
        </w:tc>
        <w:tc>
          <w:tcPr>
            <w:tcW w:w="2572" w:type="dxa"/>
            <w:tcBorders>
              <w:top w:val="nil"/>
              <w:left w:val="nil"/>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Sonstige besondere Instrumente</w:t>
            </w:r>
          </w:p>
        </w:tc>
        <w:tc>
          <w:tcPr>
            <w:tcW w:w="1354"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587 763 000</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418 500 000</w:t>
            </w:r>
          </w:p>
        </w:tc>
        <w:tc>
          <w:tcPr>
            <w:tcW w:w="1123"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272 498 208</w:t>
            </w:r>
          </w:p>
        </w:tc>
        <w:tc>
          <w:tcPr>
            <w:tcW w:w="108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272 498 208</w:t>
            </w:r>
          </w:p>
        </w:tc>
        <w:tc>
          <w:tcPr>
            <w:tcW w:w="1277"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860 261 208</w:t>
            </w:r>
          </w:p>
        </w:tc>
        <w:tc>
          <w:tcPr>
            <w:tcW w:w="1320"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690 998 208</w:t>
            </w:r>
          </w:p>
        </w:tc>
      </w:tr>
      <w:tr>
        <w:trPr>
          <w:gridAfter w:val="1"/>
          <w:wAfter w:w="232" w:type="dxa"/>
          <w:trHeight w:val="227"/>
          <w:jc w:val="center"/>
        </w:trPr>
        <w:tc>
          <w:tcPr>
            <w:tcW w:w="2911"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Insgesamt</w:t>
            </w:r>
          </w:p>
        </w:tc>
        <w:tc>
          <w:tcPr>
            <w:tcW w:w="1354"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172 255 522 110</w:t>
            </w:r>
          </w:p>
        </w:tc>
        <w:tc>
          <w:tcPr>
            <w:tcW w:w="1320"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155 173 605 917</w:t>
            </w:r>
          </w:p>
        </w:tc>
        <w:tc>
          <w:tcPr>
            <w:tcW w:w="1123"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272 498 208</w:t>
            </w:r>
          </w:p>
        </w:tc>
        <w:tc>
          <w:tcPr>
            <w:tcW w:w="1080"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 xml:space="preserve"> 272 498 208</w:t>
            </w:r>
          </w:p>
        </w:tc>
        <w:tc>
          <w:tcPr>
            <w:tcW w:w="1277"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172 528 020 318</w:t>
            </w:r>
          </w:p>
        </w:tc>
        <w:tc>
          <w:tcPr>
            <w:tcW w:w="1320" w:type="dxa"/>
            <w:tcBorders>
              <w:top w:val="nil"/>
              <w:left w:val="nil"/>
              <w:bottom w:val="single" w:sz="4" w:space="0" w:color="auto"/>
              <w:right w:val="single" w:sz="4" w:space="0" w:color="auto"/>
            </w:tcBorders>
            <w:shd w:val="clear" w:color="000000" w:fill="D9D9D9"/>
            <w:vAlign w:val="center"/>
            <w:hideMark/>
          </w:tcPr>
          <w:p>
            <w:pPr>
              <w:spacing w:after="0" w:line="240" w:lineRule="auto"/>
              <w:jc w:val="right"/>
              <w:rPr>
                <w:rFonts w:ascii="Times New Roman" w:eastAsia="Times New Roman" w:hAnsi="Times New Roman" w:cs="Times New Roman"/>
                <w:b/>
                <w:bCs/>
                <w:noProof/>
                <w:color w:val="000000"/>
                <w:sz w:val="14"/>
                <w:szCs w:val="14"/>
              </w:rPr>
            </w:pPr>
            <w:r>
              <w:rPr>
                <w:rFonts w:ascii="Times New Roman" w:hAnsi="Times New Roman"/>
                <w:b/>
                <w:bCs/>
                <w:noProof/>
                <w:color w:val="000000"/>
                <w:sz w:val="14"/>
                <w:szCs w:val="14"/>
              </w:rPr>
              <w:t>155 446 104 125</w:t>
            </w:r>
          </w:p>
        </w:tc>
      </w:tr>
    </w:tbl>
    <w:p>
      <w:pPr>
        <w:spacing w:after="0" w:line="240" w:lineRule="auto"/>
        <w:jc w:val="both"/>
        <w:rPr>
          <w:noProof/>
        </w:rPr>
      </w:pPr>
    </w:p>
    <w:sectPr>
      <w:headerReference w:type="even" r:id="rId29"/>
      <w:headerReference w:type="default" r:id="rId30"/>
      <w:footerReference w:type="even" r:id="rId31"/>
      <w:footerReference w:type="default" r:id="rId32"/>
      <w:headerReference w:type="first" r:id="rId33"/>
      <w:footerReference w:type="first" r:id="rId34"/>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ind w:left="-851" w:right="-851"/>
      <w:rPr>
        <w:rFonts w:ascii="Arial" w:hAnsi="Arial" w:cs="Arial"/>
        <w:b/>
        <w:sz w:val="48"/>
      </w:rPr>
    </w:pPr>
    <w:r>
      <w:tab/>
    </w:r>
    <w:r>
      <w:fldChar w:fldCharType="begin"/>
    </w:r>
    <w:r>
      <w:instrText xml:space="preserve"> PAGE  \* MERGEFORMAT </w:instrText>
    </w:r>
    <w:r>
      <w:fldChar w:fldCharType="separate"/>
    </w:r>
    <w:r>
      <w:rPr>
        <w:noProof/>
      </w:rPr>
      <w:t>1</w:t>
    </w:r>
    <w:r>
      <w:fldChar w:fldCharType="end"/>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ind w:left="-851" w:right="-851"/>
      <w:rPr>
        <w:rFonts w:ascii="Arial" w:hAnsi="Arial" w:cs="Arial"/>
        <w:b/>
        <w:sz w:val="48"/>
      </w:rPr>
    </w:pPr>
    <w:r>
      <w:tab/>
    </w:r>
    <w:r>
      <w:fldChar w:fldCharType="begin"/>
    </w:r>
    <w:r>
      <w:instrText xml:space="preserve"> PAGE  \* MERGEFORMAT </w:instrText>
    </w:r>
    <w:r>
      <w:fldChar w:fldCharType="separate"/>
    </w:r>
    <w:r>
      <w:rPr>
        <w:noProof/>
      </w:rPr>
      <w:t>2</w:t>
    </w:r>
    <w:r>
      <w:fldChar w:fldCharType="end"/>
    </w:r>
    <w: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ind w:left="-851" w:right="-851"/>
      <w:rPr>
        <w:rFonts w:ascii="Arial" w:hAnsi="Arial" w:cs="Arial"/>
        <w:b/>
        <w:sz w:val="48"/>
      </w:rPr>
    </w:pPr>
    <w:r>
      <w:tab/>
    </w:r>
    <w:r>
      <w:fldChar w:fldCharType="begin"/>
    </w:r>
    <w:r>
      <w:instrText xml:space="preserve"> PAGE  \* MERGEFORMAT </w:instrText>
    </w:r>
    <w:r>
      <w:fldChar w:fldCharType="separate"/>
    </w:r>
    <w:r>
      <w:rPr>
        <w:noProof/>
      </w:rPr>
      <w:t>5</w:t>
    </w:r>
    <w:r>
      <w:fldChar w:fldCharType="end"/>
    </w: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ab/>
        <w:t>ABl. L 193 vom 30.7.2018.</w:t>
      </w:r>
    </w:p>
  </w:footnote>
  <w:footnote w:id="2">
    <w:p>
      <w:pPr>
        <w:pStyle w:val="FootnoteText"/>
      </w:pPr>
      <w:r>
        <w:rPr>
          <w:rStyle w:val="FootnoteReference"/>
        </w:rPr>
        <w:footnoteRef/>
      </w:r>
      <w:r>
        <w:tab/>
        <w:t>ABl. L 57 vom 27.2.2020.</w:t>
      </w:r>
    </w:p>
  </w:footnote>
  <w:footnote w:id="3">
    <w:p>
      <w:pPr>
        <w:pStyle w:val="FootnoteText"/>
      </w:pPr>
      <w:r>
        <w:rPr>
          <w:rStyle w:val="FootnoteReference"/>
        </w:rPr>
        <w:footnoteRef/>
      </w:r>
      <w:r>
        <w:tab/>
        <w:t>ABl. L 126 vom 21.4.2020.</w:t>
      </w:r>
    </w:p>
  </w:footnote>
  <w:footnote w:id="4">
    <w:p>
      <w:pPr>
        <w:pStyle w:val="FootnoteText"/>
      </w:pPr>
      <w:r>
        <w:rPr>
          <w:rStyle w:val="FootnoteReference"/>
        </w:rPr>
        <w:footnoteRef/>
      </w:r>
      <w:r>
        <w:tab/>
        <w:t>ABl. L 126 vom 21.4.2020.</w:t>
      </w:r>
    </w:p>
  </w:footnote>
  <w:footnote w:id="5">
    <w:p>
      <w:pPr>
        <w:pStyle w:val="FootnoteText"/>
      </w:pPr>
      <w:r>
        <w:rPr>
          <w:rStyle w:val="FootnoteReference"/>
        </w:rPr>
        <w:footnoteRef/>
      </w:r>
      <w:r>
        <w:tab/>
        <w:t>COM(2020) 180 vom 15.4.2020.</w:t>
      </w:r>
    </w:p>
  </w:footnote>
  <w:footnote w:id="6">
    <w:p>
      <w:pPr>
        <w:pStyle w:val="FootnoteText"/>
      </w:pPr>
      <w:r>
        <w:rPr>
          <w:rStyle w:val="FootnoteReference"/>
        </w:rPr>
        <w:footnoteRef/>
      </w:r>
      <w:r>
        <w:tab/>
        <w:t>COM(2020) 200 vom 30.4.2020.</w:t>
      </w:r>
    </w:p>
  </w:footnote>
  <w:footnote w:id="7">
    <w:p>
      <w:pPr>
        <w:pStyle w:val="FootnoteText"/>
      </w:pPr>
      <w:r>
        <w:rPr>
          <w:rStyle w:val="FootnoteReference"/>
          <w:rFonts w:eastAsiaTheme="majorEastAsia"/>
        </w:rPr>
        <w:footnoteRef/>
      </w:r>
      <w:r>
        <w:tab/>
        <w:t>ABl. L 347 vom 20.12.2013, S.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2"/>
        <w:szCs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2"/>
        <w:szCs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2"/>
        <w:szCs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07FF73A7"/>
    <w:multiLevelType w:val="hybridMultilevel"/>
    <w:tmpl w:val="1D745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4">
    <w:nsid w:val="107E5539"/>
    <w:multiLevelType w:val="hybridMultilevel"/>
    <w:tmpl w:val="7AA6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CE1F62"/>
    <w:multiLevelType w:val="hybridMultilevel"/>
    <w:tmpl w:val="F84ADDA2"/>
    <w:lvl w:ilvl="0" w:tplc="AD4A7110">
      <w:start w:val="1"/>
      <w:numFmt w:val="decimal"/>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713AC5"/>
    <w:multiLevelType w:val="hybridMultilevel"/>
    <w:tmpl w:val="942260B6"/>
    <w:lvl w:ilvl="0" w:tplc="6450B68C">
      <w:start w:val="1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2F54BEC"/>
    <w:multiLevelType w:val="hybridMultilevel"/>
    <w:tmpl w:val="D938E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1E4906"/>
    <w:multiLevelType w:val="hybridMultilevel"/>
    <w:tmpl w:val="094E6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302D7658"/>
    <w:multiLevelType w:val="hybridMultilevel"/>
    <w:tmpl w:val="BEE25C58"/>
    <w:lvl w:ilvl="0" w:tplc="0CD24B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0F72B5B"/>
    <w:multiLevelType w:val="hybridMultilevel"/>
    <w:tmpl w:val="E782F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A52C4F"/>
    <w:multiLevelType w:val="singleLevel"/>
    <w:tmpl w:val="CEFC5A24"/>
    <w:lvl w:ilvl="0">
      <w:start w:val="1"/>
      <w:numFmt w:val="bullet"/>
      <w:lvlRestart w:val="0"/>
      <w:pStyle w:val="Tiret0"/>
      <w:lvlText w:val="–"/>
      <w:lvlJc w:val="left"/>
      <w:pPr>
        <w:tabs>
          <w:tab w:val="num" w:pos="850"/>
        </w:tabs>
        <w:ind w:left="850" w:hanging="850"/>
      </w:pPr>
    </w:lvl>
  </w:abstractNum>
  <w:abstractNum w:abstractNumId="13">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1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5">
    <w:nsid w:val="3B196F20"/>
    <w:multiLevelType w:val="hybridMultilevel"/>
    <w:tmpl w:val="EDA0D93A"/>
    <w:lvl w:ilvl="0" w:tplc="AD4A7110">
      <w:start w:val="1"/>
      <w:numFmt w:val="decimal"/>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4A4B95"/>
    <w:multiLevelType w:val="hybridMultilevel"/>
    <w:tmpl w:val="D7C8C63E"/>
    <w:lvl w:ilvl="0" w:tplc="1B5E4E4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nsid w:val="5BE70879"/>
    <w:multiLevelType w:val="hybridMultilevel"/>
    <w:tmpl w:val="1C344ADE"/>
    <w:lvl w:ilvl="0" w:tplc="76F6603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7D7001"/>
    <w:multiLevelType w:val="hybridMultilevel"/>
    <w:tmpl w:val="71E608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1">
    <w:nsid w:val="5EDE2AF6"/>
    <w:multiLevelType w:val="hybridMultilevel"/>
    <w:tmpl w:val="B23E61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5">
    <w:nsid w:val="70037CE4"/>
    <w:multiLevelType w:val="hybridMultilevel"/>
    <w:tmpl w:val="C6AC5448"/>
    <w:lvl w:ilvl="0" w:tplc="AD4A7110">
      <w:start w:val="1"/>
      <w:numFmt w:val="decimal"/>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4A4950"/>
    <w:multiLevelType w:val="hybridMultilevel"/>
    <w:tmpl w:val="71D67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6770FE1"/>
    <w:multiLevelType w:val="hybridMultilevel"/>
    <w:tmpl w:val="C2F8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BA54E49"/>
    <w:multiLevelType w:val="hybridMultilevel"/>
    <w:tmpl w:val="1B004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nsid w:val="7C897016"/>
    <w:multiLevelType w:val="hybridMultilevel"/>
    <w:tmpl w:val="97A06FA8"/>
    <w:lvl w:ilvl="0" w:tplc="1A0C97F4">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2"/>
  </w:num>
  <w:num w:numId="2">
    <w:abstractNumId w:val="7"/>
  </w:num>
  <w:num w:numId="3">
    <w:abstractNumId w:val="27"/>
  </w:num>
  <w:num w:numId="4">
    <w:abstractNumId w:val="17"/>
  </w:num>
  <w:num w:numId="5">
    <w:abstractNumId w:val="24"/>
  </w:num>
  <w:num w:numId="6">
    <w:abstractNumId w:val="14"/>
  </w:num>
  <w:num w:numId="7">
    <w:abstractNumId w:val="9"/>
  </w:num>
  <w:num w:numId="8">
    <w:abstractNumId w:val="29"/>
  </w:num>
  <w:num w:numId="9">
    <w:abstractNumId w:val="22"/>
  </w:num>
  <w:num w:numId="10">
    <w:abstractNumId w:val="31"/>
  </w:num>
  <w:num w:numId="11">
    <w:abstractNumId w:val="23"/>
  </w:num>
  <w:num w:numId="12">
    <w:abstractNumId w:val="0"/>
  </w:num>
  <w:num w:numId="13">
    <w:abstractNumId w:val="1"/>
  </w:num>
  <w:num w:numId="14">
    <w:abstractNumId w:val="3"/>
  </w:num>
  <w:num w:numId="15">
    <w:abstractNumId w:val="13"/>
  </w:num>
  <w:num w:numId="16">
    <w:abstractNumId w:val="6"/>
  </w:num>
  <w:num w:numId="17">
    <w:abstractNumId w:val="10"/>
  </w:num>
  <w:num w:numId="18">
    <w:abstractNumId w:val="8"/>
  </w:num>
  <w:num w:numId="19">
    <w:abstractNumId w:val="4"/>
  </w:num>
  <w:num w:numId="20">
    <w:abstractNumId w:val="5"/>
  </w:num>
  <w:num w:numId="21">
    <w:abstractNumId w:val="2"/>
  </w:num>
  <w:num w:numId="22">
    <w:abstractNumId w:val="15"/>
  </w:num>
  <w:num w:numId="23">
    <w:abstractNumId w:val="28"/>
  </w:num>
  <w:num w:numId="24">
    <w:abstractNumId w:val="25"/>
  </w:num>
  <w:num w:numId="25">
    <w:abstractNumId w:val="11"/>
  </w:num>
  <w:num w:numId="26">
    <w:abstractNumId w:val="19"/>
  </w:num>
  <w:num w:numId="27">
    <w:abstractNumId w:val="18"/>
  </w:num>
  <w:num w:numId="28">
    <w:abstractNumId w:val="16"/>
  </w:num>
  <w:num w:numId="29">
    <w:abstractNumId w:val="30"/>
  </w:num>
  <w:num w:numId="30">
    <w:abstractNumId w:val="20"/>
    <w:lvlOverride w:ilvl="0">
      <w:startOverride w:val="1"/>
    </w:lvlOverride>
  </w:num>
  <w:num w:numId="31">
    <w:abstractNumId w:val="20"/>
  </w:num>
  <w:num w:numId="32">
    <w:abstractNumId w:val="2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DD50C82-011F-47DC-B164-BE779DF46D38"/>
    <w:docVar w:name="LW_COVERPAGE_TYPE" w:val="1"/>
    <w:docVar w:name="LW_CROSSREFERENCE" w:val="&lt;UNUSED&gt;"/>
    <w:docVar w:name="LW_DocType" w:val="NORMAL"/>
    <w:docVar w:name="LW_EMISSION" w:val="30.4.2020"/>
    <w:docVar w:name="LW_EMISSION_ISODATE" w:val="2020-04-30"/>
    <w:docVar w:name="LW_EMISSION_LOCATION" w:val="BRX"/>
    <w:docVar w:name="LW_EMISSION_PREFIX" w:val="Brüssel, den "/>
    <w:docVar w:name="LW_EMISSION_SUFFIX" w:val=" "/>
    <w:docVar w:name="LW_ID_DOCTYPE_NONLW" w:val="CP-035"/>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lt;UNUSED&gt;"/>
    <w:docVar w:name="LW_REF.II.NEW.CP_NUMBER" w:val="&lt;UNUSED&gt;"/>
    <w:docVar w:name="LW_REF.II.NEW.CP_YEAR" w:val="2020"/>
    <w:docVar w:name="LW_REF.INST.NEW" w:val="COM"/>
    <w:docVar w:name="LW_REF.INST.NEW_ADOPTED" w:val="final"/>
    <w:docVar w:name="LW_REF.INST.NEW_TEXT" w:val="(2020) 1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Für den Vorschlag zur Inanspruchnahme des Solidaritätsfonds der Europäischen Union zwecks Hilfeleistung für Portugal, Spanien, Italien und Österreich&lt;/FMT&gt;"/>
    <w:docVar w:name="LW_TYPE.DOC.CP" w:val="ENTWURF DES BERICHTIGUNGSHAUSHALTSPLANS NR. 4_x000b_ZUM GESAMTHAUSHALTSPLAN 2020"/>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annotation reference" w:uiPriority="0"/>
    <w:lsdException w:name="List Bullet" w:uiPriority="0"/>
    <w:lsdException w:name="List Number" w:uiPriority="0"/>
    <w:lsdException w:name="List Bullet 2" w:uiPriority="0"/>
    <w:lsdException w:name="List Number 5" w:uiPriority="0"/>
    <w:lsdException w:name="Title" w:semiHidden="0" w:uiPriority="0" w:unhideWhenUsed="0" w:qFormat="1"/>
    <w:lsdException w:name="Default Paragraph Font" w:uiPriority="1"/>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autoRedefine/>
    <w:qFormat/>
    <w:pPr>
      <w:keepNext/>
      <w:spacing w:before="240" w:after="120" w:line="240" w:lineRule="auto"/>
      <w:outlineLvl w:val="0"/>
    </w:pPr>
    <w:rPr>
      <w:rFonts w:ascii="Arial" w:eastAsia="Times New Roman" w:hAnsi="Arial" w:cs="Arial"/>
      <w:b/>
      <w:bCs/>
      <w:kern w:val="32"/>
      <w:sz w:val="32"/>
      <w:szCs w:val="32"/>
      <w:lang w:eastAsia="en-GB"/>
    </w:rPr>
  </w:style>
  <w:style w:type="paragraph" w:styleId="Heading2">
    <w:name w:val="heading 2"/>
    <w:aliases w:val="Char, Char,Abschnitt"/>
    <w:basedOn w:val="Normal"/>
    <w:next w:val="Normal"/>
    <w:link w:val="Heading2Char"/>
    <w:autoRedefine/>
    <w:qFormat/>
    <w:pPr>
      <w:keepNext/>
      <w:spacing w:before="240" w:after="120" w:line="240" w:lineRule="auto"/>
      <w:ind w:left="720" w:hanging="720"/>
      <w:outlineLvl w:val="1"/>
    </w:pPr>
    <w:rPr>
      <w:rFonts w:ascii="Arial" w:eastAsia="Times New Roman" w:hAnsi="Arial" w:cs="Arial"/>
      <w:b/>
      <w:bCs/>
      <w:i/>
      <w:iCs/>
      <w:sz w:val="28"/>
      <w:szCs w:val="28"/>
      <w:lang w:eastAsia="en-GB"/>
    </w:rPr>
  </w:style>
  <w:style w:type="paragraph" w:styleId="Heading3">
    <w:name w:val="heading 3"/>
    <w:aliases w:val="Heading 3 Auto"/>
    <w:basedOn w:val="Normal"/>
    <w:next w:val="Normal"/>
    <w:link w:val="Heading3Char"/>
    <w:autoRedefine/>
    <w:qFormat/>
    <w:pPr>
      <w:keepNext/>
      <w:numPr>
        <w:ilvl w:val="2"/>
      </w:numPr>
      <w:tabs>
        <w:tab w:val="num" w:pos="850"/>
      </w:tabs>
      <w:spacing w:before="120" w:after="120" w:line="240" w:lineRule="auto"/>
      <w:ind w:left="850" w:hanging="850"/>
      <w:jc w:val="both"/>
      <w:outlineLvl w:val="2"/>
    </w:pPr>
    <w:rPr>
      <w:rFonts w:ascii="Arial" w:eastAsia="Times New Roman" w:hAnsi="Arial" w:cs="Arial"/>
      <w:b/>
      <w:bCs/>
      <w:i/>
      <w:sz w:val="26"/>
      <w:szCs w:val="26"/>
      <w:lang w:eastAsia="en-GB"/>
    </w:rPr>
  </w:style>
  <w:style w:type="paragraph" w:styleId="Heading4">
    <w:name w:val="heading 4"/>
    <w:basedOn w:val="Normal"/>
    <w:next w:val="Normal"/>
    <w:link w:val="Heading4Char"/>
    <w:qFormat/>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sz w:val="24"/>
      <w:szCs w:val="28"/>
      <w:lang w:eastAsia="de-DE"/>
    </w:rPr>
  </w:style>
  <w:style w:type="paragraph" w:styleId="Heading5">
    <w:name w:val="heading 5"/>
    <w:basedOn w:val="Normal"/>
    <w:next w:val="Normal"/>
    <w:link w:val="Heading5Char"/>
    <w:uiPriority w:val="99"/>
    <w:qFormat/>
    <w:pPr>
      <w:spacing w:before="240" w:after="60" w:line="240" w:lineRule="auto"/>
      <w:jc w:val="both"/>
      <w:outlineLvl w:val="4"/>
    </w:pPr>
    <w:rPr>
      <w:rFonts w:ascii="Arial" w:eastAsiaTheme="majorEastAsia" w:hAnsi="Arial" w:cs="Arial"/>
    </w:rPr>
  </w:style>
  <w:style w:type="paragraph" w:styleId="Heading6">
    <w:name w:val="heading 6"/>
    <w:basedOn w:val="Normal"/>
    <w:next w:val="Normal"/>
    <w:link w:val="Heading6Char"/>
    <w:uiPriority w:val="99"/>
    <w:qFormat/>
    <w:pPr>
      <w:spacing w:before="240" w:after="60" w:line="240" w:lineRule="auto"/>
      <w:jc w:val="both"/>
      <w:outlineLvl w:val="5"/>
    </w:pPr>
    <w:rPr>
      <w:rFonts w:ascii="Arial" w:eastAsiaTheme="majorEastAsia" w:hAnsi="Arial" w:cs="Arial"/>
      <w:i/>
      <w:iCs/>
    </w:rPr>
  </w:style>
  <w:style w:type="paragraph" w:styleId="Heading7">
    <w:name w:val="heading 7"/>
    <w:basedOn w:val="Normal"/>
    <w:next w:val="Normal"/>
    <w:link w:val="Heading7Char"/>
    <w:uiPriority w:val="99"/>
    <w:qFormat/>
    <w:pPr>
      <w:spacing w:before="240" w:after="60" w:line="240" w:lineRule="auto"/>
      <w:jc w:val="both"/>
      <w:outlineLvl w:val="6"/>
    </w:pPr>
    <w:rPr>
      <w:rFonts w:ascii="Arial" w:eastAsiaTheme="majorEastAsia" w:hAnsi="Arial" w:cs="Arial"/>
      <w:szCs w:val="20"/>
    </w:rPr>
  </w:style>
  <w:style w:type="paragraph" w:styleId="Heading8">
    <w:name w:val="heading 8"/>
    <w:basedOn w:val="Normal"/>
    <w:next w:val="Normal"/>
    <w:link w:val="Heading8Char"/>
    <w:uiPriority w:val="99"/>
    <w:qFormat/>
    <w:pPr>
      <w:spacing w:before="240" w:after="60" w:line="240" w:lineRule="auto"/>
      <w:jc w:val="both"/>
      <w:outlineLvl w:val="7"/>
    </w:pPr>
    <w:rPr>
      <w:rFonts w:ascii="Arial" w:eastAsiaTheme="majorEastAsia" w:hAnsi="Arial" w:cs="Arial"/>
      <w:i/>
      <w:iCs/>
      <w:szCs w:val="20"/>
    </w:rPr>
  </w:style>
  <w:style w:type="paragraph" w:styleId="Heading9">
    <w:name w:val="heading 9"/>
    <w:basedOn w:val="Normal"/>
    <w:next w:val="Normal"/>
    <w:link w:val="Heading9Char"/>
    <w:uiPriority w:val="99"/>
    <w:qFormat/>
    <w:pPr>
      <w:spacing w:before="240" w:after="60" w:line="240" w:lineRule="auto"/>
      <w:jc w:val="both"/>
      <w:outlineLvl w:val="8"/>
    </w:pPr>
    <w:rPr>
      <w:rFonts w:ascii="Arial" w:eastAsiaTheme="maj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de-D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uiPriority w:val="99"/>
    <w:rPr>
      <w:vertAlign w:val="superscript"/>
    </w:rPr>
  </w:style>
  <w:style w:type="paragraph" w:customStyle="1" w:styleId="Tiret0">
    <w:name w:val="Tiret 0"/>
    <w:basedOn w:val="Normal"/>
    <w:pPr>
      <w:numPr>
        <w:numId w:val="1"/>
      </w:numPr>
      <w:spacing w:before="120" w:after="120" w:line="240" w:lineRule="auto"/>
      <w:jc w:val="both"/>
    </w:pPr>
    <w:rPr>
      <w:rFonts w:ascii="Times New Roman" w:eastAsia="Times New Roman" w:hAnsi="Times New Roman" w:cs="Times New Roman"/>
      <w:sz w:val="24"/>
      <w:szCs w:val="24"/>
      <w:lang w:eastAsia="de-DE"/>
    </w:rPr>
  </w:style>
  <w:style w:type="character" w:styleId="Hyperlink">
    <w:name w:val="Hyperlink"/>
    <w:uiPriority w:val="99"/>
    <w:rPr>
      <w:color w:val="0000FF"/>
      <w:u w:val="single"/>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lang w:eastAsia="de-D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Pr>
      <w:rFonts w:ascii="Arial" w:eastAsia="Times New Roman" w:hAnsi="Arial" w:cs="Arial"/>
      <w:b/>
      <w:bCs/>
      <w:kern w:val="32"/>
      <w:sz w:val="32"/>
      <w:szCs w:val="32"/>
      <w:lang w:eastAsia="en-GB"/>
    </w:rPr>
  </w:style>
  <w:style w:type="character" w:customStyle="1" w:styleId="Heading2Char">
    <w:name w:val="Heading 2 Char"/>
    <w:aliases w:val="Char Char, Char Char,Abschnitt Char"/>
    <w:basedOn w:val="DefaultParagraphFont"/>
    <w:link w:val="Heading2"/>
    <w:rPr>
      <w:rFonts w:ascii="Arial" w:eastAsia="Times New Roman" w:hAnsi="Arial" w:cs="Arial"/>
      <w:b/>
      <w:bCs/>
      <w:i/>
      <w:iCs/>
      <w:sz w:val="28"/>
      <w:szCs w:val="28"/>
      <w:lang w:eastAsia="en-GB"/>
    </w:rPr>
  </w:style>
  <w:style w:type="character" w:customStyle="1" w:styleId="Heading3Char">
    <w:name w:val="Heading 3 Char"/>
    <w:aliases w:val="Heading 3 Auto Char"/>
    <w:basedOn w:val="DefaultParagraphFont"/>
    <w:link w:val="Heading3"/>
    <w:rPr>
      <w:rFonts w:ascii="Arial" w:eastAsia="Times New Roman" w:hAnsi="Arial" w:cs="Arial"/>
      <w:b/>
      <w:bCs/>
      <w:i/>
      <w:sz w:val="26"/>
      <w:szCs w:val="26"/>
      <w:lang w:eastAsia="en-GB"/>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lang w:eastAsia="de-DE"/>
    </w:rPr>
  </w:style>
  <w:style w:type="character" w:customStyle="1" w:styleId="Heading5Char">
    <w:name w:val="Heading 5 Char"/>
    <w:basedOn w:val="DefaultParagraphFont"/>
    <w:link w:val="Heading5"/>
    <w:uiPriority w:val="99"/>
    <w:rPr>
      <w:rFonts w:ascii="Arial" w:eastAsiaTheme="majorEastAsia" w:hAnsi="Arial" w:cs="Arial"/>
    </w:rPr>
  </w:style>
  <w:style w:type="character" w:customStyle="1" w:styleId="Heading6Char">
    <w:name w:val="Heading 6 Char"/>
    <w:basedOn w:val="DefaultParagraphFont"/>
    <w:link w:val="Heading6"/>
    <w:uiPriority w:val="99"/>
    <w:rPr>
      <w:rFonts w:ascii="Arial" w:eastAsiaTheme="majorEastAsia" w:hAnsi="Arial" w:cs="Arial"/>
      <w:i/>
      <w:iCs/>
    </w:rPr>
  </w:style>
  <w:style w:type="character" w:customStyle="1" w:styleId="Heading7Char">
    <w:name w:val="Heading 7 Char"/>
    <w:basedOn w:val="DefaultParagraphFont"/>
    <w:link w:val="Heading7"/>
    <w:uiPriority w:val="99"/>
    <w:rPr>
      <w:rFonts w:ascii="Arial" w:eastAsiaTheme="majorEastAsia" w:hAnsi="Arial" w:cs="Arial"/>
      <w:szCs w:val="20"/>
    </w:rPr>
  </w:style>
  <w:style w:type="character" w:customStyle="1" w:styleId="Heading8Char">
    <w:name w:val="Heading 8 Char"/>
    <w:basedOn w:val="DefaultParagraphFont"/>
    <w:link w:val="Heading8"/>
    <w:uiPriority w:val="99"/>
    <w:rPr>
      <w:rFonts w:ascii="Arial" w:eastAsiaTheme="majorEastAsia" w:hAnsi="Arial" w:cs="Arial"/>
      <w:i/>
      <w:iCs/>
      <w:szCs w:val="20"/>
    </w:rPr>
  </w:style>
  <w:style w:type="character" w:customStyle="1" w:styleId="Heading9Char">
    <w:name w:val="Heading 9 Char"/>
    <w:basedOn w:val="DefaultParagraphFont"/>
    <w:link w:val="Heading9"/>
    <w:uiPriority w:val="99"/>
    <w:rPr>
      <w:rFonts w:ascii="Arial" w:eastAsiaTheme="majorEastAsia" w:hAnsi="Arial" w:cs="Arial"/>
      <w:i/>
      <w:iCs/>
      <w:sz w:val="18"/>
      <w:szCs w:val="18"/>
    </w:rPr>
  </w:style>
  <w:style w:type="paragraph" w:styleId="TOC1">
    <w:name w:val="toc 1"/>
    <w:basedOn w:val="Normal"/>
    <w:next w:val="Normal"/>
    <w:uiPriority w:val="39"/>
    <w:qFormat/>
    <w:pPr>
      <w:spacing w:before="120" w:after="120" w:line="240" w:lineRule="auto"/>
    </w:pPr>
    <w:rPr>
      <w:rFonts w:ascii="Times New Roman" w:eastAsia="Times New Roman" w:hAnsi="Times New Roman" w:cs="Times New Roman"/>
      <w:b/>
      <w:bCs/>
      <w:caps/>
      <w:sz w:val="20"/>
      <w:szCs w:val="20"/>
      <w:lang w:eastAsia="en-GB"/>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lang w:eastAsia="de-DE"/>
    </w:rPr>
  </w:style>
  <w:style w:type="paragraph" w:customStyle="1" w:styleId="ListDash">
    <w:name w:val="List Dash"/>
    <w:basedOn w:val="Normal"/>
    <w:link w:val="ListDashChar"/>
    <w:pPr>
      <w:numPr>
        <w:numId w:val="4"/>
      </w:numPr>
      <w:spacing w:before="120" w:after="120" w:line="240" w:lineRule="auto"/>
      <w:jc w:val="both"/>
    </w:pPr>
    <w:rPr>
      <w:rFonts w:ascii="Times New Roman" w:eastAsia="Times New Roman" w:hAnsi="Times New Roman" w:cs="Times New Roman"/>
      <w:sz w:val="24"/>
      <w:szCs w:val="24"/>
      <w:lang w:eastAsia="de-DE"/>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lang w:eastAsia="de-DE"/>
    </w:rPr>
  </w:style>
  <w:style w:type="paragraph" w:customStyle="1" w:styleId="Prliminairetitre">
    <w:name w:val="Préliminaire titre"/>
    <w:basedOn w:val="Normal"/>
    <w:next w:val="Normal"/>
    <w:pPr>
      <w:spacing w:before="360" w:after="360" w:line="240" w:lineRule="auto"/>
      <w:jc w:val="center"/>
    </w:pPr>
    <w:rPr>
      <w:rFonts w:ascii="Times New Roman" w:eastAsia="Times New Roman" w:hAnsi="Times New Roman" w:cs="Times New Roman"/>
      <w:b/>
      <w:sz w:val="24"/>
      <w:szCs w:val="24"/>
      <w:lang w:eastAsia="de-DE"/>
    </w:rPr>
  </w:style>
  <w:style w:type="paragraph" w:customStyle="1" w:styleId="Prliminairetype">
    <w:name w:val="Préliminaire type"/>
    <w:basedOn w:val="Normal"/>
    <w:next w:val="Normal"/>
    <w:pPr>
      <w:spacing w:before="360" w:after="0" w:line="240" w:lineRule="auto"/>
      <w:jc w:val="center"/>
    </w:pPr>
    <w:rPr>
      <w:rFonts w:ascii="Times New Roman" w:eastAsia="Times New Roman" w:hAnsi="Times New Roman" w:cs="Times New Roman"/>
      <w:b/>
      <w:sz w:val="24"/>
      <w:szCs w:val="24"/>
      <w:lang w:eastAsia="de-DE"/>
    </w:rPr>
  </w:style>
  <w:style w:type="paragraph" w:styleId="TOC2">
    <w:name w:val="toc 2"/>
    <w:basedOn w:val="Normal"/>
    <w:next w:val="Normal"/>
    <w:autoRedefine/>
    <w:uiPriority w:val="39"/>
    <w:qFormat/>
    <w:pPr>
      <w:spacing w:after="0" w:line="240" w:lineRule="auto"/>
      <w:ind w:left="240"/>
    </w:pPr>
    <w:rPr>
      <w:rFonts w:ascii="Times New Roman" w:eastAsia="Times New Roman" w:hAnsi="Times New Roman" w:cs="Times New Roman"/>
      <w:smallCaps/>
      <w:sz w:val="20"/>
      <w:szCs w:val="20"/>
      <w:lang w:eastAsia="en-GB"/>
    </w:rPr>
  </w:style>
  <w:style w:type="paragraph" w:styleId="TOC3">
    <w:name w:val="toc 3"/>
    <w:basedOn w:val="Normal"/>
    <w:next w:val="Normal"/>
    <w:autoRedefine/>
    <w:qFormat/>
    <w:pPr>
      <w:spacing w:after="0" w:line="240" w:lineRule="auto"/>
      <w:ind w:left="480"/>
    </w:pPr>
    <w:rPr>
      <w:rFonts w:ascii="Times New Roman" w:eastAsia="Times New Roman" w:hAnsi="Times New Roman" w:cs="Times New Roman"/>
      <w:i/>
      <w:iCs/>
      <w:sz w:val="20"/>
      <w:szCs w:val="20"/>
      <w:lang w:eastAsia="en-GB"/>
    </w:rPr>
  </w:style>
  <w:style w:type="paragraph" w:styleId="TOC4">
    <w:name w:val="toc 4"/>
    <w:basedOn w:val="Normal"/>
    <w:next w:val="Normal"/>
    <w:autoRedefine/>
    <w:semiHidden/>
    <w:pPr>
      <w:spacing w:after="0" w:line="240" w:lineRule="auto"/>
      <w:ind w:left="720"/>
    </w:pPr>
    <w:rPr>
      <w:rFonts w:ascii="Times New Roman" w:eastAsia="Times New Roman" w:hAnsi="Times New Roman" w:cs="Times New Roman"/>
      <w:sz w:val="18"/>
      <w:szCs w:val="18"/>
      <w:lang w:eastAsia="en-GB"/>
    </w:rPr>
  </w:style>
  <w:style w:type="paragraph" w:styleId="TOC5">
    <w:name w:val="toc 5"/>
    <w:basedOn w:val="Normal"/>
    <w:next w:val="Normal"/>
    <w:autoRedefine/>
    <w:semiHidden/>
    <w:pPr>
      <w:spacing w:after="0" w:line="240" w:lineRule="auto"/>
      <w:ind w:left="960"/>
    </w:pPr>
    <w:rPr>
      <w:rFonts w:ascii="Times New Roman" w:eastAsia="Times New Roman" w:hAnsi="Times New Roman" w:cs="Times New Roman"/>
      <w:sz w:val="18"/>
      <w:szCs w:val="18"/>
      <w:lang w:eastAsia="en-GB"/>
    </w:rPr>
  </w:style>
  <w:style w:type="paragraph" w:styleId="TOC6">
    <w:name w:val="toc 6"/>
    <w:basedOn w:val="Normal"/>
    <w:next w:val="Normal"/>
    <w:autoRedefine/>
    <w:semiHidden/>
    <w:pPr>
      <w:spacing w:after="0" w:line="240" w:lineRule="auto"/>
      <w:ind w:left="1200"/>
    </w:pPr>
    <w:rPr>
      <w:rFonts w:ascii="Times New Roman" w:eastAsia="Times New Roman" w:hAnsi="Times New Roman" w:cs="Times New Roman"/>
      <w:sz w:val="18"/>
      <w:szCs w:val="18"/>
      <w:lang w:eastAsia="en-GB"/>
    </w:rPr>
  </w:style>
  <w:style w:type="paragraph" w:styleId="TOC7">
    <w:name w:val="toc 7"/>
    <w:basedOn w:val="Normal"/>
    <w:next w:val="Normal"/>
    <w:autoRedefine/>
    <w:semiHidden/>
    <w:pPr>
      <w:spacing w:after="0" w:line="240" w:lineRule="auto"/>
      <w:ind w:left="1440"/>
    </w:pPr>
    <w:rPr>
      <w:rFonts w:ascii="Times New Roman" w:eastAsia="Times New Roman" w:hAnsi="Times New Roman" w:cs="Times New Roman"/>
      <w:sz w:val="18"/>
      <w:szCs w:val="18"/>
      <w:lang w:eastAsia="en-GB"/>
    </w:rPr>
  </w:style>
  <w:style w:type="paragraph" w:styleId="TOC8">
    <w:name w:val="toc 8"/>
    <w:basedOn w:val="Normal"/>
    <w:next w:val="Normal"/>
    <w:autoRedefine/>
    <w:semiHidden/>
    <w:pPr>
      <w:spacing w:after="0" w:line="240" w:lineRule="auto"/>
      <w:ind w:left="1680"/>
    </w:pPr>
    <w:rPr>
      <w:rFonts w:ascii="Times New Roman" w:eastAsia="Times New Roman" w:hAnsi="Times New Roman" w:cs="Times New Roman"/>
      <w:sz w:val="18"/>
      <w:szCs w:val="18"/>
      <w:lang w:eastAsia="en-GB"/>
    </w:rPr>
  </w:style>
  <w:style w:type="paragraph" w:styleId="TOC9">
    <w:name w:val="toc 9"/>
    <w:basedOn w:val="Normal"/>
    <w:next w:val="Normal"/>
    <w:autoRedefine/>
    <w:semiHidden/>
    <w:pPr>
      <w:spacing w:after="0" w:line="240" w:lineRule="auto"/>
      <w:ind w:left="1920"/>
    </w:pPr>
    <w:rPr>
      <w:rFonts w:ascii="Times New Roman" w:eastAsia="Times New Roman" w:hAnsi="Times New Roman" w:cs="Times New Roman"/>
      <w:sz w:val="18"/>
      <w:szCs w:val="18"/>
      <w:lang w:eastAsia="en-GB"/>
    </w:rPr>
  </w:style>
  <w:style w:type="paragraph" w:styleId="ListBullet">
    <w:name w:val="List Bullet"/>
    <w:basedOn w:val="Normal"/>
    <w:pPr>
      <w:numPr>
        <w:numId w:val="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tabs>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Text1"/>
    <w:pPr>
      <w:numPr>
        <w:numId w:val="6"/>
      </w:numPr>
      <w:spacing w:before="0" w:after="240"/>
    </w:pPr>
    <w:rPr>
      <w:szCs w:val="20"/>
      <w:lang w:eastAsia="en-US"/>
    </w:rPr>
  </w:style>
  <w:style w:type="paragraph" w:styleId="ListBullet2">
    <w:name w:val="List Bullet 2"/>
    <w:basedOn w:val="Normal"/>
    <w:pPr>
      <w:numPr>
        <w:numId w:val="7"/>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sz w:val="24"/>
      <w:szCs w:val="24"/>
    </w:rPr>
  </w:style>
  <w:style w:type="character" w:styleId="Emphasis">
    <w:name w:val="Emphasis"/>
    <w:qFormat/>
    <w:rPr>
      <w:i/>
      <w:iCs/>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ListNumber">
    <w:name w:val="List Number"/>
    <w:basedOn w:val="Normal"/>
    <w:pPr>
      <w:numPr>
        <w:numId w:val="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2">
    <w:name w:val="List Number (Level 2)"/>
    <w:basedOn w:val="Normal"/>
    <w:pPr>
      <w:numPr>
        <w:ilvl w:val="1"/>
        <w:numId w:val="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3">
    <w:name w:val="List Number (Level 3)"/>
    <w:basedOn w:val="Normal"/>
    <w:pPr>
      <w:numPr>
        <w:ilvl w:val="2"/>
        <w:numId w:val="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4">
    <w:name w:val="List Number (Level 4)"/>
    <w:basedOn w:val="Normal"/>
    <w:pPr>
      <w:numPr>
        <w:ilvl w:val="3"/>
        <w:numId w:val="9"/>
      </w:numPr>
      <w:spacing w:before="120" w:after="120" w:line="240" w:lineRule="auto"/>
      <w:jc w:val="both"/>
    </w:pPr>
    <w:rPr>
      <w:rFonts w:ascii="Times New Roman" w:eastAsia="Times New Roman" w:hAnsi="Times New Roman" w:cs="Times New Roman"/>
      <w:sz w:val="24"/>
      <w:szCs w:val="24"/>
      <w:lang w:eastAsia="de-DE"/>
    </w:rPr>
  </w:style>
  <w:style w:type="character" w:customStyle="1" w:styleId="ListDashChar">
    <w:name w:val="List Dash Char"/>
    <w:link w:val="ListDash"/>
    <w:rPr>
      <w:rFonts w:ascii="Times New Roman" w:eastAsia="Times New Roman" w:hAnsi="Times New Roman" w:cs="Times New Roman"/>
      <w:sz w:val="24"/>
      <w:szCs w:val="24"/>
      <w:lang w:eastAsia="de-DE"/>
    </w:rPr>
  </w:style>
  <w:style w:type="paragraph" w:customStyle="1" w:styleId="StyleManualHeading2Italic">
    <w:name w:val="Style Manual Heading 2 + Italic"/>
    <w:basedOn w:val="ManualHeading2"/>
    <w:autoRedefine/>
    <w:pPr>
      <w:spacing w:before="160" w:after="160"/>
      <w:ind w:left="851" w:hanging="851"/>
    </w:pPr>
    <w:rPr>
      <w:bCs/>
      <w:i/>
      <w:iCs/>
    </w:rPr>
  </w:style>
  <w:style w:type="paragraph" w:customStyle="1" w:styleId="NormalCentered">
    <w:name w:val="Normal Centered"/>
    <w:basedOn w:val="Normal"/>
    <w:uiPriority w:val="99"/>
    <w:pPr>
      <w:spacing w:before="120" w:after="120" w:line="240" w:lineRule="auto"/>
      <w:jc w:val="center"/>
    </w:pPr>
    <w:rPr>
      <w:rFonts w:ascii="Times New Roman" w:eastAsia="Times New Roman" w:hAnsi="Times New Roman" w:cs="Times New Roman"/>
      <w:sz w:val="24"/>
      <w:szCs w:val="24"/>
      <w:lang w:eastAsia="de-DE"/>
    </w:rPr>
  </w:style>
  <w:style w:type="paragraph" w:customStyle="1" w:styleId="NormalRight">
    <w:name w:val="Normal Right"/>
    <w:basedOn w:val="Normal"/>
    <w:uiPriority w:val="99"/>
    <w:pPr>
      <w:spacing w:before="120" w:after="120" w:line="240" w:lineRule="auto"/>
      <w:jc w:val="right"/>
    </w:pPr>
    <w:rPr>
      <w:rFonts w:ascii="Times New Roman" w:eastAsia="Times New Roman" w:hAnsi="Times New Roman" w:cs="Times New Roman"/>
      <w:sz w:val="24"/>
      <w:szCs w:val="24"/>
      <w:lang w:eastAsia="de-DE"/>
    </w:rPr>
  </w:style>
  <w:style w:type="paragraph" w:customStyle="1" w:styleId="NormalLeft">
    <w:name w:val="Normal Left"/>
    <w:basedOn w:val="Normal"/>
    <w:uiPriority w:val="99"/>
    <w:pPr>
      <w:spacing w:before="120" w:after="120" w:line="240" w:lineRule="auto"/>
    </w:pPr>
    <w:rPr>
      <w:rFonts w:ascii="Times New Roman" w:eastAsia="Times New Roman" w:hAnsi="Times New Roman" w:cs="Times New Roman"/>
      <w:sz w:val="24"/>
      <w:szCs w:val="24"/>
      <w:lang w:eastAsia="en-GB"/>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2">
    <w:name w:val="NumPar 2"/>
    <w:basedOn w:val="Normal"/>
    <w:next w:val="Normal"/>
    <w:pPr>
      <w:numPr>
        <w:ilvl w:val="1"/>
        <w:numId w:val="1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3">
    <w:name w:val="NumPar 3"/>
    <w:basedOn w:val="Normal"/>
    <w:next w:val="Normal"/>
    <w:pPr>
      <w:numPr>
        <w:ilvl w:val="2"/>
        <w:numId w:val="1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4">
    <w:name w:val="NumPar 4"/>
    <w:basedOn w:val="Normal"/>
    <w:next w:val="Normal"/>
    <w:pPr>
      <w:numPr>
        <w:ilvl w:val="3"/>
        <w:numId w:val="10"/>
      </w:numPr>
      <w:spacing w:before="120" w:after="120" w:line="240" w:lineRule="auto"/>
      <w:jc w:val="both"/>
    </w:pPr>
    <w:rPr>
      <w:rFonts w:ascii="Times New Roman" w:eastAsia="Times New Roman" w:hAnsi="Times New Roman" w:cs="Times New Roman"/>
      <w:sz w:val="24"/>
      <w:szCs w:val="24"/>
      <w:lang w:eastAsia="de-DE"/>
    </w:rPr>
  </w:style>
  <w:style w:type="character" w:styleId="CommentReference">
    <w:name w:val="annotation reference"/>
    <w:rPr>
      <w:sz w:val="16"/>
      <w:szCs w:val="16"/>
    </w:rPr>
  </w:style>
  <w:style w:type="paragraph" w:customStyle="1" w:styleId="Statut">
    <w:name w:val="Statut"/>
    <w:basedOn w:val="Normal"/>
    <w:next w:val="Typedudocument"/>
    <w:pPr>
      <w:spacing w:before="360" w:after="0" w:line="240" w:lineRule="auto"/>
      <w:jc w:val="center"/>
    </w:pPr>
    <w:rPr>
      <w:rFonts w:ascii="Times New Roman" w:eastAsia="Calibri"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CommentText">
    <w:name w:val="annotation text"/>
    <w:basedOn w:val="Normal"/>
    <w:link w:val="CommentTextChar"/>
    <w:unhideWhenUsed/>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en-GB"/>
    </w:rPr>
  </w:style>
  <w:style w:type="paragraph" w:customStyle="1" w:styleId="Footnoter">
    <w:name w:val="Footnote r"/>
    <w:basedOn w:val="Normal"/>
    <w:pPr>
      <w:shd w:val="clear" w:color="auto" w:fill="F2F8FB"/>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style>
  <w:style w:type="paragraph" w:customStyle="1" w:styleId="Tiret2">
    <w:name w:val="Tiret 2"/>
    <w:basedOn w:val="Normal"/>
    <w:pPr>
      <w:numPr>
        <w:numId w:val="11"/>
      </w:numPr>
      <w:spacing w:before="120" w:after="120" w:line="240" w:lineRule="auto"/>
      <w:jc w:val="both"/>
    </w:pPr>
    <w:rPr>
      <w:rFonts w:ascii="Times New Roman" w:eastAsia="Times New Roman" w:hAnsi="Times New Roman" w:cs="Times New Roman"/>
      <w:sz w:val="24"/>
      <w:lang w:eastAsia="en-GB"/>
    </w:rPr>
  </w:style>
  <w:style w:type="paragraph" w:styleId="ListNumber5">
    <w:name w:val="List Number 5"/>
    <w:basedOn w:val="Normal"/>
    <w:pPr>
      <w:numPr>
        <w:numId w:val="12"/>
      </w:numPr>
      <w:spacing w:after="0" w:line="240" w:lineRule="auto"/>
      <w:contextualSpacing/>
    </w:pPr>
    <w:rPr>
      <w:rFonts w:ascii="Times New Roman" w:eastAsia="Times New Roman" w:hAnsi="Times New Roman" w:cs="Times New Roman"/>
      <w:sz w:val="24"/>
      <w:szCs w:val="24"/>
      <w:lang w:eastAsia="en-GB"/>
    </w:rPr>
  </w:style>
  <w:style w:type="character" w:styleId="Strong">
    <w:name w:val="Strong"/>
    <w:basedOn w:val="DefaultParagraphFont"/>
    <w:qFormat/>
    <w:rPr>
      <w:b/>
      <w:bCs/>
    </w:rPr>
  </w:style>
  <w:style w:type="paragraph" w:styleId="ListBullet3">
    <w:name w:val="List Bullet 3"/>
    <w:basedOn w:val="Normal"/>
    <w:uiPriority w:val="99"/>
    <w:unhideWhenUsed/>
    <w:pPr>
      <w:numPr>
        <w:numId w:val="13"/>
      </w:numPr>
      <w:spacing w:before="120" w:after="120" w:line="240" w:lineRule="auto"/>
      <w:contextualSpacing/>
      <w:jc w:val="both"/>
    </w:pPr>
    <w:rPr>
      <w:rFonts w:ascii="Times New Roman" w:eastAsia="Calibri" w:hAnsi="Times New Roman" w:cs="Times New Roman"/>
      <w:sz w:val="24"/>
      <w:lang w:eastAsia="en-GB"/>
    </w:rPr>
  </w:style>
  <w:style w:type="paragraph" w:customStyle="1" w:styleId="CM4">
    <w:name w:val="CM4"/>
    <w:basedOn w:val="Normal"/>
    <w:next w:val="Normal"/>
    <w:uiPriority w:val="9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doc-ti">
    <w:name w:val="doc-ti"/>
    <w:basedOn w:val="Normal"/>
    <w:pPr>
      <w:spacing w:before="240" w:after="120" w:line="240" w:lineRule="auto"/>
      <w:jc w:val="center"/>
    </w:pPr>
    <w:rPr>
      <w:rFonts w:ascii="Times New Roman" w:eastAsia="Times New Roman" w:hAnsi="Times New Roman" w:cs="Times New Roman"/>
      <w:b/>
      <w:bCs/>
      <w:sz w:val="24"/>
      <w:szCs w:val="24"/>
      <w:lang w:eastAsia="en-GB"/>
    </w:rPr>
  </w:style>
  <w:style w:type="character" w:customStyle="1" w:styleId="SubtleEmphasis1">
    <w:name w:val="Subtle Emphasis1"/>
    <w:rPr>
      <w:i/>
      <w:iCs/>
      <w:color w:val="808080"/>
    </w:rPr>
  </w:style>
  <w:style w:type="character" w:customStyle="1" w:styleId="IntenseEmphasis1">
    <w:name w:val="Intense Emphasis1"/>
    <w:rPr>
      <w:b/>
      <w:bCs/>
      <w:i/>
      <w:iCs/>
      <w:color w:val="4F81BD"/>
    </w:rPr>
  </w:style>
  <w:style w:type="character" w:customStyle="1" w:styleId="SubtleReference1">
    <w:name w:val="Subtle Reference1"/>
    <w:rPr>
      <w:smallCaps/>
      <w:color w:val="C0504D"/>
      <w:u w:val="single"/>
    </w:rPr>
  </w:style>
  <w:style w:type="character" w:customStyle="1" w:styleId="IntenseReference1">
    <w:name w:val="Intense Reference1"/>
    <w:rPr>
      <w:b/>
      <w:bCs/>
      <w:smallCaps/>
      <w:color w:val="C0504D"/>
      <w:spacing w:val="5"/>
      <w:u w:val="single"/>
    </w:rPr>
  </w:style>
  <w:style w:type="character" w:customStyle="1" w:styleId="BookTitle1">
    <w:name w:val="Book Title1"/>
    <w:rPr>
      <w:b/>
      <w:bCs/>
      <w:smallCaps/>
      <w:spacing w:val="5"/>
    </w:rPr>
  </w:style>
  <w:style w:type="paragraph" w:customStyle="1" w:styleId="TOCHeading1">
    <w:name w:val="TOC Heading1"/>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Pr>
      <w:i/>
      <w:iCs/>
      <w:color w:val="808080"/>
    </w:rPr>
  </w:style>
  <w:style w:type="character" w:customStyle="1" w:styleId="IntenseEmphasis2">
    <w:name w:val="Intense Emphasis2"/>
    <w:rPr>
      <w:b/>
      <w:bCs/>
      <w:i/>
      <w:iCs/>
      <w:color w:val="4F81BD"/>
    </w:rPr>
  </w:style>
  <w:style w:type="character" w:customStyle="1" w:styleId="SubtleReference2">
    <w:name w:val="Subtle Reference2"/>
    <w:rPr>
      <w:smallCaps/>
      <w:color w:val="C0504D"/>
      <w:u w:val="single"/>
    </w:rPr>
  </w:style>
  <w:style w:type="character" w:customStyle="1" w:styleId="IntenseReference2">
    <w:name w:val="Intense Reference2"/>
    <w:rPr>
      <w:b/>
      <w:bCs/>
      <w:smallCaps/>
      <w:color w:val="C0504D"/>
      <w:spacing w:val="5"/>
      <w:u w:val="single"/>
    </w:rPr>
  </w:style>
  <w:style w:type="character" w:customStyle="1" w:styleId="BookTitle2">
    <w:name w:val="Book Title2"/>
    <w:rPr>
      <w:b/>
      <w:bCs/>
      <w:smallCaps/>
      <w:spacing w:val="5"/>
    </w:rPr>
  </w:style>
  <w:style w:type="paragraph" w:customStyle="1" w:styleId="TOCHeading2">
    <w:name w:val="TOC Heading2"/>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paragraph" w:styleId="Caption">
    <w:name w:val="caption"/>
    <w:basedOn w:val="Normal"/>
    <w:next w:val="Normal"/>
    <w:semiHidden/>
    <w:unhideWhenUsed/>
    <w:qFormat/>
    <w:pPr>
      <w:spacing w:after="200" w:line="240" w:lineRule="auto"/>
    </w:pPr>
    <w:rPr>
      <w:rFonts w:ascii="Times New Roman" w:eastAsia="Times New Roman" w:hAnsi="Times New Roman" w:cs="Times New Roman"/>
      <w:b/>
      <w:bCs/>
      <w:color w:val="5B9BD5" w:themeColor="accent1"/>
      <w:sz w:val="18"/>
      <w:szCs w:val="18"/>
    </w:rPr>
  </w:style>
  <w:style w:type="paragraph" w:styleId="Title">
    <w:name w:val="Title"/>
    <w:basedOn w:val="Normal"/>
    <w:link w:val="TitleChar"/>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link w:val="SubtitleChar"/>
    <w:qFormat/>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Pr>
      <w:rFonts w:asciiTheme="majorHAnsi" w:eastAsiaTheme="majorEastAsia" w:hAnsiTheme="majorHAnsi" w:cstheme="majorBidi"/>
      <w:i/>
      <w:iCs/>
      <w:color w:val="5B9BD5" w:themeColor="accent1"/>
      <w:spacing w:val="15"/>
      <w:sz w:val="24"/>
      <w:szCs w:val="24"/>
    </w:rPr>
  </w:style>
  <w:style w:type="paragraph" w:customStyle="1" w:styleId="agbullets">
    <w:name w:val="ag_bullets"/>
    <w:basedOn w:val="Normal"/>
    <w:qFormat/>
    <w:pPr>
      <w:numPr>
        <w:numId w:val="14"/>
      </w:numPr>
      <w:spacing w:after="0" w:line="240" w:lineRule="auto"/>
    </w:pPr>
    <w:rPr>
      <w:rFonts w:ascii="Times New Roman" w:eastAsia="Times New Roman" w:hAnsi="Times New Roman" w:cs="Times New Roman"/>
      <w:szCs w:val="20"/>
    </w:rPr>
  </w:style>
  <w:style w:type="paragraph" w:customStyle="1" w:styleId="agtabbullets">
    <w:name w:val="ag_tab_bullets"/>
    <w:basedOn w:val="Normal"/>
    <w:qFormat/>
    <w:pPr>
      <w:numPr>
        <w:numId w:val="15"/>
      </w:numPr>
      <w:spacing w:after="0" w:line="240" w:lineRule="auto"/>
      <w:jc w:val="both"/>
    </w:pPr>
    <w:rPr>
      <w:rFonts w:ascii="Times New Roman" w:eastAsia="Times New Roman" w:hAnsi="Times New Roman" w:cs="Times New Roman"/>
      <w:sz w:val="18"/>
      <w:szCs w:val="20"/>
    </w:rPr>
  </w:style>
  <w:style w:type="paragraph" w:customStyle="1" w:styleId="agfootnote">
    <w:name w:val="ag_footnote"/>
    <w:basedOn w:val="Normal"/>
    <w:qFormat/>
    <w:pPr>
      <w:spacing w:after="120" w:line="240" w:lineRule="auto"/>
      <w:jc w:val="both"/>
    </w:pPr>
    <w:rPr>
      <w:rFonts w:ascii="Times New Roman" w:eastAsia="Times New Roman" w:hAnsi="Times New Roman" w:cs="Times New Roman"/>
      <w:sz w:val="16"/>
      <w:szCs w:val="20"/>
    </w:rPr>
  </w:style>
  <w:style w:type="numbering" w:customStyle="1" w:styleId="NoList1">
    <w:name w:val="No List1"/>
    <w:next w:val="NoList"/>
    <w:uiPriority w:val="99"/>
    <w:semiHidden/>
    <w:unhideWhenUsed/>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annotation reference" w:uiPriority="0"/>
    <w:lsdException w:name="List Bullet" w:uiPriority="0"/>
    <w:lsdException w:name="List Number" w:uiPriority="0"/>
    <w:lsdException w:name="List Bullet 2" w:uiPriority="0"/>
    <w:lsdException w:name="List Number 5" w:uiPriority="0"/>
    <w:lsdException w:name="Title" w:semiHidden="0" w:uiPriority="0" w:unhideWhenUsed="0" w:qFormat="1"/>
    <w:lsdException w:name="Default Paragraph Font" w:uiPriority="1"/>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autoRedefine/>
    <w:qFormat/>
    <w:pPr>
      <w:keepNext/>
      <w:spacing w:before="240" w:after="120" w:line="240" w:lineRule="auto"/>
      <w:outlineLvl w:val="0"/>
    </w:pPr>
    <w:rPr>
      <w:rFonts w:ascii="Arial" w:eastAsia="Times New Roman" w:hAnsi="Arial" w:cs="Arial"/>
      <w:b/>
      <w:bCs/>
      <w:kern w:val="32"/>
      <w:sz w:val="32"/>
      <w:szCs w:val="32"/>
      <w:lang w:eastAsia="en-GB"/>
    </w:rPr>
  </w:style>
  <w:style w:type="paragraph" w:styleId="Heading2">
    <w:name w:val="heading 2"/>
    <w:aliases w:val="Char, Char,Abschnitt"/>
    <w:basedOn w:val="Normal"/>
    <w:next w:val="Normal"/>
    <w:link w:val="Heading2Char"/>
    <w:autoRedefine/>
    <w:qFormat/>
    <w:pPr>
      <w:keepNext/>
      <w:spacing w:before="240" w:after="120" w:line="240" w:lineRule="auto"/>
      <w:ind w:left="720" w:hanging="720"/>
      <w:outlineLvl w:val="1"/>
    </w:pPr>
    <w:rPr>
      <w:rFonts w:ascii="Arial" w:eastAsia="Times New Roman" w:hAnsi="Arial" w:cs="Arial"/>
      <w:b/>
      <w:bCs/>
      <w:i/>
      <w:iCs/>
      <w:sz w:val="28"/>
      <w:szCs w:val="28"/>
      <w:lang w:eastAsia="en-GB"/>
    </w:rPr>
  </w:style>
  <w:style w:type="paragraph" w:styleId="Heading3">
    <w:name w:val="heading 3"/>
    <w:aliases w:val="Heading 3 Auto"/>
    <w:basedOn w:val="Normal"/>
    <w:next w:val="Normal"/>
    <w:link w:val="Heading3Char"/>
    <w:autoRedefine/>
    <w:qFormat/>
    <w:pPr>
      <w:keepNext/>
      <w:numPr>
        <w:ilvl w:val="2"/>
      </w:numPr>
      <w:tabs>
        <w:tab w:val="num" w:pos="850"/>
      </w:tabs>
      <w:spacing w:before="120" w:after="120" w:line="240" w:lineRule="auto"/>
      <w:ind w:left="850" w:hanging="850"/>
      <w:jc w:val="both"/>
      <w:outlineLvl w:val="2"/>
    </w:pPr>
    <w:rPr>
      <w:rFonts w:ascii="Arial" w:eastAsia="Times New Roman" w:hAnsi="Arial" w:cs="Arial"/>
      <w:b/>
      <w:bCs/>
      <w:i/>
      <w:sz w:val="26"/>
      <w:szCs w:val="26"/>
      <w:lang w:eastAsia="en-GB"/>
    </w:rPr>
  </w:style>
  <w:style w:type="paragraph" w:styleId="Heading4">
    <w:name w:val="heading 4"/>
    <w:basedOn w:val="Normal"/>
    <w:next w:val="Normal"/>
    <w:link w:val="Heading4Char"/>
    <w:qFormat/>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sz w:val="24"/>
      <w:szCs w:val="28"/>
      <w:lang w:eastAsia="de-DE"/>
    </w:rPr>
  </w:style>
  <w:style w:type="paragraph" w:styleId="Heading5">
    <w:name w:val="heading 5"/>
    <w:basedOn w:val="Normal"/>
    <w:next w:val="Normal"/>
    <w:link w:val="Heading5Char"/>
    <w:uiPriority w:val="99"/>
    <w:qFormat/>
    <w:pPr>
      <w:spacing w:before="240" w:after="60" w:line="240" w:lineRule="auto"/>
      <w:jc w:val="both"/>
      <w:outlineLvl w:val="4"/>
    </w:pPr>
    <w:rPr>
      <w:rFonts w:ascii="Arial" w:eastAsiaTheme="majorEastAsia" w:hAnsi="Arial" w:cs="Arial"/>
    </w:rPr>
  </w:style>
  <w:style w:type="paragraph" w:styleId="Heading6">
    <w:name w:val="heading 6"/>
    <w:basedOn w:val="Normal"/>
    <w:next w:val="Normal"/>
    <w:link w:val="Heading6Char"/>
    <w:uiPriority w:val="99"/>
    <w:qFormat/>
    <w:pPr>
      <w:spacing w:before="240" w:after="60" w:line="240" w:lineRule="auto"/>
      <w:jc w:val="both"/>
      <w:outlineLvl w:val="5"/>
    </w:pPr>
    <w:rPr>
      <w:rFonts w:ascii="Arial" w:eastAsiaTheme="majorEastAsia" w:hAnsi="Arial" w:cs="Arial"/>
      <w:i/>
      <w:iCs/>
    </w:rPr>
  </w:style>
  <w:style w:type="paragraph" w:styleId="Heading7">
    <w:name w:val="heading 7"/>
    <w:basedOn w:val="Normal"/>
    <w:next w:val="Normal"/>
    <w:link w:val="Heading7Char"/>
    <w:uiPriority w:val="99"/>
    <w:qFormat/>
    <w:pPr>
      <w:spacing w:before="240" w:after="60" w:line="240" w:lineRule="auto"/>
      <w:jc w:val="both"/>
      <w:outlineLvl w:val="6"/>
    </w:pPr>
    <w:rPr>
      <w:rFonts w:ascii="Arial" w:eastAsiaTheme="majorEastAsia" w:hAnsi="Arial" w:cs="Arial"/>
      <w:szCs w:val="20"/>
    </w:rPr>
  </w:style>
  <w:style w:type="paragraph" w:styleId="Heading8">
    <w:name w:val="heading 8"/>
    <w:basedOn w:val="Normal"/>
    <w:next w:val="Normal"/>
    <w:link w:val="Heading8Char"/>
    <w:uiPriority w:val="99"/>
    <w:qFormat/>
    <w:pPr>
      <w:spacing w:before="240" w:after="60" w:line="240" w:lineRule="auto"/>
      <w:jc w:val="both"/>
      <w:outlineLvl w:val="7"/>
    </w:pPr>
    <w:rPr>
      <w:rFonts w:ascii="Arial" w:eastAsiaTheme="majorEastAsia" w:hAnsi="Arial" w:cs="Arial"/>
      <w:i/>
      <w:iCs/>
      <w:szCs w:val="20"/>
    </w:rPr>
  </w:style>
  <w:style w:type="paragraph" w:styleId="Heading9">
    <w:name w:val="heading 9"/>
    <w:basedOn w:val="Normal"/>
    <w:next w:val="Normal"/>
    <w:link w:val="Heading9Char"/>
    <w:uiPriority w:val="99"/>
    <w:qFormat/>
    <w:pPr>
      <w:spacing w:before="240" w:after="60" w:line="240" w:lineRule="auto"/>
      <w:jc w:val="both"/>
      <w:outlineLvl w:val="8"/>
    </w:pPr>
    <w:rPr>
      <w:rFonts w:ascii="Arial" w:eastAsiaTheme="maj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de-D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uiPriority w:val="99"/>
    <w:rPr>
      <w:vertAlign w:val="superscript"/>
    </w:rPr>
  </w:style>
  <w:style w:type="paragraph" w:customStyle="1" w:styleId="Tiret0">
    <w:name w:val="Tiret 0"/>
    <w:basedOn w:val="Normal"/>
    <w:pPr>
      <w:numPr>
        <w:numId w:val="1"/>
      </w:numPr>
      <w:spacing w:before="120" w:after="120" w:line="240" w:lineRule="auto"/>
      <w:jc w:val="both"/>
    </w:pPr>
    <w:rPr>
      <w:rFonts w:ascii="Times New Roman" w:eastAsia="Times New Roman" w:hAnsi="Times New Roman" w:cs="Times New Roman"/>
      <w:sz w:val="24"/>
      <w:szCs w:val="24"/>
      <w:lang w:eastAsia="de-DE"/>
    </w:rPr>
  </w:style>
  <w:style w:type="character" w:styleId="Hyperlink">
    <w:name w:val="Hyperlink"/>
    <w:uiPriority w:val="99"/>
    <w:rPr>
      <w:color w:val="0000FF"/>
      <w:u w:val="single"/>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lang w:eastAsia="de-D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Pr>
      <w:rFonts w:ascii="Arial" w:eastAsia="Times New Roman" w:hAnsi="Arial" w:cs="Arial"/>
      <w:b/>
      <w:bCs/>
      <w:kern w:val="32"/>
      <w:sz w:val="32"/>
      <w:szCs w:val="32"/>
      <w:lang w:eastAsia="en-GB"/>
    </w:rPr>
  </w:style>
  <w:style w:type="character" w:customStyle="1" w:styleId="Heading2Char">
    <w:name w:val="Heading 2 Char"/>
    <w:aliases w:val="Char Char, Char Char,Abschnitt Char"/>
    <w:basedOn w:val="DefaultParagraphFont"/>
    <w:link w:val="Heading2"/>
    <w:rPr>
      <w:rFonts w:ascii="Arial" w:eastAsia="Times New Roman" w:hAnsi="Arial" w:cs="Arial"/>
      <w:b/>
      <w:bCs/>
      <w:i/>
      <w:iCs/>
      <w:sz w:val="28"/>
      <w:szCs w:val="28"/>
      <w:lang w:eastAsia="en-GB"/>
    </w:rPr>
  </w:style>
  <w:style w:type="character" w:customStyle="1" w:styleId="Heading3Char">
    <w:name w:val="Heading 3 Char"/>
    <w:aliases w:val="Heading 3 Auto Char"/>
    <w:basedOn w:val="DefaultParagraphFont"/>
    <w:link w:val="Heading3"/>
    <w:rPr>
      <w:rFonts w:ascii="Arial" w:eastAsia="Times New Roman" w:hAnsi="Arial" w:cs="Arial"/>
      <w:b/>
      <w:bCs/>
      <w:i/>
      <w:sz w:val="26"/>
      <w:szCs w:val="26"/>
      <w:lang w:eastAsia="en-GB"/>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lang w:eastAsia="de-DE"/>
    </w:rPr>
  </w:style>
  <w:style w:type="character" w:customStyle="1" w:styleId="Heading5Char">
    <w:name w:val="Heading 5 Char"/>
    <w:basedOn w:val="DefaultParagraphFont"/>
    <w:link w:val="Heading5"/>
    <w:uiPriority w:val="99"/>
    <w:rPr>
      <w:rFonts w:ascii="Arial" w:eastAsiaTheme="majorEastAsia" w:hAnsi="Arial" w:cs="Arial"/>
    </w:rPr>
  </w:style>
  <w:style w:type="character" w:customStyle="1" w:styleId="Heading6Char">
    <w:name w:val="Heading 6 Char"/>
    <w:basedOn w:val="DefaultParagraphFont"/>
    <w:link w:val="Heading6"/>
    <w:uiPriority w:val="99"/>
    <w:rPr>
      <w:rFonts w:ascii="Arial" w:eastAsiaTheme="majorEastAsia" w:hAnsi="Arial" w:cs="Arial"/>
      <w:i/>
      <w:iCs/>
    </w:rPr>
  </w:style>
  <w:style w:type="character" w:customStyle="1" w:styleId="Heading7Char">
    <w:name w:val="Heading 7 Char"/>
    <w:basedOn w:val="DefaultParagraphFont"/>
    <w:link w:val="Heading7"/>
    <w:uiPriority w:val="99"/>
    <w:rPr>
      <w:rFonts w:ascii="Arial" w:eastAsiaTheme="majorEastAsia" w:hAnsi="Arial" w:cs="Arial"/>
      <w:szCs w:val="20"/>
    </w:rPr>
  </w:style>
  <w:style w:type="character" w:customStyle="1" w:styleId="Heading8Char">
    <w:name w:val="Heading 8 Char"/>
    <w:basedOn w:val="DefaultParagraphFont"/>
    <w:link w:val="Heading8"/>
    <w:uiPriority w:val="99"/>
    <w:rPr>
      <w:rFonts w:ascii="Arial" w:eastAsiaTheme="majorEastAsia" w:hAnsi="Arial" w:cs="Arial"/>
      <w:i/>
      <w:iCs/>
      <w:szCs w:val="20"/>
    </w:rPr>
  </w:style>
  <w:style w:type="character" w:customStyle="1" w:styleId="Heading9Char">
    <w:name w:val="Heading 9 Char"/>
    <w:basedOn w:val="DefaultParagraphFont"/>
    <w:link w:val="Heading9"/>
    <w:uiPriority w:val="99"/>
    <w:rPr>
      <w:rFonts w:ascii="Arial" w:eastAsiaTheme="majorEastAsia" w:hAnsi="Arial" w:cs="Arial"/>
      <w:i/>
      <w:iCs/>
      <w:sz w:val="18"/>
      <w:szCs w:val="18"/>
    </w:rPr>
  </w:style>
  <w:style w:type="paragraph" w:styleId="TOC1">
    <w:name w:val="toc 1"/>
    <w:basedOn w:val="Normal"/>
    <w:next w:val="Normal"/>
    <w:uiPriority w:val="39"/>
    <w:qFormat/>
    <w:pPr>
      <w:spacing w:before="120" w:after="120" w:line="240" w:lineRule="auto"/>
    </w:pPr>
    <w:rPr>
      <w:rFonts w:ascii="Times New Roman" w:eastAsia="Times New Roman" w:hAnsi="Times New Roman" w:cs="Times New Roman"/>
      <w:b/>
      <w:bCs/>
      <w:caps/>
      <w:sz w:val="20"/>
      <w:szCs w:val="20"/>
      <w:lang w:eastAsia="en-GB"/>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lang w:eastAsia="de-DE"/>
    </w:rPr>
  </w:style>
  <w:style w:type="paragraph" w:customStyle="1" w:styleId="ListDash">
    <w:name w:val="List Dash"/>
    <w:basedOn w:val="Normal"/>
    <w:link w:val="ListDashChar"/>
    <w:pPr>
      <w:numPr>
        <w:numId w:val="4"/>
      </w:numPr>
      <w:spacing w:before="120" w:after="120" w:line="240" w:lineRule="auto"/>
      <w:jc w:val="both"/>
    </w:pPr>
    <w:rPr>
      <w:rFonts w:ascii="Times New Roman" w:eastAsia="Times New Roman" w:hAnsi="Times New Roman" w:cs="Times New Roman"/>
      <w:sz w:val="24"/>
      <w:szCs w:val="24"/>
      <w:lang w:eastAsia="de-DE"/>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lang w:eastAsia="de-DE"/>
    </w:rPr>
  </w:style>
  <w:style w:type="paragraph" w:customStyle="1" w:styleId="Prliminairetitre">
    <w:name w:val="Préliminaire titre"/>
    <w:basedOn w:val="Normal"/>
    <w:next w:val="Normal"/>
    <w:pPr>
      <w:spacing w:before="360" w:after="360" w:line="240" w:lineRule="auto"/>
      <w:jc w:val="center"/>
    </w:pPr>
    <w:rPr>
      <w:rFonts w:ascii="Times New Roman" w:eastAsia="Times New Roman" w:hAnsi="Times New Roman" w:cs="Times New Roman"/>
      <w:b/>
      <w:sz w:val="24"/>
      <w:szCs w:val="24"/>
      <w:lang w:eastAsia="de-DE"/>
    </w:rPr>
  </w:style>
  <w:style w:type="paragraph" w:customStyle="1" w:styleId="Prliminairetype">
    <w:name w:val="Préliminaire type"/>
    <w:basedOn w:val="Normal"/>
    <w:next w:val="Normal"/>
    <w:pPr>
      <w:spacing w:before="360" w:after="0" w:line="240" w:lineRule="auto"/>
      <w:jc w:val="center"/>
    </w:pPr>
    <w:rPr>
      <w:rFonts w:ascii="Times New Roman" w:eastAsia="Times New Roman" w:hAnsi="Times New Roman" w:cs="Times New Roman"/>
      <w:b/>
      <w:sz w:val="24"/>
      <w:szCs w:val="24"/>
      <w:lang w:eastAsia="de-DE"/>
    </w:rPr>
  </w:style>
  <w:style w:type="paragraph" w:styleId="TOC2">
    <w:name w:val="toc 2"/>
    <w:basedOn w:val="Normal"/>
    <w:next w:val="Normal"/>
    <w:autoRedefine/>
    <w:uiPriority w:val="39"/>
    <w:qFormat/>
    <w:pPr>
      <w:spacing w:after="0" w:line="240" w:lineRule="auto"/>
      <w:ind w:left="240"/>
    </w:pPr>
    <w:rPr>
      <w:rFonts w:ascii="Times New Roman" w:eastAsia="Times New Roman" w:hAnsi="Times New Roman" w:cs="Times New Roman"/>
      <w:smallCaps/>
      <w:sz w:val="20"/>
      <w:szCs w:val="20"/>
      <w:lang w:eastAsia="en-GB"/>
    </w:rPr>
  </w:style>
  <w:style w:type="paragraph" w:styleId="TOC3">
    <w:name w:val="toc 3"/>
    <w:basedOn w:val="Normal"/>
    <w:next w:val="Normal"/>
    <w:autoRedefine/>
    <w:qFormat/>
    <w:pPr>
      <w:spacing w:after="0" w:line="240" w:lineRule="auto"/>
      <w:ind w:left="480"/>
    </w:pPr>
    <w:rPr>
      <w:rFonts w:ascii="Times New Roman" w:eastAsia="Times New Roman" w:hAnsi="Times New Roman" w:cs="Times New Roman"/>
      <w:i/>
      <w:iCs/>
      <w:sz w:val="20"/>
      <w:szCs w:val="20"/>
      <w:lang w:eastAsia="en-GB"/>
    </w:rPr>
  </w:style>
  <w:style w:type="paragraph" w:styleId="TOC4">
    <w:name w:val="toc 4"/>
    <w:basedOn w:val="Normal"/>
    <w:next w:val="Normal"/>
    <w:autoRedefine/>
    <w:semiHidden/>
    <w:pPr>
      <w:spacing w:after="0" w:line="240" w:lineRule="auto"/>
      <w:ind w:left="720"/>
    </w:pPr>
    <w:rPr>
      <w:rFonts w:ascii="Times New Roman" w:eastAsia="Times New Roman" w:hAnsi="Times New Roman" w:cs="Times New Roman"/>
      <w:sz w:val="18"/>
      <w:szCs w:val="18"/>
      <w:lang w:eastAsia="en-GB"/>
    </w:rPr>
  </w:style>
  <w:style w:type="paragraph" w:styleId="TOC5">
    <w:name w:val="toc 5"/>
    <w:basedOn w:val="Normal"/>
    <w:next w:val="Normal"/>
    <w:autoRedefine/>
    <w:semiHidden/>
    <w:pPr>
      <w:spacing w:after="0" w:line="240" w:lineRule="auto"/>
      <w:ind w:left="960"/>
    </w:pPr>
    <w:rPr>
      <w:rFonts w:ascii="Times New Roman" w:eastAsia="Times New Roman" w:hAnsi="Times New Roman" w:cs="Times New Roman"/>
      <w:sz w:val="18"/>
      <w:szCs w:val="18"/>
      <w:lang w:eastAsia="en-GB"/>
    </w:rPr>
  </w:style>
  <w:style w:type="paragraph" w:styleId="TOC6">
    <w:name w:val="toc 6"/>
    <w:basedOn w:val="Normal"/>
    <w:next w:val="Normal"/>
    <w:autoRedefine/>
    <w:semiHidden/>
    <w:pPr>
      <w:spacing w:after="0" w:line="240" w:lineRule="auto"/>
      <w:ind w:left="1200"/>
    </w:pPr>
    <w:rPr>
      <w:rFonts w:ascii="Times New Roman" w:eastAsia="Times New Roman" w:hAnsi="Times New Roman" w:cs="Times New Roman"/>
      <w:sz w:val="18"/>
      <w:szCs w:val="18"/>
      <w:lang w:eastAsia="en-GB"/>
    </w:rPr>
  </w:style>
  <w:style w:type="paragraph" w:styleId="TOC7">
    <w:name w:val="toc 7"/>
    <w:basedOn w:val="Normal"/>
    <w:next w:val="Normal"/>
    <w:autoRedefine/>
    <w:semiHidden/>
    <w:pPr>
      <w:spacing w:after="0" w:line="240" w:lineRule="auto"/>
      <w:ind w:left="1440"/>
    </w:pPr>
    <w:rPr>
      <w:rFonts w:ascii="Times New Roman" w:eastAsia="Times New Roman" w:hAnsi="Times New Roman" w:cs="Times New Roman"/>
      <w:sz w:val="18"/>
      <w:szCs w:val="18"/>
      <w:lang w:eastAsia="en-GB"/>
    </w:rPr>
  </w:style>
  <w:style w:type="paragraph" w:styleId="TOC8">
    <w:name w:val="toc 8"/>
    <w:basedOn w:val="Normal"/>
    <w:next w:val="Normal"/>
    <w:autoRedefine/>
    <w:semiHidden/>
    <w:pPr>
      <w:spacing w:after="0" w:line="240" w:lineRule="auto"/>
      <w:ind w:left="1680"/>
    </w:pPr>
    <w:rPr>
      <w:rFonts w:ascii="Times New Roman" w:eastAsia="Times New Roman" w:hAnsi="Times New Roman" w:cs="Times New Roman"/>
      <w:sz w:val="18"/>
      <w:szCs w:val="18"/>
      <w:lang w:eastAsia="en-GB"/>
    </w:rPr>
  </w:style>
  <w:style w:type="paragraph" w:styleId="TOC9">
    <w:name w:val="toc 9"/>
    <w:basedOn w:val="Normal"/>
    <w:next w:val="Normal"/>
    <w:autoRedefine/>
    <w:semiHidden/>
    <w:pPr>
      <w:spacing w:after="0" w:line="240" w:lineRule="auto"/>
      <w:ind w:left="1920"/>
    </w:pPr>
    <w:rPr>
      <w:rFonts w:ascii="Times New Roman" w:eastAsia="Times New Roman" w:hAnsi="Times New Roman" w:cs="Times New Roman"/>
      <w:sz w:val="18"/>
      <w:szCs w:val="18"/>
      <w:lang w:eastAsia="en-GB"/>
    </w:rPr>
  </w:style>
  <w:style w:type="paragraph" w:styleId="ListBullet">
    <w:name w:val="List Bullet"/>
    <w:basedOn w:val="Normal"/>
    <w:pPr>
      <w:numPr>
        <w:numId w:val="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tabs>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Text1"/>
    <w:pPr>
      <w:numPr>
        <w:numId w:val="6"/>
      </w:numPr>
      <w:spacing w:before="0" w:after="240"/>
    </w:pPr>
    <w:rPr>
      <w:szCs w:val="20"/>
      <w:lang w:eastAsia="en-US"/>
    </w:rPr>
  </w:style>
  <w:style w:type="paragraph" w:styleId="ListBullet2">
    <w:name w:val="List Bullet 2"/>
    <w:basedOn w:val="Normal"/>
    <w:pPr>
      <w:numPr>
        <w:numId w:val="7"/>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sz w:val="24"/>
      <w:szCs w:val="24"/>
    </w:rPr>
  </w:style>
  <w:style w:type="character" w:styleId="Emphasis">
    <w:name w:val="Emphasis"/>
    <w:qFormat/>
    <w:rPr>
      <w:i/>
      <w:iCs/>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ListNumber">
    <w:name w:val="List Number"/>
    <w:basedOn w:val="Normal"/>
    <w:pPr>
      <w:numPr>
        <w:numId w:val="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2">
    <w:name w:val="List Number (Level 2)"/>
    <w:basedOn w:val="Normal"/>
    <w:pPr>
      <w:numPr>
        <w:ilvl w:val="1"/>
        <w:numId w:val="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3">
    <w:name w:val="List Number (Level 3)"/>
    <w:basedOn w:val="Normal"/>
    <w:pPr>
      <w:numPr>
        <w:ilvl w:val="2"/>
        <w:numId w:val="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4">
    <w:name w:val="List Number (Level 4)"/>
    <w:basedOn w:val="Normal"/>
    <w:pPr>
      <w:numPr>
        <w:ilvl w:val="3"/>
        <w:numId w:val="9"/>
      </w:numPr>
      <w:spacing w:before="120" w:after="120" w:line="240" w:lineRule="auto"/>
      <w:jc w:val="both"/>
    </w:pPr>
    <w:rPr>
      <w:rFonts w:ascii="Times New Roman" w:eastAsia="Times New Roman" w:hAnsi="Times New Roman" w:cs="Times New Roman"/>
      <w:sz w:val="24"/>
      <w:szCs w:val="24"/>
      <w:lang w:eastAsia="de-DE"/>
    </w:rPr>
  </w:style>
  <w:style w:type="character" w:customStyle="1" w:styleId="ListDashChar">
    <w:name w:val="List Dash Char"/>
    <w:link w:val="ListDash"/>
    <w:rPr>
      <w:rFonts w:ascii="Times New Roman" w:eastAsia="Times New Roman" w:hAnsi="Times New Roman" w:cs="Times New Roman"/>
      <w:sz w:val="24"/>
      <w:szCs w:val="24"/>
      <w:lang w:eastAsia="de-DE"/>
    </w:rPr>
  </w:style>
  <w:style w:type="paragraph" w:customStyle="1" w:styleId="StyleManualHeading2Italic">
    <w:name w:val="Style Manual Heading 2 + Italic"/>
    <w:basedOn w:val="ManualHeading2"/>
    <w:autoRedefine/>
    <w:pPr>
      <w:spacing w:before="160" w:after="160"/>
      <w:ind w:left="851" w:hanging="851"/>
    </w:pPr>
    <w:rPr>
      <w:bCs/>
      <w:i/>
      <w:iCs/>
    </w:rPr>
  </w:style>
  <w:style w:type="paragraph" w:customStyle="1" w:styleId="NormalCentered">
    <w:name w:val="Normal Centered"/>
    <w:basedOn w:val="Normal"/>
    <w:uiPriority w:val="99"/>
    <w:pPr>
      <w:spacing w:before="120" w:after="120" w:line="240" w:lineRule="auto"/>
      <w:jc w:val="center"/>
    </w:pPr>
    <w:rPr>
      <w:rFonts w:ascii="Times New Roman" w:eastAsia="Times New Roman" w:hAnsi="Times New Roman" w:cs="Times New Roman"/>
      <w:sz w:val="24"/>
      <w:szCs w:val="24"/>
      <w:lang w:eastAsia="de-DE"/>
    </w:rPr>
  </w:style>
  <w:style w:type="paragraph" w:customStyle="1" w:styleId="NormalRight">
    <w:name w:val="Normal Right"/>
    <w:basedOn w:val="Normal"/>
    <w:uiPriority w:val="99"/>
    <w:pPr>
      <w:spacing w:before="120" w:after="120" w:line="240" w:lineRule="auto"/>
      <w:jc w:val="right"/>
    </w:pPr>
    <w:rPr>
      <w:rFonts w:ascii="Times New Roman" w:eastAsia="Times New Roman" w:hAnsi="Times New Roman" w:cs="Times New Roman"/>
      <w:sz w:val="24"/>
      <w:szCs w:val="24"/>
      <w:lang w:eastAsia="de-DE"/>
    </w:rPr>
  </w:style>
  <w:style w:type="paragraph" w:customStyle="1" w:styleId="NormalLeft">
    <w:name w:val="Normal Left"/>
    <w:basedOn w:val="Normal"/>
    <w:uiPriority w:val="99"/>
    <w:pPr>
      <w:spacing w:before="120" w:after="120" w:line="240" w:lineRule="auto"/>
    </w:pPr>
    <w:rPr>
      <w:rFonts w:ascii="Times New Roman" w:eastAsia="Times New Roman" w:hAnsi="Times New Roman" w:cs="Times New Roman"/>
      <w:sz w:val="24"/>
      <w:szCs w:val="24"/>
      <w:lang w:eastAsia="en-GB"/>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2">
    <w:name w:val="NumPar 2"/>
    <w:basedOn w:val="Normal"/>
    <w:next w:val="Normal"/>
    <w:pPr>
      <w:numPr>
        <w:ilvl w:val="1"/>
        <w:numId w:val="1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3">
    <w:name w:val="NumPar 3"/>
    <w:basedOn w:val="Normal"/>
    <w:next w:val="Normal"/>
    <w:pPr>
      <w:numPr>
        <w:ilvl w:val="2"/>
        <w:numId w:val="1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4">
    <w:name w:val="NumPar 4"/>
    <w:basedOn w:val="Normal"/>
    <w:next w:val="Normal"/>
    <w:pPr>
      <w:numPr>
        <w:ilvl w:val="3"/>
        <w:numId w:val="10"/>
      </w:numPr>
      <w:spacing w:before="120" w:after="120" w:line="240" w:lineRule="auto"/>
      <w:jc w:val="both"/>
    </w:pPr>
    <w:rPr>
      <w:rFonts w:ascii="Times New Roman" w:eastAsia="Times New Roman" w:hAnsi="Times New Roman" w:cs="Times New Roman"/>
      <w:sz w:val="24"/>
      <w:szCs w:val="24"/>
      <w:lang w:eastAsia="de-DE"/>
    </w:rPr>
  </w:style>
  <w:style w:type="character" w:styleId="CommentReference">
    <w:name w:val="annotation reference"/>
    <w:rPr>
      <w:sz w:val="16"/>
      <w:szCs w:val="16"/>
    </w:rPr>
  </w:style>
  <w:style w:type="paragraph" w:customStyle="1" w:styleId="Statut">
    <w:name w:val="Statut"/>
    <w:basedOn w:val="Normal"/>
    <w:next w:val="Typedudocument"/>
    <w:pPr>
      <w:spacing w:before="360" w:after="0" w:line="240" w:lineRule="auto"/>
      <w:jc w:val="center"/>
    </w:pPr>
    <w:rPr>
      <w:rFonts w:ascii="Times New Roman" w:eastAsia="Calibri"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CommentText">
    <w:name w:val="annotation text"/>
    <w:basedOn w:val="Normal"/>
    <w:link w:val="CommentTextChar"/>
    <w:unhideWhenUsed/>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en-GB"/>
    </w:rPr>
  </w:style>
  <w:style w:type="paragraph" w:customStyle="1" w:styleId="Footnoter">
    <w:name w:val="Footnote r"/>
    <w:basedOn w:val="Normal"/>
    <w:pPr>
      <w:shd w:val="clear" w:color="auto" w:fill="F2F8FB"/>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style>
  <w:style w:type="paragraph" w:customStyle="1" w:styleId="Tiret2">
    <w:name w:val="Tiret 2"/>
    <w:basedOn w:val="Normal"/>
    <w:pPr>
      <w:numPr>
        <w:numId w:val="11"/>
      </w:numPr>
      <w:spacing w:before="120" w:after="120" w:line="240" w:lineRule="auto"/>
      <w:jc w:val="both"/>
    </w:pPr>
    <w:rPr>
      <w:rFonts w:ascii="Times New Roman" w:eastAsia="Times New Roman" w:hAnsi="Times New Roman" w:cs="Times New Roman"/>
      <w:sz w:val="24"/>
      <w:lang w:eastAsia="en-GB"/>
    </w:rPr>
  </w:style>
  <w:style w:type="paragraph" w:styleId="ListNumber5">
    <w:name w:val="List Number 5"/>
    <w:basedOn w:val="Normal"/>
    <w:pPr>
      <w:numPr>
        <w:numId w:val="12"/>
      </w:numPr>
      <w:spacing w:after="0" w:line="240" w:lineRule="auto"/>
      <w:contextualSpacing/>
    </w:pPr>
    <w:rPr>
      <w:rFonts w:ascii="Times New Roman" w:eastAsia="Times New Roman" w:hAnsi="Times New Roman" w:cs="Times New Roman"/>
      <w:sz w:val="24"/>
      <w:szCs w:val="24"/>
      <w:lang w:eastAsia="en-GB"/>
    </w:rPr>
  </w:style>
  <w:style w:type="character" w:styleId="Strong">
    <w:name w:val="Strong"/>
    <w:basedOn w:val="DefaultParagraphFont"/>
    <w:qFormat/>
    <w:rPr>
      <w:b/>
      <w:bCs/>
    </w:rPr>
  </w:style>
  <w:style w:type="paragraph" w:styleId="ListBullet3">
    <w:name w:val="List Bullet 3"/>
    <w:basedOn w:val="Normal"/>
    <w:uiPriority w:val="99"/>
    <w:unhideWhenUsed/>
    <w:pPr>
      <w:numPr>
        <w:numId w:val="13"/>
      </w:numPr>
      <w:spacing w:before="120" w:after="120" w:line="240" w:lineRule="auto"/>
      <w:contextualSpacing/>
      <w:jc w:val="both"/>
    </w:pPr>
    <w:rPr>
      <w:rFonts w:ascii="Times New Roman" w:eastAsia="Calibri" w:hAnsi="Times New Roman" w:cs="Times New Roman"/>
      <w:sz w:val="24"/>
      <w:lang w:eastAsia="en-GB"/>
    </w:rPr>
  </w:style>
  <w:style w:type="paragraph" w:customStyle="1" w:styleId="CM4">
    <w:name w:val="CM4"/>
    <w:basedOn w:val="Normal"/>
    <w:next w:val="Normal"/>
    <w:uiPriority w:val="9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doc-ti">
    <w:name w:val="doc-ti"/>
    <w:basedOn w:val="Normal"/>
    <w:pPr>
      <w:spacing w:before="240" w:after="120" w:line="240" w:lineRule="auto"/>
      <w:jc w:val="center"/>
    </w:pPr>
    <w:rPr>
      <w:rFonts w:ascii="Times New Roman" w:eastAsia="Times New Roman" w:hAnsi="Times New Roman" w:cs="Times New Roman"/>
      <w:b/>
      <w:bCs/>
      <w:sz w:val="24"/>
      <w:szCs w:val="24"/>
      <w:lang w:eastAsia="en-GB"/>
    </w:rPr>
  </w:style>
  <w:style w:type="character" w:customStyle="1" w:styleId="SubtleEmphasis1">
    <w:name w:val="Subtle Emphasis1"/>
    <w:rPr>
      <w:i/>
      <w:iCs/>
      <w:color w:val="808080"/>
    </w:rPr>
  </w:style>
  <w:style w:type="character" w:customStyle="1" w:styleId="IntenseEmphasis1">
    <w:name w:val="Intense Emphasis1"/>
    <w:rPr>
      <w:b/>
      <w:bCs/>
      <w:i/>
      <w:iCs/>
      <w:color w:val="4F81BD"/>
    </w:rPr>
  </w:style>
  <w:style w:type="character" w:customStyle="1" w:styleId="SubtleReference1">
    <w:name w:val="Subtle Reference1"/>
    <w:rPr>
      <w:smallCaps/>
      <w:color w:val="C0504D"/>
      <w:u w:val="single"/>
    </w:rPr>
  </w:style>
  <w:style w:type="character" w:customStyle="1" w:styleId="IntenseReference1">
    <w:name w:val="Intense Reference1"/>
    <w:rPr>
      <w:b/>
      <w:bCs/>
      <w:smallCaps/>
      <w:color w:val="C0504D"/>
      <w:spacing w:val="5"/>
      <w:u w:val="single"/>
    </w:rPr>
  </w:style>
  <w:style w:type="character" w:customStyle="1" w:styleId="BookTitle1">
    <w:name w:val="Book Title1"/>
    <w:rPr>
      <w:b/>
      <w:bCs/>
      <w:smallCaps/>
      <w:spacing w:val="5"/>
    </w:rPr>
  </w:style>
  <w:style w:type="paragraph" w:customStyle="1" w:styleId="TOCHeading1">
    <w:name w:val="TOC Heading1"/>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Pr>
      <w:i/>
      <w:iCs/>
      <w:color w:val="808080"/>
    </w:rPr>
  </w:style>
  <w:style w:type="character" w:customStyle="1" w:styleId="IntenseEmphasis2">
    <w:name w:val="Intense Emphasis2"/>
    <w:rPr>
      <w:b/>
      <w:bCs/>
      <w:i/>
      <w:iCs/>
      <w:color w:val="4F81BD"/>
    </w:rPr>
  </w:style>
  <w:style w:type="character" w:customStyle="1" w:styleId="SubtleReference2">
    <w:name w:val="Subtle Reference2"/>
    <w:rPr>
      <w:smallCaps/>
      <w:color w:val="C0504D"/>
      <w:u w:val="single"/>
    </w:rPr>
  </w:style>
  <w:style w:type="character" w:customStyle="1" w:styleId="IntenseReference2">
    <w:name w:val="Intense Reference2"/>
    <w:rPr>
      <w:b/>
      <w:bCs/>
      <w:smallCaps/>
      <w:color w:val="C0504D"/>
      <w:spacing w:val="5"/>
      <w:u w:val="single"/>
    </w:rPr>
  </w:style>
  <w:style w:type="character" w:customStyle="1" w:styleId="BookTitle2">
    <w:name w:val="Book Title2"/>
    <w:rPr>
      <w:b/>
      <w:bCs/>
      <w:smallCaps/>
      <w:spacing w:val="5"/>
    </w:rPr>
  </w:style>
  <w:style w:type="paragraph" w:customStyle="1" w:styleId="TOCHeading2">
    <w:name w:val="TOC Heading2"/>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paragraph" w:styleId="Caption">
    <w:name w:val="caption"/>
    <w:basedOn w:val="Normal"/>
    <w:next w:val="Normal"/>
    <w:semiHidden/>
    <w:unhideWhenUsed/>
    <w:qFormat/>
    <w:pPr>
      <w:spacing w:after="200" w:line="240" w:lineRule="auto"/>
    </w:pPr>
    <w:rPr>
      <w:rFonts w:ascii="Times New Roman" w:eastAsia="Times New Roman" w:hAnsi="Times New Roman" w:cs="Times New Roman"/>
      <w:b/>
      <w:bCs/>
      <w:color w:val="5B9BD5" w:themeColor="accent1"/>
      <w:sz w:val="18"/>
      <w:szCs w:val="18"/>
    </w:rPr>
  </w:style>
  <w:style w:type="paragraph" w:styleId="Title">
    <w:name w:val="Title"/>
    <w:basedOn w:val="Normal"/>
    <w:link w:val="TitleChar"/>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link w:val="SubtitleChar"/>
    <w:qFormat/>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Pr>
      <w:rFonts w:asciiTheme="majorHAnsi" w:eastAsiaTheme="majorEastAsia" w:hAnsiTheme="majorHAnsi" w:cstheme="majorBidi"/>
      <w:i/>
      <w:iCs/>
      <w:color w:val="5B9BD5" w:themeColor="accent1"/>
      <w:spacing w:val="15"/>
      <w:sz w:val="24"/>
      <w:szCs w:val="24"/>
    </w:rPr>
  </w:style>
  <w:style w:type="paragraph" w:customStyle="1" w:styleId="agbullets">
    <w:name w:val="ag_bullets"/>
    <w:basedOn w:val="Normal"/>
    <w:qFormat/>
    <w:pPr>
      <w:numPr>
        <w:numId w:val="14"/>
      </w:numPr>
      <w:spacing w:after="0" w:line="240" w:lineRule="auto"/>
    </w:pPr>
    <w:rPr>
      <w:rFonts w:ascii="Times New Roman" w:eastAsia="Times New Roman" w:hAnsi="Times New Roman" w:cs="Times New Roman"/>
      <w:szCs w:val="20"/>
    </w:rPr>
  </w:style>
  <w:style w:type="paragraph" w:customStyle="1" w:styleId="agtabbullets">
    <w:name w:val="ag_tab_bullets"/>
    <w:basedOn w:val="Normal"/>
    <w:qFormat/>
    <w:pPr>
      <w:numPr>
        <w:numId w:val="15"/>
      </w:numPr>
      <w:spacing w:after="0" w:line="240" w:lineRule="auto"/>
      <w:jc w:val="both"/>
    </w:pPr>
    <w:rPr>
      <w:rFonts w:ascii="Times New Roman" w:eastAsia="Times New Roman" w:hAnsi="Times New Roman" w:cs="Times New Roman"/>
      <w:sz w:val="18"/>
      <w:szCs w:val="20"/>
    </w:rPr>
  </w:style>
  <w:style w:type="paragraph" w:customStyle="1" w:styleId="agfootnote">
    <w:name w:val="ag_footnote"/>
    <w:basedOn w:val="Normal"/>
    <w:qFormat/>
    <w:pPr>
      <w:spacing w:after="120" w:line="240" w:lineRule="auto"/>
      <w:jc w:val="both"/>
    </w:pPr>
    <w:rPr>
      <w:rFonts w:ascii="Times New Roman" w:eastAsia="Times New Roman" w:hAnsi="Times New Roman" w:cs="Times New Roman"/>
      <w:sz w:val="16"/>
      <w:szCs w:val="20"/>
    </w:rPr>
  </w:style>
  <w:style w:type="numbering" w:customStyle="1" w:styleId="NoList1">
    <w:name w:val="No List1"/>
    <w:next w:val="NoList"/>
    <w:uiPriority w:val="99"/>
    <w:semiHidden/>
    <w:unhideWhenUsed/>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728237">
      <w:bodyDiv w:val="1"/>
      <w:marLeft w:val="0"/>
      <w:marRight w:val="0"/>
      <w:marTop w:val="0"/>
      <w:marBottom w:val="0"/>
      <w:divBdr>
        <w:top w:val="none" w:sz="0" w:space="0" w:color="auto"/>
        <w:left w:val="none" w:sz="0" w:space="0" w:color="auto"/>
        <w:bottom w:val="none" w:sz="0" w:space="0" w:color="auto"/>
        <w:right w:val="none" w:sz="0" w:space="0" w:color="auto"/>
      </w:divBdr>
    </w:div>
    <w:div w:id="777262886">
      <w:bodyDiv w:val="1"/>
      <w:marLeft w:val="0"/>
      <w:marRight w:val="0"/>
      <w:marTop w:val="0"/>
      <w:marBottom w:val="0"/>
      <w:divBdr>
        <w:top w:val="none" w:sz="0" w:space="0" w:color="auto"/>
        <w:left w:val="none" w:sz="0" w:space="0" w:color="auto"/>
        <w:bottom w:val="none" w:sz="0" w:space="0" w:color="auto"/>
        <w:right w:val="none" w:sz="0" w:space="0" w:color="auto"/>
      </w:divBdr>
    </w:div>
    <w:div w:id="916014342">
      <w:bodyDiv w:val="1"/>
      <w:marLeft w:val="0"/>
      <w:marRight w:val="0"/>
      <w:marTop w:val="0"/>
      <w:marBottom w:val="0"/>
      <w:divBdr>
        <w:top w:val="none" w:sz="0" w:space="0" w:color="auto"/>
        <w:left w:val="none" w:sz="0" w:space="0" w:color="auto"/>
        <w:bottom w:val="none" w:sz="0" w:space="0" w:color="auto"/>
        <w:right w:val="none" w:sz="0" w:space="0" w:color="auto"/>
      </w:divBdr>
    </w:div>
    <w:div w:id="1082798134">
      <w:bodyDiv w:val="1"/>
      <w:marLeft w:val="0"/>
      <w:marRight w:val="0"/>
      <w:marTop w:val="0"/>
      <w:marBottom w:val="0"/>
      <w:divBdr>
        <w:top w:val="none" w:sz="0" w:space="0" w:color="auto"/>
        <w:left w:val="none" w:sz="0" w:space="0" w:color="auto"/>
        <w:bottom w:val="none" w:sz="0" w:space="0" w:color="auto"/>
        <w:right w:val="none" w:sz="0" w:space="0" w:color="auto"/>
      </w:divBdr>
    </w:div>
    <w:div w:id="1321233040">
      <w:bodyDiv w:val="1"/>
      <w:marLeft w:val="0"/>
      <w:marRight w:val="0"/>
      <w:marTop w:val="0"/>
      <w:marBottom w:val="0"/>
      <w:divBdr>
        <w:top w:val="none" w:sz="0" w:space="0" w:color="auto"/>
        <w:left w:val="none" w:sz="0" w:space="0" w:color="auto"/>
        <w:bottom w:val="none" w:sz="0" w:space="0" w:color="auto"/>
        <w:right w:val="none" w:sz="0" w:space="0" w:color="auto"/>
      </w:divBdr>
    </w:div>
    <w:div w:id="211578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s://eur-lex.europa.eu/budget/www/index-de.htm" TargetMode="Externa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E3937-BB4A-4682-B409-D3451F39A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1459</Words>
  <Characters>7460</Characters>
  <Application>Microsoft Office Word</Application>
  <DocSecurity>0</DocSecurity>
  <Lines>497</Lines>
  <Paragraphs>307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dcterms:created xsi:type="dcterms:W3CDTF">2020-04-23T13:16:00Z</dcterms:created>
  <dcterms:modified xsi:type="dcterms:W3CDTF">2020-05-12T15:23:00Z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CP-035</vt:lpwstr>
  </property>
  <property fmtid="{D5CDD505-2E9C-101B-9397-08002B2CF9AE}" pid="7" name="Last edited using">
    <vt:lpwstr>LW 7.0.1, Build 20190916</vt:lpwstr>
  </property>
  <property fmtid="{D5CDD505-2E9C-101B-9397-08002B2CF9AE}" pid="8" name="Created using">
    <vt:lpwstr>LW 7.0, Build 20190717</vt:lpwstr>
  </property>
  <property name="OP_sanitized" fmtid="{D5CDD505-2E9C-101B-9397-08002B2CF9AE}" pid="9">
    <vt:lpwstr>True</vt:lpwstr>
  </property>
</Properties>
</file>