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51C44DED-B409-400D-AD96-D582CA4A3E47" style="width:450.35pt;height:402.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keepNext/>
        <w:numPr>
          <w:ilvl w:val="0"/>
          <w:numId w:val="22"/>
        </w:numPr>
        <w:shd w:val="clear" w:color="auto" w:fill="FFFFFF"/>
        <w:spacing w:before="360" w:after="120"/>
        <w:jc w:val="both"/>
        <w:outlineLvl w:val="0"/>
        <w:rPr>
          <w:rStyle w:val="Heading1Char"/>
          <w:rFonts w:eastAsia="Calibri"/>
          <w:noProof/>
          <w:sz w:val="24"/>
          <w:szCs w:val="24"/>
        </w:rPr>
      </w:pPr>
      <w:bookmarkStart w:id="1" w:name="_Toc410373480"/>
      <w:bookmarkStart w:id="2" w:name="_Toc413919809"/>
      <w:bookmarkStart w:id="3" w:name="_Toc413920795"/>
      <w:bookmarkStart w:id="4" w:name="_Toc414992036"/>
      <w:bookmarkStart w:id="5" w:name="_Toc415146506"/>
      <w:bookmarkStart w:id="6" w:name="_GoBack"/>
      <w:bookmarkEnd w:id="6"/>
      <w:r>
        <w:rPr>
          <w:rStyle w:val="Heading1Char"/>
          <w:noProof/>
          <w:sz w:val="24"/>
        </w:rPr>
        <w:lastRenderedPageBreak/>
        <w:t>Hintergrund</w:t>
      </w:r>
      <w:bookmarkEnd w:id="1"/>
      <w:bookmarkEnd w:id="2"/>
      <w:bookmarkEnd w:id="3"/>
      <w:bookmarkEnd w:id="4"/>
      <w:bookmarkEnd w:id="5"/>
    </w:p>
    <w:p>
      <w:pPr>
        <w:spacing w:before="120" w:after="120"/>
        <w:ind w:left="850"/>
        <w:jc w:val="both"/>
        <w:rPr>
          <w:noProof/>
          <w:sz w:val="24"/>
        </w:rPr>
      </w:pPr>
      <w:r>
        <w:rPr>
          <w:noProof/>
          <w:sz w:val="24"/>
        </w:rPr>
        <w:t>Die Verordnung (EG) Nr. 216/2009 vom 11. März 2009 über die Vorlage von Fangstatistiken durch Mitgliedstaaten, die in bestimmten Gebieten außerhalb des Nordatlantiks Fischfang betreiben</w:t>
      </w:r>
      <w:r>
        <w:rPr>
          <w:rStyle w:val="FootnoteReference"/>
          <w:noProof/>
          <w:sz w:val="24"/>
        </w:rPr>
        <w:footnoteReference w:id="2"/>
      </w:r>
      <w:r>
        <w:rPr>
          <w:noProof/>
          <w:sz w:val="24"/>
        </w:rPr>
        <w:t>, die Verordnung (EG) Nr. 217/2009 vom 11. März 2009 über die Vorlage von Statistiken über die Fänge und die Fischereitätigkeit der Mitgliedstaaten, die im Nordwestatlantik Fischfang betreiben</w:t>
      </w:r>
      <w:r>
        <w:rPr>
          <w:rStyle w:val="FootnoteReference"/>
          <w:noProof/>
          <w:sz w:val="24"/>
        </w:rPr>
        <w:footnoteReference w:id="3"/>
      </w:r>
      <w:r>
        <w:rPr>
          <w:noProof/>
          <w:sz w:val="24"/>
        </w:rPr>
        <w:t xml:space="preserve"> und die Verordnung (EG) Nr. 218/2009 vom 11. März 2009 über die Vorlage von Fangstatistiken durch die Mitgliedstaaten, die im Nordostatlantik Fischfang betreiben</w:t>
      </w:r>
      <w:r>
        <w:rPr>
          <w:rStyle w:val="FootnoteReference"/>
          <w:noProof/>
          <w:sz w:val="24"/>
        </w:rPr>
        <w:footnoteReference w:id="4"/>
      </w:r>
      <w:r>
        <w:rPr>
          <w:noProof/>
          <w:sz w:val="24"/>
        </w:rPr>
        <w:t xml:space="preserve"> wurden mit der Verordnung (EU) Nr. 1350/2013 vom 11. Dezember 2013 zur Änderung bestimmter Gesetzgebungsakte im Bereich Agrar- und Fischereistatistik</w:t>
      </w:r>
      <w:r>
        <w:rPr>
          <w:rStyle w:val="FootnoteReference"/>
          <w:noProof/>
          <w:sz w:val="24"/>
        </w:rPr>
        <w:footnoteReference w:id="5"/>
      </w:r>
      <w:r>
        <w:rPr>
          <w:noProof/>
          <w:sz w:val="24"/>
        </w:rPr>
        <w:t xml:space="preserve"> geändert, um die Durchführungsbefugnisse dem Vertrag über die Arbeitsweise der Europäischen Union anzupassen.</w:t>
      </w:r>
    </w:p>
    <w:p>
      <w:pPr>
        <w:spacing w:before="120" w:after="120"/>
        <w:ind w:left="850"/>
        <w:jc w:val="both"/>
        <w:rPr>
          <w:noProof/>
          <w:sz w:val="24"/>
        </w:rPr>
      </w:pPr>
      <w:r>
        <w:rPr>
          <w:noProof/>
          <w:sz w:val="24"/>
        </w:rPr>
        <w:t>Die Kommission ist befugt, delegierte Rechtsakte zu erlassen, um wirtschaftlichen und technischen Entwicklungen Rechnung zu tragen. Mit diesen delegierten Rechtsakten kann Folgendes geändert werden:</w:t>
      </w:r>
    </w:p>
    <w:p>
      <w:pPr>
        <w:spacing w:before="120" w:after="120"/>
        <w:ind w:left="1440" w:hanging="360"/>
        <w:jc w:val="both"/>
        <w:rPr>
          <w:noProof/>
          <w:sz w:val="24"/>
        </w:rPr>
      </w:pPr>
      <w:r>
        <w:rPr>
          <w:noProof/>
          <w:sz w:val="24"/>
        </w:rPr>
        <w:t>•</w:t>
      </w:r>
      <w:r>
        <w:rPr>
          <w:noProof/>
        </w:rPr>
        <w:tab/>
      </w:r>
      <w:r>
        <w:rPr>
          <w:noProof/>
          <w:sz w:val="24"/>
        </w:rPr>
        <w:t>die Listen der statistischen Fischereigebiete oder ihrer Untergebiete in den Anhängen I, II und III der Verordnung (EG) Nr. 216/2009 sowie in den Anhängen II und III der Verordnungen (EG) Nr. 217/2009 und (EG) Nr. 218/2009;</w:t>
      </w:r>
    </w:p>
    <w:p>
      <w:pPr>
        <w:spacing w:before="120" w:after="120"/>
        <w:ind w:left="1440" w:hanging="360"/>
        <w:jc w:val="both"/>
        <w:rPr>
          <w:noProof/>
          <w:sz w:val="24"/>
        </w:rPr>
      </w:pPr>
      <w:r>
        <w:rPr>
          <w:noProof/>
          <w:sz w:val="24"/>
        </w:rPr>
        <w:t>•</w:t>
      </w:r>
      <w:r>
        <w:rPr>
          <w:noProof/>
        </w:rPr>
        <w:tab/>
      </w:r>
      <w:r>
        <w:rPr>
          <w:noProof/>
          <w:sz w:val="24"/>
        </w:rPr>
        <w:t>die Listen der Arten in Anhang IV der Verordnung (EG) Nr. 216/2009 sowie jeweils in Anhang I der Verordnungen (EG) Nr. 217/2009 und (EG) Nr. 218/2009 und</w:t>
      </w:r>
    </w:p>
    <w:p>
      <w:pPr>
        <w:spacing w:before="120" w:after="120"/>
        <w:ind w:left="1440" w:hanging="360"/>
        <w:jc w:val="both"/>
        <w:rPr>
          <w:noProof/>
          <w:sz w:val="24"/>
        </w:rPr>
      </w:pPr>
      <w:r>
        <w:rPr>
          <w:noProof/>
          <w:sz w:val="24"/>
        </w:rPr>
        <w:t>•</w:t>
      </w:r>
      <w:r>
        <w:rPr>
          <w:noProof/>
        </w:rPr>
        <w:tab/>
      </w:r>
      <w:r>
        <w:rPr>
          <w:noProof/>
          <w:sz w:val="24"/>
        </w:rPr>
        <w:t>die in Anhang IV der Verordnung (EG) Nr. 217/2009 festgelegten Maßnahmen, Codes und Definitionen, die auf die Fischereitätigkeit, Fanggeräte, Schiffsgrößen und Fangmethoden angewandt werden.</w:t>
      </w:r>
    </w:p>
    <w:p>
      <w:pPr>
        <w:spacing w:before="120" w:after="120"/>
        <w:ind w:left="850"/>
        <w:jc w:val="both"/>
        <w:rPr>
          <w:noProof/>
          <w:sz w:val="24"/>
        </w:rPr>
      </w:pPr>
      <w:r>
        <w:rPr>
          <w:noProof/>
          <w:sz w:val="24"/>
        </w:rPr>
        <w:t>Nach Artikel 5 der Verordnungen (EG) Nr. 216/2009 und (EG) Nr. 218/2009 sowie nach Artikel 6 der Verordnung (EG) Nr. 217/2009 wird der Kommission die Befugnis zum Erlass delegierter Rechtsakte für einen Zeitraum von fünf Jahren ab dem 10. Januar 2014 übertragen. Diese Befugnis verlängert sich stillschweigend um Zeiträume von fünf Jahren, es sei denn, das Europäische Parlament oder der Rat erheben Einwände.</w:t>
      </w:r>
    </w:p>
    <w:p>
      <w:pPr>
        <w:spacing w:before="120" w:after="120"/>
        <w:ind w:left="850"/>
        <w:jc w:val="both"/>
        <w:rPr>
          <w:noProof/>
          <w:sz w:val="24"/>
        </w:rPr>
      </w:pPr>
      <w:r>
        <w:rPr>
          <w:noProof/>
          <w:sz w:val="24"/>
        </w:rPr>
        <w:t>Die Kommission ist verpflichtet, spätestens neun Monate vor Ablauf des Fünfjahreszeitraums, d. h. vor dem 10. April 2018, einen Bericht über die Befugnisübertragung zu erstellen.</w:t>
      </w:r>
    </w:p>
    <w:p>
      <w:pPr>
        <w:spacing w:before="120" w:after="120"/>
        <w:ind w:left="850"/>
        <w:jc w:val="both"/>
        <w:rPr>
          <w:noProof/>
          <w:sz w:val="24"/>
        </w:rPr>
      </w:pPr>
      <w:r>
        <w:rPr>
          <w:noProof/>
          <w:sz w:val="24"/>
        </w:rPr>
        <w:t>Dieser Verpflichtung wird mit dem vorliegenden Bericht nachgekommen.</w:t>
      </w:r>
    </w:p>
    <w:p>
      <w:pPr>
        <w:keepNext/>
        <w:numPr>
          <w:ilvl w:val="0"/>
          <w:numId w:val="22"/>
        </w:numPr>
        <w:shd w:val="clear" w:color="auto" w:fill="FFFFFF"/>
        <w:spacing w:before="360" w:after="120"/>
        <w:jc w:val="both"/>
        <w:outlineLvl w:val="0"/>
        <w:rPr>
          <w:b/>
          <w:bCs/>
          <w:smallCaps/>
          <w:noProof/>
          <w:sz w:val="24"/>
          <w:szCs w:val="24"/>
        </w:rPr>
      </w:pPr>
      <w:bookmarkStart w:id="7" w:name="_Toc413919810"/>
      <w:bookmarkStart w:id="8" w:name="_Toc413920796"/>
      <w:bookmarkStart w:id="9" w:name="_Toc414992037"/>
      <w:bookmarkStart w:id="10" w:name="_Toc415146507"/>
      <w:bookmarkStart w:id="11" w:name="_Toc342558478"/>
      <w:bookmarkStart w:id="12" w:name="_Toc410373481"/>
      <w:r>
        <w:rPr>
          <w:rStyle w:val="Heading1Char"/>
          <w:noProof/>
          <w:sz w:val="24"/>
        </w:rPr>
        <w:lastRenderedPageBreak/>
        <w:t>Ausübung der nach den Verordnungen</w:t>
      </w:r>
      <w:bookmarkEnd w:id="7"/>
      <w:bookmarkEnd w:id="8"/>
      <w:bookmarkEnd w:id="9"/>
      <w:bookmarkEnd w:id="10"/>
      <w:r>
        <w:rPr>
          <w:rStyle w:val="Heading1Char"/>
          <w:noProof/>
          <w:sz w:val="24"/>
        </w:rPr>
        <w:t xml:space="preserve"> (EG) Nr. 216/2009, (EG) Nr. 217/2009 und (EG) Nr. 218/2009 übertragenen Befugnisse durch die Kommission</w:t>
      </w:r>
    </w:p>
    <w:p>
      <w:pPr>
        <w:spacing w:before="120" w:after="120"/>
        <w:ind w:left="850"/>
        <w:jc w:val="both"/>
        <w:rPr>
          <w:noProof/>
          <w:sz w:val="24"/>
        </w:rPr>
      </w:pPr>
      <w:r>
        <w:rPr>
          <w:noProof/>
          <w:sz w:val="24"/>
        </w:rPr>
        <w:t>Die Kommission hat die ihr durch die Verordnungen (EG) Nr. 216/2009, (EG) Nr. 217/2009 und (EG) Nr. 218/2009 übertragene Befugnis zum Erlass delegierter Rechtsakte noch nicht ausgeübt.</w:t>
      </w:r>
    </w:p>
    <w:p>
      <w:pPr>
        <w:spacing w:before="120" w:after="120"/>
        <w:ind w:left="850"/>
        <w:jc w:val="both"/>
        <w:rPr>
          <w:noProof/>
          <w:sz w:val="24"/>
        </w:rPr>
      </w:pPr>
      <w:r>
        <w:rPr>
          <w:noProof/>
          <w:sz w:val="24"/>
        </w:rPr>
        <w:t>Die Verordnungen betreffen die jährliche Erhebung von Fangstatistiken nach Schiffen, die in sieben Hauptfischereigebieten und ihren Untergebieten fischen, sowie über Fischfangtätigkeiten nach Kalendermonat des Fangs, Fanggerät, Schiffsgröße und im Nordwestatlantik hauptsächlich gewünschten Fischarten. Die Daten wurden erstmals 2009 gesammelt und der Kommission (Eurostat) für die Verordnung (EG) Nr. 217/2009 Ende Mai 2010 und für die Verordnungen (EG) Nr. 216/2009 und (EG) Nr. 218/2009 Ende Juni 2010 übermittelt.</w:t>
      </w:r>
    </w:p>
    <w:p>
      <w:pPr>
        <w:spacing w:before="120" w:after="120"/>
        <w:ind w:left="850"/>
        <w:jc w:val="both"/>
        <w:rPr>
          <w:noProof/>
          <w:sz w:val="24"/>
        </w:rPr>
      </w:pPr>
      <w:r>
        <w:rPr>
          <w:noProof/>
          <w:sz w:val="24"/>
        </w:rPr>
        <w:t>Zum Zeitpunkt der Vorlage dieses Berichts war die Datenerhebung nach der Verordnung stabil und die internationalen Definitionen haben sich nicht geändert. Die Kommission hat es daher noch nicht als notwendig erachtet, die ihr übertragenen Befugnisse auszuüben.</w:t>
      </w:r>
    </w:p>
    <w:p>
      <w:pPr>
        <w:spacing w:before="120" w:after="120"/>
        <w:ind w:left="850"/>
        <w:jc w:val="both"/>
        <w:rPr>
          <w:noProof/>
          <w:sz w:val="24"/>
        </w:rPr>
      </w:pPr>
    </w:p>
    <w:p>
      <w:pPr>
        <w:keepNext/>
        <w:numPr>
          <w:ilvl w:val="0"/>
          <w:numId w:val="22"/>
        </w:numPr>
        <w:shd w:val="clear" w:color="auto" w:fill="FFFFFF"/>
        <w:spacing w:before="360" w:after="120"/>
        <w:jc w:val="both"/>
        <w:outlineLvl w:val="0"/>
        <w:rPr>
          <w:rStyle w:val="Heading1Char"/>
          <w:rFonts w:eastAsia="Calibri"/>
          <w:noProof/>
          <w:sz w:val="24"/>
          <w:szCs w:val="24"/>
        </w:rPr>
      </w:pPr>
      <w:r>
        <w:rPr>
          <w:rStyle w:val="Heading1Char"/>
          <w:noProof/>
          <w:sz w:val="24"/>
        </w:rPr>
        <w:t>Schlussfolgerungen</w:t>
      </w:r>
    </w:p>
    <w:bookmarkEnd w:id="11"/>
    <w:bookmarkEnd w:id="12"/>
    <w:p>
      <w:pPr>
        <w:spacing w:before="120" w:after="120"/>
        <w:ind w:left="850"/>
        <w:jc w:val="both"/>
        <w:rPr>
          <w:noProof/>
          <w:sz w:val="24"/>
        </w:rPr>
      </w:pPr>
      <w:r>
        <w:rPr>
          <w:noProof/>
          <w:sz w:val="24"/>
        </w:rPr>
        <w:t>Die Kommission hat die ihr durch die Verordnung (EG) Nr. 216/2009, die Verordnung (EG) Nr. 217/2009 und die Verordnung (EG) Nr. 218/2009 übertragene Befugnis zum Erlass delegierter Rechtsakte noch nicht ausgeübt.</w:t>
      </w:r>
    </w:p>
    <w:p>
      <w:pPr>
        <w:spacing w:before="120" w:after="120"/>
        <w:ind w:left="850"/>
        <w:jc w:val="both"/>
        <w:rPr>
          <w:noProof/>
          <w:sz w:val="24"/>
        </w:rPr>
      </w:pPr>
      <w:r>
        <w:rPr>
          <w:noProof/>
          <w:sz w:val="24"/>
        </w:rPr>
        <w:t>Die Kommission ist der Ansicht, dass sie weiterhin über diese übertragenen Befugnisse verfügen sollte, da sie in der Zukunft möglicherweise delegierte Rechtsakte erlassen muss, um die Listen der Arten und der Fanggebiete in den Anhängen der genannten Verordnungen zu ändern, um dem Bedarf der Datennutzer im Zusammenhang mit der zukünftigen gemeinsamen Fischereipolitik gerecht zu werden.</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pPr>
      <w:r>
        <w:rPr>
          <w:rStyle w:val="FootnoteReference"/>
        </w:rPr>
        <w:footnoteRef/>
      </w:r>
      <w:r>
        <w:t xml:space="preserve"> </w:t>
      </w:r>
      <w:r>
        <w:tab/>
        <w:t>ABl. L 87 vom 31.3.2009, S. 1.</w:t>
      </w:r>
    </w:p>
  </w:footnote>
  <w:footnote w:id="3">
    <w:p>
      <w:pPr>
        <w:pStyle w:val="FootnoteText"/>
      </w:pPr>
      <w:r>
        <w:rPr>
          <w:rStyle w:val="FootnoteReference"/>
        </w:rPr>
        <w:footnoteRef/>
      </w:r>
      <w:r>
        <w:t xml:space="preserve"> </w:t>
      </w:r>
      <w:r>
        <w:tab/>
        <w:t>ABl. L 87 vom 31.3.2009, S. 42.</w:t>
      </w:r>
    </w:p>
  </w:footnote>
  <w:footnote w:id="4">
    <w:p>
      <w:pPr>
        <w:pStyle w:val="FootnoteText"/>
      </w:pPr>
      <w:r>
        <w:rPr>
          <w:rStyle w:val="FootnoteReference"/>
        </w:rPr>
        <w:footnoteRef/>
      </w:r>
      <w:r>
        <w:t xml:space="preserve"> </w:t>
      </w:r>
      <w:r>
        <w:tab/>
        <w:t>ABl. L 87 vom 31.3.2009, S. 70.</w:t>
      </w:r>
    </w:p>
  </w:footnote>
  <w:footnote w:id="5">
    <w:p>
      <w:pPr>
        <w:pStyle w:val="FootnoteText"/>
      </w:pPr>
      <w:r>
        <w:rPr>
          <w:rStyle w:val="FootnoteReference"/>
        </w:rPr>
        <w:footnoteRef/>
      </w:r>
      <w:r>
        <w:t xml:space="preserve"> </w:t>
      </w:r>
      <w:r>
        <w:tab/>
        <w:t>ABl. L 351 vom 21.12.2013.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7">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9">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1">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2">
    <w:nsid w:val="40930F61"/>
    <w:multiLevelType w:val="hybridMultilevel"/>
    <w:tmpl w:val="DD14C2FA"/>
    <w:name w:val="Annex"/>
    <w:lvl w:ilvl="0" w:tplc="3834758A">
      <w:start w:val="1"/>
      <w:numFmt w:val="upperRoman"/>
      <w:pStyle w:val="Annexheading"/>
      <w:lvlText w:val="ANNEX %1"/>
      <w:lvlJc w:val="left"/>
      <w:pPr>
        <w:tabs>
          <w:tab w:val="num" w:pos="360"/>
        </w:tabs>
        <w:ind w:left="36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4">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7">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8">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2"/>
  </w:num>
  <w:num w:numId="2">
    <w:abstractNumId w:val="2"/>
  </w:num>
  <w:num w:numId="3">
    <w:abstractNumId w:val="11"/>
  </w:num>
  <w:num w:numId="4">
    <w:abstractNumId w:val="6"/>
  </w:num>
  <w:num w:numId="5">
    <w:abstractNumId w:val="10"/>
  </w:num>
  <w:num w:numId="6">
    <w:abstractNumId w:val="17"/>
  </w:num>
  <w:num w:numId="7">
    <w:abstractNumId w:val="19"/>
  </w:num>
  <w:num w:numId="8">
    <w:abstractNumId w:val="1"/>
  </w:num>
  <w:num w:numId="9">
    <w:abstractNumId w:val="8"/>
  </w:num>
  <w:num w:numId="10">
    <w:abstractNumId w:val="16"/>
  </w:num>
  <w:num w:numId="11">
    <w:abstractNumId w:val="15"/>
  </w:num>
  <w:num w:numId="12">
    <w:abstractNumId w:val="13"/>
  </w:num>
  <w:num w:numId="13">
    <w:abstractNumId w:val="14"/>
  </w:num>
  <w:num w:numId="14">
    <w:abstractNumId w:val="5"/>
  </w:num>
  <w:num w:numId="15">
    <w:abstractNumId w:val="9"/>
  </w:num>
  <w:num w:numId="16">
    <w:abstractNumId w:val="3"/>
  </w:num>
  <w:num w:numId="17">
    <w:abstractNumId w:val="7"/>
  </w:num>
  <w:num w:numId="18">
    <w:abstractNumId w:val="20"/>
  </w:num>
  <w:num w:numId="19">
    <w:abstractNumId w:val="0"/>
  </w:num>
  <w:num w:numId="20">
    <w:abstractNumId w:val="4"/>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1C44DED-B409-400D-AD96-D582CA4A3E47"/>
    <w:docVar w:name="LW_COVERPAGE_TYPE" w:val="1"/>
    <w:docVar w:name="LW_CROSSREFERENCE" w:val="&lt;UNUSED&gt;"/>
    <w:docVar w:name="LW_DocType" w:val="NORMAL"/>
    <w:docVar w:name="LW_EMISSION" w:val="12.1.2018"/>
    <w:docVar w:name="LW_EMISSION_ISODATE" w:val="2018-01-12"/>
    <w:docVar w:name="LW_EMISSION_LOCATION" w:val="BRX"/>
    <w:docVar w:name="LW_EMISSION_PREFIX" w:val="Brüssel, den "/>
    <w:docVar w:name="LW_EMISSION_SUFFIX" w:val="&lt;EMPTY&gt;"/>
    <w:docVar w:name="LW_ID_DOCTYPE_NONLW" w:val="CP-006"/>
    <w:docVar w:name="LW_LANGUE" w:val="DE"/>
    <w:docVar w:name="LW_LEVEL_OF_SENSITIVITY" w:val="Standard treatment"/>
    <w:docVar w:name="LW_NOM.INST" w:val="EUROPÄISCHE KOMMISSION"/>
    <w:docVar w:name="LW_NOM.INST_JOINTDOC" w:val="&lt;EMPTY&gt;"/>
    <w:docVar w:name="LW_PART_NBR" w:val="1"/>
    <w:docVar w:name="LW_PART_NBR_TOTAL" w:val="1"/>
    <w:docVar w:name="LW_REF.INST.NEW" w:val="COM"/>
    <w:docVar w:name="LW_REF.INST.NEW_ADOPTED" w:val="final"/>
    <w:docVar w:name="LW_REF.INST.NEW_TEXT" w:val="(2018) 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über die Ausübung der Befugnis zum Erlass delegierter Rechtsakte, die der Kommission gemäß der Verordnung (EG) Nr. 216/2009 über die Vorlage von Fangstatistiken durch Mitgliedstaaten, die in bestimmten Gebieten außerhalb des Nordatlantiks Fischfang betreiben, der Verordnung (EG) Nr. 217/2009 über die Vorlage von Statistiken über die Fänge und die Fischereitätigkeit der Mitgliedstaaten, die im Nordwestatlantik Fischfang betreiben und der Verordnung (EG) Nr. 218/2009 über die Vorlage von Fangstatistiken durch die Mitgliedstaaten, die im Nordostatlantik Fischfang betreiben, übertragen wurde"/>
    <w:docVar w:name="LW_TYPE.DOC.CP" w:val="BERICHT DER KOMMISSION AN DAS EUROPÄISCHE PARLAMENT UND DEN RAT"/>
    <w:docVar w:name="Stamp" w:val="\\dossiers.dgt.cec.eu.int\dossiers\ESTAT\ESTAT-2017-10254\ESTAT-2017-10254-00-00-EN-REV-00.201710300954366584503.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de-DE" w:eastAsia="de-DE" w:bidi="de-D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uiPriority="0" w:qFormat="1"/>
    <w:lsdException w:name="table of figures" w:uiPriority="0"/>
    <w:lsdException w:name="envelope address" w:uiPriority="0"/>
    <w:lsdException w:name="envelope return"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after="0" w:line="240" w:lineRule="auto"/>
    </w:pPr>
    <w:rPr>
      <w:rFonts w:ascii="Times New Roman" w:hAnsi="Times New Roman" w:cs="Times New Roman"/>
      <w:sz w:val="20"/>
      <w:szCs w:val="20"/>
    </w:rPr>
  </w:style>
  <w:style w:type="paragraph" w:styleId="Heading1">
    <w:name w:val="heading 1"/>
    <w:basedOn w:val="Normal"/>
    <w:next w:val="Normal"/>
    <w:link w:val="Heading1Char"/>
    <w:uiPriority w:val="9"/>
    <w:qFormat/>
    <w:pPr>
      <w:keepNext/>
      <w:numPr>
        <w:numId w:val="20"/>
      </w:numPr>
      <w:spacing w:before="240"/>
      <w:outlineLvl w:val="0"/>
    </w:pPr>
    <w:rPr>
      <w:b/>
      <w:smallCaps/>
    </w:rPr>
  </w:style>
  <w:style w:type="paragraph" w:styleId="Heading2">
    <w:name w:val="heading 2"/>
    <w:basedOn w:val="Normal"/>
    <w:next w:val="Normal"/>
    <w:link w:val="Heading2Char"/>
    <w:uiPriority w:val="9"/>
    <w:qFormat/>
    <w:pPr>
      <w:keepNext/>
      <w:numPr>
        <w:ilvl w:val="1"/>
        <w:numId w:val="20"/>
      </w:numPr>
      <w:outlineLvl w:val="1"/>
    </w:pPr>
    <w:rPr>
      <w:b/>
    </w:rPr>
  </w:style>
  <w:style w:type="paragraph" w:styleId="Heading3">
    <w:name w:val="heading 3"/>
    <w:basedOn w:val="Normal"/>
    <w:next w:val="Normal"/>
    <w:link w:val="Heading3Char"/>
    <w:uiPriority w:val="9"/>
    <w:qFormat/>
    <w:pPr>
      <w:keepNext/>
      <w:numPr>
        <w:ilvl w:val="2"/>
        <w:numId w:val="20"/>
      </w:numPr>
      <w:outlineLvl w:val="2"/>
    </w:pPr>
    <w:rPr>
      <w:i/>
    </w:rPr>
  </w:style>
  <w:style w:type="paragraph" w:styleId="Heading4">
    <w:name w:val="heading 4"/>
    <w:basedOn w:val="Normal"/>
    <w:next w:val="Normal"/>
    <w:link w:val="Heading4Char"/>
    <w:uiPriority w:val="9"/>
    <w:qFormat/>
    <w:pPr>
      <w:keepNext/>
      <w:numPr>
        <w:ilvl w:val="3"/>
        <w:numId w:val="20"/>
      </w:numPr>
      <w:outlineLvl w:val="3"/>
    </w:pPr>
  </w:style>
  <w:style w:type="paragraph" w:styleId="Heading5">
    <w:name w:val="heading 5"/>
    <w:basedOn w:val="Normal"/>
    <w:next w:val="Normal"/>
    <w:link w:val="Heading5Char"/>
    <w:qFormat/>
    <w:pPr>
      <w:tabs>
        <w:tab w:val="num" w:pos="0"/>
      </w:tabs>
      <w:spacing w:before="240" w:after="60"/>
      <w:outlineLvl w:val="4"/>
    </w:pPr>
    <w:rPr>
      <w:rFonts w:ascii="Arial" w:hAnsi="Arial"/>
      <w:sz w:val="22"/>
    </w:rPr>
  </w:style>
  <w:style w:type="paragraph" w:styleId="Heading6">
    <w:name w:val="heading 6"/>
    <w:basedOn w:val="Normal"/>
    <w:next w:val="Normal"/>
    <w:link w:val="Heading6Char"/>
    <w:qFormat/>
    <w:pPr>
      <w:tabs>
        <w:tab w:val="num" w:pos="0"/>
      </w:tabs>
      <w:spacing w:before="240" w:after="60"/>
      <w:outlineLvl w:val="5"/>
    </w:pPr>
    <w:rPr>
      <w:rFonts w:ascii="Arial" w:hAnsi="Arial"/>
      <w:i/>
      <w:sz w:val="22"/>
    </w:rPr>
  </w:style>
  <w:style w:type="paragraph" w:styleId="Heading7">
    <w:name w:val="heading 7"/>
    <w:basedOn w:val="Normal"/>
    <w:next w:val="Normal"/>
    <w:link w:val="Heading7Char"/>
    <w:qFormat/>
    <w:pPr>
      <w:tabs>
        <w:tab w:val="num" w:pos="0"/>
      </w:tabs>
      <w:spacing w:before="240" w:after="60"/>
      <w:outlineLvl w:val="6"/>
    </w:pPr>
    <w:rPr>
      <w:rFonts w:ascii="Arial" w:hAnsi="Arial"/>
    </w:rPr>
  </w:style>
  <w:style w:type="paragraph" w:styleId="Heading8">
    <w:name w:val="heading 8"/>
    <w:basedOn w:val="Normal"/>
    <w:next w:val="Normal"/>
    <w:link w:val="Heading8Char"/>
    <w:qFormat/>
    <w:pPr>
      <w:tabs>
        <w:tab w:val="num" w:pos="0"/>
      </w:tabs>
      <w:spacing w:before="240" w:after="60"/>
      <w:outlineLvl w:val="7"/>
    </w:pPr>
    <w:rPr>
      <w:rFonts w:ascii="Arial" w:hAnsi="Arial"/>
      <w:i/>
    </w:rPr>
  </w:style>
  <w:style w:type="paragraph" w:styleId="Heading9">
    <w:name w:val="heading 9"/>
    <w:basedOn w:val="Normal"/>
    <w:next w:val="Normal"/>
    <w:link w:val="Heading9Char"/>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heading">
    <w:name w:val="Annex_heading"/>
    <w:basedOn w:val="Normal"/>
    <w:pPr>
      <w:pageBreakBefore/>
      <w:numPr>
        <w:numId w:val="1"/>
      </w:numPr>
      <w:spacing w:after="240"/>
      <w:jc w:val="both"/>
    </w:pPr>
    <w:rPr>
      <w:b/>
      <w:sz w:val="24"/>
    </w:rPr>
  </w:style>
  <w:style w:type="paragraph" w:customStyle="1" w:styleId="Address">
    <w:name w:val="Address"/>
    <w:basedOn w:val="Normal"/>
  </w:style>
  <w:style w:type="paragraph" w:customStyle="1" w:styleId="AddressTL">
    <w:name w:val="AddressTL"/>
    <w:basedOn w:val="Normal"/>
    <w:next w:val="Normal"/>
    <w:pPr>
      <w:spacing w:after="720"/>
    </w:pPr>
  </w:style>
  <w:style w:type="paragraph" w:customStyle="1" w:styleId="AddressTR">
    <w:name w:val="AddressTR"/>
    <w:basedOn w:val="Normal"/>
    <w:next w:val="Normal"/>
    <w:pPr>
      <w:spacing w:after="720"/>
      <w:ind w:left="5103"/>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Normal"/>
    <w:pPr>
      <w:keepNext/>
      <w:spacing w:after="480"/>
      <w:jc w:val="center"/>
    </w:pPr>
    <w:rPr>
      <w:b/>
      <w:sz w:val="32"/>
    </w:rPr>
  </w:style>
  <w:style w:type="paragraph" w:styleId="Closing">
    <w:name w:val="Closing"/>
    <w:basedOn w:val="Normal"/>
    <w:link w:val="ClosingChar"/>
    <w:pPr>
      <w:ind w:left="4252"/>
    </w:pPr>
  </w:style>
  <w:style w:type="character" w:customStyle="1" w:styleId="ClosingChar">
    <w:name w:val="Closing Char"/>
    <w:basedOn w:val="DefaultParagraphFont"/>
    <w:link w:val="Closing"/>
    <w:rPr>
      <w:rFonts w:ascii="Times New Roman" w:eastAsia="Times New Roman" w:hAnsi="Times New Roman" w:cs="Times New Roman"/>
      <w:sz w:val="24"/>
      <w:szCs w:val="20"/>
    </w:rPr>
  </w:style>
  <w:style w:type="paragraph" w:styleId="CommentText">
    <w:name w:val="annotation text"/>
    <w:basedOn w:val="Normal"/>
    <w:link w:val="CommentTextChar"/>
    <w:uiPriority w:val="99"/>
    <w:semiHidden/>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customStyle="1" w:styleId="ConfidentialUE">
    <w:name w:val="Confidential UE"/>
    <w:basedOn w:val="Normal"/>
    <w:pPr>
      <w:jc w:val="center"/>
    </w:pPr>
    <w:rPr>
      <w:b/>
      <w:caps/>
      <w:sz w:val="32"/>
      <w:bdr w:val="single" w:sz="18" w:space="0" w:color="auto"/>
    </w:rPr>
  </w:style>
  <w:style w:type="paragraph" w:customStyle="1" w:styleId="Contact">
    <w:name w:val="Contact"/>
    <w:basedOn w:val="Normal"/>
    <w:next w:val="Normal"/>
    <w:pPr>
      <w:spacing w:after="480"/>
      <w:ind w:left="567" w:hanging="567"/>
    </w:pPr>
  </w:style>
  <w:style w:type="paragraph" w:styleId="Date">
    <w:name w:val="Date"/>
    <w:basedOn w:val="Normal"/>
    <w:next w:val="Normal"/>
    <w:link w:val="DateChar"/>
    <w:pPr>
      <w:ind w:left="5103" w:right="-567"/>
    </w:pPr>
  </w:style>
  <w:style w:type="character" w:customStyle="1" w:styleId="DateChar">
    <w:name w:val="Date Char"/>
    <w:basedOn w:val="DefaultParagraphFont"/>
    <w:link w:val="Date"/>
    <w:rPr>
      <w:rFonts w:ascii="Times New Roman" w:eastAsia="Times New Roman" w:hAnsi="Times New Roman" w:cs="Times New Roman"/>
      <w:sz w:val="24"/>
      <w:szCs w:val="20"/>
    </w:rPr>
  </w:style>
  <w:style w:type="paragraph" w:customStyle="1" w:styleId="Designator">
    <w:name w:val="Designator"/>
    <w:basedOn w:val="Normal"/>
    <w:pPr>
      <w:jc w:val="center"/>
    </w:pPr>
    <w:rPr>
      <w:b/>
      <w:caps/>
      <w:sz w:val="32"/>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rPr>
  </w:style>
  <w:style w:type="paragraph" w:customStyle="1" w:styleId="DoubSign">
    <w:name w:val="DoubSign"/>
    <w:basedOn w:val="Normal"/>
    <w:next w:val="Normal"/>
    <w:pPr>
      <w:tabs>
        <w:tab w:val="left" w:pos="5103"/>
      </w:tabs>
      <w:spacing w:before="1200"/>
    </w:pPr>
  </w:style>
  <w:style w:type="paragraph" w:customStyle="1" w:styleId="Enclosures">
    <w:name w:val="Enclosures"/>
    <w:basedOn w:val="Normal"/>
    <w:pPr>
      <w:keepNext/>
      <w:keepLines/>
      <w:tabs>
        <w:tab w:val="left" w:pos="5642"/>
      </w:tabs>
      <w:spacing w:before="480"/>
      <w:ind w:left="1191" w:hanging="1191"/>
    </w:pPr>
  </w:style>
  <w:style w:type="paragraph" w:styleId="EndnoteText">
    <w:name w:val="endnote text"/>
    <w:basedOn w:val="Normal"/>
    <w:link w:val="EndnoteTextChar"/>
    <w:uiPriority w:val="99"/>
    <w:semiHidden/>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rPr>
  </w:style>
  <w:style w:type="paragraph" w:styleId="EnvelopeAddress">
    <w:name w:val="envelope address"/>
    <w:basedOn w:val="Normal"/>
    <w:pPr>
      <w:framePr w:w="7920" w:h="1980" w:hRule="exact" w:hSpace="180" w:wrap="auto" w:hAnchor="page" w:xAlign="center" w:yAlign="bottom"/>
    </w:pPr>
  </w:style>
  <w:style w:type="paragraph" w:styleId="EnvelopeReturn">
    <w:name w:val="envelope return"/>
    <w:basedOn w:val="Normal"/>
  </w:style>
  <w:style w:type="paragraph" w:styleId="Footer">
    <w:name w:val="footer"/>
    <w:basedOn w:val="Normal"/>
    <w:link w:val="FooterChar"/>
    <w:uiPriority w:val="99"/>
    <w:unhideWhenUsed/>
    <w:pPr>
      <w:tabs>
        <w:tab w:val="center" w:pos="4535"/>
        <w:tab w:val="right" w:pos="9071"/>
        <w:tab w:val="right" w:pos="9921"/>
      </w:tabs>
      <w:spacing w:before="360"/>
      <w:ind w:left="-850" w:right="-850"/>
    </w:pPr>
    <w:rPr>
      <w:rFonts w:eastAsiaTheme="minorHAnsi"/>
      <w:sz w:val="24"/>
      <w:szCs w:val="22"/>
    </w:rPr>
  </w:style>
  <w:style w:type="character" w:customStyle="1" w:styleId="FooterChar">
    <w:name w:val="Footer Char"/>
    <w:basedOn w:val="DefaultParagraphFont"/>
    <w:link w:val="Footer"/>
    <w:uiPriority w:val="99"/>
    <w:rPr>
      <w:rFonts w:ascii="Times New Roman" w:eastAsiaTheme="minorHAnsi" w:hAnsi="Times New Roman" w:cs="Times New Roman"/>
      <w:sz w:val="24"/>
    </w:rPr>
  </w:style>
  <w:style w:type="paragraph" w:styleId="FootnoteText">
    <w:name w:val="footnote text"/>
    <w:basedOn w:val="Normal"/>
    <w:uiPriority w:val="99"/>
    <w:pPr>
      <w:ind w:left="357" w:hanging="357"/>
    </w:pPr>
  </w:style>
  <w:style w:type="character" w:customStyle="1" w:styleId="FootnoteTextChar">
    <w:name w:val="Footnote Text Char"/>
    <w:basedOn w:val="DefaultParagraphFont"/>
    <w:uiPriority w:val="99"/>
    <w:rPr>
      <w:rFonts w:ascii="Times New Roman" w:eastAsia="Times New Roman" w:hAnsi="Times New Roman" w:cs="Times New Roman"/>
      <w:sz w:val="20"/>
      <w:szCs w:val="20"/>
    </w:rPr>
  </w:style>
  <w:style w:type="paragraph" w:styleId="Header">
    <w:name w:val="header"/>
    <w:basedOn w:val="Normal"/>
    <w:link w:val="HeaderChar"/>
    <w:uiPriority w:val="99"/>
    <w:unhideWhenUsed/>
    <w:pPr>
      <w:tabs>
        <w:tab w:val="center" w:pos="4535"/>
        <w:tab w:val="right" w:pos="9071"/>
      </w:tabs>
      <w:spacing w:after="120"/>
      <w:jc w:val="both"/>
    </w:pPr>
    <w:rPr>
      <w:rFonts w:eastAsiaTheme="minorHAnsi"/>
      <w:sz w:val="24"/>
      <w:szCs w:val="22"/>
    </w:rPr>
  </w:style>
  <w:style w:type="character" w:customStyle="1" w:styleId="HeaderChar">
    <w:name w:val="Header Char"/>
    <w:basedOn w:val="DefaultParagraphFont"/>
    <w:link w:val="Header"/>
    <w:uiPriority w:val="99"/>
    <w:rPr>
      <w:rFonts w:ascii="Times New Roman" w:eastAsiaTheme="minorHAnsi" w:hAnsi="Times New Roman" w:cs="Times New Roman"/>
      <w:sz w:val="24"/>
    </w:rPr>
  </w:style>
  <w:style w:type="character" w:customStyle="1" w:styleId="Heading1Char">
    <w:name w:val="Heading 1 Char"/>
    <w:basedOn w:val="DefaultParagraphFont"/>
    <w:link w:val="Heading1"/>
    <w:uiPriority w:val="9"/>
    <w:rPr>
      <w:rFonts w:ascii="Times New Roman" w:eastAsia="Times New Roman" w:hAnsi="Times New Roman" w:cs="Times New Roman"/>
      <w:b/>
      <w:smallCaps/>
      <w:sz w:val="20"/>
      <w:szCs w:val="20"/>
    </w:rPr>
  </w:style>
  <w:style w:type="character" w:customStyle="1" w:styleId="Heading2Char">
    <w:name w:val="Heading 2 Char"/>
    <w:basedOn w:val="DefaultParagraphFont"/>
    <w:link w:val="Heading2"/>
    <w:rPr>
      <w:rFonts w:ascii="Times New Roman" w:eastAsia="Times New Roman" w:hAnsi="Times New Roman" w:cs="Times New Roman"/>
      <w:b/>
      <w:sz w:val="20"/>
      <w:szCs w:val="20"/>
    </w:rPr>
  </w:style>
  <w:style w:type="character" w:customStyle="1" w:styleId="Heading3Char">
    <w:name w:val="Heading 3 Char"/>
    <w:basedOn w:val="DefaultParagraphFont"/>
    <w:link w:val="Heading3"/>
    <w:rPr>
      <w:rFonts w:ascii="Times New Roman" w:eastAsia="Times New Roman" w:hAnsi="Times New Roman" w:cs="Times New Roman"/>
      <w:i/>
      <w:sz w:val="20"/>
      <w:szCs w:val="20"/>
    </w:rPr>
  </w:style>
  <w:style w:type="character" w:customStyle="1" w:styleId="Heading4Char">
    <w:name w:val="Heading 4 Char"/>
    <w:basedOn w:val="DefaultParagraphFont"/>
    <w:link w:val="Heading4"/>
    <w:rPr>
      <w:rFonts w:ascii="Times New Roman" w:eastAsia="Times New Roman" w:hAnsi="Times New Roman" w:cs="Times New Roman"/>
      <w:sz w:val="20"/>
      <w:szCs w:val="20"/>
    </w:rPr>
  </w:style>
  <w:style w:type="character" w:customStyle="1" w:styleId="Heading5Char">
    <w:name w:val="Heading 5 Char"/>
    <w:basedOn w:val="DefaultParagraphFont"/>
    <w:link w:val="Heading5"/>
    <w:rPr>
      <w:rFonts w:ascii="Arial" w:eastAsia="Times New Roman" w:hAnsi="Arial" w:cs="Times New Roman"/>
      <w:szCs w:val="20"/>
    </w:rPr>
  </w:style>
  <w:style w:type="character" w:customStyle="1" w:styleId="Heading6Char">
    <w:name w:val="Heading 6 Char"/>
    <w:basedOn w:val="DefaultParagraphFont"/>
    <w:link w:val="Heading6"/>
    <w:rPr>
      <w:rFonts w:ascii="Arial" w:eastAsia="Times New Roman" w:hAnsi="Arial" w:cs="Times New Roman"/>
      <w:i/>
      <w:szCs w:val="20"/>
    </w:rPr>
  </w:style>
  <w:style w:type="character" w:customStyle="1" w:styleId="Heading7Char">
    <w:name w:val="Heading 7 Char"/>
    <w:basedOn w:val="DefaultParagraphFont"/>
    <w:link w:val="Heading7"/>
    <w:rPr>
      <w:rFonts w:ascii="Arial" w:eastAsia="Times New Roman" w:hAnsi="Arial" w:cs="Times New Roman"/>
      <w:sz w:val="20"/>
      <w:szCs w:val="20"/>
    </w:rPr>
  </w:style>
  <w:style w:type="character" w:customStyle="1" w:styleId="Heading8Char">
    <w:name w:val="Heading 8 Char"/>
    <w:basedOn w:val="DefaultParagraphFont"/>
    <w:link w:val="Heading8"/>
    <w:rPr>
      <w:rFonts w:ascii="Arial" w:eastAsia="Times New Roman" w:hAnsi="Arial" w:cs="Times New Roman"/>
      <w:i/>
      <w:sz w:val="20"/>
      <w:szCs w:val="20"/>
    </w:rPr>
  </w:style>
  <w:style w:type="character" w:customStyle="1" w:styleId="Heading9Char">
    <w:name w:val="Heading 9 Char"/>
    <w:basedOn w:val="DefaultParagraphFont"/>
    <w:link w:val="Heading9"/>
    <w:rPr>
      <w:rFonts w:ascii="Arial" w:eastAsia="Times New Roman" w:hAnsi="Arial" w:cs="Times New Roman"/>
      <w:i/>
      <w:sz w:val="18"/>
      <w:szCs w:val="20"/>
    </w:rPr>
  </w:style>
  <w:style w:type="character" w:styleId="Hyperlink">
    <w:name w:val="Hyperlink"/>
    <w:basedOn w:val="DefaultParagraphFont"/>
    <w:uiPriority w:val="99"/>
    <w:unhideWhenUsed/>
    <w:rPr>
      <w:color w:val="0000FF" w:themeColor="hyperlink"/>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customStyle="1" w:styleId="LegalNumPar">
    <w:name w:val="LegalNumPar"/>
    <w:basedOn w:val="Normal"/>
    <w:pPr>
      <w:numPr>
        <w:numId w:val="2"/>
      </w:numPr>
    </w:p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3"/>
      </w:numPr>
    </w:pPr>
  </w:style>
  <w:style w:type="paragraph" w:customStyle="1" w:styleId="Text1">
    <w:name w:val="Text 1"/>
    <w:basedOn w:val="Normal"/>
    <w:pPr>
      <w:ind w:left="482"/>
    </w:pPr>
  </w:style>
  <w:style w:type="paragraph" w:customStyle="1" w:styleId="ListBullet1">
    <w:name w:val="List Bullet 1"/>
    <w:basedOn w:val="Text1"/>
    <w:pPr>
      <w:numPr>
        <w:numId w:val="4"/>
      </w:numPr>
    </w:pPr>
  </w:style>
  <w:style w:type="paragraph" w:customStyle="1" w:styleId="Text2">
    <w:name w:val="Text 2"/>
    <w:basedOn w:val="Normal"/>
    <w:pPr>
      <w:tabs>
        <w:tab w:val="left" w:pos="2302"/>
      </w:tabs>
      <w:ind w:left="1202"/>
    </w:pPr>
  </w:style>
  <w:style w:type="paragraph" w:styleId="ListBullet2">
    <w:name w:val="List Bullet 2"/>
    <w:basedOn w:val="Text2"/>
    <w:pPr>
      <w:numPr>
        <w:numId w:val="5"/>
      </w:numPr>
      <w:tabs>
        <w:tab w:val="clear" w:pos="2302"/>
      </w:tabs>
    </w:pPr>
  </w:style>
  <w:style w:type="paragraph" w:customStyle="1" w:styleId="Text3">
    <w:name w:val="Text 3"/>
    <w:basedOn w:val="Normal"/>
    <w:pPr>
      <w:tabs>
        <w:tab w:val="left" w:pos="2302"/>
      </w:tabs>
      <w:ind w:left="1202"/>
    </w:pPr>
  </w:style>
  <w:style w:type="paragraph" w:styleId="ListBullet3">
    <w:name w:val="List Bullet 3"/>
    <w:basedOn w:val="Text3"/>
    <w:pPr>
      <w:numPr>
        <w:numId w:val="6"/>
      </w:numPr>
      <w:tabs>
        <w:tab w:val="clear" w:pos="2302"/>
      </w:tabs>
    </w:pPr>
  </w:style>
  <w:style w:type="paragraph" w:customStyle="1" w:styleId="Text4">
    <w:name w:val="Text 4"/>
    <w:basedOn w:val="Normal"/>
    <w:pPr>
      <w:tabs>
        <w:tab w:val="left" w:pos="2302"/>
      </w:tabs>
      <w:ind w:left="1202"/>
    </w:pPr>
  </w:style>
  <w:style w:type="paragraph" w:styleId="ListBullet4">
    <w:name w:val="List Bullet 4"/>
    <w:basedOn w:val="Text4"/>
    <w:pPr>
      <w:numPr>
        <w:numId w:val="7"/>
      </w:numPr>
      <w:tabs>
        <w:tab w:val="clear" w:pos="2302"/>
      </w:tabs>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styleId="ListNumber">
    <w:name w:val="List Number"/>
    <w:basedOn w:val="Normal"/>
    <w:pPr>
      <w:numPr>
        <w:numId w:val="14"/>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styleId="ListNumber2">
    <w:name w:val="List Number 2"/>
    <w:basedOn w:val="Text2"/>
    <w:pPr>
      <w:numPr>
        <w:numId w:val="16"/>
      </w:numPr>
      <w:tabs>
        <w:tab w:val="clear" w:pos="2302"/>
      </w:tabs>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styleId="ListNumber3">
    <w:name w:val="List Number 3"/>
    <w:basedOn w:val="Text3"/>
    <w:pPr>
      <w:numPr>
        <w:numId w:val="17"/>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styleId="ListNumber4">
    <w:name w:val="List Number 4"/>
    <w:basedOn w:val="Text4"/>
    <w:pPr>
      <w:numPr>
        <w:numId w:val="18"/>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ListNumber5">
    <w:name w:val="List Number 5"/>
    <w:basedOn w:val="Normal"/>
    <w:pPr>
      <w:numPr>
        <w:numId w:val="19"/>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rPr>
  </w:style>
  <w:style w:type="paragraph" w:customStyle="1" w:styleId="NoteHead">
    <w:name w:val="NoteHead"/>
    <w:basedOn w:val="Normal"/>
    <w:next w:val="Normal"/>
    <w:pPr>
      <w:spacing w:before="720" w:after="720"/>
      <w:jc w:val="center"/>
    </w:pPr>
    <w:rPr>
      <w:b/>
      <w:smallCaps/>
    </w:rPr>
  </w:style>
  <w:style w:type="paragraph" w:customStyle="1" w:styleId="NoteList">
    <w:name w:val="NoteList"/>
    <w:basedOn w:val="Normal"/>
    <w:next w:val="Normal"/>
    <w:pPr>
      <w:tabs>
        <w:tab w:val="left" w:pos="5823"/>
      </w:tabs>
      <w:spacing w:before="720" w:after="720"/>
      <w:ind w:left="5104" w:hanging="3119"/>
    </w:pPr>
    <w:rPr>
      <w:b/>
      <w:smallCaps/>
    </w:rPr>
  </w:style>
  <w:style w:type="paragraph" w:customStyle="1" w:styleId="NumPar1">
    <w:name w:val="NumPar 1"/>
    <w:basedOn w:val="Heading1"/>
    <w:next w:val="Text1"/>
    <w:pPr>
      <w:keepNext w:val="0"/>
      <w:numPr>
        <w:numId w:val="0"/>
      </w:numPr>
      <w:spacing w:before="0"/>
      <w:outlineLvl w:val="9"/>
    </w:pPr>
    <w:rPr>
      <w:b w:val="0"/>
      <w:smallCaps w:val="0"/>
    </w:rPr>
  </w:style>
  <w:style w:type="paragraph" w:customStyle="1" w:styleId="NumPar2">
    <w:name w:val="NumPar 2"/>
    <w:basedOn w:val="Heading2"/>
    <w:next w:val="Text2"/>
    <w:pPr>
      <w:keepNext w:val="0"/>
      <w:numPr>
        <w:ilvl w:val="0"/>
        <w:numId w:val="0"/>
      </w:numPr>
      <w:outlineLvl w:val="9"/>
    </w:pPr>
    <w:rPr>
      <w:b w:val="0"/>
    </w:rPr>
  </w:style>
  <w:style w:type="paragraph" w:customStyle="1" w:styleId="NumPar3">
    <w:name w:val="NumPar 3"/>
    <w:basedOn w:val="Heading3"/>
    <w:next w:val="Text3"/>
    <w:pPr>
      <w:keepNext w:val="0"/>
      <w:numPr>
        <w:ilvl w:val="0"/>
        <w:numId w:val="0"/>
      </w:numPr>
      <w:outlineLvl w:val="9"/>
    </w:pPr>
    <w:rPr>
      <w:i w:val="0"/>
    </w:rPr>
  </w:style>
  <w:style w:type="paragraph" w:customStyle="1" w:styleId="NumPar4">
    <w:name w:val="NumPar 4"/>
    <w:basedOn w:val="Heading4"/>
    <w:next w:val="Text4"/>
    <w:pPr>
      <w:keepNext w:val="0"/>
      <w:numPr>
        <w:ilvl w:val="0"/>
        <w:numId w:val="0"/>
      </w:numPr>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link w:val="PlainTextChar"/>
    <w:rPr>
      <w:rFonts w:ascii="Courier New" w:hAnsi="Courier New"/>
    </w:rPr>
  </w:style>
  <w:style w:type="character" w:customStyle="1" w:styleId="PlainTextChar">
    <w:name w:val="Plain Text Char"/>
    <w:basedOn w:val="DefaultParagraphFont"/>
    <w:link w:val="PlainText"/>
    <w:rPr>
      <w:rFonts w:ascii="Courier New" w:eastAsia="Times New Roman" w:hAnsi="Courier New" w:cs="Times New Roman"/>
      <w:sz w:val="20"/>
      <w:szCs w:val="20"/>
    </w:rPr>
  </w:style>
  <w:style w:type="paragraph" w:customStyle="1" w:styleId="References">
    <w:name w:val="References"/>
    <w:basedOn w:val="Normal"/>
    <w:next w:val="AddressTR"/>
    <w:pPr>
      <w:ind w:left="5103"/>
    </w:pPr>
  </w:style>
  <w:style w:type="paragraph" w:customStyle="1" w:styleId="Releasable">
    <w:name w:val="Releasable"/>
    <w:basedOn w:val="Normal"/>
    <w:qFormat/>
    <w:pPr>
      <w:jc w:val="center"/>
    </w:pPr>
    <w:rPr>
      <w:b/>
      <w:caps/>
      <w:sz w:val="32"/>
    </w:rPr>
  </w:style>
  <w:style w:type="paragraph" w:customStyle="1" w:styleId="RUE">
    <w:name w:val="RUE"/>
    <w:basedOn w:val="Normal"/>
    <w:pPr>
      <w:jc w:val="center"/>
    </w:pPr>
    <w:rPr>
      <w:b/>
      <w:caps/>
      <w:sz w:val="32"/>
      <w:bdr w:val="single" w:sz="18" w:space="0" w:color="auto"/>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rPr>
  </w:style>
  <w:style w:type="paragraph" w:customStyle="1" w:styleId="SecretUE">
    <w:name w:val="Secret UE"/>
    <w:basedOn w:val="Normal"/>
    <w:pPr>
      <w:jc w:val="center"/>
    </w:pPr>
    <w:rPr>
      <w:b/>
      <w:caps/>
      <w:color w:val="FF0000"/>
      <w:sz w:val="32"/>
      <w:bdr w:val="single" w:sz="18" w:space="0" w:color="FF0000"/>
    </w:rPr>
  </w:style>
  <w:style w:type="paragraph" w:customStyle="1" w:styleId="SectionTitle">
    <w:name w:val="SectionTitle"/>
    <w:basedOn w:val="Normal"/>
    <w:next w:val="Heading1"/>
    <w:pPr>
      <w:keepNext/>
      <w:spacing w:after="480"/>
      <w:jc w:val="center"/>
    </w:pPr>
    <w:rPr>
      <w:b/>
      <w:smallCaps/>
      <w:sz w:val="28"/>
    </w:rPr>
  </w:style>
  <w:style w:type="paragraph" w:styleId="Signature">
    <w:name w:val="Signature"/>
    <w:basedOn w:val="Normal"/>
    <w:next w:val="Enclosures"/>
    <w:link w:val="SignatureChar"/>
    <w:pPr>
      <w:tabs>
        <w:tab w:val="left" w:pos="5103"/>
      </w:tabs>
      <w:spacing w:before="1200"/>
      <w:ind w:left="5103"/>
      <w:jc w:val="center"/>
    </w:pPr>
  </w:style>
  <w:style w:type="character" w:customStyle="1" w:styleId="SignatureChar">
    <w:name w:val="Signature Char"/>
    <w:basedOn w:val="DefaultParagraphFont"/>
    <w:link w:val="Signature"/>
    <w:rPr>
      <w:rFonts w:ascii="Times New Roman" w:eastAsia="Times New Roman" w:hAnsi="Times New Roman" w:cs="Times New Roman"/>
      <w:sz w:val="24"/>
      <w:szCs w:val="20"/>
    </w:rPr>
  </w:style>
  <w:style w:type="paragraph" w:customStyle="1" w:styleId="Subject">
    <w:name w:val="Subject"/>
    <w:basedOn w:val="Normal"/>
    <w:next w:val="Normal"/>
    <w:pPr>
      <w:spacing w:after="480"/>
      <w:ind w:left="1531" w:hanging="1531"/>
    </w:pPr>
    <w:rPr>
      <w:b/>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rPr>
  </w:style>
  <w:style w:type="paragraph" w:customStyle="1" w:styleId="SubTitle1">
    <w:name w:val="SubTitle 1"/>
    <w:basedOn w:val="Normal"/>
    <w:next w:val="Normal"/>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qFormat/>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OCHeading">
    <w:name w:val="TOC Heading"/>
    <w:basedOn w:val="Normal"/>
    <w:next w:val="Normal"/>
    <w:qFormat/>
    <w:pPr>
      <w:keepNext/>
      <w:spacing w:before="240"/>
      <w:jc w:val="center"/>
    </w:pPr>
    <w:rPr>
      <w:b/>
    </w:rPr>
  </w:style>
  <w:style w:type="paragraph" w:customStyle="1" w:styleId="TrsSecretUE">
    <w:name w:val="Très Secret UE"/>
    <w:basedOn w:val="Normal"/>
    <w:pPr>
      <w:jc w:val="center"/>
    </w:pPr>
    <w:rPr>
      <w:b/>
      <w:caps/>
      <w:color w:val="FF0000"/>
      <w:sz w:val="32"/>
      <w:bdr w:val="single" w:sz="18" w:space="0" w:color="FF0000"/>
    </w:rPr>
  </w:style>
  <w:style w:type="paragraph" w:customStyle="1" w:styleId="YReferences">
    <w:name w:val="YReferences"/>
    <w:basedOn w:val="Normal"/>
    <w:next w:val="Normal"/>
    <w:pPr>
      <w:spacing w:after="480"/>
      <w:ind w:left="1531" w:hanging="1531"/>
    </w:pPr>
  </w:style>
  <w:style w:type="paragraph" w:customStyle="1" w:styleId="ZCom">
    <w:name w:val="Z_Com"/>
    <w:basedOn w:val="Normal"/>
    <w:next w:val="Normal"/>
    <w:uiPriority w:val="99"/>
    <w:pPr>
      <w:widowControl w:val="0"/>
      <w:autoSpaceDE w:val="0"/>
      <w:autoSpaceDN w:val="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ind w:right="85"/>
    </w:pPr>
    <w:rPr>
      <w:rFonts w:ascii="Arial" w:eastAsiaTheme="minorEastAsia" w:hAnsi="Arial" w:cs="Arial"/>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sz w:val="24"/>
    </w:rPr>
  </w:style>
  <w:style w:type="character" w:customStyle="1" w:styleId="FooterCoverPageChar">
    <w:name w:val="Footer Cover Page Char"/>
    <w:basedOn w:val="DefaultParagraphFont"/>
    <w:link w:val="FooterCoverPage"/>
    <w:rPr>
      <w:rFonts w:ascii="Times New Roman" w:hAnsi="Times New Roman" w:cs="Times New Roman"/>
      <w:sz w:val="24"/>
      <w:szCs w:val="20"/>
    </w:rPr>
  </w:style>
  <w:style w:type="paragraph" w:customStyle="1" w:styleId="HeaderCoverPage">
    <w:name w:val="Header Cover Page"/>
    <w:basedOn w:val="Normal"/>
    <w:link w:val="HeaderCoverPageChar"/>
    <w:pPr>
      <w:tabs>
        <w:tab w:val="center" w:pos="4535"/>
        <w:tab w:val="right" w:pos="9071"/>
      </w:tabs>
      <w:spacing w:after="120"/>
      <w:jc w:val="both"/>
    </w:pPr>
    <w:rPr>
      <w:sz w:val="24"/>
    </w:rPr>
  </w:style>
  <w:style w:type="character" w:customStyle="1" w:styleId="HeaderCoverPageChar">
    <w:name w:val="Header Cover Page Char"/>
    <w:basedOn w:val="DefaultParagraphFont"/>
    <w:link w:val="HeaderCoverPage"/>
    <w:rPr>
      <w:rFonts w:ascii="Times New Roman" w:hAnsi="Times New Roman" w:cs="Times New Roman"/>
      <w:sz w:val="24"/>
      <w:szCs w:val="20"/>
    </w:rPr>
  </w:style>
  <w:style w:type="character" w:styleId="FootnoteReference">
    <w:name w:val="footnote reference"/>
    <w:uiPriority w:val="99"/>
    <w:unhideWhenUsed/>
    <w:rPr>
      <w:shd w:val="clear" w:color="auto" w:fill="auto"/>
      <w:vertAlign w:val="superscript"/>
    </w:rPr>
  </w:style>
  <w:style w:type="paragraph" w:customStyle="1" w:styleId="Declassification">
    <w:name w:val="Declassification"/>
    <w:basedOn w:val="Normal"/>
    <w:next w:val="Normal"/>
    <w:pPr>
      <w:jc w:val="both"/>
    </w:pPr>
    <w:rPr>
      <w:rFonts w:eastAsiaTheme="minorHAnsi"/>
      <w:sz w:val="24"/>
      <w:szCs w:val="22"/>
    </w:rPr>
  </w:style>
  <w:style w:type="paragraph" w:customStyle="1" w:styleId="HeaderLandscape">
    <w:name w:val="HeaderLandscape"/>
    <w:basedOn w:val="Normal"/>
    <w:pPr>
      <w:tabs>
        <w:tab w:val="center" w:pos="7285"/>
        <w:tab w:val="right" w:pos="14003"/>
      </w:tabs>
      <w:spacing w:after="120"/>
      <w:jc w:val="both"/>
    </w:pPr>
    <w:rPr>
      <w:rFonts w:eastAsiaTheme="minorHAnsi"/>
      <w:sz w:val="24"/>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ind w:left="-567" w:right="-567"/>
    </w:pPr>
    <w:rPr>
      <w:rFonts w:eastAsiaTheme="minorHAnsi"/>
      <w:sz w:val="24"/>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hAnsi="Times New Roman" w:cs="Times New Roman"/>
      <w:sz w:val="20"/>
      <w:szCs w:val="20"/>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de-DE" w:eastAsia="de-DE" w:bidi="de-D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uiPriority="0" w:qFormat="1"/>
    <w:lsdException w:name="table of figures" w:uiPriority="0"/>
    <w:lsdException w:name="envelope address" w:uiPriority="0"/>
    <w:lsdException w:name="envelope return"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after="0" w:line="240" w:lineRule="auto"/>
    </w:pPr>
    <w:rPr>
      <w:rFonts w:ascii="Times New Roman" w:hAnsi="Times New Roman" w:cs="Times New Roman"/>
      <w:sz w:val="20"/>
      <w:szCs w:val="20"/>
    </w:rPr>
  </w:style>
  <w:style w:type="paragraph" w:styleId="Heading1">
    <w:name w:val="heading 1"/>
    <w:basedOn w:val="Normal"/>
    <w:next w:val="Normal"/>
    <w:link w:val="Heading1Char"/>
    <w:uiPriority w:val="9"/>
    <w:qFormat/>
    <w:pPr>
      <w:keepNext/>
      <w:numPr>
        <w:numId w:val="20"/>
      </w:numPr>
      <w:spacing w:before="240"/>
      <w:outlineLvl w:val="0"/>
    </w:pPr>
    <w:rPr>
      <w:b/>
      <w:smallCaps/>
    </w:rPr>
  </w:style>
  <w:style w:type="paragraph" w:styleId="Heading2">
    <w:name w:val="heading 2"/>
    <w:basedOn w:val="Normal"/>
    <w:next w:val="Normal"/>
    <w:link w:val="Heading2Char"/>
    <w:uiPriority w:val="9"/>
    <w:qFormat/>
    <w:pPr>
      <w:keepNext/>
      <w:numPr>
        <w:ilvl w:val="1"/>
        <w:numId w:val="20"/>
      </w:numPr>
      <w:outlineLvl w:val="1"/>
    </w:pPr>
    <w:rPr>
      <w:b/>
    </w:rPr>
  </w:style>
  <w:style w:type="paragraph" w:styleId="Heading3">
    <w:name w:val="heading 3"/>
    <w:basedOn w:val="Normal"/>
    <w:next w:val="Normal"/>
    <w:link w:val="Heading3Char"/>
    <w:uiPriority w:val="9"/>
    <w:qFormat/>
    <w:pPr>
      <w:keepNext/>
      <w:numPr>
        <w:ilvl w:val="2"/>
        <w:numId w:val="20"/>
      </w:numPr>
      <w:outlineLvl w:val="2"/>
    </w:pPr>
    <w:rPr>
      <w:i/>
    </w:rPr>
  </w:style>
  <w:style w:type="paragraph" w:styleId="Heading4">
    <w:name w:val="heading 4"/>
    <w:basedOn w:val="Normal"/>
    <w:next w:val="Normal"/>
    <w:link w:val="Heading4Char"/>
    <w:uiPriority w:val="9"/>
    <w:qFormat/>
    <w:pPr>
      <w:keepNext/>
      <w:numPr>
        <w:ilvl w:val="3"/>
        <w:numId w:val="20"/>
      </w:numPr>
      <w:outlineLvl w:val="3"/>
    </w:pPr>
  </w:style>
  <w:style w:type="paragraph" w:styleId="Heading5">
    <w:name w:val="heading 5"/>
    <w:basedOn w:val="Normal"/>
    <w:next w:val="Normal"/>
    <w:link w:val="Heading5Char"/>
    <w:qFormat/>
    <w:pPr>
      <w:tabs>
        <w:tab w:val="num" w:pos="0"/>
      </w:tabs>
      <w:spacing w:before="240" w:after="60"/>
      <w:outlineLvl w:val="4"/>
    </w:pPr>
    <w:rPr>
      <w:rFonts w:ascii="Arial" w:hAnsi="Arial"/>
      <w:sz w:val="22"/>
    </w:rPr>
  </w:style>
  <w:style w:type="paragraph" w:styleId="Heading6">
    <w:name w:val="heading 6"/>
    <w:basedOn w:val="Normal"/>
    <w:next w:val="Normal"/>
    <w:link w:val="Heading6Char"/>
    <w:qFormat/>
    <w:pPr>
      <w:tabs>
        <w:tab w:val="num" w:pos="0"/>
      </w:tabs>
      <w:spacing w:before="240" w:after="60"/>
      <w:outlineLvl w:val="5"/>
    </w:pPr>
    <w:rPr>
      <w:rFonts w:ascii="Arial" w:hAnsi="Arial"/>
      <w:i/>
      <w:sz w:val="22"/>
    </w:rPr>
  </w:style>
  <w:style w:type="paragraph" w:styleId="Heading7">
    <w:name w:val="heading 7"/>
    <w:basedOn w:val="Normal"/>
    <w:next w:val="Normal"/>
    <w:link w:val="Heading7Char"/>
    <w:qFormat/>
    <w:pPr>
      <w:tabs>
        <w:tab w:val="num" w:pos="0"/>
      </w:tabs>
      <w:spacing w:before="240" w:after="60"/>
      <w:outlineLvl w:val="6"/>
    </w:pPr>
    <w:rPr>
      <w:rFonts w:ascii="Arial" w:hAnsi="Arial"/>
    </w:rPr>
  </w:style>
  <w:style w:type="paragraph" w:styleId="Heading8">
    <w:name w:val="heading 8"/>
    <w:basedOn w:val="Normal"/>
    <w:next w:val="Normal"/>
    <w:link w:val="Heading8Char"/>
    <w:qFormat/>
    <w:pPr>
      <w:tabs>
        <w:tab w:val="num" w:pos="0"/>
      </w:tabs>
      <w:spacing w:before="240" w:after="60"/>
      <w:outlineLvl w:val="7"/>
    </w:pPr>
    <w:rPr>
      <w:rFonts w:ascii="Arial" w:hAnsi="Arial"/>
      <w:i/>
    </w:rPr>
  </w:style>
  <w:style w:type="paragraph" w:styleId="Heading9">
    <w:name w:val="heading 9"/>
    <w:basedOn w:val="Normal"/>
    <w:next w:val="Normal"/>
    <w:link w:val="Heading9Char"/>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heading">
    <w:name w:val="Annex_heading"/>
    <w:basedOn w:val="Normal"/>
    <w:pPr>
      <w:pageBreakBefore/>
      <w:numPr>
        <w:numId w:val="1"/>
      </w:numPr>
      <w:spacing w:after="240"/>
      <w:jc w:val="both"/>
    </w:pPr>
    <w:rPr>
      <w:b/>
      <w:sz w:val="24"/>
    </w:rPr>
  </w:style>
  <w:style w:type="paragraph" w:customStyle="1" w:styleId="Address">
    <w:name w:val="Address"/>
    <w:basedOn w:val="Normal"/>
  </w:style>
  <w:style w:type="paragraph" w:customStyle="1" w:styleId="AddressTL">
    <w:name w:val="AddressTL"/>
    <w:basedOn w:val="Normal"/>
    <w:next w:val="Normal"/>
    <w:pPr>
      <w:spacing w:after="720"/>
    </w:pPr>
  </w:style>
  <w:style w:type="paragraph" w:customStyle="1" w:styleId="AddressTR">
    <w:name w:val="AddressTR"/>
    <w:basedOn w:val="Normal"/>
    <w:next w:val="Normal"/>
    <w:pPr>
      <w:spacing w:after="720"/>
      <w:ind w:left="5103"/>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Normal"/>
    <w:pPr>
      <w:keepNext/>
      <w:spacing w:after="480"/>
      <w:jc w:val="center"/>
    </w:pPr>
    <w:rPr>
      <w:b/>
      <w:sz w:val="32"/>
    </w:rPr>
  </w:style>
  <w:style w:type="paragraph" w:styleId="Closing">
    <w:name w:val="Closing"/>
    <w:basedOn w:val="Normal"/>
    <w:link w:val="ClosingChar"/>
    <w:pPr>
      <w:ind w:left="4252"/>
    </w:pPr>
  </w:style>
  <w:style w:type="character" w:customStyle="1" w:styleId="ClosingChar">
    <w:name w:val="Closing Char"/>
    <w:basedOn w:val="DefaultParagraphFont"/>
    <w:link w:val="Closing"/>
    <w:rPr>
      <w:rFonts w:ascii="Times New Roman" w:eastAsia="Times New Roman" w:hAnsi="Times New Roman" w:cs="Times New Roman"/>
      <w:sz w:val="24"/>
      <w:szCs w:val="20"/>
    </w:rPr>
  </w:style>
  <w:style w:type="paragraph" w:styleId="CommentText">
    <w:name w:val="annotation text"/>
    <w:basedOn w:val="Normal"/>
    <w:link w:val="CommentTextChar"/>
    <w:uiPriority w:val="99"/>
    <w:semiHidden/>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customStyle="1" w:styleId="ConfidentialUE">
    <w:name w:val="Confidential UE"/>
    <w:basedOn w:val="Normal"/>
    <w:pPr>
      <w:jc w:val="center"/>
    </w:pPr>
    <w:rPr>
      <w:b/>
      <w:caps/>
      <w:sz w:val="32"/>
      <w:bdr w:val="single" w:sz="18" w:space="0" w:color="auto"/>
    </w:rPr>
  </w:style>
  <w:style w:type="paragraph" w:customStyle="1" w:styleId="Contact">
    <w:name w:val="Contact"/>
    <w:basedOn w:val="Normal"/>
    <w:next w:val="Normal"/>
    <w:pPr>
      <w:spacing w:after="480"/>
      <w:ind w:left="567" w:hanging="567"/>
    </w:pPr>
  </w:style>
  <w:style w:type="paragraph" w:styleId="Date">
    <w:name w:val="Date"/>
    <w:basedOn w:val="Normal"/>
    <w:next w:val="Normal"/>
    <w:link w:val="DateChar"/>
    <w:pPr>
      <w:ind w:left="5103" w:right="-567"/>
    </w:pPr>
  </w:style>
  <w:style w:type="character" w:customStyle="1" w:styleId="DateChar">
    <w:name w:val="Date Char"/>
    <w:basedOn w:val="DefaultParagraphFont"/>
    <w:link w:val="Date"/>
    <w:rPr>
      <w:rFonts w:ascii="Times New Roman" w:eastAsia="Times New Roman" w:hAnsi="Times New Roman" w:cs="Times New Roman"/>
      <w:sz w:val="24"/>
      <w:szCs w:val="20"/>
    </w:rPr>
  </w:style>
  <w:style w:type="paragraph" w:customStyle="1" w:styleId="Designator">
    <w:name w:val="Designator"/>
    <w:basedOn w:val="Normal"/>
    <w:pPr>
      <w:jc w:val="center"/>
    </w:pPr>
    <w:rPr>
      <w:b/>
      <w:caps/>
      <w:sz w:val="32"/>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rPr>
  </w:style>
  <w:style w:type="paragraph" w:customStyle="1" w:styleId="DoubSign">
    <w:name w:val="DoubSign"/>
    <w:basedOn w:val="Normal"/>
    <w:next w:val="Normal"/>
    <w:pPr>
      <w:tabs>
        <w:tab w:val="left" w:pos="5103"/>
      </w:tabs>
      <w:spacing w:before="1200"/>
    </w:pPr>
  </w:style>
  <w:style w:type="paragraph" w:customStyle="1" w:styleId="Enclosures">
    <w:name w:val="Enclosures"/>
    <w:basedOn w:val="Normal"/>
    <w:pPr>
      <w:keepNext/>
      <w:keepLines/>
      <w:tabs>
        <w:tab w:val="left" w:pos="5642"/>
      </w:tabs>
      <w:spacing w:before="480"/>
      <w:ind w:left="1191" w:hanging="1191"/>
    </w:pPr>
  </w:style>
  <w:style w:type="paragraph" w:styleId="EndnoteText">
    <w:name w:val="endnote text"/>
    <w:basedOn w:val="Normal"/>
    <w:link w:val="EndnoteTextChar"/>
    <w:uiPriority w:val="99"/>
    <w:semiHidden/>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rPr>
  </w:style>
  <w:style w:type="paragraph" w:styleId="EnvelopeAddress">
    <w:name w:val="envelope address"/>
    <w:basedOn w:val="Normal"/>
    <w:pPr>
      <w:framePr w:w="7920" w:h="1980" w:hRule="exact" w:hSpace="180" w:wrap="auto" w:hAnchor="page" w:xAlign="center" w:yAlign="bottom"/>
    </w:pPr>
  </w:style>
  <w:style w:type="paragraph" w:styleId="EnvelopeReturn">
    <w:name w:val="envelope return"/>
    <w:basedOn w:val="Normal"/>
  </w:style>
  <w:style w:type="paragraph" w:styleId="Footer">
    <w:name w:val="footer"/>
    <w:basedOn w:val="Normal"/>
    <w:link w:val="FooterChar"/>
    <w:uiPriority w:val="99"/>
    <w:unhideWhenUsed/>
    <w:pPr>
      <w:tabs>
        <w:tab w:val="center" w:pos="4535"/>
        <w:tab w:val="right" w:pos="9071"/>
        <w:tab w:val="right" w:pos="9921"/>
      </w:tabs>
      <w:spacing w:before="360"/>
      <w:ind w:left="-850" w:right="-850"/>
    </w:pPr>
    <w:rPr>
      <w:rFonts w:eastAsiaTheme="minorHAnsi"/>
      <w:sz w:val="24"/>
      <w:szCs w:val="22"/>
    </w:rPr>
  </w:style>
  <w:style w:type="character" w:customStyle="1" w:styleId="FooterChar">
    <w:name w:val="Footer Char"/>
    <w:basedOn w:val="DefaultParagraphFont"/>
    <w:link w:val="Footer"/>
    <w:uiPriority w:val="99"/>
    <w:rPr>
      <w:rFonts w:ascii="Times New Roman" w:eastAsiaTheme="minorHAnsi" w:hAnsi="Times New Roman" w:cs="Times New Roman"/>
      <w:sz w:val="24"/>
    </w:rPr>
  </w:style>
  <w:style w:type="paragraph" w:styleId="FootnoteText">
    <w:name w:val="footnote text"/>
    <w:basedOn w:val="Normal"/>
    <w:uiPriority w:val="99"/>
    <w:pPr>
      <w:ind w:left="357" w:hanging="357"/>
    </w:pPr>
  </w:style>
  <w:style w:type="character" w:customStyle="1" w:styleId="FootnoteTextChar">
    <w:name w:val="Footnote Text Char"/>
    <w:basedOn w:val="DefaultParagraphFont"/>
    <w:uiPriority w:val="99"/>
    <w:rPr>
      <w:rFonts w:ascii="Times New Roman" w:eastAsia="Times New Roman" w:hAnsi="Times New Roman" w:cs="Times New Roman"/>
      <w:sz w:val="20"/>
      <w:szCs w:val="20"/>
    </w:rPr>
  </w:style>
  <w:style w:type="paragraph" w:styleId="Header">
    <w:name w:val="header"/>
    <w:basedOn w:val="Normal"/>
    <w:link w:val="HeaderChar"/>
    <w:uiPriority w:val="99"/>
    <w:unhideWhenUsed/>
    <w:pPr>
      <w:tabs>
        <w:tab w:val="center" w:pos="4535"/>
        <w:tab w:val="right" w:pos="9071"/>
      </w:tabs>
      <w:spacing w:after="120"/>
      <w:jc w:val="both"/>
    </w:pPr>
    <w:rPr>
      <w:rFonts w:eastAsiaTheme="minorHAnsi"/>
      <w:sz w:val="24"/>
      <w:szCs w:val="22"/>
    </w:rPr>
  </w:style>
  <w:style w:type="character" w:customStyle="1" w:styleId="HeaderChar">
    <w:name w:val="Header Char"/>
    <w:basedOn w:val="DefaultParagraphFont"/>
    <w:link w:val="Header"/>
    <w:uiPriority w:val="99"/>
    <w:rPr>
      <w:rFonts w:ascii="Times New Roman" w:eastAsiaTheme="minorHAnsi" w:hAnsi="Times New Roman" w:cs="Times New Roman"/>
      <w:sz w:val="24"/>
    </w:rPr>
  </w:style>
  <w:style w:type="character" w:customStyle="1" w:styleId="Heading1Char">
    <w:name w:val="Heading 1 Char"/>
    <w:basedOn w:val="DefaultParagraphFont"/>
    <w:link w:val="Heading1"/>
    <w:uiPriority w:val="9"/>
    <w:rPr>
      <w:rFonts w:ascii="Times New Roman" w:eastAsia="Times New Roman" w:hAnsi="Times New Roman" w:cs="Times New Roman"/>
      <w:b/>
      <w:smallCaps/>
      <w:sz w:val="20"/>
      <w:szCs w:val="20"/>
    </w:rPr>
  </w:style>
  <w:style w:type="character" w:customStyle="1" w:styleId="Heading2Char">
    <w:name w:val="Heading 2 Char"/>
    <w:basedOn w:val="DefaultParagraphFont"/>
    <w:link w:val="Heading2"/>
    <w:rPr>
      <w:rFonts w:ascii="Times New Roman" w:eastAsia="Times New Roman" w:hAnsi="Times New Roman" w:cs="Times New Roman"/>
      <w:b/>
      <w:sz w:val="20"/>
      <w:szCs w:val="20"/>
    </w:rPr>
  </w:style>
  <w:style w:type="character" w:customStyle="1" w:styleId="Heading3Char">
    <w:name w:val="Heading 3 Char"/>
    <w:basedOn w:val="DefaultParagraphFont"/>
    <w:link w:val="Heading3"/>
    <w:rPr>
      <w:rFonts w:ascii="Times New Roman" w:eastAsia="Times New Roman" w:hAnsi="Times New Roman" w:cs="Times New Roman"/>
      <w:i/>
      <w:sz w:val="20"/>
      <w:szCs w:val="20"/>
    </w:rPr>
  </w:style>
  <w:style w:type="character" w:customStyle="1" w:styleId="Heading4Char">
    <w:name w:val="Heading 4 Char"/>
    <w:basedOn w:val="DefaultParagraphFont"/>
    <w:link w:val="Heading4"/>
    <w:rPr>
      <w:rFonts w:ascii="Times New Roman" w:eastAsia="Times New Roman" w:hAnsi="Times New Roman" w:cs="Times New Roman"/>
      <w:sz w:val="20"/>
      <w:szCs w:val="20"/>
    </w:rPr>
  </w:style>
  <w:style w:type="character" w:customStyle="1" w:styleId="Heading5Char">
    <w:name w:val="Heading 5 Char"/>
    <w:basedOn w:val="DefaultParagraphFont"/>
    <w:link w:val="Heading5"/>
    <w:rPr>
      <w:rFonts w:ascii="Arial" w:eastAsia="Times New Roman" w:hAnsi="Arial" w:cs="Times New Roman"/>
      <w:szCs w:val="20"/>
    </w:rPr>
  </w:style>
  <w:style w:type="character" w:customStyle="1" w:styleId="Heading6Char">
    <w:name w:val="Heading 6 Char"/>
    <w:basedOn w:val="DefaultParagraphFont"/>
    <w:link w:val="Heading6"/>
    <w:rPr>
      <w:rFonts w:ascii="Arial" w:eastAsia="Times New Roman" w:hAnsi="Arial" w:cs="Times New Roman"/>
      <w:i/>
      <w:szCs w:val="20"/>
    </w:rPr>
  </w:style>
  <w:style w:type="character" w:customStyle="1" w:styleId="Heading7Char">
    <w:name w:val="Heading 7 Char"/>
    <w:basedOn w:val="DefaultParagraphFont"/>
    <w:link w:val="Heading7"/>
    <w:rPr>
      <w:rFonts w:ascii="Arial" w:eastAsia="Times New Roman" w:hAnsi="Arial" w:cs="Times New Roman"/>
      <w:sz w:val="20"/>
      <w:szCs w:val="20"/>
    </w:rPr>
  </w:style>
  <w:style w:type="character" w:customStyle="1" w:styleId="Heading8Char">
    <w:name w:val="Heading 8 Char"/>
    <w:basedOn w:val="DefaultParagraphFont"/>
    <w:link w:val="Heading8"/>
    <w:rPr>
      <w:rFonts w:ascii="Arial" w:eastAsia="Times New Roman" w:hAnsi="Arial" w:cs="Times New Roman"/>
      <w:i/>
      <w:sz w:val="20"/>
      <w:szCs w:val="20"/>
    </w:rPr>
  </w:style>
  <w:style w:type="character" w:customStyle="1" w:styleId="Heading9Char">
    <w:name w:val="Heading 9 Char"/>
    <w:basedOn w:val="DefaultParagraphFont"/>
    <w:link w:val="Heading9"/>
    <w:rPr>
      <w:rFonts w:ascii="Arial" w:eastAsia="Times New Roman" w:hAnsi="Arial" w:cs="Times New Roman"/>
      <w:i/>
      <w:sz w:val="18"/>
      <w:szCs w:val="20"/>
    </w:rPr>
  </w:style>
  <w:style w:type="character" w:styleId="Hyperlink">
    <w:name w:val="Hyperlink"/>
    <w:basedOn w:val="DefaultParagraphFont"/>
    <w:uiPriority w:val="99"/>
    <w:unhideWhenUsed/>
    <w:rPr>
      <w:color w:val="0000FF" w:themeColor="hyperlink"/>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customStyle="1" w:styleId="LegalNumPar">
    <w:name w:val="LegalNumPar"/>
    <w:basedOn w:val="Normal"/>
    <w:pPr>
      <w:numPr>
        <w:numId w:val="2"/>
      </w:numPr>
    </w:p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3"/>
      </w:numPr>
    </w:pPr>
  </w:style>
  <w:style w:type="paragraph" w:customStyle="1" w:styleId="Text1">
    <w:name w:val="Text 1"/>
    <w:basedOn w:val="Normal"/>
    <w:pPr>
      <w:ind w:left="482"/>
    </w:pPr>
  </w:style>
  <w:style w:type="paragraph" w:customStyle="1" w:styleId="ListBullet1">
    <w:name w:val="List Bullet 1"/>
    <w:basedOn w:val="Text1"/>
    <w:pPr>
      <w:numPr>
        <w:numId w:val="4"/>
      </w:numPr>
    </w:pPr>
  </w:style>
  <w:style w:type="paragraph" w:customStyle="1" w:styleId="Text2">
    <w:name w:val="Text 2"/>
    <w:basedOn w:val="Normal"/>
    <w:pPr>
      <w:tabs>
        <w:tab w:val="left" w:pos="2302"/>
      </w:tabs>
      <w:ind w:left="1202"/>
    </w:pPr>
  </w:style>
  <w:style w:type="paragraph" w:styleId="ListBullet2">
    <w:name w:val="List Bullet 2"/>
    <w:basedOn w:val="Text2"/>
    <w:pPr>
      <w:numPr>
        <w:numId w:val="5"/>
      </w:numPr>
      <w:tabs>
        <w:tab w:val="clear" w:pos="2302"/>
      </w:tabs>
    </w:pPr>
  </w:style>
  <w:style w:type="paragraph" w:customStyle="1" w:styleId="Text3">
    <w:name w:val="Text 3"/>
    <w:basedOn w:val="Normal"/>
    <w:pPr>
      <w:tabs>
        <w:tab w:val="left" w:pos="2302"/>
      </w:tabs>
      <w:ind w:left="1202"/>
    </w:pPr>
  </w:style>
  <w:style w:type="paragraph" w:styleId="ListBullet3">
    <w:name w:val="List Bullet 3"/>
    <w:basedOn w:val="Text3"/>
    <w:pPr>
      <w:numPr>
        <w:numId w:val="6"/>
      </w:numPr>
      <w:tabs>
        <w:tab w:val="clear" w:pos="2302"/>
      </w:tabs>
    </w:pPr>
  </w:style>
  <w:style w:type="paragraph" w:customStyle="1" w:styleId="Text4">
    <w:name w:val="Text 4"/>
    <w:basedOn w:val="Normal"/>
    <w:pPr>
      <w:tabs>
        <w:tab w:val="left" w:pos="2302"/>
      </w:tabs>
      <w:ind w:left="1202"/>
    </w:pPr>
  </w:style>
  <w:style w:type="paragraph" w:styleId="ListBullet4">
    <w:name w:val="List Bullet 4"/>
    <w:basedOn w:val="Text4"/>
    <w:pPr>
      <w:numPr>
        <w:numId w:val="7"/>
      </w:numPr>
      <w:tabs>
        <w:tab w:val="clear" w:pos="2302"/>
      </w:tabs>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styleId="ListNumber">
    <w:name w:val="List Number"/>
    <w:basedOn w:val="Normal"/>
    <w:pPr>
      <w:numPr>
        <w:numId w:val="14"/>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styleId="ListNumber2">
    <w:name w:val="List Number 2"/>
    <w:basedOn w:val="Text2"/>
    <w:pPr>
      <w:numPr>
        <w:numId w:val="16"/>
      </w:numPr>
      <w:tabs>
        <w:tab w:val="clear" w:pos="2302"/>
      </w:tabs>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styleId="ListNumber3">
    <w:name w:val="List Number 3"/>
    <w:basedOn w:val="Text3"/>
    <w:pPr>
      <w:numPr>
        <w:numId w:val="17"/>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styleId="ListNumber4">
    <w:name w:val="List Number 4"/>
    <w:basedOn w:val="Text4"/>
    <w:pPr>
      <w:numPr>
        <w:numId w:val="18"/>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ListNumber5">
    <w:name w:val="List Number 5"/>
    <w:basedOn w:val="Normal"/>
    <w:pPr>
      <w:numPr>
        <w:numId w:val="19"/>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rPr>
  </w:style>
  <w:style w:type="paragraph" w:customStyle="1" w:styleId="NoteHead">
    <w:name w:val="NoteHead"/>
    <w:basedOn w:val="Normal"/>
    <w:next w:val="Normal"/>
    <w:pPr>
      <w:spacing w:before="720" w:after="720"/>
      <w:jc w:val="center"/>
    </w:pPr>
    <w:rPr>
      <w:b/>
      <w:smallCaps/>
    </w:rPr>
  </w:style>
  <w:style w:type="paragraph" w:customStyle="1" w:styleId="NoteList">
    <w:name w:val="NoteList"/>
    <w:basedOn w:val="Normal"/>
    <w:next w:val="Normal"/>
    <w:pPr>
      <w:tabs>
        <w:tab w:val="left" w:pos="5823"/>
      </w:tabs>
      <w:spacing w:before="720" w:after="720"/>
      <w:ind w:left="5104" w:hanging="3119"/>
    </w:pPr>
    <w:rPr>
      <w:b/>
      <w:smallCaps/>
    </w:rPr>
  </w:style>
  <w:style w:type="paragraph" w:customStyle="1" w:styleId="NumPar1">
    <w:name w:val="NumPar 1"/>
    <w:basedOn w:val="Heading1"/>
    <w:next w:val="Text1"/>
    <w:pPr>
      <w:keepNext w:val="0"/>
      <w:numPr>
        <w:numId w:val="0"/>
      </w:numPr>
      <w:spacing w:before="0"/>
      <w:outlineLvl w:val="9"/>
    </w:pPr>
    <w:rPr>
      <w:b w:val="0"/>
      <w:smallCaps w:val="0"/>
    </w:rPr>
  </w:style>
  <w:style w:type="paragraph" w:customStyle="1" w:styleId="NumPar2">
    <w:name w:val="NumPar 2"/>
    <w:basedOn w:val="Heading2"/>
    <w:next w:val="Text2"/>
    <w:pPr>
      <w:keepNext w:val="0"/>
      <w:numPr>
        <w:ilvl w:val="0"/>
        <w:numId w:val="0"/>
      </w:numPr>
      <w:outlineLvl w:val="9"/>
    </w:pPr>
    <w:rPr>
      <w:b w:val="0"/>
    </w:rPr>
  </w:style>
  <w:style w:type="paragraph" w:customStyle="1" w:styleId="NumPar3">
    <w:name w:val="NumPar 3"/>
    <w:basedOn w:val="Heading3"/>
    <w:next w:val="Text3"/>
    <w:pPr>
      <w:keepNext w:val="0"/>
      <w:numPr>
        <w:ilvl w:val="0"/>
        <w:numId w:val="0"/>
      </w:numPr>
      <w:outlineLvl w:val="9"/>
    </w:pPr>
    <w:rPr>
      <w:i w:val="0"/>
    </w:rPr>
  </w:style>
  <w:style w:type="paragraph" w:customStyle="1" w:styleId="NumPar4">
    <w:name w:val="NumPar 4"/>
    <w:basedOn w:val="Heading4"/>
    <w:next w:val="Text4"/>
    <w:pPr>
      <w:keepNext w:val="0"/>
      <w:numPr>
        <w:ilvl w:val="0"/>
        <w:numId w:val="0"/>
      </w:numPr>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link w:val="PlainTextChar"/>
    <w:rPr>
      <w:rFonts w:ascii="Courier New" w:hAnsi="Courier New"/>
    </w:rPr>
  </w:style>
  <w:style w:type="character" w:customStyle="1" w:styleId="PlainTextChar">
    <w:name w:val="Plain Text Char"/>
    <w:basedOn w:val="DefaultParagraphFont"/>
    <w:link w:val="PlainText"/>
    <w:rPr>
      <w:rFonts w:ascii="Courier New" w:eastAsia="Times New Roman" w:hAnsi="Courier New" w:cs="Times New Roman"/>
      <w:sz w:val="20"/>
      <w:szCs w:val="20"/>
    </w:rPr>
  </w:style>
  <w:style w:type="paragraph" w:customStyle="1" w:styleId="References">
    <w:name w:val="References"/>
    <w:basedOn w:val="Normal"/>
    <w:next w:val="AddressTR"/>
    <w:pPr>
      <w:ind w:left="5103"/>
    </w:pPr>
  </w:style>
  <w:style w:type="paragraph" w:customStyle="1" w:styleId="Releasable">
    <w:name w:val="Releasable"/>
    <w:basedOn w:val="Normal"/>
    <w:qFormat/>
    <w:pPr>
      <w:jc w:val="center"/>
    </w:pPr>
    <w:rPr>
      <w:b/>
      <w:caps/>
      <w:sz w:val="32"/>
    </w:rPr>
  </w:style>
  <w:style w:type="paragraph" w:customStyle="1" w:styleId="RUE">
    <w:name w:val="RUE"/>
    <w:basedOn w:val="Normal"/>
    <w:pPr>
      <w:jc w:val="center"/>
    </w:pPr>
    <w:rPr>
      <w:b/>
      <w:caps/>
      <w:sz w:val="32"/>
      <w:bdr w:val="single" w:sz="18" w:space="0" w:color="auto"/>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rPr>
  </w:style>
  <w:style w:type="paragraph" w:customStyle="1" w:styleId="SecretUE">
    <w:name w:val="Secret UE"/>
    <w:basedOn w:val="Normal"/>
    <w:pPr>
      <w:jc w:val="center"/>
    </w:pPr>
    <w:rPr>
      <w:b/>
      <w:caps/>
      <w:color w:val="FF0000"/>
      <w:sz w:val="32"/>
      <w:bdr w:val="single" w:sz="18" w:space="0" w:color="FF0000"/>
    </w:rPr>
  </w:style>
  <w:style w:type="paragraph" w:customStyle="1" w:styleId="SectionTitle">
    <w:name w:val="SectionTitle"/>
    <w:basedOn w:val="Normal"/>
    <w:next w:val="Heading1"/>
    <w:pPr>
      <w:keepNext/>
      <w:spacing w:after="480"/>
      <w:jc w:val="center"/>
    </w:pPr>
    <w:rPr>
      <w:b/>
      <w:smallCaps/>
      <w:sz w:val="28"/>
    </w:rPr>
  </w:style>
  <w:style w:type="paragraph" w:styleId="Signature">
    <w:name w:val="Signature"/>
    <w:basedOn w:val="Normal"/>
    <w:next w:val="Enclosures"/>
    <w:link w:val="SignatureChar"/>
    <w:pPr>
      <w:tabs>
        <w:tab w:val="left" w:pos="5103"/>
      </w:tabs>
      <w:spacing w:before="1200"/>
      <w:ind w:left="5103"/>
      <w:jc w:val="center"/>
    </w:pPr>
  </w:style>
  <w:style w:type="character" w:customStyle="1" w:styleId="SignatureChar">
    <w:name w:val="Signature Char"/>
    <w:basedOn w:val="DefaultParagraphFont"/>
    <w:link w:val="Signature"/>
    <w:rPr>
      <w:rFonts w:ascii="Times New Roman" w:eastAsia="Times New Roman" w:hAnsi="Times New Roman" w:cs="Times New Roman"/>
      <w:sz w:val="24"/>
      <w:szCs w:val="20"/>
    </w:rPr>
  </w:style>
  <w:style w:type="paragraph" w:customStyle="1" w:styleId="Subject">
    <w:name w:val="Subject"/>
    <w:basedOn w:val="Normal"/>
    <w:next w:val="Normal"/>
    <w:pPr>
      <w:spacing w:after="480"/>
      <w:ind w:left="1531" w:hanging="1531"/>
    </w:pPr>
    <w:rPr>
      <w:b/>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rPr>
  </w:style>
  <w:style w:type="paragraph" w:customStyle="1" w:styleId="SubTitle1">
    <w:name w:val="SubTitle 1"/>
    <w:basedOn w:val="Normal"/>
    <w:next w:val="Normal"/>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qFormat/>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OCHeading">
    <w:name w:val="TOC Heading"/>
    <w:basedOn w:val="Normal"/>
    <w:next w:val="Normal"/>
    <w:qFormat/>
    <w:pPr>
      <w:keepNext/>
      <w:spacing w:before="240"/>
      <w:jc w:val="center"/>
    </w:pPr>
    <w:rPr>
      <w:b/>
    </w:rPr>
  </w:style>
  <w:style w:type="paragraph" w:customStyle="1" w:styleId="TrsSecretUE">
    <w:name w:val="Très Secret UE"/>
    <w:basedOn w:val="Normal"/>
    <w:pPr>
      <w:jc w:val="center"/>
    </w:pPr>
    <w:rPr>
      <w:b/>
      <w:caps/>
      <w:color w:val="FF0000"/>
      <w:sz w:val="32"/>
      <w:bdr w:val="single" w:sz="18" w:space="0" w:color="FF0000"/>
    </w:rPr>
  </w:style>
  <w:style w:type="paragraph" w:customStyle="1" w:styleId="YReferences">
    <w:name w:val="YReferences"/>
    <w:basedOn w:val="Normal"/>
    <w:next w:val="Normal"/>
    <w:pPr>
      <w:spacing w:after="480"/>
      <w:ind w:left="1531" w:hanging="1531"/>
    </w:pPr>
  </w:style>
  <w:style w:type="paragraph" w:customStyle="1" w:styleId="ZCom">
    <w:name w:val="Z_Com"/>
    <w:basedOn w:val="Normal"/>
    <w:next w:val="Normal"/>
    <w:uiPriority w:val="99"/>
    <w:pPr>
      <w:widowControl w:val="0"/>
      <w:autoSpaceDE w:val="0"/>
      <w:autoSpaceDN w:val="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ind w:right="85"/>
    </w:pPr>
    <w:rPr>
      <w:rFonts w:ascii="Arial" w:eastAsiaTheme="minorEastAsia" w:hAnsi="Arial" w:cs="Arial"/>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sz w:val="24"/>
    </w:rPr>
  </w:style>
  <w:style w:type="character" w:customStyle="1" w:styleId="FooterCoverPageChar">
    <w:name w:val="Footer Cover Page Char"/>
    <w:basedOn w:val="DefaultParagraphFont"/>
    <w:link w:val="FooterCoverPage"/>
    <w:rPr>
      <w:rFonts w:ascii="Times New Roman" w:hAnsi="Times New Roman" w:cs="Times New Roman"/>
      <w:sz w:val="24"/>
      <w:szCs w:val="20"/>
    </w:rPr>
  </w:style>
  <w:style w:type="paragraph" w:customStyle="1" w:styleId="HeaderCoverPage">
    <w:name w:val="Header Cover Page"/>
    <w:basedOn w:val="Normal"/>
    <w:link w:val="HeaderCoverPageChar"/>
    <w:pPr>
      <w:tabs>
        <w:tab w:val="center" w:pos="4535"/>
        <w:tab w:val="right" w:pos="9071"/>
      </w:tabs>
      <w:spacing w:after="120"/>
      <w:jc w:val="both"/>
    </w:pPr>
    <w:rPr>
      <w:sz w:val="24"/>
    </w:rPr>
  </w:style>
  <w:style w:type="character" w:customStyle="1" w:styleId="HeaderCoverPageChar">
    <w:name w:val="Header Cover Page Char"/>
    <w:basedOn w:val="DefaultParagraphFont"/>
    <w:link w:val="HeaderCoverPage"/>
    <w:rPr>
      <w:rFonts w:ascii="Times New Roman" w:hAnsi="Times New Roman" w:cs="Times New Roman"/>
      <w:sz w:val="24"/>
      <w:szCs w:val="20"/>
    </w:rPr>
  </w:style>
  <w:style w:type="character" w:styleId="FootnoteReference">
    <w:name w:val="footnote reference"/>
    <w:uiPriority w:val="99"/>
    <w:unhideWhenUsed/>
    <w:rPr>
      <w:shd w:val="clear" w:color="auto" w:fill="auto"/>
      <w:vertAlign w:val="superscript"/>
    </w:rPr>
  </w:style>
  <w:style w:type="paragraph" w:customStyle="1" w:styleId="Declassification">
    <w:name w:val="Declassification"/>
    <w:basedOn w:val="Normal"/>
    <w:next w:val="Normal"/>
    <w:pPr>
      <w:jc w:val="both"/>
    </w:pPr>
    <w:rPr>
      <w:rFonts w:eastAsiaTheme="minorHAnsi"/>
      <w:sz w:val="24"/>
      <w:szCs w:val="22"/>
    </w:rPr>
  </w:style>
  <w:style w:type="paragraph" w:customStyle="1" w:styleId="HeaderLandscape">
    <w:name w:val="HeaderLandscape"/>
    <w:basedOn w:val="Normal"/>
    <w:pPr>
      <w:tabs>
        <w:tab w:val="center" w:pos="7285"/>
        <w:tab w:val="right" w:pos="14003"/>
      </w:tabs>
      <w:spacing w:after="120"/>
      <w:jc w:val="both"/>
    </w:pPr>
    <w:rPr>
      <w:rFonts w:eastAsiaTheme="minorHAnsi"/>
      <w:sz w:val="24"/>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ind w:left="-567" w:right="-567"/>
    </w:pPr>
    <w:rPr>
      <w:rFonts w:eastAsiaTheme="minorHAnsi"/>
      <w:sz w:val="24"/>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hAnsi="Times New Roman" w:cs="Times New Roman"/>
      <w:sz w:val="20"/>
      <w:szCs w:val="20"/>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8B875-434D-41ED-A895-45E357B5C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556</Words>
  <Characters>3420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17</cp:revision>
  <cp:lastPrinted>2017-07-19T06:07:00Z</cp:lastPrinted>
  <dcterms:created xsi:type="dcterms:W3CDTF">2017-11-20T14:33:00Z</dcterms:created>
  <dcterms:modified xsi:type="dcterms:W3CDTF">2018-01-05T09:27:00Z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name="OP_sanitized" fmtid="{D5CDD505-2E9C-101B-9397-08002B2CF9AE}" pid="6">
    <vt:lpwstr>True</vt:lpwstr>
  </property>
</Properties>
</file>