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083017F1-BE6B-481F-B4D9-E1D85A698B29" style="width:450.8pt;height:351.9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p>
    <w:p>
      <w:pPr>
        <w:rPr>
          <w:noProof/>
        </w:rPr>
      </w:pPr>
    </w:p>
    <w:p>
      <w:pPr>
        <w:pStyle w:val="Statut"/>
        <w:rPr>
          <w:noProof/>
        </w:rPr>
      </w:pPr>
      <w:r>
        <w:rPr>
          <w:noProof/>
        </w:rPr>
        <w:t>Empfehlung für eine</w:t>
      </w:r>
    </w:p>
    <w:p>
      <w:pPr>
        <w:pStyle w:val="Typedudocument"/>
        <w:rPr>
          <w:noProof/>
        </w:rPr>
      </w:pPr>
      <w:r>
        <w:rPr>
          <w:noProof/>
        </w:rPr>
        <w:t>EMPFEHLUNG DES RATES</w:t>
      </w:r>
    </w:p>
    <w:p>
      <w:pPr>
        <w:pStyle w:val="Titreobjet"/>
        <w:rPr>
          <w:noProof/>
        </w:rPr>
      </w:pPr>
      <w:r>
        <w:rPr>
          <w:noProof/>
        </w:rPr>
        <w:t>im Hinblick auf die Behebung der festgestellten erheblichen Abweichung vom Anpassungspfad in Richtung auf das mittelfristige Haushaltsziel in Rumänien</w:t>
      </w:r>
    </w:p>
    <w:p>
      <w:pPr>
        <w:pStyle w:val="Institutionquiagit"/>
        <w:rPr>
          <w:noProof/>
        </w:rPr>
      </w:pPr>
      <w:r>
        <w:rPr>
          <w:noProof/>
        </w:rPr>
        <w:t>DER RAT DER EUROPÄISCHEN UNION —</w:t>
      </w:r>
    </w:p>
    <w:p>
      <w:pPr>
        <w:rPr>
          <w:noProof/>
        </w:rPr>
      </w:pPr>
      <w:r>
        <w:rPr>
          <w:noProof/>
        </w:rPr>
        <w:t>gestützt auf den Vertrag über die Arbeitsweise der Europäischen Union, insbesondere auf Artikel 121 Absatz 4,</w:t>
      </w:r>
    </w:p>
    <w:p>
      <w:pPr>
        <w:rPr>
          <w:noProof/>
        </w:rPr>
      </w:pPr>
      <w:r>
        <w:rPr>
          <w:noProof/>
        </w:rPr>
        <w:t>gestützt auf die Verordnung (EG) Nr. 1466/97 des Rates vom 7. Juli 1997 über den Ausbau der haushaltspolitischen Überwachung und der Überwachung und Koordinierung der Wirtschaftspolitiken</w:t>
      </w:r>
      <w:r>
        <w:rPr>
          <w:rStyle w:val="FootnoteReference"/>
          <w:noProof/>
        </w:rPr>
        <w:footnoteReference w:id="2"/>
      </w:r>
      <w:r>
        <w:rPr>
          <w:noProof/>
        </w:rPr>
        <w:t>, insbesondere auf Artikel 10 Absatz 2 Unterabsatz 2,</w:t>
      </w:r>
    </w:p>
    <w:p>
      <w:pPr>
        <w:tabs>
          <w:tab w:val="num" w:pos="709"/>
        </w:tabs>
        <w:rPr>
          <w:noProof/>
        </w:rPr>
      </w:pPr>
      <w:r>
        <w:rPr>
          <w:noProof/>
        </w:rPr>
        <w:t>auf Empfehlung der Kommission,</w:t>
      </w:r>
    </w:p>
    <w:p>
      <w:pPr>
        <w:tabs>
          <w:tab w:val="num" w:pos="709"/>
        </w:tabs>
        <w:rPr>
          <w:noProof/>
        </w:rPr>
      </w:pPr>
      <w:r>
        <w:rPr>
          <w:noProof/>
        </w:rPr>
        <w:t>in Erwägung nachstehender Gründe:</w:t>
      </w:r>
    </w:p>
    <w:p>
      <w:pPr>
        <w:pStyle w:val="ManualConsidrant"/>
        <w:rPr>
          <w:noProof/>
        </w:rPr>
      </w:pPr>
      <w:r>
        <w:t>(1)</w:t>
      </w:r>
      <w:r>
        <w:tab/>
      </w:r>
      <w:r>
        <w:rPr>
          <w:noProof/>
        </w:rPr>
        <w:t>Am 16. Juni 2017 stellte der Rat im Einklang mit Artikel 121 Absatz 4 des Vertrags über die Arbeitsweise der Europäischen Union (im Folgenden „AEUV“) fest, dass in Rumänien eine erhebliche Abweichung vom Anpassungspfad in Richtung auf das mittelfristige Haushaltsziel vorlag, und gab eine Empfehlung an das Land ab, die erforderlichen Maßnahmen zu ergreifen, um sicherzustellen, dass die nominale Wachstumsrate der gesamtstaatlichen Nettoprimärausgaben</w:t>
      </w:r>
      <w:r>
        <w:rPr>
          <w:rStyle w:val="FootnoteReference"/>
          <w:noProof/>
        </w:rPr>
        <w:footnoteReference w:id="3"/>
      </w:r>
      <w:r>
        <w:rPr>
          <w:noProof/>
        </w:rPr>
        <w:t xml:space="preserve"> im Jahr 2017 3,3 % nicht überschreitet, was einer jährlichen strukturellen Anpassung von 0,5 % des BIP</w:t>
      </w:r>
      <w:r>
        <w:rPr>
          <w:rStyle w:val="FootnoteReference"/>
          <w:noProof/>
        </w:rPr>
        <w:footnoteReference w:id="4"/>
      </w:r>
      <w:r>
        <w:rPr>
          <w:noProof/>
        </w:rPr>
        <w:t xml:space="preserve"> entspricht. Rumänien wurde empfohlen, sämtliche unerwarteten Einnahmen zum Defizitabbau zu nutzen, während Haushaltskonsolidierungsmaßnahmen eine dauerhafte und wachstumsfreundliche Verbesserung des gesamtstaatlichen strukturellen Saldos gewährleisten sollten. Der Rat setzte Rumänien eine Frist bis zum 15. Oktober 2017, einen Bericht über die aufgrund dieser Empfehlung getroffenen Maßnahmen vorzulegen.</w:t>
      </w:r>
    </w:p>
    <w:p>
      <w:pPr>
        <w:pStyle w:val="ManualConsidrant"/>
        <w:rPr>
          <w:noProof/>
        </w:rPr>
      </w:pPr>
      <w:r>
        <w:t>(2)</w:t>
      </w:r>
      <w:r>
        <w:tab/>
      </w:r>
      <w:r>
        <w:rPr>
          <w:noProof/>
        </w:rPr>
        <w:t xml:space="preserve">Am 11. Juli 2017 empfahl der Rat Rumänien, im Jahr 2017 die Befolgung der Empfehlung des Rates vom 16. Juni 2017 im Hinblick auf die Behebung der erheblichen Abweichung vom Anpassungspfad in Richtung auf das mittelfristige </w:t>
      </w:r>
      <w:r>
        <w:rPr>
          <w:noProof/>
        </w:rPr>
        <w:lastRenderedPageBreak/>
        <w:t>Haushaltsziel zu gewährleisten.</w:t>
      </w:r>
      <w:r>
        <w:rPr>
          <w:rStyle w:val="FootnoteReference"/>
          <w:noProof/>
        </w:rPr>
        <w:footnoteReference w:id="5"/>
      </w:r>
      <w:r>
        <w:rPr>
          <w:noProof/>
        </w:rPr>
        <w:t xml:space="preserve"> Für 2018 wurde Rumänien empfohlen, im Einklang mit den Anforderungen der präventiven Komponente des Stabilitäts- und Wachstumspakts erhebliche Konsolidierungsanstrengungen vorzunehmen, um eine weitere Anpassung in Richtung auf das mittelfristige Haushaltsziel eines strukturellen Defizits von 1 % des BIP zu erreichen. Gemäß der gemeinsam vereinbarten Anpassungsmatrix nach dem Stabilitäts- und Wachstumspakt erfordert eine solche Anpassung, dass die nominale Wachstumsrate der gesamtstaatlichen Nettoprimärausgaben im Jahr 2018 4,3 % nicht überschreitet. Dies entspräche einer strukturellen Anpassung von 0,5 % des BIP. </w:t>
      </w:r>
    </w:p>
    <w:p>
      <w:pPr>
        <w:pStyle w:val="ManualConsidrant"/>
        <w:rPr>
          <w:noProof/>
        </w:rPr>
      </w:pPr>
      <w:r>
        <w:t>(3)</w:t>
      </w:r>
      <w:r>
        <w:tab/>
      </w:r>
      <w:r>
        <w:rPr>
          <w:noProof/>
        </w:rPr>
        <w:t>Am 26. und 27. September 2017 führte die Kommission eine Mission verstärkter Überwachung vor Ort in Rumänien gemäß Artikel 11 Absatz 2 der Verordnung (EG) Nr. 1466/97 des Rates durch. Die Kommission übermittelte dem Rat am 24. Oktober 2017 einen Bericht hierüber, den sie veröffentlichte, nachdem sie den rumänischen Behörden ihre vorläufigen Feststellungen mitgeteilt hatte.</w:t>
      </w:r>
    </w:p>
    <w:p>
      <w:pPr>
        <w:pStyle w:val="ManualConsidrant"/>
        <w:rPr>
          <w:noProof/>
        </w:rPr>
      </w:pPr>
      <w:r>
        <w:t>(4)</w:t>
      </w:r>
      <w:r>
        <w:tab/>
      </w:r>
      <w:r>
        <w:rPr>
          <w:noProof/>
        </w:rPr>
        <w:t xml:space="preserve">Am 13. Oktober 2017 legten die rumänischen Behörden den Bericht über wirksame Maßnahmen infolge der Empfehlung des Rates vom 16. Juni 2017 vor. In Anbetracht der von den rumänischen Behörden in ihrem Bericht über die ergriffenen Maßnahmen vorgelegten Informationen sowie der Gesamtbewertung auf der Grundlage der Herbstprognose 2017 zog der Rat am [XX] den Schluss, dass Rumänien im Anschluss an die Empfehlung des Rates vom 16. Juni 2017 keine wirksamen Maßnahmen getroffen hat. </w:t>
      </w:r>
    </w:p>
    <w:p>
      <w:pPr>
        <w:pStyle w:val="ManualConsidrant"/>
        <w:rPr>
          <w:noProof/>
        </w:rPr>
      </w:pPr>
      <w:r>
        <w:t>(5)</w:t>
      </w:r>
      <w:r>
        <w:tab/>
      </w:r>
      <w:r>
        <w:rPr>
          <w:noProof/>
        </w:rPr>
        <w:t xml:space="preserve">Rumänien verfolgt bei starkem Wirtschaftswachstum und einer positiven Produktionslücke eine prozyklische Finanzpolitik. Der strukturelle Haushaltssaldo Rumäniens im Jahr 2017 wird Schätzungen zufolge um 2,3 % des BIP vom mittelfristigen Haushaltsziel des Landes abweichen. Deshalb und da Rumänien keine wirksamen Maßnahmen getroffen hat, ist es angebracht, an diesen Mitgliedstaat eine geänderte Empfehlung gemäß Artikel 121 Absatz 4 AEUV zu richten, in der geeignete Maßnahmen aufgezeigt werden. </w:t>
      </w:r>
    </w:p>
    <w:p>
      <w:pPr>
        <w:pStyle w:val="ManualConsidrant"/>
        <w:rPr>
          <w:noProof/>
        </w:rPr>
      </w:pPr>
      <w:r>
        <w:t>(6)</w:t>
      </w:r>
      <w:r>
        <w:tab/>
      </w:r>
      <w:r>
        <w:rPr>
          <w:noProof/>
        </w:rPr>
        <w:t>Auf der Grundlage der Erwartungen im Hinblick auf die Produktionslücke in der Herbstprognose 2017 der Kommission befindet sich Rumänien 2017 und 2018 in einer normalen wirtschaftlichen Lage. Rumäniens gesamtstaatlicher Schuldenstand liegt unter der Schwelle von 60 % des BIP. Die mindestens erforderliche strukturelle Anstrengung nach Maßgabe der Verordnung (EG) Nr. 1466/97 und der gemeinsam vereinbarten Anpassungsmatrix nach dem Stabilitäts- und Wachstumspakt, in der die jeweiligen wirtschaftlichen Umstände und etwaige Tragfähigkeitserwägungen berücksichtigt werden, beläuft sich auf 0,5 % des BIP.</w:t>
      </w:r>
    </w:p>
    <w:p>
      <w:pPr>
        <w:pStyle w:val="ManualConsidrant"/>
        <w:rPr>
          <w:noProof/>
        </w:rPr>
      </w:pPr>
      <w:r>
        <w:t>(7)</w:t>
      </w:r>
      <w:r>
        <w:tab/>
      </w:r>
      <w:r>
        <w:rPr>
          <w:noProof/>
        </w:rPr>
        <w:t>Das strukturelle Defizit Rumäniens steigt der Prognose der Kommission zufolge 2017 um 1,1 % des BIP; der Rat hingegen hat am 16. Juni 2017 einen strukturellen Rückgang von mindestens 0,5 % des BIP empfohlen. Darüber hinaus bleibt Rumänien der Herbstprognose 2017 der Kommission zufolge im Jahr 2017 beim im Vertrag festgelegten Referenzwert von 3 % des BIP für das Defizit; für 2018 wird dann ein deutlich höheres Defizit erwartet.</w:t>
      </w:r>
    </w:p>
    <w:p>
      <w:pPr>
        <w:pStyle w:val="ManualConsidrant"/>
        <w:rPr>
          <w:noProof/>
        </w:rPr>
      </w:pPr>
      <w:r>
        <w:lastRenderedPageBreak/>
        <w:t>(8)</w:t>
      </w:r>
      <w:r>
        <w:tab/>
      </w:r>
      <w:r>
        <w:rPr>
          <w:noProof/>
        </w:rPr>
        <w:t xml:space="preserve">Die vom Rat am 11. Juli 2017 empfohlene Anpassung um 0,5 % des BIP sollte daher durch zusätzliche Anstrengungen ergänzt werden, die erforderlich sind, um Rumänien nach den Abweichungen 2016 und 2017 zurück auf einen angemessenen Anpassungspfad zu bringen. Angesichts des großen Ausmaßes der festgestellten erheblichen Abweichung vom empfohlenen Anpassungspfad in Richtung auf das mittelfristige Haushaltsziel erscheinen hier weitere 0,3 % des BIP angemessen; dies wird die Anpassung auf dem Weg zurück zum mittelfristigen Ziel beschleunigen. Die erforderliche Verbesserung des strukturellen Saldos um 0,8 % des BIP im Jahr 2018 entspricht einer nominalen Wachstumsrate der gesamtstaatlichen Nettoprimärausgaben von nicht mehr als 3,3 % des BIP im Jahr 2018. </w:t>
      </w:r>
    </w:p>
    <w:p>
      <w:pPr>
        <w:pStyle w:val="ManualConsidrant"/>
        <w:rPr>
          <w:noProof/>
        </w:rPr>
      </w:pPr>
      <w:r>
        <w:t>(9)</w:t>
      </w:r>
      <w:r>
        <w:tab/>
      </w:r>
      <w:r>
        <w:rPr>
          <w:noProof/>
        </w:rPr>
        <w:t>In ihrer Herbstprognose 2017 erwartet die Kommission für 2018 eine weitere Verschlechterung des strukturellen Saldos um 1 %. Um eine strukturelle Verbesserung von 0,8 % des BIP im Jahr 2018 zu erreichen, sind daher Maßnahmen mit einem strukturellen Gesamtertrag von 1,8 % des BIP gegenüber dem gegenwärtigen, in der Herbstprognose 2017 der Kommission erwarteten Basisszenario für 2018 gefordert.</w:t>
      </w:r>
    </w:p>
    <w:p>
      <w:pPr>
        <w:pStyle w:val="ManualConsidrant"/>
        <w:rPr>
          <w:noProof/>
        </w:rPr>
      </w:pPr>
      <w:r>
        <w:t>(10)</w:t>
      </w:r>
      <w:r>
        <w:tab/>
      </w:r>
      <w:r>
        <w:rPr>
          <w:noProof/>
        </w:rPr>
        <w:t xml:space="preserve">In ihrer Herbstprognose 2017 projiziert die Kommission ein gesamtstaatliches Defizit von 3,9 % des BIP im Jahr 2018, was über dem im Vertrag festgelegten Referenzwert von 3 % des BIP liegt. Mit der erforderlichen strukturellen Anpassung von 0,8 % des BIP im Vergleich zum prognostizierten Ergebnis für 2017 würde auch gewährleistet, dass Rumänien den Schwellenwert für das gesamtstaatliche Defizit von 3 % des BIP im Jahr 2018 problemlos einhält. </w:t>
      </w:r>
    </w:p>
    <w:p>
      <w:pPr>
        <w:pStyle w:val="ManualConsidrant"/>
        <w:rPr>
          <w:noProof/>
        </w:rPr>
      </w:pPr>
      <w:r>
        <w:t>(11)</w:t>
      </w:r>
      <w:r>
        <w:tab/>
      </w:r>
      <w:r>
        <w:rPr>
          <w:noProof/>
        </w:rPr>
        <w:t xml:space="preserve">Die in dieser Empfehlung genannten Anforderungen für 2018 treten an die Stelle der entsprechenden Bestandteile der haushaltspolitischen Empfehlungen in der Empfehlung des Rates an Rumänien vom 11. Juli 2017. </w:t>
      </w:r>
    </w:p>
    <w:p>
      <w:pPr>
        <w:pStyle w:val="ManualConsidrant"/>
        <w:rPr>
          <w:noProof/>
        </w:rPr>
      </w:pPr>
      <w:r>
        <w:t>(12)</w:t>
      </w:r>
      <w:r>
        <w:tab/>
      </w:r>
      <w:r>
        <w:rPr>
          <w:noProof/>
        </w:rPr>
        <w:t>Rumänien sollte dem Rat bis zum 15. April 2018 einen Bericht über die aufgrund dieser Empfehlung getroffenen Maßnahmen vorlegen, möglicherweise im Rahmen seines gemäß Artikel 7 der Verordnung (EG) Nr. 1466/97 übermittelten Konvergenzprogramms.</w:t>
      </w:r>
    </w:p>
    <w:p>
      <w:pPr>
        <w:pStyle w:val="ManualConsidrant"/>
        <w:rPr>
          <w:noProof/>
        </w:rPr>
      </w:pPr>
      <w:r>
        <w:t>(13)</w:t>
      </w:r>
      <w:r>
        <w:tab/>
      </w:r>
      <w:r>
        <w:rPr>
          <w:noProof/>
        </w:rPr>
        <w:t xml:space="preserve">Es ist angemessen, diese Empfehlung zu veröffentlichen – </w:t>
      </w:r>
    </w:p>
    <w:p>
      <w:pPr>
        <w:pStyle w:val="Formuledadoption"/>
        <w:rPr>
          <w:noProof/>
        </w:rPr>
      </w:pPr>
      <w:r>
        <w:rPr>
          <w:noProof/>
        </w:rPr>
        <w:t>EMPFIEHLT,</w:t>
      </w:r>
    </w:p>
    <w:p>
      <w:pPr>
        <w:pStyle w:val="Titrearticle"/>
        <w:jc w:val="left"/>
        <w:rPr>
          <w:i w:val="0"/>
          <w:noProof/>
        </w:rPr>
      </w:pPr>
      <w:r>
        <w:rPr>
          <w:i w:val="0"/>
          <w:noProof/>
        </w:rPr>
        <w:t>DASS RUMÄNIEN</w:t>
      </w:r>
    </w:p>
    <w:p>
      <w:pPr>
        <w:pStyle w:val="Point0number"/>
        <w:numPr>
          <w:ilvl w:val="0"/>
          <w:numId w:val="11"/>
        </w:numPr>
        <w:rPr>
          <w:noProof/>
        </w:rPr>
      </w:pPr>
      <w:r>
        <w:rPr>
          <w:noProof/>
        </w:rPr>
        <w:t xml:space="preserve">die erforderlichen Maßnahmen ergreift, um zu gewährleisten, dass die nominale Wachstumsrate der gesamtstaatlichen Nettoprimärausgaben 2018 3,3 % nicht überschreitet, was einer jährlichen strukturellen Anpassung von mindestens 0,8 % des BIP im Jahr 2018 entspricht, und damit das Land auf einen angemessenen Anpassungspfad in Richtung auf das mittelfristige Haushaltsziel bringt; </w:t>
      </w:r>
    </w:p>
    <w:p>
      <w:pPr>
        <w:pStyle w:val="Point0number"/>
        <w:rPr>
          <w:noProof/>
        </w:rPr>
      </w:pPr>
      <w:r>
        <w:rPr>
          <w:noProof/>
        </w:rPr>
        <w:t>sämtliche unerwarteten Einnahmen zum Defizitabbau nutzt; Haushaltskonsolidierungsmaßnahmen sollten eine dauerhafte und wachstumsfreundliche Verbesserung des gesamtstaatlichen strukturellen Saldos gewährleisten;</w:t>
      </w:r>
    </w:p>
    <w:p>
      <w:pPr>
        <w:pStyle w:val="Point0number"/>
        <w:numPr>
          <w:ilvl w:val="0"/>
          <w:numId w:val="1"/>
        </w:numPr>
        <w:rPr>
          <w:noProof/>
        </w:rPr>
      </w:pPr>
      <w:r>
        <w:rPr>
          <w:noProof/>
        </w:rPr>
        <w:t>dem Rat bis zum 15. April 2018 einen Bericht über die aufgrund dieser Empfehlung getroffenen Maßnahmen vorlegt.</w:t>
      </w:r>
    </w:p>
    <w:p>
      <w:pPr>
        <w:keepNext/>
        <w:keepLines/>
        <w:rPr>
          <w:noProof/>
        </w:rPr>
      </w:pPr>
      <w:r>
        <w:rPr>
          <w:noProof/>
        </w:rPr>
        <w:lastRenderedPageBreak/>
        <w:t>Diese Empfehlung ist an Rumänien gerichtet.</w:t>
      </w:r>
    </w:p>
    <w:p>
      <w:pPr>
        <w:pStyle w:val="Fait"/>
        <w:rPr>
          <w:noProof/>
        </w:rPr>
      </w:pPr>
      <w:r>
        <w:t xml:space="preserve">Geschehen zu Brüssel am </w:t>
      </w:r>
      <w:r>
        <w:rPr>
          <w:rStyle w:val="Marker"/>
        </w:rPr>
        <w:t>[…]</w:t>
      </w:r>
    </w:p>
    <w:p>
      <w:pPr>
        <w:pStyle w:val="Institutionquisigne"/>
        <w:rPr>
          <w:noProof/>
        </w:rPr>
      </w:pPr>
      <w:r>
        <w:rPr>
          <w:noProof/>
        </w:rPr>
        <w:tab/>
        <w:t>Im Namen des Rates</w:t>
      </w:r>
    </w:p>
    <w:p>
      <w:pPr>
        <w:pStyle w:val="Personnequisigne"/>
        <w:rPr>
          <w:noProof/>
        </w:rPr>
      </w:pPr>
      <w:r>
        <w:rPr>
          <w:noProof/>
        </w:rPr>
        <w:tab/>
        <w:t>Der Präsident</w:t>
      </w:r>
    </w:p>
    <w:sectPr>
      <w:footerReference w:type="defaul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4</w:t>
    </w:r>
    <w:r>
      <w:fldChar w:fldCharType="end"/>
    </w:r>
    <w:r>
      <w:tab/>
    </w:r>
    <w:r>
      <w:tab/>
    </w:r>
    <w:r>
      <w:rPr>
        <w:rFonts w:ascii="Arial" w:hAnsi="Arial" w:cs="Arial"/>
        <w:b/>
        <w:sz w:val="48"/>
      </w:rPr>
      <w:t>DE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ABl. L 209 vom 2.8.1997, S. 1.</w:t>
      </w:r>
    </w:p>
  </w:footnote>
  <w:footnote w:id="3">
    <w:p>
      <w:pPr>
        <w:pStyle w:val="FootnoteText"/>
      </w:pPr>
      <w:r>
        <w:rPr>
          <w:rStyle w:val="FootnoteReference"/>
        </w:rPr>
        <w:footnoteRef/>
      </w:r>
      <w:r>
        <w:tab/>
        <w:t>Die Nettostaatsausgaben setzen sich zusammen aus der Gesamtheit der Staatsausgaben ohne Zinsausgaben, den Ausgaben für Unionsprogramme, die vollständig durch Einnahmen aus Fonds der Union ausgeglichen werden, und nichtdiskretionären Änderungen der Ausgaben für Arbeitslosenunterstützung. Staatlich finanzierte Bruttoanlageinvestitionen werden über einen Zeitraum von vier Jahren geglättet. Diskretionäre einnahmenseitige Maßnahmen oder gesetzlich vorgeschriebene Einnahmesteigerungen sind eingerechnet. Einmalige Maßnahmen sowohl auf der Einnahmen- als auch auf der Ausgabenseite werden saldiert.</w:t>
      </w:r>
    </w:p>
  </w:footnote>
  <w:footnote w:id="4">
    <w:p>
      <w:pPr>
        <w:pStyle w:val="FootnoteText"/>
      </w:pPr>
      <w:r>
        <w:rPr>
          <w:rStyle w:val="FootnoteReference"/>
        </w:rPr>
        <w:footnoteRef/>
      </w:r>
      <w:r>
        <w:tab/>
        <w:t>Empfehlung des Rates vom 16. Juni 2017 im Hinblick auf die Behebung der festgestellten erheblichen Abweichung vom Anpassungspfad in Richtung auf das mittelfristige Haushaltsziel in Rumänien (ABl. C 216 vom 6.7.2017, S. 1).</w:t>
      </w:r>
    </w:p>
  </w:footnote>
  <w:footnote w:id="5">
    <w:p>
      <w:pPr>
        <w:pStyle w:val="FootnoteText"/>
      </w:pPr>
      <w:r>
        <w:rPr>
          <w:rStyle w:val="FootnoteReference"/>
        </w:rPr>
        <w:footnoteRef/>
      </w:r>
      <w:r>
        <w:tab/>
        <w:t>Empfehlung des Rates vom 11. Juli 2017 zum nationalen Reformprogramm Rumäniens 2017 mit einer Stellungnahme des Rates zum Konvergenzprogramm Rumäniens 2017 (ABl. C 261 vom 9.8.2017, S. 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4D894F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FAA0F0A"/>
    <w:lvl w:ilvl="0">
      <w:start w:val="1"/>
      <w:numFmt w:val="decimal"/>
      <w:pStyle w:val="ListNumber3"/>
      <w:lvlText w:val="%1."/>
      <w:lvlJc w:val="left"/>
      <w:pPr>
        <w:tabs>
          <w:tab w:val="num" w:pos="926"/>
        </w:tabs>
        <w:ind w:left="926" w:hanging="360"/>
      </w:pPr>
    </w:lvl>
  </w:abstractNum>
  <w:abstractNum w:abstractNumId="2">
    <w:nsid w:val="FFFFFF7F"/>
    <w:multiLevelType w:val="singleLevel"/>
    <w:tmpl w:val="C10EA95E"/>
    <w:lvl w:ilvl="0">
      <w:start w:val="1"/>
      <w:numFmt w:val="decimal"/>
      <w:pStyle w:val="ListNumber2"/>
      <w:lvlText w:val="%1."/>
      <w:lvlJc w:val="left"/>
      <w:pPr>
        <w:tabs>
          <w:tab w:val="num" w:pos="643"/>
        </w:tabs>
        <w:ind w:left="643" w:hanging="360"/>
      </w:pPr>
    </w:lvl>
  </w:abstractNum>
  <w:abstractNum w:abstractNumId="3">
    <w:nsid w:val="FFFFFF81"/>
    <w:multiLevelType w:val="singleLevel"/>
    <w:tmpl w:val="6180E50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CD76BC1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BE40E5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01219F4"/>
    <w:lvl w:ilvl="0">
      <w:start w:val="1"/>
      <w:numFmt w:val="decimal"/>
      <w:pStyle w:val="ListNumber"/>
      <w:lvlText w:val="%1."/>
      <w:lvlJc w:val="left"/>
      <w:pPr>
        <w:tabs>
          <w:tab w:val="num" w:pos="360"/>
        </w:tabs>
        <w:ind w:left="360" w:hanging="360"/>
      </w:pPr>
    </w:lvl>
  </w:abstractNum>
  <w:abstractNum w:abstractNumId="7">
    <w:nsid w:val="FFFFFF89"/>
    <w:multiLevelType w:val="singleLevel"/>
    <w:tmpl w:val="265871E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21"/>
    <w:lvlOverride w:ilvl="0">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425"/>
  <w:defaultTableStyle w:val="Normal"/>
  <w:drawingGridHorizontalSpacing w:val="120"/>
  <w:displayHorizontalDrawingGridEvery w:val="2"/>
  <w:characterSpacingControl w:val="doNotCompress"/>
  <w:doNotValidateAgainstSchema/>
  <w:doNotDemarcateInvalidXml/>
  <w:hdrShapeDefaults>
    <o:shapedefaults v:ext="edit" spidmax="90113"/>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
  <w:docVars>
    <w:docVar w:name="DQCDateTime" w:val="2017-11-22 08:06:29"/>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083017F1-BE6B-481F-B4D9-E1D85A698B29"/>
    <w:docVar w:name="LW_COVERPAGE_TYPE" w:val="1"/>
    <w:docVar w:name="LW_CROSSREFERENCE" w:val="{SWD(2017) 603 final}"/>
    <w:docVar w:name="LW_DocType" w:val="COM"/>
    <w:docVar w:name="LW_EMISSION" w:val="22.11.2017"/>
    <w:docVar w:name="LW_EMISSION_ISODATE" w:val="2017-11-22"/>
    <w:docVar w:name="LW_EMISSION_LOCATION" w:val="BRX"/>
    <w:docVar w:name="LW_EMISSION_PREFIX" w:val="Brüssel, den "/>
    <w:docVar w:name="LW_EMISSION_SUFFIX" w:val=" "/>
    <w:docVar w:name="LW_ID_DOCMODEL" w:val="SG-002"/>
    <w:docVar w:name="LW_ID_DOCSIGNATURE" w:val="SG-002"/>
    <w:docVar w:name="LW_ID_DOCSTRUCTURE" w:val="COM/PL/ORG"/>
    <w:docVar w:name="LW_ID_DOCTYPE" w:val="SG-002"/>
    <w:docVar w:name="LW_ID_STATUT" w:val="SG-002"/>
    <w:docVar w:name="LW_INTERETEEE.CP" w:val="&lt;UNUSED&gt;"/>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lt;UNUSED&gt;"/>
    <w:docVar w:name="LW_REF.II.NEW.CP_NUMBER" w:val="&lt;UNUSED&gt;"/>
    <w:docVar w:name="LW_REF.II.NEW.CP_YEAR" w:val="2017"/>
    <w:docVar w:name="LW_REF.INST.NEW" w:val="COM"/>
    <w:docVar w:name="LW_REF.INST.NEW_ADOPTED" w:val="final"/>
    <w:docVar w:name="LW_REF.INST.NEW_TEXT" w:val="(2017) 80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Empfehlung für eine"/>
    <w:docVar w:name="LW_SUPERTITRE" w:val="&lt;UNUSED&gt;"/>
    <w:docVar w:name="LW_TITRE.OBJ.CP" w:val="im Hinblick auf die Behebung der festgestellten erheblichen Abweichung vom Anpassungspfad in Richtung auf das mittelfristige Haushaltsziel in Rumänien"/>
    <w:docVar w:name="LW_TYPE.DOC.CP" w:val="EMPFEHLUNG DES RATES"/>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ttedetabledesmatires">
    <w:name w:val="En-tête de table des matières"/>
    <w:basedOn w:val="Normal"/>
    <w:next w:val="Normal"/>
    <w:qFormat/>
    <w:pPr>
      <w:spacing w:after="240"/>
      <w:jc w:val="center"/>
    </w:pPr>
    <w:rPr>
      <w:b/>
      <w:sz w:val="28"/>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ListBullet">
    <w:name w:val="List Bullet"/>
    <w:basedOn w:val="Normal"/>
    <w:pPr>
      <w:numPr>
        <w:numId w:val="2"/>
      </w:numPr>
    </w:pPr>
  </w:style>
  <w:style w:type="paragraph" w:styleId="ListBullet2">
    <w:name w:val="List Bullet 2"/>
    <w:basedOn w:val="Normal"/>
    <w:pPr>
      <w:numPr>
        <w:numId w:val="3"/>
      </w:numPr>
    </w:pPr>
  </w:style>
  <w:style w:type="paragraph" w:styleId="ListBullet3">
    <w:name w:val="List Bullet 3"/>
    <w:basedOn w:val="Normal"/>
    <w:pPr>
      <w:numPr>
        <w:numId w:val="4"/>
      </w:numPr>
    </w:pPr>
  </w:style>
  <w:style w:type="paragraph" w:styleId="ListBullet4">
    <w:name w:val="List Bullet 4"/>
    <w:basedOn w:val="Normal"/>
    <w:pPr>
      <w:numPr>
        <w:numId w:val="5"/>
      </w:numPr>
    </w:pPr>
  </w:style>
  <w:style w:type="paragraph" w:styleId="Caption">
    <w:name w:val="caption"/>
    <w:basedOn w:val="Normal"/>
    <w:next w:val="Normal"/>
    <w:qFormat/>
    <w:rPr>
      <w:b/>
      <w:bCs/>
      <w:sz w:val="20"/>
      <w:szCs w:val="20"/>
    </w:rPr>
  </w:style>
  <w:style w:type="paragraph" w:styleId="TableofFigures">
    <w:name w:val="table of figures"/>
    <w:basedOn w:val="Normal"/>
    <w:next w:val="Normal"/>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character" w:styleId="CommentReference">
    <w:name w:val="annotation reference"/>
    <w:rPr>
      <w:sz w:val="16"/>
      <w:szCs w:val="16"/>
    </w:rPr>
  </w:style>
  <w:style w:type="paragraph" w:styleId="CommentText">
    <w:name w:val="annotation text"/>
    <w:basedOn w:val="Normal"/>
    <w:rPr>
      <w:sz w:val="20"/>
      <w:szCs w:val="20"/>
    </w:rPr>
  </w:style>
  <w:style w:type="character" w:customStyle="1" w:styleId="CommentTextChar">
    <w:name w:val="Comment Text Char"/>
    <w:rPr>
      <w:lang w:eastAsia="de-DE"/>
    </w:rPr>
  </w:style>
  <w:style w:type="paragraph" w:styleId="CommentSubject">
    <w:name w:val="annotation subject"/>
    <w:basedOn w:val="CommentText"/>
    <w:next w:val="CommentText"/>
    <w:rPr>
      <w:b/>
      <w:bCs/>
    </w:rPr>
  </w:style>
  <w:style w:type="character" w:customStyle="1" w:styleId="CommentSubjectChar">
    <w:name w:val="Comment Subject Char"/>
    <w:rPr>
      <w:b/>
      <w:bCs/>
      <w:lang w:eastAsia="de-DE"/>
    </w:rPr>
  </w:style>
  <w:style w:type="character" w:styleId="Hyperlink">
    <w:name w:val="Hyperlink"/>
    <w:rPr>
      <w:color w:val="0000FF"/>
      <w:u w:val="single"/>
    </w:rPr>
  </w:style>
  <w:style w:type="paragraph" w:styleId="BalloonText">
    <w:name w:val="Balloon Text"/>
    <w:basedOn w:val="Normal"/>
    <w:pPr>
      <w:spacing w:before="0" w:after="0"/>
    </w:pPr>
    <w:rPr>
      <w:rFonts w:ascii="Tahoma" w:hAnsi="Tahoma" w:cs="Tahoma"/>
      <w:sz w:val="16"/>
      <w:szCs w:val="16"/>
    </w:rPr>
  </w:style>
  <w:style w:type="character" w:customStyle="1" w:styleId="BalloonTextChar">
    <w:name w:val="Balloon Text Char"/>
    <w:rPr>
      <w:rFonts w:ascii="Tahoma" w:hAnsi="Tahoma" w:cs="Tahoma"/>
      <w:sz w:val="16"/>
      <w:szCs w:val="16"/>
      <w:lang w:eastAsia="de-DE"/>
    </w:rPr>
  </w:style>
  <w:style w:type="paragraph" w:customStyle="1" w:styleId="Rvision">
    <w:name w:val="Révision"/>
    <w:semiHidden/>
    <w:rPr>
      <w:sz w:val="24"/>
      <w:szCs w:val="24"/>
    </w:rPr>
  </w:style>
  <w:style w:type="paragraph" w:styleId="EndnoteText">
    <w:name w:val="endnote text"/>
    <w:basedOn w:val="Normal"/>
    <w:link w:val="EndnoteTextChar"/>
    <w:rPr>
      <w:sz w:val="20"/>
      <w:szCs w:val="20"/>
    </w:rPr>
  </w:style>
  <w:style w:type="character" w:customStyle="1" w:styleId="EndnoteTextChar">
    <w:name w:val="Endnote Text Char"/>
    <w:link w:val="EndnoteText"/>
    <w:rPr>
      <w:lang w:eastAsia="de-DE"/>
    </w:rPr>
  </w:style>
  <w:style w:type="character" w:styleId="EndnoteReference">
    <w:name w:val="endnote reference"/>
    <w:rPr>
      <w:vertAlign w:val="superscript"/>
    </w:rPr>
  </w:style>
  <w:style w:type="paragraph" w:styleId="Revision">
    <w:name w:val="Revision"/>
    <w:semiHidden/>
    <w:rPr>
      <w:sz w:val="24"/>
      <w:szCs w:val="24"/>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ttedetabledesmatires">
    <w:name w:val="En-tête de table des matières"/>
    <w:basedOn w:val="Normal"/>
    <w:next w:val="Normal"/>
    <w:qFormat/>
    <w:pPr>
      <w:spacing w:after="240"/>
      <w:jc w:val="center"/>
    </w:pPr>
    <w:rPr>
      <w:b/>
      <w:sz w:val="28"/>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ListBullet">
    <w:name w:val="List Bullet"/>
    <w:basedOn w:val="Normal"/>
    <w:pPr>
      <w:numPr>
        <w:numId w:val="2"/>
      </w:numPr>
    </w:pPr>
  </w:style>
  <w:style w:type="paragraph" w:styleId="ListBullet2">
    <w:name w:val="List Bullet 2"/>
    <w:basedOn w:val="Normal"/>
    <w:pPr>
      <w:numPr>
        <w:numId w:val="3"/>
      </w:numPr>
    </w:pPr>
  </w:style>
  <w:style w:type="paragraph" w:styleId="ListBullet3">
    <w:name w:val="List Bullet 3"/>
    <w:basedOn w:val="Normal"/>
    <w:pPr>
      <w:numPr>
        <w:numId w:val="4"/>
      </w:numPr>
    </w:pPr>
  </w:style>
  <w:style w:type="paragraph" w:styleId="ListBullet4">
    <w:name w:val="List Bullet 4"/>
    <w:basedOn w:val="Normal"/>
    <w:pPr>
      <w:numPr>
        <w:numId w:val="5"/>
      </w:numPr>
    </w:pPr>
  </w:style>
  <w:style w:type="paragraph" w:styleId="Caption">
    <w:name w:val="caption"/>
    <w:basedOn w:val="Normal"/>
    <w:next w:val="Normal"/>
    <w:qFormat/>
    <w:rPr>
      <w:b/>
      <w:bCs/>
      <w:sz w:val="20"/>
      <w:szCs w:val="20"/>
    </w:rPr>
  </w:style>
  <w:style w:type="paragraph" w:styleId="TableofFigures">
    <w:name w:val="table of figures"/>
    <w:basedOn w:val="Normal"/>
    <w:next w:val="Normal"/>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character" w:styleId="CommentReference">
    <w:name w:val="annotation reference"/>
    <w:rPr>
      <w:sz w:val="16"/>
      <w:szCs w:val="16"/>
    </w:rPr>
  </w:style>
  <w:style w:type="paragraph" w:styleId="CommentText">
    <w:name w:val="annotation text"/>
    <w:basedOn w:val="Normal"/>
    <w:rPr>
      <w:sz w:val="20"/>
      <w:szCs w:val="20"/>
    </w:rPr>
  </w:style>
  <w:style w:type="character" w:customStyle="1" w:styleId="CommentTextChar">
    <w:name w:val="Comment Text Char"/>
    <w:rPr>
      <w:lang w:eastAsia="de-DE"/>
    </w:rPr>
  </w:style>
  <w:style w:type="paragraph" w:styleId="CommentSubject">
    <w:name w:val="annotation subject"/>
    <w:basedOn w:val="CommentText"/>
    <w:next w:val="CommentText"/>
    <w:rPr>
      <w:b/>
      <w:bCs/>
    </w:rPr>
  </w:style>
  <w:style w:type="character" w:customStyle="1" w:styleId="CommentSubjectChar">
    <w:name w:val="Comment Subject Char"/>
    <w:rPr>
      <w:b/>
      <w:bCs/>
      <w:lang w:eastAsia="de-DE"/>
    </w:rPr>
  </w:style>
  <w:style w:type="character" w:styleId="Hyperlink">
    <w:name w:val="Hyperlink"/>
    <w:rPr>
      <w:color w:val="0000FF"/>
      <w:u w:val="single"/>
    </w:rPr>
  </w:style>
  <w:style w:type="paragraph" w:styleId="BalloonText">
    <w:name w:val="Balloon Text"/>
    <w:basedOn w:val="Normal"/>
    <w:pPr>
      <w:spacing w:before="0" w:after="0"/>
    </w:pPr>
    <w:rPr>
      <w:rFonts w:ascii="Tahoma" w:hAnsi="Tahoma" w:cs="Tahoma"/>
      <w:sz w:val="16"/>
      <w:szCs w:val="16"/>
    </w:rPr>
  </w:style>
  <w:style w:type="character" w:customStyle="1" w:styleId="BalloonTextChar">
    <w:name w:val="Balloon Text Char"/>
    <w:rPr>
      <w:rFonts w:ascii="Tahoma" w:hAnsi="Tahoma" w:cs="Tahoma"/>
      <w:sz w:val="16"/>
      <w:szCs w:val="16"/>
      <w:lang w:eastAsia="de-DE"/>
    </w:rPr>
  </w:style>
  <w:style w:type="paragraph" w:customStyle="1" w:styleId="Rvision">
    <w:name w:val="Révision"/>
    <w:semiHidden/>
    <w:rPr>
      <w:sz w:val="24"/>
      <w:szCs w:val="24"/>
    </w:rPr>
  </w:style>
  <w:style w:type="paragraph" w:styleId="EndnoteText">
    <w:name w:val="endnote text"/>
    <w:basedOn w:val="Normal"/>
    <w:link w:val="EndnoteTextChar"/>
    <w:rPr>
      <w:sz w:val="20"/>
      <w:szCs w:val="20"/>
    </w:rPr>
  </w:style>
  <w:style w:type="character" w:customStyle="1" w:styleId="EndnoteTextChar">
    <w:name w:val="Endnote Text Char"/>
    <w:link w:val="EndnoteText"/>
    <w:rPr>
      <w:lang w:eastAsia="de-DE"/>
    </w:rPr>
  </w:style>
  <w:style w:type="character" w:styleId="EndnoteReference">
    <w:name w:val="endnote reference"/>
    <w:rPr>
      <w:vertAlign w:val="superscript"/>
    </w:rPr>
  </w:style>
  <w:style w:type="paragraph" w:styleId="Revision">
    <w:name w:val="Revision"/>
    <w:semiHidden/>
    <w:rPr>
      <w:sz w:val="24"/>
      <w:szCs w:val="24"/>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451794">
      <w:bodyDiv w:val="1"/>
      <w:marLeft w:val="0"/>
      <w:marRight w:val="0"/>
      <w:marTop w:val="0"/>
      <w:marBottom w:val="0"/>
      <w:divBdr>
        <w:top w:val="none" w:sz="0" w:space="0" w:color="auto"/>
        <w:left w:val="none" w:sz="0" w:space="0" w:color="auto"/>
        <w:bottom w:val="none" w:sz="0" w:space="0" w:color="auto"/>
        <w:right w:val="none" w:sz="0" w:space="0" w:color="auto"/>
      </w:divBdr>
    </w:div>
    <w:div w:id="1481114239">
      <w:bodyDiv w:val="1"/>
      <w:marLeft w:val="0"/>
      <w:marRight w:val="0"/>
      <w:marTop w:val="0"/>
      <w:marBottom w:val="0"/>
      <w:divBdr>
        <w:top w:val="none" w:sz="0" w:space="0" w:color="auto"/>
        <w:left w:val="none" w:sz="0" w:space="0" w:color="auto"/>
        <w:bottom w:val="none" w:sz="0" w:space="0" w:color="auto"/>
        <w:right w:val="none" w:sz="0" w:space="0" w:color="auto"/>
      </w:divBdr>
    </w:div>
    <w:div w:id="1937133811">
      <w:bodyDiv w:val="1"/>
      <w:marLeft w:val="0"/>
      <w:marRight w:val="0"/>
      <w:marTop w:val="0"/>
      <w:marBottom w:val="0"/>
      <w:divBdr>
        <w:top w:val="none" w:sz="0" w:space="0" w:color="auto"/>
        <w:left w:val="none" w:sz="0" w:space="0" w:color="auto"/>
        <w:bottom w:val="none" w:sz="0" w:space="0" w:color="auto"/>
        <w:right w:val="none" w:sz="0" w:space="0" w:color="auto"/>
      </w:divBdr>
    </w:div>
    <w:div w:id="1998992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D8756-28EB-4849-89BB-DEA669BAC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5</Pages>
  <Words>1096</Words>
  <Characters>6789</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vector>
  </TitlesOfParts>
  <Manager/>
  <Company/>
  <LinksUpToDate>false</LinksUpToDate>
  <CharactersWithSpaces>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18</cp:revision>
  <cp:lastPrinted>2017-11-13T19:14:00Z</cp:lastPrinted>
  <dcterms:created xsi:type="dcterms:W3CDTF">2017-11-21T15:11:00Z</dcterms:created>
  <dcterms:modified xsi:type="dcterms:W3CDTF">2017-11-22T07:06:00Z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5.8.64.0</vt:lpwstr>
  </property>
  <property fmtid="{D5CDD505-2E9C-101B-9397-08002B2CF9AE}" pid="4" name="Last edited using">
    <vt:lpwstr>LW 6.0, Build 20171009</vt:lpwstr>
  </property>
  <property fmtid="{D5CDD505-2E9C-101B-9397-08002B2CF9AE}" pid="5" name="Created using">
    <vt:lpwstr>LW 5.8.2, Build 20120919</vt:lpwstr>
  </property>
  <property fmtid="{D5CDD505-2E9C-101B-9397-08002B2CF9AE}" pid="6" name="LWTemplateID">
    <vt:lpwstr>SG-002</vt:lpwstr>
  </property>
  <property fmtid="{D5CDD505-2E9C-101B-9397-08002B2CF9AE}" pid="7" name="Level of sensitivity">
    <vt:lpwstr>Standard treatment</vt:lpwstr>
  </property>
  <property fmtid="{D5CDD505-2E9C-101B-9397-08002B2CF9AE}" pid="8" name="Part">
    <vt:lpwstr>1</vt:lpwstr>
  </property>
  <property fmtid="{D5CDD505-2E9C-101B-9397-08002B2CF9AE}" pid="9" name="Total parts">
    <vt:lpwstr>1</vt:lpwstr>
  </property>
  <property fmtid="{D5CDD505-2E9C-101B-9397-08002B2CF9AE}" pid="10" name="DQCStatus">
    <vt:lpwstr>Green (DQC version 03)</vt:lpwstr>
  </property>
  <property name="OP_sanitized" fmtid="{D5CDD505-2E9C-101B-9397-08002B2CF9AE}" pid="11">
    <vt:lpwstr>True</vt:lpwstr>
  </property>
</Properties>
</file>