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38198F" w:rsidRDefault="004F2067" w:rsidP="00363E64">
      <w:pPr>
        <w:overflowPunct/>
        <w:adjustRightInd/>
        <w:jc w:val="center"/>
        <w:textAlignment w:val="auto"/>
      </w:pPr>
      <w:r>
        <w:rPr>
          <w:noProof/>
          <w:lang w:val="en-GB" w:eastAsia="en-GB" w:bidi="ar-SA"/>
        </w:rPr>
        <mc:AlternateContent>
          <mc:Choice Requires="wps">
            <w:drawing>
              <wp:anchor distT="0" distB="0" distL="114300" distR="114300" simplePos="0" relativeHeight="251659264" behindDoc="1" locked="0" layoutInCell="0" allowOverlap="1" wp14:anchorId="5EE106EF" wp14:editId="79D3DFA1">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A2" w:rsidRPr="00363E64" w:rsidRDefault="00A75AA2" w:rsidP="00363E64">
                            <w:pPr>
                              <w:overflowPunct/>
                              <w:adjustRightInd/>
                              <w:jc w:val="center"/>
                              <w:textAlignment w:val="auto"/>
                              <w:rPr>
                                <w:rFonts w:ascii="Arial" w:hAnsi="Arial" w:cs="Arial"/>
                                <w:b/>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7"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v:textbox>
                  <w:txbxContent>
                    <w:p w:rsidRPr="00363E64" w:rsidR="00A75AA2" w:rsidP="00363E64" w:rsidRDefault="00A75AA2">
                      <w:pPr>
                        <w:overflowPunct/>
                        <w:adjustRightInd/>
                        <w:jc w:val="center"/>
                        <w:textAlignment w:val="auto"/>
                        <w:rPr>
                          <w:rFonts w:ascii="Arial" w:hAnsi="Arial" w:cs="Arial"/>
                          <w:b/>
                          <w:sz w:val="48"/>
                        </w:rPr>
                      </w:pPr>
                      <w:r>
                        <w:rPr>
                          <w:rFonts w:ascii="Arial" w:hAnsi="Arial"/>
                          <w:b/>
                          <w:sz w:val="48"/>
                        </w:rPr>
                        <w:t>DA</w:t>
                      </w:r>
                    </w:p>
                  </w:txbxContent>
                </v:textbox>
                <w10:wrap xmlns:w10="urn:schemas-microsoft-com:office:word" anchorx="page" anchory="page"/>
              </v:shape>
            </w:pict>
          </mc:Fallback>
        </mc:AlternateContent>
      </w:r>
      <w:r>
        <w:rPr>
          <w:noProof/>
          <w:lang w:val="en-GB" w:eastAsia="en-GB" w:bidi="ar-SA"/>
        </w:rPr>
        <w:drawing>
          <wp:inline distT="0" distB="0" distL="0" distR="0" wp14:anchorId="50371767" wp14:editId="6C89A441">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38198F" w:rsidRDefault="006F0DCC" w:rsidP="00363E64">
      <w:pPr>
        <w:overflowPunct/>
        <w:adjustRightInd/>
        <w:jc w:val="center"/>
        <w:textAlignment w:val="auto"/>
      </w:pPr>
      <w:r>
        <w:rPr>
          <w:rFonts w:ascii="Arial" w:hAnsi="Arial"/>
          <w:b/>
          <w:i/>
          <w:sz w:val="20"/>
        </w:rPr>
        <w:t>Det Europæiske Økonomiske og Sociale Udvalg</w:t>
      </w:r>
    </w:p>
    <w:p w:rsidR="00646AC2" w:rsidRPr="0038198F" w:rsidRDefault="00646AC2" w:rsidP="00363E64">
      <w:pPr>
        <w:overflowPunct/>
        <w:adjustRightInd/>
        <w:textAlignment w:val="auto"/>
      </w:pPr>
    </w:p>
    <w:p w:rsidR="00646AC2" w:rsidRPr="0038198F" w:rsidRDefault="009602CC" w:rsidP="00363E64">
      <w:pPr>
        <w:overflowPunct/>
        <w:adjustRightInd/>
        <w:jc w:val="right"/>
        <w:textAlignment w:val="auto"/>
      </w:pPr>
      <w:r>
        <w:rPr>
          <w:b/>
        </w:rPr>
        <w:t>SOC/569</w:t>
      </w:r>
    </w:p>
    <w:p w:rsidR="00563C84" w:rsidRPr="0038198F" w:rsidRDefault="005C5708" w:rsidP="00363E64">
      <w:pPr>
        <w:overflowPunct/>
        <w:adjustRightInd/>
        <w:jc w:val="right"/>
        <w:textAlignment w:val="auto"/>
      </w:pPr>
      <w:r>
        <w:rPr>
          <w:b/>
        </w:rPr>
        <w:t>En europæisk ramme for gode og effektive lærlingeuddannelser</w:t>
      </w:r>
    </w:p>
    <w:p w:rsidR="009B30AA" w:rsidRPr="0038198F" w:rsidRDefault="009B30AA" w:rsidP="00363E64">
      <w:pPr>
        <w:tabs>
          <w:tab w:val="left" w:pos="3206"/>
        </w:tabs>
        <w:overflowPunct/>
        <w:adjustRightInd/>
        <w:textAlignment w:val="auto"/>
      </w:pPr>
    </w:p>
    <w:p w:rsidR="009B30AA" w:rsidRPr="0038198F" w:rsidRDefault="009B30AA" w:rsidP="00363E64">
      <w:pPr>
        <w:overflowPunct/>
        <w:adjustRightInd/>
        <w:textAlignment w:val="auto"/>
      </w:pPr>
    </w:p>
    <w:p w:rsidR="00646AC2" w:rsidRPr="0038198F" w:rsidRDefault="0080520A" w:rsidP="00363E64">
      <w:pPr>
        <w:overflowPunct/>
        <w:adjustRightInd/>
        <w:jc w:val="center"/>
        <w:textAlignment w:val="auto"/>
      </w:pPr>
      <w:r>
        <w:t xml:space="preserve">Det Europæiske Økonomiske og Sociale Udvalgs </w:t>
      </w:r>
      <w:r>
        <w:br/>
        <w:t xml:space="preserve"> </w:t>
      </w:r>
      <w:r>
        <w:br/>
      </w:r>
      <w:r>
        <w:rPr>
          <w:b/>
          <w:sz w:val="28"/>
        </w:rPr>
        <w:t>UDTALELSE</w:t>
      </w:r>
      <w:r>
        <w:t xml:space="preserve"> </w:t>
      </w:r>
      <w:r>
        <w:br/>
        <w:t xml:space="preserve"> </w:t>
      </w:r>
      <w:r>
        <w:br/>
      </w:r>
      <w:r>
        <w:rPr>
          <w:b/>
        </w:rPr>
        <w:t>Forslag til Rådets henstilling om en europæisk ramme for gode og effektive lærlingeuddannelser</w:t>
      </w:r>
      <w:r>
        <w:t xml:space="preserve"> </w:t>
      </w:r>
      <w:r>
        <w:br/>
        <w:t>[COM(2017) 563 final – 2017/0244 (NLE)]</w:t>
      </w:r>
    </w:p>
    <w:p w:rsidR="009B30AA" w:rsidRPr="0038198F" w:rsidRDefault="009B30AA" w:rsidP="00363E64">
      <w:pPr>
        <w:overflowPunct/>
        <w:adjustRightInd/>
        <w:jc w:val="center"/>
        <w:textAlignment w:val="auto"/>
      </w:pPr>
    </w:p>
    <w:p w:rsidR="00704FBB" w:rsidRPr="0038198F" w:rsidRDefault="007F5E0D" w:rsidP="00363E64">
      <w:pPr>
        <w:overflowPunct/>
        <w:adjustRightInd/>
        <w:jc w:val="center"/>
        <w:textAlignment w:val="auto"/>
        <w:rPr>
          <w:b/>
        </w:rPr>
      </w:pPr>
      <w:r>
        <w:t xml:space="preserve">Ordfører: </w:t>
      </w:r>
      <w:proofErr w:type="spellStart"/>
      <w:r>
        <w:rPr>
          <w:b/>
        </w:rPr>
        <w:t>Imse</w:t>
      </w:r>
      <w:proofErr w:type="spellEnd"/>
      <w:r>
        <w:rPr>
          <w:b/>
        </w:rPr>
        <w:t xml:space="preserve"> </w:t>
      </w:r>
      <w:proofErr w:type="spellStart"/>
      <w:r>
        <w:rPr>
          <w:b/>
        </w:rPr>
        <w:t>Spragg</w:t>
      </w:r>
      <w:proofErr w:type="spellEnd"/>
      <w:r>
        <w:rPr>
          <w:b/>
        </w:rPr>
        <w:t xml:space="preserve"> Nilsson</w:t>
      </w:r>
    </w:p>
    <w:p w:rsidR="00E32DC6" w:rsidRPr="0038198F" w:rsidRDefault="009602CC" w:rsidP="00363E64">
      <w:pPr>
        <w:overflowPunct/>
        <w:adjustRightInd/>
        <w:ind w:left="2694"/>
        <w:textAlignment w:val="auto"/>
      </w:pPr>
      <w:r>
        <w:t xml:space="preserve">Medordfører: </w:t>
      </w:r>
      <w:r>
        <w:rPr>
          <w:b/>
        </w:rPr>
        <w:t>Vladimíra Drbalová</w:t>
      </w:r>
    </w:p>
    <w:p w:rsidR="00E32DC6" w:rsidRPr="0038198F" w:rsidRDefault="00E32DC6" w:rsidP="00363E64">
      <w:pPr>
        <w:overflowPunct/>
        <w:adjustRightInd/>
        <w:textAlignment w:val="auto"/>
      </w:pPr>
    </w:p>
    <w:p w:rsidR="00E32DC6" w:rsidRPr="0038198F" w:rsidRDefault="00E32DC6" w:rsidP="00363E64">
      <w:pPr>
        <w:overflowPunct/>
        <w:adjustRightInd/>
        <w:textAlignment w:val="auto"/>
        <w:sectPr w:rsidR="00E32DC6" w:rsidRPr="0038198F" w:rsidSect="002C4F3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11656A" w:rsidRPr="0038198F" w:rsidTr="007E50BF">
        <w:tc>
          <w:tcPr>
            <w:tcW w:w="3085" w:type="dxa"/>
          </w:tcPr>
          <w:p w:rsidR="0011656A" w:rsidRPr="0038198F" w:rsidRDefault="0090053A" w:rsidP="00363E64">
            <w:pPr>
              <w:overflowPunct/>
              <w:adjustRightInd/>
              <w:textAlignment w:val="auto"/>
              <w:rPr>
                <w:szCs w:val="22"/>
              </w:rPr>
            </w:pPr>
            <w:r>
              <w:lastRenderedPageBreak/>
              <w:t xml:space="preserve">Anmodning om udtalelse </w:t>
            </w:r>
          </w:p>
        </w:tc>
        <w:tc>
          <w:tcPr>
            <w:tcW w:w="6202" w:type="dxa"/>
          </w:tcPr>
          <w:p w:rsidR="0011656A" w:rsidRPr="0038198F" w:rsidRDefault="005C5708" w:rsidP="00363E64">
            <w:pPr>
              <w:overflowPunct/>
              <w:adjustRightInd/>
              <w:textAlignment w:val="auto"/>
              <w:rPr>
                <w:szCs w:val="22"/>
              </w:rPr>
            </w:pPr>
            <w:r>
              <w:t>Kommissionen, 17/11/2017</w:t>
            </w:r>
          </w:p>
        </w:tc>
      </w:tr>
      <w:tr w:rsidR="0016503F" w:rsidRPr="0038198F" w:rsidTr="007E50BF">
        <w:trPr>
          <w:trHeight w:val="251"/>
        </w:trPr>
        <w:tc>
          <w:tcPr>
            <w:tcW w:w="3085" w:type="dxa"/>
          </w:tcPr>
          <w:p w:rsidR="0016503F" w:rsidRPr="0038198F" w:rsidRDefault="0016503F" w:rsidP="00363E64">
            <w:pPr>
              <w:overflowPunct/>
              <w:adjustRightInd/>
              <w:textAlignment w:val="auto"/>
              <w:rPr>
                <w:szCs w:val="22"/>
              </w:rPr>
            </w:pPr>
            <w:r>
              <w:t>Retsgrundlag</w:t>
            </w:r>
          </w:p>
        </w:tc>
        <w:tc>
          <w:tcPr>
            <w:tcW w:w="6202" w:type="dxa"/>
          </w:tcPr>
          <w:p w:rsidR="0016503F" w:rsidRPr="0038198F" w:rsidRDefault="0016503F" w:rsidP="00363E64">
            <w:pPr>
              <w:overflowPunct/>
              <w:adjustRightInd/>
              <w:textAlignment w:val="auto"/>
              <w:rPr>
                <w:szCs w:val="22"/>
              </w:rPr>
            </w:pPr>
            <w:r>
              <w:t>Artikel 29, stk. 1, i TEUF</w:t>
            </w:r>
          </w:p>
        </w:tc>
      </w:tr>
      <w:tr w:rsidR="0016503F" w:rsidRPr="0038198F" w:rsidTr="007E50BF">
        <w:trPr>
          <w:trHeight w:val="250"/>
        </w:trPr>
        <w:tc>
          <w:tcPr>
            <w:tcW w:w="3085" w:type="dxa"/>
          </w:tcPr>
          <w:p w:rsidR="0016503F" w:rsidRPr="0038198F" w:rsidRDefault="0016503F" w:rsidP="00363E64">
            <w:pPr>
              <w:overflowPunct/>
              <w:adjustRightInd/>
              <w:textAlignment w:val="auto"/>
              <w:rPr>
                <w:szCs w:val="22"/>
              </w:rPr>
            </w:pPr>
          </w:p>
        </w:tc>
        <w:tc>
          <w:tcPr>
            <w:tcW w:w="6202" w:type="dxa"/>
          </w:tcPr>
          <w:p w:rsidR="0016503F" w:rsidRPr="0038198F" w:rsidRDefault="0016503F" w:rsidP="00363E64">
            <w:pPr>
              <w:overflowPunct/>
              <w:adjustRightInd/>
              <w:textAlignment w:val="auto"/>
              <w:rPr>
                <w:szCs w:val="22"/>
              </w:rPr>
            </w:pPr>
          </w:p>
        </w:tc>
      </w:tr>
      <w:tr w:rsidR="007E50BF" w:rsidRPr="0038198F" w:rsidTr="005543F1">
        <w:tc>
          <w:tcPr>
            <w:tcW w:w="3085" w:type="dxa"/>
          </w:tcPr>
          <w:p w:rsidR="007E50BF" w:rsidRPr="0038198F" w:rsidRDefault="007E50BF" w:rsidP="00363E64">
            <w:pPr>
              <w:overflowPunct/>
              <w:adjustRightInd/>
              <w:textAlignment w:val="auto"/>
              <w:rPr>
                <w:szCs w:val="22"/>
              </w:rPr>
            </w:pPr>
            <w:r>
              <w:t>Plenarforsamlingens beslutning</w:t>
            </w:r>
          </w:p>
        </w:tc>
        <w:tc>
          <w:tcPr>
            <w:tcW w:w="6202" w:type="dxa"/>
          </w:tcPr>
          <w:p w:rsidR="007E50BF" w:rsidRPr="0038198F" w:rsidRDefault="005C5708" w:rsidP="00363E64">
            <w:pPr>
              <w:overflowPunct/>
              <w:adjustRightInd/>
              <w:textAlignment w:val="auto"/>
              <w:rPr>
                <w:szCs w:val="22"/>
              </w:rPr>
            </w:pPr>
            <w:r>
              <w:t>17/10/2017</w:t>
            </w:r>
          </w:p>
        </w:tc>
      </w:tr>
      <w:tr w:rsidR="00BA1290" w:rsidRPr="0038198F" w:rsidTr="007E50BF">
        <w:tc>
          <w:tcPr>
            <w:tcW w:w="3085" w:type="dxa"/>
          </w:tcPr>
          <w:p w:rsidR="00BA1290" w:rsidRPr="0038198F" w:rsidRDefault="00BA1290" w:rsidP="00363E64">
            <w:pPr>
              <w:overflowPunct/>
              <w:adjustRightInd/>
              <w:textAlignment w:val="auto"/>
              <w:rPr>
                <w:szCs w:val="22"/>
              </w:rPr>
            </w:pPr>
          </w:p>
        </w:tc>
        <w:tc>
          <w:tcPr>
            <w:tcW w:w="6202" w:type="dxa"/>
          </w:tcPr>
          <w:p w:rsidR="00BA1290" w:rsidRPr="0038198F" w:rsidRDefault="00BA1290" w:rsidP="00363E64">
            <w:pPr>
              <w:overflowPunct/>
              <w:adjustRightInd/>
              <w:textAlignment w:val="auto"/>
              <w:rPr>
                <w:szCs w:val="22"/>
              </w:rPr>
            </w:pPr>
          </w:p>
        </w:tc>
      </w:tr>
      <w:tr w:rsidR="00DF5B64" w:rsidRPr="0038198F" w:rsidTr="007E50BF">
        <w:tc>
          <w:tcPr>
            <w:tcW w:w="3085" w:type="dxa"/>
          </w:tcPr>
          <w:p w:rsidR="00DF5B64" w:rsidRPr="0038198F" w:rsidRDefault="00AD4B4F" w:rsidP="00363E64">
            <w:pPr>
              <w:overflowPunct/>
              <w:adjustRightInd/>
              <w:textAlignment w:val="auto"/>
              <w:rPr>
                <w:szCs w:val="22"/>
              </w:rPr>
            </w:pPr>
            <w:r>
              <w:t>Kompetence</w:t>
            </w:r>
          </w:p>
        </w:tc>
        <w:tc>
          <w:tcPr>
            <w:tcW w:w="6202" w:type="dxa"/>
          </w:tcPr>
          <w:p w:rsidR="00DF5B64" w:rsidRPr="0038198F" w:rsidRDefault="005C5708" w:rsidP="00363E64">
            <w:pPr>
              <w:overflowPunct/>
              <w:adjustRightInd/>
              <w:textAlignment w:val="auto"/>
              <w:rPr>
                <w:szCs w:val="22"/>
              </w:rPr>
            </w:pPr>
            <w:r>
              <w:t>Sektionen for Beskæftigelse, Sociale Spørgsmål og Unionsborgerskab</w:t>
            </w:r>
          </w:p>
        </w:tc>
      </w:tr>
      <w:tr w:rsidR="00A156E6" w:rsidRPr="0038198F" w:rsidTr="007E50BF">
        <w:tc>
          <w:tcPr>
            <w:tcW w:w="3085" w:type="dxa"/>
          </w:tcPr>
          <w:p w:rsidR="00A156E6" w:rsidRPr="0038198F" w:rsidRDefault="00A156E6" w:rsidP="00363E64">
            <w:pPr>
              <w:overflowPunct/>
              <w:adjustRightInd/>
              <w:textAlignment w:val="auto"/>
              <w:rPr>
                <w:szCs w:val="22"/>
              </w:rPr>
            </w:pPr>
            <w:r>
              <w:t>Vedtaget i sektionen</w:t>
            </w:r>
          </w:p>
        </w:tc>
        <w:tc>
          <w:tcPr>
            <w:tcW w:w="6202" w:type="dxa"/>
          </w:tcPr>
          <w:p w:rsidR="00A156E6" w:rsidRPr="0038198F" w:rsidRDefault="00DA4C02">
            <w:pPr>
              <w:overflowPunct/>
              <w:adjustRightInd/>
              <w:textAlignment w:val="auto"/>
              <w:rPr>
                <w:szCs w:val="22"/>
              </w:rPr>
            </w:pPr>
            <w:r>
              <w:t>27/03/2018</w:t>
            </w:r>
          </w:p>
        </w:tc>
      </w:tr>
      <w:tr w:rsidR="00A156E6" w:rsidRPr="0038198F" w:rsidTr="007E50BF">
        <w:tc>
          <w:tcPr>
            <w:tcW w:w="3085" w:type="dxa"/>
          </w:tcPr>
          <w:p w:rsidR="00A156E6" w:rsidRPr="0038198F" w:rsidRDefault="00A156E6" w:rsidP="00363E64">
            <w:pPr>
              <w:overflowPunct/>
              <w:adjustRightInd/>
              <w:textAlignment w:val="auto"/>
              <w:rPr>
                <w:szCs w:val="22"/>
              </w:rPr>
            </w:pPr>
            <w:r>
              <w:t>Vedtaget på plenarforsamlingen</w:t>
            </w:r>
          </w:p>
        </w:tc>
        <w:tc>
          <w:tcPr>
            <w:tcW w:w="6202" w:type="dxa"/>
          </w:tcPr>
          <w:p w:rsidR="00A156E6" w:rsidRPr="0038198F" w:rsidRDefault="00333C84">
            <w:pPr>
              <w:overflowPunct/>
              <w:adjustRightInd/>
              <w:textAlignment w:val="auto"/>
              <w:rPr>
                <w:szCs w:val="22"/>
              </w:rPr>
            </w:pPr>
            <w:r>
              <w:t>19/04/2018</w:t>
            </w:r>
          </w:p>
        </w:tc>
      </w:tr>
      <w:tr w:rsidR="00BA1290" w:rsidRPr="0038198F" w:rsidTr="007E50BF">
        <w:tc>
          <w:tcPr>
            <w:tcW w:w="3085" w:type="dxa"/>
          </w:tcPr>
          <w:p w:rsidR="00BA1290" w:rsidRPr="0038198F" w:rsidRDefault="00BA1290" w:rsidP="00363E64">
            <w:pPr>
              <w:overflowPunct/>
              <w:adjustRightInd/>
              <w:textAlignment w:val="auto"/>
              <w:rPr>
                <w:szCs w:val="22"/>
              </w:rPr>
            </w:pPr>
            <w:r>
              <w:t>Plenarforsamling nr.</w:t>
            </w:r>
          </w:p>
        </w:tc>
        <w:tc>
          <w:tcPr>
            <w:tcW w:w="6202" w:type="dxa"/>
          </w:tcPr>
          <w:p w:rsidR="00BA1290" w:rsidRPr="0038198F" w:rsidRDefault="00333C84">
            <w:pPr>
              <w:overflowPunct/>
              <w:adjustRightInd/>
              <w:textAlignment w:val="auto"/>
              <w:rPr>
                <w:szCs w:val="22"/>
              </w:rPr>
            </w:pPr>
            <w:r>
              <w:t>534</w:t>
            </w:r>
          </w:p>
        </w:tc>
      </w:tr>
      <w:tr w:rsidR="00A156E6" w:rsidRPr="0038198F" w:rsidTr="007E50BF">
        <w:tc>
          <w:tcPr>
            <w:tcW w:w="3085" w:type="dxa"/>
          </w:tcPr>
          <w:p w:rsidR="00D423D4" w:rsidRPr="0038198F" w:rsidRDefault="00BA6E87" w:rsidP="00363E64">
            <w:pPr>
              <w:overflowPunct/>
              <w:adjustRightInd/>
              <w:jc w:val="left"/>
              <w:textAlignment w:val="auto"/>
              <w:rPr>
                <w:szCs w:val="22"/>
              </w:rPr>
            </w:pPr>
            <w:r>
              <w:t>Resultat af afstemningen</w:t>
            </w:r>
            <w:r w:rsidR="0043024C">
              <w:br/>
              <w:t>(for/imod/hverken for eller imod)</w:t>
            </w:r>
          </w:p>
        </w:tc>
        <w:tc>
          <w:tcPr>
            <w:tcW w:w="6202" w:type="dxa"/>
            <w:vAlign w:val="bottom"/>
          </w:tcPr>
          <w:p w:rsidR="00A156E6" w:rsidRPr="0038198F" w:rsidRDefault="00333C84">
            <w:pPr>
              <w:overflowPunct/>
              <w:adjustRightInd/>
              <w:textAlignment w:val="auto"/>
              <w:rPr>
                <w:szCs w:val="22"/>
              </w:rPr>
            </w:pPr>
            <w:r>
              <w:t>194/0/4</w:t>
            </w:r>
          </w:p>
        </w:tc>
      </w:tr>
    </w:tbl>
    <w:p w:rsidR="00714AAF" w:rsidRPr="0038198F" w:rsidRDefault="00714AAF" w:rsidP="00363E64">
      <w:pPr>
        <w:overflowPunct/>
        <w:adjustRightInd/>
        <w:textAlignment w:val="auto"/>
      </w:pPr>
    </w:p>
    <w:p w:rsidR="00714AAF" w:rsidRPr="0038198F" w:rsidRDefault="00714AAF" w:rsidP="00363E64">
      <w:pPr>
        <w:overflowPunct/>
        <w:adjustRightInd/>
        <w:textAlignment w:val="auto"/>
      </w:pPr>
    </w:p>
    <w:p w:rsidR="00646AC2" w:rsidRPr="0038198F" w:rsidRDefault="00646AC2" w:rsidP="00363E64">
      <w:pPr>
        <w:overflowPunct/>
        <w:adjustRightInd/>
        <w:textAlignment w:val="auto"/>
      </w:pPr>
      <w:r>
        <w:br w:type="page"/>
      </w:r>
    </w:p>
    <w:p w:rsidR="00011D33" w:rsidRPr="0038198F" w:rsidRDefault="00011D33" w:rsidP="00BA6E87">
      <w:pPr>
        <w:pStyle w:val="Heading1"/>
        <w:keepNext/>
        <w:overflowPunct/>
        <w:adjustRightInd/>
        <w:ind w:left="567" w:hanging="567"/>
        <w:textAlignment w:val="auto"/>
        <w:rPr>
          <w:b/>
        </w:rPr>
      </w:pPr>
      <w:r>
        <w:rPr>
          <w:b/>
        </w:rPr>
        <w:lastRenderedPageBreak/>
        <w:t>Konklusioner og anbefalinger</w:t>
      </w:r>
    </w:p>
    <w:p w:rsidR="006174D6" w:rsidRPr="0038198F" w:rsidRDefault="006174D6" w:rsidP="00BA6E87">
      <w:pPr>
        <w:keepNext/>
        <w:overflowPunct/>
        <w:adjustRightInd/>
        <w:textAlignment w:val="auto"/>
      </w:pPr>
    </w:p>
    <w:p w:rsidR="006174D6" w:rsidRPr="0038198F" w:rsidRDefault="006174D6" w:rsidP="00BA6E87">
      <w:pPr>
        <w:pStyle w:val="Heading2"/>
        <w:overflowPunct/>
        <w:adjustRightInd/>
        <w:ind w:left="567" w:hanging="567"/>
        <w:textAlignment w:val="auto"/>
      </w:pPr>
      <w:r>
        <w:t>EØSU glæder sig over, at denne henstilling kommer på rette tidspunkt, idet vigtige reformer af lærlingeuddannelserne er ved at blive gennemført i de fleste medlemsstater, og roser Kommissionens intention om at finde frem til en fælles europæisk forståelse af, hvad der udgør en kvalitetspræget og effektiv lærlingeuddannelse.</w:t>
      </w:r>
    </w:p>
    <w:p w:rsidR="006174D6" w:rsidRPr="0038198F" w:rsidRDefault="006174D6" w:rsidP="00BA6E87">
      <w:pPr>
        <w:overflowPunct/>
        <w:adjustRightInd/>
        <w:textAlignment w:val="auto"/>
      </w:pPr>
    </w:p>
    <w:p w:rsidR="006174D6" w:rsidRPr="0038198F" w:rsidRDefault="006174D6" w:rsidP="00BA6E87">
      <w:pPr>
        <w:pStyle w:val="Heading2"/>
        <w:overflowPunct/>
        <w:adjustRightInd/>
        <w:ind w:left="567" w:hanging="567"/>
        <w:textAlignment w:val="auto"/>
      </w:pPr>
      <w:r>
        <w:t xml:space="preserve">Udvalget er enigt i, at Kommissionens valgte retlige instrument fremmer koordineringen af en fælles indsats for at forbedre kvaliteten og effektiviteten af lærlingeuddannelser. Samtidig vil der fortsat være fleksibilitet på nationalt plan. </w:t>
      </w:r>
    </w:p>
    <w:p w:rsidR="00346E42" w:rsidRPr="0038198F" w:rsidRDefault="00346E42" w:rsidP="00BA6E87">
      <w:pPr>
        <w:overflowPunct/>
        <w:adjustRightInd/>
        <w:textAlignment w:val="auto"/>
      </w:pPr>
    </w:p>
    <w:p w:rsidR="006174D6" w:rsidRPr="0038198F" w:rsidRDefault="006174D6" w:rsidP="00BA6E87">
      <w:pPr>
        <w:pStyle w:val="Heading2"/>
        <w:overflowPunct/>
        <w:adjustRightInd/>
        <w:ind w:left="567" w:hanging="567"/>
        <w:textAlignment w:val="auto"/>
      </w:pPr>
      <w:r>
        <w:t>EØSU bemærker, at den definition og de kriterier, som Kommissionen har udarbejdet i forslaget til Rådets henstilling, respekterer mangfoldigheden af de nationale ordninger på lærlingeområdet.</w:t>
      </w:r>
    </w:p>
    <w:p w:rsidR="006174D6" w:rsidRPr="0038198F" w:rsidRDefault="006174D6" w:rsidP="00BA6E87">
      <w:pPr>
        <w:overflowPunct/>
        <w:adjustRightInd/>
        <w:textAlignment w:val="auto"/>
      </w:pPr>
    </w:p>
    <w:p w:rsidR="006174D6" w:rsidRPr="0038198F" w:rsidRDefault="006174D6" w:rsidP="00BA6E87">
      <w:pPr>
        <w:pStyle w:val="Heading2"/>
        <w:overflowPunct/>
        <w:adjustRightInd/>
        <w:ind w:left="567" w:hanging="567"/>
        <w:textAlignment w:val="auto"/>
      </w:pPr>
      <w:r>
        <w:t xml:space="preserve">EØSU bifalder, at medlemsstaterne i forslaget til Rådets henstilling opfordres til at fremme aktiv inddragelse af arbejdsmarkedets parter i udformningen, forvaltningen og gennemførelsen af lærlingeordninger i overensstemmelse med de nationale systemer for arbejdsmarkedsrelationer og uddannelsespraksis. </w:t>
      </w:r>
    </w:p>
    <w:p w:rsidR="006174D6" w:rsidRPr="0038198F" w:rsidRDefault="006174D6" w:rsidP="00BA6E87">
      <w:pPr>
        <w:overflowPunct/>
        <w:adjustRightInd/>
        <w:textAlignment w:val="auto"/>
      </w:pPr>
    </w:p>
    <w:p w:rsidR="00804E7A" w:rsidRPr="0038198F" w:rsidRDefault="00804E7A" w:rsidP="00BA6E87">
      <w:pPr>
        <w:pStyle w:val="Heading2"/>
        <w:overflowPunct/>
        <w:adjustRightInd/>
        <w:ind w:left="567" w:hanging="567"/>
        <w:textAlignment w:val="auto"/>
      </w:pPr>
      <w:r>
        <w:t>EØSU mener, at udformningen, forvaltningen og gennemførelsen af lærlingeordninger også bør omfatte aktiv inddragelse af dem, der ikke traditionelt er blevet betragtet som naturlige interessenter på dette område, men som er lige så vigtige for processen, herunder ungdoms- og forældreorganisationer, studenterorganisationer og lærlingene selv.</w:t>
      </w:r>
    </w:p>
    <w:p w:rsidR="00804E7A" w:rsidRPr="0038198F" w:rsidRDefault="00804E7A" w:rsidP="00BA6E87">
      <w:pPr>
        <w:overflowPunct/>
        <w:adjustRightInd/>
        <w:textAlignment w:val="auto"/>
      </w:pPr>
    </w:p>
    <w:p w:rsidR="00804E7A" w:rsidRPr="0038198F" w:rsidRDefault="00804E7A" w:rsidP="00BA6E87">
      <w:pPr>
        <w:pStyle w:val="Heading2"/>
        <w:overflowPunct/>
        <w:adjustRightInd/>
        <w:ind w:left="567" w:hanging="567"/>
        <w:textAlignment w:val="auto"/>
      </w:pPr>
      <w:r>
        <w:t>EØSU anerkender den positive rolle, som lærlingeuddannelser kan spille med hensyn til at styrke færdigheder og beskæftigelsesegnethed, især for de unge, men fremhæver, at arbejdsløshed er et komplekst fænomen, som kræver en holistisk tilgang for at tackle de underliggende årsager ud over spørgsmålet om den manglende overensstemmelse mellem udbudte og efterspurgte færdigheder og kompetencer.</w:t>
      </w:r>
    </w:p>
    <w:p w:rsidR="00804E7A" w:rsidRPr="0038198F" w:rsidRDefault="00804E7A" w:rsidP="00BA6E87">
      <w:pPr>
        <w:overflowPunct/>
        <w:adjustRightInd/>
        <w:textAlignment w:val="auto"/>
      </w:pPr>
    </w:p>
    <w:p w:rsidR="00DB63C5" w:rsidRPr="0038198F" w:rsidRDefault="00DB63C5" w:rsidP="00BA6E87">
      <w:pPr>
        <w:pStyle w:val="Heading2"/>
        <w:overflowPunct/>
        <w:adjustRightInd/>
        <w:ind w:left="567" w:hanging="567"/>
        <w:textAlignment w:val="auto"/>
      </w:pPr>
      <w:r>
        <w:t>EØSU mener, at forslaget til henstilling i højere grad bør fokusere på de måder, hvorpå lærlingene kan udvikle et større medansvar for udformningen og forvaltningen af deres egne lærlingeforløb. Ved at give lærlinge mulighed for at påvirke deres egen læringserfaring, kan der skabes mere produktive læringserfaringer, som også vil være til gavn for dem, der udbyder praktikpladser.</w:t>
      </w:r>
    </w:p>
    <w:p w:rsidR="00AF74CC" w:rsidRPr="0038198F" w:rsidRDefault="00AF74CC" w:rsidP="00BA6E87">
      <w:pPr>
        <w:overflowPunct/>
        <w:adjustRightInd/>
        <w:textAlignment w:val="auto"/>
      </w:pPr>
    </w:p>
    <w:p w:rsidR="00AF74CC" w:rsidRPr="0038198F" w:rsidRDefault="00AF74CC" w:rsidP="00BA6E87">
      <w:pPr>
        <w:pStyle w:val="Heading2"/>
        <w:shd w:val="clear" w:color="auto" w:fill="FFFFFF" w:themeFill="background1"/>
        <w:overflowPunct/>
        <w:adjustRightInd/>
        <w:ind w:left="567" w:hanging="567"/>
        <w:textAlignment w:val="auto"/>
      </w:pPr>
      <w:r>
        <w:t>Udvalget opfordrer til en tydelig sammenkædning, effektiv koordinering og skabelse af synergi mellem dette initiativ og de initiativer, der allerede er iværksat gennem EQAVET-netværket</w:t>
      </w:r>
      <w:r>
        <w:rPr>
          <w:rStyle w:val="FootnoteReference"/>
        </w:rPr>
        <w:footnoteReference w:id="1"/>
      </w:r>
      <w:r>
        <w:t xml:space="preserve"> og i tilknytning til Eures</w:t>
      </w:r>
      <w:r>
        <w:rPr>
          <w:rStyle w:val="FootnoteReference"/>
        </w:rPr>
        <w:footnoteReference w:id="2"/>
      </w:r>
      <w:r>
        <w:t>.</w:t>
      </w:r>
    </w:p>
    <w:p w:rsidR="00BB775F" w:rsidRPr="0038198F" w:rsidRDefault="00BB775F" w:rsidP="00BA6E87">
      <w:pPr>
        <w:overflowPunct/>
        <w:adjustRightInd/>
        <w:textAlignment w:val="auto"/>
      </w:pPr>
    </w:p>
    <w:p w:rsidR="00BB775F" w:rsidRPr="0038198F" w:rsidRDefault="00BB775F" w:rsidP="00BA6E87">
      <w:pPr>
        <w:pStyle w:val="Heading2"/>
        <w:overflowPunct/>
        <w:adjustRightInd/>
        <w:ind w:left="567" w:hanging="567"/>
        <w:textAlignment w:val="auto"/>
      </w:pPr>
      <w:r>
        <w:lastRenderedPageBreak/>
        <w:t>EØSU efterlyser initiativer, som udforsker potentialet i grænseoverskridende mobilitet for lærlinge i EU. Disse initiativer bør tage hensyn til de fremskridt, der er gjort i medlemsstaterne, især med hensyn til problemerne med at skabe de nødvendige forudsætninger for at støtte lærlingenes mobilitet.</w:t>
      </w:r>
    </w:p>
    <w:p w:rsidR="00BB775F" w:rsidRPr="0038198F" w:rsidRDefault="00BB775F" w:rsidP="00BA6E87">
      <w:pPr>
        <w:overflowPunct/>
        <w:adjustRightInd/>
        <w:textAlignment w:val="auto"/>
      </w:pPr>
    </w:p>
    <w:p w:rsidR="009E3613" w:rsidRPr="0038198F" w:rsidRDefault="009E3613" w:rsidP="00BA6E87">
      <w:pPr>
        <w:pStyle w:val="Heading2"/>
        <w:overflowPunct/>
        <w:adjustRightInd/>
        <w:ind w:left="567" w:hanging="567"/>
        <w:textAlignment w:val="auto"/>
      </w:pPr>
      <w:r>
        <w:t>EØSU bifalder hensigten om at overvåge gennemførelsen af henstillingen med støtte fra Det Rådgivende Udvalg for Erhvervsrettet Uddannelse (ACVT) og gennem det europæiske semester. Udvalget foreslår, at der udvikles indikatorer til at vurdere virkningen på nationalt plan. Udvalget er rede til at vurdere gennemførelsen af henstillingen i medlemsstaterne set fra det organiserede civilsamfunds perspektiv.</w:t>
      </w:r>
    </w:p>
    <w:p w:rsidR="00804E7A" w:rsidRPr="0038198F" w:rsidRDefault="00804E7A" w:rsidP="00BA6E87">
      <w:pPr>
        <w:overflowPunct/>
        <w:adjustRightInd/>
        <w:textAlignment w:val="auto"/>
      </w:pPr>
    </w:p>
    <w:p w:rsidR="006174D6" w:rsidRPr="0038198F" w:rsidRDefault="00DB63C5" w:rsidP="00BA6E87">
      <w:pPr>
        <w:pStyle w:val="Heading1"/>
        <w:keepNext/>
        <w:overflowPunct/>
        <w:adjustRightInd/>
        <w:ind w:left="567" w:hanging="567"/>
        <w:textAlignment w:val="auto"/>
        <w:rPr>
          <w:b/>
        </w:rPr>
      </w:pPr>
      <w:r>
        <w:rPr>
          <w:b/>
        </w:rPr>
        <w:t>Baggrunden for forslaget til Rådets henstilling</w:t>
      </w:r>
    </w:p>
    <w:p w:rsidR="006174D6" w:rsidRPr="0038198F" w:rsidRDefault="006174D6" w:rsidP="00BA6E87">
      <w:pPr>
        <w:keepNext/>
        <w:overflowPunct/>
        <w:adjustRightInd/>
        <w:textAlignment w:val="auto"/>
      </w:pPr>
    </w:p>
    <w:p w:rsidR="008B5ABF" w:rsidRPr="0038198F" w:rsidRDefault="006174D6" w:rsidP="00BA6E87">
      <w:pPr>
        <w:pStyle w:val="Heading2"/>
        <w:overflowPunct/>
        <w:adjustRightInd/>
        <w:ind w:left="567" w:hanging="567"/>
        <w:textAlignment w:val="auto"/>
      </w:pPr>
      <w:r>
        <w:t>Forslaget til en europæisk ramme for gode og effektive lærlingeuddannelser følger op på "En ny dagsorden for færdigheder i Europa"</w:t>
      </w:r>
      <w:r>
        <w:rPr>
          <w:rStyle w:val="FootnoteReference"/>
        </w:rPr>
        <w:footnoteReference w:id="3"/>
      </w:r>
      <w:r>
        <w:t xml:space="preserve"> og bidrager til opfyldelsen af EU's prioriter om at fremme beskæftigelse, vækst og investeringer. Forslaget supplerer de principper, der er fastsat i den europæiske søjle for sociale rettigheder og støtter dens gennemførelse på nationalt plan. Kvalitetsprægede lærlingeuddannelser har også stor betydning for en vellykket gennemførelse af ungdomsgarantien, og forslaget er en reaktion på den stadigt mere presserende opfordring til at sikre bedre praktikpladser under ungdomsgarantiinitiativet.</w:t>
      </w:r>
    </w:p>
    <w:p w:rsidR="00BB775F" w:rsidRPr="0038198F" w:rsidRDefault="00BB775F" w:rsidP="00BA6E87"/>
    <w:p w:rsidR="00BB775F" w:rsidRPr="0038198F" w:rsidRDefault="00BB775F" w:rsidP="00BA6E87">
      <w:pPr>
        <w:pStyle w:val="Heading2"/>
        <w:overflowPunct/>
        <w:adjustRightInd/>
        <w:ind w:left="567" w:hanging="567"/>
        <w:textAlignment w:val="auto"/>
      </w:pPr>
      <w:r>
        <w:t xml:space="preserve">Inden for rammerne af EU's sociale dialog om integrerede projekter 2014-2016 har de europæiske arbejdsmarkedsparter arbejdet på hver deres projekter om lærlingeuddannelser: EFS fokuserede på lærlingeuddannelsernes kvalitet, og </w:t>
      </w:r>
      <w:proofErr w:type="spellStart"/>
      <w:r>
        <w:t>BusinessEurope</w:t>
      </w:r>
      <w:proofErr w:type="spellEnd"/>
      <w:r>
        <w:t>, UEAPME og CEEP fokuserede på omkostningseffektivitet. Deres arbejde resulterede i en fælles erklæring "</w:t>
      </w:r>
      <w:r>
        <w:rPr>
          <w:i/>
        </w:rPr>
        <w:t>Mod en fælles vision for lærlingeuddannelser</w:t>
      </w:r>
      <w:r>
        <w:t>"</w:t>
      </w:r>
      <w:r>
        <w:rPr>
          <w:rStyle w:val="FootnoteReference"/>
        </w:rPr>
        <w:footnoteReference w:id="4"/>
      </w:r>
      <w:r>
        <w:t>, hvori betydningen af både kvaliteten og omkostningseffektiviteten af lærlingeuddannelser blev fremhævet.</w:t>
      </w:r>
    </w:p>
    <w:p w:rsidR="00BB775F" w:rsidRPr="0038198F" w:rsidRDefault="00BB775F" w:rsidP="00BA6E87"/>
    <w:p w:rsidR="00BB775F" w:rsidRPr="0038198F" w:rsidRDefault="00BB775F" w:rsidP="00BA6E87">
      <w:pPr>
        <w:pStyle w:val="Heading2"/>
        <w:overflowPunct/>
        <w:adjustRightInd/>
        <w:ind w:left="567" w:hanging="567"/>
        <w:textAlignment w:val="auto"/>
      </w:pPr>
      <w:r>
        <w:t>I juli 2013 oprettedes Den Europæiske Alliance for Lærlingeuddannelser (</w:t>
      </w:r>
      <w:proofErr w:type="spellStart"/>
      <w:r>
        <w:t>EAfA</w:t>
      </w:r>
      <w:proofErr w:type="spellEnd"/>
      <w:r>
        <w:t>) – en unik platform for statslige myndigheder og berørte aktører (virksomheder, arbejdsmarkedets parter, handelskamre, udbydere af erhvervsuddannelse, regioner, ungdomsrepræsentanter og tænketanke) med det formål at sikre flere og bedre lærlingeuddannelser i Europa og gøre dem mere attraktive</w:t>
      </w:r>
      <w:r>
        <w:rPr>
          <w:rStyle w:val="FootnoteReference"/>
        </w:rPr>
        <w:footnoteReference w:id="5"/>
      </w:r>
      <w:r>
        <w:t>.</w:t>
      </w:r>
    </w:p>
    <w:p w:rsidR="00346E42" w:rsidRPr="0038198F" w:rsidRDefault="00346E42" w:rsidP="00BA6E87">
      <w:pPr>
        <w:overflowPunct/>
        <w:adjustRightInd/>
        <w:textAlignment w:val="auto"/>
      </w:pPr>
    </w:p>
    <w:p w:rsidR="006174D6" w:rsidRPr="0038198F" w:rsidRDefault="006174D6" w:rsidP="00BA6E87">
      <w:pPr>
        <w:pStyle w:val="Heading2"/>
        <w:overflowPunct/>
        <w:adjustRightInd/>
        <w:ind w:left="567" w:hanging="567"/>
        <w:textAlignment w:val="auto"/>
      </w:pPr>
      <w:r>
        <w:t xml:space="preserve">Den foreslåede retsakt, et forslag til Rådets henstilling, overholder nærheds- og proportionalitetsprincippet. Som juridisk instrument er det et tegn på medlemsstaternes opbakning til foranstaltningerne i henstillingen, og det udgør et solidt politisk grundlag for samarbejde på europæisk plan på dette område. Da lærlingeuddannelser normalt er baseret på en ansættelseskontrakt eller andre kontraktforhold, betragtes lærlinge derfor både som arbejdsbaserede lærende og som arbejdstagere. Retsgrundlaget for dette initiativ er derfor artikel 153, 166 og 292 i TEUF. </w:t>
      </w:r>
    </w:p>
    <w:p w:rsidR="006174D6" w:rsidRPr="0038198F" w:rsidRDefault="006174D6" w:rsidP="00BA6E87">
      <w:pPr>
        <w:overflowPunct/>
        <w:adjustRightInd/>
        <w:textAlignment w:val="auto"/>
      </w:pPr>
    </w:p>
    <w:p w:rsidR="006174D6" w:rsidRPr="0038198F" w:rsidRDefault="006174D6" w:rsidP="00BA6E87">
      <w:pPr>
        <w:pStyle w:val="Heading2"/>
        <w:overflowPunct/>
        <w:adjustRightInd/>
        <w:ind w:left="567" w:hanging="567"/>
        <w:textAlignment w:val="auto"/>
      </w:pPr>
      <w:r>
        <w:t>Det overordnede mål med denne henstilling er at "</w:t>
      </w:r>
      <w:r>
        <w:rPr>
          <w:i/>
        </w:rPr>
        <w:t>gøre det lettere for lærlinge at finde beskæftigelse og opnå personlig udvikling og at bidrage til udviklingen af en højtkvalificeret arbejdsstyrke, som imødekommer behovene på arbejdsmarkedet</w:t>
      </w:r>
      <w:r>
        <w:t>"</w:t>
      </w:r>
      <w:r>
        <w:rPr>
          <w:rStyle w:val="FootnoteReference"/>
        </w:rPr>
        <w:footnoteReference w:id="6"/>
      </w:r>
      <w:r>
        <w:t>. Det specifikke mål er at "</w:t>
      </w:r>
      <w:r>
        <w:rPr>
          <w:i/>
        </w:rPr>
        <w:t>skabe en sammenhængende ramme for lærlingeuddannelser baseret på en fælles forståelse af, hvad der definerer kvalitet og effektivitet, idet der tages hensyn til forskellene i medlemsstaternes erhvervsuddannelsessystemer</w:t>
      </w:r>
      <w:r>
        <w:t>".</w:t>
      </w:r>
    </w:p>
    <w:p w:rsidR="006174D6" w:rsidRPr="0038198F" w:rsidRDefault="006174D6" w:rsidP="00BA6E87">
      <w:pPr>
        <w:overflowPunct/>
        <w:adjustRightInd/>
        <w:textAlignment w:val="auto"/>
      </w:pPr>
    </w:p>
    <w:p w:rsidR="00697300" w:rsidRPr="0038198F" w:rsidRDefault="006174D6" w:rsidP="00BA6E87">
      <w:pPr>
        <w:pStyle w:val="Heading2"/>
        <w:overflowPunct/>
        <w:adjustRightInd/>
        <w:ind w:left="567" w:hanging="567"/>
        <w:textAlignment w:val="auto"/>
      </w:pPr>
      <w:r>
        <w:t>I denne henstilling forstås ved lærlingeuddannelser "</w:t>
      </w:r>
      <w:r>
        <w:rPr>
          <w:i/>
        </w:rPr>
        <w:t>formelle erhvervsuddannelsesordninger, der for en stor del består i arbejdsbaseret læring i virksomheder og på andre arbejdspladser kombineret med læring i uddannelsesinstitutioner, og som fører til nationalt anerkendte kvalifikationer</w:t>
      </w:r>
      <w:r>
        <w:t>.</w:t>
      </w:r>
      <w:r>
        <w:rPr>
          <w:i/>
        </w:rPr>
        <w:t xml:space="preserve"> Disse er kendetegnet ved et kontraktforhold mellem lærlingen, arbejdsgiveren og/eller erhvervsuddannelsesinstitutionen, hvor lærlingen aflønnes eller kompenseres for sit arbejde</w:t>
      </w:r>
      <w:r>
        <w:t>".</w:t>
      </w:r>
    </w:p>
    <w:p w:rsidR="00742AE3" w:rsidRPr="0038198F" w:rsidRDefault="00742AE3" w:rsidP="00BA6E87">
      <w:pPr>
        <w:overflowPunct/>
        <w:adjustRightInd/>
        <w:textAlignment w:val="auto"/>
      </w:pPr>
    </w:p>
    <w:p w:rsidR="006174D6" w:rsidRPr="0038198F" w:rsidRDefault="00E426ED" w:rsidP="00BA6E87">
      <w:pPr>
        <w:pStyle w:val="Heading2"/>
        <w:overflowPunct/>
        <w:adjustRightInd/>
        <w:ind w:left="567" w:hanging="567"/>
        <w:textAlignment w:val="auto"/>
      </w:pPr>
      <w:r>
        <w:t xml:space="preserve">For at sikre, at lærlingeordningerne tilrettelægges efter arbejdsmarkedets behov og skaber fordele for både studerende og arbejdsgivere, opstiller og anbefaler forslaget kriterier for gode og effektive lærlingeuddannelser på to komplementære områder. På det første område "læring og arbejdsvilkår" er de specifikke kriterier: skriftlig kontrakt, læringsresultater, pædagogisk støtte, arbejdspladsen, løn og/eller godtgørelse, social beskyttelse, </w:t>
      </w:r>
      <w:proofErr w:type="spellStart"/>
      <w:r>
        <w:t>arbejds</w:t>
      </w:r>
      <w:proofErr w:type="spellEnd"/>
      <w:r>
        <w:t>-, sundheds- og sikkerhedsbetingelser. På det andet område "rammebetingelser" er de specifikke kriterier: reguleringsmæssige rammer, inddragelse af arbejdsmarkedets parter, støtte til virksomheder, fleksible læringsforløb og mobilitet, erhvervsvejledning og oplysningsaktiviteter, gennemsigtighed, kvalitetssikring og sporing af færdiguddannede.</w:t>
      </w:r>
    </w:p>
    <w:p w:rsidR="006174D6" w:rsidRPr="0038198F" w:rsidRDefault="006174D6" w:rsidP="00BA6E87">
      <w:pPr>
        <w:overflowPunct/>
        <w:adjustRightInd/>
        <w:textAlignment w:val="auto"/>
      </w:pPr>
    </w:p>
    <w:p w:rsidR="006174D6" w:rsidRPr="0038198F" w:rsidRDefault="006174D6" w:rsidP="00BA6E87">
      <w:pPr>
        <w:pStyle w:val="Heading1"/>
        <w:keepNext/>
        <w:overflowPunct/>
        <w:adjustRightInd/>
        <w:ind w:left="567" w:hanging="567"/>
        <w:textAlignment w:val="auto"/>
      </w:pPr>
      <w:r>
        <w:rPr>
          <w:b/>
        </w:rPr>
        <w:t>Generelle bemærkninger</w:t>
      </w:r>
    </w:p>
    <w:p w:rsidR="006174D6" w:rsidRPr="0038198F" w:rsidRDefault="006174D6" w:rsidP="00BA6E87">
      <w:pPr>
        <w:keepNext/>
        <w:overflowPunct/>
        <w:adjustRightInd/>
        <w:textAlignment w:val="auto"/>
        <w:rPr>
          <w:strike/>
        </w:rPr>
      </w:pPr>
    </w:p>
    <w:p w:rsidR="006174D6" w:rsidRPr="0038198F" w:rsidRDefault="006174D6" w:rsidP="00BA6E87">
      <w:pPr>
        <w:pStyle w:val="Heading2"/>
        <w:overflowPunct/>
        <w:adjustRightInd/>
        <w:ind w:left="567" w:hanging="567"/>
        <w:textAlignment w:val="auto"/>
      </w:pPr>
      <w:r>
        <w:t xml:space="preserve">EØSU bifalder og støtter forslaget til henstilling, som bygger på og supplerer de seneste initiativer på alle niveauer, hvor der fokuseres på relanceringen af gode og effektive lærlingeuddannelser i Den Europæiske Union. </w:t>
      </w:r>
    </w:p>
    <w:p w:rsidR="00AF41CF" w:rsidRPr="0038198F" w:rsidRDefault="00AF41CF" w:rsidP="00BA6E87">
      <w:pPr>
        <w:overflowPunct/>
        <w:adjustRightInd/>
        <w:textAlignment w:val="auto"/>
      </w:pPr>
    </w:p>
    <w:p w:rsidR="00786DEB" w:rsidRPr="0038198F" w:rsidRDefault="00786DEB" w:rsidP="00BA6E87">
      <w:pPr>
        <w:pStyle w:val="Heading2"/>
        <w:overflowPunct/>
        <w:adjustRightInd/>
        <w:ind w:left="567" w:hanging="567"/>
        <w:textAlignment w:val="auto"/>
      </w:pPr>
      <w:r>
        <w:t>I Rom-erklæringen af marts 2017 forpligtede de europæiske stats- og regeringschefer sig til at arbejde hen imod en "</w:t>
      </w:r>
      <w:r>
        <w:rPr>
          <w:i/>
        </w:rPr>
        <w:t>Union, hvor unge får den bedste uddannelse og kan studere og finde beskæftigelse på hele kontinentet</w:t>
      </w:r>
      <w:r>
        <w:t>". En væsentlig del af dette tilsagn går på at give de unge færdigheder, som kan lette deres adgang til arbejdsmarkedet. En effektiv måde at gøre dette på er gennem lærlingeuddannelser.</w:t>
      </w:r>
    </w:p>
    <w:p w:rsidR="00D66328" w:rsidRPr="0038198F" w:rsidRDefault="00D66328" w:rsidP="00BA6E87">
      <w:pPr>
        <w:overflowPunct/>
        <w:adjustRightInd/>
        <w:textAlignment w:val="auto"/>
      </w:pPr>
    </w:p>
    <w:p w:rsidR="00D66328" w:rsidRPr="0038198F" w:rsidRDefault="00D66328" w:rsidP="00BA6E87">
      <w:pPr>
        <w:numPr>
          <w:ilvl w:val="1"/>
          <w:numId w:val="1"/>
        </w:numPr>
        <w:overflowPunct/>
        <w:adjustRightInd/>
        <w:ind w:left="567" w:hanging="567"/>
        <w:textAlignment w:val="auto"/>
        <w:outlineLvl w:val="1"/>
      </w:pPr>
      <w:r>
        <w:t>Det er klart, at lærlingeuddannelser ikke kan være løsningen på arbejdsløshedsproblemet. Lærlingeuddannelser kan være nyttige til at opkvalificere/omskole arbejdsløse i alle aldre med det mål at reintegrere dem på arbejdsmarkedet. Lærlingeuddannelser bør også være et tilbud til personer med migrantbaggrund som en effektiv politisk strategi til fremme af social integration og en integreret arbejdsstyrke. Samtidig må det undgås, at lærlingeuddannelser rettes mod lavt kvalificerede job og ringe uddannelse – dette vil kunne skade lærlingeuddannelsernes omdømme.</w:t>
      </w:r>
    </w:p>
    <w:p w:rsidR="00786DEB" w:rsidRPr="0038198F" w:rsidRDefault="00786DEB" w:rsidP="00BA6E87">
      <w:pPr>
        <w:overflowPunct/>
        <w:adjustRightInd/>
        <w:textAlignment w:val="auto"/>
      </w:pPr>
    </w:p>
    <w:p w:rsidR="005A2A28" w:rsidRPr="0038198F" w:rsidRDefault="006174D6" w:rsidP="00BA6E87">
      <w:pPr>
        <w:pStyle w:val="Heading2"/>
        <w:overflowPunct/>
        <w:adjustRightInd/>
        <w:ind w:left="567" w:hanging="567"/>
        <w:textAlignment w:val="auto"/>
      </w:pPr>
      <w:r>
        <w:t>Som en form for arbejdsbaseret læring giver lærlingeuddannelser den enkelte mulighed for at tilegne sig formelle kvalifikationer såvel som fagspecifikke færdigheder og kompetencer, der imødekommer arbejdsmarkedets behov og dermed forbedrer vedkommendes beskæftigelsesevne og beskæftigelsesmuligheder</w:t>
      </w:r>
      <w:r>
        <w:rPr>
          <w:rStyle w:val="FootnoteReference"/>
        </w:rPr>
        <w:footnoteReference w:id="7"/>
      </w:r>
      <w:r>
        <w:t xml:space="preserve">. Læringserfaringen bør resultere i robuste færdigheder og kompetencer, som er anvendelige også uden for den pågældende praktikplads. Det er en måde, hvorpå man kan støtte den enkeltes personlige udvikling og hjælpe vedkommende med at tilegne sig tekniske, digitale, bløde og sociale færdigheder på en integreret måde. </w:t>
      </w:r>
    </w:p>
    <w:p w:rsidR="005A2A28" w:rsidRPr="0038198F" w:rsidRDefault="005A2A28" w:rsidP="00BA6E87">
      <w:pPr>
        <w:overflowPunct/>
        <w:adjustRightInd/>
        <w:textAlignment w:val="auto"/>
      </w:pPr>
    </w:p>
    <w:p w:rsidR="00BF7640" w:rsidRPr="0038198F" w:rsidRDefault="00F215F4" w:rsidP="00BA6E87">
      <w:pPr>
        <w:pStyle w:val="Heading2"/>
        <w:overflowPunct/>
        <w:adjustRightInd/>
        <w:ind w:left="567" w:hanging="567"/>
        <w:textAlignment w:val="auto"/>
      </w:pPr>
      <w:r>
        <w:t>De kan være særligt effektive redskaber til at lette overgangen fra uddannelse til arbejde</w:t>
      </w:r>
      <w:r>
        <w:rPr>
          <w:rStyle w:val="FootnoteReference"/>
        </w:rPr>
        <w:footnoteReference w:id="8"/>
      </w:r>
      <w:r>
        <w:t xml:space="preserve">. Denne overgangsperiode bliver stadigt længere for mange unge, og der bør lægges større vægt på at afkorte dette forløb. Derfor bør uddannelsesmuligheder som f.eks. lærlingeuddannelser gøres endnu mere relevante, ved at der fastsættes kvalitetsstandarder og indføres effektive ordninger. </w:t>
      </w:r>
    </w:p>
    <w:p w:rsidR="00323558" w:rsidRPr="0038198F" w:rsidRDefault="00323558" w:rsidP="00BA6E87"/>
    <w:p w:rsidR="00323558" w:rsidRPr="0038198F" w:rsidRDefault="00323558" w:rsidP="00BA6E87">
      <w:pPr>
        <w:pStyle w:val="Heading2"/>
        <w:ind w:left="567" w:hanging="567"/>
      </w:pPr>
      <w:r>
        <w:t>Selv om lærlinge som oftest er unge, vil udvalget gerne understrege, at lærlingeordninger bør udformes på en sådan måde, at de kan appellere til voksne. Lærlingeuddannelser for voksne giver mulighed for at erhverve kvalifikationer, der øger beskæftigelsesevnen og åbner nye muligheder for karriereudvikling.</w:t>
      </w:r>
    </w:p>
    <w:p w:rsidR="00BF7640" w:rsidRPr="0038198F" w:rsidRDefault="00BF7640" w:rsidP="00BA6E87">
      <w:pPr>
        <w:overflowPunct/>
        <w:adjustRightInd/>
        <w:textAlignment w:val="auto"/>
      </w:pPr>
    </w:p>
    <w:p w:rsidR="00BF7640" w:rsidRPr="0038198F" w:rsidRDefault="00BF7640" w:rsidP="00BA6E87">
      <w:pPr>
        <w:pStyle w:val="Heading2"/>
        <w:ind w:left="567" w:hanging="567"/>
      </w:pPr>
      <w:r>
        <w:t>Arbejdsgivere oplever en stigende mangel på arbejdstagere med relevante færdigheder, der imødekommer deres behov, og som kan bidrage til, at de forbliver konkurrencedygtige. Lærlingeuddannelser kan udstyre lærlinge med færdigheder, der styrker deres beskæftigelsesevne, og som arbejdsmarkedet samtidig har brug for. Hvis der er overensstemmelse mellem de færdigheder, som både lærlinge og arbejdsgivere har brug for, kan lærlingeordningerne være attraktive for begge parter. Desuden giver lærlingeuddannelser en arbejdsgiver mulighed for at uddanne og investere i mennesker og med tiden fastholde kvalificerede og motiverede medarbejdere</w:t>
      </w:r>
      <w:r>
        <w:rPr>
          <w:rStyle w:val="FootnoteReference"/>
        </w:rPr>
        <w:footnoteReference w:id="9"/>
      </w:r>
      <w:r>
        <w:t>.</w:t>
      </w:r>
    </w:p>
    <w:p w:rsidR="002F30C8" w:rsidRPr="0038198F" w:rsidRDefault="002F30C8" w:rsidP="00BA6E87"/>
    <w:p w:rsidR="00E409A3" w:rsidRPr="0038198F" w:rsidRDefault="00E409A3" w:rsidP="00BA6E87">
      <w:pPr>
        <w:numPr>
          <w:ilvl w:val="1"/>
          <w:numId w:val="1"/>
        </w:numPr>
        <w:overflowPunct/>
        <w:adjustRightInd/>
        <w:ind w:left="567" w:hanging="567"/>
        <w:textAlignment w:val="auto"/>
        <w:outlineLvl w:val="1"/>
      </w:pPr>
      <w:r>
        <w:t>EØSU er klar over, at virksomheder analyserer, hvordan de kan engagere sig i lærlingeordninger for at gøre dem mere attraktive og fordelagtige for dem. Endvidere understreger EØSU, at effektiviteten af lærlingeuddannelser er et mangesidet koncept, og at der ikke udelukkende er tale om en cost-benefit-analyse. På den ene side handler effektivitet om at anerkende, at udbydere af praktikpladser investerer i at skabe en læringserfaring og "forventer et afkast på investeringen over tid i form af færdigheder, der i højere grad matcher behovene, hvilket igen vil tilskynde til og fremme udbuddet af praktikpladser"</w:t>
      </w:r>
      <w:r>
        <w:rPr>
          <w:rStyle w:val="FootnoteReference"/>
        </w:rPr>
        <w:footnoteReference w:id="10"/>
      </w:r>
      <w:r>
        <w:t xml:space="preserve">. På den anden side handler det om effektivt at få sluset personer ind på arbejdsmarkedet på en kvalitativ måde. </w:t>
      </w:r>
    </w:p>
    <w:p w:rsidR="00E409A3" w:rsidRPr="0038198F" w:rsidRDefault="00E409A3" w:rsidP="00BA6E87">
      <w:pPr>
        <w:overflowPunct/>
        <w:adjustRightInd/>
        <w:textAlignment w:val="auto"/>
      </w:pPr>
    </w:p>
    <w:p w:rsidR="006174D6" w:rsidRPr="0038198F" w:rsidRDefault="0045392E" w:rsidP="00BA6E87">
      <w:pPr>
        <w:pStyle w:val="Heading1"/>
        <w:keepNext/>
        <w:keepLines/>
        <w:overflowPunct/>
        <w:adjustRightInd/>
        <w:ind w:left="567" w:hanging="567"/>
        <w:textAlignment w:val="auto"/>
      </w:pPr>
      <w:r>
        <w:rPr>
          <w:b/>
        </w:rPr>
        <w:lastRenderedPageBreak/>
        <w:t>Udformning og gennemførelse af programmer for lærlingeuddannelser – en partnerskabstilgang</w:t>
      </w:r>
    </w:p>
    <w:p w:rsidR="0066535F" w:rsidRPr="0038198F" w:rsidRDefault="0066535F" w:rsidP="00BA6E87">
      <w:pPr>
        <w:keepNext/>
        <w:keepLines/>
        <w:overflowPunct/>
        <w:adjustRightInd/>
        <w:textAlignment w:val="auto"/>
      </w:pPr>
    </w:p>
    <w:p w:rsidR="00C12223" w:rsidRPr="0038198F" w:rsidRDefault="00C12223" w:rsidP="00BA6E87">
      <w:pPr>
        <w:pStyle w:val="Heading2"/>
        <w:keepNext/>
        <w:keepLines/>
        <w:overflowPunct/>
        <w:adjustRightInd/>
        <w:ind w:left="567" w:hanging="567"/>
        <w:textAlignment w:val="auto"/>
      </w:pPr>
      <w:r>
        <w:t>I mange lande er der brug for at forbedre de eksisterende lærlingeordninger og styrke deres tiltrækningskraft. Udfordringerne omfatter offentlighedens negative opfattelse af lærlingeuddannelser, læringsværdien, den manglende tiltrækningskraft for arbejdsgiverne samt et begrænset eller manglende partnerskab med det organiserede civilsamfund i forbindelse med udformningen, gennemførelsen og evalueringen af ordningerne.</w:t>
      </w:r>
    </w:p>
    <w:p w:rsidR="00C12223" w:rsidRPr="0038198F" w:rsidRDefault="00C12223" w:rsidP="00BA6E87">
      <w:pPr>
        <w:overflowPunct/>
        <w:adjustRightInd/>
        <w:textAlignment w:val="auto"/>
      </w:pPr>
    </w:p>
    <w:p w:rsidR="006174D6" w:rsidRPr="0038198F" w:rsidRDefault="00EA6C31" w:rsidP="00BA6E87">
      <w:pPr>
        <w:pStyle w:val="Heading2"/>
        <w:overflowPunct/>
        <w:adjustRightInd/>
        <w:ind w:left="567" w:hanging="567"/>
        <w:textAlignment w:val="auto"/>
      </w:pPr>
      <w:r>
        <w:t>Lærlingeuddannelser repræsenterer først og fremmest en mulighed for uddannelse og bør derfor baseres på elevcentrerede metoder og bygges op omkring den bedst muligt varetagelse af de lærendes interesser, deres kapacitet og muligheder, samtidig med at der tages hensyn til arbejdsmarkedets behov. Dette betyder, at det bør sikres, at lærlingene udnytter deres fulde potentiale og når deres læringsmål, hvilket også vil være til gavn for arbejdsgiverne.</w:t>
      </w:r>
    </w:p>
    <w:p w:rsidR="00C12223" w:rsidRPr="0038198F" w:rsidRDefault="00C12223" w:rsidP="00BA6E87">
      <w:pPr>
        <w:overflowPunct/>
        <w:adjustRightInd/>
        <w:textAlignment w:val="auto"/>
      </w:pPr>
    </w:p>
    <w:p w:rsidR="00C12223" w:rsidRPr="0038198F" w:rsidRDefault="00C12223" w:rsidP="00BA6E87">
      <w:pPr>
        <w:pStyle w:val="Heading2"/>
        <w:overflowPunct/>
        <w:adjustRightInd/>
        <w:ind w:left="567" w:hanging="567"/>
        <w:textAlignment w:val="auto"/>
      </w:pPr>
      <w:r>
        <w:t xml:space="preserve">Lærlingenes synspunkter bør tages i betragtning i forbindelse med beslutninger, der direkte berører dem og deres rettigheder før, under og efter deres praktikophold. De bør have indflydelse på læringsmålene under deres praktikophold og have mulighed for at give feedback om kvaliteten og effektiviteten af deres lærlingeuddannelse. Manglen på repræsentative strukturer udgør en hindring for lærlinges mulighed for at komme til orde. </w:t>
      </w:r>
    </w:p>
    <w:p w:rsidR="00EA6C31" w:rsidRPr="0038198F" w:rsidRDefault="00EA6C31" w:rsidP="00BA6E87">
      <w:pPr>
        <w:overflowPunct/>
        <w:adjustRightInd/>
        <w:textAlignment w:val="auto"/>
      </w:pPr>
    </w:p>
    <w:p w:rsidR="00EA6C31" w:rsidRPr="0038198F" w:rsidRDefault="00EA6C31" w:rsidP="00BA6E87">
      <w:pPr>
        <w:pStyle w:val="Heading2"/>
        <w:overflowPunct/>
        <w:adjustRightInd/>
        <w:ind w:left="567" w:hanging="567"/>
        <w:textAlignment w:val="auto"/>
      </w:pPr>
      <w:r>
        <w:t>Lærlingeuddannelser har potentiale til at hjælpe unge såvel som voksne med at erhverve fuld kompetence og egnethed til et job eller et erhverv og forbedre deres beskæftigelsesevne. I mange tilfælde udnyttes dette potentiale imidlertid ikke, da lærlingeuddannelsernes kvalitet er mangelfuld, værdien af læring ikke prioriteres og lærlinges rettigheder ikke respekteres, som de burde.</w:t>
      </w:r>
    </w:p>
    <w:p w:rsidR="004408F7" w:rsidRPr="0038198F" w:rsidRDefault="004408F7" w:rsidP="00BA6E87">
      <w:pPr>
        <w:overflowPunct/>
        <w:adjustRightInd/>
        <w:textAlignment w:val="auto"/>
      </w:pPr>
    </w:p>
    <w:p w:rsidR="004408F7" w:rsidRPr="0038198F" w:rsidRDefault="004408F7" w:rsidP="00BA6E87">
      <w:pPr>
        <w:pStyle w:val="Heading2"/>
        <w:overflowPunct/>
        <w:adjustRightInd/>
        <w:ind w:left="567" w:hanging="567"/>
        <w:textAlignment w:val="auto"/>
      </w:pPr>
      <w:r>
        <w:t>Derudover mener EØSU, at et dynamisk arbejdsmarked i højere grad har brug for kompetencer end færdigheder. Derfor bør læringsresultater fokusere på solide kompetencer frem for kortsigtede færdigheder.</w:t>
      </w:r>
    </w:p>
    <w:p w:rsidR="004408F7" w:rsidRPr="0038198F" w:rsidRDefault="004408F7" w:rsidP="00BA6E87">
      <w:pPr>
        <w:overflowPunct/>
        <w:adjustRightInd/>
        <w:textAlignment w:val="auto"/>
      </w:pPr>
    </w:p>
    <w:p w:rsidR="004408F7" w:rsidRPr="0038198F" w:rsidRDefault="004408F7" w:rsidP="00BA6E87">
      <w:pPr>
        <w:pStyle w:val="Heading2"/>
        <w:overflowPunct/>
        <w:adjustRightInd/>
        <w:ind w:left="567" w:hanging="567"/>
        <w:textAlignment w:val="auto"/>
      </w:pPr>
      <w:r>
        <w:t>Lærlingeuddannelser bør inkludere en stærk arbejdsbaseret dimension, hvor mindst halvdelen af uddannelsestiden bruges på at lære et fag i praksis. Når det er muligt bør dette kombineres med international erfaring.</w:t>
      </w:r>
    </w:p>
    <w:p w:rsidR="004408F7" w:rsidRPr="0038198F" w:rsidRDefault="004408F7" w:rsidP="00BA6E87">
      <w:pPr>
        <w:overflowPunct/>
        <w:adjustRightInd/>
        <w:textAlignment w:val="auto"/>
      </w:pPr>
    </w:p>
    <w:p w:rsidR="004408F7" w:rsidRPr="0038198F" w:rsidRDefault="00815146" w:rsidP="00BA6E87">
      <w:pPr>
        <w:pStyle w:val="Heading2"/>
        <w:overflowPunct/>
        <w:adjustRightInd/>
        <w:ind w:left="567" w:hanging="567"/>
        <w:textAlignment w:val="auto"/>
      </w:pPr>
      <w:r>
        <w:t>Undervisere, mentorer eller tilsynsførende på den arbejdsplads, hvor praktikopholdet gennemføres, bør være behørigt certificerede og udstyres med de nødvendige pædagogiske og fagspecifikke færdigheder, så de kan uddanne lærlinge. Desuden bør de have adgang til løbende efteruddannelse i overensstemmelse med princippet om livslang læring.</w:t>
      </w:r>
    </w:p>
    <w:p w:rsidR="004408F7" w:rsidRPr="0038198F" w:rsidRDefault="004408F7" w:rsidP="00BA6E87">
      <w:pPr>
        <w:overflowPunct/>
        <w:adjustRightInd/>
        <w:textAlignment w:val="auto"/>
      </w:pPr>
    </w:p>
    <w:p w:rsidR="004408F7" w:rsidRPr="0038198F" w:rsidRDefault="004408F7" w:rsidP="00BA6E87">
      <w:pPr>
        <w:pStyle w:val="Heading2"/>
        <w:overflowPunct/>
        <w:adjustRightInd/>
        <w:ind w:left="567" w:hanging="567"/>
        <w:textAlignment w:val="auto"/>
      </w:pPr>
      <w:r>
        <w:t>Synergi mellem kvaliteten, effektiviteten og tiltrækningskraften af lærlingeuddannelser kan kun sikres gennem et tæt samarbejde mellem alle relevante aktører – uddannelsesudbydere, arbejdsmarkedets parter og andre civilsamfundsorganisationer samt lærlinge på nationalt, regionalt og lokalt plan.</w:t>
      </w:r>
    </w:p>
    <w:p w:rsidR="004408F7" w:rsidRPr="0038198F" w:rsidRDefault="004408F7" w:rsidP="00BA6E87">
      <w:pPr>
        <w:overflowPunct/>
        <w:adjustRightInd/>
        <w:textAlignment w:val="auto"/>
      </w:pPr>
    </w:p>
    <w:p w:rsidR="004408F7" w:rsidRPr="0038198F" w:rsidRDefault="004408F7" w:rsidP="00BA6E87">
      <w:pPr>
        <w:pStyle w:val="Heading2"/>
        <w:overflowPunct/>
        <w:adjustRightInd/>
        <w:ind w:left="567" w:hanging="567"/>
        <w:textAlignment w:val="auto"/>
      </w:pPr>
      <w:r>
        <w:lastRenderedPageBreak/>
        <w:t>Der bør oprettes strukturer på alle forvaltningsniveauer under inddragelse af alle relevante socioøkonomiske aktører (f.eks. udbydere af lærlingeuddannelser, arbejdsgiverorganisationer, fagforeninger, handelskamre, ungdomsorganisationer, studenterorganisationer og lærlinge) med klare procedurer og roller, der sigter mod at påvirke og tage del i beslutninger vedrørende udformning, gennemførelse og overvågning af lærlingeordninger.</w:t>
      </w:r>
    </w:p>
    <w:p w:rsidR="003D51C4" w:rsidRPr="0038198F" w:rsidRDefault="003D51C4" w:rsidP="00BA6E87">
      <w:pPr>
        <w:overflowPunct/>
        <w:adjustRightInd/>
        <w:textAlignment w:val="auto"/>
      </w:pPr>
    </w:p>
    <w:p w:rsidR="006174D6" w:rsidRPr="0038198F" w:rsidRDefault="003E4613" w:rsidP="00BA6E87">
      <w:pPr>
        <w:pStyle w:val="Heading1"/>
        <w:keepNext/>
        <w:overflowPunct/>
        <w:adjustRightInd/>
        <w:ind w:left="567" w:hanging="567"/>
        <w:textAlignment w:val="auto"/>
      </w:pPr>
      <w:r>
        <w:rPr>
          <w:b/>
        </w:rPr>
        <w:t>Fremme af lærlingeuddannelser</w:t>
      </w:r>
    </w:p>
    <w:p w:rsidR="006174D6" w:rsidRPr="0038198F" w:rsidRDefault="006174D6" w:rsidP="00BA6E87">
      <w:pPr>
        <w:keepNext/>
        <w:overflowPunct/>
        <w:adjustRightInd/>
        <w:textAlignment w:val="auto"/>
      </w:pPr>
    </w:p>
    <w:p w:rsidR="006174D6" w:rsidRPr="0038198F" w:rsidRDefault="006174D6" w:rsidP="00BA6E87">
      <w:pPr>
        <w:pStyle w:val="Heading2"/>
        <w:overflowPunct/>
        <w:adjustRightInd/>
        <w:ind w:left="567" w:hanging="567"/>
        <w:textAlignment w:val="auto"/>
      </w:pPr>
      <w:r>
        <w:t>For at modvirke, at lærlingeuddannelser opfattes som et mindre attraktivt eller mindre prestigefyldt uddannelsesforløb, især for unge, er det nødvendigt at promovere lærlingeuddannelser som et værdifuldt valg og en læringsmulighed af samme kvalitet som andre og ikke som et aktivt arbejdsmarkedsinstrument.</w:t>
      </w:r>
    </w:p>
    <w:p w:rsidR="006174D6" w:rsidRPr="0038198F" w:rsidRDefault="006174D6" w:rsidP="00BA6E87">
      <w:pPr>
        <w:overflowPunct/>
        <w:adjustRightInd/>
        <w:textAlignment w:val="auto"/>
      </w:pPr>
    </w:p>
    <w:p w:rsidR="006174D6" w:rsidRPr="0038198F" w:rsidRDefault="006174D6" w:rsidP="00BA6E87">
      <w:pPr>
        <w:pStyle w:val="Heading2"/>
        <w:overflowPunct/>
        <w:adjustRightInd/>
        <w:ind w:left="567" w:hanging="567"/>
        <w:textAlignment w:val="auto"/>
      </w:pPr>
      <w:r>
        <w:t xml:space="preserve">Fremme af lærlingeuddannelser bør kombineres med bestræbelser på at tackle kønsstereotyper, som er baseret på traditionelle sociale roller, og som stadig har en negativ indvirkning på udbuddet af praktikpladser, søgningen til dem og reklameringen for dem. </w:t>
      </w:r>
    </w:p>
    <w:p w:rsidR="006174D6" w:rsidRPr="0038198F" w:rsidRDefault="006174D6" w:rsidP="00BA6E87">
      <w:pPr>
        <w:overflowPunct/>
        <w:adjustRightInd/>
        <w:textAlignment w:val="auto"/>
      </w:pPr>
    </w:p>
    <w:p w:rsidR="006174D6" w:rsidRPr="0038198F" w:rsidRDefault="00872479" w:rsidP="00BA6E87">
      <w:pPr>
        <w:pStyle w:val="Heading2"/>
        <w:overflowPunct/>
        <w:adjustRightInd/>
        <w:ind w:left="567" w:hanging="567"/>
        <w:textAlignment w:val="auto"/>
      </w:pPr>
      <w:r>
        <w:t>Alle berørte parter, fra politiske beslutningstagere til arbejdsmarkedets parter, civilsamfundsorganisationer og uddannelsesinstitutioner, spiller en vigtig rolle i indsatsen for at øge lærlingeuddannelsernes tiltrækningskraft, og de er nødt til at arbejde sammen. Formidlingen af en bedre fortælling om lærlingeuddannelser skal gå hånd i hånd med – og er betinget af – en forbedring af ordningernes kvalitet og effektivitet.</w:t>
      </w:r>
    </w:p>
    <w:p w:rsidR="006174D6" w:rsidRPr="0038198F" w:rsidRDefault="006174D6" w:rsidP="00BA6E87">
      <w:pPr>
        <w:overflowPunct/>
        <w:adjustRightInd/>
        <w:textAlignment w:val="auto"/>
      </w:pPr>
    </w:p>
    <w:p w:rsidR="006174D6" w:rsidRPr="0038198F" w:rsidRDefault="006174D6" w:rsidP="00BA6E87">
      <w:pPr>
        <w:pStyle w:val="Heading2"/>
        <w:overflowPunct/>
        <w:adjustRightInd/>
        <w:ind w:left="567" w:hanging="567"/>
        <w:textAlignment w:val="auto"/>
      </w:pPr>
      <w:r>
        <w:t xml:space="preserve">Offentlige myndigheder bør investere flere ressourcer i gennemførelsen af foranstaltninger til fremme af lærlingeuddannelser på lokalt plan over for potentielle lærlinge og tilskynde arbejdsgiverne til at tilbyde lærlingeuddannelser. </w:t>
      </w:r>
    </w:p>
    <w:p w:rsidR="001F0EC4" w:rsidRPr="0038198F" w:rsidRDefault="001F0EC4" w:rsidP="00BA6E87"/>
    <w:p w:rsidR="001F0EC4" w:rsidRPr="0038198F" w:rsidRDefault="001F0EC4" w:rsidP="00BA6E87">
      <w:pPr>
        <w:pStyle w:val="Heading2"/>
        <w:ind w:left="567" w:hanging="567"/>
      </w:pPr>
      <w:r>
        <w:t>EØSU mener, at der er mulighed for at anvende ESF til at støtte etableringen eller videreudviklingen af kvalitetsprægede og effektive lærlingeordninger i medlemsstater, som har brug for større finansiel og teknisk bistand til at opfylde målene i rammen.</w:t>
      </w:r>
    </w:p>
    <w:p w:rsidR="0045392E" w:rsidRPr="0038198F" w:rsidRDefault="0045392E" w:rsidP="00BA6E87">
      <w:pPr>
        <w:overflowPunct/>
        <w:adjustRightInd/>
        <w:textAlignment w:val="auto"/>
      </w:pPr>
    </w:p>
    <w:p w:rsidR="0045392E" w:rsidRPr="0038198F" w:rsidRDefault="0045392E" w:rsidP="00BA6E87">
      <w:pPr>
        <w:pStyle w:val="Heading2"/>
        <w:overflowPunct/>
        <w:adjustRightInd/>
        <w:ind w:left="567" w:hanging="567"/>
        <w:textAlignment w:val="auto"/>
      </w:pPr>
      <w:r>
        <w:t xml:space="preserve">Det har afgørende betydning, at arbejdsgiverne, navnlig SMV'er og mikrovirksomheder, får den finansielle og ikkefinansielle støtte, som de har behov for, til at etablere gode og effektive praktikpladser og lærlingeordninger. </w:t>
      </w:r>
    </w:p>
    <w:p w:rsidR="0045392E" w:rsidRPr="0038198F" w:rsidRDefault="0045392E" w:rsidP="00BA6E87">
      <w:pPr>
        <w:overflowPunct/>
        <w:adjustRightInd/>
        <w:textAlignment w:val="auto"/>
      </w:pPr>
    </w:p>
    <w:p w:rsidR="003D51C4" w:rsidRPr="0038198F" w:rsidRDefault="003D51C4" w:rsidP="00BA6E87">
      <w:pPr>
        <w:pStyle w:val="Heading2"/>
        <w:overflowPunct/>
        <w:adjustRightInd/>
        <w:ind w:left="567" w:hanging="567"/>
        <w:textAlignment w:val="auto"/>
      </w:pPr>
      <w:r>
        <w:t>Processen med at skabe et nyt image for lærlingeuddannelserne bør være baseret på en retfærdig, inklusiv, ikkediskriminerende og innovativ tilgang. De dårligst stillede i vores samfund bør have adgang til den bedste støtte og vejledning, så de kan få en uddannelse af høj kvalitet og en arbejdsbaseret læring, der passer til deres interesser og ambitioner. Der bør træffes foranstaltninger på alle niveauer for at bekæmpe forskelsbehandling på baggrund af migrantstatus, socioøkonomisk baggrund, etnisk tilhørsforhold, religion, alder, køn eller anden status, som hindrer lige adgang til lærepladser.</w:t>
      </w:r>
    </w:p>
    <w:p w:rsidR="006174D6" w:rsidRPr="0038198F" w:rsidRDefault="006174D6" w:rsidP="00BA6E87">
      <w:pPr>
        <w:overflowPunct/>
        <w:adjustRightInd/>
        <w:textAlignment w:val="auto"/>
      </w:pPr>
    </w:p>
    <w:p w:rsidR="006174D6" w:rsidRPr="0038198F" w:rsidRDefault="003E4613" w:rsidP="00705B27">
      <w:pPr>
        <w:pStyle w:val="Heading1"/>
        <w:keepNext/>
        <w:overflowPunct/>
        <w:adjustRightInd/>
        <w:spacing w:line="281" w:lineRule="auto"/>
        <w:ind w:left="567" w:hanging="567"/>
        <w:textAlignment w:val="auto"/>
        <w:rPr>
          <w:b/>
        </w:rPr>
      </w:pPr>
      <w:r>
        <w:rPr>
          <w:b/>
        </w:rPr>
        <w:lastRenderedPageBreak/>
        <w:t>Uddannelses- og arbejdsvilkår</w:t>
      </w:r>
    </w:p>
    <w:p w:rsidR="003D51C4" w:rsidRPr="0038198F" w:rsidRDefault="003D51C4" w:rsidP="00705B27">
      <w:pPr>
        <w:keepNext/>
        <w:overflowPunct/>
        <w:adjustRightInd/>
        <w:spacing w:line="281" w:lineRule="auto"/>
        <w:textAlignment w:val="auto"/>
      </w:pPr>
    </w:p>
    <w:p w:rsidR="003D51C4" w:rsidRPr="0038198F" w:rsidRDefault="004E5C2A" w:rsidP="00705B27">
      <w:pPr>
        <w:pStyle w:val="Heading2"/>
        <w:overflowPunct/>
        <w:adjustRightInd/>
        <w:spacing w:line="281" w:lineRule="auto"/>
        <w:ind w:left="567" w:hanging="567"/>
        <w:textAlignment w:val="auto"/>
      </w:pPr>
      <w:r>
        <w:t>EØSU mener, at lærlingeuddannelser bør være baseret på et skriftligt og retligt bindende dokument, det være sig en uddannelsesaftale eller en skriftlig kontrakt mellem arbejdsgiveren, lærlingen og uddannelsesinstitutionen. Dette dokument bør klart beskrive alle parters rettigheder og pligter og omfatte en beskrivelse af læringsmål, opgaver, samt andre relevante oplysninger om forløbet (herunder, men ikke begrænset til varighed, arbejdstid, løn osv.).</w:t>
      </w:r>
    </w:p>
    <w:p w:rsidR="00516037" w:rsidRPr="0038198F" w:rsidRDefault="00516037" w:rsidP="00705B27">
      <w:pPr>
        <w:overflowPunct/>
        <w:adjustRightInd/>
        <w:spacing w:line="240" w:lineRule="auto"/>
        <w:textAlignment w:val="auto"/>
      </w:pPr>
    </w:p>
    <w:p w:rsidR="003D51C4" w:rsidRPr="0038198F" w:rsidRDefault="003D51C4" w:rsidP="00705B27">
      <w:pPr>
        <w:pStyle w:val="Heading2"/>
        <w:overflowPunct/>
        <w:adjustRightInd/>
        <w:spacing w:line="281" w:lineRule="auto"/>
        <w:ind w:left="567" w:hanging="567"/>
        <w:textAlignment w:val="auto"/>
      </w:pPr>
      <w:r>
        <w:t>EØSU er overbevist om, at lærlinge har ret til en anstændig løn og/eller godtgørelse, der skal forhandles gennem kollektive overenskomster eller i overensstemmelse med nationale eller sektorielle bestemmelser. En passende løn eller godtgørelse kan sætte flere i stand til at tage en lærlingeuddannelse, især personer med en lavindkomstbaggrund, og kan bidrage til at modvirke misbrug af lærlingeuddannelser som en ulønnet, alt for fleksibel beskæftigelsesform.</w:t>
      </w:r>
    </w:p>
    <w:p w:rsidR="003D51C4" w:rsidRPr="0038198F" w:rsidRDefault="003D51C4" w:rsidP="00705B27">
      <w:pPr>
        <w:overflowPunct/>
        <w:adjustRightInd/>
        <w:spacing w:line="240" w:lineRule="auto"/>
        <w:textAlignment w:val="auto"/>
      </w:pPr>
    </w:p>
    <w:p w:rsidR="003D51C4" w:rsidRPr="0038198F" w:rsidRDefault="003D51C4" w:rsidP="00705B27">
      <w:pPr>
        <w:pStyle w:val="Heading2"/>
        <w:overflowPunct/>
        <w:adjustRightInd/>
        <w:spacing w:line="281" w:lineRule="auto"/>
        <w:ind w:left="567" w:hanging="567"/>
        <w:textAlignment w:val="auto"/>
      </w:pPr>
      <w:r>
        <w:t>EØSU gentager, at det er vigtigt at sikre, at lærlinge i passende omfang og rettidigt informeres om eventuelle sundheds- og sikkerhedsmæssige risici for dem i forbindelse med deres lærlingeuddannelser, og at lærlinge er fuldt ud omfattet af sundheds- og sikkerhedsregler.</w:t>
      </w:r>
    </w:p>
    <w:p w:rsidR="004408F7" w:rsidRPr="0038198F" w:rsidRDefault="004408F7" w:rsidP="00705B27">
      <w:pPr>
        <w:overflowPunct/>
        <w:adjustRightInd/>
        <w:spacing w:line="281" w:lineRule="auto"/>
        <w:textAlignment w:val="auto"/>
      </w:pPr>
    </w:p>
    <w:p w:rsidR="004408F7" w:rsidRPr="0038198F" w:rsidRDefault="004408F7" w:rsidP="00705B27">
      <w:pPr>
        <w:pStyle w:val="Heading1"/>
        <w:keepNext/>
        <w:overflowPunct/>
        <w:adjustRightInd/>
        <w:spacing w:line="281" w:lineRule="auto"/>
        <w:ind w:left="567" w:hanging="567"/>
        <w:textAlignment w:val="auto"/>
        <w:rPr>
          <w:b/>
        </w:rPr>
      </w:pPr>
      <w:r>
        <w:rPr>
          <w:b/>
        </w:rPr>
        <w:t>Overvågning og evaluering af lærlingeordninger</w:t>
      </w:r>
    </w:p>
    <w:p w:rsidR="004408F7" w:rsidRPr="0038198F" w:rsidRDefault="004408F7" w:rsidP="00705B27">
      <w:pPr>
        <w:keepNext/>
        <w:overflowPunct/>
        <w:adjustRightInd/>
        <w:spacing w:line="240" w:lineRule="auto"/>
        <w:textAlignment w:val="auto"/>
      </w:pPr>
    </w:p>
    <w:p w:rsidR="004408F7" w:rsidRPr="0038198F" w:rsidRDefault="004408F7" w:rsidP="00705B27">
      <w:pPr>
        <w:pStyle w:val="Heading2"/>
        <w:overflowPunct/>
        <w:adjustRightInd/>
        <w:spacing w:line="281" w:lineRule="auto"/>
        <w:ind w:left="567" w:hanging="567"/>
        <w:textAlignment w:val="auto"/>
      </w:pPr>
      <w:r>
        <w:t>Alle udbydere af lærlingeuddannelser bør give tilsagn om at overholde kvalitetsnormer. Lærlingen bør altid have adgang til mentorvejledning fra en kompetent tilsynsførende før, under og efter sin lærlingeuddannelse for at sikre, at læringsmålene nås, at lærlingens rettigheder overholdes samt at kvaliteten opretholdes.</w:t>
      </w:r>
    </w:p>
    <w:p w:rsidR="004408F7" w:rsidRPr="0038198F" w:rsidRDefault="004408F7" w:rsidP="00705B27">
      <w:pPr>
        <w:overflowPunct/>
        <w:adjustRightInd/>
        <w:spacing w:line="240" w:lineRule="auto"/>
        <w:textAlignment w:val="auto"/>
      </w:pPr>
    </w:p>
    <w:p w:rsidR="004408F7" w:rsidRPr="0038198F" w:rsidRDefault="00815146" w:rsidP="00705B27">
      <w:pPr>
        <w:pStyle w:val="Heading2"/>
        <w:overflowPunct/>
        <w:adjustRightInd/>
        <w:spacing w:line="281" w:lineRule="auto"/>
        <w:ind w:left="567" w:hanging="567"/>
        <w:textAlignment w:val="auto"/>
      </w:pPr>
      <w:r>
        <w:t>Der bør indføres et overvågningssystem for at observere lærlingenes fremskridt hen imod opfyldelsen af deres læringsmål, samt kvaliteten og effektiviteten af de uddannelsesmæssige erfaringer. Resultaterne af en sådan evaluering bør deles med lærlinge og udbydere af lærlingeuddannelser for at give dem mulighed for at gennemføre forbedringer om nødvendigt. Hvor det er muligt vil et sådant overvågningssystem kunne bruges som en metode til at måle, hvor mange lærlingeuddannelser der senere fører til beskæftigelse.</w:t>
      </w:r>
    </w:p>
    <w:p w:rsidR="00516037" w:rsidRPr="0038198F" w:rsidRDefault="00516037" w:rsidP="00705B27">
      <w:pPr>
        <w:overflowPunct/>
        <w:adjustRightInd/>
        <w:spacing w:line="281" w:lineRule="auto"/>
        <w:textAlignment w:val="auto"/>
      </w:pPr>
    </w:p>
    <w:p w:rsidR="004408F7" w:rsidRPr="0038198F" w:rsidRDefault="004408F7" w:rsidP="00705B27">
      <w:pPr>
        <w:pStyle w:val="Heading1"/>
        <w:keepNext/>
        <w:overflowPunct/>
        <w:adjustRightInd/>
        <w:spacing w:line="281" w:lineRule="auto"/>
        <w:ind w:left="567" w:hanging="567"/>
        <w:textAlignment w:val="auto"/>
        <w:rPr>
          <w:b/>
        </w:rPr>
      </w:pPr>
      <w:r>
        <w:rPr>
          <w:b/>
        </w:rPr>
        <w:t>Anerkendelse af kvalifikationer</w:t>
      </w:r>
    </w:p>
    <w:p w:rsidR="004408F7" w:rsidRPr="0038198F" w:rsidRDefault="004408F7" w:rsidP="00705B27">
      <w:pPr>
        <w:keepNext/>
        <w:overflowPunct/>
        <w:adjustRightInd/>
        <w:spacing w:line="240" w:lineRule="auto"/>
        <w:textAlignment w:val="auto"/>
      </w:pPr>
    </w:p>
    <w:p w:rsidR="004408F7" w:rsidRPr="0038198F" w:rsidRDefault="004408F7" w:rsidP="00705B27">
      <w:pPr>
        <w:pStyle w:val="Heading2"/>
        <w:overflowPunct/>
        <w:adjustRightInd/>
        <w:spacing w:line="281" w:lineRule="auto"/>
        <w:ind w:left="567" w:hanging="567"/>
        <w:textAlignment w:val="auto"/>
      </w:pPr>
      <w:r>
        <w:t>Lærlingeordninger bør resultere i officielle kvalifikationer, der anerkendes på nationalt, europæisk og internationalt niveau i overensstemmelse med den europæiske referenceramme for kvalifikationer. Anerkendte kvalifikationer vil øge lærlingenes beskæftigelsesevne og mobilitet på nationalt plan og inden for EU. Programmerne bør gøre det muligt at gå forskellige veje i uddannelsessystemet og give lærlinge mulighed for at begynde på en videregående uddannelse efter lærlingeuddannelsen.</w:t>
      </w:r>
    </w:p>
    <w:p w:rsidR="004B5288" w:rsidRPr="0038198F" w:rsidRDefault="004B5288" w:rsidP="00705B27">
      <w:pPr>
        <w:spacing w:line="281" w:lineRule="auto"/>
      </w:pPr>
    </w:p>
    <w:p w:rsidR="00837A94" w:rsidRPr="0038198F" w:rsidRDefault="00837A94" w:rsidP="00705B27">
      <w:pPr>
        <w:spacing w:line="281" w:lineRule="auto"/>
      </w:pPr>
      <w:r>
        <w:t>Bruxelles, den 19. april 2018</w:t>
      </w:r>
    </w:p>
    <w:p w:rsidR="00837A94" w:rsidRPr="0038198F" w:rsidRDefault="00837A94" w:rsidP="00705B27">
      <w:pPr>
        <w:spacing w:line="281" w:lineRule="auto"/>
      </w:pPr>
    </w:p>
    <w:p w:rsidR="00837A94" w:rsidRPr="0038198F" w:rsidRDefault="00837A94" w:rsidP="00705B27">
      <w:pPr>
        <w:spacing w:line="281" w:lineRule="auto"/>
      </w:pPr>
    </w:p>
    <w:p w:rsidR="00837A94" w:rsidRPr="0038198F" w:rsidRDefault="00837A94" w:rsidP="00705B27">
      <w:pPr>
        <w:spacing w:line="281" w:lineRule="auto"/>
      </w:pPr>
    </w:p>
    <w:p w:rsidR="00837A94" w:rsidRPr="0038198F" w:rsidRDefault="00333C84" w:rsidP="00705B27">
      <w:pPr>
        <w:spacing w:line="281" w:lineRule="auto"/>
      </w:pPr>
      <w:r>
        <w:t>Luca Jahier</w:t>
      </w:r>
    </w:p>
    <w:p w:rsidR="00837A94" w:rsidRPr="0038198F" w:rsidRDefault="00837A94" w:rsidP="00705B27">
      <w:pPr>
        <w:spacing w:line="281" w:lineRule="auto"/>
      </w:pPr>
      <w:r>
        <w:t>Formand for Det Europæiske Økonomiske og Sociale Udvalg</w:t>
      </w:r>
    </w:p>
    <w:p w:rsidR="00646AC2" w:rsidRPr="0038198F" w:rsidRDefault="00646AC2" w:rsidP="00705B27">
      <w:pPr>
        <w:overflowPunct/>
        <w:adjustRightInd/>
        <w:spacing w:line="281" w:lineRule="auto"/>
        <w:jc w:val="center"/>
        <w:textAlignment w:val="auto"/>
      </w:pPr>
      <w:r>
        <w:t>_____________</w:t>
      </w:r>
    </w:p>
    <w:sectPr w:rsidR="00646AC2" w:rsidRPr="0038198F" w:rsidSect="002C4F3C">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6F" w:rsidRDefault="005D5C6F">
      <w:r>
        <w:separator/>
      </w:r>
    </w:p>
  </w:endnote>
  <w:endnote w:type="continuationSeparator" w:id="0">
    <w:p w:rsidR="005D5C6F" w:rsidRDefault="005D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38" w:rsidRPr="002C4F3C" w:rsidRDefault="008D0638" w:rsidP="002C4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54" w:rsidRPr="002C4F3C" w:rsidRDefault="002C4F3C" w:rsidP="002C4F3C">
    <w:pPr>
      <w:pStyle w:val="Footer"/>
    </w:pPr>
    <w:r>
      <w:t xml:space="preserve">SOC/569 – EESC-2017-05796-00-00-AC-TRA (EN) </w:t>
    </w:r>
    <w:r>
      <w:fldChar w:fldCharType="begin"/>
    </w:r>
    <w:r>
      <w:instrText xml:space="preserve"> PAGE  \* Arabic  \* MERGEFORMAT </w:instrText>
    </w:r>
    <w:r>
      <w:fldChar w:fldCharType="separate"/>
    </w:r>
    <w:r w:rsidR="006F745E">
      <w:rPr>
        <w:noProof/>
      </w:rPr>
      <w:t>1</w:t>
    </w:r>
    <w:r>
      <w:fldChar w:fldCharType="end"/>
    </w:r>
    <w:r>
      <w:t>/</w:t>
    </w:r>
    <w:fldSimple w:instr=" NUMPAGES ">
      <w:r w:rsidR="006F745E">
        <w:rPr>
          <w:noProof/>
        </w:rPr>
        <w:t>9</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38" w:rsidRPr="002C4F3C" w:rsidRDefault="008D0638" w:rsidP="002C4F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A2" w:rsidRPr="002C4F3C" w:rsidRDefault="00A75AA2" w:rsidP="002C4F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A2" w:rsidRPr="002C4F3C" w:rsidRDefault="002C4F3C" w:rsidP="002C4F3C">
    <w:pPr>
      <w:pStyle w:val="Footer"/>
    </w:pPr>
    <w:r>
      <w:t xml:space="preserve">SOC/569 – EESC-2017-05796-00-00-AC-TRA (EN) </w:t>
    </w:r>
    <w:r>
      <w:fldChar w:fldCharType="begin"/>
    </w:r>
    <w:r>
      <w:instrText xml:space="preserve"> PAGE  \* Arabic  \* MERGEFORMAT </w:instrText>
    </w:r>
    <w:r>
      <w:fldChar w:fldCharType="separate"/>
    </w:r>
    <w:r w:rsidR="006F745E">
      <w:rPr>
        <w:noProof/>
      </w:rPr>
      <w:t>9</w:t>
    </w:r>
    <w:r>
      <w:fldChar w:fldCharType="end"/>
    </w:r>
    <w:r>
      <w:t>/</w:t>
    </w:r>
    <w:fldSimple w:instr=" NUMPAGES ">
      <w:r w:rsidR="006F745E">
        <w:rPr>
          <w:noProof/>
        </w:rPr>
        <w:t>9</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A2" w:rsidRPr="002C4F3C" w:rsidRDefault="00A75AA2" w:rsidP="002C4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6F" w:rsidRDefault="005D5C6F">
      <w:r>
        <w:separator/>
      </w:r>
    </w:p>
  </w:footnote>
  <w:footnote w:type="continuationSeparator" w:id="0">
    <w:p w:rsidR="005D5C6F" w:rsidRDefault="005D5C6F">
      <w:r>
        <w:continuationSeparator/>
      </w:r>
    </w:p>
  </w:footnote>
  <w:footnote w:id="1">
    <w:p w:rsidR="00A75AA2" w:rsidRPr="003B790D" w:rsidRDefault="00A75AA2" w:rsidP="003E60B5">
      <w:pPr>
        <w:pStyle w:val="FootnoteText"/>
        <w:ind w:left="567" w:hanging="567"/>
      </w:pPr>
      <w:r>
        <w:rPr>
          <w:rStyle w:val="FootnoteReference"/>
        </w:rPr>
        <w:footnoteRef/>
      </w:r>
      <w:r>
        <w:rPr>
          <w:rStyle w:val="FootnoteReference"/>
        </w:rPr>
        <w:t xml:space="preserve"> </w:t>
      </w:r>
      <w:r>
        <w:tab/>
      </w:r>
      <w:hyperlink r:id="rId1">
        <w:r>
          <w:rPr>
            <w:rStyle w:val="Hyperlink"/>
          </w:rPr>
          <w:t>EQAVET</w:t>
        </w:r>
      </w:hyperlink>
      <w:r>
        <w:t xml:space="preserve"> – Den europæiske referenceramme for kvalitetssikring af erhvervsuddannelse.</w:t>
      </w:r>
    </w:p>
  </w:footnote>
  <w:footnote w:id="2">
    <w:p w:rsidR="00A75AA2" w:rsidRPr="003B790D" w:rsidRDefault="00A75AA2" w:rsidP="003E60B5">
      <w:pPr>
        <w:pStyle w:val="FootnoteText"/>
        <w:ind w:left="567" w:hanging="567"/>
      </w:pPr>
      <w:r>
        <w:rPr>
          <w:rStyle w:val="FootnoteReference"/>
        </w:rPr>
        <w:footnoteRef/>
      </w:r>
      <w:r>
        <w:rPr>
          <w:rStyle w:val="FootnoteReference"/>
        </w:rPr>
        <w:t xml:space="preserve"> </w:t>
      </w:r>
      <w:r>
        <w:tab/>
      </w:r>
      <w:hyperlink r:id="rId2">
        <w:r>
          <w:rPr>
            <w:rStyle w:val="Hyperlink"/>
          </w:rPr>
          <w:t>Eures</w:t>
        </w:r>
      </w:hyperlink>
      <w:r>
        <w:t xml:space="preserve"> – Den europæiske portal for jobmobilitet.</w:t>
      </w:r>
    </w:p>
  </w:footnote>
  <w:footnote w:id="3">
    <w:p w:rsidR="00A75AA2" w:rsidRPr="00E177ED" w:rsidRDefault="00A75AA2" w:rsidP="003E60B5">
      <w:pPr>
        <w:pStyle w:val="FootnoteText"/>
        <w:ind w:left="567" w:hanging="567"/>
      </w:pPr>
      <w:r>
        <w:rPr>
          <w:rStyle w:val="FootnoteReference"/>
        </w:rPr>
        <w:footnoteRef/>
      </w:r>
      <w:r>
        <w:rPr>
          <w:rStyle w:val="FootnoteReference"/>
        </w:rPr>
        <w:t xml:space="preserve"> </w:t>
      </w:r>
      <w:r>
        <w:tab/>
      </w:r>
      <w:hyperlink r:id="rId3">
        <w:r>
          <w:rPr>
            <w:rStyle w:val="Hyperlink"/>
          </w:rPr>
          <w:t>COM(2016) 381 final</w:t>
        </w:r>
        <w:r>
          <w:rPr>
            <w:rStyle w:val="Hyperlink"/>
            <w:u w:val="none"/>
          </w:rPr>
          <w:t>.</w:t>
        </w:r>
      </w:hyperlink>
    </w:p>
  </w:footnote>
  <w:footnote w:id="4">
    <w:p w:rsidR="00BB775F" w:rsidRPr="00E177ED" w:rsidRDefault="00BB775F" w:rsidP="00BB775F">
      <w:pPr>
        <w:pStyle w:val="FootnoteText"/>
        <w:ind w:left="567" w:hanging="567"/>
      </w:pPr>
      <w:r>
        <w:rPr>
          <w:rStyle w:val="FootnoteReference"/>
        </w:rPr>
        <w:footnoteRef/>
      </w:r>
      <w:r>
        <w:rPr>
          <w:rStyle w:val="FootnoteReference"/>
        </w:rPr>
        <w:t xml:space="preserve"> </w:t>
      </w:r>
      <w:r>
        <w:tab/>
      </w:r>
      <w:hyperlink r:id="rId4">
        <w:r>
          <w:rPr>
            <w:rStyle w:val="Hyperlink"/>
          </w:rPr>
          <w:t>De europæiske arbejdsmarkedsparters fælles erklæring "Mod en fælles vision for lærlingeuddannelser", 30. maj 201</w:t>
        </w:r>
        <w:r w:rsidRPr="006F745E">
          <w:rPr>
            <w:rStyle w:val="Hyperlink"/>
          </w:rPr>
          <w:t>6</w:t>
        </w:r>
      </w:hyperlink>
      <w:r>
        <w:t>.</w:t>
      </w:r>
    </w:p>
  </w:footnote>
  <w:footnote w:id="5">
    <w:p w:rsidR="00BB775F" w:rsidRPr="003B790D" w:rsidRDefault="00BB775F" w:rsidP="00544854">
      <w:pPr>
        <w:pStyle w:val="FootnoteText"/>
        <w:ind w:left="567" w:hanging="567"/>
      </w:pPr>
      <w:r>
        <w:rPr>
          <w:rStyle w:val="FootnoteReference"/>
        </w:rPr>
        <w:footnoteRef/>
      </w:r>
      <w:r>
        <w:tab/>
      </w:r>
      <w:hyperlink r:id="rId5">
        <w:r>
          <w:rPr>
            <w:rStyle w:val="Hyperlink"/>
          </w:rPr>
          <w:t>Den Europæiske Alliance for Lærlingeuddannelser</w:t>
        </w:r>
      </w:hyperlink>
      <w:r>
        <w:t>.</w:t>
      </w:r>
    </w:p>
  </w:footnote>
  <w:footnote w:id="6">
    <w:p w:rsidR="00A75AA2" w:rsidRPr="00E177ED" w:rsidRDefault="00A75AA2" w:rsidP="003E60B5">
      <w:pPr>
        <w:pStyle w:val="FootnoteText"/>
        <w:ind w:left="567" w:hanging="567"/>
      </w:pPr>
      <w:r>
        <w:rPr>
          <w:rStyle w:val="FootnoteReference"/>
        </w:rPr>
        <w:footnoteRef/>
      </w:r>
      <w:r>
        <w:rPr>
          <w:rStyle w:val="FootnoteReference"/>
        </w:rPr>
        <w:t xml:space="preserve"> </w:t>
      </w:r>
      <w:r>
        <w:tab/>
      </w:r>
      <w:hyperlink r:id="rId6">
        <w:r>
          <w:rPr>
            <w:rStyle w:val="Hyperlink"/>
          </w:rPr>
          <w:t>COM(2017) 563 final</w:t>
        </w:r>
        <w:r>
          <w:rPr>
            <w:rStyle w:val="Hyperlink"/>
            <w:u w:val="none"/>
          </w:rPr>
          <w:t>.</w:t>
        </w:r>
      </w:hyperlink>
    </w:p>
  </w:footnote>
  <w:footnote w:id="7">
    <w:p w:rsidR="00A75AA2" w:rsidRPr="00E177ED" w:rsidRDefault="00A75AA2" w:rsidP="003E60B5">
      <w:pPr>
        <w:pStyle w:val="FootnoteText"/>
        <w:ind w:left="567" w:hanging="567"/>
      </w:pPr>
      <w:r>
        <w:rPr>
          <w:rStyle w:val="FootnoteReference"/>
        </w:rPr>
        <w:footnoteRef/>
      </w:r>
      <w:r>
        <w:rPr>
          <w:rStyle w:val="FootnoteReference"/>
        </w:rPr>
        <w:t xml:space="preserve"> </w:t>
      </w:r>
      <w:r>
        <w:tab/>
        <w:t xml:space="preserve">EØSU's udtalelse om "Forbedring af kvaliteten af medlemsstaternes vekseluddannelsessystemer", </w:t>
      </w:r>
      <w:hyperlink r:id="rId7">
        <w:r>
          <w:rPr>
            <w:rStyle w:val="Hyperlink"/>
          </w:rPr>
          <w:t>EUT C 13 af 15.1.2016, s. 57</w:t>
        </w:r>
      </w:hyperlink>
      <w:r>
        <w:t xml:space="preserve">. </w:t>
      </w:r>
    </w:p>
  </w:footnote>
  <w:footnote w:id="8">
    <w:p w:rsidR="00A75AA2" w:rsidRPr="001A5434" w:rsidRDefault="00A75AA2" w:rsidP="003E60B5">
      <w:pPr>
        <w:pStyle w:val="FootnoteText"/>
        <w:ind w:left="567" w:hanging="567"/>
      </w:pPr>
      <w:r>
        <w:rPr>
          <w:rStyle w:val="FootnoteReference"/>
        </w:rPr>
        <w:footnoteRef/>
      </w:r>
      <w:r>
        <w:rPr>
          <w:rStyle w:val="FootnoteReference"/>
        </w:rPr>
        <w:t xml:space="preserve"> </w:t>
      </w:r>
      <w:r>
        <w:tab/>
        <w:t>Der findes dokumentation for, at 60-70 % af lærlingene går direkte til et job efter lærlingeuddannelsen, hvilket i nogle tilfælde stiger til 90 %. (</w:t>
      </w:r>
      <w:hyperlink r:id="rId8">
        <w:r>
          <w:rPr>
            <w:rStyle w:val="Hyperlink"/>
          </w:rPr>
          <w:t>Kommissionens websted</w:t>
        </w:r>
      </w:hyperlink>
      <w:r>
        <w:t xml:space="preserve"> om lærlingeuddannelser).</w:t>
      </w:r>
    </w:p>
  </w:footnote>
  <w:footnote w:id="9">
    <w:p w:rsidR="00A75AA2" w:rsidRPr="00E177ED" w:rsidRDefault="00A75AA2" w:rsidP="003E60B5">
      <w:pPr>
        <w:pStyle w:val="FootnoteText"/>
        <w:ind w:left="567" w:hanging="567"/>
      </w:pPr>
      <w:r>
        <w:rPr>
          <w:rStyle w:val="FootnoteReference"/>
        </w:rPr>
        <w:footnoteRef/>
      </w:r>
      <w:r>
        <w:rPr>
          <w:rStyle w:val="FootnoteReference"/>
        </w:rPr>
        <w:t xml:space="preserve"> </w:t>
      </w:r>
      <w:r>
        <w:tab/>
      </w:r>
      <w:proofErr w:type="spellStart"/>
      <w:r>
        <w:t>Cedefop</w:t>
      </w:r>
      <w:proofErr w:type="spellEnd"/>
      <w:r>
        <w:t xml:space="preserve">, 2015, </w:t>
      </w:r>
      <w:hyperlink r:id="rId9">
        <w:r>
          <w:rPr>
            <w:rStyle w:val="Hyperlink"/>
          </w:rPr>
          <w:t>Notat</w:t>
        </w:r>
      </w:hyperlink>
      <w:r>
        <w:t xml:space="preserve"> – </w:t>
      </w:r>
      <w:proofErr w:type="spellStart"/>
      <w:r>
        <w:t>Making</w:t>
      </w:r>
      <w:proofErr w:type="spellEnd"/>
      <w:r>
        <w:t xml:space="preserve"> </w:t>
      </w:r>
      <w:proofErr w:type="spellStart"/>
      <w:r>
        <w:t>apprenticeships</w:t>
      </w:r>
      <w:proofErr w:type="spellEnd"/>
      <w:r>
        <w:t xml:space="preserve"> </w:t>
      </w:r>
      <w:proofErr w:type="spellStart"/>
      <w:r>
        <w:t>work</w:t>
      </w:r>
      <w:proofErr w:type="spellEnd"/>
      <w:r>
        <w:t xml:space="preserve"> for small and </w:t>
      </w:r>
      <w:bookmarkStart w:id="0" w:name="_GoBack"/>
      <w:bookmarkEnd w:id="0"/>
      <w:r>
        <w:t xml:space="preserve">medium </w:t>
      </w:r>
      <w:proofErr w:type="spellStart"/>
      <w:r>
        <w:t>enterprises</w:t>
      </w:r>
      <w:proofErr w:type="spellEnd"/>
      <w:r>
        <w:t>.</w:t>
      </w:r>
    </w:p>
  </w:footnote>
  <w:footnote w:id="10">
    <w:p w:rsidR="00A75AA2" w:rsidRPr="00E177ED" w:rsidRDefault="00A75AA2" w:rsidP="003E60B5">
      <w:pPr>
        <w:pStyle w:val="FootnoteText"/>
        <w:ind w:left="567" w:hanging="567"/>
      </w:pPr>
      <w:r>
        <w:rPr>
          <w:rStyle w:val="FootnoteReference"/>
        </w:rPr>
        <w:footnoteRef/>
      </w:r>
      <w:r>
        <w:rPr>
          <w:rStyle w:val="FootnoteReference"/>
        </w:rPr>
        <w:t xml:space="preserve"> </w:t>
      </w:r>
      <w:r>
        <w:tab/>
      </w:r>
      <w:hyperlink r:id="rId10">
        <w:r w:rsidRPr="006F745E">
          <w:rPr>
            <w:rStyle w:val="Hyperlink"/>
          </w:rPr>
          <w:t xml:space="preserve">Udtalelse fra Det Rådgivende Udvalg for Erhvervsrettet Uddannelse om "A </w:t>
        </w:r>
        <w:proofErr w:type="spellStart"/>
        <w:r w:rsidRPr="006F745E">
          <w:rPr>
            <w:rStyle w:val="Hyperlink"/>
          </w:rPr>
          <w:t>shared</w:t>
        </w:r>
        <w:proofErr w:type="spellEnd"/>
        <w:r w:rsidRPr="006F745E">
          <w:rPr>
            <w:rStyle w:val="Hyperlink"/>
          </w:rPr>
          <w:t xml:space="preserve"> vision for </w:t>
        </w:r>
        <w:proofErr w:type="spellStart"/>
        <w:r w:rsidRPr="006F745E">
          <w:rPr>
            <w:rStyle w:val="Hyperlink"/>
          </w:rPr>
          <w:t>quality</w:t>
        </w:r>
        <w:proofErr w:type="spellEnd"/>
        <w:r w:rsidRPr="006F745E">
          <w:rPr>
            <w:rStyle w:val="Hyperlink"/>
          </w:rPr>
          <w:t xml:space="preserve"> and </w:t>
        </w:r>
        <w:proofErr w:type="spellStart"/>
        <w:r w:rsidRPr="006F745E">
          <w:rPr>
            <w:rStyle w:val="Hyperlink"/>
          </w:rPr>
          <w:t>effective</w:t>
        </w:r>
        <w:proofErr w:type="spellEnd"/>
        <w:r w:rsidRPr="006F745E">
          <w:rPr>
            <w:rStyle w:val="Hyperlink"/>
          </w:rPr>
          <w:t xml:space="preserve"> </w:t>
        </w:r>
        <w:proofErr w:type="spellStart"/>
        <w:r w:rsidRPr="006F745E">
          <w:rPr>
            <w:rStyle w:val="Hyperlink"/>
          </w:rPr>
          <w:t>apprenticeships</w:t>
        </w:r>
        <w:proofErr w:type="spellEnd"/>
        <w:r w:rsidRPr="006F745E">
          <w:rPr>
            <w:rStyle w:val="Hyperlink"/>
          </w:rPr>
          <w:t xml:space="preserve"> and </w:t>
        </w:r>
        <w:proofErr w:type="spellStart"/>
        <w:r w:rsidRPr="006F745E">
          <w:rPr>
            <w:rStyle w:val="Hyperlink"/>
          </w:rPr>
          <w:t>work-based</w:t>
        </w:r>
        <w:proofErr w:type="spellEnd"/>
        <w:r w:rsidRPr="006F745E">
          <w:rPr>
            <w:rStyle w:val="Hyperlink"/>
          </w:rPr>
          <w:t xml:space="preserve"> </w:t>
        </w:r>
        <w:proofErr w:type="spellStart"/>
        <w:r w:rsidRPr="006F745E">
          <w:rPr>
            <w:rStyle w:val="Hyperlink"/>
          </w:rPr>
          <w:t>learning</w:t>
        </w:r>
        <w:proofErr w:type="spellEnd"/>
        <w:r w:rsidRPr="006F745E">
          <w:rPr>
            <w:rStyle w:val="Hyperlink"/>
          </w:rPr>
          <w:t>", 2. december 2016</w:t>
        </w:r>
        <w:r>
          <w:rPr>
            <w:rStyle w:val="Hyperlink"/>
            <w:color w:val="auto"/>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38" w:rsidRPr="002C4F3C" w:rsidRDefault="008D0638" w:rsidP="002C4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38" w:rsidRPr="002C4F3C" w:rsidRDefault="008D0638" w:rsidP="002C4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38" w:rsidRPr="002C4F3C" w:rsidRDefault="008D0638" w:rsidP="002C4F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A2" w:rsidRPr="002C4F3C" w:rsidRDefault="00A75AA2" w:rsidP="002C4F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A2" w:rsidRPr="002C4F3C" w:rsidRDefault="00A75AA2" w:rsidP="002C4F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A2" w:rsidRPr="002C4F3C" w:rsidRDefault="00A75AA2" w:rsidP="002C4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024ED7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9A1097D"/>
    <w:multiLevelType w:val="hybridMultilevel"/>
    <w:tmpl w:val="E2B4CF10"/>
    <w:lvl w:ilvl="0" w:tplc="AFF856E4">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6C67675"/>
    <w:multiLevelType w:val="hybridMultilevel"/>
    <w:tmpl w:val="3328DABC"/>
    <w:lvl w:ilvl="0" w:tplc="44D051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AEE5C91"/>
    <w:multiLevelType w:val="hybridMultilevel"/>
    <w:tmpl w:val="E3FAA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6B1F8E"/>
    <w:multiLevelType w:val="singleLevel"/>
    <w:tmpl w:val="E3FAA81A"/>
    <w:lvl w:ilvl="0">
      <w:start w:val="1"/>
      <w:numFmt w:val="decimal"/>
      <w:lvlText w:val="%1."/>
      <w:lvlJc w:val="left"/>
      <w:pPr>
        <w:ind w:left="720" w:hanging="360"/>
      </w:pPr>
    </w:lvl>
  </w:abstractNum>
  <w:abstractNum w:abstractNumId="6">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6"/>
  </w:num>
  <w:num w:numId="72">
    <w:abstractNumId w:val="3"/>
  </w:num>
  <w:num w:numId="73">
    <w:abstractNumId w:val="1"/>
  </w:num>
  <w:num w:numId="74">
    <w:abstractNumId w:val="4"/>
  </w:num>
  <w:num w:numId="75">
    <w:abstractNumId w:val="0"/>
  </w:num>
  <w:num w:numId="76">
    <w:abstractNumId w:val="0"/>
  </w:num>
  <w:num w:numId="77">
    <w:abstractNumId w:val="0"/>
  </w:num>
  <w:num w:numId="78">
    <w:abstractNumId w:val="5"/>
  </w:num>
  <w:num w:numId="79">
    <w:abstractNumId w:val="0"/>
  </w:num>
  <w:num w:numId="80">
    <w:abstractNumId w:val="0"/>
  </w:num>
  <w:num w:numId="81">
    <w:abstractNumId w:val="0"/>
  </w:num>
  <w:num w:numId="82">
    <w:abstractNumId w:val="0"/>
  </w:num>
  <w:num w:numId="83">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378"/>
    <w:rsid w:val="00007A40"/>
    <w:rsid w:val="00010E9C"/>
    <w:rsid w:val="00011D33"/>
    <w:rsid w:val="00012D36"/>
    <w:rsid w:val="00020E6E"/>
    <w:rsid w:val="00031A4B"/>
    <w:rsid w:val="00033913"/>
    <w:rsid w:val="00033E5B"/>
    <w:rsid w:val="000357A8"/>
    <w:rsid w:val="000430A6"/>
    <w:rsid w:val="00044923"/>
    <w:rsid w:val="0005249C"/>
    <w:rsid w:val="000534A5"/>
    <w:rsid w:val="0005680D"/>
    <w:rsid w:val="00063FB4"/>
    <w:rsid w:val="0006788A"/>
    <w:rsid w:val="0006793E"/>
    <w:rsid w:val="00072E0F"/>
    <w:rsid w:val="000735E5"/>
    <w:rsid w:val="0007392F"/>
    <w:rsid w:val="00087B39"/>
    <w:rsid w:val="00096502"/>
    <w:rsid w:val="00096DBC"/>
    <w:rsid w:val="000A49BB"/>
    <w:rsid w:val="000C067B"/>
    <w:rsid w:val="000C27EF"/>
    <w:rsid w:val="000C3441"/>
    <w:rsid w:val="000C7F53"/>
    <w:rsid w:val="000D2F8E"/>
    <w:rsid w:val="000F196B"/>
    <w:rsid w:val="000F6629"/>
    <w:rsid w:val="001002D4"/>
    <w:rsid w:val="00105361"/>
    <w:rsid w:val="001101F8"/>
    <w:rsid w:val="0011206F"/>
    <w:rsid w:val="0011656A"/>
    <w:rsid w:val="00120E12"/>
    <w:rsid w:val="0012220C"/>
    <w:rsid w:val="00134CAC"/>
    <w:rsid w:val="00136EA3"/>
    <w:rsid w:val="00137575"/>
    <w:rsid w:val="00144231"/>
    <w:rsid w:val="00144B24"/>
    <w:rsid w:val="00150434"/>
    <w:rsid w:val="00155721"/>
    <w:rsid w:val="0015678B"/>
    <w:rsid w:val="0016480A"/>
    <w:rsid w:val="0016503F"/>
    <w:rsid w:val="0016674F"/>
    <w:rsid w:val="00167CA0"/>
    <w:rsid w:val="0017120D"/>
    <w:rsid w:val="001714F6"/>
    <w:rsid w:val="001760AE"/>
    <w:rsid w:val="00176168"/>
    <w:rsid w:val="00177158"/>
    <w:rsid w:val="001808A5"/>
    <w:rsid w:val="0018193A"/>
    <w:rsid w:val="00184FD4"/>
    <w:rsid w:val="00186B04"/>
    <w:rsid w:val="00186F1E"/>
    <w:rsid w:val="00190836"/>
    <w:rsid w:val="00193930"/>
    <w:rsid w:val="001963A5"/>
    <w:rsid w:val="00196F1E"/>
    <w:rsid w:val="00197655"/>
    <w:rsid w:val="00197FCA"/>
    <w:rsid w:val="001A27DB"/>
    <w:rsid w:val="001A5434"/>
    <w:rsid w:val="001A6852"/>
    <w:rsid w:val="001B286A"/>
    <w:rsid w:val="001B2D02"/>
    <w:rsid w:val="001B3647"/>
    <w:rsid w:val="001B77FA"/>
    <w:rsid w:val="001C0ABE"/>
    <w:rsid w:val="001C0FB9"/>
    <w:rsid w:val="001C4250"/>
    <w:rsid w:val="001C5852"/>
    <w:rsid w:val="001C6488"/>
    <w:rsid w:val="001D45F0"/>
    <w:rsid w:val="001D77A1"/>
    <w:rsid w:val="001E4A33"/>
    <w:rsid w:val="001E5C27"/>
    <w:rsid w:val="001E6D26"/>
    <w:rsid w:val="001F064D"/>
    <w:rsid w:val="001F0EC4"/>
    <w:rsid w:val="001F602B"/>
    <w:rsid w:val="001F6AC8"/>
    <w:rsid w:val="002037D5"/>
    <w:rsid w:val="002049AA"/>
    <w:rsid w:val="00206ED2"/>
    <w:rsid w:val="00206F90"/>
    <w:rsid w:val="00210CD7"/>
    <w:rsid w:val="00212B03"/>
    <w:rsid w:val="002131AE"/>
    <w:rsid w:val="00215A0C"/>
    <w:rsid w:val="00215C10"/>
    <w:rsid w:val="00215C2D"/>
    <w:rsid w:val="002252C4"/>
    <w:rsid w:val="00230556"/>
    <w:rsid w:val="0023183E"/>
    <w:rsid w:val="00233367"/>
    <w:rsid w:val="00235138"/>
    <w:rsid w:val="00243E36"/>
    <w:rsid w:val="0024540B"/>
    <w:rsid w:val="00245EF4"/>
    <w:rsid w:val="0024668C"/>
    <w:rsid w:val="00250E11"/>
    <w:rsid w:val="00251383"/>
    <w:rsid w:val="002522C9"/>
    <w:rsid w:val="00252A21"/>
    <w:rsid w:val="002539A8"/>
    <w:rsid w:val="00253E4F"/>
    <w:rsid w:val="002542E4"/>
    <w:rsid w:val="00261053"/>
    <w:rsid w:val="00262FDE"/>
    <w:rsid w:val="00263629"/>
    <w:rsid w:val="00266C96"/>
    <w:rsid w:val="002769BD"/>
    <w:rsid w:val="00276A75"/>
    <w:rsid w:val="00277DF4"/>
    <w:rsid w:val="002809EA"/>
    <w:rsid w:val="00281467"/>
    <w:rsid w:val="00284962"/>
    <w:rsid w:val="00287B0E"/>
    <w:rsid w:val="002A0B53"/>
    <w:rsid w:val="002A0EEF"/>
    <w:rsid w:val="002A76F9"/>
    <w:rsid w:val="002A7FC9"/>
    <w:rsid w:val="002B1511"/>
    <w:rsid w:val="002B2DF7"/>
    <w:rsid w:val="002B6E22"/>
    <w:rsid w:val="002C0420"/>
    <w:rsid w:val="002C3BF4"/>
    <w:rsid w:val="002C4F3C"/>
    <w:rsid w:val="002C6AD0"/>
    <w:rsid w:val="002C749F"/>
    <w:rsid w:val="002C7924"/>
    <w:rsid w:val="002E1DED"/>
    <w:rsid w:val="002E7B33"/>
    <w:rsid w:val="002F059B"/>
    <w:rsid w:val="002F30C8"/>
    <w:rsid w:val="002F5B0B"/>
    <w:rsid w:val="00300924"/>
    <w:rsid w:val="0030596E"/>
    <w:rsid w:val="003073C3"/>
    <w:rsid w:val="003125E4"/>
    <w:rsid w:val="00321FE8"/>
    <w:rsid w:val="00323558"/>
    <w:rsid w:val="00323637"/>
    <w:rsid w:val="00324E8A"/>
    <w:rsid w:val="00331D87"/>
    <w:rsid w:val="00332850"/>
    <w:rsid w:val="00333C84"/>
    <w:rsid w:val="00334478"/>
    <w:rsid w:val="003346B4"/>
    <w:rsid w:val="00334AE6"/>
    <w:rsid w:val="003365D0"/>
    <w:rsid w:val="003439AB"/>
    <w:rsid w:val="00346E42"/>
    <w:rsid w:val="00347E4E"/>
    <w:rsid w:val="0035034C"/>
    <w:rsid w:val="00354695"/>
    <w:rsid w:val="0035549B"/>
    <w:rsid w:val="00363E64"/>
    <w:rsid w:val="003755C8"/>
    <w:rsid w:val="00375687"/>
    <w:rsid w:val="00380AE0"/>
    <w:rsid w:val="0038198F"/>
    <w:rsid w:val="00383324"/>
    <w:rsid w:val="00387A75"/>
    <w:rsid w:val="003904FD"/>
    <w:rsid w:val="003929AB"/>
    <w:rsid w:val="00394254"/>
    <w:rsid w:val="0039609D"/>
    <w:rsid w:val="00397BAE"/>
    <w:rsid w:val="003A742C"/>
    <w:rsid w:val="003B6DC9"/>
    <w:rsid w:val="003B790D"/>
    <w:rsid w:val="003C2BFB"/>
    <w:rsid w:val="003C35A9"/>
    <w:rsid w:val="003C436B"/>
    <w:rsid w:val="003C5337"/>
    <w:rsid w:val="003C5F92"/>
    <w:rsid w:val="003C7CCD"/>
    <w:rsid w:val="003D40EE"/>
    <w:rsid w:val="003D51C4"/>
    <w:rsid w:val="003D66E4"/>
    <w:rsid w:val="003D7A8C"/>
    <w:rsid w:val="003D7C00"/>
    <w:rsid w:val="003E4613"/>
    <w:rsid w:val="003E56E5"/>
    <w:rsid w:val="003E60B5"/>
    <w:rsid w:val="003E7E60"/>
    <w:rsid w:val="003F00D4"/>
    <w:rsid w:val="003F2209"/>
    <w:rsid w:val="003F3D39"/>
    <w:rsid w:val="003F646A"/>
    <w:rsid w:val="003F6761"/>
    <w:rsid w:val="003F6A0A"/>
    <w:rsid w:val="004024F5"/>
    <w:rsid w:val="00402DE1"/>
    <w:rsid w:val="0040339F"/>
    <w:rsid w:val="00403D8B"/>
    <w:rsid w:val="004058F1"/>
    <w:rsid w:val="00407E7D"/>
    <w:rsid w:val="00410F29"/>
    <w:rsid w:val="0041283D"/>
    <w:rsid w:val="00413AB4"/>
    <w:rsid w:val="00421373"/>
    <w:rsid w:val="00421FB7"/>
    <w:rsid w:val="0042524A"/>
    <w:rsid w:val="0042763B"/>
    <w:rsid w:val="0043024C"/>
    <w:rsid w:val="00436706"/>
    <w:rsid w:val="004408F7"/>
    <w:rsid w:val="00443D38"/>
    <w:rsid w:val="00450E7A"/>
    <w:rsid w:val="0045392E"/>
    <w:rsid w:val="00456AF8"/>
    <w:rsid w:val="00467057"/>
    <w:rsid w:val="00470B15"/>
    <w:rsid w:val="00475869"/>
    <w:rsid w:val="00475A77"/>
    <w:rsid w:val="004763C7"/>
    <w:rsid w:val="00481CF0"/>
    <w:rsid w:val="00482E45"/>
    <w:rsid w:val="004866A9"/>
    <w:rsid w:val="00492774"/>
    <w:rsid w:val="0049280D"/>
    <w:rsid w:val="00496D7A"/>
    <w:rsid w:val="004A31BC"/>
    <w:rsid w:val="004A3F1A"/>
    <w:rsid w:val="004A3F45"/>
    <w:rsid w:val="004B1AFA"/>
    <w:rsid w:val="004B5288"/>
    <w:rsid w:val="004B7088"/>
    <w:rsid w:val="004C25CE"/>
    <w:rsid w:val="004C4D12"/>
    <w:rsid w:val="004C5B76"/>
    <w:rsid w:val="004C60D3"/>
    <w:rsid w:val="004C6A00"/>
    <w:rsid w:val="004D02CD"/>
    <w:rsid w:val="004D08FA"/>
    <w:rsid w:val="004D0B24"/>
    <w:rsid w:val="004D4B90"/>
    <w:rsid w:val="004D6B95"/>
    <w:rsid w:val="004D7B1D"/>
    <w:rsid w:val="004D7F41"/>
    <w:rsid w:val="004E03A2"/>
    <w:rsid w:val="004E317E"/>
    <w:rsid w:val="004E3209"/>
    <w:rsid w:val="004E3954"/>
    <w:rsid w:val="004E3E55"/>
    <w:rsid w:val="004E5856"/>
    <w:rsid w:val="004E5C2A"/>
    <w:rsid w:val="004F2067"/>
    <w:rsid w:val="004F2330"/>
    <w:rsid w:val="004F53C6"/>
    <w:rsid w:val="004F55C6"/>
    <w:rsid w:val="004F69DB"/>
    <w:rsid w:val="004F6B87"/>
    <w:rsid w:val="00501C2D"/>
    <w:rsid w:val="00502637"/>
    <w:rsid w:val="0050278F"/>
    <w:rsid w:val="00511140"/>
    <w:rsid w:val="00513CFE"/>
    <w:rsid w:val="00516037"/>
    <w:rsid w:val="00520193"/>
    <w:rsid w:val="00523B6A"/>
    <w:rsid w:val="00525F6C"/>
    <w:rsid w:val="00536DE1"/>
    <w:rsid w:val="00537FDE"/>
    <w:rsid w:val="00544854"/>
    <w:rsid w:val="00546AB4"/>
    <w:rsid w:val="005514E5"/>
    <w:rsid w:val="005543F1"/>
    <w:rsid w:val="00555C30"/>
    <w:rsid w:val="00562318"/>
    <w:rsid w:val="005625EE"/>
    <w:rsid w:val="00563C84"/>
    <w:rsid w:val="005762F6"/>
    <w:rsid w:val="00584685"/>
    <w:rsid w:val="00584FBE"/>
    <w:rsid w:val="00585483"/>
    <w:rsid w:val="00587378"/>
    <w:rsid w:val="00587C05"/>
    <w:rsid w:val="00590AAB"/>
    <w:rsid w:val="005919FF"/>
    <w:rsid w:val="005938C3"/>
    <w:rsid w:val="0059468C"/>
    <w:rsid w:val="00594E67"/>
    <w:rsid w:val="00595125"/>
    <w:rsid w:val="00596F21"/>
    <w:rsid w:val="005A2A28"/>
    <w:rsid w:val="005B1CDD"/>
    <w:rsid w:val="005B1E19"/>
    <w:rsid w:val="005B55FC"/>
    <w:rsid w:val="005C2D5E"/>
    <w:rsid w:val="005C3B81"/>
    <w:rsid w:val="005C4856"/>
    <w:rsid w:val="005C5708"/>
    <w:rsid w:val="005C650C"/>
    <w:rsid w:val="005D045D"/>
    <w:rsid w:val="005D086C"/>
    <w:rsid w:val="005D0926"/>
    <w:rsid w:val="005D11D3"/>
    <w:rsid w:val="005D4E1F"/>
    <w:rsid w:val="005D4FB3"/>
    <w:rsid w:val="005D5C6F"/>
    <w:rsid w:val="005D64E3"/>
    <w:rsid w:val="005E2F07"/>
    <w:rsid w:val="005E2FEA"/>
    <w:rsid w:val="005F314B"/>
    <w:rsid w:val="00611AF2"/>
    <w:rsid w:val="0061212B"/>
    <w:rsid w:val="006127AF"/>
    <w:rsid w:val="00613A98"/>
    <w:rsid w:val="00615FB2"/>
    <w:rsid w:val="006174D6"/>
    <w:rsid w:val="00617BD1"/>
    <w:rsid w:val="00617CE8"/>
    <w:rsid w:val="006278A0"/>
    <w:rsid w:val="0063095F"/>
    <w:rsid w:val="00630CCB"/>
    <w:rsid w:val="00631CBD"/>
    <w:rsid w:val="00636CFB"/>
    <w:rsid w:val="0063704F"/>
    <w:rsid w:val="00644684"/>
    <w:rsid w:val="00646AC2"/>
    <w:rsid w:val="00650390"/>
    <w:rsid w:val="00651229"/>
    <w:rsid w:val="00654DAB"/>
    <w:rsid w:val="00660AAD"/>
    <w:rsid w:val="00660E63"/>
    <w:rsid w:val="0066204A"/>
    <w:rsid w:val="0066535F"/>
    <w:rsid w:val="00670E3C"/>
    <w:rsid w:val="00676932"/>
    <w:rsid w:val="00677F57"/>
    <w:rsid w:val="00681088"/>
    <w:rsid w:val="0069577E"/>
    <w:rsid w:val="006962A0"/>
    <w:rsid w:val="0069634B"/>
    <w:rsid w:val="00696623"/>
    <w:rsid w:val="00697300"/>
    <w:rsid w:val="006A04E9"/>
    <w:rsid w:val="006A4A03"/>
    <w:rsid w:val="006A7543"/>
    <w:rsid w:val="006B4A6B"/>
    <w:rsid w:val="006B725C"/>
    <w:rsid w:val="006C2157"/>
    <w:rsid w:val="006C273D"/>
    <w:rsid w:val="006C5C4F"/>
    <w:rsid w:val="006C6282"/>
    <w:rsid w:val="006C762A"/>
    <w:rsid w:val="006D5FF9"/>
    <w:rsid w:val="006E0113"/>
    <w:rsid w:val="006E0772"/>
    <w:rsid w:val="006E0F86"/>
    <w:rsid w:val="006E7575"/>
    <w:rsid w:val="006F0B15"/>
    <w:rsid w:val="006F0DCC"/>
    <w:rsid w:val="006F745E"/>
    <w:rsid w:val="00703DF9"/>
    <w:rsid w:val="007048EB"/>
    <w:rsid w:val="00704FBB"/>
    <w:rsid w:val="00705B27"/>
    <w:rsid w:val="0070726A"/>
    <w:rsid w:val="00707E82"/>
    <w:rsid w:val="0071226B"/>
    <w:rsid w:val="00714AAF"/>
    <w:rsid w:val="00717040"/>
    <w:rsid w:val="00741ECE"/>
    <w:rsid w:val="00742AE3"/>
    <w:rsid w:val="00744A69"/>
    <w:rsid w:val="007532D4"/>
    <w:rsid w:val="007622A7"/>
    <w:rsid w:val="007750A2"/>
    <w:rsid w:val="007817D6"/>
    <w:rsid w:val="00781E1C"/>
    <w:rsid w:val="00786DEB"/>
    <w:rsid w:val="00787912"/>
    <w:rsid w:val="0079177A"/>
    <w:rsid w:val="00791C5E"/>
    <w:rsid w:val="00794836"/>
    <w:rsid w:val="007948D5"/>
    <w:rsid w:val="00794DCC"/>
    <w:rsid w:val="007A15C9"/>
    <w:rsid w:val="007A6676"/>
    <w:rsid w:val="007B7FF5"/>
    <w:rsid w:val="007C3210"/>
    <w:rsid w:val="007C3FC6"/>
    <w:rsid w:val="007D2CE9"/>
    <w:rsid w:val="007D2E40"/>
    <w:rsid w:val="007D3F50"/>
    <w:rsid w:val="007D4FED"/>
    <w:rsid w:val="007D69DA"/>
    <w:rsid w:val="007D70B1"/>
    <w:rsid w:val="007D7140"/>
    <w:rsid w:val="007E1CDB"/>
    <w:rsid w:val="007E408C"/>
    <w:rsid w:val="007E476F"/>
    <w:rsid w:val="007E50BF"/>
    <w:rsid w:val="007E7E21"/>
    <w:rsid w:val="007F0460"/>
    <w:rsid w:val="007F0DA2"/>
    <w:rsid w:val="007F39CE"/>
    <w:rsid w:val="007F5E0D"/>
    <w:rsid w:val="00801085"/>
    <w:rsid w:val="00801A89"/>
    <w:rsid w:val="00804E7A"/>
    <w:rsid w:val="0080520A"/>
    <w:rsid w:val="00812138"/>
    <w:rsid w:val="00815146"/>
    <w:rsid w:val="008151F2"/>
    <w:rsid w:val="0081777A"/>
    <w:rsid w:val="008210E0"/>
    <w:rsid w:val="00824079"/>
    <w:rsid w:val="00831F0A"/>
    <w:rsid w:val="00833A78"/>
    <w:rsid w:val="00835399"/>
    <w:rsid w:val="00837A94"/>
    <w:rsid w:val="0084585F"/>
    <w:rsid w:val="00853074"/>
    <w:rsid w:val="00853E53"/>
    <w:rsid w:val="0085535C"/>
    <w:rsid w:val="00864D76"/>
    <w:rsid w:val="008656C9"/>
    <w:rsid w:val="0086711C"/>
    <w:rsid w:val="00867535"/>
    <w:rsid w:val="00872479"/>
    <w:rsid w:val="0087387D"/>
    <w:rsid w:val="00875C5B"/>
    <w:rsid w:val="00883C5F"/>
    <w:rsid w:val="00884C90"/>
    <w:rsid w:val="00891C7D"/>
    <w:rsid w:val="00892FA7"/>
    <w:rsid w:val="008A3301"/>
    <w:rsid w:val="008A4DF1"/>
    <w:rsid w:val="008A5636"/>
    <w:rsid w:val="008A6B26"/>
    <w:rsid w:val="008B125E"/>
    <w:rsid w:val="008B241C"/>
    <w:rsid w:val="008B408B"/>
    <w:rsid w:val="008B4F11"/>
    <w:rsid w:val="008B5ABF"/>
    <w:rsid w:val="008B7C29"/>
    <w:rsid w:val="008C2362"/>
    <w:rsid w:val="008C3049"/>
    <w:rsid w:val="008C336A"/>
    <w:rsid w:val="008C5B2C"/>
    <w:rsid w:val="008D0638"/>
    <w:rsid w:val="008D2F4C"/>
    <w:rsid w:val="008D3C4C"/>
    <w:rsid w:val="008D4AE9"/>
    <w:rsid w:val="008D5CF3"/>
    <w:rsid w:val="008D7D39"/>
    <w:rsid w:val="008E4574"/>
    <w:rsid w:val="008F393C"/>
    <w:rsid w:val="008F4016"/>
    <w:rsid w:val="008F42FE"/>
    <w:rsid w:val="008F4A00"/>
    <w:rsid w:val="008F5402"/>
    <w:rsid w:val="008F70D0"/>
    <w:rsid w:val="0090053A"/>
    <w:rsid w:val="00901C2A"/>
    <w:rsid w:val="009118C7"/>
    <w:rsid w:val="009155DC"/>
    <w:rsid w:val="009225B6"/>
    <w:rsid w:val="00925397"/>
    <w:rsid w:val="00933A21"/>
    <w:rsid w:val="00934599"/>
    <w:rsid w:val="00934C10"/>
    <w:rsid w:val="0093662A"/>
    <w:rsid w:val="00937767"/>
    <w:rsid w:val="0094060C"/>
    <w:rsid w:val="00942C4B"/>
    <w:rsid w:val="00944196"/>
    <w:rsid w:val="00945367"/>
    <w:rsid w:val="0094575C"/>
    <w:rsid w:val="0094691F"/>
    <w:rsid w:val="009602CC"/>
    <w:rsid w:val="009606A5"/>
    <w:rsid w:val="00962F1F"/>
    <w:rsid w:val="00965304"/>
    <w:rsid w:val="00971293"/>
    <w:rsid w:val="00973A3B"/>
    <w:rsid w:val="00983EAE"/>
    <w:rsid w:val="0098760B"/>
    <w:rsid w:val="009A11DD"/>
    <w:rsid w:val="009B30AA"/>
    <w:rsid w:val="009B4E6D"/>
    <w:rsid w:val="009B5217"/>
    <w:rsid w:val="009C12CC"/>
    <w:rsid w:val="009C48DE"/>
    <w:rsid w:val="009D3F6C"/>
    <w:rsid w:val="009D60D9"/>
    <w:rsid w:val="009E1E1E"/>
    <w:rsid w:val="009E33E3"/>
    <w:rsid w:val="009E3613"/>
    <w:rsid w:val="009E6E44"/>
    <w:rsid w:val="009E7F16"/>
    <w:rsid w:val="009F5052"/>
    <w:rsid w:val="00A03083"/>
    <w:rsid w:val="00A04C85"/>
    <w:rsid w:val="00A06F61"/>
    <w:rsid w:val="00A100F0"/>
    <w:rsid w:val="00A1043A"/>
    <w:rsid w:val="00A156E6"/>
    <w:rsid w:val="00A177C5"/>
    <w:rsid w:val="00A252CF"/>
    <w:rsid w:val="00A27D86"/>
    <w:rsid w:val="00A30A3D"/>
    <w:rsid w:val="00A33151"/>
    <w:rsid w:val="00A36970"/>
    <w:rsid w:val="00A41EB4"/>
    <w:rsid w:val="00A44BFF"/>
    <w:rsid w:val="00A501E3"/>
    <w:rsid w:val="00A50F0C"/>
    <w:rsid w:val="00A56441"/>
    <w:rsid w:val="00A602D2"/>
    <w:rsid w:val="00A736DD"/>
    <w:rsid w:val="00A74F0A"/>
    <w:rsid w:val="00A75AA2"/>
    <w:rsid w:val="00A82869"/>
    <w:rsid w:val="00A8758C"/>
    <w:rsid w:val="00AA0052"/>
    <w:rsid w:val="00AA127E"/>
    <w:rsid w:val="00AA19AE"/>
    <w:rsid w:val="00AA423D"/>
    <w:rsid w:val="00AA65BB"/>
    <w:rsid w:val="00AA6A95"/>
    <w:rsid w:val="00AB10DE"/>
    <w:rsid w:val="00AB3668"/>
    <w:rsid w:val="00AB5ED7"/>
    <w:rsid w:val="00AC0B4C"/>
    <w:rsid w:val="00AD0807"/>
    <w:rsid w:val="00AD0AEE"/>
    <w:rsid w:val="00AD49E3"/>
    <w:rsid w:val="00AD4B4F"/>
    <w:rsid w:val="00AD7A93"/>
    <w:rsid w:val="00AE42B0"/>
    <w:rsid w:val="00AF0616"/>
    <w:rsid w:val="00AF0E28"/>
    <w:rsid w:val="00AF2973"/>
    <w:rsid w:val="00AF41CF"/>
    <w:rsid w:val="00AF6F9B"/>
    <w:rsid w:val="00AF74CC"/>
    <w:rsid w:val="00B01409"/>
    <w:rsid w:val="00B10DBD"/>
    <w:rsid w:val="00B1236C"/>
    <w:rsid w:val="00B15629"/>
    <w:rsid w:val="00B1633A"/>
    <w:rsid w:val="00B2372C"/>
    <w:rsid w:val="00B31D0E"/>
    <w:rsid w:val="00B32F70"/>
    <w:rsid w:val="00B34CFB"/>
    <w:rsid w:val="00B361B2"/>
    <w:rsid w:val="00B37212"/>
    <w:rsid w:val="00B373D0"/>
    <w:rsid w:val="00B43AAA"/>
    <w:rsid w:val="00B43E42"/>
    <w:rsid w:val="00B469B6"/>
    <w:rsid w:val="00B50BF2"/>
    <w:rsid w:val="00B53139"/>
    <w:rsid w:val="00B560D9"/>
    <w:rsid w:val="00B562CE"/>
    <w:rsid w:val="00B62DE2"/>
    <w:rsid w:val="00B663B7"/>
    <w:rsid w:val="00B6708E"/>
    <w:rsid w:val="00B74417"/>
    <w:rsid w:val="00B77246"/>
    <w:rsid w:val="00B866CD"/>
    <w:rsid w:val="00B93034"/>
    <w:rsid w:val="00B93A81"/>
    <w:rsid w:val="00B9401E"/>
    <w:rsid w:val="00B97C5D"/>
    <w:rsid w:val="00BA0866"/>
    <w:rsid w:val="00BA1290"/>
    <w:rsid w:val="00BA6E87"/>
    <w:rsid w:val="00BB2792"/>
    <w:rsid w:val="00BB76BF"/>
    <w:rsid w:val="00BB775F"/>
    <w:rsid w:val="00BC1AD1"/>
    <w:rsid w:val="00BC4A58"/>
    <w:rsid w:val="00BC613B"/>
    <w:rsid w:val="00BD2F1C"/>
    <w:rsid w:val="00BD51D9"/>
    <w:rsid w:val="00BD64E2"/>
    <w:rsid w:val="00BE4995"/>
    <w:rsid w:val="00BE6E12"/>
    <w:rsid w:val="00BF23BE"/>
    <w:rsid w:val="00BF429A"/>
    <w:rsid w:val="00BF4F3D"/>
    <w:rsid w:val="00BF62BE"/>
    <w:rsid w:val="00BF7640"/>
    <w:rsid w:val="00C07126"/>
    <w:rsid w:val="00C12223"/>
    <w:rsid w:val="00C15E31"/>
    <w:rsid w:val="00C16853"/>
    <w:rsid w:val="00C263F0"/>
    <w:rsid w:val="00C33D41"/>
    <w:rsid w:val="00C40AFD"/>
    <w:rsid w:val="00C41E20"/>
    <w:rsid w:val="00C42E3E"/>
    <w:rsid w:val="00C51C13"/>
    <w:rsid w:val="00C525A5"/>
    <w:rsid w:val="00C5300F"/>
    <w:rsid w:val="00C54594"/>
    <w:rsid w:val="00C55760"/>
    <w:rsid w:val="00C602E9"/>
    <w:rsid w:val="00C60CB1"/>
    <w:rsid w:val="00C66CE0"/>
    <w:rsid w:val="00C66DC6"/>
    <w:rsid w:val="00C7143C"/>
    <w:rsid w:val="00C7152F"/>
    <w:rsid w:val="00C71BED"/>
    <w:rsid w:val="00C737B2"/>
    <w:rsid w:val="00C81B53"/>
    <w:rsid w:val="00C82AD2"/>
    <w:rsid w:val="00C90FB6"/>
    <w:rsid w:val="00C9220E"/>
    <w:rsid w:val="00C932BD"/>
    <w:rsid w:val="00C93429"/>
    <w:rsid w:val="00CA16C5"/>
    <w:rsid w:val="00CA415A"/>
    <w:rsid w:val="00CA7A35"/>
    <w:rsid w:val="00CB1536"/>
    <w:rsid w:val="00CB7FB8"/>
    <w:rsid w:val="00CC1F71"/>
    <w:rsid w:val="00CC5588"/>
    <w:rsid w:val="00CC5EB3"/>
    <w:rsid w:val="00CD0E7B"/>
    <w:rsid w:val="00CD1903"/>
    <w:rsid w:val="00CD2ABD"/>
    <w:rsid w:val="00CD4024"/>
    <w:rsid w:val="00CD4617"/>
    <w:rsid w:val="00CD4855"/>
    <w:rsid w:val="00CE6D43"/>
    <w:rsid w:val="00CE711D"/>
    <w:rsid w:val="00CE76D4"/>
    <w:rsid w:val="00CE7888"/>
    <w:rsid w:val="00CE7DB7"/>
    <w:rsid w:val="00CF122C"/>
    <w:rsid w:val="00CF2155"/>
    <w:rsid w:val="00CF5A26"/>
    <w:rsid w:val="00D01E6F"/>
    <w:rsid w:val="00D07AAD"/>
    <w:rsid w:val="00D10E1C"/>
    <w:rsid w:val="00D1397C"/>
    <w:rsid w:val="00D161A3"/>
    <w:rsid w:val="00D22E49"/>
    <w:rsid w:val="00D23716"/>
    <w:rsid w:val="00D25ED8"/>
    <w:rsid w:val="00D27F8F"/>
    <w:rsid w:val="00D316B8"/>
    <w:rsid w:val="00D31CFC"/>
    <w:rsid w:val="00D3255D"/>
    <w:rsid w:val="00D340C3"/>
    <w:rsid w:val="00D3489E"/>
    <w:rsid w:val="00D409CD"/>
    <w:rsid w:val="00D423D4"/>
    <w:rsid w:val="00D42CAF"/>
    <w:rsid w:val="00D5310F"/>
    <w:rsid w:val="00D53824"/>
    <w:rsid w:val="00D601EF"/>
    <w:rsid w:val="00D61533"/>
    <w:rsid w:val="00D63B2F"/>
    <w:rsid w:val="00D66328"/>
    <w:rsid w:val="00D70747"/>
    <w:rsid w:val="00D7261D"/>
    <w:rsid w:val="00D755FC"/>
    <w:rsid w:val="00D76B6D"/>
    <w:rsid w:val="00D84D07"/>
    <w:rsid w:val="00D8526A"/>
    <w:rsid w:val="00D861ED"/>
    <w:rsid w:val="00D90A0A"/>
    <w:rsid w:val="00D90E91"/>
    <w:rsid w:val="00D9105F"/>
    <w:rsid w:val="00DA4C02"/>
    <w:rsid w:val="00DA5695"/>
    <w:rsid w:val="00DA7498"/>
    <w:rsid w:val="00DA7F4D"/>
    <w:rsid w:val="00DB09ED"/>
    <w:rsid w:val="00DB60E1"/>
    <w:rsid w:val="00DB63C5"/>
    <w:rsid w:val="00DC1347"/>
    <w:rsid w:val="00DC39F1"/>
    <w:rsid w:val="00DC561E"/>
    <w:rsid w:val="00DE4471"/>
    <w:rsid w:val="00DE4B35"/>
    <w:rsid w:val="00DE6659"/>
    <w:rsid w:val="00DF00EF"/>
    <w:rsid w:val="00DF19C1"/>
    <w:rsid w:val="00DF54CA"/>
    <w:rsid w:val="00DF56C9"/>
    <w:rsid w:val="00DF5B64"/>
    <w:rsid w:val="00DF6BFB"/>
    <w:rsid w:val="00E02794"/>
    <w:rsid w:val="00E043E3"/>
    <w:rsid w:val="00E0505B"/>
    <w:rsid w:val="00E070E0"/>
    <w:rsid w:val="00E11280"/>
    <w:rsid w:val="00E12359"/>
    <w:rsid w:val="00E152FF"/>
    <w:rsid w:val="00E177ED"/>
    <w:rsid w:val="00E2461B"/>
    <w:rsid w:val="00E24886"/>
    <w:rsid w:val="00E276FB"/>
    <w:rsid w:val="00E32595"/>
    <w:rsid w:val="00E32DC6"/>
    <w:rsid w:val="00E33A74"/>
    <w:rsid w:val="00E4030B"/>
    <w:rsid w:val="00E409A3"/>
    <w:rsid w:val="00E41D56"/>
    <w:rsid w:val="00E426ED"/>
    <w:rsid w:val="00E457DF"/>
    <w:rsid w:val="00E46642"/>
    <w:rsid w:val="00E5139A"/>
    <w:rsid w:val="00E5413D"/>
    <w:rsid w:val="00E57977"/>
    <w:rsid w:val="00E635D7"/>
    <w:rsid w:val="00E70576"/>
    <w:rsid w:val="00E71DED"/>
    <w:rsid w:val="00E83954"/>
    <w:rsid w:val="00E86506"/>
    <w:rsid w:val="00E91730"/>
    <w:rsid w:val="00E96F04"/>
    <w:rsid w:val="00E973D6"/>
    <w:rsid w:val="00E97AEC"/>
    <w:rsid w:val="00EA20FE"/>
    <w:rsid w:val="00EA6C31"/>
    <w:rsid w:val="00EB491E"/>
    <w:rsid w:val="00EB681B"/>
    <w:rsid w:val="00EC4FAD"/>
    <w:rsid w:val="00EE0103"/>
    <w:rsid w:val="00EE3CFA"/>
    <w:rsid w:val="00EE69E4"/>
    <w:rsid w:val="00EF2A7F"/>
    <w:rsid w:val="00EF7E90"/>
    <w:rsid w:val="00F002B6"/>
    <w:rsid w:val="00F10AFE"/>
    <w:rsid w:val="00F15C6C"/>
    <w:rsid w:val="00F16FE8"/>
    <w:rsid w:val="00F17173"/>
    <w:rsid w:val="00F17799"/>
    <w:rsid w:val="00F20987"/>
    <w:rsid w:val="00F215F4"/>
    <w:rsid w:val="00F224DC"/>
    <w:rsid w:val="00F2687F"/>
    <w:rsid w:val="00F26A5E"/>
    <w:rsid w:val="00F272E1"/>
    <w:rsid w:val="00F27F29"/>
    <w:rsid w:val="00F32D54"/>
    <w:rsid w:val="00F36C54"/>
    <w:rsid w:val="00F418EA"/>
    <w:rsid w:val="00F41A29"/>
    <w:rsid w:val="00F44C1C"/>
    <w:rsid w:val="00F517BF"/>
    <w:rsid w:val="00F518DF"/>
    <w:rsid w:val="00F544DB"/>
    <w:rsid w:val="00F648EA"/>
    <w:rsid w:val="00F6502E"/>
    <w:rsid w:val="00F65663"/>
    <w:rsid w:val="00F75147"/>
    <w:rsid w:val="00F756C0"/>
    <w:rsid w:val="00F75A40"/>
    <w:rsid w:val="00F77637"/>
    <w:rsid w:val="00F83AA9"/>
    <w:rsid w:val="00F8435D"/>
    <w:rsid w:val="00F862E5"/>
    <w:rsid w:val="00F87DD0"/>
    <w:rsid w:val="00F93360"/>
    <w:rsid w:val="00F93FE4"/>
    <w:rsid w:val="00F95FC6"/>
    <w:rsid w:val="00F97E4E"/>
    <w:rsid w:val="00FA1A40"/>
    <w:rsid w:val="00FA217B"/>
    <w:rsid w:val="00FB0BC5"/>
    <w:rsid w:val="00FB0BCC"/>
    <w:rsid w:val="00FC0FE5"/>
    <w:rsid w:val="00FD1ABC"/>
    <w:rsid w:val="00FD4595"/>
    <w:rsid w:val="00FD7DDF"/>
    <w:rsid w:val="00FE4C92"/>
    <w:rsid w:val="00FF0FAA"/>
    <w:rsid w:val="00FF3759"/>
    <w:rsid w:val="00FF4396"/>
    <w:rsid w:val="00FF5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da-DK"/>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32"/>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676932"/>
    <w:pPr>
      <w:numPr>
        <w:numId w:val="1"/>
      </w:numPr>
      <w:ind w:left="720" w:hanging="720"/>
      <w:outlineLvl w:val="0"/>
    </w:pPr>
    <w:rPr>
      <w:kern w:val="28"/>
    </w:rPr>
  </w:style>
  <w:style w:type="paragraph" w:styleId="Heading2">
    <w:name w:val="heading 2"/>
    <w:basedOn w:val="Normal"/>
    <w:next w:val="Normal"/>
    <w:link w:val="Heading2Char"/>
    <w:qFormat/>
    <w:rsid w:val="00676932"/>
    <w:pPr>
      <w:numPr>
        <w:ilvl w:val="1"/>
        <w:numId w:val="1"/>
      </w:numPr>
      <w:outlineLvl w:val="1"/>
    </w:pPr>
  </w:style>
  <w:style w:type="paragraph" w:styleId="Heading3">
    <w:name w:val="heading 3"/>
    <w:basedOn w:val="Normal"/>
    <w:next w:val="Normal"/>
    <w:link w:val="Heading3Char"/>
    <w:qFormat/>
    <w:rsid w:val="00676932"/>
    <w:pPr>
      <w:numPr>
        <w:ilvl w:val="2"/>
        <w:numId w:val="1"/>
      </w:numPr>
      <w:ind w:left="720" w:hanging="720"/>
      <w:outlineLvl w:val="2"/>
    </w:pPr>
  </w:style>
  <w:style w:type="paragraph" w:styleId="Heading4">
    <w:name w:val="heading 4"/>
    <w:basedOn w:val="Normal"/>
    <w:next w:val="Normal"/>
    <w:link w:val="Heading4Char"/>
    <w:qFormat/>
    <w:rsid w:val="00676932"/>
    <w:pPr>
      <w:numPr>
        <w:ilvl w:val="3"/>
        <w:numId w:val="1"/>
      </w:numPr>
      <w:ind w:left="720" w:hanging="720"/>
      <w:outlineLvl w:val="3"/>
    </w:pPr>
  </w:style>
  <w:style w:type="paragraph" w:styleId="Heading5">
    <w:name w:val="heading 5"/>
    <w:basedOn w:val="Normal"/>
    <w:next w:val="Normal"/>
    <w:link w:val="Heading5Char"/>
    <w:qFormat/>
    <w:rsid w:val="00676932"/>
    <w:pPr>
      <w:numPr>
        <w:ilvl w:val="4"/>
        <w:numId w:val="1"/>
      </w:numPr>
      <w:ind w:left="720" w:hanging="720"/>
      <w:outlineLvl w:val="4"/>
    </w:pPr>
  </w:style>
  <w:style w:type="paragraph" w:styleId="Heading6">
    <w:name w:val="heading 6"/>
    <w:basedOn w:val="Normal"/>
    <w:next w:val="Normal"/>
    <w:link w:val="Heading6Char"/>
    <w:qFormat/>
    <w:rsid w:val="00676932"/>
    <w:pPr>
      <w:numPr>
        <w:ilvl w:val="5"/>
        <w:numId w:val="1"/>
      </w:numPr>
      <w:ind w:left="720" w:hanging="720"/>
      <w:outlineLvl w:val="5"/>
    </w:pPr>
  </w:style>
  <w:style w:type="paragraph" w:styleId="Heading7">
    <w:name w:val="heading 7"/>
    <w:basedOn w:val="Normal"/>
    <w:next w:val="Normal"/>
    <w:link w:val="Heading7Char"/>
    <w:qFormat/>
    <w:rsid w:val="00676932"/>
    <w:pPr>
      <w:numPr>
        <w:ilvl w:val="6"/>
        <w:numId w:val="1"/>
      </w:numPr>
      <w:ind w:left="720" w:hanging="720"/>
      <w:outlineLvl w:val="6"/>
    </w:pPr>
  </w:style>
  <w:style w:type="paragraph" w:styleId="Heading8">
    <w:name w:val="heading 8"/>
    <w:basedOn w:val="Normal"/>
    <w:next w:val="Normal"/>
    <w:link w:val="Heading8Char"/>
    <w:qFormat/>
    <w:rsid w:val="00676932"/>
    <w:pPr>
      <w:numPr>
        <w:ilvl w:val="7"/>
        <w:numId w:val="1"/>
      </w:numPr>
      <w:ind w:left="720" w:hanging="720"/>
      <w:outlineLvl w:val="7"/>
    </w:pPr>
  </w:style>
  <w:style w:type="paragraph" w:styleId="Heading9">
    <w:name w:val="heading 9"/>
    <w:basedOn w:val="Normal"/>
    <w:next w:val="Normal"/>
    <w:link w:val="Heading9Char"/>
    <w:qFormat/>
    <w:rsid w:val="00676932"/>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da-DK" w:bidi="da-DK"/>
    </w:rPr>
  </w:style>
  <w:style w:type="character" w:customStyle="1" w:styleId="Heading2Char">
    <w:name w:val="Heading 2 Char"/>
    <w:basedOn w:val="DefaultParagraphFont"/>
    <w:link w:val="Heading2"/>
    <w:locked/>
    <w:rsid w:val="00CB1536"/>
    <w:rPr>
      <w:szCs w:val="20"/>
      <w:lang w:eastAsia="da-DK" w:bidi="da-DK"/>
    </w:rPr>
  </w:style>
  <w:style w:type="character" w:customStyle="1" w:styleId="Heading3Char">
    <w:name w:val="Heading 3 Char"/>
    <w:basedOn w:val="DefaultParagraphFont"/>
    <w:link w:val="Heading3"/>
    <w:locked/>
    <w:rsid w:val="00CB1536"/>
    <w:rPr>
      <w:szCs w:val="20"/>
      <w:lang w:eastAsia="da-DK" w:bidi="da-DK"/>
    </w:rPr>
  </w:style>
  <w:style w:type="character" w:customStyle="1" w:styleId="Heading4Char">
    <w:name w:val="Heading 4 Char"/>
    <w:basedOn w:val="DefaultParagraphFont"/>
    <w:link w:val="Heading4"/>
    <w:locked/>
    <w:rsid w:val="00CB1536"/>
    <w:rPr>
      <w:szCs w:val="20"/>
      <w:lang w:eastAsia="da-DK" w:bidi="da-DK"/>
    </w:rPr>
  </w:style>
  <w:style w:type="character" w:customStyle="1" w:styleId="Heading5Char">
    <w:name w:val="Heading 5 Char"/>
    <w:basedOn w:val="DefaultParagraphFont"/>
    <w:link w:val="Heading5"/>
    <w:locked/>
    <w:rsid w:val="00CB1536"/>
    <w:rPr>
      <w:szCs w:val="20"/>
      <w:lang w:eastAsia="da-DK" w:bidi="da-DK"/>
    </w:rPr>
  </w:style>
  <w:style w:type="character" w:customStyle="1" w:styleId="Heading6Char">
    <w:name w:val="Heading 6 Char"/>
    <w:basedOn w:val="DefaultParagraphFont"/>
    <w:link w:val="Heading6"/>
    <w:locked/>
    <w:rsid w:val="00CB1536"/>
    <w:rPr>
      <w:szCs w:val="20"/>
      <w:lang w:eastAsia="da-DK" w:bidi="da-DK"/>
    </w:rPr>
  </w:style>
  <w:style w:type="character" w:customStyle="1" w:styleId="Heading7Char">
    <w:name w:val="Heading 7 Char"/>
    <w:basedOn w:val="DefaultParagraphFont"/>
    <w:link w:val="Heading7"/>
    <w:locked/>
    <w:rsid w:val="00CB1536"/>
    <w:rPr>
      <w:szCs w:val="20"/>
      <w:lang w:eastAsia="da-DK" w:bidi="da-DK"/>
    </w:rPr>
  </w:style>
  <w:style w:type="character" w:customStyle="1" w:styleId="Heading8Char">
    <w:name w:val="Heading 8 Char"/>
    <w:basedOn w:val="DefaultParagraphFont"/>
    <w:link w:val="Heading8"/>
    <w:locked/>
    <w:rsid w:val="00CB1536"/>
    <w:rPr>
      <w:szCs w:val="20"/>
      <w:lang w:eastAsia="da-DK" w:bidi="da-DK"/>
    </w:rPr>
  </w:style>
  <w:style w:type="character" w:customStyle="1" w:styleId="Heading9Char">
    <w:name w:val="Heading 9 Char"/>
    <w:basedOn w:val="DefaultParagraphFont"/>
    <w:link w:val="Heading9"/>
    <w:locked/>
    <w:rsid w:val="00CB1536"/>
    <w:rPr>
      <w:szCs w:val="20"/>
      <w:lang w:eastAsia="da-DK" w:bidi="da-DK"/>
    </w:rPr>
  </w:style>
  <w:style w:type="paragraph" w:styleId="Footer">
    <w:name w:val="footer"/>
    <w:basedOn w:val="Normal"/>
    <w:link w:val="FooterChar"/>
    <w:rsid w:val="00676932"/>
  </w:style>
  <w:style w:type="character" w:customStyle="1" w:styleId="FooterChar">
    <w:name w:val="Footer Char"/>
    <w:basedOn w:val="DefaultParagraphFont"/>
    <w:link w:val="Footer"/>
    <w:locked/>
    <w:rsid w:val="00CB1536"/>
    <w:rPr>
      <w:szCs w:val="20"/>
      <w:lang w:eastAsia="da-DK" w:bidi="da-DK"/>
    </w:rPr>
  </w:style>
  <w:style w:type="paragraph" w:styleId="FootnoteText">
    <w:name w:val="footnote text"/>
    <w:basedOn w:val="Normal"/>
    <w:link w:val="FootnoteTextChar"/>
    <w:rsid w:val="00676932"/>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da-DK" w:bidi="da-DK"/>
    </w:rPr>
  </w:style>
  <w:style w:type="paragraph" w:styleId="Header">
    <w:name w:val="header"/>
    <w:basedOn w:val="Normal"/>
    <w:link w:val="HeaderChar"/>
    <w:rsid w:val="00676932"/>
  </w:style>
  <w:style w:type="character" w:customStyle="1" w:styleId="HeaderChar">
    <w:name w:val="Header Char"/>
    <w:basedOn w:val="DefaultParagraphFont"/>
    <w:link w:val="Header"/>
    <w:locked/>
    <w:rsid w:val="00CB1536"/>
    <w:rPr>
      <w:szCs w:val="20"/>
      <w:lang w:eastAsia="da-DK" w:bidi="da-DK"/>
    </w:rPr>
  </w:style>
  <w:style w:type="character" w:styleId="Hyperlink">
    <w:name w:val="Hyperlink"/>
    <w:basedOn w:val="DefaultParagraphFont"/>
    <w:rsid w:val="00934C10"/>
    <w:rPr>
      <w:color w:val="0000FF"/>
      <w:u w:val="single"/>
    </w:rPr>
  </w:style>
  <w:style w:type="character" w:styleId="FootnoteReference">
    <w:name w:val="footnote reference"/>
    <w:basedOn w:val="DefaultParagraphFont"/>
    <w:rsid w:val="00676932"/>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363E64"/>
    <w:pPr>
      <w:ind w:left="720"/>
      <w:contextualSpacing/>
    </w:pPr>
  </w:style>
  <w:style w:type="paragraph" w:styleId="BalloonText">
    <w:name w:val="Balloon Text"/>
    <w:basedOn w:val="Normal"/>
    <w:link w:val="BalloonTextChar"/>
    <w:uiPriority w:val="99"/>
    <w:semiHidden/>
    <w:unhideWhenUsed/>
    <w:rsid w:val="003E60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B5"/>
    <w:rPr>
      <w:rFonts w:ascii="Tahoma" w:hAnsi="Tahoma" w:cs="Tahoma"/>
      <w:sz w:val="16"/>
      <w:szCs w:val="16"/>
      <w:lang w:eastAsia="da-DK" w:bidi="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da-DK"/>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32"/>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676932"/>
    <w:pPr>
      <w:numPr>
        <w:numId w:val="1"/>
      </w:numPr>
      <w:ind w:left="720" w:hanging="720"/>
      <w:outlineLvl w:val="0"/>
    </w:pPr>
    <w:rPr>
      <w:kern w:val="28"/>
    </w:rPr>
  </w:style>
  <w:style w:type="paragraph" w:styleId="Heading2">
    <w:name w:val="heading 2"/>
    <w:basedOn w:val="Normal"/>
    <w:next w:val="Normal"/>
    <w:link w:val="Heading2Char"/>
    <w:qFormat/>
    <w:rsid w:val="00676932"/>
    <w:pPr>
      <w:numPr>
        <w:ilvl w:val="1"/>
        <w:numId w:val="1"/>
      </w:numPr>
      <w:outlineLvl w:val="1"/>
    </w:pPr>
  </w:style>
  <w:style w:type="paragraph" w:styleId="Heading3">
    <w:name w:val="heading 3"/>
    <w:basedOn w:val="Normal"/>
    <w:next w:val="Normal"/>
    <w:link w:val="Heading3Char"/>
    <w:qFormat/>
    <w:rsid w:val="00676932"/>
    <w:pPr>
      <w:numPr>
        <w:ilvl w:val="2"/>
        <w:numId w:val="1"/>
      </w:numPr>
      <w:ind w:left="720" w:hanging="720"/>
      <w:outlineLvl w:val="2"/>
    </w:pPr>
  </w:style>
  <w:style w:type="paragraph" w:styleId="Heading4">
    <w:name w:val="heading 4"/>
    <w:basedOn w:val="Normal"/>
    <w:next w:val="Normal"/>
    <w:link w:val="Heading4Char"/>
    <w:qFormat/>
    <w:rsid w:val="00676932"/>
    <w:pPr>
      <w:numPr>
        <w:ilvl w:val="3"/>
        <w:numId w:val="1"/>
      </w:numPr>
      <w:ind w:left="720" w:hanging="720"/>
      <w:outlineLvl w:val="3"/>
    </w:pPr>
  </w:style>
  <w:style w:type="paragraph" w:styleId="Heading5">
    <w:name w:val="heading 5"/>
    <w:basedOn w:val="Normal"/>
    <w:next w:val="Normal"/>
    <w:link w:val="Heading5Char"/>
    <w:qFormat/>
    <w:rsid w:val="00676932"/>
    <w:pPr>
      <w:numPr>
        <w:ilvl w:val="4"/>
        <w:numId w:val="1"/>
      </w:numPr>
      <w:ind w:left="720" w:hanging="720"/>
      <w:outlineLvl w:val="4"/>
    </w:pPr>
  </w:style>
  <w:style w:type="paragraph" w:styleId="Heading6">
    <w:name w:val="heading 6"/>
    <w:basedOn w:val="Normal"/>
    <w:next w:val="Normal"/>
    <w:link w:val="Heading6Char"/>
    <w:qFormat/>
    <w:rsid w:val="00676932"/>
    <w:pPr>
      <w:numPr>
        <w:ilvl w:val="5"/>
        <w:numId w:val="1"/>
      </w:numPr>
      <w:ind w:left="720" w:hanging="720"/>
      <w:outlineLvl w:val="5"/>
    </w:pPr>
  </w:style>
  <w:style w:type="paragraph" w:styleId="Heading7">
    <w:name w:val="heading 7"/>
    <w:basedOn w:val="Normal"/>
    <w:next w:val="Normal"/>
    <w:link w:val="Heading7Char"/>
    <w:qFormat/>
    <w:rsid w:val="00676932"/>
    <w:pPr>
      <w:numPr>
        <w:ilvl w:val="6"/>
        <w:numId w:val="1"/>
      </w:numPr>
      <w:ind w:left="720" w:hanging="720"/>
      <w:outlineLvl w:val="6"/>
    </w:pPr>
  </w:style>
  <w:style w:type="paragraph" w:styleId="Heading8">
    <w:name w:val="heading 8"/>
    <w:basedOn w:val="Normal"/>
    <w:next w:val="Normal"/>
    <w:link w:val="Heading8Char"/>
    <w:qFormat/>
    <w:rsid w:val="00676932"/>
    <w:pPr>
      <w:numPr>
        <w:ilvl w:val="7"/>
        <w:numId w:val="1"/>
      </w:numPr>
      <w:ind w:left="720" w:hanging="720"/>
      <w:outlineLvl w:val="7"/>
    </w:pPr>
  </w:style>
  <w:style w:type="paragraph" w:styleId="Heading9">
    <w:name w:val="heading 9"/>
    <w:basedOn w:val="Normal"/>
    <w:next w:val="Normal"/>
    <w:link w:val="Heading9Char"/>
    <w:qFormat/>
    <w:rsid w:val="00676932"/>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da-DK" w:bidi="da-DK"/>
    </w:rPr>
  </w:style>
  <w:style w:type="character" w:customStyle="1" w:styleId="Heading2Char">
    <w:name w:val="Heading 2 Char"/>
    <w:basedOn w:val="DefaultParagraphFont"/>
    <w:link w:val="Heading2"/>
    <w:locked/>
    <w:rsid w:val="00CB1536"/>
    <w:rPr>
      <w:szCs w:val="20"/>
      <w:lang w:eastAsia="da-DK" w:bidi="da-DK"/>
    </w:rPr>
  </w:style>
  <w:style w:type="character" w:customStyle="1" w:styleId="Heading3Char">
    <w:name w:val="Heading 3 Char"/>
    <w:basedOn w:val="DefaultParagraphFont"/>
    <w:link w:val="Heading3"/>
    <w:locked/>
    <w:rsid w:val="00CB1536"/>
    <w:rPr>
      <w:szCs w:val="20"/>
      <w:lang w:eastAsia="da-DK" w:bidi="da-DK"/>
    </w:rPr>
  </w:style>
  <w:style w:type="character" w:customStyle="1" w:styleId="Heading4Char">
    <w:name w:val="Heading 4 Char"/>
    <w:basedOn w:val="DefaultParagraphFont"/>
    <w:link w:val="Heading4"/>
    <w:locked/>
    <w:rsid w:val="00CB1536"/>
    <w:rPr>
      <w:szCs w:val="20"/>
      <w:lang w:eastAsia="da-DK" w:bidi="da-DK"/>
    </w:rPr>
  </w:style>
  <w:style w:type="character" w:customStyle="1" w:styleId="Heading5Char">
    <w:name w:val="Heading 5 Char"/>
    <w:basedOn w:val="DefaultParagraphFont"/>
    <w:link w:val="Heading5"/>
    <w:locked/>
    <w:rsid w:val="00CB1536"/>
    <w:rPr>
      <w:szCs w:val="20"/>
      <w:lang w:eastAsia="da-DK" w:bidi="da-DK"/>
    </w:rPr>
  </w:style>
  <w:style w:type="character" w:customStyle="1" w:styleId="Heading6Char">
    <w:name w:val="Heading 6 Char"/>
    <w:basedOn w:val="DefaultParagraphFont"/>
    <w:link w:val="Heading6"/>
    <w:locked/>
    <w:rsid w:val="00CB1536"/>
    <w:rPr>
      <w:szCs w:val="20"/>
      <w:lang w:eastAsia="da-DK" w:bidi="da-DK"/>
    </w:rPr>
  </w:style>
  <w:style w:type="character" w:customStyle="1" w:styleId="Heading7Char">
    <w:name w:val="Heading 7 Char"/>
    <w:basedOn w:val="DefaultParagraphFont"/>
    <w:link w:val="Heading7"/>
    <w:locked/>
    <w:rsid w:val="00CB1536"/>
    <w:rPr>
      <w:szCs w:val="20"/>
      <w:lang w:eastAsia="da-DK" w:bidi="da-DK"/>
    </w:rPr>
  </w:style>
  <w:style w:type="character" w:customStyle="1" w:styleId="Heading8Char">
    <w:name w:val="Heading 8 Char"/>
    <w:basedOn w:val="DefaultParagraphFont"/>
    <w:link w:val="Heading8"/>
    <w:locked/>
    <w:rsid w:val="00CB1536"/>
    <w:rPr>
      <w:szCs w:val="20"/>
      <w:lang w:eastAsia="da-DK" w:bidi="da-DK"/>
    </w:rPr>
  </w:style>
  <w:style w:type="character" w:customStyle="1" w:styleId="Heading9Char">
    <w:name w:val="Heading 9 Char"/>
    <w:basedOn w:val="DefaultParagraphFont"/>
    <w:link w:val="Heading9"/>
    <w:locked/>
    <w:rsid w:val="00CB1536"/>
    <w:rPr>
      <w:szCs w:val="20"/>
      <w:lang w:eastAsia="da-DK" w:bidi="da-DK"/>
    </w:rPr>
  </w:style>
  <w:style w:type="paragraph" w:styleId="Footer">
    <w:name w:val="footer"/>
    <w:basedOn w:val="Normal"/>
    <w:link w:val="FooterChar"/>
    <w:rsid w:val="00676932"/>
  </w:style>
  <w:style w:type="character" w:customStyle="1" w:styleId="FooterChar">
    <w:name w:val="Footer Char"/>
    <w:basedOn w:val="DefaultParagraphFont"/>
    <w:link w:val="Footer"/>
    <w:locked/>
    <w:rsid w:val="00CB1536"/>
    <w:rPr>
      <w:szCs w:val="20"/>
      <w:lang w:eastAsia="da-DK" w:bidi="da-DK"/>
    </w:rPr>
  </w:style>
  <w:style w:type="paragraph" w:styleId="FootnoteText">
    <w:name w:val="footnote text"/>
    <w:basedOn w:val="Normal"/>
    <w:link w:val="FootnoteTextChar"/>
    <w:rsid w:val="00676932"/>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da-DK" w:bidi="da-DK"/>
    </w:rPr>
  </w:style>
  <w:style w:type="paragraph" w:styleId="Header">
    <w:name w:val="header"/>
    <w:basedOn w:val="Normal"/>
    <w:link w:val="HeaderChar"/>
    <w:rsid w:val="00676932"/>
  </w:style>
  <w:style w:type="character" w:customStyle="1" w:styleId="HeaderChar">
    <w:name w:val="Header Char"/>
    <w:basedOn w:val="DefaultParagraphFont"/>
    <w:link w:val="Header"/>
    <w:locked/>
    <w:rsid w:val="00CB1536"/>
    <w:rPr>
      <w:szCs w:val="20"/>
      <w:lang w:eastAsia="da-DK" w:bidi="da-DK"/>
    </w:rPr>
  </w:style>
  <w:style w:type="character" w:styleId="Hyperlink">
    <w:name w:val="Hyperlink"/>
    <w:basedOn w:val="DefaultParagraphFont"/>
    <w:rsid w:val="00934C10"/>
    <w:rPr>
      <w:color w:val="0000FF"/>
      <w:u w:val="single"/>
    </w:rPr>
  </w:style>
  <w:style w:type="character" w:styleId="FootnoteReference">
    <w:name w:val="footnote reference"/>
    <w:basedOn w:val="DefaultParagraphFont"/>
    <w:rsid w:val="00676932"/>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363E64"/>
    <w:pPr>
      <w:ind w:left="720"/>
      <w:contextualSpacing/>
    </w:pPr>
  </w:style>
  <w:style w:type="paragraph" w:styleId="BalloonText">
    <w:name w:val="Balloon Text"/>
    <w:basedOn w:val="Normal"/>
    <w:link w:val="BalloonTextChar"/>
    <w:uiPriority w:val="99"/>
    <w:semiHidden/>
    <w:unhideWhenUsed/>
    <w:rsid w:val="003E60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B5"/>
    <w:rPr>
      <w:rFonts w:ascii="Tahoma" w:hAnsi="Tahoma" w:cs="Tahoma"/>
      <w:sz w:val="16"/>
      <w:szCs w:val="16"/>
      <w:lang w:eastAsia="da-DK" w:bidi="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news/quality-and-effective-apprenticeships-2017-oct-05_en" TargetMode="External"/><Relationship Id="rId3" Type="http://schemas.openxmlformats.org/officeDocument/2006/relationships/hyperlink" Target="http://eur-lex.europa.eu/legal-content/DA/TXT/?qid=1515144830587&amp;uri=CELEX:52016DC0381" TargetMode="External"/><Relationship Id="rId7" Type="http://schemas.openxmlformats.org/officeDocument/2006/relationships/hyperlink" Target="http://eur-lex.europa.eu/legal-content/DA/TXT/?uri=uriserv:OJ.C_.2016.013.01.0040.01.DAN&amp;toc=OJ:C:2016:013:FULL" TargetMode="External"/><Relationship Id="rId2" Type="http://schemas.openxmlformats.org/officeDocument/2006/relationships/hyperlink" Target="https://ec.europa.eu/eures/public/da/homepage" TargetMode="External"/><Relationship Id="rId1" Type="http://schemas.openxmlformats.org/officeDocument/2006/relationships/hyperlink" Target="https://www.eqavet.eu/About-Us" TargetMode="External"/><Relationship Id="rId6" Type="http://schemas.openxmlformats.org/officeDocument/2006/relationships/hyperlink" Target="http://eur-lex.europa.eu/legal-content/DA/TXT/?uri=COM:2017:563:FIN" TargetMode="External"/><Relationship Id="rId5" Type="http://schemas.openxmlformats.org/officeDocument/2006/relationships/hyperlink" Target="http://ec.europa.eu/social/main.jsp?catId=1147" TargetMode="External"/><Relationship Id="rId10" Type="http://schemas.openxmlformats.org/officeDocument/2006/relationships/hyperlink" Target="http://ec.europa.eu/social/main.jsp?langId=en&amp;catId=89&amp;newsId=2691&amp;furtherNews=yes" TargetMode="External"/><Relationship Id="rId4" Type="http://schemas.openxmlformats.org/officeDocument/2006/relationships/hyperlink" Target="https://www.etuc.org/sites/www.etuc.org/files/document/files/apprenticeship_joint_statement_30may.pdf" TargetMode="External"/><Relationship Id="rId9" Type="http://schemas.openxmlformats.org/officeDocument/2006/relationships/hyperlink" Target="http://www.cedefop.europa.eu/nl/publications-and-resources/publications/91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WTPCSN73YJ26-8-12157</_dlc_DocId>
    <_dlc_DocIdUrl xmlns="8a3471f6-0f36-4ccf-b5ee-1ca67ea797ef">
      <Url>http://dm2016/eesc/2017/_layouts/DocIdRedir.aspx?ID=WTPCSN73YJ26-8-12157</Url>
      <Description>WTPCSN73YJ26-8-12157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a3471f6-0f36-4ccf-b5ee-1ca67ea797ef">2017/0244(NLE)</Procedure>
    <MeetingNumber xmlns="aec2565f-fa8c-45b6-95fc-3f27706042d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2018-04-26T12:00:00+00:00</ProductionDate>
    <DocumentNumber xmlns="aec2565f-fa8c-45b6-95fc-3f27706042d7">5796</DocumentNumber>
    <FicheYear xmlns="8a3471f6-0f36-4ccf-b5ee-1ca67ea797ef">2017</FicheYear>
    <DocumentVersion xmlns="8a3471f6-0f36-4ccf-b5ee-1ca67ea797ef">0</DocumentVersion>
    <DossierNumber xmlns="8a3471f6-0f36-4ccf-b5ee-1ca67ea797ef">569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38</Value>
      <Value>37</Value>
      <Value>36</Value>
      <Value>35</Value>
      <Value>34</Value>
      <Value>33</Value>
      <Value>32</Value>
      <Value>31</Value>
      <Value>30</Value>
      <Value>29</Value>
      <Value>28</Value>
      <Value>27</Value>
      <Value>26</Value>
      <Value>25</Value>
      <Value>24</Value>
      <Value>23</Value>
      <Value>22</Value>
      <Value>18</Value>
      <Value>15</Value>
      <Value>14</Value>
      <Value>12</Value>
      <Value>8</Value>
      <Value>96</Value>
      <Value>6</Value>
      <Value>5</Value>
      <Value>4</Value>
      <Value>2</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8a3471f6-0f36-4ccf-b5ee-1ca67ea797ef">SPRAGG NILSSON &amp; DRBALOVÁ</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13423</FicheNumber>
    <DocumentYear xmlns="8a3471f6-0f36-4ccf-b5ee-1ca67ea797ef">2017</DocumentYear>
    <AdoptionDate xmlns="8a3471f6-0f36-4ccf-b5ee-1ca67ea797ef">2018-04-19T12:00:00+00:00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Emploi, affaires sociales, citoyenneté</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948d95f0a748cc0f3c65b86c245bf64b">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0af5acbdd67eb4715be92d39901ee53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58DEDF0C-9DAA-4B99-9B53-8BB07459AADE}"/>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BC6B1E6E-6706-495D-8437-580467602118}"/>
</file>

<file path=customXml/itemProps5.xml><?xml version="1.0" encoding="utf-8"?>
<ds:datastoreItem xmlns:ds="http://schemas.openxmlformats.org/officeDocument/2006/customXml" ds:itemID="{2C73BFF5-BEE4-4709-86EA-5EF6B5EE257C}"/>
</file>

<file path=docProps/app.xml><?xml version="1.0" encoding="utf-8"?>
<Properties xmlns="http://schemas.openxmlformats.org/officeDocument/2006/extended-properties" xmlns:vt="http://schemas.openxmlformats.org/officeDocument/2006/docPropsVTypes">
  <Template>Styles.dotm</Template>
  <TotalTime>7</TotalTime>
  <Pages>9</Pages>
  <Words>2693</Words>
  <Characters>17373</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 Framework for Quality and Effective Apprenticeships</vt:lpstr>
      <vt:lpstr>European Agenda on Migration: Second implementation package - A permanent crisis relocation mechanism under the Dublin system</vt:lpstr>
    </vt:vector>
  </TitlesOfParts>
  <Company>CESE-CdR</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europæisk ramme for gode og effektive lærlingeuddannelser</dc:title>
  <dc:subject>Udvalgets udtalelse</dc:subject>
  <dc:creator/>
  <cp:keywords>EESC-2017-05796-00-00-AC-TRA-EN</cp:keywords>
  <dc:description>Rapporteur: SPRAGG NILSSON &amp; DRBALOVÁ - Original language: EN - Date of document: 26/04/2018 - Date of meeting:  - External documents: COM(2017)563-final - Administrator: MME Dumitrache Ana</dc:description>
  <cp:lastModifiedBy/>
  <cp:revision>9</cp:revision>
  <cp:lastPrinted>2018-03-14T13:25:00Z</cp:lastPrinted>
  <dcterms:created xsi:type="dcterms:W3CDTF">2018-04-25T15:08:00Z</dcterms:created>
  <dcterms:modified xsi:type="dcterms:W3CDTF">2018-04-26T15:50:00Z</dcterms:modified>
  <cp:category>SOC/569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25/04/2018, 25/04/2018, 25/04/2018, 03/04/2018, 03/04/2018, 14/03/2018, 14/03/2018, 13/03/2018, 08/02/2018, 09/01/2018, 09/01/2018, 04/11/2015, 27/10/2015, 19/10/2015, 09/10/2015, 05/10/2015, 05/10/2015, 26/08/2015, 26/08/2015, 25/08/2015</vt:lpwstr>
  </property>
  <property fmtid="{D5CDD505-2E9C-101B-9397-08002B2CF9AE}" pid="4" name="Pref_Time">
    <vt:lpwstr>17:07:17, 17:06:16, 16:36:15, 10:14:13, 10:04:44, 17:08:41, 17:06:09, 17:21:05, 10:55:59, 12:17:46, 11:34:24, 12:10:07, 14:44:02, 16:04:16, 14:09:30, 16:24:55, 16:04:02, 08:56:14, 07:27:56, 17:31:53</vt:lpwstr>
  </property>
  <property fmtid="{D5CDD505-2E9C-101B-9397-08002B2CF9AE}" pid="5" name="Pref_User">
    <vt:lpwstr>amett, amett, htoo, enied, ssex, enied, htoo, enied, tvoc, mreg, htoo, ssex, enied, amett, tvoc, mreg, mreg, amett, enied, ssex</vt:lpwstr>
  </property>
  <property fmtid="{D5CDD505-2E9C-101B-9397-08002B2CF9AE}" pid="6" name="Pref_FileName">
    <vt:lpwstr>EESC-2017-05796-00-00-AC-TRA.docx, EESC-2017-05796-00-00-AC-CRR-EN (003).docx, EESC-2017-05796-00-00-AC-CRR-EN.docx, EESC-2017-05796-00-00-AS-TRA-EN-CRR.docx, EESC-2017-05796-00-00-AS-CRR-EN.docx, EESC-2017-05796-00-01-PA-TRA-EN-CRR.docx, EESC-2017-05796-</vt:lpwstr>
  </property>
  <property fmtid="{D5CDD505-2E9C-101B-9397-08002B2CF9AE}" pid="7" name="ContentTypeId">
    <vt:lpwstr>0x010100EA97B91038054C99906057A708A1480A0098B203C585D2E54E8477D21D46703D0B</vt:lpwstr>
  </property>
  <property fmtid="{D5CDD505-2E9C-101B-9397-08002B2CF9AE}" pid="8" name="_dlc_DocIdItemGuid">
    <vt:lpwstr>b106ba6a-0295-4106-9aa0-b7d344d042f4</vt:lpwstr>
  </property>
  <property fmtid="{D5CDD505-2E9C-101B-9397-08002B2CF9AE}" pid="9" name="DocumentType_0">
    <vt:lpwstr>AC|a4cc1d15-fb08-4679-ad46-e4e0cba5fe92</vt:lpwstr>
  </property>
  <property fmtid="{D5CDD505-2E9C-101B-9397-08002B2CF9AE}" pid="10" name="Procedure">
    <vt:lpwstr>2017/0244(NLE)</vt:lpwstr>
  </property>
  <property fmtid="{D5CDD505-2E9C-101B-9397-08002B2CF9AE}" pid="11" name="AvailableTranslations">
    <vt:lpwstr>33;#PL|1e03da61-4678-4e07-b136-b5024ca9197b;#8;#FR|d2afafd3-4c81-4f60-8f52-ee33f2f54ff3;#35;#SL|98a412ae-eb01-49e9-ae3d-585a81724cfc;#14;#ES|e7a6b05b-ae16-40c8-add9-68b64b03aeba;#12;#NL|55c6556c-b4f4-441d-9acf-c498d4f838bd;#25;#FI|87606a43-d45f-42d6-b8c9-e1a3457db5b7;#15;#PT|50ccc04a-eadd-42ae-a0cb-acaf45f812ba;#34;#SK|46d9fce0-ef79-4f71-b89b-cd6aa82426b8;#32;#MT|7df99101-6854-4a26-b53a-b88c0da02c26;#29;#HU|6b229040-c589-4408-b4c1-4285663d20a8;#24;#EL|6d4f4d51-af9b-4650-94b4-4276bee85c91;#26;#SV|c2ed69e7-a339-43d7-8f22-d93680a92aa0;#31;#LT|a7ff5ce7-6123-4f68-865a-a57c31810414;#27;#CS|72f9705b-0217-4fd3-bea2-cbc7ed80e26e;#38;#HR|2f555653-ed1a-4fe6-8362-9082d95989e5;#23;#DA|5d49c027-8956-412b-aa16-e85a0f96ad0e;#4;#EN|f2175f21-25d7-44a3-96da-d6a61b075e1b;#30;#LV|46f7e311-5d9f-4663-b433-18aeccb7ace7;#36;#BG|1a1b3951-7821-4e6a-85f5-5673fc08bd2c;#28;#ET|ff6c3f4c-b02c-4c3c-ab07-2c37995a7a0a;#22;#IT|0774613c-01ed-4e5d-a25d-11d2388de825;#37;#RO|feb747a2-64cd-4299-af12-4833ddc30497;#18;#DE|f6b31e5a-26fa-4935-b661-318e46daf27e</vt:lpwstr>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5796</vt:i4>
  </property>
  <property fmtid="{D5CDD505-2E9C-101B-9397-08002B2CF9AE}" pid="16" name="DocumentVersion">
    <vt:i4>0</vt:i4>
  </property>
  <property fmtid="{D5CDD505-2E9C-101B-9397-08002B2CF9AE}" pid="17" name="DossierNumber">
    <vt:i4>569</vt:i4>
  </property>
  <property fmtid="{D5CDD505-2E9C-101B-9397-08002B2CF9AE}" pid="18" name="DocumentSource">
    <vt:lpwstr>1;#EESC|422833ec-8d7e-4e65-8e4e-8bed07ffb729</vt:lpwstr>
  </property>
  <property fmtid="{D5CDD505-2E9C-101B-9397-08002B2CF9AE}" pid="19" name="AdoptionDate">
    <vt:filetime>2018-04-19T12:00:00Z</vt:filetime>
  </property>
  <property fmtid="{D5CDD505-2E9C-101B-9397-08002B2CF9AE}" pid="20" name="DocumentType">
    <vt:lpwstr>96;#AC|a4cc1d15-fb08-4679-ad46-e4e0cba5fe92</vt:lpwstr>
  </property>
  <property fmtid="{D5CDD505-2E9C-101B-9397-08002B2CF9AE}" pid="21" name="DocumentStatus">
    <vt:lpwstr>2;#TRA|150d2a88-1431-44e6-a8ca-0bb753ab8672</vt:lpwstr>
  </property>
  <property fmtid="{D5CDD505-2E9C-101B-9397-08002B2CF9AE}" pid="22" name="DossierName">
    <vt:lpwstr>47;#SOC|13795804-ecbd-4ce5-9693-9b8be1981b20</vt:lpwstr>
  </property>
  <property fmtid="{D5CDD505-2E9C-101B-9397-08002B2CF9AE}" pid="23" name="DocumentPart">
    <vt:i4>0</vt:i4>
  </property>
  <property fmtid="{D5CDD505-2E9C-101B-9397-08002B2CF9AE}" pid="24" name="RequestingService">
    <vt:lpwstr>Emploi, affaires sociales, citoyenneté</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3" name="TaxCatchAll">
    <vt:lpwstr>38;#HR|2f555653-ed1a-4fe6-8362-9082d95989e5;#37;#RO|feb747a2-64cd-4299-af12-4833ddc30497;#36;#BG|1a1b3951-7821-4e6a-85f5-5673fc08bd2c;#35;#SL|98a412ae-eb01-49e9-ae3d-585a81724cfc;#34;#SK|46d9fce0-ef79-4f71-b89b-cd6aa82426b8;#31;#LT|a7ff5ce7-6123-4f68-865a-a57c31810414;#29;#HU|6b229040-c589-4408-b4c1-4285663d20a8;#27;#CS|72f9705b-0217-4fd3-bea2-cbc7ed80e26e;#22;#IT|0774613c-01ed-4e5d-a25d-11d2388de825;#15;#PT|50ccc04a-eadd-42ae-a0cb-acaf45f812ba;#14;#ES|e7a6b05b-ae16-40c8-add9-68b64b03aeba;#12;#NL|55c6556c-b4f4-441d-9acf-c498d4f838bd;#96;#AC|a4cc1d15-fb08-4679-ad46-e4e0cba5fe92;#6;#Final|ea5e6674-7b27-4bac-b091-73adbb394efe;#5;#Unrestricted|826e22d7-d029-4ec0-a450-0c28ff673572;#4;#EN|f2175f21-25d7-44a3-96da-d6a61b075e1b;#2;#TRA|150d2a88-1431-44e6-a8ca-0bb753ab8672;#1;#EESC|422833ec-8d7e-4e65-8e4e-8bed07ffb729;#47;#SOC|13795804-ecbd-4ce5-9693-9b8be1981b20</vt:lpwstr>
  </property>
  <property fmtid="{D5CDD505-2E9C-101B-9397-08002B2CF9AE}" pid="34" name="AvailableTranslations_0">
    <vt:lpwstr>SL|98a412ae-eb01-49e9-ae3d-585a81724cfc;ES|e7a6b05b-ae16-40c8-add9-68b64b03aeba;NL|55c6556c-b4f4-441d-9acf-c498d4f838bd;PT|50ccc04a-eadd-42ae-a0cb-acaf45f812ba;SK|46d9fce0-ef79-4f71-b89b-cd6aa82426b8;HU|6b229040-c589-4408-b4c1-4285663d20a8;LT|a7ff5ce7-6123-4f68-865a-a57c31810414;CS|72f9705b-0217-4fd3-bea2-cbc7ed80e26e;HR|2f555653-ed1a-4fe6-8362-9082d95989e5;EN|f2175f21-25d7-44a3-96da-d6a61b075e1b;BG|1a1b3951-7821-4e6a-85f5-5673fc08bd2c;IT|0774613c-01ed-4e5d-a25d-11d2388de825;RO|feb747a2-64cd-4299-af12-4833ddc30497</vt:lpwstr>
  </property>
  <property fmtid="{D5CDD505-2E9C-101B-9397-08002B2CF9AE}" pid="35" name="VersionStatus">
    <vt:lpwstr>6;#Final|ea5e6674-7b27-4bac-b091-73adbb394efe</vt:lpwstr>
  </property>
  <property fmtid="{D5CDD505-2E9C-101B-9397-08002B2CF9AE}" pid="36" name="Rapporteur">
    <vt:lpwstr>SPRAGG NILSSON &amp; DRBALOVÁ</vt:lpwstr>
  </property>
  <property fmtid="{D5CDD505-2E9C-101B-9397-08002B2CF9AE}" pid="37" name="VersionStatus_0">
    <vt:lpwstr>Final|ea5e6674-7b27-4bac-b091-73adbb394efe</vt:lpwstr>
  </property>
  <property fmtid="{D5CDD505-2E9C-101B-9397-08002B2CF9AE}" pid="38" name="FicheNumber">
    <vt:i4>13423</vt:i4>
  </property>
  <property fmtid="{D5CDD505-2E9C-101B-9397-08002B2CF9AE}" pid="39" name="DocumentYear">
    <vt:i4>2017</vt:i4>
  </property>
  <property fmtid="{D5CDD505-2E9C-101B-9397-08002B2CF9AE}" pid="40" name="DocumentLanguage">
    <vt:lpwstr>23;#DA|5d49c027-8956-412b-aa16-e85a0f96ad0e</vt:lpwstr>
  </property>
  <property name="OP_sanitized" fmtid="{D5CDD505-2E9C-101B-9397-08002B2CF9AE}" pid="40">
    <vt:lpwstr>True</vt:lpwstr>
  </property>
</Properties>
</file>