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7F7B91A-7743-4896-840C-322B2B51F53D" style="width:451.25pt;height:365.8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BEGRUNDELSE</w:t>
      </w:r>
    </w:p>
    <w:p>
      <w:pPr>
        <w:pStyle w:val="ManualHeading1"/>
        <w:rPr>
          <w:noProof/>
        </w:rPr>
      </w:pPr>
      <w:r>
        <w:rPr>
          <w:noProof/>
        </w:rPr>
        <w:t>1.</w:t>
      </w:r>
      <w:r>
        <w:rPr>
          <w:noProof/>
        </w:rPr>
        <w:tab/>
        <w:t>BAGGRUND FOR DEN DELEGEREDE RETSAKT</w:t>
      </w:r>
    </w:p>
    <w:p>
      <w:pPr>
        <w:autoSpaceDE w:val="0"/>
        <w:autoSpaceDN w:val="0"/>
        <w:adjustRightInd w:val="0"/>
        <w:rPr>
          <w:noProof/>
        </w:rPr>
      </w:pPr>
      <w:r>
        <w:rPr>
          <w:noProof/>
        </w:rPr>
        <w:t>Alle valg om forenkling af støtten til udvikling af landdistrikterne blev truffet i den såkaldte "omnibusforordning", forordning (EU) 2017/2393 om ændring af ELFUL-forordningen, forordning (EU) nr. 1305/2013. Formålet med denne ændring er at tilpasse følgende elementer, som er reguleret i Kommissionens delegerede forordning (EU) nr. 807/2014, med "omnibusforordningen":</w:t>
      </w:r>
    </w:p>
    <w:p>
      <w:pPr>
        <w:pStyle w:val="Tiret0"/>
        <w:numPr>
          <w:ilvl w:val="0"/>
          <w:numId w:val="12"/>
        </w:numPr>
        <w:rPr>
          <w:noProof/>
        </w:rPr>
      </w:pPr>
      <w:r>
        <w:rPr>
          <w:b/>
          <w:noProof/>
        </w:rPr>
        <w:t>Ung landbruger</w:t>
      </w:r>
      <w:r>
        <w:rPr>
          <w:noProof/>
        </w:rPr>
        <w:t>: Etablering alene eller i fællesskab med andre landbrugere er allerede indeholdt i basisretsakten, jf. den nye definition af "ung landbruger"</w:t>
      </w:r>
      <w:r>
        <w:rPr>
          <w:rStyle w:val="FootnoteReference"/>
          <w:noProof/>
        </w:rPr>
        <w:footnoteReference w:id="1"/>
      </w:r>
      <w:r>
        <w:rPr>
          <w:noProof/>
        </w:rPr>
        <w:t>. Af forenklingshensyn og med henblik på at undgå at gentage basisretsakten foreslås der en ændring af artikel 2.</w:t>
      </w:r>
    </w:p>
    <w:p>
      <w:pPr>
        <w:pStyle w:val="Tiret0"/>
        <w:numPr>
          <w:ilvl w:val="0"/>
          <w:numId w:val="1"/>
        </w:numPr>
        <w:rPr>
          <w:noProof/>
        </w:rPr>
      </w:pPr>
      <w:r>
        <w:rPr>
          <w:b/>
          <w:noProof/>
        </w:rPr>
        <w:t xml:space="preserve">Kommercielle lån til gensidige fonde: </w:t>
      </w:r>
      <w:r>
        <w:rPr>
          <w:noProof/>
        </w:rPr>
        <w:t>I "omnibusforordningen" blev det besluttet at tilføje et indkomststabiliseringsredskab i form af finansielle bidrag til fælles fonde, som yder kompensation til landbrugere i bestemte sektorer i tilfælde af et voldsomt fald i deres indkomst</w:t>
      </w:r>
      <w:r>
        <w:rPr>
          <w:rStyle w:val="FootnoteReference"/>
          <w:noProof/>
        </w:rPr>
        <w:footnoteReference w:id="2"/>
      </w:r>
      <w:r>
        <w:rPr>
          <w:noProof/>
        </w:rPr>
        <w:t>. Det er derfor nødvendigt at udvide anvendelsesområdet for artikel 12, så det dækker støtten i form af et kommercielt lån til dette nye indkomststabiliseringsredskab for landbrugere i en bestemt sektor.</w:t>
      </w:r>
    </w:p>
    <w:p>
      <w:pPr>
        <w:pStyle w:val="Tiret0"/>
        <w:numPr>
          <w:ilvl w:val="0"/>
          <w:numId w:val="1"/>
        </w:numPr>
        <w:rPr>
          <w:noProof/>
        </w:rPr>
      </w:pPr>
      <w:r>
        <w:rPr>
          <w:b/>
          <w:noProof/>
        </w:rPr>
        <w:t xml:space="preserve">Regler for støtteberettigelse for investeringstiltag under Den Europæiske Landbrugsfond for Udvikling af Landdistrikterne (ELFUL): </w:t>
      </w:r>
      <w:r>
        <w:rPr>
          <w:noProof/>
        </w:rPr>
        <w:t>der fastsættes fælles regler for støtteberettigelse i artikel 45 i forordning (EU) nr. 1305/2013 om støtte til udvikling af landdistrikterne fra ELFUL og i artikel 13 i Kommissionens delegerede forordning (EU) nr. 807/2014. Erfaringerne har dog vist, at visse foranstaltningsspecifikke regler for støtteberettigelse, navnlig i forbindelse med investeringstiltag, begrænser udnyttelsen af finansielle instrumenter i programmerne for udvikling af landdistrikterne samt hæmmer en fleksibel brug af de finansielle instrumenter fra fondsforvalternes side. Det blev derfor besluttet, at visse foranstaltningsspecifikke regler for støtteberettigelse ikke finder anvendelse på finansielle instrumenter.</w:t>
      </w:r>
    </w:p>
    <w:p>
      <w:pPr>
        <w:pStyle w:val="ManualHeading1"/>
        <w:rPr>
          <w:noProof/>
        </w:rPr>
      </w:pPr>
      <w:r>
        <w:rPr>
          <w:noProof/>
        </w:rPr>
        <w:t>2.</w:t>
      </w:r>
      <w:r>
        <w:rPr>
          <w:noProof/>
        </w:rPr>
        <w:tab/>
        <w:t>HØRINGER FORUD FOR RETSAKTENS VEDTAGELSE</w:t>
      </w:r>
    </w:p>
    <w:p>
      <w:pPr>
        <w:rPr>
          <w:noProof/>
          <w:color w:val="000000"/>
          <w:sz w:val="23"/>
          <w:szCs w:val="23"/>
        </w:rPr>
      </w:pPr>
      <w:r>
        <w:rPr>
          <w:noProof/>
        </w:rPr>
        <w:t xml:space="preserve">I overensstemmelse med meddelelsen fra Kommissionen til Europa-Parlamentet og Rådet om anvendelse af artikel 290 i traktaten om Den Europæiske Unions funktionsmåde [KOM(2009) 673 endelig] blev ekspertgruppen om udvikling af landdistrikter hørt den 25. april 2018. </w:t>
      </w:r>
      <w:r>
        <w:rPr>
          <w:noProof/>
          <w:color w:val="000000"/>
          <w:sz w:val="23"/>
        </w:rPr>
        <w:t>Medlemsstaterne var tilfredse med ændringen, og de fremsatte enten ingen yderligere væsentlige bemærkninger, eller de fremsatte bemærkninger, som Kommissionen kunne behandle.</w:t>
      </w:r>
    </w:p>
    <w:p>
      <w:pPr>
        <w:pStyle w:val="ManualHeading1"/>
        <w:rPr>
          <w:noProof/>
        </w:rPr>
      </w:pPr>
      <w:r>
        <w:rPr>
          <w:noProof/>
        </w:rPr>
        <w:t>3.</w:t>
      </w:r>
      <w:r>
        <w:rPr>
          <w:noProof/>
        </w:rPr>
        <w:tab/>
        <w:t>JURIDISKE ASPEKTER AF DEN DELEGEREDE RETSAKT</w:t>
      </w:r>
    </w:p>
    <w:p>
      <w:pPr>
        <w:autoSpaceDE w:val="0"/>
        <w:autoSpaceDN w:val="0"/>
        <w:adjustRightInd w:val="0"/>
        <w:rPr>
          <w:noProof/>
        </w:rPr>
      </w:pPr>
      <w:r>
        <w:rPr>
          <w:noProof/>
        </w:rPr>
        <w:t xml:space="preserve">Denne forordning ændrer Kommissionens delegerede forordning (EU) nr. 807/2014: </w:t>
      </w:r>
    </w:p>
    <w:p>
      <w:pPr>
        <w:pStyle w:val="Tiret0"/>
        <w:numPr>
          <w:ilvl w:val="0"/>
          <w:numId w:val="2"/>
        </w:numPr>
        <w:rPr>
          <w:noProof/>
        </w:rPr>
      </w:pPr>
      <w:r>
        <w:rPr>
          <w:noProof/>
        </w:rPr>
        <w:t xml:space="preserve">Artikel 2 </w:t>
      </w:r>
      <w:r>
        <w:rPr>
          <w:i/>
          <w:noProof/>
        </w:rPr>
        <w:t>Ung landbruger</w:t>
      </w:r>
      <w:r>
        <w:rPr>
          <w:noProof/>
        </w:rPr>
        <w:t xml:space="preserve"> for at tage hensyn til de nye definitioner af "ung landbruger" og "etableringsdato".</w:t>
      </w:r>
    </w:p>
    <w:p>
      <w:pPr>
        <w:pStyle w:val="Tiret0"/>
        <w:numPr>
          <w:ilvl w:val="0"/>
          <w:numId w:val="2"/>
        </w:numPr>
        <w:rPr>
          <w:noProof/>
        </w:rPr>
      </w:pPr>
      <w:r>
        <w:rPr>
          <w:noProof/>
        </w:rPr>
        <w:t xml:space="preserve">Artikel 12 </w:t>
      </w:r>
      <w:r>
        <w:rPr>
          <w:i/>
          <w:noProof/>
        </w:rPr>
        <w:t>Kommercielle lån til gensidige fonde</w:t>
      </w:r>
      <w:r>
        <w:rPr>
          <w:noProof/>
        </w:rPr>
        <w:t xml:space="preserve"> for at udvide anvendelsesområdet til at omfatte støtten gennem indkomststabiliseringsredskabet for landbrugere i en bestemt sektor.</w:t>
      </w:r>
    </w:p>
    <w:p>
      <w:pPr>
        <w:pStyle w:val="Tiret0"/>
        <w:numPr>
          <w:ilvl w:val="0"/>
          <w:numId w:val="2"/>
        </w:numPr>
        <w:rPr>
          <w:noProof/>
        </w:rPr>
      </w:pPr>
      <w:r>
        <w:rPr>
          <w:noProof/>
        </w:rPr>
        <w:t xml:space="preserve">Artikel 13 </w:t>
      </w:r>
      <w:r>
        <w:rPr>
          <w:i/>
          <w:noProof/>
        </w:rPr>
        <w:t>Investeringer</w:t>
      </w:r>
      <w:r>
        <w:rPr>
          <w:noProof/>
        </w:rPr>
        <w:t xml:space="preserve"> for at sikre overensstemmelse med undtagelserne for finansielle instrumenter fra de ELFUL-foranstaltningsspecifikke bestemmelser om investeringer. For finansielle instrumenter gælder de generelle regler for støtteberettigelse i henhold til artikel 42 i forordning (EU) nr. 1303/2013</w:t>
      </w:r>
      <w:r>
        <w:rPr>
          <w:rStyle w:val="FootnoteReference"/>
          <w:noProof/>
        </w:rPr>
        <w:footnoteReference w:id="3"/>
      </w:r>
      <w:r>
        <w:rPr>
          <w:noProof/>
        </w:rPr>
        <w:t>.</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Typedudocument"/>
        <w:rPr>
          <w:noProof/>
        </w:rPr>
      </w:pPr>
      <w:r>
        <w:rPr>
          <w:noProof/>
        </w:rPr>
        <w:t>KOMMISSIONENS DELEGEREDE FORORDNING (EU) …/…</w:t>
      </w:r>
    </w:p>
    <w:p>
      <w:pPr>
        <w:pStyle w:val="Datedadoption"/>
        <w:rPr>
          <w:noProof/>
        </w:rPr>
      </w:pPr>
      <w:r>
        <w:t>af 30.10.2018</w:t>
      </w:r>
    </w:p>
    <w:p>
      <w:pPr>
        <w:pStyle w:val="Titreobjet"/>
        <w:rPr>
          <w:noProof/>
        </w:rPr>
      </w:pPr>
      <w:r>
        <w:rPr>
          <w:noProof/>
        </w:rPr>
        <w:t>om ændring af delegeret forordning (EU) nr. 807/2014 om supplerende bestemmelser til Europa-Parlamentets og Rådets forordning (EU) nr. 1305/2013 om støtte til udvikling af landdistrikterne fra Den Europæiske Landbrugsfond for Udvikling af Landdistrikterne (ELFUL) og om indførelse af overgangsbestemmelser</w:t>
      </w:r>
    </w:p>
    <w:p>
      <w:pPr>
        <w:pStyle w:val="Institutionquiagit"/>
        <w:rPr>
          <w:noProof/>
        </w:rPr>
      </w:pPr>
      <w:r>
        <w:rPr>
          <w:noProof/>
        </w:rPr>
        <w:t>EUROPA-KOMMISSIONEN HAR —</w:t>
      </w:r>
    </w:p>
    <w:p>
      <w:pPr>
        <w:rPr>
          <w:noProof/>
        </w:rPr>
      </w:pPr>
      <w:r>
        <w:rPr>
          <w:noProof/>
        </w:rPr>
        <w:t>under henvisning til traktaten om Den Europæiske Unions funktionsmåde,</w:t>
      </w:r>
    </w:p>
    <w:p>
      <w:pPr>
        <w:suppressAutoHyphens/>
        <w:spacing w:before="0" w:after="0"/>
        <w:rPr>
          <w:rFonts w:eastAsia="Times New Roman"/>
          <w:i/>
          <w:noProof/>
          <w:spacing w:val="-3"/>
        </w:rPr>
      </w:pPr>
      <w:r>
        <w:rPr>
          <w:noProof/>
        </w:rPr>
        <w:t>under henvisning til Europa-Parlamentets og Rådets forordning (EU) nr. 1305/2013 af 17. december 2013 om støtte til udvikling af landdistrikterne fra Den Europæiske Landbrugsfond for Udvikling af Landdistrikterne (ELFUL) og om ophævelse af Rådets forordning (EF) nr. 1698/2005</w:t>
      </w:r>
      <w:r>
        <w:rPr>
          <w:rStyle w:val="FootnoteReference"/>
          <w:noProof/>
        </w:rPr>
        <w:footnoteReference w:id="4"/>
      </w:r>
      <w:r>
        <w:rPr>
          <w:noProof/>
        </w:rPr>
        <w:t>, særlig artikel 2, stk. 3, artikel 36, stk. 5, samt artikel 45, stk. 6, og</w:t>
      </w:r>
    </w:p>
    <w:p>
      <w:pPr>
        <w:rPr>
          <w:noProof/>
        </w:rPr>
      </w:pPr>
      <w:r>
        <w:rPr>
          <w:noProof/>
        </w:rPr>
        <w:t>ud fra følgende betragtninger:</w:t>
      </w:r>
    </w:p>
    <w:p>
      <w:pPr>
        <w:pStyle w:val="ManualConsidrant"/>
        <w:rPr>
          <w:noProof/>
        </w:rPr>
      </w:pPr>
      <w:r>
        <w:t>(1)</w:t>
      </w:r>
      <w:r>
        <w:tab/>
      </w:r>
      <w:r>
        <w:rPr>
          <w:noProof/>
        </w:rPr>
        <w:t>Kommissionens delegerede forordning (EU) nr. 807/2014</w:t>
      </w:r>
      <w:r>
        <w:rPr>
          <w:rStyle w:val="FootnoteReference"/>
          <w:noProof/>
        </w:rPr>
        <w:footnoteReference w:id="5"/>
      </w:r>
      <w:r>
        <w:rPr>
          <w:noProof/>
        </w:rPr>
        <w:t xml:space="preserve"> supplerer forordning (EU) nr. 1305/2013. Ved Europa-Parlamentets og Rådets forordning (EU) 2017/2393</w:t>
      </w:r>
      <w:r>
        <w:rPr>
          <w:rStyle w:val="FootnoteReference"/>
          <w:noProof/>
        </w:rPr>
        <w:footnoteReference w:id="6"/>
      </w:r>
      <w:r>
        <w:rPr>
          <w:noProof/>
        </w:rPr>
        <w:t xml:space="preserve"> ændres forordning (EU) nr. 1305/2013 ved at forenkle de generelle regler for Den Europæiske Landbrugsfond for Udvikling af Landdistrikterne (ELFUL). De ikke-væsentlige elementer, der supplerer disse generelle regler, bør derfor ændres.</w:t>
      </w:r>
    </w:p>
    <w:p>
      <w:pPr>
        <w:pStyle w:val="ManualConsidrant"/>
        <w:rPr>
          <w:noProof/>
        </w:rPr>
      </w:pPr>
      <w:r>
        <w:t>(2)</w:t>
      </w:r>
      <w:r>
        <w:tab/>
      </w:r>
      <w:r>
        <w:rPr>
          <w:noProof/>
        </w:rPr>
        <w:t>Der er blevet indført regler vedrørende unge landbrugeres fælles etablering i artikel 2, stk. 1, litra n), i forordning (EU) nr. 1305/2013 og tilføjet en definition af "etableringsdato" i artikel 2, stk. 1, litra s), i nævnte forordning.</w:t>
      </w:r>
    </w:p>
    <w:p>
      <w:pPr>
        <w:pStyle w:val="ManualConsidrant"/>
        <w:rPr>
          <w:noProof/>
        </w:rPr>
      </w:pPr>
      <w:r>
        <w:t>(3)</w:t>
      </w:r>
      <w:r>
        <w:tab/>
      </w:r>
      <w:r>
        <w:rPr>
          <w:noProof/>
        </w:rPr>
        <w:t>Der er indført en ny artikel 39a i forordning (EU) nr. 1305/2013 med henblik på at yde støtte til landbrugere gennem et sektorspecifikt indkomststabiliseringsredskab.</w:t>
      </w:r>
    </w:p>
    <w:p>
      <w:pPr>
        <w:pStyle w:val="ManualConsidrant"/>
        <w:rPr>
          <w:noProof/>
        </w:rPr>
      </w:pPr>
      <w:r>
        <w:t>(4)</w:t>
      </w:r>
      <w:r>
        <w:tab/>
      </w:r>
      <w:r>
        <w:rPr>
          <w:noProof/>
        </w:rPr>
        <w:t>Reglerne om finansielle instrumenter er blevet forenklet med det formål at harmonisere sektorspecifikke regler for støtteberettigelse i forbindelse med investeringsprojekter, der støttes af ELFUL, med de fælles regler, der gælder for alle europæiske struktur- og investeringsfonde. Der er navnlig indført en undtagelse fra visse generelle regler for støtteberettigelse gældende for ELFUL-investeringsoperationer, der er fastsat i artikel 45, stk. 1-3, i forordning (EU) nr. 1305/2013, mens den relevante miljølovgivning fortsat finder anvendelse.</w:t>
      </w:r>
    </w:p>
    <w:p>
      <w:pPr>
        <w:pStyle w:val="ManualConsidrant"/>
        <w:rPr>
          <w:noProof/>
        </w:rPr>
      </w:pPr>
      <w:r>
        <w:t>(5)</w:t>
      </w:r>
      <w:r>
        <w:tab/>
      </w:r>
      <w:r>
        <w:rPr>
          <w:noProof/>
        </w:rPr>
        <w:t>Delegeret forordning (EU) nr. 807/2014 bør derfor ændres.</w:t>
      </w:r>
    </w:p>
    <w:p>
      <w:pPr>
        <w:pStyle w:val="ManualConsidrant"/>
        <w:rPr>
          <w:noProof/>
        </w:rPr>
      </w:pPr>
      <w:r>
        <w:t>(6)</w:t>
      </w:r>
      <w:r>
        <w:tab/>
      </w:r>
      <w:r>
        <w:rPr>
          <w:noProof/>
        </w:rPr>
        <w:t>I lyset af at forordning (EU) nr. 1305/2013 pr. 1. januar 2018 er ændret ved forordning (EU) 2017/2393, er det hensigtsmæssigt at gøre de tilsvarende ændringer af den delegerede forordning (EU) nr. 807/2014 gældende fra samme dato —</w:t>
      </w:r>
    </w:p>
    <w:p>
      <w:pPr>
        <w:pStyle w:val="Formuledadoption"/>
        <w:rPr>
          <w:noProof/>
        </w:rPr>
      </w:pPr>
      <w:r>
        <w:rPr>
          <w:noProof/>
        </w:rPr>
        <w:t>VEDTAGET DENNE FORORDNING:</w:t>
      </w:r>
    </w:p>
    <w:p>
      <w:pPr>
        <w:pStyle w:val="Titrearticle"/>
        <w:rPr>
          <w:noProof/>
        </w:rPr>
      </w:pPr>
      <w:r>
        <w:rPr>
          <w:noProof/>
        </w:rPr>
        <w:t>Artikel 1</w:t>
      </w:r>
    </w:p>
    <w:p>
      <w:pPr>
        <w:spacing w:before="240"/>
        <w:rPr>
          <w:rFonts w:eastAsia="Calibri"/>
          <w:noProof/>
        </w:rPr>
      </w:pPr>
      <w:r>
        <w:rPr>
          <w:noProof/>
        </w:rPr>
        <w:t>I delegeret forordning (EU) nr. 807/2014 foretages følgende ændringer:</w:t>
      </w:r>
    </w:p>
    <w:p>
      <w:pPr>
        <w:pStyle w:val="Point0number"/>
        <w:numPr>
          <w:ilvl w:val="0"/>
          <w:numId w:val="13"/>
        </w:numPr>
        <w:rPr>
          <w:noProof/>
        </w:rPr>
      </w:pPr>
      <w:r>
        <w:rPr>
          <w:noProof/>
        </w:rPr>
        <w:t>Artikel 2 affattes således:</w:t>
      </w:r>
    </w:p>
    <w:p>
      <w:pPr>
        <w:ind w:left="540"/>
        <w:jc w:val="center"/>
        <w:rPr>
          <w:rFonts w:eastAsia="Calibri"/>
          <w:noProof/>
        </w:rPr>
      </w:pPr>
      <w:r>
        <w:rPr>
          <w:noProof/>
        </w:rPr>
        <w:t>"Artikel 2</w:t>
      </w:r>
    </w:p>
    <w:p>
      <w:pPr>
        <w:ind w:left="540"/>
        <w:jc w:val="center"/>
        <w:rPr>
          <w:rFonts w:eastAsia="Calibri"/>
          <w:b/>
          <w:noProof/>
        </w:rPr>
      </w:pPr>
      <w:r>
        <w:rPr>
          <w:b/>
          <w:noProof/>
        </w:rPr>
        <w:t>Ung landbruger</w:t>
      </w:r>
    </w:p>
    <w:p>
      <w:pPr>
        <w:ind w:left="851"/>
        <w:rPr>
          <w:rFonts w:eastAsia="Calibri"/>
          <w:noProof/>
        </w:rPr>
      </w:pPr>
      <w:r>
        <w:rPr>
          <w:noProof/>
        </w:rPr>
        <w:t>1. Betingelserne for adgang til støtte for en ung landbruger som defineret i artikel 2, stk. 1, litra n), i forordning (EU) nr. 1305/2013, der etablerer sig på en landbrugsbedrift som driftsleder i fællesskab med andre landbrugere, skal svare til de betingelser, der gælder for en ung landbruger, der etablerer sig som eneste driftsleder. Unge landbrugere skal i alle tilfælde udøve kontrol over bedriften som fastsat i de gældende bestemmelser i medlemsstaten.</w:t>
      </w:r>
    </w:p>
    <w:p>
      <w:pPr>
        <w:ind w:left="851"/>
        <w:rPr>
          <w:rFonts w:eastAsia="Calibri"/>
          <w:noProof/>
        </w:rPr>
      </w:pPr>
      <w:r>
        <w:rPr>
          <w:noProof/>
        </w:rPr>
        <w:t>2. Når ansøgningen om støtte vedrører en bedrift, der ejes af en juridisk person, skal en ung landbruger som defineret i artikel 2, stk. 1, litra n), i forordning (EU) nr. 1305/2013 udøve kontrol over den juridiske person som fastsat i de bestemmelser, der gælder i medlemsstaten. Når flere fysiske personer, herunder en eller flere personer, der ikke er ung(e) landbruger(e), deltager i den juridiske persons kapital eller drift, skal den unge landbruger være i stand til at udøve denne kontrol enten alene eller i forening med andre landbrugere.</w:t>
      </w:r>
    </w:p>
    <w:p>
      <w:pPr>
        <w:ind w:left="851" w:hanging="180"/>
        <w:rPr>
          <w:rFonts w:eastAsia="Calibri"/>
          <w:noProof/>
        </w:rPr>
      </w:pPr>
      <w:r>
        <w:rPr>
          <w:noProof/>
        </w:rPr>
        <w:tab/>
        <w:t>Hvis en juridisk person kontrolleres af en anden juridisk person (alene eller sammen med andre), gælder kravene i første afsnit for enhver fysisk person, der kontrollerer denne anden juridiske person.</w:t>
      </w:r>
    </w:p>
    <w:p>
      <w:pPr>
        <w:ind w:left="851"/>
        <w:rPr>
          <w:rFonts w:eastAsia="Calibri"/>
          <w:noProof/>
        </w:rPr>
      </w:pPr>
      <w:r>
        <w:rPr>
          <w:noProof/>
        </w:rPr>
        <w:t>3. Der kan bevilliges en henstandsperiode på ikke over 36 måneder fra datoen for den individuelle støtteafgørelse for støttemodtagerens opfyldelse af betingelserne i forbindelse med erhvervelse af de faglige kvalifikationer, der er fastsat i programmet for udvikling af landdistrikterne."</w:t>
      </w:r>
    </w:p>
    <w:p>
      <w:pPr>
        <w:pStyle w:val="Point0number"/>
        <w:rPr>
          <w:noProof/>
        </w:rPr>
      </w:pPr>
      <w:r>
        <w:rPr>
          <w:noProof/>
        </w:rPr>
        <w:t>Artikel 12 affattes således:</w:t>
      </w:r>
    </w:p>
    <w:p>
      <w:pPr>
        <w:ind w:left="540"/>
        <w:jc w:val="center"/>
        <w:rPr>
          <w:rFonts w:eastAsia="Calibri"/>
          <w:noProof/>
        </w:rPr>
      </w:pPr>
      <w:r>
        <w:rPr>
          <w:noProof/>
        </w:rPr>
        <w:t>"Artikel 12</w:t>
      </w:r>
    </w:p>
    <w:p>
      <w:pPr>
        <w:ind w:left="540"/>
        <w:jc w:val="center"/>
        <w:rPr>
          <w:rFonts w:eastAsia="Calibri"/>
          <w:b/>
          <w:noProof/>
        </w:rPr>
      </w:pPr>
      <w:r>
        <w:rPr>
          <w:b/>
          <w:noProof/>
        </w:rPr>
        <w:t>Kommercielle lån til gensidige fonde</w:t>
      </w:r>
    </w:p>
    <w:p>
      <w:pPr>
        <w:ind w:left="851"/>
        <w:rPr>
          <w:rFonts w:eastAsia="Calibri"/>
          <w:noProof/>
        </w:rPr>
      </w:pPr>
      <w:r>
        <w:rPr>
          <w:noProof/>
        </w:rPr>
        <w:t>Hvis midlerne til de finansielle godtgørelser, som de gensidige fonde, der er omhandlet i artikel 38, 39 og 39a i forordning (EU) nr. 1305/2013, skal betale, stammer fra et kommercielt lån, skal lånets løbetid være på mellem 1 og 5 år."</w:t>
      </w:r>
    </w:p>
    <w:p>
      <w:pPr>
        <w:pStyle w:val="Point0number"/>
        <w:rPr>
          <w:noProof/>
        </w:rPr>
      </w:pPr>
      <w:r>
        <w:rPr>
          <w:noProof/>
        </w:rPr>
        <w:t>I artikel 13 affattes indledningen således:</w:t>
      </w:r>
    </w:p>
    <w:p>
      <w:pPr>
        <w:ind w:left="851"/>
        <w:rPr>
          <w:rFonts w:eastAsia="Calibri"/>
          <w:noProof/>
        </w:rPr>
      </w:pPr>
      <w:r>
        <w:rPr>
          <w:noProof/>
        </w:rPr>
        <w:t>"I henhold til artikel 45 i forordning (EU) nr. 1305/2013 gælder følgende regler i tilfælde, hvor støtten ydes i form af tilskud:".</w:t>
      </w:r>
    </w:p>
    <w:p>
      <w:pPr>
        <w:pStyle w:val="Titrearticle"/>
        <w:rPr>
          <w:noProof/>
        </w:rPr>
      </w:pPr>
      <w:r>
        <w:rPr>
          <w:noProof/>
        </w:rPr>
        <w:t>Artikel 2</w:t>
      </w:r>
    </w:p>
    <w:p>
      <w:pPr>
        <w:spacing w:before="240"/>
        <w:rPr>
          <w:noProof/>
        </w:rPr>
      </w:pPr>
      <w:r>
        <w:rPr>
          <w:noProof/>
        </w:rPr>
        <w:t xml:space="preserve">Denne forordning træder i kraft på dagen for offentliggørelsen i </w:t>
      </w:r>
      <w:r>
        <w:rPr>
          <w:i/>
          <w:noProof/>
        </w:rPr>
        <w:t>Den Europæiske Unions Tidende</w:t>
      </w:r>
      <w:r>
        <w:rPr>
          <w:noProof/>
        </w:rPr>
        <w:t>.</w:t>
      </w:r>
    </w:p>
    <w:p>
      <w:pPr>
        <w:rPr>
          <w:noProof/>
        </w:rPr>
      </w:pPr>
      <w:r>
        <w:rPr>
          <w:noProof/>
        </w:rPr>
        <w:t>Den anvendes fra den 1. januar 2018.</w:t>
      </w:r>
    </w:p>
    <w:p>
      <w:pPr>
        <w:pStyle w:val="Applicationdirecte"/>
        <w:rPr>
          <w:noProof/>
        </w:rPr>
      </w:pPr>
      <w:r>
        <w:rPr>
          <w:noProof/>
        </w:rPr>
        <w:t>Denne forordning er bindende i alle enkeltheder og gælder umiddelbart i hver medlemsstat.</w:t>
      </w:r>
    </w:p>
    <w:p>
      <w:pPr>
        <w:pStyle w:val="Fait"/>
        <w:rPr>
          <w:noProof/>
        </w:rPr>
      </w:pPr>
      <w:r>
        <w:t>Udfærdiget i Bruxelles, den 30.10.2018.</w:t>
      </w:r>
    </w:p>
    <w:p>
      <w:pPr>
        <w:pStyle w:val="Institutionquisigne"/>
        <w:rPr>
          <w:noProof/>
        </w:rPr>
      </w:pPr>
      <w:r>
        <w:rPr>
          <w:noProof/>
        </w:rPr>
        <w:tab/>
        <w:t>På Kommissionens vegne</w:t>
      </w:r>
    </w:p>
    <w:p>
      <w:pPr>
        <w:pStyle w:val="Personnequisigne"/>
        <w:keepNext/>
        <w:rPr>
          <w:noProof/>
        </w:rPr>
      </w:pPr>
      <w:r>
        <w:tab/>
        <w:t>Formand</w:t>
      </w:r>
      <w:r>
        <w:br/>
      </w:r>
      <w:r>
        <w:tab/>
        <w:t>Jean-Claude JUNCKER</w:t>
      </w:r>
    </w:p>
    <w:p>
      <w:pPr>
        <w:pStyle w:val="Personnequisigne"/>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DA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nn-NO"/>
        </w:rPr>
      </w:pPr>
      <w:r>
        <w:rPr>
          <w:rStyle w:val="FootnoteReference"/>
        </w:rPr>
        <w:footnoteRef/>
      </w:r>
      <w:r>
        <w:rPr>
          <w:lang w:val="nn-NO"/>
        </w:rPr>
        <w:tab/>
        <w:t>Artikel 2, stk. 1, litra n), i forordning (EU) nr. 1305/2013</w:t>
      </w:r>
    </w:p>
  </w:footnote>
  <w:footnote w:id="2">
    <w:p>
      <w:pPr>
        <w:pStyle w:val="FootnoteText"/>
        <w:rPr>
          <w:lang w:val="nn-NO"/>
        </w:rPr>
      </w:pPr>
      <w:r>
        <w:rPr>
          <w:rStyle w:val="FootnoteReference"/>
        </w:rPr>
        <w:footnoteRef/>
      </w:r>
      <w:r>
        <w:rPr>
          <w:lang w:val="nn-NO"/>
        </w:rPr>
        <w:tab/>
        <w:t>Artikel 39 a i forordning (EU) nr. 1305/2013.</w:t>
      </w:r>
    </w:p>
  </w:footnote>
  <w:footnote w:id="3">
    <w:p>
      <w:pPr>
        <w:pStyle w:val="FootnoteText"/>
      </w:pPr>
      <w:r>
        <w:rPr>
          <w:rStyle w:val="FootnoteReference"/>
        </w:rPr>
        <w:footnoteRef/>
      </w:r>
      <w:r>
        <w:tab/>
        <w:t>Europa-Parlamentets og Rådets forordning (EU) nr. 1303/2013 af 17. december 2013 om fælles bestemmelser for Den Europæiske Fond for Regionaludvikling, Den Europæiske Socialfond, Samhørighedsfonden, Den Europæiske Landbrugsfond for Udvikling af Landdistrikterne og Den Europæiske Hav- og Fiskerifond og om generelle bestemmelser for Den Europæiske Fond for Regionaludvikling, Den Europæiske Socialfond, Samhørighedsfonden og Den Europæiske Hav- og Fiskerifond og om ophævelse af Rådets forordning (EF) nr. 1083/2006 (EUT L 347 af 20.12.2013, s. 320).</w:t>
      </w:r>
    </w:p>
  </w:footnote>
  <w:footnote w:id="4">
    <w:p>
      <w:pPr>
        <w:pStyle w:val="FootnoteText"/>
      </w:pPr>
      <w:r>
        <w:rPr>
          <w:rStyle w:val="FootnoteReference"/>
        </w:rPr>
        <w:footnoteRef/>
      </w:r>
      <w:r>
        <w:tab/>
        <w:t>EUT L 347 af 20.12.2013, s. 487.</w:t>
      </w:r>
    </w:p>
  </w:footnote>
  <w:footnote w:id="5">
    <w:p>
      <w:pPr>
        <w:pStyle w:val="FootnoteText"/>
      </w:pPr>
      <w:r>
        <w:rPr>
          <w:rStyle w:val="FootnoteReference"/>
        </w:rPr>
        <w:footnoteRef/>
      </w:r>
      <w:r>
        <w:tab/>
        <w:t>Kommissionens delegerede forordning (EU) nr. 807/2014 af 11. marts 2014 om supplerende bestemmelser til Europa-Parlamentets og Rådets forordning (EU) nr. 1305/2013 om støtte til udvikling af landdistrikterne fra Den Europæiske Landbrugsfond for Udvikling af Landdistrikterne (ELFUL) og om indførelse af overgangsbestemmelser (EUT L 227 af 31.7.2014, s. 1).</w:t>
      </w:r>
    </w:p>
  </w:footnote>
  <w:footnote w:id="6">
    <w:p>
      <w:pPr>
        <w:pStyle w:val="FootnoteText"/>
      </w:pPr>
      <w:r>
        <w:rPr>
          <w:rStyle w:val="FootnoteReference"/>
        </w:rPr>
        <w:footnoteRef/>
      </w:r>
      <w:r>
        <w:tab/>
        <w:t>Europa-Parlamentets og Rådets forordning (EU) 2017/2393 af 13. december 2017 om ændring af forordning (EU) nr. 1305/2013 om støtte til udvikling af landdistrikterne fra Den Europæiske Landbrugsfond for Udvikling af Landdistrikterne (ELFUL), (EU) nr. 1306/2013 om finansiering, forvaltning og overvågning af den fælles landbrugspolitik, (EU) nr. 1307/2013 om fastsættelse af regler for direkte betalinger til landbrugere under støtteordninger inden for rammerne af den fælles landbrugspolitik, (EU) nr. 1308/2013 om en fælles markedsordning for landbrugsprodukter og (EU) nr. 652/2014 om bestemmelser vedrørende forvaltning af udgifter i tilknytning til fødevarekæden, dyresundhed og dyrevelfærd samt til plantesundhed og planteformeringsmateriale (EUT L 350 af 29.12.2017, s.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A2CBC0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592989E"/>
    <w:lvl w:ilvl="0">
      <w:start w:val="1"/>
      <w:numFmt w:val="decimal"/>
      <w:pStyle w:val="ListNumber3"/>
      <w:lvlText w:val="%1."/>
      <w:lvlJc w:val="left"/>
      <w:pPr>
        <w:tabs>
          <w:tab w:val="num" w:pos="926"/>
        </w:tabs>
        <w:ind w:left="926" w:hanging="360"/>
      </w:pPr>
    </w:lvl>
  </w:abstractNum>
  <w:abstractNum w:abstractNumId="2">
    <w:nsid w:val="FFFFFF7F"/>
    <w:multiLevelType w:val="singleLevel"/>
    <w:tmpl w:val="8310816C"/>
    <w:lvl w:ilvl="0">
      <w:start w:val="1"/>
      <w:numFmt w:val="decimal"/>
      <w:pStyle w:val="ListNumber2"/>
      <w:lvlText w:val="%1."/>
      <w:lvlJc w:val="left"/>
      <w:pPr>
        <w:tabs>
          <w:tab w:val="num" w:pos="643"/>
        </w:tabs>
        <w:ind w:left="643" w:hanging="360"/>
      </w:pPr>
    </w:lvl>
  </w:abstractNum>
  <w:abstractNum w:abstractNumId="3">
    <w:nsid w:val="FFFFFF81"/>
    <w:multiLevelType w:val="singleLevel"/>
    <w:tmpl w:val="0832DDD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7D0C8D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0BE6AC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256C71A"/>
    <w:lvl w:ilvl="0">
      <w:start w:val="1"/>
      <w:numFmt w:val="decimal"/>
      <w:pStyle w:val="ListNumber"/>
      <w:lvlText w:val="%1."/>
      <w:lvlJc w:val="left"/>
      <w:pPr>
        <w:tabs>
          <w:tab w:val="num" w:pos="360"/>
        </w:tabs>
        <w:ind w:left="360" w:hanging="360"/>
      </w:pPr>
    </w:lvl>
  </w:abstractNum>
  <w:abstractNum w:abstractNumId="7">
    <w:nsid w:val="FFFFFF89"/>
    <w:multiLevelType w:val="singleLevel"/>
    <w:tmpl w:val="1B48178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8"/>
    <w:lvlOverride w:ilvl="0">
      <w:startOverride w:val="1"/>
    </w:lvlOverride>
  </w:num>
  <w:num w:numId="3">
    <w:abstractNumId w:val="7"/>
  </w:num>
  <w:num w:numId="4">
    <w:abstractNumId w:val="5"/>
  </w:num>
  <w:num w:numId="5">
    <w:abstractNumId w:val="4"/>
  </w:num>
  <w:num w:numId="6">
    <w:abstractNumId w:val="3"/>
  </w:num>
  <w:num w:numId="7">
    <w:abstractNumId w:val="21"/>
    <w:lvlOverride w:ilvl="0">
      <w:startOverride w:val="1"/>
    </w:lvlOverride>
  </w:num>
  <w:num w:numId="8">
    <w:abstractNumId w:val="6"/>
  </w:num>
  <w:num w:numId="9">
    <w:abstractNumId w:val="2"/>
  </w:num>
  <w:num w:numId="10">
    <w:abstractNumId w:val="1"/>
  </w:num>
  <w:num w:numId="11">
    <w:abstractNumId w:val="0"/>
  </w:num>
  <w:num w:numId="12">
    <w:abstractNumId w:val="18"/>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0-29 09:03:2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27F7B91A-7743-4896-840C-322B2B51F53D"/>
    <w:docVar w:name="LW_COVERPAGE_TYPE" w:val="1"/>
    <w:docVar w:name="LW_CROSSREFERENCE" w:val="&lt;UNUSED&gt;"/>
    <w:docVar w:name="LW_DATE.ADOPT.CP" w:val="af 30.10.2018"/>
    <w:docVar w:name="LW_DATE.ADOPT.CP_DATEFORMAT" w:val="af %DATE%"/>
    <w:docVar w:name="LW_DATE.ADOPT.CP_ISODATE" w:val="2018-10-30"/>
    <w:docVar w:name="LW_DocType" w:val="COM"/>
    <w:docVar w:name="LW_EMISSION" w:val="30.10.2018"/>
    <w:docVar w:name="LW_EMISSION_ISODATE" w:val="2018-10-30"/>
    <w:docVar w:name="LW_EMISSION_LOCATION" w:val="BRX"/>
    <w:docVar w:name="LW_EMISSION_PREFIX" w:val="Bruxelles, den "/>
    <w:docVar w:name="LW_EMISSION_SUFFIX" w:val="&lt;EMPTY&gt;"/>
    <w:docVar w:name="LW_ID_DOCMODEL" w:val="SJ-003"/>
    <w:docVar w:name="LW_ID_DOCSIGNATURE" w:val="SJ-003"/>
    <w:docVar w:name="LW_ID_DOCSTRUCTURE" w:val="COM/AA"/>
    <w:docVar w:name="LW_ID_DOCTYPE" w:val="SJ-003"/>
    <w:docVar w:name="LW_ID_EXP.MOTIFS.NEW" w:val="EM_AA_"/>
    <w:docVar w:name="LW_INTERETEEE.CP" w:val="&lt;UNUSED&gt;"/>
    <w:docVar w:name="LW_LANGUE" w:val="DA"/>
    <w:docVar w:name="LW_LANGUESFAISANTFOI.CP" w:val="&lt;UNUSED&gt;"/>
    <w:docVar w:name="LW_LEVEL_OF_SENSITIVITY" w:val="Standard treatment"/>
    <w:docVar w:name="LW_NOM.INST" w:val="EUROPA-KOMMISSIONEN"/>
    <w:docVar w:name="LW_NOM.INST_JOINTDOC" w:val="&lt;EMPTY&gt;"/>
    <w:docVar w:name="LW_PART_NBR" w:val="1"/>
    <w:docVar w:name="LW_PART_NBR_TOTAL" w:val="1"/>
    <w:docVar w:name="LW_REF.INST.NEW" w:val="C"/>
    <w:docVar w:name="LW_REF.INST.NEW_ADOPTED" w:val="final"/>
    <w:docVar w:name="LW_REF.INST.NEW_TEXT" w:val="(2018) 70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m ændring af delegeret forordning (EU) nr. 807/2014 om supplerende bestemmelser til Europa-Parlamentets og Rådets forordning (EU) nr. 1305/2013 om støtte til udvikling af landdistrikterne fra Den Europæiske Landbrugsfond for Udvikling af Landdistrikterne (ELFUL) og om indførelse af overgangsbestemmelser"/>
    <w:docVar w:name="LW_TYPE.DOC.CP" w:val="KOMMISSIONENS DELEGEREDE FORORDNING (EU) \u8230?/\u823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40"/>
      <w:ind w:left="720"/>
      <w:contextualSpacing/>
    </w:pPr>
    <w:rPr>
      <w:rFonts w:eastAsia="Times New Roman"/>
      <w:szCs w:val="20"/>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rPr>
  </w:style>
  <w:style w:type="character" w:styleId="Hyperlink">
    <w:name w:val="Hyperlink"/>
    <w:basedOn w:val="DefaultParagraphFont"/>
    <w:uiPriority w:val="99"/>
    <w:unhideWhenUsed/>
    <w:rPr>
      <w:color w:val="0000FF" w:themeColor="hyperlink"/>
      <w:u w:val="single"/>
    </w:rPr>
  </w:style>
  <w:style w:type="character" w:customStyle="1" w:styleId="superscript">
    <w:name w:val="superscript"/>
    <w:basedOn w:val="DefaultParagraphFont"/>
    <w:rPr>
      <w:sz w:val="17"/>
      <w:szCs w:val="17"/>
      <w:vertAlign w:val="superscri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40"/>
      <w:ind w:left="720"/>
      <w:contextualSpacing/>
    </w:pPr>
    <w:rPr>
      <w:rFonts w:eastAsia="Times New Roman"/>
      <w:szCs w:val="20"/>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rPr>
  </w:style>
  <w:style w:type="character" w:styleId="Hyperlink">
    <w:name w:val="Hyperlink"/>
    <w:basedOn w:val="DefaultParagraphFont"/>
    <w:uiPriority w:val="99"/>
    <w:unhideWhenUsed/>
    <w:rPr>
      <w:color w:val="0000FF" w:themeColor="hyperlink"/>
      <w:u w:val="single"/>
    </w:rPr>
  </w:style>
  <w:style w:type="character" w:customStyle="1" w:styleId="superscript">
    <w:name w:val="superscript"/>
    <w:basedOn w:val="DefaultParagraphFont"/>
    <w:rPr>
      <w:sz w:val="17"/>
      <w:szCs w:val="17"/>
      <w:vertAlign w:val="superscri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03228">
      <w:bodyDiv w:val="1"/>
      <w:marLeft w:val="0"/>
      <w:marRight w:val="0"/>
      <w:marTop w:val="0"/>
      <w:marBottom w:val="0"/>
      <w:divBdr>
        <w:top w:val="none" w:sz="0" w:space="0" w:color="auto"/>
        <w:left w:val="none" w:sz="0" w:space="0" w:color="auto"/>
        <w:bottom w:val="none" w:sz="0" w:space="0" w:color="auto"/>
        <w:right w:val="none" w:sz="0" w:space="0" w:color="auto"/>
      </w:divBdr>
    </w:div>
    <w:div w:id="721827770">
      <w:bodyDiv w:val="1"/>
      <w:marLeft w:val="0"/>
      <w:marRight w:val="0"/>
      <w:marTop w:val="0"/>
      <w:marBottom w:val="0"/>
      <w:divBdr>
        <w:top w:val="none" w:sz="0" w:space="0" w:color="auto"/>
        <w:left w:val="none" w:sz="0" w:space="0" w:color="auto"/>
        <w:bottom w:val="none" w:sz="0" w:space="0" w:color="auto"/>
        <w:right w:val="none" w:sz="0" w:space="0" w:color="auto"/>
      </w:divBdr>
      <w:divsChild>
        <w:div w:id="1046176212">
          <w:marLeft w:val="0"/>
          <w:marRight w:val="0"/>
          <w:marTop w:val="0"/>
          <w:marBottom w:val="0"/>
          <w:divBdr>
            <w:top w:val="none" w:sz="0" w:space="0" w:color="auto"/>
            <w:left w:val="none" w:sz="0" w:space="0" w:color="auto"/>
            <w:bottom w:val="none" w:sz="0" w:space="0" w:color="auto"/>
            <w:right w:val="none" w:sz="0" w:space="0" w:color="auto"/>
          </w:divBdr>
          <w:divsChild>
            <w:div w:id="944926879">
              <w:marLeft w:val="0"/>
              <w:marRight w:val="0"/>
              <w:marTop w:val="0"/>
              <w:marBottom w:val="0"/>
              <w:divBdr>
                <w:top w:val="none" w:sz="0" w:space="0" w:color="auto"/>
                <w:left w:val="none" w:sz="0" w:space="0" w:color="auto"/>
                <w:bottom w:val="none" w:sz="0" w:space="0" w:color="auto"/>
                <w:right w:val="none" w:sz="0" w:space="0" w:color="auto"/>
              </w:divBdr>
              <w:divsChild>
                <w:div w:id="1484734149">
                  <w:marLeft w:val="0"/>
                  <w:marRight w:val="0"/>
                  <w:marTop w:val="0"/>
                  <w:marBottom w:val="0"/>
                  <w:divBdr>
                    <w:top w:val="none" w:sz="0" w:space="0" w:color="auto"/>
                    <w:left w:val="none" w:sz="0" w:space="0" w:color="auto"/>
                    <w:bottom w:val="none" w:sz="0" w:space="0" w:color="auto"/>
                    <w:right w:val="none" w:sz="0" w:space="0" w:color="auto"/>
                  </w:divBdr>
                  <w:divsChild>
                    <w:div w:id="1886526845">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02602">
      <w:bodyDiv w:val="1"/>
      <w:marLeft w:val="0"/>
      <w:marRight w:val="0"/>
      <w:marTop w:val="0"/>
      <w:marBottom w:val="0"/>
      <w:divBdr>
        <w:top w:val="none" w:sz="0" w:space="0" w:color="auto"/>
        <w:left w:val="none" w:sz="0" w:space="0" w:color="auto"/>
        <w:bottom w:val="none" w:sz="0" w:space="0" w:color="auto"/>
        <w:right w:val="none" w:sz="0" w:space="0" w:color="auto"/>
      </w:divBdr>
      <w:divsChild>
        <w:div w:id="1396079526">
          <w:marLeft w:val="0"/>
          <w:marRight w:val="0"/>
          <w:marTop w:val="0"/>
          <w:marBottom w:val="0"/>
          <w:divBdr>
            <w:top w:val="none" w:sz="0" w:space="0" w:color="auto"/>
            <w:left w:val="none" w:sz="0" w:space="0" w:color="auto"/>
            <w:bottom w:val="none" w:sz="0" w:space="0" w:color="auto"/>
            <w:right w:val="none" w:sz="0" w:space="0" w:color="auto"/>
          </w:divBdr>
          <w:divsChild>
            <w:div w:id="2122069455">
              <w:marLeft w:val="0"/>
              <w:marRight w:val="0"/>
              <w:marTop w:val="0"/>
              <w:marBottom w:val="0"/>
              <w:divBdr>
                <w:top w:val="none" w:sz="0" w:space="0" w:color="auto"/>
                <w:left w:val="none" w:sz="0" w:space="0" w:color="auto"/>
                <w:bottom w:val="none" w:sz="0" w:space="0" w:color="auto"/>
                <w:right w:val="none" w:sz="0" w:space="0" w:color="auto"/>
              </w:divBdr>
              <w:divsChild>
                <w:div w:id="2044087812">
                  <w:marLeft w:val="0"/>
                  <w:marRight w:val="0"/>
                  <w:marTop w:val="0"/>
                  <w:marBottom w:val="0"/>
                  <w:divBdr>
                    <w:top w:val="none" w:sz="0" w:space="0" w:color="auto"/>
                    <w:left w:val="none" w:sz="0" w:space="0" w:color="auto"/>
                    <w:bottom w:val="none" w:sz="0" w:space="0" w:color="auto"/>
                    <w:right w:val="none" w:sz="0" w:space="0" w:color="auto"/>
                  </w:divBdr>
                  <w:divsChild>
                    <w:div w:id="541020739">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8D6F6-ED78-42D4-B683-DA8F509D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6</Pages>
  <Words>1154</Words>
  <Characters>7051</Characters>
  <Application>Microsoft Office Word</Application>
  <DocSecurity>0</DocSecurity>
  <Lines>125</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2018-07-27T11:18:00Z</dcterms:created>
  <dcterms:modified xsi:type="dcterms:W3CDTF">2018-10-29T08:03:00Z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