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EF5A769E0AC24EF09A3A3D6AB90CC8AF" style="width:450.75pt;height:351.75pt">
            <v:imagedata r:id="rId8" o:title=""/>
          </v:shape>
        </w:pict>
      </w:r>
    </w:p>
    <w:p>
      <w:pPr>
        <w:rPr>
          <w:noProof/>
        </w:rPr>
        <w:sectPr>
          <w:footerReference w:type="default" r:id="rId9"/>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BEGRUNDELSE</w:t>
      </w:r>
    </w:p>
    <w:p>
      <w:pPr>
        <w:pStyle w:val="ManualHeading1"/>
        <w:rPr>
          <w:noProof/>
        </w:rPr>
      </w:pPr>
      <w:r>
        <w:rPr>
          <w:noProof/>
        </w:rPr>
        <w:t>1.</w:t>
      </w:r>
      <w:r>
        <w:rPr>
          <w:noProof/>
        </w:rPr>
        <w:tab/>
        <w:t>BAGGRUND FOR DEN DELEGEREDE RETSAKT</w:t>
      </w:r>
    </w:p>
    <w:p>
      <w:pPr>
        <w:rPr>
          <w:noProof/>
        </w:rPr>
      </w:pPr>
      <w:r>
        <w:rPr>
          <w:noProof/>
        </w:rPr>
        <w:t>Medlemsstaterne formidler i henhold til forordning (EU) nr. 1307/2013 om direkte betalinger og forordning (EU) nr. 1308/2013 om fusionsmarkedsordningen visse oplysninger til Kommissionen med henblik på forvaltningen af ordninger og markeder.</w:t>
      </w:r>
    </w:p>
    <w:p>
      <w:pPr>
        <w:rPr>
          <w:noProof/>
        </w:rPr>
      </w:pPr>
      <w:r>
        <w:rPr>
          <w:noProof/>
        </w:rPr>
        <w:t xml:space="preserve">Kommissionens forordning (EF) nr. 792/2009, hvori det fastsættes, hvordan medlemsstaterne skal formidle disse oplysninger ved hjælp af ISAMM (Information System for Agricultural Market Management and Monitoring), bør ophæves og erstattes af regler, der er tilpasset Lissabontraktaten og de delegerede beføjelser og gennemførelsesbeføjelser, der er indeholdt i de relevante basisretsakter. </w:t>
      </w:r>
    </w:p>
    <w:p>
      <w:pPr>
        <w:rPr>
          <w:noProof/>
        </w:rPr>
      </w:pPr>
      <w:r>
        <w:rPr>
          <w:noProof/>
        </w:rPr>
        <w:t>I overensstemmelse med målet om at reducere antallet af retsakter og forbedre sammenhængen samles de gældende retlige bestemmelser om formidling af markedsoplysninger, navnlig oplysninger om priser og produktion, der på nuværende tidspunkt er omfattet af forskellige retsakter, desuden i én delegeret retsakt og én gennemførelsesretsakt. Med henblik på opfyldelse af kravene om at foretage visse underretninger til Verdenshandelsorganisationen (WTO), navnlig for så vidt angår indenlandsk støtte og eksportkonkurrence, benyttes lejligheden desuden til at fastsætte, at medlemsstaterne foretager disse underretninger til Kommissionen gennem ISAMM.</w:t>
      </w:r>
    </w:p>
    <w:p>
      <w:pPr>
        <w:pStyle w:val="ManualHeading1"/>
        <w:rPr>
          <w:noProof/>
        </w:rPr>
      </w:pPr>
      <w:r>
        <w:rPr>
          <w:noProof/>
        </w:rPr>
        <w:t>2.</w:t>
      </w:r>
      <w:r>
        <w:rPr>
          <w:noProof/>
        </w:rPr>
        <w:tab/>
        <w:t>HØRINGER FORUD FOR RETSAKTENS VEDTAGELSE</w:t>
      </w:r>
    </w:p>
    <w:p>
      <w:pPr>
        <w:rPr>
          <w:noProof/>
        </w:rPr>
      </w:pPr>
      <w:r>
        <w:rPr>
          <w:noProof/>
        </w:rPr>
        <w:t xml:space="preserve">Kommissionen drøftede forslaget til den delegerede forordning for så vidt angår informationssystemet (ISAMM) med eksperter udpeget af medlemsstaterne på møderne i ekspertgruppen for den fælles markedsordning i juni 2015 og tog højde for de holdninger og standpunkter, der kom til udtryk under disse høringer. </w:t>
      </w:r>
    </w:p>
    <w:p>
      <w:pPr>
        <w:rPr>
          <w:noProof/>
        </w:rPr>
      </w:pPr>
      <w:r>
        <w:rPr>
          <w:noProof/>
        </w:rPr>
        <w:t>I perioden februar til juli 2016 blev bestemmelserne om pris/produktion og underretninger til WTO drøftet indgående med medlemsstaternes eksperter. Dette skete ved hjælp af den åbne arbejdsmetode, som er blevet udviklet af den taskforce, der koordinerer tilpasningen af de gældende forordninger om den fælles markedsordning.</w:t>
      </w:r>
    </w:p>
    <w:p>
      <w:pPr>
        <w:rPr>
          <w:noProof/>
        </w:rPr>
      </w:pPr>
      <w:r>
        <w:rPr>
          <w:noProof/>
        </w:rPr>
        <w:t>Europa-Parlamentets eksperter blev underrettet om alle disse drøftelser og indbudt til alle møderne. Derudover blev udkastet til den delegerede forordning underlagt feedback-mekanismen.</w:t>
      </w:r>
    </w:p>
    <w:p>
      <w:pPr>
        <w:rPr>
          <w:noProof/>
        </w:rPr>
      </w:pPr>
      <w:r>
        <w:rPr>
          <w:noProof/>
        </w:rPr>
        <w:t>Der var åben for indsamling af tilbagemeldinger på udkastet til den delegerede forordning online i fire uger (21.12.2016-18.1.2017), men der blev ikke modtaget nogen bidrag i denne periode.</w:t>
      </w:r>
    </w:p>
    <w:p>
      <w:pPr>
        <w:pStyle w:val="ManualHeading1"/>
        <w:rPr>
          <w:noProof/>
        </w:rPr>
      </w:pPr>
      <w:r>
        <w:rPr>
          <w:noProof/>
        </w:rPr>
        <w:t>3.</w:t>
      </w:r>
      <w:r>
        <w:rPr>
          <w:noProof/>
        </w:rPr>
        <w:tab/>
        <w:t>JURIDISKE ASPEKTER AF DEN DELEGEREDE RETSAKT</w:t>
      </w:r>
    </w:p>
    <w:p>
      <w:pPr>
        <w:rPr>
          <w:noProof/>
        </w:rPr>
      </w:pPr>
      <w:r>
        <w:rPr>
          <w:noProof/>
        </w:rPr>
        <w:t>Strukturen i den nye delegerede forordning og gennemførelsesforordning omfatter hovedelementerne i den gældende kommissionsforordning ((EF) nr. 792/2009) for så vidt angår systemkrav, brugeres adgangsrettigheder, systemets integritet og beskyttelsen af personoplysninger. Disse vil gælde for underretningsforpligtelserne i forordningerne om henholdsvis direkte betalinger og fusionsmarkedsordningen.</w:t>
      </w:r>
    </w:p>
    <w:p>
      <w:pPr>
        <w:rPr>
          <w:noProof/>
        </w:rPr>
      </w:pPr>
      <w:r>
        <w:rPr>
          <w:noProof/>
        </w:rPr>
        <w:t>Med de nye forordninger indføres der bestemmelser, der eksplicit kræver, at alle underretninger foretages via det informationssystem, som Kommissionen stiller til rådighed for medlemsstaterne. I den delegerede forordning fastsættes det, at hver enkelt medlemsstat skal udpege ét enkelt kontaktorgan, som skal varetage underretningerne til Kommissionen og anvendelsen af systemet. Endelig fastsættes arten og typen af oplysninger, der skal meddeles, jf. artikel 223, stk. 2, litra a), i forordningen om fusionsmarkedsordningen.</w:t>
      </w:r>
    </w:p>
    <w:p>
      <w:pPr>
        <w:rPr>
          <w:noProof/>
        </w:rPr>
      </w:pPr>
      <w:r>
        <w:rPr>
          <w:noProof/>
        </w:rPr>
        <w:t>Den delegerede retsakt ophæver desuden den gældende kommissionsforordning om underretninger, dvs. forordning (EF) nr. 792/2009.</w:t>
      </w:r>
    </w:p>
    <w:p>
      <w:pPr>
        <w:rPr>
          <w:noProof/>
        </w:rPr>
        <w:sectPr>
          <w:footerReference w:type="default" r:id="rId10"/>
          <w:footerReference w:type="first" r:id="rId11"/>
          <w:pgSz w:w="11907" w:h="16839"/>
          <w:pgMar w:top="1134" w:right="1417" w:bottom="1134" w:left="1417" w:header="709" w:footer="709" w:gutter="0"/>
          <w:cols w:space="708"/>
          <w:docGrid w:linePitch="360"/>
        </w:sectPr>
      </w:pPr>
    </w:p>
    <w:p>
      <w:pPr>
        <w:pStyle w:val="Typedudocument"/>
        <w:rPr>
          <w:noProof/>
        </w:rPr>
      </w:pPr>
      <w:r>
        <w:rPr>
          <w:noProof/>
        </w:rPr>
        <w:t>KOMMISSIONENS DELEGEREDE FORORDNING (EU) …/…</w:t>
      </w:r>
    </w:p>
    <w:p>
      <w:pPr>
        <w:pStyle w:val="Datedadoption"/>
        <w:rPr>
          <w:noProof/>
        </w:rPr>
      </w:pPr>
      <w:r>
        <w:t>af 20.4.2017</w:t>
      </w:r>
    </w:p>
    <w:p>
      <w:pPr>
        <w:pStyle w:val="Titreobjet"/>
        <w:rPr>
          <w:noProof/>
        </w:rPr>
      </w:pPr>
      <w:r>
        <w:rPr>
          <w:noProof/>
        </w:rPr>
        <w:t>om supplering af Europa-Parlamentets og Rådets forordning (EU) nr. 1307/2013 og (EU) nr. 1308/2013 for så vidt angår formidling til Kommissionen af oplysninger og dokumenter</w:t>
      </w:r>
    </w:p>
    <w:p>
      <w:pPr>
        <w:pStyle w:val="Institutionquiagit"/>
        <w:rPr>
          <w:noProof/>
        </w:rPr>
      </w:pPr>
      <w:r>
        <w:rPr>
          <w:noProof/>
        </w:rPr>
        <w:t>EUROPA-KOMMISSIONEN HAR —</w:t>
      </w:r>
    </w:p>
    <w:p>
      <w:pPr>
        <w:rPr>
          <w:noProof/>
        </w:rPr>
      </w:pPr>
      <w:r>
        <w:rPr>
          <w:noProof/>
        </w:rPr>
        <w:t>under henvisning til traktaten om Den Europæiske Unions funktionsmåde,</w:t>
      </w:r>
    </w:p>
    <w:p>
      <w:pPr>
        <w:rPr>
          <w:noProof/>
        </w:rPr>
      </w:pPr>
      <w:r>
        <w:rPr>
          <w:noProof/>
          <w:color w:val="000000"/>
        </w:rPr>
        <w:t>under henvisning til Europa-Parlamentets og Rådets forordning (EU) nr. 1307/2013 af 17. december 2013 om fastsættelse af regler for direkte betalinger til landbrugere under støtteordninger inden for rammerne af den fælles landsbrugspolitik og om ophævelse af Rådets forordning (EF) nr. 637/2008 og Rådets forordning (EF) nr. 73/2009</w:t>
      </w:r>
      <w:r>
        <w:rPr>
          <w:rStyle w:val="FootnoteReference"/>
          <w:noProof/>
          <w:color w:val="000000"/>
        </w:rPr>
        <w:footnoteReference w:id="1"/>
      </w:r>
      <w:r>
        <w:rPr>
          <w:noProof/>
          <w:color w:val="000000"/>
        </w:rPr>
        <w:t>, særlig artikel 67, stk. 2,</w:t>
      </w:r>
    </w:p>
    <w:p>
      <w:pPr>
        <w:rPr>
          <w:noProof/>
        </w:rPr>
      </w:pPr>
      <w:r>
        <w:rPr>
          <w:noProof/>
        </w:rPr>
        <w:t>under henvisning til Europa-Parlamentets og Rådets forordning (EU) nr. 1308/2013 af 17. december 2013 om en fælles markedsordning for landbrugsprodukter og om ophævelse af Rådets forordning (EØF) nr. 922/72, (EØF) nr. 234/79, (EF) nr. 1037/2001 og (EF) nr. 1234/2007</w:t>
      </w:r>
      <w:r>
        <w:rPr>
          <w:rStyle w:val="FootnoteReference"/>
          <w:noProof/>
        </w:rPr>
        <w:footnoteReference w:id="2"/>
      </w:r>
      <w:r>
        <w:rPr>
          <w:noProof/>
        </w:rPr>
        <w:t>, særlig artikel 223, stk. 2, og</w:t>
      </w:r>
    </w:p>
    <w:p>
      <w:pPr>
        <w:rPr>
          <w:noProof/>
        </w:rPr>
      </w:pPr>
      <w:r>
        <w:rPr>
          <w:noProof/>
        </w:rPr>
        <w:t>ud fra følgende betragtninger:</w:t>
      </w:r>
    </w:p>
    <w:p>
      <w:pPr>
        <w:pStyle w:val="ManualConsidrant"/>
        <w:rPr>
          <w:noProof/>
        </w:rPr>
      </w:pPr>
      <w:r>
        <w:t>(1)</w:t>
      </w:r>
      <w:r>
        <w:tab/>
      </w:r>
      <w:r>
        <w:rPr>
          <w:noProof/>
        </w:rPr>
        <w:t>Forordning (EU) nr. 1307/2013 og (EU) nr. 1308/2013 ophævede og erstattede henholdsvis Rådets forordning (EF) nr. 73/2009</w:t>
      </w:r>
      <w:r>
        <w:rPr>
          <w:rStyle w:val="FootnoteReference"/>
          <w:noProof/>
        </w:rPr>
        <w:footnoteReference w:id="3"/>
      </w:r>
      <w:r>
        <w:rPr>
          <w:noProof/>
        </w:rPr>
        <w:t xml:space="preserve"> og (EF) nr. 1234/2007</w:t>
      </w:r>
      <w:r>
        <w:rPr>
          <w:rStyle w:val="FootnoteReference"/>
          <w:noProof/>
        </w:rPr>
        <w:footnoteReference w:id="4"/>
      </w:r>
      <w:r>
        <w:rPr>
          <w:noProof/>
        </w:rPr>
        <w:t>. I forordning (EU) nr. 1307/2013 og (EU) nr. 1308/2013 og i de retsakter, der er vedtaget på grundlag af disse forordninger, fastlægges en lang række bestemmelser om medlemsstaternes forpligtelser for så vidt angår formidling til Kommissionen af oplysninger og dokumenter. Kommissionen bemyndiges også ved disse forordninger til at vedtage delegerede retsakter og gennemførelsesretsakter desangående. For at sikre at formidlingen af oplysninger og dokumenter til Kommissionen forløber gnidningsløst, bør der vedtages visse regler ved sådanne retsakter. Disse regler bør erstatte bestemmelserne i Kommissionens forordning (EF) nr. 792/2009</w:t>
      </w:r>
      <w:r>
        <w:rPr>
          <w:rStyle w:val="FootnoteReference"/>
          <w:noProof/>
        </w:rPr>
        <w:footnoteReference w:id="5"/>
      </w:r>
      <w:r>
        <w:rPr>
          <w:noProof/>
        </w:rPr>
        <w:t>, som derfor bør ophæves.</w:t>
      </w:r>
    </w:p>
    <w:p>
      <w:pPr>
        <w:pStyle w:val="ManualConsidrant"/>
        <w:rPr>
          <w:noProof/>
        </w:rPr>
      </w:pPr>
      <w:r>
        <w:t>(2)</w:t>
      </w:r>
      <w:r>
        <w:tab/>
      </w:r>
      <w:r>
        <w:rPr>
          <w:noProof/>
        </w:rPr>
        <w:t>Kommissionen har intensiveret sine bestræbelser på at udvikle edb-systemer til elektronisk forvaltning af dokumenter og procedurer i sine interne arbejdsgange og i sine forbindelser med de myndigheder i medlemsstaterne, der er ansvarlige for gennemførelsen af den fælles landbrugspolitik. Medlemsstaterne har også udviklet edb-systemer på nationalt plan for at sikre, at kravene til delt forvaltning af den fælles landbrugspolitik opfyldes.</w:t>
      </w:r>
    </w:p>
    <w:p>
      <w:pPr>
        <w:pStyle w:val="ManualConsidrant"/>
        <w:rPr>
          <w:noProof/>
        </w:rPr>
      </w:pPr>
      <w:r>
        <w:t>(3)</w:t>
      </w:r>
      <w:r>
        <w:tab/>
      </w:r>
      <w:r>
        <w:rPr>
          <w:noProof/>
        </w:rPr>
        <w:t>På denne baggrund bør der opstilles et regelsæt med fælles regler for de informationssystemer, der indføres til formidling af oplysninger og dokumenter til Kommissionen fra medlemsstaterne.</w:t>
      </w:r>
    </w:p>
    <w:p>
      <w:pPr>
        <w:pStyle w:val="ManualConsidrant"/>
        <w:rPr>
          <w:noProof/>
        </w:rPr>
      </w:pPr>
      <w:r>
        <w:t>(4)</w:t>
      </w:r>
      <w:r>
        <w:tab/>
      </w:r>
      <w:r>
        <w:rPr>
          <w:noProof/>
        </w:rPr>
        <w:t>Der bør også fastsættes bestemmelser om arten og typen af oplysninger, der skal meddeles i medfør af forordning (EU) nr. 1307/2013 og (EU) nr. 1308/2013.</w:t>
      </w:r>
    </w:p>
    <w:p>
      <w:pPr>
        <w:pStyle w:val="ManualConsidrant"/>
        <w:rPr>
          <w:noProof/>
        </w:rPr>
      </w:pPr>
      <w:r>
        <w:t>(5)</w:t>
      </w:r>
      <w:r>
        <w:tab/>
      </w:r>
      <w:r>
        <w:rPr>
          <w:noProof/>
        </w:rPr>
        <w:t>Hvis det som følge af udviklingen på markedet er nødvendigt at indhente yderligere markedsoplysninger, udover de i denne forordning og i den dertilhørende gennemførelsesforordning omhandlede, bør Kommissionen bemyndiges til at anmode om sådanne oplysninger i en begrænset periode.</w:t>
      </w:r>
    </w:p>
    <w:p>
      <w:pPr>
        <w:pStyle w:val="ManualConsidrant"/>
        <w:rPr>
          <w:noProof/>
        </w:rPr>
      </w:pPr>
      <w:r>
        <w:t>(6)</w:t>
      </w:r>
      <w:r>
        <w:tab/>
      </w:r>
      <w:r>
        <w:rPr>
          <w:noProof/>
        </w:rPr>
        <w:t>For at sikre at underretningssystemet fungerer korrekt, bør de, der er godkendt til at foretage underretninger, altid kunne identificeres i informationssystemet. Ansvaret for identifikationsprocessen bør påhvile ét enkelt kontaktorgan, som udpeges af hver medlemsstat. Endvidere bør betingelserne for tildeling af adgangsrettigheder til Kommissionens informationssystemer fastsættes —</w:t>
      </w:r>
    </w:p>
    <w:p>
      <w:pPr>
        <w:pStyle w:val="Formuledadoption"/>
        <w:rPr>
          <w:noProof/>
        </w:rPr>
      </w:pPr>
      <w:r>
        <w:rPr>
          <w:noProof/>
        </w:rPr>
        <w:t>VEDTAGET DENNE FORORDNING:</w:t>
      </w:r>
    </w:p>
    <w:p>
      <w:pPr>
        <w:pStyle w:val="Titrearticle"/>
        <w:rPr>
          <w:noProof/>
        </w:rPr>
      </w:pPr>
      <w:r>
        <w:rPr>
          <w:noProof/>
        </w:rPr>
        <w:t>Artikel 1</w:t>
      </w:r>
    </w:p>
    <w:p>
      <w:pPr>
        <w:jc w:val="center"/>
        <w:rPr>
          <w:b/>
          <w:i/>
          <w:noProof/>
        </w:rPr>
      </w:pPr>
      <w:r>
        <w:rPr>
          <w:b/>
          <w:i/>
          <w:noProof/>
        </w:rPr>
        <w:t>Anvendelsesområde</w:t>
      </w:r>
    </w:p>
    <w:p>
      <w:pPr>
        <w:pStyle w:val="ManualNumPar1"/>
        <w:rPr>
          <w:noProof/>
        </w:rPr>
      </w:pPr>
      <w:r>
        <w:t>1.</w:t>
      </w:r>
      <w:r>
        <w:tab/>
      </w:r>
      <w:r>
        <w:rPr>
          <w:noProof/>
        </w:rPr>
        <w:t>I denne forordning fastsættes regler, der supplerer forordning (EU) nr. 1307/2013 og (EU) nr. 1308/2013 for så vidt angår arten og typen af oplysninger, der skal meddeles, og adgangsrettighederne til de oplysninger eller informationssystemer, der stilles til rådighed med henblik på opfyldelse af den underretningspligt, der er fastsat i disse forordninger og i de retsakter, der er vedtaget på grundlag af disse forordninger.</w:t>
      </w:r>
    </w:p>
    <w:p>
      <w:pPr>
        <w:pStyle w:val="ManualNumPar1"/>
        <w:rPr>
          <w:noProof/>
        </w:rPr>
      </w:pPr>
      <w:r>
        <w:t>2.</w:t>
      </w:r>
      <w:r>
        <w:tab/>
      </w:r>
      <w:r>
        <w:rPr>
          <w:noProof/>
        </w:rPr>
        <w:t>Den underretningspligt, der fastsættes i denne forordning, gælder for de sektorer, der er anført i artikel 1, stk. 2, i forordning (EU) nr. 1308/2013.</w:t>
      </w:r>
    </w:p>
    <w:p>
      <w:pPr>
        <w:pStyle w:val="Titrearticle"/>
        <w:rPr>
          <w:noProof/>
        </w:rPr>
      </w:pPr>
      <w:r>
        <w:rPr>
          <w:noProof/>
        </w:rPr>
        <w:t>Artikel 2</w:t>
      </w:r>
    </w:p>
    <w:p>
      <w:pPr>
        <w:jc w:val="center"/>
        <w:rPr>
          <w:b/>
          <w:i/>
          <w:noProof/>
        </w:rPr>
      </w:pPr>
      <w:r>
        <w:rPr>
          <w:b/>
          <w:i/>
          <w:noProof/>
        </w:rPr>
        <w:t>Arten og typen af oplysninger, der skal meddeles</w:t>
      </w:r>
    </w:p>
    <w:p>
      <w:pPr>
        <w:pStyle w:val="ManualNumPar1"/>
        <w:rPr>
          <w:noProof/>
        </w:rPr>
      </w:pPr>
      <w:r>
        <w:t>1.</w:t>
      </w:r>
      <w:r>
        <w:tab/>
      </w:r>
      <w:r>
        <w:rPr>
          <w:noProof/>
        </w:rPr>
        <w:t xml:space="preserve">Underretningspligten omfatter alle oplysninger, der kræves med henblik på anvendelsen af artikel 67 i forordning (EU) nr. 1307/2013 og artikel 223 i forordning (EU) nr. 1308/2013, eller med henblik på anvendelsen af de retsakter, der er vedtaget på grundlag af disse forordninger, eller med henblik på overholdelsen af internationale aftaler indgået i overensstemmelse med TEUF. </w:t>
      </w:r>
    </w:p>
    <w:p>
      <w:pPr>
        <w:pStyle w:val="ManualNumPar1"/>
        <w:rPr>
          <w:noProof/>
        </w:rPr>
      </w:pPr>
      <w:r>
        <w:t>2.</w:t>
      </w:r>
      <w:r>
        <w:tab/>
      </w:r>
      <w:r>
        <w:rPr>
          <w:noProof/>
        </w:rPr>
        <w:t>Underretningspligten omfatter kvantitative data, der primært består af tal, og kvalitative data, der primært består af tekst og rapporter.</w:t>
      </w:r>
    </w:p>
    <w:p>
      <w:pPr>
        <w:pStyle w:val="Titrearticle"/>
        <w:rPr>
          <w:noProof/>
        </w:rPr>
      </w:pPr>
      <w:r>
        <w:rPr>
          <w:noProof/>
        </w:rPr>
        <w:t>Artikel 3</w:t>
      </w:r>
    </w:p>
    <w:p>
      <w:pPr>
        <w:jc w:val="center"/>
        <w:rPr>
          <w:b/>
          <w:noProof/>
        </w:rPr>
      </w:pPr>
      <w:r>
        <w:rPr>
          <w:b/>
          <w:noProof/>
        </w:rPr>
        <w:t>Yderligere oplysninger til brug for forvaltningen af landbrugsmarkederne</w:t>
      </w:r>
    </w:p>
    <w:p>
      <w:pPr>
        <w:pStyle w:val="ManualNumPar1"/>
        <w:rPr>
          <w:noProof/>
        </w:rPr>
      </w:pPr>
      <w:r>
        <w:t>1.</w:t>
      </w:r>
      <w:r>
        <w:tab/>
      </w:r>
      <w:r>
        <w:rPr>
          <w:noProof/>
        </w:rPr>
        <w:t>Hvis der som følge af udviklingen på markedet er et presserende behov for at indhente yderligere oplysninger, der er omfattet af anvendelsesområdet for kapitel II i Kommissionens gennemførelsesforordning (EU) 2017/xxx</w:t>
      </w:r>
      <w:r>
        <w:rPr>
          <w:rStyle w:val="FootnoteReference"/>
          <w:noProof/>
        </w:rPr>
        <w:footnoteReference w:id="6"/>
      </w:r>
      <w:r>
        <w:rPr>
          <w:noProof/>
        </w:rPr>
        <w:t xml:space="preserve">, kan Kommissionen anmode medlemsstaterne om at formidle sådanne oplysninger og stille de nødvendige formularer til rapportering heraf til rådighed. </w:t>
      </w:r>
    </w:p>
    <w:p>
      <w:pPr>
        <w:pStyle w:val="ManualNumPar1"/>
        <w:rPr>
          <w:noProof/>
        </w:rPr>
      </w:pPr>
      <w:r>
        <w:t>2.</w:t>
      </w:r>
      <w:r>
        <w:tab/>
      </w:r>
      <w:r>
        <w:rPr>
          <w:noProof/>
        </w:rPr>
        <w:t xml:space="preserve">En anmodning som omhandlet i stk. 1 gælder maksimalt i 12 måneder fra datoen for anmodningen. </w:t>
      </w:r>
    </w:p>
    <w:p>
      <w:pPr>
        <w:pStyle w:val="Titrearticle"/>
        <w:rPr>
          <w:noProof/>
        </w:rPr>
      </w:pPr>
      <w:r>
        <w:rPr>
          <w:noProof/>
        </w:rPr>
        <w:t>Artikel 4</w:t>
      </w:r>
    </w:p>
    <w:p>
      <w:pPr>
        <w:jc w:val="center"/>
        <w:rPr>
          <w:b/>
          <w:noProof/>
        </w:rPr>
      </w:pPr>
      <w:r>
        <w:rPr>
          <w:b/>
          <w:noProof/>
        </w:rPr>
        <w:t>Kontaktorganet og dets ansvarsområder</w:t>
      </w:r>
    </w:p>
    <w:p>
      <w:pPr>
        <w:pStyle w:val="ManualNumPar1"/>
        <w:rPr>
          <w:noProof/>
        </w:rPr>
      </w:pPr>
      <w:r>
        <w:t>1.</w:t>
      </w:r>
      <w:r>
        <w:tab/>
      </w:r>
      <w:r>
        <w:rPr>
          <w:noProof/>
        </w:rPr>
        <w:t>Medlemsstaterne udpeger hver især ét enkelt kontaktorgan og fremsender alle nødvendige kontaktoplysninger til Kommissionen.</w:t>
      </w:r>
    </w:p>
    <w:p>
      <w:pPr>
        <w:pStyle w:val="ManualNumPar1"/>
        <w:rPr>
          <w:noProof/>
        </w:rPr>
      </w:pPr>
      <w:r>
        <w:t>2.</w:t>
      </w:r>
      <w:r>
        <w:tab/>
      </w:r>
      <w:r>
        <w:rPr>
          <w:noProof/>
        </w:rPr>
        <w:t>Kontaktorganet varetager følgende opgaver i relation til informationssystemet:</w:t>
      </w:r>
    </w:p>
    <w:p>
      <w:pPr>
        <w:pStyle w:val="Point1letter"/>
        <w:numPr>
          <w:ilvl w:val="3"/>
          <w:numId w:val="1"/>
        </w:numPr>
        <w:rPr>
          <w:noProof/>
        </w:rPr>
      </w:pPr>
      <w:r>
        <w:rPr>
          <w:noProof/>
        </w:rPr>
        <w:t xml:space="preserve">tildeling af adgangsrettigheder til brugere </w:t>
      </w:r>
    </w:p>
    <w:p>
      <w:pPr>
        <w:pStyle w:val="Point1letter"/>
        <w:rPr>
          <w:noProof/>
        </w:rPr>
      </w:pPr>
      <w:r>
        <w:rPr>
          <w:noProof/>
        </w:rPr>
        <w:t>godkendelse af de adgangsberettigede brugeres identitet</w:t>
      </w:r>
    </w:p>
    <w:p>
      <w:pPr>
        <w:pStyle w:val="Point1letter"/>
        <w:rPr>
          <w:noProof/>
        </w:rPr>
      </w:pPr>
      <w:r>
        <w:rPr>
          <w:noProof/>
        </w:rPr>
        <w:t>formidling af oplysninger til Kommissionen om, hvilke brugere der har fået tildelt adgangsrettigheder.</w:t>
      </w:r>
    </w:p>
    <w:p>
      <w:pPr>
        <w:pStyle w:val="ManualNumPar1"/>
        <w:rPr>
          <w:noProof/>
        </w:rPr>
      </w:pPr>
      <w:r>
        <w:t>3.</w:t>
      </w:r>
      <w:r>
        <w:tab/>
      </w:r>
      <w:r>
        <w:rPr>
          <w:noProof/>
        </w:rPr>
        <w:t xml:space="preserve">Kommissionen aktiverer adgangsrettighederne på baggrund af de underretninger, den modtager fra kontaktorganet, jf. stk. 2, litra c). </w:t>
      </w:r>
    </w:p>
    <w:p>
      <w:pPr>
        <w:pStyle w:val="Titrearticle"/>
        <w:rPr>
          <w:noProof/>
        </w:rPr>
      </w:pPr>
      <w:r>
        <w:rPr>
          <w:noProof/>
        </w:rPr>
        <w:t>Artikel 5</w:t>
      </w:r>
    </w:p>
    <w:p>
      <w:pPr>
        <w:jc w:val="center"/>
        <w:rPr>
          <w:noProof/>
        </w:rPr>
      </w:pPr>
      <w:r>
        <w:rPr>
          <w:b/>
          <w:noProof/>
        </w:rPr>
        <w:t>Ophævelse</w:t>
      </w:r>
    </w:p>
    <w:p>
      <w:pPr>
        <w:rPr>
          <w:noProof/>
        </w:rPr>
      </w:pPr>
      <w:r>
        <w:rPr>
          <w:noProof/>
        </w:rPr>
        <w:t xml:space="preserve">Forordning (EF) nr. 792/2009 ophæves. </w:t>
      </w:r>
    </w:p>
    <w:p>
      <w:pPr>
        <w:rPr>
          <w:noProof/>
        </w:rPr>
      </w:pPr>
      <w:r>
        <w:rPr>
          <w:noProof/>
        </w:rPr>
        <w:t>Henvisninger til forordning (EF) nr. 792/2009 læses som henvisninger til nærværende delegerede forordning og til gennemførelsesforordning (EU) nr. 2017/xxx.</w:t>
      </w:r>
    </w:p>
    <w:p>
      <w:pPr>
        <w:pStyle w:val="Titrearticle"/>
        <w:rPr>
          <w:noProof/>
        </w:rPr>
      </w:pPr>
      <w:r>
        <w:rPr>
          <w:noProof/>
        </w:rPr>
        <w:t>Artikel 6</w:t>
      </w:r>
    </w:p>
    <w:p>
      <w:pPr>
        <w:jc w:val="center"/>
        <w:rPr>
          <w:b/>
          <w:noProof/>
        </w:rPr>
      </w:pPr>
      <w:r>
        <w:rPr>
          <w:b/>
          <w:noProof/>
        </w:rPr>
        <w:t>Ikrafttræden</w:t>
      </w:r>
    </w:p>
    <w:p>
      <w:pPr>
        <w:rPr>
          <w:noProof/>
        </w:rPr>
      </w:pPr>
      <w:r>
        <w:rPr>
          <w:noProof/>
        </w:rPr>
        <w:t xml:space="preserve">Denne forordning træder i kraft på syvendedagen efter offentliggørelsen i </w:t>
      </w:r>
      <w:r>
        <w:rPr>
          <w:i/>
          <w:noProof/>
        </w:rPr>
        <w:t>Den Europæiske Unions Tidende</w:t>
      </w:r>
      <w:r>
        <w:rPr>
          <w:noProof/>
        </w:rPr>
        <w:t>.</w:t>
      </w:r>
    </w:p>
    <w:p>
      <w:pPr>
        <w:pStyle w:val="Applicationdirecte"/>
        <w:keepNext/>
        <w:keepLines/>
        <w:rPr>
          <w:noProof/>
        </w:rPr>
      </w:pPr>
      <w:r>
        <w:rPr>
          <w:noProof/>
        </w:rPr>
        <w:t>Denne forordning er bindende i alle enkeltheder og gælder umiddelbart i hver medlemsstat.</w:t>
      </w:r>
    </w:p>
    <w:p>
      <w:pPr>
        <w:pStyle w:val="Fait"/>
        <w:rPr>
          <w:noProof/>
        </w:rPr>
      </w:pPr>
      <w:r>
        <w:rPr>
          <w:noProof/>
        </w:rPr>
        <w:t>Udfærdiget i Bruxelles, den 20.4.2017.</w:t>
      </w:r>
    </w:p>
    <w:p>
      <w:pPr>
        <w:pStyle w:val="Institutionquisigne"/>
        <w:rPr>
          <w:noProof/>
        </w:rPr>
      </w:pPr>
      <w:r>
        <w:rPr>
          <w:noProof/>
        </w:rPr>
        <w:tab/>
        <w:t>På Kommissionens vegne</w:t>
      </w:r>
    </w:p>
    <w:p>
      <w:pPr>
        <w:pStyle w:val="Personnequisigne"/>
        <w:rPr>
          <w:noProof/>
        </w:rPr>
      </w:pPr>
      <w:r>
        <w:tab/>
        <w:t>Formand</w:t>
      </w:r>
      <w:r>
        <w:br/>
      </w:r>
      <w:r>
        <w:tab/>
        <w:t>Jean-Claude JUNCKER</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DA</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sz w:val="18"/>
        </w:rPr>
      </w:pPr>
      <w:r>
        <w:rPr>
          <w:rStyle w:val="FootnoteReference"/>
        </w:rPr>
        <w:footnoteRef/>
      </w:r>
      <w:r>
        <w:tab/>
      </w:r>
      <w:r>
        <w:rPr>
          <w:color w:val="000000"/>
          <w:sz w:val="18"/>
        </w:rPr>
        <w:t>EUT L 347 af 20.12.2013, s. 608.</w:t>
      </w:r>
    </w:p>
  </w:footnote>
  <w:footnote w:id="2">
    <w:p>
      <w:pPr>
        <w:pStyle w:val="FootnoteText"/>
      </w:pPr>
      <w:r>
        <w:rPr>
          <w:rStyle w:val="FootnoteReference"/>
        </w:rPr>
        <w:footnoteRef/>
      </w:r>
      <w:r>
        <w:tab/>
        <w:t xml:space="preserve">EUT L 347 af 20.12.2013, s. 671. </w:t>
      </w:r>
    </w:p>
  </w:footnote>
  <w:footnote w:id="3">
    <w:p>
      <w:pPr>
        <w:pStyle w:val="FootnoteText"/>
      </w:pPr>
      <w:r>
        <w:rPr>
          <w:rStyle w:val="FootnoteReference"/>
        </w:rPr>
        <w:footnoteRef/>
      </w:r>
      <w:r>
        <w:tab/>
        <w:t>Rådets forordning (EF) nr. 73/2009 af 19. januar 2009 om fælles regler for den fælles landbrugspolitiks ordninger for direkte støtte til landbrugere og om fastlæggelse af visse støtteordninger for landbrugere, om ændring af forordning (EF) nr. 1290/2005, (EF) nr. 247/2006, (EF) nr. 378/2007 og om ophævelse af forordning (EF) nr. 1782/2003 (EUT L 30 af 31.1.2009, s. 16).</w:t>
      </w:r>
    </w:p>
  </w:footnote>
  <w:footnote w:id="4">
    <w:p>
      <w:pPr>
        <w:pStyle w:val="FootnoteText"/>
      </w:pPr>
      <w:r>
        <w:rPr>
          <w:rStyle w:val="FootnoteReference"/>
        </w:rPr>
        <w:footnoteRef/>
      </w:r>
      <w:r>
        <w:tab/>
        <w:t>Rådets forordning (EF) nr. 1234/2007 af 22. oktober 2007 om en fælles markedsordning for landbrugsprodukter og om særlige bestemmelser for visse landbrugsprodukter (fusionsmarkedsordningen) (EUT L 299 af 16.11.2007, s. 1).</w:t>
      </w:r>
    </w:p>
  </w:footnote>
  <w:footnote w:id="5">
    <w:p>
      <w:pPr>
        <w:pStyle w:val="FootnoteText"/>
      </w:pPr>
      <w:r>
        <w:rPr>
          <w:rStyle w:val="FootnoteReference"/>
        </w:rPr>
        <w:footnoteRef/>
      </w:r>
      <w:r>
        <w:tab/>
        <w:t>Kommissionens forordning (EF) nr. 792/2009 af 31. august 2009 om gennemførelsesbestemmelser for medlemsstaternes formidling til Kommissionen af oplysninger og dokumenter som led i gennemførelsen af de fælles markedsordninger, ordningen med direkte betalinger, fremme af landbrugsprodukter og ordningerne for fjernområderne og øerne i Det Ægæiske Hav (EUT L 228 af 1.9.2009, s. 3).</w:t>
      </w:r>
    </w:p>
  </w:footnote>
  <w:footnote w:id="6">
    <w:p>
      <w:pPr>
        <w:pStyle w:val="FootnoteText"/>
      </w:pPr>
      <w:r>
        <w:rPr>
          <w:rStyle w:val="FootnoteReference"/>
        </w:rPr>
        <w:footnoteRef/>
      </w:r>
      <w:r>
        <w:tab/>
        <w:t>Kommissionens gennemførelsesforordning (EU) …./…. af … om fastsættelse af regler for anvendelsen af Europa-Parlamentets og Rådets forordning (EU) nr. 1307/2013 og (EU) nr. 1308/2013 for så vidt angår formidling til Kommissionen af oplysninger og dokumenter og om ændring og ophævelse af adskillige af Kommissionens forordninger (EUT L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F62060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1D09502"/>
    <w:lvl w:ilvl="0">
      <w:start w:val="1"/>
      <w:numFmt w:val="decimal"/>
      <w:pStyle w:val="ListNumber3"/>
      <w:lvlText w:val="%1."/>
      <w:lvlJc w:val="left"/>
      <w:pPr>
        <w:tabs>
          <w:tab w:val="num" w:pos="926"/>
        </w:tabs>
        <w:ind w:left="926" w:hanging="360"/>
      </w:pPr>
    </w:lvl>
  </w:abstractNum>
  <w:abstractNum w:abstractNumId="2">
    <w:nsid w:val="FFFFFF7F"/>
    <w:multiLevelType w:val="singleLevel"/>
    <w:tmpl w:val="2DA6ABC0"/>
    <w:lvl w:ilvl="0">
      <w:start w:val="1"/>
      <w:numFmt w:val="decimal"/>
      <w:pStyle w:val="ListNumber2"/>
      <w:lvlText w:val="%1."/>
      <w:lvlJc w:val="left"/>
      <w:pPr>
        <w:tabs>
          <w:tab w:val="num" w:pos="643"/>
        </w:tabs>
        <w:ind w:left="643" w:hanging="360"/>
      </w:pPr>
    </w:lvl>
  </w:abstractNum>
  <w:abstractNum w:abstractNumId="3">
    <w:nsid w:val="FFFFFF81"/>
    <w:multiLevelType w:val="singleLevel"/>
    <w:tmpl w:val="AFE44BA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D920B0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248959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A82D6CE"/>
    <w:lvl w:ilvl="0">
      <w:start w:val="1"/>
      <w:numFmt w:val="decimal"/>
      <w:pStyle w:val="ListNumber"/>
      <w:lvlText w:val="%1."/>
      <w:lvlJc w:val="left"/>
      <w:pPr>
        <w:tabs>
          <w:tab w:val="num" w:pos="360"/>
        </w:tabs>
        <w:ind w:left="360" w:hanging="360"/>
      </w:pPr>
    </w:lvl>
  </w:abstractNum>
  <w:abstractNum w:abstractNumId="7">
    <w:nsid w:val="FFFFFF89"/>
    <w:multiLevelType w:val="singleLevel"/>
    <w:tmpl w:val="1FB851E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2"/>
  </w:num>
  <w:num w:numId="17">
    <w:abstractNumId w:val="20"/>
  </w:num>
  <w:num w:numId="18">
    <w:abstractNumId w:val="11"/>
  </w:num>
  <w:num w:numId="19">
    <w:abstractNumId w:val="13"/>
  </w:num>
  <w:num w:numId="20">
    <w:abstractNumId w:val="9"/>
  </w:num>
  <w:num w:numId="21">
    <w:abstractNumId w:val="19"/>
  </w:num>
  <w:num w:numId="22">
    <w:abstractNumId w:val="8"/>
  </w:num>
  <w:num w:numId="23">
    <w:abstractNumId w:val="14"/>
  </w:num>
  <w:num w:numId="24">
    <w:abstractNumId w:val="16"/>
  </w:num>
  <w:num w:numId="25">
    <w:abstractNumId w:val="17"/>
  </w:num>
  <w:num w:numId="26">
    <w:abstractNumId w:val="10"/>
  </w:num>
  <w:num w:numId="27">
    <w:abstractNumId w:val="15"/>
  </w:num>
  <w:num w:numId="28">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4-11 13:29:27"/>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VERPAGE_GUID" w:val="EF5A769E0AC24EF09A3A3D6AB90CC8AF"/>
    <w:docVar w:name="LW_CROSSREFERENCE" w:val="&lt;UNUSED&gt;"/>
    <w:docVar w:name="LW_DATE.ADOPT.CP" w:val="af 20.4.2017"/>
    <w:docVar w:name="LW_DATE.ADOPT.CP_DATEFORMAT" w:val="af %DATE%"/>
    <w:docVar w:name="LW_DATE.ADOPT.CP_ISODATE" w:val="2017-04-20"/>
    <w:docVar w:name="LW_DocType" w:val="COM"/>
    <w:docVar w:name="LW_EMISSION" w:val="20.4.2017"/>
    <w:docVar w:name="LW_EMISSION_ISODATE" w:val="2017-04-20"/>
    <w:docVar w:name="LW_EMISSION_LOCATION" w:val="BRX"/>
    <w:docVar w:name="LW_EMISSION_PREFIX" w:val="Bruxelles, den "/>
    <w:docVar w:name="LW_EMISSION_SUFFIX" w:val=" "/>
    <w:docVar w:name="LW_ID_DOCMODEL" w:val="SJ-003"/>
    <w:docVar w:name="LW_ID_DOCSIGNATURE" w:val="SJ-003"/>
    <w:docVar w:name="LW_ID_DOCSTRUCTURE" w:val="COM/AA"/>
    <w:docVar w:name="LW_ID_DOCTYPE" w:val="SJ-003"/>
    <w:docVar w:name="LW_INTERETEEE.CP" w:val="&lt;UNUSED&gt;"/>
    <w:docVar w:name="LW_LANGUE" w:val="DA"/>
    <w:docVar w:name="LW_LANGUESFAISANTFOI.CP" w:val="&lt;UNUSED&gt;"/>
    <w:docVar w:name="LW_MARKING" w:val="&lt;UNUSED&gt;"/>
    <w:docVar w:name="LW_NOM.INST" w:val="EUROPA-KOMMISSIONEN"/>
    <w:docVar w:name="LW_NOM.INST_JOINTDOC" w:val="&lt;EMPTY&gt;"/>
    <w:docVar w:name="LW_PART_NBR" w:val="1"/>
    <w:docVar w:name="LW_PART_NBR_TOTAL" w:val="1"/>
    <w:docVar w:name="LW_REF.INST.NEW" w:val="C"/>
    <w:docVar w:name="LW_REF.INST.NEW_ADOPTED" w:val="final"/>
    <w:docVar w:name="LW_REF.INST.NEW_TEXT" w:val="(2017) 2417"/>
    <w:docVar w:name="LW_REF.INTERNE" w:val="&lt;UNUSED&gt;"/>
    <w:docVar w:name="LW_SOUS.TITRE.OBJ.CP" w:val="&lt;UNUSED&gt;"/>
    <w:docVar w:name="LW_SUPERTITRE" w:val="&lt;UNUSED&gt;"/>
    <w:docVar w:name="LW_TITRE.OBJ.CP" w:val="om supplering af Europa-Parlamentets og Rådets forordning (EU) nr. 1307/2013 og (EU) nr. 1308/2013 for så vidt angår formidling til Kommissionen af oplysninger og dokumenter"/>
    <w:docVar w:name="LW_TYPE.DOC.CP" w:val="KOMMISSIONENS DELEGEREDE FORORDNING (EU) \u8230?/\u823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a-DK"/>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a-DK"/>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0"/>
      </w:numPr>
    </w:pPr>
  </w:style>
  <w:style w:type="paragraph" w:customStyle="1" w:styleId="NumPar2">
    <w:name w:val="NumPar 2"/>
    <w:basedOn w:val="Normal"/>
    <w:next w:val="Text1"/>
    <w:pPr>
      <w:numPr>
        <w:ilvl w:val="1"/>
        <w:numId w:val="20"/>
      </w:numPr>
    </w:pPr>
  </w:style>
  <w:style w:type="paragraph" w:customStyle="1" w:styleId="NumPar3">
    <w:name w:val="NumPar 3"/>
    <w:basedOn w:val="Normal"/>
    <w:next w:val="Text1"/>
    <w:pPr>
      <w:numPr>
        <w:ilvl w:val="2"/>
        <w:numId w:val="20"/>
      </w:numPr>
    </w:pPr>
  </w:style>
  <w:style w:type="paragraph" w:customStyle="1" w:styleId="NumPar4">
    <w:name w:val="NumPar 4"/>
    <w:basedOn w:val="Normal"/>
    <w:next w:val="Text1"/>
    <w:pPr>
      <w:numPr>
        <w:ilvl w:val="3"/>
        <w:numId w:val="2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2"/>
      </w:numPr>
    </w:pPr>
  </w:style>
  <w:style w:type="paragraph" w:customStyle="1" w:styleId="Point1number">
    <w:name w:val="Point 1 (number)"/>
    <w:basedOn w:val="Normal"/>
    <w:pPr>
      <w:numPr>
        <w:ilvl w:val="2"/>
        <w:numId w:val="22"/>
      </w:numPr>
    </w:pPr>
  </w:style>
  <w:style w:type="paragraph" w:customStyle="1" w:styleId="Point2number">
    <w:name w:val="Point 2 (number)"/>
    <w:basedOn w:val="Normal"/>
    <w:pPr>
      <w:numPr>
        <w:ilvl w:val="4"/>
        <w:numId w:val="22"/>
      </w:numPr>
    </w:pPr>
  </w:style>
  <w:style w:type="paragraph" w:customStyle="1" w:styleId="Point3number">
    <w:name w:val="Point 3 (number)"/>
    <w:basedOn w:val="Normal"/>
    <w:pPr>
      <w:numPr>
        <w:ilvl w:val="6"/>
        <w:numId w:val="22"/>
      </w:numPr>
    </w:pPr>
  </w:style>
  <w:style w:type="paragraph" w:customStyle="1" w:styleId="Point0letter">
    <w:name w:val="Point 0 (letter)"/>
    <w:basedOn w:val="Normal"/>
    <w:pPr>
      <w:numPr>
        <w:ilvl w:val="1"/>
        <w:numId w:val="22"/>
      </w:numPr>
    </w:pPr>
  </w:style>
  <w:style w:type="paragraph" w:customStyle="1" w:styleId="Point1letter">
    <w:name w:val="Point 1 (letter)"/>
    <w:basedOn w:val="Normal"/>
    <w:pPr>
      <w:numPr>
        <w:ilvl w:val="3"/>
        <w:numId w:val="22"/>
      </w:numPr>
    </w:pPr>
  </w:style>
  <w:style w:type="paragraph" w:customStyle="1" w:styleId="Point2letter">
    <w:name w:val="Point 2 (letter)"/>
    <w:basedOn w:val="Normal"/>
    <w:pPr>
      <w:numPr>
        <w:ilvl w:val="5"/>
        <w:numId w:val="22"/>
      </w:numPr>
    </w:pPr>
  </w:style>
  <w:style w:type="paragraph" w:customStyle="1" w:styleId="Point3letter">
    <w:name w:val="Point 3 (letter)"/>
    <w:basedOn w:val="Normal"/>
    <w:pPr>
      <w:numPr>
        <w:ilvl w:val="7"/>
        <w:numId w:val="22"/>
      </w:numPr>
    </w:pPr>
  </w:style>
  <w:style w:type="paragraph" w:customStyle="1" w:styleId="Point4letter">
    <w:name w:val="Point 4 (letter)"/>
    <w:basedOn w:val="Normal"/>
    <w:pPr>
      <w:numPr>
        <w:ilvl w:val="8"/>
        <w:numId w:val="22"/>
      </w:numPr>
    </w:pPr>
  </w:style>
  <w:style w:type="paragraph" w:customStyle="1" w:styleId="Bullet0">
    <w:name w:val="Bullet 0"/>
    <w:basedOn w:val="Normal"/>
    <w:pPr>
      <w:numPr>
        <w:numId w:val="23"/>
      </w:numPr>
    </w:pPr>
  </w:style>
  <w:style w:type="paragraph" w:customStyle="1" w:styleId="Bullet1">
    <w:name w:val="Bullet 1"/>
    <w:basedOn w:val="Normal"/>
    <w:pPr>
      <w:numPr>
        <w:numId w:val="24"/>
      </w:numPr>
    </w:pPr>
  </w:style>
  <w:style w:type="paragraph" w:customStyle="1" w:styleId="Bullet2">
    <w:name w:val="Bullet 2"/>
    <w:basedOn w:val="Normal"/>
    <w:pPr>
      <w:numPr>
        <w:numId w:val="25"/>
      </w:numPr>
    </w:pPr>
  </w:style>
  <w:style w:type="paragraph" w:customStyle="1" w:styleId="Bullet3">
    <w:name w:val="Bullet 3"/>
    <w:basedOn w:val="Normal"/>
    <w:pPr>
      <w:numPr>
        <w:numId w:val="26"/>
      </w:numPr>
    </w:pPr>
  </w:style>
  <w:style w:type="paragraph" w:customStyle="1" w:styleId="Bullet4">
    <w:name w:val="Bullet 4"/>
    <w:basedOn w:val="Normal"/>
    <w:pPr>
      <w:numPr>
        <w:numId w:val="2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a-DK"/>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a-DK"/>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0"/>
      </w:numPr>
    </w:pPr>
  </w:style>
  <w:style w:type="paragraph" w:customStyle="1" w:styleId="NumPar2">
    <w:name w:val="NumPar 2"/>
    <w:basedOn w:val="Normal"/>
    <w:next w:val="Text1"/>
    <w:pPr>
      <w:numPr>
        <w:ilvl w:val="1"/>
        <w:numId w:val="20"/>
      </w:numPr>
    </w:pPr>
  </w:style>
  <w:style w:type="paragraph" w:customStyle="1" w:styleId="NumPar3">
    <w:name w:val="NumPar 3"/>
    <w:basedOn w:val="Normal"/>
    <w:next w:val="Text1"/>
    <w:pPr>
      <w:numPr>
        <w:ilvl w:val="2"/>
        <w:numId w:val="20"/>
      </w:numPr>
    </w:pPr>
  </w:style>
  <w:style w:type="paragraph" w:customStyle="1" w:styleId="NumPar4">
    <w:name w:val="NumPar 4"/>
    <w:basedOn w:val="Normal"/>
    <w:next w:val="Text1"/>
    <w:pPr>
      <w:numPr>
        <w:ilvl w:val="3"/>
        <w:numId w:val="2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2"/>
      </w:numPr>
    </w:pPr>
  </w:style>
  <w:style w:type="paragraph" w:customStyle="1" w:styleId="Point1number">
    <w:name w:val="Point 1 (number)"/>
    <w:basedOn w:val="Normal"/>
    <w:pPr>
      <w:numPr>
        <w:ilvl w:val="2"/>
        <w:numId w:val="22"/>
      </w:numPr>
    </w:pPr>
  </w:style>
  <w:style w:type="paragraph" w:customStyle="1" w:styleId="Point2number">
    <w:name w:val="Point 2 (number)"/>
    <w:basedOn w:val="Normal"/>
    <w:pPr>
      <w:numPr>
        <w:ilvl w:val="4"/>
        <w:numId w:val="22"/>
      </w:numPr>
    </w:pPr>
  </w:style>
  <w:style w:type="paragraph" w:customStyle="1" w:styleId="Point3number">
    <w:name w:val="Point 3 (number)"/>
    <w:basedOn w:val="Normal"/>
    <w:pPr>
      <w:numPr>
        <w:ilvl w:val="6"/>
        <w:numId w:val="22"/>
      </w:numPr>
    </w:pPr>
  </w:style>
  <w:style w:type="paragraph" w:customStyle="1" w:styleId="Point0letter">
    <w:name w:val="Point 0 (letter)"/>
    <w:basedOn w:val="Normal"/>
    <w:pPr>
      <w:numPr>
        <w:ilvl w:val="1"/>
        <w:numId w:val="22"/>
      </w:numPr>
    </w:pPr>
  </w:style>
  <w:style w:type="paragraph" w:customStyle="1" w:styleId="Point1letter">
    <w:name w:val="Point 1 (letter)"/>
    <w:basedOn w:val="Normal"/>
    <w:pPr>
      <w:numPr>
        <w:ilvl w:val="3"/>
        <w:numId w:val="22"/>
      </w:numPr>
    </w:pPr>
  </w:style>
  <w:style w:type="paragraph" w:customStyle="1" w:styleId="Point2letter">
    <w:name w:val="Point 2 (letter)"/>
    <w:basedOn w:val="Normal"/>
    <w:pPr>
      <w:numPr>
        <w:ilvl w:val="5"/>
        <w:numId w:val="22"/>
      </w:numPr>
    </w:pPr>
  </w:style>
  <w:style w:type="paragraph" w:customStyle="1" w:styleId="Point3letter">
    <w:name w:val="Point 3 (letter)"/>
    <w:basedOn w:val="Normal"/>
    <w:pPr>
      <w:numPr>
        <w:ilvl w:val="7"/>
        <w:numId w:val="22"/>
      </w:numPr>
    </w:pPr>
  </w:style>
  <w:style w:type="paragraph" w:customStyle="1" w:styleId="Point4letter">
    <w:name w:val="Point 4 (letter)"/>
    <w:basedOn w:val="Normal"/>
    <w:pPr>
      <w:numPr>
        <w:ilvl w:val="8"/>
        <w:numId w:val="22"/>
      </w:numPr>
    </w:pPr>
  </w:style>
  <w:style w:type="paragraph" w:customStyle="1" w:styleId="Bullet0">
    <w:name w:val="Bullet 0"/>
    <w:basedOn w:val="Normal"/>
    <w:pPr>
      <w:numPr>
        <w:numId w:val="23"/>
      </w:numPr>
    </w:pPr>
  </w:style>
  <w:style w:type="paragraph" w:customStyle="1" w:styleId="Bullet1">
    <w:name w:val="Bullet 1"/>
    <w:basedOn w:val="Normal"/>
    <w:pPr>
      <w:numPr>
        <w:numId w:val="24"/>
      </w:numPr>
    </w:pPr>
  </w:style>
  <w:style w:type="paragraph" w:customStyle="1" w:styleId="Bullet2">
    <w:name w:val="Bullet 2"/>
    <w:basedOn w:val="Normal"/>
    <w:pPr>
      <w:numPr>
        <w:numId w:val="25"/>
      </w:numPr>
    </w:pPr>
  </w:style>
  <w:style w:type="paragraph" w:customStyle="1" w:styleId="Bullet3">
    <w:name w:val="Bullet 3"/>
    <w:basedOn w:val="Normal"/>
    <w:pPr>
      <w:numPr>
        <w:numId w:val="26"/>
      </w:numPr>
    </w:pPr>
  </w:style>
  <w:style w:type="paragraph" w:customStyle="1" w:styleId="Bullet4">
    <w:name w:val="Bullet 4"/>
    <w:basedOn w:val="Normal"/>
    <w:pPr>
      <w:numPr>
        <w:numId w:val="2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TotalTime>
  <Pages>7</Pages>
  <Words>1310</Words>
  <Characters>8390</Characters>
  <Application>Microsoft Office Word</Application>
  <DocSecurity>0</DocSecurity>
  <Lines>152</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2017-01-24T07:55:00Z</cp:lastPrinted>
  <dcterms:created xsi:type="dcterms:W3CDTF">2017-03-31T07:23:00Z</dcterms:created>
  <dcterms:modified xsi:type="dcterms:W3CDTF">2017-04-11T11:29:00Z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20141001</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SJ-003</vt:lpwstr>
  </property>
  <property fmtid="{D5CDD505-2E9C-101B-9397-08002B2CF9AE}" pid="10" name="DQCStatus">
    <vt:lpwstr>Green (DQC version 03)</vt:lpwstr>
  </property>
  <property name="OP_sanitized" fmtid="{D5CDD505-2E9C-101B-9397-08002B2CF9AE}" pid="11">
    <vt:lpwstr>True</vt:lpwstr>
  </property>
</Properties>
</file>