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2B63E" w14:textId="1E794C8A" w:rsidR="00722B49" w:rsidRPr="00452D57" w:rsidRDefault="005461E9" w:rsidP="005461E9">
      <w:pPr>
        <w:pStyle w:val="Pagedecouverture"/>
        <w:rPr>
          <w:noProof/>
        </w:rPr>
      </w:pPr>
      <w:bookmarkStart w:id="0" w:name="LW_BM_COVERPAGE"/>
      <w:r>
        <w:rPr>
          <w:noProof/>
        </w:rPr>
        <w:pict w14:anchorId="3BD7AE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E7FDAC3-378F-45C0-89C6-A4EC4EF77BC6" style="width:455.25pt;height:286.5pt">
            <v:imagedata r:id="rId11" o:title=""/>
          </v:shape>
        </w:pict>
      </w:r>
    </w:p>
    <w:bookmarkEnd w:id="0"/>
    <w:p w14:paraId="3702FAB4" w14:textId="77777777" w:rsidR="00DB0FE0" w:rsidRPr="00452D57" w:rsidRDefault="00DB0FE0" w:rsidP="00DB0FE0">
      <w:pPr>
        <w:rPr>
          <w:noProof/>
        </w:rPr>
        <w:sectPr w:rsidR="00DB0FE0" w:rsidRPr="00452D57" w:rsidSect="005461E9">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31C6C854" w14:textId="77777777" w:rsidR="00F73667" w:rsidRPr="00452D57" w:rsidRDefault="00F73667" w:rsidP="00F73667">
      <w:pPr>
        <w:pStyle w:val="ListParagraph"/>
        <w:numPr>
          <w:ilvl w:val="0"/>
          <w:numId w:val="1"/>
        </w:numPr>
        <w:jc w:val="both"/>
        <w:rPr>
          <w:noProof/>
        </w:rPr>
      </w:pPr>
      <w:bookmarkStart w:id="1" w:name="_GoBack"/>
      <w:bookmarkEnd w:id="1"/>
      <w:r w:rsidRPr="00452D57">
        <w:rPr>
          <w:noProof/>
        </w:rPr>
        <w:lastRenderedPageBreak/>
        <w:t xml:space="preserve">Resumé </w:t>
      </w:r>
    </w:p>
    <w:p w14:paraId="3200003B" w14:textId="77777777" w:rsidR="00F73667" w:rsidRPr="00452D57" w:rsidRDefault="00F73667" w:rsidP="00F73667">
      <w:pPr>
        <w:jc w:val="both"/>
        <w:rPr>
          <w:iCs/>
          <w:noProof/>
        </w:rPr>
      </w:pPr>
    </w:p>
    <w:p w14:paraId="45159660" w14:textId="77777777" w:rsidR="00F73667" w:rsidRPr="00452D57" w:rsidRDefault="00F73667" w:rsidP="00F73667">
      <w:pPr>
        <w:jc w:val="both"/>
        <w:rPr>
          <w:iCs/>
          <w:noProof/>
        </w:rPr>
      </w:pPr>
      <w:r w:rsidRPr="00452D57">
        <w:rPr>
          <w:noProof/>
        </w:rPr>
        <w:t xml:space="preserve">Dialogen om visumliberalisering mellem EU og Armenien blev indledt i september 2024. Kommissionen udarbejdede derefter med bistand fra eksperter fra medlemsstaterne en handlingsplan for visumliberalisering under to sonderingsbesøg i Armenien i februar og april 2025. Kommissionen overrakte derefter handlingsplanen til de armenske myndigheder i november 2025. </w:t>
      </w:r>
    </w:p>
    <w:p w14:paraId="6836AA87" w14:textId="77777777" w:rsidR="00F73667" w:rsidRPr="00452D57" w:rsidRDefault="00F73667" w:rsidP="00F73667">
      <w:pPr>
        <w:jc w:val="both"/>
        <w:rPr>
          <w:iCs/>
          <w:noProof/>
        </w:rPr>
      </w:pPr>
    </w:p>
    <w:p w14:paraId="1438EC17" w14:textId="61124A47" w:rsidR="00F73667" w:rsidRPr="00452D57" w:rsidRDefault="00F73667" w:rsidP="00F73667">
      <w:pPr>
        <w:jc w:val="both"/>
        <w:rPr>
          <w:noProof/>
        </w:rPr>
      </w:pPr>
      <w:r w:rsidRPr="00452D57">
        <w:rPr>
          <w:noProof/>
        </w:rPr>
        <w:t xml:space="preserve">Denne handlingsplan indebærer detaljerede reformer på områderne i) rejsedokumenters sikkerhed, ii) grænseforvaltning, migrationsstyring og asyl, iii) spørgsmål om offentlig orden og sikkerhed samt iv) spørgsmål om grundlæggende rettigheder i forbindelse med den frie bevægelighed. Dialogen om visumliberalisering fortsætter, så længe det er nødvendigt for at opfylde alle de fastsatte benchmarks. </w:t>
      </w:r>
    </w:p>
    <w:p w14:paraId="66C5E92C" w14:textId="77777777" w:rsidR="00F73667" w:rsidRPr="00452D57" w:rsidRDefault="00F73667" w:rsidP="00F73667">
      <w:pPr>
        <w:jc w:val="both"/>
        <w:rPr>
          <w:b/>
          <w:bCs/>
          <w:noProof/>
        </w:rPr>
      </w:pPr>
    </w:p>
    <w:p w14:paraId="518F2D60" w14:textId="75A76129" w:rsidR="00F73667" w:rsidRPr="00452D57" w:rsidRDefault="00F73667" w:rsidP="00F73667">
      <w:pPr>
        <w:jc w:val="both"/>
        <w:rPr>
          <w:noProof/>
        </w:rPr>
      </w:pPr>
      <w:r w:rsidRPr="00452D57">
        <w:rPr>
          <w:noProof/>
        </w:rPr>
        <w:t xml:space="preserve">I december 2025 blev der afholdt en første EU-evalueringsmission i Jerevan med deltagelse af eksperter fra medlemsstaterne, Kommissionens tjenestegrene, Tjenesten for EU's Optræden Udadtil, Frontex og EU-delegationen i Armenien for at vurdere Armeniens fremskridt med hensyn til opfyldelsen af de benchmarks, der er fastsat i handlingsplanen. Fokus var på det første sæt benchmarks (fase 1), der omfatter den lovgivningsmæssige og politiske ramme på alle de politikområder, der er omfattet af handlingsplanen. </w:t>
      </w:r>
    </w:p>
    <w:p w14:paraId="7CCCA765" w14:textId="77777777" w:rsidR="00F73667" w:rsidRPr="00452D57" w:rsidRDefault="00F73667" w:rsidP="00F73667">
      <w:pPr>
        <w:jc w:val="both"/>
        <w:rPr>
          <w:noProof/>
        </w:rPr>
      </w:pPr>
    </w:p>
    <w:p w14:paraId="523EC0A1" w14:textId="0CFB9E50" w:rsidR="00F73667" w:rsidRPr="00452D57" w:rsidRDefault="00F73667" w:rsidP="00F73667">
      <w:pPr>
        <w:jc w:val="both"/>
        <w:rPr>
          <w:noProof/>
        </w:rPr>
      </w:pPr>
      <w:r w:rsidRPr="00452D57">
        <w:rPr>
          <w:noProof/>
        </w:rPr>
        <w:t xml:space="preserve">Kommissionens første statusrapport bygger på resultaterne af denne EU-evalueringsmission og på de oplysninger, som de armenske myndigheder har fremlagt. Den fokuserer på det første sæt benchmarks i handlingsplanen som beskrevet ovenfor. Samlet set konkluderes det i Kommissionens første statusrapport, at de armenske myndigheder har udvist en stærk politisk vilje til at gennemføre de reformer, der forventes i henhold til handlingsplanen. Selv om handlingsplanen først for nylig blev forelagt Armenien, har de armenske myndigheder indledt eller planlagt mange af de nødvendige reformer. </w:t>
      </w:r>
    </w:p>
    <w:p w14:paraId="4C70D2E7" w14:textId="77777777" w:rsidR="00F73667" w:rsidRPr="00452D57" w:rsidRDefault="00F73667" w:rsidP="00F73667">
      <w:pPr>
        <w:jc w:val="both"/>
        <w:rPr>
          <w:noProof/>
        </w:rPr>
      </w:pPr>
    </w:p>
    <w:p w14:paraId="1F57CFC5" w14:textId="12410411" w:rsidR="00F73667" w:rsidRPr="00452D57" w:rsidRDefault="00F73667" w:rsidP="00F73667">
      <w:pPr>
        <w:jc w:val="both"/>
        <w:rPr>
          <w:noProof/>
        </w:rPr>
      </w:pPr>
      <w:r w:rsidRPr="00452D57">
        <w:rPr>
          <w:noProof/>
        </w:rPr>
        <w:t xml:space="preserve">Kommissionen vil forelægge Europa-Parlamentet og Rådet resultaterne af denne rapport. Disse resultater vil også blive forelagt og drøftet af Kommissionen med de armenske myndigheder på det næste møde mellem højtstående embedsmænd. Kommissionen vil fortsat overvåge opfyldelsen af alle benchmarks under handlingsplanens fire blokke med bistand fra eksperter fra EU-medlemsstaterne. Der vil i den kommende periode blive organiseret yderligere EU-evalueringsmissioner i Armenien med dette formål. Kommissionen vil offentliggøre regelmæssige statusrapporter. Kommissionen og Rådet vil nøje undersøge fremskridtene med hensyn til opfyldelsen af det første sæt benchmarks med henblik på at nå til enighed om at indlede vurderingen af det andet sæt benchmarks (fase 2). Dette andet sæt benchmarks vil vedrøre gennemførelsen af reformerne.  </w:t>
      </w:r>
    </w:p>
    <w:p w14:paraId="06CA88F8" w14:textId="77777777" w:rsidR="00F73667" w:rsidRPr="00452D57" w:rsidRDefault="00F73667" w:rsidP="00F73667">
      <w:pPr>
        <w:jc w:val="both"/>
        <w:rPr>
          <w:noProof/>
        </w:rPr>
      </w:pPr>
    </w:p>
    <w:p w14:paraId="22F541C0" w14:textId="6345C63B" w:rsidR="00F73667" w:rsidRPr="00452D57" w:rsidRDefault="00F73667" w:rsidP="00F73667">
      <w:pPr>
        <w:jc w:val="both"/>
        <w:rPr>
          <w:noProof/>
        </w:rPr>
      </w:pPr>
      <w:r w:rsidRPr="00452D57">
        <w:rPr>
          <w:noProof/>
        </w:rPr>
        <w:t xml:space="preserve">Kommissionen vil fortsat støtte Armenien i gennemførelsen af handlingsplanen, herunder gennem målrettet teknisk og finansiel bistand fra resiliens- og vækstplanen for Armenien, som er under gennemførelse. </w:t>
      </w:r>
    </w:p>
    <w:p w14:paraId="03A21F99" w14:textId="77777777" w:rsidR="00F73667" w:rsidRPr="00452D57" w:rsidRDefault="00F73667" w:rsidP="00B21195">
      <w:pPr>
        <w:pStyle w:val="ListParagraph"/>
        <w:rPr>
          <w:noProof/>
        </w:rPr>
      </w:pPr>
    </w:p>
    <w:p w14:paraId="5A27A083" w14:textId="08ED9E4A" w:rsidR="00722B49" w:rsidRPr="00452D57" w:rsidRDefault="00722B49" w:rsidP="00722B49">
      <w:pPr>
        <w:pStyle w:val="ListParagraph"/>
        <w:numPr>
          <w:ilvl w:val="0"/>
          <w:numId w:val="1"/>
        </w:numPr>
        <w:rPr>
          <w:noProof/>
        </w:rPr>
      </w:pPr>
      <w:r w:rsidRPr="00452D57">
        <w:rPr>
          <w:noProof/>
        </w:rPr>
        <w:t>Baggrund</w:t>
      </w:r>
    </w:p>
    <w:p w14:paraId="42FC3728" w14:textId="77777777" w:rsidR="00820B25" w:rsidRPr="00452D57" w:rsidRDefault="00820B25" w:rsidP="00820B25">
      <w:pPr>
        <w:rPr>
          <w:noProof/>
        </w:rPr>
      </w:pPr>
    </w:p>
    <w:p w14:paraId="71E23F4C" w14:textId="2839EC88" w:rsidR="00C166E3" w:rsidRPr="00452D57" w:rsidRDefault="00292842" w:rsidP="00820B25">
      <w:pPr>
        <w:jc w:val="both"/>
        <w:rPr>
          <w:noProof/>
        </w:rPr>
      </w:pPr>
      <w:r w:rsidRPr="00452D57">
        <w:rPr>
          <w:noProof/>
        </w:rPr>
        <w:t xml:space="preserve">Forbindelserne mellem EU og Armenien bygger på den omfattende og udvidede partnerskabsaftale, som trådte i kraft den 1. marts 2021. Den 2. december 2025 vedtog Partnerskabsrådet EU-Armenien inden for rammerne af partnerskabsaftalen en ny strategisk dagsorden for partnerskabet mellem EU og Armenien, der fastlægger ambitiøse prioriteter og udstikker en klar, gensidigt aftalt ramme for samarbejdet om mobilitet og mellemfolkelige kontakter. </w:t>
      </w:r>
    </w:p>
    <w:p w14:paraId="7E2B3122" w14:textId="567A9F79" w:rsidR="581CFBFB" w:rsidRPr="00452D57" w:rsidRDefault="581CFBFB" w:rsidP="581CFBFB">
      <w:pPr>
        <w:jc w:val="both"/>
        <w:rPr>
          <w:noProof/>
        </w:rPr>
      </w:pPr>
    </w:p>
    <w:p w14:paraId="2BA14E2E" w14:textId="1E3AF744" w:rsidR="1FDB314D" w:rsidRPr="00452D57" w:rsidRDefault="1FDB314D" w:rsidP="581CFBFB">
      <w:pPr>
        <w:jc w:val="both"/>
        <w:rPr>
          <w:noProof/>
        </w:rPr>
      </w:pPr>
      <w:r w:rsidRPr="00452D57">
        <w:rPr>
          <w:noProof/>
        </w:rPr>
        <w:t>Efter Rådets godkendelse i juli 2024 blev der indledt en dialog om visumliberalisering mellem EU og Armenien i Jerevan den 9. september 2024. I oktober 2025 godkendte Rådet den handlingsplan for visumliberalisering (handlingsplanen) for Armenien, som Kommissionen havde forelagt, og hvori de vigtigste benchmarks, som Armenien skal opfylde, før armenske statsborgere kan indrømmes visumfri rejse til EU, er fastlagt. Handlingsplanen blev overrakt de armenske myndigheder den 5. november 2025. Reformer i tilknytning til dialogen om visumliberalisering støttes af EU gennem resiliens- og vækstplanen for Armenien, som formand von der Leyen annoncerede i april 2024.</w:t>
      </w:r>
    </w:p>
    <w:p w14:paraId="2E45333A" w14:textId="77777777" w:rsidR="581CFBFB" w:rsidRPr="00452D57" w:rsidRDefault="581CFBFB" w:rsidP="581CFBFB">
      <w:pPr>
        <w:jc w:val="both"/>
        <w:rPr>
          <w:noProof/>
        </w:rPr>
      </w:pPr>
    </w:p>
    <w:p w14:paraId="07180B51" w14:textId="2B90B0D1" w:rsidR="1FDB314D" w:rsidRPr="00452D57" w:rsidRDefault="1FDB314D" w:rsidP="581CFBFB">
      <w:pPr>
        <w:jc w:val="both"/>
        <w:rPr>
          <w:noProof/>
        </w:rPr>
      </w:pPr>
      <w:r w:rsidRPr="00452D57">
        <w:rPr>
          <w:noProof/>
        </w:rPr>
        <w:t>Handlingsplanen er opbygget omkring fire blokke, nemlig 1) dokumentsikkerhed, herunder biometri, 2) integreret grænseforvaltning, migrationsstyring og asyl, 3) offentlig orden og sikkerhed og 4) forbindelser udadtil og grundlæggende rettigheder. Den omfatter også to typer benchmarks: I første fase vedrører et sæt benchmarks den lovgivningsmæssige og politiske ramme. Dette første sæt benchmarks vil bane vejen for opfyldelsen af mere specifikke benchmarks, som i en anden fase vil undersøge en effektiv og bæredygtig gennemførelse af de relevante foranstaltninger.</w:t>
      </w:r>
    </w:p>
    <w:p w14:paraId="6F2F220B" w14:textId="77777777" w:rsidR="00F96A5C" w:rsidRPr="00452D57" w:rsidRDefault="00F96A5C" w:rsidP="581CFBFB">
      <w:pPr>
        <w:jc w:val="both"/>
        <w:rPr>
          <w:noProof/>
        </w:rPr>
      </w:pPr>
    </w:p>
    <w:p w14:paraId="0A4B014A" w14:textId="77777777" w:rsidR="00DE53DE" w:rsidRPr="00452D57" w:rsidRDefault="000F1F7F" w:rsidP="00272DEE">
      <w:pPr>
        <w:spacing w:after="120"/>
        <w:jc w:val="both"/>
        <w:rPr>
          <w:noProof/>
        </w:rPr>
      </w:pPr>
      <w:r w:rsidRPr="00452D57">
        <w:rPr>
          <w:noProof/>
        </w:rPr>
        <w:t xml:space="preserve">Siden den 1. januar 2014 har unionsborgere været fritaget for visumkravet ved rejser til Armenien. </w:t>
      </w:r>
    </w:p>
    <w:p w14:paraId="0FB57ACA" w14:textId="00F3EE88" w:rsidR="009F125D" w:rsidRPr="00452D57" w:rsidRDefault="00C166E3" w:rsidP="00272DEE">
      <w:pPr>
        <w:spacing w:after="120"/>
        <w:jc w:val="both"/>
        <w:rPr>
          <w:noProof/>
        </w:rPr>
      </w:pPr>
      <w:r w:rsidRPr="00452D57">
        <w:rPr>
          <w:noProof/>
        </w:rPr>
        <w:t xml:space="preserve">Som et første gradvist skridt hen imod armenske statsborgeres fremtidige visumfri rejser til EU trådte visumlempelsesaftalen mellem EU og Armenien i kraft den 1. januar 2014. På samme dato begyndte aftalen mellem EU og Armenien om tilbagetagelse af personer, der er bosiddende uden tilladelse, også at finde anvendelse. Begge disse aftaler, hvis effektive gennemførelse overvåges af to særlige fælles udvalg, gennemføres fortsat på tilfredsstillende vis. </w:t>
      </w:r>
      <w:bookmarkStart w:id="2" w:name="_Hlk225410314"/>
      <w:r w:rsidRPr="00452D57">
        <w:rPr>
          <w:noProof/>
        </w:rPr>
        <w:t xml:space="preserve">Antallet af Schengenvisa udstedt til armenske statsborgere samt andelen af disse visa, der er visa til flere indrejser, er steget støt i de seneste år. I 2019 blev der udstedt 51 000 Schengenvisa til armenske statsborgere (hvoraf 34,8 % var visa til flere indrejser), mens der i 2024 blev udstedt 86 300 Schengenvisa til dem (hvoraf 43,5 % var visa til flere indrejser). Dette viser armeniernes stigende interesse for at rejse til EU. Andelen af afviste visumansøgninger har været stabil, idet den udgjorde 13,2 % i 2019 og 12,4 % i 2024, og det forventes, at der vil blive gjort yderligere bestræbelser for fremover at nedbringe denne andel. </w:t>
      </w:r>
      <w:bookmarkStart w:id="3" w:name="_Hlk223595223"/>
      <w:r w:rsidRPr="00452D57">
        <w:rPr>
          <w:noProof/>
        </w:rPr>
        <w:t>Samarbejdet mellem EU og Armenien om tilbagetagelse og tilbagesendelser er fortsat meget godt, hvilket blev bekræftet på det seneste møde i det blandede tilbagetagelsesudvalg, som blev afholdt den 9. oktober 2025. I 2024 blev der af EU-medlemsstaterne truffet 3 105 afgørelser om tilbagesendelse vedrørende armenske statsborgere, og der var 925 tilbagesendelser. I 2025</w:t>
      </w:r>
      <w:r w:rsidRPr="00452D57">
        <w:rPr>
          <w:rStyle w:val="FootnoteReference"/>
          <w:noProof/>
        </w:rPr>
        <w:footnoteReference w:id="1"/>
      </w:r>
      <w:r w:rsidRPr="00452D57">
        <w:rPr>
          <w:noProof/>
        </w:rPr>
        <w:t xml:space="preserve"> traf EU-medlemsstaterne 3 200 afgørelser om tilbagesendelse vedrørende armenske statsborgere, og der var 1 310 tilbagesendelser af armeniere til Armenien</w:t>
      </w:r>
      <w:bookmarkEnd w:id="3"/>
      <w:r w:rsidRPr="00452D57">
        <w:rPr>
          <w:noProof/>
        </w:rPr>
        <w:t xml:space="preserve">. Antallet af armenske statsborgere, der er pågrebet for ulovligt ophold i EU, har været relativt stabilt med 2 155 i 2019 og 2 465 i 2024. </w:t>
      </w:r>
      <w:bookmarkEnd w:id="2"/>
      <w:r w:rsidRPr="00452D57">
        <w:rPr>
          <w:noProof/>
        </w:rPr>
        <w:t>Det betydelige antal ubegrundede asylansøgninger fra armenske statsborgere i nogle EU-lande, navnlig fra personer, der søger medicinsk behandling, udgør imidlertid en udfordring, som de armenske myndigheder bør tage op. I 2024 ansøgte 5 130 armeniere om asyl i EU (mod 5 240 i 2022). Denne tendens til, at armeniere søger asyl, er imidlertid faldet betydeligt i 2025</w:t>
      </w:r>
      <w:r w:rsidRPr="00452D57">
        <w:rPr>
          <w:rStyle w:val="FootnoteReference"/>
          <w:noProof/>
        </w:rPr>
        <w:footnoteReference w:id="2"/>
      </w:r>
      <w:r w:rsidRPr="00452D57">
        <w:rPr>
          <w:noProof/>
        </w:rPr>
        <w:t xml:space="preserve">, idet armenske statsborgere indgav 3 535 asylansøgninger i EU. De armenske myndigheder forventer, at Armeniens nye generelle sygesikringsordning, som trådte i kraft i 2026, vil bidrage til et yderligere fald i antallet af asylansøgninger. </w:t>
      </w:r>
    </w:p>
    <w:p w14:paraId="4691E2DA" w14:textId="224BC6E0" w:rsidR="00722B49" w:rsidRPr="00452D57" w:rsidRDefault="00722B49" w:rsidP="00722B49">
      <w:pPr>
        <w:pStyle w:val="ListParagraph"/>
        <w:numPr>
          <w:ilvl w:val="0"/>
          <w:numId w:val="1"/>
        </w:numPr>
        <w:rPr>
          <w:noProof/>
        </w:rPr>
      </w:pPr>
      <w:r w:rsidRPr="00452D57">
        <w:rPr>
          <w:noProof/>
        </w:rPr>
        <w:t>Metode</w:t>
      </w:r>
    </w:p>
    <w:p w14:paraId="45588297" w14:textId="77777777" w:rsidR="005E6AF1" w:rsidRPr="00452D57" w:rsidRDefault="005E6AF1" w:rsidP="00943339">
      <w:pPr>
        <w:jc w:val="both"/>
        <w:rPr>
          <w:noProof/>
        </w:rPr>
      </w:pPr>
    </w:p>
    <w:p w14:paraId="1DA9A253" w14:textId="0B5F2942" w:rsidR="00943339" w:rsidRPr="00452D57" w:rsidRDefault="00943339" w:rsidP="00943339">
      <w:pPr>
        <w:jc w:val="both"/>
        <w:rPr>
          <w:noProof/>
        </w:rPr>
      </w:pPr>
      <w:r w:rsidRPr="00452D57">
        <w:rPr>
          <w:noProof/>
        </w:rPr>
        <w:t>I overensstemmelse med den metodologi, der er beskrevet i handlingsplanen, skal Kommissionen give Europa-Parlamentet og Rådet meddelelse om Armeniens gennemførelse af handlingsplanen. Denne rapport er den første meddelelse af denne art.</w:t>
      </w:r>
    </w:p>
    <w:p w14:paraId="60AA9C12" w14:textId="77777777" w:rsidR="00775BDF" w:rsidRPr="00452D57" w:rsidRDefault="00775BDF" w:rsidP="00943339">
      <w:pPr>
        <w:jc w:val="both"/>
        <w:rPr>
          <w:noProof/>
        </w:rPr>
      </w:pPr>
    </w:p>
    <w:p w14:paraId="3EF71C2B" w14:textId="2A262B35" w:rsidR="00775BDF" w:rsidRPr="00452D57" w:rsidRDefault="00775BDF" w:rsidP="003C7D62">
      <w:pPr>
        <w:jc w:val="both"/>
        <w:rPr>
          <w:noProof/>
        </w:rPr>
      </w:pPr>
      <w:r w:rsidRPr="00452D57">
        <w:rPr>
          <w:noProof/>
        </w:rPr>
        <w:t>Denne rapport offentliggøres også efter, at Kommissionen fastlagde sin første strategi for EU-visumpolitikken</w:t>
      </w:r>
      <w:r w:rsidRPr="00452D57">
        <w:rPr>
          <w:rStyle w:val="FootnoteReference"/>
          <w:noProof/>
        </w:rPr>
        <w:footnoteReference w:id="3"/>
      </w:r>
      <w:r w:rsidRPr="00452D57">
        <w:rPr>
          <w:noProof/>
        </w:rPr>
        <w:t xml:space="preserve"> den 29. januar 2026, der har til formål at styrke Schengenområdets sikkerhed og integritet, samtidig med at den letter legitime rejser og øger EU's globale tiltrækningskraft. Denne rapport er i overensstemmelse med principperne i strategien for EU-visumpolitikken. </w:t>
      </w:r>
    </w:p>
    <w:p w14:paraId="6C1596F5" w14:textId="77777777" w:rsidR="003C7D62" w:rsidRPr="00452D57" w:rsidRDefault="003C7D62" w:rsidP="003C7D62">
      <w:pPr>
        <w:jc w:val="both"/>
        <w:rPr>
          <w:noProof/>
        </w:rPr>
      </w:pPr>
    </w:p>
    <w:p w14:paraId="0FC4FA56" w14:textId="78832536" w:rsidR="00943339" w:rsidRPr="00452D57" w:rsidRDefault="29F1244F" w:rsidP="00943339">
      <w:pPr>
        <w:jc w:val="both"/>
        <w:rPr>
          <w:noProof/>
        </w:rPr>
      </w:pPr>
      <w:r w:rsidRPr="00452D57">
        <w:rPr>
          <w:noProof/>
        </w:rPr>
        <w:t xml:space="preserve">På mødet mellem højtstående embedsmænd med ansvar for tilsynet med dialogen om visumliberalisering, som fandt sted i november 2025, fremlagde de armenske myndigheder de foranstaltninger, som de allerede havde truffet for at gennemføre handlingsplanen, og redegjorde for deres planlagte næste skridt. Den 30. november 2025 fremlagde Armenien sin første statusrapport om gennemførelsen af handlingsplanen, som efterfølgende blev ajourført den 27. februar 2026. Fra den 8. til den 12. december 2025 fandt der en EU-evalueringsmission sted i Jerevan med deltagelse af eksperter fra EU-medlemsstaterne, Kommissionens tjenestegrene, Tjenesten for EU's Optræden Udadtil, Frontex og EU-delegationen i Armenien. Evalueringsmissionen fokuserede på gennemførelsen af det første sæt benchmarks inden for handlingsplanens fire blokke. Denne evalueringsmission byggede også på to sonderingsmissioner, som fandt sted i Armenien i februar og april 2025 med deltagelse af eksperter fra visse EU-medlemsstater, Kommissionens tjenestegrene, Tjenesten for EU's Optræden Udadtil, Frontex og EU-delegationen i Armenien, og som havde til formål at indhente oplysninger til brug for udarbejdelse af handlingsplanen. De faktuelle oplysninger i denne rapport bygger på disse kilder.  </w:t>
      </w:r>
    </w:p>
    <w:p w14:paraId="04E128E2" w14:textId="77777777" w:rsidR="00D530C7" w:rsidRPr="00452D57" w:rsidRDefault="00D530C7" w:rsidP="00943339">
      <w:pPr>
        <w:jc w:val="both"/>
        <w:rPr>
          <w:noProof/>
        </w:rPr>
      </w:pPr>
    </w:p>
    <w:p w14:paraId="5D2EA33C" w14:textId="132E95A3" w:rsidR="006A359F" w:rsidRPr="00452D57" w:rsidRDefault="00943339" w:rsidP="006A359F">
      <w:pPr>
        <w:jc w:val="both"/>
        <w:rPr>
          <w:noProof/>
        </w:rPr>
      </w:pPr>
      <w:r w:rsidRPr="00452D57">
        <w:rPr>
          <w:noProof/>
        </w:rPr>
        <w:t>Denne første rapport følger strukturen i handlingsplanen. Inden for handlingsplanens fire blokke vurderer rapporten fremskridtene med hensyn til det første sæt benchmarks med fokus på den lovgivningsmæssige og politiske ramme og fremsætter, hvor det er relevant, anbefalinger til de armenske myndigheder. Rapportens afsluttende afsnit indeholder en samlet vurdering og skitserer de næste skridt.</w:t>
      </w:r>
    </w:p>
    <w:p w14:paraId="645AFBBD" w14:textId="77777777" w:rsidR="006A359F" w:rsidRPr="00452D57" w:rsidRDefault="006A359F" w:rsidP="006A359F">
      <w:pPr>
        <w:jc w:val="both"/>
        <w:rPr>
          <w:noProof/>
        </w:rPr>
      </w:pPr>
    </w:p>
    <w:p w14:paraId="28EF76AF" w14:textId="0F953645" w:rsidR="008B3436" w:rsidRPr="00452D57" w:rsidRDefault="00874E3E" w:rsidP="008B3436">
      <w:pPr>
        <w:jc w:val="both"/>
        <w:rPr>
          <w:noProof/>
        </w:rPr>
      </w:pPr>
      <w:r w:rsidRPr="00452D57">
        <w:rPr>
          <w:noProof/>
        </w:rPr>
        <w:t xml:space="preserve">Ved vurderingen af gennemførelsen af handlingsplanen vil Kommissionen også løbende overvåge andelen af afviste visumansøgninger i Armenien, antallet af armenske statsborgere, der nægtes indrejse ved EU's ydre grænser eller pågribes for ulovligt ophold i EU, antallet af afgørelser om tilbagesendelse og antallet af tilbagesendelser til Armenien, antallet af asylansøgninger i EU fra armenske statsborgere samt andre relevante resultatindikatorer. Kommissionen vil også foretage en vurdering af de eventuelle migrations- og sikkerhedsmæssige virkninger for EU af en fremtidig visumliberalisering for Armenien, inden den går videre til vurderingen af det andet sæt benchmarks, der fokuserer på gennemførelsen. Disse potentielle virkninger skal de armenske myndigheder tage fat på under gennemførelsen af handlingsplanen. </w:t>
      </w:r>
    </w:p>
    <w:p w14:paraId="3D17231F" w14:textId="77777777" w:rsidR="008B3436" w:rsidRPr="00452D57" w:rsidRDefault="008B3436" w:rsidP="008B3436">
      <w:pPr>
        <w:jc w:val="both"/>
        <w:rPr>
          <w:noProof/>
        </w:rPr>
      </w:pPr>
    </w:p>
    <w:p w14:paraId="33AC1587" w14:textId="75BC076B" w:rsidR="008B3436" w:rsidRPr="00452D57" w:rsidRDefault="008B3436" w:rsidP="008B3436">
      <w:pPr>
        <w:jc w:val="both"/>
        <w:rPr>
          <w:noProof/>
          <w:spacing w:val="-2"/>
        </w:rPr>
      </w:pPr>
      <w:r w:rsidRPr="00452D57">
        <w:rPr>
          <w:noProof/>
        </w:rPr>
        <w:t xml:space="preserve">Fremskridtene vil blive vurderet ud fra en resultatbaseret tilgang og være betinget af, at Armenien gennemfører alle de benchmarks, der er fastsat i handlingsplanen, effektivt og konsekvent. Der vil ikke være nogen automatik i denne proces, og Kommissionen og Rådet vil nøje undersøge fremskridtene med hensyn til opfyldelsen af det første sæt benchmarks med henblik på at nå til enighed om at indlede vurderingen af det andet sæt benchmarks. </w:t>
      </w:r>
    </w:p>
    <w:p w14:paraId="27A31275" w14:textId="77777777" w:rsidR="008B3436" w:rsidRPr="00452D57" w:rsidRDefault="008B3436" w:rsidP="008B3436">
      <w:pPr>
        <w:jc w:val="both"/>
        <w:rPr>
          <w:noProof/>
          <w:spacing w:val="-2"/>
        </w:rPr>
      </w:pPr>
    </w:p>
    <w:p w14:paraId="7AE5D9E8" w14:textId="75AEC1FE" w:rsidR="008B3436" w:rsidRPr="00452D57" w:rsidRDefault="008B3436" w:rsidP="008B3436">
      <w:pPr>
        <w:jc w:val="both"/>
        <w:rPr>
          <w:noProof/>
        </w:rPr>
      </w:pPr>
      <w:r w:rsidRPr="00452D57">
        <w:rPr>
          <w:noProof/>
        </w:rPr>
        <w:t xml:space="preserve">Når Kommissionen tager stilling til, om den vil fremsætte et forslag til Europa-Parlamentet og Rådet om at ophæve kravet om, at armenske statsborgere, der rejser til Schengenområdet, skal have et korttidsvisum, gennem en ændring af forordning (EU) 2018/1806, vil den også tage hensyn til de overordnede forbindelser mellem EU og Armenien og eventuelle virkninger af visumliberaliseringen på grundlag af tendenserne i de ovennævnte resultatindikatorer. </w:t>
      </w:r>
    </w:p>
    <w:p w14:paraId="26699C63" w14:textId="77777777" w:rsidR="008B3436" w:rsidRPr="00452D57" w:rsidRDefault="008B3436" w:rsidP="008B3436">
      <w:pPr>
        <w:jc w:val="both"/>
        <w:rPr>
          <w:noProof/>
        </w:rPr>
      </w:pPr>
    </w:p>
    <w:p w14:paraId="5DEA9DFF" w14:textId="77777777" w:rsidR="0043426F" w:rsidRPr="00452D57" w:rsidRDefault="008B3436" w:rsidP="0043426F">
      <w:pPr>
        <w:jc w:val="both"/>
        <w:rPr>
          <w:noProof/>
        </w:rPr>
      </w:pPr>
      <w:r w:rsidRPr="00452D57">
        <w:rPr>
          <w:noProof/>
        </w:rPr>
        <w:t>I overensstemmelse med den almindelige lovgivningsprocedure, der for disse spørgsmål er fastsat i traktaten om Den Europæiske Unions funktionsmåde, træffer Europa-Parlamentet og Rådet afgørelse på grundlag af Kommissionens forslag.</w:t>
      </w:r>
    </w:p>
    <w:p w14:paraId="4F232C97" w14:textId="77777777" w:rsidR="0043426F" w:rsidRPr="00452D57" w:rsidRDefault="0043426F" w:rsidP="0043426F">
      <w:pPr>
        <w:jc w:val="both"/>
        <w:rPr>
          <w:noProof/>
        </w:rPr>
      </w:pPr>
    </w:p>
    <w:p w14:paraId="74C8C3F2" w14:textId="6CD7BA2F" w:rsidR="00722B49" w:rsidRPr="00452D57" w:rsidRDefault="00722B49" w:rsidP="00722B49">
      <w:pPr>
        <w:pStyle w:val="ListParagraph"/>
        <w:numPr>
          <w:ilvl w:val="0"/>
          <w:numId w:val="1"/>
        </w:numPr>
        <w:rPr>
          <w:noProof/>
        </w:rPr>
      </w:pPr>
      <w:r w:rsidRPr="00452D57">
        <w:rPr>
          <w:noProof/>
        </w:rPr>
        <w:t>Blok 1: Dokumentsikkerhed, herunder biometri</w:t>
      </w:r>
    </w:p>
    <w:p w14:paraId="14DF52EE" w14:textId="77777777" w:rsidR="005E6AF1" w:rsidRPr="00452D57" w:rsidRDefault="005E6AF1" w:rsidP="005E6AF1">
      <w:pPr>
        <w:rPr>
          <w:noProof/>
        </w:rPr>
      </w:pPr>
    </w:p>
    <w:p w14:paraId="27625478" w14:textId="77777777" w:rsidR="005E6AF1" w:rsidRPr="00452D57"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den retlige og institutionelle ramme med henblik på sikring af den integritet og sikkerhed, der er forbundet med civilstands- og folkeregistreringsproceduren, herunder registreringen af alle armenske statsborgere i et ensartet og sikkert elektronisk folkeregister, der sikrer de højeste databeskyttelsesstandarder</w:t>
      </w:r>
    </w:p>
    <w:p w14:paraId="0A499E54" w14:textId="77777777" w:rsidR="006E1DEC" w:rsidRPr="00452D57" w:rsidRDefault="006E1DEC" w:rsidP="006E1DEC">
      <w:pPr>
        <w:rPr>
          <w:noProof/>
          <w:lang w:eastAsia="x-none"/>
        </w:rPr>
      </w:pPr>
    </w:p>
    <w:p w14:paraId="7B216C2D" w14:textId="13B4867E" w:rsidR="00144BA7" w:rsidRPr="00452D57" w:rsidRDefault="00BF5C1B" w:rsidP="00144BA7">
      <w:pPr>
        <w:jc w:val="both"/>
        <w:rPr>
          <w:noProof/>
        </w:rPr>
      </w:pPr>
      <w:r w:rsidRPr="00452D57">
        <w:rPr>
          <w:noProof/>
        </w:rPr>
        <w:t>I juli 2025 vedtog Armenien en ny lov om det statslige folkeregister, som fastlægger retsgrundlaget for oprettelsen af et samlet statsligt folkeregister ("folkeregisteret") som den eneste nationale kilde til personidentifikations- og demografiske data i Armenien. Folkeregisteret har til formål at sikre integriteten, konsistensen og pålideligheden af civilstands- og befolkningsdata og dermed styrke identitetsforvaltningen, den offentlige forvaltning og leveringen af offentlige tjenester i overensstemmelse med internationale standarder. Der arbejdes løbende på tekniske opgraderinger for at forbedre effektiviteten og interoperabiliteten mellem Armeniens folkeregister og andre relevante databaser.</w:t>
      </w:r>
    </w:p>
    <w:p w14:paraId="12E29B1F" w14:textId="77777777" w:rsidR="00E34E6D" w:rsidRPr="00452D57" w:rsidRDefault="00E34E6D" w:rsidP="00144BA7">
      <w:pPr>
        <w:jc w:val="both"/>
        <w:rPr>
          <w:noProof/>
        </w:rPr>
      </w:pPr>
    </w:p>
    <w:p w14:paraId="177B88F3" w14:textId="4C8A106A" w:rsidR="006E1DEC" w:rsidRPr="00452D57" w:rsidRDefault="00093D43" w:rsidP="006E1DEC">
      <w:pPr>
        <w:jc w:val="both"/>
        <w:rPr>
          <w:noProof/>
        </w:rPr>
      </w:pPr>
      <w:r w:rsidRPr="00452D57">
        <w:rPr>
          <w:noProof/>
        </w:rPr>
        <w:t xml:space="preserve">Det armenske folkeregister forventes at være fuldt operationelt den 1. januar 2027. Det vil omfatte hele Armeniens befolkning, herunder ikkearmenske statsborgere, og være baseret på en omfattende registrering af livsbegivenheder såsom fødsler, dødsfald, ægteskaber og skilsmisser. Desuden vil folkeregisteret fungere som en integreret platform for registrering efter bopæl, tildeling af personnumre og registrering af en persons retlige status, herunder om vedkommende er armensk statsborger, udenlandsk bosiddende, asylansøger eller flygtning. Det forventes, at folkeregisteret, når det først er operationelt, vil opfylde de relevante standarder og fungere som den centrale grundstruktur for sikker identitetsforvaltning, større dokumentsikkerhed og evidensbaseret befolknings- og migrationsstyring. </w:t>
      </w:r>
    </w:p>
    <w:p w14:paraId="79419BB5" w14:textId="77777777" w:rsidR="006E1DEC" w:rsidRPr="00452D57" w:rsidRDefault="006E1DEC" w:rsidP="006E1DEC">
      <w:pPr>
        <w:jc w:val="both"/>
        <w:rPr>
          <w:noProof/>
          <w:lang w:eastAsia="x-none"/>
        </w:rPr>
      </w:pPr>
    </w:p>
    <w:p w14:paraId="44B36B3E" w14:textId="55F73530" w:rsidR="006E1DEC" w:rsidRPr="00452D57" w:rsidRDefault="005E6AF1" w:rsidP="006E1D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den retlige og institutionelle ramme for udstedelse af maskinlæsbare biometriske pas, der opfylder ICAO's højeste standarder og anbefalede praksis på grundlag af sikker identitetsforvaltning (personregister og underliggende dokumenter), i henhold til princippet om "én person – ét dokument", herunder for så vidt angår diplomatpas og tjenestepas</w:t>
      </w:r>
    </w:p>
    <w:p w14:paraId="30EDFD3B" w14:textId="77777777" w:rsidR="006E1DEC" w:rsidRPr="00452D57" w:rsidRDefault="006E1DEC" w:rsidP="006E1DEC">
      <w:pPr>
        <w:pStyle w:val="paragraph"/>
        <w:spacing w:before="0" w:beforeAutospacing="0" w:after="0" w:afterAutospacing="0"/>
        <w:jc w:val="both"/>
        <w:textAlignment w:val="baseline"/>
        <w:rPr>
          <w:b/>
          <w:bCs/>
          <w:noProof/>
          <w:color w:val="000000" w:themeColor="text1"/>
          <w:sz w:val="22"/>
          <w:szCs w:val="22"/>
        </w:rPr>
      </w:pPr>
    </w:p>
    <w:p w14:paraId="37440312" w14:textId="6D9F918F" w:rsidR="00093D43" w:rsidRPr="00452D57" w:rsidRDefault="00093D43" w:rsidP="00093D43">
      <w:pPr>
        <w:jc w:val="both"/>
        <w:rPr>
          <w:noProof/>
        </w:rPr>
      </w:pPr>
      <w:r w:rsidRPr="00452D57">
        <w:rPr>
          <w:noProof/>
        </w:rPr>
        <w:t xml:space="preserve">I 2023 iværksatte Armeniens regering et offentligt udbud om indførelse af et landsdækkende biometrisk identifikationssystem med det formål at modernisere identitetsforvaltningen og bringe dokumentsikkerheden i landet i overensstemmelse med internationale standarder. Efter afslutningen af udbudsproceduren indgik Armeniens ministerium for indre anliggender en offentlig-privat partnerskabsaftale med virksomheden </w:t>
      </w:r>
      <w:r w:rsidRPr="00452D57">
        <w:rPr>
          <w:i/>
          <w:noProof/>
        </w:rPr>
        <w:t>HayPass CJSC</w:t>
      </w:r>
      <w:r w:rsidRPr="00452D57">
        <w:rPr>
          <w:noProof/>
        </w:rPr>
        <w:t xml:space="preserve"> om at udvikle og implementere det nye landsdækkende biometriske identifikationssystem. Dette system udgør en hjørnesten i Armeniens bredere reform af sit pas- og identitetsdokumentsystem.</w:t>
      </w:r>
    </w:p>
    <w:p w14:paraId="47368B1A" w14:textId="77777777" w:rsidR="00093D43" w:rsidRPr="00452D57" w:rsidRDefault="00093D43" w:rsidP="00093D43">
      <w:pPr>
        <w:jc w:val="both"/>
        <w:rPr>
          <w:noProof/>
          <w:lang w:eastAsia="x-none"/>
        </w:rPr>
      </w:pPr>
    </w:p>
    <w:p w14:paraId="12833BD1" w14:textId="394DE653" w:rsidR="00093D43" w:rsidRPr="00452D57" w:rsidRDefault="00093D43" w:rsidP="00093D43">
      <w:pPr>
        <w:jc w:val="both"/>
        <w:rPr>
          <w:noProof/>
        </w:rPr>
      </w:pPr>
      <w:r w:rsidRPr="00452D57">
        <w:rPr>
          <w:noProof/>
        </w:rPr>
        <w:t>I henhold til kravene i det nye system vil alle identitetsdokumenter udstedt af Armenien – herunder identitetskort, pas, opholdskort, rejsedokumenter samt diplomatpas og tjenestepas – indeholde biometriske identifikatorer og opfylde de standarder og den anbefalede praksis, der er fastsat i ICAO Doc 9303. Reformen inden for dette nye system er udformet således, at den sikrer et højt niveau af dokumentsikkerhed, interoperabilitet og international anerkendelse.</w:t>
      </w:r>
    </w:p>
    <w:p w14:paraId="4F9A6C75" w14:textId="77777777" w:rsidR="00093D43" w:rsidRPr="00452D57" w:rsidRDefault="00093D43" w:rsidP="00093D43">
      <w:pPr>
        <w:jc w:val="both"/>
        <w:rPr>
          <w:noProof/>
          <w:lang w:eastAsia="x-none"/>
        </w:rPr>
      </w:pPr>
    </w:p>
    <w:p w14:paraId="723FB2CC" w14:textId="08EA8B40" w:rsidR="00093D43" w:rsidRPr="00452D57" w:rsidRDefault="146D4742" w:rsidP="00093D43">
      <w:pPr>
        <w:jc w:val="both"/>
        <w:rPr>
          <w:noProof/>
        </w:rPr>
      </w:pPr>
      <w:r w:rsidRPr="00452D57">
        <w:rPr>
          <w:noProof/>
        </w:rPr>
        <w:t>Der er igangsat en omfattende gennemgang af den retlige ramme for identitetsdokumenter og de dertil knyttede procedurer. Princippet "én person – ét dokument" forventes udtrykkeligt defineret og kodificeret i lovgivningen, hvilket styrker retssikkerheden og den operationelle ensartethed.</w:t>
      </w:r>
    </w:p>
    <w:p w14:paraId="6C0C7A8B" w14:textId="77777777" w:rsidR="00093D43" w:rsidRPr="00452D57" w:rsidRDefault="00093D43" w:rsidP="00093D43">
      <w:pPr>
        <w:jc w:val="both"/>
        <w:rPr>
          <w:noProof/>
          <w:lang w:eastAsia="x-none"/>
        </w:rPr>
      </w:pPr>
    </w:p>
    <w:p w14:paraId="149C1EE3" w14:textId="1968328C" w:rsidR="00093D43" w:rsidRPr="00452D57" w:rsidRDefault="00001E69" w:rsidP="006E1DEC">
      <w:pPr>
        <w:jc w:val="both"/>
        <w:rPr>
          <w:noProof/>
        </w:rPr>
      </w:pPr>
      <w:r w:rsidRPr="00452D57">
        <w:rPr>
          <w:noProof/>
        </w:rPr>
        <w:t xml:space="preserve">For at løse spørgsmålet om håndteringen af landecertifikater tilslutter Armenien sig ICAO PKI/PKD-systemet (infrastruktur til og fortegnelse over offentlige nøgler), som gør det muligt at overføre de nødvendige digitale certifikater til og fra systemet samt distribuere dem til andre lande. Når de nødvendige systemintegrationer er gennemført, vil de armenske myndigheder under grænsekontrollen kunne verificere ægtheden og gyldigheden af mikrochippene i alle pas udstedt af lande, der er medlemmer af ICAO PKD. Integrationen af den samme nøgleinfrastruktur for chipbaserede nationale identitetskort og pas i de eksisterende systemer vil øge dokumentsikkerheden og den indre og ydre sikkerhed. </w:t>
      </w:r>
    </w:p>
    <w:p w14:paraId="07E6CF04" w14:textId="77777777" w:rsidR="006E1DEC" w:rsidRPr="00452D57" w:rsidRDefault="006E1DEC" w:rsidP="006E1DEC">
      <w:pPr>
        <w:pStyle w:val="paragraph"/>
        <w:spacing w:before="0" w:beforeAutospacing="0" w:after="0" w:afterAutospacing="0"/>
        <w:ind w:left="360"/>
        <w:jc w:val="both"/>
        <w:textAlignment w:val="baseline"/>
        <w:rPr>
          <w:b/>
          <w:bCs/>
          <w:noProof/>
          <w:color w:val="000000" w:themeColor="text1"/>
          <w:sz w:val="22"/>
          <w:szCs w:val="22"/>
        </w:rPr>
      </w:pPr>
    </w:p>
    <w:p w14:paraId="392C88BD" w14:textId="77777777" w:rsidR="005E6AF1" w:rsidRPr="00452D57"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Vedtagelse af en klar tidsplan for den fuldstændige udrulning af biometriske pas, der overholder ICAO-standarderne (herunder på Armeniens konsulater i udlandet), og af rejsedokumenter (herunder rejsedokumenter for alle ikkestatsborgere, som adskiller sig fra almindelige nationale rejsedokumenter), i overensstemmelse med internationale standarder samt for den fuldstændige udfasning af gamle pas.</w:t>
      </w:r>
    </w:p>
    <w:p w14:paraId="423133C5" w14:textId="77777777" w:rsidR="003C7F7F" w:rsidRPr="00452D57" w:rsidRDefault="003C7F7F" w:rsidP="003C7F7F">
      <w:pPr>
        <w:pStyle w:val="paragraph"/>
        <w:spacing w:before="0" w:beforeAutospacing="0" w:after="0" w:afterAutospacing="0"/>
        <w:jc w:val="both"/>
        <w:textAlignment w:val="baseline"/>
        <w:rPr>
          <w:b/>
          <w:bCs/>
          <w:noProof/>
          <w:sz w:val="22"/>
          <w:szCs w:val="22"/>
        </w:rPr>
      </w:pPr>
    </w:p>
    <w:p w14:paraId="62A249E1" w14:textId="3B3C637F" w:rsidR="00940D6B" w:rsidRPr="00452D57" w:rsidRDefault="00252E9B" w:rsidP="00940D6B">
      <w:pPr>
        <w:jc w:val="both"/>
        <w:rPr>
          <w:noProof/>
        </w:rPr>
      </w:pPr>
      <w:r w:rsidRPr="00452D57">
        <w:rPr>
          <w:noProof/>
        </w:rPr>
        <w:t xml:space="preserve">Det nye biometriske identifikationssystem forventes lanceret i andet halvår af 2026, og det samme gælder de første biometriske identitetskort og pas. Reformen vil også komme til at omfatte rejsedokumenter udstedt af armenske diplomatiske repræsentationer i udlandet. </w:t>
      </w:r>
    </w:p>
    <w:p w14:paraId="676914CB" w14:textId="77777777" w:rsidR="00940D6B" w:rsidRPr="00452D57" w:rsidRDefault="00940D6B" w:rsidP="00252E9B">
      <w:pPr>
        <w:jc w:val="both"/>
        <w:rPr>
          <w:noProof/>
        </w:rPr>
      </w:pPr>
    </w:p>
    <w:p w14:paraId="4DF9BA74" w14:textId="1C4514D6" w:rsidR="00940D6B" w:rsidRPr="00452D57" w:rsidRDefault="00940D6B" w:rsidP="00252E9B">
      <w:pPr>
        <w:jc w:val="both"/>
        <w:rPr>
          <w:noProof/>
        </w:rPr>
      </w:pPr>
      <w:r w:rsidRPr="00452D57">
        <w:rPr>
          <w:noProof/>
        </w:rPr>
        <w:t xml:space="preserve">Der er endnu ikke fastsat nogen frist for den fuldstændige udfasning af pas, der ikke overholder ICAO-standarderne. </w:t>
      </w:r>
    </w:p>
    <w:p w14:paraId="3706694F" w14:textId="77777777" w:rsidR="003C7F7F" w:rsidRPr="00452D57" w:rsidRDefault="003C7F7F" w:rsidP="003C7F7F">
      <w:pPr>
        <w:pStyle w:val="paragraph"/>
        <w:spacing w:before="0" w:beforeAutospacing="0" w:after="0" w:afterAutospacing="0"/>
        <w:jc w:val="both"/>
        <w:textAlignment w:val="baseline"/>
        <w:rPr>
          <w:b/>
          <w:bCs/>
          <w:noProof/>
          <w:sz w:val="22"/>
          <w:szCs w:val="22"/>
        </w:rPr>
      </w:pPr>
    </w:p>
    <w:p w14:paraId="7C868BCE" w14:textId="559FF867" w:rsidR="005E6AF1" w:rsidRPr="00452D57" w:rsidRDefault="005E6AF1" w:rsidP="005E6AF1">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Vedtagelse af et etisk kodeks, uddannelsesprogrammer om bekæmpelse af korruption samt sanktioner i tilfælde af manglende overholdelse og sikker håndtering af persondokumenter og databeskyttelse for embedsmænd i offentlige myndigheder, der arbejder med pas, identitetskort og andre underliggende dokumenter.</w:t>
      </w:r>
    </w:p>
    <w:p w14:paraId="525BD0B3" w14:textId="77777777" w:rsidR="005E6AF1" w:rsidRPr="00452D57" w:rsidRDefault="005E6AF1" w:rsidP="005E6AF1">
      <w:pPr>
        <w:rPr>
          <w:b/>
          <w:bCs/>
          <w:noProof/>
        </w:rPr>
      </w:pPr>
    </w:p>
    <w:p w14:paraId="12709172" w14:textId="3A35FF43" w:rsidR="006368EF" w:rsidRPr="00452D57" w:rsidRDefault="007C2F4E" w:rsidP="006368EF">
      <w:pPr>
        <w:jc w:val="both"/>
        <w:rPr>
          <w:noProof/>
        </w:rPr>
      </w:pPr>
      <w:r w:rsidRPr="00452D57">
        <w:rPr>
          <w:noProof/>
        </w:rPr>
        <w:t xml:space="preserve">Personalet i Armeniens agentur for registrering af civilretlige forhold er omfattet af loven om offentlig tjeneste og de integritetsrelaterede regler, der følger af denne lov. Selv om denne lov også fastlægger et klart retsgrundlag for integritet og ansvarlighed, og justitsministeriet har indført regelmæssige integritetskurser, foreligger der kun begrænset dokumentation for eksistensen af særskilte operationelle procedurer for undersøgelse af integritetsbrud, for systematisk dokumentation af håndhævelsesresultater eller for gennemførelse af konkrete forebyggende foranstaltninger til at afbøde de integritets- og korruptionsrisici, der er forbundet med registrering af civilstand og udstedelse af dokumenter. </w:t>
      </w:r>
    </w:p>
    <w:p w14:paraId="0C31DD5F" w14:textId="77777777" w:rsidR="00847027" w:rsidRPr="00452D57" w:rsidRDefault="00847027" w:rsidP="006368EF">
      <w:pPr>
        <w:jc w:val="both"/>
        <w:rPr>
          <w:noProof/>
          <w:lang w:eastAsia="x-none"/>
        </w:rPr>
      </w:pPr>
    </w:p>
    <w:p w14:paraId="7D57358E" w14:textId="14A308FA" w:rsidR="006368EF" w:rsidRPr="00452D57" w:rsidRDefault="006368EF" w:rsidP="006368EF">
      <w:pPr>
        <w:jc w:val="both"/>
        <w:rPr>
          <w:noProof/>
        </w:rPr>
      </w:pPr>
      <w:r w:rsidRPr="00452D57">
        <w:rPr>
          <w:noProof/>
        </w:rPr>
        <w:t>For at understøtte en bæredygtig drift af de nye digitale platforme og indføre bedste praksis inden for dataforvaltning har Armeniens migrations- og statsborgerskabstjeneste ansat specialiseret personale med ansvar for at udvikle og gennemføre omfattende politikker for dataforvaltning. Parallelt hermed gennemfører migrations- og statsborgerskabstjenesten i samarbejde med internationale partnere målrettede kapacitetsopbyggende initiativer og uddannelsesprogrammer inden for dataforvaltning for relevant personale.</w:t>
      </w:r>
    </w:p>
    <w:p w14:paraId="15AE8CB0" w14:textId="77777777" w:rsidR="006368EF" w:rsidRPr="00452D57" w:rsidRDefault="006368EF" w:rsidP="006368EF">
      <w:pPr>
        <w:jc w:val="both"/>
        <w:rPr>
          <w:noProof/>
          <w:lang w:eastAsia="x-none"/>
        </w:rPr>
      </w:pPr>
    </w:p>
    <w:p w14:paraId="6457F867" w14:textId="0CDBB5D7" w:rsidR="006368EF" w:rsidRPr="00452D57" w:rsidRDefault="00485773" w:rsidP="006368EF">
      <w:pPr>
        <w:jc w:val="both"/>
        <w:rPr>
          <w:noProof/>
        </w:rPr>
      </w:pPr>
      <w:r w:rsidRPr="00452D57">
        <w:rPr>
          <w:noProof/>
        </w:rPr>
        <w:t>Derudover har migrations- og statsborgerskabstjenesten indført et obligatorisk kursusforløb vedrørende dokumentsikkerhed og identitetsforvaltning. Dette uddannelsesmateriale udvikles sammen med partnerenheder i den nationale sikkerhedstjeneste og har til formål at sikre overensstemmelse med europæisk bedste praksis og lokale operationelle krav.</w:t>
      </w:r>
    </w:p>
    <w:p w14:paraId="1DE177AA" w14:textId="77777777" w:rsidR="006368EF" w:rsidRPr="00452D57" w:rsidRDefault="006368EF" w:rsidP="006368EF">
      <w:pPr>
        <w:jc w:val="both"/>
        <w:rPr>
          <w:noProof/>
          <w:lang w:eastAsia="x-none"/>
        </w:rPr>
      </w:pPr>
    </w:p>
    <w:p w14:paraId="0C908DD5" w14:textId="77777777" w:rsidR="001B5683" w:rsidRPr="00452D57" w:rsidRDefault="001B5683" w:rsidP="006368EF">
      <w:pPr>
        <w:jc w:val="both"/>
        <w:rPr>
          <w:noProof/>
          <w:lang w:eastAsia="x-none"/>
        </w:rPr>
      </w:pPr>
    </w:p>
    <w:p w14:paraId="00CBB532" w14:textId="0A08FBAF" w:rsidR="005E6AF1" w:rsidRPr="00452D57" w:rsidRDefault="005E6AF1" w:rsidP="006622EE">
      <w:pPr>
        <w:jc w:val="both"/>
        <w:rPr>
          <w:i/>
          <w:iCs/>
          <w:noProof/>
        </w:rPr>
      </w:pPr>
      <w:r w:rsidRPr="00452D57">
        <w:rPr>
          <w:i/>
          <w:noProof/>
        </w:rPr>
        <w:t xml:space="preserve">På grundlag af ovenstående anbefales det, at de armenske myndigheder for så vidt angår benchmarkene i blok 1 vedrørende </w:t>
      </w:r>
      <w:r w:rsidRPr="00452D57">
        <w:rPr>
          <w:b/>
          <w:i/>
          <w:noProof/>
        </w:rPr>
        <w:t>dokumentsikkerhed, herunder biometri</w:t>
      </w:r>
      <w:r w:rsidRPr="00452D57">
        <w:rPr>
          <w:i/>
          <w:noProof/>
        </w:rPr>
        <w:t xml:space="preserve"> (første fase): </w:t>
      </w:r>
    </w:p>
    <w:p w14:paraId="0294B66D" w14:textId="77777777" w:rsidR="00D83F61" w:rsidRPr="00452D57" w:rsidRDefault="00D83F61" w:rsidP="005E6AF1">
      <w:pPr>
        <w:rPr>
          <w:noProof/>
        </w:rPr>
      </w:pPr>
    </w:p>
    <w:p w14:paraId="7DCFCC3D" w14:textId="7D7626D1" w:rsidR="00585B7D" w:rsidRPr="00452D57" w:rsidRDefault="00BA59E2" w:rsidP="00D83F61">
      <w:pPr>
        <w:pStyle w:val="ListParagraph"/>
        <w:widowControl/>
        <w:numPr>
          <w:ilvl w:val="0"/>
          <w:numId w:val="5"/>
        </w:numPr>
        <w:autoSpaceDE/>
        <w:autoSpaceDN/>
        <w:jc w:val="both"/>
        <w:rPr>
          <w:rFonts w:cs="Calibri"/>
          <w:i/>
          <w:iCs/>
          <w:noProof/>
        </w:rPr>
      </w:pPr>
      <w:r w:rsidRPr="00452D57">
        <w:rPr>
          <w:i/>
          <w:noProof/>
        </w:rPr>
        <w:t xml:space="preserve">sikrer, at det fremtidige statslige folkeregister opfylder internationale standarder for dataintegritet og datasikkerhed </w:t>
      </w:r>
    </w:p>
    <w:p w14:paraId="5870B1C1" w14:textId="7F646E06" w:rsidR="00D83F61" w:rsidRPr="00452D57" w:rsidRDefault="00BA59E2" w:rsidP="00D83F61">
      <w:pPr>
        <w:pStyle w:val="ListParagraph"/>
        <w:widowControl/>
        <w:numPr>
          <w:ilvl w:val="0"/>
          <w:numId w:val="5"/>
        </w:numPr>
        <w:autoSpaceDE/>
        <w:autoSpaceDN/>
        <w:jc w:val="both"/>
        <w:rPr>
          <w:rFonts w:cs="Calibri"/>
          <w:i/>
          <w:iCs/>
          <w:noProof/>
        </w:rPr>
      </w:pPr>
      <w:r w:rsidRPr="00452D57">
        <w:rPr>
          <w:i/>
          <w:noProof/>
        </w:rPr>
        <w:t>udfaser alle pas, der ikke overholder ICAO-standarderne</w:t>
      </w:r>
    </w:p>
    <w:p w14:paraId="7660186B" w14:textId="2D4EE57B" w:rsidR="00D83F61" w:rsidRPr="00452D57" w:rsidRDefault="00BA59E2" w:rsidP="00D83F61">
      <w:pPr>
        <w:pStyle w:val="ListParagraph"/>
        <w:widowControl/>
        <w:numPr>
          <w:ilvl w:val="0"/>
          <w:numId w:val="5"/>
        </w:numPr>
        <w:autoSpaceDE/>
        <w:autoSpaceDN/>
        <w:jc w:val="both"/>
        <w:rPr>
          <w:rFonts w:cs="Calibri"/>
          <w:i/>
          <w:iCs/>
          <w:noProof/>
        </w:rPr>
      </w:pPr>
      <w:r w:rsidRPr="00452D57">
        <w:rPr>
          <w:i/>
          <w:noProof/>
        </w:rPr>
        <w:t xml:space="preserve">tilbyder målrettet, løbende og funktionsspecifik uddannelse i chipautentificering i identitetsdokumenter til alt relevant personale, så personalet er i stand til at fortolke de resultater, som dokumentlæserapplikationen genererer </w:t>
      </w:r>
    </w:p>
    <w:p w14:paraId="5F95C2DF" w14:textId="307499E1" w:rsidR="00D83F61" w:rsidRPr="00452D57" w:rsidRDefault="00BA59E2" w:rsidP="00D83F61">
      <w:pPr>
        <w:pStyle w:val="ListParagraph"/>
        <w:widowControl/>
        <w:numPr>
          <w:ilvl w:val="0"/>
          <w:numId w:val="5"/>
        </w:numPr>
        <w:autoSpaceDE/>
        <w:autoSpaceDN/>
        <w:jc w:val="both"/>
        <w:rPr>
          <w:i/>
          <w:iCs/>
          <w:noProof/>
        </w:rPr>
      </w:pPr>
      <w:r w:rsidRPr="00452D57">
        <w:rPr>
          <w:i/>
          <w:noProof/>
        </w:rPr>
        <w:t>fortsætter arbejdet med at tilslutte sig ICAO's PKI/PKD-system (infrastruktur til og fortegnelse over offentlige nøgler), hvorved sikker upload, validering og distribution af certifikater fra det nationale signerende certificeringscenter (Country Signing Certification Authority) og dokumentsigneringscertifikater (Document Signer Certificates), som er nødvendige for pålidelig verifikation af elektroniske rejsedokumenter, muliggøres</w:t>
      </w:r>
    </w:p>
    <w:p w14:paraId="0F61C48C" w14:textId="0AE402D9" w:rsidR="00D83F61" w:rsidRPr="00452D57" w:rsidRDefault="00BA59E2" w:rsidP="00D83F61">
      <w:pPr>
        <w:pStyle w:val="ListParagraph"/>
        <w:widowControl/>
        <w:numPr>
          <w:ilvl w:val="0"/>
          <w:numId w:val="5"/>
        </w:numPr>
        <w:autoSpaceDE/>
        <w:autoSpaceDN/>
        <w:jc w:val="both"/>
        <w:rPr>
          <w:i/>
          <w:iCs/>
          <w:noProof/>
        </w:rPr>
      </w:pPr>
      <w:r w:rsidRPr="00452D57">
        <w:rPr>
          <w:i/>
          <w:noProof/>
        </w:rPr>
        <w:t>opretter en centraliseret infrastruktur for certifikatforvaltning for at sikre sikker, ensartet og rettidig distribution af digitale certifikater til alle kompetente myndigheder, der deltager i dokumentverifikation og grænsekontrol, herunder migrationsmyndighederne, grænsemyndighederne, toldvæsenet og politiet</w:t>
      </w:r>
    </w:p>
    <w:p w14:paraId="688E61C3" w14:textId="14550FD8" w:rsidR="00D83F61" w:rsidRPr="00452D57" w:rsidRDefault="00BA59E2" w:rsidP="00D83F61">
      <w:pPr>
        <w:pStyle w:val="ListParagraph"/>
        <w:widowControl/>
        <w:numPr>
          <w:ilvl w:val="0"/>
          <w:numId w:val="5"/>
        </w:numPr>
        <w:autoSpaceDE/>
        <w:autoSpaceDN/>
        <w:jc w:val="both"/>
        <w:rPr>
          <w:i/>
          <w:iCs/>
          <w:noProof/>
          <w:color w:val="000000"/>
        </w:rPr>
      </w:pPr>
      <w:r w:rsidRPr="00452D57">
        <w:rPr>
          <w:i/>
          <w:noProof/>
          <w:color w:val="000000" w:themeColor="text1"/>
        </w:rPr>
        <w:t xml:space="preserve">gennemfører regelmæssige integritetsrisikovurderinger, som omfatter alle faser af processerne vedrørende underliggende dokumenter, herunder udstedelse, verifikation, opbevaring og IT-adgang </w:t>
      </w:r>
    </w:p>
    <w:p w14:paraId="7707C7BA" w14:textId="6ED11429" w:rsidR="00D83F61" w:rsidRPr="00452D57" w:rsidRDefault="00BA59E2" w:rsidP="00D83F61">
      <w:pPr>
        <w:pStyle w:val="ListParagraph"/>
        <w:widowControl/>
        <w:numPr>
          <w:ilvl w:val="0"/>
          <w:numId w:val="5"/>
        </w:numPr>
        <w:autoSpaceDE/>
        <w:autoSpaceDN/>
        <w:jc w:val="both"/>
        <w:rPr>
          <w:i/>
          <w:iCs/>
          <w:noProof/>
          <w:color w:val="000000"/>
        </w:rPr>
      </w:pPr>
      <w:r w:rsidRPr="00452D57">
        <w:rPr>
          <w:i/>
          <w:noProof/>
          <w:color w:val="000000" w:themeColor="text1"/>
        </w:rPr>
        <w:t xml:space="preserve">udvikler obligatorisk uddannelse om bekæmpelse af korruption og integritet for alle embedsmænd, der deltager i processer vedrørende underliggende dokumenter, med regelmæssige opfriskningsforløb og struktureret opfølgning </w:t>
      </w:r>
    </w:p>
    <w:p w14:paraId="00861546" w14:textId="3872BFE4" w:rsidR="00D83F61" w:rsidRPr="00452D57" w:rsidRDefault="00BA59E2" w:rsidP="00D83F61">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indfører standardiserede operationelle procedurer for indberetning, afsløring og undersøgelse af uredelighed og integritetsbrud, som involverer embedsmænd med ansvar for håndtering af pas, identitetskort og andre underliggende dokumenter, og derved sikrer effektiv ansvarlighed.</w:t>
      </w:r>
    </w:p>
    <w:p w14:paraId="146DEED9" w14:textId="77777777" w:rsidR="00D83F61" w:rsidRPr="00452D57" w:rsidRDefault="00D83F61" w:rsidP="005E6AF1">
      <w:pPr>
        <w:rPr>
          <w:noProof/>
        </w:rPr>
      </w:pPr>
    </w:p>
    <w:p w14:paraId="762EF9AB" w14:textId="77777777" w:rsidR="005E6AF1" w:rsidRPr="00452D57" w:rsidRDefault="005E6AF1" w:rsidP="005E6AF1">
      <w:pPr>
        <w:rPr>
          <w:noProof/>
        </w:rPr>
      </w:pPr>
    </w:p>
    <w:p w14:paraId="6A86809B" w14:textId="13CE026B" w:rsidR="00722B49" w:rsidRPr="00452D57" w:rsidRDefault="00722B49" w:rsidP="00722B49">
      <w:pPr>
        <w:pStyle w:val="ListParagraph"/>
        <w:numPr>
          <w:ilvl w:val="0"/>
          <w:numId w:val="1"/>
        </w:numPr>
        <w:rPr>
          <w:noProof/>
        </w:rPr>
      </w:pPr>
      <w:r w:rsidRPr="00452D57">
        <w:rPr>
          <w:noProof/>
        </w:rPr>
        <w:t>Blok 2: Integreret grænseforvaltning, migrationsstyring og asyl</w:t>
      </w:r>
    </w:p>
    <w:p w14:paraId="283DC6C6" w14:textId="77777777" w:rsidR="006622EE" w:rsidRPr="00452D57" w:rsidRDefault="006622EE" w:rsidP="006622EE">
      <w:pPr>
        <w:pStyle w:val="ListParagraph"/>
        <w:rPr>
          <w:noProof/>
        </w:rPr>
      </w:pPr>
    </w:p>
    <w:p w14:paraId="0552062A" w14:textId="6857AF7D" w:rsidR="00FF58B1" w:rsidRPr="00452D57" w:rsidRDefault="00FF58B1" w:rsidP="00FF58B1">
      <w:pPr>
        <w:pStyle w:val="ListParagraph"/>
        <w:numPr>
          <w:ilvl w:val="1"/>
          <w:numId w:val="1"/>
        </w:numPr>
        <w:rPr>
          <w:noProof/>
        </w:rPr>
      </w:pPr>
      <w:r w:rsidRPr="00452D57">
        <w:rPr>
          <w:noProof/>
        </w:rPr>
        <w:t>Integreret grænseforvaltning og visumpolitik</w:t>
      </w:r>
    </w:p>
    <w:p w14:paraId="03514207" w14:textId="77777777" w:rsidR="00F618EC" w:rsidRPr="00452D57" w:rsidRDefault="00F618EC" w:rsidP="00F618EC">
      <w:pPr>
        <w:adjustRightInd w:val="0"/>
        <w:jc w:val="both"/>
        <w:rPr>
          <w:b/>
          <w:bCs/>
          <w:noProof/>
          <w:color w:val="000000" w:themeColor="text1"/>
        </w:rPr>
      </w:pPr>
    </w:p>
    <w:p w14:paraId="5F5EA5DD"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den retlige og institutionelle ramme for grænseforvaltning i overensstemmelse med EU-standarder og internationale standarder, herunder for så vidt angår datasikkerhed og omfattende kontrol med grænserne, samt sikring af et effektivt samarbejde mellem myndighederne for alle de organer, der er involveret i grænseforvaltning.</w:t>
      </w:r>
    </w:p>
    <w:p w14:paraId="1660DCD5" w14:textId="77777777" w:rsidR="00117DFA" w:rsidRPr="00452D57" w:rsidRDefault="00117DFA" w:rsidP="00117DFA">
      <w:pPr>
        <w:pStyle w:val="paragraph"/>
        <w:spacing w:before="0" w:beforeAutospacing="0" w:after="0" w:afterAutospacing="0"/>
        <w:jc w:val="both"/>
        <w:textAlignment w:val="baseline"/>
        <w:rPr>
          <w:b/>
          <w:bCs/>
          <w:noProof/>
          <w:color w:val="000000" w:themeColor="text1"/>
          <w:sz w:val="22"/>
          <w:szCs w:val="22"/>
        </w:rPr>
      </w:pPr>
    </w:p>
    <w:p w14:paraId="2E2BD4A1" w14:textId="29A00217" w:rsidR="00117DFA" w:rsidRPr="00452D57" w:rsidRDefault="007B72F1" w:rsidP="005C2B11">
      <w:pPr>
        <w:jc w:val="both"/>
        <w:rPr>
          <w:rFonts w:eastAsia="Calibri"/>
          <w:i/>
          <w:noProof/>
        </w:rPr>
      </w:pPr>
      <w:r w:rsidRPr="00452D57">
        <w:rPr>
          <w:noProof/>
        </w:rPr>
        <w:t xml:space="preserve">I løbet af de sidste to år har Armeniens nationale sikkerhedstjeneste og dens grænseværn gradvis påtaget sig et yderligere ansvar for grænsekontrol i Armenien. Som følge af denne igangværende overdragelse af ansvaret har det armenske grænseværn det fulde ansvar for ind- og udrejsekontrol ved alle eksisterende grænseovergangssteder til Georgien og Iran samt ved landets internationale lufthavne. Statsgrænserne til Aserbajdsjan og Tyrkiet er fortsat lukkede. Siden januar 2025 er Armeniens grønne grænser til Iran og Tyrkiet blevet patruljeret i fællesskab med russiske grænsevagter. </w:t>
      </w:r>
    </w:p>
    <w:p w14:paraId="19977C01" w14:textId="77777777" w:rsidR="00A765AD" w:rsidRPr="00452D57" w:rsidRDefault="00A765AD" w:rsidP="00A765AD">
      <w:pPr>
        <w:jc w:val="both"/>
        <w:rPr>
          <w:noProof/>
        </w:rPr>
      </w:pPr>
    </w:p>
    <w:p w14:paraId="578724FE" w14:textId="3DE3043B" w:rsidR="00FF5200" w:rsidRPr="00452D57" w:rsidRDefault="00FF5200" w:rsidP="00FF5200">
      <w:pPr>
        <w:jc w:val="both"/>
        <w:rPr>
          <w:noProof/>
        </w:rPr>
      </w:pPr>
      <w:r w:rsidRPr="00452D57">
        <w:rPr>
          <w:noProof/>
        </w:rPr>
        <w:t>Armenien bør tage skridt til at udarbejde specifik lovgivning for at styrke samarbejdet mellem myndighederne og informationsudvekslingen, eftersom disse vil være afgørende for en vellykket gennemførelse af konceptet om integreret grænseforvaltning. På nuværende tidspunkt er grænseforvaltningen og de tilknyttede retshåndhævelsesaktiviteter i landet i vid udstrækning adskilt. Operative efterretninger udveksles ikke systematisk mellem de nationale myndigheder, der arbejder på dette område, og de enkelte myndigheder har tendens til selv at skride ind over for lovovertrædelser, der opdages inden for deres eget ansvarsområde.</w:t>
      </w:r>
    </w:p>
    <w:p w14:paraId="76A314F6" w14:textId="77777777" w:rsidR="00FF5200" w:rsidRPr="00452D57" w:rsidRDefault="00FF5200" w:rsidP="00FF5200">
      <w:pPr>
        <w:jc w:val="both"/>
        <w:rPr>
          <w:noProof/>
          <w:lang w:eastAsia="x-none"/>
        </w:rPr>
      </w:pPr>
    </w:p>
    <w:p w14:paraId="696828C3" w14:textId="77777777" w:rsidR="00FF5200" w:rsidRPr="00452D57" w:rsidRDefault="00FF5200" w:rsidP="00FF5200">
      <w:pPr>
        <w:jc w:val="both"/>
        <w:rPr>
          <w:noProof/>
        </w:rPr>
      </w:pPr>
      <w:r w:rsidRPr="00452D57">
        <w:rPr>
          <w:noProof/>
        </w:rPr>
        <w:t xml:space="preserve">For at afhjælpe disse mangler er det nødvendigt, at Armenien styrker informationsudvekslingen mellem myndighederne og de analytiske kapaciteter, herunder ved hjælp af i) fælles risikoanalyser, ii) risikoprofiler og iii) forbedret overvågning. I denne sammenhæng ville et strategisk skifte fra en reaktiv indsats til en efterretningsbaseret politimodel i væsentlig grad øge effektiviteten af grænseforvaltningen og den indre sikkerhed. </w:t>
      </w:r>
    </w:p>
    <w:p w14:paraId="5CE9372C" w14:textId="77777777" w:rsidR="00FF5200" w:rsidRPr="00452D57" w:rsidRDefault="00FF5200" w:rsidP="003E27EA">
      <w:pPr>
        <w:jc w:val="both"/>
        <w:rPr>
          <w:noProof/>
        </w:rPr>
      </w:pPr>
    </w:p>
    <w:p w14:paraId="4D0DE647"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Vedtagelse af en national strategi for integreret grænseforvaltning og en handlingsplan i overensstemmelse med internationale standarder, som indeholder en klar tidsplan, strategiske og specifikke mål samt gennemførelsesforanstaltninger, detaljerede milepæle, resultatindikatorer og kontrolmekanismer for den videre udvikling af lovgivning, organisation, infrastruktur, udstyr og tilstrækkelige menneskelige og finansielle ressourcer inden for grænse- og tilbagesendelsesforvaltning samt internationalt samarbejde.</w:t>
      </w:r>
    </w:p>
    <w:p w14:paraId="59B54E00" w14:textId="77777777" w:rsidR="00B2270D" w:rsidRPr="00452D57" w:rsidRDefault="00B2270D" w:rsidP="00B2270D">
      <w:pPr>
        <w:pStyle w:val="paragraph"/>
        <w:spacing w:before="0" w:beforeAutospacing="0" w:after="0" w:afterAutospacing="0"/>
        <w:jc w:val="both"/>
        <w:textAlignment w:val="baseline"/>
        <w:rPr>
          <w:b/>
          <w:bCs/>
          <w:noProof/>
          <w:color w:val="000000" w:themeColor="text1"/>
          <w:sz w:val="22"/>
          <w:szCs w:val="22"/>
        </w:rPr>
      </w:pPr>
    </w:p>
    <w:p w14:paraId="4F07B246" w14:textId="0C967CB1" w:rsidR="00A765E9" w:rsidRPr="00452D57" w:rsidRDefault="00A765E9" w:rsidP="00A765E9">
      <w:pPr>
        <w:jc w:val="both"/>
        <w:rPr>
          <w:noProof/>
        </w:rPr>
      </w:pPr>
      <w:r w:rsidRPr="00452D57">
        <w:rPr>
          <w:noProof/>
        </w:rPr>
        <w:t xml:space="preserve">Den ændrede rolle og de ændrede ansvarsområder for de armenske grænsevagter vil kræve en tilsvarende reform af deres uddannelsessystem. En sådan reform er afgørende for at sikre, at de faglige standarder for grænsekontrol og ind- og udrejsekontrol opfyldes fuldt ud og opretholdes på bæredygtig vis, navnlig i lyset af den fremtidige indførelse af modellen for integreret grænseforvaltning. Denne model kræver et intensivt operationelt samarbejde mellem de forskellige myndigheder, der er involveret i grænseforvaltning, herunder grænsevagten, politiet, migrationsmyndighederne og toldvæsenet. </w:t>
      </w:r>
    </w:p>
    <w:p w14:paraId="663948FF" w14:textId="77777777" w:rsidR="00A765E9" w:rsidRPr="00452D57" w:rsidRDefault="00A765E9" w:rsidP="00B2270D">
      <w:pPr>
        <w:jc w:val="both"/>
        <w:rPr>
          <w:noProof/>
        </w:rPr>
      </w:pPr>
    </w:p>
    <w:p w14:paraId="33625E44" w14:textId="29129047" w:rsidR="000E1B2F" w:rsidRPr="00452D57" w:rsidRDefault="00B2270D" w:rsidP="00B2270D">
      <w:pPr>
        <w:jc w:val="both"/>
        <w:rPr>
          <w:noProof/>
        </w:rPr>
      </w:pPr>
      <w:r w:rsidRPr="00452D57">
        <w:rPr>
          <w:noProof/>
        </w:rPr>
        <w:t xml:space="preserve">De armenske myndigheder har udarbejdet et konceptpapir om den fremtidige integrerede grænseforvaltning, som blev godkendt af premierministeren. På grundlag af dette konceptpapir er udkastet til strategien for integreret grænseforvaltning og handlingsplanen for 2026-2029 ved at blive udarbejdet med støtte fra EU. </w:t>
      </w:r>
    </w:p>
    <w:p w14:paraId="38AF68B0" w14:textId="77777777" w:rsidR="00B2270D" w:rsidRPr="00452D57" w:rsidRDefault="00B2270D" w:rsidP="00B2270D">
      <w:pPr>
        <w:jc w:val="both"/>
        <w:rPr>
          <w:noProof/>
          <w:lang w:eastAsia="x-none"/>
        </w:rPr>
      </w:pPr>
    </w:p>
    <w:p w14:paraId="2D12B32E" w14:textId="130BD10B" w:rsidR="000507DC" w:rsidRPr="00452D57" w:rsidRDefault="000507DC" w:rsidP="00764F22">
      <w:pPr>
        <w:jc w:val="both"/>
        <w:rPr>
          <w:bCs/>
          <w:noProof/>
        </w:rPr>
      </w:pPr>
      <w:r w:rsidRPr="00452D57">
        <w:rPr>
          <w:noProof/>
        </w:rPr>
        <w:t xml:space="preserve">Grænseværnets internationale samarbejde befinder sig stadig på et tidligt stadium. Der har siden 2012 været en arbejdsordning mellem det nationale sikkerhedsråd og Frontex. En ny arbejdsordning mellem Frontex og de relevante armenske myndigheder er ved at blive etableret. </w:t>
      </w:r>
    </w:p>
    <w:p w14:paraId="76E2B178" w14:textId="77777777" w:rsidR="00B2270D" w:rsidRPr="00452D57" w:rsidRDefault="00B2270D" w:rsidP="00B2270D">
      <w:pPr>
        <w:pStyle w:val="paragraph"/>
        <w:spacing w:before="0" w:beforeAutospacing="0" w:after="0" w:afterAutospacing="0"/>
        <w:jc w:val="both"/>
        <w:textAlignment w:val="baseline"/>
        <w:rPr>
          <w:b/>
          <w:bCs/>
          <w:noProof/>
          <w:color w:val="000000" w:themeColor="text1"/>
          <w:sz w:val="22"/>
          <w:szCs w:val="22"/>
        </w:rPr>
      </w:pPr>
    </w:p>
    <w:p w14:paraId="29481E37" w14:textId="6124BE8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Vedtagelse af et etisk kodeks og uddannelsesprogrammer om bekæmpelse af korruption og organiseret kriminalitet, respekt for grundlæggende rettigheder, henvisnings- og asylprocedurer, der er relevante for grænseforvaltningen, samt bekæmpelse af smugling af migranter og menneskehandel, der specifikt omfatter alle de nationale myndigheder, der er involveret i integreret grænseforvaltning.</w:t>
      </w:r>
    </w:p>
    <w:p w14:paraId="461888EB" w14:textId="77777777" w:rsidR="00F616CA" w:rsidRPr="00452D57" w:rsidRDefault="00F616CA" w:rsidP="00F616CA">
      <w:pPr>
        <w:pStyle w:val="paragraph"/>
        <w:spacing w:before="0" w:beforeAutospacing="0" w:after="0" w:afterAutospacing="0"/>
        <w:jc w:val="both"/>
        <w:textAlignment w:val="baseline"/>
        <w:rPr>
          <w:b/>
          <w:bCs/>
          <w:noProof/>
          <w:sz w:val="22"/>
          <w:szCs w:val="22"/>
        </w:rPr>
      </w:pPr>
    </w:p>
    <w:p w14:paraId="21069FCA" w14:textId="3CA64DA6" w:rsidR="00C762B0" w:rsidRPr="00452D57" w:rsidRDefault="00F616CA" w:rsidP="00F616CA">
      <w:pPr>
        <w:jc w:val="both"/>
        <w:rPr>
          <w:noProof/>
        </w:rPr>
      </w:pPr>
      <w:r w:rsidRPr="00452D57">
        <w:rPr>
          <w:noProof/>
        </w:rPr>
        <w:t xml:space="preserve">Det adfærdskodeks for personalet i Armeniens nationale sikkerhedsorganer, der blev vedtaget i maj 2025, fastlægger en retlig ramme, som også gælder for grænseværnets personale, og som omfatter både adfærd under tjenesten og en bred vifte af situationer uden for tjenesten. Desuden vedtog den nationale sikkerhedstjeneste i februar 2026 et særskilt nyt adfærdskodeks for grænseværnet, som er baseret på EU-retningslinjer. </w:t>
      </w:r>
    </w:p>
    <w:p w14:paraId="1B79D9AB" w14:textId="77777777" w:rsidR="00882783" w:rsidRPr="00452D57" w:rsidRDefault="00882783" w:rsidP="00F616CA">
      <w:pPr>
        <w:jc w:val="both"/>
        <w:rPr>
          <w:noProof/>
        </w:rPr>
      </w:pPr>
    </w:p>
    <w:p w14:paraId="3370B48D" w14:textId="18E5359B" w:rsidR="00F616CA" w:rsidRPr="00452D57" w:rsidRDefault="00F616CA" w:rsidP="00F616CA">
      <w:pPr>
        <w:jc w:val="both"/>
        <w:rPr>
          <w:noProof/>
        </w:rPr>
      </w:pPr>
      <w:r w:rsidRPr="00452D57">
        <w:rPr>
          <w:noProof/>
        </w:rPr>
        <w:t>Disse fastlægger sammenhængende og konsekvente principper vedrørende hensynet til offentlighedens interesse samt lovlighed, upartiskhed og objektivitet, ikkeforskelsbehandling, respekt for sårbare personer, standarder for bekæmpelse af korruption samt passende professionel fremtoning og adfærd. Bestemmelserne i disse tekster om respektfuld behandling af sårbare personer, procedurer for behandling af klager og begrænsninger for visitationer er detaljerede og velegnede til den særlige kontekst, som grænsekontrol udgør. Desuden indeholder reglerne for adfærd solide bestemmelser om bekæmpelse af korruption, herunder begrænsninger for gaver og krav vedrørende interessekonflikter, som er afstemt med den bredere nationale ramme for integritet.</w:t>
      </w:r>
    </w:p>
    <w:p w14:paraId="05CB5699" w14:textId="77777777" w:rsidR="00F616CA" w:rsidRPr="00452D57" w:rsidRDefault="00F616CA" w:rsidP="00F616CA">
      <w:pPr>
        <w:jc w:val="both"/>
        <w:rPr>
          <w:noProof/>
          <w:lang w:eastAsia="x-none"/>
        </w:rPr>
      </w:pPr>
    </w:p>
    <w:p w14:paraId="7AEB2FFF" w14:textId="0EC4BABC" w:rsidR="00F616CA" w:rsidRPr="00452D57" w:rsidRDefault="00F616CA" w:rsidP="00F616CA">
      <w:pPr>
        <w:jc w:val="both"/>
        <w:rPr>
          <w:noProof/>
        </w:rPr>
      </w:pPr>
      <w:r w:rsidRPr="00452D57">
        <w:rPr>
          <w:noProof/>
        </w:rPr>
        <w:t xml:space="preserve">Det videnskabelige uddannelsescenter under Armeniens nationale sikkerhedstjeneste tilbyder regelmæssig faglig uddannelse og efteruddannelse til officerer i grænseværnet. Uddannelsen er opdelt i korte kurser samt længere forløb på op til en måned, ofte afholdt på stedet. Ifølge de armenske myndigheder er det planen fra midten af 2026 at integrere yderligere moduler i grænseværnets uddannelsesprogrammer, der dækker emner som forebyggelse af korruption og bekæmpelse af ulovlig narkotikahandel, smugling og organiseret kriminalitet. </w:t>
      </w:r>
    </w:p>
    <w:p w14:paraId="2B9D4A11" w14:textId="77777777" w:rsidR="00F616CA" w:rsidRPr="00452D57" w:rsidRDefault="00F616CA" w:rsidP="00F616CA">
      <w:pPr>
        <w:jc w:val="both"/>
        <w:rPr>
          <w:noProof/>
          <w:lang w:eastAsia="x-none"/>
        </w:rPr>
      </w:pPr>
    </w:p>
    <w:p w14:paraId="4C2F2E8A" w14:textId="0DDBA949" w:rsidR="00F616CA" w:rsidRPr="00452D57" w:rsidRDefault="00F616CA" w:rsidP="00F616CA">
      <w:pPr>
        <w:jc w:val="both"/>
        <w:rPr>
          <w:noProof/>
        </w:rPr>
      </w:pPr>
      <w:r w:rsidRPr="00452D57">
        <w:rPr>
          <w:noProof/>
        </w:rPr>
        <w:t>Parallelt hermed fastlægger reglerne for adfærd og etik for toldmedarbejdere, der blev vedtaget den 12.</w:t>
      </w:r>
      <w:r w:rsidR="007644A8">
        <w:rPr>
          <w:noProof/>
        </w:rPr>
        <w:t> </w:t>
      </w:r>
      <w:r w:rsidRPr="00452D57">
        <w:rPr>
          <w:noProof/>
        </w:rPr>
        <w:t xml:space="preserve">august 2025, adfærdsstandarder for toldpersonalet, herunder bestemmelser om interessekonflikter, grænser for gaver og gaveregistre, fortrolighedsforpligtelser og adfærd i kontakten med offentligheden. Disse standarder er i overensstemmelse med internationale rammer for integritet, der finder anvendelse på toldmyndigheder. </w:t>
      </w:r>
    </w:p>
    <w:p w14:paraId="49193F18" w14:textId="77777777" w:rsidR="00F616CA" w:rsidRPr="00452D57" w:rsidRDefault="00F616CA" w:rsidP="00F616CA">
      <w:pPr>
        <w:jc w:val="both"/>
        <w:rPr>
          <w:noProof/>
          <w:lang w:eastAsia="x-none"/>
        </w:rPr>
      </w:pPr>
    </w:p>
    <w:p w14:paraId="68966930" w14:textId="1480AB79" w:rsidR="00F616CA" w:rsidRPr="00452D57" w:rsidRDefault="00F616CA" w:rsidP="00F616CA">
      <w:pPr>
        <w:jc w:val="both"/>
        <w:rPr>
          <w:noProof/>
        </w:rPr>
      </w:pPr>
      <w:r w:rsidRPr="00452D57">
        <w:rPr>
          <w:noProof/>
        </w:rPr>
        <w:t xml:space="preserve">Udkastet til konceptpapir for 2026-2029 om udvikling af grænseværnets kapacitet inden for rammerne af systemet for integreret grænseforvaltning afspejler grænseværnets hensigt om at gennemføre reformer vedrørende integritet, øge gennemsigtigheden og ansvarligheden, indføre foranstaltninger til bekæmpelse af korruption samt anvende værktøjer til vurdering af integritets- og korruptionsrisici og revisionsmekanismer. </w:t>
      </w:r>
    </w:p>
    <w:p w14:paraId="6D4E3EBC" w14:textId="77777777" w:rsidR="00F616CA" w:rsidRPr="00452D57" w:rsidRDefault="00F616CA" w:rsidP="00F616CA">
      <w:pPr>
        <w:jc w:val="both"/>
        <w:rPr>
          <w:noProof/>
          <w:lang w:eastAsia="x-none"/>
        </w:rPr>
      </w:pPr>
    </w:p>
    <w:p w14:paraId="45D2F340" w14:textId="7A456A7A" w:rsidR="004A4658" w:rsidRPr="00452D57" w:rsidRDefault="00F616CA" w:rsidP="00F616CA">
      <w:pPr>
        <w:jc w:val="both"/>
        <w:rPr>
          <w:noProof/>
        </w:rPr>
      </w:pPr>
      <w:r w:rsidRPr="00452D57">
        <w:rPr>
          <w:noProof/>
        </w:rPr>
        <w:t>Endelig afholder Armeniens migrations- og statsborgerskabstjeneste regelmæssige uddannelsesforløb og koordineringsmøder med grænseværnets personale og planlægger at udvide lignende uddannelsesaktiviteter til relevante politibetjente. Formålet med disse uddannelsesforløb er at sikre en ensartet og konsekvent anvendelse af asyl- og henvisningsprocedurer på tværs af alle de myndigheder, der er involveret i grænseforvaltning, og dermed styrke overholdelsen af internationale beskyttelsesstandarder. CEPOL yder støtte til de nationale myndigheder i deres bestræbelser på at udvikle retshåndhævelsesmyndighedernes kapacitet i overensstemmelse med EU-standarder og -praksis på områder som menneskerettigheder og bekæmpelse af smugling af migranter og menneskehandel. Grænseværnet modtager også uddannelse i internationale og nationale standarder for beskyttelse af flygtninge fra UNHCR. FN-agenturet foretager regelmæssig beskyttelsesovervågning ved grænseovergangsstederne i samordning med migrations- og statsborgerskabstjenesten og menneskerettighedsombudsmandens kontor.</w:t>
      </w:r>
    </w:p>
    <w:p w14:paraId="2B80B29F" w14:textId="77777777" w:rsidR="00F618EC" w:rsidRPr="00452D57" w:rsidRDefault="00F618EC" w:rsidP="00F618EC">
      <w:pPr>
        <w:rPr>
          <w:noProof/>
        </w:rPr>
      </w:pPr>
    </w:p>
    <w:p w14:paraId="18113CD6" w14:textId="0C5A2CD5" w:rsidR="00FF58B1" w:rsidRPr="00452D57" w:rsidRDefault="00FF58B1" w:rsidP="00FF58B1">
      <w:pPr>
        <w:pStyle w:val="ListParagraph"/>
        <w:numPr>
          <w:ilvl w:val="1"/>
          <w:numId w:val="1"/>
        </w:numPr>
        <w:rPr>
          <w:noProof/>
        </w:rPr>
      </w:pPr>
      <w:r w:rsidRPr="00452D57">
        <w:rPr>
          <w:noProof/>
        </w:rPr>
        <w:t xml:space="preserve">Migrationsstyring </w:t>
      </w:r>
    </w:p>
    <w:p w14:paraId="6B3DBCDE" w14:textId="77777777" w:rsidR="00F618EC" w:rsidRPr="00452D57" w:rsidRDefault="00F618EC" w:rsidP="00F618EC">
      <w:pPr>
        <w:rPr>
          <w:noProof/>
        </w:rPr>
      </w:pPr>
    </w:p>
    <w:p w14:paraId="0829FB1C"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den retlige og institutionelle ramme for migrationspolitik i overensstemmelse med europæiske og internationale standarder, herunder med hensyn til lovlig migration/migration med henblik på arbejde, foranstaltninger til støtte af integration af udlændinge og reintegration af armenske statsborgere (der enten vender hjem frivilligt eller ufrivilligt) og til bekæmpelse af ulovlig migration (herunder fortsatte forhandlinger om tilbagetagelsesaftaler med de vigtigste oprindelseslande og/eller transitlande og national afsløring af ulovlige indvandrere)</w:t>
      </w:r>
    </w:p>
    <w:p w14:paraId="59FFB780" w14:textId="77777777" w:rsidR="00301E8C" w:rsidRPr="00452D57" w:rsidRDefault="00301E8C" w:rsidP="00301E8C">
      <w:pPr>
        <w:pStyle w:val="paragraph"/>
        <w:spacing w:before="0" w:beforeAutospacing="0" w:after="0" w:afterAutospacing="0"/>
        <w:jc w:val="both"/>
        <w:textAlignment w:val="baseline"/>
        <w:rPr>
          <w:b/>
          <w:bCs/>
          <w:noProof/>
          <w:color w:val="000000" w:themeColor="text1"/>
          <w:sz w:val="22"/>
          <w:szCs w:val="22"/>
        </w:rPr>
      </w:pPr>
    </w:p>
    <w:p w14:paraId="0375488F" w14:textId="19DAB329" w:rsidR="00301E8C" w:rsidRPr="00452D57" w:rsidRDefault="00301E8C" w:rsidP="6B5C554C">
      <w:pPr>
        <w:jc w:val="both"/>
        <w:rPr>
          <w:noProof/>
        </w:rPr>
      </w:pPr>
      <w:r w:rsidRPr="00452D57">
        <w:rPr>
          <w:noProof/>
        </w:rPr>
        <w:t>Armenien har i de seneste år gennemført omfattende retlige, institutionelle og operationelle reformer for at modernisere rammen for migrationsstyring i overensstemmelse med den armenske regerings program for 2021-2026, som også støttes af flere EU-finansierede projekter. Disse reformer har til formål at styrke den institutionelle kapacitet, sikre en mere effektiv styring af migrationsstrømme og styrke processerne vedrørende integration, asyl og tilbagetagelse. Det centrale element har været oprettelsen af migrations- og statsborgerskabstjenesten under indenrigsministeriet, som blev operationel i februar 2024, og som støttes af flere EU-finansierede projekter gennemført af Den Internationale Organisation for Migration (IOM) og Det Internationale Center for Udvikling af Migrationspolitikker (CIDM).</w:t>
      </w:r>
    </w:p>
    <w:p w14:paraId="55782D28" w14:textId="2825BA2C" w:rsidR="00301E8C" w:rsidRPr="00452D57" w:rsidRDefault="00301E8C" w:rsidP="00301E8C">
      <w:pPr>
        <w:jc w:val="both"/>
        <w:rPr>
          <w:noProof/>
        </w:rPr>
      </w:pPr>
      <w:r w:rsidRPr="00452D57">
        <w:rPr>
          <w:noProof/>
        </w:rPr>
        <w:t xml:space="preserve"> </w:t>
      </w:r>
    </w:p>
    <w:p w14:paraId="7E693616" w14:textId="3D9C8836" w:rsidR="00301E8C" w:rsidRPr="00452D57" w:rsidRDefault="00BF307E" w:rsidP="00301E8C">
      <w:pPr>
        <w:jc w:val="both"/>
        <w:rPr>
          <w:noProof/>
        </w:rPr>
      </w:pPr>
      <w:r w:rsidRPr="00452D57">
        <w:rPr>
          <w:noProof/>
        </w:rPr>
        <w:t xml:space="preserve">En del af Armeniens igangværende reformbestræbelser på migrationsområdet har været fokuseret på digitalisering af befolknings- og migrationsstyringssystemerne, såsom bestemmelserne i loven om det statslige folkeregister, der blev vedtaget den 3. juli 2025, og som efter planen træder i kraft den 1. januar 2027. Ud over oplysninger om armenske statsborgere vil det nye register omfatte oplysninger om alle udlændinge, der lovligt opholder sig i Armenien. Loven danner grundlag for oprettelsen af et samlet folkeregister, der samler alle personoplysninger, demografiske oplysninger og civilstandsoplysninger i ét informationssystem. </w:t>
      </w:r>
    </w:p>
    <w:p w14:paraId="254CF30A" w14:textId="77777777" w:rsidR="00301E8C" w:rsidRPr="00452D57" w:rsidRDefault="00301E8C" w:rsidP="00301E8C">
      <w:pPr>
        <w:jc w:val="both"/>
        <w:rPr>
          <w:noProof/>
          <w:lang w:eastAsia="x-none"/>
        </w:rPr>
      </w:pPr>
    </w:p>
    <w:p w14:paraId="246B79B9" w14:textId="54DFA2A1" w:rsidR="00972855" w:rsidRPr="00452D57" w:rsidRDefault="00301E8C" w:rsidP="00301E8C">
      <w:pPr>
        <w:jc w:val="both"/>
        <w:rPr>
          <w:noProof/>
        </w:rPr>
      </w:pPr>
      <w:r w:rsidRPr="00452D57">
        <w:rPr>
          <w:noProof/>
        </w:rPr>
        <w:t xml:space="preserve">Parallelt hermed er Armenien gået videre med reformer til digitalisering af administrative tjenester vedrørende statsborgerskab og lovligt ophold. Den 22. januar 2025 blev der vedtaget ændringer til loven om statsborgerskab, som indfører elektroniske procedurer for ansøgninger om erhvervelse eller ophør af armensk statsborgerskab. Det elektroniske sagsbehandlingssystem for statsborgerskab blev officielt lanceret den 1. januar 2026. Det giver mulighed for digital sagsbehandling, reducerer de administrative byrder og forbedrer effektiviteten. Digitaliseringen af procedurerne for arbejdstilladelser og opholdstilladelser for udenlandske statsborgere indgår også i ændringerne til loven om udlændinge, som blev vedtaget i januar 2026, og som træder i kraft i november 2026.  </w:t>
      </w:r>
    </w:p>
    <w:p w14:paraId="2B4CFCDA" w14:textId="77777777" w:rsidR="006D1CC7" w:rsidRPr="00452D57" w:rsidRDefault="006D1CC7" w:rsidP="00301E8C">
      <w:pPr>
        <w:jc w:val="both"/>
        <w:rPr>
          <w:noProof/>
          <w:lang w:eastAsia="x-none"/>
        </w:rPr>
      </w:pPr>
    </w:p>
    <w:p w14:paraId="5FD3DC7F" w14:textId="6A584E99" w:rsidR="00C27333" w:rsidRPr="00452D57" w:rsidRDefault="00657127" w:rsidP="00770BD0">
      <w:pPr>
        <w:jc w:val="both"/>
        <w:rPr>
          <w:noProof/>
        </w:rPr>
      </w:pPr>
      <w:r w:rsidRPr="00452D57">
        <w:rPr>
          <w:noProof/>
        </w:rPr>
        <w:t xml:space="preserve">Et regeringsdekret tildelte i oktober 2023 karabakharmeniere (i alt 115 000) status som personer under midlertidig beskyttelse. I december 2025 forlængede regeringen denne midlertidige beskyttelse indtil den 31. december 2026. Migrations- og statsborgerskabstjenesten gennemfører oplysningskampagner om dette spørgsmål og har etableret fremskyndede procedurer for erhvervelse af statsborgerskab for fordrevne personer. Mellem 2023 og medio marts 2026 erhvervede i alt 34 567 personer med status som personer under midlertidig beskyttelse armensk statsborgerskab. Alle ansøgere omfattet af dette program har indtil videre fået armensk statsborgerskab. </w:t>
      </w:r>
    </w:p>
    <w:p w14:paraId="4B9CE6C1" w14:textId="77777777" w:rsidR="00C27333" w:rsidRPr="00452D57" w:rsidRDefault="00C27333" w:rsidP="00770BD0">
      <w:pPr>
        <w:jc w:val="both"/>
        <w:rPr>
          <w:noProof/>
        </w:rPr>
      </w:pPr>
    </w:p>
    <w:p w14:paraId="22AB8BCC" w14:textId="557D300C" w:rsidR="00770BD0" w:rsidRPr="00452D57" w:rsidRDefault="00770BD0" w:rsidP="00770BD0">
      <w:pPr>
        <w:jc w:val="both"/>
        <w:rPr>
          <w:rFonts w:eastAsia="Segoe UI"/>
          <w:noProof/>
          <w:color w:val="333333"/>
        </w:rPr>
      </w:pPr>
      <w:r w:rsidRPr="00452D57">
        <w:rPr>
          <w:noProof/>
        </w:rPr>
        <w:t xml:space="preserve">Armenien gennemfører foranstaltninger til støtte for reintegrationen af tilbagevendende statsborgere. Støtten til reintegration ydes gennem en kombination af statslige programmer, donorfinansierede initiativer og civilsamfundets deltagelse. </w:t>
      </w:r>
    </w:p>
    <w:p w14:paraId="6282757F" w14:textId="77777777" w:rsidR="00E87C26" w:rsidRPr="00452D57" w:rsidRDefault="00E87C26" w:rsidP="00E87C26">
      <w:pPr>
        <w:jc w:val="both"/>
        <w:rPr>
          <w:noProof/>
          <w:lang w:eastAsia="x-none"/>
        </w:rPr>
      </w:pPr>
    </w:p>
    <w:p w14:paraId="68C13121" w14:textId="5401DE3A" w:rsidR="00E87C26" w:rsidRPr="00452D57" w:rsidRDefault="00E87C26" w:rsidP="00E87C26">
      <w:pPr>
        <w:jc w:val="both"/>
        <w:rPr>
          <w:noProof/>
        </w:rPr>
      </w:pPr>
      <w:r w:rsidRPr="00452D57">
        <w:rPr>
          <w:noProof/>
        </w:rPr>
        <w:t>Repatrierings- og integrationscentret, der blev oprettet i 2023 af kontoret for Armeniens højkommissær for diasporaanliggender, fortsatte med at fungere som centralt kontaktpunkt for støtte til repatriering og reintegration. Centret yder konkret sagsbehandling og bistand vedrørende retlig status, adgang til offentlige tjenester, beskæftigelse, uddannelse, etablering af virksomheder og bredere socioøkonomisk integration, suppleret med sprogundervisning, integrationsseminarer og flersproget vejledningsmateriale.</w:t>
      </w:r>
    </w:p>
    <w:p w14:paraId="7EFEDB4B" w14:textId="77777777" w:rsidR="00CD15B2" w:rsidRPr="00452D57" w:rsidRDefault="00CD15B2" w:rsidP="00E87C26">
      <w:pPr>
        <w:jc w:val="both"/>
        <w:rPr>
          <w:noProof/>
          <w:lang w:eastAsia="x-none"/>
        </w:rPr>
      </w:pPr>
    </w:p>
    <w:p w14:paraId="51AB2D13" w14:textId="777F9530" w:rsidR="00301E8C" w:rsidRPr="00452D57" w:rsidRDefault="00301E8C" w:rsidP="00301E8C">
      <w:pPr>
        <w:jc w:val="both"/>
        <w:rPr>
          <w:noProof/>
        </w:rPr>
      </w:pPr>
      <w:r w:rsidRPr="00452D57">
        <w:rPr>
          <w:noProof/>
        </w:rPr>
        <w:t>Armenien fortsætter med at styrke sit samarbejde om tilbagetagelse med Den Europæiske Union, EU's medlemsstater og lande uden for EU. Den 21. juli 2025 undertegnede Armenien en bilateral tilbagetagelsesaftale med Georgien, som blev ratificeret af det armenske parlament den 19. januar 2026. Der er ved at blive udarbejdet yderligere aftaler med Ukraine, Kasakhstan, Kirgisistan, Island, Montenegro og Albanien, mens aftalen med Moldova er klar til undertegnelse. Armenien har også foreslået tilbagetagelsesaftaler med Irak og Indien.</w:t>
      </w:r>
    </w:p>
    <w:p w14:paraId="04706A69" w14:textId="77777777" w:rsidR="00301E8C" w:rsidRPr="00452D57" w:rsidRDefault="00301E8C" w:rsidP="00301E8C">
      <w:pPr>
        <w:jc w:val="both"/>
        <w:rPr>
          <w:noProof/>
          <w:lang w:eastAsia="x-none"/>
        </w:rPr>
      </w:pPr>
    </w:p>
    <w:p w14:paraId="67AEFB6F" w14:textId="639A5980" w:rsidR="00301E8C" w:rsidRPr="00452D57" w:rsidRDefault="00301E8C" w:rsidP="00301E8C">
      <w:pPr>
        <w:jc w:val="both"/>
        <w:rPr>
          <w:noProof/>
        </w:rPr>
      </w:pPr>
      <w:r w:rsidRPr="00452D57">
        <w:rPr>
          <w:noProof/>
        </w:rPr>
        <w:t>I 2025 indgav EU's medlemsstater 775 anmodninger om tilbagetagelse til Armenien, der som svar udstedte 479 nødpas. Som følge heraf blev 119 armeniere tilbagesendt med charterflyvninger med støtte fra Frontex i 2025. S</w:t>
      </w:r>
      <w:r w:rsidRPr="00452D57">
        <w:rPr>
          <w:noProof/>
          <w:color w:val="333333"/>
        </w:rPr>
        <w:t>iden juli 2022 har Armenien været omfattet af EU's reintegrationsprogram (EURP), som ledes af Frontex.</w:t>
      </w:r>
    </w:p>
    <w:p w14:paraId="53DEA795" w14:textId="77777777" w:rsidR="00CD15B2" w:rsidRPr="00452D57" w:rsidRDefault="00CD15B2" w:rsidP="00301E8C">
      <w:pPr>
        <w:jc w:val="both"/>
        <w:rPr>
          <w:noProof/>
        </w:rPr>
      </w:pPr>
    </w:p>
    <w:p w14:paraId="23215386" w14:textId="5658FA56" w:rsidR="00893420" w:rsidRPr="00452D57" w:rsidRDefault="00301E8C" w:rsidP="00893420">
      <w:pPr>
        <w:jc w:val="both"/>
        <w:rPr>
          <w:noProof/>
        </w:rPr>
      </w:pPr>
      <w:r w:rsidRPr="00452D57">
        <w:rPr>
          <w:noProof/>
        </w:rPr>
        <w:t>Opsporing inde i landet af irregulære migranter i Armenien sker efter en tilgang, der omfatter flere instanser. Konstaterede tilfælde henvises til migrations- og statsborgerskabstjenesten med henblik på vurdering af retlig status, iværksættelse af procedurer for international beskyttelse, når det er relevant, eller vedtagelse af afgørelser om tilbagesendelse i henhold til national lovgivning og tilbagetagelsesaftaler.</w:t>
      </w:r>
      <w:r w:rsidRPr="00452D57">
        <w:rPr>
          <w:i/>
          <w:noProof/>
        </w:rPr>
        <w:t xml:space="preserve"> </w:t>
      </w:r>
      <w:r w:rsidRPr="00452D57">
        <w:rPr>
          <w:noProof/>
        </w:rPr>
        <w:t>Selv om der findes en grundlæggende retlig og institutionel ramme, er den indenlandske opsporing fortsat i vid udstrækning reaktiv og sagsspecifik med begrænset analytisk støtte, risikobaseret målretning eller struktureret operationel koordinering mellem instanserne</w:t>
      </w:r>
      <w:r w:rsidRPr="00452D57">
        <w:rPr>
          <w:i/>
          <w:noProof/>
        </w:rPr>
        <w:t>.</w:t>
      </w:r>
      <w:r w:rsidRPr="00452D57">
        <w:rPr>
          <w:noProof/>
        </w:rPr>
        <w:t xml:space="preserve"> Niveauet for håndhævelse af afgørelser om tilbagesendelse og udvisning er fortsat lavt.</w:t>
      </w:r>
    </w:p>
    <w:p w14:paraId="2F985EF8" w14:textId="77777777" w:rsidR="00743590" w:rsidRPr="00452D57" w:rsidRDefault="00743590" w:rsidP="00893420">
      <w:pPr>
        <w:jc w:val="both"/>
        <w:rPr>
          <w:i/>
          <w:iCs/>
          <w:noProof/>
          <w:lang w:eastAsia="x-none"/>
        </w:rPr>
      </w:pPr>
    </w:p>
    <w:p w14:paraId="1C8BF35F" w14:textId="0EE3C46C" w:rsidR="00743590" w:rsidRPr="00452D57" w:rsidRDefault="00743590" w:rsidP="00893420">
      <w:pPr>
        <w:jc w:val="both"/>
        <w:rPr>
          <w:noProof/>
        </w:rPr>
      </w:pPr>
      <w:r w:rsidRPr="00452D57">
        <w:rPr>
          <w:noProof/>
        </w:rPr>
        <w:t>Hvad angår lovlig migration, har de armenske myndigheder gjort en indsats for at strømline ordningerne for arbejdstilladelser, forbedre rammerne for arbejdstilsyn og bringe deres politikker i overensstemmelse med internationale standarder.</w:t>
      </w:r>
    </w:p>
    <w:p w14:paraId="34BFE76A" w14:textId="77777777" w:rsidR="00301E8C" w:rsidRPr="00452D57" w:rsidRDefault="00301E8C" w:rsidP="00301E8C">
      <w:pPr>
        <w:pStyle w:val="paragraph"/>
        <w:spacing w:before="0" w:beforeAutospacing="0" w:after="0" w:afterAutospacing="0"/>
        <w:jc w:val="both"/>
        <w:textAlignment w:val="baseline"/>
        <w:rPr>
          <w:b/>
          <w:bCs/>
          <w:noProof/>
          <w:color w:val="000000" w:themeColor="text1"/>
          <w:sz w:val="22"/>
          <w:szCs w:val="22"/>
        </w:rPr>
      </w:pPr>
    </w:p>
    <w:p w14:paraId="4D930D74" w14:textId="77777777" w:rsidR="00F618EC" w:rsidRPr="00452D57" w:rsidRDefault="00F618EC" w:rsidP="00F618EC">
      <w:pPr>
        <w:pStyle w:val="paragraph"/>
        <w:numPr>
          <w:ilvl w:val="0"/>
          <w:numId w:val="3"/>
        </w:numPr>
        <w:spacing w:before="0" w:beforeAutospacing="0" w:after="0" w:afterAutospacing="0"/>
        <w:jc w:val="both"/>
        <w:textAlignment w:val="baseline"/>
        <w:rPr>
          <w:rFonts w:eastAsiaTheme="majorEastAsia"/>
          <w:b/>
          <w:bCs/>
          <w:noProof/>
          <w:color w:val="000000" w:themeColor="text1"/>
          <w:sz w:val="22"/>
          <w:szCs w:val="22"/>
        </w:rPr>
      </w:pPr>
      <w:r w:rsidRPr="00452D57">
        <w:rPr>
          <w:b/>
          <w:noProof/>
          <w:sz w:val="22"/>
        </w:rPr>
        <w:t>Vedtagelse af en national migrationsstrategi, som sikrer en effektiv anvendelse af migrationspolitikkens retlige aspekter, herunder standarder for grundlæggende rettigheder (også for børn), klare tidsrammer, formål, aktiviteter, resultater og resultatindikatorer, samt udarbejdelse og godkendelse af den relevante handlingsplan med de nødvendige menneskelige og finansielle ressourcer.</w:t>
      </w:r>
    </w:p>
    <w:p w14:paraId="55215F1B" w14:textId="5D676E99" w:rsidR="00477839" w:rsidRPr="00452D57" w:rsidRDefault="00477839" w:rsidP="00477839">
      <w:pPr>
        <w:pStyle w:val="paragraph"/>
        <w:spacing w:before="0" w:beforeAutospacing="0" w:after="0" w:afterAutospacing="0"/>
        <w:jc w:val="both"/>
        <w:textAlignment w:val="baseline"/>
        <w:rPr>
          <w:b/>
          <w:bCs/>
          <w:noProof/>
          <w:sz w:val="22"/>
          <w:szCs w:val="22"/>
        </w:rPr>
      </w:pPr>
    </w:p>
    <w:p w14:paraId="04B27D74" w14:textId="168612F4" w:rsidR="00100044" w:rsidRPr="00452D57" w:rsidRDefault="0061723D" w:rsidP="00477839">
      <w:pPr>
        <w:jc w:val="both"/>
        <w:rPr>
          <w:noProof/>
        </w:rPr>
      </w:pPr>
      <w:r w:rsidRPr="00452D57">
        <w:rPr>
          <w:noProof/>
        </w:rPr>
        <w:t xml:space="preserve">De armenske myndigheder er i øjeblikket ved at udarbejde en ny strategi for migration og statsborgerskab for 2026-2031 med støtte fra EU, som efter planen skal sendes i offentlig høring i midten af 2026. </w:t>
      </w:r>
    </w:p>
    <w:p w14:paraId="28B92873" w14:textId="77777777" w:rsidR="00100044" w:rsidRPr="00452D57" w:rsidRDefault="00100044" w:rsidP="00477839">
      <w:pPr>
        <w:jc w:val="both"/>
        <w:rPr>
          <w:noProof/>
        </w:rPr>
      </w:pPr>
    </w:p>
    <w:p w14:paraId="68F01DC4" w14:textId="5EE63B7F" w:rsidR="00477839" w:rsidRPr="00452D57" w:rsidRDefault="16C7242F" w:rsidP="00477839">
      <w:pPr>
        <w:jc w:val="both"/>
        <w:rPr>
          <w:noProof/>
        </w:rPr>
      </w:pPr>
      <w:r w:rsidRPr="00452D57">
        <w:rPr>
          <w:noProof/>
        </w:rPr>
        <w:t xml:space="preserve">Med denne fremtidige strategi har de armenske myndigheder til hensigt at indføre en integreret, evidensbaseret og fremadskuende ramme for styringen af alle dimensioner af menneskelig mobilitet, som skal tjene Armeniens demografiske modstandsdygtighed, udvikling af menneskelig kapital og internationale partnerskaber. Strategien ventes at varsle yderligere ændringer af den retlige ramme for migration, asyl og statsborgerskab. </w:t>
      </w:r>
    </w:p>
    <w:p w14:paraId="197ACDB8" w14:textId="77777777" w:rsidR="00477839" w:rsidRPr="00452D57" w:rsidRDefault="00477839" w:rsidP="00477839">
      <w:pPr>
        <w:pStyle w:val="paragraph"/>
        <w:spacing w:before="0" w:beforeAutospacing="0" w:after="0" w:afterAutospacing="0"/>
        <w:jc w:val="both"/>
        <w:textAlignment w:val="baseline"/>
        <w:rPr>
          <w:rStyle w:val="normaltextrun"/>
          <w:rFonts w:eastAsiaTheme="majorEastAsia"/>
          <w:b/>
          <w:bCs/>
          <w:noProof/>
          <w:color w:val="000000" w:themeColor="text1"/>
          <w:sz w:val="22"/>
          <w:szCs w:val="22"/>
        </w:rPr>
      </w:pPr>
    </w:p>
    <w:p w14:paraId="328A1BF5" w14:textId="0CF26A05" w:rsidR="00FF58B1" w:rsidRPr="00452D57" w:rsidRDefault="00FF58B1" w:rsidP="00FF58B1">
      <w:pPr>
        <w:pStyle w:val="ListParagraph"/>
        <w:numPr>
          <w:ilvl w:val="1"/>
          <w:numId w:val="1"/>
        </w:numPr>
        <w:rPr>
          <w:noProof/>
        </w:rPr>
      </w:pPr>
      <w:r w:rsidRPr="00452D57">
        <w:rPr>
          <w:noProof/>
        </w:rPr>
        <w:t xml:space="preserve">Asylpolitik </w:t>
      </w:r>
    </w:p>
    <w:p w14:paraId="1CE1D1E0" w14:textId="77777777" w:rsidR="00F618EC" w:rsidRPr="00452D57" w:rsidRDefault="00F618EC" w:rsidP="00F618EC">
      <w:pPr>
        <w:rPr>
          <w:noProof/>
        </w:rPr>
      </w:pPr>
    </w:p>
    <w:p w14:paraId="6B456B9D"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og tilnærmelse til europæiske og internationale standarder af den retlige og institutionelle ramme for asylpolitik i fuld overensstemmelse med princippet om non-refoulement samt ved medtagelse af subsidiær beskyttelse gennem vedtagelse af lovgivning, der sikrer praktisk adgang til retfærdige procedurer med henblik på identifikation af retsstilling, beskyttelse af rettigheder (fri bevægelighed, sundhedspleje, uddannelse, ikkeforskelsbehandling og øvrige arbejdsmæssige og sociale rettigheder), holdbare løsninger, herunder integration af personer, der ansøger om international beskyttelse, og personer, som nyder international beskyttelse, samt særlig hensyntagen til personer i en sårbar situation, herunder statsløse personer.</w:t>
      </w:r>
    </w:p>
    <w:p w14:paraId="7C19224A" w14:textId="77777777" w:rsidR="00F618EC" w:rsidRPr="00452D57" w:rsidRDefault="00F618EC" w:rsidP="00F618EC">
      <w:pPr>
        <w:rPr>
          <w:noProof/>
        </w:rPr>
      </w:pPr>
    </w:p>
    <w:p w14:paraId="4A529DF7" w14:textId="75378DBA" w:rsidR="00560AE5" w:rsidRPr="00452D57" w:rsidRDefault="00560AE5" w:rsidP="00DC7928">
      <w:pPr>
        <w:jc w:val="both"/>
        <w:rPr>
          <w:noProof/>
        </w:rPr>
      </w:pPr>
      <w:r w:rsidRPr="00452D57">
        <w:rPr>
          <w:noProof/>
        </w:rPr>
        <w:t xml:space="preserve">Armenien ratificerede konventionen af 1951 om flygtninges retsstilling og den tilhørende protokol af 1967 i 1993. </w:t>
      </w:r>
    </w:p>
    <w:p w14:paraId="6BBBCF6A" w14:textId="77777777" w:rsidR="00560AE5" w:rsidRPr="00452D57" w:rsidRDefault="00560AE5" w:rsidP="00DC7928">
      <w:pPr>
        <w:jc w:val="both"/>
        <w:rPr>
          <w:noProof/>
        </w:rPr>
      </w:pPr>
    </w:p>
    <w:p w14:paraId="50A41B4E" w14:textId="34AA0396" w:rsidR="00DC7928" w:rsidRPr="00452D57" w:rsidRDefault="00CD383C" w:rsidP="00DC7928">
      <w:pPr>
        <w:jc w:val="both"/>
        <w:rPr>
          <w:noProof/>
        </w:rPr>
      </w:pPr>
      <w:r w:rsidRPr="00452D57">
        <w:rPr>
          <w:noProof/>
        </w:rPr>
        <w:t>De armenske myndigheder sigter mod at styrke den retlige ramme for international beskyttelse, idet ændringerne til loven om flygtninge og asyl efter planen skal vedtages i parlamentet i andet halvår af 2026. Målet er yderligere at bringe landets nationale asylramme i overensstemmelse med EU-standarder og internationale standarder ved at fastsætte klart definerede former for international beskyttelse og sikre effektiv adgang til retfærdige og effektive asylprocedurer. Lovudkastet tager også sigte på at garantere adgang til retshjælp, sikre retfærdige og gennemsigtige procedurer understøttet af begrundede afgørelser, styrke garantierne for behandling af personoplysninger og forbedre de processuelle garantier for asylansøgere ved grænsen. Der planlægges særlige garantier for sårbare personer, herunder børn, samt for udenlandske statsborgere, der skal udleveres eller strafforfølges.</w:t>
      </w:r>
    </w:p>
    <w:p w14:paraId="2196F95A" w14:textId="77777777" w:rsidR="00100044" w:rsidRPr="00452D57" w:rsidRDefault="00100044" w:rsidP="00DC7928">
      <w:pPr>
        <w:jc w:val="both"/>
        <w:rPr>
          <w:noProof/>
        </w:rPr>
      </w:pPr>
    </w:p>
    <w:p w14:paraId="3D1FBD48" w14:textId="4F2CDB4F" w:rsidR="00100044" w:rsidRPr="00452D57" w:rsidRDefault="00100044" w:rsidP="00100044">
      <w:pPr>
        <w:jc w:val="both"/>
        <w:rPr>
          <w:noProof/>
        </w:rPr>
      </w:pPr>
      <w:r w:rsidRPr="00452D57">
        <w:rPr>
          <w:noProof/>
        </w:rPr>
        <w:t xml:space="preserve">Armenien er også ved at udarbejde et nyt lovudkast om statsløse personer. Den organisatoriske udvikling på dette område i de seneste år omfatter styrkede henvisningsmekanismer ved grænsen, forberedende arbejde hen imod oprettelsen af et elektronisk asylsagsbehandlingssystem og et øget samarbejde mellem institutioner i landet, der arbejder inden for migration, grænseforvaltning, retsvæsenet og institutioner for social beskyttelse. </w:t>
      </w:r>
    </w:p>
    <w:p w14:paraId="0B49FCF6" w14:textId="77777777" w:rsidR="00F05883" w:rsidRPr="00452D57" w:rsidRDefault="00F05883" w:rsidP="00100044">
      <w:pPr>
        <w:jc w:val="both"/>
        <w:rPr>
          <w:noProof/>
        </w:rPr>
      </w:pPr>
    </w:p>
    <w:p w14:paraId="45EC89CD" w14:textId="74D38B7B" w:rsidR="00100044" w:rsidRPr="00452D57" w:rsidRDefault="00100044" w:rsidP="00100044">
      <w:pPr>
        <w:jc w:val="both"/>
        <w:rPr>
          <w:noProof/>
        </w:rPr>
      </w:pPr>
      <w:r w:rsidRPr="00452D57">
        <w:rPr>
          <w:noProof/>
        </w:rPr>
        <w:t xml:space="preserve">Den afsluttende fase af opførelsen af et nyt midlertidigt indkvarteringscenter for asylansøgere nær Jerevan er i øjeblikket i gang. De første asylansøgere forventes at blive overført til de nye lokaler i løbet af 2026. Det nye center kan huse op til 100 personer. </w:t>
      </w:r>
    </w:p>
    <w:p w14:paraId="1E6F4A94" w14:textId="77777777" w:rsidR="00100044" w:rsidRPr="00452D57" w:rsidRDefault="00100044" w:rsidP="00100044">
      <w:pPr>
        <w:jc w:val="both"/>
        <w:rPr>
          <w:noProof/>
          <w:highlight w:val="yellow"/>
          <w:lang w:eastAsia="x-none"/>
        </w:rPr>
      </w:pPr>
    </w:p>
    <w:p w14:paraId="622121B8" w14:textId="77777777" w:rsidR="001B5683" w:rsidRPr="00452D57" w:rsidRDefault="001B5683" w:rsidP="00100044">
      <w:pPr>
        <w:jc w:val="both"/>
        <w:rPr>
          <w:noProof/>
          <w:highlight w:val="yellow"/>
          <w:lang w:eastAsia="x-none"/>
        </w:rPr>
      </w:pPr>
    </w:p>
    <w:p w14:paraId="5D9ED763" w14:textId="2D459EA8" w:rsidR="005E6AF1" w:rsidRPr="00452D57" w:rsidRDefault="005E6AF1" w:rsidP="005E6AF1">
      <w:pPr>
        <w:rPr>
          <w:noProof/>
        </w:rPr>
      </w:pPr>
      <w:r w:rsidRPr="00452D57">
        <w:rPr>
          <w:noProof/>
        </w:rPr>
        <w:t xml:space="preserve">På grundlag af ovenstående anbefales det, at de armenske myndigheder for så vidt angår benchmarkene i blok 2 vedrørende </w:t>
      </w:r>
      <w:r w:rsidRPr="00452D57">
        <w:rPr>
          <w:b/>
          <w:noProof/>
        </w:rPr>
        <w:t>integreret grænseforvaltning, migrationsstyring og asyl</w:t>
      </w:r>
      <w:r w:rsidRPr="00452D57">
        <w:rPr>
          <w:noProof/>
        </w:rPr>
        <w:t xml:space="preserve"> (første fase): </w:t>
      </w:r>
    </w:p>
    <w:p w14:paraId="7992DA7F" w14:textId="77777777" w:rsidR="001513B8" w:rsidRPr="00452D57" w:rsidRDefault="001513B8" w:rsidP="001513B8">
      <w:pPr>
        <w:rPr>
          <w:i/>
          <w:iCs/>
          <w:noProof/>
          <w:u w:val="single"/>
        </w:rPr>
      </w:pPr>
    </w:p>
    <w:p w14:paraId="45979308" w14:textId="77777777" w:rsidR="001513B8" w:rsidRPr="00452D57" w:rsidRDefault="001513B8" w:rsidP="001513B8">
      <w:pPr>
        <w:rPr>
          <w:i/>
          <w:iCs/>
          <w:noProof/>
          <w:u w:val="single"/>
        </w:rPr>
      </w:pPr>
      <w:r w:rsidRPr="00452D57">
        <w:rPr>
          <w:i/>
          <w:noProof/>
          <w:u w:val="single"/>
        </w:rPr>
        <w:t>Integreret grænseforvaltning</w:t>
      </w:r>
    </w:p>
    <w:p w14:paraId="67891D26" w14:textId="46A54F23" w:rsidR="00AF6567" w:rsidRPr="00452D57" w:rsidRDefault="0061723D" w:rsidP="001513B8">
      <w:pPr>
        <w:pStyle w:val="ListParagraph"/>
        <w:widowControl/>
        <w:numPr>
          <w:ilvl w:val="0"/>
          <w:numId w:val="5"/>
        </w:numPr>
        <w:autoSpaceDE/>
        <w:autoSpaceDN/>
        <w:jc w:val="both"/>
        <w:rPr>
          <w:i/>
          <w:iCs/>
          <w:noProof/>
        </w:rPr>
      </w:pPr>
      <w:r w:rsidRPr="00452D57">
        <w:rPr>
          <w:i/>
          <w:noProof/>
        </w:rPr>
        <w:t>fortsætter overgangen for at sikre, at grænsekontrollen i Armenien fuldt ud henhører under de armenske myndigheders ansvar</w:t>
      </w:r>
    </w:p>
    <w:p w14:paraId="460D671C" w14:textId="0B7573CA" w:rsidR="002E574F" w:rsidRPr="00452D57" w:rsidRDefault="00EB3F36" w:rsidP="001513B8">
      <w:pPr>
        <w:pStyle w:val="ListParagraph"/>
        <w:widowControl/>
        <w:numPr>
          <w:ilvl w:val="0"/>
          <w:numId w:val="5"/>
        </w:numPr>
        <w:autoSpaceDE/>
        <w:autoSpaceDN/>
        <w:jc w:val="both"/>
        <w:rPr>
          <w:i/>
          <w:iCs/>
          <w:noProof/>
        </w:rPr>
      </w:pPr>
      <w:r w:rsidRPr="00452D57">
        <w:rPr>
          <w:i/>
          <w:noProof/>
        </w:rPr>
        <w:t xml:space="preserve">indgår og gennemfører den nye arbejdsordning med Frontex </w:t>
      </w:r>
    </w:p>
    <w:p w14:paraId="3FCB7E95" w14:textId="77CDB85E" w:rsidR="001513B8" w:rsidRPr="00452D57" w:rsidRDefault="0061723D" w:rsidP="001513B8">
      <w:pPr>
        <w:pStyle w:val="ListParagraph"/>
        <w:widowControl/>
        <w:numPr>
          <w:ilvl w:val="0"/>
          <w:numId w:val="5"/>
        </w:numPr>
        <w:autoSpaceDE/>
        <w:autoSpaceDN/>
        <w:jc w:val="both"/>
        <w:rPr>
          <w:i/>
          <w:iCs/>
          <w:noProof/>
        </w:rPr>
      </w:pPr>
      <w:r w:rsidRPr="00452D57">
        <w:rPr>
          <w:i/>
          <w:noProof/>
        </w:rPr>
        <w:t>udarbejder en fremtidig integreret grænseforvaltningsstrategi og en ledsagende handlingsplan i overensstemmelse med EU-standarder og med klart definerede ansvarsområder, realistiske tidsplaner og solide overvågningsmekanismer</w:t>
      </w:r>
    </w:p>
    <w:p w14:paraId="7CC3ED4C" w14:textId="2C04309A" w:rsidR="001513B8" w:rsidRPr="00452D57" w:rsidRDefault="0061723D" w:rsidP="001513B8">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reviderer udkastet til handlingsplan for 2026-2029 om udvikling af grænseværnets kapacitet inden for rammerne af systemet for integreret grænseforvaltning, så den omfatter passende bestemmelser om ressourcer, ordninger for ansvarlighed, målbare mål og resultatindikatorer</w:t>
      </w:r>
      <w:r w:rsidRPr="00452D57">
        <w:rPr>
          <w:i/>
          <w:noProof/>
          <w:sz w:val="22"/>
        </w:rPr>
        <w:t xml:space="preserve"> </w:t>
      </w:r>
    </w:p>
    <w:p w14:paraId="78FD61B3" w14:textId="46A418D7" w:rsidR="00F370B3" w:rsidRPr="00452D57" w:rsidRDefault="0061723D" w:rsidP="00C76397">
      <w:pPr>
        <w:pStyle w:val="NormalWeb"/>
        <w:numPr>
          <w:ilvl w:val="0"/>
          <w:numId w:val="5"/>
        </w:numPr>
        <w:spacing w:beforeAutospacing="0" w:after="0" w:afterAutospacing="0" w:line="240" w:lineRule="auto"/>
        <w:jc w:val="both"/>
        <w:rPr>
          <w:noProof/>
        </w:rPr>
      </w:pPr>
      <w:r w:rsidRPr="00452D57">
        <w:rPr>
          <w:i/>
          <w:noProof/>
          <w:sz w:val="22"/>
        </w:rPr>
        <w:t xml:space="preserve">reformerer og moderniserer uddannelsessystemet for grænsemyndighederne, herunder toldvæsenet og politiet, for at sikre vedvarende høje faglige standarder inden for grænsekontrol og ind- og udrejsekontrol (samt inden for forebyggelse af korruption, bekæmpelse af smugling og bekæmpelse af menneskehandel) i overensstemmelse med de nationale grænsestyrkers udviklende ansvarsområder og kravene i EU-modellen for integreret grænseforvaltning </w:t>
      </w:r>
    </w:p>
    <w:p w14:paraId="7E5A6265" w14:textId="08F1FDD9" w:rsidR="001513B8" w:rsidRPr="00452D57" w:rsidRDefault="007C7FBA" w:rsidP="001513B8">
      <w:pPr>
        <w:pStyle w:val="ListParagraph"/>
        <w:widowControl/>
        <w:numPr>
          <w:ilvl w:val="0"/>
          <w:numId w:val="5"/>
        </w:numPr>
        <w:autoSpaceDE/>
        <w:autoSpaceDN/>
        <w:jc w:val="both"/>
        <w:rPr>
          <w:i/>
          <w:iCs/>
          <w:noProof/>
        </w:rPr>
      </w:pPr>
      <w:r w:rsidRPr="00452D57">
        <w:rPr>
          <w:i/>
          <w:noProof/>
        </w:rPr>
        <w:t>vedtager en specifik retlig ramme for effektivt samarbejde mellem forskellige instanser og systematisk informationsudveksling mellem landets grænse-, told- og politimyndigheder for at sikre en bæredygtig gennemførelse af modellen for integreret grænseforvaltning</w:t>
      </w:r>
    </w:p>
    <w:p w14:paraId="6C7DBD44" w14:textId="2D297305" w:rsidR="001513B8" w:rsidRPr="00452D57" w:rsidRDefault="007C7FBA" w:rsidP="001513B8">
      <w:pPr>
        <w:pStyle w:val="ListParagraph"/>
        <w:widowControl/>
        <w:numPr>
          <w:ilvl w:val="0"/>
          <w:numId w:val="5"/>
        </w:numPr>
        <w:autoSpaceDE/>
        <w:autoSpaceDN/>
        <w:jc w:val="both"/>
        <w:rPr>
          <w:i/>
          <w:iCs/>
          <w:noProof/>
        </w:rPr>
      </w:pPr>
      <w:r w:rsidRPr="00452D57">
        <w:rPr>
          <w:i/>
          <w:noProof/>
          <w:color w:val="000000" w:themeColor="text1"/>
        </w:rPr>
        <w:t>gennemfører regelmæssige integritetsrisikovurderinger med særligt fokus på grænserelaterede sårbarheder (såsom dokumentfalsk, medvirken til smugling og korruption i inspektionsprocedurer) og videreudvikler målrettede forebyggende og afbødende foranstaltninger til håndtering af de identificerede risici</w:t>
      </w:r>
    </w:p>
    <w:p w14:paraId="2ED2CE38" w14:textId="4A30086A" w:rsidR="001513B8" w:rsidRPr="00452D57" w:rsidRDefault="007C7FBA" w:rsidP="001513B8">
      <w:pPr>
        <w:pStyle w:val="ListParagraph"/>
        <w:widowControl/>
        <w:numPr>
          <w:ilvl w:val="0"/>
          <w:numId w:val="5"/>
        </w:numPr>
        <w:autoSpaceDE/>
        <w:autoSpaceDN/>
        <w:jc w:val="both"/>
        <w:rPr>
          <w:i/>
          <w:iCs/>
          <w:noProof/>
        </w:rPr>
      </w:pPr>
      <w:r w:rsidRPr="00452D57">
        <w:rPr>
          <w:i/>
          <w:noProof/>
        </w:rPr>
        <w:t>indfører obligatorisk og regelmæssig uddannelse i bekæmpelse af korruption for grænsevagter suppleret med funktionsspecifikke moduler, der skal øge robustheden hos personale, der arbejder i højrisikofunktioner, herunder dokumentkontrol, ind- og udrejsekontrol, toldinspektioner, asylscreening og efterretningsfunktioner</w:t>
      </w:r>
    </w:p>
    <w:p w14:paraId="683DFF33" w14:textId="28F941EB" w:rsidR="001513B8" w:rsidRPr="00452D57" w:rsidRDefault="007C7FBA" w:rsidP="001513B8">
      <w:pPr>
        <w:pStyle w:val="ListParagraph"/>
        <w:widowControl/>
        <w:numPr>
          <w:ilvl w:val="0"/>
          <w:numId w:val="5"/>
        </w:numPr>
        <w:autoSpaceDE/>
        <w:autoSpaceDN/>
        <w:jc w:val="both"/>
        <w:rPr>
          <w:b/>
          <w:bCs/>
          <w:i/>
          <w:iCs/>
          <w:noProof/>
        </w:rPr>
      </w:pPr>
      <w:r w:rsidRPr="00452D57">
        <w:rPr>
          <w:i/>
          <w:noProof/>
        </w:rPr>
        <w:t>kodificerer den nationale sikkerhedstjenestes efterforskningsprotokoller enten i det relevante adfærdskodeks eller gennem ledsagende sekundær lovgivning, idet der fastsættes klare procedurer, tidsfrister, bevisstandarder og forholdsmæssige sanktioner for at sikre forudsigelige, retfærdige og rettidige reaktioner på forseelser og integritetsbrud.</w:t>
      </w:r>
    </w:p>
    <w:p w14:paraId="2D7444F5" w14:textId="77777777" w:rsidR="001513B8" w:rsidRPr="00452D57" w:rsidRDefault="001513B8" w:rsidP="001513B8">
      <w:pPr>
        <w:jc w:val="both"/>
        <w:rPr>
          <w:b/>
          <w:bCs/>
          <w:i/>
          <w:iCs/>
          <w:noProof/>
        </w:rPr>
      </w:pPr>
    </w:p>
    <w:p w14:paraId="60864764" w14:textId="45C157E2" w:rsidR="001513B8" w:rsidRPr="00452D57" w:rsidRDefault="001513B8" w:rsidP="001513B8">
      <w:pPr>
        <w:jc w:val="both"/>
        <w:rPr>
          <w:i/>
          <w:iCs/>
          <w:noProof/>
          <w:u w:val="single"/>
        </w:rPr>
      </w:pPr>
      <w:r w:rsidRPr="00452D57">
        <w:rPr>
          <w:i/>
          <w:noProof/>
          <w:u w:val="single"/>
        </w:rPr>
        <w:t>Migrationsstyring</w:t>
      </w:r>
    </w:p>
    <w:p w14:paraId="596916AD" w14:textId="074B1A5F" w:rsidR="00560AE5" w:rsidRPr="00452D57" w:rsidRDefault="007C7FBA" w:rsidP="001513B8">
      <w:pPr>
        <w:pStyle w:val="ListParagraph"/>
        <w:widowControl/>
        <w:numPr>
          <w:ilvl w:val="0"/>
          <w:numId w:val="5"/>
        </w:numPr>
        <w:autoSpaceDE/>
        <w:autoSpaceDN/>
        <w:jc w:val="both"/>
        <w:rPr>
          <w:i/>
          <w:iCs/>
          <w:noProof/>
        </w:rPr>
      </w:pPr>
      <w:r w:rsidRPr="00452D57">
        <w:rPr>
          <w:i/>
          <w:noProof/>
        </w:rPr>
        <w:t>fortsætter bestræbelserne på at udvikle en passende retlig ramme til at håndtere udfordringerne i forbindelse med både ulovlig og lovlig migration</w:t>
      </w:r>
    </w:p>
    <w:p w14:paraId="7A9622BF" w14:textId="621102A1" w:rsidR="001513B8" w:rsidRPr="00452D57" w:rsidRDefault="007C7FBA" w:rsidP="001513B8">
      <w:pPr>
        <w:pStyle w:val="ListParagraph"/>
        <w:widowControl/>
        <w:numPr>
          <w:ilvl w:val="0"/>
          <w:numId w:val="5"/>
        </w:numPr>
        <w:autoSpaceDE/>
        <w:autoSpaceDN/>
        <w:jc w:val="both"/>
        <w:rPr>
          <w:i/>
          <w:iCs/>
          <w:noProof/>
        </w:rPr>
      </w:pPr>
      <w:r w:rsidRPr="00452D57">
        <w:rPr>
          <w:i/>
          <w:noProof/>
        </w:rPr>
        <w:t>vedtager en ny migrationsstrategi, der sikrer en omfattende og sammenhængende politisk ramme, som er tilpasset de nuværende og forventede migrationsstrømme samt internationale standarder og støttet af tilstrækkelige og bæredygtige bevillinger over statsbudgettet</w:t>
      </w:r>
    </w:p>
    <w:p w14:paraId="1C0205BD" w14:textId="653BE349" w:rsidR="001513B8" w:rsidRPr="00452D57" w:rsidRDefault="007C7FBA" w:rsidP="001513B8">
      <w:pPr>
        <w:pStyle w:val="ListParagraph"/>
        <w:widowControl/>
        <w:numPr>
          <w:ilvl w:val="0"/>
          <w:numId w:val="5"/>
        </w:numPr>
        <w:autoSpaceDE/>
        <w:autoSpaceDN/>
        <w:jc w:val="both"/>
        <w:rPr>
          <w:i/>
          <w:iCs/>
          <w:noProof/>
        </w:rPr>
      </w:pPr>
      <w:r w:rsidRPr="00452D57">
        <w:rPr>
          <w:i/>
          <w:noProof/>
        </w:rPr>
        <w:t>fortsætter digitaliseringen af befolknings- og migrationsstyringsprocesserne og samtidig sikrer fuld overholdelse af den nationale lovgivning om beskyttelse af personoplysninger, som i øjeblikket er under omfattende udvikling, samt interoperabilitet med folkeregistret</w:t>
      </w:r>
    </w:p>
    <w:p w14:paraId="14A2F39D" w14:textId="0DF4CE74" w:rsidR="001513B8" w:rsidRPr="00452D57" w:rsidRDefault="007C7FBA" w:rsidP="001513B8">
      <w:pPr>
        <w:pStyle w:val="ListParagraph"/>
        <w:widowControl/>
        <w:numPr>
          <w:ilvl w:val="0"/>
          <w:numId w:val="5"/>
        </w:numPr>
        <w:autoSpaceDE/>
        <w:autoSpaceDN/>
        <w:jc w:val="both"/>
        <w:rPr>
          <w:i/>
          <w:iCs/>
          <w:noProof/>
        </w:rPr>
      </w:pPr>
      <w:r w:rsidRPr="00452D57">
        <w:rPr>
          <w:i/>
          <w:noProof/>
        </w:rPr>
        <w:t>fortsætter med at indgå tilbagetagelsesaftaler med de vigtigste oprindelseslande for de nuværende migrationsstrømme for at styrke effektive, forudsigelige og bæredygtige ordninger for tilbagesendelse og tilbagetagelse.</w:t>
      </w:r>
    </w:p>
    <w:p w14:paraId="1E703688" w14:textId="77777777" w:rsidR="00353A3E" w:rsidRPr="00452D57" w:rsidRDefault="00353A3E" w:rsidP="004866F3">
      <w:pPr>
        <w:widowControl/>
        <w:autoSpaceDE/>
        <w:autoSpaceDN/>
        <w:jc w:val="both"/>
        <w:rPr>
          <w:i/>
          <w:iCs/>
          <w:noProof/>
          <w:u w:val="single"/>
          <w:lang w:eastAsia="x-none"/>
        </w:rPr>
      </w:pPr>
    </w:p>
    <w:p w14:paraId="71C6B40F" w14:textId="458E9279" w:rsidR="00353A3E" w:rsidRPr="00452D57" w:rsidRDefault="00353A3E" w:rsidP="004866F3">
      <w:pPr>
        <w:widowControl/>
        <w:autoSpaceDE/>
        <w:autoSpaceDN/>
        <w:jc w:val="both"/>
        <w:rPr>
          <w:i/>
          <w:iCs/>
          <w:noProof/>
          <w:u w:val="single"/>
        </w:rPr>
      </w:pPr>
      <w:r w:rsidRPr="00452D57">
        <w:rPr>
          <w:i/>
          <w:noProof/>
          <w:u w:val="single"/>
        </w:rPr>
        <w:t>Asyl</w:t>
      </w:r>
    </w:p>
    <w:p w14:paraId="76363F4D" w14:textId="1C974794" w:rsidR="00353A3E" w:rsidRPr="00452D57" w:rsidRDefault="007C7FBA" w:rsidP="004866F3">
      <w:pPr>
        <w:pStyle w:val="ListParagraph"/>
        <w:numPr>
          <w:ilvl w:val="0"/>
          <w:numId w:val="6"/>
        </w:numPr>
        <w:jc w:val="both"/>
        <w:rPr>
          <w:i/>
          <w:iCs/>
          <w:noProof/>
        </w:rPr>
      </w:pPr>
      <w:r w:rsidRPr="00452D57">
        <w:rPr>
          <w:i/>
          <w:noProof/>
        </w:rPr>
        <w:t>gør det nye midlertidige center for asylansøgere fuldt operationelt og overfører de relevante ansøgere dertil</w:t>
      </w:r>
    </w:p>
    <w:p w14:paraId="7E11AFE6" w14:textId="07A331BB" w:rsidR="00353A3E" w:rsidRPr="00452D57" w:rsidRDefault="007C7FBA" w:rsidP="004866F3">
      <w:pPr>
        <w:pStyle w:val="ListParagraph"/>
        <w:numPr>
          <w:ilvl w:val="0"/>
          <w:numId w:val="6"/>
        </w:numPr>
        <w:jc w:val="both"/>
        <w:rPr>
          <w:i/>
          <w:iCs/>
          <w:noProof/>
        </w:rPr>
      </w:pPr>
      <w:r w:rsidRPr="00452D57">
        <w:rPr>
          <w:i/>
          <w:noProof/>
        </w:rPr>
        <w:t>vedtager ændringer til loven om flygtninge og asyl og en ny lov om statsløse personer for yderligere at bringe den nationale asylramme i overensstemmelse med EU-standarder og internationale standarder.</w:t>
      </w:r>
    </w:p>
    <w:p w14:paraId="4125AF92" w14:textId="77777777" w:rsidR="001513B8" w:rsidRPr="00452D57" w:rsidRDefault="001513B8" w:rsidP="001513B8">
      <w:pPr>
        <w:rPr>
          <w:noProof/>
        </w:rPr>
      </w:pPr>
    </w:p>
    <w:p w14:paraId="5900CB61" w14:textId="77777777" w:rsidR="00FF58B1" w:rsidRDefault="00FF58B1" w:rsidP="00FF58B1">
      <w:pPr>
        <w:pStyle w:val="ListParagraph"/>
        <w:numPr>
          <w:ilvl w:val="0"/>
          <w:numId w:val="1"/>
        </w:numPr>
        <w:rPr>
          <w:noProof/>
        </w:rPr>
      </w:pPr>
      <w:r w:rsidRPr="00452D57">
        <w:rPr>
          <w:noProof/>
        </w:rPr>
        <w:t xml:space="preserve">Blok 3: Offentlig orden og sikkerhed </w:t>
      </w:r>
    </w:p>
    <w:p w14:paraId="52A454E0" w14:textId="77777777" w:rsidR="00712B90" w:rsidRPr="00452D57" w:rsidRDefault="00712B90" w:rsidP="00712B90">
      <w:pPr>
        <w:rPr>
          <w:noProof/>
        </w:rPr>
      </w:pPr>
    </w:p>
    <w:p w14:paraId="7FEE61E5" w14:textId="772E90CA" w:rsidR="00FF58B1" w:rsidRPr="00452D57" w:rsidRDefault="00FF58B1" w:rsidP="00FF58B1">
      <w:pPr>
        <w:pStyle w:val="ListParagraph"/>
        <w:numPr>
          <w:ilvl w:val="1"/>
          <w:numId w:val="1"/>
        </w:numPr>
        <w:rPr>
          <w:noProof/>
        </w:rPr>
      </w:pPr>
      <w:r w:rsidRPr="00452D57">
        <w:rPr>
          <w:noProof/>
        </w:rPr>
        <w:t>Forebyggelse og bekæmpelse af organiseret kriminalitet, terrorisme og korruption</w:t>
      </w:r>
    </w:p>
    <w:p w14:paraId="1019496E" w14:textId="77777777" w:rsidR="00F618EC" w:rsidRPr="00452D57" w:rsidRDefault="00F618EC" w:rsidP="00F618EC">
      <w:pPr>
        <w:rPr>
          <w:noProof/>
        </w:rPr>
      </w:pPr>
    </w:p>
    <w:p w14:paraId="3D58B172"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i overensstemmelse med europæiske og internationale standarder, af den retlige og institutionelle ramme for forebyggelse og bekæmpelse af organiseret kriminalitet samt en national strategi og handlingsplan med angivelse af en klar tidsplan for særlige mål, foranstaltninger, resultater, resultatindikatorer og behovet for menneskelige og finansielle ressourcer.</w:t>
      </w:r>
    </w:p>
    <w:p w14:paraId="689B1FA7" w14:textId="77777777" w:rsidR="00FC58E1" w:rsidRPr="00452D57" w:rsidRDefault="00FC58E1" w:rsidP="00FC58E1">
      <w:pPr>
        <w:jc w:val="both"/>
        <w:rPr>
          <w:noProof/>
          <w:lang w:eastAsia="x-none"/>
        </w:rPr>
      </w:pPr>
    </w:p>
    <w:p w14:paraId="41B84B4A" w14:textId="25870C05" w:rsidR="00802F43" w:rsidRPr="00452D57" w:rsidRDefault="00802F43" w:rsidP="00802F43">
      <w:pPr>
        <w:jc w:val="both"/>
        <w:rPr>
          <w:noProof/>
        </w:rPr>
      </w:pPr>
      <w:r w:rsidRPr="00452D57">
        <w:rPr>
          <w:noProof/>
        </w:rPr>
        <w:t>Armenien er part i De Forenede Nationers konvention om bekæmpelse af grænseoverskridende organiseret kriminalitet (Palermokonventionen) og De Forenede Nationers konvention mod korruption (Meridakonventionen). Den retlige definition og kriminalisering af forskellige former for organiseret kriminalitet er fastsat i kapitel 34 i Armeniens straffelov, som fastsætter ansvar for forbrydelser af generel karakter mod den offentlige sikkerhed.</w:t>
      </w:r>
    </w:p>
    <w:p w14:paraId="71D278CA" w14:textId="77777777" w:rsidR="00802F43" w:rsidRPr="00452D57" w:rsidRDefault="00802F43" w:rsidP="00FC58E1">
      <w:pPr>
        <w:jc w:val="both"/>
        <w:rPr>
          <w:noProof/>
        </w:rPr>
      </w:pPr>
    </w:p>
    <w:p w14:paraId="1253397B" w14:textId="0A655669" w:rsidR="00FC58E1" w:rsidRPr="00452D57" w:rsidRDefault="00FC58E1" w:rsidP="00FC58E1">
      <w:pPr>
        <w:jc w:val="both"/>
        <w:rPr>
          <w:noProof/>
        </w:rPr>
      </w:pPr>
      <w:r w:rsidRPr="00452D57">
        <w:rPr>
          <w:noProof/>
        </w:rPr>
        <w:t>Straffeloven, som trådte i kraft i juli 2022, indførte for første gang i Armenien et system med strafferetligt ansvar for juridiske personer. Denne ramme fastsætter grundlaget og betingelserne for at fastslå strafferetligt ansvar samt de omstændigheder, under hvilke juridiske personer kan fritages for dette ansvar. Den fastsætter desuden en række strafferetlige foranstaltninger, der finder anvendelse på juridiske personer (herunder økonomiske sanktioner, midlertidig suspension af specifikke aktiviteter, forbud mod at udøve virksomhed på Armeniens område og tvangsopløsning). Der er imidlertid endnu ikke registreret nogen domfældelser vedrørende juridiske personer.</w:t>
      </w:r>
    </w:p>
    <w:p w14:paraId="6A2E398C" w14:textId="77777777" w:rsidR="007B1EEE" w:rsidRPr="00452D57" w:rsidRDefault="007B1EEE" w:rsidP="00FC58E1">
      <w:pPr>
        <w:jc w:val="both"/>
        <w:rPr>
          <w:noProof/>
        </w:rPr>
      </w:pPr>
    </w:p>
    <w:p w14:paraId="7F523E24" w14:textId="3429A741" w:rsidR="00F40D22" w:rsidRPr="00452D57" w:rsidRDefault="00FC58E1" w:rsidP="00FC58E1">
      <w:pPr>
        <w:jc w:val="both"/>
        <w:rPr>
          <w:noProof/>
        </w:rPr>
      </w:pPr>
      <w:r w:rsidRPr="00452D57">
        <w:rPr>
          <w:noProof/>
        </w:rPr>
        <w:t xml:space="preserve">Den nye strafferetsplejelov indførte også flere væsentlige strukturelle og proceduremæssige ændringer, som har direkte indvirkning på efterforskningen og retsforfølgningen af grov og organiseret kriminalitet i Armenien. Den formelle indledende fase for iværksættelse af en straffesag blev navnlig afskaffet, og strafferetlige efterforskninger indledes nu ved registreringen af det første procesdokument med indikationer på en mulig strafbar handling. </w:t>
      </w:r>
    </w:p>
    <w:p w14:paraId="4128D25E" w14:textId="77777777" w:rsidR="00F40D22" w:rsidRPr="00452D57" w:rsidRDefault="00F40D22" w:rsidP="00FC58E1">
      <w:pPr>
        <w:jc w:val="both"/>
        <w:rPr>
          <w:noProof/>
        </w:rPr>
      </w:pPr>
    </w:p>
    <w:p w14:paraId="6FD55D53" w14:textId="10D7CD4E" w:rsidR="00FC58E1" w:rsidRPr="00452D57" w:rsidRDefault="00FC58E1" w:rsidP="00FC58E1">
      <w:pPr>
        <w:jc w:val="both"/>
        <w:rPr>
          <w:noProof/>
        </w:rPr>
      </w:pPr>
      <w:r w:rsidRPr="00452D57">
        <w:rPr>
          <w:noProof/>
        </w:rPr>
        <w:t>Derudover blev operative efterforskningsaktiviteter indarbejdet i strafferetsplejeloven. Det betyder, at efterforskere fra efterforskningskomitéen eller komitéen til bekæmpelse af korruption er involveret fra begyndelsen i alle straffesager. Inden for denne ramme blev de operative efterforskningsbeføjelser udelukkende tillagt komitéen til bekæmpelse af korruption, mens efterforskningskomitéen, som har ansvar for at efterforske alle forbrydelser bortset fra korruptionsforbrydelser, arbejder uden operative beføjelser og hovedsagelig er omfattet af politiets beføjelser under indenrigsministeriet.</w:t>
      </w:r>
    </w:p>
    <w:p w14:paraId="18A68100" w14:textId="77777777" w:rsidR="005E4AB9" w:rsidRPr="00452D57" w:rsidRDefault="005E4AB9" w:rsidP="005E4AB9">
      <w:pPr>
        <w:jc w:val="both"/>
        <w:rPr>
          <w:noProof/>
        </w:rPr>
      </w:pPr>
    </w:p>
    <w:p w14:paraId="0AA17E21" w14:textId="71DE1AB9" w:rsidR="00FC58E1" w:rsidRPr="00452D57" w:rsidRDefault="00182432" w:rsidP="00FC58E1">
      <w:pPr>
        <w:jc w:val="both"/>
        <w:rPr>
          <w:noProof/>
        </w:rPr>
      </w:pPr>
      <w:r w:rsidRPr="00452D57">
        <w:rPr>
          <w:noProof/>
        </w:rPr>
        <w:t xml:space="preserve">Med udgangspunkt i et EU-projekt, der gennemføres af De Forenede Nationers Udviklingsprogram (UNDP), oprettede de armenske myndigheder i februar 2026 et særskilt center for kriminalitetsstatistik og forskning i indenrigsministeriet. Dette center har til formål at yde analytisk støtte til beslutningstagningen i ministeriet og give myndighederne et mere omfattende overblik over tendenser og udviklingen i kriminaliteten. </w:t>
      </w:r>
    </w:p>
    <w:p w14:paraId="70707175" w14:textId="77777777" w:rsidR="00FC58E1" w:rsidRPr="00452D57" w:rsidRDefault="00FC58E1" w:rsidP="00FC58E1">
      <w:pPr>
        <w:jc w:val="both"/>
        <w:rPr>
          <w:noProof/>
        </w:rPr>
      </w:pPr>
    </w:p>
    <w:p w14:paraId="6CCA5F17" w14:textId="2FCE1693" w:rsidR="00FC58E1" w:rsidRPr="00452D57" w:rsidRDefault="005E4AB9" w:rsidP="00FC58E1">
      <w:pPr>
        <w:jc w:val="both"/>
        <w:rPr>
          <w:noProof/>
        </w:rPr>
      </w:pPr>
      <w:r w:rsidRPr="00452D57">
        <w:rPr>
          <w:noProof/>
        </w:rPr>
        <w:t>Armenien er også i færd med at udarbejde en strategi for kriminalitetsforebyggelse for 2026-2033, som planlægges vedtaget i andet halvår af 2026. Udkastet til denne strategi viser Armeniens hensigt om at styrke sin kapacitet til at forebygge kriminalitet gennem evidensbaseret politikudformning, institutionel koordinering og målrettede forebyggende foranstaltninger. Armenien planlægger at styrke sine operationelle kapaciteter inden for kriminalitetsforebyggelse gennem målrettet kompetenceudvikling for politiet, indførelse af innovative teknologier til kriminalitetsforebyggelse og øgede kapaciteter på områder som forebyggelse af cyberkriminalitet, vold i hjemmet og familievold, ungdomskriminalitetsforebyggelse og identifikation af ofre. Udkastet til strategi understreger også betydningen af at styrke det lokale og internationale samarbejde på området for kriminalitetsforebyggelse. Armenien har inden for rammerne af TOPCOP-projektet draget nytte af de metoder til strategisk efterretningsanalyse, der er udviklet under vejledning af Europol, i forbindelse med udarbejdelsen af udkastet til strategien.</w:t>
      </w:r>
    </w:p>
    <w:p w14:paraId="047B3FF0" w14:textId="77777777" w:rsidR="00FC58E1" w:rsidRPr="00452D57" w:rsidRDefault="00FC58E1" w:rsidP="00FC58E1">
      <w:pPr>
        <w:rPr>
          <w:noProof/>
          <w:lang w:eastAsia="x-none"/>
        </w:rPr>
      </w:pPr>
    </w:p>
    <w:p w14:paraId="0E9C43C0"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den retlige og institutionelle ramme for bekæmpelse af menneskehandel og tilpasning heraf til EU-standarder og internationale standarder, herunder udarbejdelse og vedtagelse af den relevante handlingsplan med klare tidsfrister, mål, aktiviteter, resultater, resultatindikatorer samt menneskelige og finansielle ressourcer.</w:t>
      </w:r>
    </w:p>
    <w:p w14:paraId="3EED5A98" w14:textId="77777777" w:rsidR="00FE713B" w:rsidRPr="00452D57" w:rsidRDefault="00FE713B" w:rsidP="00FE713B">
      <w:pPr>
        <w:pStyle w:val="paragraph"/>
        <w:spacing w:before="0" w:beforeAutospacing="0" w:after="0" w:afterAutospacing="0"/>
        <w:jc w:val="both"/>
        <w:textAlignment w:val="baseline"/>
        <w:rPr>
          <w:b/>
          <w:bCs/>
          <w:noProof/>
          <w:sz w:val="22"/>
          <w:szCs w:val="22"/>
        </w:rPr>
      </w:pPr>
    </w:p>
    <w:p w14:paraId="56D55323" w14:textId="2FB84896" w:rsidR="00743590" w:rsidRPr="00452D57" w:rsidRDefault="00743590" w:rsidP="00743590">
      <w:pPr>
        <w:jc w:val="both"/>
        <w:rPr>
          <w:noProof/>
        </w:rPr>
      </w:pPr>
      <w:r w:rsidRPr="00452D57">
        <w:rPr>
          <w:noProof/>
        </w:rPr>
        <w:t xml:space="preserve">Armenien har ratificeret protokollen om forebyggelse, bekæmpelse og retsforfølgning af menneskehandel, særlig handel med kvinder og børn samt protokollen om bekæmpelse af menneskesmugling til lands, ad søvejen og ad luftvejen, som begge supplerer Palermokonventionen. Armenien deltager i den globale alliance til bekæmpelse af migrantsmugling, som Kommissionen tog initiativ til, og har tilsluttet sig den fælles erklæring, der blev vedtaget på den internationale konference, som Kommissionen afholdt den 10. december 2025 i Bruxelles. </w:t>
      </w:r>
    </w:p>
    <w:p w14:paraId="7F6EBB1D" w14:textId="77777777" w:rsidR="00743590" w:rsidRPr="00452D57" w:rsidRDefault="00743590" w:rsidP="00FE713B">
      <w:pPr>
        <w:jc w:val="both"/>
        <w:rPr>
          <w:noProof/>
        </w:rPr>
      </w:pPr>
    </w:p>
    <w:p w14:paraId="6453D161" w14:textId="77777777" w:rsidR="007119A9" w:rsidRPr="00452D57" w:rsidRDefault="007119A9" w:rsidP="007119A9">
      <w:pPr>
        <w:jc w:val="both"/>
        <w:rPr>
          <w:noProof/>
        </w:rPr>
      </w:pPr>
      <w:r w:rsidRPr="00452D57">
        <w:rPr>
          <w:noProof/>
        </w:rPr>
        <w:t xml:space="preserve">Den nye straffelov og den nye strafferetsplejelov fastsatte bestemmelser om menneskehandel. Navnlig indeholder artikel 188 i straffeloven en ajourført definition af menneskehandel og udnyttelse, mens der i artikel 189 er fastsat bestemmelser om alvorlige lovovertrædelser i forbindelse med menneskehandel begået mod mindreårige eller personer i sårbare situationer. </w:t>
      </w:r>
    </w:p>
    <w:p w14:paraId="74866EC1" w14:textId="77777777" w:rsidR="007119A9" w:rsidRPr="00452D57" w:rsidRDefault="007119A9" w:rsidP="00FE713B">
      <w:pPr>
        <w:jc w:val="both"/>
        <w:rPr>
          <w:noProof/>
        </w:rPr>
      </w:pPr>
    </w:p>
    <w:p w14:paraId="1328E0F4" w14:textId="4835C877" w:rsidR="00413809" w:rsidRPr="00452D57" w:rsidRDefault="00FE713B" w:rsidP="00413809">
      <w:pPr>
        <w:jc w:val="both"/>
        <w:rPr>
          <w:noProof/>
        </w:rPr>
      </w:pPr>
      <w:r w:rsidRPr="00452D57">
        <w:rPr>
          <w:noProof/>
        </w:rPr>
        <w:t>I de seneste ti år har Armenien iværksat en række lovgivningsmæssige og institutionelle foranstaltninger for at styrke sine rammer for forebyggelse og bekæmpelse af menneskehandel og beslægtede former for udnyttelse i overensstemmelse med internationale standarder. Ændringer af loven om identifikation og støtte til personer, der er udsat for menneskehandel og udnyttelse, blev vedtaget i december 2014 og maj 2022, og der blev i den forbindelse fastlagt et omfattende grundlag for mekanismer til identifikation af ofre og bistand til dem. I oktober 2022 godkendte en regeringen kriterier for anerkendelse af en person som offer for menneskehandel eller udnyttelse. Der blev derefter yderligere fastsat minimumskvalitetsstandarder for levering af indkvartering, hjælp til forsørgelse, psykologisk bistand, rådgivning, retshjælp og omsorgsydelser fra de relevante institutioner.</w:t>
      </w:r>
      <w:r w:rsidRPr="00452D57">
        <w:rPr>
          <w:noProof/>
          <w:sz w:val="24"/>
        </w:rPr>
        <w:t xml:space="preserve"> </w:t>
      </w:r>
    </w:p>
    <w:p w14:paraId="3CE0B599" w14:textId="77777777" w:rsidR="00FE713B" w:rsidRPr="00452D57" w:rsidRDefault="00FE713B" w:rsidP="00FE713B">
      <w:pPr>
        <w:jc w:val="both"/>
        <w:rPr>
          <w:noProof/>
          <w:lang w:eastAsia="x-none"/>
        </w:rPr>
      </w:pPr>
    </w:p>
    <w:p w14:paraId="4749378E" w14:textId="1BD73087" w:rsidR="00FE713B" w:rsidRPr="00452D57" w:rsidRDefault="00FE713B" w:rsidP="00FE713B">
      <w:pPr>
        <w:jc w:val="both"/>
        <w:rPr>
          <w:noProof/>
        </w:rPr>
      </w:pPr>
      <w:r w:rsidRPr="00452D57">
        <w:rPr>
          <w:noProof/>
        </w:rPr>
        <w:t xml:space="preserve">På strategisk plan godkendte Armenien i januar 2023 den nationale indsatsplan for 2023-2025 til bekæmpelse af menneskehandel og udnyttelse sammen med en tilhørende handlingsplan. Ifølge de armenske myndigheder er forberedelserne til den efterfølgende treårige nationale indsatsplan i øjeblikket i gang, og den forventes vedtaget i april 2026. </w:t>
      </w:r>
    </w:p>
    <w:p w14:paraId="5EE52231" w14:textId="77777777" w:rsidR="00FE713B" w:rsidRPr="00452D57" w:rsidRDefault="00FE713B" w:rsidP="00FE713B">
      <w:pPr>
        <w:jc w:val="both"/>
        <w:rPr>
          <w:noProof/>
          <w:lang w:eastAsia="x-none"/>
        </w:rPr>
      </w:pPr>
    </w:p>
    <w:p w14:paraId="1BDFCE5B" w14:textId="62B5057A" w:rsidR="00F618EC" w:rsidRPr="00452D57" w:rsidRDefault="00F618EC" w:rsidP="00F618EC">
      <w:pPr>
        <w:pStyle w:val="paragraph"/>
        <w:numPr>
          <w:ilvl w:val="0"/>
          <w:numId w:val="3"/>
        </w:numPr>
        <w:spacing w:before="0" w:beforeAutospacing="0" w:after="0" w:afterAutospacing="0"/>
        <w:jc w:val="both"/>
        <w:textAlignment w:val="baseline"/>
        <w:rPr>
          <w:b/>
          <w:bCs/>
          <w:i/>
          <w:iCs/>
          <w:noProof/>
          <w:color w:val="000000" w:themeColor="text1"/>
          <w:sz w:val="22"/>
          <w:szCs w:val="22"/>
        </w:rPr>
      </w:pPr>
      <w:r w:rsidRPr="00452D57">
        <w:rPr>
          <w:b/>
          <w:noProof/>
          <w:sz w:val="22"/>
        </w:rPr>
        <w:t>Konsolidering af den retlige og institutionelle ramme for forebyggelse og bekæmpelse af korruption og tilpasning heraf til EU-standarder og internationale standarder samt vedtagelse af en national strategi for bekæmpelse af korruption, udarbejdelse og godkendelse af en handlingsplan med henblik på gennemførelsen af denne strategi og med klare tidsfrister, mål, aktiviteter, resultater, resultatindikatorer samt menneskelige og finansielle ressourcer og koordinering af de korruptionsbekæmpende organers indsats, herunder korruptionsbekæmpelsesrådet og kommissionen til forebyggelse af korruption, med særligt henblik på at sikre uafhængighed, effektivitet, handlekraft og ansvarlighed for de myndigheder, der har ansvar for bekæmpelse af korruption, samt styrkelse af mekanismerne for informationsudveksling mellem dem. Etablering af en solid lovgivningsmæssig og reguleret institutionel ramme, herunder vedtagelse af den sekundære lovgivning, der er nødvendig for en effektiv funktion af interne kontrolmekanismer med henblik på forebyggelse og bekæmpelse af korruption (herunder korruption på højt plan, korruption i internationale transaktioner og beskyttelse af whistleblowere, der indberetter korruptionssager), korruptionsrisici og fastsættelse af integritetsstandarder inden for offentlige institutioner/myndigheder. Konsolidering af den lovgivningsmæssige ramme for bl.a. opfølgning på anbefalinger fra Greco (Europarådets Sammenslutning af Stater mod Korruption) og fra OECD (korruptionsbekæmpelsesnetværket – Istanbulhandlingsplanen mod korruption).</w:t>
      </w:r>
    </w:p>
    <w:p w14:paraId="00E4BDB8" w14:textId="77777777" w:rsidR="00F71C03" w:rsidRPr="00452D57" w:rsidRDefault="00F71C03" w:rsidP="00F71C03">
      <w:pPr>
        <w:pStyle w:val="paragraph"/>
        <w:spacing w:before="0" w:beforeAutospacing="0" w:after="0" w:afterAutospacing="0"/>
        <w:jc w:val="both"/>
        <w:textAlignment w:val="baseline"/>
        <w:rPr>
          <w:b/>
          <w:bCs/>
          <w:i/>
          <w:iCs/>
          <w:noProof/>
          <w:spacing w:val="-2"/>
          <w:sz w:val="22"/>
          <w:szCs w:val="22"/>
        </w:rPr>
      </w:pPr>
    </w:p>
    <w:p w14:paraId="40622185" w14:textId="16A836D2" w:rsidR="00F71C03" w:rsidRPr="00452D57" w:rsidRDefault="00F71C03" w:rsidP="00F71C03">
      <w:pPr>
        <w:jc w:val="both"/>
        <w:rPr>
          <w:noProof/>
        </w:rPr>
      </w:pPr>
      <w:r w:rsidRPr="00452D57">
        <w:rPr>
          <w:noProof/>
        </w:rPr>
        <w:t>Siden reformerne, der blev iværksat i 2018, har Armenien i betydelig grad styrket og harmoniseret sine retlige og institutionelle rammer for korruptionsbekæmpelse i overensstemmelse med internationale standarder. Landet er part i de vigtigste internationale retlige instrumenter og overvågningsmekanismer til forebyggelse og bekæmpelse af korruption, og det deltager aktivt i OECD's korruptionsbekæmpelsesnetværk for Østeuropa og Centralasien</w:t>
      </w:r>
      <w:r w:rsidRPr="00452D57">
        <w:rPr>
          <w:rFonts w:ascii="Calibri" w:hAnsi="Calibri"/>
          <w:noProof/>
        </w:rPr>
        <w:t xml:space="preserve"> </w:t>
      </w:r>
      <w:r w:rsidRPr="00452D57">
        <w:rPr>
          <w:noProof/>
        </w:rPr>
        <w:t>og OECD's initiativ vedrørende indikatorer for offentlig integritet.</w:t>
      </w:r>
    </w:p>
    <w:p w14:paraId="0FACD472" w14:textId="77777777" w:rsidR="00F71C03" w:rsidRPr="00452D57" w:rsidRDefault="00F71C03" w:rsidP="00F71C03">
      <w:pPr>
        <w:jc w:val="both"/>
        <w:rPr>
          <w:noProof/>
          <w:lang w:eastAsia="x-none"/>
        </w:rPr>
      </w:pPr>
    </w:p>
    <w:p w14:paraId="4B7A258A" w14:textId="7F6C2AB1" w:rsidR="009A7161" w:rsidRPr="00452D57" w:rsidRDefault="00F71C03" w:rsidP="00F71C03">
      <w:pPr>
        <w:jc w:val="both"/>
        <w:rPr>
          <w:noProof/>
        </w:rPr>
      </w:pPr>
      <w:r w:rsidRPr="00452D57">
        <w:rPr>
          <w:noProof/>
        </w:rPr>
        <w:t xml:space="preserve">Armenien har konsolideret sine lovgivningsmæssige og institutionelle reformer som reaktion på anbefalinger fra successive evalueringsrunder i Greco. Den nye straffelov, som har været i kraft siden juli 2022, udvidede anvendelsesområdet for korruptionsrelaterede lovovertrædelser, indførte strafferetligt ansvar for juridiske personer og præciserede yderligere, hvad der udgør korruptionslovovertrædelser, i overensstemmelse med internationale standarder. </w:t>
      </w:r>
    </w:p>
    <w:p w14:paraId="31BA67E0" w14:textId="77777777" w:rsidR="009A7161" w:rsidRPr="00452D57" w:rsidRDefault="009A7161" w:rsidP="00F71C03">
      <w:pPr>
        <w:jc w:val="both"/>
        <w:rPr>
          <w:noProof/>
        </w:rPr>
      </w:pPr>
    </w:p>
    <w:p w14:paraId="745EC6D1" w14:textId="26B7B3E0" w:rsidR="00F71C03" w:rsidRPr="00452D57" w:rsidRDefault="00F71C03" w:rsidP="00F71C03">
      <w:pPr>
        <w:jc w:val="both"/>
        <w:rPr>
          <w:noProof/>
        </w:rPr>
      </w:pPr>
      <w:r w:rsidRPr="00452D57">
        <w:rPr>
          <w:noProof/>
        </w:rPr>
        <w:t>Sideløbende hermed blev særlige organer betroet forebyggende og efterforskningsmæssige opgaver, navnlig kommissionen til forebyggelse af korruption, komitéen til bekæmpelse af korruption og to specialiserede enheder i anklagemyndighedens kontor.</w:t>
      </w:r>
    </w:p>
    <w:p w14:paraId="72FE42F9" w14:textId="77777777" w:rsidR="00F71C03" w:rsidRPr="00452D57" w:rsidRDefault="00F71C03" w:rsidP="00F71C03">
      <w:pPr>
        <w:jc w:val="both"/>
        <w:rPr>
          <w:noProof/>
          <w:lang w:eastAsia="x-none"/>
        </w:rPr>
      </w:pPr>
    </w:p>
    <w:p w14:paraId="4A5EA592" w14:textId="0A1A96C2" w:rsidR="00F71C03" w:rsidRPr="00452D57" w:rsidRDefault="00F71C03" w:rsidP="00286B46">
      <w:pPr>
        <w:jc w:val="both"/>
        <w:rPr>
          <w:noProof/>
        </w:rPr>
      </w:pPr>
      <w:r w:rsidRPr="00452D57">
        <w:rPr>
          <w:noProof/>
        </w:rPr>
        <w:t xml:space="preserve">Armeniens femte nationale strategi for bekæmpelse af korruption (2023-2026) afspejler bekymringer og anbefalinger fra internationale partnere og civilsamfundsorganisationer samt input fra nationale institutioner til bekæmpelse af korruption. Strategien fokuserer på yderligere styrkelse af korruptionsbekæmpelsesrammen og effektiv håndhævelse af lovgivningen. Det er planen at vedtage en ny strategi for bekæmpelse af korruption medio 2026 som en af søjlerne i den overordnede strategi for retsvæsenet. </w:t>
      </w:r>
    </w:p>
    <w:p w14:paraId="2C02BB9D" w14:textId="77777777" w:rsidR="00F71C03" w:rsidRPr="00452D57" w:rsidRDefault="00F71C03" w:rsidP="00F71C03">
      <w:pPr>
        <w:jc w:val="both"/>
        <w:rPr>
          <w:noProof/>
          <w:lang w:eastAsia="x-none"/>
        </w:rPr>
      </w:pPr>
    </w:p>
    <w:p w14:paraId="53AD986F" w14:textId="2D6C99E0" w:rsidR="00F71C03" w:rsidRPr="00452D57" w:rsidRDefault="00F71C03" w:rsidP="00F71C03">
      <w:pPr>
        <w:jc w:val="both"/>
        <w:rPr>
          <w:noProof/>
        </w:rPr>
      </w:pPr>
      <w:r w:rsidRPr="00452D57">
        <w:rPr>
          <w:noProof/>
        </w:rPr>
        <w:t>Kommissionen til forebyggelse af korruption har ansvar for at forebygge korruption og værne om integriteten i hele den offentlige sektor. Mellem 2021 og 2025 blev Armeniens formueangivelsessystem udvidet betydeligt. Som følge af denne udvidelse er bestemte kategorier af offentligt ansatte nu forpligtet til at indgive detaljerede oplysninger om deres aktiver, indtægter, udgifter og interesser. Kommissionen til forebyggelse af korruption råder over et elektronisk formueangivelsessystem og har retlig beføjelse til at få adgang til offentlige databaser og finansielle optegnelser, herunder data, der normalt er beskyttet af bankhemmelighed, fortrolighed om værdipapirtransaktioner, forsikringshemmelighed og kreditoplysninger.</w:t>
      </w:r>
    </w:p>
    <w:p w14:paraId="45BDCD7D" w14:textId="77777777" w:rsidR="00F71C03" w:rsidRPr="00452D57" w:rsidRDefault="00F71C03" w:rsidP="00F71C03">
      <w:pPr>
        <w:jc w:val="both"/>
        <w:rPr>
          <w:noProof/>
          <w:lang w:eastAsia="x-none"/>
        </w:rPr>
      </w:pPr>
    </w:p>
    <w:p w14:paraId="6651288C" w14:textId="5D96C0A3" w:rsidR="001F605D" w:rsidRPr="00452D57" w:rsidRDefault="00F71C03" w:rsidP="001F605D">
      <w:pPr>
        <w:jc w:val="both"/>
        <w:rPr>
          <w:noProof/>
        </w:rPr>
      </w:pPr>
      <w:r w:rsidRPr="00452D57">
        <w:rPr>
          <w:noProof/>
        </w:rPr>
        <w:t xml:space="preserve">Kommissionen til forebyggelse af korruption foretager integritetskontroller og afgiver rådgivende udtalelser om kandidater til udnævnelse eller forfremmelse til dommer-, anklager- og andre højtstående offentlige stillinger såsom stillinger i komitéen til bekæmpelse af korruption og efterforskningskomitéen. Med ændringer af retsplejeloven, der blev vedtaget den 11. april 2024, blev der indført løbende integritetskontroller for dommere, anklagere og efterforskere, og flere siddende anklagere og efterforskere blev underkastet sådanne vurderinger i 2024 og 2025. Kommissionens udtalelser er af rådgivende karakter og er i visse tilfælde blevet tilsidesat af ansættelsesmyndighederne. Pakken med ny lovgivning, der har til formål at øge gennemsigtigheden og formalisere proceduren for integritetsudtalelser, blev vedtaget af Nationalforsamlingen den 4. marts 2026.  </w:t>
      </w:r>
    </w:p>
    <w:p w14:paraId="7BE71397" w14:textId="77777777" w:rsidR="001F605D" w:rsidRPr="00452D57" w:rsidRDefault="001F605D" w:rsidP="001F605D">
      <w:pPr>
        <w:jc w:val="both"/>
        <w:rPr>
          <w:noProof/>
        </w:rPr>
      </w:pPr>
    </w:p>
    <w:p w14:paraId="57EDC7B6" w14:textId="47589524" w:rsidR="20C93BB0" w:rsidRPr="00452D57" w:rsidRDefault="20C93BB0" w:rsidP="001F605D">
      <w:pPr>
        <w:jc w:val="both"/>
        <w:rPr>
          <w:noProof/>
        </w:rPr>
      </w:pPr>
      <w:r w:rsidRPr="00452D57">
        <w:rPr>
          <w:noProof/>
        </w:rPr>
        <w:t>I januar 2026 vedtog Nationalforsamlingen ændringer af loven om kommissionen til forebyggelse af korruption, hvorved der indføres et system til vurdering af korruptionsrisici i offentlige myndigheder. Loven træder i kraft seks måneder efter vedtagelsen, efter at kommissionen til forebyggelse af korruption har godkendt metoden til vurdering af korruptionsrisici.</w:t>
      </w:r>
    </w:p>
    <w:p w14:paraId="51EF492C" w14:textId="035DBC6E" w:rsidR="5935EBAD" w:rsidRPr="00452D57" w:rsidRDefault="5935EBAD" w:rsidP="5935EBAD">
      <w:pPr>
        <w:jc w:val="both"/>
        <w:rPr>
          <w:noProof/>
        </w:rPr>
      </w:pPr>
    </w:p>
    <w:p w14:paraId="66A03426" w14:textId="24F339A5" w:rsidR="00BF5584" w:rsidRPr="00452D57" w:rsidRDefault="00F71C03" w:rsidP="00BF5584">
      <w:pPr>
        <w:jc w:val="both"/>
        <w:rPr>
          <w:noProof/>
        </w:rPr>
      </w:pPr>
      <w:r w:rsidRPr="00452D57">
        <w:rPr>
          <w:noProof/>
        </w:rPr>
        <w:t xml:space="preserve">Kommissionen til forebyggelse af korruption yder også metodologisk støtte til offentlige institutioner ved udarbejdelsen af sektorspecifikke adfærdskodekser og har beføjelse til at afgive udtalelser om eventuelle mangler, den konstaterer. Kommissionen til forebyggelse af korruption mangler i øjeblikket tilstrækkeligt personale og tilstrækkelige lovgivningsmæssige og finansielle ressourcer til effektivt at kunne opfylde sit omfattende mandat. </w:t>
      </w:r>
    </w:p>
    <w:p w14:paraId="390274F5" w14:textId="2AFD8E11" w:rsidR="00F71C03" w:rsidRPr="00452D57" w:rsidRDefault="00F71C03" w:rsidP="00F71C03">
      <w:pPr>
        <w:jc w:val="both"/>
        <w:rPr>
          <w:noProof/>
          <w:lang w:eastAsia="x-none"/>
        </w:rPr>
      </w:pPr>
    </w:p>
    <w:p w14:paraId="37BF57F1" w14:textId="798AE26D" w:rsidR="00F71C03" w:rsidRPr="00452D57" w:rsidRDefault="00BF5584" w:rsidP="00F71C03">
      <w:pPr>
        <w:jc w:val="both"/>
        <w:rPr>
          <w:noProof/>
        </w:rPr>
      </w:pPr>
      <w:r w:rsidRPr="00452D57">
        <w:rPr>
          <w:noProof/>
        </w:rPr>
        <w:t>Forberedelserne til en ny lov om forebyggelse af korruption er indledt. Loven skal konsolidere de eksisterende regler om interessekonflikter, modtagelse af gaver, adfærdskodekser, uforenelighed og tilhørende integritetsstandarder.</w:t>
      </w:r>
    </w:p>
    <w:p w14:paraId="7449D0DF" w14:textId="77777777" w:rsidR="00F71C03" w:rsidRPr="00452D57" w:rsidRDefault="00F71C03" w:rsidP="00F71C03">
      <w:pPr>
        <w:jc w:val="both"/>
        <w:rPr>
          <w:noProof/>
          <w:lang w:eastAsia="x-none"/>
        </w:rPr>
      </w:pPr>
    </w:p>
    <w:p w14:paraId="4EDEE6D5" w14:textId="14EA3C6F" w:rsidR="00F71C03" w:rsidRPr="00452D57" w:rsidRDefault="00487F68" w:rsidP="00F71C03">
      <w:pPr>
        <w:jc w:val="both"/>
        <w:rPr>
          <w:noProof/>
        </w:rPr>
      </w:pPr>
      <w:r w:rsidRPr="00452D57">
        <w:rPr>
          <w:noProof/>
        </w:rPr>
        <w:t>Hvad angår integritetsordningerne i indenrigsministeriet, er et nyoprettet direktorat for intern sikkerhed og korruptionsbekæmpelse blevet betroet et bredt mandat, herunder gennemførelse af disciplinærsager, forebyggelse og afsløring af korruption, gennemførelse af inspektioner og operative aktiviteter samt udførelse af integritetskontroller af ministeriets personale. Integritetsrammen blev yderligere styrket i oktober 2025 ved vedtagelsen af loven om politiets integritet og disciplin og den efterfølgende sekundære lovgivning, som tilsammen fastsætter standarder, ansvarsområder og procedurer for disciplinære undersøgelser og integritetsvurderinger af politibetjente og brandredningspersonale. I overensstemmelse med loven om politiets integritet og disciplin skal kandidater til stillinger som politibetjent gennemgå en integritetskontrol inden deres første udnævnelse. Disse integritetskontroller begyndte at blive gennemført i januar 2026.</w:t>
      </w:r>
    </w:p>
    <w:p w14:paraId="5C576ED0" w14:textId="77777777" w:rsidR="003F2FC8" w:rsidRPr="00452D57" w:rsidRDefault="003F2FC8" w:rsidP="00F71C03">
      <w:pPr>
        <w:jc w:val="both"/>
        <w:rPr>
          <w:noProof/>
        </w:rPr>
      </w:pPr>
    </w:p>
    <w:p w14:paraId="78924A70" w14:textId="27EA748F" w:rsidR="00F71C03" w:rsidRPr="00452D57" w:rsidRDefault="00F71C03" w:rsidP="00F71C03">
      <w:pPr>
        <w:jc w:val="both"/>
        <w:rPr>
          <w:noProof/>
        </w:rPr>
      </w:pPr>
      <w:r w:rsidRPr="00452D57">
        <w:rPr>
          <w:noProof/>
        </w:rPr>
        <w:t xml:space="preserve">Den armenske komité til bekæmpelse af korruption er den myndighed, der har ansvar for at efterforske korruptionslovovertrædelser og gennemføre strafferetlige procedurer forud for retssagen i korruptionssager. Komitéen er oprettet ved en særlig lov, nyder en høj grad af institutionel uafhængighed og har beføjelse til at udføre operative efterforskningsaktiviteter. Formanden for komitéen til bekæmpelse af korruption udnævnes af regeringen for en seksårig periode, der kan fornyes én gang. </w:t>
      </w:r>
    </w:p>
    <w:p w14:paraId="1F3EAFD6" w14:textId="77777777" w:rsidR="00F71C03" w:rsidRPr="00452D57" w:rsidRDefault="00F71C03" w:rsidP="00F71C03">
      <w:pPr>
        <w:jc w:val="both"/>
        <w:rPr>
          <w:noProof/>
          <w:lang w:eastAsia="x-none"/>
        </w:rPr>
      </w:pPr>
    </w:p>
    <w:p w14:paraId="39C7C954" w14:textId="6F629B4E" w:rsidR="00F71C03" w:rsidRPr="00452D57" w:rsidRDefault="00F71C03" w:rsidP="00F71C03">
      <w:pPr>
        <w:jc w:val="both"/>
        <w:rPr>
          <w:noProof/>
        </w:rPr>
      </w:pPr>
      <w:r w:rsidRPr="00452D57">
        <w:rPr>
          <w:noProof/>
        </w:rPr>
        <w:t>Komitéen til bekæmpelse af korruption er i henhold til loven forpligtet til at orientere offentligheden om sine aktiviteter under overholdelse af fortroligheden i forundersøgelser og beskyttelsen af statshemmeligheder. Selv om antallet af domfældelser for korruption er stigende, viser strafudmålingspraksis, at betingede straffe anvendes udbredt, hvilket risikerer at undergrave de strafferetlige sanktioners afskrækkende virkning og svække offentlighedens tillid til retssystemet. I 2024 blev der f.eks. kun idømt frihedsstraffe til 37 personer, mens 185 personer fik betingede straffe.</w:t>
      </w:r>
    </w:p>
    <w:p w14:paraId="40836565" w14:textId="77777777" w:rsidR="00F71C03" w:rsidRPr="00452D57" w:rsidRDefault="00F71C03" w:rsidP="00F71C03">
      <w:pPr>
        <w:jc w:val="both"/>
        <w:rPr>
          <w:noProof/>
          <w:lang w:eastAsia="x-none"/>
        </w:rPr>
      </w:pPr>
    </w:p>
    <w:p w14:paraId="0BD5B148" w14:textId="000B9BF1" w:rsidR="00F71C03" w:rsidRPr="00452D57" w:rsidRDefault="00F71C03" w:rsidP="00F71C03">
      <w:pPr>
        <w:jc w:val="both"/>
        <w:rPr>
          <w:noProof/>
        </w:rPr>
      </w:pPr>
      <w:r w:rsidRPr="00452D57">
        <w:rPr>
          <w:noProof/>
        </w:rPr>
        <w:t xml:space="preserve">Komitéen til bekæmpelse af korruption mangler i øjeblikket en samlet strategisk tilgang til håndtering af korruption i højrisikosektorer, som er tilpasset europæiske standarder og god praksis. Fraværet af en strategisk og risikobaseret ramme begrænser komitéens kapacitet til at gennemføre proaktive, efterretningsbaserede efterforskninger, navnlig i sager, der involverer højtstående embedsmænd. </w:t>
      </w:r>
    </w:p>
    <w:p w14:paraId="1FFEC59D" w14:textId="77777777" w:rsidR="00F71C03" w:rsidRPr="00452D57" w:rsidRDefault="00F71C03" w:rsidP="00F71C03">
      <w:pPr>
        <w:jc w:val="both"/>
        <w:rPr>
          <w:noProof/>
          <w:lang w:eastAsia="x-none"/>
        </w:rPr>
      </w:pPr>
    </w:p>
    <w:p w14:paraId="0BEFE331" w14:textId="096E1CAC" w:rsidR="00F71C03" w:rsidRPr="00452D57" w:rsidRDefault="00D21800" w:rsidP="00F71C03">
      <w:pPr>
        <w:jc w:val="both"/>
        <w:rPr>
          <w:noProof/>
        </w:rPr>
      </w:pPr>
      <w:r w:rsidRPr="00452D57">
        <w:rPr>
          <w:noProof/>
        </w:rPr>
        <w:t>Selv om Armenien rutinemæssigt beslaglægger bestikkelsesbeløb i sager om aktiv bestikkelse, er den systematiske sporing og inddrivelse af udbyttet af korruption fortsat begrænset. Afdelingen for konfiskation af aktiver fra kriminelle forhold i anklagemyndighedens kontor fokuserer på inddrivelse af aktiver gennem civilretlig konfiskation, men dens mandat omfatter ikke inddrivelse af aktiver i straffesager. Der findes i øjeblikket ingen centraliseret og specialiseret enhed, der beskæftiger sig med identifikation og sporing af aktiver i straffesager, og efterforskere og anklagere har en tendens til at prioritere sagers bevismæssige aspekter frem for inddrivelse af aktiver.</w:t>
      </w:r>
    </w:p>
    <w:p w14:paraId="77AFFC6B" w14:textId="77777777" w:rsidR="00F71C03" w:rsidRPr="00452D57" w:rsidRDefault="00F71C03" w:rsidP="00F71C03">
      <w:pPr>
        <w:pStyle w:val="paragraph"/>
        <w:spacing w:before="0" w:beforeAutospacing="0" w:after="0" w:afterAutospacing="0"/>
        <w:jc w:val="both"/>
        <w:textAlignment w:val="baseline"/>
        <w:rPr>
          <w:b/>
          <w:bCs/>
          <w:noProof/>
          <w:color w:val="000000" w:themeColor="text1"/>
          <w:sz w:val="22"/>
          <w:szCs w:val="22"/>
        </w:rPr>
      </w:pPr>
    </w:p>
    <w:p w14:paraId="73FC35F9" w14:textId="535A6110"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den retlige og institutionelle ramme for bekæmpelse af hvidvask af penge og finansiering af terrorisme og tilpasning heraf til EU-standarder og internationale standarder fastsat af Den Finansielle Aktionsgruppe (FATF).</w:t>
      </w:r>
    </w:p>
    <w:p w14:paraId="6CEEA664" w14:textId="77777777" w:rsidR="00F3575D" w:rsidRPr="00452D57" w:rsidRDefault="00F3575D" w:rsidP="00F3575D">
      <w:pPr>
        <w:pStyle w:val="paragraph"/>
        <w:spacing w:before="0" w:beforeAutospacing="0" w:after="0" w:afterAutospacing="0"/>
        <w:jc w:val="both"/>
        <w:textAlignment w:val="baseline"/>
        <w:rPr>
          <w:b/>
          <w:bCs/>
          <w:noProof/>
          <w:sz w:val="22"/>
          <w:szCs w:val="22"/>
        </w:rPr>
      </w:pPr>
    </w:p>
    <w:p w14:paraId="5C4D47E5" w14:textId="715EEC8C" w:rsidR="00F3575D" w:rsidRPr="00452D57" w:rsidRDefault="00F3575D" w:rsidP="00F3575D">
      <w:pPr>
        <w:jc w:val="both"/>
        <w:rPr>
          <w:noProof/>
        </w:rPr>
      </w:pPr>
      <w:r w:rsidRPr="00452D57">
        <w:rPr>
          <w:noProof/>
        </w:rPr>
        <w:t>Armenien er part i de vigtigste internationale retlige instrumenter på området bekæmpelse af hvidvask af penge og finansiering af terrorisme, herunder De Forenede Nationers konvention imod ulovlig handel med narkotika og psykotrope stoffer (Wienerkonventionen), De Forenede Nationers konvention om bekæmpelse af grænseoverskridende organiseret kriminalitet (Palermokonventionen), De Forenede Nationers konvention mod korruption (Meridakonventionen) og den internationale konvention til bekæmpelse af finansiering af terrorisme. Armenien har desuden ratificeret Europarådets konvention af 2005 om hvidvask, efterforskning, beslaglæggelse og konfiskation af udbytte fra strafbare forhold samt finansiering af terrorisme (Warszawakonventionen). Armenien deltager også i Camden Asset Recovery Inter-Agency Network.</w:t>
      </w:r>
    </w:p>
    <w:p w14:paraId="1BCC04B8" w14:textId="77777777" w:rsidR="00F3575D" w:rsidRPr="00452D57" w:rsidRDefault="00F3575D" w:rsidP="00F3575D">
      <w:pPr>
        <w:jc w:val="both"/>
        <w:rPr>
          <w:noProof/>
          <w:lang w:eastAsia="x-none"/>
        </w:rPr>
      </w:pPr>
    </w:p>
    <w:p w14:paraId="17B616F4" w14:textId="1E40275A" w:rsidR="00725CAD" w:rsidRPr="00452D57" w:rsidRDefault="00725CAD" w:rsidP="00725CAD">
      <w:pPr>
        <w:jc w:val="both"/>
        <w:rPr>
          <w:noProof/>
        </w:rPr>
      </w:pPr>
      <w:r w:rsidRPr="00452D57">
        <w:rPr>
          <w:noProof/>
        </w:rPr>
        <w:t>Armenien er medlem af Europarådets Ekspertkomité for Evaluering af Foranstaltninger til Bekæmpelse af Hvidvaskning af Penge og Finansiering af Terrorisme (Moneyval). Den seneste gensidige evalueringsrapport om Armenien fra Moneyval blev vedtaget i december 2015, efterfulgt af en opfølgningsrapport i juli 2018. Det blev på det tidspunkt i rapporten vurderet, at Armenien opfyldte eller delvis opfyldte de fleste af kravene til teknisk overensstemmelse og effektivitet. Den kommende evaluering fra Moneyval, som efter planen skal offentliggøres i 2026 efter kontrolbesøget i 2025, vil udgøre et vigtigt referencepunkt for den næste vurdering af dette benchmark.</w:t>
      </w:r>
    </w:p>
    <w:p w14:paraId="17E20ABE" w14:textId="77777777" w:rsidR="00725CAD" w:rsidRPr="00452D57" w:rsidRDefault="00725CAD" w:rsidP="00F3575D">
      <w:pPr>
        <w:jc w:val="both"/>
        <w:rPr>
          <w:noProof/>
          <w:lang w:eastAsia="x-none"/>
        </w:rPr>
      </w:pPr>
    </w:p>
    <w:p w14:paraId="02E1C5D2" w14:textId="04A8652C" w:rsidR="00F3575D" w:rsidRPr="00452D57" w:rsidRDefault="00F3575D" w:rsidP="00F3575D">
      <w:pPr>
        <w:jc w:val="both"/>
        <w:rPr>
          <w:noProof/>
        </w:rPr>
      </w:pPr>
      <w:r w:rsidRPr="00452D57">
        <w:rPr>
          <w:noProof/>
        </w:rPr>
        <w:t xml:space="preserve">Den armenske lov om bekæmpelse af hvidvask af penge og finansiering af terrorisme har været gældende siden 2008 og er blevet ændret flere gange, senest i juni 2022, for at afspejle de skiftende internationale standarder. Armenien har revideret sin lov om kryptoaktiver for at forbyde kontanttransaktioner i kryptovalutasektoren fra den 1. januar 2027.  </w:t>
      </w:r>
    </w:p>
    <w:p w14:paraId="36C17F6B" w14:textId="77777777" w:rsidR="00F3575D" w:rsidRPr="00452D57" w:rsidRDefault="00F3575D" w:rsidP="00F3575D">
      <w:pPr>
        <w:pStyle w:val="paragraph"/>
        <w:spacing w:before="0" w:beforeAutospacing="0" w:after="0" w:afterAutospacing="0"/>
        <w:jc w:val="both"/>
        <w:textAlignment w:val="baseline"/>
        <w:rPr>
          <w:b/>
          <w:bCs/>
          <w:noProof/>
          <w:color w:val="000000" w:themeColor="text1"/>
          <w:sz w:val="22"/>
          <w:szCs w:val="22"/>
        </w:rPr>
      </w:pPr>
    </w:p>
    <w:p w14:paraId="2DAF8526" w14:textId="3BC0C013"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Regelmæssig ajourføring af den tilsvarende nationale strategi til bekæmpelse af hvidvask af penge og finansiering af terrorisme.</w:t>
      </w:r>
    </w:p>
    <w:p w14:paraId="35B4D10F" w14:textId="77777777" w:rsidR="000D0A29" w:rsidRPr="00452D57" w:rsidRDefault="000D0A29" w:rsidP="000D0A29">
      <w:pPr>
        <w:pStyle w:val="paragraph"/>
        <w:spacing w:before="0" w:beforeAutospacing="0" w:after="0" w:afterAutospacing="0"/>
        <w:jc w:val="both"/>
        <w:textAlignment w:val="baseline"/>
        <w:rPr>
          <w:b/>
          <w:bCs/>
          <w:noProof/>
          <w:spacing w:val="-2"/>
          <w:sz w:val="22"/>
          <w:szCs w:val="22"/>
        </w:rPr>
      </w:pPr>
    </w:p>
    <w:p w14:paraId="07C6586B" w14:textId="7024ACE5" w:rsidR="000D0A29" w:rsidRPr="00452D57" w:rsidRDefault="000D0A29" w:rsidP="000D0A29">
      <w:pPr>
        <w:jc w:val="both"/>
        <w:rPr>
          <w:noProof/>
        </w:rPr>
      </w:pPr>
      <w:r w:rsidRPr="00452D57">
        <w:rPr>
          <w:noProof/>
        </w:rPr>
        <w:t>Den armenske nationale strategi til bekæmpelse af hvidvask af penge, finansiering af terrorisme og finansiering af spredning af masseødelæggelsesvåben blev oprindelig vedtaget i 2014 og revideres og ajourføres regelmæssigt hvert tredje år.</w:t>
      </w:r>
    </w:p>
    <w:p w14:paraId="5F3AA86F" w14:textId="77777777" w:rsidR="000D0A29" w:rsidRPr="00452D57" w:rsidRDefault="000D0A29" w:rsidP="000D0A29">
      <w:pPr>
        <w:jc w:val="both"/>
        <w:rPr>
          <w:noProof/>
          <w:lang w:eastAsia="x-none"/>
        </w:rPr>
      </w:pPr>
    </w:p>
    <w:p w14:paraId="3FBD1723" w14:textId="4428F715" w:rsidR="000D0A29" w:rsidRPr="00452D57" w:rsidRDefault="000D0A29" w:rsidP="000D0A29">
      <w:pPr>
        <w:jc w:val="both"/>
        <w:rPr>
          <w:noProof/>
        </w:rPr>
      </w:pPr>
      <w:r w:rsidRPr="00452D57">
        <w:rPr>
          <w:noProof/>
        </w:rPr>
        <w:t xml:space="preserve">Den gældende nationale strategi for perioden 2025-2028 bygger på en risikobaseret tilgang og er udformet til at håndtere de vigtigste risici, sårbarheder og systemiske mangler, som var blevet identificeret i den nationale vurdering af hvidvask af penge og finansiering af terrorisme for 2021-2023. </w:t>
      </w:r>
    </w:p>
    <w:p w14:paraId="46750C35" w14:textId="77777777" w:rsidR="000D0A29" w:rsidRPr="00452D57" w:rsidRDefault="000D0A29" w:rsidP="000D0A29">
      <w:pPr>
        <w:pStyle w:val="paragraph"/>
        <w:spacing w:before="0" w:beforeAutospacing="0" w:after="0" w:afterAutospacing="0"/>
        <w:jc w:val="both"/>
        <w:textAlignment w:val="baseline"/>
        <w:rPr>
          <w:b/>
          <w:bCs/>
          <w:noProof/>
          <w:color w:val="000000" w:themeColor="text1"/>
          <w:sz w:val="22"/>
          <w:szCs w:val="22"/>
        </w:rPr>
      </w:pPr>
    </w:p>
    <w:p w14:paraId="4193C7AA"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en uafhængig finansiel efterretningsenhed med passende beføjelser og ressourcer.</w:t>
      </w:r>
    </w:p>
    <w:p w14:paraId="2849A917" w14:textId="77777777" w:rsidR="006E2988" w:rsidRPr="00452D57" w:rsidRDefault="006E2988" w:rsidP="006E2988">
      <w:pPr>
        <w:pStyle w:val="paragraph"/>
        <w:spacing w:before="0" w:beforeAutospacing="0" w:after="0" w:afterAutospacing="0"/>
        <w:jc w:val="both"/>
        <w:textAlignment w:val="baseline"/>
        <w:rPr>
          <w:b/>
          <w:bCs/>
          <w:noProof/>
          <w:sz w:val="22"/>
          <w:szCs w:val="22"/>
        </w:rPr>
      </w:pPr>
    </w:p>
    <w:p w14:paraId="42510C41" w14:textId="0DFD9339" w:rsidR="006E2988" w:rsidRPr="00452D57" w:rsidRDefault="006E2988" w:rsidP="006E2988">
      <w:pPr>
        <w:jc w:val="both"/>
        <w:rPr>
          <w:noProof/>
        </w:rPr>
      </w:pPr>
      <w:r w:rsidRPr="00452D57">
        <w:rPr>
          <w:noProof/>
        </w:rPr>
        <w:t>Centret for finansiel overvågning blev oprettet i 2005 som en særskilt enhed i Armeniens centralbank. Det er en administrativ finansiel efterretningsenhed og fungerer som mellemled mellem indberettende enheder og retshåndhævende myndigheder. Centrets mandat er at bekæmpe hvidvask af penge og finansiering af terrorisme gennem modtagelse, analyse og videregivelse af oplysninger, der er relevante for disse aktiviteter. Det beskæftiger i øjeblikket 37 medarbejdere, og der er planer om at ansætte yderligere tre medarbejdere i 2026.</w:t>
      </w:r>
    </w:p>
    <w:p w14:paraId="7AB33D91" w14:textId="77777777" w:rsidR="006E2988" w:rsidRPr="00452D57" w:rsidRDefault="006E2988" w:rsidP="006E2988">
      <w:pPr>
        <w:jc w:val="both"/>
        <w:rPr>
          <w:noProof/>
        </w:rPr>
      </w:pPr>
    </w:p>
    <w:p w14:paraId="2A3B23CB" w14:textId="2C46F3BB" w:rsidR="006E2988" w:rsidRPr="00452D57" w:rsidRDefault="006E2988" w:rsidP="006E2988">
      <w:pPr>
        <w:jc w:val="both"/>
        <w:rPr>
          <w:noProof/>
        </w:rPr>
      </w:pPr>
      <w:r w:rsidRPr="00452D57">
        <w:rPr>
          <w:noProof/>
        </w:rPr>
        <w:t>På nationalt plan er centret for finansiel overvågning en af de få institutioner i det armenske retshåndhævelsesmiljø, som har formaliseret samarbejdet gennem aftalememoranda med partnermyndigheder i Armenien.</w:t>
      </w:r>
    </w:p>
    <w:p w14:paraId="39D8F77E" w14:textId="77777777" w:rsidR="006E2988" w:rsidRPr="00452D57" w:rsidRDefault="006E2988" w:rsidP="006E2988">
      <w:pPr>
        <w:jc w:val="both"/>
        <w:rPr>
          <w:noProof/>
          <w:lang w:eastAsia="x-none"/>
        </w:rPr>
      </w:pPr>
    </w:p>
    <w:p w14:paraId="0AE37C16" w14:textId="036CFBD0" w:rsidR="006E2988" w:rsidRPr="00452D57" w:rsidRDefault="006E2988" w:rsidP="006E2988">
      <w:pPr>
        <w:jc w:val="both"/>
        <w:rPr>
          <w:noProof/>
        </w:rPr>
      </w:pPr>
      <w:r w:rsidRPr="00452D57">
        <w:rPr>
          <w:noProof/>
        </w:rPr>
        <w:t xml:space="preserve">Selv om antallet af rapporter om mistænkelige transaktioner, som centret modtog (366 i 2024), og antallet af meddelelser, som det videresendte til retshåndhævende myndigheder (95 i 2024), fortsat er lavt, har internationale evalueringer konsekvent anerkendt kvaliteten af centrets interne processer og analytiske arbejde. </w:t>
      </w:r>
    </w:p>
    <w:p w14:paraId="0D47F56A" w14:textId="77777777" w:rsidR="006E2988" w:rsidRPr="00452D57" w:rsidRDefault="006E2988" w:rsidP="006E2988">
      <w:pPr>
        <w:pStyle w:val="paragraph"/>
        <w:spacing w:before="0" w:beforeAutospacing="0" w:after="0" w:afterAutospacing="0"/>
        <w:jc w:val="both"/>
        <w:textAlignment w:val="baseline"/>
        <w:rPr>
          <w:b/>
          <w:bCs/>
          <w:noProof/>
          <w:color w:val="000000" w:themeColor="text1"/>
          <w:sz w:val="22"/>
          <w:szCs w:val="22"/>
        </w:rPr>
      </w:pPr>
    </w:p>
    <w:p w14:paraId="5FD0749C" w14:textId="77777777" w:rsidR="00692B59" w:rsidRPr="00452D57" w:rsidRDefault="00692B59" w:rsidP="00692B59">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den retlige og institutionelle ramme for inddrivelse af aktiver og tilpasning heraf til EU-standarder og internationale standarder, herunder oprettelse af et kontor for inddrivelse af aktiver.</w:t>
      </w:r>
    </w:p>
    <w:p w14:paraId="1715C243" w14:textId="77777777" w:rsidR="00D35211" w:rsidRPr="00452D57" w:rsidRDefault="00D35211" w:rsidP="00D35211">
      <w:pPr>
        <w:pStyle w:val="paragraph"/>
        <w:spacing w:before="0" w:beforeAutospacing="0" w:after="0" w:afterAutospacing="0"/>
        <w:jc w:val="both"/>
        <w:rPr>
          <w:b/>
          <w:bCs/>
          <w:noProof/>
          <w:sz w:val="22"/>
          <w:szCs w:val="22"/>
        </w:rPr>
      </w:pPr>
    </w:p>
    <w:p w14:paraId="19FC73BB" w14:textId="31C24562" w:rsidR="00D35211" w:rsidRPr="00452D57" w:rsidRDefault="00D35211" w:rsidP="00D35211">
      <w:pPr>
        <w:jc w:val="both"/>
        <w:rPr>
          <w:noProof/>
        </w:rPr>
      </w:pPr>
      <w:r w:rsidRPr="00452D57">
        <w:rPr>
          <w:noProof/>
        </w:rPr>
        <w:t xml:space="preserve">Straffeloven af 2022 fastsætter en retlig ramme for konfiskation af ulovlige aktiver som en strafferetlig foranstaltning. Artikel 121 i straffeloven regulerer konfiskation af udbytte og redskaber fra strafbare forhold. Indførelsen af strafferetligt ansvar for juridiske personer i straffeloven af 2022 har i væsentlig grad udvidet anvendelsesområdet for konfiskation, idet den nu kan anvendes på både fysiske og juridiske personer. </w:t>
      </w:r>
    </w:p>
    <w:p w14:paraId="622385DD" w14:textId="77777777" w:rsidR="00D35211" w:rsidRPr="00452D57" w:rsidRDefault="00D35211" w:rsidP="00D35211">
      <w:pPr>
        <w:jc w:val="both"/>
        <w:rPr>
          <w:noProof/>
          <w:lang w:eastAsia="x-none"/>
        </w:rPr>
      </w:pPr>
    </w:p>
    <w:p w14:paraId="5AA4A547" w14:textId="540849C2" w:rsidR="009F2DA8" w:rsidRPr="00452D57" w:rsidRDefault="00D35211" w:rsidP="00D35211">
      <w:pPr>
        <w:jc w:val="both"/>
        <w:rPr>
          <w:noProof/>
        </w:rPr>
      </w:pPr>
      <w:r w:rsidRPr="00452D57">
        <w:rPr>
          <w:noProof/>
        </w:rPr>
        <w:t xml:space="preserve">Parallelt med domsbaseret konfiskation har Armenien indført en retlig ramme for konfiskation, der ikke sker efter domfældelse. Den 16. april 2020 vedtog Nationalforsamlingen loven om civilretlig konfiskation af ulovlige aktiver, som fastlægger retsgrundlaget for konfiskation, der ikke sker efter domfældelse. Armenien råder derfor over en lovgivningsmæssig ramme, der i vid udstrækning er tilpasset de forpligtelser, der følger af de internationale aftaler, som landet er part i, men denne ramme er endnu ikke tilpasset EU-standarder. </w:t>
      </w:r>
    </w:p>
    <w:p w14:paraId="11252AA6" w14:textId="77777777" w:rsidR="009140E1" w:rsidRPr="00452D57" w:rsidRDefault="009140E1" w:rsidP="00D35211">
      <w:pPr>
        <w:jc w:val="both"/>
        <w:rPr>
          <w:noProof/>
        </w:rPr>
      </w:pPr>
    </w:p>
    <w:p w14:paraId="7811AD64" w14:textId="54228E1B" w:rsidR="00D35211" w:rsidRPr="00452D57" w:rsidRDefault="00CF39B8" w:rsidP="00D35211">
      <w:pPr>
        <w:pStyle w:val="paragraph"/>
        <w:spacing w:before="0" w:beforeAutospacing="0" w:after="0" w:afterAutospacing="0"/>
        <w:jc w:val="both"/>
        <w:rPr>
          <w:noProof/>
          <w:sz w:val="22"/>
          <w:szCs w:val="22"/>
        </w:rPr>
      </w:pPr>
      <w:r w:rsidRPr="00452D57">
        <w:rPr>
          <w:noProof/>
          <w:sz w:val="22"/>
        </w:rPr>
        <w:t xml:space="preserve">De armenske myndigheder har forpligtet sig til at reformere det nationale system for inddrivelse af aktiver og tilpasse det til EU-standarder. </w:t>
      </w:r>
    </w:p>
    <w:p w14:paraId="13752A1B" w14:textId="77777777" w:rsidR="000500CD" w:rsidRPr="00452D57" w:rsidRDefault="000500CD" w:rsidP="00D35211">
      <w:pPr>
        <w:pStyle w:val="paragraph"/>
        <w:spacing w:before="0" w:beforeAutospacing="0" w:after="0" w:afterAutospacing="0"/>
        <w:jc w:val="both"/>
        <w:rPr>
          <w:b/>
          <w:bCs/>
          <w:noProof/>
          <w:color w:val="000000" w:themeColor="text1"/>
          <w:sz w:val="22"/>
          <w:szCs w:val="22"/>
        </w:rPr>
      </w:pPr>
    </w:p>
    <w:p w14:paraId="1EF8BA0D"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Vedtagelse af en lovgivningsmæssig ramme for beskyttelse af whistleblowere, der bl.a. indberetter om hvidvask af penge og finansiering af terrorisme.</w:t>
      </w:r>
    </w:p>
    <w:p w14:paraId="3C7BF99C" w14:textId="77777777" w:rsidR="00957D3F" w:rsidRPr="00452D57" w:rsidRDefault="00957D3F" w:rsidP="00957D3F">
      <w:pPr>
        <w:pStyle w:val="paragraph"/>
        <w:spacing w:before="0" w:beforeAutospacing="0" w:after="0" w:afterAutospacing="0"/>
        <w:jc w:val="both"/>
        <w:textAlignment w:val="baseline"/>
        <w:rPr>
          <w:b/>
          <w:bCs/>
          <w:noProof/>
          <w:sz w:val="22"/>
          <w:szCs w:val="22"/>
        </w:rPr>
      </w:pPr>
    </w:p>
    <w:p w14:paraId="5069FE8B" w14:textId="525845F3" w:rsidR="00957D3F" w:rsidRPr="00452D57" w:rsidRDefault="00957D3F" w:rsidP="00957D3F">
      <w:pPr>
        <w:jc w:val="both"/>
        <w:rPr>
          <w:noProof/>
        </w:rPr>
      </w:pPr>
      <w:r w:rsidRPr="00452D57">
        <w:rPr>
          <w:noProof/>
        </w:rPr>
        <w:t xml:space="preserve">Armeniens retlige ramme har siden 2018 indeholdt formelle garantier for beskyttelse af whistleblowere, og der blev vedtaget væsentlige lovændringer i 2022. Den gældende lovgivning giver mulighed for indberetning af korruptionsrelaterede lovovertrædelser, interessekonflikter, overtrædelser af adfærdskodekser, uforenelighedskrav og overtrædelser relateret til angivelser eller anden skade på samfundsmæssige interesser. </w:t>
      </w:r>
    </w:p>
    <w:p w14:paraId="0D56FC48" w14:textId="77777777" w:rsidR="00957D3F" w:rsidRPr="00452D57" w:rsidRDefault="00957D3F" w:rsidP="00957D3F">
      <w:pPr>
        <w:jc w:val="both"/>
        <w:rPr>
          <w:noProof/>
          <w:lang w:eastAsia="x-none"/>
        </w:rPr>
      </w:pPr>
    </w:p>
    <w:p w14:paraId="5D190B34" w14:textId="5723323B" w:rsidR="00957D3F" w:rsidRPr="00452D57" w:rsidRDefault="00957D3F" w:rsidP="00957D3F">
      <w:pPr>
        <w:jc w:val="both"/>
        <w:rPr>
          <w:noProof/>
        </w:rPr>
      </w:pPr>
      <w:r w:rsidRPr="00452D57">
        <w:rPr>
          <w:noProof/>
        </w:rPr>
        <w:t xml:space="preserve">Selv om Armeniens officielle menneskerettighedsombudsmand formelt har fået beføjelse og midlerne til at modtage klager og ansøgninger fra whistleblowere og tilknyttede personer vedrørende påståede krænkelser af deres rettigheder, er der hidtil ikke rapporteret om praktiske tilfælde af beskyttelse af whistleblowere. </w:t>
      </w:r>
    </w:p>
    <w:p w14:paraId="24CFBACF" w14:textId="77777777" w:rsidR="00957D3F" w:rsidRPr="00452D57" w:rsidRDefault="00957D3F" w:rsidP="00957D3F">
      <w:pPr>
        <w:jc w:val="both"/>
        <w:rPr>
          <w:noProof/>
          <w:lang w:eastAsia="x-none"/>
        </w:rPr>
      </w:pPr>
    </w:p>
    <w:p w14:paraId="33106F23" w14:textId="4715FDDB" w:rsidR="00957D3F" w:rsidRPr="00452D57" w:rsidRDefault="001D3D72" w:rsidP="00957D3F">
      <w:pPr>
        <w:jc w:val="both"/>
        <w:rPr>
          <w:noProof/>
        </w:rPr>
      </w:pPr>
      <w:r w:rsidRPr="00452D57">
        <w:rPr>
          <w:noProof/>
        </w:rPr>
        <w:t>Justitsministeriet har udarbejdet lovændringer for at styrke rammen for whistleblowing. Navnlig har udkastet til ændringer til formål udtrykkeligt at udvide anvendelsesområdet til potentielle overtrædelser vedrørende hvidvask af penge og finansiering af terrorisme, og det vil også bringe private enheder med 250 eller flere ansatte ind under lovens anvendelsesområde.</w:t>
      </w:r>
    </w:p>
    <w:p w14:paraId="27D79E06" w14:textId="77777777" w:rsidR="00957D3F" w:rsidRPr="00452D57" w:rsidRDefault="00957D3F" w:rsidP="00957D3F">
      <w:pPr>
        <w:jc w:val="both"/>
        <w:rPr>
          <w:noProof/>
        </w:rPr>
      </w:pPr>
    </w:p>
    <w:p w14:paraId="47064516"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Vedtagelse af en national strategi for narkotikapolitik med en afbalanceret og omfattende tilgang, herunder foranstaltninger til bekæmpelse af narkotikahandel samt til håndtering af efterspørgslen efter narkotika og de skader, der er forbundet med narkotika, i overensstemmelse med EU-standarder og internationale standarder, samt udarbejdelse og godkendelse af en handlingsplan med klare tidsfrister, mål, aktiviteter, resultater, resultatindikatorer samt menneskelige og finansielle ressourcer, der skal sikre gennemførelsen af den nationale strategi.</w:t>
      </w:r>
    </w:p>
    <w:p w14:paraId="1C175D7E" w14:textId="77777777" w:rsidR="001D3D72" w:rsidRPr="00452D57" w:rsidRDefault="001D3D72" w:rsidP="001D3D72">
      <w:pPr>
        <w:rPr>
          <w:noProof/>
          <w:lang w:eastAsia="x-none"/>
        </w:rPr>
      </w:pPr>
    </w:p>
    <w:p w14:paraId="2B54631A" w14:textId="48A02550" w:rsidR="00802F43" w:rsidRPr="00452D57" w:rsidRDefault="00802F43" w:rsidP="001D3D72">
      <w:pPr>
        <w:jc w:val="both"/>
        <w:rPr>
          <w:noProof/>
        </w:rPr>
      </w:pPr>
      <w:r w:rsidRPr="00452D57">
        <w:rPr>
          <w:noProof/>
        </w:rPr>
        <w:t>Armenien er part i De Forenede Nationers konvention mod ulovlig handel med narkotika og psykotrope stoffer (Wienerkonventionen) og De Forenede Nationers konvention mod grænseoverskridende organiseret kriminalitet (Palermokonventionen).</w:t>
      </w:r>
    </w:p>
    <w:p w14:paraId="75908392" w14:textId="77777777" w:rsidR="00802F43" w:rsidRPr="00452D57" w:rsidRDefault="00802F43" w:rsidP="001D3D72">
      <w:pPr>
        <w:jc w:val="both"/>
        <w:rPr>
          <w:noProof/>
        </w:rPr>
      </w:pPr>
    </w:p>
    <w:p w14:paraId="50801E60" w14:textId="1A6E6258" w:rsidR="001502D7" w:rsidRPr="00452D57" w:rsidRDefault="001D3D72" w:rsidP="001502D7">
      <w:pPr>
        <w:jc w:val="both"/>
        <w:rPr>
          <w:noProof/>
        </w:rPr>
      </w:pPr>
      <w:r w:rsidRPr="00452D57">
        <w:rPr>
          <w:noProof/>
        </w:rPr>
        <w:t>Narkotikarelaterede lovovertrædelser udgør en af de væsentlige trusler mod sikkerheden og folkesundheden i Armenien. I de seneste år er online narkotikahandel vokset i Armenien, fra blot otte</w:t>
      </w:r>
      <w:r w:rsidR="007644A8">
        <w:rPr>
          <w:noProof/>
        </w:rPr>
        <w:t> </w:t>
      </w:r>
      <w:r w:rsidRPr="00452D57">
        <w:rPr>
          <w:noProof/>
        </w:rPr>
        <w:t>registrerede tilfælde i 2021 til 321 tilfælde i 2024. Det samlede antal strafferetlige efterforskninger vedrørende narkotika er også steget, hvilket både afspejler en intensiveret retshåndhævelsesindsats, og at Armenien i stigende grad bliver brugt som transitrute for narkotika. Pr. december 2025 efterforskede politiet 3 311 narkotikarelaterede straffesager mod 3 639 i 2024, 5 070 i 2023, 2 266 i 2022 og 1 544 i 2021.</w:t>
      </w:r>
    </w:p>
    <w:p w14:paraId="3DDED897" w14:textId="77777777" w:rsidR="001502D7" w:rsidRPr="00452D57" w:rsidRDefault="001502D7" w:rsidP="001D3D72">
      <w:pPr>
        <w:jc w:val="both"/>
        <w:rPr>
          <w:noProof/>
        </w:rPr>
      </w:pPr>
    </w:p>
    <w:p w14:paraId="20CA6A06" w14:textId="3E52D2C1" w:rsidR="001D3D72" w:rsidRPr="00452D57" w:rsidRDefault="001D3D72" w:rsidP="001D3D72">
      <w:pPr>
        <w:jc w:val="both"/>
        <w:rPr>
          <w:noProof/>
        </w:rPr>
      </w:pPr>
      <w:r w:rsidRPr="00452D57">
        <w:rPr>
          <w:noProof/>
        </w:rPr>
        <w:t xml:space="preserve">Som reaktion på den voksende trussel vedtog de armenske myndigheder i juni 2025 en strategisk plan (2025-2027) for bekæmpelse af ikkemedicinsk brug og ulovlig handel med narkotika og psykotrope stoffer. Strategien og den tilhørende handlingsplan omfatter 68 aktiviteter inden for 12 strategiske områder, herunder forebyggelse, retshåndhævelse, onlinehandel, kapacitetsopbygning, internationalt samarbejde og levering af moderne evidensbaseret behandling og rehabilitering. </w:t>
      </w:r>
    </w:p>
    <w:p w14:paraId="10523E0D" w14:textId="77777777" w:rsidR="001D3D72" w:rsidRPr="00452D57" w:rsidRDefault="001D3D72" w:rsidP="001D3D72">
      <w:pPr>
        <w:jc w:val="both"/>
        <w:rPr>
          <w:noProof/>
          <w:lang w:eastAsia="x-none"/>
        </w:rPr>
      </w:pPr>
    </w:p>
    <w:p w14:paraId="569537F4" w14:textId="77777777" w:rsidR="00F618EC" w:rsidRPr="00452D57" w:rsidRDefault="00F618EC" w:rsidP="00F618EC">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Undertegnelse, ratificering og gennemførelse i national lovgivning af alle konventioner og tilhørende protokoller under FN og Europarådet, som har relevans for ovennævnte områder, og som omhandler bekæmpelse af terrorisme, herunder Europarådets konvention fra 2005 om hvidvask, efterforskning, beslaglæggelse og konfiskation af udbytte fra strafbare handlinger samt finansiering af terrorisme og Haagerkonventionen om beskyttelse af mindreårige fra 1996 (konventionen om kompetence, lovvalg, anerkendelse, fuldbyrdelse og samarbejde vedrørende forældreansvar og foranstaltninger til beskyttelse af børn), Europarådets konvention fra 2007 om beskyttelse af børn mod seksuel udnyttelse og seksuelt misbrug samt tillægsprotokollen til den strafferetlige konvention om korruption.</w:t>
      </w:r>
    </w:p>
    <w:p w14:paraId="3590791D" w14:textId="77777777" w:rsidR="00F618EC" w:rsidRPr="00452D57" w:rsidRDefault="00F618EC" w:rsidP="00F618EC">
      <w:pPr>
        <w:pStyle w:val="paragraph"/>
        <w:spacing w:before="0" w:beforeAutospacing="0" w:after="0" w:afterAutospacing="0"/>
        <w:jc w:val="both"/>
        <w:textAlignment w:val="baseline"/>
        <w:rPr>
          <w:noProof/>
          <w:color w:val="000000" w:themeColor="text1"/>
          <w:sz w:val="22"/>
          <w:szCs w:val="22"/>
        </w:rPr>
      </w:pPr>
    </w:p>
    <w:p w14:paraId="2AA8AE2A" w14:textId="30E7C6FA" w:rsidR="00DA2050" w:rsidRPr="00452D57" w:rsidRDefault="00DA2050" w:rsidP="00DA2050">
      <w:pPr>
        <w:jc w:val="both"/>
        <w:rPr>
          <w:noProof/>
        </w:rPr>
      </w:pPr>
      <w:r w:rsidRPr="00452D57">
        <w:rPr>
          <w:noProof/>
        </w:rPr>
        <w:t>Armenien blev medlem af Europarådet i januar 2001 og har siden undertegnet 83 af Europarådets konventioner, hvoraf det har ratificeret 70. Armenien undertegnede og ratificerede Europarådets konvention fra 2005 om hvidvask, efterforskning, beslaglæggelse og konfiskation af udbytte fra strafbare handlinger samt finansiering af terrorisme, som trådte i kraft den 1. oktober 2008. Landet undertegnede og ratificerede også Haagerkonventionen af 1996 om kompetence, lovvalg, anerkendelse, fuldbyrdelse og samarbejde vedrørende forældreansvar og foranstaltninger til beskyttelse af børn, som trådte i kraft den 1. maj 2008. Derudover undertegnede og ratificerede det Europarådets konvention af 2007 om beskyttelse af børn mod seksuel udnyttelse og seksuelt misbrug med virkning fra den 1.</w:t>
      </w:r>
      <w:r w:rsidR="007644A8">
        <w:rPr>
          <w:noProof/>
        </w:rPr>
        <w:t> </w:t>
      </w:r>
      <w:r w:rsidRPr="00452D57">
        <w:rPr>
          <w:noProof/>
        </w:rPr>
        <w:t>januar</w:t>
      </w:r>
      <w:r w:rsidR="007644A8">
        <w:rPr>
          <w:noProof/>
        </w:rPr>
        <w:t> </w:t>
      </w:r>
      <w:r w:rsidRPr="00452D57">
        <w:rPr>
          <w:noProof/>
        </w:rPr>
        <w:t>2021. Armenien undertegnede og ratificerede også tillægsprotokollen til strafferetskonventionen om korruption, som trådte i kraft den 1. maj 2006.</w:t>
      </w:r>
    </w:p>
    <w:p w14:paraId="4FE84035" w14:textId="77777777" w:rsidR="009B758B" w:rsidRPr="00452D57" w:rsidRDefault="009B758B" w:rsidP="00DA2050">
      <w:pPr>
        <w:jc w:val="both"/>
        <w:rPr>
          <w:noProof/>
          <w:lang w:eastAsia="x-none"/>
        </w:rPr>
      </w:pPr>
    </w:p>
    <w:p w14:paraId="57B77664" w14:textId="5DAAC2A8" w:rsidR="00DA2050" w:rsidRPr="00452D57" w:rsidRDefault="00DA2050" w:rsidP="00DA2050">
      <w:pPr>
        <w:jc w:val="both"/>
        <w:rPr>
          <w:noProof/>
        </w:rPr>
      </w:pPr>
      <w:r w:rsidRPr="00452D57">
        <w:rPr>
          <w:noProof/>
        </w:rPr>
        <w:t xml:space="preserve">Armenien er part i alle væsentlige FN-instrumenter til bekæmpelse af kriminalitet og organiseret kriminalitet, som er åbne for ratifikation inden for rammerne af FN-traktatsystemet. På terrorbekæmpelsesområdet har Armenien opretholdt et tæt samarbejde med De Forenede Nationers Sikkerhedsråds komité i henhold til resolution 1267 (1999), 1989 (2011) og 2253 (2015). Ajourførte konsoliderede lister vedrørende ISIL (Da'esh), Al-Qaeda og tilknyttede personer, grupper og enheder modtages, gennemgås og verificeres regelmæssigt af de kompetente armenske myndigheder for at sikre, at landets nationale procedurer er i overensstemmelse med internationale terrorbekæmpelsesforpligtelser. Den nationale ramme er blevet tilpasset internationale standarder, navnlig ved ikrafttrædelsen af den nye straffelov i 2022, som indførte en moderniseret tilgang til terrorismerelaterede lovovertrædelser. </w:t>
      </w:r>
    </w:p>
    <w:p w14:paraId="473ECD54" w14:textId="77777777" w:rsidR="001B5683" w:rsidRPr="00452D57" w:rsidRDefault="001B5683" w:rsidP="00DA2050">
      <w:pPr>
        <w:jc w:val="both"/>
        <w:rPr>
          <w:noProof/>
        </w:rPr>
      </w:pPr>
    </w:p>
    <w:p w14:paraId="0D978EFA" w14:textId="77777777" w:rsidR="00FF58B1" w:rsidRPr="00452D57" w:rsidRDefault="00FF58B1" w:rsidP="00FF58B1">
      <w:pPr>
        <w:pStyle w:val="ListParagraph"/>
        <w:numPr>
          <w:ilvl w:val="1"/>
          <w:numId w:val="1"/>
        </w:numPr>
        <w:rPr>
          <w:noProof/>
        </w:rPr>
      </w:pPr>
      <w:r w:rsidRPr="00452D57">
        <w:rPr>
          <w:noProof/>
        </w:rPr>
        <w:t>Retligt samarbejde i straffesager</w:t>
      </w:r>
    </w:p>
    <w:p w14:paraId="533A208A" w14:textId="77777777" w:rsidR="005E02F9" w:rsidRPr="00452D57" w:rsidRDefault="005E02F9" w:rsidP="005E02F9">
      <w:pPr>
        <w:rPr>
          <w:noProof/>
        </w:rPr>
      </w:pPr>
    </w:p>
    <w:p w14:paraId="659F9F4B" w14:textId="77777777" w:rsidR="005E02F9" w:rsidRPr="00452D5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 retlige og institutionelle rammer, der sikrer effektiv gensidig retshjælp i straffesager.</w:t>
      </w:r>
    </w:p>
    <w:p w14:paraId="60B9865B" w14:textId="77777777" w:rsidR="00124E80" w:rsidRPr="00452D57" w:rsidRDefault="00124E80" w:rsidP="00124E80">
      <w:pPr>
        <w:rPr>
          <w:noProof/>
          <w:lang w:eastAsia="x-none"/>
        </w:rPr>
      </w:pPr>
    </w:p>
    <w:p w14:paraId="53FD6DA1" w14:textId="741404EF" w:rsidR="00CD15B2" w:rsidRPr="00452D57" w:rsidRDefault="00CD15B2" w:rsidP="00124E80">
      <w:pPr>
        <w:jc w:val="both"/>
        <w:rPr>
          <w:noProof/>
        </w:rPr>
      </w:pPr>
      <w:r w:rsidRPr="00452D57">
        <w:rPr>
          <w:noProof/>
        </w:rPr>
        <w:t>Samarbejdet mellem Armenien og EU-medlemsstaterne bygger primært på Europarådets centrale instrumenter, navnlig den europæiske udleveringskonvention af 13. december 1957 og dens tillægsprotokoller, den europæiske konvention om overførelse af retsforfølgning i straffesager af 15.</w:t>
      </w:r>
      <w:r w:rsidR="007644A8">
        <w:rPr>
          <w:noProof/>
        </w:rPr>
        <w:t> </w:t>
      </w:r>
      <w:r w:rsidRPr="00452D57">
        <w:rPr>
          <w:noProof/>
        </w:rPr>
        <w:t>maj</w:t>
      </w:r>
      <w:r w:rsidR="007644A8">
        <w:rPr>
          <w:noProof/>
        </w:rPr>
        <w:t> </w:t>
      </w:r>
      <w:r w:rsidRPr="00452D57">
        <w:rPr>
          <w:noProof/>
        </w:rPr>
        <w:t xml:space="preserve">1972 og den europæiske konvention om gensidig retshjælp i straffesager af 20. april 1959 sammen med dens tillægsprotokoller. </w:t>
      </w:r>
    </w:p>
    <w:p w14:paraId="598736D2" w14:textId="77777777" w:rsidR="00CD15B2" w:rsidRPr="00452D57" w:rsidRDefault="00CD15B2" w:rsidP="00124E80">
      <w:pPr>
        <w:jc w:val="both"/>
        <w:rPr>
          <w:noProof/>
        </w:rPr>
      </w:pPr>
    </w:p>
    <w:p w14:paraId="1912746A" w14:textId="34D19380" w:rsidR="00124E80" w:rsidRPr="00452D57" w:rsidRDefault="00124E80" w:rsidP="00124E80">
      <w:pPr>
        <w:jc w:val="both"/>
        <w:rPr>
          <w:noProof/>
        </w:rPr>
      </w:pPr>
      <w:r w:rsidRPr="00452D57">
        <w:rPr>
          <w:noProof/>
        </w:rPr>
        <w:t xml:space="preserve">Retligt samarbejde med andre lande i straffesager reguleres på nationalt plan af kapitel 54 og 54¹ i strafferetsplejeloven, som fastsætter den retlige ramme for udlevering, gensidig retshjælp og andre former for internationalt samarbejde i straffesager. International gensidig retshjælp i straffesager reguleres også af loven om retshjælp i straffesager, som blev vedtaget den 15. november 2024. </w:t>
      </w:r>
    </w:p>
    <w:p w14:paraId="5ED5241A" w14:textId="77777777" w:rsidR="00CD15B2" w:rsidRPr="00452D57" w:rsidRDefault="00CD15B2" w:rsidP="00124E80">
      <w:pPr>
        <w:jc w:val="both"/>
        <w:rPr>
          <w:noProof/>
        </w:rPr>
      </w:pPr>
    </w:p>
    <w:p w14:paraId="35DFB504" w14:textId="6289F238" w:rsidR="00CD15B2" w:rsidRPr="00452D57" w:rsidRDefault="00CD15B2" w:rsidP="00124E80">
      <w:pPr>
        <w:jc w:val="both"/>
        <w:rPr>
          <w:noProof/>
        </w:rPr>
      </w:pPr>
      <w:r w:rsidRPr="00452D57">
        <w:rPr>
          <w:noProof/>
        </w:rPr>
        <w:t xml:space="preserve">Tilsammen udgør disse en omfattende retlig ramme, der gør det muligt for Armenien at yde gensidig retshjælp i straffesager med partnerlande. </w:t>
      </w:r>
    </w:p>
    <w:p w14:paraId="5CD57168" w14:textId="77777777" w:rsidR="00124E80" w:rsidRPr="00452D57" w:rsidRDefault="00124E80" w:rsidP="00124E80">
      <w:pPr>
        <w:pStyle w:val="paragraph"/>
        <w:spacing w:before="0" w:beforeAutospacing="0" w:after="0" w:afterAutospacing="0"/>
        <w:jc w:val="both"/>
        <w:textAlignment w:val="baseline"/>
        <w:rPr>
          <w:b/>
          <w:bCs/>
          <w:noProof/>
          <w:color w:val="000000" w:themeColor="text1"/>
          <w:sz w:val="22"/>
          <w:szCs w:val="22"/>
        </w:rPr>
      </w:pPr>
    </w:p>
    <w:p w14:paraId="37AEE9AC" w14:textId="77777777" w:rsidR="005E02F9" w:rsidRPr="00452D5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Undertegnelse, ratifikation og gennemførelse i national ret af relevante internationale konventioner og deres protokoller, navnlig anden tillægsprotokol til den europæiske konvention om gensidig retshjælp i straffesager og Europarådets konvention af 2005 om hvidvask, efterforskning, beslaglæggelse og konfiskation af udbytte fra strafbare handlinger samt finansiering af terrorisme.</w:t>
      </w:r>
    </w:p>
    <w:p w14:paraId="7B1C99DB" w14:textId="77777777" w:rsidR="00F42E07" w:rsidRPr="00452D57" w:rsidRDefault="00F42E07" w:rsidP="00F42E07">
      <w:pPr>
        <w:pStyle w:val="paragraph"/>
        <w:spacing w:before="0" w:beforeAutospacing="0" w:after="0" w:afterAutospacing="0"/>
        <w:jc w:val="both"/>
        <w:textAlignment w:val="baseline"/>
        <w:rPr>
          <w:b/>
          <w:bCs/>
          <w:noProof/>
          <w:sz w:val="22"/>
          <w:szCs w:val="22"/>
        </w:rPr>
      </w:pPr>
    </w:p>
    <w:p w14:paraId="47A05BAF" w14:textId="0D003960" w:rsidR="00F42E07" w:rsidRPr="00452D57" w:rsidRDefault="00F42E07" w:rsidP="00F42E07">
      <w:pPr>
        <w:jc w:val="both"/>
        <w:rPr>
          <w:noProof/>
        </w:rPr>
      </w:pPr>
      <w:r w:rsidRPr="00452D57">
        <w:rPr>
          <w:noProof/>
        </w:rPr>
        <w:t xml:space="preserve">Anden tillægsprotokol til den europæiske konvention om gensidig retshjælp i straffesager blev undertegnet og ratificeret af Armenien. Den trådte i kraft den 1. april 2011. Den nationale lovgivning er blevet tilpasset denne protokol. Derudover er der indledt interne procedurer med henblik på ratifikation og gennemførelse af tredje tillægsprotokol i 2026. </w:t>
      </w:r>
    </w:p>
    <w:p w14:paraId="6DEA36A4" w14:textId="77777777" w:rsidR="00F42E07" w:rsidRPr="00452D57" w:rsidRDefault="00F42E07" w:rsidP="00F42E07">
      <w:pPr>
        <w:jc w:val="both"/>
        <w:rPr>
          <w:noProof/>
          <w:lang w:eastAsia="x-none"/>
        </w:rPr>
      </w:pPr>
    </w:p>
    <w:p w14:paraId="4D3F2B43" w14:textId="6C02A01B" w:rsidR="00F42E07" w:rsidRPr="00452D57" w:rsidRDefault="00F42E07" w:rsidP="00F42E07">
      <w:pPr>
        <w:jc w:val="both"/>
        <w:rPr>
          <w:noProof/>
        </w:rPr>
      </w:pPr>
      <w:r w:rsidRPr="00452D57">
        <w:rPr>
          <w:noProof/>
        </w:rPr>
        <w:t>Armenien undertegnede og ratificerede Europarådets konvention fra 2005 om hvidvask, efterforskning, beslaglæggelse og konfiskation af udbytte fra strafbare handlinger samt finansiering af terrorisme, som trådte i kraft den 1. oktober 2008.</w:t>
      </w:r>
    </w:p>
    <w:p w14:paraId="36326D85" w14:textId="77777777" w:rsidR="00F42E07" w:rsidRPr="00452D57" w:rsidRDefault="00F42E07" w:rsidP="001B5683">
      <w:pPr>
        <w:pStyle w:val="paragraph"/>
        <w:spacing w:before="0" w:beforeAutospacing="0" w:after="0" w:afterAutospacing="0"/>
        <w:ind w:firstLine="720"/>
        <w:jc w:val="both"/>
        <w:textAlignment w:val="baseline"/>
        <w:rPr>
          <w:b/>
          <w:bCs/>
          <w:noProof/>
          <w:color w:val="000000" w:themeColor="text1"/>
          <w:sz w:val="22"/>
          <w:szCs w:val="22"/>
        </w:rPr>
      </w:pPr>
    </w:p>
    <w:p w14:paraId="2F709FBE" w14:textId="38FCA502" w:rsidR="005E02F9" w:rsidRPr="00452D57" w:rsidRDefault="00FF58B1" w:rsidP="005E02F9">
      <w:pPr>
        <w:pStyle w:val="ListParagraph"/>
        <w:numPr>
          <w:ilvl w:val="1"/>
          <w:numId w:val="1"/>
        </w:numPr>
        <w:rPr>
          <w:noProof/>
        </w:rPr>
      </w:pPr>
      <w:r w:rsidRPr="00452D57">
        <w:rPr>
          <w:noProof/>
        </w:rPr>
        <w:t xml:space="preserve">Retshåndhævelsessamarbejde </w:t>
      </w:r>
    </w:p>
    <w:p w14:paraId="578E7A53" w14:textId="77777777" w:rsidR="005E02F9" w:rsidRPr="00452D57" w:rsidRDefault="005E02F9" w:rsidP="005E02F9">
      <w:pPr>
        <w:rPr>
          <w:noProof/>
        </w:rPr>
      </w:pPr>
    </w:p>
    <w:p w14:paraId="7450144C" w14:textId="77777777" w:rsidR="005E02F9" w:rsidRPr="00452D5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Indførelse af effektive koordinationsmekanismer mellem kompetente statslige organer og oprettelse af en fælles databank (eller et IT-system), der giver relevante embedsmænd ret til direkte adgang.</w:t>
      </w:r>
    </w:p>
    <w:p w14:paraId="329D3EE3" w14:textId="77777777" w:rsidR="00D23843" w:rsidRPr="00452D57" w:rsidRDefault="00D23843" w:rsidP="00D23843">
      <w:pPr>
        <w:pStyle w:val="paragraph"/>
        <w:spacing w:before="0" w:beforeAutospacing="0" w:after="0" w:afterAutospacing="0"/>
        <w:jc w:val="both"/>
        <w:textAlignment w:val="baseline"/>
        <w:rPr>
          <w:b/>
          <w:bCs/>
          <w:noProof/>
          <w:sz w:val="22"/>
          <w:szCs w:val="22"/>
        </w:rPr>
      </w:pPr>
    </w:p>
    <w:p w14:paraId="11F47D65" w14:textId="3BBB9EC7" w:rsidR="00A42886" w:rsidRPr="00452D57" w:rsidRDefault="00D23843" w:rsidP="00D23843">
      <w:pPr>
        <w:jc w:val="both"/>
        <w:rPr>
          <w:noProof/>
        </w:rPr>
      </w:pPr>
      <w:r w:rsidRPr="00452D57">
        <w:rPr>
          <w:noProof/>
        </w:rPr>
        <w:t xml:space="preserve">De armenske retshåndhævende myndigheder har adgang til en bred vifte af digitale datakilder, der dækker retshåndhævelse, befolkningsregistrering, migration, grænseforvaltning og internationalt samarbejde. Adgangen til og anvendelsen af disse data er dog fortsat fragmenteret på tværs af flere systemer med begrænset interoperabilitet. Dataanvendelsen er overvejende reaktiv og sagsstyret med begrænset anvendelse af proaktive eller efterretningsbaserede tilgange. Utilstrækkelig operationel koordinering og mangler i den praktiske operationelle planlægning er fortsat en udfordring for de armenske efterforskningsmyndigheder. </w:t>
      </w:r>
    </w:p>
    <w:p w14:paraId="74B9E931" w14:textId="77777777" w:rsidR="00A42886" w:rsidRPr="00452D57" w:rsidRDefault="00A42886" w:rsidP="00D23843">
      <w:pPr>
        <w:jc w:val="both"/>
        <w:rPr>
          <w:noProof/>
        </w:rPr>
      </w:pPr>
    </w:p>
    <w:p w14:paraId="48FDD0B5" w14:textId="62CAC2E8" w:rsidR="00D23843" w:rsidRPr="00452D57" w:rsidRDefault="00D23843" w:rsidP="00D23843">
      <w:pPr>
        <w:jc w:val="both"/>
        <w:rPr>
          <w:noProof/>
        </w:rPr>
      </w:pPr>
      <w:r w:rsidRPr="00452D57">
        <w:rPr>
          <w:noProof/>
        </w:rPr>
        <w:t>Yderligere fremskridt på dette område vil blive muliggjort af den fulde gennemførelse af det fælles statslige folkeregister (planlagt til den 1. januar 2027) og større interoperabilitet mellem informationssystemerne med udgangspunkt i det nyoprettede center for kriminalitetsstatistik og forskning i indenrigsministeriet.</w:t>
      </w:r>
    </w:p>
    <w:p w14:paraId="38AC408B" w14:textId="77777777" w:rsidR="00A42886" w:rsidRPr="00452D57" w:rsidRDefault="00A42886" w:rsidP="00D23843">
      <w:pPr>
        <w:jc w:val="both"/>
        <w:rPr>
          <w:noProof/>
        </w:rPr>
      </w:pPr>
    </w:p>
    <w:p w14:paraId="2BC030DB" w14:textId="32C79097" w:rsidR="00D23843" w:rsidRPr="00452D57" w:rsidRDefault="00A42886" w:rsidP="00D23843">
      <w:pPr>
        <w:jc w:val="both"/>
        <w:rPr>
          <w:noProof/>
        </w:rPr>
      </w:pPr>
      <w:r w:rsidRPr="00452D57">
        <w:rPr>
          <w:noProof/>
        </w:rPr>
        <w:t>Strategien for retlige og juridiske reformer for 2022-2026 indeholder også planer om at indføre et elektronisk system til sagsstyring i straffesager for strafferetlige procedurer forud for retssagen. Denne reform vil være en nøglekomponent i regeringens bredere indsats for at modernisere strafferetssystemet og forbedre dets effektivitet, gennemsigtighed og ansvarlighed. Det elektroniske sagsstyringssystem skal efter planen være fuldt operationelt senest i marts 2027.</w:t>
      </w:r>
    </w:p>
    <w:p w14:paraId="0485CA93" w14:textId="77777777" w:rsidR="00D23843" w:rsidRPr="00452D57" w:rsidRDefault="00D23843" w:rsidP="00D23843">
      <w:pPr>
        <w:pStyle w:val="paragraph"/>
        <w:spacing w:before="0" w:beforeAutospacing="0" w:after="0" w:afterAutospacing="0"/>
        <w:jc w:val="both"/>
        <w:textAlignment w:val="baseline"/>
        <w:rPr>
          <w:b/>
          <w:bCs/>
          <w:noProof/>
          <w:color w:val="000000" w:themeColor="text1"/>
          <w:sz w:val="22"/>
          <w:szCs w:val="22"/>
        </w:rPr>
      </w:pPr>
    </w:p>
    <w:p w14:paraId="3F27AA96" w14:textId="77777777" w:rsidR="005E02F9" w:rsidRPr="00452D5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Videreførelse af et effektivt struktureret samarbejde gennem gennemførelsen af arbejdsordningen med både Europol (herunder via SIENA-forbindelsen og udsendelse af en forbindelsesofficer) og Cepol samt fortsat aktiv deltagelse i regionale kapacitetsopbygningsprojekter i området for Det Østlige Partnerskab.</w:t>
      </w:r>
    </w:p>
    <w:p w14:paraId="28703939" w14:textId="77777777" w:rsidR="005E02F9" w:rsidRPr="00452D57" w:rsidRDefault="005E02F9" w:rsidP="005E02F9">
      <w:pPr>
        <w:rPr>
          <w:b/>
          <w:bCs/>
          <w:noProof/>
        </w:rPr>
      </w:pPr>
    </w:p>
    <w:p w14:paraId="7AC0E76B" w14:textId="7FC27898" w:rsidR="005F46F8" w:rsidRPr="00452D57" w:rsidRDefault="005F46F8" w:rsidP="005F46F8">
      <w:pPr>
        <w:jc w:val="both"/>
        <w:rPr>
          <w:noProof/>
        </w:rPr>
      </w:pPr>
      <w:r w:rsidRPr="00452D57">
        <w:rPr>
          <w:noProof/>
        </w:rPr>
        <w:t>I september 2021 blev der undertegnet en arbejdsordning mellem det armenske politi og Europol, som lagde grunden til de efterfølgende gennemførelsesinstrumenter (forbindelsesaftalen og aftalememorandummet om en sikker kommunikationslinje – SIENA). Disse retsforskrifter trådte formelt i kraft i maj 2024. Armenien har udpeget en forbindelsesofficer til Europol, som blev indsat i april 2026. Dette vil styrke forbindelserne mellem de armenske retshåndhævende myndigheder, Europol og andre forbindelsesofficerer fra Europols partnere.</w:t>
      </w:r>
    </w:p>
    <w:p w14:paraId="557AE769" w14:textId="77777777" w:rsidR="005F46F8" w:rsidRPr="00452D57" w:rsidRDefault="005F46F8" w:rsidP="005F46F8">
      <w:pPr>
        <w:jc w:val="both"/>
        <w:rPr>
          <w:noProof/>
          <w:lang w:eastAsia="x-none"/>
        </w:rPr>
      </w:pPr>
    </w:p>
    <w:p w14:paraId="53EC577E" w14:textId="7E2CDCF9" w:rsidR="002554F9" w:rsidRPr="00452D57" w:rsidRDefault="005F46F8" w:rsidP="005F46F8">
      <w:pPr>
        <w:jc w:val="both"/>
        <w:rPr>
          <w:noProof/>
        </w:rPr>
      </w:pPr>
      <w:r w:rsidRPr="00452D57">
        <w:rPr>
          <w:noProof/>
        </w:rPr>
        <w:t>Det armenske samarbejde med Cepol er baseret på en arbejdsordning, der blev undertegnet i april 2017. Arbejdsordningen bør fornys for at tage hensyn til den seneste EU-lovgivning om databeskyttelse. Siden Cepol lancerede TOPCOP-programmet for østlige partnere i 2020, har armenske retshåndhævende tjenestemænd deltaget i mange uddannelseskurser om ulovlig narkotikahandel, menneskehandel, ulovlig migration, organiseret formuekriminalitet, onlinebedrageri og cyberkriminalitet samt i Cepols udvekslings- og mentorprogrammer.</w:t>
      </w:r>
    </w:p>
    <w:p w14:paraId="7937E8AA" w14:textId="77777777" w:rsidR="002554F9" w:rsidRPr="00452D57" w:rsidRDefault="002554F9" w:rsidP="005F46F8">
      <w:pPr>
        <w:jc w:val="both"/>
        <w:rPr>
          <w:noProof/>
        </w:rPr>
      </w:pPr>
    </w:p>
    <w:p w14:paraId="36C39935" w14:textId="10317AAF" w:rsidR="005F46F8" w:rsidRPr="00452D57" w:rsidRDefault="002554F9" w:rsidP="005F46F8">
      <w:pPr>
        <w:jc w:val="both"/>
        <w:rPr>
          <w:noProof/>
        </w:rPr>
      </w:pPr>
      <w:r w:rsidRPr="00452D57">
        <w:rPr>
          <w:noProof/>
        </w:rPr>
        <w:t>Udnævnelsen af en national EMPACT-koordinator i det armenske politi udvider i væsentlig grad Armeniens muligheder for at deltage i EU-ledede rammer for operationelt samarbejde.</w:t>
      </w:r>
    </w:p>
    <w:p w14:paraId="35116D76" w14:textId="77777777" w:rsidR="005E02F9" w:rsidRPr="00452D57" w:rsidRDefault="005E02F9" w:rsidP="005E02F9">
      <w:pPr>
        <w:rPr>
          <w:noProof/>
        </w:rPr>
      </w:pPr>
    </w:p>
    <w:p w14:paraId="4DDB3F35" w14:textId="694495BB" w:rsidR="005E6AF1" w:rsidRPr="00452D57" w:rsidRDefault="00FF58B1" w:rsidP="005E6AF1">
      <w:pPr>
        <w:pStyle w:val="ListParagraph"/>
        <w:numPr>
          <w:ilvl w:val="1"/>
          <w:numId w:val="1"/>
        </w:numPr>
        <w:rPr>
          <w:noProof/>
        </w:rPr>
      </w:pPr>
      <w:r w:rsidRPr="00452D57">
        <w:rPr>
          <w:noProof/>
        </w:rPr>
        <w:t xml:space="preserve">Databeskyttelse  </w:t>
      </w:r>
    </w:p>
    <w:p w14:paraId="7CE8B7AA" w14:textId="77777777" w:rsidR="005E02F9" w:rsidRPr="00452D57" w:rsidRDefault="005E02F9" w:rsidP="005E02F9">
      <w:pPr>
        <w:pStyle w:val="paragraph"/>
        <w:spacing w:before="0" w:beforeAutospacing="0" w:after="0" w:afterAutospacing="0"/>
        <w:jc w:val="both"/>
        <w:textAlignment w:val="baseline"/>
        <w:rPr>
          <w:noProof/>
          <w:sz w:val="22"/>
          <w:szCs w:val="22"/>
        </w:rPr>
      </w:pPr>
    </w:p>
    <w:p w14:paraId="06DAF903" w14:textId="65FCAA83" w:rsidR="005E02F9" w:rsidRPr="00452D5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 retlige og institutionelle rammer, der i øjeblikket gælder på området beskyttelse af personoplysninger, og tilpasning heraf til EU-standarder og internationale standarder, herunder gennem vedtagelse af sekundær lovgivning, instrukser og bestemmelser til regulering af passende processer, aktiviteter og procedurer.</w:t>
      </w:r>
    </w:p>
    <w:p w14:paraId="40CF346B" w14:textId="77777777" w:rsidR="00CA723E" w:rsidRPr="00452D57" w:rsidRDefault="00CA723E" w:rsidP="00CA723E">
      <w:pPr>
        <w:pStyle w:val="paragraph"/>
        <w:spacing w:before="0" w:beforeAutospacing="0" w:after="0" w:afterAutospacing="0"/>
        <w:jc w:val="both"/>
        <w:textAlignment w:val="baseline"/>
        <w:rPr>
          <w:b/>
          <w:bCs/>
          <w:noProof/>
          <w:sz w:val="22"/>
          <w:szCs w:val="22"/>
        </w:rPr>
      </w:pPr>
    </w:p>
    <w:p w14:paraId="7E1EB711" w14:textId="6B50FB64" w:rsidR="00CA723E" w:rsidRPr="00452D57" w:rsidRDefault="00CA723E" w:rsidP="00CA723E">
      <w:pPr>
        <w:jc w:val="both"/>
        <w:rPr>
          <w:noProof/>
        </w:rPr>
      </w:pPr>
      <w:r w:rsidRPr="00452D57">
        <w:rPr>
          <w:noProof/>
        </w:rPr>
        <w:t>Den gældende armenske lov om beskyttelse af personoplysninger blev vedtaget i maj 2015. Efter vedtagelsen blev der udstedt regeringsdekreter til regulering af de tekniske og organisatoriske aspekter af behandling af personoplysninger. Regeringsprogrammet for 2021-2026 anerkender den strategiske betydning af at styrke beskyttelsen af personoplysninger og skitserer foranstaltninger til forbedring af den reguleringsmæssige og institutionelle ramme på dette område. Armeniens primære nationale databeskyttelsesmyndighed er på nuværende tidspunkt agenturet for beskyttelse af personoplysninger, som ligger under justitsministeriet.</w:t>
      </w:r>
    </w:p>
    <w:p w14:paraId="7B62020E" w14:textId="77777777" w:rsidR="00CA723E" w:rsidRPr="00452D57" w:rsidRDefault="00CA723E" w:rsidP="00CA723E">
      <w:pPr>
        <w:jc w:val="both"/>
        <w:rPr>
          <w:noProof/>
          <w:lang w:eastAsia="x-none"/>
        </w:rPr>
      </w:pPr>
    </w:p>
    <w:p w14:paraId="095CE04D" w14:textId="044E8651" w:rsidR="000845C4" w:rsidRPr="00452D57" w:rsidRDefault="00EA5D72" w:rsidP="000845C4">
      <w:pPr>
        <w:jc w:val="both"/>
        <w:rPr>
          <w:noProof/>
        </w:rPr>
      </w:pPr>
      <w:r w:rsidRPr="00452D57">
        <w:rPr>
          <w:noProof/>
        </w:rPr>
        <w:t xml:space="preserve">Regeringen godkendte i oktober 2025 et konceptpapir, der beskriver planer om at oprette en ny og uafhængig databeskyttelsesmyndighed. Den planlagte institutionelle ramme for denne myndighed forventes at fungere på grundlag af styrket lovgivning og moderniseret reguleringspraksis og dermed sikre bedre beskyttelse af borgernes personoplysninger og mere effektive håndhævelsesmekanismer i overensstemmelse med europæiske databeskyttelsesprincipper. Den nye lov skal efter planen vedtages i parlamentet i 4. kvartal 2026, mens den nye databeskyttelsesmyndighed skal oprettes medio 2027. </w:t>
      </w:r>
    </w:p>
    <w:p w14:paraId="18CA24FE" w14:textId="77777777" w:rsidR="000845C4" w:rsidRPr="00452D57" w:rsidRDefault="000845C4" w:rsidP="000845C4">
      <w:pPr>
        <w:jc w:val="both"/>
        <w:rPr>
          <w:noProof/>
        </w:rPr>
      </w:pPr>
    </w:p>
    <w:p w14:paraId="198F8C22" w14:textId="77777777" w:rsidR="005E02F9" w:rsidRPr="00452D5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Gennemførelse i national ret af relevante internationale konventioner, protokoller og henstillinger, herunder tillægsprotokollen fra 2001 til konventionen om beskyttelse af det enkelte menneske i forbindelse med databehandling af personoplysninger vedrørende tilsynsmyndigheder og grænseoverskridende datastrømme (ETS nr. 181), protokollen fra 2018 om ændring af konventionen om beskyttelse af det enkelte menneske i forbindelse med databehandling af personoplysninger (CETS nr. 223) og Europarådets Ministerkomités anbefaling nr. R (87) 15 om politiets brug af personoplysninger.</w:t>
      </w:r>
    </w:p>
    <w:p w14:paraId="6B64D8F6" w14:textId="77777777" w:rsidR="00D82976" w:rsidRPr="00452D57" w:rsidRDefault="00D82976" w:rsidP="00D82976">
      <w:pPr>
        <w:pStyle w:val="paragraph"/>
        <w:spacing w:before="0" w:beforeAutospacing="0" w:after="0" w:afterAutospacing="0"/>
        <w:jc w:val="both"/>
        <w:textAlignment w:val="baseline"/>
        <w:rPr>
          <w:b/>
          <w:bCs/>
          <w:noProof/>
          <w:sz w:val="22"/>
          <w:szCs w:val="22"/>
        </w:rPr>
      </w:pPr>
    </w:p>
    <w:p w14:paraId="2AC0491F" w14:textId="29A87363" w:rsidR="002B2B7D" w:rsidRPr="00452D57" w:rsidRDefault="002B2B7D" w:rsidP="002B2B7D">
      <w:pPr>
        <w:jc w:val="both"/>
        <w:rPr>
          <w:noProof/>
        </w:rPr>
      </w:pPr>
      <w:r w:rsidRPr="00452D57">
        <w:rPr>
          <w:noProof/>
        </w:rPr>
        <w:t>Armenien undertegnede og ratificerede tillægsprotokollen (ETS nr. 181), som trådte i kraft i september</w:t>
      </w:r>
      <w:r w:rsidR="007644A8">
        <w:rPr>
          <w:noProof/>
        </w:rPr>
        <w:t> </w:t>
      </w:r>
      <w:r w:rsidRPr="00452D57">
        <w:rPr>
          <w:noProof/>
        </w:rPr>
        <w:t>2012. Det undertegnede også "konvention 108+" i oktober 2019 og ratificerede den i januar</w:t>
      </w:r>
      <w:r w:rsidR="007644A8">
        <w:rPr>
          <w:noProof/>
        </w:rPr>
        <w:t> </w:t>
      </w:r>
      <w:r w:rsidRPr="00452D57">
        <w:rPr>
          <w:noProof/>
        </w:rPr>
        <w:t xml:space="preserve">2022. </w:t>
      </w:r>
    </w:p>
    <w:p w14:paraId="0A1EED11" w14:textId="77777777" w:rsidR="002B2B7D" w:rsidRPr="00452D57" w:rsidRDefault="002B2B7D" w:rsidP="00D82976">
      <w:pPr>
        <w:pStyle w:val="paragraph"/>
        <w:spacing w:before="0" w:beforeAutospacing="0" w:after="0" w:afterAutospacing="0"/>
        <w:jc w:val="both"/>
        <w:textAlignment w:val="baseline"/>
        <w:rPr>
          <w:noProof/>
          <w:sz w:val="22"/>
          <w:szCs w:val="22"/>
        </w:rPr>
      </w:pPr>
    </w:p>
    <w:p w14:paraId="28A6E4D6" w14:textId="163753D6" w:rsidR="00D82976" w:rsidRPr="00452D57" w:rsidRDefault="00544ABE" w:rsidP="00D82976">
      <w:pPr>
        <w:pStyle w:val="paragraph"/>
        <w:spacing w:before="0" w:beforeAutospacing="0" w:after="0" w:afterAutospacing="0"/>
        <w:jc w:val="both"/>
        <w:textAlignment w:val="baseline"/>
        <w:rPr>
          <w:noProof/>
          <w:sz w:val="22"/>
          <w:szCs w:val="22"/>
        </w:rPr>
      </w:pPr>
      <w:r w:rsidRPr="00452D57">
        <w:rPr>
          <w:noProof/>
          <w:sz w:val="22"/>
        </w:rPr>
        <w:t xml:space="preserve">De armenske myndigheder har til hensigt at vedtage lovændringer for at sikre, at den nationale databeskyttelsesramme harmoniseres med de nyeste europæiske standarder og international bedste praksis, herunder dem, der følger af Europarådets konvention 108+, dens protokoller og relevante instrumenter fra Europarådet, der finder anvendelse på retshåndhævelsessektoren. </w:t>
      </w:r>
    </w:p>
    <w:p w14:paraId="3F529ED6" w14:textId="77777777" w:rsidR="00D82976" w:rsidRPr="00452D57" w:rsidRDefault="00D82976" w:rsidP="00D82976">
      <w:pPr>
        <w:pStyle w:val="paragraph"/>
        <w:spacing w:before="0" w:beforeAutospacing="0" w:after="0" w:afterAutospacing="0"/>
        <w:jc w:val="both"/>
        <w:textAlignment w:val="baseline"/>
        <w:rPr>
          <w:b/>
          <w:bCs/>
          <w:noProof/>
          <w:color w:val="000000" w:themeColor="text1"/>
          <w:sz w:val="22"/>
          <w:szCs w:val="22"/>
        </w:rPr>
      </w:pPr>
    </w:p>
    <w:p w14:paraId="32FFB5FD" w14:textId="77777777" w:rsidR="005E02F9" w:rsidRPr="00452D5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Oprettelse af en uafhængig tilsynsmyndighed for beskyttelse af personoplysninger med passende beføjelser og forpligtelser.</w:t>
      </w:r>
    </w:p>
    <w:p w14:paraId="0CF3B80E" w14:textId="77777777" w:rsidR="005E02F9" w:rsidRPr="00452D57" w:rsidRDefault="005E02F9" w:rsidP="005E02F9">
      <w:pPr>
        <w:rPr>
          <w:b/>
          <w:bCs/>
          <w:noProof/>
        </w:rPr>
      </w:pPr>
    </w:p>
    <w:p w14:paraId="7801D048" w14:textId="50AC0FC8" w:rsidR="00402314" w:rsidRPr="00452D57" w:rsidRDefault="00402314" w:rsidP="00402314">
      <w:pPr>
        <w:jc w:val="both"/>
        <w:rPr>
          <w:noProof/>
        </w:rPr>
      </w:pPr>
      <w:r w:rsidRPr="00452D57">
        <w:rPr>
          <w:noProof/>
        </w:rPr>
        <w:t>Den nuværende armenske nationale databeskyttelsesmyndighed, agenturet for beskyttelse af personoplysninger, fungerer som en særskilt underafdeling i justitsministeriet. Den kan derfor ikke anses for at opfylde kravene og standarderne vedrørende en databeskyttelsestilsynsmyndigheds uafhængighed.</w:t>
      </w:r>
    </w:p>
    <w:p w14:paraId="78A04753" w14:textId="77777777" w:rsidR="00402314" w:rsidRPr="00452D57" w:rsidRDefault="00402314" w:rsidP="00402314">
      <w:pPr>
        <w:jc w:val="both"/>
        <w:rPr>
          <w:noProof/>
          <w:lang w:eastAsia="x-none"/>
        </w:rPr>
      </w:pPr>
    </w:p>
    <w:p w14:paraId="37DD2E05" w14:textId="07A3D344" w:rsidR="00402314" w:rsidRPr="00452D57" w:rsidRDefault="004A3EE9" w:rsidP="00402314">
      <w:pPr>
        <w:jc w:val="both"/>
        <w:rPr>
          <w:noProof/>
        </w:rPr>
      </w:pPr>
      <w:r w:rsidRPr="00452D57">
        <w:rPr>
          <w:noProof/>
        </w:rPr>
        <w:t xml:space="preserve">Det ovennævnte konceptpapir, som regeringen godkendte i oktober 2025, indeholder planer om oprettelse af en uafhængig databeskyttelsesmyndighed. Den påtænkte model er et kollegialt organ bestående af tre kommissærer med beføjelse til at gennemføre sager og undersøgelser, vedtage korrigerende foranstaltninger og yde ekspertrådgivning til offentlige institutioner og private enheder. </w:t>
      </w:r>
    </w:p>
    <w:p w14:paraId="6BAA7E03" w14:textId="77777777" w:rsidR="004A3EE9" w:rsidRPr="00452D57" w:rsidRDefault="004A3EE9" w:rsidP="00402314">
      <w:pPr>
        <w:jc w:val="both"/>
        <w:rPr>
          <w:noProof/>
        </w:rPr>
      </w:pPr>
    </w:p>
    <w:p w14:paraId="6EE76B8B" w14:textId="51B63E05" w:rsidR="00402314" w:rsidRPr="00452D57" w:rsidRDefault="004A3EE9" w:rsidP="00402314">
      <w:pPr>
        <w:jc w:val="both"/>
        <w:rPr>
          <w:noProof/>
        </w:rPr>
      </w:pPr>
      <w:r w:rsidRPr="00452D57">
        <w:rPr>
          <w:noProof/>
        </w:rPr>
        <w:t>Kravet om en uafhængig myndighed følger af konvention 108 og konvention 108+, men også af Armeniens forpligtelser, navnlig i forbindelse med den aftale, der blev undertegnet i april 2024 mellem EU og Armenien om samarbejdet mellem Eurojust og de armenske myndigheder med ansvar for retligt samarbejde. Disse forpligtelser kræver, at Armenien opretter en uafhængig databeskyttelsesmyndighed med garanteret uafhængighed, tilstrækkelige ressourcer og effektive beføjelser.</w:t>
      </w:r>
    </w:p>
    <w:p w14:paraId="5A02634F" w14:textId="2E3E4C6E" w:rsidR="5935EBAD" w:rsidRPr="00452D57" w:rsidRDefault="5935EBAD" w:rsidP="5935EBAD">
      <w:pPr>
        <w:jc w:val="both"/>
        <w:rPr>
          <w:noProof/>
        </w:rPr>
      </w:pPr>
    </w:p>
    <w:p w14:paraId="62AE8309" w14:textId="41256221" w:rsidR="55471282" w:rsidRPr="00452D57" w:rsidRDefault="55471282" w:rsidP="5935EBAD">
      <w:pPr>
        <w:jc w:val="both"/>
        <w:rPr>
          <w:noProof/>
        </w:rPr>
      </w:pPr>
      <w:r w:rsidRPr="00452D57">
        <w:rPr>
          <w:noProof/>
        </w:rPr>
        <w:t xml:space="preserve">Mandatet for den nye databeskyttelsesmyndighed skal klart adskilles fra agenturet for beskyttelse af personoplysninger, der i øjeblikket har ansvaret for forvaltningen af de statslige informationssystemer, og som planlægges omdannet til et nyt organ med ansvar for cybersikkerhed og datastyring. </w:t>
      </w:r>
    </w:p>
    <w:p w14:paraId="7529CE48" w14:textId="77777777" w:rsidR="00402314" w:rsidRPr="00452D57" w:rsidRDefault="00402314" w:rsidP="00402314">
      <w:pPr>
        <w:jc w:val="both"/>
        <w:rPr>
          <w:noProof/>
          <w:lang w:eastAsia="x-none"/>
        </w:rPr>
      </w:pPr>
    </w:p>
    <w:p w14:paraId="5CC07789" w14:textId="10F4B320" w:rsidR="00982FA6" w:rsidRPr="00452D57" w:rsidRDefault="00982FA6" w:rsidP="00982FA6">
      <w:pPr>
        <w:jc w:val="both"/>
        <w:rPr>
          <w:noProof/>
        </w:rPr>
      </w:pPr>
      <w:r w:rsidRPr="00452D57">
        <w:rPr>
          <w:noProof/>
        </w:rPr>
        <w:t>På baggrund af ovenstående bør der på et senere tidspunkt foretages en omfattende vurdering af Armeniens ramme for beskyttelse af personoplysninger efter vedtagelsen og gennemførelsen af de planlagte lovændringer og oprettelsen af den nye databeskyttelsesmyndighed.</w:t>
      </w:r>
    </w:p>
    <w:p w14:paraId="354F1F12" w14:textId="77777777" w:rsidR="00982FA6" w:rsidRPr="00452D57" w:rsidRDefault="00982FA6" w:rsidP="00982FA6">
      <w:pPr>
        <w:jc w:val="both"/>
        <w:rPr>
          <w:noProof/>
          <w:lang w:eastAsia="x-none"/>
        </w:rPr>
      </w:pPr>
    </w:p>
    <w:p w14:paraId="3980EF7C" w14:textId="77777777" w:rsidR="008418E6" w:rsidRPr="00452D57" w:rsidRDefault="008418E6" w:rsidP="009F2DA8">
      <w:pPr>
        <w:rPr>
          <w:noProof/>
        </w:rPr>
      </w:pPr>
    </w:p>
    <w:p w14:paraId="5B3415C0" w14:textId="3569DE46" w:rsidR="009F2DA8" w:rsidRPr="00452D57" w:rsidRDefault="005E6AF1" w:rsidP="009F2DA8">
      <w:pPr>
        <w:rPr>
          <w:noProof/>
        </w:rPr>
      </w:pPr>
      <w:r w:rsidRPr="00452D57">
        <w:rPr>
          <w:noProof/>
        </w:rPr>
        <w:t xml:space="preserve">På grundlag af ovenstående anbefales det, at de armenske myndigheder for så vidt angår benchmarkene i blok 3 vedrørende </w:t>
      </w:r>
      <w:r w:rsidRPr="00452D57">
        <w:rPr>
          <w:b/>
          <w:noProof/>
        </w:rPr>
        <w:t xml:space="preserve">offentlig orden og sikkerhed </w:t>
      </w:r>
      <w:r w:rsidRPr="00452D57">
        <w:rPr>
          <w:noProof/>
        </w:rPr>
        <w:t xml:space="preserve">(første fase): </w:t>
      </w:r>
    </w:p>
    <w:p w14:paraId="6EBA4C23" w14:textId="77777777" w:rsidR="009F2DA8" w:rsidRPr="00452D57" w:rsidRDefault="009F2DA8" w:rsidP="005E6AF1">
      <w:pPr>
        <w:rPr>
          <w:noProof/>
        </w:rPr>
      </w:pPr>
    </w:p>
    <w:p w14:paraId="6EE4DC76" w14:textId="77777777" w:rsidR="00982FA6" w:rsidRPr="00452D57" w:rsidRDefault="00982FA6" w:rsidP="00982FA6">
      <w:pPr>
        <w:rPr>
          <w:noProof/>
          <w:u w:val="single"/>
        </w:rPr>
      </w:pPr>
      <w:r w:rsidRPr="00452D57">
        <w:rPr>
          <w:noProof/>
          <w:u w:val="single"/>
        </w:rPr>
        <w:t>Forebyggelse og bekæmpelse af organiseret kriminalitet</w:t>
      </w:r>
    </w:p>
    <w:p w14:paraId="2FD00D57" w14:textId="08F8CDF0" w:rsidR="00982FA6" w:rsidRPr="00452D57" w:rsidRDefault="00544ABE" w:rsidP="00982FA6">
      <w:pPr>
        <w:pStyle w:val="ListParagraph"/>
        <w:widowControl/>
        <w:numPr>
          <w:ilvl w:val="0"/>
          <w:numId w:val="5"/>
        </w:numPr>
        <w:autoSpaceDE/>
        <w:autoSpaceDN/>
        <w:jc w:val="both"/>
        <w:rPr>
          <w:rFonts w:cs="Calibri"/>
          <w:i/>
          <w:iCs/>
          <w:noProof/>
        </w:rPr>
      </w:pPr>
      <w:r w:rsidRPr="00452D57">
        <w:rPr>
          <w:i/>
          <w:noProof/>
        </w:rPr>
        <w:t xml:space="preserve">vedtager strategien for kriminalitetsforebyggelse sammen med den tilhørende handlingsplan, hvor førstnævnte bør omfatte både forebyggelses- og bekæmpelsesaspekter, herunder operationelt samarbejde mellem retshåndhævende myndigheder, og navnlig dække organiseret kriminalitet  </w:t>
      </w:r>
    </w:p>
    <w:p w14:paraId="5B9C7ED9" w14:textId="3CCF6362" w:rsidR="00982FA6" w:rsidRPr="00452D57" w:rsidRDefault="00CA0F46" w:rsidP="00982FA6">
      <w:pPr>
        <w:pStyle w:val="ListParagraph"/>
        <w:widowControl/>
        <w:numPr>
          <w:ilvl w:val="0"/>
          <w:numId w:val="5"/>
        </w:numPr>
        <w:autoSpaceDE/>
        <w:autoSpaceDN/>
        <w:jc w:val="both"/>
        <w:rPr>
          <w:rFonts w:cs="Calibri"/>
          <w:i/>
          <w:iCs/>
          <w:noProof/>
        </w:rPr>
      </w:pPr>
      <w:r w:rsidRPr="00452D57">
        <w:rPr>
          <w:i/>
          <w:noProof/>
        </w:rPr>
        <w:t>fortsætter udviklingen af analytisk kapacitet vedrørende grov og organiseret kriminalitet gennem indførelse af en efterretningsbaseret politimodel med henblik på at udvikle en pålidelig og omfattende ramme for situationsforståelse, såsom en national trusselsvurdering af grov og organiseret kriminalitet (SOCTA)</w:t>
      </w:r>
    </w:p>
    <w:p w14:paraId="508B20FC" w14:textId="7D11A314" w:rsidR="00F91E89" w:rsidRPr="00452D57" w:rsidRDefault="00CA0F46" w:rsidP="00F91E89">
      <w:pPr>
        <w:pStyle w:val="ListParagraph"/>
        <w:widowControl/>
        <w:numPr>
          <w:ilvl w:val="0"/>
          <w:numId w:val="5"/>
        </w:numPr>
        <w:autoSpaceDE/>
        <w:autoSpaceDN/>
        <w:jc w:val="both"/>
        <w:rPr>
          <w:rFonts w:cs="Calibri"/>
          <w:i/>
          <w:iCs/>
          <w:noProof/>
        </w:rPr>
      </w:pPr>
      <w:r w:rsidRPr="00452D57">
        <w:rPr>
          <w:i/>
          <w:noProof/>
        </w:rPr>
        <w:t xml:space="preserve">gennemfører den arbejdsordning, der er indgået med Europol, herunder ved at dele operationelle oplysninger via SIENA </w:t>
      </w:r>
    </w:p>
    <w:p w14:paraId="50B759A2" w14:textId="6322B0D9" w:rsidR="00F91E89" w:rsidRPr="00452D57" w:rsidRDefault="00CA0F46" w:rsidP="00F91E89">
      <w:pPr>
        <w:pStyle w:val="ListParagraph"/>
        <w:widowControl/>
        <w:numPr>
          <w:ilvl w:val="0"/>
          <w:numId w:val="5"/>
        </w:numPr>
        <w:autoSpaceDE/>
        <w:autoSpaceDN/>
        <w:jc w:val="both"/>
        <w:rPr>
          <w:rFonts w:cs="Calibri"/>
          <w:i/>
          <w:iCs/>
          <w:noProof/>
        </w:rPr>
      </w:pPr>
      <w:r w:rsidRPr="00452D57">
        <w:rPr>
          <w:i/>
          <w:noProof/>
        </w:rPr>
        <w:t xml:space="preserve">opretter tværinstitutionelle operationelle taskforcer til regelmæssigt at fastsætte, koordinere og gennemføre fælles operationelle mål på alle områder, der berøres af organiseret kriminalitet </w:t>
      </w:r>
    </w:p>
    <w:p w14:paraId="24F68D85" w14:textId="7E7E3594" w:rsidR="00F91E89" w:rsidRPr="00452D57" w:rsidRDefault="00CA0F46" w:rsidP="00F91E89">
      <w:pPr>
        <w:pStyle w:val="ListParagraph"/>
        <w:widowControl/>
        <w:numPr>
          <w:ilvl w:val="0"/>
          <w:numId w:val="5"/>
        </w:numPr>
        <w:autoSpaceDE/>
        <w:autoSpaceDN/>
        <w:jc w:val="both"/>
        <w:rPr>
          <w:rFonts w:cs="Calibri"/>
          <w:i/>
          <w:iCs/>
          <w:noProof/>
        </w:rPr>
      </w:pPr>
      <w:r w:rsidRPr="00452D57">
        <w:rPr>
          <w:i/>
          <w:noProof/>
        </w:rPr>
        <w:t>opretter og igangsætter et kontor for inddrivelse af aktiver gennem klare standardprocedurer med et veldefineret mandat, tilstrækkelige beføjelser og rettidig adgang til relevante oplysninger</w:t>
      </w:r>
    </w:p>
    <w:p w14:paraId="1DBB262C" w14:textId="35A1DEF4" w:rsidR="00982FA6" w:rsidRPr="00452D57" w:rsidRDefault="00CA0F46" w:rsidP="00982FA6">
      <w:pPr>
        <w:pStyle w:val="ListParagraph"/>
        <w:widowControl/>
        <w:numPr>
          <w:ilvl w:val="0"/>
          <w:numId w:val="5"/>
        </w:numPr>
        <w:autoSpaceDE/>
        <w:autoSpaceDN/>
        <w:jc w:val="both"/>
        <w:rPr>
          <w:rFonts w:cs="Calibri"/>
          <w:i/>
          <w:iCs/>
          <w:noProof/>
        </w:rPr>
      </w:pPr>
      <w:r w:rsidRPr="00452D57">
        <w:rPr>
          <w:i/>
          <w:noProof/>
        </w:rPr>
        <w:t>styrker kapaciteterne til at bekæmpe cyberkriminalitet, herunder gennem målrettede investeringer i tekniske værktøjer såsom IT-infrastruktur og digital retsmedicin</w:t>
      </w:r>
    </w:p>
    <w:p w14:paraId="4C4A73CC" w14:textId="4E94C348" w:rsidR="007D53E0" w:rsidRPr="00452D57" w:rsidRDefault="00CA0F46" w:rsidP="00982FA6">
      <w:pPr>
        <w:pStyle w:val="ListParagraph"/>
        <w:widowControl/>
        <w:numPr>
          <w:ilvl w:val="0"/>
          <w:numId w:val="5"/>
        </w:numPr>
        <w:autoSpaceDE/>
        <w:autoSpaceDN/>
        <w:jc w:val="both"/>
        <w:rPr>
          <w:rFonts w:cs="Calibri"/>
          <w:i/>
          <w:iCs/>
          <w:noProof/>
        </w:rPr>
      </w:pPr>
      <w:r w:rsidRPr="00452D57">
        <w:rPr>
          <w:i/>
          <w:noProof/>
        </w:rPr>
        <w:t>fortsætter med at håndtere risici i forbindelse med kryptoaktivtransaktioner og anvendelsen af kryptoaktiver til at begå finansielle lovovertrædelser</w:t>
      </w:r>
    </w:p>
    <w:p w14:paraId="59587004" w14:textId="036D6196" w:rsidR="00C64829" w:rsidRPr="00452D57" w:rsidRDefault="00CA0F46" w:rsidP="00C64829">
      <w:pPr>
        <w:pStyle w:val="ListParagraph"/>
        <w:widowControl/>
        <w:numPr>
          <w:ilvl w:val="0"/>
          <w:numId w:val="5"/>
        </w:numPr>
        <w:autoSpaceDE/>
        <w:autoSpaceDN/>
        <w:jc w:val="both"/>
        <w:rPr>
          <w:rFonts w:cs="Calibri"/>
          <w:i/>
          <w:iCs/>
          <w:noProof/>
        </w:rPr>
      </w:pPr>
      <w:r w:rsidRPr="00452D57">
        <w:rPr>
          <w:i/>
          <w:noProof/>
        </w:rPr>
        <w:t>afsætter yderligere ressourcer til at støtte gennemførelsen af de aktiviteter, der er fastsat i handlingsplanen til den strategiske plan for 2025-2027 for bekæmpelse af ikkemedicinsk brug og ulovlig handel med narkotika og psykotrope stoffer.</w:t>
      </w:r>
    </w:p>
    <w:p w14:paraId="5BE06021" w14:textId="77777777" w:rsidR="00982FA6" w:rsidRPr="00452D57" w:rsidRDefault="00982FA6" w:rsidP="00982FA6">
      <w:pPr>
        <w:jc w:val="both"/>
        <w:rPr>
          <w:rFonts w:cs="Calibri"/>
          <w:i/>
          <w:iCs/>
          <w:noProof/>
        </w:rPr>
      </w:pPr>
    </w:p>
    <w:p w14:paraId="54A0CB1C" w14:textId="77777777" w:rsidR="000845C4" w:rsidRPr="00452D57" w:rsidRDefault="000845C4" w:rsidP="000845C4">
      <w:pPr>
        <w:jc w:val="both"/>
        <w:rPr>
          <w:i/>
          <w:iCs/>
          <w:noProof/>
          <w:u w:val="single"/>
        </w:rPr>
      </w:pPr>
      <w:r w:rsidRPr="00452D57">
        <w:rPr>
          <w:i/>
          <w:noProof/>
          <w:u w:val="single"/>
        </w:rPr>
        <w:t>Bekæmpelse af korruption</w:t>
      </w:r>
    </w:p>
    <w:p w14:paraId="173E8B95" w14:textId="2D16541A" w:rsidR="000845C4" w:rsidRPr="00452D57" w:rsidRDefault="00CA0F46" w:rsidP="000845C4">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vedtager en ny national strategi for bekæmpelse af korruption, der prioriterer de sektorer, som er mest sårbare over for korruption, ved at indføre en solid risikovurderingsramme</w:t>
      </w:r>
    </w:p>
    <w:p w14:paraId="2143EA27" w14:textId="1E30DA2B" w:rsidR="00845FAA" w:rsidRPr="00452D57" w:rsidRDefault="00CA0F46" w:rsidP="00845FAA">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 xml:space="preserve">gennemfører ændringerne af loven om kommissionen til forebyggelse af korruption og den nationale metode til identifikation af korruptionsrisici og dermed baner vejen for målrettede risikobaserede foranstaltninger til bekæmpelse af korruption på tværs af offentlige institutioner og relevante enheder i den private sektor </w:t>
      </w:r>
    </w:p>
    <w:p w14:paraId="4B0F2093" w14:textId="207643D5" w:rsidR="000845C4" w:rsidRPr="00452D57" w:rsidRDefault="00CA0F46" w:rsidP="000845C4">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giver kommissionen til forebyggelse af korruption tilstrækkelige finansielle, menneskelige og tekniske ressourcer og styrker gennemførelsen af dens udtalelser om integritet</w:t>
      </w:r>
    </w:p>
    <w:p w14:paraId="26F6A6EF" w14:textId="45182079" w:rsidR="00845FAA" w:rsidRPr="00452D57" w:rsidRDefault="00CA0F46" w:rsidP="000845C4">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 xml:space="preserve">moderniserer systemet for formueangivelse gennem indførelse af automatiserede funktioner, der muliggør systematiske krydstjek mod relevante offentlige og finansielle databaser </w:t>
      </w:r>
    </w:p>
    <w:p w14:paraId="1D661246" w14:textId="6A37176A" w:rsidR="000845C4" w:rsidRPr="00452D57" w:rsidRDefault="00CA0F46" w:rsidP="000845C4">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konsoliderer sektorspecifikke adfærdskodekser</w:t>
      </w:r>
    </w:p>
    <w:p w14:paraId="46269A0B" w14:textId="757D22AB" w:rsidR="000845C4" w:rsidRPr="00452D57" w:rsidRDefault="00CA0F46" w:rsidP="000845C4">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styrker bevidstheden om integritet i den offentlige sektor, herunder gennem systematisk information og uddannelse om whistleblowermekanismer</w:t>
      </w:r>
    </w:p>
    <w:p w14:paraId="2B8ADEAF" w14:textId="19547100" w:rsidR="007D6EF7" w:rsidRPr="00452D57" w:rsidRDefault="00CA0F46" w:rsidP="007D6EF7">
      <w:pPr>
        <w:pStyle w:val="NormalWeb"/>
        <w:numPr>
          <w:ilvl w:val="0"/>
          <w:numId w:val="5"/>
        </w:numPr>
        <w:spacing w:beforeAutospacing="0" w:after="0" w:afterAutospacing="0" w:line="240" w:lineRule="auto"/>
        <w:jc w:val="both"/>
        <w:rPr>
          <w:i/>
          <w:iCs/>
          <w:noProof/>
          <w:u w:val="single"/>
        </w:rPr>
      </w:pPr>
      <w:r w:rsidRPr="00452D57">
        <w:rPr>
          <w:i/>
          <w:noProof/>
          <w:color w:val="000000" w:themeColor="text1"/>
          <w:sz w:val="22"/>
        </w:rPr>
        <w:t>øger kapaciteten i menneskerettighedsombudsmandens kontor til at udøve sit mandat og opfylde sine forpligtelser vedrørende beskyttelse af whistleblowere</w:t>
      </w:r>
    </w:p>
    <w:p w14:paraId="4307AC5E" w14:textId="79E844D9" w:rsidR="007D6EF7" w:rsidRPr="00452D57" w:rsidRDefault="00CA0F46" w:rsidP="000845C4">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sikrer en effektiv gennemførelse af den nye lov om politiets integritet og disciplin og den ledsagende sekundære lovgivning</w:t>
      </w:r>
    </w:p>
    <w:p w14:paraId="0F7739FD" w14:textId="29B6024B" w:rsidR="000845C4" w:rsidRPr="00452D57" w:rsidRDefault="00CA0F46" w:rsidP="000845C4">
      <w:pPr>
        <w:pStyle w:val="NormalWeb"/>
        <w:numPr>
          <w:ilvl w:val="0"/>
          <w:numId w:val="5"/>
        </w:numPr>
        <w:spacing w:beforeAutospacing="0" w:after="0" w:afterAutospacing="0" w:line="240" w:lineRule="auto"/>
        <w:jc w:val="both"/>
        <w:rPr>
          <w:i/>
          <w:iCs/>
          <w:noProof/>
          <w:color w:val="000000"/>
          <w:sz w:val="22"/>
          <w:szCs w:val="22"/>
        </w:rPr>
      </w:pPr>
      <w:r w:rsidRPr="00452D57">
        <w:rPr>
          <w:i/>
          <w:noProof/>
          <w:color w:val="000000" w:themeColor="text1"/>
          <w:sz w:val="22"/>
        </w:rPr>
        <w:t xml:space="preserve">styrker den operationelle kapacitet i det nyoprettede direktorat for intern sikkerhed og korruptionsbekæmpelse i indenrigsministeriet </w:t>
      </w:r>
    </w:p>
    <w:p w14:paraId="2845B7DF" w14:textId="1D6C88EC" w:rsidR="007D6EF7" w:rsidRPr="00452D57" w:rsidRDefault="00CA0F46" w:rsidP="00982FA6">
      <w:pPr>
        <w:pStyle w:val="NormalWeb"/>
        <w:numPr>
          <w:ilvl w:val="0"/>
          <w:numId w:val="5"/>
        </w:numPr>
        <w:spacing w:beforeAutospacing="0" w:after="0" w:afterAutospacing="0" w:line="240" w:lineRule="auto"/>
        <w:jc w:val="both"/>
        <w:rPr>
          <w:i/>
          <w:iCs/>
          <w:noProof/>
          <w:u w:val="single"/>
        </w:rPr>
      </w:pPr>
      <w:r w:rsidRPr="00452D57">
        <w:rPr>
          <w:i/>
          <w:noProof/>
          <w:color w:val="000000" w:themeColor="text1"/>
          <w:sz w:val="22"/>
        </w:rPr>
        <w:t>styrker den strategiske koordinering og deling af efterretninger på tværs af retshåndhævende myndigheder, herunder ved under komitéen til bekæmpelse af korruptions koordinering at fastlægge en klar operationel strategi til håndtering af korruption på højt plan.</w:t>
      </w:r>
    </w:p>
    <w:p w14:paraId="445C7BF1" w14:textId="77777777" w:rsidR="00AA7A9E" w:rsidRPr="00452D57" w:rsidRDefault="00AA7A9E" w:rsidP="00AA7A9E">
      <w:pPr>
        <w:pStyle w:val="NormalWeb"/>
        <w:spacing w:beforeAutospacing="0" w:after="0" w:afterAutospacing="0" w:line="240" w:lineRule="auto"/>
        <w:ind w:left="720"/>
        <w:jc w:val="both"/>
        <w:rPr>
          <w:i/>
          <w:iCs/>
          <w:noProof/>
          <w:u w:val="single"/>
        </w:rPr>
      </w:pPr>
    </w:p>
    <w:p w14:paraId="6C15E228" w14:textId="77777777" w:rsidR="00982FA6" w:rsidRPr="00452D57" w:rsidRDefault="00982FA6" w:rsidP="00982FA6">
      <w:pPr>
        <w:jc w:val="both"/>
        <w:rPr>
          <w:i/>
          <w:iCs/>
          <w:noProof/>
          <w:u w:val="single"/>
        </w:rPr>
      </w:pPr>
      <w:r w:rsidRPr="00452D57">
        <w:rPr>
          <w:i/>
          <w:noProof/>
          <w:u w:val="single"/>
        </w:rPr>
        <w:t>Databeskyttelse</w:t>
      </w:r>
    </w:p>
    <w:p w14:paraId="02996F21" w14:textId="1C6AA105" w:rsidR="00982FA6" w:rsidRPr="00452D57" w:rsidRDefault="00CA0F46" w:rsidP="009D1023">
      <w:pPr>
        <w:pStyle w:val="ListParagraph"/>
        <w:widowControl/>
        <w:numPr>
          <w:ilvl w:val="0"/>
          <w:numId w:val="5"/>
        </w:numPr>
        <w:autoSpaceDE/>
        <w:autoSpaceDN/>
        <w:jc w:val="both"/>
        <w:rPr>
          <w:noProof/>
        </w:rPr>
      </w:pPr>
      <w:r w:rsidRPr="00452D57">
        <w:rPr>
          <w:i/>
          <w:noProof/>
        </w:rPr>
        <w:t>opretter og anvender en robust databeskyttelsesramme og etablerer en uafhængig, fuldt funktionsdygtig national databeskyttelsesmyndighed med et klart retligt mandat, selvstændig ledelse og tilstrækkelige menneskelige, tekniske og finansielle ressourcer i overensstemmelse med europæiske og internationale standarder, herunder EU's generelle forordning om databeskyttelse, retshåndhævelsesdirektivet, konvention 108+ og relevant international vejledning</w:t>
      </w:r>
    </w:p>
    <w:p w14:paraId="47331371" w14:textId="77777777" w:rsidR="002467B6" w:rsidRPr="00452D57" w:rsidRDefault="002467B6" w:rsidP="002467B6">
      <w:pPr>
        <w:pStyle w:val="ListParagraph"/>
        <w:widowControl/>
        <w:numPr>
          <w:ilvl w:val="0"/>
          <w:numId w:val="5"/>
        </w:numPr>
        <w:autoSpaceDE/>
        <w:autoSpaceDN/>
        <w:jc w:val="both"/>
        <w:rPr>
          <w:i/>
          <w:iCs/>
          <w:noProof/>
        </w:rPr>
      </w:pPr>
      <w:r w:rsidRPr="00452D57">
        <w:rPr>
          <w:i/>
          <w:noProof/>
        </w:rPr>
        <w:t>sikrer en klar afgrænsning af beføjelser og ansvarsområder mellem den fremtidige databeskyttelsesmyndighed og agenturet for beskyttelse af personoplysninger, som efter planen i nær fremtid skal have ansvar for cybersikkerhed og datastyring.</w:t>
      </w:r>
    </w:p>
    <w:p w14:paraId="028C48D7" w14:textId="77777777" w:rsidR="005E6AF1" w:rsidRPr="00452D57" w:rsidRDefault="005E6AF1" w:rsidP="005E6AF1">
      <w:pPr>
        <w:rPr>
          <w:noProof/>
        </w:rPr>
      </w:pPr>
    </w:p>
    <w:p w14:paraId="727856F0" w14:textId="394B1691" w:rsidR="00FF58B1" w:rsidRDefault="005E6AF1" w:rsidP="00FF58B1">
      <w:pPr>
        <w:pStyle w:val="ListParagraph"/>
        <w:numPr>
          <w:ilvl w:val="0"/>
          <w:numId w:val="1"/>
        </w:numPr>
        <w:rPr>
          <w:noProof/>
        </w:rPr>
      </w:pPr>
      <w:r w:rsidRPr="00452D57">
        <w:rPr>
          <w:noProof/>
        </w:rPr>
        <w:t>Blok 4: Forbindelser udadtil og grundlæggende rettigheder</w:t>
      </w:r>
    </w:p>
    <w:p w14:paraId="57905D8C" w14:textId="77777777" w:rsidR="00712B90" w:rsidRPr="00452D57" w:rsidRDefault="00712B90" w:rsidP="00712B90">
      <w:pPr>
        <w:rPr>
          <w:noProof/>
        </w:rPr>
      </w:pPr>
    </w:p>
    <w:p w14:paraId="250B57EF" w14:textId="21A19738" w:rsidR="005E02F9" w:rsidRPr="00452D57" w:rsidRDefault="00FF58B1" w:rsidP="005E02F9">
      <w:pPr>
        <w:pStyle w:val="ListParagraph"/>
        <w:numPr>
          <w:ilvl w:val="1"/>
          <w:numId w:val="1"/>
        </w:numPr>
        <w:rPr>
          <w:noProof/>
        </w:rPr>
      </w:pPr>
      <w:r w:rsidRPr="00452D57">
        <w:rPr>
          <w:noProof/>
        </w:rPr>
        <w:t>Fri bevægelighed inden for Republikken Armenien</w:t>
      </w:r>
    </w:p>
    <w:p w14:paraId="3344897C" w14:textId="77777777" w:rsidR="005E02F9" w:rsidRPr="00452D57" w:rsidRDefault="005E02F9" w:rsidP="005E02F9">
      <w:pPr>
        <w:rPr>
          <w:noProof/>
        </w:rPr>
      </w:pPr>
    </w:p>
    <w:p w14:paraId="1AE910D1" w14:textId="364F117A" w:rsidR="005E02F9" w:rsidRPr="00452D57"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Forbedring og konsolidering af de retlige rammer for registrering af udenlandske statsborgere og statsløse personer, der har lovligt ophold på Republikken Armeniens område.</w:t>
      </w:r>
    </w:p>
    <w:p w14:paraId="29C159C8" w14:textId="11AC531D" w:rsidR="6FAE1D23" w:rsidRPr="00452D57" w:rsidRDefault="6FAE1D23" w:rsidP="6FAE1D23">
      <w:pPr>
        <w:pStyle w:val="paragraph"/>
        <w:spacing w:before="0" w:beforeAutospacing="0" w:after="0" w:afterAutospacing="0"/>
        <w:jc w:val="both"/>
        <w:rPr>
          <w:b/>
          <w:bCs/>
          <w:noProof/>
          <w:color w:val="000000" w:themeColor="text1"/>
          <w:sz w:val="22"/>
          <w:szCs w:val="22"/>
        </w:rPr>
      </w:pPr>
    </w:p>
    <w:p w14:paraId="5F946726" w14:textId="56C611E7" w:rsidR="4D573D90" w:rsidRPr="00452D57" w:rsidRDefault="4D573D90" w:rsidP="0BA56721">
      <w:pPr>
        <w:jc w:val="both"/>
        <w:rPr>
          <w:noProof/>
        </w:rPr>
      </w:pPr>
      <w:r w:rsidRPr="00452D57">
        <w:rPr>
          <w:noProof/>
        </w:rPr>
        <w:t>Den reviderede lov om det centrale folkeregister, der blev vedtaget i juli 2025, vil modernisere og samle Armeniens folkeregister og den retlige ramme herfor. Med loven indføres et samlet, centraliseret og digitalt statsligt folkeregister, der omfatter alle personer, som har lovligt ophold i Armenien, herunder udenlandske statsborgere, statsløse personer, flygtninge og asylansøgere (jf. afsnit 3 ovenfor). Udenlandske statsborgere og statsløse personer har de samme rettigheder og er underlagt de samme forpligtelser som armenske statsborgere for så vidt angår befolkningsregisteret, og de tildeles personnumre på samme måde som armenske statsborgere. Det nye digitale register skal efter planen være operationelt den 1. januar 2027.</w:t>
      </w:r>
    </w:p>
    <w:p w14:paraId="4F8ACD0B" w14:textId="77777777" w:rsidR="005E02F9" w:rsidRPr="00452D57" w:rsidRDefault="005E02F9" w:rsidP="005E02F9">
      <w:pPr>
        <w:rPr>
          <w:noProof/>
        </w:rPr>
      </w:pPr>
    </w:p>
    <w:p w14:paraId="5A901037" w14:textId="541AAA41" w:rsidR="00FF58B1" w:rsidRPr="00452D57" w:rsidRDefault="00FF58B1" w:rsidP="00FF58B1">
      <w:pPr>
        <w:pStyle w:val="ListParagraph"/>
        <w:numPr>
          <w:ilvl w:val="1"/>
          <w:numId w:val="1"/>
        </w:numPr>
        <w:rPr>
          <w:noProof/>
        </w:rPr>
      </w:pPr>
      <w:r w:rsidRPr="00452D57">
        <w:rPr>
          <w:noProof/>
        </w:rPr>
        <w:t xml:space="preserve">Betingelser og procedurer for udstedelse af rejse- og identitetsdokumenter </w:t>
      </w:r>
    </w:p>
    <w:p w14:paraId="2A6FE8C3" w14:textId="77777777" w:rsidR="005E02F9" w:rsidRPr="00452D57" w:rsidRDefault="005E02F9" w:rsidP="005E02F9">
      <w:pPr>
        <w:rPr>
          <w:noProof/>
        </w:rPr>
      </w:pPr>
    </w:p>
    <w:p w14:paraId="4EC688D1" w14:textId="77777777" w:rsidR="005E02F9" w:rsidRPr="00452D57"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Konsolidering af de retlige og institutionelle rammer, der sikrer etableringen af et effektivt og fuldt funktionsdygtigt system til udstedelse af rejse- og identitetsdokumenter uden nogen form for forskelsbehandling, herunder for kvinder, børn, personer med handicap, fordrevne personer, personer, der tilhører mindretal, eller personer i sårbare situationer.</w:t>
      </w:r>
    </w:p>
    <w:p w14:paraId="7644D313" w14:textId="2ECDB9B6" w:rsidR="6FAE1D23" w:rsidRPr="00452D57" w:rsidRDefault="6FAE1D23" w:rsidP="6FAE1D23">
      <w:pPr>
        <w:pStyle w:val="paragraph"/>
        <w:spacing w:before="0" w:beforeAutospacing="0" w:after="0" w:afterAutospacing="0"/>
        <w:jc w:val="both"/>
        <w:rPr>
          <w:b/>
          <w:bCs/>
          <w:noProof/>
          <w:color w:val="000000" w:themeColor="text1"/>
          <w:sz w:val="22"/>
          <w:szCs w:val="22"/>
        </w:rPr>
      </w:pPr>
    </w:p>
    <w:p w14:paraId="09342355" w14:textId="1D3BF477" w:rsidR="0AAA38C3" w:rsidRPr="00452D57" w:rsidRDefault="0AAA38C3" w:rsidP="6FAE1D23">
      <w:pPr>
        <w:jc w:val="both"/>
        <w:rPr>
          <w:noProof/>
        </w:rPr>
      </w:pPr>
      <w:r w:rsidRPr="00452D57">
        <w:rPr>
          <w:noProof/>
        </w:rPr>
        <w:t xml:space="preserve">Den nye konsoliderede lov om identitetsdokumenter, som i øjeblikket færdiggøres, er udarbejdet efter princippet om ikkeforskelsbehandling. Loven vil fra efteråret 2026 fastsætte en sammenhængende og inklusiv retlig ramme for udstedelse og anvendelse af alle identitetsdokumenter i Armenien (jf. afsnit 4 ovenfor). Disse dokumenter vil fuldt ud opfylde ICAO-standarderne.  </w:t>
      </w:r>
    </w:p>
    <w:p w14:paraId="3AD719BA" w14:textId="7E146D89" w:rsidR="6FAE1D23" w:rsidRPr="00452D57" w:rsidRDefault="6FAE1D23" w:rsidP="6FAE1D23">
      <w:pPr>
        <w:jc w:val="both"/>
        <w:rPr>
          <w:noProof/>
        </w:rPr>
      </w:pPr>
    </w:p>
    <w:p w14:paraId="2F34DD86" w14:textId="009E4BD6" w:rsidR="7967FCF7" w:rsidRPr="00452D57" w:rsidRDefault="7967FCF7" w:rsidP="6FAE1D23">
      <w:pPr>
        <w:jc w:val="both"/>
        <w:rPr>
          <w:noProof/>
        </w:rPr>
      </w:pPr>
      <w:r w:rsidRPr="00452D57">
        <w:rPr>
          <w:noProof/>
        </w:rPr>
        <w:t>De nye centrale kontorer for udstedelse af identitetsdokumenter, som efter planen skal nyistandsættes, er udformet således, at de er fuldt tilgængelige for personer med handicap. Mange af de decentrale kontorer er imidlertid i øjeblikket utilgængelige for personer med handicap. Desuden hindrer de nuværende procedurer fuld adgang til civilstands- og dokumenttjenester for personer med psykosociale eller intellektuelle funktionsnedsættelser, hvilket risikerer at udelukke sårbare og marginaliserede personer fra effektiv adgang til identitetsdokumenter.</w:t>
      </w:r>
    </w:p>
    <w:p w14:paraId="144EEF41" w14:textId="5B95ED19" w:rsidR="6FAE1D23" w:rsidRPr="00452D57" w:rsidRDefault="6FAE1D23" w:rsidP="6FAE1D23">
      <w:pPr>
        <w:jc w:val="both"/>
        <w:rPr>
          <w:noProof/>
        </w:rPr>
      </w:pPr>
    </w:p>
    <w:p w14:paraId="5C1FFDF3" w14:textId="5468056C" w:rsidR="00FF58B1" w:rsidRPr="00452D57" w:rsidRDefault="00FF58B1" w:rsidP="00FF58B1">
      <w:pPr>
        <w:pStyle w:val="ListParagraph"/>
        <w:numPr>
          <w:ilvl w:val="1"/>
          <w:numId w:val="1"/>
        </w:numPr>
        <w:rPr>
          <w:noProof/>
        </w:rPr>
      </w:pPr>
      <w:r w:rsidRPr="00452D57">
        <w:rPr>
          <w:noProof/>
        </w:rPr>
        <w:t>Borgernes rettigheder, herunder beskyttelse af mindretal</w:t>
      </w:r>
    </w:p>
    <w:p w14:paraId="4ADE246A" w14:textId="77777777" w:rsidR="005E02F9" w:rsidRPr="00452D57" w:rsidRDefault="005E02F9" w:rsidP="005E02F9">
      <w:pPr>
        <w:rPr>
          <w:noProof/>
        </w:rPr>
      </w:pPr>
    </w:p>
    <w:p w14:paraId="2DDDE865" w14:textId="77777777" w:rsidR="005E02F9" w:rsidRPr="00452D57" w:rsidRDefault="005E02F9" w:rsidP="005E02F9">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Vedtagelse af en omfattende lov om bekæmpelse af forskelsbehandling, som anbefalet af FN's og Europarådets overvågningsorganer, for at fremme lighed og sikre effektiv beskyttelse mod forskelsbehandling, herunder oprettelse af et særligt ligebehandlingsorgan.</w:t>
      </w:r>
    </w:p>
    <w:p w14:paraId="197530CD" w14:textId="77777777" w:rsidR="00C53A03" w:rsidRPr="00452D57" w:rsidRDefault="00C53A03" w:rsidP="0BA56721">
      <w:pPr>
        <w:pStyle w:val="paragraph"/>
        <w:spacing w:before="0" w:beforeAutospacing="0" w:after="0" w:afterAutospacing="0"/>
        <w:ind w:left="360"/>
        <w:jc w:val="both"/>
        <w:textAlignment w:val="baseline"/>
        <w:rPr>
          <w:b/>
          <w:bCs/>
          <w:noProof/>
          <w:color w:val="000000" w:themeColor="text1"/>
          <w:sz w:val="22"/>
          <w:szCs w:val="22"/>
        </w:rPr>
      </w:pPr>
    </w:p>
    <w:p w14:paraId="0547B8CE" w14:textId="66FA54B3" w:rsidR="18A7DDE4" w:rsidRPr="00452D57" w:rsidRDefault="18A7DDE4" w:rsidP="0BA56721">
      <w:pPr>
        <w:jc w:val="both"/>
        <w:rPr>
          <w:noProof/>
        </w:rPr>
      </w:pPr>
      <w:r w:rsidRPr="00452D57">
        <w:rPr>
          <w:noProof/>
        </w:rPr>
        <w:t xml:space="preserve">Armeniens regering er i færd med at udarbejde et udkast til lov om forebyggelse af og beskyttelse mod forskelsbehandling. Ifølge oplysninger modtaget fra de armenske myndigheder har lovudkastet til formål at forebygge forskelsbehandling og sikre ligebehandling og lige muligheder ved udøvelsen af rettigheder, frihedsrettigheder og forpligtelser for alle personer samt at forebygge forskelsbehandling i overensstemmelse med internationale standarder. Det vil definere forskelsbehandling og dens forskellige former og indeholde en liste over beskyttede karakteristika. </w:t>
      </w:r>
    </w:p>
    <w:p w14:paraId="7CE1C1F3" w14:textId="35A3844F" w:rsidR="00B082FF" w:rsidRPr="00452D57" w:rsidRDefault="00B082FF" w:rsidP="00E20AE9">
      <w:pPr>
        <w:jc w:val="both"/>
        <w:rPr>
          <w:noProof/>
        </w:rPr>
      </w:pPr>
      <w:r w:rsidRPr="00452D57">
        <w:rPr>
          <w:noProof/>
        </w:rPr>
        <w:t xml:space="preserve"> Inden for den påtænkte institutionelle ramme vil Armeniens menneskerettighedsombudsmand påtage sig rollen som ligebehandlingsorgan. Dets mandat vil omfatte overvågning af overholdelsen af lovgivningen om bekæmpelse af forskelsbehandling og fremme af ligebehandling, forebyggelse af krænkelser af retten til ikke at blive udsat for forskelsbehandling samt beskyttelse af rettighederne for ofre for forskelsbehandling. </w:t>
      </w:r>
    </w:p>
    <w:p w14:paraId="14D4F1EC" w14:textId="6B495649" w:rsidR="00B082FF" w:rsidRPr="00452D57" w:rsidRDefault="00B082FF" w:rsidP="0BA56721">
      <w:pPr>
        <w:jc w:val="both"/>
        <w:rPr>
          <w:noProof/>
        </w:rPr>
      </w:pPr>
    </w:p>
    <w:p w14:paraId="3529315A" w14:textId="77777777" w:rsidR="005E02F9" w:rsidRPr="00452D57" w:rsidRDefault="1F072199" w:rsidP="6FAE1D23">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Undertegnelse, ratifikation og gennemførelse i national ret af relevante retlige instrumenter fra FN og Europarådet, der fremmer lighed og bekæmper forskelsbehandling, under hensyntagen til bestemmelserne i FN-konventionen om statsløse personers retsstilling og Europarådets stående anbefalinger vedrørende den europæiske pagt om regionale sprog eller mindretalssprog. Konsolidering af politikker for at sikre socioøkonomisk inklusion af fordrevne personer.</w:t>
      </w:r>
    </w:p>
    <w:p w14:paraId="12871AD0" w14:textId="6D03D220" w:rsidR="6FAE1D23" w:rsidRPr="00452D57" w:rsidRDefault="6FAE1D23" w:rsidP="6FAE1D23">
      <w:pPr>
        <w:jc w:val="both"/>
        <w:rPr>
          <w:noProof/>
        </w:rPr>
      </w:pPr>
    </w:p>
    <w:p w14:paraId="6F97A82B" w14:textId="2C835663" w:rsidR="7BFB6BAC" w:rsidRPr="00452D57" w:rsidRDefault="7BFB6BAC" w:rsidP="6FAE1D23">
      <w:pPr>
        <w:jc w:val="both"/>
        <w:rPr>
          <w:noProof/>
        </w:rPr>
      </w:pPr>
      <w:r w:rsidRPr="00452D57">
        <w:rPr>
          <w:noProof/>
        </w:rPr>
        <w:t xml:space="preserve">Armenien er fuldgyldig part i FN's flygtningekonvention af 1951 og den dertil knyttede protokol af 1967, konventionen om statsløse personers retsstilling af 1954 og konventionen om begrænsning af statsløshed af 1961. I henhold til disse instrumenter er Armenien retligt forpligtet til at sikre rettigheder såsom adgang til arbejde, bolig, uddannelse, social bistand og identitetsdokumenter for fordrevne og statsløse personer. Udkastet til lov om statsløse personer færdiggøres i øjeblikket. Det regulerer proceduren for fastlæggelse af statsløshedsstatus i Armenien, fastsætter regler for udsendelsesprocedurer og behandler spørgsmål vedrørende dokumentation i overensstemmelse med de internationale traktater, som Armenien har ratificeret. Lovudkastet garanterer statsløse personers rettigheder, frihedsrettigheder og forpligtelser i overensstemmelse med De Forenede Nationers konventioner. Under hele den procedure, der er fastsat i udkastet, opretholdes principperne om barnets tarv, ikkeforskelsbehandling, respekt for grundlæggende rettigheder og overholdelse af internationale standarder udtrykkeligt. </w:t>
      </w:r>
    </w:p>
    <w:p w14:paraId="11B61024" w14:textId="44C52702" w:rsidR="6FAE1D23" w:rsidRPr="00452D57" w:rsidRDefault="6FAE1D23" w:rsidP="6FAE1D23">
      <w:pPr>
        <w:jc w:val="both"/>
        <w:rPr>
          <w:noProof/>
        </w:rPr>
      </w:pPr>
    </w:p>
    <w:p w14:paraId="05165A87" w14:textId="65682F09" w:rsidR="4A43A655" w:rsidRPr="00452D57" w:rsidRDefault="4A43A655" w:rsidP="6FAE1D23">
      <w:pPr>
        <w:jc w:val="both"/>
        <w:rPr>
          <w:noProof/>
        </w:rPr>
      </w:pPr>
      <w:r w:rsidRPr="00452D57">
        <w:rPr>
          <w:noProof/>
        </w:rPr>
        <w:t xml:space="preserve">Armeniens regering har udarbejdet et udkast til lov om nationale mindretal, som endnu ikke er vedtaget af parlamentet. Formålet er at sikre beskyttelsen af nationale mindretals rettigheder og at fremme deres integration i overensstemmelse med internationale standarder. Lovudkastet har til formål at bringe Armeniens lovgivning i overensstemmelse med Europarådets rammekonvention om beskyttelse af nationale mindretal og den europæiske pagt om regionale sprog eller mindretalssprog. Efter anbefalinger fremsat i en fælles udtalelse fra Europarådet og Venedigkommissionen i 2024 blev der gennemført omfattende offentlige høringer om lovudkastet. Lovudkastet sikrer nationale mindretals rettigheder til at bevare og udvikle deres traditioner, sprog og kultur. Det understreger betydningen af interkulturel dialog og fri brug af mindretalssprog i offentlig undervisning. Det fastsætter også ansvarsområderne for statslige og lokale selvstyrende organer for så vidt angår nationale mindretal, herunder forpligtelser til at lette deres deltagelse i beslutningsprocesser. </w:t>
      </w:r>
    </w:p>
    <w:p w14:paraId="2CA8B122" w14:textId="6BCF8C47" w:rsidR="6FAE1D23" w:rsidRPr="00452D57" w:rsidRDefault="6FAE1D23" w:rsidP="6FAE1D23">
      <w:pPr>
        <w:jc w:val="both"/>
        <w:rPr>
          <w:noProof/>
        </w:rPr>
      </w:pPr>
    </w:p>
    <w:p w14:paraId="4F494ED2" w14:textId="15FB7C4D" w:rsidR="0DE44E13" w:rsidRPr="00452D57" w:rsidRDefault="0DE44E13" w:rsidP="6FAE1D23">
      <w:pPr>
        <w:jc w:val="both"/>
        <w:rPr>
          <w:noProof/>
        </w:rPr>
      </w:pPr>
      <w:r w:rsidRPr="00452D57">
        <w:rPr>
          <w:noProof/>
        </w:rPr>
        <w:t>Armenien har undertegnet, men endnu ikke ratificeret, Europarådets konvention om forebyggelse og bekæmpelse af vold mod kvinder og vold i hjemmet. Landet har gjort fremskridt med at bringe sin nationale lovgivning og sine nationale politikker i overensstemmelse med konventionens krav.</w:t>
      </w:r>
    </w:p>
    <w:p w14:paraId="0B392585" w14:textId="786F9B2E" w:rsidR="0BA56721" w:rsidRPr="00452D57" w:rsidRDefault="0BA56721" w:rsidP="0BA56721">
      <w:pPr>
        <w:jc w:val="both"/>
        <w:rPr>
          <w:noProof/>
        </w:rPr>
      </w:pPr>
    </w:p>
    <w:p w14:paraId="187759AA" w14:textId="23CDD997" w:rsidR="59DB9433" w:rsidRPr="00452D57" w:rsidRDefault="59DB9433" w:rsidP="0BA56721">
      <w:pPr>
        <w:jc w:val="both"/>
        <w:rPr>
          <w:noProof/>
        </w:rPr>
      </w:pPr>
      <w:r w:rsidRPr="00452D57">
        <w:rPr>
          <w:noProof/>
        </w:rPr>
        <w:t xml:space="preserve">De retlige og institutionelle rammer for beskyttelse af børn i Armenien er gradvis blevet forbedret. Loven om børns rettigheder og børnebeskyttelsessystemet, der blev vedtaget i oktober 2025, indfører retlige definitioner af mishandling af børn, mobning, udnyttelse og omsorgssvigt og har til formål at fastsætte en omfattende ramme for beskyttelse af børns rettigheder. Samtidig udvider udkastet til program om beskyttelse af børns rettigheder for 2024-2029, som fortsat afventer regeringens godkendelse, og strategien om demografi for 2024-2040, som blev godkendt i oktober 2024, børnebeskyttelsespolitikkernes anvendelsesområde til alle børn, således at det er bredere end det tidligere, mere begrænsede fokus på børn i sårbare situationer. De foreslåede reformer prioriterer familiebaseret omsorg og plejefamilier frem for institutionsanbringelse, anerkender børn, der er vidner til vold i hjemmet, som ofre og styrker den arbejdsretlige beskyttelse af børn. </w:t>
      </w:r>
    </w:p>
    <w:p w14:paraId="6C49873A" w14:textId="73F611CC" w:rsidR="59DB9433" w:rsidRPr="00452D57" w:rsidRDefault="59DB9433" w:rsidP="0BA56721">
      <w:pPr>
        <w:jc w:val="both"/>
        <w:rPr>
          <w:noProof/>
        </w:rPr>
      </w:pPr>
      <w:r w:rsidRPr="00452D57">
        <w:rPr>
          <w:noProof/>
        </w:rPr>
        <w:t xml:space="preserve"> </w:t>
      </w:r>
    </w:p>
    <w:p w14:paraId="75E51F08" w14:textId="0A97CFB7" w:rsidR="50ABDBAE" w:rsidRPr="00452D57" w:rsidRDefault="50ABDBAE" w:rsidP="0BA56721">
      <w:pPr>
        <w:jc w:val="both"/>
        <w:rPr>
          <w:noProof/>
        </w:rPr>
      </w:pPr>
      <w:r w:rsidRPr="00452D57">
        <w:rPr>
          <w:noProof/>
        </w:rPr>
        <w:t>Beskyttelsen mod seksuel udnyttelse og seksuelt misbrug af børn blev yderligere styrket efter Armeniens ratifikation i 2020 af Europarådets konvention om beskyttelse af børn mod seksuel udnyttelse og seksuelt misbrug. Dette skridt skabte et klarere retsgrundlag for at imødegå seksuel udnyttelse og seksuelt misbrug af børn. Yderligere fremskridt vil kræve vedtagelse af en strategi for forebyggelse og bekæmpelse af mishandling af børn og seksuel udnyttelse samt etablering af tilgængelige, fortrolige og børnevenlige indberetningsmekanismer, så børn sikkert kan anmelde vold og overgreb.</w:t>
      </w:r>
    </w:p>
    <w:p w14:paraId="702B89F5" w14:textId="125D9C9C" w:rsidR="6FAE1D23" w:rsidRPr="00452D57" w:rsidRDefault="6FAE1D23" w:rsidP="6FAE1D23">
      <w:pPr>
        <w:jc w:val="both"/>
        <w:rPr>
          <w:noProof/>
        </w:rPr>
      </w:pPr>
    </w:p>
    <w:p w14:paraId="05C682B7" w14:textId="330F77CA" w:rsidR="0B01A5CB" w:rsidRPr="00452D57" w:rsidRDefault="00E20AE9" w:rsidP="0BA56721">
      <w:pPr>
        <w:jc w:val="both"/>
        <w:rPr>
          <w:rFonts w:ascii="Arial" w:eastAsia="Arial" w:hAnsi="Arial" w:cs="Arial"/>
          <w:noProof/>
        </w:rPr>
      </w:pPr>
      <w:r w:rsidRPr="00452D57">
        <w:rPr>
          <w:noProof/>
        </w:rPr>
        <w:t>Efter den indledende nødhjælp har myndighederne gjort en betydelig indsats med henblik på den langsigtede integration af de mere end 115 000 fordrevne karabakharmeniere. De fordrevne personer er blevet indrømmet midlertidig beskyttelsesstatus og har modtaget hjælp inden for rammerne af statslige støtteprogrammer. Sådanne programmer har omfattet kontanthjælp, tilskud til husleje og forsyningsudgifter, støtte til køb af bolig samt gratis adgang til uddannelse, sundhedsydelser og sociale tjenester. Programmet for husleje og forsyningsudgifter gav universel dækning til alle fordrevne karabakharmeniere indtil juni 2025, hvorefter det blev erstattet af målrettet bistand. Mere end 16 000 fordrevne børn er blevet indskrevet i armenske skoler. Myndighederne har også fremmet erhvervelsen af armensk statsborgerskab gennem oplysningskampagner og fremskyndede statsborgerskabsprocedurer for karabakharmeniere. På trods af sådanne bestræbelser er den langsigtede integration af den berørte befolkning fortsat en betydelig udfordring.</w:t>
      </w:r>
    </w:p>
    <w:p w14:paraId="10748295" w14:textId="77777777" w:rsidR="00C53A03" w:rsidRPr="00452D57" w:rsidRDefault="00C53A03" w:rsidP="00C53A03">
      <w:pPr>
        <w:pStyle w:val="paragraph"/>
        <w:spacing w:before="0" w:beforeAutospacing="0" w:after="0" w:afterAutospacing="0"/>
        <w:ind w:left="360"/>
        <w:jc w:val="both"/>
        <w:textAlignment w:val="baseline"/>
        <w:rPr>
          <w:b/>
          <w:bCs/>
          <w:noProof/>
          <w:color w:val="000000" w:themeColor="text1"/>
          <w:sz w:val="22"/>
          <w:szCs w:val="22"/>
        </w:rPr>
      </w:pPr>
    </w:p>
    <w:p w14:paraId="08570830" w14:textId="2A6DCDB4" w:rsidR="005E02F9" w:rsidRPr="00452D57" w:rsidRDefault="005E02F9" w:rsidP="0BA56721">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Etablering af retfærdige og gennemsigtige betingelser for erhvervelse af armensk statsborgerskab, som også tager hånd om de udfordringer, der er knyttet til lettelsen af naturalisation til armensk statsborgerskab og dobbelt statsborgerskab, og mindsker risikoen for misbrug af en eventuel fremtidig visumfri ordning. Afholdelse fra at indføre en statsborgerskabsordning for investorer.</w:t>
      </w:r>
    </w:p>
    <w:p w14:paraId="7B595351" w14:textId="7049C41B" w:rsidR="0BA56721" w:rsidRPr="00452D57" w:rsidRDefault="0BA56721" w:rsidP="0BA56721">
      <w:pPr>
        <w:pStyle w:val="paragraph"/>
        <w:spacing w:before="0" w:beforeAutospacing="0" w:after="0" w:afterAutospacing="0"/>
        <w:jc w:val="both"/>
        <w:rPr>
          <w:b/>
          <w:bCs/>
          <w:noProof/>
          <w:color w:val="000000" w:themeColor="text1"/>
          <w:sz w:val="22"/>
          <w:szCs w:val="22"/>
        </w:rPr>
      </w:pPr>
    </w:p>
    <w:p w14:paraId="6BD19D22" w14:textId="1113462C" w:rsidR="08FC6379" w:rsidRPr="00452D57" w:rsidRDefault="08FC6379" w:rsidP="0BA56721">
      <w:pPr>
        <w:jc w:val="both"/>
        <w:rPr>
          <w:noProof/>
        </w:rPr>
      </w:pPr>
      <w:r w:rsidRPr="00452D57">
        <w:rPr>
          <w:noProof/>
        </w:rPr>
        <w:t xml:space="preserve">Nylige ændringer af loven om statsborgerskab, som trådte i kraft den 1. januar 2026, digitaliserede visse trin i proceduren for at opnå statsborgerskab, mens kriterierne for at opnå statsborgerskab forblev uændrede. Armeniens regering har til hensigt at vedtage en strategi for migration og statsborgerskab i år.  </w:t>
      </w:r>
    </w:p>
    <w:p w14:paraId="10FB19BB" w14:textId="1FE5DC17" w:rsidR="79CDC7A6" w:rsidRPr="00452D57" w:rsidRDefault="79CDC7A6" w:rsidP="0BA56721">
      <w:pPr>
        <w:jc w:val="both"/>
        <w:rPr>
          <w:noProof/>
        </w:rPr>
      </w:pPr>
      <w:r w:rsidRPr="00452D57">
        <w:rPr>
          <w:noProof/>
        </w:rPr>
        <w:t xml:space="preserve"> </w:t>
      </w:r>
    </w:p>
    <w:p w14:paraId="1BDC9B3E" w14:textId="10ECB580" w:rsidR="79CDC7A6" w:rsidRPr="00452D57" w:rsidRDefault="79CDC7A6" w:rsidP="0BA56721">
      <w:pPr>
        <w:jc w:val="both"/>
        <w:rPr>
          <w:noProof/>
        </w:rPr>
      </w:pPr>
      <w:r w:rsidRPr="00452D57">
        <w:rPr>
          <w:noProof/>
        </w:rPr>
        <w:t xml:space="preserve">De gældende betingelser for at opnå armensk statsborgerskab er baseret på ansøgerens integrationsgrad i det armenske samfund og omfatter krav vedrørende ophold, sprogkundskaber og almen viden. Disse betingelser gælder ikke for etniske armeniere, som er omfattet af en forenklet naturalisationsprocedure.  </w:t>
      </w:r>
    </w:p>
    <w:p w14:paraId="10659053" w14:textId="412BF490" w:rsidR="79CDC7A6" w:rsidRPr="00452D57" w:rsidRDefault="79CDC7A6" w:rsidP="0BA56721">
      <w:pPr>
        <w:jc w:val="both"/>
        <w:rPr>
          <w:noProof/>
        </w:rPr>
      </w:pPr>
      <w:r w:rsidRPr="00452D57">
        <w:rPr>
          <w:noProof/>
        </w:rPr>
        <w:t xml:space="preserve"> </w:t>
      </w:r>
    </w:p>
    <w:p w14:paraId="77FD8E33" w14:textId="7175B450" w:rsidR="79CDC7A6" w:rsidRPr="00452D57" w:rsidRDefault="79CDC7A6" w:rsidP="0BA56721">
      <w:pPr>
        <w:jc w:val="both"/>
        <w:rPr>
          <w:noProof/>
        </w:rPr>
      </w:pPr>
      <w:r w:rsidRPr="00452D57">
        <w:rPr>
          <w:noProof/>
        </w:rPr>
        <w:t xml:space="preserve">I henhold til den gældende lov om statsborgerskab gælder undtagelser fra kravet om tre års ophold for personer af armensk etnicitet, ægtefæller til armenske statsborgere samt forældre til eller børn af armenske statsborgere. Statsborgerskab kan også tildeles kollektivt i tilfælde af repatriering eller tilbagevenden i stor skala. Selv om loven oprindelig forbød dobbelt statsborgerskab, indførte senere ændringer en begrænset accept af dobbelt statsborgerskab, navnlig for armeniere bosat i udlandet. </w:t>
      </w:r>
    </w:p>
    <w:p w14:paraId="57B48947" w14:textId="4A6201C8" w:rsidR="0BA56721" w:rsidRPr="00452D57" w:rsidRDefault="0BA56721" w:rsidP="0BA56721">
      <w:pPr>
        <w:jc w:val="both"/>
        <w:rPr>
          <w:noProof/>
        </w:rPr>
      </w:pPr>
    </w:p>
    <w:p w14:paraId="618CB5BA" w14:textId="631BDFBB" w:rsidR="79CDC7A6" w:rsidRPr="00452D57" w:rsidRDefault="79CDC7A6" w:rsidP="0BA56721">
      <w:pPr>
        <w:jc w:val="both"/>
        <w:rPr>
          <w:noProof/>
        </w:rPr>
      </w:pPr>
      <w:r w:rsidRPr="00452D57">
        <w:rPr>
          <w:noProof/>
        </w:rPr>
        <w:t xml:space="preserve">Den gældende lovramme omfatter klart definerede kriterier for naturalisation, adgang til retsmidler ved afslag på ansøgninger samt garantier for statsløse personer og børns rettigheder. Loven giver imidlertid i særlige tilfælde alt for brede skønsbeføjelser, mangler proceduremæssig gennemsigtighed og indeholder uklarheder vedrørende dobbelt statsborgerskab som følge af uoverensstemmelser mellem ældre lovbestemmelser og nyere praksis. </w:t>
      </w:r>
    </w:p>
    <w:p w14:paraId="3F0649A4" w14:textId="5CDF81BD" w:rsidR="0BA56721" w:rsidRPr="00452D57" w:rsidRDefault="0BA56721" w:rsidP="0BA56721">
      <w:pPr>
        <w:jc w:val="both"/>
        <w:rPr>
          <w:noProof/>
        </w:rPr>
      </w:pPr>
    </w:p>
    <w:p w14:paraId="3955A1B3" w14:textId="66FB283B" w:rsidR="075C74E2" w:rsidRPr="00452D57" w:rsidRDefault="075C74E2" w:rsidP="0BA56721">
      <w:pPr>
        <w:jc w:val="both"/>
        <w:rPr>
          <w:noProof/>
        </w:rPr>
      </w:pPr>
      <w:r w:rsidRPr="00452D57">
        <w:rPr>
          <w:noProof/>
        </w:rPr>
        <w:t>De armenske myndigheder gennemgår også de retlige bestemmelser om opnåelse af opholdstilladelse mod investering. Den gældende retlige ramme giver mulighed for en særlig tiårig opholdstilladelse til etniske armeniere og til udlændinge, der udøver økonomiske eller kulturelle aktiviteter i Armenien. Armenien har ikke til hensigt at indføre en statsborgerskabsordning for investorer.</w:t>
      </w:r>
    </w:p>
    <w:p w14:paraId="7E3A1D19" w14:textId="77777777" w:rsidR="00C53A03" w:rsidRPr="00452D57" w:rsidRDefault="00C53A03" w:rsidP="00C53A03">
      <w:pPr>
        <w:pStyle w:val="paragraph"/>
        <w:spacing w:before="0" w:beforeAutospacing="0" w:after="0" w:afterAutospacing="0"/>
        <w:ind w:left="360"/>
        <w:jc w:val="both"/>
        <w:textAlignment w:val="baseline"/>
        <w:rPr>
          <w:b/>
          <w:bCs/>
          <w:noProof/>
          <w:color w:val="000000" w:themeColor="text1"/>
          <w:sz w:val="22"/>
          <w:szCs w:val="22"/>
        </w:rPr>
      </w:pPr>
    </w:p>
    <w:p w14:paraId="0DE1DFA6" w14:textId="3F4F8DF4" w:rsidR="005E02F9" w:rsidRPr="00452D57" w:rsidRDefault="1F072199" w:rsidP="546C26BF">
      <w:pPr>
        <w:pStyle w:val="paragraph"/>
        <w:numPr>
          <w:ilvl w:val="0"/>
          <w:numId w:val="3"/>
        </w:numPr>
        <w:spacing w:before="0" w:beforeAutospacing="0" w:after="0" w:afterAutospacing="0"/>
        <w:jc w:val="both"/>
        <w:textAlignment w:val="baseline"/>
        <w:rPr>
          <w:b/>
          <w:bCs/>
          <w:noProof/>
          <w:color w:val="000000" w:themeColor="text1"/>
          <w:sz w:val="22"/>
          <w:szCs w:val="22"/>
        </w:rPr>
      </w:pPr>
      <w:r w:rsidRPr="00452D57">
        <w:rPr>
          <w:b/>
          <w:noProof/>
          <w:sz w:val="22"/>
        </w:rPr>
        <w:t>Udarbejdelse og vedtagelse af en national strategi og handlingsplan for menneskerettigheder, der aktivt følger anbefalinger og standarder, navnlig vedrørende lighed og ikkeforskelsbehandling, mindretalsrettigheder, beskyttelse af personoplysninger, effektiv adgang til domstolsprøvelse og religionsfrihed, fra FN-organer, OSCE/ODIHR, Europarådet og Den Europæiske Kommission mod Racisme og Intolerance samt andre internationale menneskerettighedsorganer.</w:t>
      </w:r>
    </w:p>
    <w:p w14:paraId="16433A46" w14:textId="2466E00B" w:rsidR="6FAE1D23" w:rsidRPr="00452D57" w:rsidRDefault="6FAE1D23" w:rsidP="6FAE1D23">
      <w:pPr>
        <w:jc w:val="both"/>
        <w:rPr>
          <w:noProof/>
        </w:rPr>
      </w:pPr>
    </w:p>
    <w:p w14:paraId="433F92F5" w14:textId="1174B073" w:rsidR="5B3EED17" w:rsidRPr="00452D57" w:rsidRDefault="5B3EED17" w:rsidP="6FAE1D23">
      <w:pPr>
        <w:jc w:val="both"/>
        <w:rPr>
          <w:noProof/>
        </w:rPr>
      </w:pPr>
      <w:r w:rsidRPr="00452D57">
        <w:rPr>
          <w:noProof/>
        </w:rPr>
        <w:t xml:space="preserve">Armeniens nationale strategi for beskyttelse af menneskerettighederne og den ledsagende handlingsplan for 2023-2025 udløb ved udgangen af sidste år. Strategien og handlingsplanen dækkede en bred vifte af områder, herunder lighed og ikkeforskelsbehandling, religionsfrihed, adgang til domstolsprøvelse, forebyggelse af tortur og retten til sundhed. De var i vidt omfang baseret på anbefalinger fra internationale organer såsom FN's Menneskerettighedsråd, Europarådet og OSCE. I stedet for at udarbejde en ny selvstændig strategi for menneskerettigheder agter myndighederne at indarbejde dette område som en søjle i en bredere national strategi for reform af retsvæsenet, som skal vedtages i andet halvår af 2026. </w:t>
      </w:r>
    </w:p>
    <w:p w14:paraId="199EE434" w14:textId="64AD67B3" w:rsidR="6FAE1D23" w:rsidRPr="00452D57" w:rsidRDefault="6FAE1D23" w:rsidP="6FAE1D23">
      <w:pPr>
        <w:jc w:val="both"/>
        <w:rPr>
          <w:noProof/>
        </w:rPr>
      </w:pPr>
    </w:p>
    <w:p w14:paraId="350F9DA8" w14:textId="0C8B9822" w:rsidR="3A870A15" w:rsidRPr="00452D57" w:rsidRDefault="3A870A15" w:rsidP="6FAE1D23">
      <w:pPr>
        <w:jc w:val="both"/>
        <w:rPr>
          <w:noProof/>
        </w:rPr>
      </w:pPr>
      <w:r w:rsidRPr="00452D57">
        <w:rPr>
          <w:noProof/>
        </w:rPr>
        <w:t>Armenien vedtog i april 2025 en strategi for gennemførelse af ligestillingspolitikken for 2025-2028. Strategien er i overensstemmelse med internationale standarder, herunder konventionen om afskaffelse af alle former for diskrimination imod kvinder, Beijinghandlingsprogrammet, verdensmålene for bæredygtig udvikling og Istanbulkonventionen. Strategien tager sigte på at sikre kvinder og mænd lige rettigheder og muligheder på alle områder af det offentlige liv gennem evidensbaserede og deltagelsesbaserede tilgange. I maj 2025 vedtog Armenien den tredje nationale handlingsplan om kvinder, fred og sikkerhed for 2025-2027, der blev udarbejdet i overensstemmelse med FN's Sikkerhedsråds resolution 1325.</w:t>
      </w:r>
    </w:p>
    <w:p w14:paraId="6E937ACB" w14:textId="631A1FCA" w:rsidR="6FAE1D23" w:rsidRPr="00452D57" w:rsidRDefault="6FAE1D23" w:rsidP="6FAE1D23">
      <w:pPr>
        <w:jc w:val="both"/>
        <w:rPr>
          <w:noProof/>
        </w:rPr>
      </w:pPr>
    </w:p>
    <w:p w14:paraId="1EE48071" w14:textId="625A293F" w:rsidR="00783912" w:rsidRPr="00452D57" w:rsidRDefault="0A2828E9" w:rsidP="6FAE1D23">
      <w:pPr>
        <w:jc w:val="both"/>
        <w:rPr>
          <w:noProof/>
        </w:rPr>
      </w:pPr>
      <w:r w:rsidRPr="00452D57">
        <w:rPr>
          <w:noProof/>
        </w:rPr>
        <w:t>For at forbedre adgangen til domstolsprøvelse har de armenske myndigheder vedtaget en række foranstaltninger, der tager sigte på at nedbringe domstolenes sagsmængde. Disse foranstaltninger omfatter lovændringer, der gør det muligt at overføre visse sager til advokater eller mediatorer, samt en forøgelse af både antallet af dommere og dommerlønningerne med henblik på at fremskynde sagsbehandlingen. Som led i de retlige reformer er der indført et samlet elektronisk retssystem, hvilket har reduceret antallet af verserende civilretlige sager betydeligt. Armeniens center for voldgift og mægling, der blev oprettet i 2023, fremmer mekanismer til alternativ tvistbilæggelse, og der er indført obligatorisk mægling for udvalgte kategorier af familieretlige sager.</w:t>
      </w:r>
    </w:p>
    <w:p w14:paraId="517448B6" w14:textId="77777777" w:rsidR="00783912" w:rsidRPr="00452D57" w:rsidRDefault="00783912" w:rsidP="6FAE1D23">
      <w:pPr>
        <w:jc w:val="both"/>
        <w:rPr>
          <w:noProof/>
        </w:rPr>
      </w:pPr>
    </w:p>
    <w:p w14:paraId="49C1DEE0" w14:textId="1F804CCD" w:rsidR="2C2D64A1" w:rsidRPr="00452D57" w:rsidRDefault="00983315" w:rsidP="6FAE1D23">
      <w:pPr>
        <w:jc w:val="both"/>
        <w:rPr>
          <w:noProof/>
        </w:rPr>
      </w:pPr>
      <w:r w:rsidRPr="00452D57">
        <w:rPr>
          <w:noProof/>
        </w:rPr>
        <w:t>Selv om alternative foranstaltninger anvendes hyppigere, giver den omfattende brug af varetægtsfængsling fortsat anledning til bekymring. I oktober 2025 var 50,8 % af de personer, der var indsat i kriminalforsorgens institutioner, varetægtsfængslede. Dette er også en væsentlig årsag til overbelægning i kriminalforsorgens institutioner. I overensstemmelse med en afgørelse fra forfatningsdomstolen er domstolene nu efter en vis periode forpligtet til at vurdere den indsats, som efterforskningsorganerne har gjort for at forhindre uberettiget forlængelse af varetægtsfængsling. I straffesager er psykologers rolle blevet styrket, og deres deltagelse er nu obligatorisk i sager, der involverer mindreårige eller personer med handicap. Videooptagelse af afhøringer er også blevet obligatorisk og understøttes af efterforskeres brug af kropsbårne kameraer.</w:t>
      </w:r>
    </w:p>
    <w:p w14:paraId="7F23FAB0" w14:textId="4D22A2BA" w:rsidR="6FAE1D23" w:rsidRPr="00452D57" w:rsidRDefault="6FAE1D23" w:rsidP="6FAE1D23">
      <w:pPr>
        <w:jc w:val="both"/>
        <w:rPr>
          <w:noProof/>
        </w:rPr>
      </w:pPr>
    </w:p>
    <w:p w14:paraId="4E772742" w14:textId="06E1D63F" w:rsidR="35CE913A" w:rsidRPr="00452D57" w:rsidRDefault="35CE913A" w:rsidP="6FAE1D23">
      <w:pPr>
        <w:jc w:val="both"/>
        <w:rPr>
          <w:noProof/>
        </w:rPr>
      </w:pPr>
      <w:r w:rsidRPr="00452D57">
        <w:rPr>
          <w:noProof/>
        </w:rPr>
        <w:t xml:space="preserve">Armenien gennemgik sin fjerde cyklus af den universelle regelmæssige gennemgang i maj 2025. Regeringen støttede de fleste af de 265 modtagne anbefalinger, mens den tog 16 anbefalinger til efterretning (dvs. ikke støttede dem). Den Europæiske Kommission mod Racisme og Intolerance anbefalede i sin rapport fra 2023, at Armeniens myndigheder træffer foranstaltninger på en række områder, herunder støtte til oplysningsaktiviteter i samarbejde med menneskerettighedsombudsmanden og relevante civilsamfundsrepræsentanter om betydningen af mangfoldighed og tolerance i samfundet med henblik på at forebygge og bekæmpe hadtale, hadmotiveret vold og alle former for forskelsbehandling.  </w:t>
      </w:r>
    </w:p>
    <w:p w14:paraId="11E3A4FD" w14:textId="0793E4F6" w:rsidR="6FAE1D23" w:rsidRPr="00452D57" w:rsidRDefault="6FAE1D23" w:rsidP="6FAE1D23">
      <w:pPr>
        <w:jc w:val="both"/>
        <w:rPr>
          <w:noProof/>
        </w:rPr>
      </w:pPr>
    </w:p>
    <w:p w14:paraId="1E5A1568" w14:textId="77777777" w:rsidR="001B5683" w:rsidRPr="00452D57" w:rsidRDefault="001B5683" w:rsidP="6FAE1D23">
      <w:pPr>
        <w:jc w:val="both"/>
        <w:rPr>
          <w:noProof/>
        </w:rPr>
      </w:pPr>
    </w:p>
    <w:p w14:paraId="681E2E6F" w14:textId="461E4668" w:rsidR="0000758C" w:rsidRPr="00452D57" w:rsidRDefault="0000758C" w:rsidP="0000758C">
      <w:pPr>
        <w:rPr>
          <w:noProof/>
        </w:rPr>
      </w:pPr>
      <w:r w:rsidRPr="00452D57">
        <w:rPr>
          <w:noProof/>
        </w:rPr>
        <w:t xml:space="preserve">På grundlag af ovenstående anbefales det for så vidt angår benchmarkene under blok 4 vedrørende </w:t>
      </w:r>
      <w:r w:rsidRPr="00452D57">
        <w:rPr>
          <w:b/>
          <w:noProof/>
        </w:rPr>
        <w:t xml:space="preserve">eksterne forbindelser og grundlæggende rettigheder </w:t>
      </w:r>
      <w:r w:rsidRPr="00452D57">
        <w:rPr>
          <w:noProof/>
        </w:rPr>
        <w:t xml:space="preserve">(første fase), at de armenske myndigheder: </w:t>
      </w:r>
    </w:p>
    <w:p w14:paraId="43FDA909" w14:textId="3CCCC2C1" w:rsidR="6D8F4779" w:rsidRPr="00452D57" w:rsidRDefault="00102069" w:rsidP="0BA56721">
      <w:pPr>
        <w:pStyle w:val="ListParagraph"/>
        <w:numPr>
          <w:ilvl w:val="0"/>
          <w:numId w:val="15"/>
        </w:numPr>
        <w:jc w:val="both"/>
        <w:rPr>
          <w:i/>
          <w:iCs/>
          <w:noProof/>
        </w:rPr>
      </w:pPr>
      <w:r w:rsidRPr="00452D57">
        <w:rPr>
          <w:i/>
          <w:noProof/>
        </w:rPr>
        <w:t>sikrer, at personer med fysiske, psykosociale eller intellektuelle funktionsnedsættelser har fuld adgang til systemet for udstedelse af rejse- og identitetsdokumenter</w:t>
      </w:r>
    </w:p>
    <w:p w14:paraId="043EE364" w14:textId="2AF59F5D" w:rsidR="005E6AF1" w:rsidRPr="00452D57" w:rsidRDefault="00102069" w:rsidP="00C53A03">
      <w:pPr>
        <w:pStyle w:val="ListParagraph"/>
        <w:numPr>
          <w:ilvl w:val="0"/>
          <w:numId w:val="15"/>
        </w:numPr>
        <w:jc w:val="both"/>
        <w:rPr>
          <w:i/>
          <w:iCs/>
          <w:noProof/>
        </w:rPr>
      </w:pPr>
      <w:r w:rsidRPr="00452D57">
        <w:rPr>
          <w:i/>
          <w:noProof/>
        </w:rPr>
        <w:t>vedtager loven om forebyggelse af og beskyttelse mod forskelsbehandling i overensstemmelse med internationale og europæiske standarder og med Europarådets anbefalinger</w:t>
      </w:r>
    </w:p>
    <w:p w14:paraId="1A24664F" w14:textId="4BDE10D7" w:rsidR="005E6AF1" w:rsidRPr="00452D57" w:rsidRDefault="00102069" w:rsidP="00C53A03">
      <w:pPr>
        <w:pStyle w:val="ListParagraph"/>
        <w:numPr>
          <w:ilvl w:val="0"/>
          <w:numId w:val="15"/>
        </w:numPr>
        <w:jc w:val="both"/>
        <w:rPr>
          <w:i/>
          <w:iCs/>
          <w:noProof/>
        </w:rPr>
      </w:pPr>
      <w:r w:rsidRPr="00452D57">
        <w:rPr>
          <w:i/>
          <w:noProof/>
        </w:rPr>
        <w:t>giver det fremtidige ligebehandlingsorgan, der skal oprettes i medfør af loven om bekæmpelse af forskelsbehandling, tilstrækkelige og bæredygtige finansielle og personalemæssige ressourcer til at opfylde sit mandat, herunder til undersøgelses-, overvågnings- og retssagsrelaterede funktioner</w:t>
      </w:r>
    </w:p>
    <w:p w14:paraId="057C773D" w14:textId="23A0CBF4" w:rsidR="00F96A5C" w:rsidRPr="00452D57" w:rsidRDefault="00102069" w:rsidP="00F96A5C">
      <w:pPr>
        <w:pStyle w:val="ListParagraph"/>
        <w:numPr>
          <w:ilvl w:val="0"/>
          <w:numId w:val="15"/>
        </w:numPr>
        <w:jc w:val="both"/>
        <w:rPr>
          <w:i/>
          <w:iCs/>
          <w:noProof/>
        </w:rPr>
      </w:pPr>
      <w:r w:rsidRPr="00452D57">
        <w:rPr>
          <w:i/>
          <w:noProof/>
        </w:rPr>
        <w:t>vedtager loven om nationale mindretal, som sikrer nationale mindretals rettigheder til at bevare og udvikle deres traditioner, sprog og kultur, med særlig vægt på både fri brug af mindretalssprog i offentlig undervisning og reel deltagelse af repræsentanter for nationale mindretal i beslutningsprocesser på nationalt og lokalt plan</w:t>
      </w:r>
    </w:p>
    <w:p w14:paraId="196CD422" w14:textId="036080D3" w:rsidR="00F96A5C" w:rsidRPr="00452D57" w:rsidRDefault="00102069" w:rsidP="00F96A5C">
      <w:pPr>
        <w:pStyle w:val="ListParagraph"/>
        <w:numPr>
          <w:ilvl w:val="0"/>
          <w:numId w:val="15"/>
        </w:numPr>
        <w:jc w:val="both"/>
        <w:rPr>
          <w:i/>
          <w:iCs/>
          <w:noProof/>
        </w:rPr>
      </w:pPr>
      <w:r w:rsidRPr="00452D57">
        <w:rPr>
          <w:i/>
          <w:noProof/>
        </w:rPr>
        <w:t>bringer Armeniens lovgivningsmæssige ramme fuldt ud i overensstemmelse med bestemmelserne i Europarådets konvention om forebyggelse og bekæmpelse af vold mod kvinder og vold i hjemmet og sikrer vedtagelse og gennemførelse af de nødvendige retlige, institutionelle og politiske foranstaltninger, herunder mekanismer til beskyttelse af ofre, kapacitetsopbygning for relevante fagfolk og vedvarende oplysningsinitiativer</w:t>
      </w:r>
    </w:p>
    <w:p w14:paraId="579E1333" w14:textId="5FC711FF" w:rsidR="79ED2C45" w:rsidRPr="00452D57" w:rsidRDefault="00102069" w:rsidP="00F96A5C">
      <w:pPr>
        <w:pStyle w:val="ListParagraph"/>
        <w:numPr>
          <w:ilvl w:val="0"/>
          <w:numId w:val="15"/>
        </w:numPr>
        <w:jc w:val="both"/>
        <w:rPr>
          <w:i/>
          <w:iCs/>
          <w:noProof/>
        </w:rPr>
      </w:pPr>
      <w:r w:rsidRPr="00452D57">
        <w:rPr>
          <w:i/>
          <w:noProof/>
        </w:rPr>
        <w:t>gennemfører loven om børns rettigheder og børnebeskyttelsessystemet, der blev vedtaget i oktober 2025, og vedtager det omfattende program om beskyttelse af børns rettigheder for 2024-2029, således at alle børn, herunder børn med handicap og børn i alternativ pleje, beskyttes mod alle former for vold, herunder menneskehandel, i overensstemmelse med internationale standarder, herunder Haagerkonventionen af 1996 om beskyttelse af børn</w:t>
      </w:r>
    </w:p>
    <w:p w14:paraId="64A8D270" w14:textId="359E962A" w:rsidR="79ED2C45" w:rsidRPr="00452D57" w:rsidRDefault="00102069" w:rsidP="546C26BF">
      <w:pPr>
        <w:pStyle w:val="ListParagraph"/>
        <w:numPr>
          <w:ilvl w:val="0"/>
          <w:numId w:val="15"/>
        </w:numPr>
        <w:jc w:val="both"/>
        <w:rPr>
          <w:i/>
          <w:iCs/>
          <w:noProof/>
        </w:rPr>
      </w:pPr>
      <w:r w:rsidRPr="00452D57">
        <w:rPr>
          <w:i/>
          <w:noProof/>
        </w:rPr>
        <w:t>udarbejder en omfattende strategi til forebyggelse og bekæmpelse af seksuelt misbrug og seksuel udnyttelse af børn i overensstemmelse med Europarådets konvention om beskyttelse af børn mod seksuel udnyttelse og seksuelt misbrug, som sikrer adgang til alderssvarende, tilgængelig, fortrolig og børnevenlig retspleje, indberetningsmekanismer og støtte til børn, der er ofre eller vidner</w:t>
      </w:r>
    </w:p>
    <w:p w14:paraId="1E49A3B8" w14:textId="5B87A994" w:rsidR="00C53A03" w:rsidRPr="00452D57" w:rsidRDefault="00102069" w:rsidP="0BA56721">
      <w:pPr>
        <w:pStyle w:val="ListParagraph"/>
        <w:numPr>
          <w:ilvl w:val="0"/>
          <w:numId w:val="15"/>
        </w:numPr>
        <w:jc w:val="both"/>
        <w:rPr>
          <w:i/>
          <w:iCs/>
          <w:noProof/>
        </w:rPr>
      </w:pPr>
      <w:r w:rsidRPr="00452D57">
        <w:rPr>
          <w:i/>
          <w:noProof/>
        </w:rPr>
        <w:t>ændrer loven om statsborgerskab for at tage hånd om udestående spørgsmål vedrørende naturalisation og dobbelt statsborgerskab for etniske armeniere og derved sikre klare garantier for at forhindre ethvert potentielt misbrug i forbindelse med en fremtidig visumfri ordning med EU</w:t>
      </w:r>
    </w:p>
    <w:p w14:paraId="2558CF5D" w14:textId="66BEBD6A" w:rsidR="091839D7" w:rsidRPr="00452D57" w:rsidRDefault="00102069" w:rsidP="0BA56721">
      <w:pPr>
        <w:pStyle w:val="ListParagraph"/>
        <w:numPr>
          <w:ilvl w:val="0"/>
          <w:numId w:val="15"/>
        </w:numPr>
        <w:jc w:val="both"/>
        <w:rPr>
          <w:i/>
          <w:iCs/>
          <w:noProof/>
        </w:rPr>
      </w:pPr>
      <w:r w:rsidRPr="00452D57">
        <w:rPr>
          <w:i/>
          <w:noProof/>
        </w:rPr>
        <w:t>afholder sig fra at indføre en statsborgerskabsordning for investorer og sikrer, at enhver ordning for tildeling af opholdsret til investorer ikke udgør en utilbørlig vej til statsborgerskab</w:t>
      </w:r>
    </w:p>
    <w:p w14:paraId="6C2C690F" w14:textId="1E916F7C" w:rsidR="0D511812" w:rsidRPr="00452D57" w:rsidRDefault="00102069" w:rsidP="0BA56721">
      <w:pPr>
        <w:pStyle w:val="ListParagraph"/>
        <w:numPr>
          <w:ilvl w:val="0"/>
          <w:numId w:val="15"/>
        </w:numPr>
        <w:jc w:val="both"/>
        <w:rPr>
          <w:i/>
          <w:iCs/>
          <w:noProof/>
        </w:rPr>
      </w:pPr>
      <w:r w:rsidRPr="00452D57">
        <w:rPr>
          <w:i/>
          <w:noProof/>
        </w:rPr>
        <w:t>foretager en omfattende konsekvensvurdering af gennemførelsen af strategien for beskyttelse af menneskerettighederne 2023-2025 og rettidigt og inkluderende udarbejder og vedtager en efterfølgende strategi.</w:t>
      </w:r>
    </w:p>
    <w:p w14:paraId="1B8E3672" w14:textId="77777777" w:rsidR="004F38F2" w:rsidRPr="00452D57" w:rsidRDefault="004F38F2" w:rsidP="6FAE1D23">
      <w:pPr>
        <w:jc w:val="both"/>
        <w:rPr>
          <w:i/>
          <w:iCs/>
          <w:noProof/>
        </w:rPr>
      </w:pPr>
    </w:p>
    <w:p w14:paraId="16AB8258" w14:textId="62A68084" w:rsidR="00FF58B1" w:rsidRPr="00452D57" w:rsidRDefault="00FF58B1" w:rsidP="009F2DA8">
      <w:pPr>
        <w:pStyle w:val="ListParagraph"/>
        <w:numPr>
          <w:ilvl w:val="0"/>
          <w:numId w:val="1"/>
        </w:numPr>
        <w:jc w:val="both"/>
        <w:rPr>
          <w:noProof/>
        </w:rPr>
      </w:pPr>
      <w:r w:rsidRPr="00452D57">
        <w:rPr>
          <w:noProof/>
        </w:rPr>
        <w:t xml:space="preserve">Overordnet vurdering og næste skridt </w:t>
      </w:r>
    </w:p>
    <w:p w14:paraId="59E5AEED" w14:textId="77777777" w:rsidR="00722B49" w:rsidRPr="00452D57" w:rsidRDefault="00722B49" w:rsidP="009F2DA8">
      <w:pPr>
        <w:jc w:val="both"/>
        <w:rPr>
          <w:noProof/>
        </w:rPr>
      </w:pPr>
    </w:p>
    <w:p w14:paraId="6D0EF8FF" w14:textId="6EF9FBB9" w:rsidR="000845C4" w:rsidRPr="00452D57" w:rsidRDefault="000845C4" w:rsidP="000845C4">
      <w:pPr>
        <w:jc w:val="both"/>
        <w:rPr>
          <w:noProof/>
        </w:rPr>
      </w:pPr>
      <w:r w:rsidRPr="00452D57">
        <w:rPr>
          <w:noProof/>
        </w:rPr>
        <w:t>I overensstemmelse med den fastlagte metode har Kommissionen vurderet Armeniens gennemførelse af handlingsplanen for visumliberalisering (handlingsplanen) på grundlag af de oplysninger og relevante lovgivningsmæssige og politiske dokumenter, som de armenske myndigheder har fremlagt. Evalueringen på grundlag af skriftligt materiale blev suppleret med en evaluering på stedet, som blev gennemført af Kommissionens tjenestegrene og Tjenesten for EU's Optræden Udadtil med bistand fra eksperter fra EU-medlemsstaterne, Frontex og EU-delegationen i Armenien.</w:t>
      </w:r>
    </w:p>
    <w:p w14:paraId="727346BE" w14:textId="77777777" w:rsidR="000845C4" w:rsidRPr="00452D57" w:rsidRDefault="000845C4" w:rsidP="000845C4">
      <w:pPr>
        <w:jc w:val="both"/>
        <w:rPr>
          <w:noProof/>
        </w:rPr>
      </w:pPr>
    </w:p>
    <w:p w14:paraId="4B6DEDD2" w14:textId="5F11035B" w:rsidR="000845C4" w:rsidRPr="00452D57" w:rsidRDefault="000845C4" w:rsidP="000845C4">
      <w:pPr>
        <w:jc w:val="both"/>
        <w:rPr>
          <w:noProof/>
        </w:rPr>
      </w:pPr>
      <w:r w:rsidRPr="00452D57">
        <w:rPr>
          <w:noProof/>
        </w:rPr>
        <w:t>Kommissionen overvåger også de fremskridt, som Armenien har gjort, gennem det blandede EU-Armenien-udvalg om lettelse af udstedelsen af visa, det blandede EU-Armenien-tilbagetagelsesudvalg, underudvalget vedrørende retlige anliggender, frihed og sikkerhed samt menneskerettighedsdialogen. I alle disse rammer er dialogen og samarbejdet mellem EU og Armenien på et højt niveau.</w:t>
      </w:r>
    </w:p>
    <w:p w14:paraId="53496270" w14:textId="77777777" w:rsidR="000845C4" w:rsidRPr="00452D57" w:rsidRDefault="000845C4" w:rsidP="000845C4">
      <w:pPr>
        <w:jc w:val="both"/>
        <w:rPr>
          <w:noProof/>
        </w:rPr>
      </w:pPr>
    </w:p>
    <w:p w14:paraId="415231AA" w14:textId="6A41A959" w:rsidR="000845C4" w:rsidRPr="00452D57" w:rsidRDefault="000845C4" w:rsidP="000845C4">
      <w:pPr>
        <w:jc w:val="both"/>
        <w:rPr>
          <w:noProof/>
        </w:rPr>
      </w:pPr>
      <w:r w:rsidRPr="00452D57">
        <w:rPr>
          <w:noProof/>
        </w:rPr>
        <w:t>På dette grundlag mener Kommissionen, at Armenien har gjort gode fremskridt med gennemførelsen af de benchmarks, der er relevante for handlingsplanens første fase (den lovgivningsmæssige og politiske ramme), idet handlingsplanen først officielt blev overdraget til de armenske myndigheder i november</w:t>
      </w:r>
      <w:r w:rsidR="007644A8">
        <w:rPr>
          <w:noProof/>
        </w:rPr>
        <w:t> </w:t>
      </w:r>
      <w:r w:rsidRPr="00452D57">
        <w:rPr>
          <w:noProof/>
        </w:rPr>
        <w:t>2025. Det første sæt benchmarks under blok 1 (dokumentsikkerhed, herunder biometri) og inden for blok 2 (migrationsstyring) er allerede godt på vej mod opfyldelse. Armenien gør også gode fremskridt med gennemførelsen af det første sæt benchmarks vedrørende de øvrige politikområder, der er omfattet af blok 2 (integreret grænseforvaltning og asyl), blok 3 (offentlig orden og sikkerhed) og blok 4 (eksterne forbindelser og grundlæggende rettigheder) i handlingsplanen.</w:t>
      </w:r>
    </w:p>
    <w:p w14:paraId="09480B79" w14:textId="77777777" w:rsidR="000845C4" w:rsidRPr="00452D57" w:rsidRDefault="000845C4" w:rsidP="000845C4">
      <w:pPr>
        <w:jc w:val="both"/>
        <w:rPr>
          <w:noProof/>
        </w:rPr>
      </w:pPr>
    </w:p>
    <w:p w14:paraId="2BECC3BA" w14:textId="180F1FEE" w:rsidR="000845C4" w:rsidRPr="000845C4" w:rsidRDefault="007205A4" w:rsidP="000845C4">
      <w:pPr>
        <w:jc w:val="both"/>
        <w:rPr>
          <w:noProof/>
        </w:rPr>
      </w:pPr>
      <w:r w:rsidRPr="00452D57">
        <w:rPr>
          <w:noProof/>
        </w:rPr>
        <w:t xml:space="preserve">Konklusionerne i denne første statusrapport fra Kommissionen vil blive forelagt Europa-Parlamentet og Rådet. Disse resultater vil også blive forelagt og drøftet af Kommissionen med de armenske myndigheder på det næste møde mellem højtstående embedsmænd. Kommissionen vil fortsat støtte Armenien i gennemførelsen af handlingsplanen, herunder gennem målrettet teknisk og finansiel bistand fra resiliens- og vækstplanen for Armenien, som er under gennemførelse. Kommissionen vil aktivt overvåge opfyldelsen af alle benchmarks under handlingsplanens fire blokke med bistand fra eksperter fra EU-medlemsstaterne. Der vil i den kommende periode blive tilrettelagt yderligere EU-evalueringsmissioner i Armenien med henblik på at vurdere de fremskridt, som de armenske myndigheder har gjort med at opfylde alle benchmarks under første fase. Anbefalingerne i denne rapport bør vejlede de armenske myndigheder i afhjælpningen af de konstaterede mangler. Denne overvågning vil danne grundlag for Kommissionens kommende rapporter til Europa-Parlamentet og Rådet om de fremskridt, som Armenien har gjort med gennemførelsen af handlingsplanen.   </w:t>
      </w:r>
    </w:p>
    <w:sectPr w:rsidR="000845C4" w:rsidRPr="000845C4" w:rsidSect="00DB0FE0">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ED5EA4" w14:textId="77777777" w:rsidR="00585C78" w:rsidRPr="00452D57" w:rsidRDefault="00585C78">
      <w:r w:rsidRPr="00452D57">
        <w:separator/>
      </w:r>
    </w:p>
  </w:endnote>
  <w:endnote w:type="continuationSeparator" w:id="0">
    <w:p w14:paraId="067CA0F5" w14:textId="77777777" w:rsidR="00585C78" w:rsidRPr="00452D57" w:rsidRDefault="00585C78">
      <w:r w:rsidRPr="00452D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C1411" w14:textId="1D92B109" w:rsidR="005461E9" w:rsidRPr="005461E9" w:rsidRDefault="005461E9" w:rsidP="005461E9">
    <w:pPr>
      <w:pStyle w:val="FooterCoverPage"/>
      <w:rPr>
        <w:rFonts w:ascii="Arial" w:hAnsi="Arial" w:cs="Arial"/>
        <w:b/>
        <w:sz w:val="48"/>
      </w:rPr>
    </w:pPr>
    <w:r w:rsidRPr="005461E9">
      <w:rPr>
        <w:rFonts w:ascii="Arial" w:hAnsi="Arial" w:cs="Arial"/>
        <w:b/>
        <w:sz w:val="48"/>
      </w:rPr>
      <w:t>DA</w:t>
    </w:r>
    <w:r w:rsidRPr="005461E9">
      <w:rPr>
        <w:rFonts w:ascii="Arial" w:hAnsi="Arial" w:cs="Arial"/>
        <w:b/>
        <w:sz w:val="48"/>
      </w:rPr>
      <w:tab/>
    </w:r>
    <w:r w:rsidRPr="005461E9">
      <w:rPr>
        <w:rFonts w:ascii="Arial" w:hAnsi="Arial" w:cs="Arial"/>
        <w:b/>
        <w:sz w:val="48"/>
      </w:rPr>
      <w:tab/>
    </w:r>
    <w:r w:rsidRPr="005461E9">
      <w:tab/>
    </w:r>
    <w:r w:rsidRPr="005461E9">
      <w:rPr>
        <w:rFonts w:ascii="Arial" w:hAnsi="Arial" w:cs="Arial"/>
        <w:b/>
        <w:sz w:val="48"/>
      </w:rP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F0DFA" w14:textId="79F98430" w:rsidR="005461E9" w:rsidRPr="005461E9" w:rsidRDefault="005461E9" w:rsidP="005461E9">
    <w:pPr>
      <w:pStyle w:val="FooterCoverPage"/>
      <w:rPr>
        <w:rFonts w:ascii="Arial" w:hAnsi="Arial" w:cs="Arial"/>
        <w:b/>
        <w:sz w:val="48"/>
      </w:rPr>
    </w:pPr>
    <w:r w:rsidRPr="005461E9">
      <w:rPr>
        <w:rFonts w:ascii="Arial" w:hAnsi="Arial" w:cs="Arial"/>
        <w:b/>
        <w:sz w:val="48"/>
      </w:rPr>
      <w:t>DA</w:t>
    </w:r>
    <w:r w:rsidRPr="005461E9">
      <w:rPr>
        <w:rFonts w:ascii="Arial" w:hAnsi="Arial" w:cs="Arial"/>
        <w:b/>
        <w:sz w:val="48"/>
      </w:rPr>
      <w:tab/>
    </w:r>
    <w:r w:rsidRPr="005461E9">
      <w:rPr>
        <w:rFonts w:ascii="Arial" w:hAnsi="Arial" w:cs="Arial"/>
        <w:b/>
        <w:sz w:val="48"/>
      </w:rPr>
      <w:tab/>
    </w:r>
    <w:r w:rsidRPr="005461E9">
      <w:tab/>
    </w:r>
    <w:r w:rsidRPr="005461E9">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7E879" w14:textId="77777777" w:rsidR="005461E9" w:rsidRPr="005461E9" w:rsidRDefault="005461E9" w:rsidP="005461E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EC8FD4" w14:textId="77777777" w:rsidR="00DB0FE0" w:rsidRPr="00452D57" w:rsidRDefault="00DB0F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61EB35" w14:textId="77777777" w:rsidR="00DB0FE0" w:rsidRPr="00452D57" w:rsidRDefault="00DB0FE0">
    <w:pPr>
      <w:pStyle w:val="BodyText"/>
      <w:spacing w:line="14" w:lineRule="auto"/>
      <w:rPr>
        <w:sz w:val="20"/>
      </w:rPr>
    </w:pPr>
    <w:r w:rsidRPr="00452D57">
      <w:rPr>
        <w:noProof/>
        <w:sz w:val="20"/>
        <w:lang w:val="en-GB" w:eastAsia="en-GB"/>
      </w:rPr>
      <mc:AlternateContent>
        <mc:Choice Requires="wps">
          <w:drawing>
            <wp:anchor distT="0" distB="0" distL="0" distR="0" simplePos="0" relativeHeight="251658240" behindDoc="1" locked="0" layoutInCell="1" allowOverlap="1" wp14:anchorId="668926F2" wp14:editId="36A808D3">
              <wp:simplePos x="0" y="0"/>
              <wp:positionH relativeFrom="page">
                <wp:posOffset>3680586</wp:posOffset>
              </wp:positionH>
              <wp:positionV relativeFrom="page">
                <wp:posOffset>9884301</wp:posOffset>
              </wp:positionV>
              <wp:extent cx="129539" cy="139065"/>
              <wp:effectExtent l="0" t="0" r="0" b="0"/>
              <wp:wrapNone/>
              <wp:docPr id="2001415817"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9539" cy="139065"/>
                      </a:xfrm>
                      <a:prstGeom prst="rect">
                        <a:avLst/>
                      </a:prstGeom>
                    </wps:spPr>
                    <wps:txbx>
                      <w:txbxContent>
                        <w:p w14:paraId="2E5B635E" w14:textId="6B49C943" w:rsidR="00DB0FE0" w:rsidRPr="00452D57" w:rsidRDefault="00DB0FE0">
                          <w:pPr>
                            <w:spacing w:before="14"/>
                            <w:ind w:left="20"/>
                            <w:rPr>
                              <w:sz w:val="16"/>
                            </w:rPr>
                          </w:pPr>
                          <w:r w:rsidRPr="00452D57">
                            <w:rPr>
                              <w:sz w:val="16"/>
                            </w:rPr>
                            <w:fldChar w:fldCharType="begin"/>
                          </w:r>
                          <w:r w:rsidRPr="00452D57">
                            <w:rPr>
                              <w:sz w:val="16"/>
                            </w:rPr>
                            <w:instrText xml:space="preserve"> PAGE </w:instrText>
                          </w:r>
                          <w:r w:rsidRPr="00452D57">
                            <w:rPr>
                              <w:sz w:val="16"/>
                            </w:rPr>
                            <w:fldChar w:fldCharType="separate"/>
                          </w:r>
                          <w:r w:rsidR="005461E9">
                            <w:rPr>
                              <w:noProof/>
                              <w:sz w:val="16"/>
                            </w:rPr>
                            <w:t>1</w:t>
                          </w:r>
                          <w:r w:rsidRPr="00452D57">
                            <w:rPr>
                              <w:sz w:val="16"/>
                            </w:rPr>
                            <w:fldChar w:fldCharType="end"/>
                          </w:r>
                        </w:p>
                      </w:txbxContent>
                    </wps:txbx>
                    <wps:bodyPr wrap="square" lIns="0" tIns="0" rIns="0" bIns="0" rtlCol="0">
                      <a:noAutofit/>
                    </wps:bodyPr>
                  </wps:wsp>
                </a:graphicData>
              </a:graphic>
            </wp:anchor>
          </w:drawing>
        </mc:Choice>
        <mc:Fallback>
          <w:pict>
            <v:shapetype w14:anchorId="668926F2" id="_x0000_t202" coordsize="21600,21600" o:spt="202" path="m,l,21600r21600,l21600,xe">
              <v:stroke joinstyle="miter"/>
              <v:path gradientshapeok="t" o:connecttype="rect"/>
            </v:shapetype>
            <v:shape id="Textbox 1" o:spid="_x0000_s1026" type="#_x0000_t202" style="position:absolute;left:0;text-align:left;margin-left:289.8pt;margin-top:778.3pt;width:10.2pt;height:10.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" filled="f" stroked="f">
              <v:path arrowok="t"/>
              <v:textbox inset="0,0,0,0">
                <w:txbxContent>
                  <w:p w14:paraId="2E5B635E" w14:textId="6B49C943" w:rsidR="00DB0FE0" w:rsidRPr="00452D57" w:rsidRDefault="00DB0FE0">
                    <w:pPr>
                      <w:spacing w:before="14"/>
                      <w:ind w:left="20"/>
                      <w:rPr>
                        <w:sz w:val="16"/>
                      </w:rPr>
                    </w:pPr>
                    <w:r w:rsidRPr="00452D57">
                      <w:rPr>
                        <w:sz w:val="16"/>
                      </w:rPr>
                      <w:fldChar w:fldCharType="begin"/>
                    </w:r>
                    <w:r w:rsidRPr="00452D57">
                      <w:rPr>
                        <w:sz w:val="16"/>
                      </w:rPr>
                      <w:instrText xml:space="preserve"> PAGE </w:instrText>
                    </w:r>
                    <w:r w:rsidRPr="00452D57">
                      <w:rPr>
                        <w:sz w:val="16"/>
                      </w:rPr>
                      <w:fldChar w:fldCharType="separate"/>
                    </w:r>
                    <w:r w:rsidR="005461E9">
                      <w:rPr>
                        <w:noProof/>
                        <w:sz w:val="16"/>
                      </w:rPr>
                      <w:t>1</w:t>
                    </w:r>
                    <w:r w:rsidRPr="00452D57">
                      <w:rPr>
                        <w:sz w:val="16"/>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BA8C92" w14:textId="77777777" w:rsidR="00DB0FE0" w:rsidRPr="00452D57" w:rsidRDefault="00DB0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87A2EE" w14:textId="77777777" w:rsidR="00585C78" w:rsidRPr="00452D57" w:rsidRDefault="00585C78">
      <w:r w:rsidRPr="00452D57">
        <w:separator/>
      </w:r>
    </w:p>
  </w:footnote>
  <w:footnote w:type="continuationSeparator" w:id="0">
    <w:p w14:paraId="2349BC9F" w14:textId="77777777" w:rsidR="00585C78" w:rsidRPr="00452D57" w:rsidRDefault="00585C78">
      <w:r w:rsidRPr="00452D57">
        <w:continuationSeparator/>
      </w:r>
    </w:p>
  </w:footnote>
  <w:footnote w:id="1">
    <w:p w14:paraId="2F2503C0" w14:textId="289E42EE" w:rsidR="007B2CEE" w:rsidRPr="00452D57" w:rsidRDefault="007B2CEE" w:rsidP="001B5683">
      <w:pPr>
        <w:pStyle w:val="FootnoteText"/>
        <w:ind w:left="567" w:hanging="567"/>
      </w:pPr>
      <w:r w:rsidRPr="00452D57">
        <w:rPr>
          <w:rStyle w:val="FootnoteReference"/>
        </w:rPr>
        <w:footnoteRef/>
      </w:r>
      <w:r w:rsidR="001B5683" w:rsidRPr="00452D57">
        <w:tab/>
      </w:r>
      <w:r w:rsidRPr="00452D57">
        <w:t>Foreløbige Eurostat-data.</w:t>
      </w:r>
    </w:p>
  </w:footnote>
  <w:footnote w:id="2">
    <w:p w14:paraId="430AB2E4" w14:textId="23193D86" w:rsidR="007B2CEE" w:rsidRPr="00452D57" w:rsidRDefault="007B2CEE" w:rsidP="001B5683">
      <w:pPr>
        <w:pStyle w:val="FootnoteText"/>
        <w:ind w:left="567" w:hanging="567"/>
      </w:pPr>
      <w:r w:rsidRPr="00452D57">
        <w:rPr>
          <w:rStyle w:val="FootnoteReference"/>
        </w:rPr>
        <w:footnoteRef/>
      </w:r>
      <w:r w:rsidR="001B5683" w:rsidRPr="00452D57">
        <w:tab/>
      </w:r>
      <w:r w:rsidRPr="00452D57">
        <w:t xml:space="preserve">Foreløbige Eurostat-data. </w:t>
      </w:r>
    </w:p>
  </w:footnote>
  <w:footnote w:id="3">
    <w:p w14:paraId="3715051F" w14:textId="0BAFCD3A" w:rsidR="00775BDF" w:rsidRPr="00DD3071" w:rsidRDefault="00775BDF" w:rsidP="001B5683">
      <w:pPr>
        <w:pStyle w:val="FootnoteText"/>
        <w:ind w:left="567" w:hanging="567"/>
      </w:pPr>
      <w:r w:rsidRPr="00452D57">
        <w:rPr>
          <w:rStyle w:val="FootnoteReference"/>
        </w:rPr>
        <w:footnoteRef/>
      </w:r>
      <w:r w:rsidR="001B5683" w:rsidRPr="00452D57">
        <w:tab/>
      </w:r>
      <w:hyperlink r:id="rId1" w:history="1">
        <w:r w:rsidRPr="00452D57">
          <w:rPr>
            <w:rStyle w:val="Hyperlink"/>
          </w:rPr>
          <w:t>COM(2026) 43 final</w:t>
        </w:r>
      </w:hyperlink>
      <w:r w:rsidRPr="00452D57">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C6928D" w14:textId="77777777" w:rsidR="005461E9" w:rsidRPr="005461E9" w:rsidRDefault="005461E9" w:rsidP="005461E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A5D6F" w14:textId="77777777" w:rsidR="005461E9" w:rsidRPr="005461E9" w:rsidRDefault="005461E9" w:rsidP="005461E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A1A2D" w14:textId="77777777" w:rsidR="005461E9" w:rsidRPr="005461E9" w:rsidRDefault="005461E9" w:rsidP="005461E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4C9BE" w14:textId="77777777" w:rsidR="00DB0FE0" w:rsidRPr="00452D57" w:rsidRDefault="00DB0F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7B874" w14:textId="77777777" w:rsidR="00DB0FE0" w:rsidRPr="00452D57" w:rsidRDefault="00DB0FE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08E51" w14:textId="77777777" w:rsidR="00DB0FE0" w:rsidRPr="00452D57" w:rsidRDefault="00DB0F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A0CD5"/>
    <w:multiLevelType w:val="hybridMultilevel"/>
    <w:tmpl w:val="190EB434"/>
    <w:lvl w:ilvl="0" w:tplc="DCAEA1D6">
      <w:start w:val="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C2412E6"/>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207C2"/>
    <w:multiLevelType w:val="hybridMultilevel"/>
    <w:tmpl w:val="17C8975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D3A5117"/>
    <w:multiLevelType w:val="multilevel"/>
    <w:tmpl w:val="31F03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9148DC"/>
    <w:multiLevelType w:val="hybridMultilevel"/>
    <w:tmpl w:val="E9EA71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FA310E8"/>
    <w:multiLevelType w:val="hybridMultilevel"/>
    <w:tmpl w:val="AB8A5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654CF5"/>
    <w:multiLevelType w:val="multilevel"/>
    <w:tmpl w:val="092E7EB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A52528"/>
    <w:multiLevelType w:val="multilevel"/>
    <w:tmpl w:val="AD4E1A68"/>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EC23E5F"/>
    <w:multiLevelType w:val="hybridMultilevel"/>
    <w:tmpl w:val="2A042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0993AD9"/>
    <w:multiLevelType w:val="hybridMultilevel"/>
    <w:tmpl w:val="22C8DAE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6C50317"/>
    <w:multiLevelType w:val="hybridMultilevel"/>
    <w:tmpl w:val="945407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684B52D9"/>
    <w:multiLevelType w:val="multilevel"/>
    <w:tmpl w:val="E506A26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6AFD3BAE"/>
    <w:multiLevelType w:val="hybridMultilevel"/>
    <w:tmpl w:val="67B612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4AE147B"/>
    <w:multiLevelType w:val="hybridMultilevel"/>
    <w:tmpl w:val="CD827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79EE69CB"/>
    <w:multiLevelType w:val="hybridMultilevel"/>
    <w:tmpl w:val="A7CE020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FC213AA"/>
    <w:multiLevelType w:val="hybridMultilevel"/>
    <w:tmpl w:val="3D320C8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11"/>
  </w:num>
  <w:num w:numId="2">
    <w:abstractNumId w:val="10"/>
  </w:num>
  <w:num w:numId="3">
    <w:abstractNumId w:val="15"/>
  </w:num>
  <w:num w:numId="4">
    <w:abstractNumId w:val="0"/>
  </w:num>
  <w:num w:numId="5">
    <w:abstractNumId w:val="5"/>
  </w:num>
  <w:num w:numId="6">
    <w:abstractNumId w:val="4"/>
  </w:num>
  <w:num w:numId="7">
    <w:abstractNumId w:val="2"/>
  </w:num>
  <w:num w:numId="8">
    <w:abstractNumId w:val="3"/>
  </w:num>
  <w:num w:numId="9">
    <w:abstractNumId w:val="7"/>
  </w:num>
  <w:num w:numId="10">
    <w:abstractNumId w:val="9"/>
  </w:num>
  <w:num w:numId="11">
    <w:abstractNumId w:val="6"/>
  </w:num>
  <w:num w:numId="12">
    <w:abstractNumId w:val="1"/>
  </w:num>
  <w:num w:numId="13">
    <w:abstractNumId w:val="8"/>
  </w:num>
  <w:num w:numId="14">
    <w:abstractNumId w:val="13"/>
  </w:num>
  <w:num w:numId="15">
    <w:abstractNumId w:val="1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5E7FDAC3-378F-45C0-89C6-A4EC4EF77BC6"/>
    <w:docVar w:name="LW_COVERPAGE_TYPE" w:val="1"/>
    <w:docVar w:name="LW_CROSSREFERENCE" w:val="&lt;UNUSED&gt;"/>
    <w:docVar w:name="LW_DocType" w:val="NORMAL"/>
    <w:docVar w:name="LW_EMISSION" w:val="30.4.2026"/>
    <w:docVar w:name="LW_EMISSION_ISODATE" w:val="2026-04-30"/>
    <w:docVar w:name="LW_EMISSION_LOCATION" w:val="BRX"/>
    <w:docVar w:name="LW_EMISSION_PREFIX" w:val="Bruxelles, den "/>
    <w:docVar w:name="LW_EMISSION_SUFFIX" w:val=" "/>
    <w:docVar w:name="LW_ID_DOCTYPE_NONLW" w:val="CP-006"/>
    <w:docVar w:name="LW_LANGUE" w:val="DA"/>
    <w:docVar w:name="LW_LEVEL_OF_SENSITIVITY" w:val="Standard treatment"/>
    <w:docVar w:name="LW_NOM.INST" w:val="EUROPA-KOMMISSIONEN"/>
    <w:docVar w:name="LW_NOM.INST_JOINTDOC" w:val="&lt;EMPTY&gt;"/>
    <w:docVar w:name="LW_PART_NBR" w:val="1"/>
    <w:docVar w:name="LW_PART_NBR_TOTAL" w:val="1"/>
    <w:docVar w:name="LW_REF.INST.NEW" w:val="COM"/>
    <w:docVar w:name="LW_REF.INST.NEW_ADOPTED" w:val="final"/>
    <w:docVar w:name="LW_REF.INST.NEW_TEXT" w:val="(2026) 16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ørste statusrapport om Armeniens gennemførelse af handlingsplanen for visumliberalisering"/>
    <w:docVar w:name="LW_TYPE.DOC.CP" w:val="RAPPORT FRA KOMMISSIONEN TIL EUROPA-PARLAMENTET OG RÅDET"/>
    <w:docVar w:name="LwApiVersions" w:val="LW4CoDe 1.24.5.0; LW 9.2, Build 20251112"/>
  </w:docVars>
  <w:rsids>
    <w:rsidRoot w:val="00810814"/>
    <w:rsid w:val="000001C9"/>
    <w:rsid w:val="000006F6"/>
    <w:rsid w:val="0000119B"/>
    <w:rsid w:val="00001E69"/>
    <w:rsid w:val="0000257A"/>
    <w:rsid w:val="00002743"/>
    <w:rsid w:val="00003279"/>
    <w:rsid w:val="00005362"/>
    <w:rsid w:val="000062B6"/>
    <w:rsid w:val="0000758C"/>
    <w:rsid w:val="0001040F"/>
    <w:rsid w:val="00010B89"/>
    <w:rsid w:val="0001234F"/>
    <w:rsid w:val="000124BE"/>
    <w:rsid w:val="00013FF0"/>
    <w:rsid w:val="000155E9"/>
    <w:rsid w:val="00015ECC"/>
    <w:rsid w:val="00016A13"/>
    <w:rsid w:val="000227AC"/>
    <w:rsid w:val="000227CE"/>
    <w:rsid w:val="000237B6"/>
    <w:rsid w:val="00023C02"/>
    <w:rsid w:val="00025463"/>
    <w:rsid w:val="00025748"/>
    <w:rsid w:val="000269CD"/>
    <w:rsid w:val="000313FF"/>
    <w:rsid w:val="00034689"/>
    <w:rsid w:val="00034AA1"/>
    <w:rsid w:val="0003556B"/>
    <w:rsid w:val="000376E9"/>
    <w:rsid w:val="0004003C"/>
    <w:rsid w:val="00042480"/>
    <w:rsid w:val="00044706"/>
    <w:rsid w:val="00045CC6"/>
    <w:rsid w:val="000500CD"/>
    <w:rsid w:val="000507DC"/>
    <w:rsid w:val="00052C83"/>
    <w:rsid w:val="0005323C"/>
    <w:rsid w:val="00053990"/>
    <w:rsid w:val="00057798"/>
    <w:rsid w:val="00060005"/>
    <w:rsid w:val="000614C5"/>
    <w:rsid w:val="000631BB"/>
    <w:rsid w:val="00063475"/>
    <w:rsid w:val="0007051C"/>
    <w:rsid w:val="000711F2"/>
    <w:rsid w:val="00071FF4"/>
    <w:rsid w:val="00072F1B"/>
    <w:rsid w:val="00073B3A"/>
    <w:rsid w:val="000769CB"/>
    <w:rsid w:val="00077994"/>
    <w:rsid w:val="000845C4"/>
    <w:rsid w:val="00084C8E"/>
    <w:rsid w:val="000859A5"/>
    <w:rsid w:val="00090CEA"/>
    <w:rsid w:val="00090FCB"/>
    <w:rsid w:val="00091071"/>
    <w:rsid w:val="00091708"/>
    <w:rsid w:val="00093D43"/>
    <w:rsid w:val="000A0EFC"/>
    <w:rsid w:val="000A46AF"/>
    <w:rsid w:val="000A579D"/>
    <w:rsid w:val="000B023B"/>
    <w:rsid w:val="000B16C8"/>
    <w:rsid w:val="000B6A47"/>
    <w:rsid w:val="000C10FD"/>
    <w:rsid w:val="000C18A7"/>
    <w:rsid w:val="000C3289"/>
    <w:rsid w:val="000C370C"/>
    <w:rsid w:val="000C414C"/>
    <w:rsid w:val="000C7206"/>
    <w:rsid w:val="000D0A29"/>
    <w:rsid w:val="000D3BC1"/>
    <w:rsid w:val="000E0034"/>
    <w:rsid w:val="000E0FA0"/>
    <w:rsid w:val="000E1B2F"/>
    <w:rsid w:val="000E21FE"/>
    <w:rsid w:val="000E3218"/>
    <w:rsid w:val="000E359A"/>
    <w:rsid w:val="000E42CE"/>
    <w:rsid w:val="000E6C06"/>
    <w:rsid w:val="000F012D"/>
    <w:rsid w:val="000F1F7F"/>
    <w:rsid w:val="000F36E6"/>
    <w:rsid w:val="000F68E5"/>
    <w:rsid w:val="000F77AF"/>
    <w:rsid w:val="00100044"/>
    <w:rsid w:val="00101586"/>
    <w:rsid w:val="00102069"/>
    <w:rsid w:val="00102AE8"/>
    <w:rsid w:val="00104470"/>
    <w:rsid w:val="00107081"/>
    <w:rsid w:val="00107D30"/>
    <w:rsid w:val="001108F1"/>
    <w:rsid w:val="0011228A"/>
    <w:rsid w:val="001153CD"/>
    <w:rsid w:val="00117DFA"/>
    <w:rsid w:val="001245C5"/>
    <w:rsid w:val="00124E80"/>
    <w:rsid w:val="00126CB4"/>
    <w:rsid w:val="00132D21"/>
    <w:rsid w:val="0013372F"/>
    <w:rsid w:val="00133820"/>
    <w:rsid w:val="00136ED9"/>
    <w:rsid w:val="00142184"/>
    <w:rsid w:val="00142658"/>
    <w:rsid w:val="00144BA7"/>
    <w:rsid w:val="00144DB1"/>
    <w:rsid w:val="00145B1E"/>
    <w:rsid w:val="00145C37"/>
    <w:rsid w:val="00146516"/>
    <w:rsid w:val="00147F1B"/>
    <w:rsid w:val="001502D7"/>
    <w:rsid w:val="001513B8"/>
    <w:rsid w:val="0016244C"/>
    <w:rsid w:val="00166F8F"/>
    <w:rsid w:val="001705F1"/>
    <w:rsid w:val="001710E3"/>
    <w:rsid w:val="00172626"/>
    <w:rsid w:val="00175EC4"/>
    <w:rsid w:val="00182432"/>
    <w:rsid w:val="00184DE4"/>
    <w:rsid w:val="001914E7"/>
    <w:rsid w:val="0019281C"/>
    <w:rsid w:val="00192E22"/>
    <w:rsid w:val="00193764"/>
    <w:rsid w:val="00193F26"/>
    <w:rsid w:val="001947A1"/>
    <w:rsid w:val="0019782F"/>
    <w:rsid w:val="00197BCC"/>
    <w:rsid w:val="001A5EFD"/>
    <w:rsid w:val="001A7643"/>
    <w:rsid w:val="001B0B56"/>
    <w:rsid w:val="001B3C93"/>
    <w:rsid w:val="001B4F63"/>
    <w:rsid w:val="001B55C9"/>
    <w:rsid w:val="001B5683"/>
    <w:rsid w:val="001B5A5B"/>
    <w:rsid w:val="001B6016"/>
    <w:rsid w:val="001B77FA"/>
    <w:rsid w:val="001C4D91"/>
    <w:rsid w:val="001C68BA"/>
    <w:rsid w:val="001C6AC7"/>
    <w:rsid w:val="001D240D"/>
    <w:rsid w:val="001D26E6"/>
    <w:rsid w:val="001D370A"/>
    <w:rsid w:val="001D3D72"/>
    <w:rsid w:val="001D40E6"/>
    <w:rsid w:val="001D7C05"/>
    <w:rsid w:val="001E7E96"/>
    <w:rsid w:val="001F00A3"/>
    <w:rsid w:val="001F1455"/>
    <w:rsid w:val="001F1ECA"/>
    <w:rsid w:val="001F3C91"/>
    <w:rsid w:val="001F4522"/>
    <w:rsid w:val="001F4F3E"/>
    <w:rsid w:val="001F605D"/>
    <w:rsid w:val="001F763C"/>
    <w:rsid w:val="00200142"/>
    <w:rsid w:val="00200C63"/>
    <w:rsid w:val="00202597"/>
    <w:rsid w:val="0020489B"/>
    <w:rsid w:val="002048EF"/>
    <w:rsid w:val="00204C0A"/>
    <w:rsid w:val="0020533A"/>
    <w:rsid w:val="0020775D"/>
    <w:rsid w:val="00207FE9"/>
    <w:rsid w:val="002106D1"/>
    <w:rsid w:val="00212406"/>
    <w:rsid w:val="0021472F"/>
    <w:rsid w:val="00216AF2"/>
    <w:rsid w:val="00217D36"/>
    <w:rsid w:val="00217DEE"/>
    <w:rsid w:val="002210CA"/>
    <w:rsid w:val="00221279"/>
    <w:rsid w:val="002215D2"/>
    <w:rsid w:val="00221C0A"/>
    <w:rsid w:val="00221D81"/>
    <w:rsid w:val="00223C06"/>
    <w:rsid w:val="00226A16"/>
    <w:rsid w:val="002279F8"/>
    <w:rsid w:val="00235EB4"/>
    <w:rsid w:val="00239281"/>
    <w:rsid w:val="002401B9"/>
    <w:rsid w:val="00240742"/>
    <w:rsid w:val="0024136F"/>
    <w:rsid w:val="00242F84"/>
    <w:rsid w:val="002467B6"/>
    <w:rsid w:val="002477E6"/>
    <w:rsid w:val="002503AC"/>
    <w:rsid w:val="00252E05"/>
    <w:rsid w:val="00252E9B"/>
    <w:rsid w:val="00253A66"/>
    <w:rsid w:val="00253BCB"/>
    <w:rsid w:val="002554F9"/>
    <w:rsid w:val="00257431"/>
    <w:rsid w:val="00262433"/>
    <w:rsid w:val="00262989"/>
    <w:rsid w:val="00265642"/>
    <w:rsid w:val="002664D7"/>
    <w:rsid w:val="00267AB5"/>
    <w:rsid w:val="00272DEE"/>
    <w:rsid w:val="002733A8"/>
    <w:rsid w:val="00275EA3"/>
    <w:rsid w:val="002808FB"/>
    <w:rsid w:val="002831E1"/>
    <w:rsid w:val="00286B46"/>
    <w:rsid w:val="0029080A"/>
    <w:rsid w:val="00290C22"/>
    <w:rsid w:val="00291759"/>
    <w:rsid w:val="002917A2"/>
    <w:rsid w:val="002924A4"/>
    <w:rsid w:val="00292842"/>
    <w:rsid w:val="00295AC7"/>
    <w:rsid w:val="0029693E"/>
    <w:rsid w:val="00297845"/>
    <w:rsid w:val="002A3601"/>
    <w:rsid w:val="002A3AB6"/>
    <w:rsid w:val="002B2519"/>
    <w:rsid w:val="002B2B7D"/>
    <w:rsid w:val="002B2DBC"/>
    <w:rsid w:val="002B2DDD"/>
    <w:rsid w:val="002B4277"/>
    <w:rsid w:val="002B667F"/>
    <w:rsid w:val="002C77BC"/>
    <w:rsid w:val="002D0C37"/>
    <w:rsid w:val="002D2B96"/>
    <w:rsid w:val="002D33DD"/>
    <w:rsid w:val="002D39FB"/>
    <w:rsid w:val="002D4816"/>
    <w:rsid w:val="002E550C"/>
    <w:rsid w:val="002E574F"/>
    <w:rsid w:val="002F0963"/>
    <w:rsid w:val="002F0B0E"/>
    <w:rsid w:val="002F12E7"/>
    <w:rsid w:val="002F2C52"/>
    <w:rsid w:val="002F3FC9"/>
    <w:rsid w:val="002F4EC7"/>
    <w:rsid w:val="002F53F7"/>
    <w:rsid w:val="002F57BC"/>
    <w:rsid w:val="003011B0"/>
    <w:rsid w:val="00301E8C"/>
    <w:rsid w:val="00305621"/>
    <w:rsid w:val="003071D1"/>
    <w:rsid w:val="00310572"/>
    <w:rsid w:val="00313186"/>
    <w:rsid w:val="003157C2"/>
    <w:rsid w:val="00315D99"/>
    <w:rsid w:val="00322A08"/>
    <w:rsid w:val="00323C50"/>
    <w:rsid w:val="00323EBD"/>
    <w:rsid w:val="00325A22"/>
    <w:rsid w:val="00326593"/>
    <w:rsid w:val="00326686"/>
    <w:rsid w:val="003306B9"/>
    <w:rsid w:val="003312CF"/>
    <w:rsid w:val="00332878"/>
    <w:rsid w:val="003369AD"/>
    <w:rsid w:val="003369F5"/>
    <w:rsid w:val="00336D64"/>
    <w:rsid w:val="0034267F"/>
    <w:rsid w:val="00343522"/>
    <w:rsid w:val="00345E24"/>
    <w:rsid w:val="003536CD"/>
    <w:rsid w:val="00353A3E"/>
    <w:rsid w:val="00353B58"/>
    <w:rsid w:val="00354263"/>
    <w:rsid w:val="00355ABF"/>
    <w:rsid w:val="0036317A"/>
    <w:rsid w:val="00363F99"/>
    <w:rsid w:val="00365AEC"/>
    <w:rsid w:val="00370EDB"/>
    <w:rsid w:val="003730FD"/>
    <w:rsid w:val="0037685F"/>
    <w:rsid w:val="00376FFF"/>
    <w:rsid w:val="00377316"/>
    <w:rsid w:val="0038016A"/>
    <w:rsid w:val="0038120D"/>
    <w:rsid w:val="00382657"/>
    <w:rsid w:val="00382D75"/>
    <w:rsid w:val="00383874"/>
    <w:rsid w:val="003840B9"/>
    <w:rsid w:val="00384B0E"/>
    <w:rsid w:val="00385F3A"/>
    <w:rsid w:val="00392700"/>
    <w:rsid w:val="00392F7D"/>
    <w:rsid w:val="0039360B"/>
    <w:rsid w:val="00394365"/>
    <w:rsid w:val="00394F7E"/>
    <w:rsid w:val="00397B19"/>
    <w:rsid w:val="003A0358"/>
    <w:rsid w:val="003A040A"/>
    <w:rsid w:val="003A0996"/>
    <w:rsid w:val="003A2E9D"/>
    <w:rsid w:val="003A3388"/>
    <w:rsid w:val="003A5F74"/>
    <w:rsid w:val="003A7EF3"/>
    <w:rsid w:val="003B156F"/>
    <w:rsid w:val="003B2CBF"/>
    <w:rsid w:val="003B3D04"/>
    <w:rsid w:val="003B5166"/>
    <w:rsid w:val="003C130B"/>
    <w:rsid w:val="003C7A88"/>
    <w:rsid w:val="003C7D62"/>
    <w:rsid w:val="003C7F7F"/>
    <w:rsid w:val="003D258B"/>
    <w:rsid w:val="003D3FBD"/>
    <w:rsid w:val="003E179E"/>
    <w:rsid w:val="003E18D8"/>
    <w:rsid w:val="003E25D6"/>
    <w:rsid w:val="003E27EA"/>
    <w:rsid w:val="003E3539"/>
    <w:rsid w:val="003E3D8F"/>
    <w:rsid w:val="003E40DE"/>
    <w:rsid w:val="003E5E75"/>
    <w:rsid w:val="003E6617"/>
    <w:rsid w:val="003E77A4"/>
    <w:rsid w:val="003F1EF8"/>
    <w:rsid w:val="003F2FC8"/>
    <w:rsid w:val="003F3949"/>
    <w:rsid w:val="003F53F2"/>
    <w:rsid w:val="003F5DEA"/>
    <w:rsid w:val="003F6541"/>
    <w:rsid w:val="00400029"/>
    <w:rsid w:val="00401EEA"/>
    <w:rsid w:val="00402314"/>
    <w:rsid w:val="004037BB"/>
    <w:rsid w:val="00407C26"/>
    <w:rsid w:val="00410B02"/>
    <w:rsid w:val="00411C61"/>
    <w:rsid w:val="00413809"/>
    <w:rsid w:val="004152EB"/>
    <w:rsid w:val="00417415"/>
    <w:rsid w:val="00417AAB"/>
    <w:rsid w:val="00421159"/>
    <w:rsid w:val="004219ED"/>
    <w:rsid w:val="0042404D"/>
    <w:rsid w:val="00427E77"/>
    <w:rsid w:val="0043377A"/>
    <w:rsid w:val="0043426F"/>
    <w:rsid w:val="004372EC"/>
    <w:rsid w:val="00437534"/>
    <w:rsid w:val="00440440"/>
    <w:rsid w:val="004405BF"/>
    <w:rsid w:val="00442D3A"/>
    <w:rsid w:val="00443C9A"/>
    <w:rsid w:val="00444FF5"/>
    <w:rsid w:val="00445743"/>
    <w:rsid w:val="0045091F"/>
    <w:rsid w:val="00452D57"/>
    <w:rsid w:val="004570BF"/>
    <w:rsid w:val="00457522"/>
    <w:rsid w:val="0046367E"/>
    <w:rsid w:val="0046385A"/>
    <w:rsid w:val="00471CFB"/>
    <w:rsid w:val="00472448"/>
    <w:rsid w:val="004742D1"/>
    <w:rsid w:val="0047546D"/>
    <w:rsid w:val="004756EC"/>
    <w:rsid w:val="00475B5C"/>
    <w:rsid w:val="00477839"/>
    <w:rsid w:val="00481F7A"/>
    <w:rsid w:val="00483A5E"/>
    <w:rsid w:val="0048434F"/>
    <w:rsid w:val="00485773"/>
    <w:rsid w:val="004866F3"/>
    <w:rsid w:val="00487D97"/>
    <w:rsid w:val="00487F68"/>
    <w:rsid w:val="00490588"/>
    <w:rsid w:val="00495F35"/>
    <w:rsid w:val="004964A6"/>
    <w:rsid w:val="004974C4"/>
    <w:rsid w:val="004A3EE9"/>
    <w:rsid w:val="004A4658"/>
    <w:rsid w:val="004B0DC4"/>
    <w:rsid w:val="004C1106"/>
    <w:rsid w:val="004C1CA7"/>
    <w:rsid w:val="004C6685"/>
    <w:rsid w:val="004C7E8E"/>
    <w:rsid w:val="004D3D06"/>
    <w:rsid w:val="004D3F66"/>
    <w:rsid w:val="004D4091"/>
    <w:rsid w:val="004D47B4"/>
    <w:rsid w:val="004D572B"/>
    <w:rsid w:val="004D574D"/>
    <w:rsid w:val="004E0574"/>
    <w:rsid w:val="004E1B4B"/>
    <w:rsid w:val="004E25B7"/>
    <w:rsid w:val="004E2B3E"/>
    <w:rsid w:val="004E49A3"/>
    <w:rsid w:val="004E524E"/>
    <w:rsid w:val="004E548B"/>
    <w:rsid w:val="004E74E1"/>
    <w:rsid w:val="004F2559"/>
    <w:rsid w:val="004F271D"/>
    <w:rsid w:val="004F38F2"/>
    <w:rsid w:val="004F6A36"/>
    <w:rsid w:val="004F6F19"/>
    <w:rsid w:val="005004CE"/>
    <w:rsid w:val="00500961"/>
    <w:rsid w:val="005021A8"/>
    <w:rsid w:val="00503AFA"/>
    <w:rsid w:val="0050416E"/>
    <w:rsid w:val="00504CB4"/>
    <w:rsid w:val="00504EDC"/>
    <w:rsid w:val="00506464"/>
    <w:rsid w:val="00511D35"/>
    <w:rsid w:val="00512897"/>
    <w:rsid w:val="00515FAA"/>
    <w:rsid w:val="00517DF5"/>
    <w:rsid w:val="00521D74"/>
    <w:rsid w:val="00522840"/>
    <w:rsid w:val="0052465D"/>
    <w:rsid w:val="005268E2"/>
    <w:rsid w:val="00531B3D"/>
    <w:rsid w:val="00531DEF"/>
    <w:rsid w:val="00533125"/>
    <w:rsid w:val="005341FD"/>
    <w:rsid w:val="00534EB4"/>
    <w:rsid w:val="00535FC4"/>
    <w:rsid w:val="005432C9"/>
    <w:rsid w:val="00543543"/>
    <w:rsid w:val="00544709"/>
    <w:rsid w:val="00544ABE"/>
    <w:rsid w:val="005460FB"/>
    <w:rsid w:val="005461E9"/>
    <w:rsid w:val="005518B8"/>
    <w:rsid w:val="00554A4E"/>
    <w:rsid w:val="00556BE6"/>
    <w:rsid w:val="0056024A"/>
    <w:rsid w:val="00560AE5"/>
    <w:rsid w:val="00562037"/>
    <w:rsid w:val="00563E86"/>
    <w:rsid w:val="005706FC"/>
    <w:rsid w:val="00570862"/>
    <w:rsid w:val="00571253"/>
    <w:rsid w:val="00571902"/>
    <w:rsid w:val="005738EC"/>
    <w:rsid w:val="0057484C"/>
    <w:rsid w:val="00575CD2"/>
    <w:rsid w:val="0058142E"/>
    <w:rsid w:val="00581690"/>
    <w:rsid w:val="00584369"/>
    <w:rsid w:val="00584D33"/>
    <w:rsid w:val="00585B7D"/>
    <w:rsid w:val="00585C78"/>
    <w:rsid w:val="0059068B"/>
    <w:rsid w:val="00590796"/>
    <w:rsid w:val="005926D9"/>
    <w:rsid w:val="00592D40"/>
    <w:rsid w:val="00592F58"/>
    <w:rsid w:val="005957C9"/>
    <w:rsid w:val="0059682B"/>
    <w:rsid w:val="00597C0A"/>
    <w:rsid w:val="00597E2B"/>
    <w:rsid w:val="005A01D2"/>
    <w:rsid w:val="005A3522"/>
    <w:rsid w:val="005A39D2"/>
    <w:rsid w:val="005A6513"/>
    <w:rsid w:val="005A6960"/>
    <w:rsid w:val="005A6D40"/>
    <w:rsid w:val="005A777B"/>
    <w:rsid w:val="005B34FC"/>
    <w:rsid w:val="005B52DD"/>
    <w:rsid w:val="005C2B11"/>
    <w:rsid w:val="005C4944"/>
    <w:rsid w:val="005C51B7"/>
    <w:rsid w:val="005C6643"/>
    <w:rsid w:val="005C6D06"/>
    <w:rsid w:val="005D1E3C"/>
    <w:rsid w:val="005D2105"/>
    <w:rsid w:val="005D438D"/>
    <w:rsid w:val="005D47DE"/>
    <w:rsid w:val="005D552F"/>
    <w:rsid w:val="005D55A8"/>
    <w:rsid w:val="005D7128"/>
    <w:rsid w:val="005E02F9"/>
    <w:rsid w:val="005E0CE8"/>
    <w:rsid w:val="005E4AB9"/>
    <w:rsid w:val="005E51B8"/>
    <w:rsid w:val="005E5437"/>
    <w:rsid w:val="005E6AF1"/>
    <w:rsid w:val="005F000A"/>
    <w:rsid w:val="005F12ED"/>
    <w:rsid w:val="005F254B"/>
    <w:rsid w:val="005F46F8"/>
    <w:rsid w:val="005F53CF"/>
    <w:rsid w:val="005F59E9"/>
    <w:rsid w:val="005F5E03"/>
    <w:rsid w:val="005F6AE6"/>
    <w:rsid w:val="006003BA"/>
    <w:rsid w:val="00602F49"/>
    <w:rsid w:val="00603124"/>
    <w:rsid w:val="00603480"/>
    <w:rsid w:val="006039BF"/>
    <w:rsid w:val="00607A58"/>
    <w:rsid w:val="006112F2"/>
    <w:rsid w:val="00612979"/>
    <w:rsid w:val="0061723D"/>
    <w:rsid w:val="0062124F"/>
    <w:rsid w:val="00621DF6"/>
    <w:rsid w:val="0062205F"/>
    <w:rsid w:val="006319EE"/>
    <w:rsid w:val="0063329D"/>
    <w:rsid w:val="006353AD"/>
    <w:rsid w:val="0063621E"/>
    <w:rsid w:val="006362B1"/>
    <w:rsid w:val="006368EF"/>
    <w:rsid w:val="006402C5"/>
    <w:rsid w:val="00641EF5"/>
    <w:rsid w:val="00646B49"/>
    <w:rsid w:val="006559A4"/>
    <w:rsid w:val="00656F36"/>
    <w:rsid w:val="00657127"/>
    <w:rsid w:val="00657BAD"/>
    <w:rsid w:val="00660548"/>
    <w:rsid w:val="006615DB"/>
    <w:rsid w:val="006622EE"/>
    <w:rsid w:val="00662536"/>
    <w:rsid w:val="0066345B"/>
    <w:rsid w:val="0066649A"/>
    <w:rsid w:val="00667B9C"/>
    <w:rsid w:val="00672F13"/>
    <w:rsid w:val="0068143E"/>
    <w:rsid w:val="00683EF9"/>
    <w:rsid w:val="0068546A"/>
    <w:rsid w:val="006919C2"/>
    <w:rsid w:val="00692B59"/>
    <w:rsid w:val="00694334"/>
    <w:rsid w:val="00695D63"/>
    <w:rsid w:val="00695F1A"/>
    <w:rsid w:val="006960F7"/>
    <w:rsid w:val="006A0119"/>
    <w:rsid w:val="006A0B37"/>
    <w:rsid w:val="006A359F"/>
    <w:rsid w:val="006A4262"/>
    <w:rsid w:val="006A618F"/>
    <w:rsid w:val="006A72F8"/>
    <w:rsid w:val="006B4BB6"/>
    <w:rsid w:val="006C3BB1"/>
    <w:rsid w:val="006C5BCA"/>
    <w:rsid w:val="006C5D8B"/>
    <w:rsid w:val="006C607E"/>
    <w:rsid w:val="006D1CC7"/>
    <w:rsid w:val="006D736C"/>
    <w:rsid w:val="006D755B"/>
    <w:rsid w:val="006D7904"/>
    <w:rsid w:val="006E0945"/>
    <w:rsid w:val="006E0FBB"/>
    <w:rsid w:val="006E11F4"/>
    <w:rsid w:val="006E1D36"/>
    <w:rsid w:val="006E1DEC"/>
    <w:rsid w:val="006E2988"/>
    <w:rsid w:val="006E3325"/>
    <w:rsid w:val="006E4804"/>
    <w:rsid w:val="006E6941"/>
    <w:rsid w:val="006F0218"/>
    <w:rsid w:val="006F03E1"/>
    <w:rsid w:val="006F342F"/>
    <w:rsid w:val="006F4649"/>
    <w:rsid w:val="006F4D75"/>
    <w:rsid w:val="00701499"/>
    <w:rsid w:val="0070334E"/>
    <w:rsid w:val="007046C1"/>
    <w:rsid w:val="007119A9"/>
    <w:rsid w:val="00712B90"/>
    <w:rsid w:val="00712EEE"/>
    <w:rsid w:val="007205A4"/>
    <w:rsid w:val="00720674"/>
    <w:rsid w:val="0072208E"/>
    <w:rsid w:val="00722B49"/>
    <w:rsid w:val="00724D2F"/>
    <w:rsid w:val="00725CAD"/>
    <w:rsid w:val="00729C54"/>
    <w:rsid w:val="00732A86"/>
    <w:rsid w:val="00733442"/>
    <w:rsid w:val="007344A5"/>
    <w:rsid w:val="00734C02"/>
    <w:rsid w:val="007350CA"/>
    <w:rsid w:val="007352DE"/>
    <w:rsid w:val="007361F4"/>
    <w:rsid w:val="00737104"/>
    <w:rsid w:val="0074336E"/>
    <w:rsid w:val="00743590"/>
    <w:rsid w:val="00745447"/>
    <w:rsid w:val="0074556F"/>
    <w:rsid w:val="007474E3"/>
    <w:rsid w:val="00753E15"/>
    <w:rsid w:val="0075498B"/>
    <w:rsid w:val="007557CF"/>
    <w:rsid w:val="0075773D"/>
    <w:rsid w:val="0076050D"/>
    <w:rsid w:val="007644A8"/>
    <w:rsid w:val="00764F22"/>
    <w:rsid w:val="007659CF"/>
    <w:rsid w:val="00770BD0"/>
    <w:rsid w:val="007739A0"/>
    <w:rsid w:val="007739E7"/>
    <w:rsid w:val="007758CE"/>
    <w:rsid w:val="00775BDF"/>
    <w:rsid w:val="00780578"/>
    <w:rsid w:val="007828EF"/>
    <w:rsid w:val="0078390A"/>
    <w:rsid w:val="00783912"/>
    <w:rsid w:val="007864C6"/>
    <w:rsid w:val="00786AA0"/>
    <w:rsid w:val="007903D4"/>
    <w:rsid w:val="00791B08"/>
    <w:rsid w:val="00793638"/>
    <w:rsid w:val="00793F87"/>
    <w:rsid w:val="007A0F3F"/>
    <w:rsid w:val="007A1AF6"/>
    <w:rsid w:val="007A7D24"/>
    <w:rsid w:val="007B1EEE"/>
    <w:rsid w:val="007B2CEE"/>
    <w:rsid w:val="007B2F51"/>
    <w:rsid w:val="007B4D0A"/>
    <w:rsid w:val="007B5841"/>
    <w:rsid w:val="007B70C7"/>
    <w:rsid w:val="007B72F1"/>
    <w:rsid w:val="007B786E"/>
    <w:rsid w:val="007C2F4E"/>
    <w:rsid w:val="007C7FBA"/>
    <w:rsid w:val="007D4279"/>
    <w:rsid w:val="007D53E0"/>
    <w:rsid w:val="007D6EF7"/>
    <w:rsid w:val="007E1167"/>
    <w:rsid w:val="007E139C"/>
    <w:rsid w:val="007E250E"/>
    <w:rsid w:val="007E640E"/>
    <w:rsid w:val="007E706D"/>
    <w:rsid w:val="007F0C7E"/>
    <w:rsid w:val="007F2BE4"/>
    <w:rsid w:val="007F32E0"/>
    <w:rsid w:val="007F416D"/>
    <w:rsid w:val="007F4B17"/>
    <w:rsid w:val="007F6AC9"/>
    <w:rsid w:val="007F7D20"/>
    <w:rsid w:val="008003BF"/>
    <w:rsid w:val="00800C1B"/>
    <w:rsid w:val="008025A4"/>
    <w:rsid w:val="00802F43"/>
    <w:rsid w:val="00805441"/>
    <w:rsid w:val="00806DF8"/>
    <w:rsid w:val="00810814"/>
    <w:rsid w:val="00811867"/>
    <w:rsid w:val="0081226B"/>
    <w:rsid w:val="00814210"/>
    <w:rsid w:val="008179B4"/>
    <w:rsid w:val="00820946"/>
    <w:rsid w:val="00820B25"/>
    <w:rsid w:val="00822B36"/>
    <w:rsid w:val="00825A22"/>
    <w:rsid w:val="00825A7D"/>
    <w:rsid w:val="00826029"/>
    <w:rsid w:val="00826C15"/>
    <w:rsid w:val="00830511"/>
    <w:rsid w:val="008350F5"/>
    <w:rsid w:val="00836413"/>
    <w:rsid w:val="00836D85"/>
    <w:rsid w:val="008413D6"/>
    <w:rsid w:val="008418E6"/>
    <w:rsid w:val="00845FAA"/>
    <w:rsid w:val="00847027"/>
    <w:rsid w:val="008473FE"/>
    <w:rsid w:val="00847FD1"/>
    <w:rsid w:val="00850030"/>
    <w:rsid w:val="00851045"/>
    <w:rsid w:val="00851ECB"/>
    <w:rsid w:val="00852AA9"/>
    <w:rsid w:val="00855020"/>
    <w:rsid w:val="00855183"/>
    <w:rsid w:val="00855226"/>
    <w:rsid w:val="008579F2"/>
    <w:rsid w:val="00860F22"/>
    <w:rsid w:val="00864FD6"/>
    <w:rsid w:val="00865284"/>
    <w:rsid w:val="0086636C"/>
    <w:rsid w:val="00870266"/>
    <w:rsid w:val="008713A9"/>
    <w:rsid w:val="00874E3E"/>
    <w:rsid w:val="00875781"/>
    <w:rsid w:val="00875C05"/>
    <w:rsid w:val="008766DE"/>
    <w:rsid w:val="00882783"/>
    <w:rsid w:val="008834EE"/>
    <w:rsid w:val="00883E67"/>
    <w:rsid w:val="0088652B"/>
    <w:rsid w:val="0089025E"/>
    <w:rsid w:val="00890549"/>
    <w:rsid w:val="008929D2"/>
    <w:rsid w:val="00893420"/>
    <w:rsid w:val="00897117"/>
    <w:rsid w:val="008A3933"/>
    <w:rsid w:val="008A397F"/>
    <w:rsid w:val="008A6846"/>
    <w:rsid w:val="008B00DA"/>
    <w:rsid w:val="008B0C08"/>
    <w:rsid w:val="008B2FDD"/>
    <w:rsid w:val="008B3436"/>
    <w:rsid w:val="008B6924"/>
    <w:rsid w:val="008C1FF1"/>
    <w:rsid w:val="008C3A43"/>
    <w:rsid w:val="008C4824"/>
    <w:rsid w:val="008C6329"/>
    <w:rsid w:val="008D1083"/>
    <w:rsid w:val="008D19B9"/>
    <w:rsid w:val="008D3F28"/>
    <w:rsid w:val="008D6A41"/>
    <w:rsid w:val="008E0BE5"/>
    <w:rsid w:val="008E0E09"/>
    <w:rsid w:val="008E11A4"/>
    <w:rsid w:val="008E4852"/>
    <w:rsid w:val="008E5D06"/>
    <w:rsid w:val="008E5F8E"/>
    <w:rsid w:val="008E6D65"/>
    <w:rsid w:val="008E7AE2"/>
    <w:rsid w:val="008F03A8"/>
    <w:rsid w:val="008F1905"/>
    <w:rsid w:val="008F41EC"/>
    <w:rsid w:val="009000AA"/>
    <w:rsid w:val="0090105C"/>
    <w:rsid w:val="0091153F"/>
    <w:rsid w:val="00911595"/>
    <w:rsid w:val="009140E1"/>
    <w:rsid w:val="00914F92"/>
    <w:rsid w:val="00915AC3"/>
    <w:rsid w:val="00920AA8"/>
    <w:rsid w:val="00925492"/>
    <w:rsid w:val="00926B64"/>
    <w:rsid w:val="00926DF5"/>
    <w:rsid w:val="00933871"/>
    <w:rsid w:val="009356DF"/>
    <w:rsid w:val="009376A2"/>
    <w:rsid w:val="00940D6B"/>
    <w:rsid w:val="00943339"/>
    <w:rsid w:val="00943F0D"/>
    <w:rsid w:val="009506C1"/>
    <w:rsid w:val="00950B52"/>
    <w:rsid w:val="009531F5"/>
    <w:rsid w:val="00953298"/>
    <w:rsid w:val="00956300"/>
    <w:rsid w:val="0095785E"/>
    <w:rsid w:val="00957D3F"/>
    <w:rsid w:val="00961B74"/>
    <w:rsid w:val="00971DB1"/>
    <w:rsid w:val="00972855"/>
    <w:rsid w:val="00980DA0"/>
    <w:rsid w:val="00981131"/>
    <w:rsid w:val="00982FA6"/>
    <w:rsid w:val="00983315"/>
    <w:rsid w:val="00983630"/>
    <w:rsid w:val="009853E7"/>
    <w:rsid w:val="00990DBA"/>
    <w:rsid w:val="00994285"/>
    <w:rsid w:val="00994551"/>
    <w:rsid w:val="00995AF1"/>
    <w:rsid w:val="009965B0"/>
    <w:rsid w:val="009A26C5"/>
    <w:rsid w:val="009A3B6F"/>
    <w:rsid w:val="009A598E"/>
    <w:rsid w:val="009A6F0D"/>
    <w:rsid w:val="009A7161"/>
    <w:rsid w:val="009B2AF5"/>
    <w:rsid w:val="009B4D6B"/>
    <w:rsid w:val="009B70A5"/>
    <w:rsid w:val="009B70DB"/>
    <w:rsid w:val="009B758B"/>
    <w:rsid w:val="009C312A"/>
    <w:rsid w:val="009C54D8"/>
    <w:rsid w:val="009C60C5"/>
    <w:rsid w:val="009C6C01"/>
    <w:rsid w:val="009D1023"/>
    <w:rsid w:val="009D1B2A"/>
    <w:rsid w:val="009D1B53"/>
    <w:rsid w:val="009D2702"/>
    <w:rsid w:val="009D271B"/>
    <w:rsid w:val="009D2789"/>
    <w:rsid w:val="009D31E5"/>
    <w:rsid w:val="009D3C1F"/>
    <w:rsid w:val="009D448D"/>
    <w:rsid w:val="009D5234"/>
    <w:rsid w:val="009D5667"/>
    <w:rsid w:val="009D59ED"/>
    <w:rsid w:val="009D5E82"/>
    <w:rsid w:val="009E7AE8"/>
    <w:rsid w:val="009F0C44"/>
    <w:rsid w:val="009F125D"/>
    <w:rsid w:val="009F27C6"/>
    <w:rsid w:val="009F2DA8"/>
    <w:rsid w:val="009F3CED"/>
    <w:rsid w:val="009F52ED"/>
    <w:rsid w:val="009F5CB0"/>
    <w:rsid w:val="009F7027"/>
    <w:rsid w:val="009F7192"/>
    <w:rsid w:val="009F7A25"/>
    <w:rsid w:val="00A073F5"/>
    <w:rsid w:val="00A12CAF"/>
    <w:rsid w:val="00A14250"/>
    <w:rsid w:val="00A14F58"/>
    <w:rsid w:val="00A16A1F"/>
    <w:rsid w:val="00A209D9"/>
    <w:rsid w:val="00A211B0"/>
    <w:rsid w:val="00A227DA"/>
    <w:rsid w:val="00A2345D"/>
    <w:rsid w:val="00A2410C"/>
    <w:rsid w:val="00A308D4"/>
    <w:rsid w:val="00A37E2F"/>
    <w:rsid w:val="00A412D3"/>
    <w:rsid w:val="00A41639"/>
    <w:rsid w:val="00A42886"/>
    <w:rsid w:val="00A456A5"/>
    <w:rsid w:val="00A45A88"/>
    <w:rsid w:val="00A46D2E"/>
    <w:rsid w:val="00A53DEB"/>
    <w:rsid w:val="00A57E06"/>
    <w:rsid w:val="00A60FE1"/>
    <w:rsid w:val="00A62617"/>
    <w:rsid w:val="00A63862"/>
    <w:rsid w:val="00A6793F"/>
    <w:rsid w:val="00A70417"/>
    <w:rsid w:val="00A7593F"/>
    <w:rsid w:val="00A765AD"/>
    <w:rsid w:val="00A765E9"/>
    <w:rsid w:val="00A81E56"/>
    <w:rsid w:val="00A82378"/>
    <w:rsid w:val="00A8596D"/>
    <w:rsid w:val="00A85DE3"/>
    <w:rsid w:val="00A90907"/>
    <w:rsid w:val="00A91CF4"/>
    <w:rsid w:val="00A91E22"/>
    <w:rsid w:val="00A9331A"/>
    <w:rsid w:val="00A974EE"/>
    <w:rsid w:val="00AA5172"/>
    <w:rsid w:val="00AA5C61"/>
    <w:rsid w:val="00AA7A9E"/>
    <w:rsid w:val="00AB139F"/>
    <w:rsid w:val="00AB1E97"/>
    <w:rsid w:val="00AB2583"/>
    <w:rsid w:val="00AB259A"/>
    <w:rsid w:val="00AB3C52"/>
    <w:rsid w:val="00AB4143"/>
    <w:rsid w:val="00AB4997"/>
    <w:rsid w:val="00AB6C7C"/>
    <w:rsid w:val="00AC0F27"/>
    <w:rsid w:val="00AC4A0D"/>
    <w:rsid w:val="00AD1012"/>
    <w:rsid w:val="00AD2C9A"/>
    <w:rsid w:val="00AD4CEB"/>
    <w:rsid w:val="00AE1AF0"/>
    <w:rsid w:val="00AE5FCB"/>
    <w:rsid w:val="00AE6ADC"/>
    <w:rsid w:val="00AF110E"/>
    <w:rsid w:val="00AF1E78"/>
    <w:rsid w:val="00AF6567"/>
    <w:rsid w:val="00B00807"/>
    <w:rsid w:val="00B00DA6"/>
    <w:rsid w:val="00B04020"/>
    <w:rsid w:val="00B04263"/>
    <w:rsid w:val="00B04829"/>
    <w:rsid w:val="00B06238"/>
    <w:rsid w:val="00B06C19"/>
    <w:rsid w:val="00B06DCC"/>
    <w:rsid w:val="00B07333"/>
    <w:rsid w:val="00B07C3F"/>
    <w:rsid w:val="00B082FF"/>
    <w:rsid w:val="00B1575C"/>
    <w:rsid w:val="00B17149"/>
    <w:rsid w:val="00B201DA"/>
    <w:rsid w:val="00B207D6"/>
    <w:rsid w:val="00B21195"/>
    <w:rsid w:val="00B2270D"/>
    <w:rsid w:val="00B22875"/>
    <w:rsid w:val="00B22A9B"/>
    <w:rsid w:val="00B3167D"/>
    <w:rsid w:val="00B337B1"/>
    <w:rsid w:val="00B34DE6"/>
    <w:rsid w:val="00B36DA7"/>
    <w:rsid w:val="00B37770"/>
    <w:rsid w:val="00B37CF3"/>
    <w:rsid w:val="00B40F4C"/>
    <w:rsid w:val="00B418BF"/>
    <w:rsid w:val="00B435BB"/>
    <w:rsid w:val="00B44744"/>
    <w:rsid w:val="00B45601"/>
    <w:rsid w:val="00B45D68"/>
    <w:rsid w:val="00B52905"/>
    <w:rsid w:val="00B53271"/>
    <w:rsid w:val="00B54917"/>
    <w:rsid w:val="00B56ED1"/>
    <w:rsid w:val="00B61BC1"/>
    <w:rsid w:val="00B64D3E"/>
    <w:rsid w:val="00B6542B"/>
    <w:rsid w:val="00B7197C"/>
    <w:rsid w:val="00B7392C"/>
    <w:rsid w:val="00B74742"/>
    <w:rsid w:val="00B75108"/>
    <w:rsid w:val="00B75440"/>
    <w:rsid w:val="00B757FA"/>
    <w:rsid w:val="00B843E8"/>
    <w:rsid w:val="00B846C4"/>
    <w:rsid w:val="00B873C7"/>
    <w:rsid w:val="00B9213F"/>
    <w:rsid w:val="00B92FE3"/>
    <w:rsid w:val="00B93E03"/>
    <w:rsid w:val="00BA06EE"/>
    <w:rsid w:val="00BA088C"/>
    <w:rsid w:val="00BA2364"/>
    <w:rsid w:val="00BA59E2"/>
    <w:rsid w:val="00BA5A1F"/>
    <w:rsid w:val="00BA66C7"/>
    <w:rsid w:val="00BA6C93"/>
    <w:rsid w:val="00BB19FD"/>
    <w:rsid w:val="00BB2A31"/>
    <w:rsid w:val="00BB3228"/>
    <w:rsid w:val="00BB3A02"/>
    <w:rsid w:val="00BB563B"/>
    <w:rsid w:val="00BB60DB"/>
    <w:rsid w:val="00BB7CCE"/>
    <w:rsid w:val="00BC0C68"/>
    <w:rsid w:val="00BC11B2"/>
    <w:rsid w:val="00BC1B94"/>
    <w:rsid w:val="00BC3917"/>
    <w:rsid w:val="00BC6EBF"/>
    <w:rsid w:val="00BD06EF"/>
    <w:rsid w:val="00BD236D"/>
    <w:rsid w:val="00BD5290"/>
    <w:rsid w:val="00BD5655"/>
    <w:rsid w:val="00BE2700"/>
    <w:rsid w:val="00BE2F7E"/>
    <w:rsid w:val="00BE640C"/>
    <w:rsid w:val="00BE749C"/>
    <w:rsid w:val="00BF0041"/>
    <w:rsid w:val="00BF1F59"/>
    <w:rsid w:val="00BF307E"/>
    <w:rsid w:val="00BF3DE3"/>
    <w:rsid w:val="00BF5584"/>
    <w:rsid w:val="00BF5C1B"/>
    <w:rsid w:val="00BF5D2C"/>
    <w:rsid w:val="00C01584"/>
    <w:rsid w:val="00C05919"/>
    <w:rsid w:val="00C065FB"/>
    <w:rsid w:val="00C10B49"/>
    <w:rsid w:val="00C133A0"/>
    <w:rsid w:val="00C14C3D"/>
    <w:rsid w:val="00C158FE"/>
    <w:rsid w:val="00C15E9A"/>
    <w:rsid w:val="00C164AC"/>
    <w:rsid w:val="00C166E3"/>
    <w:rsid w:val="00C22548"/>
    <w:rsid w:val="00C238B6"/>
    <w:rsid w:val="00C24ABF"/>
    <w:rsid w:val="00C26C2D"/>
    <w:rsid w:val="00C26E64"/>
    <w:rsid w:val="00C27333"/>
    <w:rsid w:val="00C27349"/>
    <w:rsid w:val="00C2774E"/>
    <w:rsid w:val="00C31A85"/>
    <w:rsid w:val="00C40542"/>
    <w:rsid w:val="00C41F81"/>
    <w:rsid w:val="00C426F4"/>
    <w:rsid w:val="00C4312B"/>
    <w:rsid w:val="00C4514F"/>
    <w:rsid w:val="00C45F97"/>
    <w:rsid w:val="00C460E7"/>
    <w:rsid w:val="00C50716"/>
    <w:rsid w:val="00C52587"/>
    <w:rsid w:val="00C53947"/>
    <w:rsid w:val="00C53A03"/>
    <w:rsid w:val="00C543EA"/>
    <w:rsid w:val="00C561B3"/>
    <w:rsid w:val="00C562D7"/>
    <w:rsid w:val="00C57974"/>
    <w:rsid w:val="00C6440E"/>
    <w:rsid w:val="00C64700"/>
    <w:rsid w:val="00C6471F"/>
    <w:rsid w:val="00C64829"/>
    <w:rsid w:val="00C7231F"/>
    <w:rsid w:val="00C72DB6"/>
    <w:rsid w:val="00C732E7"/>
    <w:rsid w:val="00C762B0"/>
    <w:rsid w:val="00C76397"/>
    <w:rsid w:val="00C7641C"/>
    <w:rsid w:val="00C76505"/>
    <w:rsid w:val="00C8237F"/>
    <w:rsid w:val="00C82A0A"/>
    <w:rsid w:val="00C82E72"/>
    <w:rsid w:val="00C83259"/>
    <w:rsid w:val="00C854B7"/>
    <w:rsid w:val="00C856BA"/>
    <w:rsid w:val="00C86E99"/>
    <w:rsid w:val="00C92DA8"/>
    <w:rsid w:val="00C94186"/>
    <w:rsid w:val="00C944BD"/>
    <w:rsid w:val="00C948F2"/>
    <w:rsid w:val="00C951CA"/>
    <w:rsid w:val="00C96294"/>
    <w:rsid w:val="00C9678D"/>
    <w:rsid w:val="00CA0F46"/>
    <w:rsid w:val="00CA435D"/>
    <w:rsid w:val="00CA4AB6"/>
    <w:rsid w:val="00CA5060"/>
    <w:rsid w:val="00CA723E"/>
    <w:rsid w:val="00CA7B8E"/>
    <w:rsid w:val="00CB0F78"/>
    <w:rsid w:val="00CB25B8"/>
    <w:rsid w:val="00CB3319"/>
    <w:rsid w:val="00CB52F6"/>
    <w:rsid w:val="00CB751D"/>
    <w:rsid w:val="00CC00E2"/>
    <w:rsid w:val="00CC0EA0"/>
    <w:rsid w:val="00CC30C5"/>
    <w:rsid w:val="00CC3D93"/>
    <w:rsid w:val="00CC5192"/>
    <w:rsid w:val="00CC59BE"/>
    <w:rsid w:val="00CC6B80"/>
    <w:rsid w:val="00CC708E"/>
    <w:rsid w:val="00CD1564"/>
    <w:rsid w:val="00CD15B2"/>
    <w:rsid w:val="00CD383C"/>
    <w:rsid w:val="00CD3B74"/>
    <w:rsid w:val="00CD3CCA"/>
    <w:rsid w:val="00CD4379"/>
    <w:rsid w:val="00CD56CC"/>
    <w:rsid w:val="00CD5825"/>
    <w:rsid w:val="00CD6BC4"/>
    <w:rsid w:val="00CE2175"/>
    <w:rsid w:val="00CE389C"/>
    <w:rsid w:val="00CE52A6"/>
    <w:rsid w:val="00CE621C"/>
    <w:rsid w:val="00CEBDED"/>
    <w:rsid w:val="00CF0B0A"/>
    <w:rsid w:val="00CF10A1"/>
    <w:rsid w:val="00CF1CF3"/>
    <w:rsid w:val="00CF1D13"/>
    <w:rsid w:val="00CF26B0"/>
    <w:rsid w:val="00CF39B8"/>
    <w:rsid w:val="00CF59FC"/>
    <w:rsid w:val="00CF6930"/>
    <w:rsid w:val="00D0123F"/>
    <w:rsid w:val="00D01C85"/>
    <w:rsid w:val="00D03F13"/>
    <w:rsid w:val="00D071A9"/>
    <w:rsid w:val="00D07962"/>
    <w:rsid w:val="00D11C76"/>
    <w:rsid w:val="00D1278C"/>
    <w:rsid w:val="00D156DF"/>
    <w:rsid w:val="00D201B5"/>
    <w:rsid w:val="00D2072B"/>
    <w:rsid w:val="00D20983"/>
    <w:rsid w:val="00D209CD"/>
    <w:rsid w:val="00D21800"/>
    <w:rsid w:val="00D23843"/>
    <w:rsid w:val="00D266B9"/>
    <w:rsid w:val="00D26CC6"/>
    <w:rsid w:val="00D27B5F"/>
    <w:rsid w:val="00D27DAB"/>
    <w:rsid w:val="00D33569"/>
    <w:rsid w:val="00D35211"/>
    <w:rsid w:val="00D36D38"/>
    <w:rsid w:val="00D50C5D"/>
    <w:rsid w:val="00D5132B"/>
    <w:rsid w:val="00D530C7"/>
    <w:rsid w:val="00D60A58"/>
    <w:rsid w:val="00D61B8D"/>
    <w:rsid w:val="00D62038"/>
    <w:rsid w:val="00D63E6B"/>
    <w:rsid w:val="00D64BF8"/>
    <w:rsid w:val="00D66D26"/>
    <w:rsid w:val="00D71BFB"/>
    <w:rsid w:val="00D7213F"/>
    <w:rsid w:val="00D73581"/>
    <w:rsid w:val="00D74376"/>
    <w:rsid w:val="00D811A6"/>
    <w:rsid w:val="00D82976"/>
    <w:rsid w:val="00D83F61"/>
    <w:rsid w:val="00D84D54"/>
    <w:rsid w:val="00D940ED"/>
    <w:rsid w:val="00D95315"/>
    <w:rsid w:val="00D96044"/>
    <w:rsid w:val="00D96A80"/>
    <w:rsid w:val="00DA1A20"/>
    <w:rsid w:val="00DA1DFC"/>
    <w:rsid w:val="00DA2050"/>
    <w:rsid w:val="00DA278C"/>
    <w:rsid w:val="00DA4FCE"/>
    <w:rsid w:val="00DB0C02"/>
    <w:rsid w:val="00DB0FE0"/>
    <w:rsid w:val="00DB1B6D"/>
    <w:rsid w:val="00DB3FD3"/>
    <w:rsid w:val="00DB4B0F"/>
    <w:rsid w:val="00DC3D70"/>
    <w:rsid w:val="00DC7928"/>
    <w:rsid w:val="00DC7C2B"/>
    <w:rsid w:val="00DD1682"/>
    <w:rsid w:val="00DD3071"/>
    <w:rsid w:val="00DE2E8C"/>
    <w:rsid w:val="00DE3C48"/>
    <w:rsid w:val="00DE3CAE"/>
    <w:rsid w:val="00DE51A8"/>
    <w:rsid w:val="00DE53DE"/>
    <w:rsid w:val="00DE77CC"/>
    <w:rsid w:val="00DE7993"/>
    <w:rsid w:val="00DF0D4B"/>
    <w:rsid w:val="00DF1D95"/>
    <w:rsid w:val="00DF2D10"/>
    <w:rsid w:val="00DF416A"/>
    <w:rsid w:val="00DF58E4"/>
    <w:rsid w:val="00DF5BBE"/>
    <w:rsid w:val="00E00D94"/>
    <w:rsid w:val="00E06157"/>
    <w:rsid w:val="00E15C45"/>
    <w:rsid w:val="00E1C5FB"/>
    <w:rsid w:val="00E20071"/>
    <w:rsid w:val="00E20AE9"/>
    <w:rsid w:val="00E23AD0"/>
    <w:rsid w:val="00E24072"/>
    <w:rsid w:val="00E24908"/>
    <w:rsid w:val="00E25F65"/>
    <w:rsid w:val="00E31950"/>
    <w:rsid w:val="00E3225A"/>
    <w:rsid w:val="00E34E6D"/>
    <w:rsid w:val="00E40948"/>
    <w:rsid w:val="00E423D8"/>
    <w:rsid w:val="00E42795"/>
    <w:rsid w:val="00E46277"/>
    <w:rsid w:val="00E47C38"/>
    <w:rsid w:val="00E537B8"/>
    <w:rsid w:val="00E5450B"/>
    <w:rsid w:val="00E5529F"/>
    <w:rsid w:val="00E575B6"/>
    <w:rsid w:val="00E6015B"/>
    <w:rsid w:val="00E608C6"/>
    <w:rsid w:val="00E61767"/>
    <w:rsid w:val="00E62254"/>
    <w:rsid w:val="00E63DE4"/>
    <w:rsid w:val="00E679FC"/>
    <w:rsid w:val="00E704A1"/>
    <w:rsid w:val="00E73050"/>
    <w:rsid w:val="00E75B16"/>
    <w:rsid w:val="00E76A03"/>
    <w:rsid w:val="00E776B0"/>
    <w:rsid w:val="00E80060"/>
    <w:rsid w:val="00E8069B"/>
    <w:rsid w:val="00E82EB4"/>
    <w:rsid w:val="00E834AD"/>
    <w:rsid w:val="00E83DD1"/>
    <w:rsid w:val="00E842D3"/>
    <w:rsid w:val="00E853F4"/>
    <w:rsid w:val="00E85B80"/>
    <w:rsid w:val="00E87A34"/>
    <w:rsid w:val="00E87C26"/>
    <w:rsid w:val="00E90850"/>
    <w:rsid w:val="00E91471"/>
    <w:rsid w:val="00E934DE"/>
    <w:rsid w:val="00E96C8A"/>
    <w:rsid w:val="00E9757A"/>
    <w:rsid w:val="00EA0588"/>
    <w:rsid w:val="00EA20CE"/>
    <w:rsid w:val="00EA3487"/>
    <w:rsid w:val="00EA3E5B"/>
    <w:rsid w:val="00EA526B"/>
    <w:rsid w:val="00EA5D72"/>
    <w:rsid w:val="00EB0EBD"/>
    <w:rsid w:val="00EB3F36"/>
    <w:rsid w:val="00EB516F"/>
    <w:rsid w:val="00EB5660"/>
    <w:rsid w:val="00EB6ABA"/>
    <w:rsid w:val="00EC189E"/>
    <w:rsid w:val="00EC27A0"/>
    <w:rsid w:val="00EC5CD1"/>
    <w:rsid w:val="00ED065A"/>
    <w:rsid w:val="00ED1C67"/>
    <w:rsid w:val="00ED5B40"/>
    <w:rsid w:val="00ED734E"/>
    <w:rsid w:val="00ED74DB"/>
    <w:rsid w:val="00EE0207"/>
    <w:rsid w:val="00EE7907"/>
    <w:rsid w:val="00EF36DB"/>
    <w:rsid w:val="00EF5DD8"/>
    <w:rsid w:val="00EF7B0C"/>
    <w:rsid w:val="00F05883"/>
    <w:rsid w:val="00F07A98"/>
    <w:rsid w:val="00F12549"/>
    <w:rsid w:val="00F17E17"/>
    <w:rsid w:val="00F205D0"/>
    <w:rsid w:val="00F20E62"/>
    <w:rsid w:val="00F20F42"/>
    <w:rsid w:val="00F2303C"/>
    <w:rsid w:val="00F23435"/>
    <w:rsid w:val="00F2513C"/>
    <w:rsid w:val="00F25AAA"/>
    <w:rsid w:val="00F3134B"/>
    <w:rsid w:val="00F3575D"/>
    <w:rsid w:val="00F35C20"/>
    <w:rsid w:val="00F370B3"/>
    <w:rsid w:val="00F4083A"/>
    <w:rsid w:val="00F40D22"/>
    <w:rsid w:val="00F42E07"/>
    <w:rsid w:val="00F451E2"/>
    <w:rsid w:val="00F462A9"/>
    <w:rsid w:val="00F5030F"/>
    <w:rsid w:val="00F51DDF"/>
    <w:rsid w:val="00F52784"/>
    <w:rsid w:val="00F52D65"/>
    <w:rsid w:val="00F57D62"/>
    <w:rsid w:val="00F616CA"/>
    <w:rsid w:val="00F618EC"/>
    <w:rsid w:val="00F645E3"/>
    <w:rsid w:val="00F71C03"/>
    <w:rsid w:val="00F726B5"/>
    <w:rsid w:val="00F73310"/>
    <w:rsid w:val="00F73667"/>
    <w:rsid w:val="00F765A0"/>
    <w:rsid w:val="00F80053"/>
    <w:rsid w:val="00F83BAD"/>
    <w:rsid w:val="00F84FF6"/>
    <w:rsid w:val="00F86FA6"/>
    <w:rsid w:val="00F90308"/>
    <w:rsid w:val="00F908D6"/>
    <w:rsid w:val="00F90E6C"/>
    <w:rsid w:val="00F91E89"/>
    <w:rsid w:val="00F93D8E"/>
    <w:rsid w:val="00F96662"/>
    <w:rsid w:val="00F96A5C"/>
    <w:rsid w:val="00FA1BB0"/>
    <w:rsid w:val="00FA31E9"/>
    <w:rsid w:val="00FA3AC8"/>
    <w:rsid w:val="00FA4292"/>
    <w:rsid w:val="00FA60B7"/>
    <w:rsid w:val="00FA72FC"/>
    <w:rsid w:val="00FB3F56"/>
    <w:rsid w:val="00FB713A"/>
    <w:rsid w:val="00FB7F3D"/>
    <w:rsid w:val="00FC020E"/>
    <w:rsid w:val="00FC0A12"/>
    <w:rsid w:val="00FC4748"/>
    <w:rsid w:val="00FC58E1"/>
    <w:rsid w:val="00FC590A"/>
    <w:rsid w:val="00FC7FDF"/>
    <w:rsid w:val="00FD1A1C"/>
    <w:rsid w:val="00FD1BFD"/>
    <w:rsid w:val="00FD4710"/>
    <w:rsid w:val="00FD4CCC"/>
    <w:rsid w:val="00FD4CF1"/>
    <w:rsid w:val="00FD5932"/>
    <w:rsid w:val="00FD65AA"/>
    <w:rsid w:val="00FD733B"/>
    <w:rsid w:val="00FD7CDD"/>
    <w:rsid w:val="00FE38DB"/>
    <w:rsid w:val="00FE39A6"/>
    <w:rsid w:val="00FE44C3"/>
    <w:rsid w:val="00FE67C0"/>
    <w:rsid w:val="00FE713B"/>
    <w:rsid w:val="00FF08EB"/>
    <w:rsid w:val="00FF10C5"/>
    <w:rsid w:val="00FF1CCD"/>
    <w:rsid w:val="00FF2FFB"/>
    <w:rsid w:val="00FF5200"/>
    <w:rsid w:val="00FF58B1"/>
    <w:rsid w:val="00FF70B1"/>
    <w:rsid w:val="010BC246"/>
    <w:rsid w:val="0142036C"/>
    <w:rsid w:val="0147BF01"/>
    <w:rsid w:val="018A1010"/>
    <w:rsid w:val="01B5D7B1"/>
    <w:rsid w:val="026BF258"/>
    <w:rsid w:val="02824644"/>
    <w:rsid w:val="028459A7"/>
    <w:rsid w:val="02BDF894"/>
    <w:rsid w:val="02DF8DF3"/>
    <w:rsid w:val="02F92F32"/>
    <w:rsid w:val="03000D68"/>
    <w:rsid w:val="0351FF5A"/>
    <w:rsid w:val="037FEA5A"/>
    <w:rsid w:val="03BFF3AC"/>
    <w:rsid w:val="03F8793D"/>
    <w:rsid w:val="03FA8818"/>
    <w:rsid w:val="03FB1B4B"/>
    <w:rsid w:val="04084143"/>
    <w:rsid w:val="04366E6B"/>
    <w:rsid w:val="04AD4044"/>
    <w:rsid w:val="04E0B548"/>
    <w:rsid w:val="05094EED"/>
    <w:rsid w:val="0513FB1B"/>
    <w:rsid w:val="0550DD2F"/>
    <w:rsid w:val="058D6ED4"/>
    <w:rsid w:val="05933C3C"/>
    <w:rsid w:val="0669BC7F"/>
    <w:rsid w:val="069DB5BC"/>
    <w:rsid w:val="06A06D1A"/>
    <w:rsid w:val="06C7C982"/>
    <w:rsid w:val="06F6C67B"/>
    <w:rsid w:val="06FC4100"/>
    <w:rsid w:val="0717FCD0"/>
    <w:rsid w:val="0726CA5E"/>
    <w:rsid w:val="074A2B8F"/>
    <w:rsid w:val="0754AEC4"/>
    <w:rsid w:val="075C74E2"/>
    <w:rsid w:val="07BEA34A"/>
    <w:rsid w:val="080254F3"/>
    <w:rsid w:val="080C4C56"/>
    <w:rsid w:val="083D5DC4"/>
    <w:rsid w:val="0873ED72"/>
    <w:rsid w:val="08A90FFE"/>
    <w:rsid w:val="08EFAAA7"/>
    <w:rsid w:val="08FC6379"/>
    <w:rsid w:val="091839D7"/>
    <w:rsid w:val="095214AF"/>
    <w:rsid w:val="0966F0D0"/>
    <w:rsid w:val="0983E4B5"/>
    <w:rsid w:val="09B72D75"/>
    <w:rsid w:val="09DF1172"/>
    <w:rsid w:val="09DF8DE3"/>
    <w:rsid w:val="09E4EE5A"/>
    <w:rsid w:val="0A1827F7"/>
    <w:rsid w:val="0A2828E9"/>
    <w:rsid w:val="0A5EFFF8"/>
    <w:rsid w:val="0AAA38C3"/>
    <w:rsid w:val="0ADB1D87"/>
    <w:rsid w:val="0AE85CA0"/>
    <w:rsid w:val="0B01A5CB"/>
    <w:rsid w:val="0B476968"/>
    <w:rsid w:val="0B51CCE6"/>
    <w:rsid w:val="0B6844B8"/>
    <w:rsid w:val="0B7C2F7B"/>
    <w:rsid w:val="0B85F65C"/>
    <w:rsid w:val="0B8BF86E"/>
    <w:rsid w:val="0BA56721"/>
    <w:rsid w:val="0BF99281"/>
    <w:rsid w:val="0BFB4492"/>
    <w:rsid w:val="0C08F50F"/>
    <w:rsid w:val="0C0A43AC"/>
    <w:rsid w:val="0C50F276"/>
    <w:rsid w:val="0C7BCD01"/>
    <w:rsid w:val="0C9C1646"/>
    <w:rsid w:val="0CA5AC60"/>
    <w:rsid w:val="0CAD8041"/>
    <w:rsid w:val="0CB6BCFA"/>
    <w:rsid w:val="0CE989F5"/>
    <w:rsid w:val="0D015B42"/>
    <w:rsid w:val="0D0D2849"/>
    <w:rsid w:val="0D1EBEB2"/>
    <w:rsid w:val="0D48D75B"/>
    <w:rsid w:val="0D511812"/>
    <w:rsid w:val="0D59B5A6"/>
    <w:rsid w:val="0D90BE10"/>
    <w:rsid w:val="0DA79DB9"/>
    <w:rsid w:val="0DA86C0D"/>
    <w:rsid w:val="0DAAAEA4"/>
    <w:rsid w:val="0DDDCA8A"/>
    <w:rsid w:val="0DE44E13"/>
    <w:rsid w:val="0DF61715"/>
    <w:rsid w:val="0E1726CB"/>
    <w:rsid w:val="0E2ED6E3"/>
    <w:rsid w:val="0E534BA8"/>
    <w:rsid w:val="0E902406"/>
    <w:rsid w:val="0E9DD227"/>
    <w:rsid w:val="0EEDBBE3"/>
    <w:rsid w:val="0EF3C455"/>
    <w:rsid w:val="0EF66099"/>
    <w:rsid w:val="0F7D94E7"/>
    <w:rsid w:val="0F847FCF"/>
    <w:rsid w:val="0F9C063F"/>
    <w:rsid w:val="0FC32C10"/>
    <w:rsid w:val="0FCC5CB5"/>
    <w:rsid w:val="0FE889D4"/>
    <w:rsid w:val="10064663"/>
    <w:rsid w:val="10144013"/>
    <w:rsid w:val="108431DD"/>
    <w:rsid w:val="10A3A9C3"/>
    <w:rsid w:val="10AF7EC5"/>
    <w:rsid w:val="10C5610C"/>
    <w:rsid w:val="10E68C7E"/>
    <w:rsid w:val="110448E7"/>
    <w:rsid w:val="11081189"/>
    <w:rsid w:val="1166D721"/>
    <w:rsid w:val="11814C43"/>
    <w:rsid w:val="118E9304"/>
    <w:rsid w:val="11DD2D5F"/>
    <w:rsid w:val="11EFE9FE"/>
    <w:rsid w:val="12325C5F"/>
    <w:rsid w:val="126E283B"/>
    <w:rsid w:val="1274DCA7"/>
    <w:rsid w:val="12AB3C4C"/>
    <w:rsid w:val="135BAFAB"/>
    <w:rsid w:val="1380C5D4"/>
    <w:rsid w:val="138EB89C"/>
    <w:rsid w:val="141169BB"/>
    <w:rsid w:val="142A511E"/>
    <w:rsid w:val="1437ECF2"/>
    <w:rsid w:val="14414246"/>
    <w:rsid w:val="145AA66C"/>
    <w:rsid w:val="146D4742"/>
    <w:rsid w:val="147D448B"/>
    <w:rsid w:val="14951EA8"/>
    <w:rsid w:val="14F587CA"/>
    <w:rsid w:val="1547B6C7"/>
    <w:rsid w:val="1585049F"/>
    <w:rsid w:val="159F3FCB"/>
    <w:rsid w:val="15B2C11F"/>
    <w:rsid w:val="15DD12B7"/>
    <w:rsid w:val="15DEC997"/>
    <w:rsid w:val="160B3967"/>
    <w:rsid w:val="161A34F6"/>
    <w:rsid w:val="1631FAB3"/>
    <w:rsid w:val="1638B579"/>
    <w:rsid w:val="163D2A34"/>
    <w:rsid w:val="168465DC"/>
    <w:rsid w:val="168AA59D"/>
    <w:rsid w:val="16AA9083"/>
    <w:rsid w:val="16BFC2D1"/>
    <w:rsid w:val="16C7242F"/>
    <w:rsid w:val="16D981BB"/>
    <w:rsid w:val="16DE0CA5"/>
    <w:rsid w:val="17045F31"/>
    <w:rsid w:val="170D7517"/>
    <w:rsid w:val="170E67D1"/>
    <w:rsid w:val="17204131"/>
    <w:rsid w:val="17453B5A"/>
    <w:rsid w:val="1763B6D3"/>
    <w:rsid w:val="177A2564"/>
    <w:rsid w:val="17A7CEAF"/>
    <w:rsid w:val="18178ACB"/>
    <w:rsid w:val="186CAFE0"/>
    <w:rsid w:val="189DB8D5"/>
    <w:rsid w:val="18A7DDE4"/>
    <w:rsid w:val="18C24D4A"/>
    <w:rsid w:val="18D12ED6"/>
    <w:rsid w:val="18D65BFB"/>
    <w:rsid w:val="19001E1D"/>
    <w:rsid w:val="19092357"/>
    <w:rsid w:val="191C710E"/>
    <w:rsid w:val="192BFC20"/>
    <w:rsid w:val="19AAFA52"/>
    <w:rsid w:val="19FD06DD"/>
    <w:rsid w:val="1A6D6F67"/>
    <w:rsid w:val="1A722396"/>
    <w:rsid w:val="1A9EE3B4"/>
    <w:rsid w:val="1AA146E7"/>
    <w:rsid w:val="1ABCD7A3"/>
    <w:rsid w:val="1AD7C3D5"/>
    <w:rsid w:val="1AF74824"/>
    <w:rsid w:val="1B01F50A"/>
    <w:rsid w:val="1B6553D6"/>
    <w:rsid w:val="1BB642A1"/>
    <w:rsid w:val="1BC41B80"/>
    <w:rsid w:val="1BD6ED2C"/>
    <w:rsid w:val="1C0269A6"/>
    <w:rsid w:val="1C1AEA44"/>
    <w:rsid w:val="1C1C03EE"/>
    <w:rsid w:val="1C24498A"/>
    <w:rsid w:val="1C4E58D9"/>
    <w:rsid w:val="1C8920D5"/>
    <w:rsid w:val="1C9067CD"/>
    <w:rsid w:val="1CCC604A"/>
    <w:rsid w:val="1CEB33CE"/>
    <w:rsid w:val="1D23CCAE"/>
    <w:rsid w:val="1D50A4C2"/>
    <w:rsid w:val="1D90D2A4"/>
    <w:rsid w:val="1DAAB53C"/>
    <w:rsid w:val="1DC9D3C9"/>
    <w:rsid w:val="1E490E20"/>
    <w:rsid w:val="1E65A48D"/>
    <w:rsid w:val="1E6B1D36"/>
    <w:rsid w:val="1E6EFBB5"/>
    <w:rsid w:val="1E998589"/>
    <w:rsid w:val="1EA00677"/>
    <w:rsid w:val="1ED9B94C"/>
    <w:rsid w:val="1EDA9ECC"/>
    <w:rsid w:val="1EFCE46B"/>
    <w:rsid w:val="1F04BF05"/>
    <w:rsid w:val="1F072199"/>
    <w:rsid w:val="1FBE71EE"/>
    <w:rsid w:val="1FD415DB"/>
    <w:rsid w:val="1FDB314D"/>
    <w:rsid w:val="203C1284"/>
    <w:rsid w:val="205AAE3B"/>
    <w:rsid w:val="2083E6FB"/>
    <w:rsid w:val="20C93BB0"/>
    <w:rsid w:val="20E5093F"/>
    <w:rsid w:val="20E971E1"/>
    <w:rsid w:val="210972B7"/>
    <w:rsid w:val="211A6CC1"/>
    <w:rsid w:val="218709BD"/>
    <w:rsid w:val="2190CB23"/>
    <w:rsid w:val="219E9089"/>
    <w:rsid w:val="21ADAF3D"/>
    <w:rsid w:val="21BA0A31"/>
    <w:rsid w:val="21D56C71"/>
    <w:rsid w:val="21FE7662"/>
    <w:rsid w:val="2227C6CD"/>
    <w:rsid w:val="22392ADF"/>
    <w:rsid w:val="22E8E462"/>
    <w:rsid w:val="230C7D22"/>
    <w:rsid w:val="232EFB0C"/>
    <w:rsid w:val="235CAAA6"/>
    <w:rsid w:val="2362578B"/>
    <w:rsid w:val="23645C99"/>
    <w:rsid w:val="238E0C8D"/>
    <w:rsid w:val="23AD5C81"/>
    <w:rsid w:val="23B49470"/>
    <w:rsid w:val="23C8723E"/>
    <w:rsid w:val="23E8308A"/>
    <w:rsid w:val="2421AFBC"/>
    <w:rsid w:val="24315652"/>
    <w:rsid w:val="24560DFC"/>
    <w:rsid w:val="2478E146"/>
    <w:rsid w:val="249BE043"/>
    <w:rsid w:val="24C94C89"/>
    <w:rsid w:val="24CCDE6E"/>
    <w:rsid w:val="24CFC22B"/>
    <w:rsid w:val="24DE0A10"/>
    <w:rsid w:val="25228FF0"/>
    <w:rsid w:val="2530E3D0"/>
    <w:rsid w:val="25E15EF8"/>
    <w:rsid w:val="25E57A67"/>
    <w:rsid w:val="25EE0E75"/>
    <w:rsid w:val="25F15BEB"/>
    <w:rsid w:val="26146F90"/>
    <w:rsid w:val="263CE837"/>
    <w:rsid w:val="26C7A00A"/>
    <w:rsid w:val="26D0F24C"/>
    <w:rsid w:val="2707A912"/>
    <w:rsid w:val="271473C7"/>
    <w:rsid w:val="2761D6EB"/>
    <w:rsid w:val="27830A2F"/>
    <w:rsid w:val="27A14C9C"/>
    <w:rsid w:val="28034009"/>
    <w:rsid w:val="2805B024"/>
    <w:rsid w:val="281CE7A8"/>
    <w:rsid w:val="2831D95B"/>
    <w:rsid w:val="283D8938"/>
    <w:rsid w:val="289B4A1C"/>
    <w:rsid w:val="28E41CBE"/>
    <w:rsid w:val="28F3AB47"/>
    <w:rsid w:val="294C325E"/>
    <w:rsid w:val="29578364"/>
    <w:rsid w:val="29B06793"/>
    <w:rsid w:val="29BCD9FF"/>
    <w:rsid w:val="29F1244F"/>
    <w:rsid w:val="2A1D7F77"/>
    <w:rsid w:val="2A4A0557"/>
    <w:rsid w:val="2A4E2151"/>
    <w:rsid w:val="2A764946"/>
    <w:rsid w:val="2A7BB13C"/>
    <w:rsid w:val="2AA35014"/>
    <w:rsid w:val="2AA9EFA9"/>
    <w:rsid w:val="2AF373FA"/>
    <w:rsid w:val="2B1B0E7E"/>
    <w:rsid w:val="2B58C5D9"/>
    <w:rsid w:val="2B63489C"/>
    <w:rsid w:val="2B6CEAC6"/>
    <w:rsid w:val="2B871811"/>
    <w:rsid w:val="2B999E56"/>
    <w:rsid w:val="2BC60C4C"/>
    <w:rsid w:val="2BF45E27"/>
    <w:rsid w:val="2C09C945"/>
    <w:rsid w:val="2C210A1D"/>
    <w:rsid w:val="2C2D64A1"/>
    <w:rsid w:val="2C776E12"/>
    <w:rsid w:val="2C8F0CA0"/>
    <w:rsid w:val="2C9EBE38"/>
    <w:rsid w:val="2CA35505"/>
    <w:rsid w:val="2CF7A745"/>
    <w:rsid w:val="2CF9AE63"/>
    <w:rsid w:val="2CFBED57"/>
    <w:rsid w:val="2D14A3BF"/>
    <w:rsid w:val="2D21AE02"/>
    <w:rsid w:val="2D65D327"/>
    <w:rsid w:val="2D6829C8"/>
    <w:rsid w:val="2DB9D78A"/>
    <w:rsid w:val="2DBBD785"/>
    <w:rsid w:val="2DE49C6F"/>
    <w:rsid w:val="2E05457B"/>
    <w:rsid w:val="2E24C2E3"/>
    <w:rsid w:val="2E470681"/>
    <w:rsid w:val="2E808639"/>
    <w:rsid w:val="2E8330E2"/>
    <w:rsid w:val="2E865616"/>
    <w:rsid w:val="2E9E8382"/>
    <w:rsid w:val="2EE16E0C"/>
    <w:rsid w:val="2F0C3AA7"/>
    <w:rsid w:val="2F24B46A"/>
    <w:rsid w:val="2F28A110"/>
    <w:rsid w:val="2F2ECCF6"/>
    <w:rsid w:val="2F3591E8"/>
    <w:rsid w:val="2F3871F1"/>
    <w:rsid w:val="2F4CD3FC"/>
    <w:rsid w:val="2F500C0A"/>
    <w:rsid w:val="2F634F2B"/>
    <w:rsid w:val="2F99B20D"/>
    <w:rsid w:val="2F9F097C"/>
    <w:rsid w:val="2FB30ACF"/>
    <w:rsid w:val="2FCAEAA8"/>
    <w:rsid w:val="300DB1DE"/>
    <w:rsid w:val="3055329A"/>
    <w:rsid w:val="3085B730"/>
    <w:rsid w:val="31596CEF"/>
    <w:rsid w:val="317DABA5"/>
    <w:rsid w:val="318EF1AE"/>
    <w:rsid w:val="31E82662"/>
    <w:rsid w:val="31F7FF71"/>
    <w:rsid w:val="320A29F2"/>
    <w:rsid w:val="321252FC"/>
    <w:rsid w:val="32144294"/>
    <w:rsid w:val="3226CD3B"/>
    <w:rsid w:val="3234B905"/>
    <w:rsid w:val="3273795E"/>
    <w:rsid w:val="32AEBEDB"/>
    <w:rsid w:val="32CAB9A5"/>
    <w:rsid w:val="32DE9DD3"/>
    <w:rsid w:val="3325C3B2"/>
    <w:rsid w:val="33348C88"/>
    <w:rsid w:val="3345125C"/>
    <w:rsid w:val="33689E61"/>
    <w:rsid w:val="3371EEA3"/>
    <w:rsid w:val="33910872"/>
    <w:rsid w:val="33A6C45A"/>
    <w:rsid w:val="33AB83ED"/>
    <w:rsid w:val="33ABF720"/>
    <w:rsid w:val="34367433"/>
    <w:rsid w:val="343FDAFD"/>
    <w:rsid w:val="3449ADB7"/>
    <w:rsid w:val="34501FD3"/>
    <w:rsid w:val="3488EA2A"/>
    <w:rsid w:val="348B0B78"/>
    <w:rsid w:val="348D8E81"/>
    <w:rsid w:val="3499BDDE"/>
    <w:rsid w:val="349DFD14"/>
    <w:rsid w:val="34A57DDE"/>
    <w:rsid w:val="34C37298"/>
    <w:rsid w:val="34D62D2E"/>
    <w:rsid w:val="3529F0AB"/>
    <w:rsid w:val="3537A0EA"/>
    <w:rsid w:val="3562FC40"/>
    <w:rsid w:val="35CE913A"/>
    <w:rsid w:val="35E99C36"/>
    <w:rsid w:val="361578E5"/>
    <w:rsid w:val="3635D1CA"/>
    <w:rsid w:val="3717C452"/>
    <w:rsid w:val="375A8B53"/>
    <w:rsid w:val="3764BA13"/>
    <w:rsid w:val="3773A8FC"/>
    <w:rsid w:val="3782AA40"/>
    <w:rsid w:val="3788DEB7"/>
    <w:rsid w:val="3794FFCE"/>
    <w:rsid w:val="379B9FA5"/>
    <w:rsid w:val="37D2E08B"/>
    <w:rsid w:val="37D6691A"/>
    <w:rsid w:val="37EA2380"/>
    <w:rsid w:val="37F389AB"/>
    <w:rsid w:val="380913B8"/>
    <w:rsid w:val="383EF2D6"/>
    <w:rsid w:val="3843E191"/>
    <w:rsid w:val="38907CA6"/>
    <w:rsid w:val="38B2242D"/>
    <w:rsid w:val="38C2FAA8"/>
    <w:rsid w:val="38E1D132"/>
    <w:rsid w:val="38E5C862"/>
    <w:rsid w:val="39096370"/>
    <w:rsid w:val="390A697D"/>
    <w:rsid w:val="392DE01F"/>
    <w:rsid w:val="394C946A"/>
    <w:rsid w:val="3960183D"/>
    <w:rsid w:val="39A1EBB2"/>
    <w:rsid w:val="39AA4344"/>
    <w:rsid w:val="39B64A82"/>
    <w:rsid w:val="39BBC09E"/>
    <w:rsid w:val="39CDA458"/>
    <w:rsid w:val="39F3A238"/>
    <w:rsid w:val="3A093F40"/>
    <w:rsid w:val="3A0A001C"/>
    <w:rsid w:val="3A0E1847"/>
    <w:rsid w:val="3A0ED9CE"/>
    <w:rsid w:val="3A213A49"/>
    <w:rsid w:val="3A416E0F"/>
    <w:rsid w:val="3A46816D"/>
    <w:rsid w:val="3A8398A3"/>
    <w:rsid w:val="3A870A15"/>
    <w:rsid w:val="3A929323"/>
    <w:rsid w:val="3AB332D8"/>
    <w:rsid w:val="3AB43D1A"/>
    <w:rsid w:val="3AF99957"/>
    <w:rsid w:val="3B11BEE9"/>
    <w:rsid w:val="3B17C6F9"/>
    <w:rsid w:val="3B39C1C4"/>
    <w:rsid w:val="3B40C002"/>
    <w:rsid w:val="3B63A723"/>
    <w:rsid w:val="3B763086"/>
    <w:rsid w:val="3BBA37E4"/>
    <w:rsid w:val="3BC42FF4"/>
    <w:rsid w:val="3BC7D847"/>
    <w:rsid w:val="3BE336B7"/>
    <w:rsid w:val="3BE59032"/>
    <w:rsid w:val="3C81A74F"/>
    <w:rsid w:val="3C8D56BD"/>
    <w:rsid w:val="3CAC38EE"/>
    <w:rsid w:val="3CC049A4"/>
    <w:rsid w:val="3CC09056"/>
    <w:rsid w:val="3CC9D497"/>
    <w:rsid w:val="3CFD7987"/>
    <w:rsid w:val="3D3B844D"/>
    <w:rsid w:val="3DEA88AD"/>
    <w:rsid w:val="3E0EBB5C"/>
    <w:rsid w:val="3E188DF6"/>
    <w:rsid w:val="3E5B0254"/>
    <w:rsid w:val="3EA85359"/>
    <w:rsid w:val="3EB13D38"/>
    <w:rsid w:val="3EBD041A"/>
    <w:rsid w:val="3ECF58C7"/>
    <w:rsid w:val="3F24CFA6"/>
    <w:rsid w:val="3F257F2D"/>
    <w:rsid w:val="3F43CF4C"/>
    <w:rsid w:val="3F56C25D"/>
    <w:rsid w:val="3F6CE4CA"/>
    <w:rsid w:val="3F6D72BD"/>
    <w:rsid w:val="3FD59CF9"/>
    <w:rsid w:val="402D0BF9"/>
    <w:rsid w:val="404B3696"/>
    <w:rsid w:val="404F9FF0"/>
    <w:rsid w:val="40CAC2E4"/>
    <w:rsid w:val="40E82AEB"/>
    <w:rsid w:val="4139883B"/>
    <w:rsid w:val="413D266D"/>
    <w:rsid w:val="416DB009"/>
    <w:rsid w:val="4186B8A4"/>
    <w:rsid w:val="424CBBB6"/>
    <w:rsid w:val="424F4E8E"/>
    <w:rsid w:val="4251593B"/>
    <w:rsid w:val="4256F407"/>
    <w:rsid w:val="4283DCB5"/>
    <w:rsid w:val="429785AF"/>
    <w:rsid w:val="429D5356"/>
    <w:rsid w:val="42AC053C"/>
    <w:rsid w:val="42B8AD93"/>
    <w:rsid w:val="42C315FC"/>
    <w:rsid w:val="42D0A017"/>
    <w:rsid w:val="4311FD68"/>
    <w:rsid w:val="4317534E"/>
    <w:rsid w:val="4347C512"/>
    <w:rsid w:val="434EC9D3"/>
    <w:rsid w:val="4356B1BA"/>
    <w:rsid w:val="43963E9B"/>
    <w:rsid w:val="44132771"/>
    <w:rsid w:val="44150629"/>
    <w:rsid w:val="441D186A"/>
    <w:rsid w:val="448AE82B"/>
    <w:rsid w:val="449466F7"/>
    <w:rsid w:val="45444CEF"/>
    <w:rsid w:val="45575297"/>
    <w:rsid w:val="4589039B"/>
    <w:rsid w:val="45B4A398"/>
    <w:rsid w:val="460108F2"/>
    <w:rsid w:val="461A2D01"/>
    <w:rsid w:val="465197E2"/>
    <w:rsid w:val="46AB2807"/>
    <w:rsid w:val="46B23195"/>
    <w:rsid w:val="46F2DD64"/>
    <w:rsid w:val="470D05BC"/>
    <w:rsid w:val="474C79AA"/>
    <w:rsid w:val="47637043"/>
    <w:rsid w:val="47769F9E"/>
    <w:rsid w:val="478C97A9"/>
    <w:rsid w:val="47C4704E"/>
    <w:rsid w:val="47DBF21C"/>
    <w:rsid w:val="47F53DFC"/>
    <w:rsid w:val="47FB7ABE"/>
    <w:rsid w:val="481154AE"/>
    <w:rsid w:val="481C93FA"/>
    <w:rsid w:val="4822355C"/>
    <w:rsid w:val="48B35D57"/>
    <w:rsid w:val="493F2020"/>
    <w:rsid w:val="4958CB3C"/>
    <w:rsid w:val="496F2E6E"/>
    <w:rsid w:val="498049C7"/>
    <w:rsid w:val="49F64908"/>
    <w:rsid w:val="4A0E34C3"/>
    <w:rsid w:val="4A250DB0"/>
    <w:rsid w:val="4A3715BE"/>
    <w:rsid w:val="4A43A655"/>
    <w:rsid w:val="4A4F2677"/>
    <w:rsid w:val="4AA0AF5C"/>
    <w:rsid w:val="4ADC1671"/>
    <w:rsid w:val="4B3C01BD"/>
    <w:rsid w:val="4B585345"/>
    <w:rsid w:val="4BB3518F"/>
    <w:rsid w:val="4BC82727"/>
    <w:rsid w:val="4BE27668"/>
    <w:rsid w:val="4C81D5D9"/>
    <w:rsid w:val="4CB1D382"/>
    <w:rsid w:val="4CBB732D"/>
    <w:rsid w:val="4D0287D2"/>
    <w:rsid w:val="4D099D98"/>
    <w:rsid w:val="4D184CA6"/>
    <w:rsid w:val="4D21F7A7"/>
    <w:rsid w:val="4D3083B2"/>
    <w:rsid w:val="4D3ADAFC"/>
    <w:rsid w:val="4D55015D"/>
    <w:rsid w:val="4D573D90"/>
    <w:rsid w:val="4D5CE3A9"/>
    <w:rsid w:val="4D6B8F6B"/>
    <w:rsid w:val="4D89C7B9"/>
    <w:rsid w:val="4D901153"/>
    <w:rsid w:val="4D917134"/>
    <w:rsid w:val="4E347638"/>
    <w:rsid w:val="4E5DA1FB"/>
    <w:rsid w:val="4E6B324D"/>
    <w:rsid w:val="4E6BCF04"/>
    <w:rsid w:val="4E7C921E"/>
    <w:rsid w:val="4EB2D37B"/>
    <w:rsid w:val="4EBC371D"/>
    <w:rsid w:val="4F0B14AB"/>
    <w:rsid w:val="4F15C727"/>
    <w:rsid w:val="4F3B3EF1"/>
    <w:rsid w:val="4F3F231F"/>
    <w:rsid w:val="4F503BB9"/>
    <w:rsid w:val="4F88CFFD"/>
    <w:rsid w:val="4FF7E3CE"/>
    <w:rsid w:val="503BFC80"/>
    <w:rsid w:val="507EA27C"/>
    <w:rsid w:val="5084D973"/>
    <w:rsid w:val="50ABDBAE"/>
    <w:rsid w:val="50B2EA02"/>
    <w:rsid w:val="512A368D"/>
    <w:rsid w:val="51541801"/>
    <w:rsid w:val="515AE383"/>
    <w:rsid w:val="517092D0"/>
    <w:rsid w:val="51715168"/>
    <w:rsid w:val="5192A0B7"/>
    <w:rsid w:val="51A3ED22"/>
    <w:rsid w:val="51A9589A"/>
    <w:rsid w:val="51ABA7FB"/>
    <w:rsid w:val="51FC5427"/>
    <w:rsid w:val="521A332A"/>
    <w:rsid w:val="52823AE3"/>
    <w:rsid w:val="528BE9B0"/>
    <w:rsid w:val="52E00ABC"/>
    <w:rsid w:val="52EF27ED"/>
    <w:rsid w:val="532B0EB0"/>
    <w:rsid w:val="53784ECA"/>
    <w:rsid w:val="53B9061C"/>
    <w:rsid w:val="53CB1125"/>
    <w:rsid w:val="53D4AFBA"/>
    <w:rsid w:val="540F830B"/>
    <w:rsid w:val="5412B1B8"/>
    <w:rsid w:val="541DF117"/>
    <w:rsid w:val="543ABEEC"/>
    <w:rsid w:val="546C26BF"/>
    <w:rsid w:val="54A738F9"/>
    <w:rsid w:val="54EBB8B6"/>
    <w:rsid w:val="550BE590"/>
    <w:rsid w:val="551EC559"/>
    <w:rsid w:val="5540CE15"/>
    <w:rsid w:val="55471282"/>
    <w:rsid w:val="554DC093"/>
    <w:rsid w:val="5552AAFB"/>
    <w:rsid w:val="5556AFB0"/>
    <w:rsid w:val="557CD8BC"/>
    <w:rsid w:val="558C156F"/>
    <w:rsid w:val="55C08765"/>
    <w:rsid w:val="55EC4297"/>
    <w:rsid w:val="55F211FD"/>
    <w:rsid w:val="5602BE8C"/>
    <w:rsid w:val="5616D834"/>
    <w:rsid w:val="5656378F"/>
    <w:rsid w:val="56681D39"/>
    <w:rsid w:val="569ACACB"/>
    <w:rsid w:val="5701445B"/>
    <w:rsid w:val="5738DA17"/>
    <w:rsid w:val="575C10B9"/>
    <w:rsid w:val="5765FCE4"/>
    <w:rsid w:val="57AA6653"/>
    <w:rsid w:val="580CA413"/>
    <w:rsid w:val="581CFBFB"/>
    <w:rsid w:val="5827C657"/>
    <w:rsid w:val="5836A019"/>
    <w:rsid w:val="58452F31"/>
    <w:rsid w:val="585029A4"/>
    <w:rsid w:val="5852FAC2"/>
    <w:rsid w:val="58AFD278"/>
    <w:rsid w:val="58C617FA"/>
    <w:rsid w:val="58CB935A"/>
    <w:rsid w:val="5902D7F6"/>
    <w:rsid w:val="5934D6C5"/>
    <w:rsid w:val="5935EBAD"/>
    <w:rsid w:val="59DB9433"/>
    <w:rsid w:val="5A09777B"/>
    <w:rsid w:val="5A4467A5"/>
    <w:rsid w:val="5A48E4D6"/>
    <w:rsid w:val="5A4AED36"/>
    <w:rsid w:val="5A64ECBD"/>
    <w:rsid w:val="5A73C6B1"/>
    <w:rsid w:val="5A7501D4"/>
    <w:rsid w:val="5A98A1DA"/>
    <w:rsid w:val="5A9C8469"/>
    <w:rsid w:val="5AA9882F"/>
    <w:rsid w:val="5ABB244B"/>
    <w:rsid w:val="5B01A9D8"/>
    <w:rsid w:val="5B03C846"/>
    <w:rsid w:val="5B38E173"/>
    <w:rsid w:val="5B3EED17"/>
    <w:rsid w:val="5B46EF00"/>
    <w:rsid w:val="5B67BA48"/>
    <w:rsid w:val="5B757010"/>
    <w:rsid w:val="5B7ECD2A"/>
    <w:rsid w:val="5B9AA745"/>
    <w:rsid w:val="5BB82E23"/>
    <w:rsid w:val="5BB99E90"/>
    <w:rsid w:val="5BBF9E47"/>
    <w:rsid w:val="5BC2BFFA"/>
    <w:rsid w:val="5BC9C8E8"/>
    <w:rsid w:val="5C018C61"/>
    <w:rsid w:val="5C306897"/>
    <w:rsid w:val="5CA42873"/>
    <w:rsid w:val="5CB141A3"/>
    <w:rsid w:val="5CB56FD0"/>
    <w:rsid w:val="5CBDCF5C"/>
    <w:rsid w:val="5CCBACB1"/>
    <w:rsid w:val="5CD08D13"/>
    <w:rsid w:val="5CD98A3A"/>
    <w:rsid w:val="5D2186EC"/>
    <w:rsid w:val="5D4C8476"/>
    <w:rsid w:val="5D6D2890"/>
    <w:rsid w:val="5D856140"/>
    <w:rsid w:val="5D8CC63A"/>
    <w:rsid w:val="5DA5D0BD"/>
    <w:rsid w:val="5E2A3E46"/>
    <w:rsid w:val="5E65CE03"/>
    <w:rsid w:val="5E69E6A2"/>
    <w:rsid w:val="5E917144"/>
    <w:rsid w:val="5ED463AC"/>
    <w:rsid w:val="5ED707BC"/>
    <w:rsid w:val="5F329C2C"/>
    <w:rsid w:val="5FB68F9B"/>
    <w:rsid w:val="5FEDE732"/>
    <w:rsid w:val="5FFAE04A"/>
    <w:rsid w:val="6039647B"/>
    <w:rsid w:val="6083D247"/>
    <w:rsid w:val="60860920"/>
    <w:rsid w:val="608E723E"/>
    <w:rsid w:val="60B18755"/>
    <w:rsid w:val="60D37F63"/>
    <w:rsid w:val="60D7D70C"/>
    <w:rsid w:val="610FCB11"/>
    <w:rsid w:val="61534C17"/>
    <w:rsid w:val="61888DD1"/>
    <w:rsid w:val="6202664C"/>
    <w:rsid w:val="62192D91"/>
    <w:rsid w:val="626AFF81"/>
    <w:rsid w:val="62A7BC3A"/>
    <w:rsid w:val="62EA4299"/>
    <w:rsid w:val="62F5C8DE"/>
    <w:rsid w:val="63043F0A"/>
    <w:rsid w:val="6381BEAB"/>
    <w:rsid w:val="638DDBD2"/>
    <w:rsid w:val="63B136B8"/>
    <w:rsid w:val="63BA2B93"/>
    <w:rsid w:val="63FB35F7"/>
    <w:rsid w:val="641D93AF"/>
    <w:rsid w:val="64657846"/>
    <w:rsid w:val="64A60547"/>
    <w:rsid w:val="64D3095B"/>
    <w:rsid w:val="64D3C790"/>
    <w:rsid w:val="6549C817"/>
    <w:rsid w:val="65542C1F"/>
    <w:rsid w:val="65599828"/>
    <w:rsid w:val="657C57BF"/>
    <w:rsid w:val="65AF2EFD"/>
    <w:rsid w:val="6615FFE2"/>
    <w:rsid w:val="669AF98A"/>
    <w:rsid w:val="66B5A15F"/>
    <w:rsid w:val="66B9FD24"/>
    <w:rsid w:val="66D04A59"/>
    <w:rsid w:val="66E2EF3F"/>
    <w:rsid w:val="66E499C7"/>
    <w:rsid w:val="66EE4640"/>
    <w:rsid w:val="670F077F"/>
    <w:rsid w:val="672FCAEF"/>
    <w:rsid w:val="678BAE8B"/>
    <w:rsid w:val="67B27BC8"/>
    <w:rsid w:val="67BF6E09"/>
    <w:rsid w:val="67D3B70D"/>
    <w:rsid w:val="67D9D0E3"/>
    <w:rsid w:val="68019A6A"/>
    <w:rsid w:val="681E35EC"/>
    <w:rsid w:val="682A7E91"/>
    <w:rsid w:val="68A16B7A"/>
    <w:rsid w:val="68BA7BC9"/>
    <w:rsid w:val="68EE438F"/>
    <w:rsid w:val="69246D41"/>
    <w:rsid w:val="69330F92"/>
    <w:rsid w:val="6951C016"/>
    <w:rsid w:val="69790AD1"/>
    <w:rsid w:val="69BF4EAC"/>
    <w:rsid w:val="6A1064C0"/>
    <w:rsid w:val="6A8DB6FB"/>
    <w:rsid w:val="6AA90BF4"/>
    <w:rsid w:val="6AC49CA7"/>
    <w:rsid w:val="6AC55BAE"/>
    <w:rsid w:val="6AFB7462"/>
    <w:rsid w:val="6B46D852"/>
    <w:rsid w:val="6B5C554C"/>
    <w:rsid w:val="6BC84AA7"/>
    <w:rsid w:val="6BCB0401"/>
    <w:rsid w:val="6C16E6D1"/>
    <w:rsid w:val="6C3A1F72"/>
    <w:rsid w:val="6C5DC5A8"/>
    <w:rsid w:val="6C9001DD"/>
    <w:rsid w:val="6CA6FA20"/>
    <w:rsid w:val="6CEA64E7"/>
    <w:rsid w:val="6CFE1EBE"/>
    <w:rsid w:val="6D01E078"/>
    <w:rsid w:val="6D05CA55"/>
    <w:rsid w:val="6D1CCC82"/>
    <w:rsid w:val="6D40015C"/>
    <w:rsid w:val="6D4349E6"/>
    <w:rsid w:val="6D59EE0F"/>
    <w:rsid w:val="6D5F6DEC"/>
    <w:rsid w:val="6D6AD023"/>
    <w:rsid w:val="6D892185"/>
    <w:rsid w:val="6D8F4779"/>
    <w:rsid w:val="6DADA309"/>
    <w:rsid w:val="6E24DD9E"/>
    <w:rsid w:val="6E46334F"/>
    <w:rsid w:val="6E463F3E"/>
    <w:rsid w:val="6E81DB2B"/>
    <w:rsid w:val="6E8515C5"/>
    <w:rsid w:val="6EC27BB8"/>
    <w:rsid w:val="6EFB7522"/>
    <w:rsid w:val="6F0BDD0E"/>
    <w:rsid w:val="6F1E7E9E"/>
    <w:rsid w:val="6F2D72B5"/>
    <w:rsid w:val="6F6AD824"/>
    <w:rsid w:val="6F88A661"/>
    <w:rsid w:val="6FAE1D23"/>
    <w:rsid w:val="6FF77BA3"/>
    <w:rsid w:val="6FF93C02"/>
    <w:rsid w:val="70095210"/>
    <w:rsid w:val="701A604E"/>
    <w:rsid w:val="7020F553"/>
    <w:rsid w:val="70621CD2"/>
    <w:rsid w:val="7067144F"/>
    <w:rsid w:val="70C480A3"/>
    <w:rsid w:val="70D3BD15"/>
    <w:rsid w:val="70D53C57"/>
    <w:rsid w:val="7123564A"/>
    <w:rsid w:val="713F3572"/>
    <w:rsid w:val="71A96A7D"/>
    <w:rsid w:val="71B1B707"/>
    <w:rsid w:val="71D16310"/>
    <w:rsid w:val="71FB9229"/>
    <w:rsid w:val="7211C984"/>
    <w:rsid w:val="72648669"/>
    <w:rsid w:val="733BD9DA"/>
    <w:rsid w:val="73643240"/>
    <w:rsid w:val="73673291"/>
    <w:rsid w:val="7385D5CA"/>
    <w:rsid w:val="739F5B1F"/>
    <w:rsid w:val="73A1324C"/>
    <w:rsid w:val="73B1C879"/>
    <w:rsid w:val="73CB1BE4"/>
    <w:rsid w:val="73DA2C10"/>
    <w:rsid w:val="74383327"/>
    <w:rsid w:val="7442CBAE"/>
    <w:rsid w:val="7445B039"/>
    <w:rsid w:val="74AF9935"/>
    <w:rsid w:val="74BF3306"/>
    <w:rsid w:val="7500ED16"/>
    <w:rsid w:val="75053718"/>
    <w:rsid w:val="751F2DA9"/>
    <w:rsid w:val="75B40C0B"/>
    <w:rsid w:val="75CE8A98"/>
    <w:rsid w:val="75D1AC1D"/>
    <w:rsid w:val="75E55A24"/>
    <w:rsid w:val="75ECDB4D"/>
    <w:rsid w:val="761C07A4"/>
    <w:rsid w:val="761D9A0F"/>
    <w:rsid w:val="763B452D"/>
    <w:rsid w:val="764C7596"/>
    <w:rsid w:val="76ACB18B"/>
    <w:rsid w:val="77029C08"/>
    <w:rsid w:val="77236B61"/>
    <w:rsid w:val="7758DF7E"/>
    <w:rsid w:val="7759D9F4"/>
    <w:rsid w:val="7762A3B0"/>
    <w:rsid w:val="777B2487"/>
    <w:rsid w:val="77C44162"/>
    <w:rsid w:val="77E1B023"/>
    <w:rsid w:val="77EDD170"/>
    <w:rsid w:val="7809AA13"/>
    <w:rsid w:val="7854A071"/>
    <w:rsid w:val="787E02C5"/>
    <w:rsid w:val="78A38AC6"/>
    <w:rsid w:val="78C67139"/>
    <w:rsid w:val="78C7E004"/>
    <w:rsid w:val="78F12736"/>
    <w:rsid w:val="79002511"/>
    <w:rsid w:val="793D5991"/>
    <w:rsid w:val="7940953D"/>
    <w:rsid w:val="7967FCF7"/>
    <w:rsid w:val="79CDC7A6"/>
    <w:rsid w:val="79E867F6"/>
    <w:rsid w:val="79ED2C45"/>
    <w:rsid w:val="7A1D652B"/>
    <w:rsid w:val="7A3EB097"/>
    <w:rsid w:val="7A985846"/>
    <w:rsid w:val="7AC71A96"/>
    <w:rsid w:val="7ADCDD83"/>
    <w:rsid w:val="7AE8CAD3"/>
    <w:rsid w:val="7AEBE60E"/>
    <w:rsid w:val="7B2F5DE7"/>
    <w:rsid w:val="7B3321E4"/>
    <w:rsid w:val="7B3E7652"/>
    <w:rsid w:val="7B49D54B"/>
    <w:rsid w:val="7B4E51DB"/>
    <w:rsid w:val="7B8712E5"/>
    <w:rsid w:val="7B9765D5"/>
    <w:rsid w:val="7BBE9DEE"/>
    <w:rsid w:val="7BFB6BAC"/>
    <w:rsid w:val="7C4E53A3"/>
    <w:rsid w:val="7C64186D"/>
    <w:rsid w:val="7C7ABD77"/>
    <w:rsid w:val="7C80B55C"/>
    <w:rsid w:val="7C844758"/>
    <w:rsid w:val="7C8B1229"/>
    <w:rsid w:val="7CB36230"/>
    <w:rsid w:val="7D1452DB"/>
    <w:rsid w:val="7D3CD79C"/>
    <w:rsid w:val="7D4E7FEE"/>
    <w:rsid w:val="7D67FEF0"/>
    <w:rsid w:val="7D9DC706"/>
    <w:rsid w:val="7DC88E89"/>
    <w:rsid w:val="7DC93B40"/>
    <w:rsid w:val="7DCFA6B4"/>
    <w:rsid w:val="7E93534A"/>
    <w:rsid w:val="7EA554B5"/>
    <w:rsid w:val="7FAB5B4F"/>
    <w:rsid w:val="7FF989D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3520BA7"/>
  <w15:chartTrackingRefBased/>
  <w15:docId w15:val="{D6011854-DDDB-42EC-B09F-07DA0C449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B49"/>
    <w:pPr>
      <w:widowControl w:val="0"/>
      <w:autoSpaceDE w:val="0"/>
      <w:autoSpaceDN w:val="0"/>
      <w:spacing w:after="0" w:line="240" w:lineRule="auto"/>
    </w:pPr>
    <w:rPr>
      <w:rFonts w:ascii="Times New Roman" w:eastAsia="Times New Roman" w:hAnsi="Times New Roman" w:cs="Times New Roman"/>
    </w:rPr>
  </w:style>
  <w:style w:type="paragraph" w:styleId="Heading1">
    <w:name w:val="heading 1"/>
    <w:basedOn w:val="Normal"/>
    <w:next w:val="Normal"/>
    <w:link w:val="Heading1Char"/>
    <w:uiPriority w:val="9"/>
    <w:qFormat/>
    <w:rsid w:val="00810814"/>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1081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10814"/>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1081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1081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1081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081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081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081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0814"/>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10814"/>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810814"/>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10814"/>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10814"/>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108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08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08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0814"/>
    <w:rPr>
      <w:rFonts w:eastAsiaTheme="majorEastAsia" w:cstheme="majorBidi"/>
      <w:color w:val="272727" w:themeColor="text1" w:themeTint="D8"/>
    </w:rPr>
  </w:style>
  <w:style w:type="paragraph" w:styleId="Title">
    <w:name w:val="Title"/>
    <w:basedOn w:val="Normal"/>
    <w:next w:val="Normal"/>
    <w:link w:val="TitleChar"/>
    <w:uiPriority w:val="10"/>
    <w:qFormat/>
    <w:rsid w:val="0081081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08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081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08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081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0814"/>
    <w:rPr>
      <w:i/>
      <w:iCs/>
      <w:color w:val="404040" w:themeColor="text1" w:themeTint="BF"/>
    </w:rPr>
  </w:style>
  <w:style w:type="paragraph" w:styleId="ListParagraph">
    <w:name w:val="List Paragraph"/>
    <w:basedOn w:val="Normal"/>
    <w:uiPriority w:val="34"/>
    <w:qFormat/>
    <w:rsid w:val="00810814"/>
    <w:pPr>
      <w:ind w:left="720"/>
      <w:contextualSpacing/>
    </w:pPr>
  </w:style>
  <w:style w:type="character" w:styleId="IntenseEmphasis">
    <w:name w:val="Intense Emphasis"/>
    <w:basedOn w:val="DefaultParagraphFont"/>
    <w:uiPriority w:val="21"/>
    <w:qFormat/>
    <w:rsid w:val="00810814"/>
    <w:rPr>
      <w:i/>
      <w:iCs/>
      <w:color w:val="365F91" w:themeColor="accent1" w:themeShade="BF"/>
    </w:rPr>
  </w:style>
  <w:style w:type="paragraph" w:styleId="IntenseQuote">
    <w:name w:val="Intense Quote"/>
    <w:basedOn w:val="Normal"/>
    <w:next w:val="Normal"/>
    <w:link w:val="IntenseQuoteChar"/>
    <w:uiPriority w:val="30"/>
    <w:qFormat/>
    <w:rsid w:val="0081081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10814"/>
    <w:rPr>
      <w:i/>
      <w:iCs/>
      <w:color w:val="365F91" w:themeColor="accent1" w:themeShade="BF"/>
    </w:rPr>
  </w:style>
  <w:style w:type="character" w:styleId="IntenseReference">
    <w:name w:val="Intense Reference"/>
    <w:basedOn w:val="DefaultParagraphFont"/>
    <w:uiPriority w:val="32"/>
    <w:qFormat/>
    <w:rsid w:val="00810814"/>
    <w:rPr>
      <w:b/>
      <w:bCs/>
      <w:smallCaps/>
      <w:color w:val="365F91" w:themeColor="accent1" w:themeShade="BF"/>
      <w:spacing w:val="5"/>
    </w:rPr>
  </w:style>
  <w:style w:type="paragraph" w:styleId="BodyText">
    <w:name w:val="Body Text"/>
    <w:basedOn w:val="Normal"/>
    <w:link w:val="BodyTextChar"/>
    <w:uiPriority w:val="1"/>
    <w:qFormat/>
    <w:rsid w:val="00722B49"/>
    <w:pPr>
      <w:ind w:left="991"/>
      <w:jc w:val="both"/>
    </w:pPr>
    <w:rPr>
      <w:sz w:val="24"/>
      <w:szCs w:val="24"/>
    </w:rPr>
  </w:style>
  <w:style w:type="character" w:customStyle="1" w:styleId="BodyTextChar">
    <w:name w:val="Body Text Char"/>
    <w:basedOn w:val="DefaultParagraphFont"/>
    <w:link w:val="BodyText"/>
    <w:uiPriority w:val="1"/>
    <w:rsid w:val="00722B49"/>
    <w:rPr>
      <w:rFonts w:ascii="Times New Roman" w:eastAsia="Times New Roman" w:hAnsi="Times New Roman" w:cs="Times New Roman"/>
      <w:sz w:val="24"/>
      <w:szCs w:val="24"/>
      <w:lang w:val="da-DK"/>
    </w:rPr>
  </w:style>
  <w:style w:type="paragraph" w:customStyle="1" w:styleId="paragraph">
    <w:name w:val="paragraph"/>
    <w:basedOn w:val="Normal"/>
    <w:rsid w:val="005E6AF1"/>
    <w:pPr>
      <w:widowControl/>
      <w:autoSpaceDE/>
      <w:autoSpaceDN/>
      <w:spacing w:before="100" w:beforeAutospacing="1" w:after="100" w:afterAutospacing="1"/>
    </w:pPr>
    <w:rPr>
      <w:sz w:val="24"/>
      <w:szCs w:val="24"/>
      <w:lang w:eastAsia="en-IE"/>
    </w:rPr>
  </w:style>
  <w:style w:type="character" w:customStyle="1" w:styleId="normaltextrun">
    <w:name w:val="normaltextrun"/>
    <w:basedOn w:val="DefaultParagraphFont"/>
    <w:rsid w:val="00F618EC"/>
  </w:style>
  <w:style w:type="character" w:styleId="CommentReference">
    <w:name w:val="annotation reference"/>
    <w:basedOn w:val="DefaultParagraphFont"/>
    <w:uiPriority w:val="99"/>
    <w:semiHidden/>
    <w:unhideWhenUsed/>
    <w:rsid w:val="006A359F"/>
    <w:rPr>
      <w:sz w:val="16"/>
      <w:szCs w:val="16"/>
    </w:rPr>
  </w:style>
  <w:style w:type="paragraph" w:styleId="CommentText">
    <w:name w:val="annotation text"/>
    <w:basedOn w:val="Normal"/>
    <w:link w:val="CommentTextChar"/>
    <w:uiPriority w:val="99"/>
    <w:unhideWhenUsed/>
    <w:rsid w:val="006A359F"/>
    <w:rPr>
      <w:sz w:val="20"/>
      <w:szCs w:val="20"/>
    </w:rPr>
  </w:style>
  <w:style w:type="character" w:customStyle="1" w:styleId="CommentTextChar">
    <w:name w:val="Comment Text Char"/>
    <w:basedOn w:val="DefaultParagraphFont"/>
    <w:link w:val="CommentText"/>
    <w:uiPriority w:val="99"/>
    <w:rsid w:val="006A359F"/>
    <w:rPr>
      <w:rFonts w:ascii="Times New Roman" w:eastAsia="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sid w:val="006A359F"/>
    <w:rPr>
      <w:b/>
      <w:bCs/>
    </w:rPr>
  </w:style>
  <w:style w:type="character" w:customStyle="1" w:styleId="CommentSubjectChar">
    <w:name w:val="Comment Subject Char"/>
    <w:basedOn w:val="CommentTextChar"/>
    <w:link w:val="CommentSubject"/>
    <w:uiPriority w:val="99"/>
    <w:semiHidden/>
    <w:rsid w:val="006A359F"/>
    <w:rPr>
      <w:rFonts w:ascii="Times New Roman" w:eastAsia="Times New Roman" w:hAnsi="Times New Roman" w:cs="Times New Roman"/>
      <w:b/>
      <w:bCs/>
      <w:sz w:val="20"/>
      <w:szCs w:val="20"/>
      <w:lang w:val="da-DK"/>
    </w:rPr>
  </w:style>
  <w:style w:type="character" w:styleId="FootnoteReference">
    <w:name w:val="footnote reference"/>
    <w:aliases w:val="BVI fnr Char Char Char Char Char1 Char,BVI fnr Car Car Char Char Char Char Char1 Char,BVI fnr Car Char Char Char Char Char1 Char,BVI fnr Car Car Car Car Char Char Char Char Char Char1,BVI fnr Char Char Char Char,BVI fnr Char Char Char"/>
    <w:uiPriority w:val="99"/>
    <w:qFormat/>
    <w:rsid w:val="006E1DEC"/>
    <w:rPr>
      <w:rFonts w:cs="Times New Roman"/>
      <w:vertAlign w:val="superscript"/>
    </w:rPr>
  </w:style>
  <w:style w:type="paragraph" w:styleId="FootnoteText">
    <w:name w:val="footnote text"/>
    <w:basedOn w:val="Normal"/>
    <w:link w:val="FootnoteTextChar"/>
    <w:uiPriority w:val="99"/>
    <w:qFormat/>
    <w:rsid w:val="006E1DEC"/>
    <w:pPr>
      <w:widowControl/>
      <w:autoSpaceDE/>
      <w:autoSpaceDN/>
      <w:spacing w:line="276" w:lineRule="auto"/>
    </w:pPr>
    <w:rPr>
      <w:rFonts w:eastAsia="Calibri"/>
      <w:sz w:val="20"/>
      <w:szCs w:val="20"/>
    </w:rPr>
  </w:style>
  <w:style w:type="character" w:customStyle="1" w:styleId="FootnoteTextChar">
    <w:name w:val="Footnote Text Char"/>
    <w:basedOn w:val="DefaultParagraphFont"/>
    <w:link w:val="FootnoteText"/>
    <w:uiPriority w:val="99"/>
    <w:rsid w:val="006E1DEC"/>
    <w:rPr>
      <w:rFonts w:ascii="Times New Roman" w:eastAsia="Calibri" w:hAnsi="Times New Roman" w:cs="Times New Roman"/>
      <w:sz w:val="20"/>
      <w:szCs w:val="20"/>
      <w:lang w:val="da-DK"/>
    </w:rPr>
  </w:style>
  <w:style w:type="paragraph" w:styleId="NormalWeb">
    <w:name w:val="Normal (Web)"/>
    <w:basedOn w:val="Normal"/>
    <w:uiPriority w:val="99"/>
    <w:unhideWhenUsed/>
    <w:rsid w:val="00D83F61"/>
    <w:pPr>
      <w:widowControl/>
      <w:autoSpaceDE/>
      <w:autoSpaceDN/>
      <w:spacing w:beforeAutospacing="1" w:after="200" w:afterAutospacing="1" w:line="276" w:lineRule="auto"/>
    </w:pPr>
    <w:rPr>
      <w:sz w:val="24"/>
      <w:szCs w:val="24"/>
      <w:lang w:eastAsia="en-GB"/>
    </w:rPr>
  </w:style>
  <w:style w:type="character" w:styleId="Hyperlink">
    <w:name w:val="Hyperlink"/>
    <w:uiPriority w:val="99"/>
    <w:rsid w:val="00301E8C"/>
    <w:rPr>
      <w:rFonts w:cs="Times New Roman"/>
      <w:color w:val="0000FF"/>
      <w:u w:val="single"/>
    </w:rPr>
  </w:style>
  <w:style w:type="paragraph" w:styleId="Revision">
    <w:name w:val="Revision"/>
    <w:hidden/>
    <w:uiPriority w:val="99"/>
    <w:semiHidden/>
    <w:rsid w:val="00DC7928"/>
    <w:pPr>
      <w:spacing w:after="0" w:line="240" w:lineRule="auto"/>
    </w:pPr>
    <w:rPr>
      <w:rFonts w:ascii="Times New Roman" w:eastAsia="Times New Roman" w:hAnsi="Times New Roman" w:cs="Times New Roman"/>
    </w:rPr>
  </w:style>
  <w:style w:type="character" w:customStyle="1" w:styleId="Marker">
    <w:name w:val="Marker"/>
    <w:basedOn w:val="DefaultParagraphFont"/>
    <w:rsid w:val="00DB0FE0"/>
    <w:rPr>
      <w:color w:val="0000FF"/>
      <w:shd w:val="clear" w:color="auto" w:fill="auto"/>
    </w:rPr>
  </w:style>
  <w:style w:type="paragraph" w:styleId="Header">
    <w:name w:val="header"/>
    <w:basedOn w:val="Normal"/>
    <w:link w:val="HeaderChar"/>
    <w:uiPriority w:val="99"/>
    <w:unhideWhenUsed/>
    <w:rsid w:val="00DB0FE0"/>
    <w:pPr>
      <w:tabs>
        <w:tab w:val="center" w:pos="4513"/>
        <w:tab w:val="right" w:pos="9026"/>
      </w:tabs>
    </w:pPr>
  </w:style>
  <w:style w:type="character" w:customStyle="1" w:styleId="HeaderChar">
    <w:name w:val="Header Char"/>
    <w:basedOn w:val="DefaultParagraphFont"/>
    <w:link w:val="Header"/>
    <w:uiPriority w:val="99"/>
    <w:rsid w:val="00DB0FE0"/>
    <w:rPr>
      <w:rFonts w:ascii="Times New Roman" w:eastAsia="Times New Roman" w:hAnsi="Times New Roman" w:cs="Times New Roman"/>
    </w:rPr>
  </w:style>
  <w:style w:type="paragraph" w:styleId="Footer">
    <w:name w:val="footer"/>
    <w:basedOn w:val="Normal"/>
    <w:link w:val="FooterChar"/>
    <w:uiPriority w:val="99"/>
    <w:unhideWhenUsed/>
    <w:rsid w:val="00DB0FE0"/>
    <w:pPr>
      <w:tabs>
        <w:tab w:val="center" w:pos="4513"/>
        <w:tab w:val="right" w:pos="9026"/>
      </w:tabs>
    </w:pPr>
  </w:style>
  <w:style w:type="character" w:customStyle="1" w:styleId="FooterChar">
    <w:name w:val="Footer Char"/>
    <w:basedOn w:val="DefaultParagraphFont"/>
    <w:link w:val="Footer"/>
    <w:uiPriority w:val="99"/>
    <w:rsid w:val="00DB0FE0"/>
    <w:rPr>
      <w:rFonts w:ascii="Times New Roman" w:eastAsia="Times New Roman" w:hAnsi="Times New Roman" w:cs="Times New Roman"/>
    </w:rPr>
  </w:style>
  <w:style w:type="paragraph" w:customStyle="1" w:styleId="Pagedecouverture">
    <w:name w:val="Page de couverture"/>
    <w:basedOn w:val="Normal"/>
    <w:next w:val="Normal"/>
    <w:link w:val="PagedecouvertureChar"/>
    <w:rsid w:val="00DB0FE0"/>
    <w:pPr>
      <w:widowControl/>
      <w:autoSpaceDE/>
      <w:autoSpaceDN/>
      <w:jc w:val="both"/>
    </w:pPr>
    <w:rPr>
      <w:rFonts w:eastAsiaTheme="minorHAnsi"/>
      <w:sz w:val="24"/>
    </w:rPr>
  </w:style>
  <w:style w:type="paragraph" w:customStyle="1" w:styleId="FooterCoverPage">
    <w:name w:val="Footer Cover Page"/>
    <w:basedOn w:val="Normal"/>
    <w:link w:val="FooterCoverPageChar"/>
    <w:rsid w:val="00DB0FE0"/>
    <w:pPr>
      <w:tabs>
        <w:tab w:val="center" w:pos="4535"/>
        <w:tab w:val="right" w:pos="9071"/>
        <w:tab w:val="right" w:pos="9921"/>
      </w:tabs>
      <w:spacing w:before="360"/>
      <w:ind w:left="-850" w:right="-850"/>
    </w:pPr>
    <w:rPr>
      <w:sz w:val="24"/>
    </w:rPr>
  </w:style>
  <w:style w:type="character" w:customStyle="1" w:styleId="PagedecouvertureChar">
    <w:name w:val="Page de couverture Char"/>
    <w:basedOn w:val="DefaultParagraphFont"/>
    <w:link w:val="Pagedecouverture"/>
    <w:rsid w:val="00DB0FE0"/>
    <w:rPr>
      <w:rFonts w:ascii="Times New Roman" w:hAnsi="Times New Roman" w:cs="Times New Roman"/>
      <w:sz w:val="24"/>
    </w:rPr>
  </w:style>
  <w:style w:type="character" w:customStyle="1" w:styleId="FooterCoverPageChar">
    <w:name w:val="Footer Cover Page Char"/>
    <w:basedOn w:val="PagedecouvertureChar"/>
    <w:link w:val="FooterCoverPage"/>
    <w:rsid w:val="00DB0FE0"/>
    <w:rPr>
      <w:rFonts w:ascii="Times New Roman" w:eastAsia="Times New Roman" w:hAnsi="Times New Roman" w:cs="Times New Roman"/>
      <w:sz w:val="24"/>
    </w:rPr>
  </w:style>
  <w:style w:type="paragraph" w:customStyle="1" w:styleId="FooterSensitivity">
    <w:name w:val="Footer Sensitivity"/>
    <w:basedOn w:val="Normal"/>
    <w:link w:val="FooterSensitivityChar"/>
    <w:rsid w:val="00DB0FE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DB0FE0"/>
    <w:rPr>
      <w:rFonts w:ascii="Times New Roman" w:eastAsia="Times New Roman" w:hAnsi="Times New Roman" w:cs="Times New Roman"/>
      <w:b/>
      <w:sz w:val="32"/>
    </w:rPr>
  </w:style>
  <w:style w:type="paragraph" w:customStyle="1" w:styleId="HeaderCoverPage">
    <w:name w:val="Header Cover Page"/>
    <w:basedOn w:val="Normal"/>
    <w:link w:val="HeaderCoverPageChar"/>
    <w:rsid w:val="00DB0FE0"/>
    <w:pPr>
      <w:tabs>
        <w:tab w:val="center" w:pos="4535"/>
        <w:tab w:val="right" w:pos="9071"/>
      </w:tabs>
      <w:spacing w:after="120"/>
      <w:jc w:val="both"/>
    </w:pPr>
    <w:rPr>
      <w:sz w:val="24"/>
    </w:rPr>
  </w:style>
  <w:style w:type="character" w:customStyle="1" w:styleId="HeaderCoverPageChar">
    <w:name w:val="Header Cover Page Char"/>
    <w:basedOn w:val="PagedecouvertureChar"/>
    <w:link w:val="HeaderCoverPage"/>
    <w:rsid w:val="00DB0FE0"/>
    <w:rPr>
      <w:rFonts w:ascii="Times New Roman" w:eastAsia="Times New Roman" w:hAnsi="Times New Roman" w:cs="Times New Roman"/>
      <w:sz w:val="24"/>
    </w:rPr>
  </w:style>
  <w:style w:type="paragraph" w:customStyle="1" w:styleId="HeaderSensitivity">
    <w:name w:val="Header Sensitivity"/>
    <w:basedOn w:val="Normal"/>
    <w:link w:val="HeaderSensitivityChar"/>
    <w:rsid w:val="00DB0FE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DB0FE0"/>
    <w:rPr>
      <w:rFonts w:ascii="Times New Roman" w:eastAsia="Times New Roman" w:hAnsi="Times New Roman" w:cs="Times New Roman"/>
      <w:b/>
      <w:sz w:val="32"/>
    </w:rPr>
  </w:style>
  <w:style w:type="paragraph" w:customStyle="1" w:styleId="HeaderSensitivityRight">
    <w:name w:val="Header Sensitivity Right"/>
    <w:basedOn w:val="Normal"/>
    <w:link w:val="HeaderSensitivityRightChar"/>
    <w:rsid w:val="00DB0FE0"/>
    <w:pPr>
      <w:spacing w:after="120"/>
      <w:jc w:val="right"/>
    </w:pPr>
    <w:rPr>
      <w:sz w:val="28"/>
    </w:rPr>
  </w:style>
  <w:style w:type="character" w:customStyle="1" w:styleId="HeaderSensitivityRightChar">
    <w:name w:val="Header Sensitivity Right Char"/>
    <w:basedOn w:val="PagedecouvertureChar"/>
    <w:link w:val="HeaderSensitivityRight"/>
    <w:rsid w:val="00DB0FE0"/>
    <w:rPr>
      <w:rFonts w:ascii="Times New Roman" w:eastAsia="Times New Roman" w:hAnsi="Times New Roman" w:cs="Times New Roman"/>
      <w:sz w:val="28"/>
    </w:rPr>
  </w:style>
  <w:style w:type="character" w:customStyle="1" w:styleId="Mention">
    <w:name w:val="Mention"/>
    <w:basedOn w:val="DefaultParagraphFont"/>
    <w:uiPriority w:val="99"/>
    <w:unhideWhenUsed/>
    <w:rsid w:val="008179B4"/>
    <w:rPr>
      <w:color w:val="2B579A"/>
      <w:shd w:val="clear" w:color="auto" w:fill="E1DFDD"/>
    </w:rPr>
  </w:style>
  <w:style w:type="character" w:customStyle="1" w:styleId="UnresolvedMention">
    <w:name w:val="Unresolved Mention"/>
    <w:basedOn w:val="DefaultParagraphFont"/>
    <w:uiPriority w:val="99"/>
    <w:semiHidden/>
    <w:unhideWhenUsed/>
    <w:rsid w:val="00775BDF"/>
    <w:rPr>
      <w:color w:val="605E5C"/>
      <w:shd w:val="clear" w:color="auto" w:fill="E1DFDD"/>
    </w:rPr>
  </w:style>
  <w:style w:type="character" w:styleId="FollowedHyperlink">
    <w:name w:val="FollowedHyperlink"/>
    <w:basedOn w:val="DefaultParagraphFont"/>
    <w:uiPriority w:val="99"/>
    <w:semiHidden/>
    <w:unhideWhenUsed/>
    <w:rsid w:val="00775BD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747359">
      <w:bodyDiv w:val="1"/>
      <w:marLeft w:val="0"/>
      <w:marRight w:val="0"/>
      <w:marTop w:val="0"/>
      <w:marBottom w:val="0"/>
      <w:divBdr>
        <w:top w:val="none" w:sz="0" w:space="0" w:color="auto"/>
        <w:left w:val="none" w:sz="0" w:space="0" w:color="auto"/>
        <w:bottom w:val="none" w:sz="0" w:space="0" w:color="auto"/>
        <w:right w:val="none" w:sz="0" w:space="0" w:color="auto"/>
      </w:divBdr>
    </w:div>
    <w:div w:id="59586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DA/TXT/?uri=CELEX%3A52026DC0043&amp;qid=17769605391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D3D1FAE1C074CA2B5EE9164011BB9" ma:contentTypeVersion="13" ma:contentTypeDescription="Create a new document." ma:contentTypeScope="" ma:versionID="922b6c8af9b56aac223a796e7db8a4e0">
  <xsd:schema xmlns:xsd="http://www.w3.org/2001/XMLSchema" xmlns:xs="http://www.w3.org/2001/XMLSchema" xmlns:p="http://schemas.microsoft.com/office/2006/metadata/properties" xmlns:ns3="276a3fec-7058-4290-a439-fa404e7cd0bf" xmlns:ns4="0519401d-69ce-4a4e-9984-ed7d385d4642" targetNamespace="http://schemas.microsoft.com/office/2006/metadata/properties" ma:root="true" ma:fieldsID="a9cac14e677d4aab766856d52d783a2c" ns3:_="" ns4:_="">
    <xsd:import namespace="276a3fec-7058-4290-a439-fa404e7cd0bf"/>
    <xsd:import namespace="0519401d-69ce-4a4e-9984-ed7d385d4642"/>
    <xsd:element name="properties">
      <xsd:complexType>
        <xsd:sequence>
          <xsd:element name="documentManagement">
            <xsd:complexType>
              <xsd:all>
                <xsd:element ref="ns3:_activity" minOccurs="0"/>
                <xsd:element ref="ns3:MediaServiceMetadata" minOccurs="0"/>
                <xsd:element ref="ns3:MediaServiceFastMetadata"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a3fec-7058-4290-a439-fa404e7cd0bf"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19401d-69ce-4a4e-9984-ed7d385d464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276a3fec-7058-4290-a439-fa404e7cd0b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F4A6DA-9021-479E-8401-498B6ABD88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a3fec-7058-4290-a439-fa404e7cd0bf"/>
    <ds:schemaRef ds:uri="0519401d-69ce-4a4e-9984-ed7d385d46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486ED4-2AEB-4C67-925A-47EB3DFBFD3B}">
  <ds:schemaRefs>
    <ds:schemaRef ds:uri="http://schemas.microsoft.com/sharepoint/v3/contenttype/forms"/>
  </ds:schemaRefs>
</ds:datastoreItem>
</file>

<file path=customXml/itemProps3.xml><?xml version="1.0" encoding="utf-8"?>
<ds:datastoreItem xmlns:ds="http://schemas.openxmlformats.org/officeDocument/2006/customXml" ds:itemID="{C445CEBB-72D6-43B4-A2B7-5984F1876B00}">
  <ds:schemaRefs>
    <ds:schemaRef ds:uri="http://schemas.openxmlformats.org/package/2006/metadata/core-properties"/>
    <ds:schemaRef ds:uri="http://www.w3.org/XML/1998/namespace"/>
    <ds:schemaRef ds:uri="http://schemas.microsoft.com/office/2006/documentManagement/types"/>
    <ds:schemaRef ds:uri="http://purl.org/dc/elements/1.1/"/>
    <ds:schemaRef ds:uri="http://purl.org/dc/dcmitype/"/>
    <ds:schemaRef ds:uri="http://schemas.microsoft.com/office/infopath/2007/PartnerControls"/>
    <ds:schemaRef ds:uri="0519401d-69ce-4a4e-9984-ed7d385d4642"/>
    <ds:schemaRef ds:uri="276a3fec-7058-4290-a439-fa404e7cd0bf"/>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3879B90D-4ADF-4666-8ED3-1B85F59A8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22</Pages>
  <Words>15538</Words>
  <Characters>88573</Characters>
  <Application>Microsoft Office Word</Application>
  <DocSecurity>0</DocSecurity>
  <Lines>738</Lines>
  <Paragraphs>207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11</cp:revision>
  <cp:lastPrinted>2026-03-02T13:08:00Z</cp:lastPrinted>
  <dcterms:created xsi:type="dcterms:W3CDTF">2026-03-31T12:44:00Z</dcterms:created>
  <dcterms:modified xsi:type="dcterms:W3CDTF">2026-06-01T07:48:00Z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2025-11-10T10:15:43Z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41906a78-92c7-4f95-b409-4bb5299c9e5a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CPTemplateID">
    <vt:lpwstr>CP-006</vt:lpwstr>
  </property>
  <property fmtid="{D5CDD505-2E9C-101B-9397-08002B2CF9AE}" pid="14" name="Last edited using">
    <vt:lpwstr>LW 9.2, Build 20250828</vt:lpwstr>
  </property>
  <property fmtid="{D5CDD505-2E9C-101B-9397-08002B2CF9AE}" pid="15" name="Created using">
    <vt:lpwstr>LW 9.2, Build 20250828</vt:lpwstr>
  </property>
  <property fmtid="{D5CDD505-2E9C-101B-9397-08002B2CF9AE}" pid="16" name="DocStatus">
    <vt:lpwstr>Green</vt:lpwstr>
  </property>
  <property fmtid="{D5CDD505-2E9C-101B-9397-08002B2CF9AE}" pid="17" name="ContentTypeId">
    <vt:lpwstr>0x010100D1ED3D1FAE1C074CA2B5EE9164011BB9</vt:lpwstr>
  </property>
  <property name="OP_sanitized" fmtid="{D5CDD505-2E9C-101B-9397-08002B2CF9AE}" pid="18">
    <vt:lpwstr>True</vt:lpwstr>
  </property>
</Properties>
</file>