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E796D" w14:textId="52D033A6" w:rsidR="001310BC" w:rsidRPr="00EF376C" w:rsidRDefault="00B451EE" w:rsidP="00B451EE">
      <w:pPr>
        <w:pStyle w:val="Pagedecouverture"/>
        <w:rPr>
          <w:noProof/>
        </w:rPr>
      </w:pPr>
      <w:bookmarkStart w:id="0" w:name="LW_BM_COVERPAGE"/>
      <w:r>
        <w:rPr>
          <w:noProof/>
        </w:rPr>
        <w:pict w14:anchorId="6466C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D8EEBFB-F7A2-4111-BCB1-05F08EFB58FE" style="width:455.25pt;height:300pt">
            <v:imagedata r:id="rId8" o:title=""/>
          </v:shape>
        </w:pict>
      </w:r>
    </w:p>
    <w:bookmarkEnd w:id="0"/>
    <w:p w14:paraId="061525CA" w14:textId="77777777" w:rsidR="001310BC" w:rsidRPr="00EF376C" w:rsidRDefault="001310BC">
      <w:pPr>
        <w:rPr>
          <w:noProof/>
        </w:rPr>
        <w:sectPr w:rsidR="001310BC" w:rsidRPr="00EF376C" w:rsidSect="00B451E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4576C07" w14:textId="77777777" w:rsidR="001310BC" w:rsidRPr="00EF376C" w:rsidRDefault="00D975FE">
      <w:pPr>
        <w:spacing w:line="240" w:lineRule="auto"/>
        <w:jc w:val="center"/>
        <w:rPr>
          <w:rFonts w:ascii="Times New Roman" w:hAnsi="Times New Roman" w:cs="Times New Roman"/>
          <w:b/>
          <w:bCs/>
          <w:noProof/>
          <w:sz w:val="24"/>
          <w:szCs w:val="24"/>
          <w:u w:val="single"/>
        </w:rPr>
      </w:pPr>
      <w:bookmarkStart w:id="1" w:name="_GoBack"/>
      <w:bookmarkEnd w:id="1"/>
      <w:r w:rsidRPr="00EF376C">
        <w:rPr>
          <w:rFonts w:ascii="Times New Roman" w:hAnsi="Times New Roman"/>
          <w:b/>
          <w:noProof/>
          <w:sz w:val="24"/>
          <w:u w:val="single"/>
        </w:rPr>
        <w:lastRenderedPageBreak/>
        <w:t>Energipakken for borgerne – overkommelige energipriser for alle</w:t>
      </w:r>
    </w:p>
    <w:p w14:paraId="58D84AD8" w14:textId="77777777" w:rsidR="001310BC" w:rsidRPr="00EF376C" w:rsidRDefault="00D975FE">
      <w:pPr>
        <w:spacing w:after="120" w:line="240" w:lineRule="auto"/>
        <w:jc w:val="both"/>
        <w:rPr>
          <w:rFonts w:ascii="Times New Roman" w:eastAsia="Times New Roman" w:hAnsi="Times New Roman" w:cs="Times New Roman"/>
          <w:noProof/>
          <w:color w:val="000000"/>
          <w:kern w:val="0"/>
          <w:sz w:val="24"/>
          <w:szCs w:val="24"/>
          <w14:ligatures w14:val="none"/>
        </w:rPr>
      </w:pPr>
      <w:r w:rsidRPr="00EF376C">
        <w:rPr>
          <w:rFonts w:ascii="Times New Roman" w:hAnsi="Times New Roman"/>
          <w:b/>
          <w:noProof/>
          <w:color w:val="000000"/>
          <w:sz w:val="24"/>
        </w:rPr>
        <w:t>Alle europæere</w:t>
      </w:r>
      <w:r w:rsidRPr="00EF376C">
        <w:rPr>
          <w:rFonts w:ascii="Times New Roman" w:hAnsi="Times New Roman"/>
          <w:noProof/>
          <w:color w:val="000000"/>
          <w:sz w:val="24"/>
        </w:rPr>
        <w:t xml:space="preserve"> bør have adgang til ren energi til overkommelige priser i behagelige og modstandsdygtige boliger. </w:t>
      </w:r>
      <w:r w:rsidRPr="00EF376C">
        <w:rPr>
          <w:rFonts w:ascii="Times New Roman" w:hAnsi="Times New Roman"/>
          <w:b/>
          <w:noProof/>
          <w:color w:val="000000"/>
          <w:sz w:val="24"/>
        </w:rPr>
        <w:t>Overkommelige energipriser</w:t>
      </w:r>
      <w:r w:rsidRPr="00EF376C">
        <w:rPr>
          <w:rFonts w:ascii="Times New Roman" w:hAnsi="Times New Roman"/>
          <w:noProof/>
          <w:color w:val="000000"/>
          <w:sz w:val="24"/>
        </w:rPr>
        <w:t xml:space="preserve"> er en afgørende forudsætning for en sikker og anstændig livskvalitet uden fattigdom og for at sikre retfærdighed og inklusion, navnlig for grupper i sårbare situationer og </w:t>
      </w:r>
      <w:r w:rsidRPr="00EF376C">
        <w:rPr>
          <w:rFonts w:ascii="Times New Roman" w:hAnsi="Times New Roman"/>
          <w:noProof/>
          <w:color w:val="000000" w:themeColor="text1"/>
          <w:sz w:val="24"/>
        </w:rPr>
        <w:t>i alle aldre</w:t>
      </w:r>
      <w:r w:rsidRPr="00EF376C">
        <w:rPr>
          <w:rFonts w:ascii="Times New Roman" w:hAnsi="Times New Roman"/>
          <w:noProof/>
          <w:color w:val="000000"/>
          <w:sz w:val="24"/>
        </w:rPr>
        <w:t>. Hvis energipriserne er for høje, går det ud over hele økonomien – forbruget falder, og der lægges en dæmper på erhvervslivet. Det er, hvad energipakken for borgerne har til formål at afhjælpe.</w:t>
      </w:r>
    </w:p>
    <w:p w14:paraId="7CBC1582" w14:textId="77777777" w:rsidR="001310BC" w:rsidRPr="00EF376C" w:rsidRDefault="00D975FE">
      <w:pPr>
        <w:spacing w:after="120" w:line="240" w:lineRule="auto"/>
        <w:jc w:val="both"/>
        <w:rPr>
          <w:rFonts w:ascii="Times New Roman" w:eastAsia="Times New Roman" w:hAnsi="Times New Roman" w:cs="Times New Roman"/>
          <w:noProof/>
          <w:color w:val="000000"/>
          <w:kern w:val="0"/>
          <w:sz w:val="24"/>
          <w:szCs w:val="24"/>
          <w14:ligatures w14:val="none"/>
        </w:rPr>
      </w:pPr>
      <w:r w:rsidRPr="00EF376C">
        <w:rPr>
          <w:rFonts w:ascii="Times New Roman" w:hAnsi="Times New Roman"/>
          <w:noProof/>
          <w:color w:val="000000"/>
          <w:sz w:val="24"/>
        </w:rPr>
        <w:t xml:space="preserve">Den sikreste måde at opnå overkommelige energipriser på er at basere sig på </w:t>
      </w:r>
      <w:r w:rsidRPr="00EF376C">
        <w:rPr>
          <w:rFonts w:ascii="Times New Roman" w:hAnsi="Times New Roman"/>
          <w:b/>
          <w:noProof/>
          <w:color w:val="000000"/>
          <w:sz w:val="24"/>
        </w:rPr>
        <w:t>ren energi, som Europa selv kan producere</w:t>
      </w:r>
      <w:r w:rsidRPr="00EF376C">
        <w:rPr>
          <w:rFonts w:ascii="Times New Roman" w:hAnsi="Times New Roman"/>
          <w:noProof/>
          <w:color w:val="000000"/>
          <w:sz w:val="24"/>
        </w:rPr>
        <w:t xml:space="preserve">. Derfor skal europæerne have mulighed for at skifte fra gas til renere alternativer baseret på elektricitet. </w:t>
      </w:r>
      <w:r w:rsidRPr="00EF376C">
        <w:rPr>
          <w:rFonts w:ascii="Times New Roman" w:hAnsi="Times New Roman"/>
          <w:b/>
          <w:noProof/>
          <w:color w:val="000000"/>
          <w:sz w:val="24"/>
        </w:rPr>
        <w:t>Elektrificering</w:t>
      </w:r>
      <w:r w:rsidRPr="00EF376C">
        <w:rPr>
          <w:rFonts w:ascii="Times New Roman" w:hAnsi="Times New Roman"/>
          <w:noProof/>
          <w:color w:val="000000"/>
          <w:sz w:val="24"/>
        </w:rPr>
        <w:t xml:space="preserve"> vil med tiden medføre lavere og mere stabile priser, samtidig med at Europas uafhængighed, bæredygtighed og konkurrenceevne øges. Medlemsstaterne kan her spille en rolle ved at fastsætte de rette målrettede incitamenter – f.eks. ved at gøre brugen af elektricitet mere attraktiv gennem skatteincitamenter og lavere afgifter.</w:t>
      </w:r>
    </w:p>
    <w:p w14:paraId="569222A6" w14:textId="77777777" w:rsidR="001310BC" w:rsidRPr="00EF376C" w:rsidRDefault="00D975FE">
      <w:pPr>
        <w:spacing w:after="120" w:line="240" w:lineRule="auto"/>
        <w:jc w:val="both"/>
        <w:rPr>
          <w:rFonts w:ascii="Times New Roman" w:eastAsia="Times New Roman" w:hAnsi="Times New Roman" w:cs="Times New Roman"/>
          <w:noProof/>
          <w:color w:val="000000"/>
          <w:kern w:val="0"/>
          <w:sz w:val="24"/>
          <w:szCs w:val="24"/>
          <w14:ligatures w14:val="none"/>
        </w:rPr>
      </w:pPr>
      <w:r w:rsidRPr="00EF376C">
        <w:rPr>
          <w:rFonts w:ascii="Times New Roman" w:hAnsi="Times New Roman"/>
          <w:b/>
          <w:noProof/>
          <w:color w:val="000000" w:themeColor="text1"/>
          <w:sz w:val="24"/>
        </w:rPr>
        <w:t>Fleksibilitet</w:t>
      </w:r>
      <w:r w:rsidRPr="00EF376C">
        <w:rPr>
          <w:rFonts w:ascii="Times New Roman" w:hAnsi="Times New Roman"/>
          <w:noProof/>
          <w:color w:val="000000" w:themeColor="text1"/>
          <w:sz w:val="24"/>
        </w:rPr>
        <w:t xml:space="preserve"> giver beboere i boliger med intelligente målere mulighed for at bruge energi, når der er rigeligt med billigere elektricitet. Intelligent opladning og tovejsopladning af elektriske køretøjer kan yderligere støtte denne fleksibilitet. For at dette kan fungere, bør borgerne have adgang til pålidelig information og rådgivning, der er tilpasset forskellige behov (bl.a. handicap), økonomisk overkommelige teknologier samt tjenester, der belønner forbrugerne for at flytte deres elforbrug fra spidsbelastningsperioder til billigere perioder – med særlig vægt på grupper i fare for digital udstødelse.</w:t>
      </w:r>
      <w:r w:rsidRPr="00EF376C">
        <w:rPr>
          <w:rFonts w:ascii="Times New Roman" w:hAnsi="Times New Roman"/>
          <w:noProof/>
        </w:rPr>
        <w:t xml:space="preserve"> </w:t>
      </w:r>
      <w:r w:rsidRPr="00EF376C">
        <w:rPr>
          <w:rFonts w:ascii="Times New Roman" w:hAnsi="Times New Roman"/>
          <w:noProof/>
          <w:color w:val="000000" w:themeColor="text1"/>
          <w:sz w:val="24"/>
        </w:rPr>
        <w:t>Ifølge en nylig Eurobarometerundersøgelse</w:t>
      </w:r>
      <w:r w:rsidRPr="00EF376C">
        <w:rPr>
          <w:rFonts w:ascii="Times New Roman" w:eastAsia="Times New Roman" w:hAnsi="Times New Roman" w:cs="Times New Roman"/>
          <w:noProof/>
          <w:color w:val="000000"/>
          <w:kern w:val="0"/>
          <w:sz w:val="24"/>
          <w:szCs w:val="24"/>
          <w:vertAlign w:val="superscript"/>
        </w:rPr>
        <w:footnoteReference w:id="1"/>
      </w:r>
      <w:r w:rsidRPr="00EF376C">
        <w:rPr>
          <w:rFonts w:ascii="Times New Roman" w:hAnsi="Times New Roman"/>
          <w:noProof/>
          <w:color w:val="000000" w:themeColor="text1"/>
          <w:sz w:val="24"/>
        </w:rPr>
        <w:t xml:space="preserve"> ønsker energiforbrugerne i EU bedre </w:t>
      </w:r>
      <w:r w:rsidRPr="00EF376C">
        <w:rPr>
          <w:rFonts w:ascii="Times New Roman" w:hAnsi="Times New Roman"/>
          <w:b/>
          <w:noProof/>
          <w:color w:val="000000" w:themeColor="text1"/>
          <w:sz w:val="24"/>
        </w:rPr>
        <w:t>beskyttelse</w:t>
      </w:r>
      <w:r w:rsidRPr="00EF376C">
        <w:rPr>
          <w:rFonts w:ascii="Times New Roman" w:hAnsi="Times New Roman"/>
          <w:noProof/>
          <w:color w:val="000000" w:themeColor="text1"/>
          <w:sz w:val="24"/>
        </w:rPr>
        <w:t xml:space="preserve"> af sårbare forbrugere og dem, der er ramt af energifattigdom, samt større </w:t>
      </w:r>
      <w:r w:rsidRPr="00EF376C">
        <w:rPr>
          <w:rFonts w:ascii="Times New Roman" w:hAnsi="Times New Roman"/>
          <w:b/>
          <w:noProof/>
          <w:color w:val="000000" w:themeColor="text1"/>
          <w:sz w:val="24"/>
        </w:rPr>
        <w:t>klarhed og gennemsigtighed i energiregningerne</w:t>
      </w:r>
      <w:r w:rsidRPr="00EF376C">
        <w:rPr>
          <w:rFonts w:ascii="Times New Roman" w:hAnsi="Times New Roman"/>
          <w:noProof/>
          <w:color w:val="000000" w:themeColor="text1"/>
          <w:sz w:val="24"/>
        </w:rPr>
        <w:t>.</w:t>
      </w:r>
    </w:p>
    <w:p w14:paraId="3F480F0D" w14:textId="77777777" w:rsidR="001310BC" w:rsidRPr="00EF376C" w:rsidRDefault="00D975FE">
      <w:pPr>
        <w:spacing w:after="120" w:line="240" w:lineRule="auto"/>
        <w:jc w:val="both"/>
        <w:rPr>
          <w:rFonts w:ascii="Times New Roman" w:eastAsia="Times New Roman" w:hAnsi="Times New Roman" w:cs="Times New Roman"/>
          <w:noProof/>
          <w:color w:val="000000"/>
          <w:kern w:val="0"/>
          <w:sz w:val="24"/>
          <w:szCs w:val="24"/>
          <w14:ligatures w14:val="none"/>
        </w:rPr>
      </w:pPr>
      <w:r w:rsidRPr="00EF376C">
        <w:rPr>
          <w:rFonts w:ascii="Times New Roman" w:hAnsi="Times New Roman"/>
          <w:noProof/>
          <w:color w:val="000000" w:themeColor="text1"/>
          <w:sz w:val="24"/>
        </w:rPr>
        <w:t xml:space="preserve">Borgere – f.eks. landbrugere, indbyggere i landdistrikter, ejere af små virksomheder eller børnehaver – bør kunne gå sammen om at producere og </w:t>
      </w:r>
      <w:r w:rsidRPr="00EF376C">
        <w:rPr>
          <w:rFonts w:ascii="Times New Roman" w:hAnsi="Times New Roman"/>
          <w:b/>
          <w:noProof/>
          <w:color w:val="000000" w:themeColor="text1"/>
          <w:sz w:val="24"/>
        </w:rPr>
        <w:t>dele</w:t>
      </w:r>
      <w:r w:rsidRPr="00EF376C">
        <w:rPr>
          <w:rFonts w:ascii="Times New Roman" w:hAnsi="Times New Roman"/>
          <w:noProof/>
          <w:color w:val="000000" w:themeColor="text1"/>
          <w:sz w:val="24"/>
        </w:rPr>
        <w:t xml:space="preserve"> egenproduceret energi. Dette letter presset på lokale energinet og forhindrer unødige investeringer i energiinfrastruktur. De finansielle og tekniske krav til oprettelse af </w:t>
      </w:r>
      <w:r w:rsidRPr="00EF376C">
        <w:rPr>
          <w:rFonts w:ascii="Times New Roman" w:hAnsi="Times New Roman"/>
          <w:b/>
          <w:noProof/>
          <w:color w:val="000000" w:themeColor="text1"/>
          <w:sz w:val="24"/>
        </w:rPr>
        <w:t>energifællesskaber</w:t>
      </w:r>
      <w:r w:rsidRPr="00EF376C">
        <w:rPr>
          <w:rFonts w:ascii="Times New Roman" w:hAnsi="Times New Roman"/>
          <w:noProof/>
          <w:color w:val="000000" w:themeColor="text1"/>
          <w:sz w:val="24"/>
        </w:rPr>
        <w:t xml:space="preserve"> bør være klare og enkle. En styrkelse af forbrugernes rolle gavner også europæiske producenter af </w:t>
      </w:r>
      <w:r w:rsidRPr="00EF376C">
        <w:rPr>
          <w:rFonts w:ascii="Times New Roman" w:hAnsi="Times New Roman"/>
          <w:b/>
          <w:noProof/>
          <w:color w:val="000000" w:themeColor="text1"/>
          <w:sz w:val="24"/>
        </w:rPr>
        <w:t>rene teknologier</w:t>
      </w:r>
      <w:r w:rsidRPr="00EF376C">
        <w:rPr>
          <w:rFonts w:ascii="Times New Roman" w:hAnsi="Times New Roman"/>
          <w:noProof/>
          <w:color w:val="000000" w:themeColor="text1"/>
          <w:sz w:val="24"/>
        </w:rPr>
        <w:t xml:space="preserve"> og elleverandører, eftersom øget efterspørgsel efter innovative produkter (såsom varmepumper) og tjenester (såsom social leasing eller varme som en tjeneste) vil skabe investeringssikkerhed og bidrage til at skabe vækst på disse jobmarkeder. Disse innovative teknologier vil også forbedre sammenhængen mellem energi og vand, navnlig under tørke og hedebølger, og dermed bidrage til at mindske energiregningerne</w:t>
      </w:r>
      <w:r w:rsidRPr="00EF376C">
        <w:rPr>
          <w:rStyle w:val="FootnoteReference"/>
          <w:rFonts w:ascii="Times New Roman" w:eastAsia="Times New Roman" w:hAnsi="Times New Roman" w:cs="Times New Roman"/>
          <w:noProof/>
          <w:color w:val="000000"/>
          <w:kern w:val="0"/>
          <w:sz w:val="24"/>
          <w:szCs w:val="24"/>
        </w:rPr>
        <w:footnoteReference w:id="2"/>
      </w:r>
      <w:r w:rsidRPr="00EF376C">
        <w:rPr>
          <w:rFonts w:ascii="Times New Roman" w:hAnsi="Times New Roman"/>
          <w:noProof/>
          <w:color w:val="000000" w:themeColor="text1"/>
          <w:sz w:val="24"/>
        </w:rPr>
        <w:t>.</w:t>
      </w:r>
    </w:p>
    <w:p w14:paraId="4A7629E8" w14:textId="77777777" w:rsidR="001310BC" w:rsidRPr="00EF376C" w:rsidRDefault="00D975FE">
      <w:pPr>
        <w:spacing w:after="120" w:line="240" w:lineRule="auto"/>
        <w:jc w:val="both"/>
        <w:rPr>
          <w:rFonts w:ascii="Times New Roman" w:eastAsia="Times New Roman" w:hAnsi="Times New Roman" w:cs="Times New Roman"/>
          <w:noProof/>
          <w:color w:val="000000"/>
          <w:kern w:val="0"/>
          <w:sz w:val="24"/>
          <w:szCs w:val="24"/>
          <w14:ligatures w14:val="none"/>
        </w:rPr>
      </w:pPr>
      <w:r w:rsidRPr="00EF376C">
        <w:rPr>
          <w:rFonts w:ascii="Times New Roman" w:hAnsi="Times New Roman"/>
          <w:noProof/>
          <w:color w:val="000000" w:themeColor="text1"/>
          <w:sz w:val="24"/>
        </w:rPr>
        <w:t xml:space="preserve">Energipakken for borgerne har ligeledes til formål at bekæmpe </w:t>
      </w:r>
      <w:r w:rsidRPr="00EF376C">
        <w:rPr>
          <w:rFonts w:ascii="Times New Roman" w:hAnsi="Times New Roman"/>
          <w:b/>
          <w:noProof/>
          <w:color w:val="000000" w:themeColor="text1"/>
          <w:sz w:val="24"/>
        </w:rPr>
        <w:t>energifattigdom</w:t>
      </w:r>
      <w:r w:rsidRPr="00EF376C">
        <w:rPr>
          <w:rFonts w:ascii="Times New Roman" w:hAnsi="Times New Roman"/>
          <w:noProof/>
          <w:color w:val="000000" w:themeColor="text1"/>
          <w:sz w:val="24"/>
        </w:rPr>
        <w:t xml:space="preserve"> – en alvorlig situation, som alt for mange borgere i EU i øjeblikket befinder sig i, og som i uforholdsmæssig grad påvirker grupper i sårbare situationer og i landdistrikter eller fjerntliggende områder, i regioner i den yderste periferi og på øer. I 2024 kunne næsten 10 % af EU's borgere ikke i tilstrækkelig grad opvarme deres boliger om vinteren, og mange står over for stigende kølebehov om sommeren. For at mindske energifattigdom og boligudgifter er det af afgørende betydning at forbedre bygningers energimæssige ydeevne og sikre overgangen til billigere elektrisk opvarmning og køling eller fjernvarmesystemer baseret på vedvarende energi.</w:t>
      </w:r>
    </w:p>
    <w:p w14:paraId="32328E5C" w14:textId="77777777" w:rsidR="001310BC" w:rsidRPr="00EF376C" w:rsidRDefault="00D975FE">
      <w:pPr>
        <w:spacing w:after="360" w:line="240" w:lineRule="auto"/>
        <w:jc w:val="both"/>
        <w:rPr>
          <w:rFonts w:ascii="Times New Roman" w:hAnsi="Times New Roman"/>
          <w:noProof/>
          <w:color w:val="000000"/>
          <w:kern w:val="0"/>
          <w:sz w:val="24"/>
          <w14:ligatures w14:val="none"/>
        </w:rPr>
      </w:pPr>
      <w:r w:rsidRPr="00EF376C">
        <w:rPr>
          <w:rFonts w:ascii="Times New Roman" w:hAnsi="Times New Roman"/>
          <w:noProof/>
          <w:color w:val="000000"/>
          <w:sz w:val="24"/>
        </w:rPr>
        <w:t xml:space="preserve">Der findes allerede solid EU-lovgivning på dette område, men </w:t>
      </w:r>
      <w:r w:rsidRPr="00EF376C">
        <w:rPr>
          <w:rFonts w:ascii="Times New Roman" w:hAnsi="Times New Roman"/>
          <w:b/>
          <w:noProof/>
          <w:color w:val="000000"/>
          <w:sz w:val="24"/>
        </w:rPr>
        <w:t>gennemførelsen</w:t>
      </w:r>
      <w:r w:rsidRPr="00EF376C">
        <w:rPr>
          <w:rFonts w:ascii="Times New Roman" w:hAnsi="Times New Roman"/>
          <w:noProof/>
          <w:color w:val="000000"/>
          <w:sz w:val="24"/>
        </w:rPr>
        <w:t xml:space="preserve"> er fortsat uensartet. Det er vigtigt at sikre en effektiv håndhævelse af EU-lovgivningen, så borgerne </w:t>
      </w:r>
      <w:r w:rsidRPr="00EF376C">
        <w:rPr>
          <w:rFonts w:ascii="Times New Roman" w:hAnsi="Times New Roman"/>
          <w:noProof/>
          <w:color w:val="000000" w:themeColor="text1"/>
          <w:sz w:val="24"/>
        </w:rPr>
        <w:t xml:space="preserve">fuldt ud </w:t>
      </w:r>
      <w:r w:rsidRPr="00EF376C">
        <w:rPr>
          <w:rFonts w:ascii="Times New Roman" w:hAnsi="Times New Roman"/>
          <w:noProof/>
          <w:color w:val="000000"/>
          <w:sz w:val="24"/>
        </w:rPr>
        <w:t xml:space="preserve">kan drage fordel af deres rettigheder. De </w:t>
      </w:r>
      <w:r w:rsidRPr="00EF376C">
        <w:rPr>
          <w:rFonts w:ascii="Times New Roman" w:hAnsi="Times New Roman"/>
          <w:b/>
          <w:noProof/>
          <w:color w:val="000000"/>
          <w:sz w:val="24"/>
        </w:rPr>
        <w:t>lokale myndigheder</w:t>
      </w:r>
      <w:r w:rsidRPr="00EF376C">
        <w:rPr>
          <w:rFonts w:ascii="Times New Roman" w:hAnsi="Times New Roman"/>
          <w:noProof/>
          <w:color w:val="000000"/>
          <w:sz w:val="24"/>
        </w:rPr>
        <w:t xml:space="preserve"> spiller en central rolle med hensyn til at støtte borgerne i energiomstillingen gennem administrativ, teknisk og finansiel rådgivning</w:t>
      </w:r>
      <w:r w:rsidRPr="00EF376C">
        <w:rPr>
          <w:rFonts w:ascii="Times New Roman" w:hAnsi="Times New Roman"/>
          <w:noProof/>
          <w:color w:val="000000" w:themeColor="text1"/>
          <w:sz w:val="24"/>
        </w:rPr>
        <w:t xml:space="preserve">, </w:t>
      </w:r>
      <w:r w:rsidRPr="00EF376C">
        <w:rPr>
          <w:rFonts w:ascii="Times New Roman" w:hAnsi="Times New Roman"/>
          <w:noProof/>
          <w:color w:val="000000"/>
          <w:sz w:val="24"/>
        </w:rPr>
        <w:t>navnlig</w:t>
      </w:r>
      <w:r w:rsidRPr="00EF376C">
        <w:rPr>
          <w:rFonts w:ascii="Times New Roman" w:hAnsi="Times New Roman"/>
          <w:noProof/>
          <w:color w:val="000000" w:themeColor="text1"/>
          <w:sz w:val="24"/>
        </w:rPr>
        <w:t xml:space="preserve"> </w:t>
      </w:r>
      <w:r w:rsidRPr="00EF376C">
        <w:rPr>
          <w:rFonts w:ascii="Times New Roman" w:hAnsi="Times New Roman"/>
          <w:noProof/>
          <w:color w:val="000000"/>
          <w:sz w:val="24"/>
        </w:rPr>
        <w:t>når det gælder om at håndtere energifattigdom</w:t>
      </w:r>
      <w:r w:rsidRPr="00EF376C">
        <w:rPr>
          <w:rFonts w:ascii="Times New Roman" w:hAnsi="Times New Roman"/>
          <w:noProof/>
          <w:color w:val="000000" w:themeColor="text1"/>
          <w:sz w:val="24"/>
        </w:rPr>
        <w:t xml:space="preserve"> og nå ud til grupper med særlige behov</w:t>
      </w:r>
      <w:r w:rsidRPr="00EF376C">
        <w:rPr>
          <w:rFonts w:ascii="Times New Roman" w:hAnsi="Times New Roman"/>
          <w:noProof/>
          <w:color w:val="000000"/>
          <w:sz w:val="24"/>
        </w:rPr>
        <w:t>. Med henblik på at</w:t>
      </w:r>
      <w:r w:rsidRPr="00EF376C">
        <w:rPr>
          <w:rFonts w:ascii="Times New Roman" w:hAnsi="Times New Roman"/>
          <w:noProof/>
          <w:color w:val="000000" w:themeColor="text1"/>
          <w:sz w:val="24"/>
        </w:rPr>
        <w:t xml:space="preserve"> </w:t>
      </w:r>
      <w:r w:rsidRPr="00EF376C">
        <w:rPr>
          <w:rFonts w:ascii="Times New Roman" w:hAnsi="Times New Roman"/>
          <w:noProof/>
          <w:color w:val="000000"/>
          <w:sz w:val="24"/>
        </w:rPr>
        <w:t xml:space="preserve">øge </w:t>
      </w:r>
      <w:r w:rsidRPr="00EF376C">
        <w:rPr>
          <w:rFonts w:ascii="Times New Roman" w:hAnsi="Times New Roman"/>
          <w:noProof/>
          <w:color w:val="000000" w:themeColor="text1"/>
          <w:sz w:val="24"/>
        </w:rPr>
        <w:t xml:space="preserve">den fælles </w:t>
      </w:r>
      <w:r w:rsidRPr="00EF376C">
        <w:rPr>
          <w:rFonts w:ascii="Times New Roman" w:hAnsi="Times New Roman"/>
          <w:noProof/>
          <w:color w:val="000000"/>
          <w:sz w:val="24"/>
        </w:rPr>
        <w:t xml:space="preserve">indsats på alle </w:t>
      </w:r>
      <w:r w:rsidRPr="00EF376C">
        <w:rPr>
          <w:rFonts w:ascii="Times New Roman" w:hAnsi="Times New Roman"/>
          <w:noProof/>
          <w:color w:val="000000" w:themeColor="text1"/>
          <w:sz w:val="24"/>
        </w:rPr>
        <w:t xml:space="preserve">forvaltningsniveauer </w:t>
      </w:r>
      <w:r w:rsidRPr="00EF376C">
        <w:rPr>
          <w:rFonts w:ascii="Times New Roman" w:hAnsi="Times New Roman"/>
          <w:noProof/>
          <w:color w:val="000000"/>
          <w:sz w:val="24"/>
        </w:rPr>
        <w:t>og imødekomme EU-borgernes behov indeholder denne meddelelse, der supplerer andre af Kommissionens initiativer</w:t>
      </w:r>
      <w:r w:rsidRPr="00EF376C">
        <w:rPr>
          <w:rFonts w:ascii="Times New Roman" w:eastAsia="Times New Roman" w:hAnsi="Times New Roman" w:cs="Aptos"/>
          <w:noProof/>
          <w:color w:val="000000"/>
          <w:kern w:val="0"/>
          <w:sz w:val="24"/>
          <w:szCs w:val="24"/>
          <w:vertAlign w:val="superscript"/>
        </w:rPr>
        <w:footnoteReference w:id="3"/>
      </w:r>
      <w:r w:rsidRPr="00EF376C">
        <w:rPr>
          <w:rFonts w:ascii="Times New Roman" w:hAnsi="Times New Roman"/>
          <w:noProof/>
          <w:color w:val="000000"/>
          <w:sz w:val="24"/>
        </w:rPr>
        <w:t xml:space="preserve"> om overkommelige energipriser, konkrete foranstaltninger til at i) </w:t>
      </w:r>
      <w:r w:rsidRPr="00EF376C">
        <w:rPr>
          <w:rFonts w:ascii="Times New Roman" w:hAnsi="Times New Roman"/>
          <w:noProof/>
          <w:color w:val="000000"/>
          <w:sz w:val="24"/>
          <w:u w:val="single"/>
        </w:rPr>
        <w:t>mindske energiregningerne for husstandene</w:t>
      </w:r>
      <w:r w:rsidRPr="00EF376C">
        <w:rPr>
          <w:rFonts w:ascii="Times New Roman" w:hAnsi="Times New Roman"/>
          <w:noProof/>
          <w:color w:val="000000"/>
          <w:sz w:val="24"/>
        </w:rPr>
        <w:t xml:space="preserve">, ii) </w:t>
      </w:r>
      <w:r w:rsidRPr="00EF376C">
        <w:rPr>
          <w:rFonts w:ascii="Times New Roman" w:hAnsi="Times New Roman"/>
          <w:noProof/>
          <w:color w:val="000000"/>
          <w:sz w:val="24"/>
          <w:u w:val="single"/>
        </w:rPr>
        <w:t>beskytte og styrke forbrugerne</w:t>
      </w:r>
      <w:r w:rsidRPr="00EF376C">
        <w:rPr>
          <w:rFonts w:ascii="Times New Roman" w:hAnsi="Times New Roman"/>
          <w:noProof/>
          <w:color w:val="000000"/>
          <w:sz w:val="24"/>
        </w:rPr>
        <w:t xml:space="preserve">, iii) </w:t>
      </w:r>
      <w:r w:rsidRPr="00EF376C">
        <w:rPr>
          <w:rFonts w:ascii="Times New Roman" w:hAnsi="Times New Roman"/>
          <w:noProof/>
          <w:color w:val="000000"/>
          <w:sz w:val="24"/>
          <w:u w:val="single"/>
        </w:rPr>
        <w:t>bekæmpe energifattigdom</w:t>
      </w:r>
      <w:r w:rsidRPr="00EF376C">
        <w:rPr>
          <w:rFonts w:ascii="Times New Roman" w:hAnsi="Times New Roman"/>
          <w:noProof/>
          <w:color w:val="000000"/>
          <w:sz w:val="24"/>
        </w:rPr>
        <w:t xml:space="preserve"> og iv) </w:t>
      </w:r>
      <w:r w:rsidRPr="00EF376C">
        <w:rPr>
          <w:rFonts w:ascii="Times New Roman" w:hAnsi="Times New Roman"/>
          <w:noProof/>
          <w:color w:val="000000"/>
          <w:sz w:val="24"/>
          <w:u w:val="single"/>
        </w:rPr>
        <w:t>gennemføre den eksisterende EU-lovgivning på en effektiv måde</w:t>
      </w:r>
      <w:r w:rsidRPr="00EF376C">
        <w:rPr>
          <w:rFonts w:ascii="Times New Roman" w:hAnsi="Times New Roman"/>
          <w:noProof/>
          <w:color w:val="000000"/>
          <w:sz w:val="24"/>
        </w:rPr>
        <w:t>.</w:t>
      </w:r>
    </w:p>
    <w:p w14:paraId="588C3A89" w14:textId="77777777" w:rsidR="001310BC" w:rsidRPr="00EF376C" w:rsidRDefault="00D975FE">
      <w:pPr>
        <w:spacing w:after="120" w:line="240" w:lineRule="auto"/>
        <w:jc w:val="center"/>
        <w:rPr>
          <w:rFonts w:ascii="Times New Roman" w:eastAsia="Times New Roman" w:hAnsi="Times New Roman" w:cs="Times New Roman"/>
          <w:noProof/>
          <w:color w:val="000000"/>
          <w:kern w:val="0"/>
          <w:sz w:val="24"/>
          <w:szCs w:val="24"/>
          <w14:ligatures w14:val="none"/>
        </w:rPr>
      </w:pPr>
      <w:r w:rsidRPr="00EF376C">
        <w:rPr>
          <w:rFonts w:ascii="Times New Roman" w:hAnsi="Times New Roman"/>
          <w:b/>
          <w:smallCaps/>
          <w:noProof/>
          <w:sz w:val="24"/>
          <w:u w:val="single"/>
        </w:rPr>
        <w:t>Søjle I: Mindske energiregningerne for husstandene</w:t>
      </w:r>
    </w:p>
    <w:p w14:paraId="16AE6ED1" w14:textId="77777777" w:rsidR="001310BC" w:rsidRPr="00EF376C" w:rsidRDefault="00D975FE">
      <w:pPr>
        <w:spacing w:after="120" w:line="240" w:lineRule="auto"/>
        <w:jc w:val="both"/>
        <w:rPr>
          <w:rFonts w:ascii="Times New Roman" w:eastAsia="Times New Roman" w:hAnsi="Times New Roman" w:cs="Times New Roman"/>
          <w:noProof/>
          <w:sz w:val="24"/>
          <w:szCs w:val="24"/>
        </w:rPr>
      </w:pPr>
      <w:r w:rsidRPr="00EF376C">
        <w:rPr>
          <w:rFonts w:ascii="Times New Roman" w:hAnsi="Times New Roman"/>
          <w:b/>
          <w:noProof/>
          <w:sz w:val="24"/>
          <w:lang w:val="en-GB" w:eastAsia="en-GB"/>
        </w:rPr>
        <mc:AlternateContent>
          <mc:Choice Requires="wps">
            <w:drawing>
              <wp:anchor distT="45720" distB="45720" distL="114300" distR="114300" simplePos="0" relativeHeight="251658240" behindDoc="0" locked="0" layoutInCell="1" allowOverlap="1" wp14:anchorId="107B60FA" wp14:editId="3DAF6F5D">
                <wp:simplePos x="0" y="0"/>
                <wp:positionH relativeFrom="margin">
                  <wp:posOffset>2006600</wp:posOffset>
                </wp:positionH>
                <wp:positionV relativeFrom="paragraph">
                  <wp:posOffset>72390</wp:posOffset>
                </wp:positionV>
                <wp:extent cx="3702050" cy="3073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3073400"/>
                        </a:xfrm>
                        <a:prstGeom prst="rect">
                          <a:avLst/>
                        </a:prstGeom>
                        <a:solidFill>
                          <a:srgbClr val="FFFFFF"/>
                        </a:solidFill>
                        <a:ln w="9525">
                          <a:solidFill>
                            <a:srgbClr val="000000"/>
                          </a:solidFill>
                          <a:miter lim="800000"/>
                          <a:headEnd/>
                          <a:tailEnd/>
                        </a:ln>
                      </wps:spPr>
                      <wps:txbx>
                        <w:txbxContent>
                          <w:p w14:paraId="28C02197" w14:textId="11D9CBF8" w:rsidR="001310BC" w:rsidRPr="00EF376C" w:rsidRDefault="002C37FE">
                            <w:pPr>
                              <w:spacing w:after="120" w:line="240" w:lineRule="auto"/>
                              <w:jc w:val="both"/>
                              <w:rPr>
                                <w:rFonts w:ascii="Times New Roman" w:eastAsia="Times New Roman" w:hAnsi="Times New Roman" w:cs="Times New Roman"/>
                                <w:i/>
                                <w:color w:val="000000"/>
                                <w:kern w:val="0"/>
                                <w:sz w:val="20"/>
                                <w:szCs w:val="20"/>
                                <w14:ligatures w14:val="none"/>
                              </w:rPr>
                            </w:pPr>
                            <w:r w:rsidRPr="00EF376C">
                              <w:rPr>
                                <w:noProof/>
                                <w:lang w:val="en-GB" w:eastAsia="en-GB"/>
                              </w:rPr>
                              <w:drawing>
                                <wp:inline distT="0" distB="0" distL="0" distR="0" wp14:anchorId="6B72AB8E" wp14:editId="44714BE2">
                                  <wp:extent cx="3510280" cy="2282190"/>
                                  <wp:effectExtent l="0" t="0" r="0" b="3810"/>
                                  <wp:docPr id="1036601391" name="Picture 1" descr="A graph of a number of peop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01391" name="Picture 1" descr="A graph of a number of people with numbers&#10;&#10;AI-generated content may be incorrect."/>
                                          <pic:cNvPicPr/>
                                        </pic:nvPicPr>
                                        <pic:blipFill>
                                          <a:blip r:embed="rId15"/>
                                          <a:stretch>
                                            <a:fillRect/>
                                          </a:stretch>
                                        </pic:blipFill>
                                        <pic:spPr>
                                          <a:xfrm>
                                            <a:off x="0" y="0"/>
                                            <a:ext cx="3510280" cy="2282190"/>
                                          </a:xfrm>
                                          <a:prstGeom prst="rect">
                                            <a:avLst/>
                                          </a:prstGeom>
                                        </pic:spPr>
                                      </pic:pic>
                                    </a:graphicData>
                                  </a:graphic>
                                </wp:inline>
                              </w:drawing>
                            </w:r>
                            <w:r w:rsidR="00D975FE" w:rsidRPr="00EF376C">
                              <w:rPr>
                                <w:rFonts w:ascii="Times New Roman" w:hAnsi="Times New Roman"/>
                                <w:i/>
                                <w:color w:val="000000"/>
                                <w:sz w:val="20"/>
                              </w:rPr>
                              <w:t xml:space="preserve"> </w:t>
                            </w:r>
                          </w:p>
                          <w:p w14:paraId="6DD55A18" w14:textId="77777777" w:rsidR="001310BC" w:rsidRPr="00EF376C" w:rsidRDefault="00D975FE">
                            <w:pPr>
                              <w:spacing w:after="120" w:line="240" w:lineRule="auto"/>
                              <w:jc w:val="both"/>
                              <w:rPr>
                                <w:rFonts w:ascii="Times New Roman" w:eastAsia="Times New Roman" w:hAnsi="Times New Roman" w:cs="Times New Roman"/>
                                <w:i/>
                                <w:color w:val="000000"/>
                                <w:kern w:val="0"/>
                                <w:sz w:val="20"/>
                                <w:szCs w:val="20"/>
                                <w14:ligatures w14:val="none"/>
                              </w:rPr>
                            </w:pPr>
                            <w:r w:rsidRPr="00EF376C">
                              <w:rPr>
                                <w:rFonts w:ascii="Times New Roman" w:hAnsi="Times New Roman"/>
                                <w:i/>
                                <w:color w:val="000000"/>
                                <w:sz w:val="20"/>
                              </w:rPr>
                              <w:t>Figur 1. Gennemsnitlige halvårlige el- og gaspriser i EU for husstande. Kilde: Eurostat – energipriser for husstande (intervallet DC for elektricitet og D2 for gas). Priserne omfatter alle skatter og afgifter. Gaspriser omregnet til EUR/kWh</w:t>
                            </w:r>
                          </w:p>
                          <w:p w14:paraId="2CEE4C6C" w14:textId="77777777" w:rsidR="001310BC" w:rsidRPr="00EF376C" w:rsidRDefault="00131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B60FA" id="_x0000_t202" coordsize="21600,21600" o:spt="202" path="m,l,21600r21600,l21600,xe">
                <v:stroke joinstyle="miter"/>
                <v:path gradientshapeok="t" o:connecttype="rect"/>
              </v:shapetype>
              <v:shape id="Text Box 2" o:spid="_x0000_s1026" type="#_x0000_t202" style="position:absolute;left:0;text-align:left;margin-left:158pt;margin-top:5.7pt;width:291.5pt;height:2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3OJQ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LSYLikx&#10;TKNIj2II5B0MpIj89NaXGPZgMTAMeI06p1q9vQf+3RMDm46Znbh1DvpOsAbzm8aX2cXTEcdHkLr/&#10;BA1+w/YBEtDQOh3JQzoIoqNOx7M2MRWOl7NlXuQLdHH0zfLlbJ4n9TJWPj+3zocPAjSJh4o6FD/B&#10;s8O9DzEdVj6HxN88KNlspVLJcLt6oxw5MGyUbVqpghdhypC+oteLYjEy8FeIPK0/QWgZsOOV1BW9&#10;OgexMvL23jSpHwOTajxjysqciIzcjSyGoR5OwtTQHJFSB2Nn4yTioQP3k5Ieu7qi/seeOUGJ+mhQ&#10;luvpfB7HIBnzxbJAw1166ksPMxyhKhooGY+bkEYnEmbgFuVrZSI26jxmcsoVuzXxfZqsOA6Xdor6&#10;Nf/rJwAAAP//AwBQSwMEFAAGAAgAAAAhAIYqsEjgAAAACgEAAA8AAABkcnMvZG93bnJldi54bWxM&#10;j81OwzAQhO9IvIO1SFxQ64SGkIQ4FUIC0Ru0CK5uvE0i/BNsNw1vz3KC486MZr+p17PRbEIfBmcF&#10;pMsEGNrWqcF2At52j4sCWIjSKqmdRQHfGGDdnJ/VslLuZF9x2saOUYkNlRTQxzhWnIe2RyPD0o1o&#10;yTs4b2Sk03dceXmicqP5dZLk3MjB0odejvjQY/u5PRoBRfY8fYTN6uW9zQ+6jFe309OXF+LyYr6/&#10;AxZxjn9h+MUndGiIae+OVgWmBazSnLZEMtIMGAWKsiRhLyArbzLgTc3/T2h+AAAA//8DAFBLAQIt&#10;ABQABgAIAAAAIQC2gziS/gAAAOEBAAATAAAAAAAAAAAAAAAAAAAAAABbQ29udGVudF9UeXBlc10u&#10;eG1sUEsBAi0AFAAGAAgAAAAhADj9If/WAAAAlAEAAAsAAAAAAAAAAAAAAAAALwEAAF9yZWxzLy5y&#10;ZWxzUEsBAi0AFAAGAAgAAAAhAMfjfc4lAgAARwQAAA4AAAAAAAAAAAAAAAAALgIAAGRycy9lMm9E&#10;b2MueG1sUEsBAi0AFAAGAAgAAAAhAIYqsEjgAAAACgEAAA8AAAAAAAAAAAAAAAAAfwQAAGRycy9k&#10;b3ducmV2LnhtbFBLBQYAAAAABAAEAPMAAACMBQAAAAA=&#10;">
                <v:textbox>
                  <w:txbxContent>
                    <w:p w14:paraId="28C02197" w14:textId="11D9CBF8" w:rsidR="001310BC" w:rsidRPr="00EF376C" w:rsidRDefault="002C37FE">
                      <w:pPr>
                        <w:spacing w:after="120" w:line="240" w:lineRule="auto"/>
                        <w:jc w:val="both"/>
                        <w:rPr>
                          <w:rFonts w:ascii="Times New Roman" w:eastAsia="Times New Roman" w:hAnsi="Times New Roman" w:cs="Times New Roman"/>
                          <w:i/>
                          <w:color w:val="000000"/>
                          <w:kern w:val="0"/>
                          <w:sz w:val="20"/>
                          <w:szCs w:val="20"/>
                          <w14:ligatures w14:val="none"/>
                        </w:rPr>
                      </w:pPr>
                      <w:r w:rsidRPr="00EF376C">
                        <w:rPr>
                          <w:noProof/>
                          <w:lang w:val="en-GB" w:eastAsia="en-GB"/>
                        </w:rPr>
                        <w:drawing>
                          <wp:inline distT="0" distB="0" distL="0" distR="0" wp14:anchorId="6B72AB8E" wp14:editId="44714BE2">
                            <wp:extent cx="3510280" cy="2282190"/>
                            <wp:effectExtent l="0" t="0" r="0" b="3810"/>
                            <wp:docPr id="1036601391" name="Picture 1" descr="A graph of a number of peop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01391" name="Picture 1" descr="A graph of a number of people with numbers&#10;&#10;AI-generated content may be incorrect."/>
                                    <pic:cNvPicPr/>
                                  </pic:nvPicPr>
                                  <pic:blipFill>
                                    <a:blip r:embed="rId15"/>
                                    <a:stretch>
                                      <a:fillRect/>
                                    </a:stretch>
                                  </pic:blipFill>
                                  <pic:spPr>
                                    <a:xfrm>
                                      <a:off x="0" y="0"/>
                                      <a:ext cx="3510280" cy="2282190"/>
                                    </a:xfrm>
                                    <a:prstGeom prst="rect">
                                      <a:avLst/>
                                    </a:prstGeom>
                                  </pic:spPr>
                                </pic:pic>
                              </a:graphicData>
                            </a:graphic>
                          </wp:inline>
                        </w:drawing>
                      </w:r>
                      <w:r w:rsidR="00D975FE" w:rsidRPr="00EF376C">
                        <w:rPr>
                          <w:rFonts w:ascii="Times New Roman" w:hAnsi="Times New Roman"/>
                          <w:i/>
                          <w:color w:val="000000"/>
                          <w:sz w:val="20"/>
                        </w:rPr>
                        <w:t xml:space="preserve"> </w:t>
                      </w:r>
                    </w:p>
                    <w:p w14:paraId="6DD55A18" w14:textId="77777777" w:rsidR="001310BC" w:rsidRPr="00EF376C" w:rsidRDefault="00D975FE">
                      <w:pPr>
                        <w:spacing w:after="120" w:line="240" w:lineRule="auto"/>
                        <w:jc w:val="both"/>
                        <w:rPr>
                          <w:rFonts w:ascii="Times New Roman" w:eastAsia="Times New Roman" w:hAnsi="Times New Roman" w:cs="Times New Roman"/>
                          <w:i/>
                          <w:color w:val="000000"/>
                          <w:kern w:val="0"/>
                          <w:sz w:val="20"/>
                          <w:szCs w:val="20"/>
                          <w14:ligatures w14:val="none"/>
                        </w:rPr>
                      </w:pPr>
                      <w:r w:rsidRPr="00EF376C">
                        <w:rPr>
                          <w:rFonts w:ascii="Times New Roman" w:hAnsi="Times New Roman"/>
                          <w:i/>
                          <w:color w:val="000000"/>
                          <w:sz w:val="20"/>
                        </w:rPr>
                        <w:t>Figur 1. Gennemsnitlige halvårlige el- og gaspriser i EU for husstande. Kilde: Eurostat – energipriser for husstande (intervallet DC for elektricitet og D2 for gas). Priserne omfatter alle skatter og afgifter. Gaspriser omregnet til EUR/kWh</w:t>
                      </w:r>
                    </w:p>
                    <w:p w14:paraId="2CEE4C6C" w14:textId="77777777" w:rsidR="001310BC" w:rsidRPr="00EF376C" w:rsidRDefault="001310BC"/>
                  </w:txbxContent>
                </v:textbox>
                <w10:wrap type="square" anchorx="margin"/>
              </v:shape>
            </w:pict>
          </mc:Fallback>
        </mc:AlternateContent>
      </w:r>
      <w:r w:rsidRPr="00EF376C">
        <w:rPr>
          <w:rFonts w:ascii="Times New Roman" w:hAnsi="Times New Roman"/>
          <w:b/>
          <w:noProof/>
          <w:sz w:val="24"/>
        </w:rPr>
        <w:t>Høje energipriser skader Europas økonomi og borgere.</w:t>
      </w:r>
      <w:r w:rsidRPr="00EF376C">
        <w:rPr>
          <w:rFonts w:ascii="Times New Roman" w:hAnsi="Times New Roman"/>
          <w:noProof/>
          <w:sz w:val="24"/>
        </w:rPr>
        <w:t xml:space="preserve"> Priserne på elektricitet til husstande steg kraftigt under krisen og er i dag fortsat høje til uforholdsmæssig stor skade for grupper i sårbare situationer. Detailpriserne på elektricitet til husstande i EU ligger 36 % over gennemsnittet for 2014-2020, og detailpriserne på gas er 68 % højere end gennemsnittet i samme periode. Som reference lå inflationen i samme periode på 26 %, hvilket betyder, at priserne er steget med 10 %, efter at der er korrigeret for inflation.  </w:t>
      </w:r>
    </w:p>
    <w:p w14:paraId="3CDE019F" w14:textId="77777777" w:rsidR="001310BC" w:rsidRPr="00EF376C" w:rsidRDefault="00D975FE">
      <w:pPr>
        <w:spacing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 xml:space="preserve">Borgernes energiregninger påvirkes af </w:t>
      </w:r>
      <w:r w:rsidRPr="00EF376C">
        <w:rPr>
          <w:rFonts w:ascii="Times New Roman" w:hAnsi="Times New Roman"/>
          <w:b/>
          <w:noProof/>
          <w:sz w:val="24"/>
        </w:rPr>
        <w:t>netgebyrer</w:t>
      </w:r>
      <w:r w:rsidRPr="00EF376C">
        <w:rPr>
          <w:rFonts w:ascii="Times New Roman" w:hAnsi="Times New Roman"/>
          <w:noProof/>
          <w:sz w:val="24"/>
        </w:rPr>
        <w:t xml:space="preserve">, </w:t>
      </w:r>
      <w:r w:rsidRPr="00EF376C">
        <w:rPr>
          <w:rFonts w:ascii="Times New Roman" w:hAnsi="Times New Roman"/>
          <w:b/>
          <w:noProof/>
          <w:sz w:val="24"/>
        </w:rPr>
        <w:t>nationale skatter og afgifter</w:t>
      </w:r>
      <w:r w:rsidRPr="00EF376C">
        <w:rPr>
          <w:rFonts w:ascii="Times New Roman" w:hAnsi="Times New Roman"/>
          <w:noProof/>
          <w:sz w:val="24"/>
        </w:rPr>
        <w:t xml:space="preserve">, </w:t>
      </w:r>
      <w:r w:rsidRPr="00EF376C">
        <w:rPr>
          <w:rFonts w:ascii="Times New Roman" w:hAnsi="Times New Roman"/>
          <w:b/>
          <w:noProof/>
          <w:sz w:val="24"/>
        </w:rPr>
        <w:t>engrosprisen på energi</w:t>
      </w:r>
      <w:r w:rsidRPr="00EF376C">
        <w:rPr>
          <w:rFonts w:ascii="Times New Roman" w:hAnsi="Times New Roman"/>
          <w:noProof/>
          <w:sz w:val="24"/>
        </w:rPr>
        <w:t xml:space="preserve"> og det individuelle </w:t>
      </w:r>
      <w:r w:rsidRPr="00EF376C">
        <w:rPr>
          <w:rFonts w:ascii="Times New Roman" w:hAnsi="Times New Roman"/>
          <w:b/>
          <w:noProof/>
          <w:sz w:val="24"/>
        </w:rPr>
        <w:t>forbrugsniveau</w:t>
      </w:r>
      <w:r w:rsidRPr="00EF376C">
        <w:rPr>
          <w:rFonts w:ascii="Times New Roman" w:hAnsi="Times New Roman"/>
          <w:noProof/>
          <w:sz w:val="24"/>
        </w:rPr>
        <w:t>. Ansvaret for de nationale energiskatter og beregningen af netgebyrer ligger primært hos medlemsstaterne og deres regulerende myndigheder, der dermed har mulighed for at gøre energiregningerne mere økonomisk overkommelige. Kommissionen foreslår derfor fire konkrete foranstaltninger i den forbindelse.</w:t>
      </w:r>
    </w:p>
    <w:p w14:paraId="02F8F3D2" w14:textId="77777777" w:rsidR="00EA1B3F" w:rsidRPr="00EF376C" w:rsidRDefault="00EA1B3F">
      <w:pPr>
        <w:rPr>
          <w:rFonts w:ascii="Times New Roman" w:hAnsi="Times New Roman"/>
          <w:b/>
          <w:noProof/>
          <w:color w:val="000000" w:themeColor="text1"/>
          <w:sz w:val="24"/>
          <w:u w:val="single"/>
        </w:rPr>
      </w:pPr>
      <w:r w:rsidRPr="00EF376C">
        <w:rPr>
          <w:rFonts w:ascii="Times New Roman" w:hAnsi="Times New Roman"/>
          <w:b/>
          <w:noProof/>
          <w:color w:val="000000" w:themeColor="text1"/>
          <w:sz w:val="24"/>
          <w:u w:val="single"/>
        </w:rPr>
        <w:br w:type="page"/>
      </w:r>
    </w:p>
    <w:p w14:paraId="2BF1055B" w14:textId="56F1528E" w:rsidR="001310BC" w:rsidRPr="00EF376C" w:rsidRDefault="00D975FE">
      <w:pPr>
        <w:rPr>
          <w:rFonts w:ascii="Times New Roman" w:eastAsia="Aptos" w:hAnsi="Times New Roman" w:cs="Times New Roman"/>
          <w:b/>
          <w:noProof/>
          <w:color w:val="000000" w:themeColor="text1"/>
          <w:sz w:val="24"/>
          <w:szCs w:val="24"/>
          <w:u w:val="single"/>
        </w:rPr>
      </w:pPr>
      <w:r w:rsidRPr="00EF376C">
        <w:rPr>
          <w:rFonts w:ascii="Times New Roman" w:hAnsi="Times New Roman"/>
          <w:b/>
          <w:noProof/>
          <w:color w:val="000000" w:themeColor="text1"/>
          <w:sz w:val="24"/>
          <w:u w:val="single"/>
        </w:rPr>
        <w:t>Foranstaltning 1: Nedsætte skatterne og afgifterne på elektricitet til husstande til EU's minimum</w:t>
      </w:r>
    </w:p>
    <w:p w14:paraId="586750AB" w14:textId="0FAF5C06" w:rsidR="001310BC" w:rsidRPr="00EF376C" w:rsidRDefault="00D975FE">
      <w:pPr>
        <w:spacing w:line="240" w:lineRule="auto"/>
        <w:jc w:val="both"/>
        <w:rPr>
          <w:rFonts w:ascii="Times New Roman" w:eastAsia="Aptos" w:hAnsi="Times New Roman" w:cs="Times New Roman"/>
          <w:noProof/>
          <w:sz w:val="24"/>
          <w:szCs w:val="24"/>
        </w:rPr>
      </w:pPr>
      <w:r w:rsidRPr="00EF376C">
        <w:rPr>
          <w:rFonts w:ascii="Times New Roman" w:hAnsi="Times New Roman"/>
          <w:b/>
          <w:noProof/>
          <w:sz w:val="24"/>
          <w:lang w:val="en-GB" w:eastAsia="en-GB"/>
        </w:rPr>
        <mc:AlternateContent>
          <mc:Choice Requires="wps">
            <w:drawing>
              <wp:anchor distT="45720" distB="45720" distL="114300" distR="114300" simplePos="0" relativeHeight="251658241" behindDoc="0" locked="0" layoutInCell="1" allowOverlap="1" wp14:anchorId="170F22FB" wp14:editId="6F059EDC">
                <wp:simplePos x="0" y="0"/>
                <wp:positionH relativeFrom="margin">
                  <wp:posOffset>99060</wp:posOffset>
                </wp:positionH>
                <wp:positionV relativeFrom="paragraph">
                  <wp:posOffset>67310</wp:posOffset>
                </wp:positionV>
                <wp:extent cx="3479800" cy="2514600"/>
                <wp:effectExtent l="0" t="0" r="25400" b="19050"/>
                <wp:wrapSquare wrapText="bothSides"/>
                <wp:docPr id="152403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514600"/>
                        </a:xfrm>
                        <a:prstGeom prst="rect">
                          <a:avLst/>
                        </a:prstGeom>
                        <a:solidFill>
                          <a:srgbClr val="FFFFFF"/>
                        </a:solidFill>
                        <a:ln w="9525">
                          <a:solidFill>
                            <a:srgbClr val="000000"/>
                          </a:solidFill>
                          <a:miter lim="800000"/>
                          <a:headEnd/>
                          <a:tailEnd/>
                        </a:ln>
                      </wps:spPr>
                      <wps:txbx>
                        <w:txbxContent>
                          <w:p w14:paraId="29D4C1DB" w14:textId="7DEF7B6C" w:rsidR="001310BC" w:rsidRPr="00EF376C" w:rsidRDefault="002C37FE">
                            <w:pPr>
                              <w:spacing w:line="240" w:lineRule="auto"/>
                              <w:jc w:val="center"/>
                              <w:rPr>
                                <w:rFonts w:ascii="Times New Roman" w:eastAsia="Aptos" w:hAnsi="Times New Roman" w:cs="Times New Roman"/>
                                <w:sz w:val="20"/>
                                <w:szCs w:val="20"/>
                              </w:rPr>
                            </w:pPr>
                            <w:r w:rsidRPr="00EF376C">
                              <w:rPr>
                                <w:noProof/>
                                <w:lang w:val="en-GB" w:eastAsia="en-GB"/>
                              </w:rPr>
                              <w:drawing>
                                <wp:inline distT="0" distB="0" distL="0" distR="0" wp14:anchorId="675ECB8D" wp14:editId="4D873004">
                                  <wp:extent cx="3288030" cy="1876425"/>
                                  <wp:effectExtent l="0" t="0" r="7620" b="9525"/>
                                  <wp:docPr id="669578228"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78228" name="Picture 1" descr="A graph with numbers and a bar&#10;&#10;AI-generated content may be incorrect."/>
                                          <pic:cNvPicPr/>
                                        </pic:nvPicPr>
                                        <pic:blipFill>
                                          <a:blip r:embed="rId16"/>
                                          <a:stretch>
                                            <a:fillRect/>
                                          </a:stretch>
                                        </pic:blipFill>
                                        <pic:spPr>
                                          <a:xfrm>
                                            <a:off x="0" y="0"/>
                                            <a:ext cx="3288030" cy="1876425"/>
                                          </a:xfrm>
                                          <a:prstGeom prst="rect">
                                            <a:avLst/>
                                          </a:prstGeom>
                                        </pic:spPr>
                                      </pic:pic>
                                    </a:graphicData>
                                  </a:graphic>
                                </wp:inline>
                              </w:drawing>
                            </w:r>
                          </w:p>
                          <w:p w14:paraId="621DC027" w14:textId="77777777" w:rsidR="001310BC" w:rsidRPr="00EF376C" w:rsidRDefault="00D975FE">
                            <w:pPr>
                              <w:spacing w:line="240" w:lineRule="auto"/>
                              <w:jc w:val="center"/>
                              <w:rPr>
                                <w:rFonts w:ascii="Times New Roman" w:eastAsia="Aptos" w:hAnsi="Times New Roman" w:cs="Times New Roman"/>
                                <w:i/>
                                <w:iCs/>
                                <w:sz w:val="20"/>
                                <w:szCs w:val="20"/>
                              </w:rPr>
                            </w:pPr>
                            <w:r w:rsidRPr="00EF376C">
                              <w:rPr>
                                <w:rFonts w:ascii="Times New Roman" w:hAnsi="Times New Roman"/>
                                <w:i/>
                                <w:sz w:val="20"/>
                              </w:rPr>
                              <w:t>Figur 2. Elpriskomponenter for gennemsnitlige husstande i EU (2019-2024). Kilde: Eurostat.</w:t>
                            </w:r>
                          </w:p>
                          <w:p w14:paraId="2A6190F4" w14:textId="77777777" w:rsidR="001310BC" w:rsidRPr="00EF376C" w:rsidRDefault="001310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F22FB" id="_x0000_s1027" type="#_x0000_t202" style="position:absolute;left:0;text-align:left;margin-left:7.8pt;margin-top:5.3pt;width:274pt;height:19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ELAIAAFUEAAAOAAAAZHJzL2Uyb0RvYy54bWysVNtu2zAMfR+wfxD0vthxnLQx4hRdugwD&#10;ugvQ7gNkWY6FSaInKbGzry8lp2l2exnmB4EUySPykPTqZtCKHIR1EkxJp5OUEmE41NLsSvr1cfvm&#10;mhLnmamZAiNKehSO3qxfv1r1XSEyaEHVwhIEMa7ou5K23ndFkjjeCs3cBDph0NiA1cyjandJbVmP&#10;6FolWZoukh5s3Vngwjm8vRuNdB3xm0Zw/7lpnPBElRRz8/G08azCmaxXrNhZ1rWSn9Jg/5CFZtLg&#10;o2eoO+YZ2Vv5G5SW3IKDxk846ASaRnIRa8Bqpukv1Ty0rBOxFiTHdWea3P+D5Z8OXyyRNfZunuXp&#10;bLZIp5QYprFXj2Lw5C0MJAs09Z0r0PuhQ38/4DWGxJJddw/8myMGNi0zO3FrLfStYDWmOQ2RyUXo&#10;iOMCSNV/hBqfYXsPEWhorA4cIisE0bFdx3OLQiocL2f51fI6RRNHWzaf5gtUwhuseA7vrPPvBWgS&#10;hJJanIEIzw73zo+uzy7hNQdK1lupVFTsrtooSw4M52UbvxP6T27KkL6ky3k2Hxn4K0Qavz9BaOlx&#10;8JXUJcV68AtOrAi8vTN1lD2TapSxOmVORAbuRhb9UA1j60JsILmC+ojMWhjnHPcShRbsD0p6nPGS&#10;uu97ZgUl6oPB7iyneR6WIir5/CpDxV5aqksLMxyhSuopGcWNj4sU0jZwi11sZOT3JZNTyji7sUOn&#10;PQvLcalHr5e/wfoJAAD//wMAUEsDBBQABgAIAAAAIQC7xDZx3AAAAAkBAAAPAAAAZHJzL2Rvd25y&#10;ZXYueG1sTE9BTsMwELwj8QdrkbggakNbU0KcCiGB4AYFwdWNt0mEvQ6xm4bfs5zgNDua0exMuZ6C&#10;FyMOqYtk4GKmQCDV0XXUGHh7vT9fgUjZkrM+Ehr4xgTr6viotIWLB3rBcZMbwSGUCmugzbkvpEx1&#10;i8GmWeyRWNvFIdjMdGikG+yBw4OXl0ppGWxH/KG1Pd61WH9u9sHAavE4fqSn+fN7rXf+Op9djQ9f&#10;gzGnJ9PtDYiMU/4zw299rg4Vd9rGPbkkPPOlZiejYmR9qed8bA0slNYgq1L+X1D9AAAA//8DAFBL&#10;AQItABQABgAIAAAAIQC2gziS/gAAAOEBAAATAAAAAAAAAAAAAAAAAAAAAABbQ29udGVudF9UeXBl&#10;c10ueG1sUEsBAi0AFAAGAAgAAAAhADj9If/WAAAAlAEAAAsAAAAAAAAAAAAAAAAALwEAAF9yZWxz&#10;Ly5yZWxzUEsBAi0AFAAGAAgAAAAhACC3+0QsAgAAVQQAAA4AAAAAAAAAAAAAAAAALgIAAGRycy9l&#10;Mm9Eb2MueG1sUEsBAi0AFAAGAAgAAAAhALvENnHcAAAACQEAAA8AAAAAAAAAAAAAAAAAhgQAAGRy&#10;cy9kb3ducmV2LnhtbFBLBQYAAAAABAAEAPMAAACPBQAAAAA=&#10;">
                <v:textbox>
                  <w:txbxContent>
                    <w:p w14:paraId="29D4C1DB" w14:textId="7DEF7B6C" w:rsidR="001310BC" w:rsidRPr="00EF376C" w:rsidRDefault="002C37FE">
                      <w:pPr>
                        <w:spacing w:line="240" w:lineRule="auto"/>
                        <w:jc w:val="center"/>
                        <w:rPr>
                          <w:rFonts w:ascii="Times New Roman" w:eastAsia="Aptos" w:hAnsi="Times New Roman" w:cs="Times New Roman"/>
                          <w:sz w:val="20"/>
                          <w:szCs w:val="20"/>
                        </w:rPr>
                      </w:pPr>
                      <w:r w:rsidRPr="00EF376C">
                        <w:rPr>
                          <w:noProof/>
                          <w:lang w:val="en-GB" w:eastAsia="en-GB"/>
                        </w:rPr>
                        <w:drawing>
                          <wp:inline distT="0" distB="0" distL="0" distR="0" wp14:anchorId="675ECB8D" wp14:editId="4D873004">
                            <wp:extent cx="3288030" cy="1876425"/>
                            <wp:effectExtent l="0" t="0" r="7620" b="9525"/>
                            <wp:docPr id="669578228"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78228" name="Picture 1" descr="A graph with numbers and a bar&#10;&#10;AI-generated content may be incorrect."/>
                                    <pic:cNvPicPr/>
                                  </pic:nvPicPr>
                                  <pic:blipFill>
                                    <a:blip r:embed="rId16"/>
                                    <a:stretch>
                                      <a:fillRect/>
                                    </a:stretch>
                                  </pic:blipFill>
                                  <pic:spPr>
                                    <a:xfrm>
                                      <a:off x="0" y="0"/>
                                      <a:ext cx="3288030" cy="1876425"/>
                                    </a:xfrm>
                                    <a:prstGeom prst="rect">
                                      <a:avLst/>
                                    </a:prstGeom>
                                  </pic:spPr>
                                </pic:pic>
                              </a:graphicData>
                            </a:graphic>
                          </wp:inline>
                        </w:drawing>
                      </w:r>
                    </w:p>
                    <w:p w14:paraId="621DC027" w14:textId="77777777" w:rsidR="001310BC" w:rsidRPr="00EF376C" w:rsidRDefault="00D975FE">
                      <w:pPr>
                        <w:spacing w:line="240" w:lineRule="auto"/>
                        <w:jc w:val="center"/>
                        <w:rPr>
                          <w:rFonts w:ascii="Times New Roman" w:eastAsia="Aptos" w:hAnsi="Times New Roman" w:cs="Times New Roman"/>
                          <w:i/>
                          <w:iCs/>
                          <w:sz w:val="20"/>
                          <w:szCs w:val="20"/>
                        </w:rPr>
                      </w:pPr>
                      <w:r w:rsidRPr="00EF376C">
                        <w:rPr>
                          <w:rFonts w:ascii="Times New Roman" w:hAnsi="Times New Roman"/>
                          <w:i/>
                          <w:sz w:val="20"/>
                        </w:rPr>
                        <w:t>Figur 2. Elpriskomponenter for gennemsnitlige husstande i EU (2019-2024). Kilde: Eurostat.</w:t>
                      </w:r>
                    </w:p>
                    <w:p w14:paraId="2A6190F4" w14:textId="77777777" w:rsidR="001310BC" w:rsidRPr="00EF376C" w:rsidRDefault="001310BC"/>
                  </w:txbxContent>
                </v:textbox>
                <w10:wrap type="square" anchorx="margin"/>
              </v:shape>
            </w:pict>
          </mc:Fallback>
        </mc:AlternateContent>
      </w:r>
      <w:r w:rsidRPr="00EF376C">
        <w:rPr>
          <w:rFonts w:ascii="Times New Roman" w:hAnsi="Times New Roman"/>
          <w:b/>
          <w:noProof/>
          <w:sz w:val="24"/>
        </w:rPr>
        <w:t>Skatter og afgifter på elektricitet udgør i gennemsnit 25 % af prisen for husstande og 15 % af prisen for virksomheder.</w:t>
      </w:r>
      <w:r w:rsidR="00B21A70" w:rsidRPr="00EF376C">
        <w:rPr>
          <w:rFonts w:ascii="Times New Roman" w:hAnsi="Times New Roman"/>
          <w:noProof/>
          <w:sz w:val="24"/>
        </w:rPr>
        <w:t xml:space="preserve"> </w:t>
      </w:r>
      <w:r w:rsidRPr="00EF376C">
        <w:rPr>
          <w:rFonts w:ascii="Times New Roman" w:hAnsi="Times New Roman"/>
          <w:noProof/>
          <w:sz w:val="24"/>
        </w:rPr>
        <w:t>Medlemsstaterne kan nedsætte de nationale energiskatter og -afgifter, herunder yderligere skatter eller afgifter uden tilknytning til energi (f.eks. public service-medieafgifter, der lægges oven i elregningerne</w:t>
      </w:r>
      <w:r w:rsidRPr="00EF376C">
        <w:rPr>
          <w:rStyle w:val="FootnoteReference"/>
          <w:rFonts w:ascii="Times New Roman" w:eastAsia="Aptos" w:hAnsi="Times New Roman" w:cs="Times New Roman"/>
          <w:noProof/>
          <w:sz w:val="24"/>
          <w:szCs w:val="24"/>
        </w:rPr>
        <w:footnoteReference w:id="4"/>
      </w:r>
      <w:r w:rsidRPr="00EF376C">
        <w:rPr>
          <w:rFonts w:ascii="Times New Roman" w:hAnsi="Times New Roman"/>
          <w:noProof/>
          <w:sz w:val="24"/>
        </w:rPr>
        <w:t xml:space="preserve">). Det vil være til gavn for alle, navnlig sårbare husstande, at fjerne ikkerelaterede udgifter fra elregningerne. </w:t>
      </w:r>
    </w:p>
    <w:p w14:paraId="0E8E9D72" w14:textId="77777777" w:rsidR="001310BC" w:rsidRPr="00EF376C" w:rsidRDefault="00D975FE">
      <w:pPr>
        <w:spacing w:line="240" w:lineRule="auto"/>
        <w:jc w:val="both"/>
        <w:rPr>
          <w:rFonts w:ascii="Times New Roman" w:eastAsia="Aptos" w:hAnsi="Times New Roman" w:cs="Times New Roman"/>
          <w:noProof/>
          <w:sz w:val="24"/>
          <w:szCs w:val="24"/>
        </w:rPr>
      </w:pPr>
      <w:r w:rsidRPr="00EF376C">
        <w:rPr>
          <w:rFonts w:ascii="Times New Roman" w:hAnsi="Times New Roman"/>
          <w:noProof/>
          <w:sz w:val="24"/>
        </w:rPr>
        <w:t>Enkelte medlemsstater</w:t>
      </w:r>
      <w:r w:rsidRPr="00EF376C">
        <w:rPr>
          <w:rFonts w:ascii="Times New Roman" w:hAnsi="Times New Roman" w:cs="Times New Roman"/>
          <w:noProof/>
          <w:vertAlign w:val="superscript"/>
        </w:rPr>
        <w:footnoteReference w:id="5"/>
      </w:r>
      <w:r w:rsidRPr="00EF376C">
        <w:rPr>
          <w:rFonts w:ascii="Times New Roman" w:hAnsi="Times New Roman"/>
          <w:noProof/>
          <w:sz w:val="24"/>
        </w:rPr>
        <w:t xml:space="preserve"> har sænket eller er i færd med at sænke afgiftssatsen for energiintensive industrier. En nedsættelse af afgifterne viste sig også at være effektiv med hensyn til midlertidigt at begrænse energiregningernes størrelse under energikrisen, navnlig hvor detailprisen på elektricitet var væsentlig højere end for gas. I henhold til det gældende energibeskatningsdirektiv og momsdirektiv har medlemsstaterne fleksibilitet til at sænke minimumspunktafgiftssatserne og momsen på elpriserne. Dette vil have en umiddelbar indvirkning på elpriserne og desuden bidrage til en hurtigere elektrificering af slutanvendelser. </w:t>
      </w:r>
    </w:p>
    <w:p w14:paraId="103AD26B" w14:textId="77777777" w:rsidR="001310BC" w:rsidRPr="00EF376C" w:rsidRDefault="001310BC">
      <w:pPr>
        <w:spacing w:after="0" w:line="240" w:lineRule="auto"/>
        <w:jc w:val="both"/>
        <w:rPr>
          <w:rFonts w:ascii="Times New Roman" w:eastAsia="Aptos" w:hAnsi="Times New Roman" w:cs="Times New Roman"/>
          <w:noProof/>
          <w:sz w:val="24"/>
          <w:szCs w:val="24"/>
        </w:rPr>
      </w:pPr>
    </w:p>
    <w:tbl>
      <w:tblPr>
        <w:tblStyle w:val="TableGridLigh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3"/>
        <w:gridCol w:w="7857"/>
      </w:tblGrid>
      <w:tr w:rsidR="001310BC" w:rsidRPr="00EF376C" w14:paraId="614FA679" w14:textId="77777777">
        <w:trPr>
          <w:trHeight w:val="300"/>
        </w:trPr>
        <w:tc>
          <w:tcPr>
            <w:tcW w:w="990" w:type="dxa"/>
            <w:tcMar>
              <w:left w:w="108" w:type="dxa"/>
              <w:right w:w="108" w:type="dxa"/>
            </w:tcMar>
            <w:vAlign w:val="center"/>
          </w:tcPr>
          <w:p w14:paraId="3BA70898" w14:textId="77777777" w:rsidR="001310BC" w:rsidRPr="00EF376C" w:rsidRDefault="00D975FE">
            <w:pPr>
              <w:spacing w:before="60" w:after="60"/>
              <w:rPr>
                <w:rFonts w:ascii="Times New Roman" w:eastAsia="Aptos" w:hAnsi="Times New Roman" w:cs="Times New Roman"/>
                <w:bCs/>
                <w:noProof/>
                <w:sz w:val="24"/>
                <w:szCs w:val="24"/>
              </w:rPr>
            </w:pPr>
            <w:r w:rsidRPr="00EF376C">
              <w:rPr>
                <w:rFonts w:ascii="Times New Roman" w:hAnsi="Times New Roman"/>
                <w:noProof/>
                <w:sz w:val="24"/>
              </w:rPr>
              <w:t xml:space="preserve">Mål </w:t>
            </w:r>
          </w:p>
        </w:tc>
        <w:tc>
          <w:tcPr>
            <w:tcW w:w="8016" w:type="dxa"/>
            <w:tcMar>
              <w:left w:w="108" w:type="dxa"/>
              <w:right w:w="108" w:type="dxa"/>
            </w:tcMar>
          </w:tcPr>
          <w:p w14:paraId="12019221" w14:textId="77777777" w:rsidR="001310BC" w:rsidRPr="00EF376C" w:rsidRDefault="00D975FE">
            <w:pPr>
              <w:spacing w:before="60" w:after="60"/>
              <w:rPr>
                <w:rFonts w:ascii="Times New Roman" w:eastAsia="Aptos" w:hAnsi="Times New Roman" w:cs="Times New Roman"/>
                <w:b/>
                <w:bCs/>
                <w:noProof/>
                <w:sz w:val="24"/>
                <w:szCs w:val="24"/>
              </w:rPr>
            </w:pPr>
            <w:r w:rsidRPr="00EF376C">
              <w:rPr>
                <w:rFonts w:ascii="Times New Roman" w:hAnsi="Times New Roman"/>
                <w:b/>
                <w:noProof/>
                <w:sz w:val="24"/>
              </w:rPr>
              <w:t xml:space="preserve">Mindske forbrugernes elregninger og støtte elektrificering </w:t>
            </w:r>
          </w:p>
        </w:tc>
      </w:tr>
      <w:tr w:rsidR="001310BC" w:rsidRPr="00EF376C" w14:paraId="25200898" w14:textId="77777777">
        <w:trPr>
          <w:trHeight w:val="300"/>
        </w:trPr>
        <w:tc>
          <w:tcPr>
            <w:tcW w:w="990" w:type="dxa"/>
            <w:tcMar>
              <w:left w:w="108" w:type="dxa"/>
              <w:right w:w="108" w:type="dxa"/>
            </w:tcMar>
            <w:vAlign w:val="center"/>
          </w:tcPr>
          <w:p w14:paraId="47B2496C" w14:textId="77777777" w:rsidR="001310BC" w:rsidRPr="00EF376C" w:rsidRDefault="00D975FE">
            <w:pPr>
              <w:spacing w:before="60" w:after="60"/>
              <w:rPr>
                <w:rFonts w:ascii="Times New Roman" w:eastAsia="Aptos" w:hAnsi="Times New Roman" w:cs="Times New Roman"/>
                <w:bCs/>
                <w:noProof/>
                <w:sz w:val="24"/>
                <w:szCs w:val="24"/>
              </w:rPr>
            </w:pPr>
            <w:r w:rsidRPr="00EF376C">
              <w:rPr>
                <w:rFonts w:ascii="Times New Roman" w:hAnsi="Times New Roman"/>
                <w:noProof/>
                <w:sz w:val="24"/>
              </w:rPr>
              <w:t>Resultat</w:t>
            </w:r>
          </w:p>
        </w:tc>
        <w:tc>
          <w:tcPr>
            <w:tcW w:w="8016" w:type="dxa"/>
            <w:tcMar>
              <w:left w:w="108" w:type="dxa"/>
              <w:right w:w="108" w:type="dxa"/>
            </w:tcMar>
            <w:vAlign w:val="center"/>
          </w:tcPr>
          <w:p w14:paraId="1DB7896E" w14:textId="77777777" w:rsidR="001310BC" w:rsidRPr="00EF376C" w:rsidRDefault="00D975FE">
            <w:pPr>
              <w:spacing w:before="60" w:after="60"/>
              <w:rPr>
                <w:rFonts w:ascii="Times New Roman" w:eastAsia="Aptos" w:hAnsi="Times New Roman" w:cs="Times New Roman"/>
                <w:b/>
                <w:bCs/>
                <w:noProof/>
                <w:sz w:val="24"/>
                <w:szCs w:val="24"/>
              </w:rPr>
            </w:pPr>
            <w:r w:rsidRPr="00EF376C">
              <w:rPr>
                <w:rFonts w:ascii="Times New Roman" w:hAnsi="Times New Roman"/>
                <w:noProof/>
                <w:sz w:val="24"/>
              </w:rPr>
              <w:t xml:space="preserve">Borgernes regninger kan </w:t>
            </w:r>
            <w:r w:rsidRPr="00EF376C">
              <w:rPr>
                <w:rFonts w:ascii="Times New Roman" w:hAnsi="Times New Roman"/>
                <w:b/>
                <w:noProof/>
                <w:sz w:val="24"/>
              </w:rPr>
              <w:t>mindskes med 14 %</w:t>
            </w:r>
            <w:r w:rsidRPr="00EF376C">
              <w:rPr>
                <w:rFonts w:ascii="Times New Roman" w:hAnsi="Times New Roman"/>
                <w:noProof/>
                <w:sz w:val="24"/>
              </w:rPr>
              <w:t xml:space="preserve"> eller et </w:t>
            </w:r>
            <w:r w:rsidRPr="00EF376C">
              <w:rPr>
                <w:rFonts w:ascii="Times New Roman" w:hAnsi="Times New Roman"/>
                <w:b/>
                <w:noProof/>
                <w:sz w:val="24"/>
              </w:rPr>
              <w:t>gennemsnit på 200 EUR om året</w:t>
            </w:r>
            <w:r w:rsidRPr="00EF376C">
              <w:rPr>
                <w:rFonts w:ascii="Times New Roman" w:hAnsi="Times New Roman"/>
                <w:noProof/>
                <w:sz w:val="24"/>
              </w:rPr>
              <w:t>.</w:t>
            </w:r>
          </w:p>
        </w:tc>
      </w:tr>
      <w:tr w:rsidR="001310BC" w:rsidRPr="00EF376C" w14:paraId="3644C855" w14:textId="77777777">
        <w:trPr>
          <w:trHeight w:val="300"/>
        </w:trPr>
        <w:tc>
          <w:tcPr>
            <w:tcW w:w="990" w:type="dxa"/>
            <w:tcMar>
              <w:left w:w="108" w:type="dxa"/>
              <w:right w:w="108" w:type="dxa"/>
            </w:tcMar>
            <w:vAlign w:val="center"/>
          </w:tcPr>
          <w:p w14:paraId="58F67B92" w14:textId="77777777" w:rsidR="001310BC" w:rsidRPr="00EF376C" w:rsidRDefault="00D975FE">
            <w:pPr>
              <w:spacing w:before="60" w:after="60"/>
              <w:rPr>
                <w:rFonts w:ascii="Times New Roman" w:eastAsia="Aptos" w:hAnsi="Times New Roman" w:cs="Times New Roman"/>
                <w:bCs/>
                <w:noProof/>
                <w:sz w:val="24"/>
                <w:szCs w:val="24"/>
              </w:rPr>
            </w:pPr>
            <w:r w:rsidRPr="00EF376C">
              <w:rPr>
                <w:rFonts w:ascii="Times New Roman" w:hAnsi="Times New Roman"/>
                <w:noProof/>
                <w:sz w:val="24"/>
              </w:rPr>
              <w:t>Hvordan?</w:t>
            </w:r>
          </w:p>
        </w:tc>
        <w:tc>
          <w:tcPr>
            <w:tcW w:w="8016" w:type="dxa"/>
            <w:tcMar>
              <w:left w:w="108" w:type="dxa"/>
              <w:right w:w="108" w:type="dxa"/>
            </w:tcMar>
          </w:tcPr>
          <w:p w14:paraId="02EF6D67" w14:textId="77777777" w:rsidR="001310BC" w:rsidRPr="00EF376C" w:rsidRDefault="00D975FE">
            <w:pPr>
              <w:spacing w:before="60" w:after="60"/>
              <w:rPr>
                <w:rFonts w:ascii="Times New Roman" w:eastAsia="Aptos" w:hAnsi="Times New Roman" w:cs="Times New Roman"/>
                <w:noProof/>
                <w:sz w:val="24"/>
                <w:szCs w:val="24"/>
              </w:rPr>
            </w:pPr>
            <w:r w:rsidRPr="00EF376C">
              <w:rPr>
                <w:rFonts w:ascii="Times New Roman" w:hAnsi="Times New Roman"/>
                <w:noProof/>
                <w:sz w:val="24"/>
              </w:rPr>
              <w:t xml:space="preserve">Medlemsstaterne bidrager til at mindske elregningerne for husstandene ved at </w:t>
            </w:r>
            <w:r w:rsidRPr="00EF376C">
              <w:rPr>
                <w:rFonts w:ascii="Times New Roman" w:hAnsi="Times New Roman"/>
                <w:b/>
                <w:noProof/>
                <w:sz w:val="24"/>
              </w:rPr>
              <w:t>tage afgifter op til fornyet overvejelse</w:t>
            </w:r>
            <w:r w:rsidRPr="00EF376C">
              <w:rPr>
                <w:rFonts w:ascii="Times New Roman" w:hAnsi="Times New Roman"/>
                <w:noProof/>
                <w:sz w:val="24"/>
              </w:rPr>
              <w:t xml:space="preserve">, gøre fuld brug af den fleksibilitet, der findes i EU-lovgivningen, og overveje </w:t>
            </w:r>
            <w:r w:rsidRPr="00EF376C">
              <w:rPr>
                <w:rFonts w:ascii="Times New Roman" w:hAnsi="Times New Roman"/>
                <w:b/>
                <w:noProof/>
                <w:sz w:val="24"/>
              </w:rPr>
              <w:t>målrettede fuldstændige eller delvise nedsættelser af punktafgifter</w:t>
            </w:r>
            <w:r w:rsidRPr="00EF376C">
              <w:rPr>
                <w:rFonts w:ascii="Times New Roman" w:hAnsi="Times New Roman"/>
                <w:noProof/>
                <w:sz w:val="24"/>
              </w:rPr>
              <w:t xml:space="preserve"> på elektricitet, f.eks. for energifattige og sårbare husstande.</w:t>
            </w:r>
            <w:r w:rsidRPr="00EF376C">
              <w:rPr>
                <w:rFonts w:ascii="Times New Roman" w:hAnsi="Times New Roman"/>
                <w:b/>
                <w:i/>
                <w:noProof/>
                <w:sz w:val="24"/>
              </w:rPr>
              <w:t xml:space="preserve"> </w:t>
            </w:r>
          </w:p>
        </w:tc>
      </w:tr>
    </w:tbl>
    <w:p w14:paraId="07C63C67" w14:textId="75312A70" w:rsidR="00EA1B3F" w:rsidRPr="00EF376C" w:rsidRDefault="00EA1B3F">
      <w:pPr>
        <w:rPr>
          <w:rFonts w:ascii="Times New Roman" w:eastAsia="Times New Roman" w:hAnsi="Times New Roman" w:cs="Times New Roman"/>
          <w:b/>
          <w:bCs/>
          <w:noProof/>
          <w:color w:val="000000" w:themeColor="text1"/>
          <w:sz w:val="24"/>
          <w:szCs w:val="24"/>
          <w:u w:val="single"/>
        </w:rPr>
      </w:pPr>
    </w:p>
    <w:p w14:paraId="7A360F62" w14:textId="77777777" w:rsidR="00EA1B3F" w:rsidRPr="00EF376C" w:rsidRDefault="00EA1B3F">
      <w:pPr>
        <w:rPr>
          <w:rFonts w:ascii="Times New Roman" w:eastAsia="Times New Roman" w:hAnsi="Times New Roman" w:cs="Times New Roman"/>
          <w:b/>
          <w:bCs/>
          <w:noProof/>
          <w:color w:val="000000" w:themeColor="text1"/>
          <w:sz w:val="24"/>
          <w:szCs w:val="24"/>
          <w:u w:val="single"/>
        </w:rPr>
      </w:pPr>
      <w:r w:rsidRPr="00EF376C">
        <w:rPr>
          <w:rFonts w:ascii="Times New Roman" w:eastAsia="Times New Roman" w:hAnsi="Times New Roman" w:cs="Times New Roman"/>
          <w:b/>
          <w:bCs/>
          <w:noProof/>
          <w:color w:val="000000" w:themeColor="text1"/>
          <w:sz w:val="24"/>
          <w:szCs w:val="24"/>
          <w:u w:val="single"/>
        </w:rPr>
        <w:br w:type="page"/>
      </w:r>
    </w:p>
    <w:p w14:paraId="5B07E587" w14:textId="77777777" w:rsidR="001310BC" w:rsidRPr="00EF376C" w:rsidRDefault="00D975FE">
      <w:pPr>
        <w:rPr>
          <w:rFonts w:ascii="Times New Roman" w:eastAsia="Times New Roman" w:hAnsi="Times New Roman" w:cs="Times New Roman"/>
          <w:b/>
          <w:bCs/>
          <w:noProof/>
          <w:color w:val="000000" w:themeColor="text1"/>
          <w:sz w:val="24"/>
          <w:szCs w:val="24"/>
          <w:u w:val="single"/>
        </w:rPr>
      </w:pPr>
      <w:r w:rsidRPr="00EF376C">
        <w:rPr>
          <w:rFonts w:ascii="Times New Roman" w:hAnsi="Times New Roman"/>
          <w:b/>
          <w:noProof/>
          <w:color w:val="000000" w:themeColor="text1"/>
          <w:sz w:val="24"/>
          <w:u w:val="single"/>
        </w:rPr>
        <w:t xml:space="preserve">Foranstaltning 2: Nedbringe netomkostningerne for lokale forbrugere </w:t>
      </w:r>
    </w:p>
    <w:p w14:paraId="58FD4907" w14:textId="77777777" w:rsidR="001310BC" w:rsidRPr="00EF376C" w:rsidRDefault="00D975FE">
      <w:pPr>
        <w:spacing w:after="120" w:line="240" w:lineRule="auto"/>
        <w:jc w:val="both"/>
        <w:rPr>
          <w:rFonts w:ascii="Times New Roman" w:hAnsi="Times New Roman" w:cs="Times New Roman"/>
          <w:noProof/>
          <w:sz w:val="24"/>
          <w:szCs w:val="24"/>
        </w:rPr>
      </w:pPr>
      <w:r w:rsidRPr="00EF376C">
        <w:rPr>
          <w:rFonts w:ascii="Times New Roman" w:hAnsi="Times New Roman"/>
          <w:noProof/>
          <w:sz w:val="24"/>
        </w:rPr>
        <w:t xml:space="preserve">Forbrugerne betaler </w:t>
      </w:r>
      <w:r w:rsidRPr="00EF376C">
        <w:rPr>
          <w:rFonts w:ascii="Times New Roman" w:hAnsi="Times New Roman"/>
          <w:b/>
          <w:noProof/>
          <w:sz w:val="24"/>
        </w:rPr>
        <w:t>nettariffer</w:t>
      </w:r>
      <w:r w:rsidRPr="00EF376C">
        <w:rPr>
          <w:rFonts w:ascii="Times New Roman" w:hAnsi="Times New Roman"/>
          <w:noProof/>
          <w:sz w:val="24"/>
        </w:rPr>
        <w:t xml:space="preserve"> til at dække omkostningerne ved transport af energi til deres boliger. Dette udgør </w:t>
      </w:r>
      <w:r w:rsidRPr="00EF376C">
        <w:rPr>
          <w:rFonts w:ascii="Times New Roman" w:hAnsi="Times New Roman"/>
          <w:b/>
          <w:noProof/>
          <w:sz w:val="24"/>
        </w:rPr>
        <w:t>mellem en fjerdedel og en tredjedel af elpriserne</w:t>
      </w:r>
      <w:r w:rsidRPr="00EF376C">
        <w:rPr>
          <w:rFonts w:ascii="Times New Roman" w:hAnsi="Times New Roman"/>
          <w:noProof/>
          <w:sz w:val="24"/>
        </w:rPr>
        <w:t xml:space="preserve"> og er afgørende for at sikre energi til overkommelige priser. EU-lovgivningen beskytter forbrugerne gennem kravet om, at netoperatørerne kun overvælter omkostningsægte og gennemsigtige omkostninger, der tager behovet for netsikkerhed og fleksibilitet i betragtning, og som afspejler de faktiske omkostninger</w:t>
      </w:r>
      <w:r w:rsidRPr="00EF376C">
        <w:rPr>
          <w:rStyle w:val="FootnoteReference"/>
          <w:rFonts w:ascii="Times New Roman" w:hAnsi="Times New Roman" w:cs="Times New Roman"/>
          <w:noProof/>
          <w:sz w:val="24"/>
          <w:szCs w:val="24"/>
        </w:rPr>
        <w:footnoteReference w:id="6"/>
      </w:r>
      <w:r w:rsidRPr="00EF376C">
        <w:rPr>
          <w:rFonts w:ascii="Times New Roman" w:hAnsi="Times New Roman"/>
          <w:noProof/>
          <w:sz w:val="24"/>
        </w:rPr>
        <w:t xml:space="preserve">. Tariffer og de dermed forbundne omkostninger skal godkendes af uafhængige nationale regulerende myndigheder.  </w:t>
      </w:r>
    </w:p>
    <w:p w14:paraId="07E77B58" w14:textId="77777777" w:rsidR="001310BC" w:rsidRPr="00EF376C" w:rsidRDefault="00D975FE">
      <w:pPr>
        <w:spacing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Energifællesskaber, der producerer energi til eget forbrug eller deler energi med naboer, kan bidrage til at reducere brugen af lokale net og til at undgå investeringer i yderligere infrastruktur. Fleksibilitetsbelønninger i forbindelse med nettariffer, som mindsker energiregningen for energifællesskaber og borgere, der deler deres energi, vil skabe incitamenter til lokal produktion og lokalt forbrug af energi og være til gavn for alle netbrugere.</w:t>
      </w:r>
    </w:p>
    <w:p w14:paraId="5673A4BA" w14:textId="77777777" w:rsidR="001310BC" w:rsidRPr="00EF376C" w:rsidRDefault="00D975FE">
      <w:pPr>
        <w:spacing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 xml:space="preserve">I 2025 offentliggjorde Kommissionen en </w:t>
      </w:r>
      <w:r w:rsidRPr="00EF376C">
        <w:rPr>
          <w:rFonts w:ascii="Times New Roman" w:hAnsi="Times New Roman"/>
          <w:b/>
          <w:noProof/>
          <w:sz w:val="24"/>
        </w:rPr>
        <w:t>vejledning om nettariffer</w:t>
      </w:r>
      <w:r w:rsidRPr="00EF376C">
        <w:rPr>
          <w:rStyle w:val="FootnoteReference"/>
          <w:rFonts w:ascii="Times New Roman" w:eastAsia="Times New Roman" w:hAnsi="Times New Roman" w:cs="Times New Roman"/>
          <w:noProof/>
          <w:sz w:val="24"/>
          <w:szCs w:val="24"/>
        </w:rPr>
        <w:footnoteReference w:id="7"/>
      </w:r>
      <w:r w:rsidRPr="00EF376C">
        <w:rPr>
          <w:rFonts w:ascii="Times New Roman" w:hAnsi="Times New Roman"/>
          <w:noProof/>
          <w:sz w:val="24"/>
        </w:rPr>
        <w:t xml:space="preserve"> for at hjælpe de nationale regulerende myndigheder med at holde netgebyrerne og dermed forbrugernes regninger på et lavt niveau. En hurtig gennemførelse af denne vejledning vil bidrage til at nedsætte netgebyrerne for alle forbrugere. Kommissionen opfordrer de regulerende myndigheder til at anvende en stringent tilgang, når de vurderer omkostninger/indtægter, og til fuldt ud at tage hensyn til den potentielle fleksibilitet og efterspørgselsreaktion, så dyre infrastrukturinvesteringer erstattes. Som opfølgning på vejledningen om nettariffer vil Kommissionen samarbejde med de nationale regulerende myndigheder om at fremskynde energiomstillingen, herunder ved at belønne energifællesskaber og energidelingstiltag for deres positive virkninger.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1310BC" w:rsidRPr="00EF376C" w14:paraId="018A994E" w14:textId="77777777">
        <w:tc>
          <w:tcPr>
            <w:tcW w:w="1163" w:type="dxa"/>
            <w:vAlign w:val="center"/>
          </w:tcPr>
          <w:p w14:paraId="2D835188" w14:textId="77777777" w:rsidR="001310BC" w:rsidRPr="00EF376C" w:rsidRDefault="00D975FE">
            <w:pPr>
              <w:jc w:val="both"/>
              <w:rPr>
                <w:rFonts w:ascii="Times New Roman" w:eastAsia="Times New Roman" w:hAnsi="Times New Roman" w:cs="Times New Roman"/>
                <w:noProof/>
                <w:sz w:val="24"/>
                <w:szCs w:val="24"/>
              </w:rPr>
            </w:pPr>
            <w:r w:rsidRPr="00EF376C">
              <w:rPr>
                <w:rFonts w:ascii="Times New Roman" w:hAnsi="Times New Roman"/>
                <w:noProof/>
                <w:sz w:val="24"/>
              </w:rPr>
              <w:t xml:space="preserve">Mål </w:t>
            </w:r>
          </w:p>
        </w:tc>
        <w:tc>
          <w:tcPr>
            <w:tcW w:w="7853" w:type="dxa"/>
          </w:tcPr>
          <w:p w14:paraId="21DB9FB5" w14:textId="77777777" w:rsidR="001310BC" w:rsidRPr="00EF376C" w:rsidRDefault="00D975FE">
            <w:pPr>
              <w:jc w:val="both"/>
              <w:rPr>
                <w:rFonts w:ascii="Times New Roman" w:eastAsia="Times New Roman" w:hAnsi="Times New Roman" w:cs="Times New Roman"/>
                <w:noProof/>
                <w:sz w:val="24"/>
                <w:szCs w:val="24"/>
              </w:rPr>
            </w:pPr>
            <w:r w:rsidRPr="00EF376C">
              <w:rPr>
                <w:rFonts w:ascii="Times New Roman" w:hAnsi="Times New Roman"/>
                <w:b/>
                <w:noProof/>
                <w:sz w:val="24"/>
              </w:rPr>
              <w:t>Nedsætte nettarifferne for forbrugerne</w:t>
            </w:r>
          </w:p>
        </w:tc>
      </w:tr>
      <w:tr w:rsidR="001310BC" w:rsidRPr="00EF376C" w14:paraId="411A2688" w14:textId="77777777">
        <w:tc>
          <w:tcPr>
            <w:tcW w:w="1163" w:type="dxa"/>
            <w:vAlign w:val="center"/>
          </w:tcPr>
          <w:p w14:paraId="3D2801CE" w14:textId="77777777" w:rsidR="001310BC" w:rsidRPr="00EF376C" w:rsidRDefault="00D975FE">
            <w:pPr>
              <w:jc w:val="both"/>
              <w:rPr>
                <w:rFonts w:ascii="Times New Roman" w:eastAsia="Times New Roman" w:hAnsi="Times New Roman" w:cs="Times New Roman"/>
                <w:noProof/>
                <w:sz w:val="24"/>
                <w:szCs w:val="24"/>
              </w:rPr>
            </w:pPr>
            <w:r w:rsidRPr="00EF376C">
              <w:rPr>
                <w:rFonts w:ascii="Times New Roman" w:hAnsi="Times New Roman"/>
                <w:noProof/>
                <w:sz w:val="24"/>
              </w:rPr>
              <w:t>Resultat</w:t>
            </w:r>
          </w:p>
        </w:tc>
        <w:tc>
          <w:tcPr>
            <w:tcW w:w="7853" w:type="dxa"/>
          </w:tcPr>
          <w:p w14:paraId="42DA05B7" w14:textId="77777777" w:rsidR="001310BC" w:rsidRPr="00EF376C" w:rsidRDefault="00D975FE">
            <w:pPr>
              <w:jc w:val="both"/>
              <w:rPr>
                <w:rFonts w:ascii="Times New Roman" w:eastAsia="Times New Roman" w:hAnsi="Times New Roman" w:cs="Times New Roman"/>
                <w:noProof/>
                <w:sz w:val="24"/>
                <w:szCs w:val="24"/>
              </w:rPr>
            </w:pPr>
            <w:r w:rsidRPr="00EF376C">
              <w:rPr>
                <w:rFonts w:ascii="Times New Roman" w:hAnsi="Times New Roman"/>
                <w:noProof/>
                <w:sz w:val="24"/>
              </w:rPr>
              <w:t xml:space="preserve">Fleksibelt forbrug, fleksibel lokal elproduktion og fleksibelt lokalt elforbrug, der bidrager til </w:t>
            </w:r>
            <w:r w:rsidRPr="00EF376C">
              <w:rPr>
                <w:rFonts w:ascii="Times New Roman" w:hAnsi="Times New Roman"/>
                <w:b/>
                <w:noProof/>
                <w:sz w:val="24"/>
              </w:rPr>
              <w:t>lavere netinvesteringsbehov</w:t>
            </w:r>
            <w:r w:rsidRPr="00EF376C">
              <w:rPr>
                <w:rFonts w:ascii="Times New Roman" w:hAnsi="Times New Roman"/>
                <w:noProof/>
                <w:sz w:val="24"/>
              </w:rPr>
              <w:t xml:space="preserve"> og </w:t>
            </w:r>
            <w:r w:rsidRPr="00EF376C">
              <w:rPr>
                <w:rFonts w:ascii="Times New Roman" w:hAnsi="Times New Roman"/>
                <w:b/>
                <w:noProof/>
                <w:sz w:val="24"/>
              </w:rPr>
              <w:t>mere effektiv drift</w:t>
            </w:r>
            <w:r w:rsidRPr="00EF376C">
              <w:rPr>
                <w:rFonts w:ascii="Times New Roman" w:hAnsi="Times New Roman"/>
                <w:noProof/>
                <w:sz w:val="24"/>
              </w:rPr>
              <w:t>.</w:t>
            </w:r>
          </w:p>
        </w:tc>
      </w:tr>
      <w:tr w:rsidR="001310BC" w:rsidRPr="00EF376C" w14:paraId="2C01595D" w14:textId="77777777">
        <w:tc>
          <w:tcPr>
            <w:tcW w:w="1163" w:type="dxa"/>
            <w:vAlign w:val="center"/>
          </w:tcPr>
          <w:p w14:paraId="2344FC36" w14:textId="77777777" w:rsidR="001310BC" w:rsidRPr="00EF376C" w:rsidRDefault="00D975FE">
            <w:pPr>
              <w:jc w:val="both"/>
              <w:rPr>
                <w:rFonts w:ascii="Times New Roman" w:eastAsia="Times New Roman" w:hAnsi="Times New Roman" w:cs="Times New Roman"/>
                <w:noProof/>
                <w:sz w:val="24"/>
                <w:szCs w:val="24"/>
              </w:rPr>
            </w:pPr>
            <w:r w:rsidRPr="00EF376C">
              <w:rPr>
                <w:rFonts w:ascii="Times New Roman" w:hAnsi="Times New Roman"/>
                <w:noProof/>
                <w:sz w:val="24"/>
              </w:rPr>
              <w:t>Hvordan?</w:t>
            </w:r>
          </w:p>
        </w:tc>
        <w:tc>
          <w:tcPr>
            <w:tcW w:w="7853" w:type="dxa"/>
          </w:tcPr>
          <w:p w14:paraId="288C5E10" w14:textId="77777777" w:rsidR="001310BC" w:rsidRPr="00EF376C" w:rsidRDefault="00D975FE">
            <w:pPr>
              <w:widowControl w:val="0"/>
              <w:jc w:val="both"/>
              <w:rPr>
                <w:rFonts w:ascii="Times New Roman" w:eastAsia="Times New Roman" w:hAnsi="Times New Roman" w:cs="Times New Roman"/>
                <w:noProof/>
                <w:sz w:val="24"/>
                <w:szCs w:val="24"/>
              </w:rPr>
            </w:pPr>
            <w:r w:rsidRPr="00EF376C">
              <w:rPr>
                <w:rFonts w:ascii="Times New Roman" w:hAnsi="Times New Roman"/>
                <w:noProof/>
                <w:sz w:val="24"/>
              </w:rPr>
              <w:t xml:space="preserve">De nationale regulerende myndigheder opfordres til i forbindelse med nettariffer at overveje </w:t>
            </w:r>
            <w:r w:rsidRPr="00EF376C">
              <w:rPr>
                <w:rFonts w:ascii="Times New Roman" w:hAnsi="Times New Roman"/>
                <w:b/>
                <w:noProof/>
                <w:sz w:val="24"/>
              </w:rPr>
              <w:t>målrettede incitamenter</w:t>
            </w:r>
            <w:r w:rsidRPr="00EF376C">
              <w:rPr>
                <w:rFonts w:ascii="Times New Roman" w:hAnsi="Times New Roman"/>
                <w:noProof/>
                <w:sz w:val="24"/>
              </w:rPr>
              <w:t xml:space="preserve"> til fleksibelt lokalt forbrug, der vil reducere de samlede netomkostninger, f.eks. energifællesskaber og borgere, der deler deres energi, samt til at vurdere </w:t>
            </w:r>
            <w:r w:rsidRPr="00EF376C">
              <w:rPr>
                <w:rFonts w:ascii="Times New Roman" w:hAnsi="Times New Roman"/>
                <w:b/>
                <w:noProof/>
                <w:sz w:val="24"/>
              </w:rPr>
              <w:t>fleksibilitetspotentialet</w:t>
            </w:r>
            <w:r w:rsidRPr="00EF376C">
              <w:rPr>
                <w:rFonts w:ascii="Times New Roman" w:hAnsi="Times New Roman"/>
                <w:noProof/>
                <w:sz w:val="24"/>
              </w:rPr>
              <w:t xml:space="preserve">, navnlig ved energifællesskaber og energideling, når de udformer netgebyrer. Kommissionen vil arbejde tæt sammen med ACER og de nationale regulerende myndigheder om en hurtig gennemførelse af Kommissionens </w:t>
            </w:r>
            <w:r w:rsidRPr="00EF376C">
              <w:rPr>
                <w:rFonts w:ascii="Times New Roman" w:hAnsi="Times New Roman"/>
                <w:b/>
                <w:noProof/>
                <w:sz w:val="24"/>
              </w:rPr>
              <w:t>vejledning om udformning af netafgifter</w:t>
            </w:r>
            <w:r w:rsidRPr="00EF376C">
              <w:rPr>
                <w:rFonts w:ascii="Times New Roman" w:hAnsi="Times New Roman"/>
                <w:noProof/>
                <w:sz w:val="24"/>
              </w:rPr>
              <w:t>.</w:t>
            </w:r>
          </w:p>
        </w:tc>
      </w:tr>
    </w:tbl>
    <w:p w14:paraId="529A2312" w14:textId="77777777" w:rsidR="00EA1B3F" w:rsidRPr="00EF376C" w:rsidRDefault="00EA1B3F">
      <w:pPr>
        <w:rPr>
          <w:rFonts w:ascii="Times New Roman" w:hAnsi="Times New Roman"/>
          <w:b/>
          <w:noProof/>
          <w:color w:val="000000" w:themeColor="text1"/>
          <w:sz w:val="24"/>
          <w:u w:val="single"/>
        </w:rPr>
      </w:pPr>
      <w:bookmarkStart w:id="2" w:name="_Hlk219977777"/>
    </w:p>
    <w:p w14:paraId="044B7C0F" w14:textId="77777777" w:rsidR="00EA1B3F" w:rsidRPr="00EF376C" w:rsidRDefault="00EA1B3F">
      <w:pPr>
        <w:rPr>
          <w:rFonts w:ascii="Times New Roman" w:hAnsi="Times New Roman"/>
          <w:b/>
          <w:noProof/>
          <w:color w:val="000000" w:themeColor="text1"/>
          <w:sz w:val="24"/>
          <w:u w:val="single"/>
        </w:rPr>
      </w:pPr>
      <w:r w:rsidRPr="00EF376C">
        <w:rPr>
          <w:rFonts w:ascii="Times New Roman" w:hAnsi="Times New Roman"/>
          <w:b/>
          <w:noProof/>
          <w:color w:val="000000" w:themeColor="text1"/>
          <w:sz w:val="24"/>
          <w:u w:val="single"/>
        </w:rPr>
        <w:br w:type="page"/>
      </w:r>
    </w:p>
    <w:p w14:paraId="4ACE1E8D" w14:textId="7E40500A" w:rsidR="001310BC" w:rsidRPr="00EF376C" w:rsidRDefault="00D975FE">
      <w:pPr>
        <w:rPr>
          <w:rFonts w:ascii="Times New Roman" w:eastAsia="Times New Roman" w:hAnsi="Times New Roman" w:cs="Times New Roman"/>
          <w:b/>
          <w:bCs/>
          <w:noProof/>
          <w:color w:val="000000" w:themeColor="text1"/>
          <w:sz w:val="24"/>
          <w:szCs w:val="24"/>
          <w:u w:val="single"/>
        </w:rPr>
      </w:pPr>
      <w:r w:rsidRPr="00EF376C">
        <w:rPr>
          <w:rFonts w:ascii="Times New Roman" w:hAnsi="Times New Roman"/>
          <w:b/>
          <w:noProof/>
          <w:color w:val="000000" w:themeColor="text1"/>
          <w:sz w:val="24"/>
          <w:u w:val="single"/>
        </w:rPr>
        <w:t>Foranstaltning 3: Fremme anvendelsen af rene og energieffektive teknologier</w:t>
      </w:r>
    </w:p>
    <w:bookmarkEnd w:id="2"/>
    <w:p w14:paraId="6076D1ED" w14:textId="77777777" w:rsidR="001310BC" w:rsidRPr="00EF376C" w:rsidRDefault="00D975FE">
      <w:pPr>
        <w:spacing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I 2023 gik energiforbruget i EU's husstande primært til </w:t>
      </w:r>
      <w:r w:rsidRPr="00EF376C">
        <w:rPr>
          <w:rFonts w:ascii="Times New Roman" w:hAnsi="Times New Roman"/>
          <w:b/>
          <w:noProof/>
          <w:color w:val="000000" w:themeColor="text1"/>
          <w:sz w:val="24"/>
        </w:rPr>
        <w:t>opvarmning af boliger</w:t>
      </w:r>
      <w:r w:rsidRPr="00EF376C">
        <w:rPr>
          <w:rFonts w:ascii="Times New Roman" w:hAnsi="Times New Roman"/>
          <w:noProof/>
          <w:color w:val="000000" w:themeColor="text1"/>
          <w:sz w:val="24"/>
        </w:rPr>
        <w:t xml:space="preserve"> (62,5 % af det endelige energiforbrug i boligsektoren) efterfulgt af </w:t>
      </w:r>
      <w:r w:rsidRPr="00EF376C">
        <w:rPr>
          <w:rFonts w:ascii="Times New Roman" w:hAnsi="Times New Roman"/>
          <w:b/>
          <w:noProof/>
          <w:color w:val="000000" w:themeColor="text1"/>
          <w:sz w:val="24"/>
        </w:rPr>
        <w:t>vandopvarmning</w:t>
      </w:r>
      <w:r w:rsidRPr="00EF376C">
        <w:rPr>
          <w:rFonts w:ascii="Times New Roman" w:hAnsi="Times New Roman"/>
          <w:noProof/>
          <w:color w:val="000000" w:themeColor="text1"/>
          <w:sz w:val="24"/>
        </w:rPr>
        <w:t xml:space="preserve"> (15,1 %)</w:t>
      </w:r>
      <w:r w:rsidRPr="00EF376C">
        <w:rPr>
          <w:rStyle w:val="FootnoteReference"/>
          <w:rFonts w:ascii="Times New Roman" w:eastAsia="Times New Roman" w:hAnsi="Times New Roman" w:cs="Times New Roman"/>
          <w:noProof/>
          <w:color w:val="000000" w:themeColor="text1"/>
          <w:sz w:val="24"/>
          <w:szCs w:val="24"/>
        </w:rPr>
        <w:footnoteReference w:id="8"/>
      </w:r>
      <w:r w:rsidRPr="00EF376C">
        <w:rPr>
          <w:rFonts w:ascii="Times New Roman" w:hAnsi="Times New Roman"/>
          <w:noProof/>
          <w:color w:val="000000" w:themeColor="text1"/>
          <w:sz w:val="24"/>
        </w:rPr>
        <w:t>. </w:t>
      </w:r>
      <w:r w:rsidRPr="00EF376C">
        <w:rPr>
          <w:rFonts w:ascii="Times New Roman" w:hAnsi="Times New Roman"/>
          <w:b/>
          <w:noProof/>
          <w:color w:val="000000" w:themeColor="text1"/>
          <w:sz w:val="24"/>
        </w:rPr>
        <w:t>EU's energimærker</w:t>
      </w:r>
      <w:r w:rsidRPr="00EF376C">
        <w:rPr>
          <w:rFonts w:ascii="Times New Roman" w:hAnsi="Times New Roman"/>
          <w:noProof/>
          <w:color w:val="000000" w:themeColor="text1"/>
          <w:sz w:val="24"/>
        </w:rPr>
        <w:t xml:space="preserve"> har allerede vist et besparelsespotentiale og fungeret som nyttig rådgivning til forbrugerne, f.eks. i forbindelse med beslutninger om køb af husholdningsapparater</w:t>
      </w:r>
      <w:r w:rsidRPr="00EF376C">
        <w:rPr>
          <w:rStyle w:val="FootnoteReference"/>
          <w:rFonts w:ascii="Times New Roman" w:eastAsia="Times New Roman" w:hAnsi="Times New Roman" w:cs="Times New Roman"/>
          <w:noProof/>
          <w:color w:val="000000" w:themeColor="text1"/>
          <w:sz w:val="24"/>
          <w:szCs w:val="24"/>
        </w:rPr>
        <w:footnoteReference w:id="9"/>
      </w:r>
      <w:r w:rsidRPr="00EF376C">
        <w:rPr>
          <w:rFonts w:ascii="Times New Roman" w:hAnsi="Times New Roman"/>
          <w:noProof/>
          <w:color w:val="000000" w:themeColor="text1"/>
          <w:sz w:val="24"/>
        </w:rPr>
        <w:t xml:space="preserve">. </w:t>
      </w:r>
      <w:r w:rsidRPr="00EF376C">
        <w:rPr>
          <w:rFonts w:ascii="Times New Roman" w:hAnsi="Times New Roman"/>
          <w:b/>
          <w:noProof/>
          <w:sz w:val="24"/>
        </w:rPr>
        <w:t>Energistyringssystemer i hjemmet</w:t>
      </w:r>
      <w:r w:rsidRPr="00EF376C">
        <w:rPr>
          <w:rFonts w:ascii="Times New Roman" w:hAnsi="Times New Roman"/>
          <w:noProof/>
          <w:sz w:val="24"/>
        </w:rPr>
        <w:t xml:space="preserve"> og </w:t>
      </w:r>
      <w:r w:rsidRPr="00EF376C">
        <w:rPr>
          <w:rFonts w:ascii="Times New Roman" w:hAnsi="Times New Roman"/>
          <w:b/>
          <w:noProof/>
          <w:sz w:val="24"/>
        </w:rPr>
        <w:t>moderne energiintelligente apparater</w:t>
      </w:r>
      <w:r w:rsidRPr="00EF376C">
        <w:rPr>
          <w:rFonts w:ascii="Times New Roman" w:hAnsi="Times New Roman"/>
          <w:noProof/>
          <w:sz w:val="24"/>
        </w:rPr>
        <w:t xml:space="preserve"> kan mindske </w:t>
      </w:r>
      <w:r w:rsidRPr="00EF376C">
        <w:rPr>
          <w:rFonts w:ascii="Times New Roman" w:hAnsi="Times New Roman"/>
          <w:noProof/>
          <w:color w:val="000000" w:themeColor="text1"/>
          <w:sz w:val="24"/>
        </w:rPr>
        <w:t xml:space="preserve">energiregningerne. Omstillingen til elektrisk mobilitet giver yderligere muligheder for at reducere energiomkostningerne gennem intelligent opladning og tovejsopladning af elektriske køretøjer, hvilket gør det muligt for husstande at optimere elforbruget. De opfattes dog ofte som for dyre, hovedsagelig på grund af de høje indledende omkostninger. Til afhjælpning heraf har nogle medlemsstater indført </w:t>
      </w:r>
      <w:r w:rsidRPr="00EF376C">
        <w:rPr>
          <w:rFonts w:ascii="Times New Roman" w:hAnsi="Times New Roman"/>
          <w:b/>
          <w:noProof/>
          <w:color w:val="000000" w:themeColor="text1"/>
          <w:sz w:val="24"/>
        </w:rPr>
        <w:t>innovative finansieringsmodeller</w:t>
      </w:r>
      <w:r w:rsidRPr="00EF376C">
        <w:rPr>
          <w:rFonts w:ascii="Times New Roman" w:hAnsi="Times New Roman"/>
          <w:noProof/>
          <w:color w:val="000000" w:themeColor="text1"/>
          <w:sz w:val="24"/>
        </w:rPr>
        <w:t>, herunder social leasing</w:t>
      </w:r>
      <w:r w:rsidRPr="00EF376C">
        <w:rPr>
          <w:rStyle w:val="FootnoteReference"/>
          <w:rFonts w:ascii="Times New Roman" w:eastAsia="Times New Roman" w:hAnsi="Times New Roman" w:cs="Times New Roman"/>
          <w:noProof/>
          <w:color w:val="000000" w:themeColor="text1"/>
          <w:sz w:val="24"/>
          <w:szCs w:val="24"/>
        </w:rPr>
        <w:footnoteReference w:id="10"/>
      </w:r>
      <w:r w:rsidRPr="00EF376C">
        <w:rPr>
          <w:rFonts w:ascii="Times New Roman" w:hAnsi="Times New Roman"/>
          <w:noProof/>
          <w:color w:val="000000" w:themeColor="text1"/>
          <w:sz w:val="24"/>
        </w:rPr>
        <w:t>. På nogle markeder tilbyder virksomheder kunderne rene opvarmningssystemer (herunder vedligeholdelse) ved at give forbrugerne mulighed for at betale omkostningerne i fleksible månedlige afdrag</w:t>
      </w:r>
      <w:r w:rsidRPr="00EF376C">
        <w:rPr>
          <w:rStyle w:val="FootnoteReference"/>
          <w:rFonts w:ascii="Times New Roman" w:eastAsia="Times New Roman" w:hAnsi="Times New Roman" w:cs="Times New Roman"/>
          <w:noProof/>
          <w:color w:val="000000" w:themeColor="text1"/>
          <w:sz w:val="24"/>
          <w:szCs w:val="24"/>
        </w:rPr>
        <w:footnoteReference w:id="11"/>
      </w:r>
      <w:r w:rsidRPr="00EF376C">
        <w:rPr>
          <w:rFonts w:ascii="Times New Roman" w:hAnsi="Times New Roman"/>
          <w:noProof/>
          <w:color w:val="000000" w:themeColor="text1"/>
          <w:sz w:val="24"/>
        </w:rPr>
        <w:t xml:space="preserve">. Ordninger, der omfatter andet end tilskud, er ved blive udviklet, men er i de fleste tilfælde endnu ikke særligt udbredt. </w:t>
      </w:r>
    </w:p>
    <w:p w14:paraId="49604E9C" w14:textId="10FBEF25" w:rsidR="00EA1B3F" w:rsidRPr="00EF376C" w:rsidRDefault="00D975FE">
      <w:pPr>
        <w:spacing w:line="240" w:lineRule="auto"/>
        <w:jc w:val="both"/>
        <w:rPr>
          <w:rFonts w:ascii="Times New Roman" w:hAnsi="Times New Roman"/>
          <w:noProof/>
          <w:color w:val="000000" w:themeColor="text1"/>
          <w:sz w:val="24"/>
        </w:rPr>
      </w:pPr>
      <w:r w:rsidRPr="00EF376C">
        <w:rPr>
          <w:rFonts w:ascii="Times New Roman" w:hAnsi="Times New Roman"/>
          <w:noProof/>
          <w:color w:val="000000" w:themeColor="text1"/>
          <w:sz w:val="24"/>
        </w:rPr>
        <w:t xml:space="preserve">Kommissionen opfordrer indtrængende medlemsstaterne og virksomhederne til at overveje </w:t>
      </w:r>
      <w:r w:rsidRPr="00EF376C">
        <w:rPr>
          <w:rFonts w:ascii="Times New Roman" w:hAnsi="Times New Roman"/>
          <w:b/>
          <w:noProof/>
          <w:color w:val="000000" w:themeColor="text1"/>
          <w:sz w:val="24"/>
        </w:rPr>
        <w:t>andre tilgange end en ren tilskudsordning</w:t>
      </w:r>
      <w:r w:rsidRPr="00EF376C">
        <w:rPr>
          <w:rFonts w:ascii="Times New Roman" w:hAnsi="Times New Roman"/>
          <w:noProof/>
          <w:color w:val="000000" w:themeColor="text1"/>
          <w:sz w:val="24"/>
        </w:rPr>
        <w:t xml:space="preserve"> og til at udvikle </w:t>
      </w:r>
      <w:r w:rsidRPr="00EF376C">
        <w:rPr>
          <w:rFonts w:ascii="Times New Roman" w:hAnsi="Times New Roman"/>
          <w:b/>
          <w:noProof/>
          <w:color w:val="000000" w:themeColor="text1"/>
          <w:sz w:val="24"/>
        </w:rPr>
        <w:t>innovative energitjenester og finansieringsløsninger</w:t>
      </w:r>
      <w:r w:rsidRPr="00EF376C">
        <w:rPr>
          <w:rFonts w:ascii="Times New Roman" w:hAnsi="Times New Roman"/>
          <w:noProof/>
          <w:color w:val="000000" w:themeColor="text1"/>
          <w:sz w:val="24"/>
        </w:rPr>
        <w:t>, f.eks. ordninger, der kombinerer social leasing med potentiale til at dække indledende kapitalomkostninger, tilbud om varme som en tjeneste</w:t>
      </w:r>
      <w:r w:rsidRPr="00EF376C">
        <w:rPr>
          <w:rFonts w:ascii="Times New Roman" w:eastAsia="Times New Roman" w:hAnsi="Times New Roman" w:cs="Times New Roman"/>
          <w:noProof/>
          <w:color w:val="000000" w:themeColor="text1"/>
          <w:sz w:val="24"/>
          <w:szCs w:val="24"/>
          <w:vertAlign w:val="superscript"/>
        </w:rPr>
        <w:footnoteReference w:id="12"/>
      </w:r>
      <w:r w:rsidRPr="00EF376C">
        <w:rPr>
          <w:rFonts w:ascii="Times New Roman" w:hAnsi="Times New Roman"/>
          <w:noProof/>
          <w:color w:val="000000" w:themeColor="text1"/>
          <w:sz w:val="24"/>
        </w:rPr>
        <w:t xml:space="preserve"> eller fleksible tariffer for varmepumper og vedligeholdelsesomkostninger. Dette vil give EU-borgerne bedre adgang til rene og energi- og vandeffektive teknologier samt forbedre deres livskvalitet i form af f.eks. mindre forurening, bedre indendørs komfort, bedre sundhed og mindre energiregninger. Veludformede ordninger, der </w:t>
      </w:r>
      <w:r w:rsidRPr="00EF376C">
        <w:rPr>
          <w:rFonts w:ascii="Times New Roman" w:hAnsi="Times New Roman"/>
          <w:b/>
          <w:noProof/>
          <w:color w:val="000000" w:themeColor="text1"/>
          <w:sz w:val="24"/>
        </w:rPr>
        <w:t>kombinerer offentlig og privat finansiering</w:t>
      </w:r>
      <w:r w:rsidRPr="00EF376C">
        <w:rPr>
          <w:rFonts w:ascii="Times New Roman" w:hAnsi="Times New Roman"/>
          <w:noProof/>
          <w:color w:val="000000" w:themeColor="text1"/>
          <w:sz w:val="24"/>
        </w:rPr>
        <w:t>, og som prioriterer personer, der er ramt af energifattigdom, og andre grupper i sårbare situationer, vil have en positiv indvirkning på lav- og mellemindkomsthusstande, for hvilke energiomkostningerne kan udgøre en uforholdsmæssig stor andel af den enkelte husstands samlede indkomst. Tilsvarende bør investeringer støttes med henblik på at anvende rene eller energieffektive løsninger i situationer, hvor der ikke er tilslutning til nettet. Med den kommende investeringsstrategi for ren energi</w:t>
      </w:r>
      <w:r w:rsidRPr="00EF376C">
        <w:rPr>
          <w:rStyle w:val="FootnoteReference"/>
          <w:rFonts w:ascii="Times New Roman" w:eastAsia="Times New Roman" w:hAnsi="Times New Roman" w:cs="Times New Roman"/>
          <w:noProof/>
          <w:color w:val="000000" w:themeColor="text1"/>
          <w:sz w:val="24"/>
          <w:szCs w:val="24"/>
        </w:rPr>
        <w:footnoteReference w:id="13"/>
      </w:r>
      <w:r w:rsidRPr="00EF376C">
        <w:rPr>
          <w:rFonts w:ascii="Times New Roman" w:hAnsi="Times New Roman"/>
          <w:noProof/>
          <w:color w:val="000000" w:themeColor="text1"/>
          <w:sz w:val="24"/>
        </w:rPr>
        <w:t xml:space="preserve"> påtænker Kommissionen at frigøre private investeringer i energieffektivitet. </w:t>
      </w:r>
    </w:p>
    <w:p w14:paraId="2C120D33" w14:textId="77777777" w:rsidR="00EA1B3F" w:rsidRPr="00EF376C" w:rsidRDefault="00EA1B3F">
      <w:pPr>
        <w:rPr>
          <w:rFonts w:ascii="Times New Roman" w:hAnsi="Times New Roman"/>
          <w:noProof/>
          <w:color w:val="000000" w:themeColor="text1"/>
          <w:sz w:val="24"/>
        </w:rPr>
      </w:pPr>
      <w:r w:rsidRPr="00EF376C">
        <w:rPr>
          <w:rFonts w:ascii="Times New Roman" w:hAnsi="Times New Roman"/>
          <w:noProof/>
          <w:color w:val="000000" w:themeColor="text1"/>
          <w:sz w:val="24"/>
        </w:rPr>
        <w:br w:type="page"/>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844"/>
      </w:tblGrid>
      <w:tr w:rsidR="001310BC" w:rsidRPr="00EF376C" w14:paraId="25058C3A" w14:textId="77777777" w:rsidTr="00EA1B3F">
        <w:trPr>
          <w:trHeight w:val="300"/>
        </w:trPr>
        <w:tc>
          <w:tcPr>
            <w:tcW w:w="1223" w:type="dxa"/>
            <w:vAlign w:val="center"/>
            <w:hideMark/>
          </w:tcPr>
          <w:p w14:paraId="0EB48487" w14:textId="77777777" w:rsidR="001310BC" w:rsidRPr="00EF376C" w:rsidRDefault="00D975FE">
            <w:pPr>
              <w:jc w:val="both"/>
              <w:textAlignment w:val="baseline"/>
              <w:rPr>
                <w:rFonts w:ascii="Times New Roman" w:eastAsia="Times New Roman" w:hAnsi="Times New Roman" w:cs="Times New Roman"/>
                <w:noProof/>
                <w:color w:val="000000" w:themeColor="text1"/>
                <w:sz w:val="24"/>
                <w:szCs w:val="24"/>
              </w:rPr>
            </w:pPr>
            <w:bookmarkStart w:id="3" w:name="_Hlk219977816"/>
            <w:r w:rsidRPr="00EF376C">
              <w:rPr>
                <w:rFonts w:ascii="Times New Roman" w:hAnsi="Times New Roman"/>
                <w:noProof/>
                <w:color w:val="000000" w:themeColor="text1"/>
                <w:sz w:val="24"/>
              </w:rPr>
              <w:t>Mål  </w:t>
            </w:r>
          </w:p>
        </w:tc>
        <w:tc>
          <w:tcPr>
            <w:tcW w:w="7844" w:type="dxa"/>
            <w:hideMark/>
          </w:tcPr>
          <w:p w14:paraId="3E4CD7F4" w14:textId="77777777" w:rsidR="001310BC" w:rsidRPr="00EF376C" w:rsidRDefault="00D975FE">
            <w:pPr>
              <w:jc w:val="both"/>
              <w:textAlignment w:val="baseline"/>
              <w:rPr>
                <w:rFonts w:ascii="Times New Roman" w:eastAsia="Times New Roman" w:hAnsi="Times New Roman" w:cs="Times New Roman"/>
                <w:b/>
                <w:bCs/>
                <w:noProof/>
                <w:color w:val="000000" w:themeColor="text1"/>
                <w:kern w:val="0"/>
                <w:sz w:val="18"/>
                <w:szCs w:val="18"/>
                <w14:ligatures w14:val="none"/>
              </w:rPr>
            </w:pPr>
            <w:r w:rsidRPr="00EF376C">
              <w:rPr>
                <w:rFonts w:ascii="Times New Roman" w:hAnsi="Times New Roman"/>
                <w:b/>
                <w:noProof/>
                <w:color w:val="000000" w:themeColor="text1"/>
                <w:sz w:val="24"/>
              </w:rPr>
              <w:t xml:space="preserve">Øge adgangen til rene, effektive teknologier med innovative løsninger </w:t>
            </w:r>
          </w:p>
        </w:tc>
      </w:tr>
      <w:tr w:rsidR="001310BC" w:rsidRPr="00EF376C" w14:paraId="50C62140" w14:textId="77777777" w:rsidTr="00EA1B3F">
        <w:trPr>
          <w:trHeight w:val="300"/>
        </w:trPr>
        <w:tc>
          <w:tcPr>
            <w:tcW w:w="1223" w:type="dxa"/>
            <w:vAlign w:val="center"/>
          </w:tcPr>
          <w:p w14:paraId="60E145B7" w14:textId="77777777" w:rsidR="001310BC" w:rsidRPr="00EF376C" w:rsidRDefault="00D975FE">
            <w:pPr>
              <w:jc w:val="both"/>
              <w:textAlignment w:val="baseline"/>
              <w:rPr>
                <w:rFonts w:ascii="Times New Roman" w:eastAsia="Times New Roman" w:hAnsi="Times New Roman" w:cs="Times New Roman"/>
                <w:noProof/>
                <w:color w:val="000000" w:themeColor="text1"/>
                <w:sz w:val="24"/>
                <w:szCs w:val="24"/>
              </w:rPr>
            </w:pPr>
            <w:r w:rsidRPr="00EF376C">
              <w:rPr>
                <w:rFonts w:ascii="Times New Roman" w:hAnsi="Times New Roman"/>
                <w:noProof/>
                <w:sz w:val="24"/>
              </w:rPr>
              <w:t>Resultat</w:t>
            </w:r>
          </w:p>
        </w:tc>
        <w:tc>
          <w:tcPr>
            <w:tcW w:w="7844" w:type="dxa"/>
          </w:tcPr>
          <w:p w14:paraId="3D3C639C" w14:textId="77777777" w:rsidR="001310BC" w:rsidRPr="00EF376C" w:rsidRDefault="00D975FE">
            <w:pPr>
              <w:jc w:val="both"/>
              <w:textAlignment w:val="baseline"/>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Forbedring af bygningers energimæssige ydeevne og lavere energiregninger.</w:t>
            </w:r>
          </w:p>
        </w:tc>
      </w:tr>
      <w:tr w:rsidR="001310BC" w:rsidRPr="00EF376C" w14:paraId="68038F28" w14:textId="77777777" w:rsidTr="00EA1B3F">
        <w:trPr>
          <w:trHeight w:val="300"/>
        </w:trPr>
        <w:tc>
          <w:tcPr>
            <w:tcW w:w="1223" w:type="dxa"/>
            <w:vAlign w:val="center"/>
            <w:hideMark/>
          </w:tcPr>
          <w:p w14:paraId="5BF67C53" w14:textId="77777777" w:rsidR="001310BC" w:rsidRPr="00EF376C" w:rsidRDefault="00D975FE">
            <w:pPr>
              <w:jc w:val="both"/>
              <w:textAlignment w:val="baseline"/>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Hvordan? </w:t>
            </w:r>
          </w:p>
        </w:tc>
        <w:tc>
          <w:tcPr>
            <w:tcW w:w="7844" w:type="dxa"/>
            <w:hideMark/>
          </w:tcPr>
          <w:p w14:paraId="1A0C6175" w14:textId="77777777" w:rsidR="001310BC" w:rsidRPr="00EF376C" w:rsidRDefault="00D975FE">
            <w:pPr>
              <w:jc w:val="both"/>
              <w:textAlignment w:val="baseline"/>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Kommissionen vil inden for rammerne af den </w:t>
            </w:r>
            <w:r w:rsidRPr="00EF376C">
              <w:rPr>
                <w:rFonts w:ascii="Times New Roman" w:hAnsi="Times New Roman"/>
                <w:b/>
                <w:noProof/>
                <w:color w:val="000000" w:themeColor="text1"/>
                <w:sz w:val="24"/>
              </w:rPr>
              <w:t>europæiske koalition for finansiering af energieffektivitet</w:t>
            </w:r>
            <w:r w:rsidRPr="00EF376C">
              <w:rPr>
                <w:rFonts w:ascii="Times New Roman" w:hAnsi="Times New Roman"/>
                <w:noProof/>
                <w:color w:val="000000" w:themeColor="text1"/>
                <w:sz w:val="24"/>
              </w:rPr>
              <w:t xml:space="preserve"> samarbejde med medlemsstaterne og interessenter om at udarbejde praktiske og innovative energitjenestemodeller og -finansieringsløsninger samt om tilgange, der omfatter andet end tilskud, herunder udveksling af bedste praksis for at nå ud til sårbare husstande, øge anvendelsen af energistyringssystemer i hjemmet og bygninger og energiintelligente apparater og forbedre husstandenes adgang til elektrificerede, fleksible og effektive energitjenester og -teknologier (4. kvartal 2026). </w:t>
            </w:r>
          </w:p>
        </w:tc>
      </w:tr>
    </w:tbl>
    <w:p w14:paraId="6B97E093" w14:textId="77777777" w:rsidR="001310BC" w:rsidRPr="00EF376C" w:rsidRDefault="001310BC">
      <w:pPr>
        <w:spacing w:after="0" w:line="240" w:lineRule="auto"/>
        <w:jc w:val="both"/>
        <w:rPr>
          <w:rFonts w:ascii="Times New Roman" w:eastAsia="Times New Roman" w:hAnsi="Times New Roman" w:cs="Times New Roman"/>
          <w:b/>
          <w:bCs/>
          <w:noProof/>
          <w:color w:val="000000" w:themeColor="text1"/>
          <w:sz w:val="24"/>
          <w:szCs w:val="24"/>
          <w:u w:val="single"/>
        </w:rPr>
      </w:pPr>
      <w:bookmarkStart w:id="4" w:name="_Hlk219977829"/>
      <w:bookmarkEnd w:id="3"/>
    </w:p>
    <w:p w14:paraId="3C8F4896" w14:textId="77777777" w:rsidR="001310BC" w:rsidRPr="00EF376C" w:rsidRDefault="00D975FE">
      <w:pPr>
        <w:keepNext/>
        <w:keepLines/>
        <w:rPr>
          <w:rFonts w:ascii="Times New Roman" w:eastAsia="Times New Roman" w:hAnsi="Times New Roman" w:cs="Times New Roman"/>
          <w:b/>
          <w:bCs/>
          <w:noProof/>
          <w:color w:val="000000" w:themeColor="text1"/>
          <w:sz w:val="24"/>
          <w:szCs w:val="24"/>
          <w:u w:val="single"/>
        </w:rPr>
      </w:pPr>
      <w:r w:rsidRPr="00EF376C">
        <w:rPr>
          <w:rFonts w:ascii="Times New Roman" w:hAnsi="Times New Roman"/>
          <w:b/>
          <w:noProof/>
          <w:color w:val="000000" w:themeColor="text1"/>
          <w:sz w:val="24"/>
          <w:u w:val="single"/>
        </w:rPr>
        <w:t>Foranstaltning 4: Sikre forbrugerne det billigste tilbud</w:t>
      </w:r>
      <w:r w:rsidRPr="00EF376C">
        <w:rPr>
          <w:rFonts w:ascii="Times New Roman" w:hAnsi="Times New Roman"/>
          <w:noProof/>
          <w:u w:val="single"/>
        </w:rPr>
        <w:t xml:space="preserve"> </w:t>
      </w:r>
      <w:r w:rsidRPr="00EF376C">
        <w:rPr>
          <w:rFonts w:ascii="Times New Roman" w:hAnsi="Times New Roman"/>
          <w:b/>
          <w:noProof/>
          <w:color w:val="000000" w:themeColor="text1"/>
          <w:sz w:val="24"/>
          <w:u w:val="single"/>
        </w:rPr>
        <w:t>og give dem mulighed for hurtigt at skifte leverandør</w:t>
      </w:r>
      <w:bookmarkEnd w:id="4"/>
    </w:p>
    <w:p w14:paraId="5FE06C98" w14:textId="77777777" w:rsidR="001310BC" w:rsidRPr="00EF376C" w:rsidRDefault="00D975FE">
      <w:pPr>
        <w:keepNext/>
        <w:keepLines/>
        <w:spacing w:after="0" w:line="240" w:lineRule="auto"/>
        <w:jc w:val="both"/>
        <w:rPr>
          <w:rFonts w:ascii="Times New Roman" w:eastAsia="Times New Roman" w:hAnsi="Times New Roman" w:cs="Times New Roman"/>
          <w:b/>
          <w:bCs/>
          <w:noProof/>
          <w:color w:val="000000" w:themeColor="text1"/>
          <w:sz w:val="24"/>
          <w:szCs w:val="24"/>
          <w:u w:val="single"/>
        </w:rPr>
      </w:pPr>
      <w:r w:rsidRPr="00EF376C">
        <w:rPr>
          <w:rFonts w:ascii="Times New Roman" w:hAnsi="Times New Roman"/>
          <w:noProof/>
          <w:sz w:val="24"/>
        </w:rPr>
        <w:t xml:space="preserve">EU-lovgivningen giver borgerne </w:t>
      </w:r>
      <w:r w:rsidRPr="00EF376C">
        <w:rPr>
          <w:rFonts w:ascii="Times New Roman" w:hAnsi="Times New Roman"/>
          <w:b/>
          <w:noProof/>
          <w:sz w:val="24"/>
        </w:rPr>
        <w:t>ret til at skifte</w:t>
      </w:r>
      <w:r w:rsidRPr="00EF376C">
        <w:rPr>
          <w:rFonts w:ascii="Times New Roman" w:hAnsi="Times New Roman"/>
          <w:noProof/>
          <w:sz w:val="24"/>
        </w:rPr>
        <w:t xml:space="preserve"> til alternative energileverandører</w:t>
      </w:r>
      <w:r w:rsidRPr="00EF376C">
        <w:rPr>
          <w:rStyle w:val="FootnoteReference"/>
          <w:rFonts w:ascii="Times New Roman" w:hAnsi="Times New Roman" w:cs="Times New Roman"/>
          <w:noProof/>
          <w:sz w:val="24"/>
          <w:szCs w:val="24"/>
        </w:rPr>
        <w:footnoteReference w:id="14"/>
      </w:r>
      <w:r w:rsidRPr="00EF376C">
        <w:rPr>
          <w:rFonts w:ascii="Times New Roman" w:hAnsi="Times New Roman"/>
          <w:noProof/>
          <w:sz w:val="24"/>
        </w:rPr>
        <w:t>. I gennemsnit forventes borgerne dog</w:t>
      </w:r>
      <w:r w:rsidRPr="00EF376C">
        <w:rPr>
          <w:rFonts w:ascii="Times New Roman" w:hAnsi="Times New Roman"/>
          <w:noProof/>
        </w:rPr>
        <w:t xml:space="preserve"> </w:t>
      </w:r>
      <w:r w:rsidRPr="00EF376C">
        <w:rPr>
          <w:rFonts w:ascii="Times New Roman" w:hAnsi="Times New Roman"/>
          <w:noProof/>
          <w:sz w:val="24"/>
        </w:rPr>
        <w:t xml:space="preserve">at miste </w:t>
      </w:r>
      <w:r w:rsidRPr="00EF376C">
        <w:rPr>
          <w:rFonts w:ascii="Times New Roman" w:hAnsi="Times New Roman"/>
          <w:b/>
          <w:noProof/>
          <w:sz w:val="24"/>
        </w:rPr>
        <w:t>152 EUR om året</w:t>
      </w:r>
      <w:r w:rsidRPr="00EF376C">
        <w:rPr>
          <w:rFonts w:ascii="Times New Roman" w:hAnsi="Times New Roman"/>
          <w:noProof/>
          <w:sz w:val="24"/>
        </w:rPr>
        <w:t>, hvis de ikke gør det</w:t>
      </w:r>
      <w:r w:rsidRPr="00EF376C">
        <w:rPr>
          <w:rStyle w:val="FootnoteReference"/>
          <w:rFonts w:ascii="Times New Roman" w:hAnsi="Times New Roman" w:cs="Times New Roman"/>
          <w:noProof/>
          <w:sz w:val="24"/>
          <w:szCs w:val="24"/>
        </w:rPr>
        <w:footnoteReference w:id="15"/>
      </w:r>
      <w:r w:rsidRPr="00EF376C">
        <w:rPr>
          <w:rFonts w:ascii="Times New Roman" w:hAnsi="Times New Roman"/>
          <w:noProof/>
          <w:sz w:val="24"/>
        </w:rPr>
        <w:t xml:space="preserve">. En af årsagerne hertil er den manglende gennemsigtighed, da det ikke nødvendigvis er alle eksisterende sammenligningsværktøjer, der er tilstrækkelige i denne henseende, og selv om formidlingsplatforme kan gøre det lettere at skifte, er deres forretningsmodeller ikke altid klare, hvilket kan gå ud over gennemsigtigheden og ansvarligheden. </w:t>
      </w:r>
    </w:p>
    <w:p w14:paraId="3FB2F5B6" w14:textId="77777777" w:rsidR="001310BC" w:rsidRPr="00EF376C" w:rsidRDefault="00D975FE">
      <w:pPr>
        <w:spacing w:before="120" w:after="0"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sz w:val="24"/>
        </w:rPr>
        <w:t xml:space="preserve">Kommissionen opfordrer medlemsstaterne til at sikre, at energileverandører mindst én gang om året giver deres kunder </w:t>
      </w:r>
      <w:r w:rsidRPr="00EF376C">
        <w:rPr>
          <w:rFonts w:ascii="Times New Roman" w:hAnsi="Times New Roman"/>
          <w:b/>
          <w:noProof/>
          <w:sz w:val="24"/>
        </w:rPr>
        <w:t>rådgivning om de bedste tariffer</w:t>
      </w:r>
      <w:r w:rsidRPr="00EF376C">
        <w:rPr>
          <w:rFonts w:ascii="Times New Roman" w:hAnsi="Times New Roman"/>
          <w:noProof/>
          <w:sz w:val="24"/>
        </w:rPr>
        <w:t xml:space="preserve"> på grundlag af deres specifikke energiforbrug, og</w:t>
      </w:r>
      <w:r w:rsidRPr="00EF376C">
        <w:rPr>
          <w:rFonts w:ascii="Times New Roman" w:hAnsi="Times New Roman"/>
          <w:noProof/>
          <w:color w:val="000000" w:themeColor="text1"/>
          <w:sz w:val="24"/>
        </w:rPr>
        <w:t xml:space="preserve"> til at indføre et </w:t>
      </w:r>
      <w:r w:rsidRPr="00EF376C">
        <w:rPr>
          <w:rFonts w:ascii="Times New Roman" w:hAnsi="Times New Roman"/>
          <w:b/>
          <w:noProof/>
          <w:color w:val="000000" w:themeColor="text1"/>
          <w:sz w:val="24"/>
        </w:rPr>
        <w:t>system til tidlig varsling</w:t>
      </w:r>
      <w:r w:rsidRPr="00EF376C">
        <w:rPr>
          <w:rFonts w:ascii="Times New Roman" w:hAnsi="Times New Roman"/>
          <w:noProof/>
          <w:color w:val="000000" w:themeColor="text1"/>
          <w:sz w:val="24"/>
        </w:rPr>
        <w:t xml:space="preserve">, </w:t>
      </w:r>
      <w:r w:rsidRPr="00EF376C">
        <w:rPr>
          <w:rFonts w:ascii="Times New Roman" w:hAnsi="Times New Roman"/>
          <w:noProof/>
          <w:sz w:val="24"/>
        </w:rPr>
        <w:t>hvis der er risiko for, at en kundes energiforbrug væsentligt overstiger det</w:t>
      </w:r>
      <w:r w:rsidRPr="00EF376C">
        <w:rPr>
          <w:rFonts w:ascii="Times New Roman" w:hAnsi="Times New Roman"/>
          <w:noProof/>
        </w:rPr>
        <w:t xml:space="preserve"> </w:t>
      </w:r>
      <w:r w:rsidRPr="00EF376C">
        <w:rPr>
          <w:rFonts w:ascii="Times New Roman" w:hAnsi="Times New Roman"/>
          <w:noProof/>
          <w:sz w:val="24"/>
        </w:rPr>
        <w:t>niveau, der blev anslået, da kontrakten blev indgået, samt når der findes et billigere tilbud</w:t>
      </w:r>
      <w:r w:rsidRPr="00EF376C">
        <w:rPr>
          <w:rStyle w:val="FootnoteReference"/>
          <w:rFonts w:ascii="Times New Roman" w:eastAsia="Times New Roman, Aptos" w:hAnsi="Times New Roman" w:cs="Times New Roman"/>
          <w:noProof/>
          <w:sz w:val="24"/>
          <w:szCs w:val="24"/>
        </w:rPr>
        <w:footnoteReference w:id="16"/>
      </w:r>
      <w:r w:rsidRPr="00EF376C">
        <w:rPr>
          <w:rFonts w:ascii="Times New Roman" w:hAnsi="Times New Roman"/>
          <w:noProof/>
          <w:color w:val="000000" w:themeColor="text1"/>
          <w:sz w:val="24"/>
        </w:rPr>
        <w:t xml:space="preserve">. </w:t>
      </w:r>
      <w:r w:rsidRPr="00EF376C">
        <w:rPr>
          <w:rFonts w:ascii="Times New Roman" w:hAnsi="Times New Roman"/>
          <w:noProof/>
          <w:sz w:val="24"/>
        </w:rPr>
        <w:t>Sådanne tjenester,</w:t>
      </w:r>
      <w:r w:rsidRPr="00EF376C">
        <w:rPr>
          <w:rFonts w:ascii="Times New Roman" w:hAnsi="Times New Roman"/>
          <w:noProof/>
          <w:color w:val="000000" w:themeColor="text1"/>
          <w:sz w:val="24"/>
        </w:rPr>
        <w:t xml:space="preserve"> der afspejler dem, som tilbydes i andre sektorer</w:t>
      </w:r>
      <w:r w:rsidRPr="00EF376C">
        <w:rPr>
          <w:rStyle w:val="FootnoteReference"/>
          <w:rFonts w:ascii="Times New Roman" w:eastAsia="Times New Roman" w:hAnsi="Times New Roman" w:cs="Times New Roman"/>
          <w:noProof/>
          <w:color w:val="000000" w:themeColor="text1"/>
          <w:sz w:val="24"/>
          <w:szCs w:val="24"/>
        </w:rPr>
        <w:footnoteReference w:id="17"/>
      </w:r>
      <w:r w:rsidRPr="00EF376C">
        <w:rPr>
          <w:rFonts w:ascii="Times New Roman" w:hAnsi="Times New Roman"/>
          <w:noProof/>
          <w:color w:val="000000" w:themeColor="text1"/>
          <w:sz w:val="24"/>
        </w:rPr>
        <w:t>, vil give forbrugerne mulighed for at reagere hurtigt og ændre kontrakt (f.eks. fra fleksibel til fast kontakt), hvilket vil have en positiv indvirkning på deres regninger.</w:t>
      </w:r>
    </w:p>
    <w:p w14:paraId="4F890F92" w14:textId="77777777" w:rsidR="001310BC" w:rsidRPr="00EF376C" w:rsidRDefault="00D975FE">
      <w:pPr>
        <w:spacing w:before="120" w:after="0"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 xml:space="preserve">Borgerne bør have adgang til </w:t>
      </w:r>
      <w:r w:rsidRPr="00EF376C">
        <w:rPr>
          <w:rFonts w:ascii="Times New Roman" w:hAnsi="Times New Roman"/>
          <w:b/>
          <w:noProof/>
          <w:sz w:val="24"/>
        </w:rPr>
        <w:t>klare oplysninger</w:t>
      </w:r>
      <w:r w:rsidRPr="00EF376C">
        <w:rPr>
          <w:rFonts w:ascii="Times New Roman" w:hAnsi="Times New Roman"/>
          <w:noProof/>
          <w:sz w:val="24"/>
        </w:rPr>
        <w:t xml:space="preserve"> om deres kontrakter. Der bør gives en kortfattet sammenfatning i god tid inden indgåelsen eller forlængelsen af en kontrakt. For at sikre, at sårbare forbrugere, herunder dem uden digitale værktøjer eller færdigheder, effektivt kan udøve deres rettigheder, bør leverandører stille denne sammenfatning gratis til rådighed i tilgængelige formater og via flere kanaler. Kommissionen vil vejlede om centrale kontraktvilkår og -betingelser og tilskynde leverandører til at stille en </w:t>
      </w:r>
      <w:r w:rsidRPr="00EF376C">
        <w:rPr>
          <w:rFonts w:ascii="Times New Roman" w:hAnsi="Times New Roman"/>
          <w:b/>
          <w:noProof/>
          <w:sz w:val="24"/>
        </w:rPr>
        <w:t>standardiseret sammenfatning</w:t>
      </w:r>
      <w:r w:rsidRPr="00EF376C">
        <w:rPr>
          <w:rFonts w:ascii="Times New Roman" w:hAnsi="Times New Roman"/>
          <w:noProof/>
          <w:sz w:val="24"/>
        </w:rPr>
        <w:t xml:space="preserve"> til rådighed. </w:t>
      </w:r>
    </w:p>
    <w:p w14:paraId="582746AE" w14:textId="77777777" w:rsidR="001310BC" w:rsidRPr="00EF376C" w:rsidRDefault="00D975FE">
      <w:pPr>
        <w:spacing w:before="120" w:after="0"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 xml:space="preserve">For at skifte leverandør er der også unødige </w:t>
      </w:r>
      <w:r w:rsidRPr="00EF376C">
        <w:rPr>
          <w:rFonts w:ascii="Times New Roman" w:hAnsi="Times New Roman"/>
          <w:b/>
          <w:noProof/>
          <w:sz w:val="24"/>
        </w:rPr>
        <w:t>tekniske hindringer</w:t>
      </w:r>
      <w:r w:rsidRPr="00EF376C">
        <w:rPr>
          <w:rFonts w:ascii="Times New Roman" w:hAnsi="Times New Roman"/>
          <w:noProof/>
          <w:sz w:val="24"/>
        </w:rPr>
        <w:t xml:space="preserve">. Til afhjælpning heraf vil Kommissionen fastsætte tekniske regler for leverandører for at sikre, at backoffice-skift i hele EU kan gennemføres inden for 24 timer. Desuden er det afgørende, at medlemsstaterne </w:t>
      </w:r>
      <w:r w:rsidRPr="00EF376C">
        <w:rPr>
          <w:rFonts w:ascii="Times New Roman" w:hAnsi="Times New Roman"/>
          <w:b/>
          <w:noProof/>
          <w:sz w:val="24"/>
        </w:rPr>
        <w:t>fuldt ud udruller intelligente målere</w:t>
      </w:r>
      <w:r w:rsidRPr="00EF376C">
        <w:rPr>
          <w:rFonts w:ascii="Times New Roman" w:hAnsi="Times New Roman"/>
          <w:noProof/>
          <w:sz w:val="24"/>
        </w:rPr>
        <w:t xml:space="preserve">, eftersom borgerne skal have et klart overblik over den energi, de forbruger, for at kunne udøve deres rettigheder eller drage fordel af fleksibilitetstjenester (se foranstaltning 6). </w:t>
      </w:r>
    </w:p>
    <w:p w14:paraId="75CF579A" w14:textId="71216E89" w:rsidR="00EA1B3F" w:rsidRPr="00EF376C" w:rsidRDefault="00EA1B3F">
      <w:pPr>
        <w:rPr>
          <w:rFonts w:ascii="Times New Roman" w:eastAsia="Times New Roman" w:hAnsi="Times New Roman" w:cs="Times New Roman"/>
          <w:noProof/>
        </w:rPr>
      </w:pPr>
      <w:r w:rsidRPr="00EF376C">
        <w:rPr>
          <w:rFonts w:ascii="Times New Roman" w:eastAsia="Times New Roman" w:hAnsi="Times New Roman" w:cs="Times New Roman"/>
          <w:noProof/>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1310BC" w:rsidRPr="00EF376C" w14:paraId="325CC187" w14:textId="77777777">
        <w:tc>
          <w:tcPr>
            <w:tcW w:w="1163" w:type="dxa"/>
            <w:vAlign w:val="center"/>
            <w:hideMark/>
          </w:tcPr>
          <w:p w14:paraId="2E609958" w14:textId="77777777" w:rsidR="001310BC" w:rsidRPr="00EF376C" w:rsidRDefault="00D975FE">
            <w:pPr>
              <w:widowControl w:val="0"/>
              <w:rPr>
                <w:rFonts w:ascii="Times New Roman" w:hAnsi="Times New Roman" w:cs="Times New Roman"/>
                <w:noProof/>
                <w:sz w:val="24"/>
                <w:szCs w:val="24"/>
              </w:rPr>
            </w:pPr>
            <w:bookmarkStart w:id="5" w:name="_Hlk219977843"/>
            <w:r w:rsidRPr="00EF376C">
              <w:rPr>
                <w:rFonts w:ascii="Times New Roman" w:hAnsi="Times New Roman"/>
                <w:noProof/>
                <w:sz w:val="24"/>
              </w:rPr>
              <w:t>Mål</w:t>
            </w:r>
          </w:p>
        </w:tc>
        <w:tc>
          <w:tcPr>
            <w:tcW w:w="7853" w:type="dxa"/>
            <w:vAlign w:val="center"/>
            <w:hideMark/>
          </w:tcPr>
          <w:p w14:paraId="4AE79C1C" w14:textId="6289CB9F" w:rsidR="001310BC" w:rsidRPr="00EF376C" w:rsidRDefault="00D975FE">
            <w:pPr>
              <w:widowControl w:val="0"/>
              <w:jc w:val="both"/>
              <w:rPr>
                <w:rFonts w:ascii="Times New Roman" w:hAnsi="Times New Roman" w:cs="Times New Roman"/>
                <w:b/>
                <w:noProof/>
                <w:sz w:val="24"/>
                <w:szCs w:val="24"/>
              </w:rPr>
            </w:pPr>
            <w:r w:rsidRPr="00EF376C">
              <w:rPr>
                <w:rFonts w:ascii="Times New Roman" w:hAnsi="Times New Roman"/>
                <w:b/>
                <w:noProof/>
                <w:sz w:val="24"/>
              </w:rPr>
              <w:t>Forbedre gennemsigtigheden i og sammenligneligheden af energiforsyningstilbud samt</w:t>
            </w:r>
            <w:r w:rsidR="00B21A70" w:rsidRPr="00EF376C">
              <w:rPr>
                <w:rFonts w:ascii="Times New Roman" w:hAnsi="Times New Roman"/>
                <w:b/>
                <w:noProof/>
                <w:sz w:val="24"/>
              </w:rPr>
              <w:t xml:space="preserve"> </w:t>
            </w:r>
            <w:r w:rsidRPr="00EF376C">
              <w:rPr>
                <w:rFonts w:ascii="Times New Roman" w:hAnsi="Times New Roman"/>
                <w:b/>
                <w:noProof/>
                <w:sz w:val="24"/>
              </w:rPr>
              <w:t>give mulighed for teknisk at skifte leverandør inden for 24 timer.</w:t>
            </w:r>
          </w:p>
        </w:tc>
      </w:tr>
      <w:tr w:rsidR="001310BC" w:rsidRPr="00EF376C" w14:paraId="3313F569" w14:textId="77777777">
        <w:tc>
          <w:tcPr>
            <w:tcW w:w="1163" w:type="dxa"/>
          </w:tcPr>
          <w:p w14:paraId="2B792C57" w14:textId="77777777" w:rsidR="001310BC" w:rsidRPr="00EF376C" w:rsidRDefault="00D975FE">
            <w:pPr>
              <w:widowControl w:val="0"/>
              <w:rPr>
                <w:rFonts w:ascii="Times New Roman" w:hAnsi="Times New Roman" w:cs="Times New Roman"/>
                <w:noProof/>
                <w:sz w:val="24"/>
                <w:szCs w:val="24"/>
              </w:rPr>
            </w:pPr>
            <w:r w:rsidRPr="00EF376C">
              <w:rPr>
                <w:rFonts w:ascii="Times New Roman" w:hAnsi="Times New Roman"/>
                <w:noProof/>
                <w:sz w:val="24"/>
              </w:rPr>
              <w:t>Resultat</w:t>
            </w:r>
          </w:p>
        </w:tc>
        <w:tc>
          <w:tcPr>
            <w:tcW w:w="7853" w:type="dxa"/>
            <w:vAlign w:val="center"/>
          </w:tcPr>
          <w:p w14:paraId="62A6C657" w14:textId="77777777" w:rsidR="001310BC" w:rsidRPr="00EF376C" w:rsidRDefault="00D975FE">
            <w:pPr>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Et skift forventes at give besparelser på op mod </w:t>
            </w:r>
            <w:r w:rsidRPr="00EF376C">
              <w:rPr>
                <w:rFonts w:ascii="Times New Roman" w:hAnsi="Times New Roman"/>
                <w:b/>
                <w:noProof/>
                <w:color w:val="000000" w:themeColor="text1"/>
                <w:sz w:val="24"/>
              </w:rPr>
              <w:t>152 EUR om året</w:t>
            </w:r>
            <w:r w:rsidRPr="00EF376C">
              <w:rPr>
                <w:rFonts w:ascii="Times New Roman" w:hAnsi="Times New Roman"/>
                <w:noProof/>
                <w:color w:val="000000" w:themeColor="text1"/>
                <w:sz w:val="24"/>
              </w:rPr>
              <w:t>.</w:t>
            </w:r>
          </w:p>
        </w:tc>
      </w:tr>
      <w:tr w:rsidR="001310BC" w:rsidRPr="00EF376C" w14:paraId="793DC427" w14:textId="77777777">
        <w:tc>
          <w:tcPr>
            <w:tcW w:w="1163" w:type="dxa"/>
            <w:vAlign w:val="center"/>
          </w:tcPr>
          <w:p w14:paraId="1FBA9603" w14:textId="77777777" w:rsidR="001310BC" w:rsidRPr="00EF376C" w:rsidRDefault="00D975FE">
            <w:pPr>
              <w:widowControl w:val="0"/>
              <w:rPr>
                <w:rFonts w:ascii="Times New Roman" w:hAnsi="Times New Roman" w:cs="Times New Roman"/>
                <w:noProof/>
                <w:sz w:val="24"/>
                <w:szCs w:val="24"/>
              </w:rPr>
            </w:pPr>
            <w:r w:rsidRPr="00EF376C">
              <w:rPr>
                <w:rFonts w:ascii="Times New Roman" w:hAnsi="Times New Roman"/>
                <w:noProof/>
                <w:sz w:val="24"/>
              </w:rPr>
              <w:t>Hvordan?</w:t>
            </w:r>
          </w:p>
        </w:tc>
        <w:tc>
          <w:tcPr>
            <w:tcW w:w="7853" w:type="dxa"/>
          </w:tcPr>
          <w:p w14:paraId="5419B4E6" w14:textId="77777777" w:rsidR="001310BC" w:rsidRPr="00EF376C" w:rsidRDefault="00D975FE">
            <w:pPr>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Kommissionen vil vedtage </w:t>
            </w:r>
            <w:r w:rsidRPr="00EF376C">
              <w:rPr>
                <w:rFonts w:ascii="Times New Roman" w:hAnsi="Times New Roman"/>
                <w:b/>
                <w:noProof/>
                <w:color w:val="000000" w:themeColor="text1"/>
                <w:sz w:val="24"/>
              </w:rPr>
              <w:t>tekniske regler for leverandørskift</w:t>
            </w:r>
            <w:r w:rsidRPr="00EF376C">
              <w:rPr>
                <w:rFonts w:ascii="Times New Roman" w:hAnsi="Times New Roman"/>
                <w:noProof/>
                <w:color w:val="000000" w:themeColor="text1"/>
                <w:sz w:val="24"/>
              </w:rPr>
              <w:t xml:space="preserve"> (1. kvartal 2026), vedtage en </w:t>
            </w:r>
            <w:r w:rsidRPr="00EF376C">
              <w:rPr>
                <w:rFonts w:ascii="Times New Roman" w:hAnsi="Times New Roman"/>
                <w:b/>
                <w:noProof/>
                <w:color w:val="000000" w:themeColor="text1"/>
                <w:sz w:val="24"/>
              </w:rPr>
              <w:t>henstilling om sammenfatningen af de vigtigste vilkår og betingelser</w:t>
            </w:r>
            <w:r w:rsidRPr="00EF376C">
              <w:rPr>
                <w:rFonts w:ascii="Times New Roman" w:hAnsi="Times New Roman"/>
                <w:noProof/>
                <w:color w:val="000000" w:themeColor="text1"/>
                <w:sz w:val="24"/>
              </w:rPr>
              <w:t xml:space="preserve"> i energikontrakter (1. kvartal 2026) og overveje en </w:t>
            </w:r>
            <w:r w:rsidRPr="00EF376C">
              <w:rPr>
                <w:rFonts w:ascii="Times New Roman" w:hAnsi="Times New Roman"/>
                <w:b/>
                <w:noProof/>
                <w:color w:val="000000" w:themeColor="text1"/>
                <w:sz w:val="24"/>
              </w:rPr>
              <w:t>henstilling om standardmodeller</w:t>
            </w:r>
            <w:r w:rsidRPr="00EF376C">
              <w:rPr>
                <w:rFonts w:ascii="Times New Roman" w:hAnsi="Times New Roman"/>
                <w:noProof/>
                <w:color w:val="000000" w:themeColor="text1"/>
                <w:sz w:val="24"/>
              </w:rPr>
              <w:t xml:space="preserve"> for energiregninger (2027).</w:t>
            </w:r>
          </w:p>
        </w:tc>
      </w:tr>
      <w:bookmarkEnd w:id="5"/>
    </w:tbl>
    <w:p w14:paraId="519AFBE3" w14:textId="77777777" w:rsidR="001310BC" w:rsidRPr="00EF376C" w:rsidRDefault="001310BC">
      <w:pPr>
        <w:spacing w:line="240" w:lineRule="auto"/>
        <w:rPr>
          <w:rFonts w:ascii="Times New Roman" w:hAnsi="Times New Roman" w:cs="Times New Roman"/>
          <w:b/>
          <w:smallCaps/>
          <w:noProof/>
          <w:sz w:val="24"/>
          <w:szCs w:val="24"/>
          <w:u w:val="single"/>
        </w:rPr>
      </w:pPr>
    </w:p>
    <w:p w14:paraId="41BE06B6" w14:textId="77777777" w:rsidR="001310BC" w:rsidRPr="00EF376C" w:rsidRDefault="00D975FE">
      <w:pPr>
        <w:jc w:val="center"/>
        <w:rPr>
          <w:rFonts w:ascii="Times New Roman" w:hAnsi="Times New Roman" w:cs="Times New Roman"/>
          <w:b/>
          <w:bCs/>
          <w:smallCaps/>
          <w:noProof/>
          <w:sz w:val="24"/>
          <w:szCs w:val="24"/>
          <w:u w:val="single"/>
        </w:rPr>
      </w:pPr>
      <w:bookmarkStart w:id="6" w:name="_Hlk219978164"/>
      <w:r w:rsidRPr="00EF376C">
        <w:rPr>
          <w:rFonts w:ascii="Times New Roman" w:hAnsi="Times New Roman"/>
          <w:b/>
          <w:smallCaps/>
          <w:noProof/>
          <w:sz w:val="24"/>
          <w:u w:val="single"/>
        </w:rPr>
        <w:t>Søjle II: Beskytte og styrke forbrugerne</w:t>
      </w:r>
    </w:p>
    <w:p w14:paraId="32144664" w14:textId="77777777" w:rsidR="001310BC" w:rsidRPr="00EF376C" w:rsidRDefault="00D975FE">
      <w:pPr>
        <w:spacing w:before="120" w:after="120" w:line="240" w:lineRule="auto"/>
        <w:rPr>
          <w:rFonts w:ascii="Times New Roman" w:hAnsi="Times New Roman" w:cs="Times New Roman"/>
          <w:b/>
          <w:bCs/>
          <w:noProof/>
          <w:color w:val="000000" w:themeColor="text1"/>
          <w:sz w:val="24"/>
          <w:szCs w:val="24"/>
          <w:u w:val="single"/>
        </w:rPr>
      </w:pPr>
      <w:bookmarkStart w:id="7" w:name="_Hlk219977860"/>
      <w:bookmarkEnd w:id="6"/>
      <w:r w:rsidRPr="00EF376C">
        <w:rPr>
          <w:rStyle w:val="normaltextrun"/>
          <w:rFonts w:ascii="Times New Roman" w:hAnsi="Times New Roman"/>
          <w:b/>
          <w:noProof/>
          <w:color w:val="000000" w:themeColor="text1"/>
          <w:sz w:val="24"/>
          <w:u w:val="single"/>
        </w:rPr>
        <w:t xml:space="preserve">Foranstaltning 5: Fremme egenproduktion af energi og energideling blandt borgere </w:t>
      </w:r>
    </w:p>
    <w:bookmarkEnd w:id="7"/>
    <w:p w14:paraId="4EDD2EBD" w14:textId="77777777" w:rsidR="001310BC" w:rsidRPr="00EF376C" w:rsidRDefault="00D975FE">
      <w:pPr>
        <w:widowControl w:val="0"/>
        <w:spacing w:before="120" w:after="120"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Borgere kan beslutte at gå sammen og oprette et </w:t>
      </w:r>
      <w:r w:rsidRPr="00EF376C">
        <w:rPr>
          <w:rFonts w:ascii="Times New Roman" w:hAnsi="Times New Roman"/>
          <w:b/>
          <w:noProof/>
          <w:color w:val="000000" w:themeColor="text1"/>
          <w:sz w:val="24"/>
        </w:rPr>
        <w:t>energifællesskab</w:t>
      </w:r>
      <w:r w:rsidRPr="00EF376C">
        <w:rPr>
          <w:rFonts w:ascii="Times New Roman" w:hAnsi="Times New Roman"/>
          <w:noProof/>
          <w:color w:val="000000" w:themeColor="text1"/>
          <w:sz w:val="24"/>
        </w:rPr>
        <w:t xml:space="preserve"> med henblik på at forvalte fælles investeringer og producere og forbruge vedvarende energi, f.eks.</w:t>
      </w:r>
      <w:r w:rsidRPr="00EF376C">
        <w:rPr>
          <w:rFonts w:ascii="Times New Roman" w:hAnsi="Times New Roman"/>
          <w:noProof/>
        </w:rPr>
        <w:t xml:space="preserve"> </w:t>
      </w:r>
      <w:r w:rsidRPr="00EF376C">
        <w:rPr>
          <w:rFonts w:ascii="Times New Roman" w:hAnsi="Times New Roman"/>
          <w:noProof/>
          <w:color w:val="000000" w:themeColor="text1"/>
          <w:sz w:val="24"/>
        </w:rPr>
        <w:t>ved hjælp af solpaneler, vindmøller og fjernvarmesystemer. Dette er en rettighed, der er sikret ved EU-retten</w:t>
      </w:r>
      <w:r w:rsidRPr="00EF376C">
        <w:rPr>
          <w:rStyle w:val="FootnoteReference"/>
          <w:rFonts w:ascii="Times New Roman" w:eastAsia="Times New Roman" w:hAnsi="Times New Roman" w:cs="Times New Roman"/>
          <w:noProof/>
          <w:color w:val="000000" w:themeColor="text1"/>
          <w:sz w:val="24"/>
          <w:szCs w:val="24"/>
        </w:rPr>
        <w:footnoteReference w:id="18"/>
      </w:r>
      <w:r w:rsidRPr="00EF376C">
        <w:rPr>
          <w:noProof/>
        </w:rPr>
        <w:t>.</w:t>
      </w:r>
      <w:r w:rsidRPr="00EF376C">
        <w:rPr>
          <w:rFonts w:ascii="Times New Roman" w:hAnsi="Times New Roman"/>
          <w:noProof/>
          <w:color w:val="000000" w:themeColor="text1"/>
          <w:sz w:val="24"/>
        </w:rPr>
        <w:t xml:space="preserve"> Selv om der i øjeblikket er mere end 8 000 aktive energifællesskaber i Europa</w:t>
      </w:r>
      <w:r w:rsidRPr="00EF376C">
        <w:rPr>
          <w:rStyle w:val="FootnoteReference"/>
          <w:rFonts w:ascii="Times New Roman" w:eastAsia="Times New Roman" w:hAnsi="Times New Roman" w:cs="Times New Roman"/>
          <w:noProof/>
          <w:color w:val="000000" w:themeColor="text1"/>
          <w:sz w:val="24"/>
          <w:szCs w:val="24"/>
        </w:rPr>
        <w:footnoteReference w:id="19"/>
      </w:r>
      <w:r w:rsidRPr="00EF376C">
        <w:rPr>
          <w:rFonts w:ascii="Times New Roman" w:hAnsi="Times New Roman"/>
          <w:noProof/>
          <w:color w:val="000000" w:themeColor="text1"/>
          <w:sz w:val="24"/>
        </w:rPr>
        <w:t xml:space="preserve">, er det </w:t>
      </w:r>
      <w:r w:rsidRPr="00EF376C">
        <w:rPr>
          <w:rFonts w:ascii="Times New Roman" w:hAnsi="Times New Roman"/>
          <w:b/>
          <w:noProof/>
          <w:color w:val="000000" w:themeColor="text1"/>
          <w:sz w:val="24"/>
        </w:rPr>
        <w:t>uudnyttede potentiale</w:t>
      </w:r>
      <w:r w:rsidRPr="00EF376C">
        <w:rPr>
          <w:rFonts w:ascii="Times New Roman" w:hAnsi="Times New Roman"/>
          <w:noProof/>
          <w:color w:val="000000" w:themeColor="text1"/>
          <w:sz w:val="24"/>
        </w:rPr>
        <w:t xml:space="preserve"> enormt, navnlig i landdistrikter, </w:t>
      </w:r>
      <w:r w:rsidRPr="00EF376C">
        <w:rPr>
          <w:rFonts w:ascii="Times New Roman" w:hAnsi="Times New Roman"/>
          <w:noProof/>
          <w:color w:val="000000" w:themeColor="text1"/>
          <w:sz w:val="24"/>
          <w:u w:val="single"/>
        </w:rPr>
        <w:t>f.eks. ved at producere vedvarende energi, herunder biogas og biomethan, samt lokal affaldshåndtering</w:t>
      </w:r>
      <w:r w:rsidRPr="00EF376C">
        <w:rPr>
          <w:rFonts w:ascii="Times New Roman" w:hAnsi="Times New Roman"/>
          <w:noProof/>
          <w:color w:val="000000" w:themeColor="text1"/>
          <w:sz w:val="24"/>
        </w:rPr>
        <w:t xml:space="preserve">. Der er også kollektive fordele ved at </w:t>
      </w:r>
      <w:r w:rsidRPr="00EF376C">
        <w:rPr>
          <w:rFonts w:ascii="Times New Roman" w:hAnsi="Times New Roman"/>
          <w:b/>
          <w:noProof/>
          <w:color w:val="000000" w:themeColor="text1"/>
          <w:sz w:val="24"/>
        </w:rPr>
        <w:t>dele energi</w:t>
      </w:r>
      <w:r w:rsidRPr="00EF376C">
        <w:rPr>
          <w:rFonts w:ascii="Times New Roman" w:hAnsi="Times New Roman"/>
          <w:noProof/>
          <w:color w:val="000000" w:themeColor="text1"/>
          <w:sz w:val="24"/>
        </w:rPr>
        <w:t xml:space="preserve">. Dette giver en større gruppe af borgere, </w:t>
      </w:r>
      <w:r w:rsidRPr="00EF376C">
        <w:rPr>
          <w:rFonts w:ascii="Times New Roman" w:hAnsi="Times New Roman"/>
          <w:noProof/>
          <w:sz w:val="24"/>
        </w:rPr>
        <w:t xml:space="preserve">f.eks. </w:t>
      </w:r>
      <w:r w:rsidRPr="00EF376C">
        <w:rPr>
          <w:rFonts w:ascii="Times New Roman" w:hAnsi="Times New Roman"/>
          <w:noProof/>
          <w:color w:val="000000" w:themeColor="text1"/>
          <w:sz w:val="24"/>
        </w:rPr>
        <w:t>lejere, lavindkomsthusstande og personer uden tilstrækkelig plads, mulighed for at drage</w:t>
      </w:r>
      <w:r w:rsidRPr="00EF376C">
        <w:rPr>
          <w:rFonts w:ascii="Times New Roman" w:hAnsi="Times New Roman"/>
          <w:noProof/>
          <w:sz w:val="24"/>
        </w:rPr>
        <w:t xml:space="preserve"> direkte fordel </w:t>
      </w:r>
      <w:r w:rsidRPr="00EF376C">
        <w:rPr>
          <w:rFonts w:ascii="Times New Roman" w:hAnsi="Times New Roman"/>
          <w:noProof/>
          <w:color w:val="000000" w:themeColor="text1"/>
          <w:sz w:val="24"/>
        </w:rPr>
        <w:t xml:space="preserve">af hjemmeproduceret vedvarende energi. </w:t>
      </w:r>
      <w:r w:rsidRPr="00EF376C">
        <w:rPr>
          <w:rFonts w:ascii="Times New Roman" w:hAnsi="Times New Roman"/>
          <w:noProof/>
          <w:sz w:val="24"/>
        </w:rPr>
        <w:t xml:space="preserve">Egenproduktion og energideling betyder større autonomi og stabil adgang til økonomisk overkommelige og mere stabile priser samt gør energisystemet mere effektivt. </w:t>
      </w:r>
    </w:p>
    <w:p w14:paraId="1656DC48" w14:textId="77777777" w:rsidR="001310BC" w:rsidRPr="00EF376C" w:rsidRDefault="00D975FE">
      <w:pPr>
        <w:spacing w:before="120" w:after="120" w:line="240" w:lineRule="auto"/>
        <w:jc w:val="both"/>
        <w:rPr>
          <w:rFonts w:ascii="Times New Roman" w:eastAsia="Times New Roman" w:hAnsi="Times New Roman" w:cs="Times New Roman"/>
          <w:noProof/>
          <w:color w:val="000000" w:themeColor="text1"/>
          <w:sz w:val="24"/>
          <w:szCs w:val="24"/>
          <w:vertAlign w:val="superscript"/>
        </w:rPr>
      </w:pPr>
      <w:r w:rsidRPr="00EF376C">
        <w:rPr>
          <w:rFonts w:ascii="Times New Roman" w:hAnsi="Times New Roman"/>
          <w:noProof/>
          <w:color w:val="000000" w:themeColor="text1"/>
          <w:sz w:val="24"/>
        </w:rPr>
        <w:t>I</w:t>
      </w:r>
      <w:r w:rsidRPr="00EF376C">
        <w:rPr>
          <w:rFonts w:ascii="Times New Roman" w:hAnsi="Times New Roman"/>
          <w:noProof/>
          <w:sz w:val="24"/>
        </w:rPr>
        <w:t xml:space="preserve"> 2030 vil over 16 millioner husstande og 630 000 SMV'er kunne producere deres egen vedvarende energi</w:t>
      </w:r>
      <w:r w:rsidRPr="00EF376C">
        <w:rPr>
          <w:rStyle w:val="FootnoteReference"/>
          <w:rFonts w:ascii="Times New Roman" w:hAnsi="Times New Roman"/>
          <w:noProof/>
          <w:sz w:val="24"/>
          <w:szCs w:val="24"/>
        </w:rPr>
        <w:footnoteReference w:id="20"/>
      </w:r>
      <w:r w:rsidRPr="00EF376C">
        <w:rPr>
          <w:noProof/>
        </w:rPr>
        <w:t>.</w:t>
      </w:r>
      <w:r w:rsidRPr="00EF376C">
        <w:rPr>
          <w:rStyle w:val="FootnoteReference"/>
          <w:rFonts w:ascii="Times New Roman" w:hAnsi="Times New Roman"/>
          <w:noProof/>
          <w:sz w:val="24"/>
        </w:rPr>
        <w:t xml:space="preserve"> </w:t>
      </w:r>
      <w:r w:rsidRPr="00EF376C">
        <w:rPr>
          <w:rFonts w:ascii="Times New Roman" w:hAnsi="Times New Roman"/>
          <w:noProof/>
          <w:color w:val="000000" w:themeColor="text1"/>
          <w:sz w:val="24"/>
        </w:rPr>
        <w:t xml:space="preserve">Der er mulighed for at </w:t>
      </w:r>
      <w:r w:rsidRPr="00EF376C">
        <w:rPr>
          <w:rFonts w:ascii="Times New Roman" w:hAnsi="Times New Roman"/>
          <w:b/>
          <w:noProof/>
          <w:sz w:val="24"/>
        </w:rPr>
        <w:t>tidoble</w:t>
      </w:r>
      <w:r w:rsidRPr="00EF376C">
        <w:rPr>
          <w:rStyle w:val="FootnoteReference"/>
          <w:rFonts w:ascii="Times New Roman" w:eastAsia="Times New Roman" w:hAnsi="Times New Roman" w:cs="Times New Roman"/>
          <w:noProof/>
          <w:sz w:val="24"/>
          <w:szCs w:val="24"/>
        </w:rPr>
        <w:footnoteReference w:id="21"/>
      </w:r>
      <w:r w:rsidRPr="00EF376C">
        <w:rPr>
          <w:rFonts w:ascii="Times New Roman" w:hAnsi="Times New Roman"/>
          <w:noProof/>
          <w:sz w:val="24"/>
        </w:rPr>
        <w:t xml:space="preserve"> den installerede kapacitet inden for vedvarende energi i husstandsfællesskaber</w:t>
      </w:r>
      <w:r w:rsidRPr="00EF376C">
        <w:rPr>
          <w:noProof/>
        </w:rPr>
        <w:t>.</w:t>
      </w:r>
      <w:r w:rsidRPr="00EF376C">
        <w:rPr>
          <w:rFonts w:ascii="Times New Roman" w:hAnsi="Times New Roman"/>
          <w:noProof/>
          <w:sz w:val="24"/>
        </w:rPr>
        <w:t xml:space="preserve"> Individuelle husstande, der producerer og forbruger deres egen solenergi, kan opnå besparelser på 260-550 EUR om året. For husstandsfællesskaber med en blanding af vind- og solenergi kan besparelserne nå op på 440-930 EUR om året</w:t>
      </w:r>
      <w:r w:rsidRPr="00EF376C">
        <w:rPr>
          <w:rFonts w:ascii="Times New Roman" w:eastAsia="Times New Roman" w:hAnsi="Times New Roman" w:cs="Times New Roman"/>
          <w:noProof/>
          <w:color w:val="000000" w:themeColor="text1"/>
          <w:sz w:val="24"/>
          <w:szCs w:val="24"/>
          <w:vertAlign w:val="superscript"/>
        </w:rPr>
        <w:footnoteReference w:id="22"/>
      </w:r>
      <w:r w:rsidRPr="00EF376C">
        <w:rPr>
          <w:rFonts w:ascii="Times New Roman" w:hAnsi="Times New Roman"/>
          <w:noProof/>
          <w:sz w:val="24"/>
        </w:rPr>
        <w:t>.</w:t>
      </w:r>
    </w:p>
    <w:p w14:paraId="1D4D84E9" w14:textId="69E28EBA" w:rsidR="00EA1B3F" w:rsidRPr="00EF376C" w:rsidRDefault="00D975FE">
      <w:pPr>
        <w:widowControl w:val="0"/>
        <w:spacing w:before="120" w:after="120" w:line="240" w:lineRule="auto"/>
        <w:jc w:val="both"/>
        <w:rPr>
          <w:rFonts w:ascii="Times New Roman" w:hAnsi="Times New Roman"/>
          <w:noProof/>
          <w:sz w:val="24"/>
        </w:rPr>
      </w:pPr>
      <w:r w:rsidRPr="00EF376C">
        <w:rPr>
          <w:rFonts w:ascii="Times New Roman" w:hAnsi="Times New Roman"/>
          <w:noProof/>
          <w:sz w:val="24"/>
        </w:rPr>
        <w:t xml:space="preserve">For at udnytte dette potentiale skal energifællesskaber have mulighed for at dele elektricitet uden at blive pålagt for høje leverandørgebyrer samt mulighed for at sælge overskydende energi og udnytte deres potentiale med henblik på at afbalancere en høj eller lav efterspørgsel på markedet. Administrative krav skal begrænses til et minimum. Der bør ydes målrettet støtte for at sikre adgang for energifattige og sårbare husstande. For at støtte medlemsstaterne i disse bestræbelser vil Kommissionen udarbejde en </w:t>
      </w:r>
      <w:r w:rsidRPr="00EF376C">
        <w:rPr>
          <w:rFonts w:ascii="Times New Roman" w:hAnsi="Times New Roman"/>
          <w:b/>
          <w:noProof/>
          <w:sz w:val="24"/>
        </w:rPr>
        <w:t>handlingsplan for energifællesskaber</w:t>
      </w:r>
      <w:r w:rsidRPr="00EF376C">
        <w:rPr>
          <w:rFonts w:ascii="Times New Roman" w:hAnsi="Times New Roman"/>
          <w:noProof/>
          <w:sz w:val="24"/>
        </w:rPr>
        <w:t>.</w:t>
      </w:r>
    </w:p>
    <w:p w14:paraId="338A6F55" w14:textId="77777777" w:rsidR="00EA1B3F" w:rsidRPr="00EF376C" w:rsidRDefault="00EA1B3F">
      <w:pPr>
        <w:rPr>
          <w:rFonts w:ascii="Times New Roman" w:hAnsi="Times New Roman"/>
          <w:noProof/>
          <w:sz w:val="24"/>
        </w:rPr>
      </w:pPr>
      <w:r w:rsidRPr="00EF376C">
        <w:rPr>
          <w:rFonts w:ascii="Times New Roman" w:hAnsi="Times New Roman"/>
          <w:noProof/>
          <w:sz w:val="24"/>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1310BC" w:rsidRPr="00EF376C" w14:paraId="3C3EE592" w14:textId="77777777">
        <w:tc>
          <w:tcPr>
            <w:tcW w:w="1163" w:type="dxa"/>
            <w:vAlign w:val="center"/>
            <w:hideMark/>
          </w:tcPr>
          <w:p w14:paraId="41F08E73" w14:textId="77777777" w:rsidR="001310BC" w:rsidRPr="00EF376C" w:rsidRDefault="00D975FE">
            <w:pPr>
              <w:widowControl w:val="0"/>
              <w:rPr>
                <w:rFonts w:ascii="Times New Roman" w:hAnsi="Times New Roman" w:cs="Times New Roman"/>
                <w:noProof/>
                <w:sz w:val="24"/>
                <w:szCs w:val="24"/>
              </w:rPr>
            </w:pPr>
            <w:bookmarkStart w:id="9" w:name="_Hlk219977892"/>
            <w:r w:rsidRPr="00EF376C">
              <w:rPr>
                <w:rFonts w:ascii="Times New Roman" w:hAnsi="Times New Roman"/>
                <w:noProof/>
                <w:sz w:val="24"/>
              </w:rPr>
              <w:t>Mål</w:t>
            </w:r>
          </w:p>
        </w:tc>
        <w:tc>
          <w:tcPr>
            <w:tcW w:w="7853" w:type="dxa"/>
            <w:vAlign w:val="center"/>
            <w:hideMark/>
          </w:tcPr>
          <w:p w14:paraId="4495A745" w14:textId="77777777" w:rsidR="001310BC" w:rsidRPr="00EF376C" w:rsidRDefault="00D975FE">
            <w:pPr>
              <w:widowControl w:val="0"/>
              <w:jc w:val="both"/>
              <w:rPr>
                <w:rFonts w:ascii="Times New Roman" w:hAnsi="Times New Roman" w:cs="Times New Roman"/>
                <w:b/>
                <w:noProof/>
                <w:sz w:val="24"/>
                <w:szCs w:val="24"/>
              </w:rPr>
            </w:pPr>
            <w:r w:rsidRPr="00EF376C">
              <w:rPr>
                <w:rFonts w:ascii="Times New Roman" w:hAnsi="Times New Roman"/>
                <w:b/>
                <w:noProof/>
                <w:sz w:val="24"/>
              </w:rPr>
              <w:t>Udnytte potentialet ved energifællesskaber med henblik på inden 2030 at opnå en tidobling af deres installerede kapacitet inden for vedvarende energi i EU og herved producere vedvarende energi til 25-30 millioner husstande.</w:t>
            </w:r>
          </w:p>
        </w:tc>
      </w:tr>
      <w:tr w:rsidR="001310BC" w:rsidRPr="00EF376C" w14:paraId="68E13149" w14:textId="77777777">
        <w:tc>
          <w:tcPr>
            <w:tcW w:w="1163" w:type="dxa"/>
            <w:vAlign w:val="center"/>
          </w:tcPr>
          <w:p w14:paraId="53F9F445" w14:textId="77777777" w:rsidR="001310BC" w:rsidRPr="00EF376C" w:rsidRDefault="00D975FE">
            <w:pPr>
              <w:widowControl w:val="0"/>
              <w:rPr>
                <w:rFonts w:ascii="Times New Roman" w:hAnsi="Times New Roman" w:cs="Times New Roman"/>
                <w:noProof/>
                <w:sz w:val="24"/>
                <w:szCs w:val="24"/>
              </w:rPr>
            </w:pPr>
            <w:r w:rsidRPr="00EF376C">
              <w:rPr>
                <w:rFonts w:ascii="Times New Roman" w:hAnsi="Times New Roman"/>
                <w:noProof/>
                <w:sz w:val="24"/>
              </w:rPr>
              <w:t>Resultat</w:t>
            </w:r>
          </w:p>
        </w:tc>
        <w:tc>
          <w:tcPr>
            <w:tcW w:w="7853" w:type="dxa"/>
            <w:vAlign w:val="center"/>
          </w:tcPr>
          <w:p w14:paraId="371CD9ED" w14:textId="77777777" w:rsidR="001310BC" w:rsidRPr="00EF376C" w:rsidRDefault="00D975FE">
            <w:pPr>
              <w:widowControl w:val="0"/>
              <w:jc w:val="both"/>
              <w:rPr>
                <w:rFonts w:ascii="Times New Roman" w:hAnsi="Times New Roman" w:cs="Times New Roman"/>
                <w:noProof/>
                <w:sz w:val="24"/>
                <w:szCs w:val="24"/>
              </w:rPr>
            </w:pPr>
            <w:r w:rsidRPr="00EF376C">
              <w:rPr>
                <w:rFonts w:ascii="Times New Roman" w:hAnsi="Times New Roman"/>
                <w:noProof/>
                <w:sz w:val="24"/>
              </w:rPr>
              <w:t xml:space="preserve">Potentielle besparelser på </w:t>
            </w:r>
            <w:r w:rsidRPr="00EF376C">
              <w:rPr>
                <w:rFonts w:ascii="Times New Roman" w:hAnsi="Times New Roman"/>
                <w:b/>
                <w:noProof/>
                <w:sz w:val="24"/>
              </w:rPr>
              <w:t>260-550 EUR om året</w:t>
            </w:r>
            <w:r w:rsidRPr="00EF376C">
              <w:rPr>
                <w:rFonts w:ascii="Times New Roman" w:hAnsi="Times New Roman"/>
                <w:noProof/>
                <w:sz w:val="24"/>
              </w:rPr>
              <w:t xml:space="preserve"> for individuelle husstande og potentielle økonomiske fordele på </w:t>
            </w:r>
            <w:r w:rsidRPr="00EF376C">
              <w:rPr>
                <w:rFonts w:ascii="Times New Roman" w:hAnsi="Times New Roman"/>
                <w:b/>
                <w:noProof/>
                <w:sz w:val="24"/>
              </w:rPr>
              <w:t>440-930 EUR om året</w:t>
            </w:r>
            <w:r w:rsidRPr="00EF376C">
              <w:rPr>
                <w:rFonts w:ascii="Times New Roman" w:hAnsi="Times New Roman"/>
                <w:noProof/>
                <w:sz w:val="24"/>
              </w:rPr>
              <w:t xml:space="preserve"> for fællesskaber.</w:t>
            </w:r>
          </w:p>
        </w:tc>
      </w:tr>
      <w:tr w:rsidR="001310BC" w:rsidRPr="00EF376C" w14:paraId="459FD5D4" w14:textId="77777777">
        <w:tc>
          <w:tcPr>
            <w:tcW w:w="1163" w:type="dxa"/>
            <w:vAlign w:val="center"/>
          </w:tcPr>
          <w:p w14:paraId="222CB5B5" w14:textId="77777777" w:rsidR="001310BC" w:rsidRPr="00EF376C" w:rsidRDefault="00D975FE">
            <w:pPr>
              <w:widowControl w:val="0"/>
              <w:rPr>
                <w:rFonts w:ascii="Times New Roman" w:hAnsi="Times New Roman" w:cs="Times New Roman"/>
                <w:noProof/>
                <w:sz w:val="24"/>
                <w:szCs w:val="24"/>
              </w:rPr>
            </w:pPr>
            <w:r w:rsidRPr="00EF376C">
              <w:rPr>
                <w:rFonts w:ascii="Times New Roman" w:hAnsi="Times New Roman"/>
                <w:noProof/>
                <w:sz w:val="24"/>
              </w:rPr>
              <w:t>Hvordan?</w:t>
            </w:r>
          </w:p>
        </w:tc>
        <w:tc>
          <w:tcPr>
            <w:tcW w:w="7853" w:type="dxa"/>
            <w:vAlign w:val="center"/>
          </w:tcPr>
          <w:p w14:paraId="2843A1B8" w14:textId="77777777" w:rsidR="001310BC" w:rsidRPr="00EF376C" w:rsidRDefault="00D975FE">
            <w:pPr>
              <w:widowControl w:val="0"/>
              <w:jc w:val="both"/>
              <w:rPr>
                <w:rFonts w:ascii="Times New Roman" w:hAnsi="Times New Roman" w:cs="Times New Roman"/>
                <w:noProof/>
                <w:sz w:val="24"/>
                <w:szCs w:val="24"/>
              </w:rPr>
            </w:pPr>
            <w:r w:rsidRPr="00EF376C">
              <w:rPr>
                <w:rFonts w:ascii="Times New Roman" w:hAnsi="Times New Roman"/>
                <w:noProof/>
                <w:sz w:val="24"/>
              </w:rPr>
              <w:t xml:space="preserve">Kommissionen vil </w:t>
            </w:r>
            <w:r w:rsidRPr="00EF376C">
              <w:rPr>
                <w:rFonts w:ascii="Times New Roman" w:hAnsi="Times New Roman"/>
                <w:b/>
                <w:noProof/>
                <w:sz w:val="24"/>
              </w:rPr>
              <w:t>vejlede medlemsstaterne om, hvordan de kan frigøre potentialet ved energifællesskaber og egetforbrug af energi</w:t>
            </w:r>
            <w:r w:rsidRPr="00EF376C">
              <w:rPr>
                <w:rFonts w:ascii="Times New Roman" w:hAnsi="Times New Roman"/>
                <w:noProof/>
                <w:sz w:val="24"/>
              </w:rPr>
              <w:t xml:space="preserve">, herunder udveksling af god praksis, på grundlag af en vurdering af potentielle og eksisterende hindringer (1. kvartal 2026), </w:t>
            </w:r>
            <w:r w:rsidRPr="00EF376C">
              <w:rPr>
                <w:rFonts w:ascii="Times New Roman" w:hAnsi="Times New Roman"/>
                <w:noProof/>
                <w:color w:val="000000" w:themeColor="text1"/>
                <w:sz w:val="24"/>
              </w:rPr>
              <w:t xml:space="preserve">vedtage en </w:t>
            </w:r>
            <w:r w:rsidRPr="00EF376C">
              <w:rPr>
                <w:rFonts w:ascii="Times New Roman" w:hAnsi="Times New Roman"/>
                <w:b/>
                <w:noProof/>
                <w:color w:val="000000" w:themeColor="text1"/>
                <w:sz w:val="24"/>
              </w:rPr>
              <w:t>gennemførelsesforordning om datainteroperabilitet</w:t>
            </w:r>
            <w:r w:rsidRPr="00EF376C">
              <w:rPr>
                <w:rFonts w:ascii="Times New Roman" w:hAnsi="Times New Roman"/>
                <w:noProof/>
                <w:color w:val="000000" w:themeColor="text1"/>
                <w:sz w:val="24"/>
              </w:rPr>
              <w:t xml:space="preserve"> for at sikre, at energideling er let at anvende og fuldt automatiseret for forbrugerne</w:t>
            </w:r>
            <w:r w:rsidRPr="00EF376C">
              <w:rPr>
                <w:rFonts w:ascii="Times New Roman" w:hAnsi="Times New Roman"/>
                <w:noProof/>
                <w:sz w:val="24"/>
              </w:rPr>
              <w:t xml:space="preserve"> (2027), og </w:t>
            </w:r>
            <w:r w:rsidRPr="00EF376C">
              <w:rPr>
                <w:rFonts w:ascii="Times New Roman" w:hAnsi="Times New Roman"/>
                <w:noProof/>
                <w:color w:val="000000" w:themeColor="text1"/>
                <w:sz w:val="24"/>
              </w:rPr>
              <w:t xml:space="preserve">udstede en række </w:t>
            </w:r>
            <w:r w:rsidRPr="00EF376C">
              <w:rPr>
                <w:rFonts w:ascii="Times New Roman" w:hAnsi="Times New Roman"/>
                <w:b/>
                <w:noProof/>
                <w:color w:val="000000" w:themeColor="text1"/>
                <w:sz w:val="24"/>
              </w:rPr>
              <w:t>praktiske, trinvise retningslinjer</w:t>
            </w:r>
            <w:r w:rsidRPr="00EF376C">
              <w:rPr>
                <w:rFonts w:ascii="Times New Roman" w:hAnsi="Times New Roman"/>
                <w:noProof/>
                <w:color w:val="000000" w:themeColor="text1"/>
                <w:sz w:val="24"/>
              </w:rPr>
              <w:t xml:space="preserve"> for oprettelse og forvaltning af energifællesskabsprojekter for husstande og andre interessenter, herunder SMV'er, landbrugere og offentlige myndigheder (2026-2027).</w:t>
            </w:r>
          </w:p>
        </w:tc>
      </w:tr>
    </w:tbl>
    <w:p w14:paraId="1FDAF285" w14:textId="77777777" w:rsidR="001310BC" w:rsidRPr="00EF376C" w:rsidRDefault="001310BC">
      <w:pPr>
        <w:rPr>
          <w:rFonts w:ascii="Times New Roman" w:eastAsia="Times New Roman" w:hAnsi="Times New Roman" w:cs="Times New Roman"/>
          <w:b/>
          <w:bCs/>
          <w:noProof/>
          <w:color w:val="000000" w:themeColor="text1"/>
          <w:sz w:val="24"/>
          <w:szCs w:val="24"/>
          <w:u w:val="single"/>
        </w:rPr>
      </w:pPr>
      <w:bookmarkStart w:id="10" w:name="_Hlk219977904"/>
      <w:bookmarkEnd w:id="9"/>
    </w:p>
    <w:p w14:paraId="2D969D40" w14:textId="77777777" w:rsidR="001310BC" w:rsidRPr="00EF376C" w:rsidRDefault="00D975FE">
      <w:pPr>
        <w:rPr>
          <w:rFonts w:ascii="Times New Roman" w:eastAsia="Times New Roman" w:hAnsi="Times New Roman" w:cs="Times New Roman"/>
          <w:b/>
          <w:bCs/>
          <w:noProof/>
          <w:color w:val="000000" w:themeColor="text1"/>
          <w:sz w:val="24"/>
          <w:szCs w:val="24"/>
          <w:u w:val="single"/>
        </w:rPr>
      </w:pPr>
      <w:r w:rsidRPr="00EF376C">
        <w:rPr>
          <w:rFonts w:ascii="Times New Roman" w:hAnsi="Times New Roman"/>
          <w:b/>
          <w:noProof/>
          <w:color w:val="000000" w:themeColor="text1"/>
          <w:sz w:val="24"/>
          <w:u w:val="single"/>
        </w:rPr>
        <w:t>Foranstaltning 6: Fremme fleksibilitet gennem detailkontrakter</w:t>
      </w:r>
    </w:p>
    <w:bookmarkEnd w:id="10"/>
    <w:p w14:paraId="061B7E4A" w14:textId="774E0073" w:rsidR="001310BC" w:rsidRPr="00EF376C" w:rsidRDefault="00D975FE">
      <w:pPr>
        <w:spacing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b/>
          <w:noProof/>
          <w:color w:val="000000" w:themeColor="text1"/>
          <w:sz w:val="24"/>
        </w:rPr>
        <w:t>Forbrugere med fleksible detailkontrakter kan opnå betydelige besparelser</w:t>
      </w:r>
      <w:r w:rsidRPr="00EF376C">
        <w:rPr>
          <w:rFonts w:ascii="Times New Roman" w:hAnsi="Times New Roman"/>
          <w:noProof/>
          <w:color w:val="000000" w:themeColor="text1"/>
          <w:sz w:val="24"/>
        </w:rPr>
        <w:t xml:space="preserve">. I visse tilfælde kan elregningerne blive op til </w:t>
      </w:r>
      <w:r w:rsidRPr="00EF376C">
        <w:rPr>
          <w:rFonts w:ascii="Times New Roman" w:hAnsi="Times New Roman"/>
          <w:b/>
          <w:noProof/>
          <w:color w:val="000000" w:themeColor="text1"/>
          <w:sz w:val="24"/>
        </w:rPr>
        <w:t>40 % lavere</w:t>
      </w:r>
      <w:r w:rsidRPr="00EF376C">
        <w:rPr>
          <w:rFonts w:ascii="Times New Roman" w:hAnsi="Times New Roman"/>
          <w:noProof/>
          <w:color w:val="000000" w:themeColor="text1"/>
          <w:sz w:val="24"/>
        </w:rPr>
        <w:t>, når varmeefterspørgslen rykkes til perioder med lave elpriser</w:t>
      </w:r>
      <w:r w:rsidRPr="00EF376C">
        <w:rPr>
          <w:rStyle w:val="FootnoteReference"/>
          <w:rFonts w:ascii="Times New Roman" w:eastAsia="Times New Roman" w:hAnsi="Times New Roman" w:cs="Times New Roman"/>
          <w:noProof/>
          <w:color w:val="000000" w:themeColor="text1"/>
          <w:sz w:val="24"/>
          <w:szCs w:val="24"/>
        </w:rPr>
        <w:footnoteReference w:id="23"/>
      </w:r>
      <w:r w:rsidRPr="00EF376C">
        <w:rPr>
          <w:rFonts w:ascii="Times New Roman" w:hAnsi="Times New Roman"/>
          <w:noProof/>
          <w:color w:val="000000" w:themeColor="text1"/>
          <w:sz w:val="24"/>
        </w:rPr>
        <w:t>. Dette er en af grundene til, at efterspørgselsfleksibilitet bør fremmes aktivt i hele EU.</w:t>
      </w:r>
      <w:r w:rsidR="00B21A70" w:rsidRPr="00EF376C">
        <w:rPr>
          <w:rFonts w:ascii="Times New Roman" w:hAnsi="Times New Roman"/>
          <w:noProof/>
          <w:color w:val="000000" w:themeColor="text1"/>
          <w:sz w:val="24"/>
        </w:rPr>
        <w:t xml:space="preserve"> </w:t>
      </w:r>
      <w:r w:rsidRPr="00EF376C">
        <w:rPr>
          <w:rFonts w:ascii="Times New Roman" w:hAnsi="Times New Roman"/>
          <w:noProof/>
          <w:color w:val="000000" w:themeColor="text1"/>
          <w:sz w:val="24"/>
        </w:rPr>
        <w:t xml:space="preserve">Fordelene omfatter reduceret elproduktion og lavere netomkostninger samt et lavere behov for kapacitetsstøtteforanstaltninger, idet de potentielle årlige besparelser </w:t>
      </w:r>
      <w:r w:rsidRPr="00EF376C">
        <w:rPr>
          <w:rFonts w:ascii="Times New Roman" w:hAnsi="Times New Roman"/>
          <w:b/>
          <w:noProof/>
          <w:color w:val="000000" w:themeColor="text1"/>
          <w:sz w:val="24"/>
        </w:rPr>
        <w:t>frem til 2030 anslås til 2,7 mia. EUR</w:t>
      </w:r>
      <w:r w:rsidRPr="00EF376C">
        <w:rPr>
          <w:rStyle w:val="FootnoteReference"/>
          <w:rFonts w:ascii="Times New Roman" w:eastAsia="Times New Roman" w:hAnsi="Times New Roman" w:cs="Times New Roman"/>
          <w:noProof/>
          <w:color w:val="000000" w:themeColor="text1"/>
          <w:sz w:val="24"/>
          <w:szCs w:val="24"/>
        </w:rPr>
        <w:footnoteReference w:id="24"/>
      </w:r>
      <w:r w:rsidRPr="00EF376C">
        <w:rPr>
          <w:rFonts w:ascii="Times New Roman" w:hAnsi="Times New Roman"/>
          <w:noProof/>
          <w:color w:val="000000" w:themeColor="text1"/>
          <w:sz w:val="24"/>
        </w:rPr>
        <w:t xml:space="preserve">. </w:t>
      </w:r>
    </w:p>
    <w:p w14:paraId="67C88EC8" w14:textId="77777777" w:rsidR="001310BC" w:rsidRPr="00EF376C" w:rsidRDefault="00D975FE">
      <w:pPr>
        <w:spacing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For at realisere disse fordele skal det sikres, at </w:t>
      </w:r>
      <w:r w:rsidRPr="00EF376C">
        <w:rPr>
          <w:rFonts w:ascii="Times New Roman" w:hAnsi="Times New Roman"/>
          <w:b/>
          <w:noProof/>
          <w:color w:val="000000" w:themeColor="text1"/>
          <w:sz w:val="24"/>
        </w:rPr>
        <w:t xml:space="preserve">fleksible detailkontrakter </w:t>
      </w:r>
      <w:r w:rsidRPr="00EF376C">
        <w:rPr>
          <w:rFonts w:ascii="Times New Roman" w:hAnsi="Times New Roman"/>
          <w:b/>
          <w:noProof/>
          <w:sz w:val="24"/>
        </w:rPr>
        <w:t>er bredt tilgængelige</w:t>
      </w:r>
      <w:r w:rsidRPr="00EF376C">
        <w:rPr>
          <w:rFonts w:ascii="Times New Roman" w:hAnsi="Times New Roman"/>
          <w:noProof/>
          <w:sz w:val="24"/>
        </w:rPr>
        <w:t xml:space="preserve">, at forbrugerne har </w:t>
      </w:r>
      <w:r w:rsidRPr="00EF376C">
        <w:rPr>
          <w:rFonts w:ascii="Times New Roman" w:hAnsi="Times New Roman"/>
          <w:b/>
          <w:noProof/>
          <w:sz w:val="24"/>
        </w:rPr>
        <w:t>adgang til gennemsigtig prisfastsættelse og pålidelig information</w:t>
      </w:r>
      <w:r w:rsidRPr="00EF376C">
        <w:rPr>
          <w:rFonts w:ascii="Times New Roman" w:hAnsi="Times New Roman"/>
          <w:noProof/>
          <w:sz w:val="24"/>
        </w:rPr>
        <w:t xml:space="preserve"> </w:t>
      </w:r>
      <w:r w:rsidRPr="00EF376C">
        <w:rPr>
          <w:rFonts w:ascii="Times New Roman" w:hAnsi="Times New Roman"/>
          <w:noProof/>
          <w:color w:val="000000" w:themeColor="text1"/>
          <w:sz w:val="24"/>
        </w:rPr>
        <w:t xml:space="preserve">samt </w:t>
      </w:r>
      <w:r w:rsidRPr="00EF376C">
        <w:rPr>
          <w:rFonts w:ascii="Times New Roman" w:hAnsi="Times New Roman"/>
          <w:b/>
          <w:noProof/>
          <w:color w:val="000000" w:themeColor="text1"/>
          <w:sz w:val="24"/>
        </w:rPr>
        <w:t>målrettet rådgivning</w:t>
      </w:r>
      <w:r w:rsidRPr="00EF376C">
        <w:rPr>
          <w:rFonts w:ascii="Times New Roman" w:hAnsi="Times New Roman"/>
          <w:noProof/>
          <w:color w:val="000000" w:themeColor="text1"/>
          <w:sz w:val="24"/>
        </w:rPr>
        <w:t xml:space="preserve"> om, hvordan de vælger den forsyningskontrakt, der bedst passer til deres behov, </w:t>
      </w:r>
      <w:r w:rsidRPr="00EF376C">
        <w:rPr>
          <w:rFonts w:ascii="Times New Roman" w:hAnsi="Times New Roman"/>
          <w:noProof/>
          <w:sz w:val="24"/>
        </w:rPr>
        <w:t xml:space="preserve">og at de nødvendige </w:t>
      </w:r>
      <w:r w:rsidRPr="00EF376C">
        <w:rPr>
          <w:rFonts w:ascii="Times New Roman" w:hAnsi="Times New Roman"/>
          <w:b/>
          <w:noProof/>
          <w:sz w:val="24"/>
        </w:rPr>
        <w:t>tekniske værktøjer</w:t>
      </w:r>
      <w:r w:rsidRPr="00EF376C">
        <w:rPr>
          <w:rFonts w:ascii="Times New Roman" w:hAnsi="Times New Roman"/>
          <w:noProof/>
          <w:sz w:val="24"/>
        </w:rPr>
        <w:t xml:space="preserve"> er på plads. </w:t>
      </w:r>
      <w:r w:rsidRPr="00EF376C">
        <w:rPr>
          <w:rFonts w:ascii="Times New Roman" w:hAnsi="Times New Roman"/>
          <w:b/>
          <w:noProof/>
          <w:color w:val="000000" w:themeColor="text1"/>
          <w:sz w:val="24"/>
        </w:rPr>
        <w:t>Intelligente målersystemer</w:t>
      </w:r>
      <w:r w:rsidRPr="00EF376C">
        <w:rPr>
          <w:rFonts w:ascii="Times New Roman" w:hAnsi="Times New Roman"/>
          <w:noProof/>
          <w:color w:val="000000" w:themeColor="text1"/>
          <w:sz w:val="24"/>
        </w:rPr>
        <w:t xml:space="preserve"> er afgørende – de leverer de data, som er nødvendige for at få fleksibiliteten til at fungere. Effektiv adgang til relevante data fremmer yderligere automatisering og forbedrer dermed forbrugernes oplevelse, samtidig med at der sikres en stærk databeskyttelse.</w:t>
      </w:r>
    </w:p>
    <w:p w14:paraId="141A8DD0" w14:textId="77777777" w:rsidR="001310BC" w:rsidRPr="00EF376C" w:rsidRDefault="00D975FE">
      <w:pPr>
        <w:spacing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Ved at fremme fleksibilitet fjernes desuden hindringer for udbydere af fleksibilitetstjenester – virksomheder, der belønner deres kunder for at flytte deres elforbrug fra spidsbelastningsperioder til billigere perioder, hvilket mindsker presset på lokale net. Kommissionen vil yde vejledning om, hvordan disser hindringer, der kan tage form af negative incitamenter eller uhensigtsmæssige prissignaler, kan fjernes.</w:t>
      </w:r>
    </w:p>
    <w:p w14:paraId="59BF2167" w14:textId="344D7C95" w:rsidR="001310BC" w:rsidRPr="00EF376C" w:rsidRDefault="00D975FE">
      <w:pPr>
        <w:spacing w:line="240" w:lineRule="auto"/>
        <w:jc w:val="both"/>
        <w:rPr>
          <w:rFonts w:ascii="Times New Roman" w:eastAsia="Times New Roman" w:hAnsi="Times New Roman" w:cs="Times New Roman"/>
          <w:noProof/>
          <w:color w:val="000000" w:themeColor="text1"/>
          <w:sz w:val="24"/>
          <w:szCs w:val="24"/>
        </w:rPr>
      </w:pPr>
      <w:r w:rsidRPr="00EF376C">
        <w:rPr>
          <w:rFonts w:ascii="Times New Roman" w:hAnsi="Times New Roman"/>
          <w:noProof/>
          <w:color w:val="000000" w:themeColor="text1"/>
          <w:sz w:val="24"/>
        </w:rPr>
        <w:t xml:space="preserve">Uden for EU forsyner Australien som led i sit </w:t>
      </w:r>
      <w:r w:rsidRPr="00EF376C">
        <w:rPr>
          <w:rFonts w:ascii="Times New Roman" w:hAnsi="Times New Roman"/>
          <w:i/>
          <w:noProof/>
          <w:color w:val="000000" w:themeColor="text1"/>
          <w:sz w:val="24"/>
        </w:rPr>
        <w:t>Solar Sharer Offer</w:t>
      </w:r>
      <w:r w:rsidRPr="00EF376C">
        <w:rPr>
          <w:rFonts w:ascii="Times New Roman" w:hAnsi="Times New Roman"/>
          <w:noProof/>
          <w:color w:val="000000" w:themeColor="text1"/>
          <w:sz w:val="24"/>
        </w:rPr>
        <w:t>-initiativ husstande med billig elektricitet i perioder med høj solenergiproduktion. Inden for EU har leverandører også udviklet tilbud med omkostningsfri elektricitet.</w:t>
      </w:r>
      <w:r w:rsidR="00B21A70" w:rsidRPr="00EF376C">
        <w:rPr>
          <w:rFonts w:ascii="Times New Roman" w:hAnsi="Times New Roman"/>
          <w:noProof/>
          <w:color w:val="000000" w:themeColor="text1"/>
          <w:sz w:val="24"/>
        </w:rPr>
        <w:t xml:space="preserve"> </w:t>
      </w:r>
      <w:r w:rsidRPr="00EF376C">
        <w:rPr>
          <w:rFonts w:ascii="Times New Roman" w:hAnsi="Times New Roman"/>
          <w:noProof/>
          <w:color w:val="000000" w:themeColor="text1"/>
          <w:sz w:val="24"/>
        </w:rPr>
        <w:t>Medlemsstaterne kan have et ønske om at undersøge lignende mekanismer, der er tilpasset EU's lovgivningsmæssige rammer, og som gør det muligt for borgerne at drage direkte fordel af omstillingen til ren energi ved at mindske regningerne uden at kræve forudgående investeringer i tagmonterede solceller, som tilskynder til fleksibilitet på efterspørgselssiden, tilpasser forbruget til perioder med høj produktion af vedvarende energi, forbedrer neteffektiviteten og styrker den offentlige støtte til dekarbonisering, idet fordelene ved energiomstillingen gøres synlige og håndgribelige.</w:t>
      </w:r>
    </w:p>
    <w:tbl>
      <w:tblPr>
        <w:tblStyle w:val="TableGridLight"/>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079"/>
      </w:tblGrid>
      <w:tr w:rsidR="001310BC" w:rsidRPr="00EF376C" w14:paraId="4631AD24" w14:textId="77777777">
        <w:tc>
          <w:tcPr>
            <w:tcW w:w="1163" w:type="dxa"/>
            <w:vAlign w:val="center"/>
            <w:hideMark/>
          </w:tcPr>
          <w:p w14:paraId="14715924" w14:textId="77777777" w:rsidR="001310BC" w:rsidRPr="00EF376C" w:rsidRDefault="00D975FE">
            <w:pPr>
              <w:rPr>
                <w:rFonts w:ascii="Times New Roman" w:hAnsi="Times New Roman" w:cs="Times New Roman"/>
                <w:noProof/>
                <w:sz w:val="24"/>
                <w:szCs w:val="24"/>
              </w:rPr>
            </w:pPr>
            <w:bookmarkStart w:id="11" w:name="_Hlk219977915"/>
            <w:r w:rsidRPr="00EF376C">
              <w:rPr>
                <w:rFonts w:ascii="Times New Roman" w:hAnsi="Times New Roman"/>
                <w:noProof/>
                <w:sz w:val="24"/>
              </w:rPr>
              <w:t>Mål</w:t>
            </w:r>
          </w:p>
        </w:tc>
        <w:tc>
          <w:tcPr>
            <w:tcW w:w="8079" w:type="dxa"/>
            <w:hideMark/>
          </w:tcPr>
          <w:p w14:paraId="5B75830F" w14:textId="77777777" w:rsidR="001310BC" w:rsidRPr="00EF376C" w:rsidRDefault="00D975FE">
            <w:pPr>
              <w:jc w:val="both"/>
              <w:rPr>
                <w:rFonts w:ascii="Times New Roman" w:eastAsia="Times New Roman" w:hAnsi="Times New Roman" w:cs="Times New Roman"/>
                <w:b/>
                <w:bCs/>
                <w:noProof/>
                <w:sz w:val="24"/>
                <w:szCs w:val="24"/>
              </w:rPr>
            </w:pPr>
            <w:r w:rsidRPr="00EF376C">
              <w:rPr>
                <w:rFonts w:ascii="Times New Roman" w:hAnsi="Times New Roman"/>
                <w:b/>
                <w:noProof/>
                <w:sz w:val="24"/>
              </w:rPr>
              <w:t xml:space="preserve">Sætte borgerne i stand til trygt at drage fordel af fleksible detailkontrakter og intelligente energienheder, der optimerer energiforbruget. </w:t>
            </w:r>
          </w:p>
        </w:tc>
      </w:tr>
      <w:tr w:rsidR="001310BC" w:rsidRPr="00EF376C" w14:paraId="4158549B" w14:textId="77777777">
        <w:tc>
          <w:tcPr>
            <w:tcW w:w="1163" w:type="dxa"/>
            <w:vAlign w:val="center"/>
          </w:tcPr>
          <w:p w14:paraId="7ACC1DFC" w14:textId="77777777" w:rsidR="001310BC" w:rsidRPr="00EF376C" w:rsidRDefault="00D975FE">
            <w:pPr>
              <w:rPr>
                <w:rFonts w:ascii="Times New Roman" w:hAnsi="Times New Roman" w:cs="Times New Roman"/>
                <w:noProof/>
                <w:sz w:val="24"/>
                <w:szCs w:val="24"/>
              </w:rPr>
            </w:pPr>
            <w:r w:rsidRPr="00EF376C">
              <w:rPr>
                <w:rFonts w:ascii="Times New Roman" w:hAnsi="Times New Roman"/>
                <w:noProof/>
                <w:sz w:val="24"/>
              </w:rPr>
              <w:t xml:space="preserve">Resultat </w:t>
            </w:r>
          </w:p>
        </w:tc>
        <w:tc>
          <w:tcPr>
            <w:tcW w:w="8079" w:type="dxa"/>
            <w:vAlign w:val="center"/>
          </w:tcPr>
          <w:p w14:paraId="03A73992" w14:textId="77777777" w:rsidR="001310BC" w:rsidRPr="00EF376C" w:rsidRDefault="00D975FE">
            <w:pPr>
              <w:jc w:val="both"/>
              <w:rPr>
                <w:rFonts w:ascii="Times New Roman" w:hAnsi="Times New Roman" w:cs="Times New Roman"/>
                <w:noProof/>
              </w:rPr>
            </w:pPr>
            <w:r w:rsidRPr="00EF376C">
              <w:rPr>
                <w:rFonts w:ascii="Times New Roman" w:hAnsi="Times New Roman"/>
                <w:noProof/>
                <w:sz w:val="24"/>
              </w:rPr>
              <w:t xml:space="preserve">Lavere regninger og systemomkostninger for forbrugerne med potentielle besparelser på </w:t>
            </w:r>
            <w:r w:rsidRPr="00EF376C">
              <w:rPr>
                <w:rFonts w:ascii="Times New Roman" w:hAnsi="Times New Roman"/>
                <w:b/>
                <w:noProof/>
                <w:sz w:val="24"/>
              </w:rPr>
              <w:t>op mod 40 %</w:t>
            </w:r>
            <w:r w:rsidRPr="00EF376C">
              <w:rPr>
                <w:rStyle w:val="FootnoteReference"/>
                <w:rFonts w:ascii="Times New Roman" w:hAnsi="Times New Roman" w:cs="Times New Roman"/>
                <w:noProof/>
                <w:sz w:val="24"/>
                <w:szCs w:val="24"/>
              </w:rPr>
              <w:footnoteReference w:id="25"/>
            </w:r>
            <w:r w:rsidRPr="00EF376C">
              <w:rPr>
                <w:rFonts w:ascii="Times New Roman" w:hAnsi="Times New Roman"/>
                <w:noProof/>
                <w:sz w:val="24"/>
              </w:rPr>
              <w:t>.</w:t>
            </w:r>
            <w:r w:rsidRPr="00EF376C">
              <w:rPr>
                <w:rFonts w:ascii="Times New Roman" w:hAnsi="Times New Roman"/>
                <w:noProof/>
              </w:rPr>
              <w:t xml:space="preserve"> </w:t>
            </w:r>
          </w:p>
        </w:tc>
      </w:tr>
      <w:tr w:rsidR="001310BC" w:rsidRPr="00EF376C" w14:paraId="46402943" w14:textId="77777777">
        <w:tc>
          <w:tcPr>
            <w:tcW w:w="1163" w:type="dxa"/>
            <w:vAlign w:val="center"/>
            <w:hideMark/>
          </w:tcPr>
          <w:p w14:paraId="74B28B7B" w14:textId="77777777" w:rsidR="001310BC" w:rsidRPr="00EF376C" w:rsidRDefault="00D975FE">
            <w:pPr>
              <w:rPr>
                <w:rFonts w:ascii="Times New Roman" w:hAnsi="Times New Roman" w:cs="Times New Roman"/>
                <w:noProof/>
                <w:sz w:val="24"/>
                <w:szCs w:val="24"/>
              </w:rPr>
            </w:pPr>
            <w:r w:rsidRPr="00EF376C">
              <w:rPr>
                <w:rFonts w:ascii="Times New Roman" w:hAnsi="Times New Roman"/>
                <w:noProof/>
                <w:sz w:val="24"/>
              </w:rPr>
              <w:t>Hvordan?</w:t>
            </w:r>
          </w:p>
        </w:tc>
        <w:tc>
          <w:tcPr>
            <w:tcW w:w="8079" w:type="dxa"/>
            <w:vAlign w:val="center"/>
            <w:hideMark/>
          </w:tcPr>
          <w:p w14:paraId="009DF156"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noProof/>
                <w:sz w:val="24"/>
              </w:rPr>
              <w:t xml:space="preserve">Kommissionen vil yde </w:t>
            </w:r>
            <w:r w:rsidRPr="00EF376C">
              <w:rPr>
                <w:rFonts w:ascii="Times New Roman" w:hAnsi="Times New Roman"/>
                <w:b/>
                <w:noProof/>
                <w:sz w:val="24"/>
              </w:rPr>
              <w:t>vejledning for at fremme belønningen for fleksibilitet</w:t>
            </w:r>
            <w:r w:rsidRPr="00EF376C">
              <w:rPr>
                <w:rFonts w:ascii="Times New Roman" w:hAnsi="Times New Roman"/>
                <w:noProof/>
                <w:sz w:val="24"/>
              </w:rPr>
              <w:t xml:space="preserve"> i detailkontrakter (1. kvartal 2026), forbedre adgangen til de data, som er nødvendige med henblik på fleksibilitet, i form af en </w:t>
            </w:r>
            <w:r w:rsidRPr="00EF376C">
              <w:rPr>
                <w:rFonts w:ascii="Times New Roman" w:hAnsi="Times New Roman"/>
                <w:b/>
                <w:noProof/>
                <w:sz w:val="24"/>
              </w:rPr>
              <w:t>gennemførelsesforordning om interoperabilitetskrav og -procedurer</w:t>
            </w:r>
            <w:r w:rsidRPr="00EF376C">
              <w:rPr>
                <w:rFonts w:ascii="Times New Roman" w:hAnsi="Times New Roman"/>
                <w:noProof/>
                <w:sz w:val="24"/>
              </w:rPr>
              <w:t xml:space="preserve"> (2027) og fremme fleksibilitets- og effektivitetspotentialet i relevante projekter inden for rammerne af de nye </w:t>
            </w:r>
            <w:r w:rsidRPr="00EF376C">
              <w:rPr>
                <w:rFonts w:ascii="Times New Roman" w:hAnsi="Times New Roman"/>
                <w:b/>
                <w:noProof/>
                <w:sz w:val="24"/>
              </w:rPr>
              <w:t>partnerskaber for bedre boliger</w:t>
            </w:r>
            <w:r w:rsidRPr="00EF376C">
              <w:rPr>
                <w:rFonts w:ascii="Times New Roman" w:hAnsi="Times New Roman"/>
                <w:noProof/>
                <w:sz w:val="24"/>
              </w:rPr>
              <w:t xml:space="preserve"> (2026).</w:t>
            </w:r>
          </w:p>
        </w:tc>
      </w:tr>
    </w:tbl>
    <w:p w14:paraId="29160B8A" w14:textId="77777777" w:rsidR="00D975FE" w:rsidRPr="00EF376C" w:rsidRDefault="00D975FE">
      <w:pPr>
        <w:keepNext/>
        <w:keepLines/>
        <w:spacing w:after="120" w:line="240" w:lineRule="auto"/>
        <w:jc w:val="both"/>
        <w:rPr>
          <w:rStyle w:val="normaltextrun"/>
          <w:rFonts w:ascii="Times New Roman" w:hAnsi="Times New Roman"/>
          <w:b/>
          <w:noProof/>
          <w:color w:val="000000" w:themeColor="text1"/>
          <w:sz w:val="24"/>
          <w:u w:val="single"/>
        </w:rPr>
      </w:pPr>
      <w:bookmarkStart w:id="12" w:name="_Hlk219977926"/>
      <w:bookmarkEnd w:id="11"/>
    </w:p>
    <w:p w14:paraId="267BD1F3" w14:textId="6C162854" w:rsidR="001310BC" w:rsidRPr="00EF376C" w:rsidRDefault="00D975FE">
      <w:pPr>
        <w:keepNext/>
        <w:keepLines/>
        <w:spacing w:after="120" w:line="240" w:lineRule="auto"/>
        <w:jc w:val="both"/>
        <w:rPr>
          <w:rFonts w:ascii="Times New Roman" w:hAnsi="Times New Roman" w:cs="Times New Roman"/>
          <w:b/>
          <w:noProof/>
          <w:color w:val="000000" w:themeColor="text1"/>
          <w:sz w:val="24"/>
          <w:szCs w:val="24"/>
          <w:u w:val="single"/>
        </w:rPr>
      </w:pPr>
      <w:r w:rsidRPr="00EF376C">
        <w:rPr>
          <w:rStyle w:val="normaltextrun"/>
          <w:rFonts w:ascii="Times New Roman" w:hAnsi="Times New Roman"/>
          <w:b/>
          <w:noProof/>
          <w:color w:val="000000" w:themeColor="text1"/>
          <w:sz w:val="24"/>
          <w:u w:val="single"/>
        </w:rPr>
        <w:t xml:space="preserve">Foranstaltning 7: Styrke forbrugernes tillid </w:t>
      </w:r>
      <w:bookmarkEnd w:id="12"/>
    </w:p>
    <w:p w14:paraId="773217B6" w14:textId="77777777" w:rsidR="001310BC" w:rsidRPr="00EF376C" w:rsidRDefault="00D975FE">
      <w:pPr>
        <w:pStyle w:val="oj-normal"/>
        <w:keepNext/>
        <w:keepLines/>
        <w:spacing w:before="0" w:beforeAutospacing="0" w:after="120" w:afterAutospacing="0"/>
        <w:jc w:val="both"/>
        <w:rPr>
          <w:noProof/>
          <w:color w:val="000000" w:themeColor="text1"/>
        </w:rPr>
      </w:pPr>
      <w:r w:rsidRPr="00EF376C">
        <w:rPr>
          <w:noProof/>
          <w:color w:val="000000" w:themeColor="text1"/>
        </w:rPr>
        <w:t xml:space="preserve">Energiforbrugerne udsættes for </w:t>
      </w:r>
      <w:r w:rsidRPr="00EF376C">
        <w:rPr>
          <w:b/>
          <w:noProof/>
          <w:color w:val="000000" w:themeColor="text1"/>
        </w:rPr>
        <w:t>aggressiv telemarkedsføringspraksis</w:t>
      </w:r>
      <w:r w:rsidRPr="00EF376C">
        <w:rPr>
          <w:noProof/>
          <w:color w:val="000000" w:themeColor="text1"/>
        </w:rPr>
        <w:t xml:space="preserve"> eller finder det undertiden vanskeligt at navigere på energimarkederne. Dette resulterer i </w:t>
      </w:r>
      <w:r w:rsidRPr="00EF376C">
        <w:rPr>
          <w:b/>
          <w:noProof/>
          <w:color w:val="000000" w:themeColor="text1"/>
        </w:rPr>
        <w:t>manglende tillid</w:t>
      </w:r>
      <w:r w:rsidRPr="00EF376C">
        <w:rPr>
          <w:noProof/>
          <w:color w:val="000000" w:themeColor="text1"/>
        </w:rPr>
        <w:t xml:space="preserve"> til markedet og begrænser mulighederne for at nyde godt af billigere alternativer eller mere innovative tjenester</w:t>
      </w:r>
      <w:r w:rsidRPr="00EF376C">
        <w:rPr>
          <w:rStyle w:val="FootnoteReference"/>
          <w:rFonts w:eastAsia="Times New Roman, Aptos"/>
          <w:noProof/>
          <w:color w:val="000000" w:themeColor="text1"/>
        </w:rPr>
        <w:footnoteReference w:id="26"/>
      </w:r>
      <w:r w:rsidRPr="00EF376C">
        <w:rPr>
          <w:noProof/>
          <w:color w:val="000000" w:themeColor="text1"/>
        </w:rPr>
        <w:t xml:space="preserve">. </w:t>
      </w:r>
    </w:p>
    <w:p w14:paraId="57C4A969" w14:textId="77777777" w:rsidR="001310BC" w:rsidRPr="00EF376C" w:rsidRDefault="00D975FE">
      <w:pPr>
        <w:pStyle w:val="oj-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both"/>
        <w:rPr>
          <w:noProof/>
        </w:rPr>
      </w:pPr>
      <w:r w:rsidRPr="00EF376C">
        <w:rPr>
          <w:noProof/>
        </w:rPr>
        <w:t xml:space="preserve">For at forbedre kvaliteten af energitjenester for kunderne vil Kommissionen samarbejde med forbrugerorganisationer, energileverandører og regulerende myndigheder om at udvikle en </w:t>
      </w:r>
      <w:r w:rsidRPr="00EF376C">
        <w:rPr>
          <w:b/>
          <w:noProof/>
        </w:rPr>
        <w:t>ny tjenestekodeks for energileverandører</w:t>
      </w:r>
      <w:r w:rsidRPr="00EF376C">
        <w:rPr>
          <w:noProof/>
        </w:rPr>
        <w:t xml:space="preserve"> som et første skridt i retning af at bekæmpe </w:t>
      </w:r>
      <w:r w:rsidRPr="00EF376C">
        <w:rPr>
          <w:b/>
          <w:noProof/>
        </w:rPr>
        <w:t>urimelig markedsføringspraksis</w:t>
      </w:r>
      <w:r w:rsidRPr="00EF376C">
        <w:rPr>
          <w:noProof/>
        </w:rPr>
        <w:t xml:space="preserve">. Kodeksen vil give energileverandørerne mulighed for frivilligt at forpligte sig til at gå videre end de eksisterende krav for at sikre en effektiv klagebehandling og forhindre afbrydelser for sårbare forbrugere, </w:t>
      </w:r>
      <w:r w:rsidRPr="00EF376C">
        <w:rPr>
          <w:rStyle w:val="normaltextrun"/>
          <w:noProof/>
        </w:rPr>
        <w:t>f.eks. dem, der bor i landdistrikter</w:t>
      </w:r>
      <w:r w:rsidRPr="00EF376C">
        <w:rPr>
          <w:noProof/>
        </w:rPr>
        <w:t>, i form af længere opsigelsesfrister, skræddersyede betalingsplaner, minimumsforsyning og tilbud om rådgivning om de bedste tariffer og systemer til tidlig varsling (se foranstaltning 4).</w:t>
      </w:r>
      <w:r w:rsidRPr="00EF376C">
        <w:rPr>
          <w:noProof/>
          <w:color w:val="000000" w:themeColor="text1"/>
        </w:rPr>
        <w:t xml:space="preserve"> Kodeksen vil fungere som et </w:t>
      </w:r>
      <w:r w:rsidRPr="00EF376C">
        <w:rPr>
          <w:b/>
          <w:noProof/>
          <w:color w:val="000000" w:themeColor="text1"/>
        </w:rPr>
        <w:t>tillidsmærke</w:t>
      </w:r>
      <w:r w:rsidRPr="00EF376C">
        <w:rPr>
          <w:noProof/>
          <w:color w:val="000000" w:themeColor="text1"/>
        </w:rPr>
        <w:t xml:space="preserve">, hvormed energileverandørerne signalerer til forbrugerne, at de kan forvente gennemsigtige og retfærdige tjenester. </w:t>
      </w:r>
      <w:r w:rsidRPr="00EF376C">
        <w:rPr>
          <w:noProof/>
        </w:rPr>
        <w:t>Nogle medlemsstater anvender og håndhæver allerede en sådan kodeks med positivt resultat</w:t>
      </w:r>
      <w:r w:rsidRPr="00EF376C">
        <w:rPr>
          <w:rStyle w:val="FootnoteReference"/>
          <w:noProof/>
        </w:rPr>
        <w:footnoteReference w:id="27"/>
      </w:r>
      <w:r w:rsidRPr="00EF376C">
        <w:rPr>
          <w:noProof/>
        </w:rPr>
        <w:t>. Det vil fortsat være op til medlemsstaterne at beslutte, om og hvordan en sådan kodeks skal håndhæves på nationalt plan.</w:t>
      </w:r>
    </w:p>
    <w:p w14:paraId="2EA40A92" w14:textId="77777777" w:rsidR="001310BC" w:rsidRPr="00EF376C" w:rsidRDefault="00D975FE">
      <w:pPr>
        <w:pStyle w:val="oj-normal"/>
        <w:spacing w:before="0" w:beforeAutospacing="0" w:after="120" w:afterAutospacing="0"/>
        <w:jc w:val="both"/>
        <w:rPr>
          <w:rFonts w:eastAsia="Times New Roman, Aptos"/>
          <w:noProof/>
          <w:color w:val="000000" w:themeColor="text1"/>
          <w:vertAlign w:val="superscript"/>
        </w:rPr>
      </w:pPr>
      <w:r w:rsidRPr="00EF376C">
        <w:rPr>
          <w:noProof/>
          <w:color w:val="000000" w:themeColor="text1"/>
        </w:rPr>
        <w:t xml:space="preserve">Selv om </w:t>
      </w:r>
      <w:r w:rsidRPr="00EF376C">
        <w:rPr>
          <w:b/>
          <w:noProof/>
          <w:color w:val="000000" w:themeColor="text1"/>
        </w:rPr>
        <w:t>kunstig intelligens (AI) og d</w:t>
      </w:r>
      <w:r w:rsidRPr="00EF376C">
        <w:rPr>
          <w:b/>
          <w:noProof/>
        </w:rPr>
        <w:t>igitalisering</w:t>
      </w:r>
      <w:r w:rsidRPr="00EF376C">
        <w:rPr>
          <w:noProof/>
        </w:rPr>
        <w:t xml:space="preserve"> vil bringe mange fordele, herunder </w:t>
      </w:r>
      <w:r w:rsidRPr="00EF376C">
        <w:rPr>
          <w:noProof/>
          <w:color w:val="000000" w:themeColor="text1"/>
        </w:rPr>
        <w:t>energibesparelser og mindre energiregninger</w:t>
      </w:r>
      <w:r w:rsidRPr="00EF376C">
        <w:rPr>
          <w:noProof/>
        </w:rPr>
        <w:t xml:space="preserve">, er der også nye udfordringer forbundet hermed. Kommissionen vil derfor vurdere, om de nuværende regler er egnede til formålet i denne henseende. </w:t>
      </w:r>
    </w:p>
    <w:p w14:paraId="66364C51" w14:textId="77777777" w:rsidR="001310BC" w:rsidRPr="00EF376C" w:rsidRDefault="00D975FE">
      <w:pPr>
        <w:pStyle w:val="oj-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color w:val="1F1F1F"/>
        </w:rPr>
      </w:pPr>
      <w:r w:rsidRPr="00EF376C">
        <w:rPr>
          <w:noProof/>
          <w:color w:val="1F1F1F"/>
        </w:rPr>
        <w:t xml:space="preserve">Tilliden til markedet svækkes, hvis energileverandørerne ikke beskytter sig selv mod svingende priser. Hvis energileverandørerne ikke formår at gøre dette, kan kunderne miste eventuelle forskudsbetalinger og blive tvunget til at indgå mindre gunstige kontrakter. For at forhindre dette vil Kommissionen vejlede de nationale regulerende myndigheder om, hvordan de kan sikre, at energileverandørerne udformer </w:t>
      </w:r>
      <w:r w:rsidRPr="00EF376C">
        <w:rPr>
          <w:b/>
          <w:noProof/>
          <w:color w:val="1F1F1F"/>
        </w:rPr>
        <w:t>passende risikostyrings- og risikoafdækningsstrategier</w:t>
      </w:r>
      <w:r w:rsidRPr="00EF376C">
        <w:rPr>
          <w:noProof/>
          <w:color w:val="1F1F1F"/>
        </w:rPr>
        <w:t xml:space="preserve">, for at bidrage til, at detailmarkedet for elektricitet forbliver stabilt og pålideligt. </w:t>
      </w:r>
    </w:p>
    <w:p w14:paraId="4C1AB1FE" w14:textId="77777777" w:rsidR="001310BC" w:rsidRPr="00EF376C" w:rsidRDefault="001310BC">
      <w:pPr>
        <w:pStyle w:val="oj-normal"/>
        <w:spacing w:before="0" w:beforeAutospacing="0" w:after="0" w:afterAutospacing="0"/>
        <w:jc w:val="both"/>
        <w:rPr>
          <w:rFonts w:eastAsiaTheme="minorEastAsia"/>
          <w:noProof/>
          <w:lang w:eastAsia="en-US"/>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1310BC" w:rsidRPr="00EF376C" w14:paraId="5DDABCD7" w14:textId="77777777">
        <w:tc>
          <w:tcPr>
            <w:tcW w:w="988" w:type="dxa"/>
            <w:vAlign w:val="center"/>
            <w:hideMark/>
          </w:tcPr>
          <w:p w14:paraId="372B2CB3" w14:textId="77777777" w:rsidR="001310BC" w:rsidRPr="00EF376C" w:rsidRDefault="00D975FE">
            <w:pPr>
              <w:rPr>
                <w:rFonts w:ascii="Times New Roman" w:hAnsi="Times New Roman" w:cs="Times New Roman"/>
                <w:noProof/>
                <w:sz w:val="24"/>
                <w:szCs w:val="24"/>
              </w:rPr>
            </w:pPr>
            <w:bookmarkStart w:id="13" w:name="_Hlk219977944"/>
            <w:r w:rsidRPr="00EF376C">
              <w:rPr>
                <w:rFonts w:ascii="Times New Roman" w:hAnsi="Times New Roman"/>
                <w:noProof/>
                <w:sz w:val="24"/>
              </w:rPr>
              <w:t>Mål</w:t>
            </w:r>
          </w:p>
        </w:tc>
        <w:tc>
          <w:tcPr>
            <w:tcW w:w="8028" w:type="dxa"/>
            <w:vAlign w:val="center"/>
            <w:hideMark/>
          </w:tcPr>
          <w:p w14:paraId="0E5E9730" w14:textId="77777777" w:rsidR="001310BC" w:rsidRPr="00EF376C" w:rsidRDefault="00D975FE">
            <w:pPr>
              <w:jc w:val="both"/>
              <w:rPr>
                <w:rFonts w:ascii="Times New Roman" w:hAnsi="Times New Roman" w:cs="Times New Roman"/>
                <w:b/>
                <w:bCs/>
                <w:noProof/>
                <w:sz w:val="24"/>
                <w:szCs w:val="24"/>
              </w:rPr>
            </w:pPr>
            <w:r w:rsidRPr="00EF376C">
              <w:rPr>
                <w:rFonts w:ascii="Times New Roman" w:hAnsi="Times New Roman"/>
                <w:b/>
                <w:noProof/>
                <w:sz w:val="24"/>
              </w:rPr>
              <w:t>Styrke tilliden, bekæmpe aggressiv og vildledende (tele)markedsføring og beskytte borgerne mod konsekvenserne af markedssvigt.</w:t>
            </w:r>
          </w:p>
        </w:tc>
      </w:tr>
      <w:tr w:rsidR="001310BC" w:rsidRPr="00EF376C" w14:paraId="3006F2DC" w14:textId="77777777">
        <w:tc>
          <w:tcPr>
            <w:tcW w:w="988" w:type="dxa"/>
            <w:vAlign w:val="center"/>
          </w:tcPr>
          <w:p w14:paraId="2B8B6AFC" w14:textId="77777777" w:rsidR="001310BC" w:rsidRPr="00EF376C" w:rsidRDefault="00D975FE">
            <w:pPr>
              <w:rPr>
                <w:rFonts w:ascii="Times New Roman" w:hAnsi="Times New Roman" w:cs="Times New Roman"/>
                <w:noProof/>
                <w:sz w:val="24"/>
                <w:szCs w:val="24"/>
              </w:rPr>
            </w:pPr>
            <w:r w:rsidRPr="00EF376C">
              <w:rPr>
                <w:rFonts w:ascii="Times New Roman" w:hAnsi="Times New Roman"/>
                <w:noProof/>
                <w:sz w:val="24"/>
              </w:rPr>
              <w:t>Resultat</w:t>
            </w:r>
          </w:p>
        </w:tc>
        <w:tc>
          <w:tcPr>
            <w:tcW w:w="8028" w:type="dxa"/>
            <w:vAlign w:val="center"/>
          </w:tcPr>
          <w:p w14:paraId="1E940816"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noProof/>
                <w:sz w:val="24"/>
              </w:rPr>
              <w:t>Øget forbrugertillid og højere servicekvalitet. Større gennemsigtighed på markedet, hvilket fører til konkurrencedygtige priser og forbedret effektivitet i tjenesterne.</w:t>
            </w:r>
          </w:p>
        </w:tc>
      </w:tr>
      <w:tr w:rsidR="001310BC" w:rsidRPr="00EF376C" w14:paraId="085D1FC5" w14:textId="77777777">
        <w:tc>
          <w:tcPr>
            <w:tcW w:w="988" w:type="dxa"/>
            <w:vAlign w:val="center"/>
            <w:hideMark/>
          </w:tcPr>
          <w:p w14:paraId="159FA49C" w14:textId="77777777" w:rsidR="001310BC" w:rsidRPr="00EF376C" w:rsidRDefault="00D975FE">
            <w:pPr>
              <w:rPr>
                <w:rFonts w:ascii="Times New Roman" w:hAnsi="Times New Roman" w:cs="Times New Roman"/>
                <w:noProof/>
                <w:sz w:val="24"/>
                <w:szCs w:val="24"/>
              </w:rPr>
            </w:pPr>
            <w:r w:rsidRPr="00EF376C">
              <w:rPr>
                <w:rFonts w:ascii="Times New Roman" w:hAnsi="Times New Roman"/>
                <w:noProof/>
                <w:sz w:val="24"/>
              </w:rPr>
              <w:t>Hvordan?</w:t>
            </w:r>
          </w:p>
        </w:tc>
        <w:tc>
          <w:tcPr>
            <w:tcW w:w="8028" w:type="dxa"/>
            <w:vAlign w:val="center"/>
            <w:hideMark/>
          </w:tcPr>
          <w:p w14:paraId="287AC17A" w14:textId="77777777" w:rsidR="001310BC" w:rsidRPr="00EF376C" w:rsidRDefault="00D975FE">
            <w:pPr>
              <w:pStyle w:val="Considrant"/>
              <w:numPr>
                <w:ilvl w:val="0"/>
                <w:numId w:val="0"/>
              </w:numPr>
              <w:spacing w:before="0" w:after="0"/>
              <w:rPr>
                <w:rFonts w:ascii="Times New Roman" w:hAnsi="Times New Roman" w:cs="Times New Roman"/>
                <w:noProof/>
              </w:rPr>
            </w:pPr>
            <w:r w:rsidRPr="00EF376C">
              <w:rPr>
                <w:rFonts w:ascii="Times New Roman" w:hAnsi="Times New Roman"/>
                <w:noProof/>
              </w:rPr>
              <w:t xml:space="preserve">Kommissionen vil sikre forbrugerne større fordele ved at foreslå en letforståelig </w:t>
            </w:r>
            <w:r w:rsidRPr="00EF376C">
              <w:rPr>
                <w:rFonts w:ascii="Times New Roman" w:hAnsi="Times New Roman"/>
                <w:b/>
                <w:noProof/>
              </w:rPr>
              <w:t>tjenestekodeks</w:t>
            </w:r>
            <w:r w:rsidRPr="00EF376C">
              <w:rPr>
                <w:rFonts w:ascii="Times New Roman" w:hAnsi="Times New Roman"/>
                <w:noProof/>
              </w:rPr>
              <w:t xml:space="preserve"> om forbrugerrettigheder for energileverandører, som frivilligt kan forpligte sig til høje forbrugerbeskyttelsesstandarder baseret på gennemsigtighed, retfærdighed, gensidig tillid og ansvarlighed (4. kvartal 2026), offentliggøre nye retningslinjer for at hjælpe de nationale regulerende myndigheder med at forebygge svigt fra leverandørernes side ved at </w:t>
            </w:r>
            <w:r w:rsidRPr="00EF376C">
              <w:rPr>
                <w:rFonts w:ascii="Times New Roman" w:hAnsi="Times New Roman"/>
                <w:b/>
                <w:noProof/>
              </w:rPr>
              <w:t>forbedre risikostyringen</w:t>
            </w:r>
            <w:r w:rsidRPr="00EF376C">
              <w:rPr>
                <w:rFonts w:ascii="Times New Roman" w:hAnsi="Times New Roman"/>
                <w:noProof/>
              </w:rPr>
              <w:t xml:space="preserve"> (1. kvartal 2026) og vurdere behovet for at vedtage et nyt </w:t>
            </w:r>
            <w:r w:rsidRPr="00EF376C">
              <w:rPr>
                <w:rFonts w:ascii="Times New Roman" w:hAnsi="Times New Roman"/>
                <w:b/>
                <w:noProof/>
              </w:rPr>
              <w:t>EU-lovforslag om forbrugerrettigheder efter 2029</w:t>
            </w:r>
            <w:r w:rsidRPr="00EF376C">
              <w:rPr>
                <w:rFonts w:ascii="Times New Roman" w:hAnsi="Times New Roman"/>
                <w:noProof/>
              </w:rPr>
              <w:t xml:space="preserve"> for at sikre forbrugerrettigheder, også i nye innovative kontrakter, og imødegå aggressiv eller vildledende (tele)markedsføringspraksis (2028).</w:t>
            </w:r>
          </w:p>
        </w:tc>
      </w:tr>
      <w:bookmarkEnd w:id="13"/>
    </w:tbl>
    <w:p w14:paraId="77986FC0" w14:textId="77777777" w:rsidR="001310BC" w:rsidRPr="00EF376C" w:rsidRDefault="001310BC">
      <w:pPr>
        <w:spacing w:line="240" w:lineRule="auto"/>
        <w:rPr>
          <w:rFonts w:ascii="Times New Roman" w:hAnsi="Times New Roman" w:cs="Times New Roman"/>
          <w:b/>
          <w:bCs/>
          <w:smallCaps/>
          <w:noProof/>
          <w:sz w:val="24"/>
          <w:szCs w:val="24"/>
          <w:u w:val="single"/>
        </w:rPr>
      </w:pPr>
    </w:p>
    <w:p w14:paraId="2E0418E1" w14:textId="77777777" w:rsidR="001310BC" w:rsidRPr="00EF376C" w:rsidRDefault="00D975FE">
      <w:pPr>
        <w:jc w:val="center"/>
        <w:rPr>
          <w:rFonts w:ascii="Times New Roman" w:hAnsi="Times New Roman" w:cs="Times New Roman"/>
          <w:b/>
          <w:bCs/>
          <w:smallCaps/>
          <w:noProof/>
          <w:sz w:val="24"/>
          <w:szCs w:val="24"/>
          <w:u w:val="single"/>
        </w:rPr>
      </w:pPr>
      <w:r w:rsidRPr="00EF376C">
        <w:rPr>
          <w:rFonts w:ascii="Times New Roman" w:hAnsi="Times New Roman"/>
          <w:b/>
          <w:smallCaps/>
          <w:noProof/>
          <w:sz w:val="24"/>
          <w:u w:val="single"/>
        </w:rPr>
        <w:t>Søjle III: Bekæmpe energifattigdom og -sårbarhed</w:t>
      </w:r>
    </w:p>
    <w:p w14:paraId="6E3B3A97"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b/>
          <w:noProof/>
          <w:sz w:val="24"/>
        </w:rPr>
        <w:t>Retfærdighed og lighed er centrale elementer i omstillingen til ren energi</w:t>
      </w:r>
      <w:r w:rsidRPr="00EF376C">
        <w:rPr>
          <w:rFonts w:ascii="Times New Roman" w:hAnsi="Times New Roman"/>
          <w:noProof/>
          <w:sz w:val="24"/>
        </w:rPr>
        <w:t xml:space="preserve">. Ifølge den seneste Eurobarometerundersøgelse er beskyttelsen af sårbare forbrugere og dem, der er ramt af energifattigdom, den </w:t>
      </w:r>
      <w:r w:rsidRPr="00EF376C">
        <w:rPr>
          <w:rFonts w:ascii="Times New Roman" w:hAnsi="Times New Roman"/>
          <w:b/>
          <w:noProof/>
          <w:sz w:val="24"/>
        </w:rPr>
        <w:t>vigtigste prioritet</w:t>
      </w:r>
      <w:r w:rsidRPr="00EF376C">
        <w:rPr>
          <w:rFonts w:ascii="Times New Roman" w:hAnsi="Times New Roman"/>
          <w:noProof/>
          <w:sz w:val="24"/>
        </w:rPr>
        <w:t xml:space="preserve"> for europæerne</w:t>
      </w:r>
      <w:r w:rsidRPr="00EF376C">
        <w:rPr>
          <w:rStyle w:val="FootnoteReference"/>
          <w:rFonts w:ascii="Times New Roman" w:hAnsi="Times New Roman" w:cs="Times New Roman"/>
          <w:noProof/>
          <w:sz w:val="24"/>
          <w:szCs w:val="24"/>
        </w:rPr>
        <w:footnoteReference w:id="28"/>
      </w:r>
      <w:r w:rsidRPr="00EF376C">
        <w:rPr>
          <w:noProof/>
        </w:rPr>
        <w:t>.</w:t>
      </w:r>
      <w:r w:rsidRPr="00EF376C">
        <w:rPr>
          <w:rFonts w:ascii="Times New Roman" w:hAnsi="Times New Roman"/>
          <w:noProof/>
          <w:sz w:val="24"/>
        </w:rPr>
        <w:t xml:space="preserve"> Energifattigdom, ikkebetalbare boliger og begrænset adgang til socialt boligbyggeri kan medføre stigende risiko for sårbarhed. EU er i færd med at udvikle den første EU-strategi for bekæmpelse af fattigdom for at hjælpe folk med at få adgang til grundlæggende beskyttelse og tjenester, tackle de grundlæggende årsager til fattigdom og bidrage til udryddelse af fattigdom senest i 2050. Hvis alle har adgang til energi som en væsentlig tjeneste, vil det mindske sårbarheden og fattigdommen i EU. </w:t>
      </w:r>
    </w:p>
    <w:p w14:paraId="71439E4D" w14:textId="77777777" w:rsidR="001310BC" w:rsidRPr="00EF376C" w:rsidRDefault="00D975FE">
      <w:pPr>
        <w:spacing w:line="240" w:lineRule="auto"/>
        <w:jc w:val="both"/>
        <w:rPr>
          <w:rFonts w:ascii="Times New Roman" w:eastAsiaTheme="minorEastAsia" w:hAnsi="Times New Roman" w:cs="Times New Roman"/>
          <w:b/>
          <w:bCs/>
          <w:noProof/>
          <w:sz w:val="24"/>
          <w:szCs w:val="24"/>
          <w:u w:val="single"/>
        </w:rPr>
      </w:pPr>
      <w:bookmarkStart w:id="14" w:name="_Hlk219977967"/>
      <w:r w:rsidRPr="00EF376C">
        <w:rPr>
          <w:rFonts w:ascii="Times New Roman" w:hAnsi="Times New Roman"/>
          <w:b/>
          <w:noProof/>
          <w:sz w:val="24"/>
          <w:u w:val="single"/>
        </w:rPr>
        <w:t>Foranstaltning 8: Gå sammen om at mindske energifattigdom</w:t>
      </w:r>
    </w:p>
    <w:bookmarkEnd w:id="14"/>
    <w:p w14:paraId="4A1CDC18" w14:textId="77777777" w:rsidR="001310BC" w:rsidRPr="00EF376C" w:rsidRDefault="00D975FE">
      <w:pPr>
        <w:widowControl w:val="0"/>
        <w:spacing w:after="120" w:line="240" w:lineRule="auto"/>
        <w:jc w:val="both"/>
        <w:rPr>
          <w:rFonts w:ascii="Times New Roman" w:hAnsi="Times New Roman" w:cs="Times New Roman"/>
          <w:noProof/>
          <w:sz w:val="24"/>
          <w:szCs w:val="24"/>
        </w:rPr>
      </w:pPr>
      <w:r w:rsidRPr="00EF376C">
        <w:rPr>
          <w:rFonts w:ascii="Times New Roman" w:hAnsi="Times New Roman"/>
          <w:noProof/>
          <w:sz w:val="24"/>
        </w:rPr>
        <w:t xml:space="preserve">I 2024 var ca. </w:t>
      </w:r>
      <w:r w:rsidRPr="00EF376C">
        <w:rPr>
          <w:rFonts w:ascii="Times New Roman" w:hAnsi="Times New Roman"/>
          <w:b/>
          <w:noProof/>
          <w:sz w:val="24"/>
        </w:rPr>
        <w:t>42 millioner europæere</w:t>
      </w:r>
      <w:r w:rsidRPr="00EF376C">
        <w:rPr>
          <w:rFonts w:ascii="Times New Roman" w:hAnsi="Times New Roman"/>
          <w:noProof/>
          <w:sz w:val="24"/>
        </w:rPr>
        <w:t xml:space="preserve"> (9,2 % af EU's befolkning) ikke i stand til at opvarme deres boliger tilstrækkeligt</w:t>
      </w:r>
      <w:r w:rsidRPr="00EF376C">
        <w:rPr>
          <w:rStyle w:val="FootnoteReference"/>
          <w:rFonts w:ascii="Times New Roman" w:hAnsi="Times New Roman" w:cs="Times New Roman"/>
          <w:noProof/>
          <w:sz w:val="24"/>
          <w:szCs w:val="24"/>
        </w:rPr>
        <w:footnoteReference w:id="29"/>
      </w:r>
      <w:r w:rsidRPr="00EF376C">
        <w:rPr>
          <w:rFonts w:ascii="Times New Roman" w:hAnsi="Times New Roman"/>
          <w:noProof/>
          <w:sz w:val="24"/>
        </w:rPr>
        <w:t>. Dette er en alvorlig og uacceptabel situation for alt for mange borgere i EU og har uforholdsmæssigt store konsekvenser for familier og befolkningsgrupper, der er truet af fattigdom eller forskelsbehandling.</w:t>
      </w:r>
    </w:p>
    <w:p w14:paraId="503462C1" w14:textId="7A03C583" w:rsidR="001310BC" w:rsidRPr="00EF376C" w:rsidRDefault="00D975FE">
      <w:pPr>
        <w:widowControl w:val="0"/>
        <w:spacing w:after="120"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I henhold til EU's retlige rammer skal medlemsstaterne bekæmpe energifattigdom og beskytte sårbare forbrugere gennem politiske foranstaltninger og konkrete tiltag. Kommissionens vurdering</w:t>
      </w:r>
      <w:r w:rsidRPr="00EF376C">
        <w:rPr>
          <w:rStyle w:val="FootnoteReference"/>
          <w:rFonts w:ascii="Times New Roman" w:hAnsi="Times New Roman" w:cs="Times New Roman"/>
          <w:noProof/>
          <w:sz w:val="24"/>
          <w:szCs w:val="24"/>
        </w:rPr>
        <w:footnoteReference w:id="30"/>
      </w:r>
      <w:r w:rsidRPr="00EF376C">
        <w:rPr>
          <w:rFonts w:ascii="Times New Roman" w:hAnsi="Times New Roman"/>
          <w:noProof/>
          <w:sz w:val="24"/>
        </w:rPr>
        <w:t xml:space="preserve"> af de ajourførte nationale energi- og klimaplaner viser imidlertid,</w:t>
      </w:r>
      <w:r w:rsidRPr="00EF376C">
        <w:rPr>
          <w:rFonts w:ascii="Times New Roman" w:hAnsi="Times New Roman"/>
          <w:b/>
          <w:noProof/>
          <w:sz w:val="24"/>
        </w:rPr>
        <w:t xml:space="preserve"> </w:t>
      </w:r>
      <w:r w:rsidRPr="00EF376C">
        <w:rPr>
          <w:rFonts w:ascii="Times New Roman" w:hAnsi="Times New Roman"/>
          <w:noProof/>
          <w:sz w:val="24"/>
        </w:rPr>
        <w:t>at</w:t>
      </w:r>
      <w:r w:rsidRPr="00EF376C">
        <w:rPr>
          <w:rFonts w:ascii="Times New Roman" w:hAnsi="Times New Roman"/>
          <w:b/>
          <w:noProof/>
          <w:sz w:val="24"/>
        </w:rPr>
        <w:t xml:space="preserve"> </w:t>
      </w:r>
      <w:r w:rsidRPr="00EF376C">
        <w:rPr>
          <w:rFonts w:ascii="Times New Roman" w:hAnsi="Times New Roman"/>
          <w:noProof/>
          <w:sz w:val="24"/>
        </w:rPr>
        <w:t xml:space="preserve">disse </w:t>
      </w:r>
      <w:r w:rsidRPr="00EF376C">
        <w:rPr>
          <w:rFonts w:ascii="Times New Roman" w:hAnsi="Times New Roman"/>
          <w:b/>
          <w:noProof/>
          <w:sz w:val="24"/>
        </w:rPr>
        <w:t>regler gennemføres uensartet i hele EU</w:t>
      </w:r>
      <w:r w:rsidRPr="00EF376C">
        <w:rPr>
          <w:rFonts w:ascii="Times New Roman" w:hAnsi="Times New Roman"/>
          <w:noProof/>
          <w:sz w:val="24"/>
        </w:rPr>
        <w:t xml:space="preserve">. Dette skyldes til dels vanskelighederne ved at indkredse og nå ud til sårbare husstande og personer, der er ramt af energifattigdom, og ved effektivt at </w:t>
      </w:r>
      <w:r w:rsidRPr="00EF376C">
        <w:rPr>
          <w:rFonts w:ascii="Times New Roman" w:hAnsi="Times New Roman"/>
          <w:b/>
          <w:noProof/>
          <w:sz w:val="24"/>
        </w:rPr>
        <w:t>omsætte behov til effektive støtteforanstaltninger</w:t>
      </w:r>
      <w:r w:rsidRPr="00EF376C">
        <w:rPr>
          <w:rFonts w:ascii="Times New Roman" w:hAnsi="Times New Roman"/>
          <w:noProof/>
          <w:sz w:val="24"/>
        </w:rPr>
        <w:t xml:space="preserve">, eftersom energifattigdom og sårbarhed er </w:t>
      </w:r>
      <w:r w:rsidRPr="00EF376C">
        <w:rPr>
          <w:rFonts w:ascii="Times New Roman" w:hAnsi="Times New Roman"/>
          <w:b/>
          <w:noProof/>
          <w:sz w:val="24"/>
        </w:rPr>
        <w:t>mangesidet</w:t>
      </w:r>
      <w:r w:rsidRPr="00EF376C">
        <w:rPr>
          <w:rFonts w:ascii="Times New Roman" w:hAnsi="Times New Roman"/>
          <w:noProof/>
          <w:sz w:val="24"/>
        </w:rPr>
        <w:t xml:space="preserve">. For at hjælpe medlemsstaterne med at gøre deres </w:t>
      </w:r>
      <w:r w:rsidRPr="00EF376C">
        <w:rPr>
          <w:rFonts w:ascii="Times New Roman" w:hAnsi="Times New Roman"/>
          <w:b/>
          <w:noProof/>
          <w:sz w:val="24"/>
        </w:rPr>
        <w:t>nationale planer</w:t>
      </w:r>
      <w:r w:rsidRPr="00EF376C">
        <w:rPr>
          <w:rFonts w:ascii="Times New Roman" w:hAnsi="Times New Roman"/>
          <w:noProof/>
          <w:sz w:val="24"/>
        </w:rPr>
        <w:t xml:space="preserve"> mere ambitiøse og mindske energifattigdom vil Kommissionen yde yderligere vejledning og udveksle gode og reproducerbare former for praksis. Disse vil fokusere på vellykkede nationale og lokale tilgange til bekæmpelse af energifattigdom og skæve incitamenter</w:t>
      </w:r>
      <w:r w:rsidRPr="00EF376C">
        <w:rPr>
          <w:rStyle w:val="FootnoteReference"/>
          <w:rFonts w:ascii="Times New Roman" w:hAnsi="Times New Roman" w:cs="Times New Roman"/>
          <w:noProof/>
          <w:sz w:val="24"/>
          <w:szCs w:val="24"/>
        </w:rPr>
        <w:footnoteReference w:id="31"/>
      </w:r>
      <w:r w:rsidRPr="00EF376C">
        <w:rPr>
          <w:rFonts w:ascii="Times New Roman" w:hAnsi="Times New Roman"/>
          <w:noProof/>
          <w:sz w:val="24"/>
        </w:rPr>
        <w:t>, samtidig med at det sikres, at incitamenterne til energibesparelser og energieffektivitet opretholdes, selv for husstande, der modtager sociale ydelser til dækning af deres energiregninger.</w:t>
      </w:r>
      <w:r w:rsidR="00B21A70" w:rsidRPr="00EF376C">
        <w:rPr>
          <w:rFonts w:ascii="Times New Roman" w:hAnsi="Times New Roman"/>
          <w:noProof/>
          <w:sz w:val="24"/>
        </w:rPr>
        <w:t xml:space="preserve"> </w:t>
      </w:r>
      <w:r w:rsidRPr="00EF376C">
        <w:rPr>
          <w:rFonts w:ascii="Times New Roman" w:hAnsi="Times New Roman"/>
          <w:noProof/>
          <w:sz w:val="24"/>
        </w:rPr>
        <w:t xml:space="preserve">I overensstemmelse med direktiv (EU) 2024/1275 om bygningers energimæssige ydeevne vil Kommissionen også hjælpe medlemsstaterne med at udarbejde </w:t>
      </w:r>
      <w:r w:rsidRPr="00EF376C">
        <w:rPr>
          <w:rFonts w:ascii="Times New Roman" w:hAnsi="Times New Roman"/>
          <w:b/>
          <w:noProof/>
          <w:sz w:val="24"/>
        </w:rPr>
        <w:t>deres nationale planer for renovering af bygninger</w:t>
      </w:r>
      <w:r w:rsidRPr="00EF376C">
        <w:rPr>
          <w:rFonts w:ascii="Times New Roman" w:hAnsi="Times New Roman"/>
          <w:noProof/>
          <w:sz w:val="24"/>
        </w:rPr>
        <w:t xml:space="preserve"> inden udgangen af 2026 med henblik på at indkredse de bygninger med den dårligste ydeevne, hvor de mest sårbare borgere bor, og udforme skræddersyede politikker, der hjælper dem med at reducere deres energiregninger og leve mere komfortabelt i deres boliger om vinteren og om sommeren. Planerne har også til formål at sikre </w:t>
      </w:r>
      <w:r w:rsidRPr="00EF376C">
        <w:rPr>
          <w:rFonts w:ascii="Times New Roman" w:hAnsi="Times New Roman"/>
          <w:b/>
          <w:noProof/>
          <w:sz w:val="24"/>
        </w:rPr>
        <w:t>tilgængelighed</w:t>
      </w:r>
      <w:r w:rsidRPr="00EF376C">
        <w:rPr>
          <w:rFonts w:ascii="Times New Roman" w:hAnsi="Times New Roman"/>
          <w:noProof/>
          <w:sz w:val="24"/>
        </w:rPr>
        <w:t xml:space="preserve"> for ældre og personer med handicap i forbindelse med renoveringer.  </w:t>
      </w:r>
    </w:p>
    <w:p w14:paraId="04BD5E62" w14:textId="77777777" w:rsidR="001310BC" w:rsidRPr="00EF376C" w:rsidRDefault="00D975FE">
      <w:pPr>
        <w:widowControl w:val="0"/>
        <w:spacing w:after="120" w:line="240" w:lineRule="auto"/>
        <w:jc w:val="both"/>
        <w:rPr>
          <w:rFonts w:ascii="Times New Roman" w:eastAsia="Times New Roman" w:hAnsi="Times New Roman" w:cs="Times New Roman"/>
          <w:noProof/>
          <w:sz w:val="24"/>
          <w:szCs w:val="24"/>
        </w:rPr>
      </w:pPr>
      <w:r w:rsidRPr="00EF376C">
        <w:rPr>
          <w:rFonts w:ascii="Times New Roman" w:hAnsi="Times New Roman"/>
          <w:noProof/>
          <w:sz w:val="24"/>
        </w:rPr>
        <w:t>Ud over projekter vedrørende energifattigdom inden for rammerne f Den Sociale Klimafond</w:t>
      </w:r>
      <w:r w:rsidRPr="00EF376C">
        <w:rPr>
          <w:rStyle w:val="FootnoteReference"/>
          <w:rFonts w:ascii="Times New Roman" w:eastAsia="Times New Roman" w:hAnsi="Times New Roman" w:cs="Times New Roman"/>
          <w:noProof/>
          <w:sz w:val="24"/>
          <w:szCs w:val="24"/>
        </w:rPr>
        <w:footnoteReference w:id="32"/>
      </w:r>
      <w:r w:rsidRPr="00EF376C">
        <w:rPr>
          <w:rFonts w:ascii="Times New Roman" w:hAnsi="Times New Roman"/>
          <w:noProof/>
          <w:sz w:val="24"/>
        </w:rPr>
        <w:t>, fondene under samhørighedspolitikken</w:t>
      </w:r>
      <w:r w:rsidRPr="00EF376C">
        <w:rPr>
          <w:rStyle w:val="FootnoteReference"/>
          <w:rFonts w:ascii="Times New Roman" w:eastAsia="Times New Roman" w:hAnsi="Times New Roman" w:cs="Times New Roman"/>
          <w:noProof/>
          <w:sz w:val="24"/>
          <w:szCs w:val="24"/>
        </w:rPr>
        <w:footnoteReference w:id="33"/>
      </w:r>
      <w:r w:rsidRPr="00EF376C">
        <w:rPr>
          <w:rFonts w:ascii="Times New Roman" w:hAnsi="Times New Roman"/>
          <w:noProof/>
          <w:sz w:val="24"/>
        </w:rPr>
        <w:t xml:space="preserve"> eller anden støtte, der ydes på lokalt plan gennem rådgivningscentret for energifattigdom (EPAH), vil Kommissionen iværksætte </w:t>
      </w:r>
      <w:r w:rsidRPr="00EF376C">
        <w:rPr>
          <w:rFonts w:ascii="Times New Roman" w:hAnsi="Times New Roman"/>
          <w:b/>
          <w:noProof/>
          <w:sz w:val="24"/>
        </w:rPr>
        <w:t>en ny indkaldelse af forslag under LIFE-programmet</w:t>
      </w:r>
      <w:r w:rsidRPr="00EF376C">
        <w:rPr>
          <w:rStyle w:val="FootnoteReference"/>
          <w:rFonts w:ascii="Times New Roman" w:eastAsia="Times New Roman" w:hAnsi="Times New Roman" w:cs="Times New Roman"/>
          <w:noProof/>
          <w:sz w:val="24"/>
          <w:szCs w:val="24"/>
        </w:rPr>
        <w:footnoteReference w:id="34"/>
      </w:r>
      <w:r w:rsidRPr="00EF376C">
        <w:rPr>
          <w:rFonts w:ascii="Times New Roman" w:hAnsi="Times New Roman"/>
          <w:noProof/>
          <w:sz w:val="24"/>
        </w:rPr>
        <w:t xml:space="preserve"> for at finansiere projekter, der støtter nationale, regionale og lokale myndigheder i bekæmpelsen af energifattigdom, og som bygger på 10 projekter, der allerede er i gang. Dette vil give yderligere aktører mulighed for at udforme og opskalere målrettede foranstaltninger, der giver husstande, som er ramt af energifattigdom, varige løsninger til sikring af overkommelige energipriser og forbedrede levevilkår. Desuden vil Kommissionen vejlede om, hvordan sårbare husstande og personer, der er ramt af energifattigdom, kan beskyttes i forbindelse med </w:t>
      </w:r>
      <w:r w:rsidRPr="00EF376C">
        <w:rPr>
          <w:rFonts w:ascii="Times New Roman" w:hAnsi="Times New Roman"/>
          <w:b/>
          <w:noProof/>
          <w:sz w:val="24"/>
        </w:rPr>
        <w:t>afviklingen af naturgasnet</w:t>
      </w:r>
      <w:r w:rsidRPr="00EF376C">
        <w:rPr>
          <w:rFonts w:ascii="Times New Roman" w:hAnsi="Times New Roman"/>
          <w:noProof/>
          <w:sz w:val="24"/>
        </w:rPr>
        <w:t>.</w:t>
      </w:r>
    </w:p>
    <w:p w14:paraId="6FDA8807" w14:textId="77777777" w:rsidR="001310BC" w:rsidRPr="00EF376C" w:rsidRDefault="001310BC">
      <w:pPr>
        <w:widowControl w:val="0"/>
        <w:spacing w:after="0" w:line="240" w:lineRule="auto"/>
        <w:jc w:val="both"/>
        <w:rPr>
          <w:rFonts w:ascii="Times New Roman" w:eastAsia="Times New Roman" w:hAnsi="Times New Roman" w:cs="Times New Roman"/>
          <w:noProof/>
          <w:sz w:val="24"/>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745"/>
      </w:tblGrid>
      <w:tr w:rsidR="001310BC" w:rsidRPr="00EF376C" w14:paraId="7DD92626" w14:textId="77777777" w:rsidTr="00D975FE">
        <w:tc>
          <w:tcPr>
            <w:tcW w:w="1271" w:type="dxa"/>
            <w:vAlign w:val="center"/>
            <w:hideMark/>
          </w:tcPr>
          <w:p w14:paraId="2DA157C0" w14:textId="77777777" w:rsidR="001310BC" w:rsidRPr="00EF376C" w:rsidRDefault="00D975FE">
            <w:pPr>
              <w:jc w:val="both"/>
              <w:rPr>
                <w:rFonts w:ascii="Times New Roman" w:hAnsi="Times New Roman" w:cs="Times New Roman"/>
                <w:noProof/>
                <w:sz w:val="24"/>
                <w:szCs w:val="24"/>
              </w:rPr>
            </w:pPr>
            <w:bookmarkStart w:id="15" w:name="_Hlk219977988"/>
            <w:r w:rsidRPr="00EF376C">
              <w:rPr>
                <w:rFonts w:ascii="Times New Roman" w:hAnsi="Times New Roman"/>
                <w:noProof/>
                <w:sz w:val="24"/>
              </w:rPr>
              <w:t>Mål</w:t>
            </w:r>
          </w:p>
        </w:tc>
        <w:tc>
          <w:tcPr>
            <w:tcW w:w="7745" w:type="dxa"/>
            <w:hideMark/>
          </w:tcPr>
          <w:p w14:paraId="21B0271C" w14:textId="77777777" w:rsidR="001310BC" w:rsidRPr="00EF376C" w:rsidRDefault="00D975FE">
            <w:pPr>
              <w:jc w:val="both"/>
              <w:rPr>
                <w:rFonts w:ascii="Times New Roman" w:hAnsi="Times New Roman" w:cs="Times New Roman"/>
                <w:b/>
                <w:bCs/>
                <w:noProof/>
                <w:sz w:val="24"/>
                <w:szCs w:val="24"/>
              </w:rPr>
            </w:pPr>
            <w:r w:rsidRPr="00EF376C">
              <w:rPr>
                <w:rFonts w:ascii="Times New Roman" w:hAnsi="Times New Roman"/>
                <w:b/>
                <w:noProof/>
                <w:sz w:val="24"/>
              </w:rPr>
              <w:t xml:space="preserve">Hjælpe nationale og lokale myndigheder med at træffe konkrete foranstaltninger til at reducere antallet af personer, der er ramt af energifattigdom, og beskytte sårbare forbrugere for at sikre en retfærdig og rimelig energiomstilling. </w:t>
            </w:r>
          </w:p>
        </w:tc>
      </w:tr>
      <w:tr w:rsidR="001310BC" w:rsidRPr="00EF376C" w14:paraId="13CF08E9" w14:textId="77777777" w:rsidTr="00D975FE">
        <w:tc>
          <w:tcPr>
            <w:tcW w:w="1271" w:type="dxa"/>
            <w:vAlign w:val="center"/>
          </w:tcPr>
          <w:p w14:paraId="0E997CDD"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noProof/>
                <w:sz w:val="24"/>
              </w:rPr>
              <w:t>Resultat</w:t>
            </w:r>
          </w:p>
        </w:tc>
        <w:tc>
          <w:tcPr>
            <w:tcW w:w="7745" w:type="dxa"/>
            <w:vAlign w:val="center"/>
          </w:tcPr>
          <w:p w14:paraId="3157E3E8" w14:textId="77777777" w:rsidR="001310BC" w:rsidRPr="00EF376C" w:rsidRDefault="00D975FE">
            <w:pPr>
              <w:widowControl w:val="0"/>
              <w:jc w:val="both"/>
              <w:rPr>
                <w:rFonts w:ascii="Times New Roman" w:eastAsia="Times New Roman" w:hAnsi="Times New Roman" w:cs="Times New Roman"/>
                <w:noProof/>
                <w:sz w:val="24"/>
                <w:szCs w:val="24"/>
              </w:rPr>
            </w:pPr>
            <w:r w:rsidRPr="00EF376C">
              <w:rPr>
                <w:rFonts w:ascii="Times New Roman" w:hAnsi="Times New Roman"/>
                <w:noProof/>
                <w:sz w:val="24"/>
              </w:rPr>
              <w:t xml:space="preserve">Mere konsekvente og målrettede politikker for sårbare husstande, der er ramt af eller risikerer at blive ramt af energifattigdom, hurtigere, mere retfærdig og billigere adgang til strukturelle løsninger (f.eks. renoveringer) og gradvis og målbar reduktion af energifattigdom og dermed forbundne sundhedsmæssige og sociale problemer i hele EU. </w:t>
            </w:r>
          </w:p>
        </w:tc>
      </w:tr>
      <w:tr w:rsidR="001310BC" w:rsidRPr="00EF376C" w14:paraId="196058FE" w14:textId="77777777" w:rsidTr="00D975FE">
        <w:tc>
          <w:tcPr>
            <w:tcW w:w="1271" w:type="dxa"/>
            <w:vAlign w:val="center"/>
            <w:hideMark/>
          </w:tcPr>
          <w:p w14:paraId="08958D04"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noProof/>
                <w:sz w:val="24"/>
              </w:rPr>
              <w:t>Hvordan?</w:t>
            </w:r>
          </w:p>
        </w:tc>
        <w:tc>
          <w:tcPr>
            <w:tcW w:w="7745" w:type="dxa"/>
            <w:vAlign w:val="center"/>
            <w:hideMark/>
          </w:tcPr>
          <w:p w14:paraId="6C4F9908" w14:textId="77777777" w:rsidR="001310BC" w:rsidRPr="00EF376C" w:rsidRDefault="00D975FE">
            <w:pPr>
              <w:widowControl w:val="0"/>
              <w:jc w:val="both"/>
              <w:rPr>
                <w:rFonts w:ascii="Times New Roman" w:eastAsia="Times New Roman" w:hAnsi="Times New Roman" w:cs="Times New Roman"/>
                <w:noProof/>
                <w:sz w:val="24"/>
                <w:szCs w:val="24"/>
              </w:rPr>
            </w:pPr>
            <w:r w:rsidRPr="00EF376C">
              <w:rPr>
                <w:rFonts w:ascii="Times New Roman" w:hAnsi="Times New Roman"/>
                <w:noProof/>
                <w:sz w:val="24"/>
              </w:rPr>
              <w:t>Kommissionen vil:</w:t>
            </w:r>
          </w:p>
          <w:p w14:paraId="44AECC28" w14:textId="77777777" w:rsidR="001310BC" w:rsidRPr="00EF376C" w:rsidRDefault="00D975FE">
            <w:pPr>
              <w:pStyle w:val="ListParagraph"/>
              <w:widowControl w:val="0"/>
              <w:numPr>
                <w:ilvl w:val="0"/>
                <w:numId w:val="21"/>
              </w:numPr>
              <w:jc w:val="both"/>
              <w:rPr>
                <w:rFonts w:ascii="Times New Roman" w:eastAsia="Times New Roman" w:hAnsi="Times New Roman" w:cs="Times New Roman"/>
                <w:noProof/>
                <w:sz w:val="24"/>
                <w:szCs w:val="24"/>
              </w:rPr>
            </w:pPr>
            <w:r w:rsidRPr="00EF376C">
              <w:rPr>
                <w:rFonts w:ascii="Times New Roman" w:hAnsi="Times New Roman"/>
                <w:noProof/>
                <w:sz w:val="24"/>
              </w:rPr>
              <w:t xml:space="preserve">ajourføre sin </w:t>
            </w:r>
            <w:r w:rsidRPr="00EF376C">
              <w:rPr>
                <w:rFonts w:ascii="Times New Roman" w:hAnsi="Times New Roman"/>
                <w:b/>
                <w:noProof/>
                <w:sz w:val="24"/>
              </w:rPr>
              <w:t>henstilling om energifattigdom</w:t>
            </w:r>
            <w:r w:rsidRPr="00EF376C">
              <w:rPr>
                <w:rStyle w:val="FootnoteReference"/>
                <w:rFonts w:ascii="Times New Roman" w:eastAsia="Times New Roman, Aptos" w:hAnsi="Times New Roman" w:cs="Times New Roman"/>
                <w:noProof/>
                <w:sz w:val="24"/>
                <w:szCs w:val="24"/>
              </w:rPr>
              <w:footnoteReference w:id="35"/>
            </w:r>
            <w:r w:rsidRPr="00EF376C">
              <w:rPr>
                <w:rFonts w:ascii="Times New Roman" w:hAnsi="Times New Roman"/>
                <w:noProof/>
                <w:sz w:val="24"/>
              </w:rPr>
              <w:t xml:space="preserve"> med henblik på at foretage yderligere analyser og udveksle gode og reproducerbare former for praksis. Heri indgår praksis, der på vellykket vis bekæmper energifattigdom og fjerner skæve incitamenter, anvender digitale værktøjer, gør det nemmere at nå ud til sårbare borgere, gennemfører tværsektorielle foranstaltninger til beskyttelse af borgerne mod hedebølger, fremmer innovative finansieringsværktøjer til energieffektivitetsforanstaltninger og viser, hvordan energideling og energifællesskaber effektivt kan afhjælpe energifattigdom (4. kvartal 2026)</w:t>
            </w:r>
          </w:p>
          <w:p w14:paraId="00DAE4F0" w14:textId="77777777" w:rsidR="001310BC" w:rsidRPr="00EF376C" w:rsidRDefault="00D975FE">
            <w:pPr>
              <w:pStyle w:val="ListParagraph"/>
              <w:widowControl w:val="0"/>
              <w:numPr>
                <w:ilvl w:val="0"/>
                <w:numId w:val="21"/>
              </w:numPr>
              <w:jc w:val="both"/>
              <w:rPr>
                <w:rFonts w:ascii="Times New Roman" w:eastAsia="Times New Roman" w:hAnsi="Times New Roman" w:cs="Times New Roman"/>
                <w:noProof/>
                <w:sz w:val="24"/>
                <w:szCs w:val="24"/>
              </w:rPr>
            </w:pPr>
            <w:r w:rsidRPr="00EF376C">
              <w:rPr>
                <w:rFonts w:ascii="Times New Roman" w:hAnsi="Times New Roman"/>
                <w:noProof/>
                <w:sz w:val="24"/>
              </w:rPr>
              <w:t xml:space="preserve">fortsat yde </w:t>
            </w:r>
            <w:r w:rsidRPr="00EF376C">
              <w:rPr>
                <w:rFonts w:ascii="Times New Roman" w:hAnsi="Times New Roman"/>
                <w:b/>
                <w:noProof/>
                <w:sz w:val="24"/>
              </w:rPr>
              <w:t>teknisk bistand</w:t>
            </w:r>
            <w:r w:rsidRPr="00EF376C">
              <w:rPr>
                <w:rFonts w:ascii="Times New Roman" w:hAnsi="Times New Roman"/>
                <w:noProof/>
                <w:sz w:val="24"/>
              </w:rPr>
              <w:t xml:space="preserve"> og yderligere vejledning til nationale, regionale og lokale myndigheder for effektivt at målrette indsatsen mod sårbare borgere gennem politikker og foranstaltninger (2026-2028) </w:t>
            </w:r>
          </w:p>
          <w:p w14:paraId="688D8CD3" w14:textId="77777777" w:rsidR="001310BC" w:rsidRPr="00EF376C" w:rsidRDefault="00D975FE">
            <w:pPr>
              <w:pStyle w:val="ListParagraph"/>
              <w:widowControl w:val="0"/>
              <w:numPr>
                <w:ilvl w:val="0"/>
                <w:numId w:val="21"/>
              </w:numPr>
              <w:jc w:val="both"/>
              <w:rPr>
                <w:rFonts w:ascii="Times New Roman" w:eastAsia="Times New Roman" w:hAnsi="Times New Roman" w:cs="Times New Roman"/>
                <w:noProof/>
                <w:sz w:val="24"/>
                <w:szCs w:val="24"/>
              </w:rPr>
            </w:pPr>
            <w:r w:rsidRPr="00EF376C">
              <w:rPr>
                <w:rFonts w:ascii="Times New Roman" w:hAnsi="Times New Roman"/>
                <w:noProof/>
                <w:sz w:val="24"/>
              </w:rPr>
              <w:t xml:space="preserve">hjælpe nationale, regionale og lokale myndigheder med at nå ud til borgere, der er ramt af energifattigdom, med effektive foranstaltninger ved at finansiere </w:t>
            </w:r>
            <w:r w:rsidRPr="00EF376C">
              <w:rPr>
                <w:rFonts w:ascii="Times New Roman" w:hAnsi="Times New Roman"/>
                <w:b/>
                <w:noProof/>
                <w:sz w:val="24"/>
              </w:rPr>
              <w:t>nye projekter under LIFE-programmet</w:t>
            </w:r>
            <w:r w:rsidRPr="00EF376C">
              <w:rPr>
                <w:rFonts w:ascii="Times New Roman" w:hAnsi="Times New Roman"/>
                <w:noProof/>
                <w:sz w:val="24"/>
              </w:rPr>
              <w:t>, som har til formål at afhjælpe energifattigdom. Den vil træffe skræddersyede kommunikations- og informationsforanstaltninger for at informere sårbare og energifattige borgere om omkostningseffektive energibesparelsesmuligheder (2026-2027).</w:t>
            </w:r>
          </w:p>
        </w:tc>
      </w:tr>
    </w:tbl>
    <w:p w14:paraId="2042BB27" w14:textId="77777777" w:rsidR="001310BC" w:rsidRPr="00EF376C" w:rsidRDefault="001310BC">
      <w:pPr>
        <w:rPr>
          <w:rFonts w:ascii="Times New Roman" w:hAnsi="Times New Roman" w:cs="Times New Roman"/>
          <w:b/>
          <w:bCs/>
          <w:noProof/>
          <w:sz w:val="24"/>
          <w:szCs w:val="24"/>
          <w:u w:val="single"/>
        </w:rPr>
      </w:pPr>
      <w:bookmarkStart w:id="16" w:name="_Hlk219978000"/>
      <w:bookmarkEnd w:id="15"/>
    </w:p>
    <w:p w14:paraId="3B128775" w14:textId="77777777" w:rsidR="001310BC" w:rsidRPr="00EF376C" w:rsidRDefault="00D975FE">
      <w:pPr>
        <w:rPr>
          <w:rFonts w:ascii="Times New Roman" w:hAnsi="Times New Roman" w:cs="Times New Roman"/>
          <w:b/>
          <w:bCs/>
          <w:noProof/>
          <w:sz w:val="24"/>
          <w:szCs w:val="24"/>
          <w:u w:val="single"/>
        </w:rPr>
      </w:pPr>
      <w:r w:rsidRPr="00EF376C">
        <w:rPr>
          <w:rFonts w:ascii="Times New Roman" w:hAnsi="Times New Roman"/>
          <w:b/>
          <w:noProof/>
          <w:sz w:val="24"/>
          <w:u w:val="single"/>
        </w:rPr>
        <w:t xml:space="preserve">Foranstaltning 9: Beskytte sårbare borgere mod afbrydelser </w:t>
      </w:r>
    </w:p>
    <w:bookmarkEnd w:id="16"/>
    <w:p w14:paraId="50E3677F" w14:textId="77777777" w:rsidR="001310BC" w:rsidRPr="00EF376C" w:rsidRDefault="00D975FE">
      <w:pPr>
        <w:tabs>
          <w:tab w:val="left" w:pos="2552"/>
        </w:tabs>
        <w:spacing w:line="240" w:lineRule="auto"/>
        <w:jc w:val="both"/>
        <w:rPr>
          <w:rFonts w:ascii="Times New Roman" w:hAnsi="Times New Roman" w:cs="Times New Roman"/>
          <w:noProof/>
          <w:sz w:val="24"/>
          <w:szCs w:val="24"/>
        </w:rPr>
      </w:pPr>
      <w:r w:rsidRPr="00EF376C">
        <w:rPr>
          <w:rFonts w:ascii="Times New Roman" w:hAnsi="Times New Roman"/>
          <w:noProof/>
          <w:sz w:val="24"/>
        </w:rPr>
        <w:t xml:space="preserve">Mange EU-borgere, herunder dem, der i forvejen er ramt af energifattigdom, står over for et yderligere presserende problem, nemlig </w:t>
      </w:r>
      <w:r w:rsidRPr="00EF376C">
        <w:rPr>
          <w:rFonts w:ascii="Times New Roman" w:hAnsi="Times New Roman"/>
          <w:b/>
          <w:noProof/>
          <w:sz w:val="24"/>
        </w:rPr>
        <w:t>at de ikke kan betale deres energiregninger</w:t>
      </w:r>
      <w:r w:rsidRPr="00EF376C">
        <w:rPr>
          <w:rFonts w:ascii="Times New Roman" w:hAnsi="Times New Roman"/>
          <w:noProof/>
          <w:sz w:val="24"/>
        </w:rPr>
        <w:t xml:space="preserve">. Risikoen for at blive afkoblet fra deres el- og gasforsyning påvirker i alvorlig grad deres livskvalitet og sundhed, herunder deres mentale sundhed. I 2024 var ca. </w:t>
      </w:r>
      <w:r w:rsidRPr="00EF376C">
        <w:rPr>
          <w:rFonts w:ascii="Times New Roman" w:hAnsi="Times New Roman"/>
          <w:b/>
          <w:noProof/>
          <w:sz w:val="24"/>
        </w:rPr>
        <w:t>31 millioner europæere bagud med betalingen af deres energiregninger</w:t>
      </w:r>
      <w:r w:rsidRPr="00EF376C">
        <w:rPr>
          <w:rStyle w:val="FootnoteReference"/>
          <w:rFonts w:ascii="Times New Roman" w:hAnsi="Times New Roman" w:cs="Times New Roman"/>
          <w:noProof/>
          <w:sz w:val="24"/>
          <w:szCs w:val="24"/>
        </w:rPr>
        <w:footnoteReference w:id="36"/>
      </w:r>
      <w:r w:rsidRPr="00EF376C">
        <w:rPr>
          <w:rFonts w:ascii="Times New Roman" w:hAnsi="Times New Roman"/>
          <w:noProof/>
          <w:sz w:val="24"/>
        </w:rPr>
        <w:t>.</w:t>
      </w:r>
    </w:p>
    <w:p w14:paraId="3F0664BA" w14:textId="77777777" w:rsidR="001310BC" w:rsidRPr="00EF376C" w:rsidRDefault="00D975FE">
      <w:pPr>
        <w:spacing w:after="0" w:line="240" w:lineRule="auto"/>
        <w:jc w:val="both"/>
        <w:rPr>
          <w:rFonts w:ascii="Times New Roman" w:hAnsi="Times New Roman" w:cs="Times New Roman"/>
          <w:noProof/>
          <w:sz w:val="24"/>
          <w:szCs w:val="24"/>
        </w:rPr>
      </w:pPr>
      <w:r w:rsidRPr="00EF376C">
        <w:rPr>
          <w:rFonts w:ascii="Times New Roman" w:hAnsi="Times New Roman"/>
          <w:noProof/>
          <w:sz w:val="24"/>
        </w:rPr>
        <w:t xml:space="preserve">Kommissionen vil samarbejde med medlemsstaterne, nationale regulerende myndigheder, energileverandører, forbrugerorganisationer og andre relevante interessenter om at oprette systemer på nationalt plan til afdækning af </w:t>
      </w:r>
      <w:r w:rsidRPr="00EF376C">
        <w:rPr>
          <w:rFonts w:ascii="Times New Roman" w:hAnsi="Times New Roman"/>
          <w:b/>
          <w:noProof/>
          <w:sz w:val="24"/>
        </w:rPr>
        <w:t>tidlige advarselssignaler</w:t>
      </w:r>
      <w:r w:rsidRPr="00EF376C">
        <w:rPr>
          <w:rFonts w:ascii="Times New Roman" w:hAnsi="Times New Roman"/>
          <w:noProof/>
          <w:sz w:val="24"/>
        </w:rPr>
        <w:t xml:space="preserve">, når husstande har svært ved at betale deres energiregninger. Målet er at hjælpe energiselskaberne med at gribe ind og tilbyde støtte til sådanne husstande, inden problemet bliver værre. Desuden vil Kommissionen fremme god praksis for forebyggelse af og beskyttelse mod afbrydelser, herunder </w:t>
      </w:r>
      <w:r w:rsidRPr="00EF376C">
        <w:rPr>
          <w:rFonts w:ascii="Times New Roman" w:hAnsi="Times New Roman"/>
          <w:b/>
          <w:noProof/>
          <w:sz w:val="24"/>
        </w:rPr>
        <w:t>gældsforvaltningsordninger</w:t>
      </w:r>
      <w:r w:rsidRPr="00EF376C">
        <w:rPr>
          <w:rFonts w:ascii="Times New Roman" w:hAnsi="Times New Roman"/>
          <w:noProof/>
          <w:sz w:val="24"/>
        </w:rPr>
        <w:t xml:space="preserve">. </w:t>
      </w:r>
    </w:p>
    <w:p w14:paraId="73531B7E" w14:textId="77777777" w:rsidR="001310BC" w:rsidRPr="00EF376C" w:rsidRDefault="001310BC">
      <w:pPr>
        <w:spacing w:after="0" w:line="240" w:lineRule="auto"/>
        <w:jc w:val="both"/>
        <w:rPr>
          <w:rFonts w:ascii="Times New Roman" w:hAnsi="Times New Roman" w:cs="Times New Roman"/>
          <w:noProof/>
          <w:sz w:val="24"/>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1310BC" w:rsidRPr="00EF376C" w14:paraId="5EE22C83" w14:textId="77777777">
        <w:tc>
          <w:tcPr>
            <w:tcW w:w="0" w:type="auto"/>
            <w:vAlign w:val="center"/>
            <w:hideMark/>
          </w:tcPr>
          <w:p w14:paraId="5652AE81" w14:textId="77777777" w:rsidR="001310BC" w:rsidRPr="00EF376C" w:rsidRDefault="00D975FE">
            <w:pPr>
              <w:rPr>
                <w:rFonts w:ascii="Times New Roman" w:hAnsi="Times New Roman" w:cs="Times New Roman"/>
                <w:bCs/>
                <w:noProof/>
                <w:sz w:val="24"/>
                <w:szCs w:val="24"/>
              </w:rPr>
            </w:pPr>
            <w:bookmarkStart w:id="17" w:name="_Hlk219978012"/>
            <w:r w:rsidRPr="00EF376C">
              <w:rPr>
                <w:rFonts w:ascii="Times New Roman" w:hAnsi="Times New Roman"/>
                <w:noProof/>
                <w:sz w:val="24"/>
              </w:rPr>
              <w:t>Mål</w:t>
            </w:r>
          </w:p>
        </w:tc>
        <w:tc>
          <w:tcPr>
            <w:tcW w:w="0" w:type="auto"/>
            <w:vAlign w:val="center"/>
            <w:hideMark/>
          </w:tcPr>
          <w:p w14:paraId="3CFD5CE9" w14:textId="77777777" w:rsidR="001310BC" w:rsidRPr="00EF376C" w:rsidRDefault="00D975FE">
            <w:pPr>
              <w:rPr>
                <w:rFonts w:ascii="Times New Roman" w:hAnsi="Times New Roman" w:cs="Times New Roman"/>
                <w:b/>
                <w:bCs/>
                <w:noProof/>
                <w:sz w:val="24"/>
                <w:szCs w:val="24"/>
              </w:rPr>
            </w:pPr>
            <w:r w:rsidRPr="00EF376C">
              <w:rPr>
                <w:rFonts w:ascii="Times New Roman" w:hAnsi="Times New Roman"/>
                <w:b/>
                <w:noProof/>
                <w:sz w:val="24"/>
              </w:rPr>
              <w:t>Bedre beskyttelse af sårbare og energifattige borgere, der risikerer energiafbrydelser, gennem tidlig varsling og gældsforvaltningsordninger.</w:t>
            </w:r>
          </w:p>
        </w:tc>
      </w:tr>
      <w:tr w:rsidR="001310BC" w:rsidRPr="00EF376C" w14:paraId="7DE07346" w14:textId="77777777">
        <w:tc>
          <w:tcPr>
            <w:tcW w:w="0" w:type="auto"/>
            <w:vAlign w:val="center"/>
          </w:tcPr>
          <w:p w14:paraId="25D27D93" w14:textId="77777777" w:rsidR="001310BC" w:rsidRPr="00EF376C" w:rsidRDefault="00D975FE">
            <w:pPr>
              <w:rPr>
                <w:rFonts w:ascii="Times New Roman" w:hAnsi="Times New Roman" w:cs="Times New Roman"/>
                <w:bCs/>
                <w:noProof/>
                <w:sz w:val="24"/>
                <w:szCs w:val="24"/>
              </w:rPr>
            </w:pPr>
            <w:r w:rsidRPr="00EF376C">
              <w:rPr>
                <w:rFonts w:ascii="Times New Roman" w:hAnsi="Times New Roman"/>
                <w:noProof/>
                <w:sz w:val="24"/>
              </w:rPr>
              <w:t>Resultat</w:t>
            </w:r>
          </w:p>
        </w:tc>
        <w:tc>
          <w:tcPr>
            <w:tcW w:w="0" w:type="auto"/>
            <w:vAlign w:val="center"/>
          </w:tcPr>
          <w:p w14:paraId="17283E08"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noProof/>
                <w:sz w:val="24"/>
              </w:rPr>
              <w:t>Færre afbrydelser, ensartet beskyttelse af sårbare forbrugere i hele EU, begrænset sårbarhed og forbedret social retfærdighed, sundhed og trivsel.</w:t>
            </w:r>
          </w:p>
        </w:tc>
      </w:tr>
      <w:tr w:rsidR="001310BC" w:rsidRPr="00EF376C" w14:paraId="3C747BE9" w14:textId="77777777">
        <w:tc>
          <w:tcPr>
            <w:tcW w:w="0" w:type="auto"/>
            <w:vAlign w:val="center"/>
            <w:hideMark/>
          </w:tcPr>
          <w:p w14:paraId="26B33161" w14:textId="77777777" w:rsidR="001310BC" w:rsidRPr="00EF376C" w:rsidRDefault="00D975FE">
            <w:pPr>
              <w:rPr>
                <w:rFonts w:ascii="Times New Roman" w:hAnsi="Times New Roman" w:cs="Times New Roman"/>
                <w:bCs/>
                <w:noProof/>
                <w:sz w:val="24"/>
                <w:szCs w:val="24"/>
              </w:rPr>
            </w:pPr>
            <w:r w:rsidRPr="00EF376C">
              <w:rPr>
                <w:rFonts w:ascii="Times New Roman" w:hAnsi="Times New Roman"/>
                <w:noProof/>
                <w:sz w:val="24"/>
              </w:rPr>
              <w:t>Hvordan?</w:t>
            </w:r>
          </w:p>
        </w:tc>
        <w:tc>
          <w:tcPr>
            <w:tcW w:w="0" w:type="auto"/>
            <w:vAlign w:val="center"/>
            <w:hideMark/>
          </w:tcPr>
          <w:p w14:paraId="437A0DE9" w14:textId="77777777" w:rsidR="001310BC" w:rsidRPr="00EF376C" w:rsidRDefault="00D975FE">
            <w:pPr>
              <w:jc w:val="both"/>
              <w:rPr>
                <w:rFonts w:ascii="Times New Roman" w:hAnsi="Times New Roman" w:cs="Times New Roman"/>
                <w:noProof/>
                <w:sz w:val="24"/>
                <w:szCs w:val="24"/>
              </w:rPr>
            </w:pPr>
            <w:r w:rsidRPr="00EF376C">
              <w:rPr>
                <w:rFonts w:ascii="Times New Roman" w:hAnsi="Times New Roman"/>
                <w:noProof/>
                <w:sz w:val="24"/>
              </w:rPr>
              <w:t xml:space="preserve">Kommissionen vil udarbejde </w:t>
            </w:r>
            <w:r w:rsidRPr="00EF376C">
              <w:rPr>
                <w:rFonts w:ascii="Times New Roman" w:hAnsi="Times New Roman"/>
                <w:b/>
                <w:noProof/>
                <w:sz w:val="24"/>
              </w:rPr>
              <w:t>retningslinjer</w:t>
            </w:r>
            <w:r w:rsidRPr="00EF376C">
              <w:rPr>
                <w:rFonts w:ascii="Times New Roman" w:hAnsi="Times New Roman"/>
                <w:noProof/>
                <w:sz w:val="24"/>
              </w:rPr>
              <w:t xml:space="preserve"> for støtte og tilrettelægge uddannelseskurser for nationale og lokale myndigheder om udformning og gennemførelse af </w:t>
            </w:r>
            <w:r w:rsidRPr="00EF376C">
              <w:rPr>
                <w:rFonts w:ascii="Times New Roman" w:hAnsi="Times New Roman"/>
                <w:b/>
                <w:noProof/>
                <w:sz w:val="24"/>
              </w:rPr>
              <w:t xml:space="preserve">foranstaltninger til sikring mod afbrydelser </w:t>
            </w:r>
            <w:r w:rsidRPr="00EF376C">
              <w:rPr>
                <w:rFonts w:ascii="Times New Roman" w:hAnsi="Times New Roman"/>
                <w:noProof/>
                <w:sz w:val="24"/>
              </w:rPr>
              <w:t>og fremme bedste praksis via målrettede workshopper, arrangementer og publikationer (2. og 3. kvartal 2026) samt informere om tilgængelig støtte med særlige kommunikationstiltag (i hele 2026).</w:t>
            </w:r>
          </w:p>
        </w:tc>
      </w:tr>
      <w:bookmarkEnd w:id="17"/>
    </w:tbl>
    <w:p w14:paraId="5BC2726F" w14:textId="77777777" w:rsidR="001310BC" w:rsidRPr="00EF376C" w:rsidRDefault="001310BC">
      <w:pPr>
        <w:spacing w:after="0" w:line="240" w:lineRule="auto"/>
        <w:jc w:val="both"/>
        <w:rPr>
          <w:rFonts w:ascii="Times New Roman" w:eastAsia="Times New Roman" w:hAnsi="Times New Roman" w:cs="Times New Roman"/>
          <w:noProof/>
          <w:sz w:val="24"/>
          <w:szCs w:val="24"/>
        </w:rPr>
      </w:pPr>
    </w:p>
    <w:p w14:paraId="3FC6B0E5" w14:textId="77777777" w:rsidR="00EA1B3F" w:rsidRPr="00EF376C" w:rsidRDefault="00EA1B3F">
      <w:pPr>
        <w:rPr>
          <w:rFonts w:ascii="Times New Roman" w:hAnsi="Times New Roman"/>
          <w:b/>
          <w:smallCaps/>
          <w:noProof/>
          <w:sz w:val="24"/>
          <w:u w:val="single"/>
        </w:rPr>
      </w:pPr>
      <w:r w:rsidRPr="00EF376C">
        <w:rPr>
          <w:rFonts w:ascii="Times New Roman" w:hAnsi="Times New Roman"/>
          <w:b/>
          <w:smallCaps/>
          <w:noProof/>
          <w:sz w:val="24"/>
          <w:u w:val="single"/>
        </w:rPr>
        <w:br w:type="page"/>
      </w:r>
    </w:p>
    <w:p w14:paraId="4DACEF87" w14:textId="180CD7FD" w:rsidR="001310BC" w:rsidRPr="00EF376C" w:rsidRDefault="00D975FE">
      <w:pPr>
        <w:jc w:val="center"/>
        <w:rPr>
          <w:rFonts w:ascii="Times New Roman" w:hAnsi="Times New Roman" w:cs="Times New Roman"/>
          <w:b/>
          <w:bCs/>
          <w:smallCaps/>
          <w:noProof/>
          <w:sz w:val="24"/>
          <w:szCs w:val="24"/>
          <w:u w:val="single"/>
        </w:rPr>
      </w:pPr>
      <w:r w:rsidRPr="00EF376C">
        <w:rPr>
          <w:rFonts w:ascii="Times New Roman" w:hAnsi="Times New Roman"/>
          <w:b/>
          <w:smallCaps/>
          <w:noProof/>
          <w:sz w:val="24"/>
          <w:u w:val="single"/>
        </w:rPr>
        <w:t>Søjle IV: Gennemføre den eksisterende EU-lovgivning</w:t>
      </w:r>
    </w:p>
    <w:p w14:paraId="7E6DFAC3" w14:textId="77777777" w:rsidR="001310BC" w:rsidRPr="00EF376C" w:rsidRDefault="00D975FE">
      <w:pPr>
        <w:spacing w:after="120" w:line="240" w:lineRule="auto"/>
        <w:jc w:val="both"/>
        <w:rPr>
          <w:rFonts w:ascii="Times New Roman" w:eastAsia="Times New Roman" w:hAnsi="Times New Roman" w:cs="Times New Roman"/>
          <w:noProof/>
          <w:sz w:val="24"/>
          <w:szCs w:val="24"/>
        </w:rPr>
      </w:pPr>
      <w:r w:rsidRPr="00EF376C">
        <w:rPr>
          <w:rFonts w:ascii="Times New Roman" w:hAnsi="Times New Roman"/>
          <w:noProof/>
          <w:color w:val="000000" w:themeColor="text1"/>
          <w:sz w:val="24"/>
        </w:rPr>
        <w:t xml:space="preserve">EU-borgerne nyder godt af en stærk forbrugerbeskyttelse takket være EU-lovgivningen, men </w:t>
      </w:r>
      <w:r w:rsidRPr="00EF376C">
        <w:rPr>
          <w:rFonts w:ascii="Times New Roman" w:hAnsi="Times New Roman"/>
          <w:b/>
          <w:noProof/>
          <w:color w:val="000000" w:themeColor="text1"/>
          <w:sz w:val="24"/>
        </w:rPr>
        <w:t>gennemførelsen er fortsat uensartet</w:t>
      </w:r>
      <w:r w:rsidRPr="00EF376C">
        <w:rPr>
          <w:rFonts w:ascii="Times New Roman" w:hAnsi="Times New Roman"/>
          <w:noProof/>
          <w:color w:val="000000" w:themeColor="text1"/>
          <w:sz w:val="24"/>
        </w:rPr>
        <w:t xml:space="preserve">. Uden en robust gennemførelse i praksis vil der fortsat være forskel mellem EU's ambitioner og det, som borgerne oplever i hverdagen. </w:t>
      </w:r>
      <w:r w:rsidRPr="00EF376C">
        <w:rPr>
          <w:rFonts w:ascii="Times New Roman" w:hAnsi="Times New Roman"/>
          <w:b/>
          <w:noProof/>
          <w:sz w:val="24"/>
        </w:rPr>
        <w:t>Lokale myndigheder</w:t>
      </w:r>
      <w:r w:rsidRPr="00EF376C">
        <w:rPr>
          <w:rFonts w:ascii="Times New Roman" w:hAnsi="Times New Roman"/>
          <w:noProof/>
          <w:sz w:val="24"/>
        </w:rPr>
        <w:t xml:space="preserve"> spiller en central rolle med hensyn til at støtte og samarbejde med borgerne, men de er ofte ikke tilstrækkeligt involveret i politikudviklingen og </w:t>
      </w:r>
      <w:r w:rsidRPr="00EF376C">
        <w:rPr>
          <w:rFonts w:ascii="Times New Roman" w:hAnsi="Times New Roman"/>
          <w:b/>
          <w:noProof/>
          <w:sz w:val="24"/>
        </w:rPr>
        <w:t>mangler beføjelser og midler</w:t>
      </w:r>
      <w:r w:rsidRPr="00EF376C">
        <w:rPr>
          <w:rFonts w:ascii="Times New Roman" w:hAnsi="Times New Roman"/>
          <w:noProof/>
          <w:sz w:val="24"/>
        </w:rPr>
        <w:t xml:space="preserve"> til at træffe foranstaltninger til gavn for borgerne. </w:t>
      </w:r>
    </w:p>
    <w:p w14:paraId="5C39FA2F" w14:textId="77777777" w:rsidR="001310BC" w:rsidRPr="00EF376C" w:rsidRDefault="00D975FE">
      <w:pPr>
        <w:spacing w:after="120" w:line="240" w:lineRule="auto"/>
        <w:jc w:val="both"/>
        <w:rPr>
          <w:rFonts w:ascii="Times New Roman" w:eastAsia="Times New Roman" w:hAnsi="Times New Roman" w:cs="Times New Roman"/>
          <w:noProof/>
          <w:color w:val="000000" w:themeColor="text1"/>
          <w:kern w:val="0"/>
          <w:sz w:val="24"/>
          <w:szCs w:val="24"/>
        </w:rPr>
      </w:pPr>
      <w:r w:rsidRPr="00EF376C">
        <w:rPr>
          <w:rFonts w:ascii="Times New Roman" w:hAnsi="Times New Roman"/>
          <w:noProof/>
          <w:color w:val="000000" w:themeColor="text1"/>
          <w:sz w:val="24"/>
        </w:rPr>
        <w:t xml:space="preserve">Kommissionen vil samarbejde med medlemsstaterne og de relevante interessenter om at hjælpe med at gennemføre og håndhæve EU-lovgivningen, navnlig ved at vedtage </w:t>
      </w:r>
      <w:r w:rsidRPr="00EF376C">
        <w:rPr>
          <w:rFonts w:ascii="Times New Roman" w:hAnsi="Times New Roman"/>
          <w:b/>
          <w:noProof/>
          <w:color w:val="000000" w:themeColor="text1"/>
          <w:sz w:val="24"/>
        </w:rPr>
        <w:t>retningslinjer og tekniske analyser</w:t>
      </w:r>
      <w:r w:rsidRPr="00EF376C">
        <w:rPr>
          <w:rFonts w:ascii="Times New Roman" w:hAnsi="Times New Roman"/>
          <w:noProof/>
          <w:color w:val="000000" w:themeColor="text1"/>
          <w:sz w:val="24"/>
        </w:rPr>
        <w:t xml:space="preserve"> om </w:t>
      </w:r>
      <w:r w:rsidRPr="00EF376C">
        <w:rPr>
          <w:rFonts w:ascii="Times New Roman" w:hAnsi="Times New Roman"/>
          <w:noProof/>
          <w:color w:val="000000" w:themeColor="text1"/>
          <w:sz w:val="24"/>
          <w:u w:val="single"/>
        </w:rPr>
        <w:t>energifællesskaber og egetforbrug</w:t>
      </w:r>
      <w:r w:rsidRPr="00EF376C">
        <w:rPr>
          <w:rFonts w:ascii="Times New Roman" w:hAnsi="Times New Roman"/>
          <w:noProof/>
          <w:color w:val="000000" w:themeColor="text1"/>
          <w:sz w:val="24"/>
        </w:rPr>
        <w:t xml:space="preserve">, herunder en </w:t>
      </w:r>
      <w:r w:rsidRPr="00EF376C">
        <w:rPr>
          <w:rFonts w:ascii="Times New Roman" w:hAnsi="Times New Roman"/>
          <w:noProof/>
          <w:color w:val="000000" w:themeColor="text1"/>
          <w:sz w:val="24"/>
          <w:u w:val="single"/>
        </w:rPr>
        <w:t>handlingsplan for energifællesskaber</w:t>
      </w:r>
      <w:r w:rsidRPr="00EF376C">
        <w:rPr>
          <w:rFonts w:ascii="Times New Roman" w:hAnsi="Times New Roman"/>
          <w:noProof/>
          <w:color w:val="000000" w:themeColor="text1"/>
          <w:sz w:val="24"/>
        </w:rPr>
        <w:t xml:space="preserve">, </w:t>
      </w:r>
      <w:r w:rsidRPr="00EF376C">
        <w:rPr>
          <w:rFonts w:ascii="Times New Roman" w:hAnsi="Times New Roman"/>
          <w:noProof/>
          <w:color w:val="000000" w:themeColor="text1"/>
          <w:sz w:val="24"/>
          <w:u w:val="single"/>
        </w:rPr>
        <w:t>beskyttelse af sårbare kunder og kunder, der er ramt af energifattigdom</w:t>
      </w:r>
      <w:r w:rsidRPr="00EF376C">
        <w:rPr>
          <w:rFonts w:ascii="Times New Roman" w:hAnsi="Times New Roman"/>
          <w:noProof/>
          <w:color w:val="000000" w:themeColor="text1"/>
          <w:sz w:val="24"/>
        </w:rPr>
        <w:t xml:space="preserve">, mod </w:t>
      </w:r>
      <w:r w:rsidRPr="00EF376C">
        <w:rPr>
          <w:rFonts w:ascii="Times New Roman" w:hAnsi="Times New Roman"/>
          <w:noProof/>
          <w:color w:val="000000" w:themeColor="text1"/>
          <w:sz w:val="24"/>
          <w:u w:val="single"/>
        </w:rPr>
        <w:t>energiafbrydelser</w:t>
      </w:r>
      <w:r w:rsidRPr="00EF376C">
        <w:rPr>
          <w:rFonts w:ascii="Times New Roman" w:hAnsi="Times New Roman"/>
          <w:noProof/>
          <w:color w:val="000000" w:themeColor="text1"/>
          <w:sz w:val="24"/>
        </w:rPr>
        <w:t xml:space="preserve"> og </w:t>
      </w:r>
      <w:r w:rsidRPr="00EF376C">
        <w:rPr>
          <w:rFonts w:ascii="Times New Roman" w:hAnsi="Times New Roman"/>
          <w:noProof/>
          <w:color w:val="000000" w:themeColor="text1"/>
          <w:sz w:val="24"/>
          <w:u w:val="single"/>
        </w:rPr>
        <w:t>under udfasningen af gas</w:t>
      </w:r>
      <w:r w:rsidRPr="00EF376C">
        <w:rPr>
          <w:rFonts w:ascii="Times New Roman" w:hAnsi="Times New Roman"/>
          <w:noProof/>
          <w:color w:val="000000" w:themeColor="text1"/>
          <w:sz w:val="24"/>
        </w:rPr>
        <w:t xml:space="preserve">, sammenfatningen af de </w:t>
      </w:r>
      <w:r w:rsidRPr="00EF376C">
        <w:rPr>
          <w:rFonts w:ascii="Times New Roman" w:hAnsi="Times New Roman"/>
          <w:noProof/>
          <w:color w:val="000000" w:themeColor="text1"/>
          <w:sz w:val="24"/>
          <w:u w:val="single"/>
        </w:rPr>
        <w:t>vigtigste kontraktvilkår</w:t>
      </w:r>
      <w:r w:rsidRPr="00EF376C">
        <w:rPr>
          <w:rFonts w:ascii="Times New Roman" w:hAnsi="Times New Roman"/>
          <w:noProof/>
          <w:color w:val="000000" w:themeColor="text1"/>
          <w:sz w:val="24"/>
        </w:rPr>
        <w:t xml:space="preserve">, </w:t>
      </w:r>
      <w:r w:rsidRPr="00EF376C">
        <w:rPr>
          <w:rFonts w:ascii="Times New Roman" w:hAnsi="Times New Roman"/>
          <w:noProof/>
          <w:color w:val="000000" w:themeColor="text1"/>
          <w:sz w:val="24"/>
          <w:u w:val="single"/>
        </w:rPr>
        <w:t>leverandørernes risikostyring</w:t>
      </w:r>
      <w:r w:rsidRPr="00EF376C">
        <w:rPr>
          <w:rFonts w:ascii="Times New Roman" w:hAnsi="Times New Roman"/>
          <w:noProof/>
          <w:color w:val="000000" w:themeColor="text1"/>
          <w:sz w:val="24"/>
        </w:rPr>
        <w:t xml:space="preserve">, </w:t>
      </w:r>
      <w:r w:rsidRPr="00EF376C">
        <w:rPr>
          <w:rFonts w:ascii="Times New Roman" w:hAnsi="Times New Roman"/>
          <w:noProof/>
          <w:color w:val="000000" w:themeColor="text1"/>
          <w:sz w:val="24"/>
          <w:u w:val="single"/>
        </w:rPr>
        <w:t>markedsbaserede detailpriser</w:t>
      </w:r>
      <w:r w:rsidRPr="00EF376C">
        <w:rPr>
          <w:rFonts w:ascii="Times New Roman" w:hAnsi="Times New Roman"/>
          <w:noProof/>
          <w:color w:val="000000" w:themeColor="text1"/>
          <w:sz w:val="24"/>
        </w:rPr>
        <w:t xml:space="preserve">, belønning for </w:t>
      </w:r>
      <w:r w:rsidRPr="00EF376C">
        <w:rPr>
          <w:rFonts w:ascii="Times New Roman" w:hAnsi="Times New Roman"/>
          <w:noProof/>
          <w:color w:val="000000" w:themeColor="text1"/>
          <w:sz w:val="24"/>
          <w:u w:val="single"/>
        </w:rPr>
        <w:t>fleksibilitet</w:t>
      </w:r>
      <w:r w:rsidRPr="00EF376C">
        <w:rPr>
          <w:rFonts w:ascii="Times New Roman" w:hAnsi="Times New Roman"/>
          <w:noProof/>
          <w:color w:val="000000" w:themeColor="text1"/>
          <w:sz w:val="24"/>
        </w:rPr>
        <w:t xml:space="preserve"> i detailkontrakter og tekniske regler for </w:t>
      </w:r>
      <w:r w:rsidRPr="00EF376C">
        <w:rPr>
          <w:rFonts w:ascii="Times New Roman" w:hAnsi="Times New Roman"/>
          <w:noProof/>
          <w:color w:val="000000" w:themeColor="text1"/>
          <w:sz w:val="24"/>
          <w:u w:val="single"/>
        </w:rPr>
        <w:t>skift af leverandør</w:t>
      </w:r>
      <w:r w:rsidRPr="00EF376C">
        <w:rPr>
          <w:rFonts w:ascii="Times New Roman" w:hAnsi="Times New Roman"/>
          <w:noProof/>
          <w:color w:val="000000" w:themeColor="text1"/>
          <w:sz w:val="24"/>
        </w:rPr>
        <w:t xml:space="preserve">. </w:t>
      </w:r>
    </w:p>
    <w:p w14:paraId="373FB3EB" w14:textId="77777777" w:rsidR="001310BC" w:rsidRDefault="00D975FE">
      <w:pPr>
        <w:pStyle w:val="oj-normal"/>
        <w:spacing w:before="120" w:beforeAutospacing="0" w:after="120" w:afterAutospacing="0"/>
        <w:jc w:val="both"/>
        <w:rPr>
          <w:noProof/>
          <w:color w:val="000000" w:themeColor="text1"/>
        </w:rPr>
      </w:pPr>
      <w:r w:rsidRPr="00EF376C">
        <w:rPr>
          <w:noProof/>
        </w:rPr>
        <w:t xml:space="preserve">Gennemførelsen kan naturligvis ikke ske uden at tage hensyn til </w:t>
      </w:r>
      <w:r w:rsidRPr="00EF376C">
        <w:rPr>
          <w:b/>
          <w:noProof/>
        </w:rPr>
        <w:t>alle de forskellige interessenter</w:t>
      </w:r>
      <w:r w:rsidRPr="00EF376C">
        <w:rPr>
          <w:noProof/>
        </w:rPr>
        <w:t xml:space="preserve">. For at nå alle de mål, der er fastsat i denne meddelelse, er det derfor afgørende med et stærkt samspil og </w:t>
      </w:r>
      <w:r w:rsidRPr="00EF376C">
        <w:rPr>
          <w:b/>
          <w:noProof/>
        </w:rPr>
        <w:t>engagement</w:t>
      </w:r>
      <w:r w:rsidRPr="00EF376C">
        <w:rPr>
          <w:noProof/>
        </w:rPr>
        <w:t xml:space="preserve"> mellem Kommissionen, medlemsstaterne og borgerne selv samt med civilsamfundet, de regulerende myndigheder, industrien og den akademiske verden. Med henblik herpå vil Kommissionen </w:t>
      </w:r>
      <w:r w:rsidRPr="00EF376C">
        <w:rPr>
          <w:b/>
          <w:noProof/>
        </w:rPr>
        <w:t>strømline</w:t>
      </w:r>
      <w:r w:rsidRPr="00EF376C">
        <w:rPr>
          <w:noProof/>
        </w:rPr>
        <w:t xml:space="preserve"> eksisterende initiativer og øge synligheden af eksisterende støtteværktøjer – f.eks. borgerrådgivningscentret for energi, rådgivningscentret for energifattigdom, borgmesterpagten, EU's ø-initiativ, initiativet vedrørende kulregioner under omstilling og forummet for energiadfærd – samt opgradere det eksisterende </w:t>
      </w:r>
      <w:r w:rsidRPr="00EF376C">
        <w:rPr>
          <w:b/>
          <w:noProof/>
        </w:rPr>
        <w:t>borgerforum for energi</w:t>
      </w:r>
      <w:r w:rsidRPr="00EF376C">
        <w:rPr>
          <w:noProof/>
        </w:rPr>
        <w:t xml:space="preserve"> til et knudepunkt for udveksling af bedste praksis og sporing af fremskridt med gennemførelsen. Kommissionen vil også udstede retningslinjer til medlemsstaterne for at give byerne mere handlekraft og hjælpe dem med at frigøre de lokale myndigheders fulde potentiale med hensyn til gennemførelsen af omstillingen til ren energi. </w:t>
      </w:r>
      <w:r w:rsidRPr="00EF376C">
        <w:rPr>
          <w:b/>
          <w:noProof/>
        </w:rPr>
        <w:t>Gennem nationale forbrugerorganisationer vil Kommissionen lægge særlig vægt på inddragelsen af borgerne og sikre, at forbrugerne informeres om deres rettigheder og de muligheder, der findes på EU's energimarked</w:t>
      </w:r>
      <w:r w:rsidRPr="00EF376C">
        <w:rPr>
          <w:noProof/>
        </w:rPr>
        <w:t xml:space="preserve">. </w:t>
      </w:r>
    </w:p>
    <w:sectPr w:rsidR="001310B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4E26E" w14:textId="77777777" w:rsidR="001310BC" w:rsidRPr="00EF376C" w:rsidRDefault="00D975FE">
      <w:pPr>
        <w:spacing w:after="0" w:line="240" w:lineRule="auto"/>
      </w:pPr>
      <w:r w:rsidRPr="00EF376C">
        <w:separator/>
      </w:r>
    </w:p>
  </w:endnote>
  <w:endnote w:type="continuationSeparator" w:id="0">
    <w:p w14:paraId="42295325" w14:textId="77777777" w:rsidR="001310BC" w:rsidRPr="00EF376C" w:rsidRDefault="00D975FE">
      <w:pPr>
        <w:spacing w:after="0" w:line="240" w:lineRule="auto"/>
      </w:pPr>
      <w:r w:rsidRPr="00EF3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0000000000000000000"/>
    <w:charset w:val="00"/>
    <w:family w:val="roman"/>
    <w:notTrueType/>
    <w:pitch w:val="default"/>
  </w:font>
  <w:font w:name="Times New Roman, Apto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D381" w14:textId="2425F0C9" w:rsidR="00B451EE" w:rsidRPr="00B451EE" w:rsidRDefault="00B451EE" w:rsidP="00B451EE">
    <w:pPr>
      <w:pStyle w:val="FooterCoverPage"/>
      <w:rPr>
        <w:rFonts w:ascii="Arial" w:hAnsi="Arial" w:cs="Arial"/>
        <w:b/>
        <w:sz w:val="48"/>
      </w:rPr>
    </w:pPr>
    <w:r w:rsidRPr="00B451EE">
      <w:rPr>
        <w:rFonts w:ascii="Arial" w:hAnsi="Arial" w:cs="Arial"/>
        <w:b/>
        <w:sz w:val="48"/>
      </w:rPr>
      <w:t>DA</w:t>
    </w:r>
    <w:r w:rsidRPr="00B451EE">
      <w:rPr>
        <w:rFonts w:ascii="Arial" w:hAnsi="Arial" w:cs="Arial"/>
        <w:b/>
        <w:sz w:val="48"/>
      </w:rPr>
      <w:tab/>
    </w:r>
    <w:r w:rsidRPr="00B451EE">
      <w:rPr>
        <w:rFonts w:ascii="Arial" w:hAnsi="Arial" w:cs="Arial"/>
        <w:b/>
        <w:sz w:val="48"/>
      </w:rPr>
      <w:tab/>
    </w:r>
    <w:r w:rsidRPr="00B451EE">
      <w:tab/>
    </w:r>
    <w:r w:rsidRPr="00B451EE">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07BC" w14:textId="5BFBC222" w:rsidR="00B451EE" w:rsidRPr="00B451EE" w:rsidRDefault="00B451EE" w:rsidP="00B451EE">
    <w:pPr>
      <w:pStyle w:val="FooterCoverPage"/>
      <w:rPr>
        <w:rFonts w:ascii="Arial" w:hAnsi="Arial" w:cs="Arial"/>
        <w:b/>
        <w:sz w:val="48"/>
      </w:rPr>
    </w:pPr>
    <w:r w:rsidRPr="00B451EE">
      <w:rPr>
        <w:rFonts w:ascii="Arial" w:hAnsi="Arial" w:cs="Arial"/>
        <w:b/>
        <w:sz w:val="48"/>
      </w:rPr>
      <w:t>DA</w:t>
    </w:r>
    <w:r w:rsidRPr="00B451EE">
      <w:rPr>
        <w:rFonts w:ascii="Arial" w:hAnsi="Arial" w:cs="Arial"/>
        <w:b/>
        <w:sz w:val="48"/>
      </w:rPr>
      <w:tab/>
    </w:r>
    <w:r w:rsidRPr="00B451EE">
      <w:rPr>
        <w:rFonts w:ascii="Arial" w:hAnsi="Arial" w:cs="Arial"/>
        <w:b/>
        <w:sz w:val="48"/>
      </w:rPr>
      <w:tab/>
    </w:r>
    <w:r w:rsidRPr="00B451EE">
      <w:tab/>
    </w:r>
    <w:r w:rsidRPr="00B451EE">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0EAB" w14:textId="77777777" w:rsidR="00B451EE" w:rsidRPr="00B451EE" w:rsidRDefault="00B451EE" w:rsidP="00B451E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5DA2F" w14:textId="77777777" w:rsidR="001310BC" w:rsidRPr="00EF376C" w:rsidRDefault="001310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247822"/>
      <w:docPartObj>
        <w:docPartGallery w:val="Page Numbers (Bottom of Page)"/>
        <w:docPartUnique/>
      </w:docPartObj>
    </w:sdtPr>
    <w:sdtEndPr/>
    <w:sdtContent>
      <w:p w14:paraId="74378BAB" w14:textId="14D0B3A1" w:rsidR="001310BC" w:rsidRPr="00EF376C" w:rsidRDefault="00D975FE">
        <w:pPr>
          <w:pStyle w:val="Footer"/>
          <w:jc w:val="center"/>
        </w:pPr>
        <w:r w:rsidRPr="00EF376C">
          <w:fldChar w:fldCharType="begin"/>
        </w:r>
        <w:r w:rsidRPr="00EF376C">
          <w:instrText xml:space="preserve"> PAGE   \* MERGEFORMAT </w:instrText>
        </w:r>
        <w:r w:rsidRPr="00EF376C">
          <w:fldChar w:fldCharType="separate"/>
        </w:r>
        <w:r w:rsidR="00B451EE">
          <w:rPr>
            <w:noProof/>
          </w:rPr>
          <w:t>1</w:t>
        </w:r>
        <w:r w:rsidRPr="00EF376C">
          <w:fldChar w:fldCharType="end"/>
        </w:r>
      </w:p>
    </w:sdtContent>
  </w:sdt>
  <w:p w14:paraId="11F623E6" w14:textId="77777777" w:rsidR="001310BC" w:rsidRPr="00EF376C" w:rsidRDefault="001310B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97F8" w14:textId="77777777" w:rsidR="001310BC" w:rsidRPr="00EF376C" w:rsidRDefault="0013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55AE" w14:textId="77777777" w:rsidR="001310BC" w:rsidRPr="00EF376C" w:rsidRDefault="00D975FE">
      <w:pPr>
        <w:spacing w:after="0" w:line="240" w:lineRule="auto"/>
      </w:pPr>
      <w:r w:rsidRPr="00EF376C">
        <w:separator/>
      </w:r>
    </w:p>
  </w:footnote>
  <w:footnote w:type="continuationSeparator" w:id="0">
    <w:p w14:paraId="414F8691" w14:textId="77777777" w:rsidR="001310BC" w:rsidRPr="00EF376C" w:rsidRDefault="00D975FE">
      <w:pPr>
        <w:spacing w:after="0" w:line="240" w:lineRule="auto"/>
      </w:pPr>
      <w:r w:rsidRPr="00EF376C">
        <w:continuationSeparator/>
      </w:r>
    </w:p>
  </w:footnote>
  <w:footnote w:id="1">
    <w:p w14:paraId="1E079087" w14:textId="7CB29B7B"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1" w:history="1">
        <w:r w:rsidRPr="00EF376C">
          <w:rPr>
            <w:rStyle w:val="Hyperlink"/>
            <w:rFonts w:ascii="Times New Roman" w:hAnsi="Times New Roman"/>
          </w:rPr>
          <w:t>Flash Eurobarometer 566</w:t>
        </w:r>
      </w:hyperlink>
      <w:r w:rsidRPr="00EF376C">
        <w:rPr>
          <w:rFonts w:ascii="Times New Roman" w:hAnsi="Times New Roman"/>
        </w:rPr>
        <w:t>, "Consumer behaviour in the energy transition", december 2025.</w:t>
      </w:r>
    </w:p>
  </w:footnote>
  <w:footnote w:id="2">
    <w:p w14:paraId="2340414B" w14:textId="0B6FEA01"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EU-strategi for vandresiliens (COM)2025 280 final).</w:t>
      </w:r>
    </w:p>
  </w:footnote>
  <w:footnote w:id="3">
    <w:p w14:paraId="7315A133" w14:textId="0ADEF40D" w:rsidR="001310BC" w:rsidRPr="00EF376C" w:rsidRDefault="00D975FE" w:rsidP="00662DAF">
      <w:pPr>
        <w:pStyle w:val="FootnoteText"/>
        <w:ind w:left="567" w:hanging="567"/>
        <w:jc w:val="both"/>
        <w:rPr>
          <w:rFonts w:ascii="Times New Roman" w:hAnsi="Times New Roman" w:cs="Times New Roman"/>
          <w:i/>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 xml:space="preserve">Nemlig </w:t>
      </w:r>
      <w:hyperlink r:id="rId2" w:history="1">
        <w:r w:rsidRPr="00EF376C">
          <w:rPr>
            <w:rStyle w:val="Hyperlink"/>
            <w:rFonts w:ascii="Times New Roman" w:hAnsi="Times New Roman"/>
          </w:rPr>
          <w:t>aftalen om ren industri</w:t>
        </w:r>
      </w:hyperlink>
      <w:r w:rsidRPr="00EF376C">
        <w:rPr>
          <w:rFonts w:ascii="Times New Roman" w:hAnsi="Times New Roman"/>
        </w:rPr>
        <w:t xml:space="preserve">, </w:t>
      </w:r>
      <w:hyperlink r:id="rId3" w:history="1">
        <w:r w:rsidRPr="00EF376C">
          <w:rPr>
            <w:rStyle w:val="Hyperlink"/>
            <w:rFonts w:ascii="Times New Roman" w:hAnsi="Times New Roman"/>
          </w:rPr>
          <w:t>handlingsplanen for energi til overkommelige priser</w:t>
        </w:r>
      </w:hyperlink>
      <w:r w:rsidRPr="00EF376C">
        <w:rPr>
          <w:rFonts w:ascii="Times New Roman" w:hAnsi="Times New Roman"/>
        </w:rPr>
        <w:t xml:space="preserve">, </w:t>
      </w:r>
      <w:hyperlink r:id="rId4" w:history="1">
        <w:r w:rsidRPr="00EF376C">
          <w:rPr>
            <w:rStyle w:val="Hyperlink"/>
            <w:rFonts w:ascii="Times New Roman" w:hAnsi="Times New Roman"/>
          </w:rPr>
          <w:t>planen for betalbare boliger</w:t>
        </w:r>
      </w:hyperlink>
      <w:r w:rsidRPr="00EF376C">
        <w:rPr>
          <w:rFonts w:ascii="Times New Roman" w:hAnsi="Times New Roman"/>
        </w:rPr>
        <w:t xml:space="preserve">, </w:t>
      </w:r>
      <w:hyperlink r:id="rId5" w:history="1">
        <w:r w:rsidRPr="00EF376C">
          <w:rPr>
            <w:rStyle w:val="Hyperlink"/>
            <w:rFonts w:ascii="Times New Roman" w:hAnsi="Times New Roman"/>
          </w:rPr>
          <w:t>pakken om europæiske net</w:t>
        </w:r>
      </w:hyperlink>
      <w:r w:rsidRPr="00EF376C">
        <w:rPr>
          <w:rFonts w:ascii="Times New Roman" w:hAnsi="Times New Roman"/>
        </w:rPr>
        <w:t xml:space="preserve">, </w:t>
      </w:r>
      <w:hyperlink r:id="rId6" w:history="1">
        <w:r w:rsidRPr="00EF376C">
          <w:rPr>
            <w:rStyle w:val="Hyperlink"/>
            <w:rFonts w:ascii="Times New Roman" w:hAnsi="Times New Roman"/>
          </w:rPr>
          <w:t>dagsordenen for byer</w:t>
        </w:r>
      </w:hyperlink>
      <w:r w:rsidRPr="00EF376C">
        <w:rPr>
          <w:rFonts w:ascii="Times New Roman" w:hAnsi="Times New Roman"/>
        </w:rPr>
        <w:t xml:space="preserve"> samt den kommende elektrificeringsstrategi, strategien for opvarmning og køling eller den strategiske køreplan for digitalisering af energisektoren.</w:t>
      </w:r>
    </w:p>
  </w:footnote>
  <w:footnote w:id="4">
    <w:p w14:paraId="1FD62242" w14:textId="4DFF7862"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Grækenland, Italien og Portugal lægger public service-medieafgifter oven i elregningerne.</w:t>
      </w:r>
    </w:p>
  </w:footnote>
  <w:footnote w:id="5">
    <w:p w14:paraId="74ECF3D9" w14:textId="6EDD9879"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Tyskland og Frankrig.</w:t>
      </w:r>
    </w:p>
  </w:footnote>
  <w:footnote w:id="6">
    <w:p w14:paraId="4153BCAD" w14:textId="21ED6548" w:rsidR="001310BC" w:rsidRPr="00EF376C" w:rsidRDefault="00D975FE" w:rsidP="002C37FE">
      <w:pPr>
        <w:pStyle w:val="FootnoteText"/>
        <w:ind w:left="567" w:hanging="567"/>
        <w:rPr>
          <w:rFonts w:ascii="Times New Roman" w:hAnsi="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Europa-Parlamentets og Rådets direktiv (EU) 2019/944 af 5. juni 2019 om fælles regler for det indre marked for elektricitet og om ændring af direktiv 2012/27/EU (omarbejdning).</w:t>
      </w:r>
    </w:p>
  </w:footnote>
  <w:footnote w:id="7">
    <w:p w14:paraId="447A019A" w14:textId="335B9591" w:rsidR="001310BC" w:rsidRPr="00EF376C" w:rsidRDefault="00D975FE" w:rsidP="002C37FE">
      <w:pPr>
        <w:pStyle w:val="FootnoteText"/>
        <w:ind w:left="567" w:hanging="567"/>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7" w:history="1">
        <w:r w:rsidRPr="00EF376C">
          <w:rPr>
            <w:rStyle w:val="Hyperlink"/>
            <w:rFonts w:ascii="Times New Roman" w:hAnsi="Times New Roman"/>
          </w:rPr>
          <w:t>Notice on Guidelines on future proof network charges for reduced system costs</w:t>
        </w:r>
      </w:hyperlink>
      <w:r w:rsidRPr="00EF376C">
        <w:rPr>
          <w:rFonts w:ascii="Times New Roman" w:hAnsi="Times New Roman"/>
        </w:rPr>
        <w:t xml:space="preserve"> (C(2025) 4010 final) (foreligger ikke på dansk).</w:t>
      </w:r>
    </w:p>
  </w:footnote>
  <w:footnote w:id="8">
    <w:p w14:paraId="179C5919" w14:textId="2F4A2BE6"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 xml:space="preserve">Eurostat, </w:t>
      </w:r>
      <w:hyperlink r:id="rId8" w:history="1">
        <w:r w:rsidRPr="00EF376C">
          <w:rPr>
            <w:rStyle w:val="Hyperlink"/>
            <w:rFonts w:ascii="Times New Roman" w:hAnsi="Times New Roman"/>
          </w:rPr>
          <w:t>Energy consumption in households</w:t>
        </w:r>
      </w:hyperlink>
      <w:r w:rsidRPr="00EF376C">
        <w:rPr>
          <w:rFonts w:ascii="Times New Roman" w:hAnsi="Times New Roman"/>
        </w:rPr>
        <w:t>, juni 2025.</w:t>
      </w:r>
    </w:p>
  </w:footnote>
  <w:footnote w:id="9">
    <w:p w14:paraId="6412D9FD" w14:textId="78D189EC"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9" w:history="1">
        <w:r w:rsidRPr="00EF376C">
          <w:rPr>
            <w:rFonts w:ascii="Times New Roman" w:hAnsi="Times New Roman"/>
            <w:color w:val="0000FF"/>
            <w:u w:val="single"/>
          </w:rPr>
          <w:t>Europeans attitudes towards energy policies – september 2024 – Eurobarometerundersøgelse</w:t>
        </w:r>
      </w:hyperlink>
      <w:r w:rsidRPr="00EF376C">
        <w:rPr>
          <w:rFonts w:ascii="Times New Roman" w:hAnsi="Times New Roman"/>
        </w:rPr>
        <w:t>. Mere end tre fjerdedele af respondenterne havde i løbet af de seneste fem år anvendt EU's energimærke.</w:t>
      </w:r>
    </w:p>
  </w:footnote>
  <w:footnote w:id="10">
    <w:p w14:paraId="4241AACF" w14:textId="6CF85D00"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Frankrig har f.eks. lanceret anden udgave af det sociale leasingsystem for elektriske køretøjer. I Letland giver en statsejet virksomhed virksomheder og husstande adgang til finansielle ressourcer gennem lån, garantier og investeringer i venturekapitalfonde.</w:t>
      </w:r>
    </w:p>
  </w:footnote>
  <w:footnote w:id="11">
    <w:p w14:paraId="6C429040" w14:textId="2B244577"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 xml:space="preserve">Eksempler på god praksis fremgår af bilaget til Kommissionens henstilling </w:t>
      </w:r>
      <w:r w:rsidRPr="00EF376C">
        <w:rPr>
          <w:rFonts w:ascii="Times New Roman" w:hAnsi="Times New Roman"/>
          <w:color w:val="000000" w:themeColor="text1"/>
        </w:rPr>
        <w:t xml:space="preserve">om at frigøre private investeringer i energieffektivitet (COM(2026) 1526 – henstilling). </w:t>
      </w:r>
    </w:p>
  </w:footnote>
  <w:footnote w:id="12">
    <w:p w14:paraId="50A4EB46" w14:textId="21898785"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En forretningsmodel, der giver kunderne mulighed for at betale for den varme, de bruger, snarere end for infrastrukturen eller brændslet.</w:t>
      </w:r>
    </w:p>
  </w:footnote>
  <w:footnote w:id="13">
    <w:p w14:paraId="61E2B85D" w14:textId="66608498"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Investeringsstrategi for ren energi (COM(2026) 116).</w:t>
      </w:r>
    </w:p>
  </w:footnote>
  <w:footnote w:id="14">
    <w:p w14:paraId="51C7C31E" w14:textId="641EA435"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Artikel 4 og 12 i Europa-Parlamentets og Rådets direktiv (EU) 2019/944 af 5. juni 2019 om fælles regler for det indre marked for elektricitet og om ændring af direktiv 2012/27/EU (omarbejdning).</w:t>
      </w:r>
    </w:p>
  </w:footnote>
  <w:footnote w:id="15">
    <w:p w14:paraId="77952EFC" w14:textId="23CB14E1"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10" w:history="1">
        <w:r w:rsidRPr="00EF376C">
          <w:rPr>
            <w:rStyle w:val="Hyperlink"/>
            <w:rFonts w:ascii="Times New Roman" w:hAnsi="Times New Roman"/>
          </w:rPr>
          <w:t>ACER: Annual Report on the Results of Monitoring the Internal Electricity and Natural Gas Markets in 2021</w:t>
        </w:r>
      </w:hyperlink>
      <w:r w:rsidRPr="00EF376C">
        <w:t>.</w:t>
      </w:r>
    </w:p>
  </w:footnote>
  <w:footnote w:id="16">
    <w:p w14:paraId="313878A0" w14:textId="534CBFAD"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color w:val="000000" w:themeColor="text1"/>
        </w:rPr>
        <w:tab/>
      </w:r>
      <w:r w:rsidRPr="00EF376C">
        <w:rPr>
          <w:rFonts w:ascii="Times New Roman" w:hAnsi="Times New Roman"/>
          <w:color w:val="000000" w:themeColor="text1"/>
        </w:rPr>
        <w:t>Se også foranstaltning 7.</w:t>
      </w:r>
    </w:p>
  </w:footnote>
  <w:footnote w:id="17">
    <w:p w14:paraId="5E786E5C" w14:textId="4DDFD456"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 xml:space="preserve">Inden for telekommunikation bør leverandører mindst én gang om året give </w:t>
      </w:r>
      <w:r w:rsidRPr="00EF376C">
        <w:rPr>
          <w:rFonts w:ascii="Times New Roman" w:hAnsi="Times New Roman"/>
          <w:color w:val="000000" w:themeColor="text1"/>
        </w:rPr>
        <w:t>kunder rådgivning om de bedste tariffer, hvilket kan tilskynde dem til at ændre deres valg af kontrakt.</w:t>
      </w:r>
    </w:p>
  </w:footnote>
  <w:footnote w:id="18">
    <w:p w14:paraId="4D2EB043" w14:textId="58B891C5" w:rsidR="001310BC" w:rsidRPr="00EF376C" w:rsidRDefault="00D975FE" w:rsidP="00662DAF">
      <w:pPr>
        <w:spacing w:after="0"/>
        <w:ind w:left="567" w:hanging="567"/>
        <w:jc w:val="both"/>
        <w:rPr>
          <w:rFonts w:ascii="Times New Roman" w:hAnsi="Times New Roman" w:cs="Times New Roman"/>
          <w:sz w:val="20"/>
          <w:szCs w:val="20"/>
        </w:rPr>
      </w:pPr>
      <w:r w:rsidRPr="00EF376C">
        <w:rPr>
          <w:rStyle w:val="FootnoteReference"/>
          <w:rFonts w:ascii="Times New Roman" w:hAnsi="Times New Roman" w:cs="Times New Roman"/>
          <w:sz w:val="20"/>
          <w:szCs w:val="20"/>
        </w:rPr>
        <w:footnoteRef/>
      </w:r>
      <w:r w:rsidR="002C37FE" w:rsidRPr="00EF376C">
        <w:rPr>
          <w:rFonts w:ascii="Times New Roman" w:hAnsi="Times New Roman"/>
          <w:sz w:val="20"/>
        </w:rPr>
        <w:tab/>
      </w:r>
      <w:r w:rsidRPr="00EF376C">
        <w:rPr>
          <w:rFonts w:ascii="Times New Roman" w:hAnsi="Times New Roman"/>
          <w:sz w:val="20"/>
        </w:rPr>
        <w:t>Artikel 16 i direktiv (EU) 2019/944 og artikel 22 i direktiv (EU) 2018/2001.</w:t>
      </w:r>
    </w:p>
  </w:footnote>
  <w:footnote w:id="19">
    <w:p w14:paraId="132CE950" w14:textId="60550F26"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Overslag baseret på en bred fortolkning af begrebet og ikke begrænset til EU's definitioner alene.</w:t>
      </w:r>
    </w:p>
  </w:footnote>
  <w:footnote w:id="20">
    <w:p w14:paraId="3CFF55EA" w14:textId="5214E977"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EnTEC-undersøgelse om potentialet ved borgerenergi (endnu ikke offentliggjort).</w:t>
      </w:r>
    </w:p>
  </w:footnote>
  <w:footnote w:id="21">
    <w:p w14:paraId="2A8FC029" w14:textId="3DE3D999" w:rsidR="001310BC" w:rsidRPr="00EF376C" w:rsidRDefault="00D975FE" w:rsidP="00662DAF">
      <w:pPr>
        <w:pStyle w:val="FootnoteText"/>
        <w:ind w:left="567" w:hanging="567"/>
        <w:jc w:val="both"/>
        <w:rPr>
          <w:rStyle w:val="FootnoteReference"/>
          <w:rFonts w:ascii="Times New Roman" w:hAnsi="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Energifællesskaber kan bidrage med op til 90 GW, hvilket svarer til 8 % af den samlede elproduktion i EU fra vedvarende energikilder i 2030.</w:t>
      </w:r>
      <w:r w:rsidRPr="00EF376C">
        <w:rPr>
          <w:rStyle w:val="FootnoteReference"/>
          <w:rFonts w:ascii="Times New Roman" w:hAnsi="Times New Roman"/>
          <w:vertAlign w:val="baseline"/>
        </w:rPr>
        <w:t xml:space="preserve"> Se EnTEC-undersøgelse om potentialet ved borgerenergi (endnu ikke offentliggjort).</w:t>
      </w:r>
    </w:p>
  </w:footnote>
  <w:footnote w:id="22">
    <w:p w14:paraId="67CBA9AD" w14:textId="7BE356DC" w:rsidR="001310BC" w:rsidRPr="00EF376C" w:rsidRDefault="00D975FE" w:rsidP="00662DAF">
      <w:pPr>
        <w:pStyle w:val="FootnoteText"/>
        <w:ind w:left="567" w:hanging="567"/>
        <w:jc w:val="both"/>
        <w:rPr>
          <w:rFonts w:ascii="Times New Roman" w:eastAsia="Calibri" w:hAnsi="Times New Roman" w:cs="Times New Roman"/>
          <w:color w:val="505050"/>
          <w:sz w:val="24"/>
          <w:szCs w:val="24"/>
        </w:rPr>
      </w:pPr>
      <w:r w:rsidRPr="00EF376C">
        <w:rPr>
          <w:rFonts w:ascii="Times New Roman" w:hAnsi="Times New Roman"/>
          <w:vertAlign w:val="superscript"/>
        </w:rPr>
        <w:footnoteRef/>
      </w:r>
      <w:r w:rsidR="002C37FE" w:rsidRPr="00EF376C">
        <w:rPr>
          <w:rFonts w:ascii="Times New Roman" w:hAnsi="Times New Roman"/>
        </w:rPr>
        <w:tab/>
      </w:r>
      <w:r w:rsidRPr="00EF376C">
        <w:rPr>
          <w:rFonts w:ascii="Times New Roman" w:hAnsi="Times New Roman"/>
        </w:rPr>
        <w:t xml:space="preserve">Omkostningsbesparelserne er beregnet på grundlag af engros- og detailmarkedspriserne i 2020 og </w:t>
      </w:r>
      <w:bookmarkStart w:id="8" w:name="_Int_llEikH4a"/>
      <w:r w:rsidRPr="00EF376C">
        <w:rPr>
          <w:rFonts w:ascii="Times New Roman" w:hAnsi="Times New Roman"/>
        </w:rPr>
        <w:t>2022</w:t>
      </w:r>
      <w:bookmarkEnd w:id="8"/>
      <w:r w:rsidRPr="00EF376C">
        <w:rPr>
          <w:rFonts w:ascii="Times New Roman" w:hAnsi="Times New Roman"/>
        </w:rPr>
        <w:t xml:space="preserve">. Hvis elektriciteten forbruges til eget forbrug ved hjælp af nettet, finder alle nettariffer og -afgifter anvendelse. </w:t>
      </w:r>
    </w:p>
  </w:footnote>
  <w:footnote w:id="23">
    <w:p w14:paraId="0B394850" w14:textId="150F8A19" w:rsidR="001310BC" w:rsidRPr="00EF376C" w:rsidRDefault="00D975FE" w:rsidP="002C37FE">
      <w:pPr>
        <w:pStyle w:val="FootnoteText"/>
        <w:ind w:left="567" w:hanging="567"/>
        <w:jc w:val="both"/>
        <w:rPr>
          <w:rFonts w:ascii="Times New Roman" w:hAnsi="Times New Roman" w:cs="Times New Roman"/>
        </w:rPr>
      </w:pPr>
      <w:r w:rsidRPr="00EF376C">
        <w:rPr>
          <w:rFonts w:ascii="Times New Roman" w:hAnsi="Times New Roman" w:cs="Times New Roman"/>
          <w:vertAlign w:val="superscript"/>
        </w:rPr>
        <w:footnoteRef/>
      </w:r>
      <w:r w:rsidR="002C37FE" w:rsidRPr="00EF376C">
        <w:rPr>
          <w:rFonts w:ascii="Times New Roman" w:hAnsi="Times New Roman"/>
        </w:rPr>
        <w:tab/>
      </w:r>
      <w:r w:rsidRPr="00EF376C">
        <w:rPr>
          <w:rFonts w:ascii="Times New Roman" w:hAnsi="Times New Roman"/>
        </w:rPr>
        <w:t xml:space="preserve">På grundlag af data fra </w:t>
      </w:r>
      <w:hyperlink r:id="rId11" w:history="1">
        <w:r w:rsidRPr="00EF376C">
          <w:rPr>
            <w:rStyle w:val="Hyperlink"/>
            <w:rFonts w:ascii="Times New Roman" w:hAnsi="Times New Roman"/>
          </w:rPr>
          <w:t>ACER's markedsovervågningsrapport for 2025</w:t>
        </w:r>
      </w:hyperlink>
      <w:r w:rsidRPr="00EF376C">
        <w:rPr>
          <w:rFonts w:ascii="Times New Roman" w:hAnsi="Times New Roman"/>
        </w:rPr>
        <w:t xml:space="preserve"> og Kommissionens egne beregninger.</w:t>
      </w:r>
    </w:p>
  </w:footnote>
  <w:footnote w:id="24">
    <w:p w14:paraId="2F97DF35" w14:textId="5D24F531" w:rsidR="001310BC" w:rsidRPr="00EF376C" w:rsidRDefault="00D975FE" w:rsidP="002C37FE">
      <w:pPr>
        <w:pStyle w:val="FootnoteText"/>
        <w:ind w:left="567" w:hanging="567"/>
        <w:jc w:val="both"/>
        <w:rPr>
          <w:rFonts w:ascii="Times New Roman" w:hAnsi="Times New Roman" w:cs="Times New Roman"/>
          <w:iCs/>
        </w:rPr>
      </w:pPr>
      <w:r w:rsidRPr="00EF376C">
        <w:rPr>
          <w:rStyle w:val="FootnoteReference"/>
          <w:rFonts w:ascii="Times New Roman" w:hAnsi="Times New Roman" w:cs="Times New Roman"/>
        </w:rPr>
        <w:footnoteRef/>
      </w:r>
      <w:r w:rsidR="002C37FE" w:rsidRPr="00EF376C">
        <w:tab/>
      </w:r>
      <w:hyperlink r:id="rId12" w:history="1">
        <w:r w:rsidRPr="00EF376C">
          <w:rPr>
            <w:rFonts w:ascii="Times New Roman" w:hAnsi="Times New Roman"/>
          </w:rPr>
          <w:t>Demand-side Flexibility:</w:t>
        </w:r>
      </w:hyperlink>
      <w:hyperlink r:id="rId13" w:history="1">
        <w:r w:rsidRPr="00EF376C">
          <w:rPr>
            <w:rFonts w:ascii="Times New Roman" w:hAnsi="Times New Roman"/>
          </w:rPr>
          <w:t xml:space="preserve"> Quantification of benefits in the EU</w:t>
        </w:r>
      </w:hyperlink>
      <w:r w:rsidRPr="00EF376C">
        <w:rPr>
          <w:rFonts w:ascii="Times New Roman" w:hAnsi="Times New Roman"/>
        </w:rPr>
        <w:t xml:space="preserve">, DNV for smartEn, september 2022. </w:t>
      </w:r>
    </w:p>
  </w:footnote>
  <w:footnote w:id="25">
    <w:p w14:paraId="705ACC4B" w14:textId="29165330" w:rsidR="001310BC" w:rsidRPr="00EF376C" w:rsidRDefault="00D975FE" w:rsidP="002C37FE">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Ifølge data fra ACER's markedsovervågningsrapport for 2025 (Rewarding Flexibility: How retail contract choice can help unlock consumer flexibility) og Kommissionens egne beregninger kan elforbrugerne opnå besparelser på op mod 40 %, hvis de skifter til en dynamisk priskontrakt og aktivt styrer deres forbrug.</w:t>
      </w:r>
    </w:p>
  </w:footnote>
  <w:footnote w:id="26">
    <w:p w14:paraId="665C437E" w14:textId="13F834AD" w:rsidR="001310BC" w:rsidRPr="00EF376C" w:rsidRDefault="00D975FE" w:rsidP="002C37FE">
      <w:pPr>
        <w:spacing w:after="0" w:line="240" w:lineRule="auto"/>
        <w:ind w:left="567" w:hanging="567"/>
        <w:jc w:val="both"/>
        <w:rPr>
          <w:rFonts w:ascii="Times New Roman" w:eastAsia="Times New Roman, Aptos" w:hAnsi="Times New Roman" w:cs="Times New Roman"/>
          <w:sz w:val="20"/>
          <w:szCs w:val="20"/>
        </w:rPr>
      </w:pPr>
      <w:r w:rsidRPr="00EF376C">
        <w:rPr>
          <w:rStyle w:val="FootnoteReference"/>
          <w:rFonts w:ascii="Times New Roman" w:hAnsi="Times New Roman" w:cs="Times New Roman"/>
          <w:sz w:val="20"/>
          <w:szCs w:val="20"/>
        </w:rPr>
        <w:footnoteRef/>
      </w:r>
      <w:r w:rsidR="002C37FE" w:rsidRPr="00EF376C">
        <w:rPr>
          <w:rFonts w:ascii="Times New Roman" w:hAnsi="Times New Roman"/>
          <w:color w:val="000000" w:themeColor="text1"/>
          <w:sz w:val="20"/>
        </w:rPr>
        <w:tab/>
      </w:r>
      <w:r w:rsidRPr="00EF376C">
        <w:rPr>
          <w:rFonts w:ascii="Times New Roman" w:hAnsi="Times New Roman"/>
          <w:color w:val="000000" w:themeColor="text1"/>
          <w:sz w:val="20"/>
        </w:rPr>
        <w:t xml:space="preserve">I en </w:t>
      </w:r>
      <w:hyperlink r:id="rId14" w:history="1">
        <w:r w:rsidRPr="00EF376C">
          <w:rPr>
            <w:rStyle w:val="Hyperlink"/>
            <w:rFonts w:ascii="Times New Roman" w:hAnsi="Times New Roman"/>
            <w:sz w:val="20"/>
          </w:rPr>
          <w:t>Eurobarometerundersøgelse</w:t>
        </w:r>
      </w:hyperlink>
      <w:r w:rsidRPr="00EF376C">
        <w:rPr>
          <w:rFonts w:ascii="Times New Roman" w:hAnsi="Times New Roman"/>
          <w:color w:val="000000" w:themeColor="text1"/>
          <w:sz w:val="20"/>
        </w:rPr>
        <w:t xml:space="preserve"> fremhæves urimelig handelspraksis som et område med plads til forbedringer. 82 % af respondenterne svarede, at de ville have større tillid til en energileverandør, hvis denne forpligtede sig til en officielt certificeret adfærdskodeks om forbrugerrettigheder.</w:t>
      </w:r>
      <w:r w:rsidRPr="00EF376C">
        <w:rPr>
          <w:rFonts w:ascii="Times New Roman" w:hAnsi="Times New Roman"/>
          <w:sz w:val="20"/>
        </w:rPr>
        <w:t xml:space="preserve"> </w:t>
      </w:r>
    </w:p>
  </w:footnote>
  <w:footnote w:id="27">
    <w:p w14:paraId="7C96287D" w14:textId="6FA14DBB" w:rsidR="001310BC" w:rsidRPr="00EF376C" w:rsidRDefault="00D975FE" w:rsidP="002C37FE">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F.eks. Irland, Nederlandene og Frankrig.</w:t>
      </w:r>
    </w:p>
  </w:footnote>
  <w:footnote w:id="28">
    <w:p w14:paraId="279C3CF2" w14:textId="3C8FC827"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15" w:history="1">
        <w:r w:rsidRPr="00EF376C">
          <w:rPr>
            <w:rStyle w:val="Hyperlink"/>
            <w:rFonts w:ascii="Times New Roman" w:hAnsi="Times New Roman"/>
          </w:rPr>
          <w:t>Flash Eurobarometer 566</w:t>
        </w:r>
      </w:hyperlink>
      <w:r w:rsidRPr="00EF376C">
        <w:rPr>
          <w:rFonts w:ascii="Times New Roman" w:hAnsi="Times New Roman"/>
        </w:rPr>
        <w:t>, "Consumer behaviour in the energy transition", december 2025.</w:t>
      </w:r>
    </w:p>
  </w:footnote>
  <w:footnote w:id="29">
    <w:p w14:paraId="2FDADB5E" w14:textId="24DDD8BC"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 xml:space="preserve">Eurostat, </w:t>
      </w:r>
      <w:hyperlink r:id="rId16" w:history="1">
        <w:r w:rsidRPr="00EF376C">
          <w:rPr>
            <w:rStyle w:val="Hyperlink"/>
            <w:rFonts w:ascii="Times New Roman" w:hAnsi="Times New Roman"/>
          </w:rPr>
          <w:t>Population unable to keep home adequately warm by poverty status</w:t>
        </w:r>
      </w:hyperlink>
      <w:r w:rsidRPr="00EF376C">
        <w:rPr>
          <w:rFonts w:ascii="Times New Roman" w:hAnsi="Times New Roman"/>
        </w:rPr>
        <w:t>, februar 2026.</w:t>
      </w:r>
    </w:p>
  </w:footnote>
  <w:footnote w:id="30">
    <w:p w14:paraId="7A1E7B9D" w14:textId="6EACC29D"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17" w:history="1">
        <w:r w:rsidRPr="00EF376C">
          <w:rPr>
            <w:rStyle w:val="Hyperlink"/>
            <w:rFonts w:ascii="Times New Roman" w:hAnsi="Times New Roman"/>
          </w:rPr>
          <w:t>SWD(2025) 140 final</w:t>
        </w:r>
      </w:hyperlink>
      <w:r w:rsidRPr="00EF376C">
        <w:rPr>
          <w:rFonts w:ascii="Times New Roman" w:hAnsi="Times New Roman"/>
        </w:rPr>
        <w:t>.</w:t>
      </w:r>
    </w:p>
  </w:footnote>
  <w:footnote w:id="31">
    <w:p w14:paraId="7E792766" w14:textId="10B0E504"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Skæve incitamenter opstår, når udlejerne mangler motivation til at forbedre boligen, eftersom lejerne får de fleste fordele, men ikke selv kan foretage ændringerne.</w:t>
      </w:r>
    </w:p>
  </w:footnote>
  <w:footnote w:id="32">
    <w:p w14:paraId="08E96D84" w14:textId="7878572A"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I perioden 2026-2032 vil der inden for rammerne af Den Sociale Klimafond blive ydet op mod 86,7 mia. EUR til støtte for sårbare personer og små virksomheder, der er hårdest ramt af stigende energi- og transportomkostninger.  </w:t>
      </w:r>
    </w:p>
  </w:footnote>
  <w:footnote w:id="33">
    <w:p w14:paraId="7E1B255C" w14:textId="227936F7" w:rsidR="001310BC" w:rsidRPr="00EF376C" w:rsidRDefault="00D975FE" w:rsidP="00662DAF">
      <w:pPr>
        <w:pStyle w:val="FootnoteText"/>
        <w:ind w:left="567" w:hanging="567"/>
        <w:jc w:val="both"/>
        <w:rPr>
          <w:rFonts w:ascii="Times New Roman" w:hAnsi="Times New Roman" w:cs="Times New Roman"/>
        </w:rPr>
      </w:pPr>
      <w:r w:rsidRPr="00EF376C">
        <w:rPr>
          <w:rFonts w:ascii="Times New Roman" w:hAnsi="Times New Roman" w:cs="Times New Roman"/>
          <w:vertAlign w:val="superscript"/>
        </w:rPr>
        <w:footnoteRef/>
      </w:r>
      <w:r w:rsidR="002C37FE" w:rsidRPr="00EF376C">
        <w:rPr>
          <w:rFonts w:ascii="Times New Roman" w:hAnsi="Times New Roman"/>
        </w:rPr>
        <w:tab/>
      </w:r>
      <w:r w:rsidRPr="00EF376C">
        <w:rPr>
          <w:rFonts w:ascii="Times New Roman" w:hAnsi="Times New Roman"/>
        </w:rPr>
        <w:t>Forordningen om modernisering af samhørighedspolitikken tilskynder medlemsstaterne til at øge finansieringen til betalbare og bæredygtige boliger med fokus på husstande, der er berørt af energifattigdom.</w:t>
      </w:r>
    </w:p>
  </w:footnote>
  <w:footnote w:id="34">
    <w:p w14:paraId="72753467" w14:textId="39489688" w:rsidR="001310BC" w:rsidRPr="00EF376C" w:rsidRDefault="00D975FE" w:rsidP="00662DAF">
      <w:pPr>
        <w:pStyle w:val="FootnoteText"/>
        <w:ind w:left="567" w:hanging="567"/>
        <w:jc w:val="both"/>
        <w:rPr>
          <w:rFonts w:ascii="Times New Roman" w:hAnsi="Times New Roman" w:cs="Times New Roman"/>
        </w:rPr>
      </w:pPr>
      <w:r w:rsidRPr="00EF376C">
        <w:rPr>
          <w:rStyle w:val="FootnoteReference"/>
          <w:rFonts w:ascii="Times New Roman" w:hAnsi="Times New Roman" w:cs="Times New Roman"/>
        </w:rPr>
        <w:footnoteRef/>
      </w:r>
      <w:r w:rsidR="002C37FE" w:rsidRPr="00EF376C">
        <w:tab/>
      </w:r>
      <w:hyperlink r:id="rId18" w:history="1">
        <w:r w:rsidRPr="00EF376C">
          <w:rPr>
            <w:rStyle w:val="Hyperlink"/>
            <w:rFonts w:ascii="Times New Roman" w:hAnsi="Times New Roman"/>
          </w:rPr>
          <w:t>Det flerårige LIFE-arbejdsprogram for 2025-2027</w:t>
        </w:r>
      </w:hyperlink>
      <w:r w:rsidRPr="00EF376C">
        <w:t>.</w:t>
      </w:r>
    </w:p>
  </w:footnote>
  <w:footnote w:id="35">
    <w:p w14:paraId="15684889" w14:textId="614744CE" w:rsidR="001310BC" w:rsidRPr="00EF376C" w:rsidRDefault="00D975FE" w:rsidP="00662DAF">
      <w:pPr>
        <w:pStyle w:val="FootnoteText"/>
        <w:ind w:left="567" w:hanging="567"/>
        <w:jc w:val="both"/>
        <w:rPr>
          <w:rFonts w:ascii="Times New Roman" w:hAnsi="Times New Roman" w:cs="Times New Roman"/>
        </w:rPr>
      </w:pPr>
      <w:r w:rsidRPr="00EF376C">
        <w:rPr>
          <w:rFonts w:ascii="Times New Roman" w:hAnsi="Times New Roman" w:cs="Times New Roman"/>
          <w:vertAlign w:val="superscript"/>
        </w:rPr>
        <w:footnoteRef/>
      </w:r>
      <w:r w:rsidR="002C37FE" w:rsidRPr="00EF376C">
        <w:tab/>
      </w:r>
      <w:hyperlink r:id="rId19" w:history="1">
        <w:r w:rsidRPr="00EF376C">
          <w:rPr>
            <w:rStyle w:val="Hyperlink"/>
            <w:rFonts w:ascii="Times New Roman" w:hAnsi="Times New Roman"/>
          </w:rPr>
          <w:t>EUR-LEX 32023H2407</w:t>
        </w:r>
      </w:hyperlink>
      <w:r w:rsidRPr="00EF376C">
        <w:t>.</w:t>
      </w:r>
    </w:p>
  </w:footnote>
  <w:footnote w:id="36">
    <w:p w14:paraId="5CB35FA6" w14:textId="33DF7F3C" w:rsidR="001310BC" w:rsidRPr="001F5B88" w:rsidRDefault="00D975FE" w:rsidP="002C37FE">
      <w:pPr>
        <w:pStyle w:val="FootnoteText"/>
        <w:ind w:left="567" w:hanging="567"/>
        <w:rPr>
          <w:rFonts w:ascii="Times New Roman" w:hAnsi="Times New Roman" w:cs="Times New Roman"/>
          <w:lang w:val="en-IE"/>
        </w:rPr>
      </w:pPr>
      <w:r w:rsidRPr="00EF376C">
        <w:rPr>
          <w:rStyle w:val="FootnoteReference"/>
          <w:rFonts w:ascii="Times New Roman" w:hAnsi="Times New Roman" w:cs="Times New Roman"/>
        </w:rPr>
        <w:footnoteRef/>
      </w:r>
      <w:r w:rsidR="002C37FE" w:rsidRPr="00EF376C">
        <w:rPr>
          <w:rFonts w:ascii="Times New Roman" w:hAnsi="Times New Roman"/>
        </w:rPr>
        <w:tab/>
      </w:r>
      <w:r w:rsidRPr="00EF376C">
        <w:rPr>
          <w:rFonts w:ascii="Times New Roman" w:hAnsi="Times New Roman"/>
        </w:rPr>
        <w:t xml:space="preserve">Eurostat, </w:t>
      </w:r>
      <w:hyperlink r:id="rId20" w:history="1">
        <w:r w:rsidRPr="00EF376C">
          <w:rPr>
            <w:rStyle w:val="Hyperlink"/>
            <w:rFonts w:ascii="Times New Roman" w:hAnsi="Times New Roman"/>
          </w:rPr>
          <w:t>Arrears on utility bills</w:t>
        </w:r>
      </w:hyperlink>
      <w:r w:rsidRPr="00EF376C">
        <w:rPr>
          <w:rFonts w:ascii="Times New Roman" w:hAnsi="Times New Roman"/>
        </w:rPr>
        <w:t>, februar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46C9" w14:textId="77777777" w:rsidR="00B451EE" w:rsidRPr="00B451EE" w:rsidRDefault="00B451EE" w:rsidP="00B451E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B573" w14:textId="77777777" w:rsidR="00B451EE" w:rsidRPr="00B451EE" w:rsidRDefault="00B451EE" w:rsidP="00B451E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FCB9" w14:textId="77777777" w:rsidR="00B451EE" w:rsidRPr="00B451EE" w:rsidRDefault="00B451EE" w:rsidP="00B451E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9498" w14:textId="77777777" w:rsidR="001310BC" w:rsidRPr="00EF376C" w:rsidRDefault="001310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0CAB" w14:textId="77777777" w:rsidR="001310BC" w:rsidRPr="00EF376C" w:rsidRDefault="001310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A75F" w14:textId="77777777" w:rsidR="001310BC" w:rsidRPr="00EF376C" w:rsidRDefault="0013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7C4E"/>
    <w:multiLevelType w:val="hybridMultilevel"/>
    <w:tmpl w:val="2320D000"/>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10AFA"/>
    <w:multiLevelType w:val="hybridMultilevel"/>
    <w:tmpl w:val="8592A2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B2268B"/>
    <w:multiLevelType w:val="hybridMultilevel"/>
    <w:tmpl w:val="CBBEDB14"/>
    <w:lvl w:ilvl="0" w:tplc="18090003">
      <w:start w:val="1"/>
      <w:numFmt w:val="bullet"/>
      <w:lvlText w:val="o"/>
      <w:lvlJc w:val="left"/>
      <w:pPr>
        <w:ind w:left="182" w:hanging="360"/>
      </w:pPr>
      <w:rPr>
        <w:rFonts w:ascii="Courier New" w:hAnsi="Courier New" w:cs="Courier New" w:hint="default"/>
      </w:rPr>
    </w:lvl>
    <w:lvl w:ilvl="1" w:tplc="18090003" w:tentative="1">
      <w:start w:val="1"/>
      <w:numFmt w:val="bullet"/>
      <w:lvlText w:val="o"/>
      <w:lvlJc w:val="left"/>
      <w:pPr>
        <w:ind w:left="902" w:hanging="360"/>
      </w:pPr>
      <w:rPr>
        <w:rFonts w:ascii="Courier New" w:hAnsi="Courier New" w:cs="Courier New" w:hint="default"/>
      </w:rPr>
    </w:lvl>
    <w:lvl w:ilvl="2" w:tplc="18090005" w:tentative="1">
      <w:start w:val="1"/>
      <w:numFmt w:val="bullet"/>
      <w:lvlText w:val=""/>
      <w:lvlJc w:val="left"/>
      <w:pPr>
        <w:ind w:left="1622" w:hanging="360"/>
      </w:pPr>
      <w:rPr>
        <w:rFonts w:ascii="Wingdings" w:hAnsi="Wingdings" w:hint="default"/>
      </w:rPr>
    </w:lvl>
    <w:lvl w:ilvl="3" w:tplc="18090001" w:tentative="1">
      <w:start w:val="1"/>
      <w:numFmt w:val="bullet"/>
      <w:lvlText w:val=""/>
      <w:lvlJc w:val="left"/>
      <w:pPr>
        <w:ind w:left="2342" w:hanging="360"/>
      </w:pPr>
      <w:rPr>
        <w:rFonts w:ascii="Symbol" w:hAnsi="Symbol" w:hint="default"/>
      </w:rPr>
    </w:lvl>
    <w:lvl w:ilvl="4" w:tplc="18090003" w:tentative="1">
      <w:start w:val="1"/>
      <w:numFmt w:val="bullet"/>
      <w:lvlText w:val="o"/>
      <w:lvlJc w:val="left"/>
      <w:pPr>
        <w:ind w:left="3062" w:hanging="360"/>
      </w:pPr>
      <w:rPr>
        <w:rFonts w:ascii="Courier New" w:hAnsi="Courier New" w:cs="Courier New" w:hint="default"/>
      </w:rPr>
    </w:lvl>
    <w:lvl w:ilvl="5" w:tplc="18090005" w:tentative="1">
      <w:start w:val="1"/>
      <w:numFmt w:val="bullet"/>
      <w:lvlText w:val=""/>
      <w:lvlJc w:val="left"/>
      <w:pPr>
        <w:ind w:left="3782" w:hanging="360"/>
      </w:pPr>
      <w:rPr>
        <w:rFonts w:ascii="Wingdings" w:hAnsi="Wingdings" w:hint="default"/>
      </w:rPr>
    </w:lvl>
    <w:lvl w:ilvl="6" w:tplc="18090001" w:tentative="1">
      <w:start w:val="1"/>
      <w:numFmt w:val="bullet"/>
      <w:lvlText w:val=""/>
      <w:lvlJc w:val="left"/>
      <w:pPr>
        <w:ind w:left="4502" w:hanging="360"/>
      </w:pPr>
      <w:rPr>
        <w:rFonts w:ascii="Symbol" w:hAnsi="Symbol" w:hint="default"/>
      </w:rPr>
    </w:lvl>
    <w:lvl w:ilvl="7" w:tplc="18090003" w:tentative="1">
      <w:start w:val="1"/>
      <w:numFmt w:val="bullet"/>
      <w:lvlText w:val="o"/>
      <w:lvlJc w:val="left"/>
      <w:pPr>
        <w:ind w:left="5222" w:hanging="360"/>
      </w:pPr>
      <w:rPr>
        <w:rFonts w:ascii="Courier New" w:hAnsi="Courier New" w:cs="Courier New" w:hint="default"/>
      </w:rPr>
    </w:lvl>
    <w:lvl w:ilvl="8" w:tplc="18090005" w:tentative="1">
      <w:start w:val="1"/>
      <w:numFmt w:val="bullet"/>
      <w:lvlText w:val=""/>
      <w:lvlJc w:val="left"/>
      <w:pPr>
        <w:ind w:left="5942" w:hanging="360"/>
      </w:pPr>
      <w:rPr>
        <w:rFonts w:ascii="Wingdings" w:hAnsi="Wingdings" w:hint="default"/>
      </w:rPr>
    </w:lvl>
  </w:abstractNum>
  <w:abstractNum w:abstractNumId="3" w15:restartNumberingAfterBreak="0">
    <w:nsid w:val="15BA4175"/>
    <w:multiLevelType w:val="hybridMultilevel"/>
    <w:tmpl w:val="F0243E3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876A4"/>
    <w:multiLevelType w:val="hybridMultilevel"/>
    <w:tmpl w:val="98DA925A"/>
    <w:lvl w:ilvl="0" w:tplc="FADC9342">
      <w:start w:val="1"/>
      <w:numFmt w:val="decimal"/>
      <w:lvlText w:val="%1."/>
      <w:lvlJc w:val="left"/>
      <w:pPr>
        <w:ind w:left="720" w:hanging="360"/>
      </w:pPr>
    </w:lvl>
    <w:lvl w:ilvl="1" w:tplc="B08EC8C6">
      <w:start w:val="1"/>
      <w:numFmt w:val="decimal"/>
      <w:lvlText w:val="%2."/>
      <w:lvlJc w:val="left"/>
      <w:pPr>
        <w:ind w:left="720" w:hanging="360"/>
      </w:pPr>
    </w:lvl>
    <w:lvl w:ilvl="2" w:tplc="D228F09E">
      <w:start w:val="1"/>
      <w:numFmt w:val="decimal"/>
      <w:lvlText w:val="%3."/>
      <w:lvlJc w:val="left"/>
      <w:pPr>
        <w:ind w:left="720" w:hanging="360"/>
      </w:pPr>
    </w:lvl>
    <w:lvl w:ilvl="3" w:tplc="92D6A65A">
      <w:start w:val="1"/>
      <w:numFmt w:val="decimal"/>
      <w:lvlText w:val="%4."/>
      <w:lvlJc w:val="left"/>
      <w:pPr>
        <w:ind w:left="720" w:hanging="360"/>
      </w:pPr>
    </w:lvl>
    <w:lvl w:ilvl="4" w:tplc="7122BAEA">
      <w:start w:val="1"/>
      <w:numFmt w:val="decimal"/>
      <w:lvlText w:val="%5."/>
      <w:lvlJc w:val="left"/>
      <w:pPr>
        <w:ind w:left="720" w:hanging="360"/>
      </w:pPr>
    </w:lvl>
    <w:lvl w:ilvl="5" w:tplc="394A294C">
      <w:start w:val="1"/>
      <w:numFmt w:val="decimal"/>
      <w:lvlText w:val="%6."/>
      <w:lvlJc w:val="left"/>
      <w:pPr>
        <w:ind w:left="720" w:hanging="360"/>
      </w:pPr>
    </w:lvl>
    <w:lvl w:ilvl="6" w:tplc="AEAA3860">
      <w:start w:val="1"/>
      <w:numFmt w:val="decimal"/>
      <w:lvlText w:val="%7."/>
      <w:lvlJc w:val="left"/>
      <w:pPr>
        <w:ind w:left="720" w:hanging="360"/>
      </w:pPr>
    </w:lvl>
    <w:lvl w:ilvl="7" w:tplc="3B92AA5E">
      <w:start w:val="1"/>
      <w:numFmt w:val="decimal"/>
      <w:lvlText w:val="%8."/>
      <w:lvlJc w:val="left"/>
      <w:pPr>
        <w:ind w:left="720" w:hanging="360"/>
      </w:pPr>
    </w:lvl>
    <w:lvl w:ilvl="8" w:tplc="642414CC">
      <w:start w:val="1"/>
      <w:numFmt w:val="decimal"/>
      <w:lvlText w:val="%9."/>
      <w:lvlJc w:val="left"/>
      <w:pPr>
        <w:ind w:left="720" w:hanging="360"/>
      </w:pPr>
    </w:lvl>
  </w:abstractNum>
  <w:abstractNum w:abstractNumId="5" w15:restartNumberingAfterBreak="0">
    <w:nsid w:val="1A264B20"/>
    <w:multiLevelType w:val="hybridMultilevel"/>
    <w:tmpl w:val="B0821352"/>
    <w:lvl w:ilvl="0" w:tplc="B28AE77A">
      <w:start w:val="1"/>
      <w:numFmt w:val="decimal"/>
      <w:lvlText w:val="%1."/>
      <w:lvlJc w:val="left"/>
      <w:pPr>
        <w:ind w:left="720" w:hanging="360"/>
      </w:pPr>
    </w:lvl>
    <w:lvl w:ilvl="1" w:tplc="E9588CC4">
      <w:start w:val="1"/>
      <w:numFmt w:val="decimal"/>
      <w:lvlText w:val="%2."/>
      <w:lvlJc w:val="left"/>
      <w:pPr>
        <w:ind w:left="720" w:hanging="360"/>
      </w:pPr>
    </w:lvl>
    <w:lvl w:ilvl="2" w:tplc="B450FF4C">
      <w:start w:val="1"/>
      <w:numFmt w:val="decimal"/>
      <w:lvlText w:val="%3."/>
      <w:lvlJc w:val="left"/>
      <w:pPr>
        <w:ind w:left="720" w:hanging="360"/>
      </w:pPr>
    </w:lvl>
    <w:lvl w:ilvl="3" w:tplc="A8C29E7E">
      <w:start w:val="1"/>
      <w:numFmt w:val="decimal"/>
      <w:lvlText w:val="%4."/>
      <w:lvlJc w:val="left"/>
      <w:pPr>
        <w:ind w:left="720" w:hanging="360"/>
      </w:pPr>
    </w:lvl>
    <w:lvl w:ilvl="4" w:tplc="D1E27D9C">
      <w:start w:val="1"/>
      <w:numFmt w:val="decimal"/>
      <w:lvlText w:val="%5."/>
      <w:lvlJc w:val="left"/>
      <w:pPr>
        <w:ind w:left="720" w:hanging="360"/>
      </w:pPr>
    </w:lvl>
    <w:lvl w:ilvl="5" w:tplc="513609D8">
      <w:start w:val="1"/>
      <w:numFmt w:val="decimal"/>
      <w:lvlText w:val="%6."/>
      <w:lvlJc w:val="left"/>
      <w:pPr>
        <w:ind w:left="720" w:hanging="360"/>
      </w:pPr>
    </w:lvl>
    <w:lvl w:ilvl="6" w:tplc="0DF24A58">
      <w:start w:val="1"/>
      <w:numFmt w:val="decimal"/>
      <w:lvlText w:val="%7."/>
      <w:lvlJc w:val="left"/>
      <w:pPr>
        <w:ind w:left="720" w:hanging="360"/>
      </w:pPr>
    </w:lvl>
    <w:lvl w:ilvl="7" w:tplc="6606599C">
      <w:start w:val="1"/>
      <w:numFmt w:val="decimal"/>
      <w:lvlText w:val="%8."/>
      <w:lvlJc w:val="left"/>
      <w:pPr>
        <w:ind w:left="720" w:hanging="360"/>
      </w:pPr>
    </w:lvl>
    <w:lvl w:ilvl="8" w:tplc="4860F6AE">
      <w:start w:val="1"/>
      <w:numFmt w:val="decimal"/>
      <w:lvlText w:val="%9."/>
      <w:lvlJc w:val="left"/>
      <w:pPr>
        <w:ind w:left="720" w:hanging="360"/>
      </w:pPr>
    </w:lvl>
  </w:abstractNum>
  <w:abstractNum w:abstractNumId="6" w15:restartNumberingAfterBreak="0">
    <w:nsid w:val="1AB71AE3"/>
    <w:multiLevelType w:val="hybridMultilevel"/>
    <w:tmpl w:val="739C8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315CDA"/>
    <w:multiLevelType w:val="hybridMultilevel"/>
    <w:tmpl w:val="FFFFFFFF"/>
    <w:lvl w:ilvl="0" w:tplc="D1BE05B6">
      <w:start w:val="1"/>
      <w:numFmt w:val="bullet"/>
      <w:lvlText w:val="o"/>
      <w:lvlJc w:val="left"/>
      <w:pPr>
        <w:ind w:left="720" w:hanging="360"/>
      </w:pPr>
      <w:rPr>
        <w:rFonts w:ascii="Courier New" w:hAnsi="Courier New" w:hint="default"/>
      </w:rPr>
    </w:lvl>
    <w:lvl w:ilvl="1" w:tplc="85D27372">
      <w:start w:val="1"/>
      <w:numFmt w:val="bullet"/>
      <w:lvlText w:val="o"/>
      <w:lvlJc w:val="left"/>
      <w:pPr>
        <w:ind w:left="1440" w:hanging="360"/>
      </w:pPr>
      <w:rPr>
        <w:rFonts w:ascii="Courier New" w:hAnsi="Courier New" w:hint="default"/>
      </w:rPr>
    </w:lvl>
    <w:lvl w:ilvl="2" w:tplc="4F34D4C0">
      <w:start w:val="1"/>
      <w:numFmt w:val="bullet"/>
      <w:lvlText w:val=""/>
      <w:lvlJc w:val="left"/>
      <w:pPr>
        <w:ind w:left="2160" w:hanging="360"/>
      </w:pPr>
      <w:rPr>
        <w:rFonts w:ascii="Wingdings" w:hAnsi="Wingdings" w:hint="default"/>
      </w:rPr>
    </w:lvl>
    <w:lvl w:ilvl="3" w:tplc="66FAF9CA">
      <w:start w:val="1"/>
      <w:numFmt w:val="bullet"/>
      <w:lvlText w:val=""/>
      <w:lvlJc w:val="left"/>
      <w:pPr>
        <w:ind w:left="2880" w:hanging="360"/>
      </w:pPr>
      <w:rPr>
        <w:rFonts w:ascii="Symbol" w:hAnsi="Symbol" w:hint="default"/>
      </w:rPr>
    </w:lvl>
    <w:lvl w:ilvl="4" w:tplc="7B5E3708">
      <w:start w:val="1"/>
      <w:numFmt w:val="bullet"/>
      <w:lvlText w:val="o"/>
      <w:lvlJc w:val="left"/>
      <w:pPr>
        <w:ind w:left="3600" w:hanging="360"/>
      </w:pPr>
      <w:rPr>
        <w:rFonts w:ascii="Courier New" w:hAnsi="Courier New" w:hint="default"/>
      </w:rPr>
    </w:lvl>
    <w:lvl w:ilvl="5" w:tplc="9D82074A">
      <w:start w:val="1"/>
      <w:numFmt w:val="bullet"/>
      <w:lvlText w:val=""/>
      <w:lvlJc w:val="left"/>
      <w:pPr>
        <w:ind w:left="4320" w:hanging="360"/>
      </w:pPr>
      <w:rPr>
        <w:rFonts w:ascii="Wingdings" w:hAnsi="Wingdings" w:hint="default"/>
      </w:rPr>
    </w:lvl>
    <w:lvl w:ilvl="6" w:tplc="E5DE0D3A">
      <w:start w:val="1"/>
      <w:numFmt w:val="bullet"/>
      <w:lvlText w:val=""/>
      <w:lvlJc w:val="left"/>
      <w:pPr>
        <w:ind w:left="5040" w:hanging="360"/>
      </w:pPr>
      <w:rPr>
        <w:rFonts w:ascii="Symbol" w:hAnsi="Symbol" w:hint="default"/>
      </w:rPr>
    </w:lvl>
    <w:lvl w:ilvl="7" w:tplc="D5F8407E">
      <w:start w:val="1"/>
      <w:numFmt w:val="bullet"/>
      <w:lvlText w:val="o"/>
      <w:lvlJc w:val="left"/>
      <w:pPr>
        <w:ind w:left="5760" w:hanging="360"/>
      </w:pPr>
      <w:rPr>
        <w:rFonts w:ascii="Courier New" w:hAnsi="Courier New" w:hint="default"/>
      </w:rPr>
    </w:lvl>
    <w:lvl w:ilvl="8" w:tplc="81B8ED3E">
      <w:start w:val="1"/>
      <w:numFmt w:val="bullet"/>
      <w:lvlText w:val=""/>
      <w:lvlJc w:val="left"/>
      <w:pPr>
        <w:ind w:left="6480" w:hanging="360"/>
      </w:pPr>
      <w:rPr>
        <w:rFonts w:ascii="Wingdings" w:hAnsi="Wingdings" w:hint="default"/>
      </w:rPr>
    </w:lvl>
  </w:abstractNum>
  <w:abstractNum w:abstractNumId="8" w15:restartNumberingAfterBreak="0">
    <w:nsid w:val="22500F55"/>
    <w:multiLevelType w:val="multilevel"/>
    <w:tmpl w:val="C9C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A1BBA"/>
    <w:multiLevelType w:val="hybridMultilevel"/>
    <w:tmpl w:val="71321B28"/>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187535D"/>
    <w:multiLevelType w:val="hybridMultilevel"/>
    <w:tmpl w:val="9FA05DDC"/>
    <w:lvl w:ilvl="0" w:tplc="34786BA6">
      <w:start w:val="1"/>
      <w:numFmt w:val="decimal"/>
      <w:lvlText w:val="%1."/>
      <w:lvlJc w:val="left"/>
      <w:pPr>
        <w:ind w:left="720" w:hanging="360"/>
      </w:pPr>
    </w:lvl>
    <w:lvl w:ilvl="1" w:tplc="5D0E4892">
      <w:start w:val="1"/>
      <w:numFmt w:val="decimal"/>
      <w:lvlText w:val="%2."/>
      <w:lvlJc w:val="left"/>
      <w:pPr>
        <w:ind w:left="720" w:hanging="360"/>
      </w:pPr>
    </w:lvl>
    <w:lvl w:ilvl="2" w:tplc="9506910A">
      <w:start w:val="1"/>
      <w:numFmt w:val="decimal"/>
      <w:lvlText w:val="%3."/>
      <w:lvlJc w:val="left"/>
      <w:pPr>
        <w:ind w:left="720" w:hanging="360"/>
      </w:pPr>
    </w:lvl>
    <w:lvl w:ilvl="3" w:tplc="AE76558A">
      <w:start w:val="1"/>
      <w:numFmt w:val="decimal"/>
      <w:lvlText w:val="%4."/>
      <w:lvlJc w:val="left"/>
      <w:pPr>
        <w:ind w:left="720" w:hanging="360"/>
      </w:pPr>
    </w:lvl>
    <w:lvl w:ilvl="4" w:tplc="19705B44">
      <w:start w:val="1"/>
      <w:numFmt w:val="decimal"/>
      <w:lvlText w:val="%5."/>
      <w:lvlJc w:val="left"/>
      <w:pPr>
        <w:ind w:left="720" w:hanging="360"/>
      </w:pPr>
    </w:lvl>
    <w:lvl w:ilvl="5" w:tplc="B732699E">
      <w:start w:val="1"/>
      <w:numFmt w:val="decimal"/>
      <w:lvlText w:val="%6."/>
      <w:lvlJc w:val="left"/>
      <w:pPr>
        <w:ind w:left="720" w:hanging="360"/>
      </w:pPr>
    </w:lvl>
    <w:lvl w:ilvl="6" w:tplc="5C743EF2">
      <w:start w:val="1"/>
      <w:numFmt w:val="decimal"/>
      <w:lvlText w:val="%7."/>
      <w:lvlJc w:val="left"/>
      <w:pPr>
        <w:ind w:left="720" w:hanging="360"/>
      </w:pPr>
    </w:lvl>
    <w:lvl w:ilvl="7" w:tplc="42E01FD6">
      <w:start w:val="1"/>
      <w:numFmt w:val="decimal"/>
      <w:lvlText w:val="%8."/>
      <w:lvlJc w:val="left"/>
      <w:pPr>
        <w:ind w:left="720" w:hanging="360"/>
      </w:pPr>
    </w:lvl>
    <w:lvl w:ilvl="8" w:tplc="A1A4BBF0">
      <w:start w:val="1"/>
      <w:numFmt w:val="decimal"/>
      <w:lvlText w:val="%9."/>
      <w:lvlJc w:val="left"/>
      <w:pPr>
        <w:ind w:left="720" w:hanging="360"/>
      </w:pPr>
    </w:lvl>
  </w:abstractNum>
  <w:abstractNum w:abstractNumId="11" w15:restartNumberingAfterBreak="0">
    <w:nsid w:val="375A3332"/>
    <w:multiLevelType w:val="hybridMultilevel"/>
    <w:tmpl w:val="A2EE1500"/>
    <w:lvl w:ilvl="0" w:tplc="223EE81A">
      <w:start w:val="1"/>
      <w:numFmt w:val="bullet"/>
      <w:lvlText w:val=""/>
      <w:lvlJc w:val="left"/>
      <w:pPr>
        <w:ind w:left="720" w:hanging="360"/>
      </w:pPr>
      <w:rPr>
        <w:rFonts w:ascii="Symbol" w:hAnsi="Symbol"/>
      </w:rPr>
    </w:lvl>
    <w:lvl w:ilvl="1" w:tplc="BE94D148">
      <w:start w:val="1"/>
      <w:numFmt w:val="bullet"/>
      <w:lvlText w:val=""/>
      <w:lvlJc w:val="left"/>
      <w:pPr>
        <w:ind w:left="720" w:hanging="360"/>
      </w:pPr>
      <w:rPr>
        <w:rFonts w:ascii="Symbol" w:hAnsi="Symbol"/>
      </w:rPr>
    </w:lvl>
    <w:lvl w:ilvl="2" w:tplc="4C54C686">
      <w:start w:val="1"/>
      <w:numFmt w:val="bullet"/>
      <w:lvlText w:val=""/>
      <w:lvlJc w:val="left"/>
      <w:pPr>
        <w:ind w:left="720" w:hanging="360"/>
      </w:pPr>
      <w:rPr>
        <w:rFonts w:ascii="Symbol" w:hAnsi="Symbol"/>
      </w:rPr>
    </w:lvl>
    <w:lvl w:ilvl="3" w:tplc="97C6310A">
      <w:start w:val="1"/>
      <w:numFmt w:val="bullet"/>
      <w:lvlText w:val=""/>
      <w:lvlJc w:val="left"/>
      <w:pPr>
        <w:ind w:left="720" w:hanging="360"/>
      </w:pPr>
      <w:rPr>
        <w:rFonts w:ascii="Symbol" w:hAnsi="Symbol"/>
      </w:rPr>
    </w:lvl>
    <w:lvl w:ilvl="4" w:tplc="BC5A5FA0">
      <w:start w:val="1"/>
      <w:numFmt w:val="bullet"/>
      <w:lvlText w:val=""/>
      <w:lvlJc w:val="left"/>
      <w:pPr>
        <w:ind w:left="720" w:hanging="360"/>
      </w:pPr>
      <w:rPr>
        <w:rFonts w:ascii="Symbol" w:hAnsi="Symbol"/>
      </w:rPr>
    </w:lvl>
    <w:lvl w:ilvl="5" w:tplc="072A4506">
      <w:start w:val="1"/>
      <w:numFmt w:val="bullet"/>
      <w:lvlText w:val=""/>
      <w:lvlJc w:val="left"/>
      <w:pPr>
        <w:ind w:left="720" w:hanging="360"/>
      </w:pPr>
      <w:rPr>
        <w:rFonts w:ascii="Symbol" w:hAnsi="Symbol"/>
      </w:rPr>
    </w:lvl>
    <w:lvl w:ilvl="6" w:tplc="6FFA5D64">
      <w:start w:val="1"/>
      <w:numFmt w:val="bullet"/>
      <w:lvlText w:val=""/>
      <w:lvlJc w:val="left"/>
      <w:pPr>
        <w:ind w:left="720" w:hanging="360"/>
      </w:pPr>
      <w:rPr>
        <w:rFonts w:ascii="Symbol" w:hAnsi="Symbol"/>
      </w:rPr>
    </w:lvl>
    <w:lvl w:ilvl="7" w:tplc="4CFE0670">
      <w:start w:val="1"/>
      <w:numFmt w:val="bullet"/>
      <w:lvlText w:val=""/>
      <w:lvlJc w:val="left"/>
      <w:pPr>
        <w:ind w:left="720" w:hanging="360"/>
      </w:pPr>
      <w:rPr>
        <w:rFonts w:ascii="Symbol" w:hAnsi="Symbol"/>
      </w:rPr>
    </w:lvl>
    <w:lvl w:ilvl="8" w:tplc="55DE94DA">
      <w:start w:val="1"/>
      <w:numFmt w:val="bullet"/>
      <w:lvlText w:val=""/>
      <w:lvlJc w:val="left"/>
      <w:pPr>
        <w:ind w:left="720" w:hanging="360"/>
      </w:pPr>
      <w:rPr>
        <w:rFonts w:ascii="Symbol" w:hAnsi="Symbol"/>
      </w:rPr>
    </w:lvl>
  </w:abstractNum>
  <w:abstractNum w:abstractNumId="12" w15:restartNumberingAfterBreak="0">
    <w:nsid w:val="3E7710AF"/>
    <w:multiLevelType w:val="hybridMultilevel"/>
    <w:tmpl w:val="85B276F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434302"/>
    <w:multiLevelType w:val="hybridMultilevel"/>
    <w:tmpl w:val="229863AC"/>
    <w:lvl w:ilvl="0" w:tplc="FFFFFFFF">
      <w:start w:val="1"/>
      <w:numFmt w:val="bullet"/>
      <w:lvlText w:val=""/>
      <w:lvlJc w:val="left"/>
      <w:pPr>
        <w:ind w:left="720" w:hanging="360"/>
      </w:pPr>
      <w:rPr>
        <w:rFonts w:ascii="Courier New" w:hAnsi="Courier New"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E3E6764"/>
    <w:multiLevelType w:val="hybridMultilevel"/>
    <w:tmpl w:val="8194929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08E1AE2"/>
    <w:multiLevelType w:val="multilevel"/>
    <w:tmpl w:val="FC4C9534"/>
    <w:lvl w:ilvl="0">
      <w:start w:val="1"/>
      <w:numFmt w:val="bullet"/>
      <w:pStyle w:val="Considran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D2C6A"/>
    <w:multiLevelType w:val="hybridMultilevel"/>
    <w:tmpl w:val="39F2598C"/>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A2624EC"/>
    <w:multiLevelType w:val="hybridMultilevel"/>
    <w:tmpl w:val="65EC9B4C"/>
    <w:lvl w:ilvl="0" w:tplc="4036CB6A">
      <w:start w:val="1"/>
      <w:numFmt w:val="decimal"/>
      <w:lvlText w:val="%1."/>
      <w:lvlJc w:val="left"/>
      <w:pPr>
        <w:ind w:left="1020" w:hanging="360"/>
      </w:pPr>
    </w:lvl>
    <w:lvl w:ilvl="1" w:tplc="47085454">
      <w:start w:val="1"/>
      <w:numFmt w:val="decimal"/>
      <w:lvlText w:val="%2."/>
      <w:lvlJc w:val="left"/>
      <w:pPr>
        <w:ind w:left="1020" w:hanging="360"/>
      </w:pPr>
    </w:lvl>
    <w:lvl w:ilvl="2" w:tplc="93047DA2">
      <w:start w:val="1"/>
      <w:numFmt w:val="decimal"/>
      <w:lvlText w:val="%3."/>
      <w:lvlJc w:val="left"/>
      <w:pPr>
        <w:ind w:left="1020" w:hanging="360"/>
      </w:pPr>
    </w:lvl>
    <w:lvl w:ilvl="3" w:tplc="182EEFC6">
      <w:start w:val="1"/>
      <w:numFmt w:val="decimal"/>
      <w:lvlText w:val="%4."/>
      <w:lvlJc w:val="left"/>
      <w:pPr>
        <w:ind w:left="1020" w:hanging="360"/>
      </w:pPr>
    </w:lvl>
    <w:lvl w:ilvl="4" w:tplc="0E366AC8">
      <w:start w:val="1"/>
      <w:numFmt w:val="decimal"/>
      <w:lvlText w:val="%5."/>
      <w:lvlJc w:val="left"/>
      <w:pPr>
        <w:ind w:left="1020" w:hanging="360"/>
      </w:pPr>
    </w:lvl>
    <w:lvl w:ilvl="5" w:tplc="DE32E3A6">
      <w:start w:val="1"/>
      <w:numFmt w:val="decimal"/>
      <w:lvlText w:val="%6."/>
      <w:lvlJc w:val="left"/>
      <w:pPr>
        <w:ind w:left="1020" w:hanging="360"/>
      </w:pPr>
    </w:lvl>
    <w:lvl w:ilvl="6" w:tplc="EDF43156">
      <w:start w:val="1"/>
      <w:numFmt w:val="decimal"/>
      <w:lvlText w:val="%7."/>
      <w:lvlJc w:val="left"/>
      <w:pPr>
        <w:ind w:left="1020" w:hanging="360"/>
      </w:pPr>
    </w:lvl>
    <w:lvl w:ilvl="7" w:tplc="1A52107C">
      <w:start w:val="1"/>
      <w:numFmt w:val="decimal"/>
      <w:lvlText w:val="%8."/>
      <w:lvlJc w:val="left"/>
      <w:pPr>
        <w:ind w:left="1020" w:hanging="360"/>
      </w:pPr>
    </w:lvl>
    <w:lvl w:ilvl="8" w:tplc="CB4EEB00">
      <w:start w:val="1"/>
      <w:numFmt w:val="decimal"/>
      <w:lvlText w:val="%9."/>
      <w:lvlJc w:val="left"/>
      <w:pPr>
        <w:ind w:left="1020" w:hanging="360"/>
      </w:pPr>
    </w:lvl>
  </w:abstractNum>
  <w:abstractNum w:abstractNumId="18" w15:restartNumberingAfterBreak="0">
    <w:nsid w:val="5DC75BCA"/>
    <w:multiLevelType w:val="hybridMultilevel"/>
    <w:tmpl w:val="4D867BF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FA78F5"/>
    <w:multiLevelType w:val="hybridMultilevel"/>
    <w:tmpl w:val="2F84457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A4614A1"/>
    <w:multiLevelType w:val="hybridMultilevel"/>
    <w:tmpl w:val="5E3215C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5975A7"/>
    <w:multiLevelType w:val="hybridMultilevel"/>
    <w:tmpl w:val="A4C00D4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
  </w:num>
  <w:num w:numId="4">
    <w:abstractNumId w:val="3"/>
  </w:num>
  <w:num w:numId="5">
    <w:abstractNumId w:val="16"/>
  </w:num>
  <w:num w:numId="6">
    <w:abstractNumId w:val="7"/>
  </w:num>
  <w:num w:numId="7">
    <w:abstractNumId w:val="19"/>
  </w:num>
  <w:num w:numId="8">
    <w:abstractNumId w:val="1"/>
  </w:num>
  <w:num w:numId="9">
    <w:abstractNumId w:val="21"/>
  </w:num>
  <w:num w:numId="10">
    <w:abstractNumId w:val="9"/>
  </w:num>
  <w:num w:numId="11">
    <w:abstractNumId w:val="6"/>
  </w:num>
  <w:num w:numId="12">
    <w:abstractNumId w:val="12"/>
  </w:num>
  <w:num w:numId="13">
    <w:abstractNumId w:val="20"/>
  </w:num>
  <w:num w:numId="14">
    <w:abstractNumId w:val="14"/>
  </w:num>
  <w:num w:numId="15">
    <w:abstractNumId w:val="0"/>
  </w:num>
  <w:num w:numId="16">
    <w:abstractNumId w:val="3"/>
  </w:num>
  <w:num w:numId="17">
    <w:abstractNumId w:val="5"/>
  </w:num>
  <w:num w:numId="18">
    <w:abstractNumId w:val="4"/>
  </w:num>
  <w:num w:numId="19">
    <w:abstractNumId w:val="10"/>
  </w:num>
  <w:num w:numId="20">
    <w:abstractNumId w:val="17"/>
  </w:num>
  <w:num w:numId="21">
    <w:abstractNumId w:val="18"/>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D8EEBFB-F7A2-4111-BCB1-05F08EFB58FE"/>
    <w:docVar w:name="LW_COVERPAGE_TYPE" w:val="1"/>
    <w:docVar w:name="LW_CROSSREFERENCE" w:val="{SWD(2026) 115 final}"/>
    <w:docVar w:name="LW_DocType" w:val="NORMAL"/>
    <w:docVar w:name="LW_EMISSION" w:val="10.3.2026"/>
    <w:docVar w:name="LW_EMISSION_ISODATE" w:val="2026-03-10"/>
    <w:docVar w:name="LW_EMISSION_LOCATION" w:val="STR"/>
    <w:docVar w:name="LW_EMISSION_PREFIX" w:val="Strasbourg, den "/>
    <w:docVar w:name="LW_EMISSION_SUFFIX" w:val=" "/>
    <w:docVar w:name="LW_ID_DOCTYPE_NONLW" w:val="CP-012"/>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6)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energipakken for borgerne"/>
    <w:docVar w:name="LW_TYPE.DOC.CP" w:val="MEDDELELSE FRA KOMMISSIONEN TIL EUROPA-PARLAMENTET OG RÅDET"/>
    <w:docVar w:name="LW_TYPE.DOC.CP.USERTEXT" w:val="&lt;EMPTY&gt;"/>
    <w:docVar w:name="LwApiVersions" w:val="LW4CoDe 1.24.5.0; LW 9.2, Build 20251112"/>
  </w:docVars>
  <w:rsids>
    <w:rsidRoot w:val="001310BC"/>
    <w:rsid w:val="001310BC"/>
    <w:rsid w:val="001F5B88"/>
    <w:rsid w:val="002C37FE"/>
    <w:rsid w:val="0060157D"/>
    <w:rsid w:val="00662DAF"/>
    <w:rsid w:val="00750B46"/>
    <w:rsid w:val="00AB28CA"/>
    <w:rsid w:val="00B05ABC"/>
    <w:rsid w:val="00B21A70"/>
    <w:rsid w:val="00B451EE"/>
    <w:rsid w:val="00C951DC"/>
    <w:rsid w:val="00D975FE"/>
    <w:rsid w:val="00EA1B3F"/>
    <w:rsid w:val="00EF376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BC904E"/>
  <w15:chartTrackingRefBased/>
  <w15:docId w15:val="{36E4FDCF-27D8-48A9-B197-3650FE97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1st elvel bullet green,1st level - Bullet List Paragraph,Lettre d'introduction,Paragrafo elenco,List Paragraph1,Medium Grid 1 - Accent 21,FooterText,Paragraphe de liste1,Heading 2_sj,Numbered Para 1,Dot pt,No Spacing1,Bullet 1,lp1,Ha"/>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jc w:val="both"/>
    </w:pPr>
    <w:rPr>
      <w:kern w:val="0"/>
      <w:sz w:val="20"/>
      <w:szCs w:val="20"/>
    </w:rPr>
  </w:style>
  <w:style w:type="character" w:customStyle="1" w:styleId="CommentTextChar">
    <w:name w:val="Comment Text Char"/>
    <w:basedOn w:val="DefaultParagraphFont"/>
    <w:link w:val="CommentText"/>
    <w:uiPriority w:val="99"/>
    <w:rPr>
      <w:kern w:val="0"/>
      <w:sz w:val="20"/>
      <w:szCs w:val="20"/>
    </w:rPr>
  </w:style>
  <w:style w:type="character" w:customStyle="1" w:styleId="cf01">
    <w:name w:val="cf01"/>
    <w:basedOn w:val="DefaultParagraphFont"/>
    <w:rPr>
      <w:rFonts w:ascii="Segoe UI" w:hAnsi="Segoe UI" w:cs="Segoe UI" w:hint="default"/>
      <w:sz w:val="18"/>
      <w:szCs w:val="18"/>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note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rPr>
      <w:sz w:val="20"/>
      <w:szCs w:val="20"/>
      <w:lang w:val="da-DK"/>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R,ftref,16 P"/>
    <w:basedOn w:val="DefaultParagraphFont"/>
    <w:link w:val="FootnoteReferenceCharCarCharCharCarCharCarCharCarCharCarCharCharCarCarCharCharCharCharCharCarCharCarCharCharCarCharCar"/>
    <w:uiPriority w:val="99"/>
    <w:unhideWhenUsed/>
    <w:qFormat/>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spacing w:line="240" w:lineRule="exact"/>
      <w:jc w:val="both"/>
    </w:pPr>
    <w:rPr>
      <w:vertAlign w:val="superscript"/>
    </w:rPr>
  </w:style>
  <w:style w:type="paragraph" w:customStyle="1" w:styleId="oj-normal">
    <w:name w:val="oj-normal"/>
    <w:basedOn w:val="Normal"/>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HTMLCite">
    <w:name w:val="HTML Cite"/>
    <w:basedOn w:val="DefaultParagraphFont"/>
    <w:uiPriority w:val="99"/>
    <w:semiHidden/>
    <w:unhideWhenUsed/>
    <w:rPr>
      <w:i/>
      <w:iCs/>
    </w:rPr>
  </w:style>
  <w:style w:type="character" w:customStyle="1" w:styleId="ve-pasteprotect">
    <w:name w:val="ve-pasteprotect"/>
    <w:basedOn w:val="DefaultParagraphFont"/>
  </w:style>
  <w:style w:type="character" w:customStyle="1" w:styleId="normaltextrun">
    <w:name w:val="normaltextrun"/>
    <w:basedOn w:val="DefaultParagraphFon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da-D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da-DK"/>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paragraph" w:styleId="CommentSubject">
    <w:name w:val="annotation subject"/>
    <w:basedOn w:val="CommentText"/>
    <w:next w:val="CommentText"/>
    <w:link w:val="CommentSubjectChar"/>
    <w:uiPriority w:val="99"/>
    <w:semiHidden/>
    <w:unhideWhenUsed/>
    <w:pPr>
      <w:jc w:val="left"/>
    </w:pPr>
    <w:rPr>
      <w:b/>
      <w:bCs/>
      <w:kern w:val="2"/>
    </w:rPr>
  </w:style>
  <w:style w:type="character" w:customStyle="1" w:styleId="CommentSubjectChar">
    <w:name w:val="Comment Subject Char"/>
    <w:basedOn w:val="CommentTextChar"/>
    <w:link w:val="CommentSubject"/>
    <w:uiPriority w:val="99"/>
    <w:semiHidden/>
    <w:rPr>
      <w:b/>
      <w:bCs/>
      <w:kern w:val="0"/>
      <w:sz w:val="20"/>
      <w:szCs w:val="20"/>
      <w:lang w:val="da-DK"/>
    </w:rPr>
  </w:style>
  <w:style w:type="character" w:customStyle="1"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after="0" w:line="240" w:lineRule="auto"/>
    </w:pPr>
  </w:style>
  <w:style w:type="paragraph" w:customStyle="1" w:styleId="paragraph">
    <w:name w:val="paragraph"/>
    <w:basedOn w:val="Normal"/>
    <w:uiPriority w:val="1"/>
    <w:pPr>
      <w:spacing w:beforeAutospacing="1" w:after="240" w:afterAutospacing="1"/>
    </w:pPr>
    <w:rPr>
      <w:rFonts w:ascii="Times New Roman" w:eastAsia="Times New Roman" w:hAnsi="Times New Roman" w:cs="Times New Roman"/>
      <w:sz w:val="24"/>
      <w:szCs w:val="24"/>
      <w:lang w:eastAsia="en-IE"/>
    </w:rPr>
  </w:style>
  <w:style w:type="paragraph" w:customStyle="1" w:styleId="Default">
    <w:name w:val="Default"/>
    <w:pPr>
      <w:autoSpaceDE w:val="0"/>
      <w:autoSpaceDN w:val="0"/>
      <w:adjustRightInd w:val="0"/>
      <w:spacing w:after="0" w:line="240" w:lineRule="auto"/>
    </w:pPr>
    <w:rPr>
      <w:rFonts w:ascii="Arial" w:eastAsia="Calibri" w:hAnsi="Arial" w:cs="Arial"/>
      <w:color w:val="000000"/>
      <w:kern w:val="0"/>
      <w:sz w:val="24"/>
      <w:szCs w:val="24"/>
      <w:lang w:eastAsia="en-GB"/>
    </w:rPr>
  </w:style>
  <w:style w:type="character" w:customStyle="1" w:styleId="superscript">
    <w:name w:val="superscript"/>
    <w:basedOn w:val="DefaultParagraphFont"/>
  </w:style>
  <w:style w:type="character" w:customStyle="1" w:styleId="eop">
    <w:name w:val="eop"/>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1st elvel bullet green Char,1st level - Bullet List Paragraph Char,Lettre d'introduction Char,Paragrafo elenco Char,List Paragraph1 Char,Medium Grid 1 - Accent 21 Char,FooterText Char,Paragraphe de liste1 Char,Heading 2_sj Char"/>
    <w:link w:val="ListParagraph"/>
    <w:uiPriority w:val="34"/>
    <w:qFormat/>
  </w:style>
  <w:style w:type="table" w:styleId="TableGrid">
    <w:name w:val="Table Grid"/>
    <w:basedOn w:val="TableNormal"/>
    <w:uiPriority w:val="39"/>
    <w:pPr>
      <w:spacing w:after="0" w:line="240" w:lineRule="auto"/>
    </w:pPr>
    <w:tbl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itreobjet">
    <w:name w:val="Titre objet"/>
    <w:basedOn w:val="Normal"/>
    <w:uiPriority w:val="1"/>
    <w:pPr>
      <w:spacing w:before="360" w:after="360" w:line="240" w:lineRule="auto"/>
      <w:jc w:val="center"/>
    </w:pPr>
    <w:rPr>
      <w:rFonts w:eastAsiaTheme="minorEastAsia"/>
      <w:b/>
      <w:bCs/>
      <w:sz w:val="24"/>
      <w:szCs w:val="24"/>
    </w:rPr>
  </w:style>
  <w:style w:type="paragraph" w:customStyle="1" w:styleId="Considrant">
    <w:name w:val="Considérant"/>
    <w:basedOn w:val="Normal"/>
    <w:uiPriority w:val="1"/>
    <w:pPr>
      <w:numPr>
        <w:numId w:val="1"/>
      </w:numPr>
      <w:spacing w:before="120" w:after="120" w:line="240" w:lineRule="auto"/>
      <w:jc w:val="both"/>
    </w:pPr>
    <w:rPr>
      <w:rFonts w:eastAsiaTheme="minorEastAsia"/>
      <w:sz w:val="24"/>
      <w:szCs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11">
    <w:name w:val="cf11"/>
    <w:basedOn w:val="DefaultParagraphFont"/>
    <w:rPr>
      <w:rFonts w:ascii="Segoe UI" w:hAnsi="Segoe UI" w:cs="Segoe UI" w:hint="default"/>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da-DK"/>
    </w:rPr>
  </w:style>
  <w:style w:type="character" w:styleId="EndnoteReference">
    <w:name w:val="endnote reference"/>
    <w:basedOn w:val="DefaultParagraphFont"/>
    <w:uiPriority w:val="99"/>
    <w:semiHidden/>
    <w:unhideWhenUsed/>
    <w:rPr>
      <w:vertAlign w:val="superscript"/>
    </w:rPr>
  </w:style>
  <w:style w:type="character" w:styleId="LineNumber">
    <w:name w:val="line number"/>
    <w:basedOn w:val="DefaultParagraphFont"/>
    <w:uiPriority w:val="99"/>
    <w:semiHidden/>
    <w:unhideWhenUsed/>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pPr>
      <w:spacing w:after="0" w:line="276" w:lineRule="auto"/>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3365">
      <w:bodyDiv w:val="1"/>
      <w:marLeft w:val="0"/>
      <w:marRight w:val="0"/>
      <w:marTop w:val="0"/>
      <w:marBottom w:val="0"/>
      <w:divBdr>
        <w:top w:val="none" w:sz="0" w:space="0" w:color="auto"/>
        <w:left w:val="none" w:sz="0" w:space="0" w:color="auto"/>
        <w:bottom w:val="none" w:sz="0" w:space="0" w:color="auto"/>
        <w:right w:val="none" w:sz="0" w:space="0" w:color="auto"/>
      </w:divBdr>
    </w:div>
    <w:div w:id="804467303">
      <w:bodyDiv w:val="1"/>
      <w:marLeft w:val="0"/>
      <w:marRight w:val="0"/>
      <w:marTop w:val="0"/>
      <w:marBottom w:val="0"/>
      <w:divBdr>
        <w:top w:val="none" w:sz="0" w:space="0" w:color="auto"/>
        <w:left w:val="none" w:sz="0" w:space="0" w:color="auto"/>
        <w:bottom w:val="none" w:sz="0" w:space="0" w:color="auto"/>
        <w:right w:val="none" w:sz="0" w:space="0" w:color="auto"/>
      </w:divBdr>
    </w:div>
    <w:div w:id="845905792">
      <w:bodyDiv w:val="1"/>
      <w:marLeft w:val="0"/>
      <w:marRight w:val="0"/>
      <w:marTop w:val="0"/>
      <w:marBottom w:val="0"/>
      <w:divBdr>
        <w:top w:val="none" w:sz="0" w:space="0" w:color="auto"/>
        <w:left w:val="none" w:sz="0" w:space="0" w:color="auto"/>
        <w:bottom w:val="none" w:sz="0" w:space="0" w:color="auto"/>
        <w:right w:val="none" w:sz="0" w:space="0" w:color="auto"/>
      </w:divBdr>
    </w:div>
    <w:div w:id="863134442">
      <w:bodyDiv w:val="1"/>
      <w:marLeft w:val="0"/>
      <w:marRight w:val="0"/>
      <w:marTop w:val="0"/>
      <w:marBottom w:val="0"/>
      <w:divBdr>
        <w:top w:val="none" w:sz="0" w:space="0" w:color="auto"/>
        <w:left w:val="none" w:sz="0" w:space="0" w:color="auto"/>
        <w:bottom w:val="none" w:sz="0" w:space="0" w:color="auto"/>
        <w:right w:val="none" w:sz="0" w:space="0" w:color="auto"/>
      </w:divBdr>
    </w:div>
    <w:div w:id="1085878185">
      <w:bodyDiv w:val="1"/>
      <w:marLeft w:val="0"/>
      <w:marRight w:val="0"/>
      <w:marTop w:val="0"/>
      <w:marBottom w:val="0"/>
      <w:divBdr>
        <w:top w:val="none" w:sz="0" w:space="0" w:color="auto"/>
        <w:left w:val="none" w:sz="0" w:space="0" w:color="auto"/>
        <w:bottom w:val="none" w:sz="0" w:space="0" w:color="auto"/>
        <w:right w:val="none" w:sz="0" w:space="0" w:color="auto"/>
      </w:divBdr>
    </w:div>
    <w:div w:id="1392384126">
      <w:bodyDiv w:val="1"/>
      <w:marLeft w:val="0"/>
      <w:marRight w:val="0"/>
      <w:marTop w:val="0"/>
      <w:marBottom w:val="0"/>
      <w:divBdr>
        <w:top w:val="none" w:sz="0" w:space="0" w:color="auto"/>
        <w:left w:val="none" w:sz="0" w:space="0" w:color="auto"/>
        <w:bottom w:val="none" w:sz="0" w:space="0" w:color="auto"/>
        <w:right w:val="none" w:sz="0" w:space="0" w:color="auto"/>
      </w:divBdr>
    </w:div>
    <w:div w:id="1557856654">
      <w:bodyDiv w:val="1"/>
      <w:marLeft w:val="0"/>
      <w:marRight w:val="0"/>
      <w:marTop w:val="0"/>
      <w:marBottom w:val="0"/>
      <w:divBdr>
        <w:top w:val="none" w:sz="0" w:space="0" w:color="auto"/>
        <w:left w:val="none" w:sz="0" w:space="0" w:color="auto"/>
        <w:bottom w:val="none" w:sz="0" w:space="0" w:color="auto"/>
        <w:right w:val="none" w:sz="0" w:space="0" w:color="auto"/>
      </w:divBdr>
    </w:div>
    <w:div w:id="1797025690">
      <w:bodyDiv w:val="1"/>
      <w:marLeft w:val="0"/>
      <w:marRight w:val="0"/>
      <w:marTop w:val="0"/>
      <w:marBottom w:val="0"/>
      <w:divBdr>
        <w:top w:val="none" w:sz="0" w:space="0" w:color="auto"/>
        <w:left w:val="none" w:sz="0" w:space="0" w:color="auto"/>
        <w:bottom w:val="none" w:sz="0" w:space="0" w:color="auto"/>
        <w:right w:val="none" w:sz="0" w:space="0" w:color="auto"/>
      </w:divBdr>
    </w:div>
    <w:div w:id="213643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statistics-explained/index.php?title=Energy_consumption_in_households" TargetMode="External"/><Relationship Id="rId13" Type="http://schemas.openxmlformats.org/officeDocument/2006/relationships/hyperlink" Target="https://www.dnv.com/publications/demand-side-flexibility-quantification-of-benefits-in-the-eu-232342/" TargetMode="External"/><Relationship Id="rId18" Type="http://schemas.openxmlformats.org/officeDocument/2006/relationships/hyperlink" Target="https://cinea.ec.europa.eu/programmes/life/life-legal-basis/life-multiannual-work-programme-2025-2027_en" TargetMode="External"/><Relationship Id="rId3" Type="http://schemas.openxmlformats.org/officeDocument/2006/relationships/hyperlink" Target="https://eur-lex.europa.eu/legal-content/DA/TXT/?uri=CELEX%3A52025DC0079&amp;qid=1741780110418" TargetMode="External"/><Relationship Id="rId7" Type="http://schemas.openxmlformats.org/officeDocument/2006/relationships/hyperlink" Target="https://energy.ec.europa.eu/document/download/d911cc86-121d-445c-bd27-a14098ede7e2_en?filename=C_2025_4010_1_EN_ACT_part1_v3.pdf" TargetMode="External"/><Relationship Id="rId12" Type="http://schemas.openxmlformats.org/officeDocument/2006/relationships/hyperlink" Target="https://www.dnv.com/publications/demand-side-flexibility-quantification-of-benefits-in-the-eu-232342/" TargetMode="External"/><Relationship Id="rId17" Type="http://schemas.openxmlformats.org/officeDocument/2006/relationships/hyperlink" Target="https://eur-lex.europa.eu/legal-content/DA/TXT/?uri=CELEX%3A52025DC0274&amp;qid=1769767810018" TargetMode="External"/><Relationship Id="rId2" Type="http://schemas.openxmlformats.org/officeDocument/2006/relationships/hyperlink" Target="https://eur-lex.europa.eu/legal-content/DA/TXT/?uri=CELEX:52025DC0085" TargetMode="External"/><Relationship Id="rId16" Type="http://schemas.openxmlformats.org/officeDocument/2006/relationships/hyperlink" Target="https://ec.europa.eu/eurostat/databrowser/product/page/sdg_07_60" TargetMode="External"/><Relationship Id="rId20" Type="http://schemas.openxmlformats.org/officeDocument/2006/relationships/hyperlink" Target="https://ec.europa.eu/eurostat/databrowser/view/ilc_mdes07/default/table?lang=en" TargetMode="External"/><Relationship Id="rId1" Type="http://schemas.openxmlformats.org/officeDocument/2006/relationships/hyperlink" Target="https://europa.eu/eurobarometer/surveys/detail/3354" TargetMode="External"/><Relationship Id="rId6" Type="http://schemas.openxmlformats.org/officeDocument/2006/relationships/hyperlink" Target="https://ec.europa.eu/regional_policy/information-sources/publications/communications/2025/eu-agenda-for-cities-2025_da" TargetMode="External"/><Relationship Id="rId11" Type="http://schemas.openxmlformats.org/officeDocument/2006/relationships/hyperlink" Target="https://www.acer.europa.eu/sites/default/files/documents/Publications/ACER-CEER-2025-Retail-monitoring.pdf" TargetMode="External"/><Relationship Id="rId5" Type="http://schemas.openxmlformats.org/officeDocument/2006/relationships/hyperlink" Target="https://eur-lex.europa.eu/legal-content/DA/TXT/?uri=CELEX%3A52025DC1005&amp;qid=1770212329024" TargetMode="External"/><Relationship Id="rId15" Type="http://schemas.openxmlformats.org/officeDocument/2006/relationships/hyperlink" Target="https://europa.eu/eurobarometer/surveys/detail/3354" TargetMode="External"/><Relationship Id="rId10" Type="http://schemas.openxmlformats.org/officeDocument/2006/relationships/hyperlink" Target="https://www.acer.europa.eu/sites/default/files/documents/Publications/MMR_2021_Energy_Retail_Consumer_Protection_Volume.pdf" TargetMode="External"/><Relationship Id="rId19" Type="http://schemas.openxmlformats.org/officeDocument/2006/relationships/hyperlink" Target="https://eur-lex.europa.eu/eli/reco/2023/2407/oj" TargetMode="External"/><Relationship Id="rId4" Type="http://schemas.openxmlformats.org/officeDocument/2006/relationships/hyperlink" Target="https://housing.ec.europa.eu/document/download/756915b5-d1b1-4bde-ac82-03532d2d3d90_en?filename=0.pdf" TargetMode="External"/><Relationship Id="rId9" Type="http://schemas.openxmlformats.org/officeDocument/2006/relationships/hyperlink" Target="https://europa.eu/eurobarometer/surveys/detail/3229?etrans=da" TargetMode="External"/><Relationship Id="rId14" Type="http://schemas.openxmlformats.org/officeDocument/2006/relationships/hyperlink" Target="https://europa.eu/eurobarometer/surveys/detail/3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F114-5084-4B44-811E-871B4EC9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35359</CharactersWithSpaces>
  <SharedDoc>false</SharedDoc>
  <HLinks>
    <vt:vector size="114" baseType="variant">
      <vt:variant>
        <vt:i4>4063324</vt:i4>
      </vt:variant>
      <vt:variant>
        <vt:i4>54</vt:i4>
      </vt:variant>
      <vt:variant>
        <vt:i4>0</vt:i4>
      </vt:variant>
      <vt:variant>
        <vt:i4>5</vt:i4>
      </vt:variant>
      <vt:variant>
        <vt:lpwstr>https://ec.europa.eu/eurostat/databrowser/view/ilc_mdes07/default/table?lang=en</vt:lpwstr>
      </vt:variant>
      <vt:variant>
        <vt:lpwstr/>
      </vt:variant>
      <vt:variant>
        <vt:i4>7864428</vt:i4>
      </vt:variant>
      <vt:variant>
        <vt:i4>51</vt:i4>
      </vt:variant>
      <vt:variant>
        <vt:i4>0</vt:i4>
      </vt:variant>
      <vt:variant>
        <vt:i4>5</vt:i4>
      </vt:variant>
      <vt:variant>
        <vt:lpwstr>https://eur-lex.europa.eu/eli/reco/2023/2407/oj/eng</vt:lpwstr>
      </vt:variant>
      <vt:variant>
        <vt:lpwstr/>
      </vt:variant>
      <vt:variant>
        <vt:i4>3670107</vt:i4>
      </vt:variant>
      <vt:variant>
        <vt:i4>48</vt:i4>
      </vt:variant>
      <vt:variant>
        <vt:i4>0</vt:i4>
      </vt:variant>
      <vt:variant>
        <vt:i4>5</vt:i4>
      </vt:variant>
      <vt:variant>
        <vt:lpwstr>https://cinea.ec.europa.eu/programmes/life/life-legal-basis/life-multiannual-work-programme-2025-2027_en</vt:lpwstr>
      </vt:variant>
      <vt:variant>
        <vt:lpwstr/>
      </vt:variant>
      <vt:variant>
        <vt:i4>655367</vt:i4>
      </vt:variant>
      <vt:variant>
        <vt:i4>45</vt:i4>
      </vt:variant>
      <vt:variant>
        <vt:i4>0</vt:i4>
      </vt:variant>
      <vt:variant>
        <vt:i4>5</vt:i4>
      </vt:variant>
      <vt:variant>
        <vt:lpwstr>https://eur-lex.europa.eu/legal-content/EN/TXT/?uri=CELEX%3A52025DC0274&amp;qid=1769767810018</vt:lpwstr>
      </vt:variant>
      <vt:variant>
        <vt:lpwstr/>
      </vt:variant>
      <vt:variant>
        <vt:i4>4063264</vt:i4>
      </vt:variant>
      <vt:variant>
        <vt:i4>42</vt:i4>
      </vt:variant>
      <vt:variant>
        <vt:i4>0</vt:i4>
      </vt:variant>
      <vt:variant>
        <vt:i4>5</vt:i4>
      </vt:variant>
      <vt:variant>
        <vt:lpwstr>https://ec.europa.eu/eurostat/databrowser/product/page/sdg_07_60</vt:lpwstr>
      </vt:variant>
      <vt:variant>
        <vt:lpwstr/>
      </vt:variant>
      <vt:variant>
        <vt:i4>2097250</vt:i4>
      </vt:variant>
      <vt:variant>
        <vt:i4>39</vt:i4>
      </vt:variant>
      <vt:variant>
        <vt:i4>0</vt:i4>
      </vt:variant>
      <vt:variant>
        <vt:i4>5</vt:i4>
      </vt:variant>
      <vt:variant>
        <vt:lpwstr>https://europa.eu/eurobarometer/surveys/detail/3354</vt:lpwstr>
      </vt:variant>
      <vt:variant>
        <vt:lpwstr/>
      </vt:variant>
      <vt:variant>
        <vt:i4>2097250</vt:i4>
      </vt:variant>
      <vt:variant>
        <vt:i4>36</vt:i4>
      </vt:variant>
      <vt:variant>
        <vt:i4>0</vt:i4>
      </vt:variant>
      <vt:variant>
        <vt:i4>5</vt:i4>
      </vt:variant>
      <vt:variant>
        <vt:lpwstr>https://europa.eu/eurobarometer/surveys/detail/3354</vt:lpwstr>
      </vt:variant>
      <vt:variant>
        <vt:lpwstr/>
      </vt:variant>
      <vt:variant>
        <vt:i4>524306</vt:i4>
      </vt:variant>
      <vt:variant>
        <vt:i4>33</vt:i4>
      </vt:variant>
      <vt:variant>
        <vt:i4>0</vt:i4>
      </vt:variant>
      <vt:variant>
        <vt:i4>5</vt:i4>
      </vt:variant>
      <vt:variant>
        <vt:lpwstr>https://www.dnv.com/publications/demand-side-flexibility-quantification-of-benefits-in-the-eu-232342/</vt:lpwstr>
      </vt:variant>
      <vt:variant>
        <vt:lpwstr/>
      </vt:variant>
      <vt:variant>
        <vt:i4>2228336</vt:i4>
      </vt:variant>
      <vt:variant>
        <vt:i4>30</vt:i4>
      </vt:variant>
      <vt:variant>
        <vt:i4>0</vt:i4>
      </vt:variant>
      <vt:variant>
        <vt:i4>5</vt:i4>
      </vt:variant>
      <vt:variant>
        <vt:lpwstr>https://www.acer.europa.eu/sites/default/files/documents/Publications/ACER-CEER-2025-Retail-monitoring.pdf</vt:lpwstr>
      </vt:variant>
      <vt:variant>
        <vt:lpwstr/>
      </vt:variant>
      <vt:variant>
        <vt:i4>5242893</vt:i4>
      </vt:variant>
      <vt:variant>
        <vt:i4>27</vt:i4>
      </vt:variant>
      <vt:variant>
        <vt:i4>0</vt:i4>
      </vt:variant>
      <vt:variant>
        <vt:i4>5</vt:i4>
      </vt:variant>
      <vt:variant>
        <vt:lpwstr>https://www.acer.europa.eu/sites/default/files/documents/Publications/MMR_2021_Energy_Retail_Consumer_Protection_Volume.pdf</vt:lpwstr>
      </vt:variant>
      <vt:variant>
        <vt:lpwstr/>
      </vt:variant>
      <vt:variant>
        <vt:i4>1441822</vt:i4>
      </vt:variant>
      <vt:variant>
        <vt:i4>24</vt:i4>
      </vt:variant>
      <vt:variant>
        <vt:i4>0</vt:i4>
      </vt:variant>
      <vt:variant>
        <vt:i4>5</vt:i4>
      </vt:variant>
      <vt:variant>
        <vt:lpwstr>https://europa.eu/eurobarometer/surveys/detail/3229?etrans=hr</vt:lpwstr>
      </vt:variant>
      <vt:variant>
        <vt:lpwstr/>
      </vt:variant>
      <vt:variant>
        <vt:i4>7536728</vt:i4>
      </vt:variant>
      <vt:variant>
        <vt:i4>21</vt:i4>
      </vt:variant>
      <vt:variant>
        <vt:i4>0</vt:i4>
      </vt:variant>
      <vt:variant>
        <vt:i4>5</vt:i4>
      </vt:variant>
      <vt:variant>
        <vt:lpwstr>https://ec.europa.eu/eurostat/statistics-explained/index.php?title=Energy_consumption_in_households</vt:lpwstr>
      </vt:variant>
      <vt:variant>
        <vt:lpwstr/>
      </vt:variant>
      <vt:variant>
        <vt:i4>90</vt:i4>
      </vt:variant>
      <vt:variant>
        <vt:i4>18</vt:i4>
      </vt:variant>
      <vt:variant>
        <vt:i4>0</vt:i4>
      </vt:variant>
      <vt:variant>
        <vt:i4>5</vt:i4>
      </vt:variant>
      <vt:variant>
        <vt:lpwstr>https://energy.ec.europa.eu/document/download/d911cc86-121d-445c-bd27-a14098ede7e2_en?filename=C_2025_4010_1_EN_ACT_part1_v3.pdf</vt:lpwstr>
      </vt:variant>
      <vt:variant>
        <vt:lpwstr/>
      </vt:variant>
      <vt:variant>
        <vt:i4>3801134</vt:i4>
      </vt:variant>
      <vt:variant>
        <vt:i4>15</vt:i4>
      </vt:variant>
      <vt:variant>
        <vt:i4>0</vt:i4>
      </vt:variant>
      <vt:variant>
        <vt:i4>5</vt:i4>
      </vt:variant>
      <vt:variant>
        <vt:lpwstr>https://ec.europa.eu/regional_policy/information-sources/publications/communications/2025/eu-agenda-for-cities-2025_en</vt:lpwstr>
      </vt:variant>
      <vt:variant>
        <vt:lpwstr/>
      </vt:variant>
      <vt:variant>
        <vt:i4>196614</vt:i4>
      </vt:variant>
      <vt:variant>
        <vt:i4>12</vt:i4>
      </vt:variant>
      <vt:variant>
        <vt:i4>0</vt:i4>
      </vt:variant>
      <vt:variant>
        <vt:i4>5</vt:i4>
      </vt:variant>
      <vt:variant>
        <vt:lpwstr>https://eur-lex.europa.eu/legal-content/EN/TXT/?uri=CELEX%3A52025DC1005&amp;qid=1770212329024</vt:lpwstr>
      </vt:variant>
      <vt:variant>
        <vt:lpwstr/>
      </vt:variant>
      <vt:variant>
        <vt:i4>2097153</vt:i4>
      </vt:variant>
      <vt:variant>
        <vt:i4>9</vt:i4>
      </vt:variant>
      <vt:variant>
        <vt:i4>0</vt:i4>
      </vt:variant>
      <vt:variant>
        <vt:i4>5</vt:i4>
      </vt:variant>
      <vt:variant>
        <vt:lpwstr>https://housing.ec.europa.eu/document/download/756915b5-d1b1-4bde-ac82-03532d2d3d90_en?filename=0.pdf</vt:lpwstr>
      </vt:variant>
      <vt:variant>
        <vt:lpwstr/>
      </vt:variant>
      <vt:variant>
        <vt:i4>327689</vt:i4>
      </vt:variant>
      <vt:variant>
        <vt:i4>6</vt:i4>
      </vt:variant>
      <vt:variant>
        <vt:i4>0</vt:i4>
      </vt:variant>
      <vt:variant>
        <vt:i4>5</vt:i4>
      </vt:variant>
      <vt:variant>
        <vt:lpwstr>https://eur-lex.europa.eu/legal-content/EN/TXT/?uri=CELEX%3A52025DC0079&amp;qid=1741780110418</vt:lpwstr>
      </vt:variant>
      <vt:variant>
        <vt:lpwstr/>
      </vt:variant>
      <vt:variant>
        <vt:i4>524305</vt:i4>
      </vt:variant>
      <vt:variant>
        <vt:i4>3</vt:i4>
      </vt:variant>
      <vt:variant>
        <vt:i4>0</vt:i4>
      </vt:variant>
      <vt:variant>
        <vt:i4>5</vt:i4>
      </vt:variant>
      <vt:variant>
        <vt:lpwstr>https://eur-lex.europa.eu/legal-content/EN/TXT/?uri=CELEX:52025DC0085</vt:lpwstr>
      </vt:variant>
      <vt:variant>
        <vt:lpwstr/>
      </vt:variant>
      <vt:variant>
        <vt:i4>2097250</vt:i4>
      </vt:variant>
      <vt:variant>
        <vt:i4>0</vt:i4>
      </vt:variant>
      <vt:variant>
        <vt:i4>0</vt:i4>
      </vt:variant>
      <vt:variant>
        <vt:i4>5</vt:i4>
      </vt:variant>
      <vt:variant>
        <vt:lpwstr>https://europa.eu/eurobarometer/surveys/detail/3354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2026-03-10T10:18:00Z</dcterms:created>
  <dcterms:modified xsi:type="dcterms:W3CDTF">2026-03-10T16:59:00Z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2026-03-10T09:40:55Z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b9f8ed37-74e6-4e79-9256-e570e9087ef8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CP-012</vt:lpwstr>
  </property>
  <property name="OP_sanitized" fmtid="{D5CDD505-2E9C-101B-9397-08002B2CF9AE}" pid="16">
    <vt:lpwstr>True</vt:lpwstr>
  </property>
</Properties>
</file>