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25D1B" w14:textId="527E47EC" w:rsidR="009D65C7" w:rsidRDefault="002235F2" w:rsidP="002235F2">
      <w:pPr>
        <w:pStyle w:val="Pagedecouverture"/>
        <w:rPr>
          <w:noProof/>
        </w:rPr>
      </w:pPr>
      <w:bookmarkStart w:id="0" w:name="LW_BM_COVERPAGE"/>
      <w:r>
        <w:rPr>
          <w:noProof/>
        </w:rPr>
        <w:pict w14:anchorId="0B708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C20348D-8FCC-47FD-B621-2041DD175776" style="width:455.25pt;height:405.75pt">
            <v:imagedata r:id="rId8" o:title=""/>
          </v:shape>
        </w:pict>
      </w:r>
    </w:p>
    <w:bookmarkEnd w:id="0"/>
    <w:p w14:paraId="2FCAB8FD" w14:textId="77777777" w:rsidR="009D65C7" w:rsidRDefault="009D65C7" w:rsidP="009D65C7">
      <w:pPr>
        <w:rPr>
          <w:noProof/>
        </w:rPr>
        <w:sectPr w:rsidR="009D65C7" w:rsidSect="002235F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F279622" w14:textId="77777777" w:rsidR="00A0127E" w:rsidRPr="00613163" w:rsidRDefault="00A0127E" w:rsidP="00A0127E">
      <w:pPr>
        <w:pStyle w:val="Heading1"/>
        <w:rPr>
          <w:noProof/>
        </w:rPr>
      </w:pPr>
      <w:bookmarkStart w:id="1" w:name="_GoBack"/>
      <w:bookmarkEnd w:id="1"/>
      <w:r>
        <w:rPr>
          <w:noProof/>
        </w:rPr>
        <w:lastRenderedPageBreak/>
        <w:t>Forord</w:t>
      </w:r>
      <w:r>
        <w:rPr>
          <w:rStyle w:val="FootnoteReference"/>
          <w:noProof/>
        </w:rPr>
        <w:footnoteReference w:id="1"/>
      </w:r>
    </w:p>
    <w:p w14:paraId="7CB7501E" w14:textId="4B967E9E" w:rsidR="00A0127E" w:rsidRPr="00613163" w:rsidRDefault="00A0127E" w:rsidP="00A0127E">
      <w:pPr>
        <w:pStyle w:val="Text1"/>
        <w:rPr>
          <w:noProof/>
        </w:rPr>
      </w:pPr>
      <w:r>
        <w:rPr>
          <w:noProof/>
        </w:rPr>
        <w:t>I henhold til artikel 19, stk. 4, i Rådets forordning (EU) 2018/1877</w:t>
      </w:r>
      <w:r w:rsidRPr="00613163">
        <w:rPr>
          <w:rStyle w:val="FootnoteReference"/>
          <w:noProof/>
        </w:rPr>
        <w:footnoteReference w:id="2"/>
      </w:r>
      <w:r>
        <w:rPr>
          <w:noProof/>
        </w:rPr>
        <w:t xml:space="preserve"> om finansforordningen for 11. Europæiske Udviklingsfond (i det følgende benævnt "finansforordningen for 11. EUF") forelægger Kommissionen under hensyntagen til Den Europæiske Investeringsbanks ("EIB's") overslag i dette dokument en redegørelse for betalinger og bidrag, der har fundet sted i 2024, og som skal finde sted i 2025-2026.</w:t>
      </w:r>
    </w:p>
    <w:p w14:paraId="1F8990D4" w14:textId="4C9F5A3B" w:rsidR="00A0127E" w:rsidRPr="00613163" w:rsidRDefault="00A0127E" w:rsidP="00A0127E">
      <w:pPr>
        <w:pStyle w:val="Text1"/>
        <w:rPr>
          <w:noProof/>
        </w:rPr>
      </w:pPr>
      <w:r>
        <w:rPr>
          <w:noProof/>
        </w:rPr>
        <w:t>Dette dokument omhandler den finansielle gennemførelse af EUF'erne (9.-11.) for 2024 og overslagene for gennemførelsen for 2025 og 2026.</w:t>
      </w:r>
    </w:p>
    <w:p w14:paraId="7B85C74A" w14:textId="38532717" w:rsidR="00A0127E" w:rsidRDefault="00A0127E" w:rsidP="00A0127E">
      <w:pPr>
        <w:pStyle w:val="Text1"/>
        <w:rPr>
          <w:noProof/>
        </w:rPr>
      </w:pPr>
      <w:r>
        <w:rPr>
          <w:noProof/>
        </w:rPr>
        <w:t xml:space="preserve">Parterne i Den Europæiske Udviklingsfond betaler deres bidrag til de instrumenter under 9., 10. og 11. EUF, som EIB forvalter (investeringsfaciliteten og rentegodtgørelser), direkte til EIB. </w:t>
      </w:r>
    </w:p>
    <w:p w14:paraId="563B5D83" w14:textId="199564F7" w:rsidR="00A0127E" w:rsidRDefault="00A0127E" w:rsidP="00A0127E">
      <w:pPr>
        <w:pStyle w:val="Text1"/>
        <w:rPr>
          <w:noProof/>
        </w:rPr>
      </w:pPr>
    </w:p>
    <w:p w14:paraId="3E7F5FB4" w14:textId="465AD694" w:rsidR="00A0127E" w:rsidRPr="00613163" w:rsidRDefault="00A0127E" w:rsidP="00A0127E">
      <w:pPr>
        <w:pStyle w:val="Heading1"/>
        <w:rPr>
          <w:noProof/>
        </w:rPr>
      </w:pPr>
      <w:r>
        <w:rPr>
          <w:noProof/>
        </w:rPr>
        <w:t>Indledning</w:t>
      </w:r>
    </w:p>
    <w:p w14:paraId="3787528F" w14:textId="4A137C1F" w:rsidR="00A0127E" w:rsidRPr="00613163" w:rsidRDefault="00A0127E" w:rsidP="00A0127E">
      <w:pPr>
        <w:pStyle w:val="Text1"/>
        <w:rPr>
          <w:noProof/>
        </w:rPr>
      </w:pPr>
      <w:r>
        <w:rPr>
          <w:noProof/>
        </w:rPr>
        <w:t>Kommissionen og EIB har ajourført deres overslag for 2025 og 2026 for landene i Afrika, Caribien og Stillehavet ("ACS") og de oversøiske lande og territorier ("OLT"). Navnlig er overslagene over betalingerne blevet udarbejdet med henblik på at hjælpe parterne i Den Europæiske Udviklingsfond til så nøjagtigt som muligt at vurdere de beløb, de skal afsætte i deres nationale budgetter, og samtidig sikre, at der er tilstrækkelige finansielle ressourcer til rådighed for EUF, således at problemer med manglende likviditet kan undgås.</w:t>
      </w:r>
    </w:p>
    <w:p w14:paraId="5D770D71" w14:textId="14D646F9" w:rsidR="00A0127E" w:rsidRPr="00613163" w:rsidRDefault="00A0127E" w:rsidP="00A0127E">
      <w:pPr>
        <w:pStyle w:val="Text1"/>
        <w:rPr>
          <w:noProof/>
        </w:rPr>
      </w:pPr>
      <w:r>
        <w:rPr>
          <w:noProof/>
        </w:rPr>
        <w:t>I henhold til artikel 19, stk. 4, i finansforordningen for 11. EUF er skønnene over forpligtelser og betalinger blevet ajourført på grundlag af de seneste overslag.</w:t>
      </w:r>
    </w:p>
    <w:p w14:paraId="3B4B8B8E" w14:textId="2E41D244" w:rsidR="00A0127E" w:rsidRDefault="00A0127E" w:rsidP="00A0127E">
      <w:pPr>
        <w:pStyle w:val="Text1"/>
        <w:rPr>
          <w:noProof/>
        </w:rPr>
      </w:pPr>
      <w:r>
        <w:rPr>
          <w:noProof/>
        </w:rPr>
        <w:t>Nedenstående graf giver et generelt overblik over udviklingen i bruttoforpligtelser og -betalinger fra 1999 til 2024 og den forventede udvikling for perioden 2025-2026 (kumulerede beløb for Kommissionen og EIB).</w:t>
      </w:r>
    </w:p>
    <w:p w14:paraId="0F2A0D98" w14:textId="77777777" w:rsidR="00110FC7" w:rsidRDefault="00110FC7" w:rsidP="00A0127E">
      <w:pPr>
        <w:rPr>
          <w:rFonts w:ascii="Times New Roman" w:hAnsi="Times New Roman" w:cs="Times New Roman"/>
          <w:b/>
          <w:noProof/>
          <w:sz w:val="24"/>
          <w:szCs w:val="24"/>
        </w:rPr>
      </w:pPr>
    </w:p>
    <w:p w14:paraId="667B8123" w14:textId="77777777" w:rsidR="00110FC7" w:rsidRDefault="00110FC7" w:rsidP="00A0127E">
      <w:pPr>
        <w:rPr>
          <w:rFonts w:ascii="Times New Roman" w:hAnsi="Times New Roman" w:cs="Times New Roman"/>
          <w:b/>
          <w:noProof/>
          <w:sz w:val="24"/>
          <w:szCs w:val="24"/>
        </w:rPr>
      </w:pPr>
    </w:p>
    <w:p w14:paraId="6411E8FC" w14:textId="77777777" w:rsidR="00110FC7" w:rsidRDefault="00110FC7" w:rsidP="00A0127E">
      <w:pPr>
        <w:rPr>
          <w:rFonts w:ascii="Times New Roman" w:hAnsi="Times New Roman" w:cs="Times New Roman"/>
          <w:b/>
          <w:noProof/>
          <w:sz w:val="24"/>
          <w:szCs w:val="24"/>
        </w:rPr>
      </w:pPr>
    </w:p>
    <w:p w14:paraId="0590FDF1" w14:textId="77777777" w:rsidR="00110FC7" w:rsidRDefault="00110FC7" w:rsidP="00A0127E">
      <w:pPr>
        <w:rPr>
          <w:rFonts w:ascii="Times New Roman" w:hAnsi="Times New Roman" w:cs="Times New Roman"/>
          <w:b/>
          <w:noProof/>
          <w:sz w:val="24"/>
          <w:szCs w:val="24"/>
        </w:rPr>
      </w:pPr>
    </w:p>
    <w:p w14:paraId="73CD0D20" w14:textId="77777777" w:rsidR="00110FC7" w:rsidRDefault="00110FC7" w:rsidP="00A0127E">
      <w:pPr>
        <w:rPr>
          <w:rFonts w:ascii="Times New Roman" w:hAnsi="Times New Roman" w:cs="Times New Roman"/>
          <w:b/>
          <w:noProof/>
          <w:sz w:val="24"/>
          <w:szCs w:val="24"/>
        </w:rPr>
      </w:pPr>
    </w:p>
    <w:p w14:paraId="5ECF0433" w14:textId="77777777" w:rsidR="00110FC7" w:rsidRDefault="00110FC7" w:rsidP="00A0127E">
      <w:pPr>
        <w:rPr>
          <w:rFonts w:ascii="Times New Roman" w:hAnsi="Times New Roman" w:cs="Times New Roman"/>
          <w:b/>
          <w:noProof/>
          <w:sz w:val="24"/>
          <w:szCs w:val="24"/>
        </w:rPr>
      </w:pPr>
    </w:p>
    <w:p w14:paraId="11C85C96" w14:textId="77777777" w:rsidR="00410660" w:rsidRDefault="00410660" w:rsidP="00A0127E">
      <w:pPr>
        <w:rPr>
          <w:rFonts w:ascii="Times New Roman" w:hAnsi="Times New Roman" w:cs="Times New Roman"/>
          <w:b/>
          <w:noProof/>
          <w:sz w:val="24"/>
          <w:szCs w:val="24"/>
        </w:rPr>
      </w:pPr>
    </w:p>
    <w:p w14:paraId="43EDF450" w14:textId="77777777" w:rsidR="00E514AE" w:rsidRDefault="00E514AE" w:rsidP="00A0127E">
      <w:pPr>
        <w:rPr>
          <w:rFonts w:ascii="Times New Roman" w:hAnsi="Times New Roman" w:cs="Times New Roman"/>
          <w:b/>
          <w:noProof/>
          <w:sz w:val="24"/>
          <w:szCs w:val="24"/>
        </w:rPr>
      </w:pPr>
    </w:p>
    <w:p w14:paraId="381CB729" w14:textId="77777777" w:rsidR="00410660" w:rsidRDefault="00410660" w:rsidP="00A0127E">
      <w:pPr>
        <w:rPr>
          <w:rFonts w:ascii="Times New Roman" w:hAnsi="Times New Roman" w:cs="Times New Roman"/>
          <w:b/>
          <w:noProof/>
          <w:sz w:val="24"/>
          <w:szCs w:val="24"/>
        </w:rPr>
      </w:pPr>
    </w:p>
    <w:p w14:paraId="7933A0BC" w14:textId="4E94A8CE" w:rsidR="00A0127E" w:rsidRDefault="00A0127E" w:rsidP="00A0127E">
      <w:pPr>
        <w:rPr>
          <w:rFonts w:ascii="Times New Roman" w:hAnsi="Times New Roman" w:cs="Times New Roman"/>
          <w:b/>
          <w:noProof/>
          <w:sz w:val="24"/>
          <w:szCs w:val="24"/>
        </w:rPr>
      </w:pPr>
      <w:r>
        <w:rPr>
          <w:rFonts w:ascii="Times New Roman" w:hAnsi="Times New Roman"/>
          <w:b/>
          <w:noProof/>
          <w:sz w:val="24"/>
        </w:rPr>
        <w:t>Bruttoforpligtelser og -betalinger: udvikling 1999-2026 (mio. EUR)</w:t>
      </w:r>
    </w:p>
    <w:p w14:paraId="4CAA35CC" w14:textId="0EDCD5B8" w:rsidR="00A0127E" w:rsidRPr="00613163" w:rsidRDefault="00047221" w:rsidP="008F1ADD">
      <w:pPr>
        <w:tabs>
          <w:tab w:val="left" w:pos="4253"/>
        </w:tabs>
        <w:ind w:left="-426"/>
        <w:rPr>
          <w:rFonts w:ascii="Times New Roman" w:hAnsi="Times New Roman" w:cs="Times New Roman"/>
          <w:b/>
          <w:noProof/>
          <w:sz w:val="24"/>
          <w:szCs w:val="24"/>
        </w:rPr>
      </w:pPr>
      <w:r>
        <w:rPr>
          <w:noProof/>
          <w:lang w:val="en-GB" w:eastAsia="en-GB"/>
        </w:rPr>
        <w:drawing>
          <wp:inline distT="0" distB="0" distL="0" distR="0" wp14:anchorId="48FFBF12" wp14:editId="248443DB">
            <wp:extent cx="6257925" cy="2858303"/>
            <wp:effectExtent l="0" t="0" r="0" b="0"/>
            <wp:docPr id="169541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16744" name=""/>
                    <pic:cNvPicPr/>
                  </pic:nvPicPr>
                  <pic:blipFill rotWithShape="1">
                    <a:blip r:embed="rId15"/>
                    <a:srcRect l="2659"/>
                    <a:stretch/>
                  </pic:blipFill>
                  <pic:spPr bwMode="auto">
                    <a:xfrm>
                      <a:off x="0" y="0"/>
                      <a:ext cx="6273440" cy="2865389"/>
                    </a:xfrm>
                    <a:prstGeom prst="rect">
                      <a:avLst/>
                    </a:prstGeom>
                    <a:ln>
                      <a:noFill/>
                    </a:ln>
                    <a:extLst>
                      <a:ext uri="{53640926-AAD7-44D8-BBD7-CCE9431645EC}">
                        <a14:shadowObscured xmlns:a14="http://schemas.microsoft.com/office/drawing/2010/main"/>
                      </a:ext>
                    </a:extLst>
                  </pic:spPr>
                </pic:pic>
              </a:graphicData>
            </a:graphic>
          </wp:inline>
        </w:drawing>
      </w:r>
    </w:p>
    <w:p w14:paraId="38DEA35C" w14:textId="720A5E67" w:rsidR="00A0127E" w:rsidRDefault="00A0127E" w:rsidP="00A0127E">
      <w:pPr>
        <w:pStyle w:val="Text1"/>
        <w:ind w:left="0"/>
        <w:rPr>
          <w:noProof/>
          <w:sz w:val="14"/>
          <w:szCs w:val="14"/>
        </w:rPr>
      </w:pPr>
      <w:r>
        <w:rPr>
          <w:noProof/>
          <w:sz w:val="14"/>
        </w:rPr>
        <w:t>Bemærk: Tal for gennemførelsen af de europæiske udviklingsfonde indtil 31. december 2024 (forpligtelser og betalinger) og overslag for 2025-2026.</w:t>
      </w:r>
      <w:r>
        <w:rPr>
          <w:noProof/>
        </w:rPr>
        <w:t xml:space="preserve"> </w:t>
      </w:r>
      <w:r>
        <w:rPr>
          <w:noProof/>
          <w:sz w:val="14"/>
        </w:rPr>
        <w:t>Da udløbsklausulen for 11. EUF udløb den 31.12.2020, er der ingen nye forpligtelser med undtagelse af:</w:t>
      </w:r>
    </w:p>
    <w:p w14:paraId="502DC881" w14:textId="34414BFD" w:rsidR="00A0127E" w:rsidRDefault="00A0127E" w:rsidP="008824E3">
      <w:pPr>
        <w:pStyle w:val="Text1"/>
        <w:ind w:left="0"/>
        <w:rPr>
          <w:noProof/>
          <w:sz w:val="14"/>
          <w:szCs w:val="14"/>
        </w:rPr>
      </w:pPr>
      <w:r>
        <w:rPr>
          <w:noProof/>
          <w:sz w:val="14"/>
        </w:rPr>
        <w:t xml:space="preserve">1) de midler, der hidrører fra tilbageførsler under AVS-investeringsfaciliteten fra transaktioner under 9., 10. og 11. EUF (jf. forlængelsen af investeringsfaciliteten indtil 2021 ved Rådets afgørelse 2020/2233), og </w:t>
      </w:r>
    </w:p>
    <w:p w14:paraId="0771CCAA" w14:textId="25E6B858" w:rsidR="00A0127E" w:rsidRPr="003E6879" w:rsidRDefault="00574C19" w:rsidP="008824E3">
      <w:pPr>
        <w:pStyle w:val="Text1"/>
        <w:ind w:left="0"/>
        <w:rPr>
          <w:noProof/>
          <w:sz w:val="14"/>
          <w:szCs w:val="14"/>
        </w:rPr>
      </w:pPr>
      <w:r>
        <w:rPr>
          <w:noProof/>
          <w:sz w:val="14"/>
        </w:rPr>
        <w:t xml:space="preserve"> 2) disponering over de midler, der hidrører fra genanvendelsen af reserven under den 10. og 11. EUF i henhold til Rådets afgørelse 2022/1223 (side 147), med henblik på de særlige foranstaltninger i forbindelse med EU's reaktion på fødevaresikkerhedskrisen og det økonomiske chok i landene i Afrika, Caribien og Stillehavet (ACS) som følge af Ruslands angrebskrig mod Ukraine.</w:t>
      </w:r>
    </w:p>
    <w:p w14:paraId="33C55A65" w14:textId="13CB6A19" w:rsidR="00A0127E" w:rsidRDefault="00A0127E">
      <w:pPr>
        <w:rPr>
          <w:noProof/>
        </w:rPr>
      </w:pPr>
    </w:p>
    <w:p w14:paraId="352996DB" w14:textId="0E668B0D" w:rsidR="00B80A74" w:rsidRPr="00613163" w:rsidRDefault="00B80A74" w:rsidP="00B80A74">
      <w:pPr>
        <w:pStyle w:val="Heading1"/>
        <w:tabs>
          <w:tab w:val="num" w:pos="0"/>
        </w:tabs>
        <w:ind w:left="0" w:firstLine="0"/>
        <w:rPr>
          <w:noProof/>
        </w:rPr>
      </w:pPr>
      <w:bookmarkStart w:id="2" w:name="_Hlk133867905"/>
      <w:r>
        <w:rPr>
          <w:noProof/>
        </w:rPr>
        <w:t xml:space="preserve">Faktiske tal for 2024 og overslag for 2025-2026 </w:t>
      </w:r>
      <w:bookmarkEnd w:id="2"/>
      <w:r>
        <w:rPr>
          <w:noProof/>
        </w:rPr>
        <w:t>(mio. EUR)</w:t>
      </w:r>
    </w:p>
    <w:p w14:paraId="178D11F3" w14:textId="77777777" w:rsidR="00A0127E" w:rsidRDefault="00A0127E" w:rsidP="00A0127E">
      <w:pPr>
        <w:pStyle w:val="Text1"/>
        <w:rPr>
          <w:noProof/>
        </w:rPr>
      </w:pPr>
      <w:r>
        <w:rPr>
          <w:noProof/>
        </w:rPr>
        <w:t>Følgende tabel indeholder en ajourført oversigt over forpligtelser, betalinger og bidrag baseret på Kommissionens seneste overslag.</w:t>
      </w:r>
    </w:p>
    <w:tbl>
      <w:tblPr>
        <w:tblW w:w="7680" w:type="dxa"/>
        <w:tblLook w:val="04A0" w:firstRow="1" w:lastRow="0" w:firstColumn="1" w:lastColumn="0" w:noHBand="0" w:noVBand="1"/>
      </w:tblPr>
      <w:tblGrid>
        <w:gridCol w:w="1613"/>
        <w:gridCol w:w="2918"/>
        <w:gridCol w:w="1134"/>
        <w:gridCol w:w="895"/>
        <w:gridCol w:w="1120"/>
      </w:tblGrid>
      <w:tr w:rsidR="00174BF6" w:rsidRPr="00174BF6" w14:paraId="1D927FEB" w14:textId="77777777" w:rsidTr="00F87700">
        <w:trPr>
          <w:trHeight w:val="480"/>
        </w:trPr>
        <w:tc>
          <w:tcPr>
            <w:tcW w:w="4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1EF626" w14:textId="32B538CC" w:rsidR="00F87700" w:rsidRPr="00174BF6" w:rsidRDefault="00174BF6" w:rsidP="00F87700">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Faktiske tal for 2024 og overslag for 2025-2026*</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AD5D676"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2024</w:t>
            </w:r>
          </w:p>
        </w:tc>
        <w:tc>
          <w:tcPr>
            <w:tcW w:w="89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89151B9"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8EC6A"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2026</w:t>
            </w:r>
          </w:p>
        </w:tc>
      </w:tr>
      <w:tr w:rsidR="00174BF6" w:rsidRPr="00174BF6" w14:paraId="1255FF8B" w14:textId="77777777" w:rsidTr="00F87700">
        <w:trPr>
          <w:trHeight w:val="360"/>
        </w:trPr>
        <w:tc>
          <w:tcPr>
            <w:tcW w:w="1613" w:type="dxa"/>
            <w:tcBorders>
              <w:top w:val="nil"/>
              <w:left w:val="single" w:sz="8" w:space="0" w:color="auto"/>
              <w:bottom w:val="nil"/>
              <w:right w:val="single" w:sz="4" w:space="0" w:color="auto"/>
            </w:tcBorders>
            <w:shd w:val="clear" w:color="auto" w:fill="auto"/>
            <w:noWrap/>
            <w:vAlign w:val="bottom"/>
            <w:hideMark/>
          </w:tcPr>
          <w:p w14:paraId="184212F2"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Forpligtelser</w:t>
            </w:r>
          </w:p>
        </w:tc>
        <w:tc>
          <w:tcPr>
            <w:tcW w:w="2918" w:type="dxa"/>
            <w:tcBorders>
              <w:top w:val="nil"/>
              <w:left w:val="nil"/>
              <w:bottom w:val="nil"/>
              <w:right w:val="nil"/>
            </w:tcBorders>
            <w:shd w:val="clear" w:color="auto" w:fill="auto"/>
            <w:noWrap/>
            <w:vAlign w:val="bottom"/>
            <w:hideMark/>
          </w:tcPr>
          <w:p w14:paraId="39DD86B6"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w:t>
            </w:r>
          </w:p>
        </w:tc>
        <w:tc>
          <w:tcPr>
            <w:tcW w:w="1134" w:type="dxa"/>
            <w:tcBorders>
              <w:top w:val="nil"/>
              <w:left w:val="single" w:sz="8" w:space="0" w:color="auto"/>
              <w:bottom w:val="nil"/>
              <w:right w:val="single" w:sz="8" w:space="0" w:color="auto"/>
            </w:tcBorders>
            <w:shd w:val="clear" w:color="auto" w:fill="auto"/>
            <w:noWrap/>
            <w:vAlign w:val="bottom"/>
            <w:hideMark/>
          </w:tcPr>
          <w:p w14:paraId="0285C1D2"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895" w:type="dxa"/>
            <w:tcBorders>
              <w:top w:val="nil"/>
              <w:left w:val="nil"/>
              <w:bottom w:val="nil"/>
              <w:right w:val="single" w:sz="8" w:space="0" w:color="auto"/>
            </w:tcBorders>
            <w:shd w:val="clear" w:color="auto" w:fill="auto"/>
            <w:noWrap/>
            <w:vAlign w:val="bottom"/>
            <w:hideMark/>
          </w:tcPr>
          <w:p w14:paraId="606956A0"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1120" w:type="dxa"/>
            <w:tcBorders>
              <w:top w:val="nil"/>
              <w:left w:val="nil"/>
              <w:bottom w:val="nil"/>
              <w:right w:val="single" w:sz="4" w:space="0" w:color="auto"/>
            </w:tcBorders>
            <w:shd w:val="clear" w:color="auto" w:fill="auto"/>
            <w:noWrap/>
            <w:vAlign w:val="bottom"/>
            <w:hideMark/>
          </w:tcPr>
          <w:p w14:paraId="442D20F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174BF6" w:rsidRPr="00174BF6" w14:paraId="22D24794"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0839353E"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15BC326A"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w:t>
            </w:r>
          </w:p>
        </w:tc>
        <w:tc>
          <w:tcPr>
            <w:tcW w:w="1134" w:type="dxa"/>
            <w:tcBorders>
              <w:top w:val="nil"/>
              <w:left w:val="single" w:sz="8" w:space="0" w:color="auto"/>
              <w:bottom w:val="nil"/>
              <w:right w:val="single" w:sz="8" w:space="0" w:color="auto"/>
            </w:tcBorders>
            <w:shd w:val="clear" w:color="auto" w:fill="auto"/>
            <w:noWrap/>
            <w:vAlign w:val="bottom"/>
            <w:hideMark/>
          </w:tcPr>
          <w:p w14:paraId="6FE6CA65"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895" w:type="dxa"/>
            <w:tcBorders>
              <w:top w:val="nil"/>
              <w:left w:val="nil"/>
              <w:bottom w:val="nil"/>
              <w:right w:val="single" w:sz="8" w:space="0" w:color="auto"/>
            </w:tcBorders>
            <w:shd w:val="clear" w:color="auto" w:fill="auto"/>
            <w:noWrap/>
            <w:vAlign w:val="bottom"/>
            <w:hideMark/>
          </w:tcPr>
          <w:p w14:paraId="03EF863F"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1120" w:type="dxa"/>
            <w:tcBorders>
              <w:top w:val="nil"/>
              <w:left w:val="nil"/>
              <w:bottom w:val="nil"/>
              <w:right w:val="single" w:sz="4" w:space="0" w:color="auto"/>
            </w:tcBorders>
            <w:shd w:val="clear" w:color="auto" w:fill="auto"/>
            <w:noWrap/>
            <w:vAlign w:val="bottom"/>
            <w:hideMark/>
          </w:tcPr>
          <w:p w14:paraId="16FDD49D"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174BF6" w:rsidRPr="00174BF6" w14:paraId="76A1C5DF" w14:textId="77777777" w:rsidTr="00F87700">
        <w:trPr>
          <w:trHeight w:val="300"/>
        </w:trPr>
        <w:tc>
          <w:tcPr>
            <w:tcW w:w="1613" w:type="dxa"/>
            <w:tcBorders>
              <w:top w:val="nil"/>
              <w:left w:val="single" w:sz="8" w:space="0" w:color="auto"/>
              <w:bottom w:val="single" w:sz="8" w:space="0" w:color="auto"/>
              <w:right w:val="single" w:sz="4" w:space="0" w:color="auto"/>
            </w:tcBorders>
            <w:shd w:val="clear" w:color="auto" w:fill="auto"/>
            <w:noWrap/>
            <w:vAlign w:val="bottom"/>
            <w:hideMark/>
          </w:tcPr>
          <w:p w14:paraId="7810C99C"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single" w:sz="8" w:space="0" w:color="auto"/>
              <w:right w:val="nil"/>
            </w:tcBorders>
            <w:shd w:val="clear" w:color="auto" w:fill="auto"/>
            <w:noWrap/>
            <w:vAlign w:val="bottom"/>
            <w:hideMark/>
          </w:tcPr>
          <w:p w14:paraId="37136580"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I alt</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7E29B4D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895" w:type="dxa"/>
            <w:tcBorders>
              <w:top w:val="nil"/>
              <w:left w:val="nil"/>
              <w:bottom w:val="single" w:sz="8" w:space="0" w:color="auto"/>
              <w:right w:val="single" w:sz="8" w:space="0" w:color="auto"/>
            </w:tcBorders>
            <w:shd w:val="clear" w:color="auto" w:fill="auto"/>
            <w:noWrap/>
            <w:vAlign w:val="bottom"/>
            <w:hideMark/>
          </w:tcPr>
          <w:p w14:paraId="210B980A"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1120" w:type="dxa"/>
            <w:tcBorders>
              <w:top w:val="nil"/>
              <w:left w:val="nil"/>
              <w:bottom w:val="single" w:sz="8" w:space="0" w:color="auto"/>
              <w:right w:val="single" w:sz="4" w:space="0" w:color="auto"/>
            </w:tcBorders>
            <w:shd w:val="clear" w:color="auto" w:fill="auto"/>
            <w:noWrap/>
            <w:vAlign w:val="bottom"/>
            <w:hideMark/>
          </w:tcPr>
          <w:p w14:paraId="54D47BE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174BF6" w:rsidRPr="00174BF6" w14:paraId="1AC2C0D9"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3730F95E"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6CDB60A4"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1134" w:type="dxa"/>
            <w:tcBorders>
              <w:top w:val="nil"/>
              <w:left w:val="single" w:sz="8" w:space="0" w:color="auto"/>
              <w:bottom w:val="nil"/>
              <w:right w:val="single" w:sz="8" w:space="0" w:color="auto"/>
            </w:tcBorders>
            <w:shd w:val="clear" w:color="auto" w:fill="auto"/>
            <w:noWrap/>
            <w:vAlign w:val="bottom"/>
            <w:hideMark/>
          </w:tcPr>
          <w:p w14:paraId="37175715"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895" w:type="dxa"/>
            <w:tcBorders>
              <w:top w:val="nil"/>
              <w:left w:val="nil"/>
              <w:bottom w:val="nil"/>
              <w:right w:val="single" w:sz="8" w:space="0" w:color="auto"/>
            </w:tcBorders>
            <w:shd w:val="clear" w:color="auto" w:fill="auto"/>
            <w:noWrap/>
            <w:vAlign w:val="bottom"/>
            <w:hideMark/>
          </w:tcPr>
          <w:p w14:paraId="1574A2DD"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1120" w:type="dxa"/>
            <w:tcBorders>
              <w:top w:val="nil"/>
              <w:left w:val="nil"/>
              <w:bottom w:val="nil"/>
              <w:right w:val="single" w:sz="4" w:space="0" w:color="auto"/>
            </w:tcBorders>
            <w:shd w:val="clear" w:color="auto" w:fill="auto"/>
            <w:noWrap/>
            <w:vAlign w:val="bottom"/>
            <w:hideMark/>
          </w:tcPr>
          <w:p w14:paraId="3698B0C8"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r>
      <w:tr w:rsidR="00174BF6" w:rsidRPr="00174BF6" w14:paraId="3314931F"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3C6D16A7"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Betalinger</w:t>
            </w:r>
          </w:p>
        </w:tc>
        <w:tc>
          <w:tcPr>
            <w:tcW w:w="2918" w:type="dxa"/>
            <w:tcBorders>
              <w:top w:val="nil"/>
              <w:left w:val="nil"/>
              <w:bottom w:val="nil"/>
              <w:right w:val="nil"/>
            </w:tcBorders>
            <w:shd w:val="clear" w:color="auto" w:fill="auto"/>
            <w:noWrap/>
            <w:vAlign w:val="bottom"/>
            <w:hideMark/>
          </w:tcPr>
          <w:p w14:paraId="400AEBFF"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w:t>
            </w:r>
          </w:p>
        </w:tc>
        <w:tc>
          <w:tcPr>
            <w:tcW w:w="1134" w:type="dxa"/>
            <w:tcBorders>
              <w:top w:val="nil"/>
              <w:left w:val="single" w:sz="8" w:space="0" w:color="auto"/>
              <w:bottom w:val="nil"/>
              <w:right w:val="single" w:sz="8" w:space="0" w:color="auto"/>
            </w:tcBorders>
            <w:shd w:val="clear" w:color="auto" w:fill="auto"/>
            <w:noWrap/>
            <w:vAlign w:val="bottom"/>
            <w:hideMark/>
          </w:tcPr>
          <w:p w14:paraId="7E0C5B9E"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1 405</w:t>
            </w:r>
          </w:p>
        </w:tc>
        <w:tc>
          <w:tcPr>
            <w:tcW w:w="895" w:type="dxa"/>
            <w:tcBorders>
              <w:top w:val="nil"/>
              <w:left w:val="nil"/>
              <w:bottom w:val="nil"/>
              <w:right w:val="single" w:sz="8" w:space="0" w:color="auto"/>
            </w:tcBorders>
            <w:shd w:val="clear" w:color="auto" w:fill="auto"/>
            <w:noWrap/>
            <w:vAlign w:val="bottom"/>
            <w:hideMark/>
          </w:tcPr>
          <w:p w14:paraId="3B23AF4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1 000</w:t>
            </w:r>
          </w:p>
        </w:tc>
        <w:tc>
          <w:tcPr>
            <w:tcW w:w="1120" w:type="dxa"/>
            <w:tcBorders>
              <w:top w:val="nil"/>
              <w:left w:val="nil"/>
              <w:bottom w:val="nil"/>
              <w:right w:val="single" w:sz="4" w:space="0" w:color="auto"/>
            </w:tcBorders>
            <w:shd w:val="clear" w:color="auto" w:fill="auto"/>
            <w:noWrap/>
            <w:vAlign w:val="bottom"/>
            <w:hideMark/>
          </w:tcPr>
          <w:p w14:paraId="630788B6" w14:textId="67845CE5"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750</w:t>
            </w:r>
          </w:p>
        </w:tc>
      </w:tr>
      <w:tr w:rsidR="00174BF6" w:rsidRPr="00174BF6" w14:paraId="5A600266"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375CE068"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0119CEF3"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w:t>
            </w:r>
          </w:p>
        </w:tc>
        <w:tc>
          <w:tcPr>
            <w:tcW w:w="1134" w:type="dxa"/>
            <w:tcBorders>
              <w:top w:val="nil"/>
              <w:left w:val="single" w:sz="8" w:space="0" w:color="auto"/>
              <w:bottom w:val="nil"/>
              <w:right w:val="single" w:sz="8" w:space="0" w:color="auto"/>
            </w:tcBorders>
            <w:shd w:val="clear" w:color="auto" w:fill="auto"/>
            <w:noWrap/>
            <w:vAlign w:val="bottom"/>
            <w:hideMark/>
          </w:tcPr>
          <w:p w14:paraId="5624F999" w14:textId="498C46E8"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780</w:t>
            </w:r>
          </w:p>
        </w:tc>
        <w:tc>
          <w:tcPr>
            <w:tcW w:w="895" w:type="dxa"/>
            <w:tcBorders>
              <w:top w:val="nil"/>
              <w:left w:val="nil"/>
              <w:bottom w:val="nil"/>
              <w:right w:val="single" w:sz="8" w:space="0" w:color="auto"/>
            </w:tcBorders>
            <w:shd w:val="clear" w:color="auto" w:fill="auto"/>
            <w:noWrap/>
            <w:vAlign w:val="bottom"/>
            <w:hideMark/>
          </w:tcPr>
          <w:p w14:paraId="63883AB2" w14:textId="5BECB3CD"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417</w:t>
            </w:r>
          </w:p>
        </w:tc>
        <w:tc>
          <w:tcPr>
            <w:tcW w:w="1120" w:type="dxa"/>
            <w:tcBorders>
              <w:top w:val="nil"/>
              <w:left w:val="nil"/>
              <w:bottom w:val="nil"/>
              <w:right w:val="single" w:sz="4" w:space="0" w:color="auto"/>
            </w:tcBorders>
            <w:shd w:val="clear" w:color="auto" w:fill="auto"/>
            <w:noWrap/>
            <w:vAlign w:val="bottom"/>
            <w:hideMark/>
          </w:tcPr>
          <w:p w14:paraId="7C40BB57" w14:textId="22BAADEB"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74</w:t>
            </w:r>
          </w:p>
        </w:tc>
      </w:tr>
      <w:tr w:rsidR="00174BF6" w:rsidRPr="00174BF6" w14:paraId="71F524E5" w14:textId="77777777" w:rsidTr="00F87700">
        <w:trPr>
          <w:trHeight w:val="285"/>
        </w:trPr>
        <w:tc>
          <w:tcPr>
            <w:tcW w:w="1613" w:type="dxa"/>
            <w:tcBorders>
              <w:top w:val="nil"/>
              <w:left w:val="single" w:sz="8" w:space="0" w:color="auto"/>
              <w:bottom w:val="single" w:sz="8" w:space="0" w:color="auto"/>
              <w:right w:val="single" w:sz="4" w:space="0" w:color="auto"/>
            </w:tcBorders>
            <w:shd w:val="clear" w:color="auto" w:fill="auto"/>
            <w:noWrap/>
            <w:vAlign w:val="bottom"/>
            <w:hideMark/>
          </w:tcPr>
          <w:p w14:paraId="3048DE65"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single" w:sz="8" w:space="0" w:color="auto"/>
              <w:right w:val="nil"/>
            </w:tcBorders>
            <w:shd w:val="clear" w:color="auto" w:fill="auto"/>
            <w:noWrap/>
            <w:vAlign w:val="bottom"/>
            <w:hideMark/>
          </w:tcPr>
          <w:p w14:paraId="76888C46"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I alt</w:t>
            </w:r>
          </w:p>
        </w:tc>
        <w:tc>
          <w:tcPr>
            <w:tcW w:w="1134" w:type="dxa"/>
            <w:tcBorders>
              <w:top w:val="nil"/>
              <w:left w:val="single" w:sz="8" w:space="0" w:color="auto"/>
              <w:bottom w:val="single" w:sz="8" w:space="0" w:color="auto"/>
              <w:right w:val="single" w:sz="8" w:space="0" w:color="auto"/>
            </w:tcBorders>
            <w:shd w:val="clear" w:color="000000" w:fill="FFFFFF"/>
            <w:noWrap/>
            <w:vAlign w:val="bottom"/>
            <w:hideMark/>
          </w:tcPr>
          <w:p w14:paraId="6F7A537C" w14:textId="0EC40AF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2 185</w:t>
            </w:r>
          </w:p>
        </w:tc>
        <w:tc>
          <w:tcPr>
            <w:tcW w:w="895" w:type="dxa"/>
            <w:tcBorders>
              <w:top w:val="nil"/>
              <w:left w:val="nil"/>
              <w:bottom w:val="single" w:sz="8" w:space="0" w:color="auto"/>
              <w:right w:val="single" w:sz="8" w:space="0" w:color="auto"/>
            </w:tcBorders>
            <w:shd w:val="clear" w:color="auto" w:fill="auto"/>
            <w:noWrap/>
            <w:vAlign w:val="bottom"/>
            <w:hideMark/>
          </w:tcPr>
          <w:p w14:paraId="42E1B834" w14:textId="0B51FF9A"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1 417</w:t>
            </w:r>
          </w:p>
        </w:tc>
        <w:tc>
          <w:tcPr>
            <w:tcW w:w="1120" w:type="dxa"/>
            <w:tcBorders>
              <w:top w:val="nil"/>
              <w:left w:val="nil"/>
              <w:bottom w:val="single" w:sz="8" w:space="0" w:color="auto"/>
              <w:right w:val="single" w:sz="4" w:space="0" w:color="auto"/>
            </w:tcBorders>
            <w:shd w:val="clear" w:color="auto" w:fill="auto"/>
            <w:noWrap/>
            <w:vAlign w:val="bottom"/>
            <w:hideMark/>
          </w:tcPr>
          <w:p w14:paraId="68647BFA" w14:textId="6EAEE02B"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824</w:t>
            </w:r>
          </w:p>
        </w:tc>
      </w:tr>
      <w:tr w:rsidR="00174BF6" w:rsidRPr="00174BF6" w14:paraId="55304AE3"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649567CA"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52BBA14D"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1134" w:type="dxa"/>
            <w:tcBorders>
              <w:top w:val="nil"/>
              <w:left w:val="single" w:sz="8" w:space="0" w:color="auto"/>
              <w:bottom w:val="nil"/>
              <w:right w:val="single" w:sz="8" w:space="0" w:color="auto"/>
            </w:tcBorders>
            <w:shd w:val="clear" w:color="000000" w:fill="FFFFFF"/>
            <w:noWrap/>
            <w:vAlign w:val="bottom"/>
            <w:hideMark/>
          </w:tcPr>
          <w:p w14:paraId="0327D68D"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895" w:type="dxa"/>
            <w:tcBorders>
              <w:top w:val="nil"/>
              <w:left w:val="nil"/>
              <w:bottom w:val="nil"/>
              <w:right w:val="single" w:sz="8" w:space="0" w:color="auto"/>
            </w:tcBorders>
            <w:shd w:val="clear" w:color="auto" w:fill="auto"/>
            <w:noWrap/>
            <w:vAlign w:val="bottom"/>
            <w:hideMark/>
          </w:tcPr>
          <w:p w14:paraId="2A5E8EF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1120" w:type="dxa"/>
            <w:tcBorders>
              <w:top w:val="nil"/>
              <w:left w:val="nil"/>
              <w:bottom w:val="nil"/>
              <w:right w:val="single" w:sz="4" w:space="0" w:color="auto"/>
            </w:tcBorders>
            <w:shd w:val="clear" w:color="auto" w:fill="auto"/>
            <w:noWrap/>
            <w:vAlign w:val="bottom"/>
            <w:hideMark/>
          </w:tcPr>
          <w:p w14:paraId="089EF52C"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r>
      <w:tr w:rsidR="00174BF6" w:rsidRPr="00174BF6" w14:paraId="64449C86"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38B5BF41"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Bidrag</w:t>
            </w:r>
          </w:p>
        </w:tc>
        <w:tc>
          <w:tcPr>
            <w:tcW w:w="2918" w:type="dxa"/>
            <w:tcBorders>
              <w:top w:val="nil"/>
              <w:left w:val="nil"/>
              <w:bottom w:val="nil"/>
              <w:right w:val="nil"/>
            </w:tcBorders>
            <w:shd w:val="clear" w:color="auto" w:fill="auto"/>
            <w:noWrap/>
            <w:vAlign w:val="bottom"/>
            <w:hideMark/>
          </w:tcPr>
          <w:p w14:paraId="2F7703D2"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(11. EUF)</w:t>
            </w:r>
          </w:p>
        </w:tc>
        <w:tc>
          <w:tcPr>
            <w:tcW w:w="1134" w:type="dxa"/>
            <w:tcBorders>
              <w:top w:val="nil"/>
              <w:left w:val="single" w:sz="8" w:space="0" w:color="auto"/>
              <w:bottom w:val="nil"/>
              <w:right w:val="single" w:sz="8" w:space="0" w:color="auto"/>
            </w:tcBorders>
            <w:shd w:val="clear" w:color="000000" w:fill="FFFFFF"/>
            <w:noWrap/>
            <w:vAlign w:val="bottom"/>
            <w:hideMark/>
          </w:tcPr>
          <w:p w14:paraId="03DA55A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1 200</w:t>
            </w:r>
          </w:p>
        </w:tc>
        <w:tc>
          <w:tcPr>
            <w:tcW w:w="895" w:type="dxa"/>
            <w:tcBorders>
              <w:top w:val="nil"/>
              <w:left w:val="nil"/>
              <w:bottom w:val="nil"/>
              <w:right w:val="single" w:sz="8" w:space="0" w:color="auto"/>
            </w:tcBorders>
            <w:shd w:val="clear" w:color="auto" w:fill="auto"/>
            <w:noWrap/>
            <w:vAlign w:val="bottom"/>
            <w:hideMark/>
          </w:tcPr>
          <w:p w14:paraId="6A148A48" w14:textId="45DABC9E"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800</w:t>
            </w:r>
          </w:p>
        </w:tc>
        <w:tc>
          <w:tcPr>
            <w:tcW w:w="1120" w:type="dxa"/>
            <w:tcBorders>
              <w:top w:val="nil"/>
              <w:left w:val="nil"/>
              <w:bottom w:val="nil"/>
              <w:right w:val="single" w:sz="4" w:space="0" w:color="auto"/>
            </w:tcBorders>
            <w:shd w:val="clear" w:color="auto" w:fill="auto"/>
            <w:noWrap/>
            <w:vAlign w:val="bottom"/>
            <w:hideMark/>
          </w:tcPr>
          <w:p w14:paraId="3109E936" w14:textId="7382E1EC"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700</w:t>
            </w:r>
          </w:p>
        </w:tc>
      </w:tr>
      <w:tr w:rsidR="00174BF6" w:rsidRPr="00174BF6" w14:paraId="091E9630" w14:textId="77777777" w:rsidTr="00F87700">
        <w:trPr>
          <w:trHeight w:val="342"/>
        </w:trPr>
        <w:tc>
          <w:tcPr>
            <w:tcW w:w="1613" w:type="dxa"/>
            <w:tcBorders>
              <w:top w:val="nil"/>
              <w:left w:val="single" w:sz="8" w:space="0" w:color="auto"/>
              <w:bottom w:val="nil"/>
              <w:right w:val="single" w:sz="4" w:space="0" w:color="auto"/>
            </w:tcBorders>
            <w:shd w:val="clear" w:color="auto" w:fill="auto"/>
            <w:noWrap/>
            <w:vAlign w:val="bottom"/>
            <w:hideMark/>
          </w:tcPr>
          <w:p w14:paraId="3735ADB4"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215590E2"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 (11. EUF)**</w:t>
            </w:r>
          </w:p>
        </w:tc>
        <w:tc>
          <w:tcPr>
            <w:tcW w:w="1134" w:type="dxa"/>
            <w:tcBorders>
              <w:top w:val="nil"/>
              <w:left w:val="single" w:sz="8" w:space="0" w:color="auto"/>
              <w:bottom w:val="nil"/>
              <w:right w:val="single" w:sz="8" w:space="0" w:color="auto"/>
            </w:tcBorders>
            <w:shd w:val="clear" w:color="000000" w:fill="FFFFFF"/>
            <w:noWrap/>
            <w:vAlign w:val="bottom"/>
            <w:hideMark/>
          </w:tcPr>
          <w:p w14:paraId="6AA3F44F" w14:textId="7F22037B"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300</w:t>
            </w:r>
          </w:p>
        </w:tc>
        <w:tc>
          <w:tcPr>
            <w:tcW w:w="895" w:type="dxa"/>
            <w:tcBorders>
              <w:top w:val="nil"/>
              <w:left w:val="nil"/>
              <w:bottom w:val="nil"/>
              <w:right w:val="single" w:sz="8" w:space="0" w:color="auto"/>
            </w:tcBorders>
            <w:shd w:val="clear" w:color="auto" w:fill="auto"/>
            <w:noWrap/>
            <w:vAlign w:val="bottom"/>
            <w:hideMark/>
          </w:tcPr>
          <w:p w14:paraId="2EE05C1B" w14:textId="56EC837D"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9</w:t>
            </w:r>
          </w:p>
        </w:tc>
        <w:tc>
          <w:tcPr>
            <w:tcW w:w="1120" w:type="dxa"/>
            <w:tcBorders>
              <w:top w:val="nil"/>
              <w:left w:val="nil"/>
              <w:bottom w:val="nil"/>
              <w:right w:val="single" w:sz="4" w:space="0" w:color="auto"/>
            </w:tcBorders>
            <w:shd w:val="clear" w:color="auto" w:fill="auto"/>
            <w:noWrap/>
            <w:vAlign w:val="bottom"/>
            <w:hideMark/>
          </w:tcPr>
          <w:p w14:paraId="703A56BD" w14:textId="4A7D2B5A"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174BF6" w:rsidRPr="00174BF6" w14:paraId="7E7FEED3" w14:textId="77777777" w:rsidTr="00F87700">
        <w:trPr>
          <w:trHeight w:val="330"/>
        </w:trPr>
        <w:tc>
          <w:tcPr>
            <w:tcW w:w="1613" w:type="dxa"/>
            <w:tcBorders>
              <w:top w:val="nil"/>
              <w:left w:val="single" w:sz="8" w:space="0" w:color="auto"/>
              <w:bottom w:val="single" w:sz="4" w:space="0" w:color="auto"/>
              <w:right w:val="single" w:sz="4" w:space="0" w:color="auto"/>
            </w:tcBorders>
            <w:shd w:val="clear" w:color="auto" w:fill="auto"/>
            <w:noWrap/>
            <w:vAlign w:val="bottom"/>
            <w:hideMark/>
          </w:tcPr>
          <w:p w14:paraId="757456EC"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single" w:sz="4" w:space="0" w:color="auto"/>
              <w:right w:val="nil"/>
            </w:tcBorders>
            <w:shd w:val="clear" w:color="auto" w:fill="auto"/>
            <w:noWrap/>
            <w:vAlign w:val="bottom"/>
            <w:hideMark/>
          </w:tcPr>
          <w:p w14:paraId="0B379160"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I alt</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6DD0CA3E"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1 500</w:t>
            </w:r>
          </w:p>
        </w:tc>
        <w:tc>
          <w:tcPr>
            <w:tcW w:w="895" w:type="dxa"/>
            <w:tcBorders>
              <w:top w:val="nil"/>
              <w:left w:val="nil"/>
              <w:bottom w:val="single" w:sz="4" w:space="0" w:color="auto"/>
              <w:right w:val="single" w:sz="8" w:space="0" w:color="auto"/>
            </w:tcBorders>
            <w:shd w:val="clear" w:color="auto" w:fill="auto"/>
            <w:noWrap/>
            <w:vAlign w:val="bottom"/>
            <w:hideMark/>
          </w:tcPr>
          <w:p w14:paraId="7DEB9977" w14:textId="3EF4E679"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809</w:t>
            </w:r>
          </w:p>
        </w:tc>
        <w:tc>
          <w:tcPr>
            <w:tcW w:w="1120" w:type="dxa"/>
            <w:tcBorders>
              <w:top w:val="nil"/>
              <w:left w:val="nil"/>
              <w:bottom w:val="single" w:sz="4" w:space="0" w:color="auto"/>
              <w:right w:val="single" w:sz="4" w:space="0" w:color="auto"/>
            </w:tcBorders>
            <w:shd w:val="clear" w:color="auto" w:fill="auto"/>
            <w:noWrap/>
            <w:vAlign w:val="bottom"/>
            <w:hideMark/>
          </w:tcPr>
          <w:p w14:paraId="526B6EA1" w14:textId="543A946F"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700</w:t>
            </w:r>
          </w:p>
        </w:tc>
      </w:tr>
    </w:tbl>
    <w:p w14:paraId="1D3A9576" w14:textId="36708498" w:rsidR="009035E0" w:rsidRPr="005D582C" w:rsidRDefault="009035E0" w:rsidP="009035E0">
      <w:pPr>
        <w:pStyle w:val="Text1"/>
        <w:ind w:left="0"/>
        <w:rPr>
          <w:noProof/>
          <w:sz w:val="16"/>
          <w:szCs w:val="16"/>
        </w:rPr>
      </w:pPr>
      <w:r>
        <w:rPr>
          <w:noProof/>
          <w:sz w:val="16"/>
        </w:rPr>
        <w:t>* Bruttobeløb, dvs. uden fradrag af frigjorte eller inddrevne/tilbageførte beløb. Dette svarer til fremgangsmåden i EU's almindelige budget.</w:t>
      </w:r>
    </w:p>
    <w:p w14:paraId="74C59D7C" w14:textId="18FE9F8C" w:rsidR="005E61CF" w:rsidRDefault="005E61CF" w:rsidP="005E61CF">
      <w:pPr>
        <w:pStyle w:val="Text1"/>
        <w:ind w:left="0"/>
        <w:rPr>
          <w:noProof/>
          <w:sz w:val="16"/>
          <w:szCs w:val="16"/>
        </w:rPr>
      </w:pPr>
      <w:r>
        <w:rPr>
          <w:noProof/>
          <w:sz w:val="16"/>
        </w:rPr>
        <w:t>** Ifølge de aktuelle prognoser vil EIB have indkaldt hele sin andel af 11. EUF ved udgangen af 2025.</w:t>
      </w:r>
    </w:p>
    <w:p w14:paraId="6B848D62" w14:textId="5C379375" w:rsidR="009035E0" w:rsidRDefault="009035E0" w:rsidP="009035E0">
      <w:pPr>
        <w:pStyle w:val="Text1"/>
        <w:ind w:left="0"/>
        <w:rPr>
          <w:noProof/>
          <w:sz w:val="16"/>
          <w:szCs w:val="16"/>
        </w:rPr>
      </w:pPr>
    </w:p>
    <w:p w14:paraId="227AAA4A" w14:textId="77777777" w:rsidR="005E61CF" w:rsidRDefault="005E61CF" w:rsidP="009035E0">
      <w:pPr>
        <w:pStyle w:val="Text1"/>
        <w:ind w:left="0"/>
        <w:rPr>
          <w:noProof/>
          <w:sz w:val="16"/>
          <w:szCs w:val="16"/>
        </w:rPr>
      </w:pPr>
    </w:p>
    <w:p w14:paraId="5730C74F" w14:textId="665D566A" w:rsidR="009035E0" w:rsidRDefault="009035E0" w:rsidP="000073F5">
      <w:pPr>
        <w:pStyle w:val="Heading1"/>
        <w:rPr>
          <w:noProof/>
        </w:rPr>
      </w:pPr>
      <w:r>
        <w:rPr>
          <w:noProof/>
        </w:rPr>
        <w:t xml:space="preserve"> Ikkebindende skøn over bidrag for 2027-2028 (mio. EUR)</w:t>
      </w:r>
    </w:p>
    <w:tbl>
      <w:tblPr>
        <w:tblW w:w="7650" w:type="dxa"/>
        <w:tblLook w:val="04A0" w:firstRow="1" w:lastRow="0" w:firstColumn="1" w:lastColumn="0" w:noHBand="0" w:noVBand="1"/>
      </w:tblPr>
      <w:tblGrid>
        <w:gridCol w:w="1537"/>
        <w:gridCol w:w="3136"/>
        <w:gridCol w:w="1276"/>
        <w:gridCol w:w="1701"/>
      </w:tblGrid>
      <w:tr w:rsidR="00174BF6" w:rsidRPr="00174BF6" w14:paraId="45F0C840" w14:textId="77777777" w:rsidTr="00174BF6">
        <w:trPr>
          <w:trHeight w:val="405"/>
        </w:trPr>
        <w:tc>
          <w:tcPr>
            <w:tcW w:w="46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2DA9B"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Overslag 2027-2028*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295847"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12C922F"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2028</w:t>
            </w:r>
          </w:p>
        </w:tc>
      </w:tr>
      <w:tr w:rsidR="00174BF6" w:rsidRPr="00174BF6" w14:paraId="6BCA1FE9" w14:textId="77777777" w:rsidTr="00174BF6">
        <w:trPr>
          <w:trHeight w:val="405"/>
        </w:trPr>
        <w:tc>
          <w:tcPr>
            <w:tcW w:w="1537" w:type="dxa"/>
            <w:tcBorders>
              <w:top w:val="nil"/>
              <w:left w:val="single" w:sz="8" w:space="0" w:color="auto"/>
              <w:bottom w:val="nil"/>
              <w:right w:val="single" w:sz="4" w:space="0" w:color="auto"/>
            </w:tcBorders>
            <w:shd w:val="clear" w:color="auto" w:fill="auto"/>
            <w:noWrap/>
            <w:vAlign w:val="bottom"/>
            <w:hideMark/>
          </w:tcPr>
          <w:p w14:paraId="413F1B69"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Bidrag</w:t>
            </w:r>
          </w:p>
        </w:tc>
        <w:tc>
          <w:tcPr>
            <w:tcW w:w="3136" w:type="dxa"/>
            <w:tcBorders>
              <w:top w:val="nil"/>
              <w:left w:val="nil"/>
              <w:bottom w:val="nil"/>
              <w:right w:val="single" w:sz="4" w:space="0" w:color="auto"/>
            </w:tcBorders>
            <w:shd w:val="clear" w:color="auto" w:fill="auto"/>
            <w:noWrap/>
            <w:vAlign w:val="bottom"/>
            <w:hideMark/>
          </w:tcPr>
          <w:p w14:paraId="2D0B7505"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(11. EUF)</w:t>
            </w:r>
          </w:p>
        </w:tc>
        <w:tc>
          <w:tcPr>
            <w:tcW w:w="1276" w:type="dxa"/>
            <w:tcBorders>
              <w:top w:val="nil"/>
              <w:left w:val="nil"/>
              <w:bottom w:val="nil"/>
              <w:right w:val="single" w:sz="8" w:space="0" w:color="auto"/>
            </w:tcBorders>
            <w:shd w:val="clear" w:color="auto" w:fill="auto"/>
            <w:noWrap/>
            <w:vAlign w:val="bottom"/>
            <w:hideMark/>
          </w:tcPr>
          <w:p w14:paraId="2B950D8B" w14:textId="3D082B05" w:rsidR="00174BF6" w:rsidRPr="00174BF6" w:rsidRDefault="00047221"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460</w:t>
            </w:r>
          </w:p>
        </w:tc>
        <w:tc>
          <w:tcPr>
            <w:tcW w:w="1701" w:type="dxa"/>
            <w:tcBorders>
              <w:top w:val="nil"/>
              <w:left w:val="nil"/>
              <w:bottom w:val="nil"/>
              <w:right w:val="single" w:sz="8" w:space="0" w:color="auto"/>
            </w:tcBorders>
            <w:shd w:val="clear" w:color="auto" w:fill="auto"/>
            <w:noWrap/>
            <w:vAlign w:val="bottom"/>
            <w:hideMark/>
          </w:tcPr>
          <w:p w14:paraId="1035675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400</w:t>
            </w:r>
          </w:p>
        </w:tc>
      </w:tr>
      <w:tr w:rsidR="00174BF6" w:rsidRPr="00174BF6" w14:paraId="5FFA4FEC" w14:textId="77777777" w:rsidTr="00174BF6">
        <w:trPr>
          <w:trHeight w:val="390"/>
        </w:trPr>
        <w:tc>
          <w:tcPr>
            <w:tcW w:w="1537" w:type="dxa"/>
            <w:tcBorders>
              <w:top w:val="nil"/>
              <w:left w:val="single" w:sz="8" w:space="0" w:color="auto"/>
              <w:bottom w:val="nil"/>
              <w:right w:val="single" w:sz="4" w:space="0" w:color="auto"/>
            </w:tcBorders>
            <w:shd w:val="clear" w:color="auto" w:fill="auto"/>
            <w:noWrap/>
            <w:vAlign w:val="bottom"/>
            <w:hideMark/>
          </w:tcPr>
          <w:p w14:paraId="44372D66"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3136" w:type="dxa"/>
            <w:tcBorders>
              <w:top w:val="nil"/>
              <w:left w:val="nil"/>
              <w:bottom w:val="nil"/>
              <w:right w:val="single" w:sz="4" w:space="0" w:color="auto"/>
            </w:tcBorders>
            <w:shd w:val="clear" w:color="auto" w:fill="auto"/>
            <w:noWrap/>
            <w:vAlign w:val="bottom"/>
            <w:hideMark/>
          </w:tcPr>
          <w:p w14:paraId="13D5705C" w14:textId="6B9B9E3D"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EIB (11. EUF)**</w:t>
            </w:r>
          </w:p>
        </w:tc>
        <w:tc>
          <w:tcPr>
            <w:tcW w:w="1276" w:type="dxa"/>
            <w:tcBorders>
              <w:top w:val="nil"/>
              <w:left w:val="nil"/>
              <w:bottom w:val="nil"/>
              <w:right w:val="single" w:sz="8" w:space="0" w:color="auto"/>
            </w:tcBorders>
            <w:shd w:val="clear" w:color="auto" w:fill="auto"/>
            <w:noWrap/>
            <w:vAlign w:val="bottom"/>
            <w:hideMark/>
          </w:tcPr>
          <w:p w14:paraId="7E4425C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c>
          <w:tcPr>
            <w:tcW w:w="1701" w:type="dxa"/>
            <w:tcBorders>
              <w:top w:val="nil"/>
              <w:left w:val="nil"/>
              <w:bottom w:val="nil"/>
              <w:right w:val="single" w:sz="8" w:space="0" w:color="auto"/>
            </w:tcBorders>
            <w:shd w:val="clear" w:color="auto" w:fill="auto"/>
            <w:noWrap/>
            <w:vAlign w:val="bottom"/>
            <w:hideMark/>
          </w:tcPr>
          <w:p w14:paraId="176A318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r>
      <w:tr w:rsidR="00174BF6" w:rsidRPr="00174BF6" w14:paraId="75F7ED7B" w14:textId="77777777" w:rsidTr="00174BF6">
        <w:trPr>
          <w:trHeight w:val="345"/>
        </w:trPr>
        <w:tc>
          <w:tcPr>
            <w:tcW w:w="1537" w:type="dxa"/>
            <w:tcBorders>
              <w:top w:val="nil"/>
              <w:left w:val="single" w:sz="8" w:space="0" w:color="auto"/>
              <w:bottom w:val="single" w:sz="8" w:space="0" w:color="auto"/>
              <w:right w:val="single" w:sz="4" w:space="0" w:color="auto"/>
            </w:tcBorders>
            <w:shd w:val="clear" w:color="auto" w:fill="auto"/>
            <w:noWrap/>
            <w:vAlign w:val="bottom"/>
            <w:hideMark/>
          </w:tcPr>
          <w:p w14:paraId="20D8E8B4"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3136" w:type="dxa"/>
            <w:tcBorders>
              <w:top w:val="single" w:sz="4" w:space="0" w:color="auto"/>
              <w:left w:val="nil"/>
              <w:bottom w:val="single" w:sz="8" w:space="0" w:color="auto"/>
              <w:right w:val="single" w:sz="4" w:space="0" w:color="auto"/>
            </w:tcBorders>
            <w:shd w:val="clear" w:color="auto" w:fill="auto"/>
            <w:noWrap/>
            <w:vAlign w:val="bottom"/>
            <w:hideMark/>
          </w:tcPr>
          <w:p w14:paraId="3C63FE4F"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I alt</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631FEA06" w14:textId="1CCF43FD" w:rsidR="00174BF6" w:rsidRPr="00174BF6" w:rsidRDefault="00047221"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460</w:t>
            </w:r>
          </w:p>
        </w:tc>
        <w:tc>
          <w:tcPr>
            <w:tcW w:w="1701" w:type="dxa"/>
            <w:tcBorders>
              <w:top w:val="single" w:sz="4" w:space="0" w:color="auto"/>
              <w:left w:val="nil"/>
              <w:bottom w:val="single" w:sz="8" w:space="0" w:color="auto"/>
              <w:right w:val="single" w:sz="8" w:space="0" w:color="auto"/>
            </w:tcBorders>
            <w:shd w:val="clear" w:color="auto" w:fill="auto"/>
            <w:noWrap/>
            <w:vAlign w:val="bottom"/>
            <w:hideMark/>
          </w:tcPr>
          <w:p w14:paraId="5A61D36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400</w:t>
            </w:r>
          </w:p>
        </w:tc>
      </w:tr>
    </w:tbl>
    <w:p w14:paraId="27108DCA" w14:textId="7B47E680" w:rsidR="009035E0" w:rsidRDefault="009035E0" w:rsidP="009035E0">
      <w:pPr>
        <w:pStyle w:val="Text1"/>
        <w:ind w:left="142"/>
        <w:rPr>
          <w:noProof/>
          <w:sz w:val="16"/>
          <w:szCs w:val="16"/>
        </w:rPr>
      </w:pPr>
      <w:r>
        <w:rPr>
          <w:noProof/>
          <w:sz w:val="16"/>
        </w:rPr>
        <w:t>*Artikel 19, stk. 2, i finansforordningen for 11. EUF ((EU) 2018/1877): vejledende, ikkebindende overslag, på grundlag af en statistisk metode, over de forventede årlige bidragsbeløb.</w:t>
      </w:r>
    </w:p>
    <w:p w14:paraId="5F04725E" w14:textId="77777777" w:rsidR="005661E2" w:rsidRDefault="005661E2" w:rsidP="005661E2">
      <w:pPr>
        <w:pStyle w:val="Text1"/>
        <w:ind w:left="0"/>
        <w:rPr>
          <w:noProof/>
          <w:sz w:val="16"/>
          <w:szCs w:val="16"/>
        </w:rPr>
      </w:pPr>
      <w:r>
        <w:rPr>
          <w:noProof/>
          <w:sz w:val="16"/>
        </w:rPr>
        <w:t>** Ifølge de aktuelle prognoser vil EIB have indkaldt hele sin andel af 11. EUF ved udgangen af 2025.</w:t>
      </w:r>
    </w:p>
    <w:p w14:paraId="3780B09E" w14:textId="77777777" w:rsidR="005661E2" w:rsidRDefault="005661E2" w:rsidP="009035E0">
      <w:pPr>
        <w:pStyle w:val="Text1"/>
        <w:ind w:left="142"/>
        <w:rPr>
          <w:noProof/>
          <w:sz w:val="16"/>
          <w:szCs w:val="16"/>
        </w:rPr>
      </w:pPr>
    </w:p>
    <w:p w14:paraId="72A8CB78" w14:textId="25C91686" w:rsidR="009035E0" w:rsidRDefault="009035E0" w:rsidP="009035E0">
      <w:pPr>
        <w:pStyle w:val="Heading1"/>
        <w:rPr>
          <w:noProof/>
        </w:rPr>
      </w:pPr>
      <w:r>
        <w:rPr>
          <w:noProof/>
          <w:sz w:val="16"/>
        </w:rPr>
        <w:t xml:space="preserve"> </w:t>
      </w:r>
      <w:r>
        <w:rPr>
          <w:noProof/>
        </w:rPr>
        <w:t>Finansiel gennemførelse for 2024 og overslag for 2025 og 2026</w:t>
      </w:r>
      <w:r w:rsidR="00C9556F">
        <w:rPr>
          <w:rStyle w:val="FootnoteReference"/>
          <w:noProof/>
        </w:rPr>
        <w:footnoteReference w:id="3"/>
      </w:r>
    </w:p>
    <w:p w14:paraId="0E5B9F3F" w14:textId="63E0E8C1" w:rsidR="008F10FE" w:rsidRPr="00867793" w:rsidRDefault="008F10FE">
      <w:pPr>
        <w:pStyle w:val="Heading2"/>
        <w:numPr>
          <w:ilvl w:val="0"/>
          <w:numId w:val="0"/>
        </w:numPr>
        <w:rPr>
          <w:i/>
          <w:iCs/>
          <w:noProof/>
          <w:highlight w:val="yellow"/>
        </w:rPr>
      </w:pPr>
      <w:r>
        <w:rPr>
          <w:i/>
          <w:noProof/>
        </w:rPr>
        <w:t>Finansiel gennemførelse for 2024</w:t>
      </w:r>
    </w:p>
    <w:p w14:paraId="5BE46A02" w14:textId="421821E4" w:rsidR="000D044E" w:rsidRDefault="00A81E2F" w:rsidP="000D044E">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I 2024 beløb EUF's samlede bruttobetalinger sig til 1 405,47 mio. EUR. Det svarer til 99,68 % af det mål på 1 410 mio. EUR, som Rådet havde fået meddelelse om. I 2022 besluttede Rådet enstemmigt at genanvende 600 mio. EUR i frigjorte midler fra 10. og 11. EUF til finansiering af foranstaltninger til afhjælpning af fødevaresikkerhedskrisen og det økonomiske chok i ACS-landene som følge af Ruslands angrebskrig mod Ukraine.</w:t>
      </w:r>
      <w:r w:rsidRPr="00396DF6">
        <w:rPr>
          <w:rFonts w:ascii="Times New Roman" w:hAnsi="Times New Roman" w:cs="Times New Roman"/>
          <w:noProof/>
          <w:color w:val="000000" w:themeColor="text1"/>
          <w:sz w:val="24"/>
          <w:szCs w:val="24"/>
          <w:vertAlign w:val="superscript"/>
        </w:rPr>
        <w:footnoteReference w:id="4"/>
      </w:r>
      <w:r>
        <w:rPr>
          <w:rFonts w:ascii="Times New Roman" w:hAnsi="Times New Roman"/>
          <w:noProof/>
          <w:color w:val="000000" w:themeColor="text1"/>
          <w:sz w:val="24"/>
        </w:rPr>
        <w:t xml:space="preserve"> Kommissionen indgik forpligtelser for disse 600 mio. EUR og udbetalte 392 mio. EUR frem til 2024.</w:t>
      </w:r>
    </w:p>
    <w:p w14:paraId="4179F099" w14:textId="77777777" w:rsidR="000D044E" w:rsidRDefault="000D044E" w:rsidP="000D044E">
      <w:pPr>
        <w:spacing w:after="0" w:line="240" w:lineRule="auto"/>
        <w:jc w:val="both"/>
        <w:rPr>
          <w:rFonts w:ascii="Times New Roman" w:hAnsi="Times New Roman" w:cs="Times New Roman"/>
          <w:noProof/>
          <w:color w:val="000000" w:themeColor="text1"/>
          <w:sz w:val="24"/>
          <w:szCs w:val="24"/>
        </w:rPr>
      </w:pPr>
    </w:p>
    <w:p w14:paraId="3DEAC613" w14:textId="64C3AABD" w:rsidR="00AB3821" w:rsidRPr="000D044E" w:rsidRDefault="008F10FE" w:rsidP="000D044E">
      <w:pPr>
        <w:pStyle w:val="Heading2"/>
        <w:numPr>
          <w:ilvl w:val="0"/>
          <w:numId w:val="0"/>
        </w:numPr>
        <w:rPr>
          <w:i/>
          <w:iCs/>
          <w:noProof/>
        </w:rPr>
      </w:pPr>
      <w:r>
        <w:rPr>
          <w:i/>
          <w:noProof/>
        </w:rPr>
        <w:t>Overslag for 2025 og 2026</w:t>
      </w:r>
    </w:p>
    <w:p w14:paraId="786019B1" w14:textId="26ECE4FE" w:rsidR="005B7C09" w:rsidRPr="00FE3A8E" w:rsidRDefault="005B7C09" w:rsidP="005B7C09">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Hvad angår skønnet over betalinger for 2025 og 2026 fastholder vi overslagene på henholdsvis 1 000 mio. EUR og 750 mio. EUR.</w:t>
      </w:r>
    </w:p>
    <w:p w14:paraId="5475798F" w14:textId="29D761CC" w:rsidR="005B7C09" w:rsidRPr="00FE3A8E" w:rsidRDefault="005B7C09" w:rsidP="005B7C09">
      <w:pPr>
        <w:spacing w:after="0" w:line="240" w:lineRule="auto"/>
        <w:rPr>
          <w:rFonts w:ascii="Times New Roman" w:eastAsia="Calibri" w:hAnsi="Times New Roman" w:cs="Times New Roman"/>
          <w:noProof/>
          <w:sz w:val="24"/>
          <w:szCs w:val="24"/>
          <w:lang w:val="en-IE"/>
        </w:rPr>
      </w:pPr>
    </w:p>
    <w:p w14:paraId="55CE5A26" w14:textId="5BF5451A" w:rsidR="0027214A" w:rsidRPr="00265E72" w:rsidRDefault="00265E72" w:rsidP="002C2813">
      <w:pPr>
        <w:spacing w:after="0" w:line="240" w:lineRule="auto"/>
        <w:jc w:val="both"/>
        <w:rPr>
          <w:rFonts w:ascii="Times New Roman" w:hAnsi="Times New Roman" w:cs="Times New Roman"/>
          <w:noProof/>
          <w:sz w:val="24"/>
          <w:szCs w:val="24"/>
        </w:rPr>
      </w:pPr>
      <w:r>
        <w:rPr>
          <w:rFonts w:ascii="Times New Roman" w:hAnsi="Times New Roman"/>
          <w:b/>
          <w:noProof/>
          <w:sz w:val="24"/>
        </w:rPr>
        <w:t>EUF-parternes årlige bidrag</w:t>
      </w:r>
      <w:r>
        <w:rPr>
          <w:rFonts w:ascii="Times New Roman" w:hAnsi="Times New Roman"/>
          <w:noProof/>
          <w:sz w:val="24"/>
        </w:rPr>
        <w:t xml:space="preserve"> vil fortsat ligge fast på 800 mio. EUR for 2025 og 700 mio. EUR for 2026 som beskrevet i meddelelsen fra oktober 2024.</w:t>
      </w:r>
    </w:p>
    <w:p w14:paraId="65C21CFB" w14:textId="77777777" w:rsidR="00265E72" w:rsidRPr="00441DE5" w:rsidRDefault="00265E72" w:rsidP="002C2813">
      <w:pPr>
        <w:spacing w:after="0" w:line="240" w:lineRule="auto"/>
        <w:jc w:val="both"/>
        <w:rPr>
          <w:rFonts w:ascii="Times New Roman" w:eastAsia="Calibri" w:hAnsi="Times New Roman" w:cs="Times New Roman"/>
          <w:b/>
          <w:noProof/>
          <w:sz w:val="24"/>
          <w:szCs w:val="24"/>
          <w:highlight w:val="yellow"/>
        </w:rPr>
      </w:pPr>
    </w:p>
    <w:p w14:paraId="598CDFE1" w14:textId="375FA0D6" w:rsidR="005223F5" w:rsidRPr="00DA729B" w:rsidRDefault="00DA729B" w:rsidP="00DA729B">
      <w:pPr>
        <w:spacing w:after="0"/>
        <w:rPr>
          <w:rFonts w:ascii="Times New Roman" w:hAnsi="Times New Roman" w:cs="Times New Roman"/>
          <w:noProof/>
          <w:sz w:val="24"/>
          <w:szCs w:val="24"/>
        </w:rPr>
      </w:pPr>
      <w:r>
        <w:rPr>
          <w:rFonts w:ascii="Times New Roman" w:hAnsi="Times New Roman"/>
          <w:noProof/>
          <w:sz w:val="24"/>
        </w:rPr>
        <w:t xml:space="preserve">Som følge heraf forventes </w:t>
      </w:r>
      <w:r>
        <w:rPr>
          <w:rFonts w:ascii="Times New Roman" w:hAnsi="Times New Roman"/>
          <w:b/>
          <w:noProof/>
          <w:sz w:val="24"/>
        </w:rPr>
        <w:t>EUF's likviditet</w:t>
      </w:r>
      <w:r>
        <w:rPr>
          <w:rFonts w:ascii="Times New Roman" w:hAnsi="Times New Roman"/>
          <w:noProof/>
          <w:sz w:val="24"/>
        </w:rPr>
        <w:t xml:space="preserve"> at forblive på et tilfredsstillende niveau og nå op på ca. 141 mio. EUR ved udgangen af 2026</w:t>
      </w:r>
      <w:r w:rsidR="00AB3821" w:rsidRPr="00DA729B">
        <w:rPr>
          <w:rStyle w:val="FootnoteReference"/>
          <w:rFonts w:ascii="Times New Roman" w:eastAsia="Calibri" w:hAnsi="Times New Roman" w:cs="Times New Roman"/>
          <w:noProof/>
          <w:sz w:val="24"/>
          <w:szCs w:val="24"/>
          <w:lang w:val="en-US"/>
        </w:rPr>
        <w:footnoteReference w:id="5"/>
      </w:r>
      <w:r>
        <w:rPr>
          <w:rFonts w:ascii="Times New Roman" w:hAnsi="Times New Roman"/>
          <w:noProof/>
          <w:sz w:val="24"/>
        </w:rPr>
        <w:t>.</w:t>
      </w:r>
    </w:p>
    <w:p w14:paraId="74314D4A" w14:textId="77777777" w:rsidR="005223F5" w:rsidRPr="007E6245" w:rsidRDefault="005223F5" w:rsidP="002C2813">
      <w:pPr>
        <w:spacing w:after="0" w:line="240" w:lineRule="auto"/>
        <w:jc w:val="both"/>
        <w:rPr>
          <w:rFonts w:ascii="Times New Roman" w:eastAsia="Calibri" w:hAnsi="Times New Roman" w:cs="Times New Roman"/>
          <w:noProof/>
          <w:sz w:val="24"/>
          <w:szCs w:val="24"/>
          <w:highlight w:val="yellow"/>
          <w:lang w:val="en-US"/>
        </w:rPr>
      </w:pPr>
    </w:p>
    <w:p w14:paraId="68B57FED" w14:textId="32A770E0" w:rsidR="002C2813" w:rsidRPr="00957322" w:rsidRDefault="002C2813" w:rsidP="002C2813">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Med hensyn til </w:t>
      </w:r>
      <w:r>
        <w:rPr>
          <w:rFonts w:ascii="Times New Roman" w:hAnsi="Times New Roman"/>
          <w:b/>
          <w:noProof/>
          <w:sz w:val="24"/>
        </w:rPr>
        <w:t>reserven under 8. og 9. EUF</w:t>
      </w:r>
      <w:r>
        <w:rPr>
          <w:rFonts w:ascii="Times New Roman" w:hAnsi="Times New Roman"/>
          <w:noProof/>
          <w:sz w:val="24"/>
        </w:rPr>
        <w:t xml:space="preserve"> er der allerede foretaget syv</w:t>
      </w:r>
      <w:r w:rsidR="005955C8" w:rsidRPr="00957322">
        <w:rPr>
          <w:rStyle w:val="FootnoteReference"/>
          <w:rFonts w:ascii="Times New Roman" w:eastAsia="Calibri" w:hAnsi="Times New Roman" w:cs="Times New Roman"/>
          <w:noProof/>
          <w:sz w:val="24"/>
          <w:szCs w:val="24"/>
          <w:lang w:val="en-US"/>
        </w:rPr>
        <w:footnoteReference w:id="6"/>
      </w:r>
      <w:r>
        <w:rPr>
          <w:rFonts w:ascii="Times New Roman" w:hAnsi="Times New Roman"/>
          <w:noProof/>
          <w:sz w:val="24"/>
        </w:rPr>
        <w:t xml:space="preserve"> tilbagebetalinger til "EU-15-medlemsstaterne" til et samlet beløb på 1 925 mio. EUR. Den 8. EUF blev afsluttet i 2021. Kommissionen vil indtil afslutningen af 9. EUF og indtil den fuldstændige tilbagebetaling af midler, der ikke er indgået forpligtelser for, eller som er frigjort, fortsat tilbagebetale eventuelle restbeløb fra 9. EUF én gang om året.</w:t>
      </w:r>
    </w:p>
    <w:p w14:paraId="173F1D74" w14:textId="77777777" w:rsidR="002C2813" w:rsidRPr="007E6245" w:rsidRDefault="002C2813" w:rsidP="002C2813">
      <w:pPr>
        <w:spacing w:after="0" w:line="240" w:lineRule="auto"/>
        <w:jc w:val="both"/>
        <w:rPr>
          <w:rFonts w:ascii="Times New Roman" w:eastAsia="Calibri" w:hAnsi="Times New Roman" w:cs="Times New Roman"/>
          <w:noProof/>
          <w:sz w:val="24"/>
          <w:szCs w:val="24"/>
          <w:highlight w:val="yellow"/>
          <w:lang w:val="en-US"/>
        </w:rPr>
      </w:pPr>
    </w:p>
    <w:p w14:paraId="08E639DD" w14:textId="70DF7F48" w:rsidR="005B7C09" w:rsidRPr="005B7C09" w:rsidRDefault="002C2813" w:rsidP="005144C1">
      <w:pPr>
        <w:spacing w:after="0" w:line="240" w:lineRule="auto"/>
        <w:jc w:val="both"/>
        <w:rPr>
          <w:rFonts w:ascii="Times New Roman" w:eastAsia="Calibri" w:hAnsi="Times New Roman" w:cs="Times New Roman"/>
          <w:noProof/>
          <w:sz w:val="24"/>
          <w:szCs w:val="24"/>
        </w:rPr>
      </w:pPr>
      <w:bookmarkStart w:id="4" w:name="_Hlk193810964"/>
      <w:r>
        <w:rPr>
          <w:rFonts w:ascii="Times New Roman" w:hAnsi="Times New Roman"/>
          <w:noProof/>
          <w:sz w:val="24"/>
        </w:rPr>
        <w:t xml:space="preserve">Med hensyn til </w:t>
      </w:r>
      <w:r>
        <w:rPr>
          <w:rFonts w:ascii="Times New Roman" w:hAnsi="Times New Roman"/>
          <w:b/>
          <w:noProof/>
          <w:sz w:val="24"/>
        </w:rPr>
        <w:t>reserven for 10. og 11. EUF</w:t>
      </w:r>
      <w:r>
        <w:rPr>
          <w:rFonts w:ascii="Times New Roman" w:hAnsi="Times New Roman"/>
          <w:noProof/>
          <w:sz w:val="24"/>
        </w:rPr>
        <w:t xml:space="preserve"> anmodede Det Forenede Kongerige i marts 2023 formelt Kommissionen om, at den tilbagebetaler deres udestående andel af reserverne i 10. og 11. EUF ved at modregne den i deres resterende EUF-bidrag</w:t>
      </w:r>
      <w:bookmarkStart w:id="5" w:name="_Hlk193809701"/>
      <w:r>
        <w:rPr>
          <w:noProof/>
        </w:rPr>
        <w:t>.</w:t>
      </w:r>
      <w:r>
        <w:rPr>
          <w:rFonts w:ascii="Times New Roman" w:hAnsi="Times New Roman"/>
          <w:noProof/>
          <w:sz w:val="24"/>
        </w:rPr>
        <w:t xml:space="preserve"> Denne anmodning er i overensstemmelse med udtrædelsesaftalens artikel 153, som fastsætter, at Det Forenede Kongeriges andel af EUF's reserver ikke kan genanvendes. Indtil nu er i alt 218</w:t>
      </w:r>
      <w:r w:rsidR="00913AA8" w:rsidRPr="0027214A">
        <w:rPr>
          <w:rFonts w:ascii="Times New Roman" w:eastAsia="Calibri" w:hAnsi="Times New Roman" w:cs="Times New Roman"/>
          <w:noProof/>
          <w:sz w:val="24"/>
          <w:szCs w:val="24"/>
          <w:vertAlign w:val="superscript"/>
          <w:lang w:val="en-US"/>
        </w:rPr>
        <w:footnoteReference w:id="7"/>
      </w:r>
      <w:r>
        <w:rPr>
          <w:rFonts w:ascii="Times New Roman" w:hAnsi="Times New Roman"/>
          <w:noProof/>
          <w:sz w:val="24"/>
        </w:rPr>
        <w:t xml:space="preserve"> mio. EUR blevet tilbagebetalt til Det Forenede Kongerige (inklusive det beløb, der er modregnet i første tranche for 2025). I forbindelse med eventuelle fremtidige frigjorte midler vil vi fortsat anvende tilgangen med regelmæssig modregning. </w:t>
      </w:r>
    </w:p>
    <w:bookmarkEnd w:id="4"/>
    <w:bookmarkEnd w:id="5"/>
    <w:p w14:paraId="3E280AF7" w14:textId="77777777" w:rsidR="008F10FE" w:rsidRPr="005144C1" w:rsidRDefault="008F10FE" w:rsidP="005144C1">
      <w:pPr>
        <w:pStyle w:val="Heading2"/>
        <w:numPr>
          <w:ilvl w:val="0"/>
          <w:numId w:val="0"/>
        </w:numPr>
        <w:ind w:left="850" w:hanging="850"/>
        <w:rPr>
          <w:i/>
          <w:iCs/>
          <w:noProof/>
        </w:rPr>
      </w:pPr>
      <w:r>
        <w:rPr>
          <w:i/>
          <w:noProof/>
        </w:rPr>
        <w:t>Tillæg</w:t>
      </w:r>
    </w:p>
    <w:p w14:paraId="7B07FF1A" w14:textId="353A3710" w:rsidR="00972ABE" w:rsidRPr="00AB3821" w:rsidRDefault="00972ABE" w:rsidP="00AB3821">
      <w:pPr>
        <w:rPr>
          <w:rFonts w:ascii="Times New Roman" w:hAnsi="Times New Roman" w:cs="Times New Roman"/>
          <w:noProof/>
          <w:sz w:val="24"/>
          <w:szCs w:val="24"/>
        </w:rPr>
      </w:pPr>
      <w:r>
        <w:rPr>
          <w:rFonts w:ascii="Times New Roman" w:hAnsi="Times New Roman"/>
          <w:noProof/>
          <w:sz w:val="24"/>
        </w:rPr>
        <w:t xml:space="preserve">Tillæg 1, 2 og 3 viser de faktiske tal for 2024 og overslagene over betalinger for perioden 2025-2026. Den finansielle situation for hvert år sammenlignes med de tidligere meddelte overslag. </w:t>
      </w:r>
    </w:p>
    <w:p w14:paraId="7CD28B91" w14:textId="21E22540" w:rsidR="00972ABE" w:rsidRPr="00AB3821" w:rsidRDefault="00972ABE" w:rsidP="00AB3821">
      <w:pPr>
        <w:rPr>
          <w:rFonts w:ascii="Times New Roman" w:hAnsi="Times New Roman" w:cs="Times New Roman"/>
          <w:noProof/>
          <w:sz w:val="24"/>
          <w:szCs w:val="24"/>
        </w:rPr>
      </w:pPr>
      <w:r>
        <w:rPr>
          <w:rFonts w:ascii="Times New Roman" w:hAnsi="Times New Roman"/>
          <w:noProof/>
          <w:sz w:val="24"/>
        </w:rPr>
        <w:t>Tillæg 4 og 5 viser henholdsvis bidragene for 2025 og 2026 pr. tranche og pr. medlemsstat samt for Det Forenede Kongerige (UK).</w:t>
      </w:r>
    </w:p>
    <w:p w14:paraId="34413515" w14:textId="0E8CDFD8" w:rsidR="00972ABE" w:rsidRPr="00AB3821" w:rsidRDefault="00972ABE" w:rsidP="00AB3821">
      <w:pPr>
        <w:rPr>
          <w:rFonts w:ascii="Times New Roman" w:hAnsi="Times New Roman" w:cs="Times New Roman"/>
          <w:noProof/>
          <w:sz w:val="24"/>
          <w:szCs w:val="24"/>
        </w:rPr>
      </w:pPr>
      <w:r>
        <w:rPr>
          <w:rFonts w:ascii="Times New Roman" w:hAnsi="Times New Roman"/>
          <w:noProof/>
          <w:sz w:val="24"/>
        </w:rPr>
        <w:t>Tillæg 6 viser de årlige bidrag for perioden 2025-2028 pr. medlemsstat og for UK.</w:t>
      </w:r>
    </w:p>
    <w:p w14:paraId="449E46C3" w14:textId="7768CFB3" w:rsidR="00972ABE" w:rsidRPr="00AB3821" w:rsidRDefault="00972ABE" w:rsidP="00AB3821">
      <w:pPr>
        <w:rPr>
          <w:rFonts w:ascii="Times New Roman" w:hAnsi="Times New Roman" w:cs="Times New Roman"/>
          <w:noProof/>
          <w:sz w:val="24"/>
          <w:szCs w:val="24"/>
        </w:rPr>
      </w:pPr>
      <w:r>
        <w:rPr>
          <w:rFonts w:ascii="Times New Roman" w:hAnsi="Times New Roman"/>
          <w:noProof/>
          <w:sz w:val="24"/>
        </w:rPr>
        <w:t>Tillæg 7 viser status for reserverne af frigjorte midler for hver EUF pr. 31-12-2024.</w:t>
      </w:r>
    </w:p>
    <w:p w14:paraId="4B89A83D" w14:textId="2EDEEBED" w:rsidR="00972ABE" w:rsidRDefault="00972ABE" w:rsidP="00972ABE">
      <w:pPr>
        <w:rPr>
          <w:rFonts w:ascii="Times New Roman" w:hAnsi="Times New Roman" w:cs="Times New Roman"/>
          <w:noProof/>
          <w:color w:val="000000" w:themeColor="text1"/>
          <w:sz w:val="24"/>
          <w:szCs w:val="24"/>
        </w:rPr>
      </w:pPr>
    </w:p>
    <w:p w14:paraId="7EE51475" w14:textId="39625060" w:rsidR="002601C4" w:rsidRDefault="002601C4" w:rsidP="00972ABE">
      <w:pPr>
        <w:rPr>
          <w:rFonts w:ascii="Times New Roman" w:hAnsi="Times New Roman" w:cs="Times New Roman"/>
          <w:noProof/>
          <w:color w:val="000000" w:themeColor="text1"/>
          <w:sz w:val="24"/>
          <w:szCs w:val="24"/>
        </w:rPr>
      </w:pPr>
    </w:p>
    <w:p w14:paraId="282A6EDE" w14:textId="3A95996E" w:rsidR="002601C4" w:rsidRDefault="002601C4" w:rsidP="00972ABE">
      <w:pPr>
        <w:rPr>
          <w:rFonts w:ascii="Times New Roman" w:hAnsi="Times New Roman" w:cs="Times New Roman"/>
          <w:noProof/>
          <w:color w:val="000000" w:themeColor="text1"/>
          <w:sz w:val="24"/>
          <w:szCs w:val="24"/>
        </w:rPr>
      </w:pPr>
    </w:p>
    <w:p w14:paraId="413138B6" w14:textId="1859848C" w:rsidR="002601C4" w:rsidRDefault="002601C4" w:rsidP="00972ABE">
      <w:pPr>
        <w:rPr>
          <w:rFonts w:ascii="Times New Roman" w:hAnsi="Times New Roman" w:cs="Times New Roman"/>
          <w:noProof/>
          <w:color w:val="000000" w:themeColor="text1"/>
          <w:sz w:val="24"/>
          <w:szCs w:val="24"/>
        </w:rPr>
      </w:pPr>
    </w:p>
    <w:p w14:paraId="3D3EADF3" w14:textId="28A41ADF" w:rsidR="002601C4" w:rsidRDefault="002601C4" w:rsidP="00972ABE">
      <w:pPr>
        <w:rPr>
          <w:rFonts w:ascii="Times New Roman" w:hAnsi="Times New Roman" w:cs="Times New Roman"/>
          <w:noProof/>
          <w:color w:val="000000" w:themeColor="text1"/>
          <w:sz w:val="24"/>
          <w:szCs w:val="24"/>
        </w:rPr>
      </w:pPr>
    </w:p>
    <w:p w14:paraId="3AA79D73" w14:textId="4B5026B5" w:rsidR="002601C4" w:rsidRDefault="002601C4" w:rsidP="00972ABE">
      <w:pPr>
        <w:rPr>
          <w:rFonts w:ascii="Times New Roman" w:hAnsi="Times New Roman" w:cs="Times New Roman"/>
          <w:noProof/>
          <w:color w:val="000000" w:themeColor="text1"/>
          <w:sz w:val="24"/>
          <w:szCs w:val="24"/>
        </w:rPr>
      </w:pPr>
    </w:p>
    <w:p w14:paraId="5CE9D71A" w14:textId="11EDE920" w:rsidR="002601C4" w:rsidRDefault="002601C4" w:rsidP="00972ABE">
      <w:pPr>
        <w:rPr>
          <w:rFonts w:ascii="Times New Roman" w:hAnsi="Times New Roman" w:cs="Times New Roman"/>
          <w:noProof/>
          <w:color w:val="000000" w:themeColor="text1"/>
          <w:sz w:val="24"/>
          <w:szCs w:val="24"/>
        </w:rPr>
      </w:pPr>
    </w:p>
    <w:p w14:paraId="6F151A95" w14:textId="17A9BB8B" w:rsidR="002601C4" w:rsidRDefault="002601C4" w:rsidP="00972ABE">
      <w:pPr>
        <w:rPr>
          <w:rFonts w:ascii="Times New Roman" w:hAnsi="Times New Roman" w:cs="Times New Roman"/>
          <w:noProof/>
          <w:color w:val="000000" w:themeColor="text1"/>
          <w:sz w:val="24"/>
          <w:szCs w:val="24"/>
        </w:rPr>
      </w:pPr>
    </w:p>
    <w:p w14:paraId="658C8F3F" w14:textId="5C60563A" w:rsidR="002601C4" w:rsidRDefault="002601C4" w:rsidP="00972ABE">
      <w:pPr>
        <w:rPr>
          <w:rFonts w:ascii="Times New Roman" w:hAnsi="Times New Roman" w:cs="Times New Roman"/>
          <w:noProof/>
          <w:color w:val="000000" w:themeColor="text1"/>
          <w:sz w:val="24"/>
          <w:szCs w:val="24"/>
        </w:rPr>
      </w:pPr>
    </w:p>
    <w:p w14:paraId="76D8CFF3" w14:textId="76AE9828" w:rsidR="002601C4" w:rsidRDefault="002601C4" w:rsidP="00972ABE">
      <w:pPr>
        <w:rPr>
          <w:rFonts w:ascii="Times New Roman" w:hAnsi="Times New Roman" w:cs="Times New Roman"/>
          <w:noProof/>
          <w:color w:val="000000" w:themeColor="text1"/>
          <w:sz w:val="24"/>
          <w:szCs w:val="24"/>
        </w:rPr>
      </w:pPr>
    </w:p>
    <w:p w14:paraId="2310328A" w14:textId="3F6FA349" w:rsidR="002601C4" w:rsidRDefault="002601C4" w:rsidP="00972ABE">
      <w:pPr>
        <w:rPr>
          <w:rFonts w:ascii="Times New Roman" w:hAnsi="Times New Roman" w:cs="Times New Roman"/>
          <w:noProof/>
          <w:color w:val="000000" w:themeColor="text1"/>
          <w:sz w:val="24"/>
          <w:szCs w:val="24"/>
        </w:rPr>
      </w:pPr>
    </w:p>
    <w:p w14:paraId="38D8087A" w14:textId="52CA0BCF" w:rsidR="002601C4" w:rsidRDefault="002601C4" w:rsidP="00972ABE">
      <w:pPr>
        <w:rPr>
          <w:rFonts w:ascii="Times New Roman" w:hAnsi="Times New Roman" w:cs="Times New Roman"/>
          <w:noProof/>
          <w:color w:val="000000" w:themeColor="text1"/>
          <w:sz w:val="24"/>
          <w:szCs w:val="24"/>
        </w:rPr>
      </w:pPr>
    </w:p>
    <w:p w14:paraId="2C33D5B9" w14:textId="5B9AE5A9" w:rsidR="002601C4" w:rsidRDefault="002601C4" w:rsidP="00972ABE">
      <w:pPr>
        <w:rPr>
          <w:rFonts w:ascii="Times New Roman" w:hAnsi="Times New Roman" w:cs="Times New Roman"/>
          <w:noProof/>
          <w:color w:val="000000" w:themeColor="text1"/>
          <w:sz w:val="24"/>
          <w:szCs w:val="24"/>
        </w:rPr>
      </w:pPr>
    </w:p>
    <w:p w14:paraId="60695ADC" w14:textId="44CF9B4A" w:rsidR="002601C4" w:rsidRDefault="002601C4" w:rsidP="00972ABE">
      <w:pPr>
        <w:rPr>
          <w:rFonts w:ascii="Times New Roman" w:hAnsi="Times New Roman" w:cs="Times New Roman"/>
          <w:noProof/>
          <w:color w:val="000000" w:themeColor="text1"/>
          <w:sz w:val="24"/>
          <w:szCs w:val="24"/>
        </w:rPr>
      </w:pPr>
    </w:p>
    <w:p w14:paraId="6B8538E7" w14:textId="70E4D9A5" w:rsidR="002601C4" w:rsidRDefault="002601C4" w:rsidP="00972ABE">
      <w:pPr>
        <w:rPr>
          <w:rFonts w:ascii="Times New Roman" w:hAnsi="Times New Roman" w:cs="Times New Roman"/>
          <w:noProof/>
          <w:color w:val="000000" w:themeColor="text1"/>
          <w:sz w:val="24"/>
          <w:szCs w:val="24"/>
        </w:rPr>
      </w:pPr>
    </w:p>
    <w:p w14:paraId="519C11C6" w14:textId="77777777" w:rsidR="006B678C" w:rsidRDefault="006B678C" w:rsidP="009035E0">
      <w:pPr>
        <w:pStyle w:val="Heading2"/>
        <w:rPr>
          <w:noProof/>
        </w:rPr>
        <w:sectPr w:rsidR="006B678C" w:rsidSect="006B678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20"/>
          <w:docGrid w:linePitch="360"/>
        </w:sectPr>
      </w:pPr>
    </w:p>
    <w:p w14:paraId="1BEF354E" w14:textId="4AE3AF14" w:rsidR="009035E0" w:rsidRDefault="009035E0" w:rsidP="009035E0">
      <w:pPr>
        <w:pStyle w:val="Heading2"/>
        <w:rPr>
          <w:noProof/>
        </w:rPr>
      </w:pPr>
      <w:r>
        <w:rPr>
          <w:noProof/>
        </w:rPr>
        <w:t>Tillæg 1: Faktiske forpligtelser</w:t>
      </w:r>
      <w:r w:rsidR="00967B74">
        <w:rPr>
          <w:rStyle w:val="FootnoteReference"/>
          <w:noProof/>
        </w:rPr>
        <w:footnoteReference w:id="8"/>
      </w:r>
      <w:r>
        <w:rPr>
          <w:noProof/>
        </w:rPr>
        <w:t xml:space="preserve"> for 2024 og overslag for 2025-2026 (mio. EUR)</w:t>
      </w:r>
    </w:p>
    <w:tbl>
      <w:tblPr>
        <w:tblW w:w="13608" w:type="dxa"/>
        <w:tblLook w:val="04A0" w:firstRow="1" w:lastRow="0" w:firstColumn="1" w:lastColumn="0" w:noHBand="0" w:noVBand="1"/>
      </w:tblPr>
      <w:tblGrid>
        <w:gridCol w:w="3544"/>
        <w:gridCol w:w="1701"/>
        <w:gridCol w:w="1594"/>
        <w:gridCol w:w="1666"/>
        <w:gridCol w:w="1594"/>
        <w:gridCol w:w="1667"/>
        <w:gridCol w:w="1842"/>
      </w:tblGrid>
      <w:tr w:rsidR="00804505" w:rsidRPr="00804505" w14:paraId="1DD9CE0A" w14:textId="77777777" w:rsidTr="00804505">
        <w:trPr>
          <w:trHeight w:val="570"/>
        </w:trPr>
        <w:tc>
          <w:tcPr>
            <w:tcW w:w="3544" w:type="dxa"/>
            <w:tcBorders>
              <w:top w:val="nil"/>
              <w:left w:val="nil"/>
              <w:bottom w:val="nil"/>
              <w:right w:val="nil"/>
            </w:tcBorders>
            <w:shd w:val="clear" w:color="auto" w:fill="auto"/>
            <w:noWrap/>
            <w:vAlign w:val="bottom"/>
            <w:hideMark/>
          </w:tcPr>
          <w:p w14:paraId="6994FB22" w14:textId="77777777" w:rsidR="00804505" w:rsidRPr="00804505" w:rsidRDefault="00804505" w:rsidP="00804505">
            <w:pPr>
              <w:spacing w:after="0" w:line="240" w:lineRule="auto"/>
              <w:rPr>
                <w:rFonts w:ascii="Times New Roman" w:eastAsia="Times New Roman" w:hAnsi="Times New Roman" w:cs="Times New Roman"/>
                <w:noProof/>
                <w:sz w:val="24"/>
                <w:szCs w:val="24"/>
                <w:lang w:val="en-IE" w:eastAsia="en-IE"/>
              </w:rPr>
            </w:pPr>
          </w:p>
        </w:tc>
        <w:tc>
          <w:tcPr>
            <w:tcW w:w="3295"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37328C3"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2024</w:t>
            </w:r>
          </w:p>
        </w:tc>
        <w:tc>
          <w:tcPr>
            <w:tcW w:w="326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3EF7969"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2025</w:t>
            </w:r>
          </w:p>
        </w:tc>
        <w:tc>
          <w:tcPr>
            <w:tcW w:w="350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511904D"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2026</w:t>
            </w:r>
          </w:p>
        </w:tc>
      </w:tr>
      <w:tr w:rsidR="00804505" w:rsidRPr="00804505" w14:paraId="768C866A" w14:textId="77777777" w:rsidTr="00804505">
        <w:trPr>
          <w:trHeight w:val="510"/>
        </w:trPr>
        <w:tc>
          <w:tcPr>
            <w:tcW w:w="3544" w:type="dxa"/>
            <w:tcBorders>
              <w:top w:val="nil"/>
              <w:left w:val="nil"/>
              <w:bottom w:val="nil"/>
              <w:right w:val="nil"/>
            </w:tcBorders>
            <w:shd w:val="clear" w:color="auto" w:fill="auto"/>
            <w:noWrap/>
            <w:hideMark/>
          </w:tcPr>
          <w:p w14:paraId="47C216F8" w14:textId="77777777" w:rsidR="00804505" w:rsidRPr="00804505" w:rsidRDefault="00804505" w:rsidP="00804505">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BF810EA"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594" w:type="dxa"/>
            <w:tcBorders>
              <w:top w:val="nil"/>
              <w:left w:val="nil"/>
              <w:bottom w:val="single" w:sz="4" w:space="0" w:color="auto"/>
              <w:right w:val="single" w:sz="8" w:space="0" w:color="auto"/>
            </w:tcBorders>
            <w:shd w:val="clear" w:color="auto" w:fill="BFBFBF" w:themeFill="background1" w:themeFillShade="BF"/>
            <w:vAlign w:val="center"/>
            <w:hideMark/>
          </w:tcPr>
          <w:p w14:paraId="76ADE5A1"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c>
          <w:tcPr>
            <w:tcW w:w="1666" w:type="dxa"/>
            <w:tcBorders>
              <w:top w:val="nil"/>
              <w:left w:val="nil"/>
              <w:bottom w:val="single" w:sz="4" w:space="0" w:color="auto"/>
              <w:right w:val="single" w:sz="4" w:space="0" w:color="auto"/>
            </w:tcBorders>
            <w:shd w:val="clear" w:color="auto" w:fill="auto"/>
            <w:vAlign w:val="center"/>
            <w:hideMark/>
          </w:tcPr>
          <w:p w14:paraId="084F3ED0"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594" w:type="dxa"/>
            <w:tcBorders>
              <w:top w:val="nil"/>
              <w:left w:val="nil"/>
              <w:bottom w:val="single" w:sz="4" w:space="0" w:color="auto"/>
              <w:right w:val="single" w:sz="8" w:space="0" w:color="auto"/>
            </w:tcBorders>
            <w:shd w:val="clear" w:color="auto" w:fill="BFBFBF" w:themeFill="background1" w:themeFillShade="BF"/>
            <w:vAlign w:val="center"/>
            <w:hideMark/>
          </w:tcPr>
          <w:p w14:paraId="632965A3"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c>
          <w:tcPr>
            <w:tcW w:w="1667" w:type="dxa"/>
            <w:tcBorders>
              <w:top w:val="nil"/>
              <w:left w:val="nil"/>
              <w:bottom w:val="single" w:sz="4" w:space="0" w:color="auto"/>
              <w:right w:val="single" w:sz="4" w:space="0" w:color="auto"/>
            </w:tcBorders>
            <w:shd w:val="clear" w:color="auto" w:fill="auto"/>
            <w:vAlign w:val="center"/>
            <w:hideMark/>
          </w:tcPr>
          <w:p w14:paraId="462D0145"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842" w:type="dxa"/>
            <w:tcBorders>
              <w:top w:val="nil"/>
              <w:left w:val="nil"/>
              <w:bottom w:val="single" w:sz="4" w:space="0" w:color="auto"/>
              <w:right w:val="single" w:sz="8" w:space="0" w:color="auto"/>
            </w:tcBorders>
            <w:shd w:val="clear" w:color="auto" w:fill="BFBFBF" w:themeFill="background1" w:themeFillShade="BF"/>
            <w:vAlign w:val="center"/>
            <w:hideMark/>
          </w:tcPr>
          <w:p w14:paraId="479692DA"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r>
      <w:tr w:rsidR="00804505" w:rsidRPr="00804505" w14:paraId="6F9AD67C" w14:textId="77777777" w:rsidTr="00804505">
        <w:trPr>
          <w:trHeight w:val="255"/>
        </w:trPr>
        <w:tc>
          <w:tcPr>
            <w:tcW w:w="3544" w:type="dxa"/>
            <w:tcBorders>
              <w:top w:val="single" w:sz="4" w:space="0" w:color="auto"/>
              <w:left w:val="single" w:sz="4" w:space="0" w:color="auto"/>
              <w:bottom w:val="nil"/>
              <w:right w:val="nil"/>
            </w:tcBorders>
            <w:shd w:val="clear" w:color="auto" w:fill="auto"/>
            <w:noWrap/>
            <w:vAlign w:val="center"/>
            <w:hideMark/>
          </w:tcPr>
          <w:p w14:paraId="080D8CD1" w14:textId="77777777" w:rsidR="00804505" w:rsidRPr="00804505" w:rsidRDefault="00804505" w:rsidP="00804505">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Regioner</w:t>
            </w:r>
          </w:p>
        </w:tc>
        <w:tc>
          <w:tcPr>
            <w:tcW w:w="1701" w:type="dxa"/>
            <w:tcBorders>
              <w:top w:val="nil"/>
              <w:left w:val="single" w:sz="8" w:space="0" w:color="auto"/>
              <w:bottom w:val="nil"/>
              <w:right w:val="single" w:sz="4" w:space="0" w:color="auto"/>
            </w:tcBorders>
            <w:shd w:val="clear" w:color="auto" w:fill="auto"/>
            <w:noWrap/>
            <w:vAlign w:val="bottom"/>
            <w:hideMark/>
          </w:tcPr>
          <w:p w14:paraId="0ADFEE98"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4BD0E754"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28475E81"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5013E4C"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2BBFD5BC"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797744E4"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392DE095" w14:textId="77777777" w:rsidTr="00804505">
        <w:trPr>
          <w:trHeight w:val="255"/>
        </w:trPr>
        <w:tc>
          <w:tcPr>
            <w:tcW w:w="3544" w:type="dxa"/>
            <w:tcBorders>
              <w:top w:val="nil"/>
              <w:left w:val="single" w:sz="4" w:space="0" w:color="auto"/>
              <w:bottom w:val="nil"/>
              <w:right w:val="nil"/>
            </w:tcBorders>
            <w:shd w:val="clear" w:color="000000" w:fill="FFFFFF"/>
            <w:noWrap/>
            <w:vAlign w:val="center"/>
            <w:hideMark/>
          </w:tcPr>
          <w:p w14:paraId="22235666"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Det østlige og det centrale Afrika</w:t>
            </w:r>
          </w:p>
        </w:tc>
        <w:tc>
          <w:tcPr>
            <w:tcW w:w="1701" w:type="dxa"/>
            <w:tcBorders>
              <w:top w:val="nil"/>
              <w:left w:val="single" w:sz="8" w:space="0" w:color="auto"/>
              <w:bottom w:val="nil"/>
              <w:right w:val="single" w:sz="4" w:space="0" w:color="auto"/>
            </w:tcBorders>
            <w:shd w:val="clear" w:color="auto" w:fill="auto"/>
            <w:noWrap/>
            <w:vAlign w:val="bottom"/>
            <w:hideMark/>
          </w:tcPr>
          <w:p w14:paraId="40B64A91"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2C576967"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30736E42"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759ABA6"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261AD8B2"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6EF7F2E3"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3A9810E6" w14:textId="77777777" w:rsidTr="00804505">
        <w:trPr>
          <w:trHeight w:val="255"/>
        </w:trPr>
        <w:tc>
          <w:tcPr>
            <w:tcW w:w="3544" w:type="dxa"/>
            <w:tcBorders>
              <w:top w:val="nil"/>
              <w:left w:val="single" w:sz="4" w:space="0" w:color="auto"/>
              <w:bottom w:val="nil"/>
              <w:right w:val="nil"/>
            </w:tcBorders>
            <w:shd w:val="clear" w:color="000000" w:fill="FFFFFF"/>
            <w:noWrap/>
            <w:vAlign w:val="center"/>
            <w:hideMark/>
          </w:tcPr>
          <w:p w14:paraId="300D802F"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Det vestlige og det sydlige Afrika</w:t>
            </w:r>
          </w:p>
        </w:tc>
        <w:tc>
          <w:tcPr>
            <w:tcW w:w="1701" w:type="dxa"/>
            <w:tcBorders>
              <w:top w:val="nil"/>
              <w:left w:val="single" w:sz="8" w:space="0" w:color="auto"/>
              <w:bottom w:val="nil"/>
              <w:right w:val="single" w:sz="4" w:space="0" w:color="auto"/>
            </w:tcBorders>
            <w:shd w:val="clear" w:color="auto" w:fill="auto"/>
            <w:noWrap/>
            <w:vAlign w:val="bottom"/>
            <w:hideMark/>
          </w:tcPr>
          <w:p w14:paraId="10FB4C91"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13B500B7"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21E91C23"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6E93246"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3B3A6CD0"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4B6D490B"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07596A47"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76CD2297"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Caribien</w:t>
            </w:r>
          </w:p>
        </w:tc>
        <w:tc>
          <w:tcPr>
            <w:tcW w:w="1701" w:type="dxa"/>
            <w:tcBorders>
              <w:top w:val="nil"/>
              <w:left w:val="single" w:sz="8" w:space="0" w:color="auto"/>
              <w:bottom w:val="nil"/>
              <w:right w:val="single" w:sz="4" w:space="0" w:color="auto"/>
            </w:tcBorders>
            <w:shd w:val="clear" w:color="auto" w:fill="auto"/>
            <w:noWrap/>
            <w:vAlign w:val="bottom"/>
            <w:hideMark/>
          </w:tcPr>
          <w:p w14:paraId="36B4EF4C"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64CF493"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614F8D8F"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43F67ED7"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626CDA6A"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05040C52"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562F6C71"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0C4EDA05"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Stillehavet</w:t>
            </w:r>
          </w:p>
        </w:tc>
        <w:tc>
          <w:tcPr>
            <w:tcW w:w="1701" w:type="dxa"/>
            <w:tcBorders>
              <w:top w:val="nil"/>
              <w:left w:val="single" w:sz="8" w:space="0" w:color="auto"/>
              <w:bottom w:val="nil"/>
              <w:right w:val="single" w:sz="4" w:space="0" w:color="auto"/>
            </w:tcBorders>
            <w:shd w:val="clear" w:color="auto" w:fill="auto"/>
            <w:noWrap/>
            <w:vAlign w:val="bottom"/>
            <w:hideMark/>
          </w:tcPr>
          <w:p w14:paraId="480EBC72"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786037F4"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1E4F83FA"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6B86DCDE"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2FD422B1"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7843A575"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40CDA51B"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74601D77" w14:textId="77777777" w:rsidR="00804505" w:rsidRPr="00804505" w:rsidRDefault="00804505" w:rsidP="00804505">
            <w:pPr>
              <w:spacing w:after="0" w:line="240" w:lineRule="auto"/>
              <w:ind w:firstLineChars="200" w:firstLine="400"/>
              <w:rPr>
                <w:rFonts w:ascii="Times New Roman" w:eastAsia="Times New Roman" w:hAnsi="Times New Roman" w:cs="Times New Roman"/>
                <w:b/>
                <w:bCs/>
                <w:noProof/>
                <w:sz w:val="20"/>
                <w:szCs w:val="20"/>
              </w:rPr>
            </w:pPr>
            <w:r>
              <w:rPr>
                <w:rFonts w:ascii="Times New Roman" w:hAnsi="Times New Roman"/>
                <w:b/>
                <w:noProof/>
                <w:sz w:val="20"/>
              </w:rPr>
              <w:t>Subtotal</w:t>
            </w:r>
          </w:p>
        </w:tc>
        <w:tc>
          <w:tcPr>
            <w:tcW w:w="1701" w:type="dxa"/>
            <w:tcBorders>
              <w:top w:val="nil"/>
              <w:left w:val="single" w:sz="8" w:space="0" w:color="auto"/>
              <w:bottom w:val="nil"/>
              <w:right w:val="single" w:sz="4" w:space="0" w:color="auto"/>
            </w:tcBorders>
            <w:shd w:val="clear" w:color="auto" w:fill="auto"/>
            <w:noWrap/>
            <w:vAlign w:val="bottom"/>
            <w:hideMark/>
          </w:tcPr>
          <w:p w14:paraId="26574615"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7D28642C"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1197F64E"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DD0CDCE"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1E74058B"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640577B1"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r>
      <w:tr w:rsidR="00804505" w:rsidRPr="00804505" w14:paraId="3D3F976E"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2C43D48D" w14:textId="77777777" w:rsidR="00804505" w:rsidRPr="00804505" w:rsidRDefault="00804505" w:rsidP="00804505">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Andet</w:t>
            </w:r>
          </w:p>
        </w:tc>
        <w:tc>
          <w:tcPr>
            <w:tcW w:w="1701" w:type="dxa"/>
            <w:tcBorders>
              <w:top w:val="nil"/>
              <w:left w:val="single" w:sz="8" w:space="0" w:color="auto"/>
              <w:bottom w:val="nil"/>
              <w:right w:val="single" w:sz="4" w:space="0" w:color="auto"/>
            </w:tcBorders>
            <w:shd w:val="clear" w:color="auto" w:fill="auto"/>
            <w:noWrap/>
            <w:vAlign w:val="bottom"/>
            <w:hideMark/>
          </w:tcPr>
          <w:p w14:paraId="413DF399"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0B70E46"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09AB572B"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D3BC7E5"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49704ECE"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748C1647"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75DEC465" w14:textId="77777777" w:rsidTr="00804505">
        <w:trPr>
          <w:trHeight w:val="255"/>
        </w:trPr>
        <w:tc>
          <w:tcPr>
            <w:tcW w:w="3544" w:type="dxa"/>
            <w:tcBorders>
              <w:top w:val="nil"/>
              <w:left w:val="single" w:sz="8" w:space="0" w:color="auto"/>
              <w:bottom w:val="nil"/>
              <w:right w:val="nil"/>
            </w:tcBorders>
            <w:shd w:val="clear" w:color="auto" w:fill="auto"/>
            <w:noWrap/>
            <w:vAlign w:val="center"/>
            <w:hideMark/>
          </w:tcPr>
          <w:p w14:paraId="4BA137B1"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 xml:space="preserve">Særlige foranstaltninger med henblik på fødevaresikkerhed </w:t>
            </w:r>
          </w:p>
        </w:tc>
        <w:tc>
          <w:tcPr>
            <w:tcW w:w="1701" w:type="dxa"/>
            <w:tcBorders>
              <w:top w:val="nil"/>
              <w:left w:val="single" w:sz="8" w:space="0" w:color="auto"/>
              <w:bottom w:val="nil"/>
              <w:right w:val="single" w:sz="4" w:space="0" w:color="auto"/>
            </w:tcBorders>
            <w:shd w:val="clear" w:color="auto" w:fill="auto"/>
            <w:noWrap/>
            <w:vAlign w:val="bottom"/>
            <w:hideMark/>
          </w:tcPr>
          <w:p w14:paraId="02E26E40"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43AC44C6"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42D72A43"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37D1E03"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01F5327C"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369E66E9"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r>
      <w:tr w:rsidR="00804505" w:rsidRPr="00804505" w14:paraId="24F064DF"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7E216008"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Menneskelig udvikling, menneskerettigheder</w:t>
            </w:r>
          </w:p>
        </w:tc>
        <w:tc>
          <w:tcPr>
            <w:tcW w:w="1701" w:type="dxa"/>
            <w:tcBorders>
              <w:top w:val="nil"/>
              <w:left w:val="single" w:sz="8" w:space="0" w:color="auto"/>
              <w:bottom w:val="nil"/>
              <w:right w:val="single" w:sz="4" w:space="0" w:color="auto"/>
            </w:tcBorders>
            <w:shd w:val="clear" w:color="auto" w:fill="auto"/>
            <w:noWrap/>
            <w:vAlign w:val="bottom"/>
            <w:hideMark/>
          </w:tcPr>
          <w:p w14:paraId="616E1129"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6952E48"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341D5893"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64DBBFC4"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5D589D2A"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2B9241BB"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1B911B04"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355A92DC"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EU-Afrika, fredsfaciliteten for Afrika</w:t>
            </w:r>
          </w:p>
        </w:tc>
        <w:tc>
          <w:tcPr>
            <w:tcW w:w="1701" w:type="dxa"/>
            <w:tcBorders>
              <w:top w:val="nil"/>
              <w:left w:val="single" w:sz="8" w:space="0" w:color="auto"/>
              <w:bottom w:val="nil"/>
              <w:right w:val="single" w:sz="4" w:space="0" w:color="auto"/>
            </w:tcBorders>
            <w:shd w:val="clear" w:color="auto" w:fill="auto"/>
            <w:noWrap/>
            <w:vAlign w:val="bottom"/>
            <w:hideMark/>
          </w:tcPr>
          <w:p w14:paraId="6EC0BF36"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73746AC8"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543177B6"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8CA611B"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56FBF012"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1A35C346"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3F1D63C7" w14:textId="77777777" w:rsidTr="00804505">
        <w:trPr>
          <w:trHeight w:val="255"/>
        </w:trPr>
        <w:tc>
          <w:tcPr>
            <w:tcW w:w="3544" w:type="dxa"/>
            <w:tcBorders>
              <w:top w:val="nil"/>
              <w:left w:val="single" w:sz="4" w:space="0" w:color="auto"/>
              <w:bottom w:val="nil"/>
              <w:right w:val="nil"/>
            </w:tcBorders>
            <w:shd w:val="clear" w:color="000000" w:fill="FFFFFF"/>
            <w:noWrap/>
            <w:vAlign w:val="bottom"/>
            <w:hideMark/>
          </w:tcPr>
          <w:p w14:paraId="28C61FFA"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EUTF Afrika</w:t>
            </w:r>
          </w:p>
        </w:tc>
        <w:tc>
          <w:tcPr>
            <w:tcW w:w="1701" w:type="dxa"/>
            <w:tcBorders>
              <w:top w:val="nil"/>
              <w:left w:val="single" w:sz="8" w:space="0" w:color="auto"/>
              <w:bottom w:val="nil"/>
              <w:right w:val="single" w:sz="4" w:space="0" w:color="auto"/>
            </w:tcBorders>
            <w:shd w:val="clear" w:color="auto" w:fill="auto"/>
            <w:noWrap/>
            <w:vAlign w:val="bottom"/>
            <w:hideMark/>
          </w:tcPr>
          <w:p w14:paraId="53C58426"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B6B86D6"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4720A233"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49FB4BEE"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489CB54A"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3EE3AAD4"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57284FA3" w14:textId="77777777" w:rsidTr="00804505">
        <w:trPr>
          <w:trHeight w:val="255"/>
        </w:trPr>
        <w:tc>
          <w:tcPr>
            <w:tcW w:w="3544" w:type="dxa"/>
            <w:tcBorders>
              <w:top w:val="nil"/>
              <w:left w:val="single" w:sz="4" w:space="0" w:color="auto"/>
              <w:bottom w:val="nil"/>
              <w:right w:val="nil"/>
            </w:tcBorders>
            <w:shd w:val="clear" w:color="auto" w:fill="auto"/>
            <w:noWrap/>
            <w:vAlign w:val="bottom"/>
            <w:hideMark/>
          </w:tcPr>
          <w:p w14:paraId="65899E2F"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Planeten og velstand</w:t>
            </w:r>
          </w:p>
        </w:tc>
        <w:tc>
          <w:tcPr>
            <w:tcW w:w="1701" w:type="dxa"/>
            <w:tcBorders>
              <w:top w:val="nil"/>
              <w:left w:val="single" w:sz="8" w:space="0" w:color="auto"/>
              <w:bottom w:val="nil"/>
              <w:right w:val="single" w:sz="4" w:space="0" w:color="auto"/>
            </w:tcBorders>
            <w:shd w:val="clear" w:color="auto" w:fill="auto"/>
            <w:noWrap/>
            <w:vAlign w:val="bottom"/>
            <w:hideMark/>
          </w:tcPr>
          <w:p w14:paraId="6B86698E"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1E8C6FCA"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0CA94DF6"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62084F9"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389A1D8C"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0B6C5C94"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804505" w14:paraId="662B5E61" w14:textId="77777777" w:rsidTr="00804505">
        <w:trPr>
          <w:trHeight w:val="255"/>
        </w:trPr>
        <w:tc>
          <w:tcPr>
            <w:tcW w:w="3544" w:type="dxa"/>
            <w:tcBorders>
              <w:top w:val="nil"/>
              <w:left w:val="single" w:sz="4" w:space="0" w:color="auto"/>
              <w:bottom w:val="nil"/>
              <w:right w:val="nil"/>
            </w:tcBorders>
            <w:shd w:val="clear" w:color="auto" w:fill="auto"/>
            <w:noWrap/>
            <w:vAlign w:val="bottom"/>
            <w:hideMark/>
          </w:tcPr>
          <w:p w14:paraId="4084110F" w14:textId="77777777" w:rsidR="00804505" w:rsidRPr="00804505" w:rsidRDefault="00804505" w:rsidP="00804505">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Ressourcer, evaluering, procedurer</w:t>
            </w:r>
          </w:p>
        </w:tc>
        <w:tc>
          <w:tcPr>
            <w:tcW w:w="1701" w:type="dxa"/>
            <w:tcBorders>
              <w:top w:val="nil"/>
              <w:left w:val="single" w:sz="8" w:space="0" w:color="auto"/>
              <w:bottom w:val="nil"/>
              <w:right w:val="single" w:sz="4" w:space="0" w:color="auto"/>
            </w:tcBorders>
            <w:shd w:val="clear" w:color="auto" w:fill="auto"/>
            <w:noWrap/>
            <w:vAlign w:val="bottom"/>
            <w:hideMark/>
          </w:tcPr>
          <w:p w14:paraId="258F350F"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1F3344E"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6" w:type="dxa"/>
            <w:tcBorders>
              <w:top w:val="nil"/>
              <w:left w:val="nil"/>
              <w:bottom w:val="nil"/>
              <w:right w:val="single" w:sz="4" w:space="0" w:color="auto"/>
            </w:tcBorders>
            <w:shd w:val="clear" w:color="auto" w:fill="auto"/>
            <w:noWrap/>
            <w:vAlign w:val="bottom"/>
            <w:hideMark/>
          </w:tcPr>
          <w:p w14:paraId="6A2A3C1F"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71515C69"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667" w:type="dxa"/>
            <w:tcBorders>
              <w:top w:val="nil"/>
              <w:left w:val="nil"/>
              <w:bottom w:val="nil"/>
              <w:right w:val="single" w:sz="4" w:space="0" w:color="auto"/>
            </w:tcBorders>
            <w:shd w:val="clear" w:color="auto" w:fill="auto"/>
            <w:noWrap/>
            <w:vAlign w:val="bottom"/>
            <w:hideMark/>
          </w:tcPr>
          <w:p w14:paraId="59530F3F" w14:textId="77777777" w:rsidR="00804505" w:rsidRPr="00804505" w:rsidRDefault="00804505" w:rsidP="00804505">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627CBB54" w14:textId="77777777" w:rsidR="00804505" w:rsidRPr="00804505" w:rsidRDefault="00804505" w:rsidP="00804505">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804505" w:rsidRPr="00441DE5" w14:paraId="36B1D949" w14:textId="77777777" w:rsidTr="00804505">
        <w:trPr>
          <w:trHeight w:val="255"/>
        </w:trPr>
        <w:tc>
          <w:tcPr>
            <w:tcW w:w="3544" w:type="dxa"/>
            <w:tcBorders>
              <w:top w:val="nil"/>
              <w:left w:val="single" w:sz="4" w:space="0" w:color="auto"/>
              <w:bottom w:val="nil"/>
              <w:right w:val="nil"/>
            </w:tcBorders>
            <w:shd w:val="clear" w:color="auto" w:fill="auto"/>
            <w:noWrap/>
            <w:vAlign w:val="bottom"/>
            <w:hideMark/>
          </w:tcPr>
          <w:p w14:paraId="28D0996A" w14:textId="77777777" w:rsidR="00804505" w:rsidRPr="00441DE5" w:rsidRDefault="00804505" w:rsidP="00804505">
            <w:pPr>
              <w:spacing w:after="0" w:line="240" w:lineRule="auto"/>
              <w:ind w:firstLineChars="200" w:firstLine="400"/>
              <w:rPr>
                <w:rFonts w:ascii="Times New Roman" w:eastAsia="Times New Roman" w:hAnsi="Times New Roman" w:cs="Times New Roman"/>
                <w:noProof/>
                <w:sz w:val="20"/>
                <w:szCs w:val="20"/>
                <w:lang w:val="en-IE"/>
              </w:rPr>
            </w:pPr>
            <w:r w:rsidRPr="00441DE5">
              <w:rPr>
                <w:rFonts w:ascii="Times New Roman" w:hAnsi="Times New Roman"/>
                <w:noProof/>
                <w:sz w:val="20"/>
                <w:lang w:val="en-IE"/>
              </w:rPr>
              <w:t>GD ECHO, EACEA, GD EAC</w:t>
            </w:r>
          </w:p>
        </w:tc>
        <w:tc>
          <w:tcPr>
            <w:tcW w:w="1701" w:type="dxa"/>
            <w:tcBorders>
              <w:top w:val="nil"/>
              <w:left w:val="single" w:sz="8" w:space="0" w:color="auto"/>
              <w:bottom w:val="nil"/>
              <w:right w:val="single" w:sz="4" w:space="0" w:color="auto"/>
            </w:tcBorders>
            <w:shd w:val="clear" w:color="auto" w:fill="auto"/>
            <w:noWrap/>
            <w:vAlign w:val="bottom"/>
            <w:hideMark/>
          </w:tcPr>
          <w:p w14:paraId="659A39BE" w14:textId="77777777" w:rsidR="00804505" w:rsidRPr="00441DE5" w:rsidRDefault="00804505" w:rsidP="00804505">
            <w:pPr>
              <w:spacing w:after="0" w:line="240" w:lineRule="auto"/>
              <w:jc w:val="center"/>
              <w:rPr>
                <w:rFonts w:ascii="Times New Roman" w:eastAsia="Times New Roman" w:hAnsi="Times New Roman" w:cs="Times New Roman"/>
                <w:noProof/>
                <w:color w:val="808080"/>
                <w:sz w:val="20"/>
                <w:szCs w:val="20"/>
                <w:lang w:val="en-IE"/>
              </w:rPr>
            </w:pPr>
            <w:r w:rsidRPr="00441DE5">
              <w:rPr>
                <w:rFonts w:ascii="Times New Roman" w:hAnsi="Times New Roman"/>
                <w:noProof/>
                <w:color w:val="808080"/>
                <w:sz w:val="20"/>
                <w:lang w:val="en-IE"/>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68A61DBD" w14:textId="77777777" w:rsidR="00804505" w:rsidRPr="00441DE5" w:rsidRDefault="00804505" w:rsidP="00804505">
            <w:pPr>
              <w:spacing w:after="0" w:line="240" w:lineRule="auto"/>
              <w:jc w:val="center"/>
              <w:rPr>
                <w:rFonts w:ascii="Times New Roman" w:eastAsia="Times New Roman" w:hAnsi="Times New Roman" w:cs="Times New Roman"/>
                <w:noProof/>
                <w:color w:val="000000"/>
                <w:sz w:val="20"/>
                <w:szCs w:val="20"/>
                <w:lang w:val="en-IE"/>
              </w:rPr>
            </w:pPr>
            <w:r w:rsidRPr="00441DE5">
              <w:rPr>
                <w:rFonts w:ascii="Times New Roman" w:hAnsi="Times New Roman"/>
                <w:noProof/>
                <w:color w:val="000000"/>
                <w:sz w:val="20"/>
                <w:lang w:val="en-IE"/>
              </w:rPr>
              <w:t> </w:t>
            </w:r>
          </w:p>
        </w:tc>
        <w:tc>
          <w:tcPr>
            <w:tcW w:w="1666" w:type="dxa"/>
            <w:tcBorders>
              <w:top w:val="nil"/>
              <w:left w:val="nil"/>
              <w:bottom w:val="nil"/>
              <w:right w:val="single" w:sz="4" w:space="0" w:color="auto"/>
            </w:tcBorders>
            <w:shd w:val="clear" w:color="auto" w:fill="auto"/>
            <w:noWrap/>
            <w:vAlign w:val="bottom"/>
            <w:hideMark/>
          </w:tcPr>
          <w:p w14:paraId="47CFD532" w14:textId="77777777" w:rsidR="00804505" w:rsidRPr="00441DE5" w:rsidRDefault="00804505" w:rsidP="00804505">
            <w:pPr>
              <w:spacing w:after="0" w:line="240" w:lineRule="auto"/>
              <w:jc w:val="center"/>
              <w:rPr>
                <w:rFonts w:ascii="Times New Roman" w:eastAsia="Times New Roman" w:hAnsi="Times New Roman" w:cs="Times New Roman"/>
                <w:noProof/>
                <w:color w:val="808080"/>
                <w:sz w:val="20"/>
                <w:szCs w:val="20"/>
                <w:lang w:val="en-IE"/>
              </w:rPr>
            </w:pPr>
            <w:r w:rsidRPr="00441DE5">
              <w:rPr>
                <w:rFonts w:ascii="Times New Roman" w:hAnsi="Times New Roman"/>
                <w:noProof/>
                <w:color w:val="808080"/>
                <w:sz w:val="20"/>
                <w:lang w:val="en-IE"/>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B32AA78" w14:textId="77777777" w:rsidR="00804505" w:rsidRPr="00441DE5" w:rsidRDefault="00804505" w:rsidP="00804505">
            <w:pPr>
              <w:spacing w:after="0" w:line="240" w:lineRule="auto"/>
              <w:jc w:val="center"/>
              <w:rPr>
                <w:rFonts w:ascii="Times New Roman" w:eastAsia="Times New Roman" w:hAnsi="Times New Roman" w:cs="Times New Roman"/>
                <w:noProof/>
                <w:color w:val="000000"/>
                <w:sz w:val="20"/>
                <w:szCs w:val="20"/>
                <w:lang w:val="en-IE"/>
              </w:rPr>
            </w:pPr>
            <w:r w:rsidRPr="00441DE5">
              <w:rPr>
                <w:rFonts w:ascii="Times New Roman" w:hAnsi="Times New Roman"/>
                <w:noProof/>
                <w:color w:val="000000"/>
                <w:sz w:val="20"/>
                <w:lang w:val="en-IE"/>
              </w:rPr>
              <w:t> </w:t>
            </w:r>
          </w:p>
        </w:tc>
        <w:tc>
          <w:tcPr>
            <w:tcW w:w="1667" w:type="dxa"/>
            <w:tcBorders>
              <w:top w:val="nil"/>
              <w:left w:val="nil"/>
              <w:bottom w:val="nil"/>
              <w:right w:val="single" w:sz="4" w:space="0" w:color="auto"/>
            </w:tcBorders>
            <w:shd w:val="clear" w:color="auto" w:fill="auto"/>
            <w:noWrap/>
            <w:vAlign w:val="bottom"/>
            <w:hideMark/>
          </w:tcPr>
          <w:p w14:paraId="31C28620" w14:textId="77777777" w:rsidR="00804505" w:rsidRPr="00441DE5" w:rsidRDefault="00804505" w:rsidP="00804505">
            <w:pPr>
              <w:spacing w:after="0" w:line="240" w:lineRule="auto"/>
              <w:jc w:val="center"/>
              <w:rPr>
                <w:rFonts w:ascii="Times New Roman" w:eastAsia="Times New Roman" w:hAnsi="Times New Roman" w:cs="Times New Roman"/>
                <w:noProof/>
                <w:color w:val="808080"/>
                <w:sz w:val="20"/>
                <w:szCs w:val="20"/>
                <w:lang w:val="en-IE"/>
              </w:rPr>
            </w:pPr>
            <w:r w:rsidRPr="00441DE5">
              <w:rPr>
                <w:rFonts w:ascii="Times New Roman" w:hAnsi="Times New Roman"/>
                <w:noProof/>
                <w:color w:val="808080"/>
                <w:sz w:val="20"/>
                <w:lang w:val="en-IE"/>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0EA04CE0" w14:textId="77777777" w:rsidR="00804505" w:rsidRPr="00441DE5" w:rsidRDefault="00804505" w:rsidP="00804505">
            <w:pPr>
              <w:spacing w:after="0" w:line="240" w:lineRule="auto"/>
              <w:jc w:val="center"/>
              <w:rPr>
                <w:rFonts w:ascii="Times New Roman" w:eastAsia="Times New Roman" w:hAnsi="Times New Roman" w:cs="Times New Roman"/>
                <w:noProof/>
                <w:color w:val="000000"/>
                <w:sz w:val="20"/>
                <w:szCs w:val="20"/>
                <w:lang w:val="en-IE"/>
              </w:rPr>
            </w:pPr>
            <w:r w:rsidRPr="00441DE5">
              <w:rPr>
                <w:rFonts w:ascii="Times New Roman" w:hAnsi="Times New Roman"/>
                <w:noProof/>
                <w:color w:val="000000"/>
                <w:sz w:val="20"/>
                <w:lang w:val="en-IE"/>
              </w:rPr>
              <w:t> </w:t>
            </w:r>
          </w:p>
        </w:tc>
      </w:tr>
      <w:tr w:rsidR="00804505" w:rsidRPr="00804505" w14:paraId="5EC473F2"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5FE989ED" w14:textId="77777777" w:rsidR="00804505" w:rsidRPr="00804505" w:rsidRDefault="00804505" w:rsidP="00804505">
            <w:pPr>
              <w:spacing w:after="0" w:line="240" w:lineRule="auto"/>
              <w:ind w:firstLineChars="200" w:firstLine="400"/>
              <w:rPr>
                <w:rFonts w:ascii="Times New Roman" w:eastAsia="Times New Roman" w:hAnsi="Times New Roman" w:cs="Times New Roman"/>
                <w:b/>
                <w:bCs/>
                <w:noProof/>
                <w:sz w:val="20"/>
                <w:szCs w:val="20"/>
              </w:rPr>
            </w:pPr>
            <w:r>
              <w:rPr>
                <w:rFonts w:ascii="Times New Roman" w:hAnsi="Times New Roman"/>
                <w:b/>
                <w:noProof/>
                <w:sz w:val="20"/>
              </w:rPr>
              <w:t>Subtotal</w:t>
            </w:r>
          </w:p>
        </w:tc>
        <w:tc>
          <w:tcPr>
            <w:tcW w:w="1701" w:type="dxa"/>
            <w:tcBorders>
              <w:top w:val="nil"/>
              <w:left w:val="single" w:sz="8" w:space="0" w:color="auto"/>
              <w:bottom w:val="dotted" w:sz="4" w:space="0" w:color="auto"/>
              <w:right w:val="single" w:sz="4" w:space="0" w:color="auto"/>
            </w:tcBorders>
            <w:shd w:val="clear" w:color="auto" w:fill="auto"/>
            <w:noWrap/>
            <w:vAlign w:val="bottom"/>
            <w:hideMark/>
          </w:tcPr>
          <w:p w14:paraId="1D5D4315"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w:t>
            </w:r>
          </w:p>
        </w:tc>
        <w:tc>
          <w:tcPr>
            <w:tcW w:w="1594" w:type="dxa"/>
            <w:tcBorders>
              <w:top w:val="nil"/>
              <w:left w:val="nil"/>
              <w:bottom w:val="dotted" w:sz="4" w:space="0" w:color="auto"/>
              <w:right w:val="single" w:sz="8" w:space="0" w:color="auto"/>
            </w:tcBorders>
            <w:shd w:val="clear" w:color="auto" w:fill="BFBFBF" w:themeFill="background1" w:themeFillShade="BF"/>
            <w:noWrap/>
            <w:vAlign w:val="bottom"/>
            <w:hideMark/>
          </w:tcPr>
          <w:p w14:paraId="1DE34B62"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666" w:type="dxa"/>
            <w:tcBorders>
              <w:top w:val="nil"/>
              <w:left w:val="nil"/>
              <w:bottom w:val="dotted" w:sz="4" w:space="0" w:color="auto"/>
              <w:right w:val="single" w:sz="4" w:space="0" w:color="auto"/>
            </w:tcBorders>
            <w:shd w:val="clear" w:color="auto" w:fill="auto"/>
            <w:noWrap/>
            <w:vAlign w:val="bottom"/>
            <w:hideMark/>
          </w:tcPr>
          <w:p w14:paraId="33CF9E68"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w:t>
            </w:r>
          </w:p>
        </w:tc>
        <w:tc>
          <w:tcPr>
            <w:tcW w:w="1594" w:type="dxa"/>
            <w:tcBorders>
              <w:top w:val="nil"/>
              <w:left w:val="nil"/>
              <w:bottom w:val="dotted" w:sz="4" w:space="0" w:color="auto"/>
              <w:right w:val="single" w:sz="8" w:space="0" w:color="auto"/>
            </w:tcBorders>
            <w:shd w:val="clear" w:color="auto" w:fill="BFBFBF" w:themeFill="background1" w:themeFillShade="BF"/>
            <w:noWrap/>
            <w:vAlign w:val="bottom"/>
            <w:hideMark/>
          </w:tcPr>
          <w:p w14:paraId="3EFCD146"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667" w:type="dxa"/>
            <w:tcBorders>
              <w:top w:val="nil"/>
              <w:left w:val="nil"/>
              <w:bottom w:val="dotted" w:sz="4" w:space="0" w:color="auto"/>
              <w:right w:val="single" w:sz="4" w:space="0" w:color="auto"/>
            </w:tcBorders>
            <w:shd w:val="clear" w:color="auto" w:fill="auto"/>
            <w:noWrap/>
            <w:vAlign w:val="bottom"/>
            <w:hideMark/>
          </w:tcPr>
          <w:p w14:paraId="03F54DF0"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w:t>
            </w:r>
          </w:p>
        </w:tc>
        <w:tc>
          <w:tcPr>
            <w:tcW w:w="1842" w:type="dxa"/>
            <w:tcBorders>
              <w:top w:val="nil"/>
              <w:left w:val="nil"/>
              <w:bottom w:val="dotted" w:sz="4" w:space="0" w:color="auto"/>
              <w:right w:val="single" w:sz="8" w:space="0" w:color="auto"/>
            </w:tcBorders>
            <w:shd w:val="clear" w:color="auto" w:fill="BFBFBF" w:themeFill="background1" w:themeFillShade="BF"/>
            <w:noWrap/>
            <w:vAlign w:val="bottom"/>
            <w:hideMark/>
          </w:tcPr>
          <w:p w14:paraId="74BBAC0D"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r>
      <w:tr w:rsidR="00804505" w:rsidRPr="00804505" w14:paraId="7F06BD83" w14:textId="77777777" w:rsidTr="00804505">
        <w:trPr>
          <w:trHeight w:val="255"/>
        </w:trPr>
        <w:tc>
          <w:tcPr>
            <w:tcW w:w="3544" w:type="dxa"/>
            <w:tcBorders>
              <w:top w:val="nil"/>
              <w:left w:val="single" w:sz="4" w:space="0" w:color="auto"/>
              <w:bottom w:val="single" w:sz="4" w:space="0" w:color="auto"/>
              <w:right w:val="nil"/>
            </w:tcBorders>
            <w:shd w:val="clear" w:color="auto" w:fill="auto"/>
            <w:noWrap/>
            <w:vAlign w:val="bottom"/>
            <w:hideMark/>
          </w:tcPr>
          <w:p w14:paraId="31A0E341" w14:textId="77777777" w:rsidR="00804505" w:rsidRPr="00804505" w:rsidRDefault="00804505" w:rsidP="00804505">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Kommissionen i alt</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043B1460"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69895F98"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c>
          <w:tcPr>
            <w:tcW w:w="1666" w:type="dxa"/>
            <w:tcBorders>
              <w:top w:val="nil"/>
              <w:left w:val="nil"/>
              <w:bottom w:val="single" w:sz="4" w:space="0" w:color="auto"/>
              <w:right w:val="single" w:sz="4" w:space="0" w:color="auto"/>
            </w:tcBorders>
            <w:shd w:val="clear" w:color="auto" w:fill="auto"/>
            <w:noWrap/>
            <w:vAlign w:val="bottom"/>
            <w:hideMark/>
          </w:tcPr>
          <w:p w14:paraId="56253750"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6CC7E3E2"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c>
          <w:tcPr>
            <w:tcW w:w="1667" w:type="dxa"/>
            <w:tcBorders>
              <w:top w:val="nil"/>
              <w:left w:val="nil"/>
              <w:bottom w:val="single" w:sz="4" w:space="0" w:color="auto"/>
              <w:right w:val="single" w:sz="4" w:space="0" w:color="auto"/>
            </w:tcBorders>
            <w:shd w:val="clear" w:color="auto" w:fill="auto"/>
            <w:noWrap/>
            <w:vAlign w:val="bottom"/>
            <w:hideMark/>
          </w:tcPr>
          <w:p w14:paraId="4B7E3D8D"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842" w:type="dxa"/>
            <w:tcBorders>
              <w:top w:val="nil"/>
              <w:left w:val="nil"/>
              <w:bottom w:val="single" w:sz="4" w:space="0" w:color="auto"/>
              <w:right w:val="single" w:sz="8" w:space="0" w:color="auto"/>
            </w:tcBorders>
            <w:shd w:val="clear" w:color="auto" w:fill="BFBFBF" w:themeFill="background1" w:themeFillShade="BF"/>
            <w:noWrap/>
            <w:vAlign w:val="bottom"/>
            <w:hideMark/>
          </w:tcPr>
          <w:p w14:paraId="450C2C27"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r>
      <w:tr w:rsidR="00804505" w:rsidRPr="00804505" w14:paraId="5EF473FC" w14:textId="77777777" w:rsidTr="00804505">
        <w:trPr>
          <w:trHeight w:val="255"/>
        </w:trPr>
        <w:tc>
          <w:tcPr>
            <w:tcW w:w="3544" w:type="dxa"/>
            <w:tcBorders>
              <w:top w:val="nil"/>
              <w:left w:val="single" w:sz="4" w:space="0" w:color="auto"/>
              <w:bottom w:val="nil"/>
              <w:right w:val="nil"/>
            </w:tcBorders>
            <w:shd w:val="clear" w:color="auto" w:fill="auto"/>
            <w:noWrap/>
            <w:vAlign w:val="bottom"/>
            <w:hideMark/>
          </w:tcPr>
          <w:p w14:paraId="40A159A1" w14:textId="77777777" w:rsidR="00804505" w:rsidRPr="00804505" w:rsidRDefault="00804505" w:rsidP="00804505">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Tilskud fra investeringsfaciliteten (*)</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08F845E4"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379DEB7C"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666" w:type="dxa"/>
            <w:tcBorders>
              <w:top w:val="nil"/>
              <w:left w:val="nil"/>
              <w:bottom w:val="single" w:sz="4" w:space="0" w:color="auto"/>
              <w:right w:val="single" w:sz="4" w:space="0" w:color="auto"/>
            </w:tcBorders>
            <w:shd w:val="clear" w:color="auto" w:fill="auto"/>
            <w:noWrap/>
            <w:vAlign w:val="bottom"/>
            <w:hideMark/>
          </w:tcPr>
          <w:p w14:paraId="405FBB9B"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33ACEEB1"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c>
          <w:tcPr>
            <w:tcW w:w="1667" w:type="dxa"/>
            <w:tcBorders>
              <w:top w:val="nil"/>
              <w:left w:val="nil"/>
              <w:bottom w:val="single" w:sz="4" w:space="0" w:color="auto"/>
              <w:right w:val="single" w:sz="4" w:space="0" w:color="auto"/>
            </w:tcBorders>
            <w:shd w:val="clear" w:color="auto" w:fill="auto"/>
            <w:noWrap/>
            <w:vAlign w:val="bottom"/>
            <w:hideMark/>
          </w:tcPr>
          <w:p w14:paraId="0C4DDDC9"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842" w:type="dxa"/>
            <w:tcBorders>
              <w:top w:val="nil"/>
              <w:left w:val="nil"/>
              <w:bottom w:val="single" w:sz="4" w:space="0" w:color="auto"/>
              <w:right w:val="single" w:sz="8" w:space="0" w:color="auto"/>
            </w:tcBorders>
            <w:shd w:val="clear" w:color="auto" w:fill="BFBFBF" w:themeFill="background1" w:themeFillShade="BF"/>
            <w:noWrap/>
            <w:vAlign w:val="bottom"/>
            <w:hideMark/>
          </w:tcPr>
          <w:p w14:paraId="22422790"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w:t>
            </w:r>
          </w:p>
        </w:tc>
      </w:tr>
      <w:tr w:rsidR="00804505" w:rsidRPr="00804505" w14:paraId="4DF6126E" w14:textId="77777777" w:rsidTr="00804505">
        <w:trPr>
          <w:trHeight w:val="255"/>
        </w:trPr>
        <w:tc>
          <w:tcPr>
            <w:tcW w:w="3544" w:type="dxa"/>
            <w:tcBorders>
              <w:top w:val="nil"/>
              <w:left w:val="single" w:sz="4" w:space="0" w:color="auto"/>
              <w:bottom w:val="single" w:sz="4" w:space="0" w:color="auto"/>
              <w:right w:val="nil"/>
            </w:tcBorders>
            <w:shd w:val="clear" w:color="auto" w:fill="auto"/>
            <w:noWrap/>
            <w:vAlign w:val="bottom"/>
            <w:hideMark/>
          </w:tcPr>
          <w:p w14:paraId="63127EFC" w14:textId="77777777" w:rsidR="00804505" w:rsidRPr="00804505" w:rsidRDefault="00804505" w:rsidP="00804505">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EIB i alt</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579E6DBA"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73E44CC9"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c>
          <w:tcPr>
            <w:tcW w:w="1666" w:type="dxa"/>
            <w:tcBorders>
              <w:top w:val="nil"/>
              <w:left w:val="nil"/>
              <w:bottom w:val="single" w:sz="4" w:space="0" w:color="auto"/>
              <w:right w:val="single" w:sz="4" w:space="0" w:color="auto"/>
            </w:tcBorders>
            <w:shd w:val="clear" w:color="auto" w:fill="auto"/>
            <w:noWrap/>
            <w:vAlign w:val="bottom"/>
            <w:hideMark/>
          </w:tcPr>
          <w:p w14:paraId="1862C185"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1FA6C098"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c>
          <w:tcPr>
            <w:tcW w:w="1667" w:type="dxa"/>
            <w:tcBorders>
              <w:top w:val="nil"/>
              <w:left w:val="nil"/>
              <w:bottom w:val="single" w:sz="4" w:space="0" w:color="auto"/>
              <w:right w:val="single" w:sz="4" w:space="0" w:color="auto"/>
            </w:tcBorders>
            <w:shd w:val="clear" w:color="auto" w:fill="auto"/>
            <w:noWrap/>
            <w:vAlign w:val="bottom"/>
            <w:hideMark/>
          </w:tcPr>
          <w:p w14:paraId="5B374050"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842" w:type="dxa"/>
            <w:tcBorders>
              <w:top w:val="nil"/>
              <w:left w:val="nil"/>
              <w:bottom w:val="single" w:sz="4" w:space="0" w:color="auto"/>
              <w:right w:val="single" w:sz="8" w:space="0" w:color="auto"/>
            </w:tcBorders>
            <w:shd w:val="clear" w:color="auto" w:fill="BFBFBF" w:themeFill="background1" w:themeFillShade="BF"/>
            <w:noWrap/>
            <w:vAlign w:val="bottom"/>
            <w:hideMark/>
          </w:tcPr>
          <w:p w14:paraId="71AB26A2"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r>
      <w:tr w:rsidR="00804505" w:rsidRPr="00804505" w14:paraId="5788ED1E" w14:textId="77777777" w:rsidTr="00804505">
        <w:trPr>
          <w:trHeight w:val="270"/>
        </w:trPr>
        <w:tc>
          <w:tcPr>
            <w:tcW w:w="3544" w:type="dxa"/>
            <w:tcBorders>
              <w:top w:val="nil"/>
              <w:left w:val="single" w:sz="4" w:space="0" w:color="auto"/>
              <w:bottom w:val="single" w:sz="4" w:space="0" w:color="auto"/>
              <w:right w:val="nil"/>
            </w:tcBorders>
            <w:shd w:val="clear" w:color="auto" w:fill="auto"/>
            <w:noWrap/>
            <w:vAlign w:val="center"/>
            <w:hideMark/>
          </w:tcPr>
          <w:p w14:paraId="742DF048" w14:textId="77777777" w:rsidR="00804505" w:rsidRPr="00804505" w:rsidRDefault="00804505" w:rsidP="00804505">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Kommissionen + EIB I ALT</w:t>
            </w:r>
          </w:p>
        </w:tc>
        <w:tc>
          <w:tcPr>
            <w:tcW w:w="1701" w:type="dxa"/>
            <w:tcBorders>
              <w:top w:val="nil"/>
              <w:left w:val="single" w:sz="8" w:space="0" w:color="auto"/>
              <w:bottom w:val="single" w:sz="8" w:space="0" w:color="auto"/>
              <w:right w:val="single" w:sz="4" w:space="0" w:color="auto"/>
            </w:tcBorders>
            <w:shd w:val="clear" w:color="auto" w:fill="auto"/>
            <w:noWrap/>
            <w:vAlign w:val="bottom"/>
            <w:hideMark/>
          </w:tcPr>
          <w:p w14:paraId="2167F0B2"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8" w:space="0" w:color="auto"/>
              <w:right w:val="single" w:sz="8" w:space="0" w:color="auto"/>
            </w:tcBorders>
            <w:shd w:val="clear" w:color="auto" w:fill="BFBFBF" w:themeFill="background1" w:themeFillShade="BF"/>
            <w:noWrap/>
            <w:vAlign w:val="bottom"/>
            <w:hideMark/>
          </w:tcPr>
          <w:p w14:paraId="2B899DEE"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c>
          <w:tcPr>
            <w:tcW w:w="1666" w:type="dxa"/>
            <w:tcBorders>
              <w:top w:val="nil"/>
              <w:left w:val="nil"/>
              <w:bottom w:val="single" w:sz="8" w:space="0" w:color="auto"/>
              <w:right w:val="single" w:sz="4" w:space="0" w:color="auto"/>
            </w:tcBorders>
            <w:shd w:val="clear" w:color="auto" w:fill="auto"/>
            <w:noWrap/>
            <w:vAlign w:val="bottom"/>
            <w:hideMark/>
          </w:tcPr>
          <w:p w14:paraId="597C6EF4"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8" w:space="0" w:color="auto"/>
              <w:right w:val="single" w:sz="8" w:space="0" w:color="auto"/>
            </w:tcBorders>
            <w:shd w:val="clear" w:color="auto" w:fill="BFBFBF" w:themeFill="background1" w:themeFillShade="BF"/>
            <w:noWrap/>
            <w:vAlign w:val="bottom"/>
            <w:hideMark/>
          </w:tcPr>
          <w:p w14:paraId="15B96906"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c>
          <w:tcPr>
            <w:tcW w:w="1667" w:type="dxa"/>
            <w:tcBorders>
              <w:top w:val="nil"/>
              <w:left w:val="nil"/>
              <w:bottom w:val="single" w:sz="8" w:space="0" w:color="auto"/>
              <w:right w:val="single" w:sz="4" w:space="0" w:color="auto"/>
            </w:tcBorders>
            <w:shd w:val="clear" w:color="auto" w:fill="auto"/>
            <w:noWrap/>
            <w:vAlign w:val="bottom"/>
            <w:hideMark/>
          </w:tcPr>
          <w:p w14:paraId="04FED19E"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842" w:type="dxa"/>
            <w:tcBorders>
              <w:top w:val="nil"/>
              <w:left w:val="nil"/>
              <w:bottom w:val="single" w:sz="8" w:space="0" w:color="auto"/>
              <w:right w:val="single" w:sz="8" w:space="0" w:color="auto"/>
            </w:tcBorders>
            <w:shd w:val="clear" w:color="auto" w:fill="BFBFBF" w:themeFill="background1" w:themeFillShade="BF"/>
            <w:noWrap/>
            <w:vAlign w:val="bottom"/>
            <w:hideMark/>
          </w:tcPr>
          <w:p w14:paraId="3EBC43FC"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r>
    </w:tbl>
    <w:p w14:paraId="59A32DA9" w14:textId="718346D2" w:rsidR="00967B74" w:rsidRDefault="00C0113F" w:rsidP="00967B74">
      <w:pPr>
        <w:rPr>
          <w:noProof/>
          <w:sz w:val="16"/>
          <w:szCs w:val="16"/>
        </w:rPr>
      </w:pPr>
      <w:r>
        <w:rPr>
          <w:noProof/>
          <w:sz w:val="16"/>
        </w:rPr>
        <w:t xml:space="preserve"> * Herunder tilskud til teknisk bistand og rentegodtgørelser fra den nuværende EUF og IRS-udbetaling under tidligere EUF'er.</w:t>
      </w:r>
    </w:p>
    <w:tbl>
      <w:tblPr>
        <w:tblW w:w="13608" w:type="dxa"/>
        <w:tblLook w:val="04A0" w:firstRow="1" w:lastRow="0" w:firstColumn="1" w:lastColumn="0" w:noHBand="0" w:noVBand="1"/>
      </w:tblPr>
      <w:tblGrid>
        <w:gridCol w:w="3580"/>
        <w:gridCol w:w="1665"/>
        <w:gridCol w:w="1594"/>
        <w:gridCol w:w="1666"/>
        <w:gridCol w:w="1594"/>
        <w:gridCol w:w="1667"/>
        <w:gridCol w:w="1842"/>
      </w:tblGrid>
      <w:tr w:rsidR="00804505" w:rsidRPr="00804505" w14:paraId="698D6D20" w14:textId="77777777" w:rsidTr="00804505">
        <w:trPr>
          <w:trHeight w:val="255"/>
        </w:trPr>
        <w:tc>
          <w:tcPr>
            <w:tcW w:w="3580" w:type="dxa"/>
            <w:tcBorders>
              <w:top w:val="nil"/>
              <w:left w:val="nil"/>
              <w:bottom w:val="nil"/>
              <w:right w:val="nil"/>
            </w:tcBorders>
            <w:shd w:val="clear" w:color="auto" w:fill="auto"/>
            <w:noWrap/>
            <w:vAlign w:val="bottom"/>
            <w:hideMark/>
          </w:tcPr>
          <w:p w14:paraId="10714B64" w14:textId="77777777" w:rsidR="00804505" w:rsidRPr="00441DE5" w:rsidRDefault="00804505" w:rsidP="00804505">
            <w:pPr>
              <w:spacing w:after="0" w:line="240" w:lineRule="auto"/>
              <w:rPr>
                <w:rFonts w:ascii="Times New Roman" w:eastAsia="Times New Roman" w:hAnsi="Times New Roman" w:cs="Times New Roman"/>
                <w:noProof/>
                <w:sz w:val="24"/>
                <w:szCs w:val="24"/>
                <w:lang w:eastAsia="en-IE"/>
              </w:rPr>
            </w:pPr>
          </w:p>
        </w:tc>
        <w:tc>
          <w:tcPr>
            <w:tcW w:w="3259"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565F193"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2024</w:t>
            </w:r>
          </w:p>
        </w:tc>
        <w:tc>
          <w:tcPr>
            <w:tcW w:w="326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2F181BA"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2025</w:t>
            </w:r>
          </w:p>
        </w:tc>
        <w:tc>
          <w:tcPr>
            <w:tcW w:w="350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60A7092"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2026</w:t>
            </w:r>
          </w:p>
        </w:tc>
      </w:tr>
      <w:tr w:rsidR="00804505" w:rsidRPr="00804505" w14:paraId="2CAB04C5" w14:textId="77777777" w:rsidTr="00804505">
        <w:trPr>
          <w:trHeight w:val="510"/>
        </w:trPr>
        <w:tc>
          <w:tcPr>
            <w:tcW w:w="3580" w:type="dxa"/>
            <w:tcBorders>
              <w:top w:val="nil"/>
              <w:left w:val="nil"/>
              <w:bottom w:val="nil"/>
              <w:right w:val="nil"/>
            </w:tcBorders>
            <w:shd w:val="clear" w:color="auto" w:fill="auto"/>
            <w:noWrap/>
            <w:hideMark/>
          </w:tcPr>
          <w:p w14:paraId="71A04787" w14:textId="77777777" w:rsidR="00804505" w:rsidRPr="00804505" w:rsidRDefault="00804505" w:rsidP="00804505">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665" w:type="dxa"/>
            <w:tcBorders>
              <w:top w:val="nil"/>
              <w:left w:val="single" w:sz="8" w:space="0" w:color="auto"/>
              <w:bottom w:val="single" w:sz="4" w:space="0" w:color="auto"/>
              <w:right w:val="single" w:sz="4" w:space="0" w:color="auto"/>
            </w:tcBorders>
            <w:shd w:val="clear" w:color="auto" w:fill="auto"/>
            <w:vAlign w:val="center"/>
            <w:hideMark/>
          </w:tcPr>
          <w:p w14:paraId="2CE4FD41"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594" w:type="dxa"/>
            <w:tcBorders>
              <w:top w:val="nil"/>
              <w:left w:val="nil"/>
              <w:bottom w:val="single" w:sz="4" w:space="0" w:color="auto"/>
              <w:right w:val="single" w:sz="8" w:space="0" w:color="auto"/>
            </w:tcBorders>
            <w:shd w:val="clear" w:color="auto" w:fill="BFBFBF" w:themeFill="background1" w:themeFillShade="BF"/>
            <w:vAlign w:val="center"/>
            <w:hideMark/>
          </w:tcPr>
          <w:p w14:paraId="67D48027"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c>
          <w:tcPr>
            <w:tcW w:w="1666" w:type="dxa"/>
            <w:tcBorders>
              <w:top w:val="nil"/>
              <w:left w:val="nil"/>
              <w:bottom w:val="single" w:sz="4" w:space="0" w:color="auto"/>
              <w:right w:val="single" w:sz="4" w:space="0" w:color="auto"/>
            </w:tcBorders>
            <w:shd w:val="clear" w:color="auto" w:fill="auto"/>
            <w:vAlign w:val="center"/>
            <w:hideMark/>
          </w:tcPr>
          <w:p w14:paraId="5E453454"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594" w:type="dxa"/>
            <w:tcBorders>
              <w:top w:val="nil"/>
              <w:left w:val="nil"/>
              <w:bottom w:val="single" w:sz="4" w:space="0" w:color="auto"/>
              <w:right w:val="single" w:sz="8" w:space="0" w:color="auto"/>
            </w:tcBorders>
            <w:shd w:val="clear" w:color="auto" w:fill="BFBFBF" w:themeFill="background1" w:themeFillShade="BF"/>
            <w:vAlign w:val="center"/>
            <w:hideMark/>
          </w:tcPr>
          <w:p w14:paraId="1FF56464"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c>
          <w:tcPr>
            <w:tcW w:w="1667" w:type="dxa"/>
            <w:tcBorders>
              <w:top w:val="nil"/>
              <w:left w:val="nil"/>
              <w:bottom w:val="single" w:sz="4" w:space="0" w:color="auto"/>
              <w:right w:val="single" w:sz="4" w:space="0" w:color="auto"/>
            </w:tcBorders>
            <w:shd w:val="clear" w:color="auto" w:fill="auto"/>
            <w:vAlign w:val="center"/>
            <w:hideMark/>
          </w:tcPr>
          <w:p w14:paraId="24191D0F"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842" w:type="dxa"/>
            <w:tcBorders>
              <w:top w:val="nil"/>
              <w:left w:val="nil"/>
              <w:bottom w:val="single" w:sz="4" w:space="0" w:color="auto"/>
              <w:right w:val="single" w:sz="8" w:space="0" w:color="auto"/>
            </w:tcBorders>
            <w:shd w:val="clear" w:color="auto" w:fill="BFBFBF" w:themeFill="background1" w:themeFillShade="BF"/>
            <w:vAlign w:val="center"/>
            <w:hideMark/>
          </w:tcPr>
          <w:p w14:paraId="727C7BEC" w14:textId="77777777" w:rsidR="00804505" w:rsidRPr="00804505" w:rsidRDefault="00804505" w:rsidP="00804505">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r>
      <w:tr w:rsidR="00804505" w:rsidRPr="00804505" w14:paraId="1E89E93F" w14:textId="77777777" w:rsidTr="00804505">
        <w:trPr>
          <w:trHeight w:val="255"/>
        </w:trPr>
        <w:tc>
          <w:tcPr>
            <w:tcW w:w="3580" w:type="dxa"/>
            <w:tcBorders>
              <w:top w:val="single" w:sz="4" w:space="0" w:color="auto"/>
              <w:left w:val="single" w:sz="4" w:space="0" w:color="auto"/>
              <w:bottom w:val="single" w:sz="4" w:space="0" w:color="auto"/>
              <w:right w:val="nil"/>
            </w:tcBorders>
            <w:shd w:val="clear" w:color="auto" w:fill="auto"/>
            <w:noWrap/>
            <w:vAlign w:val="bottom"/>
            <w:hideMark/>
          </w:tcPr>
          <w:p w14:paraId="37E2D31B" w14:textId="77777777" w:rsidR="00804505" w:rsidRPr="00804505" w:rsidRDefault="00804505" w:rsidP="00804505">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Investeringsfaciliteten som en revolverende fond**</w:t>
            </w:r>
          </w:p>
        </w:tc>
        <w:tc>
          <w:tcPr>
            <w:tcW w:w="1665" w:type="dxa"/>
            <w:tcBorders>
              <w:top w:val="nil"/>
              <w:left w:val="single" w:sz="8" w:space="0" w:color="auto"/>
              <w:bottom w:val="single" w:sz="4" w:space="0" w:color="auto"/>
              <w:right w:val="single" w:sz="4" w:space="0" w:color="auto"/>
            </w:tcBorders>
            <w:shd w:val="clear" w:color="auto" w:fill="auto"/>
            <w:noWrap/>
            <w:vAlign w:val="bottom"/>
            <w:hideMark/>
          </w:tcPr>
          <w:p w14:paraId="13C98EF9"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367EA9F8"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c>
          <w:tcPr>
            <w:tcW w:w="1666" w:type="dxa"/>
            <w:tcBorders>
              <w:top w:val="nil"/>
              <w:left w:val="nil"/>
              <w:bottom w:val="single" w:sz="4" w:space="0" w:color="auto"/>
              <w:right w:val="single" w:sz="4" w:space="0" w:color="auto"/>
            </w:tcBorders>
            <w:shd w:val="clear" w:color="auto" w:fill="auto"/>
            <w:noWrap/>
            <w:vAlign w:val="bottom"/>
            <w:hideMark/>
          </w:tcPr>
          <w:p w14:paraId="344B5BD2"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4A0E6121"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c>
          <w:tcPr>
            <w:tcW w:w="1667" w:type="dxa"/>
            <w:tcBorders>
              <w:top w:val="nil"/>
              <w:left w:val="nil"/>
              <w:bottom w:val="single" w:sz="4" w:space="0" w:color="auto"/>
              <w:right w:val="single" w:sz="4" w:space="0" w:color="auto"/>
            </w:tcBorders>
            <w:shd w:val="clear" w:color="auto" w:fill="auto"/>
            <w:noWrap/>
            <w:vAlign w:val="bottom"/>
            <w:hideMark/>
          </w:tcPr>
          <w:p w14:paraId="24B100AA" w14:textId="77777777" w:rsidR="00804505" w:rsidRPr="00804505" w:rsidRDefault="00804505" w:rsidP="00804505">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w:t>
            </w:r>
          </w:p>
        </w:tc>
        <w:tc>
          <w:tcPr>
            <w:tcW w:w="1842" w:type="dxa"/>
            <w:tcBorders>
              <w:top w:val="nil"/>
              <w:left w:val="nil"/>
              <w:bottom w:val="single" w:sz="4" w:space="0" w:color="auto"/>
              <w:right w:val="single" w:sz="8" w:space="0" w:color="auto"/>
            </w:tcBorders>
            <w:shd w:val="clear" w:color="auto" w:fill="BFBFBF" w:themeFill="background1" w:themeFillShade="BF"/>
            <w:noWrap/>
            <w:vAlign w:val="bottom"/>
            <w:hideMark/>
          </w:tcPr>
          <w:p w14:paraId="35732CC9" w14:textId="77777777" w:rsidR="00804505" w:rsidRPr="00804505" w:rsidRDefault="00804505" w:rsidP="00804505">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0</w:t>
            </w:r>
          </w:p>
        </w:tc>
      </w:tr>
    </w:tbl>
    <w:p w14:paraId="0BF3EE2D" w14:textId="7B3CEEF2" w:rsidR="00C0113F" w:rsidRDefault="00C0113F" w:rsidP="00967B74">
      <w:pPr>
        <w:rPr>
          <w:noProof/>
          <w:sz w:val="16"/>
          <w:szCs w:val="16"/>
        </w:rPr>
      </w:pPr>
      <w:r>
        <w:rPr>
          <w:noProof/>
          <w:sz w:val="16"/>
        </w:rPr>
        <w:t>**Forpligtelsen under den revolverende fond kan ikke sidestilles med budgetforpligtelser. Der rapporteres derfor særskilt herom.</w:t>
      </w:r>
    </w:p>
    <w:p w14:paraId="29772586" w14:textId="7D688873" w:rsidR="009035E0" w:rsidRDefault="009035E0" w:rsidP="009035E0">
      <w:pPr>
        <w:pStyle w:val="Heading2"/>
        <w:rPr>
          <w:noProof/>
        </w:rPr>
      </w:pPr>
      <w:r>
        <w:rPr>
          <w:noProof/>
        </w:rPr>
        <w:t>Tillæg 2: Faktiske betalinger</w:t>
      </w:r>
      <w:r w:rsidRPr="00613163">
        <w:rPr>
          <w:rStyle w:val="FootnoteReference"/>
          <w:noProof/>
        </w:rPr>
        <w:footnoteReference w:id="9"/>
      </w:r>
      <w:r>
        <w:rPr>
          <w:noProof/>
        </w:rPr>
        <w:t xml:space="preserve"> for 2024 og overslag for 2025-2026 (mio. EUR)</w:t>
      </w:r>
    </w:p>
    <w:tbl>
      <w:tblPr>
        <w:tblW w:w="13327" w:type="dxa"/>
        <w:tblLook w:val="04A0" w:firstRow="1" w:lastRow="0" w:firstColumn="1" w:lastColumn="0" w:noHBand="0" w:noVBand="1"/>
      </w:tblPr>
      <w:tblGrid>
        <w:gridCol w:w="3671"/>
        <w:gridCol w:w="1640"/>
        <w:gridCol w:w="1640"/>
        <w:gridCol w:w="1594"/>
        <w:gridCol w:w="1594"/>
        <w:gridCol w:w="1594"/>
        <w:gridCol w:w="1594"/>
      </w:tblGrid>
      <w:tr w:rsidR="003442FF" w:rsidRPr="003442FF" w14:paraId="0AEAFD4A" w14:textId="77777777" w:rsidTr="00047221">
        <w:trPr>
          <w:trHeight w:val="270"/>
        </w:trPr>
        <w:tc>
          <w:tcPr>
            <w:tcW w:w="3671" w:type="dxa"/>
            <w:tcBorders>
              <w:top w:val="nil"/>
              <w:left w:val="nil"/>
              <w:bottom w:val="nil"/>
              <w:right w:val="single" w:sz="8" w:space="0" w:color="auto"/>
            </w:tcBorders>
            <w:shd w:val="clear" w:color="auto" w:fill="auto"/>
            <w:noWrap/>
            <w:vAlign w:val="center"/>
            <w:hideMark/>
          </w:tcPr>
          <w:p w14:paraId="57952CB7" w14:textId="77777777" w:rsidR="003442FF" w:rsidRPr="003442FF" w:rsidRDefault="003442FF" w:rsidP="003442FF">
            <w:pPr>
              <w:spacing w:after="0" w:line="240" w:lineRule="auto"/>
              <w:rPr>
                <w:rFonts w:ascii="Times New Roman" w:eastAsia="Times New Roman" w:hAnsi="Times New Roman" w:cs="Times New Roman"/>
                <w:noProof/>
                <w:sz w:val="24"/>
                <w:szCs w:val="24"/>
                <w:lang w:val="en-IE" w:eastAsia="en-IE"/>
              </w:rPr>
            </w:pPr>
          </w:p>
        </w:tc>
        <w:tc>
          <w:tcPr>
            <w:tcW w:w="3280" w:type="dxa"/>
            <w:gridSpan w:val="2"/>
            <w:tcBorders>
              <w:top w:val="single" w:sz="8" w:space="0" w:color="auto"/>
              <w:left w:val="single" w:sz="8" w:space="0" w:color="auto"/>
              <w:bottom w:val="single" w:sz="8" w:space="0" w:color="auto"/>
            </w:tcBorders>
            <w:shd w:val="clear" w:color="auto" w:fill="auto"/>
            <w:noWrap/>
            <w:vAlign w:val="center"/>
            <w:hideMark/>
          </w:tcPr>
          <w:p w14:paraId="10E14492"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2024</w:t>
            </w:r>
          </w:p>
        </w:tc>
        <w:tc>
          <w:tcPr>
            <w:tcW w:w="3188" w:type="dxa"/>
            <w:gridSpan w:val="2"/>
            <w:tcBorders>
              <w:top w:val="single" w:sz="8" w:space="0" w:color="auto"/>
              <w:bottom w:val="single" w:sz="8" w:space="0" w:color="auto"/>
            </w:tcBorders>
            <w:shd w:val="clear" w:color="auto" w:fill="auto"/>
            <w:noWrap/>
            <w:vAlign w:val="center"/>
            <w:hideMark/>
          </w:tcPr>
          <w:p w14:paraId="2D105195"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2025</w:t>
            </w:r>
          </w:p>
        </w:tc>
        <w:tc>
          <w:tcPr>
            <w:tcW w:w="3188" w:type="dxa"/>
            <w:gridSpan w:val="2"/>
            <w:tcBorders>
              <w:top w:val="single" w:sz="8" w:space="0" w:color="auto"/>
              <w:bottom w:val="single" w:sz="8" w:space="0" w:color="auto"/>
              <w:right w:val="single" w:sz="8" w:space="0" w:color="auto"/>
            </w:tcBorders>
            <w:shd w:val="clear" w:color="auto" w:fill="auto"/>
            <w:noWrap/>
            <w:vAlign w:val="center"/>
            <w:hideMark/>
          </w:tcPr>
          <w:p w14:paraId="661691F9"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2026</w:t>
            </w:r>
          </w:p>
        </w:tc>
      </w:tr>
      <w:tr w:rsidR="003442FF" w:rsidRPr="003442FF" w14:paraId="3ECB66B8" w14:textId="77777777" w:rsidTr="00047221">
        <w:trPr>
          <w:trHeight w:val="571"/>
        </w:trPr>
        <w:tc>
          <w:tcPr>
            <w:tcW w:w="3671" w:type="dxa"/>
            <w:tcBorders>
              <w:top w:val="nil"/>
              <w:left w:val="nil"/>
              <w:bottom w:val="single" w:sz="8" w:space="0" w:color="auto"/>
              <w:right w:val="single" w:sz="8" w:space="0" w:color="auto"/>
            </w:tcBorders>
            <w:shd w:val="clear" w:color="auto" w:fill="auto"/>
            <w:vAlign w:val="center"/>
            <w:hideMark/>
          </w:tcPr>
          <w:p w14:paraId="7403AEB6"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lang w:val="en-IE" w:eastAsia="en-IE"/>
              </w:rPr>
            </w:pPr>
          </w:p>
        </w:tc>
        <w:tc>
          <w:tcPr>
            <w:tcW w:w="16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C526A1D" w14:textId="77777777" w:rsidR="003442FF" w:rsidRPr="003442FF" w:rsidRDefault="003442FF" w:rsidP="003442FF">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640" w:type="dxa"/>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10BDA6E4"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c>
          <w:tcPr>
            <w:tcW w:w="1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6B82FD3" w14:textId="77777777" w:rsidR="003442FF" w:rsidRPr="003442FF" w:rsidRDefault="003442FF" w:rsidP="003442FF">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594" w:type="dxa"/>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730F97ED"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c>
          <w:tcPr>
            <w:tcW w:w="1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8445CFA" w14:textId="77777777" w:rsidR="003442FF" w:rsidRPr="003442FF" w:rsidRDefault="003442FF" w:rsidP="003442FF">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594" w:type="dxa"/>
            <w:tcBorders>
              <w:top w:val="single" w:sz="8" w:space="0" w:color="auto"/>
              <w:left w:val="nil"/>
              <w:bottom w:val="single" w:sz="4" w:space="0" w:color="auto"/>
              <w:right w:val="single" w:sz="8" w:space="0" w:color="auto"/>
            </w:tcBorders>
            <w:shd w:val="clear" w:color="auto" w:fill="BFBFBF" w:themeFill="background1" w:themeFillShade="BF"/>
            <w:vAlign w:val="center"/>
            <w:hideMark/>
          </w:tcPr>
          <w:p w14:paraId="31AFC2A8"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r>
      <w:tr w:rsidR="003442FF" w:rsidRPr="003442FF" w14:paraId="38A4B13B" w14:textId="77777777" w:rsidTr="00047221">
        <w:trPr>
          <w:trHeight w:val="255"/>
        </w:trPr>
        <w:tc>
          <w:tcPr>
            <w:tcW w:w="3671" w:type="dxa"/>
            <w:tcBorders>
              <w:top w:val="single" w:sz="8" w:space="0" w:color="auto"/>
              <w:left w:val="single" w:sz="8" w:space="0" w:color="auto"/>
              <w:bottom w:val="nil"/>
              <w:right w:val="single" w:sz="8" w:space="0" w:color="auto"/>
            </w:tcBorders>
            <w:shd w:val="clear" w:color="auto" w:fill="auto"/>
            <w:noWrap/>
            <w:vAlign w:val="center"/>
            <w:hideMark/>
          </w:tcPr>
          <w:p w14:paraId="1C3089D2" w14:textId="77777777" w:rsidR="003442FF" w:rsidRPr="003442FF" w:rsidRDefault="003442FF" w:rsidP="003442FF">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Regioner</w:t>
            </w:r>
          </w:p>
        </w:tc>
        <w:tc>
          <w:tcPr>
            <w:tcW w:w="1640" w:type="dxa"/>
            <w:tcBorders>
              <w:top w:val="single" w:sz="4" w:space="0" w:color="auto"/>
              <w:left w:val="single" w:sz="8" w:space="0" w:color="auto"/>
              <w:bottom w:val="nil"/>
              <w:right w:val="single" w:sz="4" w:space="0" w:color="auto"/>
            </w:tcBorders>
            <w:shd w:val="clear" w:color="000000" w:fill="FFFFFF"/>
            <w:noWrap/>
            <w:vAlign w:val="bottom"/>
            <w:hideMark/>
          </w:tcPr>
          <w:p w14:paraId="0D240320"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640" w:type="dxa"/>
            <w:tcBorders>
              <w:top w:val="single" w:sz="4" w:space="0" w:color="auto"/>
              <w:left w:val="nil"/>
              <w:bottom w:val="nil"/>
              <w:right w:val="single" w:sz="4" w:space="0" w:color="auto"/>
            </w:tcBorders>
            <w:shd w:val="clear" w:color="auto" w:fill="BFBFBF" w:themeFill="background1" w:themeFillShade="BF"/>
            <w:noWrap/>
            <w:vAlign w:val="bottom"/>
            <w:hideMark/>
          </w:tcPr>
          <w:p w14:paraId="3998A131"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594" w:type="dxa"/>
            <w:tcBorders>
              <w:top w:val="single" w:sz="4" w:space="0" w:color="auto"/>
              <w:left w:val="single" w:sz="4" w:space="0" w:color="auto"/>
              <w:bottom w:val="nil"/>
              <w:right w:val="single" w:sz="4" w:space="0" w:color="auto"/>
            </w:tcBorders>
            <w:shd w:val="clear" w:color="auto" w:fill="auto"/>
            <w:noWrap/>
            <w:vAlign w:val="bottom"/>
            <w:hideMark/>
          </w:tcPr>
          <w:p w14:paraId="2F6CA1FA"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single" w:sz="4" w:space="0" w:color="auto"/>
              <w:left w:val="nil"/>
              <w:bottom w:val="nil"/>
              <w:right w:val="single" w:sz="4" w:space="0" w:color="auto"/>
            </w:tcBorders>
            <w:shd w:val="clear" w:color="auto" w:fill="BFBFBF" w:themeFill="background1" w:themeFillShade="BF"/>
            <w:noWrap/>
            <w:vAlign w:val="bottom"/>
            <w:hideMark/>
          </w:tcPr>
          <w:p w14:paraId="758ED11A"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single" w:sz="4" w:space="0" w:color="auto"/>
              <w:left w:val="nil"/>
              <w:bottom w:val="nil"/>
              <w:right w:val="nil"/>
            </w:tcBorders>
            <w:shd w:val="clear" w:color="auto" w:fill="auto"/>
            <w:noWrap/>
            <w:vAlign w:val="bottom"/>
            <w:hideMark/>
          </w:tcPr>
          <w:p w14:paraId="02F8D81F"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single" w:sz="4" w:space="0" w:color="auto"/>
              <w:left w:val="single" w:sz="4" w:space="0" w:color="auto"/>
              <w:bottom w:val="nil"/>
              <w:right w:val="single" w:sz="8" w:space="0" w:color="auto"/>
            </w:tcBorders>
            <w:shd w:val="clear" w:color="auto" w:fill="BFBFBF" w:themeFill="background1" w:themeFillShade="BF"/>
            <w:noWrap/>
            <w:vAlign w:val="bottom"/>
            <w:hideMark/>
          </w:tcPr>
          <w:p w14:paraId="1F87D28A"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32A603C4" w14:textId="77777777" w:rsidTr="00047221">
        <w:trPr>
          <w:trHeight w:val="300"/>
        </w:trPr>
        <w:tc>
          <w:tcPr>
            <w:tcW w:w="3671" w:type="dxa"/>
            <w:tcBorders>
              <w:top w:val="nil"/>
              <w:left w:val="single" w:sz="8" w:space="0" w:color="auto"/>
              <w:bottom w:val="nil"/>
              <w:right w:val="single" w:sz="8" w:space="0" w:color="auto"/>
            </w:tcBorders>
            <w:shd w:val="clear" w:color="000000" w:fill="FFFFFF"/>
            <w:noWrap/>
            <w:vAlign w:val="center"/>
            <w:hideMark/>
          </w:tcPr>
          <w:p w14:paraId="212FFEA6"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Det østlige og det centrale Afrika</w:t>
            </w:r>
          </w:p>
        </w:tc>
        <w:tc>
          <w:tcPr>
            <w:tcW w:w="1640" w:type="dxa"/>
            <w:tcBorders>
              <w:top w:val="nil"/>
              <w:left w:val="single" w:sz="8" w:space="0" w:color="auto"/>
              <w:bottom w:val="nil"/>
              <w:right w:val="single" w:sz="4" w:space="0" w:color="auto"/>
            </w:tcBorders>
            <w:shd w:val="clear" w:color="000000" w:fill="FFFFFF"/>
            <w:noWrap/>
            <w:vAlign w:val="bottom"/>
            <w:hideMark/>
          </w:tcPr>
          <w:p w14:paraId="4948F474"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243</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0ED6F14B"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237</w:t>
            </w:r>
          </w:p>
        </w:tc>
        <w:tc>
          <w:tcPr>
            <w:tcW w:w="1594" w:type="dxa"/>
            <w:tcBorders>
              <w:top w:val="nil"/>
              <w:left w:val="single" w:sz="4" w:space="0" w:color="auto"/>
              <w:bottom w:val="nil"/>
              <w:right w:val="single" w:sz="4" w:space="0" w:color="auto"/>
            </w:tcBorders>
            <w:shd w:val="clear" w:color="auto" w:fill="auto"/>
            <w:noWrap/>
            <w:vAlign w:val="bottom"/>
            <w:hideMark/>
          </w:tcPr>
          <w:p w14:paraId="66F373FB"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24B544B1" w14:textId="7DA5A6CB"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220</w:t>
            </w:r>
          </w:p>
        </w:tc>
        <w:tc>
          <w:tcPr>
            <w:tcW w:w="1594" w:type="dxa"/>
            <w:tcBorders>
              <w:top w:val="nil"/>
              <w:left w:val="nil"/>
              <w:bottom w:val="nil"/>
              <w:right w:val="nil"/>
            </w:tcBorders>
            <w:shd w:val="clear" w:color="auto" w:fill="auto"/>
            <w:noWrap/>
            <w:vAlign w:val="bottom"/>
            <w:hideMark/>
          </w:tcPr>
          <w:p w14:paraId="59191257"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31E17DDB"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3A9A6175" w14:textId="77777777" w:rsidTr="00047221">
        <w:trPr>
          <w:trHeight w:val="255"/>
        </w:trPr>
        <w:tc>
          <w:tcPr>
            <w:tcW w:w="3671" w:type="dxa"/>
            <w:tcBorders>
              <w:top w:val="nil"/>
              <w:left w:val="single" w:sz="8" w:space="0" w:color="auto"/>
              <w:bottom w:val="nil"/>
              <w:right w:val="single" w:sz="8" w:space="0" w:color="auto"/>
            </w:tcBorders>
            <w:shd w:val="clear" w:color="000000" w:fill="FFFFFF"/>
            <w:noWrap/>
            <w:vAlign w:val="center"/>
            <w:hideMark/>
          </w:tcPr>
          <w:p w14:paraId="25EB3B70"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Det vestlige og det sydlige Afrika</w:t>
            </w:r>
          </w:p>
        </w:tc>
        <w:tc>
          <w:tcPr>
            <w:tcW w:w="1640" w:type="dxa"/>
            <w:tcBorders>
              <w:top w:val="nil"/>
              <w:left w:val="single" w:sz="8" w:space="0" w:color="auto"/>
              <w:bottom w:val="nil"/>
              <w:right w:val="single" w:sz="4" w:space="0" w:color="auto"/>
            </w:tcBorders>
            <w:shd w:val="clear" w:color="000000" w:fill="FFFFFF"/>
            <w:noWrap/>
            <w:vAlign w:val="bottom"/>
            <w:hideMark/>
          </w:tcPr>
          <w:p w14:paraId="4C540B3B"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640</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4F3FC494"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634</w:t>
            </w:r>
          </w:p>
        </w:tc>
        <w:tc>
          <w:tcPr>
            <w:tcW w:w="1594" w:type="dxa"/>
            <w:tcBorders>
              <w:top w:val="nil"/>
              <w:left w:val="single" w:sz="4" w:space="0" w:color="auto"/>
              <w:bottom w:val="nil"/>
              <w:right w:val="single" w:sz="4" w:space="0" w:color="auto"/>
            </w:tcBorders>
            <w:shd w:val="clear" w:color="auto" w:fill="auto"/>
            <w:noWrap/>
            <w:vAlign w:val="bottom"/>
            <w:hideMark/>
          </w:tcPr>
          <w:p w14:paraId="5C653C0E"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32BDBA35" w14:textId="377E10AA"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415</w:t>
            </w:r>
          </w:p>
        </w:tc>
        <w:tc>
          <w:tcPr>
            <w:tcW w:w="1594" w:type="dxa"/>
            <w:tcBorders>
              <w:top w:val="nil"/>
              <w:left w:val="nil"/>
              <w:bottom w:val="nil"/>
              <w:right w:val="nil"/>
            </w:tcBorders>
            <w:shd w:val="clear" w:color="auto" w:fill="auto"/>
            <w:noWrap/>
            <w:vAlign w:val="bottom"/>
            <w:hideMark/>
          </w:tcPr>
          <w:p w14:paraId="339D43EB"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33435ED8"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62676FC4"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4F9988F0"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Caribien</w:t>
            </w:r>
          </w:p>
        </w:tc>
        <w:tc>
          <w:tcPr>
            <w:tcW w:w="1640" w:type="dxa"/>
            <w:tcBorders>
              <w:top w:val="nil"/>
              <w:left w:val="single" w:sz="8" w:space="0" w:color="auto"/>
              <w:bottom w:val="nil"/>
              <w:right w:val="single" w:sz="4" w:space="0" w:color="auto"/>
            </w:tcBorders>
            <w:shd w:val="clear" w:color="000000" w:fill="FFFFFF"/>
            <w:noWrap/>
            <w:vAlign w:val="bottom"/>
            <w:hideMark/>
          </w:tcPr>
          <w:p w14:paraId="50274B4F"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133</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0E80F3AA"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85</w:t>
            </w:r>
          </w:p>
        </w:tc>
        <w:tc>
          <w:tcPr>
            <w:tcW w:w="1594" w:type="dxa"/>
            <w:tcBorders>
              <w:top w:val="nil"/>
              <w:left w:val="single" w:sz="4" w:space="0" w:color="auto"/>
              <w:bottom w:val="nil"/>
              <w:right w:val="single" w:sz="4" w:space="0" w:color="auto"/>
            </w:tcBorders>
            <w:shd w:val="clear" w:color="auto" w:fill="auto"/>
            <w:noWrap/>
            <w:vAlign w:val="bottom"/>
            <w:hideMark/>
          </w:tcPr>
          <w:p w14:paraId="04106BB2"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05004237" w14:textId="55B6E4D0"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80</w:t>
            </w:r>
          </w:p>
        </w:tc>
        <w:tc>
          <w:tcPr>
            <w:tcW w:w="1594" w:type="dxa"/>
            <w:tcBorders>
              <w:top w:val="nil"/>
              <w:left w:val="nil"/>
              <w:bottom w:val="nil"/>
              <w:right w:val="nil"/>
            </w:tcBorders>
            <w:shd w:val="clear" w:color="auto" w:fill="auto"/>
            <w:noWrap/>
            <w:vAlign w:val="bottom"/>
            <w:hideMark/>
          </w:tcPr>
          <w:p w14:paraId="75F8F472"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6AC6A9A8"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538F1E14" w14:textId="77777777" w:rsidTr="00047221">
        <w:trPr>
          <w:trHeight w:val="255"/>
        </w:trPr>
        <w:tc>
          <w:tcPr>
            <w:tcW w:w="3671" w:type="dxa"/>
            <w:tcBorders>
              <w:top w:val="nil"/>
              <w:left w:val="single" w:sz="8" w:space="0" w:color="auto"/>
              <w:bottom w:val="single" w:sz="4" w:space="0" w:color="auto"/>
              <w:right w:val="single" w:sz="8" w:space="0" w:color="auto"/>
            </w:tcBorders>
            <w:shd w:val="clear" w:color="auto" w:fill="auto"/>
            <w:noWrap/>
            <w:vAlign w:val="center"/>
            <w:hideMark/>
          </w:tcPr>
          <w:p w14:paraId="35379509"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Stillehavet</w:t>
            </w:r>
          </w:p>
        </w:tc>
        <w:tc>
          <w:tcPr>
            <w:tcW w:w="1640" w:type="dxa"/>
            <w:tcBorders>
              <w:top w:val="nil"/>
              <w:left w:val="single" w:sz="8" w:space="0" w:color="auto"/>
              <w:bottom w:val="single" w:sz="4" w:space="0" w:color="auto"/>
              <w:right w:val="single" w:sz="4" w:space="0" w:color="auto"/>
            </w:tcBorders>
            <w:shd w:val="clear" w:color="000000" w:fill="FFFFFF"/>
            <w:noWrap/>
            <w:vAlign w:val="bottom"/>
            <w:hideMark/>
          </w:tcPr>
          <w:p w14:paraId="305D4426"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56</w:t>
            </w:r>
          </w:p>
        </w:tc>
        <w:tc>
          <w:tcPr>
            <w:tcW w:w="1640" w:type="dxa"/>
            <w:tcBorders>
              <w:top w:val="nil"/>
              <w:left w:val="nil"/>
              <w:bottom w:val="single" w:sz="4" w:space="0" w:color="auto"/>
              <w:right w:val="single" w:sz="4" w:space="0" w:color="auto"/>
            </w:tcBorders>
            <w:shd w:val="clear" w:color="auto" w:fill="BFBFBF" w:themeFill="background1" w:themeFillShade="BF"/>
            <w:noWrap/>
            <w:vAlign w:val="bottom"/>
            <w:hideMark/>
          </w:tcPr>
          <w:p w14:paraId="050C4365" w14:textId="321E628A"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50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14:paraId="42822826"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single" w:sz="4" w:space="0" w:color="auto"/>
              <w:right w:val="single" w:sz="4" w:space="0" w:color="auto"/>
            </w:tcBorders>
            <w:shd w:val="clear" w:color="auto" w:fill="BFBFBF" w:themeFill="background1" w:themeFillShade="BF"/>
            <w:noWrap/>
            <w:vAlign w:val="bottom"/>
            <w:hideMark/>
          </w:tcPr>
          <w:p w14:paraId="164B04F6"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35</w:t>
            </w:r>
          </w:p>
        </w:tc>
        <w:tc>
          <w:tcPr>
            <w:tcW w:w="1594" w:type="dxa"/>
            <w:tcBorders>
              <w:top w:val="nil"/>
              <w:left w:val="nil"/>
              <w:bottom w:val="single" w:sz="4" w:space="0" w:color="auto"/>
              <w:right w:val="nil"/>
            </w:tcBorders>
            <w:shd w:val="clear" w:color="auto" w:fill="auto"/>
            <w:noWrap/>
            <w:vAlign w:val="bottom"/>
            <w:hideMark/>
          </w:tcPr>
          <w:p w14:paraId="570A0BF6"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3779B7DB"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6D4A0E53"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3481D715"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Subtotal*</w:t>
            </w:r>
          </w:p>
        </w:tc>
        <w:tc>
          <w:tcPr>
            <w:tcW w:w="1640" w:type="dxa"/>
            <w:tcBorders>
              <w:top w:val="nil"/>
              <w:left w:val="single" w:sz="8" w:space="0" w:color="auto"/>
              <w:bottom w:val="nil"/>
              <w:right w:val="single" w:sz="4" w:space="0" w:color="auto"/>
            </w:tcBorders>
            <w:shd w:val="clear" w:color="000000" w:fill="FFFFFF"/>
            <w:noWrap/>
            <w:vAlign w:val="bottom"/>
            <w:hideMark/>
          </w:tcPr>
          <w:p w14:paraId="74251718"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1 073</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4DF3E516" w14:textId="6DA302A9" w:rsidR="003442FF" w:rsidRPr="003442FF" w:rsidRDefault="008C1BB8"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1006</w:t>
            </w:r>
          </w:p>
        </w:tc>
        <w:tc>
          <w:tcPr>
            <w:tcW w:w="1594" w:type="dxa"/>
            <w:tcBorders>
              <w:top w:val="nil"/>
              <w:left w:val="single" w:sz="4" w:space="0" w:color="auto"/>
              <w:bottom w:val="nil"/>
              <w:right w:val="single" w:sz="4" w:space="0" w:color="auto"/>
            </w:tcBorders>
            <w:shd w:val="clear" w:color="auto" w:fill="auto"/>
            <w:noWrap/>
            <w:vAlign w:val="bottom"/>
            <w:hideMark/>
          </w:tcPr>
          <w:p w14:paraId="20A85017"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741546B0" w14:textId="23CB7749"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750</w:t>
            </w:r>
          </w:p>
        </w:tc>
        <w:tc>
          <w:tcPr>
            <w:tcW w:w="1594" w:type="dxa"/>
            <w:tcBorders>
              <w:top w:val="nil"/>
              <w:left w:val="single" w:sz="4" w:space="0" w:color="auto"/>
              <w:bottom w:val="nil"/>
              <w:right w:val="nil"/>
            </w:tcBorders>
            <w:shd w:val="clear" w:color="auto" w:fill="auto"/>
            <w:noWrap/>
            <w:vAlign w:val="bottom"/>
            <w:hideMark/>
          </w:tcPr>
          <w:p w14:paraId="6F45C0F3"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62082396"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2366051B"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4D148861" w14:textId="77777777" w:rsidR="003442FF" w:rsidRPr="003442FF" w:rsidRDefault="003442FF" w:rsidP="003442FF">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 xml:space="preserve">Andet </w:t>
            </w:r>
          </w:p>
        </w:tc>
        <w:tc>
          <w:tcPr>
            <w:tcW w:w="1640" w:type="dxa"/>
            <w:tcBorders>
              <w:top w:val="nil"/>
              <w:left w:val="single" w:sz="8" w:space="0" w:color="auto"/>
              <w:bottom w:val="nil"/>
              <w:right w:val="single" w:sz="4" w:space="0" w:color="auto"/>
            </w:tcBorders>
            <w:shd w:val="clear" w:color="000000" w:fill="FFFFFF"/>
            <w:noWrap/>
            <w:vAlign w:val="bottom"/>
            <w:hideMark/>
          </w:tcPr>
          <w:p w14:paraId="27C0BF64"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287B241D"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594" w:type="dxa"/>
            <w:tcBorders>
              <w:top w:val="nil"/>
              <w:left w:val="single" w:sz="4" w:space="0" w:color="auto"/>
              <w:bottom w:val="nil"/>
              <w:right w:val="single" w:sz="4" w:space="0" w:color="auto"/>
            </w:tcBorders>
            <w:shd w:val="clear" w:color="auto" w:fill="auto"/>
            <w:noWrap/>
            <w:vAlign w:val="bottom"/>
            <w:hideMark/>
          </w:tcPr>
          <w:p w14:paraId="17253CA3"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0A93F35D"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c>
          <w:tcPr>
            <w:tcW w:w="1594" w:type="dxa"/>
            <w:tcBorders>
              <w:top w:val="nil"/>
              <w:left w:val="nil"/>
              <w:bottom w:val="nil"/>
              <w:right w:val="nil"/>
            </w:tcBorders>
            <w:shd w:val="clear" w:color="auto" w:fill="auto"/>
            <w:noWrap/>
            <w:vAlign w:val="bottom"/>
            <w:hideMark/>
          </w:tcPr>
          <w:p w14:paraId="68EBE876"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3D41E11E"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24BBA12C"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1BDEA20B"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 xml:space="preserve">Særlige foranstaltninger med henblik på fødevaresikkerhed </w:t>
            </w:r>
          </w:p>
        </w:tc>
        <w:tc>
          <w:tcPr>
            <w:tcW w:w="1640" w:type="dxa"/>
            <w:tcBorders>
              <w:top w:val="nil"/>
              <w:left w:val="single" w:sz="8" w:space="0" w:color="auto"/>
              <w:bottom w:val="nil"/>
              <w:right w:val="single" w:sz="4" w:space="0" w:color="auto"/>
            </w:tcBorders>
            <w:shd w:val="clear" w:color="000000" w:fill="FFFFFF"/>
            <w:noWrap/>
            <w:vAlign w:val="bottom"/>
            <w:hideMark/>
          </w:tcPr>
          <w:p w14:paraId="46FB538B"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46</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32C0C347"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35</w:t>
            </w:r>
          </w:p>
        </w:tc>
        <w:tc>
          <w:tcPr>
            <w:tcW w:w="1594" w:type="dxa"/>
            <w:tcBorders>
              <w:top w:val="nil"/>
              <w:left w:val="single" w:sz="4" w:space="0" w:color="auto"/>
              <w:bottom w:val="nil"/>
              <w:right w:val="single" w:sz="4" w:space="0" w:color="auto"/>
            </w:tcBorders>
            <w:shd w:val="clear" w:color="auto" w:fill="auto"/>
            <w:noWrap/>
            <w:vAlign w:val="bottom"/>
            <w:hideMark/>
          </w:tcPr>
          <w:p w14:paraId="28105515"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159CDBC0" w14:textId="15A25DF6"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40</w:t>
            </w:r>
          </w:p>
        </w:tc>
        <w:tc>
          <w:tcPr>
            <w:tcW w:w="1594" w:type="dxa"/>
            <w:tcBorders>
              <w:top w:val="nil"/>
              <w:left w:val="nil"/>
              <w:bottom w:val="nil"/>
              <w:right w:val="nil"/>
            </w:tcBorders>
            <w:shd w:val="clear" w:color="auto" w:fill="auto"/>
            <w:noWrap/>
            <w:vAlign w:val="bottom"/>
            <w:hideMark/>
          </w:tcPr>
          <w:p w14:paraId="3DA7156A"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4DED53FB"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7EB4C993"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4D22D86B"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Menneskelig udvikling, menneskerettigheder</w:t>
            </w:r>
          </w:p>
        </w:tc>
        <w:tc>
          <w:tcPr>
            <w:tcW w:w="1640" w:type="dxa"/>
            <w:tcBorders>
              <w:top w:val="nil"/>
              <w:left w:val="single" w:sz="8" w:space="0" w:color="auto"/>
              <w:bottom w:val="nil"/>
              <w:right w:val="single" w:sz="4" w:space="0" w:color="auto"/>
            </w:tcBorders>
            <w:shd w:val="clear" w:color="000000" w:fill="FFFFFF"/>
            <w:noWrap/>
            <w:vAlign w:val="bottom"/>
            <w:hideMark/>
          </w:tcPr>
          <w:p w14:paraId="4CD56CFE"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43</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32C32A3C"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54</w:t>
            </w:r>
          </w:p>
        </w:tc>
        <w:tc>
          <w:tcPr>
            <w:tcW w:w="1594" w:type="dxa"/>
            <w:tcBorders>
              <w:top w:val="nil"/>
              <w:left w:val="single" w:sz="4" w:space="0" w:color="auto"/>
              <w:bottom w:val="nil"/>
              <w:right w:val="single" w:sz="4" w:space="0" w:color="auto"/>
            </w:tcBorders>
            <w:shd w:val="clear" w:color="auto" w:fill="auto"/>
            <w:noWrap/>
            <w:vAlign w:val="bottom"/>
            <w:hideMark/>
          </w:tcPr>
          <w:p w14:paraId="04381119"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75F4A2A0" w14:textId="1CB3D252"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10</w:t>
            </w:r>
          </w:p>
        </w:tc>
        <w:tc>
          <w:tcPr>
            <w:tcW w:w="1594" w:type="dxa"/>
            <w:tcBorders>
              <w:top w:val="nil"/>
              <w:left w:val="nil"/>
              <w:bottom w:val="nil"/>
              <w:right w:val="nil"/>
            </w:tcBorders>
            <w:shd w:val="clear" w:color="auto" w:fill="auto"/>
            <w:noWrap/>
            <w:vAlign w:val="bottom"/>
            <w:hideMark/>
          </w:tcPr>
          <w:p w14:paraId="450FDD52"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0CAA5CBF"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0A3C0F9B"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78A60376"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EU-Afrika, fredsfaciliteten for Afrika</w:t>
            </w:r>
          </w:p>
        </w:tc>
        <w:tc>
          <w:tcPr>
            <w:tcW w:w="1640" w:type="dxa"/>
            <w:tcBorders>
              <w:top w:val="nil"/>
              <w:left w:val="single" w:sz="8" w:space="0" w:color="auto"/>
              <w:bottom w:val="nil"/>
              <w:right w:val="single" w:sz="4" w:space="0" w:color="auto"/>
            </w:tcBorders>
            <w:shd w:val="clear" w:color="000000" w:fill="FFFFFF"/>
            <w:noWrap/>
            <w:vAlign w:val="bottom"/>
            <w:hideMark/>
          </w:tcPr>
          <w:p w14:paraId="13DFB7D6"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66</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089C4ADD"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65</w:t>
            </w:r>
          </w:p>
        </w:tc>
        <w:tc>
          <w:tcPr>
            <w:tcW w:w="1594" w:type="dxa"/>
            <w:tcBorders>
              <w:top w:val="nil"/>
              <w:left w:val="single" w:sz="4" w:space="0" w:color="auto"/>
              <w:bottom w:val="nil"/>
              <w:right w:val="single" w:sz="4" w:space="0" w:color="auto"/>
            </w:tcBorders>
            <w:shd w:val="clear" w:color="auto" w:fill="auto"/>
            <w:noWrap/>
            <w:vAlign w:val="bottom"/>
            <w:hideMark/>
          </w:tcPr>
          <w:p w14:paraId="6EF0A3A6"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20C30D52" w14:textId="1D4B033B"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35</w:t>
            </w:r>
          </w:p>
        </w:tc>
        <w:tc>
          <w:tcPr>
            <w:tcW w:w="1594" w:type="dxa"/>
            <w:tcBorders>
              <w:top w:val="nil"/>
              <w:left w:val="nil"/>
              <w:bottom w:val="nil"/>
              <w:right w:val="nil"/>
            </w:tcBorders>
            <w:shd w:val="clear" w:color="auto" w:fill="auto"/>
            <w:noWrap/>
            <w:vAlign w:val="bottom"/>
            <w:hideMark/>
          </w:tcPr>
          <w:p w14:paraId="75E2B98F"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15F59AB0"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081F6440"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bottom"/>
            <w:hideMark/>
          </w:tcPr>
          <w:p w14:paraId="3D2F7398"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EUTF Afrika</w:t>
            </w:r>
          </w:p>
        </w:tc>
        <w:tc>
          <w:tcPr>
            <w:tcW w:w="1640" w:type="dxa"/>
            <w:tcBorders>
              <w:top w:val="nil"/>
              <w:left w:val="single" w:sz="8" w:space="0" w:color="auto"/>
              <w:bottom w:val="nil"/>
              <w:right w:val="single" w:sz="4" w:space="0" w:color="auto"/>
            </w:tcBorders>
            <w:shd w:val="clear" w:color="000000" w:fill="FFFFFF"/>
            <w:noWrap/>
            <w:vAlign w:val="bottom"/>
            <w:hideMark/>
          </w:tcPr>
          <w:p w14:paraId="6072503B"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70</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1C7CC240"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90</w:t>
            </w:r>
          </w:p>
        </w:tc>
        <w:tc>
          <w:tcPr>
            <w:tcW w:w="1594" w:type="dxa"/>
            <w:tcBorders>
              <w:top w:val="nil"/>
              <w:left w:val="single" w:sz="4" w:space="0" w:color="auto"/>
              <w:bottom w:val="nil"/>
              <w:right w:val="single" w:sz="4" w:space="0" w:color="auto"/>
            </w:tcBorders>
            <w:shd w:val="clear" w:color="auto" w:fill="auto"/>
            <w:noWrap/>
            <w:vAlign w:val="bottom"/>
            <w:hideMark/>
          </w:tcPr>
          <w:p w14:paraId="7934CA6B"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79465B69" w14:textId="493637BB"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30</w:t>
            </w:r>
          </w:p>
        </w:tc>
        <w:tc>
          <w:tcPr>
            <w:tcW w:w="1594" w:type="dxa"/>
            <w:tcBorders>
              <w:top w:val="nil"/>
              <w:left w:val="nil"/>
              <w:bottom w:val="nil"/>
              <w:right w:val="nil"/>
            </w:tcBorders>
            <w:shd w:val="clear" w:color="auto" w:fill="auto"/>
            <w:noWrap/>
            <w:vAlign w:val="bottom"/>
            <w:hideMark/>
          </w:tcPr>
          <w:p w14:paraId="1B2DC4C1"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45E1F276"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007E6148"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bottom"/>
            <w:hideMark/>
          </w:tcPr>
          <w:p w14:paraId="37559463"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Planeten og velstand</w:t>
            </w:r>
          </w:p>
        </w:tc>
        <w:tc>
          <w:tcPr>
            <w:tcW w:w="1640" w:type="dxa"/>
            <w:tcBorders>
              <w:top w:val="nil"/>
              <w:left w:val="single" w:sz="8" w:space="0" w:color="auto"/>
              <w:bottom w:val="nil"/>
              <w:right w:val="single" w:sz="4" w:space="0" w:color="auto"/>
            </w:tcBorders>
            <w:shd w:val="clear" w:color="000000" w:fill="FFFFFF"/>
            <w:noWrap/>
            <w:vAlign w:val="bottom"/>
            <w:hideMark/>
          </w:tcPr>
          <w:p w14:paraId="692A6916"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111</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1B0E6A01"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137</w:t>
            </w:r>
          </w:p>
        </w:tc>
        <w:tc>
          <w:tcPr>
            <w:tcW w:w="1594" w:type="dxa"/>
            <w:tcBorders>
              <w:top w:val="nil"/>
              <w:left w:val="single" w:sz="4" w:space="0" w:color="auto"/>
              <w:bottom w:val="nil"/>
              <w:right w:val="single" w:sz="4" w:space="0" w:color="auto"/>
            </w:tcBorders>
            <w:shd w:val="clear" w:color="auto" w:fill="auto"/>
            <w:noWrap/>
            <w:vAlign w:val="bottom"/>
            <w:hideMark/>
          </w:tcPr>
          <w:p w14:paraId="13056941"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51A3A1A1" w14:textId="592A8692"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90</w:t>
            </w:r>
          </w:p>
        </w:tc>
        <w:tc>
          <w:tcPr>
            <w:tcW w:w="1594" w:type="dxa"/>
            <w:tcBorders>
              <w:top w:val="nil"/>
              <w:left w:val="nil"/>
              <w:bottom w:val="nil"/>
              <w:right w:val="nil"/>
            </w:tcBorders>
            <w:shd w:val="clear" w:color="auto" w:fill="auto"/>
            <w:noWrap/>
            <w:vAlign w:val="bottom"/>
            <w:hideMark/>
          </w:tcPr>
          <w:p w14:paraId="0D7C6E1D"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79991317"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238AEF93"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bottom"/>
            <w:hideMark/>
          </w:tcPr>
          <w:p w14:paraId="0B66A774"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Ressourcer, evaluering, procedurer</w:t>
            </w:r>
          </w:p>
        </w:tc>
        <w:tc>
          <w:tcPr>
            <w:tcW w:w="1640" w:type="dxa"/>
            <w:tcBorders>
              <w:top w:val="nil"/>
              <w:left w:val="single" w:sz="8" w:space="0" w:color="auto"/>
              <w:bottom w:val="nil"/>
              <w:right w:val="single" w:sz="4" w:space="0" w:color="auto"/>
            </w:tcBorders>
            <w:shd w:val="clear" w:color="000000" w:fill="FFFFFF"/>
            <w:noWrap/>
            <w:vAlign w:val="bottom"/>
            <w:hideMark/>
          </w:tcPr>
          <w:p w14:paraId="7C32CBA1"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2</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43BAD790"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w:t>
            </w:r>
          </w:p>
        </w:tc>
        <w:tc>
          <w:tcPr>
            <w:tcW w:w="1594" w:type="dxa"/>
            <w:tcBorders>
              <w:top w:val="nil"/>
              <w:left w:val="single" w:sz="4" w:space="0" w:color="auto"/>
              <w:bottom w:val="nil"/>
              <w:right w:val="single" w:sz="4" w:space="0" w:color="auto"/>
            </w:tcBorders>
            <w:shd w:val="clear" w:color="auto" w:fill="auto"/>
            <w:noWrap/>
            <w:vAlign w:val="bottom"/>
            <w:hideMark/>
          </w:tcPr>
          <w:p w14:paraId="71EC791D"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17EF4A85" w14:textId="100EFD5D"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40</w:t>
            </w:r>
          </w:p>
        </w:tc>
        <w:tc>
          <w:tcPr>
            <w:tcW w:w="1594" w:type="dxa"/>
            <w:tcBorders>
              <w:top w:val="nil"/>
              <w:left w:val="nil"/>
              <w:bottom w:val="nil"/>
              <w:right w:val="nil"/>
            </w:tcBorders>
            <w:shd w:val="clear" w:color="auto" w:fill="auto"/>
            <w:noWrap/>
            <w:vAlign w:val="bottom"/>
            <w:hideMark/>
          </w:tcPr>
          <w:p w14:paraId="520A82E4"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784C55F7"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56DD6251" w14:textId="77777777" w:rsidTr="00047221">
        <w:trPr>
          <w:trHeight w:val="255"/>
        </w:trPr>
        <w:tc>
          <w:tcPr>
            <w:tcW w:w="3671" w:type="dxa"/>
            <w:tcBorders>
              <w:top w:val="nil"/>
              <w:left w:val="single" w:sz="8" w:space="0" w:color="auto"/>
              <w:bottom w:val="single" w:sz="4" w:space="0" w:color="auto"/>
              <w:right w:val="single" w:sz="8" w:space="0" w:color="auto"/>
            </w:tcBorders>
            <w:shd w:val="clear" w:color="auto" w:fill="auto"/>
            <w:noWrap/>
            <w:vAlign w:val="bottom"/>
            <w:hideMark/>
          </w:tcPr>
          <w:p w14:paraId="2415A435" w14:textId="77777777" w:rsidR="003442FF" w:rsidRPr="00441DE5" w:rsidRDefault="003442FF" w:rsidP="003442FF">
            <w:pPr>
              <w:spacing w:after="0" w:line="240" w:lineRule="auto"/>
              <w:ind w:firstLineChars="200" w:firstLine="400"/>
              <w:rPr>
                <w:rFonts w:ascii="Times New Roman" w:eastAsia="Times New Roman" w:hAnsi="Times New Roman" w:cs="Times New Roman"/>
                <w:noProof/>
                <w:sz w:val="20"/>
                <w:szCs w:val="20"/>
                <w:lang w:val="en-IE"/>
              </w:rPr>
            </w:pPr>
            <w:r w:rsidRPr="00441DE5">
              <w:rPr>
                <w:rFonts w:ascii="Times New Roman" w:hAnsi="Times New Roman"/>
                <w:noProof/>
                <w:sz w:val="20"/>
                <w:lang w:val="en-IE"/>
              </w:rPr>
              <w:t>GD ECHO, EACEA, GD EAC</w:t>
            </w:r>
          </w:p>
        </w:tc>
        <w:tc>
          <w:tcPr>
            <w:tcW w:w="1640" w:type="dxa"/>
            <w:tcBorders>
              <w:top w:val="nil"/>
              <w:left w:val="single" w:sz="8" w:space="0" w:color="auto"/>
              <w:bottom w:val="single" w:sz="4" w:space="0" w:color="auto"/>
              <w:right w:val="single" w:sz="4" w:space="0" w:color="auto"/>
            </w:tcBorders>
            <w:shd w:val="clear" w:color="000000" w:fill="FFFFFF"/>
            <w:noWrap/>
            <w:vAlign w:val="bottom"/>
            <w:hideMark/>
          </w:tcPr>
          <w:p w14:paraId="6D495BDE"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sidRPr="00441DE5">
              <w:rPr>
                <w:rFonts w:ascii="Times New Roman" w:hAnsi="Times New Roman"/>
                <w:noProof/>
                <w:color w:val="808080"/>
                <w:sz w:val="20"/>
                <w:lang w:val="en-IE"/>
              </w:rPr>
              <w:t xml:space="preserve">   </w:t>
            </w:r>
            <w:r>
              <w:rPr>
                <w:rFonts w:ascii="Times New Roman" w:hAnsi="Times New Roman"/>
                <w:noProof/>
                <w:color w:val="808080"/>
                <w:sz w:val="20"/>
              </w:rPr>
              <w:t>0</w:t>
            </w:r>
          </w:p>
        </w:tc>
        <w:tc>
          <w:tcPr>
            <w:tcW w:w="1640" w:type="dxa"/>
            <w:tcBorders>
              <w:top w:val="nil"/>
              <w:left w:val="nil"/>
              <w:bottom w:val="single" w:sz="4" w:space="0" w:color="auto"/>
              <w:right w:val="single" w:sz="4" w:space="0" w:color="auto"/>
            </w:tcBorders>
            <w:shd w:val="clear" w:color="auto" w:fill="BFBFBF" w:themeFill="background1" w:themeFillShade="BF"/>
            <w:noWrap/>
            <w:vAlign w:val="bottom"/>
            <w:hideMark/>
          </w:tcPr>
          <w:p w14:paraId="325652F4"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17</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14:paraId="34B9257F"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nil"/>
              <w:left w:val="nil"/>
              <w:bottom w:val="single" w:sz="4" w:space="0" w:color="auto"/>
              <w:right w:val="single" w:sz="4" w:space="0" w:color="auto"/>
            </w:tcBorders>
            <w:shd w:val="clear" w:color="auto" w:fill="BFBFBF" w:themeFill="background1" w:themeFillShade="BF"/>
            <w:noWrap/>
            <w:vAlign w:val="bottom"/>
            <w:hideMark/>
          </w:tcPr>
          <w:p w14:paraId="3DE03E39" w14:textId="1754D811"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5</w:t>
            </w:r>
          </w:p>
        </w:tc>
        <w:tc>
          <w:tcPr>
            <w:tcW w:w="1594" w:type="dxa"/>
            <w:tcBorders>
              <w:top w:val="nil"/>
              <w:left w:val="nil"/>
              <w:bottom w:val="single" w:sz="4" w:space="0" w:color="auto"/>
              <w:right w:val="nil"/>
            </w:tcBorders>
            <w:shd w:val="clear" w:color="auto" w:fill="auto"/>
            <w:noWrap/>
            <w:vAlign w:val="bottom"/>
            <w:hideMark/>
          </w:tcPr>
          <w:p w14:paraId="5EBFD650"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lang w:val="en-IE" w:eastAsia="en-IE"/>
              </w:rPr>
            </w:pPr>
          </w:p>
        </w:tc>
        <w:tc>
          <w:tcPr>
            <w:tcW w:w="1594" w:type="dxa"/>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008DB174" w14:textId="77777777"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w:t>
            </w:r>
          </w:p>
        </w:tc>
      </w:tr>
      <w:tr w:rsidR="003442FF" w:rsidRPr="003442FF" w14:paraId="79FD3199" w14:textId="77777777" w:rsidTr="00047221">
        <w:trPr>
          <w:trHeight w:val="255"/>
        </w:trPr>
        <w:tc>
          <w:tcPr>
            <w:tcW w:w="367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6119998" w14:textId="77777777" w:rsidR="003442FF" w:rsidRPr="003442FF" w:rsidRDefault="003442FF" w:rsidP="003442FF">
            <w:pPr>
              <w:spacing w:after="0" w:line="240" w:lineRule="auto"/>
              <w:ind w:firstLineChars="200" w:firstLine="400"/>
              <w:rPr>
                <w:rFonts w:ascii="Times New Roman" w:eastAsia="Times New Roman" w:hAnsi="Times New Roman" w:cs="Times New Roman"/>
                <w:noProof/>
                <w:sz w:val="20"/>
                <w:szCs w:val="20"/>
              </w:rPr>
            </w:pPr>
            <w:r>
              <w:rPr>
                <w:rFonts w:ascii="Times New Roman" w:hAnsi="Times New Roman"/>
                <w:noProof/>
                <w:sz w:val="20"/>
              </w:rPr>
              <w:t>Subtotal*</w:t>
            </w:r>
          </w:p>
        </w:tc>
        <w:tc>
          <w:tcPr>
            <w:tcW w:w="164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C3E04D4"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338</w:t>
            </w:r>
          </w:p>
        </w:tc>
        <w:tc>
          <w:tcPr>
            <w:tcW w:w="1640" w:type="dxa"/>
            <w:tcBorders>
              <w:top w:val="single" w:sz="4" w:space="0" w:color="auto"/>
              <w:left w:val="nil"/>
              <w:bottom w:val="single" w:sz="8" w:space="0" w:color="auto"/>
              <w:right w:val="single" w:sz="4" w:space="0" w:color="auto"/>
            </w:tcBorders>
            <w:shd w:val="clear" w:color="auto" w:fill="BFBFBF" w:themeFill="background1" w:themeFillShade="BF"/>
            <w:noWrap/>
            <w:vAlign w:val="bottom"/>
            <w:hideMark/>
          </w:tcPr>
          <w:p w14:paraId="224C2417" w14:textId="77777777" w:rsidR="003442FF" w:rsidRPr="003442FF" w:rsidRDefault="003442FF" w:rsidP="003442FF">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xml:space="preserve">   399</w:t>
            </w:r>
          </w:p>
        </w:tc>
        <w:tc>
          <w:tcPr>
            <w:tcW w:w="159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E114F8F"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single" w:sz="4" w:space="0" w:color="auto"/>
              <w:left w:val="nil"/>
              <w:bottom w:val="single" w:sz="8" w:space="0" w:color="auto"/>
              <w:right w:val="single" w:sz="4" w:space="0" w:color="auto"/>
            </w:tcBorders>
            <w:shd w:val="clear" w:color="auto" w:fill="BFBFBF" w:themeFill="background1" w:themeFillShade="BF"/>
            <w:noWrap/>
            <w:vAlign w:val="bottom"/>
            <w:hideMark/>
          </w:tcPr>
          <w:p w14:paraId="59260C8C" w14:textId="52A3365F"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   250</w:t>
            </w:r>
          </w:p>
        </w:tc>
        <w:tc>
          <w:tcPr>
            <w:tcW w:w="1594" w:type="dxa"/>
            <w:tcBorders>
              <w:top w:val="single" w:sz="4" w:space="0" w:color="auto"/>
              <w:left w:val="single" w:sz="4" w:space="0" w:color="auto"/>
              <w:bottom w:val="single" w:sz="8" w:space="0" w:color="auto"/>
              <w:right w:val="nil"/>
            </w:tcBorders>
            <w:shd w:val="clear" w:color="auto" w:fill="auto"/>
            <w:noWrap/>
            <w:vAlign w:val="bottom"/>
            <w:hideMark/>
          </w:tcPr>
          <w:p w14:paraId="23BC2A68"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w:t>
            </w:r>
          </w:p>
        </w:tc>
        <w:tc>
          <w:tcPr>
            <w:tcW w:w="1594" w:type="dxa"/>
            <w:tcBorders>
              <w:top w:val="single" w:sz="4"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04B39F91" w14:textId="77777777" w:rsidR="003442FF" w:rsidRPr="003442FF" w:rsidRDefault="003442FF" w:rsidP="003442FF">
            <w:pPr>
              <w:spacing w:after="0" w:line="240" w:lineRule="auto"/>
              <w:jc w:val="center"/>
              <w:rPr>
                <w:rFonts w:ascii="Times New Roman" w:eastAsia="Times New Roman" w:hAnsi="Times New Roman" w:cs="Times New Roman"/>
                <w:noProof/>
                <w:sz w:val="20"/>
                <w:szCs w:val="20"/>
              </w:rPr>
            </w:pPr>
            <w:r>
              <w:rPr>
                <w:rFonts w:ascii="Times New Roman" w:hAnsi="Times New Roman"/>
                <w:noProof/>
                <w:sz w:val="20"/>
              </w:rPr>
              <w:t> </w:t>
            </w:r>
          </w:p>
        </w:tc>
      </w:tr>
      <w:tr w:rsidR="00047221" w:rsidRPr="003442FF" w14:paraId="67DF9442" w14:textId="77777777" w:rsidTr="00047221">
        <w:trPr>
          <w:trHeight w:val="255"/>
        </w:trPr>
        <w:tc>
          <w:tcPr>
            <w:tcW w:w="3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64B611" w14:textId="77777777" w:rsidR="00047221" w:rsidRPr="003442FF" w:rsidRDefault="00047221" w:rsidP="000472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Europa-Kommissionen i alt*</w:t>
            </w:r>
          </w:p>
        </w:tc>
        <w:tc>
          <w:tcPr>
            <w:tcW w:w="16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FA96AD8"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1 410</w:t>
            </w:r>
          </w:p>
        </w:tc>
        <w:tc>
          <w:tcPr>
            <w:tcW w:w="164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71748A94" w14:textId="77777777" w:rsidR="00047221" w:rsidRPr="003442FF" w:rsidRDefault="00047221" w:rsidP="00047221">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1 405</w:t>
            </w:r>
          </w:p>
        </w:tc>
        <w:tc>
          <w:tcPr>
            <w:tcW w:w="1594"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EF53841"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1 000</w:t>
            </w:r>
          </w:p>
        </w:tc>
        <w:tc>
          <w:tcPr>
            <w:tcW w:w="1594"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bottom"/>
            <w:hideMark/>
          </w:tcPr>
          <w:p w14:paraId="407BE7CF" w14:textId="77777777" w:rsidR="00047221" w:rsidRPr="003442FF" w:rsidRDefault="00047221" w:rsidP="00047221">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xml:space="preserve">  1 000</w:t>
            </w:r>
          </w:p>
        </w:tc>
        <w:tc>
          <w:tcPr>
            <w:tcW w:w="1594" w:type="dxa"/>
            <w:tcBorders>
              <w:top w:val="single" w:sz="8" w:space="0" w:color="auto"/>
              <w:left w:val="single" w:sz="4" w:space="0" w:color="auto"/>
              <w:bottom w:val="single" w:sz="8" w:space="0" w:color="auto"/>
              <w:right w:val="nil"/>
            </w:tcBorders>
            <w:shd w:val="clear" w:color="auto" w:fill="auto"/>
            <w:noWrap/>
            <w:vAlign w:val="bottom"/>
            <w:hideMark/>
          </w:tcPr>
          <w:p w14:paraId="6C78D400"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750</w:t>
            </w:r>
          </w:p>
        </w:tc>
        <w:tc>
          <w:tcPr>
            <w:tcW w:w="159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726A021A" w14:textId="08F31510" w:rsidR="00047221" w:rsidRPr="00047221" w:rsidRDefault="00047221" w:rsidP="00047221">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 xml:space="preserve">   750</w:t>
            </w:r>
          </w:p>
        </w:tc>
      </w:tr>
      <w:tr w:rsidR="00047221" w:rsidRPr="003442FF" w14:paraId="5F05374A" w14:textId="77777777" w:rsidTr="00047221">
        <w:trPr>
          <w:trHeight w:val="255"/>
        </w:trPr>
        <w:tc>
          <w:tcPr>
            <w:tcW w:w="3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4788B6" w14:textId="77777777" w:rsidR="00047221" w:rsidRPr="003442FF" w:rsidRDefault="00047221" w:rsidP="00047221">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Tilskud fra investeringsfaciliteten (**)</w:t>
            </w:r>
          </w:p>
        </w:tc>
        <w:tc>
          <w:tcPr>
            <w:tcW w:w="16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5E5474B3" w14:textId="77777777" w:rsidR="00047221" w:rsidRPr="003442FF" w:rsidRDefault="00047221" w:rsidP="000472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151</w:t>
            </w:r>
          </w:p>
        </w:tc>
        <w:tc>
          <w:tcPr>
            <w:tcW w:w="164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690DD4E9" w14:textId="4BFB8BA7" w:rsidR="00047221" w:rsidRPr="003442FF" w:rsidRDefault="00047221" w:rsidP="00047221">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151</w:t>
            </w:r>
          </w:p>
        </w:tc>
        <w:tc>
          <w:tcPr>
            <w:tcW w:w="1594"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2ADDF56" w14:textId="77777777" w:rsidR="00047221" w:rsidRPr="003442FF" w:rsidRDefault="00047221" w:rsidP="000472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68</w:t>
            </w:r>
          </w:p>
        </w:tc>
        <w:tc>
          <w:tcPr>
            <w:tcW w:w="1594"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bottom"/>
            <w:hideMark/>
          </w:tcPr>
          <w:p w14:paraId="735DC746" w14:textId="7843CBDF" w:rsidR="00047221" w:rsidRPr="003442FF" w:rsidRDefault="00047221" w:rsidP="00047221">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68</w:t>
            </w:r>
          </w:p>
        </w:tc>
        <w:tc>
          <w:tcPr>
            <w:tcW w:w="1594" w:type="dxa"/>
            <w:tcBorders>
              <w:top w:val="single" w:sz="8" w:space="0" w:color="auto"/>
              <w:left w:val="single" w:sz="4" w:space="0" w:color="auto"/>
              <w:bottom w:val="single" w:sz="8" w:space="0" w:color="auto"/>
              <w:right w:val="nil"/>
            </w:tcBorders>
            <w:shd w:val="clear" w:color="auto" w:fill="auto"/>
            <w:noWrap/>
            <w:vAlign w:val="bottom"/>
            <w:hideMark/>
          </w:tcPr>
          <w:p w14:paraId="6FB2AAE2" w14:textId="77777777" w:rsidR="00047221" w:rsidRPr="003442FF" w:rsidRDefault="00047221" w:rsidP="00047221">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10</w:t>
            </w:r>
          </w:p>
        </w:tc>
        <w:tc>
          <w:tcPr>
            <w:tcW w:w="159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34529404" w14:textId="531CD7C8" w:rsidR="00047221" w:rsidRPr="00047221" w:rsidRDefault="00047221" w:rsidP="00047221">
            <w:pPr>
              <w:spacing w:after="0" w:line="240" w:lineRule="auto"/>
              <w:jc w:val="center"/>
              <w:rPr>
                <w:rFonts w:ascii="Times New Roman" w:eastAsia="Times New Roman" w:hAnsi="Times New Roman" w:cs="Times New Roman"/>
                <w:noProof/>
                <w:color w:val="000000" w:themeColor="text1"/>
                <w:sz w:val="20"/>
                <w:szCs w:val="20"/>
              </w:rPr>
            </w:pPr>
            <w:r>
              <w:rPr>
                <w:rFonts w:ascii="Times New Roman" w:hAnsi="Times New Roman"/>
                <w:noProof/>
                <w:color w:val="000000" w:themeColor="text1"/>
                <w:sz w:val="20"/>
              </w:rPr>
              <w:t xml:space="preserve">   10</w:t>
            </w:r>
          </w:p>
        </w:tc>
      </w:tr>
      <w:tr w:rsidR="00047221" w:rsidRPr="003442FF" w14:paraId="599100D7" w14:textId="77777777" w:rsidTr="00047221">
        <w:trPr>
          <w:trHeight w:val="255"/>
        </w:trPr>
        <w:tc>
          <w:tcPr>
            <w:tcW w:w="3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2709EA" w14:textId="77777777" w:rsidR="00047221" w:rsidRPr="003442FF" w:rsidRDefault="00047221" w:rsidP="00047221">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EIB i alt***</w:t>
            </w:r>
          </w:p>
        </w:tc>
        <w:tc>
          <w:tcPr>
            <w:tcW w:w="16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2B455C4"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151</w:t>
            </w:r>
          </w:p>
        </w:tc>
        <w:tc>
          <w:tcPr>
            <w:tcW w:w="164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5B4AE810" w14:textId="050218F1" w:rsidR="00047221" w:rsidRPr="003442FF" w:rsidRDefault="00047221" w:rsidP="00047221">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151 </w:t>
            </w:r>
          </w:p>
        </w:tc>
        <w:tc>
          <w:tcPr>
            <w:tcW w:w="1594"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63B59FEE"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68</w:t>
            </w:r>
          </w:p>
        </w:tc>
        <w:tc>
          <w:tcPr>
            <w:tcW w:w="1594"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bottom"/>
            <w:hideMark/>
          </w:tcPr>
          <w:p w14:paraId="49C55071" w14:textId="4BCB2A4C" w:rsidR="00047221" w:rsidRPr="003442FF" w:rsidRDefault="00047221" w:rsidP="00047221">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68</w:t>
            </w:r>
          </w:p>
        </w:tc>
        <w:tc>
          <w:tcPr>
            <w:tcW w:w="1594"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31ABD6DE"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10</w:t>
            </w:r>
          </w:p>
        </w:tc>
        <w:tc>
          <w:tcPr>
            <w:tcW w:w="159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285ED7FE" w14:textId="4BC0E138" w:rsidR="00047221" w:rsidRPr="00047221" w:rsidRDefault="00047221" w:rsidP="00047221">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 xml:space="preserve">   10</w:t>
            </w:r>
          </w:p>
        </w:tc>
      </w:tr>
      <w:tr w:rsidR="00047221" w:rsidRPr="003442FF" w14:paraId="7BF55792" w14:textId="77777777" w:rsidTr="00047221">
        <w:trPr>
          <w:trHeight w:val="270"/>
        </w:trPr>
        <w:tc>
          <w:tcPr>
            <w:tcW w:w="36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DA2295" w14:textId="77777777" w:rsidR="00047221" w:rsidRPr="003442FF" w:rsidRDefault="00047221" w:rsidP="00047221">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Kommissionen + EIB I ALT*</w:t>
            </w:r>
          </w:p>
        </w:tc>
        <w:tc>
          <w:tcPr>
            <w:tcW w:w="164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D6D65E1"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1 561</w:t>
            </w:r>
          </w:p>
        </w:tc>
        <w:tc>
          <w:tcPr>
            <w:tcW w:w="1640"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38EA219C" w14:textId="650C6FD5" w:rsidR="00047221" w:rsidRPr="003442FF" w:rsidRDefault="00047221" w:rsidP="00047221">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1 556</w:t>
            </w:r>
          </w:p>
        </w:tc>
        <w:tc>
          <w:tcPr>
            <w:tcW w:w="159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09183258"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1 068</w:t>
            </w:r>
          </w:p>
        </w:tc>
        <w:tc>
          <w:tcPr>
            <w:tcW w:w="1594"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14:paraId="00501730" w14:textId="09BD9D12" w:rsidR="00047221" w:rsidRPr="003442FF" w:rsidRDefault="00047221" w:rsidP="00047221">
            <w:pPr>
              <w:spacing w:after="0" w:line="240" w:lineRule="auto"/>
              <w:jc w:val="center"/>
              <w:rPr>
                <w:rFonts w:ascii="Times New Roman" w:eastAsia="Times New Roman" w:hAnsi="Times New Roman" w:cs="Times New Roman"/>
                <w:b/>
                <w:bCs/>
                <w:noProof/>
                <w:color w:val="000000"/>
                <w:sz w:val="20"/>
                <w:szCs w:val="20"/>
              </w:rPr>
            </w:pPr>
            <w:r>
              <w:rPr>
                <w:rFonts w:ascii="Times New Roman" w:hAnsi="Times New Roman"/>
                <w:b/>
                <w:noProof/>
                <w:color w:val="000000"/>
                <w:sz w:val="20"/>
              </w:rPr>
              <w:t> 1068</w:t>
            </w:r>
          </w:p>
        </w:tc>
        <w:tc>
          <w:tcPr>
            <w:tcW w:w="1594"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1B964F47" w14:textId="77777777" w:rsidR="00047221" w:rsidRPr="003442FF" w:rsidRDefault="00047221" w:rsidP="00047221">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 xml:space="preserve">   760</w:t>
            </w:r>
          </w:p>
        </w:tc>
        <w:tc>
          <w:tcPr>
            <w:tcW w:w="159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center"/>
            <w:hideMark/>
          </w:tcPr>
          <w:p w14:paraId="706C0B2B" w14:textId="5ABAB2A8" w:rsidR="00047221" w:rsidRPr="00047221" w:rsidRDefault="00047221" w:rsidP="00047221">
            <w:pPr>
              <w:spacing w:after="0" w:line="240" w:lineRule="auto"/>
              <w:jc w:val="center"/>
              <w:rPr>
                <w:rFonts w:ascii="Times New Roman" w:eastAsia="Times New Roman" w:hAnsi="Times New Roman" w:cs="Times New Roman"/>
                <w:b/>
                <w:bCs/>
                <w:noProof/>
                <w:color w:val="000000" w:themeColor="text1"/>
                <w:sz w:val="20"/>
                <w:szCs w:val="20"/>
              </w:rPr>
            </w:pPr>
            <w:r>
              <w:rPr>
                <w:rFonts w:ascii="Times New Roman" w:hAnsi="Times New Roman"/>
                <w:b/>
                <w:noProof/>
                <w:color w:val="000000" w:themeColor="text1"/>
                <w:sz w:val="20"/>
              </w:rPr>
              <w:t xml:space="preserve">   760</w:t>
            </w:r>
          </w:p>
        </w:tc>
      </w:tr>
    </w:tbl>
    <w:p w14:paraId="5AE7533B" w14:textId="17E51C28" w:rsidR="009035E0" w:rsidRPr="00D17C76" w:rsidRDefault="009035E0" w:rsidP="00453DB2">
      <w:pPr>
        <w:pStyle w:val="Text1"/>
        <w:spacing w:before="0" w:after="0"/>
        <w:ind w:left="-426"/>
        <w:rPr>
          <w:noProof/>
          <w:color w:val="000000" w:themeColor="text1"/>
          <w:sz w:val="14"/>
          <w:szCs w:val="14"/>
        </w:rPr>
      </w:pPr>
      <w:r>
        <w:rPr>
          <w:noProof/>
          <w:color w:val="000000" w:themeColor="text1"/>
          <w:sz w:val="14"/>
        </w:rPr>
        <w:t>*</w:t>
      </w:r>
      <w:r w:rsidR="008D23E2">
        <w:rPr>
          <w:noProof/>
          <w:color w:val="000000" w:themeColor="text1"/>
          <w:sz w:val="14"/>
        </w:rPr>
        <w:t xml:space="preserve"> </w:t>
      </w:r>
      <w:r>
        <w:rPr>
          <w:noProof/>
          <w:color w:val="000000" w:themeColor="text1"/>
          <w:sz w:val="14"/>
        </w:rPr>
        <w:t>På grund af afrundingerne kan summen af de enkelte afrundede beløb afvige en smule fra de tilsvarende samlede beløb.</w:t>
      </w:r>
    </w:p>
    <w:p w14:paraId="7770D832" w14:textId="7233DB7C" w:rsidR="009035E0" w:rsidRDefault="009035E0" w:rsidP="00453DB2">
      <w:pPr>
        <w:pStyle w:val="Text1"/>
        <w:spacing w:before="0" w:after="0"/>
        <w:ind w:left="-426"/>
        <w:rPr>
          <w:noProof/>
          <w:color w:val="000000" w:themeColor="text1"/>
          <w:sz w:val="14"/>
          <w:szCs w:val="14"/>
        </w:rPr>
      </w:pPr>
      <w:r>
        <w:rPr>
          <w:noProof/>
          <w:color w:val="000000" w:themeColor="text1"/>
          <w:sz w:val="14"/>
        </w:rPr>
        <w:t>** Herunder tilskud til teknisk bistand og rentegodtgørelser fra den nuværende EUF og IRS-udbetaling under tidligere EUF'er.</w:t>
      </w:r>
    </w:p>
    <w:p w14:paraId="228D0F8E" w14:textId="77777777" w:rsidR="00453DB2" w:rsidRDefault="00453DB2" w:rsidP="00453DB2">
      <w:pPr>
        <w:pStyle w:val="Text1"/>
        <w:spacing w:before="0" w:after="0"/>
        <w:ind w:left="-426"/>
        <w:rPr>
          <w:noProof/>
          <w:color w:val="000000" w:themeColor="text1"/>
          <w:sz w:val="14"/>
          <w:szCs w:val="14"/>
        </w:rPr>
      </w:pPr>
    </w:p>
    <w:tbl>
      <w:tblPr>
        <w:tblW w:w="13296" w:type="dxa"/>
        <w:tblLook w:val="04A0" w:firstRow="1" w:lastRow="0" w:firstColumn="1" w:lastColumn="0" w:noHBand="0" w:noVBand="1"/>
      </w:tblPr>
      <w:tblGrid>
        <w:gridCol w:w="3686"/>
        <w:gridCol w:w="1594"/>
        <w:gridCol w:w="1640"/>
        <w:gridCol w:w="1594"/>
        <w:gridCol w:w="1594"/>
        <w:gridCol w:w="1594"/>
        <w:gridCol w:w="1594"/>
      </w:tblGrid>
      <w:tr w:rsidR="003442FF" w:rsidRPr="003442FF" w14:paraId="0DB3B6A4" w14:textId="77777777" w:rsidTr="00453DB2">
        <w:trPr>
          <w:trHeight w:val="270"/>
        </w:trPr>
        <w:tc>
          <w:tcPr>
            <w:tcW w:w="3686" w:type="dxa"/>
            <w:tcBorders>
              <w:top w:val="nil"/>
              <w:left w:val="nil"/>
              <w:bottom w:val="nil"/>
              <w:right w:val="nil"/>
            </w:tcBorders>
            <w:shd w:val="clear" w:color="auto" w:fill="auto"/>
            <w:noWrap/>
            <w:vAlign w:val="bottom"/>
            <w:hideMark/>
          </w:tcPr>
          <w:p w14:paraId="353FDD0D" w14:textId="77777777" w:rsidR="003442FF" w:rsidRPr="00441DE5" w:rsidRDefault="003442FF" w:rsidP="003442FF">
            <w:pPr>
              <w:spacing w:after="0" w:line="240" w:lineRule="auto"/>
              <w:rPr>
                <w:rFonts w:ascii="Times New Roman" w:eastAsia="Times New Roman" w:hAnsi="Times New Roman" w:cs="Times New Roman"/>
                <w:noProof/>
                <w:sz w:val="24"/>
                <w:szCs w:val="24"/>
                <w:lang w:eastAsia="en-IE"/>
              </w:rPr>
            </w:pPr>
          </w:p>
        </w:tc>
        <w:tc>
          <w:tcPr>
            <w:tcW w:w="32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101B41"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2024</w:t>
            </w:r>
          </w:p>
        </w:tc>
        <w:tc>
          <w:tcPr>
            <w:tcW w:w="318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AF27D27"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2025</w:t>
            </w:r>
          </w:p>
        </w:tc>
        <w:tc>
          <w:tcPr>
            <w:tcW w:w="318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3B83AC7"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 xml:space="preserve"> Tal for 2026</w:t>
            </w:r>
          </w:p>
        </w:tc>
      </w:tr>
      <w:tr w:rsidR="003442FF" w:rsidRPr="003442FF" w14:paraId="680A4406" w14:textId="77777777" w:rsidTr="00453DB2">
        <w:trPr>
          <w:trHeight w:val="434"/>
        </w:trPr>
        <w:tc>
          <w:tcPr>
            <w:tcW w:w="3686" w:type="dxa"/>
            <w:tcBorders>
              <w:top w:val="nil"/>
              <w:left w:val="nil"/>
              <w:bottom w:val="nil"/>
              <w:right w:val="nil"/>
            </w:tcBorders>
            <w:shd w:val="clear" w:color="auto" w:fill="auto"/>
            <w:noWrap/>
            <w:hideMark/>
          </w:tcPr>
          <w:p w14:paraId="42727CF5" w14:textId="77777777" w:rsidR="003442FF" w:rsidRPr="003442FF" w:rsidRDefault="003442FF" w:rsidP="003442FF">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single" w:sz="8" w:space="0" w:color="auto"/>
              <w:bottom w:val="nil"/>
              <w:right w:val="single" w:sz="4" w:space="0" w:color="auto"/>
            </w:tcBorders>
            <w:shd w:val="clear" w:color="auto" w:fill="auto"/>
            <w:vAlign w:val="center"/>
            <w:hideMark/>
          </w:tcPr>
          <w:p w14:paraId="3D309281" w14:textId="77777777" w:rsidR="003442FF" w:rsidRPr="003442FF" w:rsidRDefault="003442FF" w:rsidP="003442FF">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640" w:type="dxa"/>
            <w:tcBorders>
              <w:top w:val="nil"/>
              <w:left w:val="nil"/>
              <w:bottom w:val="nil"/>
              <w:right w:val="single" w:sz="8" w:space="0" w:color="auto"/>
            </w:tcBorders>
            <w:shd w:val="clear" w:color="000000" w:fill="F2F2F2"/>
            <w:vAlign w:val="center"/>
            <w:hideMark/>
          </w:tcPr>
          <w:p w14:paraId="0B712DFE"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c>
          <w:tcPr>
            <w:tcW w:w="1594" w:type="dxa"/>
            <w:tcBorders>
              <w:top w:val="nil"/>
              <w:left w:val="nil"/>
              <w:bottom w:val="nil"/>
              <w:right w:val="single" w:sz="4" w:space="0" w:color="auto"/>
            </w:tcBorders>
            <w:shd w:val="clear" w:color="auto" w:fill="auto"/>
            <w:vAlign w:val="center"/>
            <w:hideMark/>
          </w:tcPr>
          <w:p w14:paraId="0FFE158F" w14:textId="77777777" w:rsidR="003442FF" w:rsidRPr="003442FF" w:rsidRDefault="003442FF" w:rsidP="003442FF">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594" w:type="dxa"/>
            <w:tcBorders>
              <w:top w:val="nil"/>
              <w:left w:val="nil"/>
              <w:bottom w:val="nil"/>
              <w:right w:val="single" w:sz="8" w:space="0" w:color="auto"/>
            </w:tcBorders>
            <w:shd w:val="clear" w:color="000000" w:fill="F2F2F2"/>
            <w:vAlign w:val="center"/>
            <w:hideMark/>
          </w:tcPr>
          <w:p w14:paraId="218DCFD7"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c>
          <w:tcPr>
            <w:tcW w:w="1594" w:type="dxa"/>
            <w:tcBorders>
              <w:top w:val="nil"/>
              <w:left w:val="nil"/>
              <w:bottom w:val="nil"/>
              <w:right w:val="single" w:sz="4" w:space="0" w:color="auto"/>
            </w:tcBorders>
            <w:shd w:val="clear" w:color="auto" w:fill="auto"/>
            <w:vAlign w:val="center"/>
            <w:hideMark/>
          </w:tcPr>
          <w:p w14:paraId="586B2A1E" w14:textId="77777777" w:rsidR="003442FF" w:rsidRPr="003442FF" w:rsidRDefault="003442FF" w:rsidP="003442FF">
            <w:pPr>
              <w:spacing w:after="0" w:line="240" w:lineRule="auto"/>
              <w:jc w:val="center"/>
              <w:rPr>
                <w:rFonts w:ascii="Times New Roman" w:eastAsia="Times New Roman" w:hAnsi="Times New Roman" w:cs="Times New Roman"/>
                <w:b/>
                <w:bCs/>
                <w:noProof/>
                <w:color w:val="808080"/>
                <w:sz w:val="20"/>
                <w:szCs w:val="20"/>
              </w:rPr>
            </w:pPr>
            <w:r>
              <w:rPr>
                <w:rFonts w:ascii="Times New Roman" w:hAnsi="Times New Roman"/>
                <w:b/>
                <w:noProof/>
                <w:color w:val="808080"/>
                <w:sz w:val="20"/>
              </w:rPr>
              <w:t>Meddelelse fra oktober 2024</w:t>
            </w:r>
          </w:p>
        </w:tc>
        <w:tc>
          <w:tcPr>
            <w:tcW w:w="1594" w:type="dxa"/>
            <w:tcBorders>
              <w:top w:val="nil"/>
              <w:left w:val="nil"/>
              <w:bottom w:val="nil"/>
              <w:right w:val="single" w:sz="8" w:space="0" w:color="auto"/>
            </w:tcBorders>
            <w:shd w:val="clear" w:color="000000" w:fill="F2F2F2"/>
            <w:vAlign w:val="center"/>
            <w:hideMark/>
          </w:tcPr>
          <w:p w14:paraId="223BB7E3"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rPr>
            </w:pPr>
            <w:r>
              <w:rPr>
                <w:rFonts w:ascii="Times New Roman" w:hAnsi="Times New Roman"/>
                <w:b/>
                <w:noProof/>
                <w:sz w:val="20"/>
              </w:rPr>
              <w:t>Meddelelse fra juni 2025</w:t>
            </w:r>
          </w:p>
        </w:tc>
      </w:tr>
      <w:tr w:rsidR="003442FF" w:rsidRPr="003442FF" w14:paraId="5FB4B662" w14:textId="77777777" w:rsidTr="00453DB2">
        <w:trPr>
          <w:trHeight w:val="270"/>
        </w:trPr>
        <w:tc>
          <w:tcPr>
            <w:tcW w:w="3686" w:type="dxa"/>
            <w:tcBorders>
              <w:top w:val="single" w:sz="8" w:space="0" w:color="auto"/>
              <w:left w:val="single" w:sz="8" w:space="0" w:color="auto"/>
              <w:bottom w:val="single" w:sz="8" w:space="0" w:color="auto"/>
              <w:right w:val="nil"/>
            </w:tcBorders>
            <w:shd w:val="clear" w:color="auto" w:fill="auto"/>
            <w:noWrap/>
            <w:vAlign w:val="bottom"/>
            <w:hideMark/>
          </w:tcPr>
          <w:p w14:paraId="6CE07BBC" w14:textId="77777777" w:rsidR="003442FF" w:rsidRPr="003442FF" w:rsidRDefault="003442FF" w:rsidP="003442FF">
            <w:pPr>
              <w:spacing w:after="0" w:line="240" w:lineRule="auto"/>
              <w:ind w:firstLineChars="100" w:firstLine="200"/>
              <w:rPr>
                <w:rFonts w:ascii="Times New Roman" w:eastAsia="Times New Roman" w:hAnsi="Times New Roman" w:cs="Times New Roman"/>
                <w:noProof/>
                <w:sz w:val="20"/>
                <w:szCs w:val="20"/>
              </w:rPr>
            </w:pPr>
            <w:r>
              <w:rPr>
                <w:rFonts w:ascii="Times New Roman" w:hAnsi="Times New Roman"/>
                <w:noProof/>
                <w:sz w:val="20"/>
              </w:rPr>
              <w:t>Investeringsfaciliteten som en revolverende fond***</w:t>
            </w:r>
          </w:p>
        </w:tc>
        <w:tc>
          <w:tcPr>
            <w:tcW w:w="159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AF7C82A"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629</w:t>
            </w:r>
          </w:p>
        </w:tc>
        <w:tc>
          <w:tcPr>
            <w:tcW w:w="1640" w:type="dxa"/>
            <w:tcBorders>
              <w:top w:val="single" w:sz="4" w:space="0" w:color="auto"/>
              <w:left w:val="nil"/>
              <w:bottom w:val="single" w:sz="8" w:space="0" w:color="auto"/>
              <w:right w:val="single" w:sz="4" w:space="0" w:color="auto"/>
            </w:tcBorders>
            <w:shd w:val="clear" w:color="auto" w:fill="auto"/>
            <w:noWrap/>
            <w:vAlign w:val="bottom"/>
            <w:hideMark/>
          </w:tcPr>
          <w:p w14:paraId="0EC6F09E" w14:textId="1B4FF251"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629</w:t>
            </w:r>
          </w:p>
        </w:tc>
        <w:tc>
          <w:tcPr>
            <w:tcW w:w="1594" w:type="dxa"/>
            <w:tcBorders>
              <w:top w:val="single" w:sz="4" w:space="0" w:color="auto"/>
              <w:left w:val="nil"/>
              <w:bottom w:val="single" w:sz="8" w:space="0" w:color="auto"/>
              <w:right w:val="single" w:sz="4" w:space="0" w:color="auto"/>
            </w:tcBorders>
            <w:shd w:val="clear" w:color="auto" w:fill="auto"/>
            <w:noWrap/>
            <w:vAlign w:val="bottom"/>
            <w:hideMark/>
          </w:tcPr>
          <w:p w14:paraId="01098C88"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349</w:t>
            </w:r>
          </w:p>
        </w:tc>
        <w:tc>
          <w:tcPr>
            <w:tcW w:w="1594" w:type="dxa"/>
            <w:tcBorders>
              <w:top w:val="single" w:sz="4" w:space="0" w:color="auto"/>
              <w:left w:val="nil"/>
              <w:bottom w:val="single" w:sz="8" w:space="0" w:color="auto"/>
              <w:right w:val="single" w:sz="4" w:space="0" w:color="auto"/>
            </w:tcBorders>
            <w:shd w:val="clear" w:color="auto" w:fill="auto"/>
            <w:noWrap/>
            <w:vAlign w:val="bottom"/>
            <w:hideMark/>
          </w:tcPr>
          <w:p w14:paraId="6660FA8C" w14:textId="3657C4B6" w:rsidR="003442FF" w:rsidRPr="003442FF" w:rsidRDefault="003442FF"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 349</w:t>
            </w:r>
          </w:p>
        </w:tc>
        <w:tc>
          <w:tcPr>
            <w:tcW w:w="1594" w:type="dxa"/>
            <w:tcBorders>
              <w:top w:val="single" w:sz="4" w:space="0" w:color="auto"/>
              <w:left w:val="nil"/>
              <w:bottom w:val="single" w:sz="8" w:space="0" w:color="auto"/>
              <w:right w:val="single" w:sz="4" w:space="0" w:color="auto"/>
            </w:tcBorders>
            <w:shd w:val="clear" w:color="auto" w:fill="auto"/>
            <w:noWrap/>
            <w:vAlign w:val="bottom"/>
            <w:hideMark/>
          </w:tcPr>
          <w:p w14:paraId="3178AF18" w14:textId="77777777" w:rsidR="003442FF" w:rsidRPr="003442FF" w:rsidRDefault="003442FF" w:rsidP="003442FF">
            <w:pPr>
              <w:spacing w:after="0" w:line="240" w:lineRule="auto"/>
              <w:jc w:val="center"/>
              <w:rPr>
                <w:rFonts w:ascii="Times New Roman" w:eastAsia="Times New Roman" w:hAnsi="Times New Roman" w:cs="Times New Roman"/>
                <w:noProof/>
                <w:color w:val="808080"/>
                <w:sz w:val="20"/>
                <w:szCs w:val="20"/>
              </w:rPr>
            </w:pPr>
            <w:r>
              <w:rPr>
                <w:rFonts w:ascii="Times New Roman" w:hAnsi="Times New Roman"/>
                <w:noProof/>
                <w:color w:val="808080"/>
                <w:sz w:val="20"/>
              </w:rPr>
              <w:t xml:space="preserve">   64</w:t>
            </w:r>
          </w:p>
        </w:tc>
        <w:tc>
          <w:tcPr>
            <w:tcW w:w="1594" w:type="dxa"/>
            <w:tcBorders>
              <w:top w:val="single" w:sz="4" w:space="0" w:color="auto"/>
              <w:left w:val="nil"/>
              <w:bottom w:val="single" w:sz="8" w:space="0" w:color="auto"/>
              <w:right w:val="single" w:sz="4" w:space="0" w:color="auto"/>
            </w:tcBorders>
            <w:shd w:val="clear" w:color="auto" w:fill="auto"/>
            <w:noWrap/>
            <w:vAlign w:val="bottom"/>
            <w:hideMark/>
          </w:tcPr>
          <w:p w14:paraId="7DE1EFAD" w14:textId="1F383879" w:rsidR="003442FF" w:rsidRPr="003442FF" w:rsidRDefault="00047221" w:rsidP="003442FF">
            <w:pPr>
              <w:spacing w:after="0" w:line="240" w:lineRule="auto"/>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64 </w:t>
            </w:r>
          </w:p>
        </w:tc>
      </w:tr>
    </w:tbl>
    <w:p w14:paraId="3F22E73B" w14:textId="29A9C03D" w:rsidR="009035E0" w:rsidRPr="009035E0" w:rsidRDefault="009035E0" w:rsidP="00350B73">
      <w:pPr>
        <w:pStyle w:val="Text1"/>
        <w:spacing w:after="0"/>
        <w:ind w:left="-426"/>
        <w:rPr>
          <w:noProof/>
        </w:rPr>
      </w:pPr>
      <w:r>
        <w:rPr>
          <w:noProof/>
          <w:sz w:val="14"/>
        </w:rPr>
        <w:t>*** Udbetalingen under den revolverende fond kan ikke sidestilles med bruttobetalinger inden for rammerne af budgettet. Der rapporteres derfor særskilt herom.</w:t>
      </w:r>
    </w:p>
    <w:p w14:paraId="0C43E8DD" w14:textId="77777777" w:rsidR="00492104" w:rsidRDefault="00492104" w:rsidP="00A0127E">
      <w:pPr>
        <w:pStyle w:val="Text1"/>
        <w:rPr>
          <w:noProof/>
        </w:rPr>
        <w:sectPr w:rsidR="00492104" w:rsidSect="00492104">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09" w:footer="709" w:gutter="0"/>
          <w:cols w:space="720"/>
          <w:docGrid w:linePitch="360"/>
        </w:sectPr>
      </w:pPr>
    </w:p>
    <w:p w14:paraId="5AC0B4A2" w14:textId="107EB125" w:rsidR="009035E0" w:rsidRDefault="009035E0" w:rsidP="009035E0">
      <w:pPr>
        <w:pStyle w:val="Heading2"/>
        <w:ind w:right="-32"/>
        <w:rPr>
          <w:noProof/>
        </w:rPr>
      </w:pPr>
      <w:r>
        <w:rPr>
          <w:noProof/>
        </w:rPr>
        <w:t>Tillæg 3: Finansiel situation i 2024, overslag for 2025-2026 og ikkebindende skøn for 2027-2028 (mio. EUR)</w:t>
      </w:r>
    </w:p>
    <w:tbl>
      <w:tblPr>
        <w:tblW w:w="10206" w:type="dxa"/>
        <w:tblLook w:val="04A0" w:firstRow="1" w:lastRow="0" w:firstColumn="1" w:lastColumn="0" w:noHBand="0" w:noVBand="1"/>
      </w:tblPr>
      <w:tblGrid>
        <w:gridCol w:w="576"/>
        <w:gridCol w:w="3960"/>
        <w:gridCol w:w="1357"/>
        <w:gridCol w:w="818"/>
        <w:gridCol w:w="847"/>
        <w:gridCol w:w="1357"/>
        <w:gridCol w:w="821"/>
        <w:gridCol w:w="850"/>
      </w:tblGrid>
      <w:tr w:rsidR="00117F35" w:rsidRPr="00117F35" w14:paraId="08F4B17D" w14:textId="77777777" w:rsidTr="00EC160E">
        <w:trPr>
          <w:trHeight w:val="252"/>
        </w:trPr>
        <w:tc>
          <w:tcPr>
            <w:tcW w:w="576" w:type="dxa"/>
            <w:tcBorders>
              <w:top w:val="nil"/>
              <w:left w:val="nil"/>
              <w:bottom w:val="nil"/>
              <w:right w:val="nil"/>
            </w:tcBorders>
            <w:shd w:val="clear" w:color="auto" w:fill="auto"/>
            <w:noWrap/>
            <w:vAlign w:val="bottom"/>
            <w:hideMark/>
          </w:tcPr>
          <w:p w14:paraId="295ED6DA" w14:textId="77777777" w:rsidR="00117F35" w:rsidRPr="008D23E2" w:rsidRDefault="00117F35" w:rsidP="00117F35">
            <w:pPr>
              <w:spacing w:after="0" w:line="240" w:lineRule="auto"/>
              <w:rPr>
                <w:rFonts w:ascii="Times New Roman" w:eastAsia="Times New Roman" w:hAnsi="Times New Roman" w:cs="Times New Roman"/>
                <w:noProof/>
                <w:sz w:val="24"/>
                <w:szCs w:val="24"/>
                <w:lang w:eastAsia="en-IE"/>
              </w:rPr>
            </w:pPr>
          </w:p>
        </w:tc>
        <w:tc>
          <w:tcPr>
            <w:tcW w:w="3960" w:type="dxa"/>
            <w:tcBorders>
              <w:top w:val="nil"/>
              <w:left w:val="nil"/>
              <w:bottom w:val="nil"/>
              <w:right w:val="nil"/>
            </w:tcBorders>
            <w:shd w:val="clear" w:color="auto" w:fill="auto"/>
            <w:noWrap/>
            <w:vAlign w:val="bottom"/>
            <w:hideMark/>
          </w:tcPr>
          <w:p w14:paraId="36652AE9" w14:textId="77777777" w:rsidR="00117F35" w:rsidRPr="008D23E2" w:rsidRDefault="00117F35" w:rsidP="00117F35">
            <w:pPr>
              <w:spacing w:after="0" w:line="240" w:lineRule="auto"/>
              <w:rPr>
                <w:rFonts w:ascii="Times New Roman" w:eastAsia="Times New Roman" w:hAnsi="Times New Roman" w:cs="Times New Roman"/>
                <w:noProof/>
                <w:sz w:val="20"/>
                <w:szCs w:val="20"/>
                <w:lang w:eastAsia="en-IE"/>
              </w:rPr>
            </w:pPr>
          </w:p>
        </w:tc>
        <w:tc>
          <w:tcPr>
            <w:tcW w:w="2832"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622BEB9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Meddelelse fra oktober 2024 </w:t>
            </w:r>
            <w:r>
              <w:rPr>
                <w:rFonts w:ascii="Times New Roman" w:hAnsi="Times New Roman"/>
                <w:b/>
                <w:noProof/>
                <w:sz w:val="18"/>
                <w:vertAlign w:val="superscript"/>
              </w:rPr>
              <w:t>1</w:t>
            </w:r>
          </w:p>
        </w:tc>
        <w:tc>
          <w:tcPr>
            <w:tcW w:w="2838" w:type="dxa"/>
            <w:gridSpan w:val="3"/>
            <w:tcBorders>
              <w:top w:val="single" w:sz="8" w:space="0" w:color="auto"/>
              <w:left w:val="nil"/>
              <w:bottom w:val="single" w:sz="4" w:space="0" w:color="auto"/>
              <w:right w:val="single" w:sz="8" w:space="0" w:color="000000"/>
            </w:tcBorders>
            <w:shd w:val="clear" w:color="auto" w:fill="auto"/>
            <w:vAlign w:val="center"/>
            <w:hideMark/>
          </w:tcPr>
          <w:p w14:paraId="49F9A32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Meddelelse fra juni 2025 </w:t>
            </w:r>
            <w:r>
              <w:rPr>
                <w:rFonts w:ascii="Times New Roman" w:hAnsi="Times New Roman"/>
                <w:b/>
                <w:noProof/>
                <w:sz w:val="18"/>
                <w:vertAlign w:val="superscript"/>
              </w:rPr>
              <w:t>1</w:t>
            </w:r>
          </w:p>
        </w:tc>
      </w:tr>
      <w:tr w:rsidR="00117F35" w:rsidRPr="00117F35" w14:paraId="70B0FCFB" w14:textId="77777777" w:rsidTr="00EC160E">
        <w:trPr>
          <w:trHeight w:val="286"/>
        </w:trPr>
        <w:tc>
          <w:tcPr>
            <w:tcW w:w="576" w:type="dxa"/>
            <w:tcBorders>
              <w:top w:val="nil"/>
              <w:left w:val="nil"/>
              <w:bottom w:val="single" w:sz="4" w:space="0" w:color="auto"/>
              <w:right w:val="nil"/>
            </w:tcBorders>
            <w:shd w:val="clear" w:color="auto" w:fill="auto"/>
            <w:noWrap/>
            <w:vAlign w:val="bottom"/>
            <w:hideMark/>
          </w:tcPr>
          <w:p w14:paraId="2E49C33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lang w:val="en-IE" w:eastAsia="en-IE"/>
              </w:rPr>
            </w:pPr>
          </w:p>
        </w:tc>
        <w:tc>
          <w:tcPr>
            <w:tcW w:w="3960" w:type="dxa"/>
            <w:tcBorders>
              <w:top w:val="nil"/>
              <w:left w:val="nil"/>
              <w:bottom w:val="single" w:sz="4" w:space="0" w:color="auto"/>
              <w:right w:val="nil"/>
            </w:tcBorders>
            <w:shd w:val="clear" w:color="auto" w:fill="auto"/>
            <w:noWrap/>
            <w:vAlign w:val="center"/>
            <w:hideMark/>
          </w:tcPr>
          <w:p w14:paraId="5ED37876" w14:textId="77777777" w:rsidR="00117F35" w:rsidRPr="00117F35" w:rsidRDefault="00117F35" w:rsidP="00117F35">
            <w:pPr>
              <w:spacing w:after="0" w:line="240" w:lineRule="auto"/>
              <w:rPr>
                <w:rFonts w:ascii="Times New Roman" w:eastAsia="Times New Roman" w:hAnsi="Times New Roman" w:cs="Times New Roman"/>
                <w:noProof/>
                <w:sz w:val="20"/>
                <w:szCs w:val="20"/>
                <w:lang w:val="en-IE" w:eastAsia="en-IE"/>
              </w:rPr>
            </w:pP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14:paraId="71C1326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Kommissionen</w:t>
            </w:r>
          </w:p>
        </w:tc>
        <w:tc>
          <w:tcPr>
            <w:tcW w:w="818" w:type="dxa"/>
            <w:tcBorders>
              <w:top w:val="nil"/>
              <w:left w:val="nil"/>
              <w:bottom w:val="single" w:sz="4" w:space="0" w:color="auto"/>
              <w:right w:val="single" w:sz="4" w:space="0" w:color="auto"/>
            </w:tcBorders>
            <w:shd w:val="clear" w:color="auto" w:fill="auto"/>
            <w:noWrap/>
            <w:vAlign w:val="center"/>
            <w:hideMark/>
          </w:tcPr>
          <w:p w14:paraId="1BB6F2E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EIB</w:t>
            </w:r>
            <w:r>
              <w:rPr>
                <w:rFonts w:ascii="Times New Roman" w:hAnsi="Times New Roman"/>
                <w:b/>
                <w:noProof/>
                <w:sz w:val="18"/>
                <w:vertAlign w:val="superscript"/>
              </w:rPr>
              <w:t xml:space="preserve"> </w:t>
            </w:r>
          </w:p>
        </w:tc>
        <w:tc>
          <w:tcPr>
            <w:tcW w:w="847" w:type="dxa"/>
            <w:tcBorders>
              <w:top w:val="nil"/>
              <w:left w:val="nil"/>
              <w:bottom w:val="nil"/>
              <w:right w:val="single" w:sz="8" w:space="0" w:color="auto"/>
            </w:tcBorders>
            <w:shd w:val="clear" w:color="auto" w:fill="auto"/>
            <w:noWrap/>
            <w:vAlign w:val="center"/>
            <w:hideMark/>
          </w:tcPr>
          <w:p w14:paraId="54917A5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I ALT</w:t>
            </w:r>
          </w:p>
        </w:tc>
        <w:tc>
          <w:tcPr>
            <w:tcW w:w="1167" w:type="dxa"/>
            <w:tcBorders>
              <w:top w:val="nil"/>
              <w:left w:val="nil"/>
              <w:bottom w:val="single" w:sz="4" w:space="0" w:color="auto"/>
              <w:right w:val="single" w:sz="4" w:space="0" w:color="auto"/>
            </w:tcBorders>
            <w:shd w:val="clear" w:color="auto" w:fill="auto"/>
            <w:noWrap/>
            <w:vAlign w:val="center"/>
            <w:hideMark/>
          </w:tcPr>
          <w:p w14:paraId="6C0EF6B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Kommissionen</w:t>
            </w:r>
          </w:p>
        </w:tc>
        <w:tc>
          <w:tcPr>
            <w:tcW w:w="821" w:type="dxa"/>
            <w:tcBorders>
              <w:top w:val="nil"/>
              <w:left w:val="nil"/>
              <w:bottom w:val="single" w:sz="4" w:space="0" w:color="auto"/>
              <w:right w:val="single" w:sz="4" w:space="0" w:color="auto"/>
            </w:tcBorders>
            <w:shd w:val="clear" w:color="auto" w:fill="auto"/>
            <w:noWrap/>
            <w:vAlign w:val="center"/>
            <w:hideMark/>
          </w:tcPr>
          <w:p w14:paraId="151C345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EIB</w:t>
            </w:r>
            <w:r>
              <w:rPr>
                <w:rFonts w:ascii="Times New Roman" w:hAnsi="Times New Roman"/>
                <w:b/>
                <w:noProof/>
                <w:sz w:val="18"/>
                <w:vertAlign w:val="superscript"/>
              </w:rPr>
              <w:t xml:space="preserve"> </w:t>
            </w:r>
          </w:p>
        </w:tc>
        <w:tc>
          <w:tcPr>
            <w:tcW w:w="850" w:type="dxa"/>
            <w:tcBorders>
              <w:top w:val="nil"/>
              <w:left w:val="nil"/>
              <w:bottom w:val="nil"/>
              <w:right w:val="single" w:sz="8" w:space="0" w:color="auto"/>
            </w:tcBorders>
            <w:shd w:val="clear" w:color="auto" w:fill="auto"/>
            <w:noWrap/>
            <w:vAlign w:val="center"/>
            <w:hideMark/>
          </w:tcPr>
          <w:p w14:paraId="761076F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I ALT</w:t>
            </w:r>
          </w:p>
        </w:tc>
      </w:tr>
      <w:tr w:rsidR="00117F35" w:rsidRPr="00117F35" w14:paraId="6470FCCF" w14:textId="77777777" w:rsidTr="00EC160E">
        <w:trPr>
          <w:trHeight w:val="271"/>
        </w:trPr>
        <w:tc>
          <w:tcPr>
            <w:tcW w:w="57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0E610CF"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51FB722" w14:textId="77777777" w:rsidR="00117F35" w:rsidRPr="00117F35" w:rsidRDefault="00117F35" w:rsidP="00117F35">
            <w:pP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rPr>
              <w:t>Saldo pr. 31.12.2023</w:t>
            </w:r>
            <w:r>
              <w:rPr>
                <w:rFonts w:ascii="Times New Roman" w:hAnsi="Times New Roman"/>
                <w:noProof/>
                <w:color w:val="000000"/>
                <w:sz w:val="18"/>
                <w:vertAlign w:val="superscript"/>
              </w:rPr>
              <w:t xml:space="preserve"> 4,6</w:t>
            </w:r>
          </w:p>
        </w:tc>
        <w:tc>
          <w:tcPr>
            <w:tcW w:w="1167" w:type="dxa"/>
            <w:tcBorders>
              <w:top w:val="nil"/>
              <w:left w:val="single" w:sz="4" w:space="0" w:color="auto"/>
              <w:bottom w:val="nil"/>
              <w:right w:val="nil"/>
            </w:tcBorders>
            <w:shd w:val="clear" w:color="000000" w:fill="FFFFFF"/>
            <w:noWrap/>
            <w:vAlign w:val="center"/>
            <w:hideMark/>
          </w:tcPr>
          <w:p w14:paraId="4CC1565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604</w:t>
            </w:r>
          </w:p>
        </w:tc>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301A09E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738</w:t>
            </w:r>
          </w:p>
        </w:tc>
        <w:tc>
          <w:tcPr>
            <w:tcW w:w="847" w:type="dxa"/>
            <w:tcBorders>
              <w:top w:val="single" w:sz="4" w:space="0" w:color="auto"/>
              <w:left w:val="nil"/>
              <w:bottom w:val="single" w:sz="4" w:space="0" w:color="auto"/>
              <w:right w:val="single" w:sz="8" w:space="0" w:color="auto"/>
            </w:tcBorders>
            <w:shd w:val="clear" w:color="auto" w:fill="auto"/>
            <w:noWrap/>
            <w:vAlign w:val="center"/>
            <w:hideMark/>
          </w:tcPr>
          <w:p w14:paraId="71FB4CB1"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1 342</w:t>
            </w:r>
          </w:p>
        </w:tc>
        <w:tc>
          <w:tcPr>
            <w:tcW w:w="1167" w:type="dxa"/>
            <w:tcBorders>
              <w:top w:val="nil"/>
              <w:left w:val="nil"/>
              <w:bottom w:val="nil"/>
              <w:right w:val="nil"/>
            </w:tcBorders>
            <w:shd w:val="clear" w:color="000000" w:fill="FFFFFF"/>
            <w:noWrap/>
            <w:vAlign w:val="center"/>
            <w:hideMark/>
          </w:tcPr>
          <w:p w14:paraId="50BA17B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604</w:t>
            </w:r>
          </w:p>
        </w:tc>
        <w:tc>
          <w:tcPr>
            <w:tcW w:w="821" w:type="dxa"/>
            <w:tcBorders>
              <w:top w:val="nil"/>
              <w:left w:val="single" w:sz="4" w:space="0" w:color="auto"/>
              <w:bottom w:val="single" w:sz="4" w:space="0" w:color="auto"/>
              <w:right w:val="single" w:sz="4" w:space="0" w:color="auto"/>
            </w:tcBorders>
            <w:shd w:val="clear" w:color="000000" w:fill="FFFFFF"/>
            <w:noWrap/>
            <w:vAlign w:val="center"/>
            <w:hideMark/>
          </w:tcPr>
          <w:p w14:paraId="0E2C933D"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738</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5F1930C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1 342</w:t>
            </w:r>
          </w:p>
        </w:tc>
      </w:tr>
      <w:tr w:rsidR="00117F35" w:rsidRPr="00117F35" w14:paraId="2465CC99" w14:textId="77777777" w:rsidTr="00EC160E">
        <w:trPr>
          <w:trHeight w:val="264"/>
        </w:trPr>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D9F8C1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2024</w:t>
            </w:r>
          </w:p>
        </w:tc>
        <w:tc>
          <w:tcPr>
            <w:tcW w:w="3960" w:type="dxa"/>
            <w:tcBorders>
              <w:top w:val="nil"/>
              <w:left w:val="nil"/>
              <w:bottom w:val="nil"/>
              <w:right w:val="nil"/>
            </w:tcBorders>
            <w:shd w:val="clear" w:color="auto" w:fill="auto"/>
            <w:noWrap/>
            <w:vAlign w:val="bottom"/>
            <w:hideMark/>
          </w:tcPr>
          <w:p w14:paraId="4CCDD746"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Det Forenede Kongeriges bidrag for 2024:</w:t>
            </w:r>
          </w:p>
        </w:tc>
        <w:tc>
          <w:tcPr>
            <w:tcW w:w="1167" w:type="dxa"/>
            <w:tcBorders>
              <w:top w:val="single" w:sz="4" w:space="0" w:color="auto"/>
              <w:left w:val="single" w:sz="8" w:space="0" w:color="auto"/>
              <w:bottom w:val="nil"/>
              <w:right w:val="nil"/>
            </w:tcBorders>
            <w:shd w:val="clear" w:color="000000" w:fill="FFFFFF"/>
            <w:noWrap/>
            <w:vAlign w:val="center"/>
            <w:hideMark/>
          </w:tcPr>
          <w:p w14:paraId="0FC8638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1 200</w:t>
            </w:r>
          </w:p>
        </w:tc>
        <w:tc>
          <w:tcPr>
            <w:tcW w:w="818" w:type="dxa"/>
            <w:tcBorders>
              <w:top w:val="nil"/>
              <w:left w:val="single" w:sz="4" w:space="0" w:color="auto"/>
              <w:bottom w:val="nil"/>
              <w:right w:val="single" w:sz="4" w:space="0" w:color="auto"/>
            </w:tcBorders>
            <w:shd w:val="clear" w:color="000000" w:fill="FFFFFF"/>
            <w:noWrap/>
            <w:vAlign w:val="center"/>
            <w:hideMark/>
          </w:tcPr>
          <w:p w14:paraId="159E4C3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847" w:type="dxa"/>
            <w:tcBorders>
              <w:top w:val="nil"/>
              <w:left w:val="nil"/>
              <w:bottom w:val="nil"/>
              <w:right w:val="single" w:sz="8" w:space="0" w:color="auto"/>
            </w:tcBorders>
            <w:shd w:val="clear" w:color="000000" w:fill="FFFFFF"/>
            <w:noWrap/>
            <w:vAlign w:val="center"/>
            <w:hideMark/>
          </w:tcPr>
          <w:p w14:paraId="74DEB99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1 500</w:t>
            </w:r>
          </w:p>
        </w:tc>
        <w:tc>
          <w:tcPr>
            <w:tcW w:w="1167" w:type="dxa"/>
            <w:tcBorders>
              <w:top w:val="single" w:sz="4" w:space="0" w:color="auto"/>
              <w:left w:val="nil"/>
              <w:bottom w:val="nil"/>
              <w:right w:val="nil"/>
            </w:tcBorders>
            <w:shd w:val="clear" w:color="000000" w:fill="FFFFFF"/>
            <w:noWrap/>
            <w:vAlign w:val="center"/>
            <w:hideMark/>
          </w:tcPr>
          <w:p w14:paraId="1F82A701"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1 200</w:t>
            </w:r>
          </w:p>
        </w:tc>
        <w:tc>
          <w:tcPr>
            <w:tcW w:w="821" w:type="dxa"/>
            <w:tcBorders>
              <w:top w:val="nil"/>
              <w:left w:val="single" w:sz="4" w:space="0" w:color="auto"/>
              <w:bottom w:val="nil"/>
              <w:right w:val="single" w:sz="4" w:space="0" w:color="auto"/>
            </w:tcBorders>
            <w:shd w:val="clear" w:color="000000" w:fill="FFFFFF"/>
            <w:noWrap/>
            <w:vAlign w:val="center"/>
            <w:hideMark/>
          </w:tcPr>
          <w:p w14:paraId="724DA069"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850" w:type="dxa"/>
            <w:tcBorders>
              <w:top w:val="nil"/>
              <w:left w:val="nil"/>
              <w:bottom w:val="nil"/>
              <w:right w:val="single" w:sz="8" w:space="0" w:color="auto"/>
            </w:tcBorders>
            <w:shd w:val="clear" w:color="000000" w:fill="FFFFFF"/>
            <w:noWrap/>
            <w:vAlign w:val="center"/>
            <w:hideMark/>
          </w:tcPr>
          <w:p w14:paraId="270FCE3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1 500</w:t>
            </w:r>
          </w:p>
        </w:tc>
      </w:tr>
      <w:tr w:rsidR="00117F35" w:rsidRPr="00117F35" w14:paraId="360BA928"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7066D628"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3432AECC"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 tranche</w:t>
            </w:r>
          </w:p>
        </w:tc>
        <w:tc>
          <w:tcPr>
            <w:tcW w:w="1167" w:type="dxa"/>
            <w:tcBorders>
              <w:top w:val="nil"/>
              <w:left w:val="single" w:sz="8" w:space="0" w:color="auto"/>
              <w:bottom w:val="nil"/>
              <w:right w:val="nil"/>
            </w:tcBorders>
            <w:shd w:val="clear" w:color="000000" w:fill="FFFFFF"/>
            <w:noWrap/>
            <w:vAlign w:val="center"/>
            <w:hideMark/>
          </w:tcPr>
          <w:p w14:paraId="1768A21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550</w:t>
            </w:r>
          </w:p>
        </w:tc>
        <w:tc>
          <w:tcPr>
            <w:tcW w:w="818" w:type="dxa"/>
            <w:tcBorders>
              <w:top w:val="nil"/>
              <w:left w:val="single" w:sz="4" w:space="0" w:color="auto"/>
              <w:bottom w:val="nil"/>
              <w:right w:val="single" w:sz="4" w:space="0" w:color="auto"/>
            </w:tcBorders>
            <w:shd w:val="clear" w:color="000000" w:fill="FFFFFF"/>
            <w:noWrap/>
            <w:vAlign w:val="center"/>
            <w:hideMark/>
          </w:tcPr>
          <w:p w14:paraId="241F78B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47" w:type="dxa"/>
            <w:tcBorders>
              <w:top w:val="nil"/>
              <w:left w:val="nil"/>
              <w:bottom w:val="nil"/>
              <w:right w:val="single" w:sz="8" w:space="0" w:color="auto"/>
            </w:tcBorders>
            <w:shd w:val="clear" w:color="000000" w:fill="FFFFFF"/>
            <w:noWrap/>
            <w:vAlign w:val="center"/>
            <w:hideMark/>
          </w:tcPr>
          <w:p w14:paraId="6665EF7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650</w:t>
            </w:r>
          </w:p>
        </w:tc>
        <w:tc>
          <w:tcPr>
            <w:tcW w:w="1167" w:type="dxa"/>
            <w:tcBorders>
              <w:top w:val="nil"/>
              <w:left w:val="nil"/>
              <w:bottom w:val="nil"/>
              <w:right w:val="nil"/>
            </w:tcBorders>
            <w:shd w:val="clear" w:color="000000" w:fill="FFFFFF"/>
            <w:noWrap/>
            <w:vAlign w:val="center"/>
            <w:hideMark/>
          </w:tcPr>
          <w:p w14:paraId="6F9FDDC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550</w:t>
            </w:r>
          </w:p>
        </w:tc>
        <w:tc>
          <w:tcPr>
            <w:tcW w:w="821" w:type="dxa"/>
            <w:tcBorders>
              <w:top w:val="nil"/>
              <w:left w:val="single" w:sz="4" w:space="0" w:color="auto"/>
              <w:bottom w:val="nil"/>
              <w:right w:val="single" w:sz="4" w:space="0" w:color="auto"/>
            </w:tcBorders>
            <w:shd w:val="clear" w:color="000000" w:fill="FFFFFF"/>
            <w:noWrap/>
            <w:vAlign w:val="center"/>
            <w:hideMark/>
          </w:tcPr>
          <w:p w14:paraId="630AF9D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50" w:type="dxa"/>
            <w:tcBorders>
              <w:top w:val="nil"/>
              <w:left w:val="nil"/>
              <w:bottom w:val="nil"/>
              <w:right w:val="single" w:sz="8" w:space="0" w:color="auto"/>
            </w:tcBorders>
            <w:shd w:val="clear" w:color="000000" w:fill="FFFFFF"/>
            <w:noWrap/>
            <w:vAlign w:val="center"/>
            <w:hideMark/>
          </w:tcPr>
          <w:p w14:paraId="371EDCD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650</w:t>
            </w:r>
          </w:p>
        </w:tc>
      </w:tr>
      <w:tr w:rsidR="00117F35" w:rsidRPr="00117F35" w14:paraId="60339E9C"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78653713"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5DFEC20C"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 tranche</w:t>
            </w:r>
          </w:p>
        </w:tc>
        <w:tc>
          <w:tcPr>
            <w:tcW w:w="1167" w:type="dxa"/>
            <w:tcBorders>
              <w:top w:val="nil"/>
              <w:left w:val="single" w:sz="8" w:space="0" w:color="auto"/>
              <w:bottom w:val="nil"/>
              <w:right w:val="nil"/>
            </w:tcBorders>
            <w:shd w:val="clear" w:color="000000" w:fill="FFFFFF"/>
            <w:noWrap/>
            <w:vAlign w:val="center"/>
            <w:hideMark/>
          </w:tcPr>
          <w:p w14:paraId="116720C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c>
          <w:tcPr>
            <w:tcW w:w="818" w:type="dxa"/>
            <w:tcBorders>
              <w:top w:val="nil"/>
              <w:left w:val="single" w:sz="4" w:space="0" w:color="auto"/>
              <w:bottom w:val="nil"/>
              <w:right w:val="single" w:sz="4" w:space="0" w:color="auto"/>
            </w:tcBorders>
            <w:shd w:val="clear" w:color="000000" w:fill="FFFFFF"/>
            <w:noWrap/>
            <w:vAlign w:val="center"/>
            <w:hideMark/>
          </w:tcPr>
          <w:p w14:paraId="3C62152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47" w:type="dxa"/>
            <w:tcBorders>
              <w:top w:val="nil"/>
              <w:left w:val="nil"/>
              <w:bottom w:val="nil"/>
              <w:right w:val="single" w:sz="8" w:space="0" w:color="auto"/>
            </w:tcBorders>
            <w:shd w:val="clear" w:color="000000" w:fill="FFFFFF"/>
            <w:noWrap/>
            <w:vAlign w:val="center"/>
            <w:hideMark/>
          </w:tcPr>
          <w:p w14:paraId="19D2CB0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500</w:t>
            </w:r>
          </w:p>
        </w:tc>
        <w:tc>
          <w:tcPr>
            <w:tcW w:w="1167" w:type="dxa"/>
            <w:tcBorders>
              <w:top w:val="nil"/>
              <w:left w:val="nil"/>
              <w:bottom w:val="nil"/>
              <w:right w:val="nil"/>
            </w:tcBorders>
            <w:shd w:val="clear" w:color="000000" w:fill="FFFFFF"/>
            <w:noWrap/>
            <w:vAlign w:val="center"/>
            <w:hideMark/>
          </w:tcPr>
          <w:p w14:paraId="46C4363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c>
          <w:tcPr>
            <w:tcW w:w="821" w:type="dxa"/>
            <w:tcBorders>
              <w:top w:val="nil"/>
              <w:left w:val="single" w:sz="4" w:space="0" w:color="auto"/>
              <w:bottom w:val="nil"/>
              <w:right w:val="single" w:sz="4" w:space="0" w:color="auto"/>
            </w:tcBorders>
            <w:shd w:val="clear" w:color="000000" w:fill="FFFFFF"/>
            <w:noWrap/>
            <w:vAlign w:val="center"/>
            <w:hideMark/>
          </w:tcPr>
          <w:p w14:paraId="7060D84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50" w:type="dxa"/>
            <w:tcBorders>
              <w:top w:val="nil"/>
              <w:left w:val="nil"/>
              <w:bottom w:val="nil"/>
              <w:right w:val="single" w:sz="8" w:space="0" w:color="auto"/>
            </w:tcBorders>
            <w:shd w:val="clear" w:color="000000" w:fill="FFFFFF"/>
            <w:noWrap/>
            <w:vAlign w:val="center"/>
            <w:hideMark/>
          </w:tcPr>
          <w:p w14:paraId="4E564F7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500</w:t>
            </w:r>
          </w:p>
        </w:tc>
      </w:tr>
      <w:tr w:rsidR="00117F35" w:rsidRPr="00117F35" w14:paraId="24141EF8"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3758B5B7"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61400EA9"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 tranche</w:t>
            </w:r>
          </w:p>
        </w:tc>
        <w:tc>
          <w:tcPr>
            <w:tcW w:w="1167" w:type="dxa"/>
            <w:tcBorders>
              <w:top w:val="nil"/>
              <w:left w:val="single" w:sz="8" w:space="0" w:color="auto"/>
              <w:bottom w:val="nil"/>
              <w:right w:val="nil"/>
            </w:tcBorders>
            <w:shd w:val="clear" w:color="000000" w:fill="FFFFFF"/>
            <w:noWrap/>
            <w:vAlign w:val="center"/>
            <w:hideMark/>
          </w:tcPr>
          <w:p w14:paraId="717F59C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18" w:type="dxa"/>
            <w:tcBorders>
              <w:top w:val="nil"/>
              <w:left w:val="single" w:sz="4" w:space="0" w:color="auto"/>
              <w:bottom w:val="nil"/>
              <w:right w:val="single" w:sz="4" w:space="0" w:color="auto"/>
            </w:tcBorders>
            <w:shd w:val="clear" w:color="000000" w:fill="FFFFFF"/>
            <w:noWrap/>
            <w:vAlign w:val="center"/>
            <w:hideMark/>
          </w:tcPr>
          <w:p w14:paraId="3DA45F8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47" w:type="dxa"/>
            <w:tcBorders>
              <w:top w:val="nil"/>
              <w:left w:val="nil"/>
              <w:bottom w:val="nil"/>
              <w:right w:val="single" w:sz="8" w:space="0" w:color="auto"/>
            </w:tcBorders>
            <w:shd w:val="clear" w:color="000000" w:fill="FFFFFF"/>
            <w:noWrap/>
            <w:vAlign w:val="center"/>
            <w:hideMark/>
          </w:tcPr>
          <w:p w14:paraId="65F2242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350</w:t>
            </w:r>
          </w:p>
        </w:tc>
        <w:tc>
          <w:tcPr>
            <w:tcW w:w="1167" w:type="dxa"/>
            <w:tcBorders>
              <w:top w:val="nil"/>
              <w:left w:val="nil"/>
              <w:bottom w:val="nil"/>
              <w:right w:val="nil"/>
            </w:tcBorders>
            <w:shd w:val="clear" w:color="000000" w:fill="FFFFFF"/>
            <w:noWrap/>
            <w:vAlign w:val="center"/>
            <w:hideMark/>
          </w:tcPr>
          <w:p w14:paraId="156198A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21" w:type="dxa"/>
            <w:tcBorders>
              <w:top w:val="nil"/>
              <w:left w:val="single" w:sz="4" w:space="0" w:color="auto"/>
              <w:bottom w:val="nil"/>
              <w:right w:val="single" w:sz="4" w:space="0" w:color="auto"/>
            </w:tcBorders>
            <w:shd w:val="clear" w:color="000000" w:fill="FFFFFF"/>
            <w:noWrap/>
            <w:vAlign w:val="center"/>
            <w:hideMark/>
          </w:tcPr>
          <w:p w14:paraId="5C2AFAA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50" w:type="dxa"/>
            <w:tcBorders>
              <w:top w:val="nil"/>
              <w:left w:val="nil"/>
              <w:bottom w:val="nil"/>
              <w:right w:val="single" w:sz="8" w:space="0" w:color="auto"/>
            </w:tcBorders>
            <w:shd w:val="clear" w:color="000000" w:fill="FFFFFF"/>
            <w:noWrap/>
            <w:vAlign w:val="center"/>
            <w:hideMark/>
          </w:tcPr>
          <w:p w14:paraId="77DE3E9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350</w:t>
            </w:r>
          </w:p>
        </w:tc>
      </w:tr>
      <w:tr w:rsidR="00117F35" w:rsidRPr="00117F35" w14:paraId="5314345C"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32F4CA2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73FC7E54"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Bidrag og tilpasninger i 2024, modtaget i 2023</w:t>
            </w:r>
          </w:p>
        </w:tc>
        <w:tc>
          <w:tcPr>
            <w:tcW w:w="1167" w:type="dxa"/>
            <w:tcBorders>
              <w:top w:val="nil"/>
              <w:left w:val="single" w:sz="8" w:space="0" w:color="auto"/>
              <w:bottom w:val="nil"/>
              <w:right w:val="nil"/>
            </w:tcBorders>
            <w:shd w:val="clear" w:color="000000" w:fill="FFFFFF"/>
            <w:noWrap/>
            <w:vAlign w:val="center"/>
            <w:hideMark/>
          </w:tcPr>
          <w:p w14:paraId="38874AE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73</w:t>
            </w:r>
          </w:p>
        </w:tc>
        <w:tc>
          <w:tcPr>
            <w:tcW w:w="818" w:type="dxa"/>
            <w:tcBorders>
              <w:top w:val="nil"/>
              <w:left w:val="single" w:sz="4" w:space="0" w:color="auto"/>
              <w:bottom w:val="nil"/>
              <w:right w:val="single" w:sz="4" w:space="0" w:color="auto"/>
            </w:tcBorders>
            <w:shd w:val="clear" w:color="000000" w:fill="FFFFFF"/>
            <w:noWrap/>
            <w:vAlign w:val="center"/>
            <w:hideMark/>
          </w:tcPr>
          <w:p w14:paraId="3950AF5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67649F3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73</w:t>
            </w:r>
          </w:p>
        </w:tc>
        <w:tc>
          <w:tcPr>
            <w:tcW w:w="1167" w:type="dxa"/>
            <w:tcBorders>
              <w:top w:val="nil"/>
              <w:left w:val="nil"/>
              <w:bottom w:val="nil"/>
              <w:right w:val="nil"/>
            </w:tcBorders>
            <w:shd w:val="clear" w:color="000000" w:fill="FFFFFF"/>
            <w:noWrap/>
            <w:vAlign w:val="center"/>
            <w:hideMark/>
          </w:tcPr>
          <w:p w14:paraId="1A3DA4D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73</w:t>
            </w:r>
          </w:p>
        </w:tc>
        <w:tc>
          <w:tcPr>
            <w:tcW w:w="821" w:type="dxa"/>
            <w:tcBorders>
              <w:top w:val="nil"/>
              <w:left w:val="single" w:sz="4" w:space="0" w:color="auto"/>
              <w:bottom w:val="nil"/>
              <w:right w:val="single" w:sz="4" w:space="0" w:color="auto"/>
            </w:tcBorders>
            <w:shd w:val="clear" w:color="000000" w:fill="FFFFFF"/>
            <w:noWrap/>
            <w:vAlign w:val="center"/>
            <w:hideMark/>
          </w:tcPr>
          <w:p w14:paraId="49E91F4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0F628EF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73</w:t>
            </w:r>
          </w:p>
        </w:tc>
      </w:tr>
      <w:tr w:rsidR="00117F35" w:rsidRPr="00117F35" w14:paraId="5A289632"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49298CF5"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center"/>
            <w:hideMark/>
          </w:tcPr>
          <w:p w14:paraId="5A115D2F"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Bidrag og tilpasninger i 2025, modtaget i 2024</w:t>
            </w:r>
          </w:p>
        </w:tc>
        <w:tc>
          <w:tcPr>
            <w:tcW w:w="1167" w:type="dxa"/>
            <w:tcBorders>
              <w:top w:val="nil"/>
              <w:left w:val="single" w:sz="8" w:space="0" w:color="auto"/>
              <w:bottom w:val="nil"/>
              <w:right w:val="nil"/>
            </w:tcBorders>
            <w:shd w:val="clear" w:color="000000" w:fill="FFFFFF"/>
            <w:noWrap/>
            <w:vAlign w:val="center"/>
            <w:hideMark/>
          </w:tcPr>
          <w:p w14:paraId="6730A72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single" w:sz="4" w:space="0" w:color="auto"/>
              <w:bottom w:val="nil"/>
              <w:right w:val="single" w:sz="4" w:space="0" w:color="auto"/>
            </w:tcBorders>
            <w:shd w:val="clear" w:color="000000" w:fill="FFFFFF"/>
            <w:noWrap/>
            <w:vAlign w:val="center"/>
            <w:hideMark/>
          </w:tcPr>
          <w:p w14:paraId="508A075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5A47A17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1167" w:type="dxa"/>
            <w:tcBorders>
              <w:top w:val="nil"/>
              <w:left w:val="nil"/>
              <w:bottom w:val="nil"/>
              <w:right w:val="nil"/>
            </w:tcBorders>
            <w:shd w:val="clear" w:color="000000" w:fill="FFFFFF"/>
            <w:noWrap/>
            <w:vAlign w:val="center"/>
            <w:hideMark/>
          </w:tcPr>
          <w:p w14:paraId="09093EE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43</w:t>
            </w:r>
          </w:p>
        </w:tc>
        <w:tc>
          <w:tcPr>
            <w:tcW w:w="821" w:type="dxa"/>
            <w:tcBorders>
              <w:top w:val="nil"/>
              <w:left w:val="single" w:sz="4" w:space="0" w:color="auto"/>
              <w:bottom w:val="nil"/>
              <w:right w:val="single" w:sz="4" w:space="0" w:color="auto"/>
            </w:tcBorders>
            <w:shd w:val="clear" w:color="000000" w:fill="FFFFFF"/>
            <w:noWrap/>
            <w:vAlign w:val="center"/>
            <w:hideMark/>
          </w:tcPr>
          <w:p w14:paraId="42BFB98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503D490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43</w:t>
            </w:r>
          </w:p>
        </w:tc>
      </w:tr>
      <w:tr w:rsidR="00117F35" w:rsidRPr="00117F35" w14:paraId="1E29B55B"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6216DC85"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2216CAC9"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Tilbageførte beløb</w:t>
            </w:r>
            <w:r>
              <w:rPr>
                <w:rFonts w:ascii="Times New Roman" w:hAnsi="Times New Roman"/>
                <w:noProof/>
                <w:sz w:val="18"/>
                <w:vertAlign w:val="superscript"/>
              </w:rPr>
              <w:t xml:space="preserve"> 2</w:t>
            </w:r>
          </w:p>
        </w:tc>
        <w:tc>
          <w:tcPr>
            <w:tcW w:w="1167" w:type="dxa"/>
            <w:tcBorders>
              <w:top w:val="nil"/>
              <w:left w:val="single" w:sz="8" w:space="0" w:color="auto"/>
              <w:bottom w:val="nil"/>
              <w:right w:val="nil"/>
            </w:tcBorders>
            <w:shd w:val="clear" w:color="000000" w:fill="FFFFFF"/>
            <w:noWrap/>
            <w:vAlign w:val="center"/>
            <w:hideMark/>
          </w:tcPr>
          <w:p w14:paraId="5F6E4D2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single" w:sz="4" w:space="0" w:color="auto"/>
              <w:bottom w:val="nil"/>
              <w:right w:val="single" w:sz="4" w:space="0" w:color="auto"/>
            </w:tcBorders>
            <w:shd w:val="clear" w:color="auto" w:fill="auto"/>
            <w:noWrap/>
            <w:vAlign w:val="center"/>
            <w:hideMark/>
          </w:tcPr>
          <w:p w14:paraId="2592734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310</w:t>
            </w:r>
          </w:p>
        </w:tc>
        <w:tc>
          <w:tcPr>
            <w:tcW w:w="847" w:type="dxa"/>
            <w:tcBorders>
              <w:top w:val="nil"/>
              <w:left w:val="nil"/>
              <w:bottom w:val="nil"/>
              <w:right w:val="single" w:sz="8" w:space="0" w:color="auto"/>
            </w:tcBorders>
            <w:shd w:val="clear" w:color="auto" w:fill="auto"/>
            <w:noWrap/>
            <w:vAlign w:val="center"/>
            <w:hideMark/>
          </w:tcPr>
          <w:p w14:paraId="7E5C9D9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310</w:t>
            </w:r>
          </w:p>
        </w:tc>
        <w:tc>
          <w:tcPr>
            <w:tcW w:w="1167" w:type="dxa"/>
            <w:tcBorders>
              <w:top w:val="nil"/>
              <w:left w:val="nil"/>
              <w:bottom w:val="nil"/>
              <w:right w:val="nil"/>
            </w:tcBorders>
            <w:shd w:val="clear" w:color="auto" w:fill="auto"/>
            <w:noWrap/>
            <w:vAlign w:val="center"/>
            <w:hideMark/>
          </w:tcPr>
          <w:p w14:paraId="42178CC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21" w:type="dxa"/>
            <w:tcBorders>
              <w:top w:val="nil"/>
              <w:left w:val="single" w:sz="4" w:space="0" w:color="auto"/>
              <w:bottom w:val="nil"/>
              <w:right w:val="single" w:sz="4" w:space="0" w:color="auto"/>
            </w:tcBorders>
            <w:shd w:val="clear" w:color="auto" w:fill="auto"/>
            <w:noWrap/>
            <w:vAlign w:val="center"/>
            <w:hideMark/>
          </w:tcPr>
          <w:p w14:paraId="1C810BDC" w14:textId="1D27D52F" w:rsidR="00117F35" w:rsidRPr="00117F35" w:rsidRDefault="00047221"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417</w:t>
            </w:r>
          </w:p>
        </w:tc>
        <w:tc>
          <w:tcPr>
            <w:tcW w:w="850" w:type="dxa"/>
            <w:tcBorders>
              <w:top w:val="nil"/>
              <w:left w:val="nil"/>
              <w:bottom w:val="nil"/>
              <w:right w:val="single" w:sz="8" w:space="0" w:color="auto"/>
            </w:tcBorders>
            <w:shd w:val="clear" w:color="auto" w:fill="auto"/>
            <w:noWrap/>
            <w:vAlign w:val="center"/>
            <w:hideMark/>
          </w:tcPr>
          <w:p w14:paraId="1DB0AEAC" w14:textId="67A77148"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417</w:t>
            </w:r>
          </w:p>
        </w:tc>
      </w:tr>
      <w:tr w:rsidR="00117F35" w:rsidRPr="00117F35" w14:paraId="16C3F999"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411F38B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65D01B26"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Inddrevne beløb, renter og tilpasning</w:t>
            </w:r>
          </w:p>
        </w:tc>
        <w:tc>
          <w:tcPr>
            <w:tcW w:w="1167" w:type="dxa"/>
            <w:tcBorders>
              <w:top w:val="nil"/>
              <w:left w:val="single" w:sz="8" w:space="0" w:color="auto"/>
              <w:bottom w:val="nil"/>
              <w:right w:val="nil"/>
            </w:tcBorders>
            <w:shd w:val="clear" w:color="000000" w:fill="FFFFFF"/>
            <w:noWrap/>
            <w:vAlign w:val="center"/>
            <w:hideMark/>
          </w:tcPr>
          <w:p w14:paraId="7BAE6A0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w:t>
            </w:r>
          </w:p>
        </w:tc>
        <w:tc>
          <w:tcPr>
            <w:tcW w:w="818" w:type="dxa"/>
            <w:tcBorders>
              <w:top w:val="nil"/>
              <w:left w:val="single" w:sz="4" w:space="0" w:color="auto"/>
              <w:bottom w:val="nil"/>
              <w:right w:val="single" w:sz="4" w:space="0" w:color="auto"/>
            </w:tcBorders>
            <w:shd w:val="clear" w:color="000000" w:fill="FFFFFF"/>
            <w:noWrap/>
            <w:vAlign w:val="center"/>
            <w:hideMark/>
          </w:tcPr>
          <w:p w14:paraId="6D25831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5323551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w:t>
            </w:r>
          </w:p>
        </w:tc>
        <w:tc>
          <w:tcPr>
            <w:tcW w:w="1167" w:type="dxa"/>
            <w:tcBorders>
              <w:top w:val="nil"/>
              <w:left w:val="nil"/>
              <w:bottom w:val="nil"/>
              <w:right w:val="nil"/>
            </w:tcBorders>
            <w:shd w:val="clear" w:color="000000" w:fill="FFFFFF"/>
            <w:noWrap/>
            <w:vAlign w:val="center"/>
            <w:hideMark/>
          </w:tcPr>
          <w:p w14:paraId="0D84025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99</w:t>
            </w:r>
          </w:p>
        </w:tc>
        <w:tc>
          <w:tcPr>
            <w:tcW w:w="821" w:type="dxa"/>
            <w:tcBorders>
              <w:top w:val="nil"/>
              <w:left w:val="single" w:sz="4" w:space="0" w:color="auto"/>
              <w:bottom w:val="nil"/>
              <w:right w:val="single" w:sz="4" w:space="0" w:color="auto"/>
            </w:tcBorders>
            <w:shd w:val="clear" w:color="000000" w:fill="FFFFFF"/>
            <w:noWrap/>
            <w:vAlign w:val="center"/>
            <w:hideMark/>
          </w:tcPr>
          <w:p w14:paraId="1C5A72D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54F359A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99</w:t>
            </w:r>
          </w:p>
        </w:tc>
      </w:tr>
      <w:tr w:rsidR="00117F35" w:rsidRPr="00117F35" w14:paraId="1B616D9D" w14:textId="77777777" w:rsidTr="00EC160E">
        <w:trPr>
          <w:trHeight w:val="271"/>
        </w:trPr>
        <w:tc>
          <w:tcPr>
            <w:tcW w:w="576" w:type="dxa"/>
            <w:vMerge/>
            <w:tcBorders>
              <w:top w:val="nil"/>
              <w:left w:val="single" w:sz="4" w:space="0" w:color="auto"/>
              <w:bottom w:val="single" w:sz="4" w:space="0" w:color="000000"/>
              <w:right w:val="single" w:sz="4" w:space="0" w:color="auto"/>
            </w:tcBorders>
            <w:vAlign w:val="center"/>
            <w:hideMark/>
          </w:tcPr>
          <w:p w14:paraId="774B1B73"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176905D0" w14:textId="72894B6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Tilbagebetaling af 10. og 11. EUF til Det Forenede Kongerige</w:t>
            </w:r>
          </w:p>
        </w:tc>
        <w:tc>
          <w:tcPr>
            <w:tcW w:w="1167" w:type="dxa"/>
            <w:tcBorders>
              <w:top w:val="nil"/>
              <w:left w:val="single" w:sz="8" w:space="0" w:color="auto"/>
              <w:bottom w:val="nil"/>
              <w:right w:val="nil"/>
            </w:tcBorders>
            <w:shd w:val="clear" w:color="000000" w:fill="FFFFFF"/>
            <w:noWrap/>
            <w:vAlign w:val="center"/>
            <w:hideMark/>
          </w:tcPr>
          <w:p w14:paraId="3310B9E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68</w:t>
            </w:r>
          </w:p>
        </w:tc>
        <w:tc>
          <w:tcPr>
            <w:tcW w:w="818" w:type="dxa"/>
            <w:tcBorders>
              <w:top w:val="nil"/>
              <w:left w:val="single" w:sz="4" w:space="0" w:color="auto"/>
              <w:bottom w:val="nil"/>
              <w:right w:val="single" w:sz="4" w:space="0" w:color="auto"/>
            </w:tcBorders>
            <w:shd w:val="clear" w:color="000000" w:fill="FFFFFF"/>
            <w:noWrap/>
            <w:vAlign w:val="center"/>
            <w:hideMark/>
          </w:tcPr>
          <w:p w14:paraId="23B9B03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25AAC04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68</w:t>
            </w:r>
          </w:p>
        </w:tc>
        <w:tc>
          <w:tcPr>
            <w:tcW w:w="1167" w:type="dxa"/>
            <w:tcBorders>
              <w:top w:val="nil"/>
              <w:left w:val="nil"/>
              <w:bottom w:val="nil"/>
              <w:right w:val="nil"/>
            </w:tcBorders>
            <w:shd w:val="clear" w:color="000000" w:fill="FFFFFF"/>
            <w:noWrap/>
            <w:vAlign w:val="center"/>
            <w:hideMark/>
          </w:tcPr>
          <w:p w14:paraId="229FD69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49</w:t>
            </w:r>
          </w:p>
        </w:tc>
        <w:tc>
          <w:tcPr>
            <w:tcW w:w="821" w:type="dxa"/>
            <w:tcBorders>
              <w:top w:val="nil"/>
              <w:left w:val="single" w:sz="4" w:space="0" w:color="auto"/>
              <w:bottom w:val="nil"/>
              <w:right w:val="single" w:sz="4" w:space="0" w:color="auto"/>
            </w:tcBorders>
            <w:shd w:val="clear" w:color="000000" w:fill="FFFFFF"/>
            <w:noWrap/>
            <w:vAlign w:val="center"/>
            <w:hideMark/>
          </w:tcPr>
          <w:p w14:paraId="68F7199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6A9CC5E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49</w:t>
            </w:r>
          </w:p>
        </w:tc>
      </w:tr>
      <w:tr w:rsidR="00117F35" w:rsidRPr="00117F35" w14:paraId="5737A30C"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03B6DE14"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19726808"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Tilbagebetaling af 9. EUF til medlemsstaterne og Det Forenede Kongerige</w:t>
            </w:r>
          </w:p>
        </w:tc>
        <w:tc>
          <w:tcPr>
            <w:tcW w:w="1167" w:type="dxa"/>
            <w:tcBorders>
              <w:top w:val="nil"/>
              <w:left w:val="single" w:sz="8" w:space="0" w:color="auto"/>
              <w:bottom w:val="nil"/>
              <w:right w:val="nil"/>
            </w:tcBorders>
            <w:shd w:val="clear" w:color="000000" w:fill="FFFFFF"/>
            <w:noWrap/>
            <w:vAlign w:val="center"/>
            <w:hideMark/>
          </w:tcPr>
          <w:p w14:paraId="550DA85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w:t>
            </w:r>
          </w:p>
        </w:tc>
        <w:tc>
          <w:tcPr>
            <w:tcW w:w="818" w:type="dxa"/>
            <w:tcBorders>
              <w:top w:val="nil"/>
              <w:left w:val="single" w:sz="4" w:space="0" w:color="auto"/>
              <w:bottom w:val="nil"/>
              <w:right w:val="single" w:sz="4" w:space="0" w:color="auto"/>
            </w:tcBorders>
            <w:shd w:val="clear" w:color="000000" w:fill="FFFFFF"/>
            <w:noWrap/>
            <w:vAlign w:val="center"/>
            <w:hideMark/>
          </w:tcPr>
          <w:p w14:paraId="07FEE1C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582750A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w:t>
            </w:r>
          </w:p>
        </w:tc>
        <w:tc>
          <w:tcPr>
            <w:tcW w:w="1167" w:type="dxa"/>
            <w:tcBorders>
              <w:top w:val="nil"/>
              <w:left w:val="nil"/>
              <w:bottom w:val="nil"/>
              <w:right w:val="nil"/>
            </w:tcBorders>
            <w:shd w:val="clear" w:color="000000" w:fill="FFFFFF"/>
            <w:noWrap/>
            <w:vAlign w:val="center"/>
            <w:hideMark/>
          </w:tcPr>
          <w:p w14:paraId="774ED31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w:t>
            </w:r>
          </w:p>
        </w:tc>
        <w:tc>
          <w:tcPr>
            <w:tcW w:w="821" w:type="dxa"/>
            <w:tcBorders>
              <w:top w:val="nil"/>
              <w:left w:val="single" w:sz="4" w:space="0" w:color="auto"/>
              <w:bottom w:val="nil"/>
              <w:right w:val="single" w:sz="4" w:space="0" w:color="auto"/>
            </w:tcBorders>
            <w:shd w:val="clear" w:color="000000" w:fill="FFFFFF"/>
            <w:noWrap/>
            <w:vAlign w:val="center"/>
            <w:hideMark/>
          </w:tcPr>
          <w:p w14:paraId="2604F5D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2757327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w:t>
            </w:r>
          </w:p>
        </w:tc>
      </w:tr>
      <w:tr w:rsidR="00117F35" w:rsidRPr="00117F35" w14:paraId="15CD6FE6"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0C76D675"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460E0AD7"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Betalinger i alt</w:t>
            </w:r>
            <w:r>
              <w:rPr>
                <w:rFonts w:ascii="Times New Roman" w:hAnsi="Times New Roman"/>
                <w:noProof/>
                <w:sz w:val="18"/>
                <w:vertAlign w:val="superscript"/>
              </w:rPr>
              <w:t>3</w:t>
            </w:r>
          </w:p>
        </w:tc>
        <w:tc>
          <w:tcPr>
            <w:tcW w:w="1167" w:type="dxa"/>
            <w:tcBorders>
              <w:top w:val="nil"/>
              <w:left w:val="single" w:sz="8" w:space="0" w:color="auto"/>
              <w:bottom w:val="nil"/>
              <w:right w:val="nil"/>
            </w:tcBorders>
            <w:shd w:val="clear" w:color="000000" w:fill="FFFFFF"/>
            <w:noWrap/>
            <w:vAlign w:val="center"/>
            <w:hideMark/>
          </w:tcPr>
          <w:p w14:paraId="23C2A6C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1 410</w:t>
            </w: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D84335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780</w:t>
            </w:r>
          </w:p>
        </w:tc>
        <w:tc>
          <w:tcPr>
            <w:tcW w:w="847" w:type="dxa"/>
            <w:tcBorders>
              <w:top w:val="nil"/>
              <w:left w:val="nil"/>
              <w:bottom w:val="nil"/>
              <w:right w:val="single" w:sz="8" w:space="0" w:color="auto"/>
            </w:tcBorders>
            <w:shd w:val="clear" w:color="auto" w:fill="auto"/>
            <w:noWrap/>
            <w:vAlign w:val="center"/>
            <w:hideMark/>
          </w:tcPr>
          <w:p w14:paraId="53B2B32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2 190</w:t>
            </w:r>
          </w:p>
        </w:tc>
        <w:tc>
          <w:tcPr>
            <w:tcW w:w="1167" w:type="dxa"/>
            <w:tcBorders>
              <w:top w:val="nil"/>
              <w:left w:val="nil"/>
              <w:bottom w:val="nil"/>
              <w:right w:val="nil"/>
            </w:tcBorders>
            <w:shd w:val="clear" w:color="auto" w:fill="auto"/>
            <w:noWrap/>
            <w:vAlign w:val="center"/>
            <w:hideMark/>
          </w:tcPr>
          <w:p w14:paraId="098EABB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1 405</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415E643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780</w:t>
            </w:r>
          </w:p>
        </w:tc>
        <w:tc>
          <w:tcPr>
            <w:tcW w:w="850" w:type="dxa"/>
            <w:tcBorders>
              <w:top w:val="nil"/>
              <w:left w:val="nil"/>
              <w:bottom w:val="nil"/>
              <w:right w:val="single" w:sz="8" w:space="0" w:color="auto"/>
            </w:tcBorders>
            <w:shd w:val="clear" w:color="auto" w:fill="auto"/>
            <w:noWrap/>
            <w:vAlign w:val="center"/>
            <w:hideMark/>
          </w:tcPr>
          <w:p w14:paraId="5D36AE6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2 185</w:t>
            </w:r>
          </w:p>
        </w:tc>
      </w:tr>
      <w:tr w:rsidR="00117F35" w:rsidRPr="00117F35" w14:paraId="3B57EA72" w14:textId="77777777" w:rsidTr="00EC160E">
        <w:trPr>
          <w:trHeight w:val="286"/>
        </w:trPr>
        <w:tc>
          <w:tcPr>
            <w:tcW w:w="576" w:type="dxa"/>
            <w:vMerge/>
            <w:tcBorders>
              <w:top w:val="nil"/>
              <w:left w:val="single" w:sz="4" w:space="0" w:color="auto"/>
              <w:bottom w:val="single" w:sz="4" w:space="0" w:color="000000"/>
              <w:right w:val="single" w:sz="4" w:space="0" w:color="auto"/>
            </w:tcBorders>
            <w:vAlign w:val="center"/>
            <w:hideMark/>
          </w:tcPr>
          <w:p w14:paraId="054A932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single" w:sz="4" w:space="0" w:color="auto"/>
              <w:left w:val="nil"/>
              <w:bottom w:val="single" w:sz="4" w:space="0" w:color="auto"/>
              <w:right w:val="nil"/>
            </w:tcBorders>
            <w:shd w:val="clear" w:color="auto" w:fill="auto"/>
            <w:noWrap/>
            <w:vAlign w:val="center"/>
            <w:hideMark/>
          </w:tcPr>
          <w:p w14:paraId="18FC661C"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Saldo pr. 31.12.2024</w:t>
            </w:r>
            <w:r>
              <w:rPr>
                <w:rFonts w:ascii="Times New Roman" w:hAnsi="Times New Roman"/>
                <w:b/>
                <w:noProof/>
                <w:color w:val="000000"/>
                <w:sz w:val="18"/>
                <w:vertAlign w:val="superscript"/>
              </w:rPr>
              <w:t xml:space="preserve"> 4,6</w:t>
            </w:r>
          </w:p>
        </w:tc>
        <w:tc>
          <w:tcPr>
            <w:tcW w:w="1167" w:type="dxa"/>
            <w:tcBorders>
              <w:top w:val="single" w:sz="4" w:space="0" w:color="auto"/>
              <w:left w:val="single" w:sz="8" w:space="0" w:color="auto"/>
              <w:bottom w:val="single" w:sz="4" w:space="0" w:color="auto"/>
              <w:right w:val="nil"/>
            </w:tcBorders>
            <w:shd w:val="clear" w:color="000000" w:fill="FFFFFF"/>
            <w:noWrap/>
            <w:vAlign w:val="center"/>
            <w:hideMark/>
          </w:tcPr>
          <w:p w14:paraId="25E60E5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305</w:t>
            </w:r>
          </w:p>
        </w:tc>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05C04AF1"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568</w:t>
            </w:r>
          </w:p>
        </w:tc>
        <w:tc>
          <w:tcPr>
            <w:tcW w:w="847" w:type="dxa"/>
            <w:tcBorders>
              <w:top w:val="single" w:sz="4" w:space="0" w:color="auto"/>
              <w:left w:val="nil"/>
              <w:bottom w:val="single" w:sz="4" w:space="0" w:color="auto"/>
              <w:right w:val="single" w:sz="8" w:space="0" w:color="auto"/>
            </w:tcBorders>
            <w:shd w:val="clear" w:color="000000" w:fill="FFFFFF"/>
            <w:noWrap/>
            <w:vAlign w:val="center"/>
            <w:hideMark/>
          </w:tcPr>
          <w:p w14:paraId="3D07A949"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873</w:t>
            </w:r>
          </w:p>
        </w:tc>
        <w:tc>
          <w:tcPr>
            <w:tcW w:w="1167" w:type="dxa"/>
            <w:tcBorders>
              <w:top w:val="single" w:sz="4" w:space="0" w:color="auto"/>
              <w:left w:val="nil"/>
              <w:bottom w:val="single" w:sz="4" w:space="0" w:color="auto"/>
              <w:right w:val="nil"/>
            </w:tcBorders>
            <w:shd w:val="clear" w:color="000000" w:fill="FFFFFF"/>
            <w:noWrap/>
            <w:vAlign w:val="center"/>
            <w:hideMark/>
          </w:tcPr>
          <w:p w14:paraId="69F6360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411</w:t>
            </w:r>
          </w:p>
        </w:tc>
        <w:tc>
          <w:tcPr>
            <w:tcW w:w="821" w:type="dxa"/>
            <w:tcBorders>
              <w:top w:val="nil"/>
              <w:left w:val="single" w:sz="4" w:space="0" w:color="auto"/>
              <w:bottom w:val="single" w:sz="4" w:space="0" w:color="auto"/>
              <w:right w:val="single" w:sz="4" w:space="0" w:color="auto"/>
            </w:tcBorders>
            <w:shd w:val="clear" w:color="000000" w:fill="FFFFFF"/>
            <w:noWrap/>
            <w:vAlign w:val="center"/>
            <w:hideMark/>
          </w:tcPr>
          <w:p w14:paraId="25838296" w14:textId="1B3CBF63"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675</w:t>
            </w:r>
          </w:p>
        </w:tc>
        <w:tc>
          <w:tcPr>
            <w:tcW w:w="850" w:type="dxa"/>
            <w:tcBorders>
              <w:top w:val="single" w:sz="4" w:space="0" w:color="auto"/>
              <w:left w:val="nil"/>
              <w:bottom w:val="single" w:sz="4" w:space="0" w:color="auto"/>
              <w:right w:val="single" w:sz="8" w:space="0" w:color="auto"/>
            </w:tcBorders>
            <w:shd w:val="clear" w:color="000000" w:fill="FFFFFF"/>
            <w:noWrap/>
            <w:vAlign w:val="center"/>
            <w:hideMark/>
          </w:tcPr>
          <w:p w14:paraId="41357861" w14:textId="31C4584C"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1086</w:t>
            </w:r>
          </w:p>
        </w:tc>
      </w:tr>
      <w:tr w:rsidR="00117F35" w:rsidRPr="00117F35" w14:paraId="6A3501B6" w14:textId="77777777" w:rsidTr="00EC160E">
        <w:trPr>
          <w:trHeight w:val="283"/>
        </w:trPr>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6C9DCA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2025</w:t>
            </w:r>
          </w:p>
        </w:tc>
        <w:tc>
          <w:tcPr>
            <w:tcW w:w="3960" w:type="dxa"/>
            <w:tcBorders>
              <w:top w:val="nil"/>
              <w:left w:val="nil"/>
              <w:bottom w:val="nil"/>
              <w:right w:val="nil"/>
            </w:tcBorders>
            <w:shd w:val="clear" w:color="auto" w:fill="auto"/>
            <w:noWrap/>
            <w:vAlign w:val="bottom"/>
            <w:hideMark/>
          </w:tcPr>
          <w:p w14:paraId="79229FD9"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Det Forenede Kongeriges bidrag for 2025</w:t>
            </w:r>
            <w:r>
              <w:rPr>
                <w:rFonts w:ascii="Times New Roman" w:hAnsi="Times New Roman"/>
                <w:b/>
                <w:noProof/>
                <w:color w:val="000000"/>
                <w:sz w:val="18"/>
                <w:vertAlign w:val="superscript"/>
              </w:rPr>
              <w:t>5</w:t>
            </w:r>
          </w:p>
        </w:tc>
        <w:tc>
          <w:tcPr>
            <w:tcW w:w="1167" w:type="dxa"/>
            <w:tcBorders>
              <w:top w:val="nil"/>
              <w:left w:val="single" w:sz="8" w:space="0" w:color="auto"/>
              <w:bottom w:val="nil"/>
              <w:right w:val="single" w:sz="4" w:space="0" w:color="auto"/>
            </w:tcBorders>
            <w:shd w:val="clear" w:color="000000" w:fill="FFFFFF"/>
            <w:noWrap/>
            <w:vAlign w:val="center"/>
            <w:hideMark/>
          </w:tcPr>
          <w:p w14:paraId="405B35F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800</w:t>
            </w:r>
          </w:p>
        </w:tc>
        <w:tc>
          <w:tcPr>
            <w:tcW w:w="818" w:type="dxa"/>
            <w:tcBorders>
              <w:top w:val="nil"/>
              <w:left w:val="nil"/>
              <w:bottom w:val="nil"/>
              <w:right w:val="single" w:sz="4" w:space="0" w:color="auto"/>
            </w:tcBorders>
            <w:shd w:val="clear" w:color="000000" w:fill="FFFFFF"/>
            <w:noWrap/>
            <w:vAlign w:val="center"/>
            <w:hideMark/>
          </w:tcPr>
          <w:p w14:paraId="0632924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w:t>
            </w:r>
          </w:p>
        </w:tc>
        <w:tc>
          <w:tcPr>
            <w:tcW w:w="847" w:type="dxa"/>
            <w:tcBorders>
              <w:top w:val="nil"/>
              <w:left w:val="nil"/>
              <w:bottom w:val="nil"/>
              <w:right w:val="single" w:sz="8" w:space="0" w:color="auto"/>
            </w:tcBorders>
            <w:shd w:val="clear" w:color="000000" w:fill="FFFFFF"/>
            <w:noWrap/>
            <w:vAlign w:val="center"/>
            <w:hideMark/>
          </w:tcPr>
          <w:p w14:paraId="5D21D10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809</w:t>
            </w:r>
          </w:p>
        </w:tc>
        <w:tc>
          <w:tcPr>
            <w:tcW w:w="1167" w:type="dxa"/>
            <w:tcBorders>
              <w:top w:val="nil"/>
              <w:left w:val="nil"/>
              <w:bottom w:val="nil"/>
              <w:right w:val="single" w:sz="4" w:space="0" w:color="auto"/>
            </w:tcBorders>
            <w:shd w:val="clear" w:color="000000" w:fill="FFFFFF"/>
            <w:noWrap/>
            <w:vAlign w:val="center"/>
            <w:hideMark/>
          </w:tcPr>
          <w:p w14:paraId="755CFEB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800</w:t>
            </w:r>
          </w:p>
        </w:tc>
        <w:tc>
          <w:tcPr>
            <w:tcW w:w="821" w:type="dxa"/>
            <w:tcBorders>
              <w:top w:val="nil"/>
              <w:left w:val="nil"/>
              <w:bottom w:val="nil"/>
              <w:right w:val="single" w:sz="4" w:space="0" w:color="auto"/>
            </w:tcBorders>
            <w:shd w:val="clear" w:color="000000" w:fill="FFFFFF"/>
            <w:noWrap/>
            <w:vAlign w:val="center"/>
            <w:hideMark/>
          </w:tcPr>
          <w:p w14:paraId="0BA39D8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w:t>
            </w:r>
          </w:p>
        </w:tc>
        <w:tc>
          <w:tcPr>
            <w:tcW w:w="850" w:type="dxa"/>
            <w:tcBorders>
              <w:top w:val="nil"/>
              <w:left w:val="nil"/>
              <w:bottom w:val="nil"/>
              <w:right w:val="single" w:sz="8" w:space="0" w:color="auto"/>
            </w:tcBorders>
            <w:shd w:val="clear" w:color="000000" w:fill="FFFFFF"/>
            <w:noWrap/>
            <w:vAlign w:val="center"/>
            <w:hideMark/>
          </w:tcPr>
          <w:p w14:paraId="1EDEF3A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809</w:t>
            </w:r>
          </w:p>
        </w:tc>
      </w:tr>
      <w:tr w:rsidR="00117F35" w:rsidRPr="00117F35" w14:paraId="3026C0AA" w14:textId="77777777" w:rsidTr="00EC160E">
        <w:trPr>
          <w:trHeight w:val="283"/>
        </w:trPr>
        <w:tc>
          <w:tcPr>
            <w:tcW w:w="576" w:type="dxa"/>
            <w:vMerge/>
            <w:tcBorders>
              <w:top w:val="nil"/>
              <w:left w:val="single" w:sz="4" w:space="0" w:color="auto"/>
              <w:bottom w:val="single" w:sz="4" w:space="0" w:color="000000"/>
              <w:right w:val="single" w:sz="4" w:space="0" w:color="auto"/>
            </w:tcBorders>
            <w:vAlign w:val="center"/>
            <w:hideMark/>
          </w:tcPr>
          <w:p w14:paraId="0E8F92FD"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3506AEA8"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 tranche</w:t>
            </w:r>
          </w:p>
        </w:tc>
        <w:tc>
          <w:tcPr>
            <w:tcW w:w="1167" w:type="dxa"/>
            <w:tcBorders>
              <w:top w:val="nil"/>
              <w:left w:val="single" w:sz="8" w:space="0" w:color="auto"/>
              <w:bottom w:val="nil"/>
              <w:right w:val="single" w:sz="4" w:space="0" w:color="auto"/>
            </w:tcBorders>
            <w:shd w:val="clear" w:color="000000" w:fill="FFFFFF"/>
            <w:noWrap/>
            <w:vAlign w:val="center"/>
            <w:hideMark/>
          </w:tcPr>
          <w:p w14:paraId="5C67261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350</w:t>
            </w:r>
          </w:p>
        </w:tc>
        <w:tc>
          <w:tcPr>
            <w:tcW w:w="818" w:type="dxa"/>
            <w:tcBorders>
              <w:top w:val="nil"/>
              <w:left w:val="nil"/>
              <w:bottom w:val="nil"/>
              <w:right w:val="single" w:sz="4" w:space="0" w:color="auto"/>
            </w:tcBorders>
            <w:shd w:val="clear" w:color="000000" w:fill="FFFFFF"/>
            <w:noWrap/>
            <w:vAlign w:val="center"/>
            <w:hideMark/>
          </w:tcPr>
          <w:p w14:paraId="7C2D2FF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w:t>
            </w:r>
          </w:p>
        </w:tc>
        <w:tc>
          <w:tcPr>
            <w:tcW w:w="847" w:type="dxa"/>
            <w:tcBorders>
              <w:top w:val="nil"/>
              <w:left w:val="nil"/>
              <w:bottom w:val="nil"/>
              <w:right w:val="single" w:sz="8" w:space="0" w:color="auto"/>
            </w:tcBorders>
            <w:shd w:val="clear" w:color="000000" w:fill="FFFFFF"/>
            <w:noWrap/>
            <w:vAlign w:val="center"/>
            <w:hideMark/>
          </w:tcPr>
          <w:p w14:paraId="6C973C3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359</w:t>
            </w:r>
          </w:p>
        </w:tc>
        <w:tc>
          <w:tcPr>
            <w:tcW w:w="1167" w:type="dxa"/>
            <w:tcBorders>
              <w:top w:val="nil"/>
              <w:left w:val="nil"/>
              <w:bottom w:val="nil"/>
              <w:right w:val="single" w:sz="4" w:space="0" w:color="auto"/>
            </w:tcBorders>
            <w:shd w:val="clear" w:color="000000" w:fill="FFFFFF"/>
            <w:noWrap/>
            <w:vAlign w:val="center"/>
            <w:hideMark/>
          </w:tcPr>
          <w:p w14:paraId="00ED666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350</w:t>
            </w:r>
          </w:p>
        </w:tc>
        <w:tc>
          <w:tcPr>
            <w:tcW w:w="821" w:type="dxa"/>
            <w:tcBorders>
              <w:top w:val="nil"/>
              <w:left w:val="nil"/>
              <w:bottom w:val="nil"/>
              <w:right w:val="single" w:sz="4" w:space="0" w:color="auto"/>
            </w:tcBorders>
            <w:shd w:val="clear" w:color="000000" w:fill="FFFFFF"/>
            <w:noWrap/>
            <w:vAlign w:val="center"/>
            <w:hideMark/>
          </w:tcPr>
          <w:p w14:paraId="2E7DD98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w:t>
            </w:r>
          </w:p>
        </w:tc>
        <w:tc>
          <w:tcPr>
            <w:tcW w:w="850" w:type="dxa"/>
            <w:tcBorders>
              <w:top w:val="nil"/>
              <w:left w:val="nil"/>
              <w:bottom w:val="nil"/>
              <w:right w:val="single" w:sz="8" w:space="0" w:color="auto"/>
            </w:tcBorders>
            <w:shd w:val="clear" w:color="000000" w:fill="FFFFFF"/>
            <w:noWrap/>
            <w:vAlign w:val="center"/>
            <w:hideMark/>
          </w:tcPr>
          <w:p w14:paraId="2D0EE9A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359</w:t>
            </w:r>
          </w:p>
        </w:tc>
      </w:tr>
      <w:tr w:rsidR="00117F35" w:rsidRPr="00117F35" w14:paraId="27894C35" w14:textId="77777777" w:rsidTr="00EC160E">
        <w:trPr>
          <w:trHeight w:val="283"/>
        </w:trPr>
        <w:tc>
          <w:tcPr>
            <w:tcW w:w="576" w:type="dxa"/>
            <w:vMerge/>
            <w:tcBorders>
              <w:top w:val="nil"/>
              <w:left w:val="single" w:sz="4" w:space="0" w:color="auto"/>
              <w:bottom w:val="single" w:sz="4" w:space="0" w:color="000000"/>
              <w:right w:val="single" w:sz="4" w:space="0" w:color="auto"/>
            </w:tcBorders>
            <w:vAlign w:val="center"/>
            <w:hideMark/>
          </w:tcPr>
          <w:p w14:paraId="59BA07CB"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50C9EA9F"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 tranche</w:t>
            </w:r>
          </w:p>
        </w:tc>
        <w:tc>
          <w:tcPr>
            <w:tcW w:w="1167" w:type="dxa"/>
            <w:tcBorders>
              <w:top w:val="nil"/>
              <w:left w:val="single" w:sz="8" w:space="0" w:color="auto"/>
              <w:bottom w:val="nil"/>
              <w:right w:val="single" w:sz="4" w:space="0" w:color="auto"/>
            </w:tcBorders>
            <w:shd w:val="clear" w:color="000000" w:fill="FFFFFF"/>
            <w:noWrap/>
            <w:vAlign w:val="center"/>
            <w:hideMark/>
          </w:tcPr>
          <w:p w14:paraId="6D3ABF4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18" w:type="dxa"/>
            <w:tcBorders>
              <w:top w:val="nil"/>
              <w:left w:val="nil"/>
              <w:bottom w:val="nil"/>
              <w:right w:val="single" w:sz="4" w:space="0" w:color="auto"/>
            </w:tcBorders>
            <w:shd w:val="clear" w:color="000000" w:fill="FFFFFF"/>
            <w:noWrap/>
            <w:vAlign w:val="center"/>
            <w:hideMark/>
          </w:tcPr>
          <w:p w14:paraId="01C83D9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47" w:type="dxa"/>
            <w:tcBorders>
              <w:top w:val="nil"/>
              <w:left w:val="nil"/>
              <w:bottom w:val="nil"/>
              <w:right w:val="single" w:sz="8" w:space="0" w:color="auto"/>
            </w:tcBorders>
            <w:shd w:val="clear" w:color="000000" w:fill="FFFFFF"/>
            <w:noWrap/>
            <w:vAlign w:val="center"/>
            <w:hideMark/>
          </w:tcPr>
          <w:p w14:paraId="79EF920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1167" w:type="dxa"/>
            <w:tcBorders>
              <w:top w:val="nil"/>
              <w:left w:val="nil"/>
              <w:bottom w:val="nil"/>
              <w:right w:val="single" w:sz="4" w:space="0" w:color="auto"/>
            </w:tcBorders>
            <w:shd w:val="clear" w:color="000000" w:fill="FFFFFF"/>
            <w:noWrap/>
            <w:vAlign w:val="center"/>
            <w:hideMark/>
          </w:tcPr>
          <w:p w14:paraId="76C153D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21" w:type="dxa"/>
            <w:tcBorders>
              <w:top w:val="nil"/>
              <w:left w:val="nil"/>
              <w:bottom w:val="nil"/>
              <w:right w:val="single" w:sz="4" w:space="0" w:color="auto"/>
            </w:tcBorders>
            <w:shd w:val="clear" w:color="000000" w:fill="FFFFFF"/>
            <w:noWrap/>
            <w:vAlign w:val="center"/>
            <w:hideMark/>
          </w:tcPr>
          <w:p w14:paraId="71BAF68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50" w:type="dxa"/>
            <w:tcBorders>
              <w:top w:val="nil"/>
              <w:left w:val="nil"/>
              <w:bottom w:val="nil"/>
              <w:right w:val="single" w:sz="8" w:space="0" w:color="auto"/>
            </w:tcBorders>
            <w:shd w:val="clear" w:color="000000" w:fill="FFFFFF"/>
            <w:noWrap/>
            <w:vAlign w:val="center"/>
            <w:hideMark/>
          </w:tcPr>
          <w:p w14:paraId="2C8FE67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r>
      <w:tr w:rsidR="00117F35" w:rsidRPr="00117F35" w14:paraId="215F9864" w14:textId="77777777" w:rsidTr="00EC160E">
        <w:trPr>
          <w:trHeight w:val="283"/>
        </w:trPr>
        <w:tc>
          <w:tcPr>
            <w:tcW w:w="576" w:type="dxa"/>
            <w:vMerge/>
            <w:tcBorders>
              <w:top w:val="nil"/>
              <w:left w:val="single" w:sz="4" w:space="0" w:color="auto"/>
              <w:bottom w:val="single" w:sz="4" w:space="0" w:color="000000"/>
              <w:right w:val="single" w:sz="4" w:space="0" w:color="auto"/>
            </w:tcBorders>
            <w:vAlign w:val="center"/>
            <w:hideMark/>
          </w:tcPr>
          <w:p w14:paraId="593D5316"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20A957EC"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 tranche</w:t>
            </w:r>
          </w:p>
        </w:tc>
        <w:tc>
          <w:tcPr>
            <w:tcW w:w="1167" w:type="dxa"/>
            <w:tcBorders>
              <w:top w:val="nil"/>
              <w:left w:val="single" w:sz="8" w:space="0" w:color="auto"/>
              <w:bottom w:val="nil"/>
              <w:right w:val="single" w:sz="4" w:space="0" w:color="auto"/>
            </w:tcBorders>
            <w:shd w:val="clear" w:color="000000" w:fill="FFFFFF"/>
            <w:noWrap/>
            <w:vAlign w:val="center"/>
            <w:hideMark/>
          </w:tcPr>
          <w:p w14:paraId="1B9EC5E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200</w:t>
            </w:r>
          </w:p>
        </w:tc>
        <w:tc>
          <w:tcPr>
            <w:tcW w:w="818" w:type="dxa"/>
            <w:tcBorders>
              <w:top w:val="nil"/>
              <w:left w:val="nil"/>
              <w:bottom w:val="nil"/>
              <w:right w:val="single" w:sz="4" w:space="0" w:color="auto"/>
            </w:tcBorders>
            <w:shd w:val="clear" w:color="000000" w:fill="FFFFFF"/>
            <w:noWrap/>
            <w:vAlign w:val="center"/>
            <w:hideMark/>
          </w:tcPr>
          <w:p w14:paraId="351B58E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47" w:type="dxa"/>
            <w:tcBorders>
              <w:top w:val="nil"/>
              <w:left w:val="nil"/>
              <w:bottom w:val="nil"/>
              <w:right w:val="single" w:sz="8" w:space="0" w:color="auto"/>
            </w:tcBorders>
            <w:shd w:val="clear" w:color="000000" w:fill="FFFFFF"/>
            <w:noWrap/>
            <w:vAlign w:val="center"/>
            <w:hideMark/>
          </w:tcPr>
          <w:p w14:paraId="752F81C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200</w:t>
            </w:r>
          </w:p>
        </w:tc>
        <w:tc>
          <w:tcPr>
            <w:tcW w:w="1167" w:type="dxa"/>
            <w:tcBorders>
              <w:top w:val="nil"/>
              <w:left w:val="nil"/>
              <w:bottom w:val="nil"/>
              <w:right w:val="single" w:sz="4" w:space="0" w:color="auto"/>
            </w:tcBorders>
            <w:shd w:val="clear" w:color="000000" w:fill="FFFFFF"/>
            <w:noWrap/>
            <w:vAlign w:val="center"/>
            <w:hideMark/>
          </w:tcPr>
          <w:p w14:paraId="3A923E3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200</w:t>
            </w:r>
          </w:p>
        </w:tc>
        <w:tc>
          <w:tcPr>
            <w:tcW w:w="821" w:type="dxa"/>
            <w:tcBorders>
              <w:top w:val="nil"/>
              <w:left w:val="nil"/>
              <w:bottom w:val="nil"/>
              <w:right w:val="single" w:sz="4" w:space="0" w:color="auto"/>
            </w:tcBorders>
            <w:shd w:val="clear" w:color="000000" w:fill="FFFFFF"/>
            <w:noWrap/>
            <w:vAlign w:val="center"/>
            <w:hideMark/>
          </w:tcPr>
          <w:p w14:paraId="1769306D"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50" w:type="dxa"/>
            <w:tcBorders>
              <w:top w:val="nil"/>
              <w:left w:val="nil"/>
              <w:bottom w:val="nil"/>
              <w:right w:val="single" w:sz="8" w:space="0" w:color="auto"/>
            </w:tcBorders>
            <w:shd w:val="clear" w:color="000000" w:fill="FFFFFF"/>
            <w:noWrap/>
            <w:vAlign w:val="center"/>
            <w:hideMark/>
          </w:tcPr>
          <w:p w14:paraId="39738FC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200</w:t>
            </w:r>
          </w:p>
        </w:tc>
      </w:tr>
      <w:tr w:rsidR="00117F35" w:rsidRPr="00117F35" w14:paraId="621015A5" w14:textId="77777777" w:rsidTr="00047221">
        <w:trPr>
          <w:trHeight w:val="283"/>
        </w:trPr>
        <w:tc>
          <w:tcPr>
            <w:tcW w:w="576" w:type="dxa"/>
            <w:vMerge/>
            <w:tcBorders>
              <w:top w:val="nil"/>
              <w:left w:val="single" w:sz="4" w:space="0" w:color="auto"/>
              <w:bottom w:val="single" w:sz="4" w:space="0" w:color="000000"/>
              <w:right w:val="single" w:sz="4" w:space="0" w:color="auto"/>
            </w:tcBorders>
            <w:vAlign w:val="center"/>
            <w:hideMark/>
          </w:tcPr>
          <w:p w14:paraId="6B65F8A9"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42015E69"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Bidrag og tilpasninger i 2025, modtaget i 2024</w:t>
            </w:r>
          </w:p>
        </w:tc>
        <w:tc>
          <w:tcPr>
            <w:tcW w:w="1167" w:type="dxa"/>
            <w:tcBorders>
              <w:top w:val="nil"/>
              <w:left w:val="single" w:sz="8" w:space="0" w:color="auto"/>
              <w:bottom w:val="nil"/>
              <w:right w:val="single" w:sz="4" w:space="0" w:color="auto"/>
            </w:tcBorders>
            <w:shd w:val="clear" w:color="auto" w:fill="auto"/>
            <w:noWrap/>
            <w:vAlign w:val="center"/>
            <w:hideMark/>
          </w:tcPr>
          <w:p w14:paraId="498FB51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nil"/>
              <w:bottom w:val="nil"/>
              <w:right w:val="single" w:sz="4" w:space="0" w:color="auto"/>
            </w:tcBorders>
            <w:shd w:val="clear" w:color="auto" w:fill="auto"/>
            <w:noWrap/>
            <w:vAlign w:val="center"/>
            <w:hideMark/>
          </w:tcPr>
          <w:p w14:paraId="2923101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47" w:type="dxa"/>
            <w:tcBorders>
              <w:top w:val="nil"/>
              <w:left w:val="nil"/>
              <w:bottom w:val="nil"/>
              <w:right w:val="single" w:sz="8" w:space="0" w:color="auto"/>
            </w:tcBorders>
            <w:shd w:val="clear" w:color="auto" w:fill="auto"/>
            <w:noWrap/>
            <w:vAlign w:val="center"/>
            <w:hideMark/>
          </w:tcPr>
          <w:p w14:paraId="412E23C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1167" w:type="dxa"/>
            <w:tcBorders>
              <w:top w:val="nil"/>
              <w:left w:val="nil"/>
              <w:bottom w:val="nil"/>
              <w:right w:val="nil"/>
            </w:tcBorders>
            <w:shd w:val="clear" w:color="auto" w:fill="auto"/>
            <w:noWrap/>
            <w:vAlign w:val="center"/>
            <w:hideMark/>
          </w:tcPr>
          <w:p w14:paraId="221FF4D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c>
          <w:tcPr>
            <w:tcW w:w="821" w:type="dxa"/>
            <w:tcBorders>
              <w:top w:val="nil"/>
              <w:left w:val="single" w:sz="4" w:space="0" w:color="auto"/>
              <w:bottom w:val="nil"/>
              <w:right w:val="single" w:sz="4" w:space="0" w:color="auto"/>
            </w:tcBorders>
            <w:shd w:val="clear" w:color="auto" w:fill="auto"/>
            <w:noWrap/>
            <w:vAlign w:val="center"/>
            <w:hideMark/>
          </w:tcPr>
          <w:p w14:paraId="3F01C57C"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50" w:type="dxa"/>
            <w:tcBorders>
              <w:top w:val="nil"/>
              <w:left w:val="nil"/>
              <w:bottom w:val="nil"/>
              <w:right w:val="single" w:sz="8" w:space="0" w:color="auto"/>
            </w:tcBorders>
            <w:shd w:val="clear" w:color="auto" w:fill="auto"/>
            <w:noWrap/>
            <w:vAlign w:val="center"/>
            <w:hideMark/>
          </w:tcPr>
          <w:p w14:paraId="420201E9" w14:textId="7380F60E" w:rsidR="00117F35" w:rsidRPr="00117F35" w:rsidRDefault="008426BB"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-43 </w:t>
            </w:r>
          </w:p>
        </w:tc>
      </w:tr>
      <w:tr w:rsidR="00117F35" w:rsidRPr="00117F35" w14:paraId="2B8C1B1C"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1E1B3828"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15460883"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Tilbageførte beløb</w:t>
            </w:r>
            <w:r>
              <w:rPr>
                <w:rFonts w:ascii="Times New Roman" w:hAnsi="Times New Roman"/>
                <w:noProof/>
                <w:sz w:val="18"/>
                <w:vertAlign w:val="superscript"/>
              </w:rPr>
              <w:t xml:space="preserve"> 2</w:t>
            </w:r>
          </w:p>
        </w:tc>
        <w:tc>
          <w:tcPr>
            <w:tcW w:w="1167" w:type="dxa"/>
            <w:tcBorders>
              <w:top w:val="nil"/>
              <w:left w:val="single" w:sz="8" w:space="0" w:color="auto"/>
              <w:bottom w:val="nil"/>
              <w:right w:val="single" w:sz="4" w:space="0" w:color="auto"/>
            </w:tcBorders>
            <w:shd w:val="clear" w:color="auto" w:fill="auto"/>
            <w:noWrap/>
            <w:vAlign w:val="center"/>
            <w:hideMark/>
          </w:tcPr>
          <w:p w14:paraId="3AC142F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nil"/>
              <w:bottom w:val="nil"/>
              <w:right w:val="single" w:sz="4" w:space="0" w:color="auto"/>
            </w:tcBorders>
            <w:shd w:val="clear" w:color="auto" w:fill="auto"/>
            <w:noWrap/>
            <w:vAlign w:val="center"/>
            <w:hideMark/>
          </w:tcPr>
          <w:p w14:paraId="23339CA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47" w:type="dxa"/>
            <w:tcBorders>
              <w:top w:val="nil"/>
              <w:left w:val="nil"/>
              <w:bottom w:val="nil"/>
              <w:right w:val="single" w:sz="8" w:space="0" w:color="auto"/>
            </w:tcBorders>
            <w:shd w:val="clear" w:color="auto" w:fill="auto"/>
            <w:noWrap/>
            <w:vAlign w:val="center"/>
            <w:hideMark/>
          </w:tcPr>
          <w:p w14:paraId="0E0CB99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67" w:type="dxa"/>
            <w:tcBorders>
              <w:top w:val="nil"/>
              <w:left w:val="nil"/>
              <w:bottom w:val="nil"/>
              <w:right w:val="single" w:sz="4" w:space="0" w:color="auto"/>
            </w:tcBorders>
            <w:shd w:val="clear" w:color="auto" w:fill="auto"/>
            <w:noWrap/>
            <w:vAlign w:val="center"/>
            <w:hideMark/>
          </w:tcPr>
          <w:p w14:paraId="193874F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21" w:type="dxa"/>
            <w:tcBorders>
              <w:top w:val="nil"/>
              <w:left w:val="nil"/>
              <w:bottom w:val="nil"/>
              <w:right w:val="single" w:sz="4" w:space="0" w:color="auto"/>
            </w:tcBorders>
            <w:shd w:val="clear" w:color="auto" w:fill="auto"/>
            <w:noWrap/>
            <w:vAlign w:val="center"/>
            <w:hideMark/>
          </w:tcPr>
          <w:p w14:paraId="25EB76BB" w14:textId="79BBFFFC"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328</w:t>
            </w:r>
          </w:p>
        </w:tc>
        <w:tc>
          <w:tcPr>
            <w:tcW w:w="850" w:type="dxa"/>
            <w:tcBorders>
              <w:top w:val="nil"/>
              <w:left w:val="nil"/>
              <w:bottom w:val="nil"/>
              <w:right w:val="single" w:sz="8" w:space="0" w:color="auto"/>
            </w:tcBorders>
            <w:shd w:val="clear" w:color="auto" w:fill="auto"/>
            <w:noWrap/>
            <w:vAlign w:val="center"/>
            <w:hideMark/>
          </w:tcPr>
          <w:p w14:paraId="55369F5A" w14:textId="5102B0F9"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328</w:t>
            </w:r>
          </w:p>
        </w:tc>
      </w:tr>
      <w:tr w:rsidR="00117F35" w:rsidRPr="00117F35" w14:paraId="525AEA8E" w14:textId="77777777" w:rsidTr="00047221">
        <w:trPr>
          <w:trHeight w:val="255"/>
        </w:trPr>
        <w:tc>
          <w:tcPr>
            <w:tcW w:w="576" w:type="dxa"/>
            <w:vMerge/>
            <w:tcBorders>
              <w:top w:val="nil"/>
              <w:left w:val="single" w:sz="4" w:space="0" w:color="auto"/>
              <w:bottom w:val="single" w:sz="4" w:space="0" w:color="000000"/>
              <w:right w:val="single" w:sz="4" w:space="0" w:color="auto"/>
            </w:tcBorders>
            <w:vAlign w:val="center"/>
            <w:hideMark/>
          </w:tcPr>
          <w:p w14:paraId="38F8CBB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3BAC6E25"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Inddrevne beløb, renter og tilpasning</w:t>
            </w:r>
          </w:p>
        </w:tc>
        <w:tc>
          <w:tcPr>
            <w:tcW w:w="1167" w:type="dxa"/>
            <w:tcBorders>
              <w:top w:val="nil"/>
              <w:left w:val="single" w:sz="8" w:space="0" w:color="auto"/>
              <w:bottom w:val="nil"/>
              <w:right w:val="single" w:sz="4" w:space="0" w:color="auto"/>
            </w:tcBorders>
            <w:shd w:val="clear" w:color="auto" w:fill="auto"/>
            <w:noWrap/>
            <w:vAlign w:val="center"/>
            <w:hideMark/>
          </w:tcPr>
          <w:p w14:paraId="610A578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818" w:type="dxa"/>
            <w:tcBorders>
              <w:top w:val="nil"/>
              <w:left w:val="nil"/>
              <w:bottom w:val="nil"/>
              <w:right w:val="single" w:sz="4" w:space="0" w:color="auto"/>
            </w:tcBorders>
            <w:shd w:val="clear" w:color="auto" w:fill="auto"/>
            <w:noWrap/>
            <w:vAlign w:val="center"/>
            <w:hideMark/>
          </w:tcPr>
          <w:p w14:paraId="64CCF14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2551B1E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1167" w:type="dxa"/>
            <w:tcBorders>
              <w:top w:val="nil"/>
              <w:left w:val="nil"/>
              <w:bottom w:val="nil"/>
              <w:right w:val="single" w:sz="4" w:space="0" w:color="auto"/>
            </w:tcBorders>
            <w:shd w:val="clear" w:color="auto" w:fill="auto"/>
            <w:noWrap/>
            <w:vAlign w:val="center"/>
            <w:hideMark/>
          </w:tcPr>
          <w:p w14:paraId="4A2199D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821" w:type="dxa"/>
            <w:tcBorders>
              <w:top w:val="nil"/>
              <w:left w:val="nil"/>
              <w:bottom w:val="nil"/>
              <w:right w:val="single" w:sz="4" w:space="0" w:color="auto"/>
            </w:tcBorders>
            <w:shd w:val="clear" w:color="auto" w:fill="auto"/>
            <w:noWrap/>
            <w:vAlign w:val="center"/>
            <w:hideMark/>
          </w:tcPr>
          <w:p w14:paraId="0618BC0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7DF2455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r>
      <w:tr w:rsidR="00117F35" w:rsidRPr="00117F35" w14:paraId="3918D762"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04E51C3C"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6478EAAF" w14:textId="58AFFCFD"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Tilbagebetaling af 10. og 11. EUF til Det Forenede Kongerige</w:t>
            </w:r>
          </w:p>
        </w:tc>
        <w:tc>
          <w:tcPr>
            <w:tcW w:w="1167" w:type="dxa"/>
            <w:tcBorders>
              <w:top w:val="nil"/>
              <w:left w:val="single" w:sz="8" w:space="0" w:color="auto"/>
              <w:bottom w:val="nil"/>
              <w:right w:val="single" w:sz="4" w:space="0" w:color="auto"/>
            </w:tcBorders>
            <w:shd w:val="clear" w:color="auto" w:fill="auto"/>
            <w:noWrap/>
            <w:vAlign w:val="center"/>
            <w:hideMark/>
          </w:tcPr>
          <w:p w14:paraId="0DD020F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30</w:t>
            </w:r>
          </w:p>
        </w:tc>
        <w:tc>
          <w:tcPr>
            <w:tcW w:w="818" w:type="dxa"/>
            <w:tcBorders>
              <w:top w:val="nil"/>
              <w:left w:val="nil"/>
              <w:bottom w:val="nil"/>
              <w:right w:val="single" w:sz="4" w:space="0" w:color="auto"/>
            </w:tcBorders>
            <w:shd w:val="clear" w:color="auto" w:fill="auto"/>
            <w:noWrap/>
            <w:vAlign w:val="center"/>
            <w:hideMark/>
          </w:tcPr>
          <w:p w14:paraId="048D014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3076524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30</w:t>
            </w:r>
          </w:p>
        </w:tc>
        <w:tc>
          <w:tcPr>
            <w:tcW w:w="1167" w:type="dxa"/>
            <w:tcBorders>
              <w:top w:val="nil"/>
              <w:left w:val="nil"/>
              <w:bottom w:val="nil"/>
              <w:right w:val="single" w:sz="4" w:space="0" w:color="auto"/>
            </w:tcBorders>
            <w:shd w:val="clear" w:color="auto" w:fill="auto"/>
            <w:noWrap/>
            <w:vAlign w:val="center"/>
            <w:hideMark/>
          </w:tcPr>
          <w:p w14:paraId="463EB5E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30</w:t>
            </w:r>
          </w:p>
        </w:tc>
        <w:tc>
          <w:tcPr>
            <w:tcW w:w="821" w:type="dxa"/>
            <w:tcBorders>
              <w:top w:val="nil"/>
              <w:left w:val="nil"/>
              <w:bottom w:val="nil"/>
              <w:right w:val="single" w:sz="4" w:space="0" w:color="auto"/>
            </w:tcBorders>
            <w:shd w:val="clear" w:color="auto" w:fill="auto"/>
            <w:noWrap/>
            <w:vAlign w:val="center"/>
            <w:hideMark/>
          </w:tcPr>
          <w:p w14:paraId="6ED4FF0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7C49DFB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30</w:t>
            </w:r>
          </w:p>
        </w:tc>
      </w:tr>
      <w:tr w:rsidR="00117F35" w:rsidRPr="00117F35" w14:paraId="6954F0AC" w14:textId="77777777" w:rsidTr="00047221">
        <w:trPr>
          <w:trHeight w:val="255"/>
        </w:trPr>
        <w:tc>
          <w:tcPr>
            <w:tcW w:w="576" w:type="dxa"/>
            <w:vMerge/>
            <w:tcBorders>
              <w:top w:val="nil"/>
              <w:left w:val="single" w:sz="4" w:space="0" w:color="auto"/>
              <w:bottom w:val="single" w:sz="4" w:space="0" w:color="000000"/>
              <w:right w:val="single" w:sz="4" w:space="0" w:color="auto"/>
            </w:tcBorders>
            <w:vAlign w:val="center"/>
            <w:hideMark/>
          </w:tcPr>
          <w:p w14:paraId="090BAB56"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1FB8C8D4"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Tilbagebetaling af 9. EUF til medlemsstaterne og Det Forenede Kongerige</w:t>
            </w:r>
          </w:p>
        </w:tc>
        <w:tc>
          <w:tcPr>
            <w:tcW w:w="1167" w:type="dxa"/>
            <w:tcBorders>
              <w:top w:val="nil"/>
              <w:left w:val="single" w:sz="8" w:space="0" w:color="auto"/>
              <w:bottom w:val="nil"/>
              <w:right w:val="single" w:sz="4" w:space="0" w:color="auto"/>
            </w:tcBorders>
            <w:shd w:val="clear" w:color="auto" w:fill="auto"/>
            <w:noWrap/>
            <w:vAlign w:val="center"/>
            <w:hideMark/>
          </w:tcPr>
          <w:p w14:paraId="0EFD248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w:t>
            </w:r>
          </w:p>
        </w:tc>
        <w:tc>
          <w:tcPr>
            <w:tcW w:w="818" w:type="dxa"/>
            <w:tcBorders>
              <w:top w:val="nil"/>
              <w:left w:val="nil"/>
              <w:bottom w:val="nil"/>
              <w:right w:val="single" w:sz="4" w:space="0" w:color="auto"/>
            </w:tcBorders>
            <w:shd w:val="clear" w:color="auto" w:fill="auto"/>
            <w:noWrap/>
            <w:vAlign w:val="center"/>
            <w:hideMark/>
          </w:tcPr>
          <w:p w14:paraId="206F8C7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726C6BE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w:t>
            </w:r>
          </w:p>
        </w:tc>
        <w:tc>
          <w:tcPr>
            <w:tcW w:w="1167" w:type="dxa"/>
            <w:tcBorders>
              <w:top w:val="nil"/>
              <w:left w:val="nil"/>
              <w:bottom w:val="nil"/>
              <w:right w:val="single" w:sz="4" w:space="0" w:color="auto"/>
            </w:tcBorders>
            <w:shd w:val="clear" w:color="auto" w:fill="auto"/>
            <w:noWrap/>
            <w:vAlign w:val="center"/>
            <w:hideMark/>
          </w:tcPr>
          <w:p w14:paraId="4474390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w:t>
            </w:r>
          </w:p>
        </w:tc>
        <w:tc>
          <w:tcPr>
            <w:tcW w:w="821" w:type="dxa"/>
            <w:tcBorders>
              <w:top w:val="nil"/>
              <w:left w:val="nil"/>
              <w:bottom w:val="nil"/>
              <w:right w:val="single" w:sz="4" w:space="0" w:color="auto"/>
            </w:tcBorders>
            <w:shd w:val="clear" w:color="auto" w:fill="auto"/>
            <w:noWrap/>
            <w:vAlign w:val="center"/>
            <w:hideMark/>
          </w:tcPr>
          <w:p w14:paraId="39BBF5A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7ACB6E5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w:t>
            </w:r>
          </w:p>
        </w:tc>
      </w:tr>
      <w:tr w:rsidR="00117F35" w:rsidRPr="00117F35" w14:paraId="5194B284"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7AA1D411"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2D518B5C"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Betalinger i alt</w:t>
            </w:r>
            <w:r>
              <w:rPr>
                <w:rFonts w:ascii="Times New Roman" w:hAnsi="Times New Roman"/>
                <w:noProof/>
                <w:sz w:val="18"/>
                <w:vertAlign w:val="superscript"/>
              </w:rPr>
              <w:t>3</w:t>
            </w:r>
          </w:p>
        </w:tc>
        <w:tc>
          <w:tcPr>
            <w:tcW w:w="1167" w:type="dxa"/>
            <w:tcBorders>
              <w:top w:val="nil"/>
              <w:left w:val="single" w:sz="8" w:space="0" w:color="auto"/>
              <w:bottom w:val="nil"/>
              <w:right w:val="single" w:sz="4" w:space="0" w:color="auto"/>
            </w:tcBorders>
            <w:shd w:val="clear" w:color="auto" w:fill="auto"/>
            <w:noWrap/>
            <w:vAlign w:val="center"/>
            <w:hideMark/>
          </w:tcPr>
          <w:p w14:paraId="2C5C139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1 000</w:t>
            </w:r>
          </w:p>
        </w:tc>
        <w:tc>
          <w:tcPr>
            <w:tcW w:w="818" w:type="dxa"/>
            <w:tcBorders>
              <w:top w:val="nil"/>
              <w:left w:val="nil"/>
              <w:bottom w:val="nil"/>
              <w:right w:val="single" w:sz="4" w:space="0" w:color="auto"/>
            </w:tcBorders>
            <w:shd w:val="clear" w:color="auto" w:fill="auto"/>
            <w:noWrap/>
            <w:vAlign w:val="center"/>
            <w:hideMark/>
          </w:tcPr>
          <w:p w14:paraId="6367CF5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417</w:t>
            </w:r>
          </w:p>
        </w:tc>
        <w:tc>
          <w:tcPr>
            <w:tcW w:w="847" w:type="dxa"/>
            <w:tcBorders>
              <w:top w:val="nil"/>
              <w:left w:val="nil"/>
              <w:bottom w:val="nil"/>
              <w:right w:val="single" w:sz="8" w:space="0" w:color="auto"/>
            </w:tcBorders>
            <w:shd w:val="clear" w:color="auto" w:fill="auto"/>
            <w:noWrap/>
            <w:vAlign w:val="center"/>
            <w:hideMark/>
          </w:tcPr>
          <w:p w14:paraId="208AD7E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1 417</w:t>
            </w:r>
          </w:p>
        </w:tc>
        <w:tc>
          <w:tcPr>
            <w:tcW w:w="1167" w:type="dxa"/>
            <w:tcBorders>
              <w:top w:val="nil"/>
              <w:left w:val="nil"/>
              <w:bottom w:val="nil"/>
              <w:right w:val="single" w:sz="4" w:space="0" w:color="auto"/>
            </w:tcBorders>
            <w:shd w:val="clear" w:color="auto" w:fill="auto"/>
            <w:noWrap/>
            <w:vAlign w:val="center"/>
            <w:hideMark/>
          </w:tcPr>
          <w:p w14:paraId="0989D72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1 000</w:t>
            </w:r>
          </w:p>
        </w:tc>
        <w:tc>
          <w:tcPr>
            <w:tcW w:w="821" w:type="dxa"/>
            <w:tcBorders>
              <w:top w:val="nil"/>
              <w:left w:val="nil"/>
              <w:bottom w:val="nil"/>
              <w:right w:val="single" w:sz="4" w:space="0" w:color="auto"/>
            </w:tcBorders>
            <w:shd w:val="clear" w:color="auto" w:fill="auto"/>
            <w:noWrap/>
            <w:vAlign w:val="center"/>
            <w:hideMark/>
          </w:tcPr>
          <w:p w14:paraId="0810581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417</w:t>
            </w:r>
          </w:p>
        </w:tc>
        <w:tc>
          <w:tcPr>
            <w:tcW w:w="850" w:type="dxa"/>
            <w:tcBorders>
              <w:top w:val="nil"/>
              <w:left w:val="nil"/>
              <w:bottom w:val="nil"/>
              <w:right w:val="single" w:sz="8" w:space="0" w:color="auto"/>
            </w:tcBorders>
            <w:shd w:val="clear" w:color="auto" w:fill="auto"/>
            <w:noWrap/>
            <w:vAlign w:val="center"/>
            <w:hideMark/>
          </w:tcPr>
          <w:p w14:paraId="760FA75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1 417</w:t>
            </w:r>
          </w:p>
        </w:tc>
      </w:tr>
      <w:tr w:rsidR="00117F35" w:rsidRPr="00117F35" w14:paraId="45F59A16" w14:textId="77777777" w:rsidTr="00EC160E">
        <w:trPr>
          <w:trHeight w:val="286"/>
        </w:trPr>
        <w:tc>
          <w:tcPr>
            <w:tcW w:w="576" w:type="dxa"/>
            <w:vMerge/>
            <w:tcBorders>
              <w:top w:val="nil"/>
              <w:left w:val="single" w:sz="4" w:space="0" w:color="auto"/>
              <w:bottom w:val="single" w:sz="4" w:space="0" w:color="000000"/>
              <w:right w:val="single" w:sz="4" w:space="0" w:color="auto"/>
            </w:tcBorders>
            <w:vAlign w:val="center"/>
            <w:hideMark/>
          </w:tcPr>
          <w:p w14:paraId="5091450C"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single" w:sz="4" w:space="0" w:color="auto"/>
              <w:left w:val="nil"/>
              <w:bottom w:val="single" w:sz="4" w:space="0" w:color="auto"/>
              <w:right w:val="nil"/>
            </w:tcBorders>
            <w:shd w:val="clear" w:color="auto" w:fill="auto"/>
            <w:noWrap/>
            <w:vAlign w:val="center"/>
            <w:hideMark/>
          </w:tcPr>
          <w:p w14:paraId="7012C80E"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Saldo pr. 31.12.2025</w:t>
            </w:r>
            <w:r>
              <w:rPr>
                <w:rFonts w:ascii="Times New Roman" w:hAnsi="Times New Roman"/>
                <w:b/>
                <w:noProof/>
                <w:color w:val="000000"/>
                <w:sz w:val="18"/>
                <w:vertAlign w:val="superscript"/>
              </w:rPr>
              <w:t xml:space="preserve"> 4,6</w:t>
            </w:r>
          </w:p>
        </w:tc>
        <w:tc>
          <w:tcPr>
            <w:tcW w:w="116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B91B41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119</w:t>
            </w:r>
          </w:p>
        </w:tc>
        <w:tc>
          <w:tcPr>
            <w:tcW w:w="818" w:type="dxa"/>
            <w:tcBorders>
              <w:top w:val="single" w:sz="4" w:space="0" w:color="auto"/>
              <w:left w:val="nil"/>
              <w:bottom w:val="single" w:sz="4" w:space="0" w:color="auto"/>
              <w:right w:val="single" w:sz="4" w:space="0" w:color="auto"/>
            </w:tcBorders>
            <w:shd w:val="clear" w:color="000000" w:fill="FFFFFF"/>
            <w:noWrap/>
            <w:vAlign w:val="center"/>
            <w:hideMark/>
          </w:tcPr>
          <w:p w14:paraId="3FB71C64"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260</w:t>
            </w:r>
          </w:p>
        </w:tc>
        <w:tc>
          <w:tcPr>
            <w:tcW w:w="847" w:type="dxa"/>
            <w:tcBorders>
              <w:top w:val="single" w:sz="4" w:space="0" w:color="auto"/>
              <w:left w:val="nil"/>
              <w:bottom w:val="single" w:sz="4" w:space="0" w:color="auto"/>
              <w:right w:val="single" w:sz="8" w:space="0" w:color="auto"/>
            </w:tcBorders>
            <w:shd w:val="clear" w:color="000000" w:fill="FFFFFF"/>
            <w:noWrap/>
            <w:vAlign w:val="center"/>
            <w:hideMark/>
          </w:tcPr>
          <w:p w14:paraId="6EC9051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379</w:t>
            </w:r>
          </w:p>
        </w:tc>
        <w:tc>
          <w:tcPr>
            <w:tcW w:w="1167" w:type="dxa"/>
            <w:tcBorders>
              <w:top w:val="single" w:sz="4" w:space="0" w:color="auto"/>
              <w:left w:val="nil"/>
              <w:bottom w:val="single" w:sz="4" w:space="0" w:color="auto"/>
              <w:right w:val="single" w:sz="4" w:space="0" w:color="auto"/>
            </w:tcBorders>
            <w:shd w:val="clear" w:color="000000" w:fill="FFFFFF"/>
            <w:noWrap/>
            <w:vAlign w:val="center"/>
            <w:hideMark/>
          </w:tcPr>
          <w:p w14:paraId="30D5184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181</w:t>
            </w:r>
          </w:p>
        </w:tc>
        <w:tc>
          <w:tcPr>
            <w:tcW w:w="821" w:type="dxa"/>
            <w:tcBorders>
              <w:top w:val="single" w:sz="4" w:space="0" w:color="auto"/>
              <w:left w:val="nil"/>
              <w:bottom w:val="single" w:sz="4" w:space="0" w:color="auto"/>
              <w:right w:val="single" w:sz="4" w:space="0" w:color="auto"/>
            </w:tcBorders>
            <w:shd w:val="clear" w:color="000000" w:fill="FFFFFF"/>
            <w:noWrap/>
            <w:vAlign w:val="center"/>
            <w:hideMark/>
          </w:tcPr>
          <w:p w14:paraId="7A102171" w14:textId="13370034"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595</w:t>
            </w:r>
          </w:p>
        </w:tc>
        <w:tc>
          <w:tcPr>
            <w:tcW w:w="850" w:type="dxa"/>
            <w:tcBorders>
              <w:top w:val="single" w:sz="4" w:space="0" w:color="auto"/>
              <w:left w:val="nil"/>
              <w:bottom w:val="single" w:sz="4" w:space="0" w:color="auto"/>
              <w:right w:val="single" w:sz="8" w:space="0" w:color="auto"/>
            </w:tcBorders>
            <w:shd w:val="clear" w:color="000000" w:fill="FFFFFF"/>
            <w:noWrap/>
            <w:vAlign w:val="center"/>
            <w:hideMark/>
          </w:tcPr>
          <w:p w14:paraId="57DFF638" w14:textId="42EDE77D"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776</w:t>
            </w:r>
          </w:p>
        </w:tc>
      </w:tr>
      <w:tr w:rsidR="00117F35" w:rsidRPr="00117F35" w14:paraId="537D2560" w14:textId="77777777" w:rsidTr="00EC160E">
        <w:trPr>
          <w:trHeight w:val="286"/>
        </w:trPr>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7A250C5D" w14:textId="385B1F4B"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2026</w:t>
            </w:r>
          </w:p>
        </w:tc>
        <w:tc>
          <w:tcPr>
            <w:tcW w:w="3960" w:type="dxa"/>
            <w:tcBorders>
              <w:top w:val="nil"/>
              <w:left w:val="nil"/>
              <w:bottom w:val="nil"/>
              <w:right w:val="nil"/>
            </w:tcBorders>
            <w:shd w:val="clear" w:color="auto" w:fill="auto"/>
            <w:vAlign w:val="bottom"/>
            <w:hideMark/>
          </w:tcPr>
          <w:p w14:paraId="7A584BD6"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Det Forenede Kongeriges bidrag for 2026</w:t>
            </w:r>
            <w:r>
              <w:rPr>
                <w:rFonts w:ascii="Times New Roman" w:hAnsi="Times New Roman"/>
                <w:b/>
                <w:noProof/>
                <w:color w:val="000000"/>
                <w:sz w:val="18"/>
                <w:vertAlign w:val="superscript"/>
              </w:rPr>
              <w:t>5</w:t>
            </w:r>
          </w:p>
        </w:tc>
        <w:tc>
          <w:tcPr>
            <w:tcW w:w="1167" w:type="dxa"/>
            <w:tcBorders>
              <w:top w:val="nil"/>
              <w:left w:val="single" w:sz="8" w:space="0" w:color="auto"/>
              <w:bottom w:val="nil"/>
              <w:right w:val="nil"/>
            </w:tcBorders>
            <w:shd w:val="clear" w:color="auto" w:fill="auto"/>
            <w:noWrap/>
            <w:vAlign w:val="center"/>
            <w:hideMark/>
          </w:tcPr>
          <w:p w14:paraId="28623AE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700</w:t>
            </w:r>
          </w:p>
        </w:tc>
        <w:tc>
          <w:tcPr>
            <w:tcW w:w="818" w:type="dxa"/>
            <w:tcBorders>
              <w:top w:val="nil"/>
              <w:left w:val="single" w:sz="4" w:space="0" w:color="auto"/>
              <w:bottom w:val="nil"/>
              <w:right w:val="single" w:sz="4" w:space="0" w:color="auto"/>
            </w:tcBorders>
            <w:shd w:val="clear" w:color="auto" w:fill="auto"/>
            <w:noWrap/>
            <w:vAlign w:val="center"/>
            <w:hideMark/>
          </w:tcPr>
          <w:p w14:paraId="5B7B0BA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47" w:type="dxa"/>
            <w:tcBorders>
              <w:top w:val="nil"/>
              <w:left w:val="nil"/>
              <w:bottom w:val="nil"/>
              <w:right w:val="single" w:sz="8" w:space="0" w:color="auto"/>
            </w:tcBorders>
            <w:shd w:val="clear" w:color="auto" w:fill="auto"/>
            <w:noWrap/>
            <w:vAlign w:val="center"/>
            <w:hideMark/>
          </w:tcPr>
          <w:p w14:paraId="1A7C08E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700</w:t>
            </w:r>
          </w:p>
        </w:tc>
        <w:tc>
          <w:tcPr>
            <w:tcW w:w="1167" w:type="dxa"/>
            <w:tcBorders>
              <w:top w:val="nil"/>
              <w:left w:val="nil"/>
              <w:bottom w:val="nil"/>
              <w:right w:val="nil"/>
            </w:tcBorders>
            <w:shd w:val="clear" w:color="auto" w:fill="auto"/>
            <w:noWrap/>
            <w:vAlign w:val="center"/>
            <w:hideMark/>
          </w:tcPr>
          <w:p w14:paraId="236E2E9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700</w:t>
            </w:r>
          </w:p>
        </w:tc>
        <w:tc>
          <w:tcPr>
            <w:tcW w:w="821" w:type="dxa"/>
            <w:tcBorders>
              <w:top w:val="nil"/>
              <w:left w:val="single" w:sz="4" w:space="0" w:color="auto"/>
              <w:bottom w:val="nil"/>
              <w:right w:val="single" w:sz="4" w:space="0" w:color="auto"/>
            </w:tcBorders>
            <w:shd w:val="clear" w:color="auto" w:fill="auto"/>
            <w:noWrap/>
            <w:vAlign w:val="center"/>
            <w:hideMark/>
          </w:tcPr>
          <w:p w14:paraId="54FEBBFC"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50" w:type="dxa"/>
            <w:tcBorders>
              <w:top w:val="nil"/>
              <w:left w:val="nil"/>
              <w:bottom w:val="nil"/>
              <w:right w:val="single" w:sz="8" w:space="0" w:color="auto"/>
            </w:tcBorders>
            <w:shd w:val="clear" w:color="auto" w:fill="auto"/>
            <w:noWrap/>
            <w:vAlign w:val="center"/>
            <w:hideMark/>
          </w:tcPr>
          <w:p w14:paraId="4B7E9DE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700</w:t>
            </w:r>
          </w:p>
        </w:tc>
      </w:tr>
      <w:tr w:rsidR="00117F35" w:rsidRPr="00117F35" w14:paraId="753BB72C"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030FA806"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0AADA0FC"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 tranche</w:t>
            </w:r>
          </w:p>
        </w:tc>
        <w:tc>
          <w:tcPr>
            <w:tcW w:w="1167" w:type="dxa"/>
            <w:tcBorders>
              <w:top w:val="nil"/>
              <w:left w:val="single" w:sz="8" w:space="0" w:color="auto"/>
              <w:bottom w:val="nil"/>
              <w:right w:val="nil"/>
            </w:tcBorders>
            <w:shd w:val="clear" w:color="000000" w:fill="FFFFFF"/>
            <w:noWrap/>
            <w:vAlign w:val="center"/>
            <w:hideMark/>
          </w:tcPr>
          <w:p w14:paraId="42059CD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c>
          <w:tcPr>
            <w:tcW w:w="818" w:type="dxa"/>
            <w:tcBorders>
              <w:top w:val="nil"/>
              <w:left w:val="single" w:sz="4" w:space="0" w:color="auto"/>
              <w:bottom w:val="nil"/>
              <w:right w:val="single" w:sz="4" w:space="0" w:color="auto"/>
            </w:tcBorders>
            <w:shd w:val="clear" w:color="000000" w:fill="FFFFFF"/>
            <w:noWrap/>
            <w:vAlign w:val="center"/>
            <w:hideMark/>
          </w:tcPr>
          <w:p w14:paraId="6C5FDFC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3517EE5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c>
          <w:tcPr>
            <w:tcW w:w="1167" w:type="dxa"/>
            <w:tcBorders>
              <w:top w:val="nil"/>
              <w:left w:val="nil"/>
              <w:bottom w:val="nil"/>
              <w:right w:val="nil"/>
            </w:tcBorders>
            <w:shd w:val="clear" w:color="000000" w:fill="FFFFFF"/>
            <w:noWrap/>
            <w:vAlign w:val="center"/>
            <w:hideMark/>
          </w:tcPr>
          <w:p w14:paraId="721F69E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c>
          <w:tcPr>
            <w:tcW w:w="821" w:type="dxa"/>
            <w:tcBorders>
              <w:top w:val="nil"/>
              <w:left w:val="single" w:sz="4" w:space="0" w:color="auto"/>
              <w:bottom w:val="nil"/>
              <w:right w:val="single" w:sz="4" w:space="0" w:color="auto"/>
            </w:tcBorders>
            <w:shd w:val="clear" w:color="000000" w:fill="FFFFFF"/>
            <w:noWrap/>
            <w:vAlign w:val="center"/>
            <w:hideMark/>
          </w:tcPr>
          <w:p w14:paraId="3A2F9FA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500BF17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r>
      <w:tr w:rsidR="00117F35" w:rsidRPr="00117F35" w14:paraId="0DE202A4" w14:textId="77777777" w:rsidTr="00D928E6">
        <w:trPr>
          <w:trHeight w:val="255"/>
        </w:trPr>
        <w:tc>
          <w:tcPr>
            <w:tcW w:w="576" w:type="dxa"/>
            <w:vMerge/>
            <w:tcBorders>
              <w:top w:val="nil"/>
              <w:left w:val="single" w:sz="4" w:space="0" w:color="auto"/>
              <w:bottom w:val="single" w:sz="4" w:space="0" w:color="000000"/>
              <w:right w:val="single" w:sz="4" w:space="0" w:color="auto"/>
            </w:tcBorders>
            <w:vAlign w:val="center"/>
            <w:hideMark/>
          </w:tcPr>
          <w:p w14:paraId="0EEF1BBB"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06079B72"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 tranche</w:t>
            </w:r>
          </w:p>
        </w:tc>
        <w:tc>
          <w:tcPr>
            <w:tcW w:w="1167" w:type="dxa"/>
            <w:tcBorders>
              <w:top w:val="nil"/>
              <w:left w:val="single" w:sz="8" w:space="0" w:color="auto"/>
              <w:bottom w:val="nil"/>
              <w:right w:val="nil"/>
            </w:tcBorders>
            <w:shd w:val="clear" w:color="auto" w:fill="auto"/>
            <w:noWrap/>
            <w:vAlign w:val="center"/>
            <w:hideMark/>
          </w:tcPr>
          <w:p w14:paraId="6CE314F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18" w:type="dxa"/>
            <w:tcBorders>
              <w:top w:val="nil"/>
              <w:left w:val="single" w:sz="4" w:space="0" w:color="auto"/>
              <w:bottom w:val="nil"/>
              <w:right w:val="single" w:sz="4" w:space="0" w:color="auto"/>
            </w:tcBorders>
            <w:shd w:val="clear" w:color="auto" w:fill="auto"/>
            <w:noWrap/>
            <w:vAlign w:val="center"/>
            <w:hideMark/>
          </w:tcPr>
          <w:p w14:paraId="5EA83C8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7727813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1167" w:type="dxa"/>
            <w:tcBorders>
              <w:top w:val="nil"/>
              <w:left w:val="nil"/>
              <w:bottom w:val="nil"/>
              <w:right w:val="nil"/>
            </w:tcBorders>
            <w:shd w:val="clear" w:color="auto" w:fill="auto"/>
            <w:noWrap/>
            <w:vAlign w:val="center"/>
            <w:hideMark/>
          </w:tcPr>
          <w:p w14:paraId="41957B0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21" w:type="dxa"/>
            <w:tcBorders>
              <w:top w:val="nil"/>
              <w:left w:val="single" w:sz="4" w:space="0" w:color="auto"/>
              <w:bottom w:val="nil"/>
              <w:right w:val="single" w:sz="4" w:space="0" w:color="auto"/>
            </w:tcBorders>
            <w:shd w:val="clear" w:color="auto" w:fill="auto"/>
            <w:noWrap/>
            <w:vAlign w:val="center"/>
            <w:hideMark/>
          </w:tcPr>
          <w:p w14:paraId="1E9D267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0DDA61A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r>
      <w:tr w:rsidR="00117F35" w:rsidRPr="00117F35" w14:paraId="3C7BDCD9" w14:textId="77777777" w:rsidTr="00D928E6">
        <w:trPr>
          <w:trHeight w:val="255"/>
        </w:trPr>
        <w:tc>
          <w:tcPr>
            <w:tcW w:w="576" w:type="dxa"/>
            <w:vMerge/>
            <w:tcBorders>
              <w:top w:val="nil"/>
              <w:left w:val="single" w:sz="4" w:space="0" w:color="auto"/>
              <w:bottom w:val="single" w:sz="4" w:space="0" w:color="000000"/>
              <w:right w:val="single" w:sz="4" w:space="0" w:color="auto"/>
            </w:tcBorders>
            <w:vAlign w:val="center"/>
            <w:hideMark/>
          </w:tcPr>
          <w:p w14:paraId="328C0A6C"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41789798"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 tranche</w:t>
            </w:r>
          </w:p>
        </w:tc>
        <w:tc>
          <w:tcPr>
            <w:tcW w:w="1167" w:type="dxa"/>
            <w:tcBorders>
              <w:top w:val="nil"/>
              <w:left w:val="single" w:sz="8" w:space="0" w:color="auto"/>
              <w:bottom w:val="nil"/>
              <w:right w:val="nil"/>
            </w:tcBorders>
            <w:shd w:val="clear" w:color="auto" w:fill="auto"/>
            <w:noWrap/>
            <w:vAlign w:val="center"/>
            <w:hideMark/>
          </w:tcPr>
          <w:p w14:paraId="4A5C6B3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150</w:t>
            </w:r>
          </w:p>
        </w:tc>
        <w:tc>
          <w:tcPr>
            <w:tcW w:w="818" w:type="dxa"/>
            <w:tcBorders>
              <w:top w:val="nil"/>
              <w:left w:val="single" w:sz="4" w:space="0" w:color="auto"/>
              <w:bottom w:val="nil"/>
              <w:right w:val="single" w:sz="4" w:space="0" w:color="auto"/>
            </w:tcBorders>
            <w:shd w:val="clear" w:color="auto" w:fill="auto"/>
            <w:noWrap/>
            <w:vAlign w:val="center"/>
            <w:hideMark/>
          </w:tcPr>
          <w:p w14:paraId="56895A3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6E56F64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150</w:t>
            </w:r>
          </w:p>
        </w:tc>
        <w:tc>
          <w:tcPr>
            <w:tcW w:w="1167" w:type="dxa"/>
            <w:tcBorders>
              <w:top w:val="nil"/>
              <w:left w:val="nil"/>
              <w:bottom w:val="nil"/>
              <w:right w:val="nil"/>
            </w:tcBorders>
            <w:shd w:val="clear" w:color="auto" w:fill="auto"/>
            <w:noWrap/>
            <w:vAlign w:val="center"/>
            <w:hideMark/>
          </w:tcPr>
          <w:p w14:paraId="1931E24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150</w:t>
            </w:r>
          </w:p>
        </w:tc>
        <w:tc>
          <w:tcPr>
            <w:tcW w:w="821" w:type="dxa"/>
            <w:tcBorders>
              <w:top w:val="nil"/>
              <w:left w:val="single" w:sz="4" w:space="0" w:color="auto"/>
              <w:bottom w:val="nil"/>
              <w:right w:val="single" w:sz="4" w:space="0" w:color="auto"/>
            </w:tcBorders>
            <w:shd w:val="clear" w:color="auto" w:fill="auto"/>
            <w:noWrap/>
            <w:vAlign w:val="center"/>
            <w:hideMark/>
          </w:tcPr>
          <w:p w14:paraId="29C255F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1F69E4D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150</w:t>
            </w:r>
          </w:p>
        </w:tc>
      </w:tr>
      <w:tr w:rsidR="00117F35" w:rsidRPr="00117F35" w14:paraId="7FED21FD" w14:textId="77777777" w:rsidTr="00D928E6">
        <w:trPr>
          <w:trHeight w:val="271"/>
        </w:trPr>
        <w:tc>
          <w:tcPr>
            <w:tcW w:w="576" w:type="dxa"/>
            <w:vMerge/>
            <w:tcBorders>
              <w:top w:val="nil"/>
              <w:left w:val="single" w:sz="4" w:space="0" w:color="auto"/>
              <w:bottom w:val="single" w:sz="4" w:space="0" w:color="000000"/>
              <w:right w:val="single" w:sz="4" w:space="0" w:color="auto"/>
            </w:tcBorders>
            <w:vAlign w:val="center"/>
            <w:hideMark/>
          </w:tcPr>
          <w:p w14:paraId="76D45023"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4A1350B7"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Tilbageførte beløb</w:t>
            </w:r>
            <w:r>
              <w:rPr>
                <w:rFonts w:ascii="Times New Roman" w:hAnsi="Times New Roman"/>
                <w:noProof/>
                <w:sz w:val="18"/>
                <w:vertAlign w:val="superscript"/>
              </w:rPr>
              <w:t xml:space="preserve"> 2</w:t>
            </w:r>
          </w:p>
        </w:tc>
        <w:tc>
          <w:tcPr>
            <w:tcW w:w="1167" w:type="dxa"/>
            <w:tcBorders>
              <w:top w:val="nil"/>
              <w:left w:val="single" w:sz="8" w:space="0" w:color="auto"/>
              <w:bottom w:val="nil"/>
              <w:right w:val="nil"/>
            </w:tcBorders>
            <w:shd w:val="clear" w:color="auto" w:fill="auto"/>
            <w:noWrap/>
            <w:vAlign w:val="center"/>
            <w:hideMark/>
          </w:tcPr>
          <w:p w14:paraId="620C5C0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single" w:sz="4" w:space="0" w:color="auto"/>
              <w:bottom w:val="nil"/>
              <w:right w:val="single" w:sz="4" w:space="0" w:color="auto"/>
            </w:tcBorders>
            <w:shd w:val="clear" w:color="auto" w:fill="auto"/>
            <w:noWrap/>
            <w:vAlign w:val="center"/>
            <w:hideMark/>
          </w:tcPr>
          <w:p w14:paraId="0F32CFA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2B544CF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0</w:t>
            </w:r>
          </w:p>
        </w:tc>
        <w:tc>
          <w:tcPr>
            <w:tcW w:w="1167" w:type="dxa"/>
            <w:tcBorders>
              <w:top w:val="nil"/>
              <w:left w:val="nil"/>
              <w:bottom w:val="nil"/>
              <w:right w:val="nil"/>
            </w:tcBorders>
            <w:shd w:val="clear" w:color="auto" w:fill="auto"/>
            <w:noWrap/>
            <w:vAlign w:val="center"/>
            <w:hideMark/>
          </w:tcPr>
          <w:p w14:paraId="5C18CA9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21" w:type="dxa"/>
            <w:tcBorders>
              <w:top w:val="nil"/>
              <w:left w:val="single" w:sz="4" w:space="0" w:color="auto"/>
              <w:bottom w:val="nil"/>
              <w:right w:val="single" w:sz="4" w:space="0" w:color="auto"/>
            </w:tcBorders>
            <w:shd w:val="clear" w:color="auto" w:fill="auto"/>
            <w:noWrap/>
            <w:vAlign w:val="center"/>
            <w:hideMark/>
          </w:tcPr>
          <w:p w14:paraId="3E21B5B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2E43F3C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0</w:t>
            </w:r>
          </w:p>
        </w:tc>
      </w:tr>
      <w:tr w:rsidR="00117F35" w:rsidRPr="00117F35" w14:paraId="4710B5E3" w14:textId="77777777" w:rsidTr="00D928E6">
        <w:trPr>
          <w:trHeight w:val="255"/>
        </w:trPr>
        <w:tc>
          <w:tcPr>
            <w:tcW w:w="576" w:type="dxa"/>
            <w:vMerge/>
            <w:tcBorders>
              <w:top w:val="nil"/>
              <w:left w:val="single" w:sz="4" w:space="0" w:color="auto"/>
              <w:bottom w:val="single" w:sz="4" w:space="0" w:color="000000"/>
              <w:right w:val="single" w:sz="4" w:space="0" w:color="auto"/>
            </w:tcBorders>
            <w:vAlign w:val="center"/>
            <w:hideMark/>
          </w:tcPr>
          <w:p w14:paraId="473DE64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2CB876A2"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Inddrevne beløb, renter og tilpasning</w:t>
            </w:r>
          </w:p>
        </w:tc>
        <w:tc>
          <w:tcPr>
            <w:tcW w:w="1167" w:type="dxa"/>
            <w:tcBorders>
              <w:top w:val="nil"/>
              <w:left w:val="single" w:sz="8" w:space="0" w:color="auto"/>
              <w:bottom w:val="nil"/>
              <w:right w:val="nil"/>
            </w:tcBorders>
            <w:shd w:val="clear" w:color="auto" w:fill="auto"/>
            <w:noWrap/>
            <w:vAlign w:val="center"/>
            <w:hideMark/>
          </w:tcPr>
          <w:p w14:paraId="3BABDED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818" w:type="dxa"/>
            <w:tcBorders>
              <w:top w:val="nil"/>
              <w:left w:val="single" w:sz="4" w:space="0" w:color="auto"/>
              <w:bottom w:val="nil"/>
              <w:right w:val="single" w:sz="4" w:space="0" w:color="auto"/>
            </w:tcBorders>
            <w:shd w:val="clear" w:color="auto" w:fill="auto"/>
            <w:noWrap/>
            <w:vAlign w:val="center"/>
            <w:hideMark/>
          </w:tcPr>
          <w:p w14:paraId="4B90F4F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1311675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1167" w:type="dxa"/>
            <w:tcBorders>
              <w:top w:val="nil"/>
              <w:left w:val="nil"/>
              <w:bottom w:val="nil"/>
              <w:right w:val="nil"/>
            </w:tcBorders>
            <w:shd w:val="clear" w:color="auto" w:fill="auto"/>
            <w:noWrap/>
            <w:vAlign w:val="center"/>
            <w:hideMark/>
          </w:tcPr>
          <w:p w14:paraId="1DB556E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821" w:type="dxa"/>
            <w:tcBorders>
              <w:top w:val="nil"/>
              <w:left w:val="single" w:sz="4" w:space="0" w:color="auto"/>
              <w:bottom w:val="nil"/>
              <w:right w:val="single" w:sz="4" w:space="0" w:color="auto"/>
            </w:tcBorders>
            <w:shd w:val="clear" w:color="auto" w:fill="auto"/>
            <w:noWrap/>
            <w:vAlign w:val="center"/>
            <w:hideMark/>
          </w:tcPr>
          <w:p w14:paraId="50D2E86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4629A7A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r>
      <w:tr w:rsidR="00117F35" w:rsidRPr="00117F35" w14:paraId="05C473C3" w14:textId="77777777" w:rsidTr="00D928E6">
        <w:trPr>
          <w:trHeight w:val="271"/>
        </w:trPr>
        <w:tc>
          <w:tcPr>
            <w:tcW w:w="576" w:type="dxa"/>
            <w:vMerge/>
            <w:tcBorders>
              <w:top w:val="nil"/>
              <w:left w:val="single" w:sz="4" w:space="0" w:color="auto"/>
              <w:bottom w:val="single" w:sz="4" w:space="0" w:color="000000"/>
              <w:right w:val="single" w:sz="4" w:space="0" w:color="auto"/>
            </w:tcBorders>
            <w:vAlign w:val="center"/>
            <w:hideMark/>
          </w:tcPr>
          <w:p w14:paraId="671E9C9B"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1C6AC9AA"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Anslået tilbagebetaling af 10. og 11. EUF til Det Forenede Kongerige</w:t>
            </w:r>
            <w:r>
              <w:rPr>
                <w:rFonts w:ascii="Times New Roman" w:hAnsi="Times New Roman"/>
                <w:noProof/>
                <w:sz w:val="18"/>
                <w:vertAlign w:val="superscript"/>
              </w:rPr>
              <w:t>7</w:t>
            </w:r>
          </w:p>
        </w:tc>
        <w:tc>
          <w:tcPr>
            <w:tcW w:w="1167" w:type="dxa"/>
            <w:tcBorders>
              <w:top w:val="nil"/>
              <w:left w:val="single" w:sz="8" w:space="0" w:color="auto"/>
              <w:bottom w:val="nil"/>
              <w:right w:val="nil"/>
            </w:tcBorders>
            <w:shd w:val="clear" w:color="auto" w:fill="auto"/>
            <w:noWrap/>
            <w:vAlign w:val="center"/>
            <w:hideMark/>
          </w:tcPr>
          <w:p w14:paraId="47C7530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20</w:t>
            </w:r>
          </w:p>
        </w:tc>
        <w:tc>
          <w:tcPr>
            <w:tcW w:w="818" w:type="dxa"/>
            <w:tcBorders>
              <w:top w:val="nil"/>
              <w:left w:val="single" w:sz="4" w:space="0" w:color="auto"/>
              <w:bottom w:val="nil"/>
              <w:right w:val="single" w:sz="4" w:space="0" w:color="auto"/>
            </w:tcBorders>
            <w:shd w:val="clear" w:color="auto" w:fill="auto"/>
            <w:noWrap/>
            <w:vAlign w:val="center"/>
            <w:hideMark/>
          </w:tcPr>
          <w:p w14:paraId="44CA00D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148E761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20</w:t>
            </w:r>
          </w:p>
        </w:tc>
        <w:tc>
          <w:tcPr>
            <w:tcW w:w="1167" w:type="dxa"/>
            <w:tcBorders>
              <w:top w:val="nil"/>
              <w:left w:val="nil"/>
              <w:bottom w:val="nil"/>
              <w:right w:val="nil"/>
            </w:tcBorders>
            <w:shd w:val="clear" w:color="auto" w:fill="auto"/>
            <w:noWrap/>
            <w:vAlign w:val="center"/>
            <w:hideMark/>
          </w:tcPr>
          <w:p w14:paraId="38554F96" w14:textId="769FB6DC"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40</w:t>
            </w:r>
          </w:p>
        </w:tc>
        <w:tc>
          <w:tcPr>
            <w:tcW w:w="821" w:type="dxa"/>
            <w:tcBorders>
              <w:top w:val="nil"/>
              <w:left w:val="single" w:sz="4" w:space="0" w:color="auto"/>
              <w:bottom w:val="nil"/>
              <w:right w:val="single" w:sz="4" w:space="0" w:color="auto"/>
            </w:tcBorders>
            <w:shd w:val="clear" w:color="auto" w:fill="auto"/>
            <w:noWrap/>
            <w:vAlign w:val="center"/>
            <w:hideMark/>
          </w:tcPr>
          <w:p w14:paraId="3BDAF14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5967FF9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20</w:t>
            </w:r>
          </w:p>
        </w:tc>
      </w:tr>
      <w:tr w:rsidR="00117F35" w:rsidRPr="00117F35" w14:paraId="7624683F" w14:textId="77777777" w:rsidTr="00D928E6">
        <w:trPr>
          <w:trHeight w:val="271"/>
        </w:trPr>
        <w:tc>
          <w:tcPr>
            <w:tcW w:w="576" w:type="dxa"/>
            <w:vMerge/>
            <w:tcBorders>
              <w:top w:val="nil"/>
              <w:left w:val="single" w:sz="4" w:space="0" w:color="auto"/>
              <w:bottom w:val="single" w:sz="4" w:space="0" w:color="000000"/>
              <w:right w:val="single" w:sz="4" w:space="0" w:color="auto"/>
            </w:tcBorders>
            <w:vAlign w:val="center"/>
            <w:hideMark/>
          </w:tcPr>
          <w:p w14:paraId="5C99ACA5"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0E81279C"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Anslået tilbagebetaling af 9. EUF til medlemsstaterne og Det Forenede Kongerige</w:t>
            </w:r>
            <w:r>
              <w:rPr>
                <w:rFonts w:ascii="Times New Roman" w:hAnsi="Times New Roman"/>
                <w:noProof/>
                <w:sz w:val="18"/>
                <w:vertAlign w:val="superscript"/>
              </w:rPr>
              <w:t>8</w:t>
            </w:r>
          </w:p>
        </w:tc>
        <w:tc>
          <w:tcPr>
            <w:tcW w:w="1167" w:type="dxa"/>
            <w:tcBorders>
              <w:top w:val="nil"/>
              <w:left w:val="single" w:sz="8" w:space="0" w:color="auto"/>
              <w:bottom w:val="nil"/>
              <w:right w:val="nil"/>
            </w:tcBorders>
            <w:shd w:val="clear" w:color="auto" w:fill="auto"/>
            <w:noWrap/>
            <w:vAlign w:val="center"/>
            <w:hideMark/>
          </w:tcPr>
          <w:p w14:paraId="0BD9543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single" w:sz="4" w:space="0" w:color="auto"/>
              <w:bottom w:val="nil"/>
              <w:right w:val="single" w:sz="4" w:space="0" w:color="auto"/>
            </w:tcBorders>
            <w:shd w:val="clear" w:color="auto" w:fill="auto"/>
            <w:noWrap/>
            <w:vAlign w:val="center"/>
            <w:hideMark/>
          </w:tcPr>
          <w:p w14:paraId="2B80222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6DAA6AF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0</w:t>
            </w:r>
          </w:p>
        </w:tc>
        <w:tc>
          <w:tcPr>
            <w:tcW w:w="1167" w:type="dxa"/>
            <w:tcBorders>
              <w:top w:val="nil"/>
              <w:left w:val="nil"/>
              <w:bottom w:val="nil"/>
              <w:right w:val="nil"/>
            </w:tcBorders>
            <w:shd w:val="clear" w:color="auto" w:fill="auto"/>
            <w:noWrap/>
            <w:vAlign w:val="center"/>
            <w:hideMark/>
          </w:tcPr>
          <w:p w14:paraId="3DD7305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21" w:type="dxa"/>
            <w:tcBorders>
              <w:top w:val="nil"/>
              <w:left w:val="single" w:sz="4" w:space="0" w:color="auto"/>
              <w:bottom w:val="nil"/>
              <w:right w:val="single" w:sz="4" w:space="0" w:color="auto"/>
            </w:tcBorders>
            <w:shd w:val="clear" w:color="auto" w:fill="auto"/>
            <w:noWrap/>
            <w:vAlign w:val="center"/>
            <w:hideMark/>
          </w:tcPr>
          <w:p w14:paraId="03658D7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69F1A3C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0</w:t>
            </w:r>
          </w:p>
        </w:tc>
      </w:tr>
      <w:tr w:rsidR="00117F35" w:rsidRPr="00117F35" w14:paraId="2D3A4AC7" w14:textId="77777777" w:rsidTr="00D928E6">
        <w:trPr>
          <w:trHeight w:val="271"/>
        </w:trPr>
        <w:tc>
          <w:tcPr>
            <w:tcW w:w="576" w:type="dxa"/>
            <w:vMerge/>
            <w:tcBorders>
              <w:top w:val="nil"/>
              <w:left w:val="single" w:sz="4" w:space="0" w:color="auto"/>
              <w:bottom w:val="single" w:sz="4" w:space="0" w:color="000000"/>
              <w:right w:val="single" w:sz="4" w:space="0" w:color="auto"/>
            </w:tcBorders>
            <w:vAlign w:val="center"/>
            <w:hideMark/>
          </w:tcPr>
          <w:p w14:paraId="6DC0351E"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01C2A009"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Betalinger i alt</w:t>
            </w:r>
            <w:r>
              <w:rPr>
                <w:rFonts w:ascii="Times New Roman" w:hAnsi="Times New Roman"/>
                <w:noProof/>
                <w:sz w:val="18"/>
                <w:vertAlign w:val="superscript"/>
              </w:rPr>
              <w:t>3</w:t>
            </w:r>
          </w:p>
        </w:tc>
        <w:tc>
          <w:tcPr>
            <w:tcW w:w="1167" w:type="dxa"/>
            <w:tcBorders>
              <w:top w:val="nil"/>
              <w:left w:val="single" w:sz="8" w:space="0" w:color="auto"/>
              <w:bottom w:val="single" w:sz="4" w:space="0" w:color="auto"/>
              <w:right w:val="nil"/>
            </w:tcBorders>
            <w:shd w:val="clear" w:color="auto" w:fill="auto"/>
            <w:noWrap/>
            <w:vAlign w:val="center"/>
            <w:hideMark/>
          </w:tcPr>
          <w:p w14:paraId="22822E8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750</w:t>
            </w: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74069F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74</w:t>
            </w:r>
          </w:p>
        </w:tc>
        <w:tc>
          <w:tcPr>
            <w:tcW w:w="847" w:type="dxa"/>
            <w:tcBorders>
              <w:top w:val="nil"/>
              <w:left w:val="nil"/>
              <w:bottom w:val="single" w:sz="4" w:space="0" w:color="auto"/>
              <w:right w:val="single" w:sz="8" w:space="0" w:color="auto"/>
            </w:tcBorders>
            <w:shd w:val="clear" w:color="auto" w:fill="auto"/>
            <w:noWrap/>
            <w:vAlign w:val="center"/>
            <w:hideMark/>
          </w:tcPr>
          <w:p w14:paraId="7D2DB63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824</w:t>
            </w:r>
          </w:p>
        </w:tc>
        <w:tc>
          <w:tcPr>
            <w:tcW w:w="1167" w:type="dxa"/>
            <w:tcBorders>
              <w:top w:val="nil"/>
              <w:left w:val="nil"/>
              <w:bottom w:val="single" w:sz="4" w:space="0" w:color="auto"/>
              <w:right w:val="nil"/>
            </w:tcBorders>
            <w:shd w:val="clear" w:color="auto" w:fill="auto"/>
            <w:noWrap/>
            <w:vAlign w:val="center"/>
            <w:hideMark/>
          </w:tcPr>
          <w:p w14:paraId="5DB4507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750</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980DCF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74</w:t>
            </w:r>
          </w:p>
        </w:tc>
        <w:tc>
          <w:tcPr>
            <w:tcW w:w="850" w:type="dxa"/>
            <w:tcBorders>
              <w:top w:val="nil"/>
              <w:left w:val="nil"/>
              <w:bottom w:val="single" w:sz="4" w:space="0" w:color="auto"/>
              <w:right w:val="single" w:sz="8" w:space="0" w:color="auto"/>
            </w:tcBorders>
            <w:shd w:val="clear" w:color="auto" w:fill="auto"/>
            <w:noWrap/>
            <w:vAlign w:val="center"/>
            <w:hideMark/>
          </w:tcPr>
          <w:p w14:paraId="0FAAF9B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824</w:t>
            </w:r>
          </w:p>
        </w:tc>
      </w:tr>
      <w:tr w:rsidR="00117F35" w:rsidRPr="00117F35" w14:paraId="1211A106" w14:textId="77777777" w:rsidTr="00EC160E">
        <w:trPr>
          <w:trHeight w:val="286"/>
        </w:trPr>
        <w:tc>
          <w:tcPr>
            <w:tcW w:w="576" w:type="dxa"/>
            <w:vMerge/>
            <w:tcBorders>
              <w:top w:val="nil"/>
              <w:left w:val="single" w:sz="4" w:space="0" w:color="auto"/>
              <w:bottom w:val="single" w:sz="4" w:space="0" w:color="000000"/>
              <w:right w:val="single" w:sz="4" w:space="0" w:color="auto"/>
            </w:tcBorders>
            <w:vAlign w:val="center"/>
            <w:hideMark/>
          </w:tcPr>
          <w:p w14:paraId="30538CB6"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single" w:sz="4" w:space="0" w:color="auto"/>
              <w:left w:val="nil"/>
              <w:bottom w:val="single" w:sz="4" w:space="0" w:color="auto"/>
              <w:right w:val="nil"/>
            </w:tcBorders>
            <w:shd w:val="clear" w:color="auto" w:fill="auto"/>
            <w:noWrap/>
            <w:vAlign w:val="center"/>
            <w:hideMark/>
          </w:tcPr>
          <w:p w14:paraId="1049E27C"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Saldo pr. 31.12.2026</w:t>
            </w:r>
            <w:r>
              <w:rPr>
                <w:rFonts w:ascii="Times New Roman" w:hAnsi="Times New Roman"/>
                <w:b/>
                <w:noProof/>
                <w:color w:val="000000"/>
                <w:sz w:val="18"/>
                <w:vertAlign w:val="superscript"/>
              </w:rPr>
              <w:t xml:space="preserve"> 4,6</w:t>
            </w:r>
          </w:p>
        </w:tc>
        <w:tc>
          <w:tcPr>
            <w:tcW w:w="1167" w:type="dxa"/>
            <w:tcBorders>
              <w:top w:val="nil"/>
              <w:left w:val="single" w:sz="8" w:space="0" w:color="auto"/>
              <w:bottom w:val="single" w:sz="4" w:space="0" w:color="auto"/>
              <w:right w:val="single" w:sz="4" w:space="0" w:color="auto"/>
            </w:tcBorders>
            <w:shd w:val="clear" w:color="000000" w:fill="FFFFFF"/>
            <w:noWrap/>
            <w:vAlign w:val="center"/>
            <w:hideMark/>
          </w:tcPr>
          <w:p w14:paraId="7D8263A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99</w:t>
            </w:r>
          </w:p>
        </w:tc>
        <w:tc>
          <w:tcPr>
            <w:tcW w:w="818" w:type="dxa"/>
            <w:tcBorders>
              <w:top w:val="nil"/>
              <w:left w:val="nil"/>
              <w:bottom w:val="single" w:sz="4" w:space="0" w:color="auto"/>
              <w:right w:val="single" w:sz="4" w:space="0" w:color="auto"/>
            </w:tcBorders>
            <w:shd w:val="clear" w:color="000000" w:fill="FFFFFF"/>
            <w:noWrap/>
            <w:vAlign w:val="center"/>
            <w:hideMark/>
          </w:tcPr>
          <w:p w14:paraId="0E359E6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186</w:t>
            </w:r>
          </w:p>
        </w:tc>
        <w:tc>
          <w:tcPr>
            <w:tcW w:w="847" w:type="dxa"/>
            <w:tcBorders>
              <w:top w:val="nil"/>
              <w:left w:val="nil"/>
              <w:bottom w:val="single" w:sz="4" w:space="0" w:color="auto"/>
              <w:right w:val="single" w:sz="8" w:space="0" w:color="auto"/>
            </w:tcBorders>
            <w:shd w:val="clear" w:color="000000" w:fill="FFFFFF"/>
            <w:noWrap/>
            <w:vAlign w:val="center"/>
            <w:hideMark/>
          </w:tcPr>
          <w:p w14:paraId="3A0B0A8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285</w:t>
            </w:r>
          </w:p>
        </w:tc>
        <w:tc>
          <w:tcPr>
            <w:tcW w:w="1167" w:type="dxa"/>
            <w:tcBorders>
              <w:top w:val="nil"/>
              <w:left w:val="nil"/>
              <w:bottom w:val="single" w:sz="4" w:space="0" w:color="auto"/>
              <w:right w:val="single" w:sz="4" w:space="0" w:color="auto"/>
            </w:tcBorders>
            <w:shd w:val="clear" w:color="000000" w:fill="FFFFFF"/>
            <w:noWrap/>
            <w:vAlign w:val="center"/>
            <w:hideMark/>
          </w:tcPr>
          <w:p w14:paraId="549F6B21" w14:textId="7A393AF8"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141</w:t>
            </w:r>
          </w:p>
        </w:tc>
        <w:tc>
          <w:tcPr>
            <w:tcW w:w="821" w:type="dxa"/>
            <w:tcBorders>
              <w:top w:val="nil"/>
              <w:left w:val="nil"/>
              <w:bottom w:val="single" w:sz="4" w:space="0" w:color="auto"/>
              <w:right w:val="single" w:sz="4" w:space="0" w:color="auto"/>
            </w:tcBorders>
            <w:shd w:val="clear" w:color="000000" w:fill="FFFFFF"/>
            <w:noWrap/>
            <w:vAlign w:val="center"/>
            <w:hideMark/>
          </w:tcPr>
          <w:p w14:paraId="02DDB087" w14:textId="74E31AE6"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521</w:t>
            </w:r>
          </w:p>
        </w:tc>
        <w:tc>
          <w:tcPr>
            <w:tcW w:w="850" w:type="dxa"/>
            <w:tcBorders>
              <w:top w:val="nil"/>
              <w:left w:val="nil"/>
              <w:bottom w:val="single" w:sz="4" w:space="0" w:color="auto"/>
              <w:right w:val="single" w:sz="8" w:space="0" w:color="auto"/>
            </w:tcBorders>
            <w:shd w:val="clear" w:color="000000" w:fill="FFFFFF"/>
            <w:noWrap/>
            <w:vAlign w:val="center"/>
            <w:hideMark/>
          </w:tcPr>
          <w:p w14:paraId="0DC9CEDD" w14:textId="4FC212D3"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662</w:t>
            </w:r>
          </w:p>
        </w:tc>
      </w:tr>
      <w:tr w:rsidR="00117F35" w:rsidRPr="00117F35" w14:paraId="0B1BB80A" w14:textId="77777777" w:rsidTr="00EC160E">
        <w:trPr>
          <w:trHeight w:val="199"/>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95B182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2027</w:t>
            </w:r>
          </w:p>
        </w:tc>
        <w:tc>
          <w:tcPr>
            <w:tcW w:w="3960" w:type="dxa"/>
            <w:tcBorders>
              <w:top w:val="nil"/>
              <w:left w:val="nil"/>
              <w:bottom w:val="single" w:sz="4" w:space="0" w:color="auto"/>
              <w:right w:val="nil"/>
            </w:tcBorders>
            <w:shd w:val="clear" w:color="auto" w:fill="auto"/>
            <w:vAlign w:val="bottom"/>
            <w:hideMark/>
          </w:tcPr>
          <w:p w14:paraId="46BA7A1E"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Det Forenede Kongeriges bidrag for 2027</w:t>
            </w:r>
            <w:r>
              <w:rPr>
                <w:rFonts w:ascii="Times New Roman" w:hAnsi="Times New Roman"/>
                <w:b/>
                <w:noProof/>
                <w:color w:val="000000"/>
                <w:sz w:val="18"/>
                <w:vertAlign w:val="superscript"/>
              </w:rPr>
              <w:t>5</w:t>
            </w:r>
          </w:p>
        </w:tc>
        <w:tc>
          <w:tcPr>
            <w:tcW w:w="1167" w:type="dxa"/>
            <w:tcBorders>
              <w:top w:val="nil"/>
              <w:left w:val="single" w:sz="8" w:space="0" w:color="auto"/>
              <w:bottom w:val="single" w:sz="8" w:space="0" w:color="auto"/>
              <w:right w:val="single" w:sz="4" w:space="0" w:color="auto"/>
            </w:tcBorders>
            <w:shd w:val="clear" w:color="auto" w:fill="auto"/>
            <w:noWrap/>
            <w:vAlign w:val="center"/>
            <w:hideMark/>
          </w:tcPr>
          <w:p w14:paraId="7AEBA49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500</w:t>
            </w:r>
          </w:p>
        </w:tc>
        <w:tc>
          <w:tcPr>
            <w:tcW w:w="818" w:type="dxa"/>
            <w:tcBorders>
              <w:top w:val="nil"/>
              <w:left w:val="nil"/>
              <w:bottom w:val="single" w:sz="8" w:space="0" w:color="auto"/>
              <w:right w:val="single" w:sz="4" w:space="0" w:color="auto"/>
            </w:tcBorders>
            <w:shd w:val="clear" w:color="auto" w:fill="auto"/>
            <w:noWrap/>
            <w:vAlign w:val="center"/>
            <w:hideMark/>
          </w:tcPr>
          <w:p w14:paraId="3D1630F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47" w:type="dxa"/>
            <w:tcBorders>
              <w:top w:val="nil"/>
              <w:left w:val="nil"/>
              <w:bottom w:val="single" w:sz="8" w:space="0" w:color="auto"/>
              <w:right w:val="single" w:sz="8" w:space="0" w:color="auto"/>
            </w:tcBorders>
            <w:shd w:val="clear" w:color="auto" w:fill="auto"/>
            <w:noWrap/>
            <w:vAlign w:val="center"/>
            <w:hideMark/>
          </w:tcPr>
          <w:p w14:paraId="1760393D"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500</w:t>
            </w:r>
          </w:p>
        </w:tc>
        <w:tc>
          <w:tcPr>
            <w:tcW w:w="1167" w:type="dxa"/>
            <w:tcBorders>
              <w:top w:val="nil"/>
              <w:left w:val="nil"/>
              <w:bottom w:val="single" w:sz="8" w:space="0" w:color="auto"/>
              <w:right w:val="single" w:sz="4" w:space="0" w:color="auto"/>
            </w:tcBorders>
            <w:shd w:val="clear" w:color="auto" w:fill="auto"/>
            <w:noWrap/>
            <w:vAlign w:val="center"/>
            <w:hideMark/>
          </w:tcPr>
          <w:p w14:paraId="618088AA" w14:textId="3EDFC43F" w:rsidR="00117F35" w:rsidRPr="00117F35" w:rsidRDefault="00D928E6"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460</w:t>
            </w:r>
          </w:p>
        </w:tc>
        <w:tc>
          <w:tcPr>
            <w:tcW w:w="821" w:type="dxa"/>
            <w:tcBorders>
              <w:top w:val="nil"/>
              <w:left w:val="nil"/>
              <w:bottom w:val="single" w:sz="8" w:space="0" w:color="auto"/>
              <w:right w:val="single" w:sz="4" w:space="0" w:color="auto"/>
            </w:tcBorders>
            <w:shd w:val="clear" w:color="auto" w:fill="auto"/>
            <w:noWrap/>
            <w:vAlign w:val="center"/>
            <w:hideMark/>
          </w:tcPr>
          <w:p w14:paraId="1B07C1B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50" w:type="dxa"/>
            <w:tcBorders>
              <w:top w:val="nil"/>
              <w:left w:val="nil"/>
              <w:bottom w:val="single" w:sz="8" w:space="0" w:color="auto"/>
              <w:right w:val="single" w:sz="8" w:space="0" w:color="auto"/>
            </w:tcBorders>
            <w:shd w:val="clear" w:color="auto" w:fill="auto"/>
            <w:noWrap/>
            <w:vAlign w:val="center"/>
            <w:hideMark/>
          </w:tcPr>
          <w:p w14:paraId="13A063A7" w14:textId="1FE298A4"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460</w:t>
            </w:r>
          </w:p>
        </w:tc>
      </w:tr>
      <w:tr w:rsidR="00117F35" w:rsidRPr="00117F35" w14:paraId="242652F2" w14:textId="77777777" w:rsidTr="00EC160E">
        <w:trPr>
          <w:trHeight w:val="251"/>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1701E3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2028</w:t>
            </w:r>
          </w:p>
        </w:tc>
        <w:tc>
          <w:tcPr>
            <w:tcW w:w="3960" w:type="dxa"/>
            <w:tcBorders>
              <w:top w:val="nil"/>
              <w:left w:val="nil"/>
              <w:bottom w:val="single" w:sz="4" w:space="0" w:color="auto"/>
              <w:right w:val="nil"/>
            </w:tcBorders>
            <w:shd w:val="clear" w:color="auto" w:fill="auto"/>
            <w:vAlign w:val="bottom"/>
            <w:hideMark/>
          </w:tcPr>
          <w:p w14:paraId="054401DF"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Medlemsstaternes og Det Forenede Kongeriges bidrag for 2028</w:t>
            </w:r>
            <w:r>
              <w:rPr>
                <w:rFonts w:ascii="Times New Roman" w:hAnsi="Times New Roman"/>
                <w:b/>
                <w:noProof/>
                <w:color w:val="000000"/>
                <w:sz w:val="18"/>
                <w:vertAlign w:val="superscript"/>
              </w:rPr>
              <w:t>5</w:t>
            </w:r>
          </w:p>
        </w:tc>
        <w:tc>
          <w:tcPr>
            <w:tcW w:w="1167" w:type="dxa"/>
            <w:tcBorders>
              <w:top w:val="nil"/>
              <w:left w:val="single" w:sz="8" w:space="0" w:color="auto"/>
              <w:bottom w:val="single" w:sz="8" w:space="0" w:color="auto"/>
              <w:right w:val="single" w:sz="4" w:space="0" w:color="auto"/>
            </w:tcBorders>
            <w:shd w:val="clear" w:color="auto" w:fill="auto"/>
            <w:noWrap/>
            <w:vAlign w:val="center"/>
            <w:hideMark/>
          </w:tcPr>
          <w:p w14:paraId="1D086BF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400</w:t>
            </w:r>
          </w:p>
        </w:tc>
        <w:tc>
          <w:tcPr>
            <w:tcW w:w="818" w:type="dxa"/>
            <w:tcBorders>
              <w:top w:val="single" w:sz="4" w:space="0" w:color="auto"/>
              <w:left w:val="nil"/>
              <w:bottom w:val="single" w:sz="8" w:space="0" w:color="auto"/>
              <w:right w:val="single" w:sz="4" w:space="0" w:color="auto"/>
            </w:tcBorders>
            <w:shd w:val="clear" w:color="auto" w:fill="auto"/>
            <w:noWrap/>
            <w:vAlign w:val="center"/>
            <w:hideMark/>
          </w:tcPr>
          <w:p w14:paraId="672336D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47" w:type="dxa"/>
            <w:tcBorders>
              <w:top w:val="nil"/>
              <w:left w:val="nil"/>
              <w:bottom w:val="single" w:sz="8" w:space="0" w:color="auto"/>
              <w:right w:val="single" w:sz="8" w:space="0" w:color="auto"/>
            </w:tcBorders>
            <w:shd w:val="clear" w:color="auto" w:fill="auto"/>
            <w:noWrap/>
            <w:vAlign w:val="center"/>
            <w:hideMark/>
          </w:tcPr>
          <w:p w14:paraId="4CFC2BA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400</w:t>
            </w:r>
          </w:p>
        </w:tc>
        <w:tc>
          <w:tcPr>
            <w:tcW w:w="1167" w:type="dxa"/>
            <w:tcBorders>
              <w:top w:val="nil"/>
              <w:left w:val="nil"/>
              <w:bottom w:val="single" w:sz="8" w:space="0" w:color="auto"/>
              <w:right w:val="single" w:sz="4" w:space="0" w:color="auto"/>
            </w:tcBorders>
            <w:shd w:val="clear" w:color="auto" w:fill="auto"/>
            <w:noWrap/>
            <w:vAlign w:val="center"/>
            <w:hideMark/>
          </w:tcPr>
          <w:p w14:paraId="0123731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400</w:t>
            </w:r>
          </w:p>
        </w:tc>
        <w:tc>
          <w:tcPr>
            <w:tcW w:w="821" w:type="dxa"/>
            <w:tcBorders>
              <w:top w:val="single" w:sz="4" w:space="0" w:color="auto"/>
              <w:left w:val="nil"/>
              <w:bottom w:val="single" w:sz="8" w:space="0" w:color="auto"/>
              <w:right w:val="single" w:sz="4" w:space="0" w:color="auto"/>
            </w:tcBorders>
            <w:shd w:val="clear" w:color="auto" w:fill="auto"/>
            <w:noWrap/>
            <w:vAlign w:val="center"/>
            <w:hideMark/>
          </w:tcPr>
          <w:p w14:paraId="4802455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50" w:type="dxa"/>
            <w:tcBorders>
              <w:top w:val="nil"/>
              <w:left w:val="nil"/>
              <w:bottom w:val="single" w:sz="8" w:space="0" w:color="auto"/>
              <w:right w:val="single" w:sz="8" w:space="0" w:color="auto"/>
            </w:tcBorders>
            <w:shd w:val="clear" w:color="auto" w:fill="auto"/>
            <w:noWrap/>
            <w:vAlign w:val="center"/>
            <w:hideMark/>
          </w:tcPr>
          <w:p w14:paraId="1A2BFA19"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400</w:t>
            </w:r>
          </w:p>
        </w:tc>
      </w:tr>
    </w:tbl>
    <w:p w14:paraId="0C5B0E98" w14:textId="77777777" w:rsidR="00F6004C" w:rsidRDefault="00F6004C" w:rsidP="00EC160E">
      <w:pPr>
        <w:tabs>
          <w:tab w:val="left" w:pos="284"/>
        </w:tabs>
        <w:spacing w:after="0"/>
        <w:rPr>
          <w:noProof/>
          <w:sz w:val="16"/>
          <w:szCs w:val="16"/>
          <w:lang w:val="en-IE"/>
        </w:rPr>
      </w:pPr>
    </w:p>
    <w:p w14:paraId="03A5ABDE" w14:textId="1FDD6AE8" w:rsidR="00EC160E" w:rsidRPr="00EC160E" w:rsidRDefault="00EC160E" w:rsidP="000731B9">
      <w:pPr>
        <w:tabs>
          <w:tab w:val="left" w:pos="284"/>
        </w:tabs>
        <w:spacing w:after="0"/>
        <w:ind w:left="284" w:hanging="284"/>
        <w:rPr>
          <w:noProof/>
          <w:sz w:val="16"/>
          <w:szCs w:val="16"/>
        </w:rPr>
      </w:pPr>
      <w:r>
        <w:rPr>
          <w:noProof/>
          <w:sz w:val="16"/>
        </w:rPr>
        <w:t>1</w:t>
      </w:r>
      <w:r>
        <w:rPr>
          <w:noProof/>
          <w:sz w:val="16"/>
        </w:rPr>
        <w:tab/>
        <w:t>Disponible beløb til operationelle foranstaltninger.</w:t>
      </w:r>
    </w:p>
    <w:p w14:paraId="0E573EC4" w14:textId="605F8EEB" w:rsidR="00EC160E" w:rsidRPr="00EC160E" w:rsidRDefault="00EC160E" w:rsidP="000731B9">
      <w:pPr>
        <w:tabs>
          <w:tab w:val="left" w:pos="284"/>
        </w:tabs>
        <w:spacing w:after="0"/>
        <w:ind w:left="284" w:hanging="284"/>
        <w:rPr>
          <w:noProof/>
          <w:sz w:val="16"/>
          <w:szCs w:val="16"/>
        </w:rPr>
      </w:pPr>
      <w:r>
        <w:rPr>
          <w:noProof/>
          <w:sz w:val="16"/>
        </w:rPr>
        <w:t>2</w:t>
      </w:r>
      <w:r>
        <w:rPr>
          <w:noProof/>
          <w:sz w:val="16"/>
        </w:rPr>
        <w:tab/>
        <w:t>Fratrukket afskrivninger, EIB-administrationsgebyrer og andre omkostninger såsom swaps/risikoafdækning; omfatter ikke Det Forenede Kongeriges andel af tilbageførsler, i henhold til udtrædelsesaftalens artikel 153 må disse ikke genanvendes. For nærmere oplysninger henvises til investeringsfacilitetens årsregnskaber.</w:t>
      </w:r>
    </w:p>
    <w:p w14:paraId="440FA677" w14:textId="77777777" w:rsidR="00EC160E" w:rsidRPr="00EC160E" w:rsidRDefault="00EC160E" w:rsidP="000731B9">
      <w:pPr>
        <w:tabs>
          <w:tab w:val="left" w:pos="284"/>
        </w:tabs>
        <w:spacing w:after="0"/>
        <w:ind w:left="284" w:hanging="284"/>
        <w:rPr>
          <w:noProof/>
          <w:sz w:val="16"/>
          <w:szCs w:val="16"/>
        </w:rPr>
      </w:pPr>
      <w:r>
        <w:rPr>
          <w:noProof/>
          <w:sz w:val="16"/>
        </w:rPr>
        <w:t>3</w:t>
      </w:r>
      <w:r>
        <w:rPr>
          <w:noProof/>
          <w:sz w:val="16"/>
        </w:rPr>
        <w:tab/>
        <w:t>Inklusive rentegodtgørelser under tidligere EUF'er.</w:t>
      </w:r>
      <w:r>
        <w:rPr>
          <w:noProof/>
          <w:sz w:val="16"/>
        </w:rPr>
        <w:tab/>
      </w:r>
      <w:r>
        <w:rPr>
          <w:noProof/>
          <w:sz w:val="16"/>
        </w:rPr>
        <w:tab/>
      </w:r>
      <w:r>
        <w:rPr>
          <w:noProof/>
          <w:sz w:val="16"/>
        </w:rPr>
        <w:tab/>
      </w:r>
      <w:r>
        <w:rPr>
          <w:noProof/>
          <w:sz w:val="16"/>
        </w:rPr>
        <w:tab/>
      </w:r>
      <w:r>
        <w:rPr>
          <w:noProof/>
          <w:sz w:val="16"/>
        </w:rPr>
        <w:tab/>
        <w:t xml:space="preserve"> </w:t>
      </w:r>
    </w:p>
    <w:p w14:paraId="27720517" w14:textId="77777777" w:rsidR="00EC160E" w:rsidRPr="00EC160E" w:rsidRDefault="00EC160E" w:rsidP="000731B9">
      <w:pPr>
        <w:tabs>
          <w:tab w:val="left" w:pos="284"/>
        </w:tabs>
        <w:spacing w:after="0"/>
        <w:ind w:left="284" w:hanging="284"/>
        <w:rPr>
          <w:noProof/>
          <w:sz w:val="16"/>
          <w:szCs w:val="16"/>
        </w:rPr>
      </w:pPr>
      <w:r>
        <w:rPr>
          <w:noProof/>
          <w:sz w:val="16"/>
        </w:rPr>
        <w:t>4</w:t>
      </w:r>
      <w:r>
        <w:rPr>
          <w:noProof/>
          <w:sz w:val="16"/>
        </w:rPr>
        <w:tab/>
        <w:t>Disse saldi omfatter ikke: i) modtaget samfinansiering, ii) bogførte indtægter, der endnu ikke er tildelt en bestemt EUF-post.</w:t>
      </w:r>
      <w:r>
        <w:rPr>
          <w:noProof/>
          <w:sz w:val="16"/>
        </w:rPr>
        <w:tab/>
      </w:r>
      <w:r>
        <w:rPr>
          <w:noProof/>
          <w:sz w:val="16"/>
        </w:rPr>
        <w:tab/>
      </w:r>
      <w:r>
        <w:rPr>
          <w:noProof/>
          <w:sz w:val="16"/>
        </w:rPr>
        <w:tab/>
        <w:t xml:space="preserve"> </w:t>
      </w:r>
    </w:p>
    <w:p w14:paraId="5C39FF5F" w14:textId="77777777" w:rsidR="00EC160E" w:rsidRPr="00EC160E" w:rsidRDefault="00EC160E" w:rsidP="000731B9">
      <w:pPr>
        <w:tabs>
          <w:tab w:val="left" w:pos="284"/>
        </w:tabs>
        <w:spacing w:after="0"/>
        <w:ind w:left="284" w:hanging="284"/>
        <w:rPr>
          <w:noProof/>
          <w:sz w:val="16"/>
          <w:szCs w:val="16"/>
        </w:rPr>
      </w:pPr>
      <w:r>
        <w:rPr>
          <w:noProof/>
          <w:sz w:val="16"/>
        </w:rPr>
        <w:t>5</w:t>
      </w:r>
      <w:r>
        <w:rPr>
          <w:noProof/>
          <w:sz w:val="16"/>
        </w:rPr>
        <w:tab/>
        <w:t>Artikel 19, stk. 2, litra d), Finansforordningen: ikkebindende overslag, på grundlag af en statistisk metode, over de forventede årlige bidrag.</w:t>
      </w:r>
      <w:r>
        <w:rPr>
          <w:noProof/>
          <w:sz w:val="16"/>
        </w:rPr>
        <w:tab/>
      </w:r>
      <w:r>
        <w:rPr>
          <w:noProof/>
          <w:sz w:val="16"/>
        </w:rPr>
        <w:tab/>
        <w:t xml:space="preserve"> </w:t>
      </w:r>
    </w:p>
    <w:p w14:paraId="3806CC4F" w14:textId="77777777" w:rsidR="00EC160E" w:rsidRPr="00EC160E" w:rsidRDefault="00EC160E" w:rsidP="000731B9">
      <w:pPr>
        <w:tabs>
          <w:tab w:val="left" w:pos="284"/>
        </w:tabs>
        <w:spacing w:after="0"/>
        <w:ind w:left="284" w:hanging="284"/>
        <w:rPr>
          <w:noProof/>
          <w:sz w:val="16"/>
          <w:szCs w:val="16"/>
        </w:rPr>
      </w:pPr>
      <w:r>
        <w:rPr>
          <w:noProof/>
          <w:sz w:val="16"/>
        </w:rPr>
        <w:t>6</w:t>
      </w:r>
      <w:r>
        <w:rPr>
          <w:noProof/>
          <w:sz w:val="16"/>
        </w:rPr>
        <w:tab/>
        <w:t>EIB's saldo hænger sammen med investeringsfacilitetens natur. Derfor bør investeringsfacilitetens årsregnskaber konsulteres for at få et fuldstændigt overblik og en detaljeret balance ved årets udgang.</w:t>
      </w:r>
    </w:p>
    <w:p w14:paraId="77D8C2A5" w14:textId="77777777" w:rsidR="00EC160E" w:rsidRPr="00EC160E" w:rsidRDefault="00EC160E" w:rsidP="000731B9">
      <w:pPr>
        <w:tabs>
          <w:tab w:val="left" w:pos="284"/>
        </w:tabs>
        <w:spacing w:after="0"/>
        <w:ind w:left="284" w:hanging="284"/>
        <w:rPr>
          <w:noProof/>
          <w:sz w:val="16"/>
          <w:szCs w:val="16"/>
        </w:rPr>
      </w:pPr>
      <w:r>
        <w:rPr>
          <w:noProof/>
          <w:sz w:val="16"/>
        </w:rPr>
        <w:t>7</w:t>
      </w:r>
      <w:r>
        <w:rPr>
          <w:noProof/>
          <w:sz w:val="16"/>
        </w:rPr>
        <w:tab/>
        <w:t xml:space="preserve">Dette er et meget løst skøn baseret på en historisk analyse af andelen af frigørelser for tidligere EUF'er. </w:t>
      </w:r>
    </w:p>
    <w:p w14:paraId="51B02CE0" w14:textId="77777777" w:rsidR="00EC160E" w:rsidRPr="00EC160E" w:rsidRDefault="00EC160E" w:rsidP="000731B9">
      <w:pPr>
        <w:tabs>
          <w:tab w:val="left" w:pos="284"/>
        </w:tabs>
        <w:spacing w:after="0"/>
        <w:ind w:left="284" w:hanging="284"/>
        <w:rPr>
          <w:noProof/>
          <w:sz w:val="16"/>
          <w:szCs w:val="16"/>
        </w:rPr>
      </w:pPr>
      <w:r>
        <w:rPr>
          <w:noProof/>
          <w:sz w:val="16"/>
        </w:rPr>
        <w:t>8</w:t>
      </w:r>
      <w:r>
        <w:rPr>
          <w:noProof/>
          <w:sz w:val="16"/>
        </w:rPr>
        <w:tab/>
        <w:t>Overslaget over tilbagebetalingen af 9. EUF vil blive fastlagt i løbet af 2025. Ifølge vores aktuelle prognoser vil det være begrænset.</w:t>
      </w:r>
    </w:p>
    <w:p w14:paraId="114685AC" w14:textId="77777777" w:rsidR="00EC160E" w:rsidRDefault="00EC160E" w:rsidP="008652FD">
      <w:pPr>
        <w:pStyle w:val="Text1"/>
        <w:ind w:left="0"/>
        <w:rPr>
          <w:noProof/>
          <w:lang w:val="en-IE"/>
        </w:rPr>
      </w:pPr>
    </w:p>
    <w:p w14:paraId="32FF58B1" w14:textId="231C03FE" w:rsidR="00EC160E" w:rsidRPr="00EC160E" w:rsidRDefault="00EC160E" w:rsidP="008652FD">
      <w:pPr>
        <w:pStyle w:val="Text1"/>
        <w:ind w:left="0"/>
        <w:rPr>
          <w:noProof/>
        </w:rPr>
        <w:sectPr w:rsidR="00EC160E" w:rsidRPr="00EC160E" w:rsidSect="006678EA">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276" w:left="851" w:header="708" w:footer="708" w:gutter="0"/>
          <w:cols w:space="720"/>
          <w:docGrid w:linePitch="360"/>
        </w:sectPr>
      </w:pPr>
    </w:p>
    <w:p w14:paraId="18AA7776" w14:textId="1803C4F8" w:rsidR="00C57A0B" w:rsidRDefault="00C57A0B" w:rsidP="00C57A0B">
      <w:pPr>
        <w:pStyle w:val="Heading2"/>
        <w:ind w:right="-32"/>
        <w:rPr>
          <w:noProof/>
        </w:rPr>
      </w:pPr>
      <w:r>
        <w:rPr>
          <w:noProof/>
        </w:rPr>
        <w:t>Tillæg 4: Medlemsstaternes og Det Forenede Kongeriges bidrag for 2025 (EUR)*</w:t>
      </w:r>
    </w:p>
    <w:tbl>
      <w:tblPr>
        <w:tblW w:w="13178" w:type="dxa"/>
        <w:tblLook w:val="04A0" w:firstRow="1" w:lastRow="0" w:firstColumn="1" w:lastColumn="0" w:noHBand="0" w:noVBand="1"/>
      </w:tblPr>
      <w:tblGrid>
        <w:gridCol w:w="1906"/>
        <w:gridCol w:w="1080"/>
        <w:gridCol w:w="1185"/>
        <w:gridCol w:w="993"/>
        <w:gridCol w:w="1275"/>
        <w:gridCol w:w="993"/>
        <w:gridCol w:w="1275"/>
        <w:gridCol w:w="851"/>
        <w:gridCol w:w="1276"/>
        <w:gridCol w:w="1275"/>
        <w:gridCol w:w="1276"/>
      </w:tblGrid>
      <w:tr w:rsidR="00EF31B7" w:rsidRPr="00EF31B7" w14:paraId="12CB4BFC" w14:textId="77777777" w:rsidTr="00EF31B7">
        <w:trPr>
          <w:trHeight w:val="282"/>
        </w:trPr>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0A1D5D" w14:textId="77777777" w:rsidR="00EF31B7" w:rsidRPr="00EF31B7" w:rsidRDefault="00EF31B7" w:rsidP="00EF31B7">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MEDLEMSSTATERNE OG DET FORENEDE KONGERIGE</w:t>
            </w:r>
          </w:p>
        </w:tc>
        <w:tc>
          <w:tcPr>
            <w:tcW w:w="1080" w:type="dxa"/>
            <w:vMerge w:val="restart"/>
            <w:tcBorders>
              <w:top w:val="single" w:sz="4" w:space="0" w:color="auto"/>
              <w:left w:val="single" w:sz="4" w:space="0" w:color="auto"/>
              <w:bottom w:val="single" w:sz="4" w:space="0" w:color="000000"/>
              <w:right w:val="nil"/>
            </w:tcBorders>
            <w:shd w:val="clear" w:color="000000" w:fill="C0C0C0"/>
            <w:vAlign w:val="center"/>
            <w:hideMark/>
          </w:tcPr>
          <w:p w14:paraId="64153600"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Nøgle for 11. EUF (%)</w:t>
            </w:r>
          </w:p>
        </w:tc>
        <w:tc>
          <w:tcPr>
            <w:tcW w:w="209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C58734"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 tranche</w:t>
            </w:r>
          </w:p>
        </w:tc>
        <w:tc>
          <w:tcPr>
            <w:tcW w:w="2268" w:type="dxa"/>
            <w:gridSpan w:val="2"/>
            <w:tcBorders>
              <w:top w:val="single" w:sz="8" w:space="0" w:color="auto"/>
              <w:left w:val="nil"/>
              <w:bottom w:val="single" w:sz="8" w:space="0" w:color="auto"/>
              <w:right w:val="single" w:sz="4" w:space="0" w:color="auto"/>
            </w:tcBorders>
            <w:shd w:val="clear" w:color="auto" w:fill="auto"/>
            <w:noWrap/>
            <w:vAlign w:val="center"/>
            <w:hideMark/>
          </w:tcPr>
          <w:p w14:paraId="60E08A44"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 tranche</w:t>
            </w:r>
          </w:p>
        </w:tc>
        <w:tc>
          <w:tcPr>
            <w:tcW w:w="21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252B45"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3. tranche</w:t>
            </w:r>
          </w:p>
        </w:tc>
        <w:tc>
          <w:tcPr>
            <w:tcW w:w="1276" w:type="dxa"/>
            <w:vMerge w:val="restart"/>
            <w:tcBorders>
              <w:top w:val="single" w:sz="8" w:space="0" w:color="auto"/>
              <w:left w:val="nil"/>
              <w:bottom w:val="single" w:sz="8" w:space="0" w:color="000000"/>
              <w:right w:val="nil"/>
            </w:tcBorders>
            <w:shd w:val="clear" w:color="auto" w:fill="auto"/>
            <w:vAlign w:val="center"/>
            <w:hideMark/>
          </w:tcPr>
          <w:p w14:paraId="29F9C45E"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I alt</w:t>
            </w:r>
            <w:r>
              <w:rPr>
                <w:rFonts w:ascii="Times New Roman" w:hAnsi="Times New Roman"/>
                <w:b/>
                <w:noProof/>
                <w:sz w:val="16"/>
              </w:rPr>
              <w:br/>
              <w:t>Kommissionen</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EF1CDE"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EIB i alt**</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335EDF"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2025 i alt</w:t>
            </w:r>
          </w:p>
        </w:tc>
      </w:tr>
      <w:tr w:rsidR="00EF31B7" w:rsidRPr="00EF31B7" w14:paraId="00E6034A" w14:textId="77777777" w:rsidTr="00EF31B7">
        <w:trPr>
          <w:trHeight w:val="22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1C2EB427"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080" w:type="dxa"/>
            <w:vMerge/>
            <w:tcBorders>
              <w:top w:val="single" w:sz="4" w:space="0" w:color="auto"/>
              <w:left w:val="single" w:sz="4" w:space="0" w:color="auto"/>
              <w:bottom w:val="single" w:sz="4" w:space="0" w:color="000000"/>
              <w:right w:val="nil"/>
            </w:tcBorders>
            <w:vAlign w:val="center"/>
            <w:hideMark/>
          </w:tcPr>
          <w:p w14:paraId="46C1F916"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104" w:type="dxa"/>
            <w:tcBorders>
              <w:top w:val="nil"/>
              <w:left w:val="single" w:sz="8" w:space="0" w:color="auto"/>
              <w:bottom w:val="nil"/>
              <w:right w:val="single" w:sz="4" w:space="0" w:color="auto"/>
            </w:tcBorders>
            <w:shd w:val="clear" w:color="auto" w:fill="auto"/>
            <w:noWrap/>
            <w:vAlign w:val="bottom"/>
            <w:hideMark/>
          </w:tcPr>
          <w:p w14:paraId="1A7D8E52"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993" w:type="dxa"/>
            <w:tcBorders>
              <w:top w:val="nil"/>
              <w:left w:val="nil"/>
              <w:bottom w:val="nil"/>
              <w:right w:val="single" w:sz="8" w:space="0" w:color="auto"/>
            </w:tcBorders>
            <w:shd w:val="clear" w:color="auto" w:fill="auto"/>
            <w:noWrap/>
            <w:vAlign w:val="bottom"/>
            <w:hideMark/>
          </w:tcPr>
          <w:p w14:paraId="5DC9A4A6"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5" w:type="dxa"/>
            <w:tcBorders>
              <w:top w:val="nil"/>
              <w:left w:val="nil"/>
              <w:bottom w:val="nil"/>
              <w:right w:val="single" w:sz="4" w:space="0" w:color="auto"/>
            </w:tcBorders>
            <w:shd w:val="clear" w:color="auto" w:fill="auto"/>
            <w:noWrap/>
            <w:vAlign w:val="bottom"/>
            <w:hideMark/>
          </w:tcPr>
          <w:p w14:paraId="1BBE4B60"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993" w:type="dxa"/>
            <w:tcBorders>
              <w:top w:val="nil"/>
              <w:left w:val="nil"/>
              <w:bottom w:val="nil"/>
              <w:right w:val="nil"/>
            </w:tcBorders>
            <w:shd w:val="clear" w:color="auto" w:fill="auto"/>
            <w:noWrap/>
            <w:vAlign w:val="bottom"/>
            <w:hideMark/>
          </w:tcPr>
          <w:p w14:paraId="6E5E57E5"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5" w:type="dxa"/>
            <w:tcBorders>
              <w:top w:val="nil"/>
              <w:left w:val="single" w:sz="8" w:space="0" w:color="auto"/>
              <w:bottom w:val="nil"/>
              <w:right w:val="single" w:sz="4" w:space="0" w:color="auto"/>
            </w:tcBorders>
            <w:shd w:val="clear" w:color="auto" w:fill="auto"/>
            <w:noWrap/>
            <w:vAlign w:val="bottom"/>
            <w:hideMark/>
          </w:tcPr>
          <w:p w14:paraId="345EEAF9"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851" w:type="dxa"/>
            <w:tcBorders>
              <w:top w:val="nil"/>
              <w:left w:val="nil"/>
              <w:bottom w:val="nil"/>
              <w:right w:val="single" w:sz="8" w:space="0" w:color="auto"/>
            </w:tcBorders>
            <w:shd w:val="clear" w:color="auto" w:fill="auto"/>
            <w:noWrap/>
            <w:vAlign w:val="bottom"/>
            <w:hideMark/>
          </w:tcPr>
          <w:p w14:paraId="386912D2"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6" w:type="dxa"/>
            <w:vMerge/>
            <w:tcBorders>
              <w:top w:val="single" w:sz="8" w:space="0" w:color="auto"/>
              <w:left w:val="nil"/>
              <w:bottom w:val="single" w:sz="8" w:space="0" w:color="000000"/>
              <w:right w:val="nil"/>
            </w:tcBorders>
            <w:vAlign w:val="center"/>
            <w:hideMark/>
          </w:tcPr>
          <w:p w14:paraId="3203DD41"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94BCDB8"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C1FF425"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r>
      <w:tr w:rsidR="00EF31B7" w:rsidRPr="00EF31B7" w14:paraId="202D7E4A" w14:textId="77777777" w:rsidTr="00EF31B7">
        <w:trPr>
          <w:trHeight w:val="22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1318EB2D"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080" w:type="dxa"/>
            <w:vMerge/>
            <w:tcBorders>
              <w:top w:val="single" w:sz="4" w:space="0" w:color="auto"/>
              <w:left w:val="single" w:sz="4" w:space="0" w:color="auto"/>
              <w:bottom w:val="single" w:sz="4" w:space="0" w:color="000000"/>
              <w:right w:val="nil"/>
            </w:tcBorders>
            <w:vAlign w:val="center"/>
            <w:hideMark/>
          </w:tcPr>
          <w:p w14:paraId="3E02E727"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104" w:type="dxa"/>
            <w:tcBorders>
              <w:top w:val="nil"/>
              <w:left w:val="single" w:sz="8" w:space="0" w:color="auto"/>
              <w:bottom w:val="single" w:sz="8" w:space="0" w:color="auto"/>
              <w:right w:val="single" w:sz="4" w:space="0" w:color="auto"/>
            </w:tcBorders>
            <w:shd w:val="clear" w:color="auto" w:fill="auto"/>
            <w:noWrap/>
            <w:vAlign w:val="bottom"/>
            <w:hideMark/>
          </w:tcPr>
          <w:p w14:paraId="106AA54A"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993" w:type="dxa"/>
            <w:tcBorders>
              <w:top w:val="nil"/>
              <w:left w:val="nil"/>
              <w:bottom w:val="single" w:sz="8" w:space="0" w:color="auto"/>
              <w:right w:val="single" w:sz="8" w:space="0" w:color="auto"/>
            </w:tcBorders>
            <w:shd w:val="clear" w:color="auto" w:fill="auto"/>
            <w:noWrap/>
            <w:vAlign w:val="bottom"/>
            <w:hideMark/>
          </w:tcPr>
          <w:p w14:paraId="6653C912"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5" w:type="dxa"/>
            <w:tcBorders>
              <w:top w:val="nil"/>
              <w:left w:val="nil"/>
              <w:bottom w:val="single" w:sz="8" w:space="0" w:color="auto"/>
              <w:right w:val="single" w:sz="4" w:space="0" w:color="auto"/>
            </w:tcBorders>
            <w:shd w:val="clear" w:color="auto" w:fill="auto"/>
            <w:noWrap/>
            <w:vAlign w:val="bottom"/>
            <w:hideMark/>
          </w:tcPr>
          <w:p w14:paraId="3755926E"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993" w:type="dxa"/>
            <w:tcBorders>
              <w:top w:val="nil"/>
              <w:left w:val="nil"/>
              <w:bottom w:val="single" w:sz="8" w:space="0" w:color="auto"/>
              <w:right w:val="nil"/>
            </w:tcBorders>
            <w:shd w:val="clear" w:color="auto" w:fill="auto"/>
            <w:noWrap/>
            <w:vAlign w:val="bottom"/>
            <w:hideMark/>
          </w:tcPr>
          <w:p w14:paraId="68DF4619"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5" w:type="dxa"/>
            <w:tcBorders>
              <w:top w:val="nil"/>
              <w:left w:val="single" w:sz="8" w:space="0" w:color="auto"/>
              <w:bottom w:val="single" w:sz="8" w:space="0" w:color="auto"/>
              <w:right w:val="single" w:sz="4" w:space="0" w:color="auto"/>
            </w:tcBorders>
            <w:shd w:val="clear" w:color="auto" w:fill="auto"/>
            <w:noWrap/>
            <w:vAlign w:val="bottom"/>
            <w:hideMark/>
          </w:tcPr>
          <w:p w14:paraId="58911981"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851" w:type="dxa"/>
            <w:tcBorders>
              <w:top w:val="nil"/>
              <w:left w:val="nil"/>
              <w:bottom w:val="single" w:sz="8" w:space="0" w:color="auto"/>
              <w:right w:val="single" w:sz="8" w:space="0" w:color="auto"/>
            </w:tcBorders>
            <w:shd w:val="clear" w:color="auto" w:fill="auto"/>
            <w:noWrap/>
            <w:vAlign w:val="bottom"/>
            <w:hideMark/>
          </w:tcPr>
          <w:p w14:paraId="518C3D55"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6" w:type="dxa"/>
            <w:vMerge/>
            <w:tcBorders>
              <w:top w:val="single" w:sz="8" w:space="0" w:color="auto"/>
              <w:left w:val="nil"/>
              <w:bottom w:val="single" w:sz="8" w:space="0" w:color="000000"/>
              <w:right w:val="nil"/>
            </w:tcBorders>
            <w:vAlign w:val="center"/>
            <w:hideMark/>
          </w:tcPr>
          <w:p w14:paraId="0C19CD0F"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4DC707F"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7D48CE2"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r>
      <w:tr w:rsidR="00EF31B7" w:rsidRPr="00EF31B7" w14:paraId="30E5EA3D"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C529B9A"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BELGIEN</w:t>
            </w:r>
          </w:p>
        </w:tc>
        <w:tc>
          <w:tcPr>
            <w:tcW w:w="1080" w:type="dxa"/>
            <w:tcBorders>
              <w:top w:val="nil"/>
              <w:left w:val="nil"/>
              <w:bottom w:val="nil"/>
              <w:right w:val="nil"/>
            </w:tcBorders>
            <w:shd w:val="clear" w:color="000000" w:fill="C0C0C0"/>
            <w:noWrap/>
            <w:vAlign w:val="center"/>
            <w:hideMark/>
          </w:tcPr>
          <w:p w14:paraId="582817B2"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1104" w:type="dxa"/>
            <w:tcBorders>
              <w:top w:val="nil"/>
              <w:left w:val="single" w:sz="4" w:space="0" w:color="auto"/>
              <w:bottom w:val="nil"/>
              <w:right w:val="single" w:sz="8" w:space="0" w:color="auto"/>
            </w:tcBorders>
            <w:shd w:val="clear" w:color="000000" w:fill="FFFFFF"/>
            <w:noWrap/>
            <w:vAlign w:val="bottom"/>
            <w:hideMark/>
          </w:tcPr>
          <w:p w14:paraId="1521DCB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11 372 445</w:t>
            </w:r>
          </w:p>
        </w:tc>
        <w:tc>
          <w:tcPr>
            <w:tcW w:w="993" w:type="dxa"/>
            <w:tcBorders>
              <w:top w:val="nil"/>
              <w:left w:val="single" w:sz="4" w:space="0" w:color="auto"/>
              <w:bottom w:val="nil"/>
              <w:right w:val="single" w:sz="8" w:space="0" w:color="auto"/>
            </w:tcBorders>
            <w:shd w:val="clear" w:color="000000" w:fill="FFFFFF"/>
            <w:noWrap/>
            <w:vAlign w:val="bottom"/>
            <w:hideMark/>
          </w:tcPr>
          <w:p w14:paraId="4F1CEBD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292 434</w:t>
            </w:r>
          </w:p>
        </w:tc>
        <w:tc>
          <w:tcPr>
            <w:tcW w:w="1275" w:type="dxa"/>
            <w:tcBorders>
              <w:top w:val="nil"/>
              <w:left w:val="single" w:sz="4" w:space="0" w:color="auto"/>
              <w:bottom w:val="nil"/>
              <w:right w:val="single" w:sz="8" w:space="0" w:color="auto"/>
            </w:tcBorders>
            <w:shd w:val="clear" w:color="000000" w:fill="FFFFFF"/>
            <w:noWrap/>
            <w:vAlign w:val="bottom"/>
            <w:hideMark/>
          </w:tcPr>
          <w:p w14:paraId="238F5F2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8 123 175</w:t>
            </w:r>
          </w:p>
        </w:tc>
        <w:tc>
          <w:tcPr>
            <w:tcW w:w="993" w:type="dxa"/>
            <w:tcBorders>
              <w:top w:val="nil"/>
              <w:left w:val="single" w:sz="4" w:space="0" w:color="auto"/>
              <w:bottom w:val="nil"/>
              <w:right w:val="single" w:sz="8" w:space="0" w:color="auto"/>
            </w:tcBorders>
            <w:shd w:val="clear" w:color="000000" w:fill="FFFFFF"/>
            <w:noWrap/>
            <w:vAlign w:val="bottom"/>
            <w:hideMark/>
          </w:tcPr>
          <w:p w14:paraId="4E425E2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322786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6 498 540</w:t>
            </w:r>
          </w:p>
        </w:tc>
        <w:tc>
          <w:tcPr>
            <w:tcW w:w="851" w:type="dxa"/>
            <w:tcBorders>
              <w:top w:val="nil"/>
              <w:left w:val="single" w:sz="4" w:space="0" w:color="auto"/>
              <w:bottom w:val="nil"/>
              <w:right w:val="single" w:sz="8" w:space="0" w:color="auto"/>
            </w:tcBorders>
            <w:shd w:val="clear" w:color="000000" w:fill="FFFFFF"/>
            <w:noWrap/>
            <w:vAlign w:val="bottom"/>
            <w:hideMark/>
          </w:tcPr>
          <w:p w14:paraId="3C71BB6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22FD3F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25 994 160</w:t>
            </w:r>
          </w:p>
        </w:tc>
        <w:tc>
          <w:tcPr>
            <w:tcW w:w="1275" w:type="dxa"/>
            <w:tcBorders>
              <w:top w:val="nil"/>
              <w:left w:val="single" w:sz="4" w:space="0" w:color="auto"/>
              <w:bottom w:val="nil"/>
              <w:right w:val="single" w:sz="8" w:space="0" w:color="auto"/>
            </w:tcBorders>
            <w:shd w:val="clear" w:color="000000" w:fill="FFFFFF"/>
            <w:noWrap/>
            <w:vAlign w:val="bottom"/>
            <w:hideMark/>
          </w:tcPr>
          <w:p w14:paraId="2FE340E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292 434</w:t>
            </w:r>
          </w:p>
        </w:tc>
        <w:tc>
          <w:tcPr>
            <w:tcW w:w="1276" w:type="dxa"/>
            <w:tcBorders>
              <w:top w:val="nil"/>
              <w:left w:val="single" w:sz="4" w:space="0" w:color="auto"/>
              <w:bottom w:val="nil"/>
              <w:right w:val="single" w:sz="8" w:space="0" w:color="auto"/>
            </w:tcBorders>
            <w:shd w:val="clear" w:color="000000" w:fill="FFFFFF"/>
            <w:noWrap/>
            <w:vAlign w:val="bottom"/>
            <w:hideMark/>
          </w:tcPr>
          <w:p w14:paraId="3C3DFB7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26 286 594</w:t>
            </w:r>
          </w:p>
        </w:tc>
      </w:tr>
      <w:tr w:rsidR="00EF31B7" w:rsidRPr="00EF31B7" w14:paraId="09E6877B"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F57FB5A"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BULGARIEN</w:t>
            </w:r>
          </w:p>
        </w:tc>
        <w:tc>
          <w:tcPr>
            <w:tcW w:w="1080" w:type="dxa"/>
            <w:tcBorders>
              <w:top w:val="nil"/>
              <w:left w:val="nil"/>
              <w:bottom w:val="nil"/>
              <w:right w:val="nil"/>
            </w:tcBorders>
            <w:shd w:val="clear" w:color="000000" w:fill="C0C0C0"/>
            <w:noWrap/>
            <w:vAlign w:val="center"/>
            <w:hideMark/>
          </w:tcPr>
          <w:p w14:paraId="6D5299B0"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1104" w:type="dxa"/>
            <w:tcBorders>
              <w:top w:val="nil"/>
              <w:left w:val="single" w:sz="4" w:space="0" w:color="auto"/>
              <w:bottom w:val="nil"/>
              <w:right w:val="single" w:sz="8" w:space="0" w:color="auto"/>
            </w:tcBorders>
            <w:shd w:val="clear" w:color="000000" w:fill="FFFFFF"/>
            <w:noWrap/>
            <w:vAlign w:val="bottom"/>
            <w:hideMark/>
          </w:tcPr>
          <w:p w14:paraId="14DEE7A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764 855</w:t>
            </w:r>
          </w:p>
        </w:tc>
        <w:tc>
          <w:tcPr>
            <w:tcW w:w="993" w:type="dxa"/>
            <w:tcBorders>
              <w:top w:val="nil"/>
              <w:left w:val="single" w:sz="4" w:space="0" w:color="auto"/>
              <w:bottom w:val="nil"/>
              <w:right w:val="single" w:sz="8" w:space="0" w:color="auto"/>
            </w:tcBorders>
            <w:shd w:val="clear" w:color="000000" w:fill="FFFFFF"/>
            <w:noWrap/>
            <w:vAlign w:val="bottom"/>
            <w:hideMark/>
          </w:tcPr>
          <w:p w14:paraId="4669CF1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19 668</w:t>
            </w:r>
          </w:p>
        </w:tc>
        <w:tc>
          <w:tcPr>
            <w:tcW w:w="1275" w:type="dxa"/>
            <w:tcBorders>
              <w:top w:val="nil"/>
              <w:left w:val="single" w:sz="4" w:space="0" w:color="auto"/>
              <w:bottom w:val="nil"/>
              <w:right w:val="single" w:sz="8" w:space="0" w:color="auto"/>
            </w:tcBorders>
            <w:shd w:val="clear" w:color="000000" w:fill="FFFFFF"/>
            <w:noWrap/>
            <w:vAlign w:val="bottom"/>
            <w:hideMark/>
          </w:tcPr>
          <w:p w14:paraId="643B05B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546 325</w:t>
            </w:r>
          </w:p>
        </w:tc>
        <w:tc>
          <w:tcPr>
            <w:tcW w:w="993" w:type="dxa"/>
            <w:tcBorders>
              <w:top w:val="nil"/>
              <w:left w:val="single" w:sz="4" w:space="0" w:color="auto"/>
              <w:bottom w:val="nil"/>
              <w:right w:val="single" w:sz="8" w:space="0" w:color="auto"/>
            </w:tcBorders>
            <w:shd w:val="clear" w:color="000000" w:fill="FFFFFF"/>
            <w:noWrap/>
            <w:vAlign w:val="bottom"/>
            <w:hideMark/>
          </w:tcPr>
          <w:p w14:paraId="47562AB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FB0CED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437 060</w:t>
            </w:r>
          </w:p>
        </w:tc>
        <w:tc>
          <w:tcPr>
            <w:tcW w:w="851" w:type="dxa"/>
            <w:tcBorders>
              <w:top w:val="nil"/>
              <w:left w:val="single" w:sz="4" w:space="0" w:color="auto"/>
              <w:bottom w:val="nil"/>
              <w:right w:val="single" w:sz="8" w:space="0" w:color="auto"/>
            </w:tcBorders>
            <w:shd w:val="clear" w:color="000000" w:fill="FFFFFF"/>
            <w:noWrap/>
            <w:vAlign w:val="bottom"/>
            <w:hideMark/>
          </w:tcPr>
          <w:p w14:paraId="4CFD238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26495FD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1 748 240</w:t>
            </w:r>
          </w:p>
        </w:tc>
        <w:tc>
          <w:tcPr>
            <w:tcW w:w="1275" w:type="dxa"/>
            <w:tcBorders>
              <w:top w:val="nil"/>
              <w:left w:val="single" w:sz="4" w:space="0" w:color="auto"/>
              <w:bottom w:val="nil"/>
              <w:right w:val="single" w:sz="8" w:space="0" w:color="auto"/>
            </w:tcBorders>
            <w:shd w:val="clear" w:color="000000" w:fill="FFFFFF"/>
            <w:noWrap/>
            <w:vAlign w:val="bottom"/>
            <w:hideMark/>
          </w:tcPr>
          <w:p w14:paraId="67EF8F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19 668</w:t>
            </w:r>
          </w:p>
        </w:tc>
        <w:tc>
          <w:tcPr>
            <w:tcW w:w="1276" w:type="dxa"/>
            <w:tcBorders>
              <w:top w:val="nil"/>
              <w:left w:val="single" w:sz="4" w:space="0" w:color="auto"/>
              <w:bottom w:val="nil"/>
              <w:right w:val="single" w:sz="8" w:space="0" w:color="auto"/>
            </w:tcBorders>
            <w:shd w:val="clear" w:color="000000" w:fill="FFFFFF"/>
            <w:noWrap/>
            <w:vAlign w:val="bottom"/>
            <w:hideMark/>
          </w:tcPr>
          <w:p w14:paraId="6C5B696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1 767 908</w:t>
            </w:r>
          </w:p>
        </w:tc>
      </w:tr>
      <w:tr w:rsidR="00EF31B7" w:rsidRPr="00EF31B7" w14:paraId="27EE7AB1"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BE83A0B"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TJEKKIET</w:t>
            </w:r>
          </w:p>
        </w:tc>
        <w:tc>
          <w:tcPr>
            <w:tcW w:w="1080" w:type="dxa"/>
            <w:tcBorders>
              <w:top w:val="nil"/>
              <w:left w:val="nil"/>
              <w:bottom w:val="nil"/>
              <w:right w:val="nil"/>
            </w:tcBorders>
            <w:shd w:val="clear" w:color="000000" w:fill="C0C0C0"/>
            <w:noWrap/>
            <w:vAlign w:val="center"/>
            <w:hideMark/>
          </w:tcPr>
          <w:p w14:paraId="4707B952"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1104" w:type="dxa"/>
            <w:tcBorders>
              <w:top w:val="nil"/>
              <w:left w:val="single" w:sz="4" w:space="0" w:color="auto"/>
              <w:bottom w:val="nil"/>
              <w:right w:val="single" w:sz="8" w:space="0" w:color="auto"/>
            </w:tcBorders>
            <w:shd w:val="clear" w:color="000000" w:fill="FFFFFF"/>
            <w:noWrap/>
            <w:vAlign w:val="bottom"/>
            <w:hideMark/>
          </w:tcPr>
          <w:p w14:paraId="0E5D6C6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2 791 075</w:t>
            </w:r>
          </w:p>
        </w:tc>
        <w:tc>
          <w:tcPr>
            <w:tcW w:w="993" w:type="dxa"/>
            <w:tcBorders>
              <w:top w:val="nil"/>
              <w:left w:val="single" w:sz="4" w:space="0" w:color="auto"/>
              <w:bottom w:val="nil"/>
              <w:right w:val="single" w:sz="8" w:space="0" w:color="auto"/>
            </w:tcBorders>
            <w:shd w:val="clear" w:color="000000" w:fill="FFFFFF"/>
            <w:noWrap/>
            <w:vAlign w:val="bottom"/>
            <w:hideMark/>
          </w:tcPr>
          <w:p w14:paraId="3114C80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71 771</w:t>
            </w:r>
          </w:p>
        </w:tc>
        <w:tc>
          <w:tcPr>
            <w:tcW w:w="1275" w:type="dxa"/>
            <w:tcBorders>
              <w:top w:val="nil"/>
              <w:left w:val="single" w:sz="4" w:space="0" w:color="auto"/>
              <w:bottom w:val="nil"/>
              <w:right w:val="single" w:sz="8" w:space="0" w:color="auto"/>
            </w:tcBorders>
            <w:shd w:val="clear" w:color="000000" w:fill="FFFFFF"/>
            <w:noWrap/>
            <w:vAlign w:val="bottom"/>
            <w:hideMark/>
          </w:tcPr>
          <w:p w14:paraId="054A336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1 993 625</w:t>
            </w:r>
          </w:p>
        </w:tc>
        <w:tc>
          <w:tcPr>
            <w:tcW w:w="993" w:type="dxa"/>
            <w:tcBorders>
              <w:top w:val="nil"/>
              <w:left w:val="single" w:sz="4" w:space="0" w:color="auto"/>
              <w:bottom w:val="nil"/>
              <w:right w:val="single" w:sz="8" w:space="0" w:color="auto"/>
            </w:tcBorders>
            <w:shd w:val="clear" w:color="000000" w:fill="FFFFFF"/>
            <w:noWrap/>
            <w:vAlign w:val="bottom"/>
            <w:hideMark/>
          </w:tcPr>
          <w:p w14:paraId="0AA3744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BB08A8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1 594 900</w:t>
            </w:r>
          </w:p>
        </w:tc>
        <w:tc>
          <w:tcPr>
            <w:tcW w:w="851" w:type="dxa"/>
            <w:tcBorders>
              <w:top w:val="nil"/>
              <w:left w:val="single" w:sz="4" w:space="0" w:color="auto"/>
              <w:bottom w:val="nil"/>
              <w:right w:val="single" w:sz="8" w:space="0" w:color="auto"/>
            </w:tcBorders>
            <w:shd w:val="clear" w:color="000000" w:fill="FFFFFF"/>
            <w:noWrap/>
            <w:vAlign w:val="bottom"/>
            <w:hideMark/>
          </w:tcPr>
          <w:p w14:paraId="7EC03D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2FFEA8B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6 379 600</w:t>
            </w:r>
          </w:p>
        </w:tc>
        <w:tc>
          <w:tcPr>
            <w:tcW w:w="1275" w:type="dxa"/>
            <w:tcBorders>
              <w:top w:val="nil"/>
              <w:left w:val="single" w:sz="4" w:space="0" w:color="auto"/>
              <w:bottom w:val="nil"/>
              <w:right w:val="single" w:sz="8" w:space="0" w:color="auto"/>
            </w:tcBorders>
            <w:shd w:val="clear" w:color="000000" w:fill="FFFFFF"/>
            <w:noWrap/>
            <w:vAlign w:val="bottom"/>
            <w:hideMark/>
          </w:tcPr>
          <w:p w14:paraId="579C756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71 771</w:t>
            </w:r>
          </w:p>
        </w:tc>
        <w:tc>
          <w:tcPr>
            <w:tcW w:w="1276" w:type="dxa"/>
            <w:tcBorders>
              <w:top w:val="nil"/>
              <w:left w:val="single" w:sz="4" w:space="0" w:color="auto"/>
              <w:bottom w:val="nil"/>
              <w:right w:val="single" w:sz="8" w:space="0" w:color="auto"/>
            </w:tcBorders>
            <w:shd w:val="clear" w:color="000000" w:fill="FFFFFF"/>
            <w:noWrap/>
            <w:vAlign w:val="bottom"/>
            <w:hideMark/>
          </w:tcPr>
          <w:p w14:paraId="2850342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6 451 371</w:t>
            </w:r>
          </w:p>
        </w:tc>
      </w:tr>
      <w:tr w:rsidR="00EF31B7" w:rsidRPr="00EF31B7" w14:paraId="7570C81B"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2E591B3"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DANMARK</w:t>
            </w:r>
          </w:p>
        </w:tc>
        <w:tc>
          <w:tcPr>
            <w:tcW w:w="1080" w:type="dxa"/>
            <w:tcBorders>
              <w:top w:val="nil"/>
              <w:left w:val="nil"/>
              <w:bottom w:val="nil"/>
              <w:right w:val="nil"/>
            </w:tcBorders>
            <w:shd w:val="clear" w:color="000000" w:fill="C0C0C0"/>
            <w:noWrap/>
            <w:vAlign w:val="center"/>
            <w:hideMark/>
          </w:tcPr>
          <w:p w14:paraId="3C1338C0"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1104" w:type="dxa"/>
            <w:tcBorders>
              <w:top w:val="nil"/>
              <w:left w:val="single" w:sz="4" w:space="0" w:color="auto"/>
              <w:bottom w:val="nil"/>
              <w:right w:val="single" w:sz="8" w:space="0" w:color="auto"/>
            </w:tcBorders>
            <w:shd w:val="clear" w:color="000000" w:fill="FFFFFF"/>
            <w:noWrap/>
            <w:vAlign w:val="bottom"/>
            <w:hideMark/>
          </w:tcPr>
          <w:p w14:paraId="4874E47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6 931 575</w:t>
            </w:r>
          </w:p>
        </w:tc>
        <w:tc>
          <w:tcPr>
            <w:tcW w:w="993" w:type="dxa"/>
            <w:tcBorders>
              <w:top w:val="nil"/>
              <w:left w:val="single" w:sz="4" w:space="0" w:color="auto"/>
              <w:bottom w:val="nil"/>
              <w:right w:val="single" w:sz="8" w:space="0" w:color="auto"/>
            </w:tcBorders>
            <w:shd w:val="clear" w:color="000000" w:fill="FFFFFF"/>
            <w:noWrap/>
            <w:vAlign w:val="bottom"/>
            <w:hideMark/>
          </w:tcPr>
          <w:p w14:paraId="476E458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178 241</w:t>
            </w:r>
          </w:p>
        </w:tc>
        <w:tc>
          <w:tcPr>
            <w:tcW w:w="1275" w:type="dxa"/>
            <w:tcBorders>
              <w:top w:val="nil"/>
              <w:left w:val="single" w:sz="4" w:space="0" w:color="auto"/>
              <w:bottom w:val="nil"/>
              <w:right w:val="single" w:sz="8" w:space="0" w:color="auto"/>
            </w:tcBorders>
            <w:shd w:val="clear" w:color="000000" w:fill="FFFFFF"/>
            <w:noWrap/>
            <w:vAlign w:val="bottom"/>
            <w:hideMark/>
          </w:tcPr>
          <w:p w14:paraId="6C6D6B9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4 951 125</w:t>
            </w:r>
          </w:p>
        </w:tc>
        <w:tc>
          <w:tcPr>
            <w:tcW w:w="993" w:type="dxa"/>
            <w:tcBorders>
              <w:top w:val="nil"/>
              <w:left w:val="single" w:sz="4" w:space="0" w:color="auto"/>
              <w:bottom w:val="nil"/>
              <w:right w:val="single" w:sz="8" w:space="0" w:color="auto"/>
            </w:tcBorders>
            <w:shd w:val="clear" w:color="000000" w:fill="FFFFFF"/>
            <w:noWrap/>
            <w:vAlign w:val="bottom"/>
            <w:hideMark/>
          </w:tcPr>
          <w:p w14:paraId="3CC6224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81DD92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3 960 900</w:t>
            </w:r>
          </w:p>
        </w:tc>
        <w:tc>
          <w:tcPr>
            <w:tcW w:w="851" w:type="dxa"/>
            <w:tcBorders>
              <w:top w:val="nil"/>
              <w:left w:val="single" w:sz="4" w:space="0" w:color="auto"/>
              <w:bottom w:val="nil"/>
              <w:right w:val="single" w:sz="8" w:space="0" w:color="auto"/>
            </w:tcBorders>
            <w:shd w:val="clear" w:color="000000" w:fill="FFFFFF"/>
            <w:noWrap/>
            <w:vAlign w:val="bottom"/>
            <w:hideMark/>
          </w:tcPr>
          <w:p w14:paraId="4C1FB0F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6D3BAE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15 843 600</w:t>
            </w:r>
          </w:p>
        </w:tc>
        <w:tc>
          <w:tcPr>
            <w:tcW w:w="1275" w:type="dxa"/>
            <w:tcBorders>
              <w:top w:val="nil"/>
              <w:left w:val="single" w:sz="4" w:space="0" w:color="auto"/>
              <w:bottom w:val="nil"/>
              <w:right w:val="single" w:sz="8" w:space="0" w:color="auto"/>
            </w:tcBorders>
            <w:shd w:val="clear" w:color="000000" w:fill="FFFFFF"/>
            <w:noWrap/>
            <w:vAlign w:val="bottom"/>
            <w:hideMark/>
          </w:tcPr>
          <w:p w14:paraId="33B545D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178 241</w:t>
            </w:r>
          </w:p>
        </w:tc>
        <w:tc>
          <w:tcPr>
            <w:tcW w:w="1276" w:type="dxa"/>
            <w:tcBorders>
              <w:top w:val="nil"/>
              <w:left w:val="single" w:sz="4" w:space="0" w:color="auto"/>
              <w:bottom w:val="nil"/>
              <w:right w:val="single" w:sz="8" w:space="0" w:color="auto"/>
            </w:tcBorders>
            <w:shd w:val="clear" w:color="000000" w:fill="FFFFFF"/>
            <w:noWrap/>
            <w:vAlign w:val="bottom"/>
            <w:hideMark/>
          </w:tcPr>
          <w:p w14:paraId="4C445B5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16 021 841</w:t>
            </w:r>
          </w:p>
        </w:tc>
      </w:tr>
      <w:tr w:rsidR="00EF31B7" w:rsidRPr="00EF31B7" w14:paraId="7C4CD159"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2B9BA29"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TYSKLAND</w:t>
            </w:r>
          </w:p>
        </w:tc>
        <w:tc>
          <w:tcPr>
            <w:tcW w:w="1080" w:type="dxa"/>
            <w:tcBorders>
              <w:top w:val="nil"/>
              <w:left w:val="nil"/>
              <w:bottom w:val="nil"/>
              <w:right w:val="nil"/>
            </w:tcBorders>
            <w:shd w:val="clear" w:color="000000" w:fill="C0C0C0"/>
            <w:noWrap/>
            <w:vAlign w:val="center"/>
            <w:hideMark/>
          </w:tcPr>
          <w:p w14:paraId="2A275E3C"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1104" w:type="dxa"/>
            <w:tcBorders>
              <w:top w:val="nil"/>
              <w:left w:val="single" w:sz="4" w:space="0" w:color="auto"/>
              <w:bottom w:val="nil"/>
              <w:right w:val="single" w:sz="8" w:space="0" w:color="auto"/>
            </w:tcBorders>
            <w:shd w:val="clear" w:color="000000" w:fill="FFFFFF"/>
            <w:noWrap/>
            <w:vAlign w:val="bottom"/>
            <w:hideMark/>
          </w:tcPr>
          <w:p w14:paraId="4356E52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72 029 300</w:t>
            </w:r>
          </w:p>
        </w:tc>
        <w:tc>
          <w:tcPr>
            <w:tcW w:w="993" w:type="dxa"/>
            <w:tcBorders>
              <w:top w:val="nil"/>
              <w:left w:val="single" w:sz="4" w:space="0" w:color="auto"/>
              <w:bottom w:val="nil"/>
              <w:right w:val="single" w:sz="8" w:space="0" w:color="auto"/>
            </w:tcBorders>
            <w:shd w:val="clear" w:color="000000" w:fill="FFFFFF"/>
            <w:noWrap/>
            <w:vAlign w:val="bottom"/>
            <w:hideMark/>
          </w:tcPr>
          <w:p w14:paraId="77A1492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1 852 182</w:t>
            </w:r>
          </w:p>
        </w:tc>
        <w:tc>
          <w:tcPr>
            <w:tcW w:w="1275" w:type="dxa"/>
            <w:tcBorders>
              <w:top w:val="nil"/>
              <w:left w:val="single" w:sz="4" w:space="0" w:color="auto"/>
              <w:bottom w:val="nil"/>
              <w:right w:val="single" w:sz="8" w:space="0" w:color="auto"/>
            </w:tcBorders>
            <w:shd w:val="clear" w:color="000000" w:fill="FFFFFF"/>
            <w:noWrap/>
            <w:vAlign w:val="bottom"/>
            <w:hideMark/>
          </w:tcPr>
          <w:p w14:paraId="01813EE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51 449 500</w:t>
            </w:r>
          </w:p>
        </w:tc>
        <w:tc>
          <w:tcPr>
            <w:tcW w:w="993" w:type="dxa"/>
            <w:tcBorders>
              <w:top w:val="nil"/>
              <w:left w:val="single" w:sz="4" w:space="0" w:color="auto"/>
              <w:bottom w:val="nil"/>
              <w:right w:val="single" w:sz="8" w:space="0" w:color="auto"/>
            </w:tcBorders>
            <w:shd w:val="clear" w:color="000000" w:fill="FFFFFF"/>
            <w:noWrap/>
            <w:vAlign w:val="bottom"/>
            <w:hideMark/>
          </w:tcPr>
          <w:p w14:paraId="565711F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559EA3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41 159 600</w:t>
            </w:r>
          </w:p>
        </w:tc>
        <w:tc>
          <w:tcPr>
            <w:tcW w:w="851" w:type="dxa"/>
            <w:tcBorders>
              <w:top w:val="nil"/>
              <w:left w:val="single" w:sz="4" w:space="0" w:color="auto"/>
              <w:bottom w:val="nil"/>
              <w:right w:val="single" w:sz="8" w:space="0" w:color="auto"/>
            </w:tcBorders>
            <w:shd w:val="clear" w:color="000000" w:fill="FFFFFF"/>
            <w:noWrap/>
            <w:vAlign w:val="bottom"/>
            <w:hideMark/>
          </w:tcPr>
          <w:p w14:paraId="457BBE2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373A23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164 638 400</w:t>
            </w:r>
          </w:p>
        </w:tc>
        <w:tc>
          <w:tcPr>
            <w:tcW w:w="1275" w:type="dxa"/>
            <w:tcBorders>
              <w:top w:val="nil"/>
              <w:left w:val="single" w:sz="4" w:space="0" w:color="auto"/>
              <w:bottom w:val="nil"/>
              <w:right w:val="single" w:sz="8" w:space="0" w:color="auto"/>
            </w:tcBorders>
            <w:shd w:val="clear" w:color="000000" w:fill="FFFFFF"/>
            <w:noWrap/>
            <w:vAlign w:val="bottom"/>
            <w:hideMark/>
          </w:tcPr>
          <w:p w14:paraId="4C6AF6F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1 852 182</w:t>
            </w:r>
          </w:p>
        </w:tc>
        <w:tc>
          <w:tcPr>
            <w:tcW w:w="1276" w:type="dxa"/>
            <w:tcBorders>
              <w:top w:val="nil"/>
              <w:left w:val="single" w:sz="4" w:space="0" w:color="auto"/>
              <w:bottom w:val="nil"/>
              <w:right w:val="single" w:sz="8" w:space="0" w:color="auto"/>
            </w:tcBorders>
            <w:shd w:val="clear" w:color="000000" w:fill="FFFFFF"/>
            <w:noWrap/>
            <w:vAlign w:val="bottom"/>
            <w:hideMark/>
          </w:tcPr>
          <w:p w14:paraId="3E91D95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166 490 582</w:t>
            </w:r>
          </w:p>
        </w:tc>
      </w:tr>
      <w:tr w:rsidR="00EF31B7" w:rsidRPr="00EF31B7" w14:paraId="6FDBD58D"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A083A3F"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ESTLAND</w:t>
            </w:r>
          </w:p>
        </w:tc>
        <w:tc>
          <w:tcPr>
            <w:tcW w:w="1080" w:type="dxa"/>
            <w:tcBorders>
              <w:top w:val="nil"/>
              <w:left w:val="nil"/>
              <w:bottom w:val="nil"/>
              <w:right w:val="nil"/>
            </w:tcBorders>
            <w:shd w:val="clear" w:color="000000" w:fill="C0C0C0"/>
            <w:noWrap/>
            <w:vAlign w:val="center"/>
            <w:hideMark/>
          </w:tcPr>
          <w:p w14:paraId="18AF408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1104" w:type="dxa"/>
            <w:tcBorders>
              <w:top w:val="nil"/>
              <w:left w:val="single" w:sz="4" w:space="0" w:color="auto"/>
              <w:bottom w:val="nil"/>
              <w:right w:val="single" w:sz="8" w:space="0" w:color="auto"/>
            </w:tcBorders>
            <w:shd w:val="clear" w:color="000000" w:fill="FFFFFF"/>
            <w:noWrap/>
            <w:vAlign w:val="bottom"/>
            <w:hideMark/>
          </w:tcPr>
          <w:p w14:paraId="164C4DD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302 225</w:t>
            </w:r>
          </w:p>
        </w:tc>
        <w:tc>
          <w:tcPr>
            <w:tcW w:w="993" w:type="dxa"/>
            <w:tcBorders>
              <w:top w:val="nil"/>
              <w:left w:val="single" w:sz="4" w:space="0" w:color="auto"/>
              <w:bottom w:val="nil"/>
              <w:right w:val="single" w:sz="8" w:space="0" w:color="auto"/>
            </w:tcBorders>
            <w:shd w:val="clear" w:color="000000" w:fill="FFFFFF"/>
            <w:noWrap/>
            <w:vAlign w:val="bottom"/>
            <w:hideMark/>
          </w:tcPr>
          <w:p w14:paraId="0854260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7 772</w:t>
            </w:r>
          </w:p>
        </w:tc>
        <w:tc>
          <w:tcPr>
            <w:tcW w:w="1275" w:type="dxa"/>
            <w:tcBorders>
              <w:top w:val="nil"/>
              <w:left w:val="single" w:sz="4" w:space="0" w:color="auto"/>
              <w:bottom w:val="nil"/>
              <w:right w:val="single" w:sz="8" w:space="0" w:color="auto"/>
            </w:tcBorders>
            <w:shd w:val="clear" w:color="000000" w:fill="FFFFFF"/>
            <w:noWrap/>
            <w:vAlign w:val="bottom"/>
            <w:hideMark/>
          </w:tcPr>
          <w:p w14:paraId="1F438EF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215 875</w:t>
            </w:r>
          </w:p>
        </w:tc>
        <w:tc>
          <w:tcPr>
            <w:tcW w:w="993" w:type="dxa"/>
            <w:tcBorders>
              <w:top w:val="nil"/>
              <w:left w:val="single" w:sz="4" w:space="0" w:color="auto"/>
              <w:bottom w:val="nil"/>
              <w:right w:val="single" w:sz="8" w:space="0" w:color="auto"/>
            </w:tcBorders>
            <w:shd w:val="clear" w:color="000000" w:fill="FFFFFF"/>
            <w:noWrap/>
            <w:vAlign w:val="bottom"/>
            <w:hideMark/>
          </w:tcPr>
          <w:p w14:paraId="7DD185C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A07206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172 700</w:t>
            </w:r>
          </w:p>
        </w:tc>
        <w:tc>
          <w:tcPr>
            <w:tcW w:w="851" w:type="dxa"/>
            <w:tcBorders>
              <w:top w:val="nil"/>
              <w:left w:val="single" w:sz="4" w:space="0" w:color="auto"/>
              <w:bottom w:val="nil"/>
              <w:right w:val="single" w:sz="8" w:space="0" w:color="auto"/>
            </w:tcBorders>
            <w:shd w:val="clear" w:color="000000" w:fill="FFFFFF"/>
            <w:noWrap/>
            <w:vAlign w:val="bottom"/>
            <w:hideMark/>
          </w:tcPr>
          <w:p w14:paraId="2E71FC7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65EFF35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690 800</w:t>
            </w:r>
          </w:p>
        </w:tc>
        <w:tc>
          <w:tcPr>
            <w:tcW w:w="1275" w:type="dxa"/>
            <w:tcBorders>
              <w:top w:val="nil"/>
              <w:left w:val="single" w:sz="4" w:space="0" w:color="auto"/>
              <w:bottom w:val="nil"/>
              <w:right w:val="single" w:sz="8" w:space="0" w:color="auto"/>
            </w:tcBorders>
            <w:shd w:val="clear" w:color="000000" w:fill="FFFFFF"/>
            <w:noWrap/>
            <w:vAlign w:val="bottom"/>
            <w:hideMark/>
          </w:tcPr>
          <w:p w14:paraId="4156553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7 772</w:t>
            </w:r>
          </w:p>
        </w:tc>
        <w:tc>
          <w:tcPr>
            <w:tcW w:w="1276" w:type="dxa"/>
            <w:tcBorders>
              <w:top w:val="nil"/>
              <w:left w:val="single" w:sz="4" w:space="0" w:color="auto"/>
              <w:bottom w:val="nil"/>
              <w:right w:val="single" w:sz="8" w:space="0" w:color="auto"/>
            </w:tcBorders>
            <w:shd w:val="clear" w:color="000000" w:fill="FFFFFF"/>
            <w:noWrap/>
            <w:vAlign w:val="bottom"/>
            <w:hideMark/>
          </w:tcPr>
          <w:p w14:paraId="280F592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698 572</w:t>
            </w:r>
          </w:p>
        </w:tc>
      </w:tr>
      <w:tr w:rsidR="00EF31B7" w:rsidRPr="00EF31B7" w14:paraId="4C68D592"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F9C7EC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IRLAND</w:t>
            </w:r>
          </w:p>
        </w:tc>
        <w:tc>
          <w:tcPr>
            <w:tcW w:w="1080" w:type="dxa"/>
            <w:tcBorders>
              <w:top w:val="nil"/>
              <w:left w:val="nil"/>
              <w:bottom w:val="nil"/>
              <w:right w:val="nil"/>
            </w:tcBorders>
            <w:shd w:val="clear" w:color="000000" w:fill="C0C0C0"/>
            <w:noWrap/>
            <w:vAlign w:val="center"/>
            <w:hideMark/>
          </w:tcPr>
          <w:p w14:paraId="11B787C2"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1104" w:type="dxa"/>
            <w:tcBorders>
              <w:top w:val="nil"/>
              <w:left w:val="single" w:sz="4" w:space="0" w:color="auto"/>
              <w:bottom w:val="nil"/>
              <w:right w:val="single" w:sz="8" w:space="0" w:color="auto"/>
            </w:tcBorders>
            <w:shd w:val="clear" w:color="000000" w:fill="FFFFFF"/>
            <w:noWrap/>
            <w:vAlign w:val="bottom"/>
            <w:hideMark/>
          </w:tcPr>
          <w:p w14:paraId="48DFE88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3 290 210</w:t>
            </w:r>
          </w:p>
        </w:tc>
        <w:tc>
          <w:tcPr>
            <w:tcW w:w="993" w:type="dxa"/>
            <w:tcBorders>
              <w:top w:val="nil"/>
              <w:left w:val="single" w:sz="4" w:space="0" w:color="auto"/>
              <w:bottom w:val="nil"/>
              <w:right w:val="single" w:sz="8" w:space="0" w:color="auto"/>
            </w:tcBorders>
            <w:shd w:val="clear" w:color="000000" w:fill="FFFFFF"/>
            <w:noWrap/>
            <w:vAlign w:val="bottom"/>
            <w:hideMark/>
          </w:tcPr>
          <w:p w14:paraId="50E9699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84 605</w:t>
            </w:r>
          </w:p>
        </w:tc>
        <w:tc>
          <w:tcPr>
            <w:tcW w:w="1275" w:type="dxa"/>
            <w:tcBorders>
              <w:top w:val="nil"/>
              <w:left w:val="single" w:sz="4" w:space="0" w:color="auto"/>
              <w:bottom w:val="nil"/>
              <w:right w:val="single" w:sz="8" w:space="0" w:color="auto"/>
            </w:tcBorders>
            <w:shd w:val="clear" w:color="000000" w:fill="FFFFFF"/>
            <w:noWrap/>
            <w:vAlign w:val="bottom"/>
            <w:hideMark/>
          </w:tcPr>
          <w:p w14:paraId="25840C0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2 350 150</w:t>
            </w:r>
          </w:p>
        </w:tc>
        <w:tc>
          <w:tcPr>
            <w:tcW w:w="993" w:type="dxa"/>
            <w:tcBorders>
              <w:top w:val="nil"/>
              <w:left w:val="single" w:sz="4" w:space="0" w:color="auto"/>
              <w:bottom w:val="nil"/>
              <w:right w:val="single" w:sz="8" w:space="0" w:color="auto"/>
            </w:tcBorders>
            <w:shd w:val="clear" w:color="000000" w:fill="FFFFFF"/>
            <w:noWrap/>
            <w:vAlign w:val="bottom"/>
            <w:hideMark/>
          </w:tcPr>
          <w:p w14:paraId="55CDA03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C89132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1 880 120</w:t>
            </w:r>
          </w:p>
        </w:tc>
        <w:tc>
          <w:tcPr>
            <w:tcW w:w="851" w:type="dxa"/>
            <w:tcBorders>
              <w:top w:val="nil"/>
              <w:left w:val="single" w:sz="4" w:space="0" w:color="auto"/>
              <w:bottom w:val="nil"/>
              <w:right w:val="single" w:sz="8" w:space="0" w:color="auto"/>
            </w:tcBorders>
            <w:shd w:val="clear" w:color="000000" w:fill="FFFFFF"/>
            <w:noWrap/>
            <w:vAlign w:val="bottom"/>
            <w:hideMark/>
          </w:tcPr>
          <w:p w14:paraId="41AFEA6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14C120B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7 520 480</w:t>
            </w:r>
          </w:p>
        </w:tc>
        <w:tc>
          <w:tcPr>
            <w:tcW w:w="1275" w:type="dxa"/>
            <w:tcBorders>
              <w:top w:val="nil"/>
              <w:left w:val="single" w:sz="4" w:space="0" w:color="auto"/>
              <w:bottom w:val="nil"/>
              <w:right w:val="single" w:sz="8" w:space="0" w:color="auto"/>
            </w:tcBorders>
            <w:shd w:val="clear" w:color="000000" w:fill="FFFFFF"/>
            <w:noWrap/>
            <w:vAlign w:val="bottom"/>
            <w:hideMark/>
          </w:tcPr>
          <w:p w14:paraId="5011643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84 605</w:t>
            </w:r>
          </w:p>
        </w:tc>
        <w:tc>
          <w:tcPr>
            <w:tcW w:w="1276" w:type="dxa"/>
            <w:tcBorders>
              <w:top w:val="nil"/>
              <w:left w:val="single" w:sz="4" w:space="0" w:color="auto"/>
              <w:bottom w:val="nil"/>
              <w:right w:val="single" w:sz="8" w:space="0" w:color="auto"/>
            </w:tcBorders>
            <w:shd w:val="clear" w:color="000000" w:fill="FFFFFF"/>
            <w:noWrap/>
            <w:vAlign w:val="bottom"/>
            <w:hideMark/>
          </w:tcPr>
          <w:p w14:paraId="463DD03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7 605 085</w:t>
            </w:r>
          </w:p>
        </w:tc>
      </w:tr>
      <w:tr w:rsidR="00EF31B7" w:rsidRPr="00EF31B7" w14:paraId="79DA093F"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CD61FD9"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GRÆKENLAND</w:t>
            </w:r>
          </w:p>
        </w:tc>
        <w:tc>
          <w:tcPr>
            <w:tcW w:w="1080" w:type="dxa"/>
            <w:tcBorders>
              <w:top w:val="nil"/>
              <w:left w:val="nil"/>
              <w:bottom w:val="nil"/>
              <w:right w:val="nil"/>
            </w:tcBorders>
            <w:shd w:val="clear" w:color="000000" w:fill="C0C0C0"/>
            <w:noWrap/>
            <w:vAlign w:val="center"/>
            <w:hideMark/>
          </w:tcPr>
          <w:p w14:paraId="6D90B18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1104" w:type="dxa"/>
            <w:tcBorders>
              <w:top w:val="nil"/>
              <w:left w:val="single" w:sz="4" w:space="0" w:color="auto"/>
              <w:bottom w:val="nil"/>
              <w:right w:val="single" w:sz="8" w:space="0" w:color="auto"/>
            </w:tcBorders>
            <w:shd w:val="clear" w:color="000000" w:fill="FFFFFF"/>
            <w:noWrap/>
            <w:vAlign w:val="bottom"/>
            <w:hideMark/>
          </w:tcPr>
          <w:p w14:paraId="62F879D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5 275 725</w:t>
            </w:r>
          </w:p>
        </w:tc>
        <w:tc>
          <w:tcPr>
            <w:tcW w:w="993" w:type="dxa"/>
            <w:tcBorders>
              <w:top w:val="nil"/>
              <w:left w:val="single" w:sz="4" w:space="0" w:color="auto"/>
              <w:bottom w:val="nil"/>
              <w:right w:val="single" w:sz="8" w:space="0" w:color="auto"/>
            </w:tcBorders>
            <w:shd w:val="clear" w:color="000000" w:fill="FFFFFF"/>
            <w:noWrap/>
            <w:vAlign w:val="bottom"/>
            <w:hideMark/>
          </w:tcPr>
          <w:p w14:paraId="716609A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135 662</w:t>
            </w:r>
          </w:p>
        </w:tc>
        <w:tc>
          <w:tcPr>
            <w:tcW w:w="1275" w:type="dxa"/>
            <w:tcBorders>
              <w:top w:val="nil"/>
              <w:left w:val="single" w:sz="4" w:space="0" w:color="auto"/>
              <w:bottom w:val="nil"/>
              <w:right w:val="single" w:sz="8" w:space="0" w:color="auto"/>
            </w:tcBorders>
            <w:shd w:val="clear" w:color="000000" w:fill="FFFFFF"/>
            <w:noWrap/>
            <w:vAlign w:val="bottom"/>
            <w:hideMark/>
          </w:tcPr>
          <w:p w14:paraId="728E78B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3 768 375</w:t>
            </w:r>
          </w:p>
        </w:tc>
        <w:tc>
          <w:tcPr>
            <w:tcW w:w="993" w:type="dxa"/>
            <w:tcBorders>
              <w:top w:val="nil"/>
              <w:left w:val="single" w:sz="4" w:space="0" w:color="auto"/>
              <w:bottom w:val="nil"/>
              <w:right w:val="single" w:sz="8" w:space="0" w:color="auto"/>
            </w:tcBorders>
            <w:shd w:val="clear" w:color="000000" w:fill="FFFFFF"/>
            <w:noWrap/>
            <w:vAlign w:val="bottom"/>
            <w:hideMark/>
          </w:tcPr>
          <w:p w14:paraId="5EB9949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08640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3 014 700</w:t>
            </w:r>
          </w:p>
        </w:tc>
        <w:tc>
          <w:tcPr>
            <w:tcW w:w="851" w:type="dxa"/>
            <w:tcBorders>
              <w:top w:val="nil"/>
              <w:left w:val="single" w:sz="4" w:space="0" w:color="auto"/>
              <w:bottom w:val="nil"/>
              <w:right w:val="single" w:sz="8" w:space="0" w:color="auto"/>
            </w:tcBorders>
            <w:shd w:val="clear" w:color="000000" w:fill="FFFFFF"/>
            <w:noWrap/>
            <w:vAlign w:val="bottom"/>
            <w:hideMark/>
          </w:tcPr>
          <w:p w14:paraId="097080B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3C06C59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12 058 800</w:t>
            </w:r>
          </w:p>
        </w:tc>
        <w:tc>
          <w:tcPr>
            <w:tcW w:w="1275" w:type="dxa"/>
            <w:tcBorders>
              <w:top w:val="nil"/>
              <w:left w:val="single" w:sz="4" w:space="0" w:color="auto"/>
              <w:bottom w:val="nil"/>
              <w:right w:val="single" w:sz="8" w:space="0" w:color="auto"/>
            </w:tcBorders>
            <w:shd w:val="clear" w:color="000000" w:fill="FFFFFF"/>
            <w:noWrap/>
            <w:vAlign w:val="bottom"/>
            <w:hideMark/>
          </w:tcPr>
          <w:p w14:paraId="6AD64AC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135 662</w:t>
            </w:r>
          </w:p>
        </w:tc>
        <w:tc>
          <w:tcPr>
            <w:tcW w:w="1276" w:type="dxa"/>
            <w:tcBorders>
              <w:top w:val="nil"/>
              <w:left w:val="single" w:sz="4" w:space="0" w:color="auto"/>
              <w:bottom w:val="nil"/>
              <w:right w:val="single" w:sz="8" w:space="0" w:color="auto"/>
            </w:tcBorders>
            <w:shd w:val="clear" w:color="000000" w:fill="FFFFFF"/>
            <w:noWrap/>
            <w:vAlign w:val="bottom"/>
            <w:hideMark/>
          </w:tcPr>
          <w:p w14:paraId="39FEAA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12 194 462</w:t>
            </w:r>
          </w:p>
        </w:tc>
      </w:tr>
      <w:tr w:rsidR="00EF31B7" w:rsidRPr="00EF31B7" w14:paraId="09CE573A"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CA1ABD3"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SPANIEN</w:t>
            </w:r>
          </w:p>
        </w:tc>
        <w:tc>
          <w:tcPr>
            <w:tcW w:w="1080" w:type="dxa"/>
            <w:tcBorders>
              <w:top w:val="nil"/>
              <w:left w:val="nil"/>
              <w:bottom w:val="nil"/>
              <w:right w:val="nil"/>
            </w:tcBorders>
            <w:shd w:val="clear" w:color="000000" w:fill="C0C0C0"/>
            <w:noWrap/>
            <w:vAlign w:val="center"/>
            <w:hideMark/>
          </w:tcPr>
          <w:p w14:paraId="214993E6"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1104" w:type="dxa"/>
            <w:tcBorders>
              <w:top w:val="nil"/>
              <w:left w:val="single" w:sz="4" w:space="0" w:color="auto"/>
              <w:bottom w:val="nil"/>
              <w:right w:val="single" w:sz="8" w:space="0" w:color="auto"/>
            </w:tcBorders>
            <w:shd w:val="clear" w:color="000000" w:fill="FFFFFF"/>
            <w:noWrap/>
            <w:vAlign w:val="bottom"/>
            <w:hideMark/>
          </w:tcPr>
          <w:p w14:paraId="1EBB94A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27 763 680</w:t>
            </w:r>
          </w:p>
        </w:tc>
        <w:tc>
          <w:tcPr>
            <w:tcW w:w="993" w:type="dxa"/>
            <w:tcBorders>
              <w:top w:val="nil"/>
              <w:left w:val="single" w:sz="4" w:space="0" w:color="auto"/>
              <w:bottom w:val="nil"/>
              <w:right w:val="single" w:sz="8" w:space="0" w:color="auto"/>
            </w:tcBorders>
            <w:shd w:val="clear" w:color="000000" w:fill="FFFFFF"/>
            <w:noWrap/>
            <w:vAlign w:val="bottom"/>
            <w:hideMark/>
          </w:tcPr>
          <w:p w14:paraId="1D42AA0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713 923</w:t>
            </w:r>
          </w:p>
        </w:tc>
        <w:tc>
          <w:tcPr>
            <w:tcW w:w="1275" w:type="dxa"/>
            <w:tcBorders>
              <w:top w:val="nil"/>
              <w:left w:val="single" w:sz="4" w:space="0" w:color="auto"/>
              <w:bottom w:val="nil"/>
              <w:right w:val="single" w:sz="8" w:space="0" w:color="auto"/>
            </w:tcBorders>
            <w:shd w:val="clear" w:color="000000" w:fill="FFFFFF"/>
            <w:noWrap/>
            <w:vAlign w:val="bottom"/>
            <w:hideMark/>
          </w:tcPr>
          <w:p w14:paraId="2182975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19 831 200</w:t>
            </w:r>
          </w:p>
        </w:tc>
        <w:tc>
          <w:tcPr>
            <w:tcW w:w="993" w:type="dxa"/>
            <w:tcBorders>
              <w:top w:val="nil"/>
              <w:left w:val="single" w:sz="4" w:space="0" w:color="auto"/>
              <w:bottom w:val="nil"/>
              <w:right w:val="single" w:sz="8" w:space="0" w:color="auto"/>
            </w:tcBorders>
            <w:shd w:val="clear" w:color="000000" w:fill="FFFFFF"/>
            <w:noWrap/>
            <w:vAlign w:val="bottom"/>
            <w:hideMark/>
          </w:tcPr>
          <w:p w14:paraId="29F44CD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C35312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15 864 960</w:t>
            </w:r>
          </w:p>
        </w:tc>
        <w:tc>
          <w:tcPr>
            <w:tcW w:w="851" w:type="dxa"/>
            <w:tcBorders>
              <w:top w:val="nil"/>
              <w:left w:val="single" w:sz="4" w:space="0" w:color="auto"/>
              <w:bottom w:val="nil"/>
              <w:right w:val="single" w:sz="8" w:space="0" w:color="auto"/>
            </w:tcBorders>
            <w:shd w:val="clear" w:color="000000" w:fill="FFFFFF"/>
            <w:noWrap/>
            <w:vAlign w:val="bottom"/>
            <w:hideMark/>
          </w:tcPr>
          <w:p w14:paraId="3FAB2C2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24C9106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63 459 840</w:t>
            </w:r>
          </w:p>
        </w:tc>
        <w:tc>
          <w:tcPr>
            <w:tcW w:w="1275" w:type="dxa"/>
            <w:tcBorders>
              <w:top w:val="nil"/>
              <w:left w:val="single" w:sz="4" w:space="0" w:color="auto"/>
              <w:bottom w:val="nil"/>
              <w:right w:val="single" w:sz="8" w:space="0" w:color="auto"/>
            </w:tcBorders>
            <w:shd w:val="clear" w:color="000000" w:fill="FFFFFF"/>
            <w:noWrap/>
            <w:vAlign w:val="bottom"/>
            <w:hideMark/>
          </w:tcPr>
          <w:p w14:paraId="5088445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713 923</w:t>
            </w:r>
          </w:p>
        </w:tc>
        <w:tc>
          <w:tcPr>
            <w:tcW w:w="1276" w:type="dxa"/>
            <w:tcBorders>
              <w:top w:val="nil"/>
              <w:left w:val="single" w:sz="4" w:space="0" w:color="auto"/>
              <w:bottom w:val="nil"/>
              <w:right w:val="single" w:sz="8" w:space="0" w:color="auto"/>
            </w:tcBorders>
            <w:shd w:val="clear" w:color="000000" w:fill="FFFFFF"/>
            <w:noWrap/>
            <w:vAlign w:val="bottom"/>
            <w:hideMark/>
          </w:tcPr>
          <w:p w14:paraId="16B3C66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64 173 763</w:t>
            </w:r>
          </w:p>
        </w:tc>
      </w:tr>
      <w:tr w:rsidR="00EF31B7" w:rsidRPr="00EF31B7" w14:paraId="2F26DFDF"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BF4F355"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FRANKRIG</w:t>
            </w:r>
          </w:p>
        </w:tc>
        <w:tc>
          <w:tcPr>
            <w:tcW w:w="1080" w:type="dxa"/>
            <w:tcBorders>
              <w:top w:val="nil"/>
              <w:left w:val="nil"/>
              <w:bottom w:val="nil"/>
              <w:right w:val="nil"/>
            </w:tcBorders>
            <w:shd w:val="clear" w:color="000000" w:fill="C0C0C0"/>
            <w:noWrap/>
            <w:vAlign w:val="center"/>
            <w:hideMark/>
          </w:tcPr>
          <w:p w14:paraId="0F27E49D"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1104" w:type="dxa"/>
            <w:tcBorders>
              <w:top w:val="nil"/>
              <w:left w:val="single" w:sz="4" w:space="0" w:color="auto"/>
              <w:bottom w:val="nil"/>
              <w:right w:val="single" w:sz="8" w:space="0" w:color="auto"/>
            </w:tcBorders>
            <w:shd w:val="clear" w:color="000000" w:fill="FFFFFF"/>
            <w:noWrap/>
            <w:vAlign w:val="bottom"/>
            <w:hideMark/>
          </w:tcPr>
          <w:p w14:paraId="087A219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62 344 415</w:t>
            </w:r>
          </w:p>
        </w:tc>
        <w:tc>
          <w:tcPr>
            <w:tcW w:w="993" w:type="dxa"/>
            <w:tcBorders>
              <w:top w:val="nil"/>
              <w:left w:val="single" w:sz="4" w:space="0" w:color="auto"/>
              <w:bottom w:val="nil"/>
              <w:right w:val="single" w:sz="8" w:space="0" w:color="auto"/>
            </w:tcBorders>
            <w:shd w:val="clear" w:color="000000" w:fill="FFFFFF"/>
            <w:noWrap/>
            <w:vAlign w:val="bottom"/>
            <w:hideMark/>
          </w:tcPr>
          <w:p w14:paraId="5068884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1 603 142</w:t>
            </w:r>
          </w:p>
        </w:tc>
        <w:tc>
          <w:tcPr>
            <w:tcW w:w="1275" w:type="dxa"/>
            <w:tcBorders>
              <w:top w:val="nil"/>
              <w:left w:val="single" w:sz="4" w:space="0" w:color="auto"/>
              <w:bottom w:val="nil"/>
              <w:right w:val="single" w:sz="8" w:space="0" w:color="auto"/>
            </w:tcBorders>
            <w:shd w:val="clear" w:color="000000" w:fill="FFFFFF"/>
            <w:noWrap/>
            <w:vAlign w:val="bottom"/>
            <w:hideMark/>
          </w:tcPr>
          <w:p w14:paraId="554122D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44 531 725</w:t>
            </w:r>
          </w:p>
        </w:tc>
        <w:tc>
          <w:tcPr>
            <w:tcW w:w="993" w:type="dxa"/>
            <w:tcBorders>
              <w:top w:val="nil"/>
              <w:left w:val="single" w:sz="4" w:space="0" w:color="auto"/>
              <w:bottom w:val="nil"/>
              <w:right w:val="single" w:sz="8" w:space="0" w:color="auto"/>
            </w:tcBorders>
            <w:shd w:val="clear" w:color="000000" w:fill="FFFFFF"/>
            <w:noWrap/>
            <w:vAlign w:val="bottom"/>
            <w:hideMark/>
          </w:tcPr>
          <w:p w14:paraId="3EE2BFD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BE763B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35 625 380</w:t>
            </w:r>
          </w:p>
        </w:tc>
        <w:tc>
          <w:tcPr>
            <w:tcW w:w="851" w:type="dxa"/>
            <w:tcBorders>
              <w:top w:val="nil"/>
              <w:left w:val="single" w:sz="4" w:space="0" w:color="auto"/>
              <w:bottom w:val="nil"/>
              <w:right w:val="single" w:sz="8" w:space="0" w:color="auto"/>
            </w:tcBorders>
            <w:shd w:val="clear" w:color="000000" w:fill="FFFFFF"/>
            <w:noWrap/>
            <w:vAlign w:val="bottom"/>
            <w:hideMark/>
          </w:tcPr>
          <w:p w14:paraId="16EA3D6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33434A6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142 501 520</w:t>
            </w:r>
          </w:p>
        </w:tc>
        <w:tc>
          <w:tcPr>
            <w:tcW w:w="1275" w:type="dxa"/>
            <w:tcBorders>
              <w:top w:val="nil"/>
              <w:left w:val="single" w:sz="4" w:space="0" w:color="auto"/>
              <w:bottom w:val="nil"/>
              <w:right w:val="single" w:sz="8" w:space="0" w:color="auto"/>
            </w:tcBorders>
            <w:shd w:val="clear" w:color="000000" w:fill="FFFFFF"/>
            <w:noWrap/>
            <w:vAlign w:val="bottom"/>
            <w:hideMark/>
          </w:tcPr>
          <w:p w14:paraId="378B0A8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1 603 142</w:t>
            </w:r>
          </w:p>
        </w:tc>
        <w:tc>
          <w:tcPr>
            <w:tcW w:w="1276" w:type="dxa"/>
            <w:tcBorders>
              <w:top w:val="nil"/>
              <w:left w:val="single" w:sz="4" w:space="0" w:color="auto"/>
              <w:bottom w:val="nil"/>
              <w:right w:val="single" w:sz="8" w:space="0" w:color="auto"/>
            </w:tcBorders>
            <w:shd w:val="clear" w:color="000000" w:fill="FFFFFF"/>
            <w:noWrap/>
            <w:vAlign w:val="bottom"/>
            <w:hideMark/>
          </w:tcPr>
          <w:p w14:paraId="6C20534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144 104 662</w:t>
            </w:r>
          </w:p>
        </w:tc>
      </w:tr>
      <w:tr w:rsidR="00EF31B7" w:rsidRPr="00EF31B7" w14:paraId="7ACDE01A"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1674036"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KROATIEN</w:t>
            </w:r>
          </w:p>
        </w:tc>
        <w:tc>
          <w:tcPr>
            <w:tcW w:w="1080" w:type="dxa"/>
            <w:tcBorders>
              <w:top w:val="nil"/>
              <w:left w:val="nil"/>
              <w:bottom w:val="nil"/>
              <w:right w:val="nil"/>
            </w:tcBorders>
            <w:shd w:val="clear" w:color="000000" w:fill="C0C0C0"/>
            <w:noWrap/>
            <w:vAlign w:val="center"/>
            <w:hideMark/>
          </w:tcPr>
          <w:p w14:paraId="7117150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1104" w:type="dxa"/>
            <w:tcBorders>
              <w:top w:val="nil"/>
              <w:left w:val="single" w:sz="4" w:space="0" w:color="auto"/>
              <w:bottom w:val="nil"/>
              <w:right w:val="single" w:sz="8" w:space="0" w:color="auto"/>
            </w:tcBorders>
            <w:shd w:val="clear" w:color="000000" w:fill="FFFFFF"/>
            <w:noWrap/>
            <w:vAlign w:val="bottom"/>
            <w:hideMark/>
          </w:tcPr>
          <w:p w14:paraId="1D8FB83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788 130</w:t>
            </w:r>
          </w:p>
        </w:tc>
        <w:tc>
          <w:tcPr>
            <w:tcW w:w="993" w:type="dxa"/>
            <w:tcBorders>
              <w:top w:val="nil"/>
              <w:left w:val="single" w:sz="4" w:space="0" w:color="auto"/>
              <w:bottom w:val="nil"/>
              <w:right w:val="single" w:sz="8" w:space="0" w:color="auto"/>
            </w:tcBorders>
            <w:shd w:val="clear" w:color="000000" w:fill="FFFFFF"/>
            <w:noWrap/>
            <w:vAlign w:val="bottom"/>
            <w:hideMark/>
          </w:tcPr>
          <w:p w14:paraId="2D9A09C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20 266</w:t>
            </w:r>
          </w:p>
        </w:tc>
        <w:tc>
          <w:tcPr>
            <w:tcW w:w="1275" w:type="dxa"/>
            <w:tcBorders>
              <w:top w:val="nil"/>
              <w:left w:val="single" w:sz="4" w:space="0" w:color="auto"/>
              <w:bottom w:val="nil"/>
              <w:right w:val="single" w:sz="8" w:space="0" w:color="auto"/>
            </w:tcBorders>
            <w:shd w:val="clear" w:color="000000" w:fill="FFFFFF"/>
            <w:noWrap/>
            <w:vAlign w:val="bottom"/>
            <w:hideMark/>
          </w:tcPr>
          <w:p w14:paraId="097669F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562 950</w:t>
            </w:r>
          </w:p>
        </w:tc>
        <w:tc>
          <w:tcPr>
            <w:tcW w:w="993" w:type="dxa"/>
            <w:tcBorders>
              <w:top w:val="nil"/>
              <w:left w:val="single" w:sz="4" w:space="0" w:color="auto"/>
              <w:bottom w:val="nil"/>
              <w:right w:val="single" w:sz="8" w:space="0" w:color="auto"/>
            </w:tcBorders>
            <w:shd w:val="clear" w:color="000000" w:fill="FFFFFF"/>
            <w:noWrap/>
            <w:vAlign w:val="bottom"/>
            <w:hideMark/>
          </w:tcPr>
          <w:p w14:paraId="1ECD066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A7C2C3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450 360</w:t>
            </w:r>
          </w:p>
        </w:tc>
        <w:tc>
          <w:tcPr>
            <w:tcW w:w="851" w:type="dxa"/>
            <w:tcBorders>
              <w:top w:val="nil"/>
              <w:left w:val="single" w:sz="4" w:space="0" w:color="auto"/>
              <w:bottom w:val="nil"/>
              <w:right w:val="single" w:sz="8" w:space="0" w:color="auto"/>
            </w:tcBorders>
            <w:shd w:val="clear" w:color="000000" w:fill="FFFFFF"/>
            <w:noWrap/>
            <w:vAlign w:val="bottom"/>
            <w:hideMark/>
          </w:tcPr>
          <w:p w14:paraId="48B8D85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64FD7A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1 801 440</w:t>
            </w:r>
          </w:p>
        </w:tc>
        <w:tc>
          <w:tcPr>
            <w:tcW w:w="1275" w:type="dxa"/>
            <w:tcBorders>
              <w:top w:val="nil"/>
              <w:left w:val="single" w:sz="4" w:space="0" w:color="auto"/>
              <w:bottom w:val="nil"/>
              <w:right w:val="single" w:sz="8" w:space="0" w:color="auto"/>
            </w:tcBorders>
            <w:shd w:val="clear" w:color="000000" w:fill="FFFFFF"/>
            <w:noWrap/>
            <w:vAlign w:val="bottom"/>
            <w:hideMark/>
          </w:tcPr>
          <w:p w14:paraId="7010B99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20 266</w:t>
            </w:r>
          </w:p>
        </w:tc>
        <w:tc>
          <w:tcPr>
            <w:tcW w:w="1276" w:type="dxa"/>
            <w:tcBorders>
              <w:top w:val="nil"/>
              <w:left w:val="single" w:sz="4" w:space="0" w:color="auto"/>
              <w:bottom w:val="nil"/>
              <w:right w:val="single" w:sz="8" w:space="0" w:color="auto"/>
            </w:tcBorders>
            <w:shd w:val="clear" w:color="000000" w:fill="FFFFFF"/>
            <w:noWrap/>
            <w:vAlign w:val="bottom"/>
            <w:hideMark/>
          </w:tcPr>
          <w:p w14:paraId="4CABEDC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1 821 706</w:t>
            </w:r>
          </w:p>
        </w:tc>
      </w:tr>
      <w:tr w:rsidR="00EF31B7" w:rsidRPr="00EF31B7" w14:paraId="2B8BFBD3"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71B4C77"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ITALIEN</w:t>
            </w:r>
          </w:p>
        </w:tc>
        <w:tc>
          <w:tcPr>
            <w:tcW w:w="1080" w:type="dxa"/>
            <w:tcBorders>
              <w:top w:val="nil"/>
              <w:left w:val="nil"/>
              <w:bottom w:val="nil"/>
              <w:right w:val="nil"/>
            </w:tcBorders>
            <w:shd w:val="clear" w:color="000000" w:fill="C0C0C0"/>
            <w:noWrap/>
            <w:vAlign w:val="center"/>
            <w:hideMark/>
          </w:tcPr>
          <w:p w14:paraId="7D51575B"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1104" w:type="dxa"/>
            <w:tcBorders>
              <w:top w:val="nil"/>
              <w:left w:val="single" w:sz="4" w:space="0" w:color="auto"/>
              <w:bottom w:val="nil"/>
              <w:right w:val="single" w:sz="8" w:space="0" w:color="auto"/>
            </w:tcBorders>
            <w:shd w:val="clear" w:color="000000" w:fill="FFFFFF"/>
            <w:noWrap/>
            <w:vAlign w:val="bottom"/>
            <w:hideMark/>
          </w:tcPr>
          <w:p w14:paraId="34912E0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43 855 315</w:t>
            </w:r>
          </w:p>
        </w:tc>
        <w:tc>
          <w:tcPr>
            <w:tcW w:w="993" w:type="dxa"/>
            <w:tcBorders>
              <w:top w:val="nil"/>
              <w:left w:val="single" w:sz="4" w:space="0" w:color="auto"/>
              <w:bottom w:val="nil"/>
              <w:right w:val="single" w:sz="8" w:space="0" w:color="auto"/>
            </w:tcBorders>
            <w:shd w:val="clear" w:color="000000" w:fill="FFFFFF"/>
            <w:noWrap/>
            <w:vAlign w:val="bottom"/>
            <w:hideMark/>
          </w:tcPr>
          <w:p w14:paraId="409E9E3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1 127 708</w:t>
            </w:r>
          </w:p>
        </w:tc>
        <w:tc>
          <w:tcPr>
            <w:tcW w:w="1275" w:type="dxa"/>
            <w:tcBorders>
              <w:top w:val="nil"/>
              <w:left w:val="single" w:sz="4" w:space="0" w:color="auto"/>
              <w:bottom w:val="nil"/>
              <w:right w:val="single" w:sz="8" w:space="0" w:color="auto"/>
            </w:tcBorders>
            <w:shd w:val="clear" w:color="000000" w:fill="FFFFFF"/>
            <w:noWrap/>
            <w:vAlign w:val="bottom"/>
            <w:hideMark/>
          </w:tcPr>
          <w:p w14:paraId="2028E3F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31 325 225</w:t>
            </w:r>
          </w:p>
        </w:tc>
        <w:tc>
          <w:tcPr>
            <w:tcW w:w="993" w:type="dxa"/>
            <w:tcBorders>
              <w:top w:val="nil"/>
              <w:left w:val="single" w:sz="4" w:space="0" w:color="auto"/>
              <w:bottom w:val="nil"/>
              <w:right w:val="single" w:sz="8" w:space="0" w:color="auto"/>
            </w:tcBorders>
            <w:shd w:val="clear" w:color="000000" w:fill="FFFFFF"/>
            <w:noWrap/>
            <w:vAlign w:val="bottom"/>
            <w:hideMark/>
          </w:tcPr>
          <w:p w14:paraId="5BBDA2B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51729B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25 060 180</w:t>
            </w:r>
          </w:p>
        </w:tc>
        <w:tc>
          <w:tcPr>
            <w:tcW w:w="851" w:type="dxa"/>
            <w:tcBorders>
              <w:top w:val="nil"/>
              <w:left w:val="single" w:sz="4" w:space="0" w:color="auto"/>
              <w:bottom w:val="nil"/>
              <w:right w:val="single" w:sz="8" w:space="0" w:color="auto"/>
            </w:tcBorders>
            <w:shd w:val="clear" w:color="000000" w:fill="FFFFFF"/>
            <w:noWrap/>
            <w:vAlign w:val="bottom"/>
            <w:hideMark/>
          </w:tcPr>
          <w:p w14:paraId="34A8C51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499D311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100 240 720</w:t>
            </w:r>
          </w:p>
        </w:tc>
        <w:tc>
          <w:tcPr>
            <w:tcW w:w="1275" w:type="dxa"/>
            <w:tcBorders>
              <w:top w:val="nil"/>
              <w:left w:val="single" w:sz="4" w:space="0" w:color="auto"/>
              <w:bottom w:val="nil"/>
              <w:right w:val="single" w:sz="8" w:space="0" w:color="auto"/>
            </w:tcBorders>
            <w:shd w:val="clear" w:color="000000" w:fill="FFFFFF"/>
            <w:noWrap/>
            <w:vAlign w:val="bottom"/>
            <w:hideMark/>
          </w:tcPr>
          <w:p w14:paraId="2E70E1E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1 127 708</w:t>
            </w:r>
          </w:p>
        </w:tc>
        <w:tc>
          <w:tcPr>
            <w:tcW w:w="1276" w:type="dxa"/>
            <w:tcBorders>
              <w:top w:val="nil"/>
              <w:left w:val="single" w:sz="4" w:space="0" w:color="auto"/>
              <w:bottom w:val="nil"/>
              <w:right w:val="single" w:sz="8" w:space="0" w:color="auto"/>
            </w:tcBorders>
            <w:shd w:val="clear" w:color="000000" w:fill="FFFFFF"/>
            <w:noWrap/>
            <w:vAlign w:val="bottom"/>
            <w:hideMark/>
          </w:tcPr>
          <w:p w14:paraId="3B97044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101 368 428</w:t>
            </w:r>
          </w:p>
        </w:tc>
      </w:tr>
      <w:tr w:rsidR="00EF31B7" w:rsidRPr="00EF31B7" w14:paraId="40352E89"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44893F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CYPERN</w:t>
            </w:r>
          </w:p>
        </w:tc>
        <w:tc>
          <w:tcPr>
            <w:tcW w:w="1080" w:type="dxa"/>
            <w:tcBorders>
              <w:top w:val="nil"/>
              <w:left w:val="nil"/>
              <w:bottom w:val="nil"/>
              <w:right w:val="nil"/>
            </w:tcBorders>
            <w:shd w:val="clear" w:color="000000" w:fill="C0C0C0"/>
            <w:noWrap/>
            <w:vAlign w:val="center"/>
            <w:hideMark/>
          </w:tcPr>
          <w:p w14:paraId="5F602033"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1104" w:type="dxa"/>
            <w:tcBorders>
              <w:top w:val="nil"/>
              <w:left w:val="single" w:sz="4" w:space="0" w:color="auto"/>
              <w:bottom w:val="nil"/>
              <w:right w:val="single" w:sz="8" w:space="0" w:color="auto"/>
            </w:tcBorders>
            <w:shd w:val="clear" w:color="000000" w:fill="FFFFFF"/>
            <w:noWrap/>
            <w:vAlign w:val="bottom"/>
            <w:hideMark/>
          </w:tcPr>
          <w:p w14:paraId="05C01F5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390 670</w:t>
            </w:r>
          </w:p>
        </w:tc>
        <w:tc>
          <w:tcPr>
            <w:tcW w:w="993" w:type="dxa"/>
            <w:tcBorders>
              <w:top w:val="nil"/>
              <w:left w:val="single" w:sz="4" w:space="0" w:color="auto"/>
              <w:bottom w:val="nil"/>
              <w:right w:val="single" w:sz="8" w:space="0" w:color="auto"/>
            </w:tcBorders>
            <w:shd w:val="clear" w:color="000000" w:fill="FFFFFF"/>
            <w:noWrap/>
            <w:vAlign w:val="bottom"/>
            <w:hideMark/>
          </w:tcPr>
          <w:p w14:paraId="367F2C2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10 046</w:t>
            </w:r>
          </w:p>
        </w:tc>
        <w:tc>
          <w:tcPr>
            <w:tcW w:w="1275" w:type="dxa"/>
            <w:tcBorders>
              <w:top w:val="nil"/>
              <w:left w:val="single" w:sz="4" w:space="0" w:color="auto"/>
              <w:bottom w:val="nil"/>
              <w:right w:val="single" w:sz="8" w:space="0" w:color="auto"/>
            </w:tcBorders>
            <w:shd w:val="clear" w:color="000000" w:fill="FFFFFF"/>
            <w:noWrap/>
            <w:vAlign w:val="bottom"/>
            <w:hideMark/>
          </w:tcPr>
          <w:p w14:paraId="47CD2B4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279 050</w:t>
            </w:r>
          </w:p>
        </w:tc>
        <w:tc>
          <w:tcPr>
            <w:tcW w:w="993" w:type="dxa"/>
            <w:tcBorders>
              <w:top w:val="nil"/>
              <w:left w:val="single" w:sz="4" w:space="0" w:color="auto"/>
              <w:bottom w:val="nil"/>
              <w:right w:val="single" w:sz="8" w:space="0" w:color="auto"/>
            </w:tcBorders>
            <w:shd w:val="clear" w:color="000000" w:fill="FFFFFF"/>
            <w:noWrap/>
            <w:vAlign w:val="bottom"/>
            <w:hideMark/>
          </w:tcPr>
          <w:p w14:paraId="2501561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F4FDB3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223 240</w:t>
            </w:r>
          </w:p>
        </w:tc>
        <w:tc>
          <w:tcPr>
            <w:tcW w:w="851" w:type="dxa"/>
            <w:tcBorders>
              <w:top w:val="nil"/>
              <w:left w:val="single" w:sz="4" w:space="0" w:color="auto"/>
              <w:bottom w:val="nil"/>
              <w:right w:val="single" w:sz="8" w:space="0" w:color="auto"/>
            </w:tcBorders>
            <w:shd w:val="clear" w:color="000000" w:fill="FFFFFF"/>
            <w:noWrap/>
            <w:vAlign w:val="bottom"/>
            <w:hideMark/>
          </w:tcPr>
          <w:p w14:paraId="759A7FC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4326216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892 960</w:t>
            </w:r>
          </w:p>
        </w:tc>
        <w:tc>
          <w:tcPr>
            <w:tcW w:w="1275" w:type="dxa"/>
            <w:tcBorders>
              <w:top w:val="nil"/>
              <w:left w:val="single" w:sz="4" w:space="0" w:color="auto"/>
              <w:bottom w:val="nil"/>
              <w:right w:val="single" w:sz="8" w:space="0" w:color="auto"/>
            </w:tcBorders>
            <w:shd w:val="clear" w:color="000000" w:fill="FFFFFF"/>
            <w:noWrap/>
            <w:vAlign w:val="bottom"/>
            <w:hideMark/>
          </w:tcPr>
          <w:p w14:paraId="28DD754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10 046</w:t>
            </w:r>
          </w:p>
        </w:tc>
        <w:tc>
          <w:tcPr>
            <w:tcW w:w="1276" w:type="dxa"/>
            <w:tcBorders>
              <w:top w:val="nil"/>
              <w:left w:val="single" w:sz="4" w:space="0" w:color="auto"/>
              <w:bottom w:val="nil"/>
              <w:right w:val="single" w:sz="8" w:space="0" w:color="auto"/>
            </w:tcBorders>
            <w:shd w:val="clear" w:color="000000" w:fill="FFFFFF"/>
            <w:noWrap/>
            <w:vAlign w:val="bottom"/>
            <w:hideMark/>
          </w:tcPr>
          <w:p w14:paraId="52E898A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903 006</w:t>
            </w:r>
          </w:p>
        </w:tc>
      </w:tr>
      <w:tr w:rsidR="00EF31B7" w:rsidRPr="00EF31B7" w14:paraId="207420AD"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3471EE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LETLAND</w:t>
            </w:r>
          </w:p>
        </w:tc>
        <w:tc>
          <w:tcPr>
            <w:tcW w:w="1080" w:type="dxa"/>
            <w:tcBorders>
              <w:top w:val="nil"/>
              <w:left w:val="nil"/>
              <w:bottom w:val="nil"/>
              <w:right w:val="nil"/>
            </w:tcBorders>
            <w:shd w:val="clear" w:color="000000" w:fill="C0C0C0"/>
            <w:noWrap/>
            <w:vAlign w:val="center"/>
            <w:hideMark/>
          </w:tcPr>
          <w:p w14:paraId="6A7860CC"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1104" w:type="dxa"/>
            <w:tcBorders>
              <w:top w:val="nil"/>
              <w:left w:val="single" w:sz="4" w:space="0" w:color="auto"/>
              <w:bottom w:val="nil"/>
              <w:right w:val="single" w:sz="8" w:space="0" w:color="auto"/>
            </w:tcBorders>
            <w:shd w:val="clear" w:color="000000" w:fill="FFFFFF"/>
            <w:noWrap/>
            <w:vAlign w:val="bottom"/>
            <w:hideMark/>
          </w:tcPr>
          <w:p w14:paraId="272661C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406 420</w:t>
            </w:r>
          </w:p>
        </w:tc>
        <w:tc>
          <w:tcPr>
            <w:tcW w:w="993" w:type="dxa"/>
            <w:tcBorders>
              <w:top w:val="nil"/>
              <w:left w:val="single" w:sz="4" w:space="0" w:color="auto"/>
              <w:bottom w:val="nil"/>
              <w:right w:val="single" w:sz="8" w:space="0" w:color="auto"/>
            </w:tcBorders>
            <w:shd w:val="clear" w:color="000000" w:fill="FFFFFF"/>
            <w:noWrap/>
            <w:vAlign w:val="bottom"/>
            <w:hideMark/>
          </w:tcPr>
          <w:p w14:paraId="0680F55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10 451</w:t>
            </w:r>
          </w:p>
        </w:tc>
        <w:tc>
          <w:tcPr>
            <w:tcW w:w="1275" w:type="dxa"/>
            <w:tcBorders>
              <w:top w:val="nil"/>
              <w:left w:val="single" w:sz="4" w:space="0" w:color="auto"/>
              <w:bottom w:val="nil"/>
              <w:right w:val="single" w:sz="8" w:space="0" w:color="auto"/>
            </w:tcBorders>
            <w:shd w:val="clear" w:color="000000" w:fill="FFFFFF"/>
            <w:noWrap/>
            <w:vAlign w:val="bottom"/>
            <w:hideMark/>
          </w:tcPr>
          <w:p w14:paraId="1C4FF3D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290 300</w:t>
            </w:r>
          </w:p>
        </w:tc>
        <w:tc>
          <w:tcPr>
            <w:tcW w:w="993" w:type="dxa"/>
            <w:tcBorders>
              <w:top w:val="nil"/>
              <w:left w:val="single" w:sz="4" w:space="0" w:color="auto"/>
              <w:bottom w:val="nil"/>
              <w:right w:val="single" w:sz="8" w:space="0" w:color="auto"/>
            </w:tcBorders>
            <w:shd w:val="clear" w:color="000000" w:fill="FFFFFF"/>
            <w:noWrap/>
            <w:vAlign w:val="bottom"/>
            <w:hideMark/>
          </w:tcPr>
          <w:p w14:paraId="424ABA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7DBE57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232 240</w:t>
            </w:r>
          </w:p>
        </w:tc>
        <w:tc>
          <w:tcPr>
            <w:tcW w:w="851" w:type="dxa"/>
            <w:tcBorders>
              <w:top w:val="nil"/>
              <w:left w:val="single" w:sz="4" w:space="0" w:color="auto"/>
              <w:bottom w:val="nil"/>
              <w:right w:val="single" w:sz="8" w:space="0" w:color="auto"/>
            </w:tcBorders>
            <w:shd w:val="clear" w:color="000000" w:fill="FFFFFF"/>
            <w:noWrap/>
            <w:vAlign w:val="bottom"/>
            <w:hideMark/>
          </w:tcPr>
          <w:p w14:paraId="59FEC6B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1E1B4FE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928 960</w:t>
            </w:r>
          </w:p>
        </w:tc>
        <w:tc>
          <w:tcPr>
            <w:tcW w:w="1275" w:type="dxa"/>
            <w:tcBorders>
              <w:top w:val="nil"/>
              <w:left w:val="single" w:sz="4" w:space="0" w:color="auto"/>
              <w:bottom w:val="nil"/>
              <w:right w:val="single" w:sz="8" w:space="0" w:color="auto"/>
            </w:tcBorders>
            <w:shd w:val="clear" w:color="000000" w:fill="FFFFFF"/>
            <w:noWrap/>
            <w:vAlign w:val="bottom"/>
            <w:hideMark/>
          </w:tcPr>
          <w:p w14:paraId="18D5F5F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10 451</w:t>
            </w:r>
          </w:p>
        </w:tc>
        <w:tc>
          <w:tcPr>
            <w:tcW w:w="1276" w:type="dxa"/>
            <w:tcBorders>
              <w:top w:val="nil"/>
              <w:left w:val="single" w:sz="4" w:space="0" w:color="auto"/>
              <w:bottom w:val="nil"/>
              <w:right w:val="single" w:sz="8" w:space="0" w:color="auto"/>
            </w:tcBorders>
            <w:shd w:val="clear" w:color="000000" w:fill="FFFFFF"/>
            <w:noWrap/>
            <w:vAlign w:val="bottom"/>
            <w:hideMark/>
          </w:tcPr>
          <w:p w14:paraId="6349C76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939 411</w:t>
            </w:r>
          </w:p>
        </w:tc>
      </w:tr>
      <w:tr w:rsidR="00EF31B7" w:rsidRPr="00EF31B7" w14:paraId="37A6E2DB"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216474B"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LITAUEN</w:t>
            </w:r>
          </w:p>
        </w:tc>
        <w:tc>
          <w:tcPr>
            <w:tcW w:w="1080" w:type="dxa"/>
            <w:tcBorders>
              <w:top w:val="nil"/>
              <w:left w:val="nil"/>
              <w:bottom w:val="nil"/>
              <w:right w:val="nil"/>
            </w:tcBorders>
            <w:shd w:val="clear" w:color="000000" w:fill="C0C0C0"/>
            <w:noWrap/>
            <w:vAlign w:val="center"/>
            <w:hideMark/>
          </w:tcPr>
          <w:p w14:paraId="4BB9D5CC"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1104" w:type="dxa"/>
            <w:tcBorders>
              <w:top w:val="nil"/>
              <w:left w:val="single" w:sz="4" w:space="0" w:color="auto"/>
              <w:bottom w:val="nil"/>
              <w:right w:val="single" w:sz="8" w:space="0" w:color="auto"/>
            </w:tcBorders>
            <w:shd w:val="clear" w:color="000000" w:fill="FFFFFF"/>
            <w:noWrap/>
            <w:vAlign w:val="bottom"/>
            <w:hideMark/>
          </w:tcPr>
          <w:p w14:paraId="334BCCE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632 695</w:t>
            </w:r>
          </w:p>
        </w:tc>
        <w:tc>
          <w:tcPr>
            <w:tcW w:w="993" w:type="dxa"/>
            <w:tcBorders>
              <w:top w:val="nil"/>
              <w:left w:val="single" w:sz="4" w:space="0" w:color="auto"/>
              <w:bottom w:val="nil"/>
              <w:right w:val="single" w:sz="8" w:space="0" w:color="auto"/>
            </w:tcBorders>
            <w:shd w:val="clear" w:color="000000" w:fill="FFFFFF"/>
            <w:noWrap/>
            <w:vAlign w:val="bottom"/>
            <w:hideMark/>
          </w:tcPr>
          <w:p w14:paraId="7DFF781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16 269</w:t>
            </w:r>
          </w:p>
        </w:tc>
        <w:tc>
          <w:tcPr>
            <w:tcW w:w="1275" w:type="dxa"/>
            <w:tcBorders>
              <w:top w:val="nil"/>
              <w:left w:val="single" w:sz="4" w:space="0" w:color="auto"/>
              <w:bottom w:val="nil"/>
              <w:right w:val="single" w:sz="8" w:space="0" w:color="auto"/>
            </w:tcBorders>
            <w:shd w:val="clear" w:color="000000" w:fill="FFFFFF"/>
            <w:noWrap/>
            <w:vAlign w:val="bottom"/>
            <w:hideMark/>
          </w:tcPr>
          <w:p w14:paraId="4CAE74C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451 925</w:t>
            </w:r>
          </w:p>
        </w:tc>
        <w:tc>
          <w:tcPr>
            <w:tcW w:w="993" w:type="dxa"/>
            <w:tcBorders>
              <w:top w:val="nil"/>
              <w:left w:val="single" w:sz="4" w:space="0" w:color="auto"/>
              <w:bottom w:val="nil"/>
              <w:right w:val="single" w:sz="8" w:space="0" w:color="auto"/>
            </w:tcBorders>
            <w:shd w:val="clear" w:color="000000" w:fill="FFFFFF"/>
            <w:noWrap/>
            <w:vAlign w:val="bottom"/>
            <w:hideMark/>
          </w:tcPr>
          <w:p w14:paraId="5BC2C42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9EB8EB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361 540</w:t>
            </w:r>
          </w:p>
        </w:tc>
        <w:tc>
          <w:tcPr>
            <w:tcW w:w="851" w:type="dxa"/>
            <w:tcBorders>
              <w:top w:val="nil"/>
              <w:left w:val="single" w:sz="4" w:space="0" w:color="auto"/>
              <w:bottom w:val="nil"/>
              <w:right w:val="single" w:sz="8" w:space="0" w:color="auto"/>
            </w:tcBorders>
            <w:shd w:val="clear" w:color="000000" w:fill="FFFFFF"/>
            <w:noWrap/>
            <w:vAlign w:val="bottom"/>
            <w:hideMark/>
          </w:tcPr>
          <w:p w14:paraId="3CCEE31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67E9BBD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1 446 160</w:t>
            </w:r>
          </w:p>
        </w:tc>
        <w:tc>
          <w:tcPr>
            <w:tcW w:w="1275" w:type="dxa"/>
            <w:tcBorders>
              <w:top w:val="nil"/>
              <w:left w:val="single" w:sz="4" w:space="0" w:color="auto"/>
              <w:bottom w:val="nil"/>
              <w:right w:val="single" w:sz="8" w:space="0" w:color="auto"/>
            </w:tcBorders>
            <w:shd w:val="clear" w:color="000000" w:fill="FFFFFF"/>
            <w:noWrap/>
            <w:vAlign w:val="bottom"/>
            <w:hideMark/>
          </w:tcPr>
          <w:p w14:paraId="0CD74D6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16 269</w:t>
            </w:r>
          </w:p>
        </w:tc>
        <w:tc>
          <w:tcPr>
            <w:tcW w:w="1276" w:type="dxa"/>
            <w:tcBorders>
              <w:top w:val="nil"/>
              <w:left w:val="single" w:sz="4" w:space="0" w:color="auto"/>
              <w:bottom w:val="nil"/>
              <w:right w:val="single" w:sz="8" w:space="0" w:color="auto"/>
            </w:tcBorders>
            <w:shd w:val="clear" w:color="000000" w:fill="FFFFFF"/>
            <w:noWrap/>
            <w:vAlign w:val="bottom"/>
            <w:hideMark/>
          </w:tcPr>
          <w:p w14:paraId="3AC1CB7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1 462 429</w:t>
            </w:r>
          </w:p>
        </w:tc>
      </w:tr>
      <w:tr w:rsidR="00EF31B7" w:rsidRPr="00EF31B7" w14:paraId="3BF9C432"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859AA8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LUXEMBOURG</w:t>
            </w:r>
          </w:p>
        </w:tc>
        <w:tc>
          <w:tcPr>
            <w:tcW w:w="1080" w:type="dxa"/>
            <w:tcBorders>
              <w:top w:val="nil"/>
              <w:left w:val="nil"/>
              <w:bottom w:val="nil"/>
              <w:right w:val="nil"/>
            </w:tcBorders>
            <w:shd w:val="clear" w:color="000000" w:fill="C0C0C0"/>
            <w:noWrap/>
            <w:vAlign w:val="center"/>
            <w:hideMark/>
          </w:tcPr>
          <w:p w14:paraId="42EEBA28"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1104" w:type="dxa"/>
            <w:tcBorders>
              <w:top w:val="nil"/>
              <w:left w:val="single" w:sz="4" w:space="0" w:color="auto"/>
              <w:bottom w:val="nil"/>
              <w:right w:val="single" w:sz="8" w:space="0" w:color="auto"/>
            </w:tcBorders>
            <w:shd w:val="clear" w:color="000000" w:fill="FFFFFF"/>
            <w:noWrap/>
            <w:vAlign w:val="bottom"/>
            <w:hideMark/>
          </w:tcPr>
          <w:p w14:paraId="5B68593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892 815</w:t>
            </w:r>
          </w:p>
        </w:tc>
        <w:tc>
          <w:tcPr>
            <w:tcW w:w="993" w:type="dxa"/>
            <w:tcBorders>
              <w:top w:val="nil"/>
              <w:left w:val="single" w:sz="4" w:space="0" w:color="auto"/>
              <w:bottom w:val="nil"/>
              <w:right w:val="single" w:sz="8" w:space="0" w:color="auto"/>
            </w:tcBorders>
            <w:shd w:val="clear" w:color="000000" w:fill="FFFFFF"/>
            <w:noWrap/>
            <w:vAlign w:val="bottom"/>
            <w:hideMark/>
          </w:tcPr>
          <w:p w14:paraId="4D334D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22 958</w:t>
            </w:r>
          </w:p>
        </w:tc>
        <w:tc>
          <w:tcPr>
            <w:tcW w:w="1275" w:type="dxa"/>
            <w:tcBorders>
              <w:top w:val="nil"/>
              <w:left w:val="single" w:sz="4" w:space="0" w:color="auto"/>
              <w:bottom w:val="nil"/>
              <w:right w:val="single" w:sz="8" w:space="0" w:color="auto"/>
            </w:tcBorders>
            <w:shd w:val="clear" w:color="000000" w:fill="FFFFFF"/>
            <w:noWrap/>
            <w:vAlign w:val="bottom"/>
            <w:hideMark/>
          </w:tcPr>
          <w:p w14:paraId="443C7B8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637 725</w:t>
            </w:r>
          </w:p>
        </w:tc>
        <w:tc>
          <w:tcPr>
            <w:tcW w:w="993" w:type="dxa"/>
            <w:tcBorders>
              <w:top w:val="nil"/>
              <w:left w:val="single" w:sz="4" w:space="0" w:color="auto"/>
              <w:bottom w:val="nil"/>
              <w:right w:val="single" w:sz="8" w:space="0" w:color="auto"/>
            </w:tcBorders>
            <w:shd w:val="clear" w:color="000000" w:fill="FFFFFF"/>
            <w:noWrap/>
            <w:vAlign w:val="bottom"/>
            <w:hideMark/>
          </w:tcPr>
          <w:p w14:paraId="5F5AC90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8DEB7C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510 180</w:t>
            </w:r>
          </w:p>
        </w:tc>
        <w:tc>
          <w:tcPr>
            <w:tcW w:w="851" w:type="dxa"/>
            <w:tcBorders>
              <w:top w:val="nil"/>
              <w:left w:val="single" w:sz="4" w:space="0" w:color="auto"/>
              <w:bottom w:val="nil"/>
              <w:right w:val="single" w:sz="8" w:space="0" w:color="auto"/>
            </w:tcBorders>
            <w:shd w:val="clear" w:color="000000" w:fill="FFFFFF"/>
            <w:noWrap/>
            <w:vAlign w:val="bottom"/>
            <w:hideMark/>
          </w:tcPr>
          <w:p w14:paraId="533C596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4D3DB82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2 040 720</w:t>
            </w:r>
          </w:p>
        </w:tc>
        <w:tc>
          <w:tcPr>
            <w:tcW w:w="1275" w:type="dxa"/>
            <w:tcBorders>
              <w:top w:val="nil"/>
              <w:left w:val="single" w:sz="4" w:space="0" w:color="auto"/>
              <w:bottom w:val="nil"/>
              <w:right w:val="single" w:sz="8" w:space="0" w:color="auto"/>
            </w:tcBorders>
            <w:shd w:val="clear" w:color="000000" w:fill="FFFFFF"/>
            <w:noWrap/>
            <w:vAlign w:val="bottom"/>
            <w:hideMark/>
          </w:tcPr>
          <w:p w14:paraId="53CE88C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22 958</w:t>
            </w:r>
          </w:p>
        </w:tc>
        <w:tc>
          <w:tcPr>
            <w:tcW w:w="1276" w:type="dxa"/>
            <w:tcBorders>
              <w:top w:val="nil"/>
              <w:left w:val="single" w:sz="4" w:space="0" w:color="auto"/>
              <w:bottom w:val="nil"/>
              <w:right w:val="single" w:sz="8" w:space="0" w:color="auto"/>
            </w:tcBorders>
            <w:shd w:val="clear" w:color="000000" w:fill="FFFFFF"/>
            <w:noWrap/>
            <w:vAlign w:val="bottom"/>
            <w:hideMark/>
          </w:tcPr>
          <w:p w14:paraId="3563427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2 063 678</w:t>
            </w:r>
          </w:p>
        </w:tc>
      </w:tr>
      <w:tr w:rsidR="00EF31B7" w:rsidRPr="00EF31B7" w14:paraId="1F2DC340"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7E87A64"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UNGARN</w:t>
            </w:r>
          </w:p>
        </w:tc>
        <w:tc>
          <w:tcPr>
            <w:tcW w:w="1080" w:type="dxa"/>
            <w:tcBorders>
              <w:top w:val="nil"/>
              <w:left w:val="nil"/>
              <w:bottom w:val="nil"/>
              <w:right w:val="nil"/>
            </w:tcBorders>
            <w:shd w:val="clear" w:color="000000" w:fill="C0C0C0"/>
            <w:noWrap/>
            <w:vAlign w:val="center"/>
            <w:hideMark/>
          </w:tcPr>
          <w:p w14:paraId="2CAC526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1104" w:type="dxa"/>
            <w:tcBorders>
              <w:top w:val="nil"/>
              <w:left w:val="single" w:sz="4" w:space="0" w:color="auto"/>
              <w:bottom w:val="nil"/>
              <w:right w:val="single" w:sz="8" w:space="0" w:color="auto"/>
            </w:tcBorders>
            <w:shd w:val="clear" w:color="000000" w:fill="FFFFFF"/>
            <w:noWrap/>
            <w:vAlign w:val="bottom"/>
            <w:hideMark/>
          </w:tcPr>
          <w:p w14:paraId="69E3026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2 150 960</w:t>
            </w:r>
          </w:p>
        </w:tc>
        <w:tc>
          <w:tcPr>
            <w:tcW w:w="993" w:type="dxa"/>
            <w:tcBorders>
              <w:top w:val="nil"/>
              <w:left w:val="single" w:sz="4" w:space="0" w:color="auto"/>
              <w:bottom w:val="nil"/>
              <w:right w:val="single" w:sz="8" w:space="0" w:color="auto"/>
            </w:tcBorders>
            <w:shd w:val="clear" w:color="000000" w:fill="FFFFFF"/>
            <w:noWrap/>
            <w:vAlign w:val="bottom"/>
            <w:hideMark/>
          </w:tcPr>
          <w:p w14:paraId="44E0FFD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55 310</w:t>
            </w:r>
          </w:p>
        </w:tc>
        <w:tc>
          <w:tcPr>
            <w:tcW w:w="1275" w:type="dxa"/>
            <w:tcBorders>
              <w:top w:val="nil"/>
              <w:left w:val="single" w:sz="4" w:space="0" w:color="auto"/>
              <w:bottom w:val="nil"/>
              <w:right w:val="single" w:sz="8" w:space="0" w:color="auto"/>
            </w:tcBorders>
            <w:shd w:val="clear" w:color="000000" w:fill="FFFFFF"/>
            <w:noWrap/>
            <w:vAlign w:val="bottom"/>
            <w:hideMark/>
          </w:tcPr>
          <w:p w14:paraId="06C3B8B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1 536 400</w:t>
            </w:r>
          </w:p>
        </w:tc>
        <w:tc>
          <w:tcPr>
            <w:tcW w:w="993" w:type="dxa"/>
            <w:tcBorders>
              <w:top w:val="nil"/>
              <w:left w:val="single" w:sz="4" w:space="0" w:color="auto"/>
              <w:bottom w:val="nil"/>
              <w:right w:val="single" w:sz="8" w:space="0" w:color="auto"/>
            </w:tcBorders>
            <w:shd w:val="clear" w:color="000000" w:fill="FFFFFF"/>
            <w:noWrap/>
            <w:vAlign w:val="bottom"/>
            <w:hideMark/>
          </w:tcPr>
          <w:p w14:paraId="1D91331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662F76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1 229 120</w:t>
            </w:r>
          </w:p>
        </w:tc>
        <w:tc>
          <w:tcPr>
            <w:tcW w:w="851" w:type="dxa"/>
            <w:tcBorders>
              <w:top w:val="nil"/>
              <w:left w:val="single" w:sz="4" w:space="0" w:color="auto"/>
              <w:bottom w:val="nil"/>
              <w:right w:val="single" w:sz="8" w:space="0" w:color="auto"/>
            </w:tcBorders>
            <w:shd w:val="clear" w:color="000000" w:fill="FFFFFF"/>
            <w:noWrap/>
            <w:vAlign w:val="bottom"/>
            <w:hideMark/>
          </w:tcPr>
          <w:p w14:paraId="7DBA7E7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69276B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4 916 480</w:t>
            </w:r>
          </w:p>
        </w:tc>
        <w:tc>
          <w:tcPr>
            <w:tcW w:w="1275" w:type="dxa"/>
            <w:tcBorders>
              <w:top w:val="nil"/>
              <w:left w:val="single" w:sz="4" w:space="0" w:color="auto"/>
              <w:bottom w:val="nil"/>
              <w:right w:val="single" w:sz="8" w:space="0" w:color="auto"/>
            </w:tcBorders>
            <w:shd w:val="clear" w:color="000000" w:fill="FFFFFF"/>
            <w:noWrap/>
            <w:vAlign w:val="bottom"/>
            <w:hideMark/>
          </w:tcPr>
          <w:p w14:paraId="6BE1427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55 310</w:t>
            </w:r>
          </w:p>
        </w:tc>
        <w:tc>
          <w:tcPr>
            <w:tcW w:w="1276" w:type="dxa"/>
            <w:tcBorders>
              <w:top w:val="nil"/>
              <w:left w:val="single" w:sz="4" w:space="0" w:color="auto"/>
              <w:bottom w:val="nil"/>
              <w:right w:val="single" w:sz="8" w:space="0" w:color="auto"/>
            </w:tcBorders>
            <w:shd w:val="clear" w:color="000000" w:fill="FFFFFF"/>
            <w:noWrap/>
            <w:vAlign w:val="bottom"/>
            <w:hideMark/>
          </w:tcPr>
          <w:p w14:paraId="3BBEBB8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4 971 790</w:t>
            </w:r>
          </w:p>
        </w:tc>
      </w:tr>
      <w:tr w:rsidR="00EF31B7" w:rsidRPr="00EF31B7" w14:paraId="5D7C877F"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9A83C7A"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ΜΑLTA</w:t>
            </w:r>
          </w:p>
        </w:tc>
        <w:tc>
          <w:tcPr>
            <w:tcW w:w="1080" w:type="dxa"/>
            <w:tcBorders>
              <w:top w:val="nil"/>
              <w:left w:val="nil"/>
              <w:bottom w:val="nil"/>
              <w:right w:val="nil"/>
            </w:tcBorders>
            <w:shd w:val="clear" w:color="000000" w:fill="C0C0C0"/>
            <w:noWrap/>
            <w:vAlign w:val="center"/>
            <w:hideMark/>
          </w:tcPr>
          <w:p w14:paraId="0624E014"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1104" w:type="dxa"/>
            <w:tcBorders>
              <w:top w:val="nil"/>
              <w:left w:val="single" w:sz="4" w:space="0" w:color="auto"/>
              <w:bottom w:val="nil"/>
              <w:right w:val="single" w:sz="8" w:space="0" w:color="auto"/>
            </w:tcBorders>
            <w:shd w:val="clear" w:color="000000" w:fill="FFFFFF"/>
            <w:noWrap/>
            <w:vAlign w:val="bottom"/>
            <w:hideMark/>
          </w:tcPr>
          <w:p w14:paraId="4FB504E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133 035</w:t>
            </w:r>
          </w:p>
        </w:tc>
        <w:tc>
          <w:tcPr>
            <w:tcW w:w="993" w:type="dxa"/>
            <w:tcBorders>
              <w:top w:val="nil"/>
              <w:left w:val="single" w:sz="4" w:space="0" w:color="auto"/>
              <w:bottom w:val="nil"/>
              <w:right w:val="single" w:sz="8" w:space="0" w:color="auto"/>
            </w:tcBorders>
            <w:shd w:val="clear" w:color="000000" w:fill="FFFFFF"/>
            <w:noWrap/>
            <w:vAlign w:val="bottom"/>
            <w:hideMark/>
          </w:tcPr>
          <w:p w14:paraId="6E890C9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3 421</w:t>
            </w:r>
          </w:p>
        </w:tc>
        <w:tc>
          <w:tcPr>
            <w:tcW w:w="1275" w:type="dxa"/>
            <w:tcBorders>
              <w:top w:val="nil"/>
              <w:left w:val="single" w:sz="4" w:space="0" w:color="auto"/>
              <w:bottom w:val="nil"/>
              <w:right w:val="single" w:sz="8" w:space="0" w:color="auto"/>
            </w:tcBorders>
            <w:shd w:val="clear" w:color="000000" w:fill="FFFFFF"/>
            <w:noWrap/>
            <w:vAlign w:val="bottom"/>
            <w:hideMark/>
          </w:tcPr>
          <w:p w14:paraId="1AB6044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95 025</w:t>
            </w:r>
          </w:p>
        </w:tc>
        <w:tc>
          <w:tcPr>
            <w:tcW w:w="993" w:type="dxa"/>
            <w:tcBorders>
              <w:top w:val="nil"/>
              <w:left w:val="single" w:sz="4" w:space="0" w:color="auto"/>
              <w:bottom w:val="nil"/>
              <w:right w:val="single" w:sz="8" w:space="0" w:color="auto"/>
            </w:tcBorders>
            <w:shd w:val="clear" w:color="000000" w:fill="FFFFFF"/>
            <w:noWrap/>
            <w:vAlign w:val="bottom"/>
            <w:hideMark/>
          </w:tcPr>
          <w:p w14:paraId="53CF13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A376A8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76 020</w:t>
            </w:r>
          </w:p>
        </w:tc>
        <w:tc>
          <w:tcPr>
            <w:tcW w:w="851" w:type="dxa"/>
            <w:tcBorders>
              <w:top w:val="nil"/>
              <w:left w:val="single" w:sz="4" w:space="0" w:color="auto"/>
              <w:bottom w:val="nil"/>
              <w:right w:val="single" w:sz="8" w:space="0" w:color="auto"/>
            </w:tcBorders>
            <w:shd w:val="clear" w:color="000000" w:fill="FFFFFF"/>
            <w:noWrap/>
            <w:vAlign w:val="bottom"/>
            <w:hideMark/>
          </w:tcPr>
          <w:p w14:paraId="4AFF7D3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4673603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304 080</w:t>
            </w:r>
          </w:p>
        </w:tc>
        <w:tc>
          <w:tcPr>
            <w:tcW w:w="1275" w:type="dxa"/>
            <w:tcBorders>
              <w:top w:val="nil"/>
              <w:left w:val="single" w:sz="4" w:space="0" w:color="auto"/>
              <w:bottom w:val="nil"/>
              <w:right w:val="single" w:sz="8" w:space="0" w:color="auto"/>
            </w:tcBorders>
            <w:shd w:val="clear" w:color="000000" w:fill="FFFFFF"/>
            <w:noWrap/>
            <w:vAlign w:val="bottom"/>
            <w:hideMark/>
          </w:tcPr>
          <w:p w14:paraId="533F623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3 421</w:t>
            </w:r>
          </w:p>
        </w:tc>
        <w:tc>
          <w:tcPr>
            <w:tcW w:w="1276" w:type="dxa"/>
            <w:tcBorders>
              <w:top w:val="nil"/>
              <w:left w:val="single" w:sz="4" w:space="0" w:color="auto"/>
              <w:bottom w:val="nil"/>
              <w:right w:val="single" w:sz="8" w:space="0" w:color="auto"/>
            </w:tcBorders>
            <w:shd w:val="clear" w:color="000000" w:fill="FFFFFF"/>
            <w:noWrap/>
            <w:vAlign w:val="bottom"/>
            <w:hideMark/>
          </w:tcPr>
          <w:p w14:paraId="41A7CD5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307 501</w:t>
            </w:r>
          </w:p>
        </w:tc>
      </w:tr>
      <w:tr w:rsidR="00EF31B7" w:rsidRPr="00EF31B7" w14:paraId="3D3FBE59"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D6702A2"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NEDERLANDENE</w:t>
            </w:r>
          </w:p>
        </w:tc>
        <w:tc>
          <w:tcPr>
            <w:tcW w:w="1080" w:type="dxa"/>
            <w:tcBorders>
              <w:top w:val="nil"/>
              <w:left w:val="nil"/>
              <w:bottom w:val="nil"/>
              <w:right w:val="nil"/>
            </w:tcBorders>
            <w:shd w:val="clear" w:color="000000" w:fill="C0C0C0"/>
            <w:noWrap/>
            <w:vAlign w:val="center"/>
            <w:hideMark/>
          </w:tcPr>
          <w:p w14:paraId="43DCBF1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1104" w:type="dxa"/>
            <w:tcBorders>
              <w:top w:val="nil"/>
              <w:left w:val="single" w:sz="4" w:space="0" w:color="auto"/>
              <w:bottom w:val="nil"/>
              <w:right w:val="single" w:sz="8" w:space="0" w:color="auto"/>
            </w:tcBorders>
            <w:shd w:val="clear" w:color="000000" w:fill="FFFFFF"/>
            <w:noWrap/>
            <w:vAlign w:val="bottom"/>
            <w:hideMark/>
          </w:tcPr>
          <w:p w14:paraId="069CB99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16 718 730</w:t>
            </w:r>
          </w:p>
        </w:tc>
        <w:tc>
          <w:tcPr>
            <w:tcW w:w="993" w:type="dxa"/>
            <w:tcBorders>
              <w:top w:val="nil"/>
              <w:left w:val="single" w:sz="4" w:space="0" w:color="auto"/>
              <w:bottom w:val="nil"/>
              <w:right w:val="single" w:sz="8" w:space="0" w:color="auto"/>
            </w:tcBorders>
            <w:shd w:val="clear" w:color="000000" w:fill="FFFFFF"/>
            <w:noWrap/>
            <w:vAlign w:val="bottom"/>
            <w:hideMark/>
          </w:tcPr>
          <w:p w14:paraId="4587B71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429 910</w:t>
            </w:r>
          </w:p>
        </w:tc>
        <w:tc>
          <w:tcPr>
            <w:tcW w:w="1275" w:type="dxa"/>
            <w:tcBorders>
              <w:top w:val="nil"/>
              <w:left w:val="single" w:sz="4" w:space="0" w:color="auto"/>
              <w:bottom w:val="nil"/>
              <w:right w:val="single" w:sz="8" w:space="0" w:color="auto"/>
            </w:tcBorders>
            <w:shd w:val="clear" w:color="000000" w:fill="FFFFFF"/>
            <w:noWrap/>
            <w:vAlign w:val="bottom"/>
            <w:hideMark/>
          </w:tcPr>
          <w:p w14:paraId="02877E7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11 941 950</w:t>
            </w:r>
          </w:p>
        </w:tc>
        <w:tc>
          <w:tcPr>
            <w:tcW w:w="993" w:type="dxa"/>
            <w:tcBorders>
              <w:top w:val="nil"/>
              <w:left w:val="single" w:sz="4" w:space="0" w:color="auto"/>
              <w:bottom w:val="nil"/>
              <w:right w:val="single" w:sz="8" w:space="0" w:color="auto"/>
            </w:tcBorders>
            <w:shd w:val="clear" w:color="000000" w:fill="FFFFFF"/>
            <w:noWrap/>
            <w:vAlign w:val="bottom"/>
            <w:hideMark/>
          </w:tcPr>
          <w:p w14:paraId="230A786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3BA394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9 553 560</w:t>
            </w:r>
          </w:p>
        </w:tc>
        <w:tc>
          <w:tcPr>
            <w:tcW w:w="851" w:type="dxa"/>
            <w:tcBorders>
              <w:top w:val="nil"/>
              <w:left w:val="single" w:sz="4" w:space="0" w:color="auto"/>
              <w:bottom w:val="nil"/>
              <w:right w:val="single" w:sz="8" w:space="0" w:color="auto"/>
            </w:tcBorders>
            <w:shd w:val="clear" w:color="000000" w:fill="FFFFFF"/>
            <w:noWrap/>
            <w:vAlign w:val="bottom"/>
            <w:hideMark/>
          </w:tcPr>
          <w:p w14:paraId="7A3511B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60F4A18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38 214 240</w:t>
            </w:r>
          </w:p>
        </w:tc>
        <w:tc>
          <w:tcPr>
            <w:tcW w:w="1275" w:type="dxa"/>
            <w:tcBorders>
              <w:top w:val="nil"/>
              <w:left w:val="single" w:sz="4" w:space="0" w:color="auto"/>
              <w:bottom w:val="nil"/>
              <w:right w:val="single" w:sz="8" w:space="0" w:color="auto"/>
            </w:tcBorders>
            <w:shd w:val="clear" w:color="000000" w:fill="FFFFFF"/>
            <w:noWrap/>
            <w:vAlign w:val="bottom"/>
            <w:hideMark/>
          </w:tcPr>
          <w:p w14:paraId="23E54CA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429 910</w:t>
            </w:r>
          </w:p>
        </w:tc>
        <w:tc>
          <w:tcPr>
            <w:tcW w:w="1276" w:type="dxa"/>
            <w:tcBorders>
              <w:top w:val="nil"/>
              <w:left w:val="single" w:sz="4" w:space="0" w:color="auto"/>
              <w:bottom w:val="nil"/>
              <w:right w:val="single" w:sz="8" w:space="0" w:color="auto"/>
            </w:tcBorders>
            <w:shd w:val="clear" w:color="000000" w:fill="FFFFFF"/>
            <w:noWrap/>
            <w:vAlign w:val="bottom"/>
            <w:hideMark/>
          </w:tcPr>
          <w:p w14:paraId="2EBA544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38 644 150</w:t>
            </w:r>
          </w:p>
        </w:tc>
      </w:tr>
      <w:tr w:rsidR="00EF31B7" w:rsidRPr="00EF31B7" w14:paraId="46415FBA"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17629A8"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ØSTRIG</w:t>
            </w:r>
          </w:p>
        </w:tc>
        <w:tc>
          <w:tcPr>
            <w:tcW w:w="1080" w:type="dxa"/>
            <w:tcBorders>
              <w:top w:val="nil"/>
              <w:left w:val="nil"/>
              <w:bottom w:val="nil"/>
              <w:right w:val="nil"/>
            </w:tcBorders>
            <w:shd w:val="clear" w:color="000000" w:fill="C0C0C0"/>
            <w:noWrap/>
            <w:vAlign w:val="center"/>
            <w:hideMark/>
          </w:tcPr>
          <w:p w14:paraId="3D28FD41"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1104" w:type="dxa"/>
            <w:tcBorders>
              <w:top w:val="nil"/>
              <w:left w:val="single" w:sz="4" w:space="0" w:color="auto"/>
              <w:bottom w:val="nil"/>
              <w:right w:val="single" w:sz="8" w:space="0" w:color="auto"/>
            </w:tcBorders>
            <w:shd w:val="clear" w:color="000000" w:fill="FFFFFF"/>
            <w:noWrap/>
            <w:vAlign w:val="bottom"/>
            <w:hideMark/>
          </w:tcPr>
          <w:p w14:paraId="68887DA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8 391 495</w:t>
            </w:r>
          </w:p>
        </w:tc>
        <w:tc>
          <w:tcPr>
            <w:tcW w:w="993" w:type="dxa"/>
            <w:tcBorders>
              <w:top w:val="nil"/>
              <w:left w:val="single" w:sz="4" w:space="0" w:color="auto"/>
              <w:bottom w:val="nil"/>
              <w:right w:val="single" w:sz="8" w:space="0" w:color="auto"/>
            </w:tcBorders>
            <w:shd w:val="clear" w:color="000000" w:fill="FFFFFF"/>
            <w:noWrap/>
            <w:vAlign w:val="bottom"/>
            <w:hideMark/>
          </w:tcPr>
          <w:p w14:paraId="574A589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215 781</w:t>
            </w:r>
          </w:p>
        </w:tc>
        <w:tc>
          <w:tcPr>
            <w:tcW w:w="1275" w:type="dxa"/>
            <w:tcBorders>
              <w:top w:val="nil"/>
              <w:left w:val="single" w:sz="4" w:space="0" w:color="auto"/>
              <w:bottom w:val="nil"/>
              <w:right w:val="single" w:sz="8" w:space="0" w:color="auto"/>
            </w:tcBorders>
            <w:shd w:val="clear" w:color="000000" w:fill="FFFFFF"/>
            <w:noWrap/>
            <w:vAlign w:val="bottom"/>
            <w:hideMark/>
          </w:tcPr>
          <w:p w14:paraId="5A35BDF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5 993 925</w:t>
            </w:r>
          </w:p>
        </w:tc>
        <w:tc>
          <w:tcPr>
            <w:tcW w:w="993" w:type="dxa"/>
            <w:tcBorders>
              <w:top w:val="nil"/>
              <w:left w:val="single" w:sz="4" w:space="0" w:color="auto"/>
              <w:bottom w:val="nil"/>
              <w:right w:val="single" w:sz="8" w:space="0" w:color="auto"/>
            </w:tcBorders>
            <w:shd w:val="clear" w:color="000000" w:fill="FFFFFF"/>
            <w:noWrap/>
            <w:vAlign w:val="bottom"/>
            <w:hideMark/>
          </w:tcPr>
          <w:p w14:paraId="5AC6C65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6B4B8C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4 795 140</w:t>
            </w:r>
          </w:p>
        </w:tc>
        <w:tc>
          <w:tcPr>
            <w:tcW w:w="851" w:type="dxa"/>
            <w:tcBorders>
              <w:top w:val="nil"/>
              <w:left w:val="single" w:sz="4" w:space="0" w:color="auto"/>
              <w:bottom w:val="nil"/>
              <w:right w:val="single" w:sz="8" w:space="0" w:color="auto"/>
            </w:tcBorders>
            <w:shd w:val="clear" w:color="000000" w:fill="FFFFFF"/>
            <w:noWrap/>
            <w:vAlign w:val="bottom"/>
            <w:hideMark/>
          </w:tcPr>
          <w:p w14:paraId="2E2064D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2BCA0DD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19 180 560</w:t>
            </w:r>
          </w:p>
        </w:tc>
        <w:tc>
          <w:tcPr>
            <w:tcW w:w="1275" w:type="dxa"/>
            <w:tcBorders>
              <w:top w:val="nil"/>
              <w:left w:val="single" w:sz="4" w:space="0" w:color="auto"/>
              <w:bottom w:val="nil"/>
              <w:right w:val="single" w:sz="8" w:space="0" w:color="auto"/>
            </w:tcBorders>
            <w:shd w:val="clear" w:color="000000" w:fill="FFFFFF"/>
            <w:noWrap/>
            <w:vAlign w:val="bottom"/>
            <w:hideMark/>
          </w:tcPr>
          <w:p w14:paraId="018284C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215 781</w:t>
            </w:r>
          </w:p>
        </w:tc>
        <w:tc>
          <w:tcPr>
            <w:tcW w:w="1276" w:type="dxa"/>
            <w:tcBorders>
              <w:top w:val="nil"/>
              <w:left w:val="single" w:sz="4" w:space="0" w:color="auto"/>
              <w:bottom w:val="nil"/>
              <w:right w:val="single" w:sz="8" w:space="0" w:color="auto"/>
            </w:tcBorders>
            <w:shd w:val="clear" w:color="000000" w:fill="FFFFFF"/>
            <w:noWrap/>
            <w:vAlign w:val="bottom"/>
            <w:hideMark/>
          </w:tcPr>
          <w:p w14:paraId="072C36D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19 396 341</w:t>
            </w:r>
          </w:p>
        </w:tc>
      </w:tr>
      <w:tr w:rsidR="00EF31B7" w:rsidRPr="00EF31B7" w14:paraId="56D4C09F"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50244B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POLEN</w:t>
            </w:r>
          </w:p>
        </w:tc>
        <w:tc>
          <w:tcPr>
            <w:tcW w:w="1080" w:type="dxa"/>
            <w:tcBorders>
              <w:top w:val="nil"/>
              <w:left w:val="nil"/>
              <w:bottom w:val="nil"/>
              <w:right w:val="nil"/>
            </w:tcBorders>
            <w:shd w:val="clear" w:color="000000" w:fill="C0C0C0"/>
            <w:noWrap/>
            <w:vAlign w:val="center"/>
            <w:hideMark/>
          </w:tcPr>
          <w:p w14:paraId="5311FB7D"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1104" w:type="dxa"/>
            <w:tcBorders>
              <w:top w:val="nil"/>
              <w:left w:val="single" w:sz="4" w:space="0" w:color="auto"/>
              <w:bottom w:val="nil"/>
              <w:right w:val="single" w:sz="8" w:space="0" w:color="auto"/>
            </w:tcBorders>
            <w:shd w:val="clear" w:color="000000" w:fill="FFFFFF"/>
            <w:noWrap/>
            <w:vAlign w:val="bottom"/>
            <w:hideMark/>
          </w:tcPr>
          <w:p w14:paraId="73E9C54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7 025 690</w:t>
            </w:r>
          </w:p>
        </w:tc>
        <w:tc>
          <w:tcPr>
            <w:tcW w:w="993" w:type="dxa"/>
            <w:tcBorders>
              <w:top w:val="nil"/>
              <w:left w:val="single" w:sz="4" w:space="0" w:color="auto"/>
              <w:bottom w:val="nil"/>
              <w:right w:val="single" w:sz="8" w:space="0" w:color="auto"/>
            </w:tcBorders>
            <w:shd w:val="clear" w:color="000000" w:fill="FFFFFF"/>
            <w:noWrap/>
            <w:vAlign w:val="bottom"/>
            <w:hideMark/>
          </w:tcPr>
          <w:p w14:paraId="6A42DB1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180 661</w:t>
            </w:r>
          </w:p>
        </w:tc>
        <w:tc>
          <w:tcPr>
            <w:tcW w:w="1275" w:type="dxa"/>
            <w:tcBorders>
              <w:top w:val="nil"/>
              <w:left w:val="single" w:sz="4" w:space="0" w:color="auto"/>
              <w:bottom w:val="nil"/>
              <w:right w:val="single" w:sz="8" w:space="0" w:color="auto"/>
            </w:tcBorders>
            <w:shd w:val="clear" w:color="000000" w:fill="FFFFFF"/>
            <w:noWrap/>
            <w:vAlign w:val="bottom"/>
            <w:hideMark/>
          </w:tcPr>
          <w:p w14:paraId="21DCAD9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5 018 350</w:t>
            </w:r>
          </w:p>
        </w:tc>
        <w:tc>
          <w:tcPr>
            <w:tcW w:w="993" w:type="dxa"/>
            <w:tcBorders>
              <w:top w:val="nil"/>
              <w:left w:val="single" w:sz="4" w:space="0" w:color="auto"/>
              <w:bottom w:val="nil"/>
              <w:right w:val="single" w:sz="8" w:space="0" w:color="auto"/>
            </w:tcBorders>
            <w:shd w:val="clear" w:color="000000" w:fill="FFFFFF"/>
            <w:noWrap/>
            <w:vAlign w:val="bottom"/>
            <w:hideMark/>
          </w:tcPr>
          <w:p w14:paraId="29FC73B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4EF0E1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4 014 680</w:t>
            </w:r>
          </w:p>
        </w:tc>
        <w:tc>
          <w:tcPr>
            <w:tcW w:w="851" w:type="dxa"/>
            <w:tcBorders>
              <w:top w:val="nil"/>
              <w:left w:val="single" w:sz="4" w:space="0" w:color="auto"/>
              <w:bottom w:val="nil"/>
              <w:right w:val="single" w:sz="8" w:space="0" w:color="auto"/>
            </w:tcBorders>
            <w:shd w:val="clear" w:color="000000" w:fill="FFFFFF"/>
            <w:noWrap/>
            <w:vAlign w:val="bottom"/>
            <w:hideMark/>
          </w:tcPr>
          <w:p w14:paraId="71FD4CF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1D7DB4A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16 058 720</w:t>
            </w:r>
          </w:p>
        </w:tc>
        <w:tc>
          <w:tcPr>
            <w:tcW w:w="1275" w:type="dxa"/>
            <w:tcBorders>
              <w:top w:val="nil"/>
              <w:left w:val="single" w:sz="4" w:space="0" w:color="auto"/>
              <w:bottom w:val="nil"/>
              <w:right w:val="single" w:sz="8" w:space="0" w:color="auto"/>
            </w:tcBorders>
            <w:shd w:val="clear" w:color="000000" w:fill="FFFFFF"/>
            <w:noWrap/>
            <w:vAlign w:val="bottom"/>
            <w:hideMark/>
          </w:tcPr>
          <w:p w14:paraId="7A887BA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180 661</w:t>
            </w:r>
          </w:p>
        </w:tc>
        <w:tc>
          <w:tcPr>
            <w:tcW w:w="1276" w:type="dxa"/>
            <w:tcBorders>
              <w:top w:val="nil"/>
              <w:left w:val="single" w:sz="4" w:space="0" w:color="auto"/>
              <w:bottom w:val="nil"/>
              <w:right w:val="single" w:sz="8" w:space="0" w:color="auto"/>
            </w:tcBorders>
            <w:shd w:val="clear" w:color="000000" w:fill="FFFFFF"/>
            <w:noWrap/>
            <w:vAlign w:val="bottom"/>
            <w:hideMark/>
          </w:tcPr>
          <w:p w14:paraId="60FCA1B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16 239 381</w:t>
            </w:r>
          </w:p>
        </w:tc>
      </w:tr>
      <w:tr w:rsidR="00EF31B7" w:rsidRPr="00EF31B7" w14:paraId="68621035"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AEE771E"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PORTUGAL</w:t>
            </w:r>
          </w:p>
        </w:tc>
        <w:tc>
          <w:tcPr>
            <w:tcW w:w="1080" w:type="dxa"/>
            <w:tcBorders>
              <w:top w:val="nil"/>
              <w:left w:val="nil"/>
              <w:bottom w:val="nil"/>
              <w:right w:val="nil"/>
            </w:tcBorders>
            <w:shd w:val="clear" w:color="000000" w:fill="C0C0C0"/>
            <w:noWrap/>
            <w:vAlign w:val="center"/>
            <w:hideMark/>
          </w:tcPr>
          <w:p w14:paraId="695C8E31"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1104" w:type="dxa"/>
            <w:tcBorders>
              <w:top w:val="nil"/>
              <w:left w:val="single" w:sz="4" w:space="0" w:color="auto"/>
              <w:bottom w:val="nil"/>
              <w:right w:val="single" w:sz="8" w:space="0" w:color="auto"/>
            </w:tcBorders>
            <w:shd w:val="clear" w:color="000000" w:fill="FFFFFF"/>
            <w:noWrap/>
            <w:vAlign w:val="bottom"/>
            <w:hideMark/>
          </w:tcPr>
          <w:p w14:paraId="1EC7D4E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4 188 765</w:t>
            </w:r>
          </w:p>
        </w:tc>
        <w:tc>
          <w:tcPr>
            <w:tcW w:w="993" w:type="dxa"/>
            <w:tcBorders>
              <w:top w:val="nil"/>
              <w:left w:val="single" w:sz="4" w:space="0" w:color="auto"/>
              <w:bottom w:val="nil"/>
              <w:right w:val="single" w:sz="8" w:space="0" w:color="auto"/>
            </w:tcBorders>
            <w:shd w:val="clear" w:color="000000" w:fill="FFFFFF"/>
            <w:noWrap/>
            <w:vAlign w:val="bottom"/>
            <w:hideMark/>
          </w:tcPr>
          <w:p w14:paraId="733F795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107 711</w:t>
            </w:r>
          </w:p>
        </w:tc>
        <w:tc>
          <w:tcPr>
            <w:tcW w:w="1275" w:type="dxa"/>
            <w:tcBorders>
              <w:top w:val="nil"/>
              <w:left w:val="single" w:sz="4" w:space="0" w:color="auto"/>
              <w:bottom w:val="nil"/>
              <w:right w:val="single" w:sz="8" w:space="0" w:color="auto"/>
            </w:tcBorders>
            <w:shd w:val="clear" w:color="000000" w:fill="FFFFFF"/>
            <w:noWrap/>
            <w:vAlign w:val="bottom"/>
            <w:hideMark/>
          </w:tcPr>
          <w:p w14:paraId="651F974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2 991 975</w:t>
            </w:r>
          </w:p>
        </w:tc>
        <w:tc>
          <w:tcPr>
            <w:tcW w:w="993" w:type="dxa"/>
            <w:tcBorders>
              <w:top w:val="nil"/>
              <w:left w:val="single" w:sz="4" w:space="0" w:color="auto"/>
              <w:bottom w:val="nil"/>
              <w:right w:val="single" w:sz="8" w:space="0" w:color="auto"/>
            </w:tcBorders>
            <w:shd w:val="clear" w:color="000000" w:fill="FFFFFF"/>
            <w:noWrap/>
            <w:vAlign w:val="bottom"/>
            <w:hideMark/>
          </w:tcPr>
          <w:p w14:paraId="07FBB5D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E7BEFA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2 393 580</w:t>
            </w:r>
          </w:p>
        </w:tc>
        <w:tc>
          <w:tcPr>
            <w:tcW w:w="851" w:type="dxa"/>
            <w:tcBorders>
              <w:top w:val="nil"/>
              <w:left w:val="single" w:sz="4" w:space="0" w:color="auto"/>
              <w:bottom w:val="nil"/>
              <w:right w:val="single" w:sz="8" w:space="0" w:color="auto"/>
            </w:tcBorders>
            <w:shd w:val="clear" w:color="000000" w:fill="FFFFFF"/>
            <w:noWrap/>
            <w:vAlign w:val="bottom"/>
            <w:hideMark/>
          </w:tcPr>
          <w:p w14:paraId="53A54E0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07B0430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9 574 320</w:t>
            </w:r>
          </w:p>
        </w:tc>
        <w:tc>
          <w:tcPr>
            <w:tcW w:w="1275" w:type="dxa"/>
            <w:tcBorders>
              <w:top w:val="nil"/>
              <w:left w:val="single" w:sz="4" w:space="0" w:color="auto"/>
              <w:bottom w:val="nil"/>
              <w:right w:val="single" w:sz="8" w:space="0" w:color="auto"/>
            </w:tcBorders>
            <w:shd w:val="clear" w:color="000000" w:fill="FFFFFF"/>
            <w:noWrap/>
            <w:vAlign w:val="bottom"/>
            <w:hideMark/>
          </w:tcPr>
          <w:p w14:paraId="100767F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107 711</w:t>
            </w:r>
          </w:p>
        </w:tc>
        <w:tc>
          <w:tcPr>
            <w:tcW w:w="1276" w:type="dxa"/>
            <w:tcBorders>
              <w:top w:val="nil"/>
              <w:left w:val="single" w:sz="4" w:space="0" w:color="auto"/>
              <w:bottom w:val="nil"/>
              <w:right w:val="single" w:sz="8" w:space="0" w:color="auto"/>
            </w:tcBorders>
            <w:shd w:val="clear" w:color="000000" w:fill="FFFFFF"/>
            <w:noWrap/>
            <w:vAlign w:val="bottom"/>
            <w:hideMark/>
          </w:tcPr>
          <w:p w14:paraId="072D1A9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9 682 031</w:t>
            </w:r>
          </w:p>
        </w:tc>
      </w:tr>
      <w:tr w:rsidR="00EF31B7" w:rsidRPr="00EF31B7" w14:paraId="4F185777"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514BD0A"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RUMÆNIEN</w:t>
            </w:r>
          </w:p>
        </w:tc>
        <w:tc>
          <w:tcPr>
            <w:tcW w:w="1080" w:type="dxa"/>
            <w:tcBorders>
              <w:top w:val="nil"/>
              <w:left w:val="nil"/>
              <w:bottom w:val="nil"/>
              <w:right w:val="nil"/>
            </w:tcBorders>
            <w:shd w:val="clear" w:color="000000" w:fill="C0C0C0"/>
            <w:noWrap/>
            <w:vAlign w:val="center"/>
            <w:hideMark/>
          </w:tcPr>
          <w:p w14:paraId="57A4DEC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1104" w:type="dxa"/>
            <w:tcBorders>
              <w:top w:val="nil"/>
              <w:left w:val="single" w:sz="4" w:space="0" w:color="auto"/>
              <w:bottom w:val="nil"/>
              <w:right w:val="single" w:sz="8" w:space="0" w:color="auto"/>
            </w:tcBorders>
            <w:shd w:val="clear" w:color="000000" w:fill="FFFFFF"/>
            <w:noWrap/>
            <w:vAlign w:val="bottom"/>
            <w:hideMark/>
          </w:tcPr>
          <w:p w14:paraId="6B046B3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2 513 525</w:t>
            </w:r>
          </w:p>
        </w:tc>
        <w:tc>
          <w:tcPr>
            <w:tcW w:w="993" w:type="dxa"/>
            <w:tcBorders>
              <w:top w:val="nil"/>
              <w:left w:val="single" w:sz="4" w:space="0" w:color="auto"/>
              <w:bottom w:val="nil"/>
              <w:right w:val="single" w:sz="8" w:space="0" w:color="auto"/>
            </w:tcBorders>
            <w:shd w:val="clear" w:color="000000" w:fill="FFFFFF"/>
            <w:noWrap/>
            <w:vAlign w:val="bottom"/>
            <w:hideMark/>
          </w:tcPr>
          <w:p w14:paraId="2390EEE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64 634</w:t>
            </w:r>
          </w:p>
        </w:tc>
        <w:tc>
          <w:tcPr>
            <w:tcW w:w="1275" w:type="dxa"/>
            <w:tcBorders>
              <w:top w:val="nil"/>
              <w:left w:val="single" w:sz="4" w:space="0" w:color="auto"/>
              <w:bottom w:val="nil"/>
              <w:right w:val="single" w:sz="8" w:space="0" w:color="auto"/>
            </w:tcBorders>
            <w:shd w:val="clear" w:color="000000" w:fill="FFFFFF"/>
            <w:noWrap/>
            <w:vAlign w:val="bottom"/>
            <w:hideMark/>
          </w:tcPr>
          <w:p w14:paraId="0A2AAF8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1 795 375</w:t>
            </w:r>
          </w:p>
        </w:tc>
        <w:tc>
          <w:tcPr>
            <w:tcW w:w="993" w:type="dxa"/>
            <w:tcBorders>
              <w:top w:val="nil"/>
              <w:left w:val="single" w:sz="4" w:space="0" w:color="auto"/>
              <w:bottom w:val="nil"/>
              <w:right w:val="single" w:sz="8" w:space="0" w:color="auto"/>
            </w:tcBorders>
            <w:shd w:val="clear" w:color="000000" w:fill="FFFFFF"/>
            <w:noWrap/>
            <w:vAlign w:val="bottom"/>
            <w:hideMark/>
          </w:tcPr>
          <w:p w14:paraId="229C6EB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6501D7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1 436 300</w:t>
            </w:r>
          </w:p>
        </w:tc>
        <w:tc>
          <w:tcPr>
            <w:tcW w:w="851" w:type="dxa"/>
            <w:tcBorders>
              <w:top w:val="nil"/>
              <w:left w:val="single" w:sz="4" w:space="0" w:color="auto"/>
              <w:bottom w:val="nil"/>
              <w:right w:val="single" w:sz="8" w:space="0" w:color="auto"/>
            </w:tcBorders>
            <w:shd w:val="clear" w:color="000000" w:fill="FFFFFF"/>
            <w:noWrap/>
            <w:vAlign w:val="bottom"/>
            <w:hideMark/>
          </w:tcPr>
          <w:p w14:paraId="2A869CB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0938084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5 745 200</w:t>
            </w:r>
          </w:p>
        </w:tc>
        <w:tc>
          <w:tcPr>
            <w:tcW w:w="1275" w:type="dxa"/>
            <w:tcBorders>
              <w:top w:val="nil"/>
              <w:left w:val="single" w:sz="4" w:space="0" w:color="auto"/>
              <w:bottom w:val="nil"/>
              <w:right w:val="single" w:sz="8" w:space="0" w:color="auto"/>
            </w:tcBorders>
            <w:shd w:val="clear" w:color="000000" w:fill="FFFFFF"/>
            <w:noWrap/>
            <w:vAlign w:val="bottom"/>
            <w:hideMark/>
          </w:tcPr>
          <w:p w14:paraId="45A365A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64 634</w:t>
            </w:r>
          </w:p>
        </w:tc>
        <w:tc>
          <w:tcPr>
            <w:tcW w:w="1276" w:type="dxa"/>
            <w:tcBorders>
              <w:top w:val="nil"/>
              <w:left w:val="single" w:sz="4" w:space="0" w:color="auto"/>
              <w:bottom w:val="nil"/>
              <w:right w:val="single" w:sz="8" w:space="0" w:color="auto"/>
            </w:tcBorders>
            <w:shd w:val="clear" w:color="000000" w:fill="FFFFFF"/>
            <w:noWrap/>
            <w:vAlign w:val="bottom"/>
            <w:hideMark/>
          </w:tcPr>
          <w:p w14:paraId="287FEF9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5 809 834</w:t>
            </w:r>
          </w:p>
        </w:tc>
      </w:tr>
      <w:tr w:rsidR="00EF31B7" w:rsidRPr="00EF31B7" w14:paraId="56A1A443"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3E04C9D"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SLOVENIEN</w:t>
            </w:r>
          </w:p>
        </w:tc>
        <w:tc>
          <w:tcPr>
            <w:tcW w:w="1080" w:type="dxa"/>
            <w:tcBorders>
              <w:top w:val="nil"/>
              <w:left w:val="nil"/>
              <w:bottom w:val="nil"/>
              <w:right w:val="nil"/>
            </w:tcBorders>
            <w:shd w:val="clear" w:color="000000" w:fill="C0C0C0"/>
            <w:noWrap/>
            <w:vAlign w:val="center"/>
            <w:hideMark/>
          </w:tcPr>
          <w:p w14:paraId="7EE821CF"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1104" w:type="dxa"/>
            <w:tcBorders>
              <w:top w:val="nil"/>
              <w:left w:val="single" w:sz="4" w:space="0" w:color="auto"/>
              <w:bottom w:val="nil"/>
              <w:right w:val="single" w:sz="8" w:space="0" w:color="auto"/>
            </w:tcBorders>
            <w:shd w:val="clear" w:color="000000" w:fill="FFFFFF"/>
            <w:noWrap/>
            <w:vAlign w:val="bottom"/>
            <w:hideMark/>
          </w:tcPr>
          <w:p w14:paraId="2A660F4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785 820</w:t>
            </w:r>
          </w:p>
        </w:tc>
        <w:tc>
          <w:tcPr>
            <w:tcW w:w="993" w:type="dxa"/>
            <w:tcBorders>
              <w:top w:val="nil"/>
              <w:left w:val="single" w:sz="4" w:space="0" w:color="auto"/>
              <w:bottom w:val="nil"/>
              <w:right w:val="single" w:sz="8" w:space="0" w:color="auto"/>
            </w:tcBorders>
            <w:shd w:val="clear" w:color="000000" w:fill="FFFFFF"/>
            <w:noWrap/>
            <w:vAlign w:val="bottom"/>
            <w:hideMark/>
          </w:tcPr>
          <w:p w14:paraId="286564E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20 207</w:t>
            </w:r>
          </w:p>
        </w:tc>
        <w:tc>
          <w:tcPr>
            <w:tcW w:w="1275" w:type="dxa"/>
            <w:tcBorders>
              <w:top w:val="nil"/>
              <w:left w:val="single" w:sz="4" w:space="0" w:color="auto"/>
              <w:bottom w:val="nil"/>
              <w:right w:val="single" w:sz="8" w:space="0" w:color="auto"/>
            </w:tcBorders>
            <w:shd w:val="clear" w:color="000000" w:fill="FFFFFF"/>
            <w:noWrap/>
            <w:vAlign w:val="bottom"/>
            <w:hideMark/>
          </w:tcPr>
          <w:p w14:paraId="54DD7FC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561 300</w:t>
            </w:r>
          </w:p>
        </w:tc>
        <w:tc>
          <w:tcPr>
            <w:tcW w:w="993" w:type="dxa"/>
            <w:tcBorders>
              <w:top w:val="nil"/>
              <w:left w:val="single" w:sz="4" w:space="0" w:color="auto"/>
              <w:bottom w:val="nil"/>
              <w:right w:val="single" w:sz="8" w:space="0" w:color="auto"/>
            </w:tcBorders>
            <w:shd w:val="clear" w:color="000000" w:fill="FFFFFF"/>
            <w:noWrap/>
            <w:vAlign w:val="bottom"/>
            <w:hideMark/>
          </w:tcPr>
          <w:p w14:paraId="507D0C6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850B97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449 040</w:t>
            </w:r>
          </w:p>
        </w:tc>
        <w:tc>
          <w:tcPr>
            <w:tcW w:w="851" w:type="dxa"/>
            <w:tcBorders>
              <w:top w:val="nil"/>
              <w:left w:val="single" w:sz="4" w:space="0" w:color="auto"/>
              <w:bottom w:val="nil"/>
              <w:right w:val="single" w:sz="8" w:space="0" w:color="auto"/>
            </w:tcBorders>
            <w:shd w:val="clear" w:color="000000" w:fill="FFFFFF"/>
            <w:noWrap/>
            <w:vAlign w:val="bottom"/>
            <w:hideMark/>
          </w:tcPr>
          <w:p w14:paraId="7BE79DA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F9751C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1 796 160</w:t>
            </w:r>
          </w:p>
        </w:tc>
        <w:tc>
          <w:tcPr>
            <w:tcW w:w="1275" w:type="dxa"/>
            <w:tcBorders>
              <w:top w:val="nil"/>
              <w:left w:val="single" w:sz="4" w:space="0" w:color="auto"/>
              <w:bottom w:val="nil"/>
              <w:right w:val="single" w:sz="8" w:space="0" w:color="auto"/>
            </w:tcBorders>
            <w:shd w:val="clear" w:color="000000" w:fill="FFFFFF"/>
            <w:noWrap/>
            <w:vAlign w:val="bottom"/>
            <w:hideMark/>
          </w:tcPr>
          <w:p w14:paraId="6B2917E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20 207</w:t>
            </w:r>
          </w:p>
        </w:tc>
        <w:tc>
          <w:tcPr>
            <w:tcW w:w="1276" w:type="dxa"/>
            <w:tcBorders>
              <w:top w:val="nil"/>
              <w:left w:val="single" w:sz="4" w:space="0" w:color="auto"/>
              <w:bottom w:val="nil"/>
              <w:right w:val="single" w:sz="8" w:space="0" w:color="auto"/>
            </w:tcBorders>
            <w:shd w:val="clear" w:color="000000" w:fill="FFFFFF"/>
            <w:noWrap/>
            <w:vAlign w:val="bottom"/>
            <w:hideMark/>
          </w:tcPr>
          <w:p w14:paraId="2288012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1 816 367</w:t>
            </w:r>
          </w:p>
        </w:tc>
      </w:tr>
      <w:tr w:rsidR="00EF31B7" w:rsidRPr="00EF31B7" w14:paraId="0945437B"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2278FC9"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SLOVAKIET</w:t>
            </w:r>
          </w:p>
        </w:tc>
        <w:tc>
          <w:tcPr>
            <w:tcW w:w="1080" w:type="dxa"/>
            <w:tcBorders>
              <w:top w:val="nil"/>
              <w:left w:val="nil"/>
              <w:bottom w:val="nil"/>
              <w:right w:val="nil"/>
            </w:tcBorders>
            <w:shd w:val="clear" w:color="000000" w:fill="C0C0C0"/>
            <w:noWrap/>
            <w:vAlign w:val="center"/>
            <w:hideMark/>
          </w:tcPr>
          <w:p w14:paraId="12C3C5A6"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1104" w:type="dxa"/>
            <w:tcBorders>
              <w:top w:val="nil"/>
              <w:left w:val="single" w:sz="4" w:space="0" w:color="auto"/>
              <w:bottom w:val="nil"/>
              <w:right w:val="single" w:sz="8" w:space="0" w:color="auto"/>
            </w:tcBorders>
            <w:shd w:val="clear" w:color="000000" w:fill="FFFFFF"/>
            <w:noWrap/>
            <w:vAlign w:val="bottom"/>
            <w:hideMark/>
          </w:tcPr>
          <w:p w14:paraId="7B822A8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1 316 560</w:t>
            </w:r>
          </w:p>
        </w:tc>
        <w:tc>
          <w:tcPr>
            <w:tcW w:w="993" w:type="dxa"/>
            <w:tcBorders>
              <w:top w:val="nil"/>
              <w:left w:val="single" w:sz="4" w:space="0" w:color="auto"/>
              <w:bottom w:val="nil"/>
              <w:right w:val="single" w:sz="8" w:space="0" w:color="auto"/>
            </w:tcBorders>
            <w:shd w:val="clear" w:color="000000" w:fill="FFFFFF"/>
            <w:noWrap/>
            <w:vAlign w:val="bottom"/>
            <w:hideMark/>
          </w:tcPr>
          <w:p w14:paraId="4BA7345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33 854</w:t>
            </w:r>
          </w:p>
        </w:tc>
        <w:tc>
          <w:tcPr>
            <w:tcW w:w="1275" w:type="dxa"/>
            <w:tcBorders>
              <w:top w:val="nil"/>
              <w:left w:val="single" w:sz="4" w:space="0" w:color="auto"/>
              <w:bottom w:val="nil"/>
              <w:right w:val="single" w:sz="8" w:space="0" w:color="auto"/>
            </w:tcBorders>
            <w:shd w:val="clear" w:color="000000" w:fill="FFFFFF"/>
            <w:noWrap/>
            <w:vAlign w:val="bottom"/>
            <w:hideMark/>
          </w:tcPr>
          <w:p w14:paraId="6890EF8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940 400</w:t>
            </w:r>
          </w:p>
        </w:tc>
        <w:tc>
          <w:tcPr>
            <w:tcW w:w="993" w:type="dxa"/>
            <w:tcBorders>
              <w:top w:val="nil"/>
              <w:left w:val="single" w:sz="4" w:space="0" w:color="auto"/>
              <w:bottom w:val="nil"/>
              <w:right w:val="single" w:sz="8" w:space="0" w:color="auto"/>
            </w:tcBorders>
            <w:shd w:val="clear" w:color="000000" w:fill="FFFFFF"/>
            <w:noWrap/>
            <w:vAlign w:val="bottom"/>
            <w:hideMark/>
          </w:tcPr>
          <w:p w14:paraId="1B4332F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C07FF4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752 320</w:t>
            </w:r>
          </w:p>
        </w:tc>
        <w:tc>
          <w:tcPr>
            <w:tcW w:w="851" w:type="dxa"/>
            <w:tcBorders>
              <w:top w:val="nil"/>
              <w:left w:val="single" w:sz="4" w:space="0" w:color="auto"/>
              <w:bottom w:val="nil"/>
              <w:right w:val="single" w:sz="8" w:space="0" w:color="auto"/>
            </w:tcBorders>
            <w:shd w:val="clear" w:color="000000" w:fill="FFFFFF"/>
            <w:noWrap/>
            <w:vAlign w:val="bottom"/>
            <w:hideMark/>
          </w:tcPr>
          <w:p w14:paraId="59D9522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0131C30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3 009 280</w:t>
            </w:r>
          </w:p>
        </w:tc>
        <w:tc>
          <w:tcPr>
            <w:tcW w:w="1275" w:type="dxa"/>
            <w:tcBorders>
              <w:top w:val="nil"/>
              <w:left w:val="single" w:sz="4" w:space="0" w:color="auto"/>
              <w:bottom w:val="nil"/>
              <w:right w:val="single" w:sz="8" w:space="0" w:color="auto"/>
            </w:tcBorders>
            <w:shd w:val="clear" w:color="000000" w:fill="FFFFFF"/>
            <w:noWrap/>
            <w:vAlign w:val="bottom"/>
            <w:hideMark/>
          </w:tcPr>
          <w:p w14:paraId="6D142F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33 854</w:t>
            </w:r>
          </w:p>
        </w:tc>
        <w:tc>
          <w:tcPr>
            <w:tcW w:w="1276" w:type="dxa"/>
            <w:tcBorders>
              <w:top w:val="nil"/>
              <w:left w:val="single" w:sz="4" w:space="0" w:color="auto"/>
              <w:bottom w:val="nil"/>
              <w:right w:val="single" w:sz="8" w:space="0" w:color="auto"/>
            </w:tcBorders>
            <w:shd w:val="clear" w:color="000000" w:fill="FFFFFF"/>
            <w:noWrap/>
            <w:vAlign w:val="bottom"/>
            <w:hideMark/>
          </w:tcPr>
          <w:p w14:paraId="3A7A84C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3 043 134</w:t>
            </w:r>
          </w:p>
        </w:tc>
      </w:tr>
      <w:tr w:rsidR="00EF31B7" w:rsidRPr="00EF31B7" w14:paraId="4F6E7217"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13A7018"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FINLAND</w:t>
            </w:r>
          </w:p>
        </w:tc>
        <w:tc>
          <w:tcPr>
            <w:tcW w:w="1080" w:type="dxa"/>
            <w:tcBorders>
              <w:top w:val="nil"/>
              <w:left w:val="nil"/>
              <w:bottom w:val="nil"/>
              <w:right w:val="nil"/>
            </w:tcBorders>
            <w:shd w:val="clear" w:color="000000" w:fill="C0C0C0"/>
            <w:noWrap/>
            <w:vAlign w:val="center"/>
            <w:hideMark/>
          </w:tcPr>
          <w:p w14:paraId="79EB1B36"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1104" w:type="dxa"/>
            <w:tcBorders>
              <w:top w:val="nil"/>
              <w:left w:val="single" w:sz="4" w:space="0" w:color="auto"/>
              <w:bottom w:val="nil"/>
              <w:right w:val="single" w:sz="8" w:space="0" w:color="auto"/>
            </w:tcBorders>
            <w:shd w:val="clear" w:color="000000" w:fill="FFFFFF"/>
            <w:noWrap/>
            <w:vAlign w:val="bottom"/>
            <w:hideMark/>
          </w:tcPr>
          <w:p w14:paraId="4B7FE64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5 281 815</w:t>
            </w:r>
          </w:p>
        </w:tc>
        <w:tc>
          <w:tcPr>
            <w:tcW w:w="993" w:type="dxa"/>
            <w:tcBorders>
              <w:top w:val="nil"/>
              <w:left w:val="single" w:sz="4" w:space="0" w:color="auto"/>
              <w:bottom w:val="nil"/>
              <w:right w:val="single" w:sz="8" w:space="0" w:color="auto"/>
            </w:tcBorders>
            <w:shd w:val="clear" w:color="000000" w:fill="FFFFFF"/>
            <w:noWrap/>
            <w:vAlign w:val="bottom"/>
            <w:hideMark/>
          </w:tcPr>
          <w:p w14:paraId="04B2B8D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135 818</w:t>
            </w:r>
          </w:p>
        </w:tc>
        <w:tc>
          <w:tcPr>
            <w:tcW w:w="1275" w:type="dxa"/>
            <w:tcBorders>
              <w:top w:val="nil"/>
              <w:left w:val="single" w:sz="4" w:space="0" w:color="auto"/>
              <w:bottom w:val="nil"/>
              <w:right w:val="single" w:sz="8" w:space="0" w:color="auto"/>
            </w:tcBorders>
            <w:shd w:val="clear" w:color="000000" w:fill="FFFFFF"/>
            <w:noWrap/>
            <w:vAlign w:val="bottom"/>
            <w:hideMark/>
          </w:tcPr>
          <w:p w14:paraId="576AEC8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3 772 725</w:t>
            </w:r>
          </w:p>
        </w:tc>
        <w:tc>
          <w:tcPr>
            <w:tcW w:w="993" w:type="dxa"/>
            <w:tcBorders>
              <w:top w:val="nil"/>
              <w:left w:val="single" w:sz="4" w:space="0" w:color="auto"/>
              <w:bottom w:val="nil"/>
              <w:right w:val="single" w:sz="8" w:space="0" w:color="auto"/>
            </w:tcBorders>
            <w:shd w:val="clear" w:color="000000" w:fill="FFFFFF"/>
            <w:noWrap/>
            <w:vAlign w:val="bottom"/>
            <w:hideMark/>
          </w:tcPr>
          <w:p w14:paraId="3C009C4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E785A8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3 018 180</w:t>
            </w:r>
          </w:p>
        </w:tc>
        <w:tc>
          <w:tcPr>
            <w:tcW w:w="851" w:type="dxa"/>
            <w:tcBorders>
              <w:top w:val="nil"/>
              <w:left w:val="single" w:sz="4" w:space="0" w:color="auto"/>
              <w:bottom w:val="nil"/>
              <w:right w:val="single" w:sz="8" w:space="0" w:color="auto"/>
            </w:tcBorders>
            <w:shd w:val="clear" w:color="000000" w:fill="FFFFFF"/>
            <w:noWrap/>
            <w:vAlign w:val="bottom"/>
            <w:hideMark/>
          </w:tcPr>
          <w:p w14:paraId="6A37091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5C63F1B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12 072 720</w:t>
            </w:r>
          </w:p>
        </w:tc>
        <w:tc>
          <w:tcPr>
            <w:tcW w:w="1275" w:type="dxa"/>
            <w:tcBorders>
              <w:top w:val="nil"/>
              <w:left w:val="single" w:sz="4" w:space="0" w:color="auto"/>
              <w:bottom w:val="nil"/>
              <w:right w:val="single" w:sz="8" w:space="0" w:color="auto"/>
            </w:tcBorders>
            <w:shd w:val="clear" w:color="000000" w:fill="FFFFFF"/>
            <w:noWrap/>
            <w:vAlign w:val="bottom"/>
            <w:hideMark/>
          </w:tcPr>
          <w:p w14:paraId="013E100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135 818</w:t>
            </w:r>
          </w:p>
        </w:tc>
        <w:tc>
          <w:tcPr>
            <w:tcW w:w="1276" w:type="dxa"/>
            <w:tcBorders>
              <w:top w:val="nil"/>
              <w:left w:val="single" w:sz="4" w:space="0" w:color="auto"/>
              <w:bottom w:val="nil"/>
              <w:right w:val="single" w:sz="8" w:space="0" w:color="auto"/>
            </w:tcBorders>
            <w:shd w:val="clear" w:color="000000" w:fill="FFFFFF"/>
            <w:noWrap/>
            <w:vAlign w:val="bottom"/>
            <w:hideMark/>
          </w:tcPr>
          <w:p w14:paraId="44FA3FC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12 208 538</w:t>
            </w:r>
          </w:p>
        </w:tc>
      </w:tr>
      <w:tr w:rsidR="00EF31B7" w:rsidRPr="00EF31B7" w14:paraId="101F2C7A"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B1BC0C2"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SVERIGE</w:t>
            </w:r>
          </w:p>
        </w:tc>
        <w:tc>
          <w:tcPr>
            <w:tcW w:w="1080" w:type="dxa"/>
            <w:tcBorders>
              <w:top w:val="nil"/>
              <w:left w:val="nil"/>
              <w:bottom w:val="nil"/>
              <w:right w:val="nil"/>
            </w:tcBorders>
            <w:shd w:val="clear" w:color="000000" w:fill="C0C0C0"/>
            <w:noWrap/>
            <w:vAlign w:val="center"/>
            <w:hideMark/>
          </w:tcPr>
          <w:p w14:paraId="52BEBB9A"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1104" w:type="dxa"/>
            <w:tcBorders>
              <w:top w:val="nil"/>
              <w:left w:val="single" w:sz="4" w:space="0" w:color="auto"/>
              <w:bottom w:val="nil"/>
              <w:right w:val="single" w:sz="8" w:space="0" w:color="auto"/>
            </w:tcBorders>
            <w:shd w:val="clear" w:color="000000" w:fill="FFFFFF"/>
            <w:noWrap/>
            <w:vAlign w:val="bottom"/>
            <w:hideMark/>
          </w:tcPr>
          <w:p w14:paraId="7A2FD6B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10 286 885</w:t>
            </w:r>
          </w:p>
        </w:tc>
        <w:tc>
          <w:tcPr>
            <w:tcW w:w="993" w:type="dxa"/>
            <w:tcBorders>
              <w:top w:val="nil"/>
              <w:left w:val="single" w:sz="4" w:space="0" w:color="auto"/>
              <w:bottom w:val="nil"/>
              <w:right w:val="single" w:sz="8" w:space="0" w:color="auto"/>
            </w:tcBorders>
            <w:shd w:val="clear" w:color="000000" w:fill="FFFFFF"/>
            <w:noWrap/>
            <w:vAlign w:val="bottom"/>
            <w:hideMark/>
          </w:tcPr>
          <w:p w14:paraId="184D072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264 520</w:t>
            </w:r>
          </w:p>
        </w:tc>
        <w:tc>
          <w:tcPr>
            <w:tcW w:w="1275" w:type="dxa"/>
            <w:tcBorders>
              <w:top w:val="nil"/>
              <w:left w:val="single" w:sz="4" w:space="0" w:color="auto"/>
              <w:bottom w:val="nil"/>
              <w:right w:val="single" w:sz="8" w:space="0" w:color="auto"/>
            </w:tcBorders>
            <w:shd w:val="clear" w:color="000000" w:fill="FFFFFF"/>
            <w:noWrap/>
            <w:vAlign w:val="bottom"/>
            <w:hideMark/>
          </w:tcPr>
          <w:p w14:paraId="5E18CA9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7 347 775</w:t>
            </w:r>
          </w:p>
        </w:tc>
        <w:tc>
          <w:tcPr>
            <w:tcW w:w="993" w:type="dxa"/>
            <w:tcBorders>
              <w:top w:val="nil"/>
              <w:left w:val="single" w:sz="4" w:space="0" w:color="auto"/>
              <w:bottom w:val="nil"/>
              <w:right w:val="single" w:sz="8" w:space="0" w:color="auto"/>
            </w:tcBorders>
            <w:shd w:val="clear" w:color="000000" w:fill="FFFFFF"/>
            <w:noWrap/>
            <w:vAlign w:val="bottom"/>
            <w:hideMark/>
          </w:tcPr>
          <w:p w14:paraId="782212F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E3EB2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5 878 220</w:t>
            </w:r>
          </w:p>
        </w:tc>
        <w:tc>
          <w:tcPr>
            <w:tcW w:w="851" w:type="dxa"/>
            <w:tcBorders>
              <w:top w:val="nil"/>
              <w:left w:val="single" w:sz="4" w:space="0" w:color="auto"/>
              <w:bottom w:val="nil"/>
              <w:right w:val="single" w:sz="8" w:space="0" w:color="auto"/>
            </w:tcBorders>
            <w:shd w:val="clear" w:color="000000" w:fill="FFFFFF"/>
            <w:noWrap/>
            <w:vAlign w:val="bottom"/>
            <w:hideMark/>
          </w:tcPr>
          <w:p w14:paraId="565E1BF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362D29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23 512 880</w:t>
            </w:r>
          </w:p>
        </w:tc>
        <w:tc>
          <w:tcPr>
            <w:tcW w:w="1275" w:type="dxa"/>
            <w:tcBorders>
              <w:top w:val="nil"/>
              <w:left w:val="single" w:sz="4" w:space="0" w:color="auto"/>
              <w:bottom w:val="nil"/>
              <w:right w:val="single" w:sz="8" w:space="0" w:color="auto"/>
            </w:tcBorders>
            <w:shd w:val="clear" w:color="000000" w:fill="FFFFFF"/>
            <w:noWrap/>
            <w:vAlign w:val="bottom"/>
            <w:hideMark/>
          </w:tcPr>
          <w:p w14:paraId="313646E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264 520</w:t>
            </w:r>
          </w:p>
        </w:tc>
        <w:tc>
          <w:tcPr>
            <w:tcW w:w="1276" w:type="dxa"/>
            <w:tcBorders>
              <w:top w:val="nil"/>
              <w:left w:val="single" w:sz="4" w:space="0" w:color="auto"/>
              <w:bottom w:val="nil"/>
              <w:right w:val="single" w:sz="8" w:space="0" w:color="auto"/>
            </w:tcBorders>
            <w:shd w:val="clear" w:color="000000" w:fill="FFFFFF"/>
            <w:noWrap/>
            <w:vAlign w:val="bottom"/>
            <w:hideMark/>
          </w:tcPr>
          <w:p w14:paraId="0A4B91A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23 777 400</w:t>
            </w:r>
          </w:p>
        </w:tc>
      </w:tr>
      <w:tr w:rsidR="00EF31B7" w:rsidRPr="00EF31B7" w14:paraId="4C9E8335"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6FA0D61"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DET FORENEDE KONGERIGE</w:t>
            </w:r>
          </w:p>
        </w:tc>
        <w:tc>
          <w:tcPr>
            <w:tcW w:w="1080" w:type="dxa"/>
            <w:tcBorders>
              <w:top w:val="nil"/>
              <w:left w:val="nil"/>
              <w:bottom w:val="nil"/>
              <w:right w:val="nil"/>
            </w:tcBorders>
            <w:shd w:val="clear" w:color="000000" w:fill="C0C0C0"/>
            <w:noWrap/>
            <w:vAlign w:val="center"/>
            <w:hideMark/>
          </w:tcPr>
          <w:p w14:paraId="11DFF98A"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1104" w:type="dxa"/>
            <w:tcBorders>
              <w:top w:val="nil"/>
              <w:left w:val="single" w:sz="4" w:space="0" w:color="auto"/>
              <w:bottom w:val="nil"/>
              <w:right w:val="single" w:sz="8" w:space="0" w:color="auto"/>
            </w:tcBorders>
            <w:shd w:val="clear" w:color="000000" w:fill="FFFFFF"/>
            <w:noWrap/>
            <w:vAlign w:val="bottom"/>
            <w:hideMark/>
          </w:tcPr>
          <w:p w14:paraId="5874D88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51 375 170</w:t>
            </w:r>
          </w:p>
        </w:tc>
        <w:tc>
          <w:tcPr>
            <w:tcW w:w="993" w:type="dxa"/>
            <w:tcBorders>
              <w:top w:val="nil"/>
              <w:left w:val="single" w:sz="4" w:space="0" w:color="auto"/>
              <w:bottom w:val="nil"/>
              <w:right w:val="single" w:sz="8" w:space="0" w:color="auto"/>
            </w:tcBorders>
            <w:shd w:val="clear" w:color="000000" w:fill="FFFFFF"/>
            <w:noWrap/>
            <w:vAlign w:val="bottom"/>
            <w:hideMark/>
          </w:tcPr>
          <w:p w14:paraId="15A4ACF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1 321 076</w:t>
            </w:r>
          </w:p>
        </w:tc>
        <w:tc>
          <w:tcPr>
            <w:tcW w:w="1275" w:type="dxa"/>
            <w:tcBorders>
              <w:top w:val="nil"/>
              <w:left w:val="single" w:sz="4" w:space="0" w:color="auto"/>
              <w:bottom w:val="nil"/>
              <w:right w:val="single" w:sz="8" w:space="0" w:color="auto"/>
            </w:tcBorders>
            <w:shd w:val="clear" w:color="000000" w:fill="FFFFFF"/>
            <w:noWrap/>
            <w:vAlign w:val="bottom"/>
            <w:hideMark/>
          </w:tcPr>
          <w:p w14:paraId="698CFA8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36 696 550</w:t>
            </w:r>
          </w:p>
        </w:tc>
        <w:tc>
          <w:tcPr>
            <w:tcW w:w="993" w:type="dxa"/>
            <w:tcBorders>
              <w:top w:val="nil"/>
              <w:left w:val="single" w:sz="4" w:space="0" w:color="auto"/>
              <w:bottom w:val="nil"/>
              <w:right w:val="single" w:sz="8" w:space="0" w:color="auto"/>
            </w:tcBorders>
            <w:shd w:val="clear" w:color="000000" w:fill="FFFFFF"/>
            <w:noWrap/>
            <w:vAlign w:val="bottom"/>
            <w:hideMark/>
          </w:tcPr>
          <w:p w14:paraId="607371E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7E627A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29 357 240</w:t>
            </w:r>
          </w:p>
        </w:tc>
        <w:tc>
          <w:tcPr>
            <w:tcW w:w="851" w:type="dxa"/>
            <w:tcBorders>
              <w:top w:val="nil"/>
              <w:left w:val="single" w:sz="4" w:space="0" w:color="auto"/>
              <w:bottom w:val="nil"/>
              <w:right w:val="single" w:sz="8" w:space="0" w:color="auto"/>
            </w:tcBorders>
            <w:shd w:val="clear" w:color="000000" w:fill="FFFFFF"/>
            <w:noWrap/>
            <w:vAlign w:val="bottom"/>
            <w:hideMark/>
          </w:tcPr>
          <w:p w14:paraId="638BFEF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0CC2418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117 428 960</w:t>
            </w:r>
          </w:p>
        </w:tc>
        <w:tc>
          <w:tcPr>
            <w:tcW w:w="1275" w:type="dxa"/>
            <w:tcBorders>
              <w:top w:val="nil"/>
              <w:left w:val="single" w:sz="4" w:space="0" w:color="auto"/>
              <w:bottom w:val="nil"/>
              <w:right w:val="single" w:sz="8" w:space="0" w:color="auto"/>
            </w:tcBorders>
            <w:shd w:val="clear" w:color="000000" w:fill="FFFFFF"/>
            <w:noWrap/>
            <w:vAlign w:val="bottom"/>
            <w:hideMark/>
          </w:tcPr>
          <w:p w14:paraId="13577C3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1 321 076</w:t>
            </w:r>
          </w:p>
        </w:tc>
        <w:tc>
          <w:tcPr>
            <w:tcW w:w="1276" w:type="dxa"/>
            <w:tcBorders>
              <w:top w:val="nil"/>
              <w:left w:val="single" w:sz="4" w:space="0" w:color="auto"/>
              <w:bottom w:val="nil"/>
              <w:right w:val="single" w:sz="8" w:space="0" w:color="auto"/>
            </w:tcBorders>
            <w:shd w:val="clear" w:color="000000" w:fill="FFFFFF"/>
            <w:noWrap/>
            <w:vAlign w:val="bottom"/>
            <w:hideMark/>
          </w:tcPr>
          <w:p w14:paraId="1E44B34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118 750 036</w:t>
            </w:r>
          </w:p>
        </w:tc>
      </w:tr>
      <w:tr w:rsidR="00EF31B7" w:rsidRPr="00EF31B7" w14:paraId="02C96CDD" w14:textId="77777777" w:rsidTr="00EF31B7">
        <w:trPr>
          <w:trHeight w:val="282"/>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1C6EFA" w14:textId="77777777" w:rsidR="00EF31B7" w:rsidRPr="00EF31B7" w:rsidRDefault="00EF31B7" w:rsidP="00EF31B7">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OG DET FORENEDE KONGERIGE I ALT</w:t>
            </w:r>
          </w:p>
        </w:tc>
        <w:tc>
          <w:tcPr>
            <w:tcW w:w="1080" w:type="dxa"/>
            <w:tcBorders>
              <w:top w:val="single" w:sz="4" w:space="0" w:color="auto"/>
              <w:left w:val="nil"/>
              <w:bottom w:val="single" w:sz="4" w:space="0" w:color="auto"/>
              <w:right w:val="nil"/>
            </w:tcBorders>
            <w:shd w:val="clear" w:color="000000" w:fill="BFBFBF"/>
            <w:noWrap/>
            <w:vAlign w:val="center"/>
            <w:hideMark/>
          </w:tcPr>
          <w:p w14:paraId="75DA6E25" w14:textId="77777777" w:rsidR="00EF31B7" w:rsidRPr="00EF31B7" w:rsidRDefault="00EF31B7" w:rsidP="00EF31B7">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10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57C06F0F"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350 000 000</w:t>
            </w:r>
          </w:p>
        </w:tc>
        <w:tc>
          <w:tcPr>
            <w:tcW w:w="993"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0C7188C4"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9 000 000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7A987368"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250 000 000</w:t>
            </w:r>
          </w:p>
        </w:tc>
        <w:tc>
          <w:tcPr>
            <w:tcW w:w="993"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590636D"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F43362C"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200 000 000</w:t>
            </w:r>
          </w:p>
        </w:tc>
        <w:tc>
          <w:tcPr>
            <w:tcW w:w="851"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60820D33"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276"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784147D9"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800 000 000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7B6E465E"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9 000 000</w:t>
            </w:r>
          </w:p>
        </w:tc>
        <w:tc>
          <w:tcPr>
            <w:tcW w:w="127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8E6BC6"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809 000 000</w:t>
            </w:r>
          </w:p>
        </w:tc>
      </w:tr>
    </w:tbl>
    <w:p w14:paraId="09DC10F0" w14:textId="77777777" w:rsidR="008B1305" w:rsidRDefault="00501918" w:rsidP="008B1305">
      <w:pPr>
        <w:pStyle w:val="Text1"/>
        <w:ind w:left="0"/>
        <w:rPr>
          <w:noProof/>
          <w:sz w:val="16"/>
          <w:szCs w:val="16"/>
        </w:rPr>
      </w:pPr>
      <w:r>
        <w:rPr>
          <w:noProof/>
          <w:sz w:val="16"/>
        </w:rPr>
        <w:t>* De bidragsbeløb, der er anført i tabellen, omfatter ikke tilbagebetalingen af frigjorte midler fra 9. EUF til medlemsstaterne og Det Forenede Kongerige, og heller ikke tilbagebetalingen af frigjorte midler fra 10. og 11. EUF til Det Forenede Kongerige.</w:t>
      </w:r>
    </w:p>
    <w:p w14:paraId="577CB64C" w14:textId="4DB024B8" w:rsidR="00EF31B7" w:rsidRPr="00501918" w:rsidRDefault="00EF31B7" w:rsidP="008B1305">
      <w:pPr>
        <w:pStyle w:val="Text1"/>
        <w:ind w:left="0"/>
        <w:rPr>
          <w:noProof/>
          <w:sz w:val="16"/>
          <w:szCs w:val="16"/>
        </w:rPr>
        <w:sectPr w:rsidR="00EF31B7" w:rsidRPr="00501918" w:rsidSect="00E26949">
          <w:headerReference w:type="even" r:id="rId34"/>
          <w:headerReference w:type="default" r:id="rId35"/>
          <w:footerReference w:type="even" r:id="rId36"/>
          <w:footerReference w:type="default" r:id="rId37"/>
          <w:headerReference w:type="first" r:id="rId38"/>
          <w:footerReference w:type="first" r:id="rId39"/>
          <w:pgSz w:w="16838" w:h="11906" w:orient="landscape"/>
          <w:pgMar w:top="1440" w:right="1440" w:bottom="1440" w:left="1440" w:header="709" w:footer="709" w:gutter="0"/>
          <w:cols w:space="720"/>
          <w:docGrid w:linePitch="360"/>
        </w:sectPr>
      </w:pPr>
      <w:r>
        <w:rPr>
          <w:noProof/>
          <w:sz w:val="16"/>
        </w:rPr>
        <w:t>** EIB vil have indkaldt hele sin andel af 11. EUF ved udgangen af 2025.</w:t>
      </w:r>
    </w:p>
    <w:p w14:paraId="5FAF3DC7" w14:textId="5A7C612D" w:rsidR="00C57A0B" w:rsidRDefault="00C57A0B" w:rsidP="00C57A0B">
      <w:pPr>
        <w:pStyle w:val="Heading2"/>
        <w:spacing w:after="0"/>
        <w:rPr>
          <w:noProof/>
        </w:rPr>
      </w:pPr>
      <w:r>
        <w:rPr>
          <w:noProof/>
        </w:rPr>
        <w:t>Tillæg 5: Medlemsstaternes og Det Forenede Kongeriges bidrag for 2026 (EUR)*</w:t>
      </w:r>
    </w:p>
    <w:tbl>
      <w:tblPr>
        <w:tblW w:w="13036" w:type="dxa"/>
        <w:tblLook w:val="04A0" w:firstRow="1" w:lastRow="0" w:firstColumn="1" w:lastColumn="0" w:noHBand="0" w:noVBand="1"/>
      </w:tblPr>
      <w:tblGrid>
        <w:gridCol w:w="1906"/>
        <w:gridCol w:w="1080"/>
        <w:gridCol w:w="1185"/>
        <w:gridCol w:w="1134"/>
        <w:gridCol w:w="1185"/>
        <w:gridCol w:w="993"/>
        <w:gridCol w:w="1275"/>
        <w:gridCol w:w="993"/>
        <w:gridCol w:w="1275"/>
        <w:gridCol w:w="1134"/>
        <w:gridCol w:w="1134"/>
      </w:tblGrid>
      <w:tr w:rsidR="00A50E06" w:rsidRPr="00A50E06" w14:paraId="7F5DB1F5" w14:textId="77777777" w:rsidTr="00A50E06">
        <w:trPr>
          <w:trHeight w:val="282"/>
        </w:trPr>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645420" w14:textId="77777777" w:rsidR="00A50E06" w:rsidRPr="00A50E06" w:rsidRDefault="00A50E06" w:rsidP="00A50E06">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MEDLEMSSTATERNE OG DET FORENEDE KONGERIGE</w:t>
            </w:r>
          </w:p>
        </w:tc>
        <w:tc>
          <w:tcPr>
            <w:tcW w:w="1080" w:type="dxa"/>
            <w:vMerge w:val="restart"/>
            <w:tcBorders>
              <w:top w:val="single" w:sz="4" w:space="0" w:color="auto"/>
              <w:left w:val="single" w:sz="4" w:space="0" w:color="auto"/>
              <w:bottom w:val="single" w:sz="4" w:space="0" w:color="000000"/>
              <w:right w:val="nil"/>
            </w:tcBorders>
            <w:shd w:val="clear" w:color="000000" w:fill="C0C0C0"/>
            <w:vAlign w:val="center"/>
            <w:hideMark/>
          </w:tcPr>
          <w:p w14:paraId="23FC00C8"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Nøgle for 11. EUF (%)</w:t>
            </w:r>
          </w:p>
        </w:tc>
        <w:tc>
          <w:tcPr>
            <w:tcW w:w="223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B6B221"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 tranche</w:t>
            </w:r>
          </w:p>
        </w:tc>
        <w:tc>
          <w:tcPr>
            <w:tcW w:w="2127" w:type="dxa"/>
            <w:gridSpan w:val="2"/>
            <w:tcBorders>
              <w:top w:val="single" w:sz="8" w:space="0" w:color="auto"/>
              <w:left w:val="nil"/>
              <w:bottom w:val="single" w:sz="8" w:space="0" w:color="auto"/>
              <w:right w:val="single" w:sz="4" w:space="0" w:color="auto"/>
            </w:tcBorders>
            <w:shd w:val="clear" w:color="auto" w:fill="auto"/>
            <w:noWrap/>
            <w:vAlign w:val="center"/>
            <w:hideMark/>
          </w:tcPr>
          <w:p w14:paraId="1CDC6A11"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 tranche</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DDCBFE"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3. tranche</w:t>
            </w:r>
          </w:p>
        </w:tc>
        <w:tc>
          <w:tcPr>
            <w:tcW w:w="1275" w:type="dxa"/>
            <w:vMerge w:val="restart"/>
            <w:tcBorders>
              <w:top w:val="single" w:sz="8" w:space="0" w:color="auto"/>
              <w:left w:val="nil"/>
              <w:bottom w:val="single" w:sz="8" w:space="0" w:color="000000"/>
              <w:right w:val="nil"/>
            </w:tcBorders>
            <w:shd w:val="clear" w:color="auto" w:fill="auto"/>
            <w:vAlign w:val="center"/>
            <w:hideMark/>
          </w:tcPr>
          <w:p w14:paraId="2DE7A37F"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I alt</w:t>
            </w:r>
            <w:r>
              <w:rPr>
                <w:rFonts w:ascii="Times New Roman" w:hAnsi="Times New Roman"/>
                <w:b/>
                <w:noProof/>
                <w:sz w:val="16"/>
              </w:rPr>
              <w:br/>
              <w:t>Kommissionen</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77F8E8"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EIB i alt**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94B7D8"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2026 i alt</w:t>
            </w:r>
          </w:p>
        </w:tc>
      </w:tr>
      <w:tr w:rsidR="00A50E06" w:rsidRPr="00A50E06" w14:paraId="36A61B8E" w14:textId="77777777" w:rsidTr="00A50E06">
        <w:trPr>
          <w:trHeight w:val="22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4880F1B3"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080" w:type="dxa"/>
            <w:vMerge/>
            <w:tcBorders>
              <w:top w:val="single" w:sz="4" w:space="0" w:color="auto"/>
              <w:left w:val="single" w:sz="4" w:space="0" w:color="auto"/>
              <w:bottom w:val="single" w:sz="4" w:space="0" w:color="000000"/>
              <w:right w:val="nil"/>
            </w:tcBorders>
            <w:vAlign w:val="center"/>
            <w:hideMark/>
          </w:tcPr>
          <w:p w14:paraId="15C536DF"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04" w:type="dxa"/>
            <w:tcBorders>
              <w:top w:val="nil"/>
              <w:left w:val="single" w:sz="8" w:space="0" w:color="auto"/>
              <w:bottom w:val="nil"/>
              <w:right w:val="single" w:sz="4" w:space="0" w:color="auto"/>
            </w:tcBorders>
            <w:shd w:val="clear" w:color="auto" w:fill="auto"/>
            <w:noWrap/>
            <w:vAlign w:val="bottom"/>
            <w:hideMark/>
          </w:tcPr>
          <w:p w14:paraId="49D6D07E"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34" w:type="dxa"/>
            <w:tcBorders>
              <w:top w:val="nil"/>
              <w:left w:val="nil"/>
              <w:bottom w:val="nil"/>
              <w:right w:val="single" w:sz="8" w:space="0" w:color="auto"/>
            </w:tcBorders>
            <w:shd w:val="clear" w:color="auto" w:fill="auto"/>
            <w:noWrap/>
            <w:vAlign w:val="bottom"/>
            <w:hideMark/>
          </w:tcPr>
          <w:p w14:paraId="5109568D"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134" w:type="dxa"/>
            <w:tcBorders>
              <w:top w:val="nil"/>
              <w:left w:val="nil"/>
              <w:bottom w:val="nil"/>
              <w:right w:val="single" w:sz="4" w:space="0" w:color="auto"/>
            </w:tcBorders>
            <w:shd w:val="clear" w:color="auto" w:fill="auto"/>
            <w:noWrap/>
            <w:vAlign w:val="bottom"/>
            <w:hideMark/>
          </w:tcPr>
          <w:p w14:paraId="6E4A44D3"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993" w:type="dxa"/>
            <w:tcBorders>
              <w:top w:val="nil"/>
              <w:left w:val="nil"/>
              <w:bottom w:val="nil"/>
              <w:right w:val="nil"/>
            </w:tcBorders>
            <w:shd w:val="clear" w:color="auto" w:fill="auto"/>
            <w:noWrap/>
            <w:vAlign w:val="bottom"/>
            <w:hideMark/>
          </w:tcPr>
          <w:p w14:paraId="323F382E"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5" w:type="dxa"/>
            <w:tcBorders>
              <w:top w:val="nil"/>
              <w:left w:val="single" w:sz="8" w:space="0" w:color="auto"/>
              <w:bottom w:val="nil"/>
              <w:right w:val="single" w:sz="4" w:space="0" w:color="auto"/>
            </w:tcBorders>
            <w:shd w:val="clear" w:color="auto" w:fill="auto"/>
            <w:noWrap/>
            <w:vAlign w:val="bottom"/>
            <w:hideMark/>
          </w:tcPr>
          <w:p w14:paraId="3E5B1B59"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993" w:type="dxa"/>
            <w:tcBorders>
              <w:top w:val="nil"/>
              <w:left w:val="nil"/>
              <w:bottom w:val="nil"/>
              <w:right w:val="single" w:sz="8" w:space="0" w:color="auto"/>
            </w:tcBorders>
            <w:shd w:val="clear" w:color="auto" w:fill="auto"/>
            <w:noWrap/>
            <w:vAlign w:val="bottom"/>
            <w:hideMark/>
          </w:tcPr>
          <w:p w14:paraId="4834E89E"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275" w:type="dxa"/>
            <w:vMerge/>
            <w:tcBorders>
              <w:top w:val="single" w:sz="8" w:space="0" w:color="auto"/>
              <w:left w:val="nil"/>
              <w:bottom w:val="single" w:sz="8" w:space="0" w:color="000000"/>
              <w:right w:val="nil"/>
            </w:tcBorders>
            <w:vAlign w:val="center"/>
            <w:hideMark/>
          </w:tcPr>
          <w:p w14:paraId="30CCD396"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CDDE155"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71A4A6E"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r>
      <w:tr w:rsidR="00A50E06" w:rsidRPr="00A50E06" w14:paraId="6B2D3FBC" w14:textId="77777777" w:rsidTr="00A50E06">
        <w:trPr>
          <w:trHeight w:val="22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1D7BD5E7"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080" w:type="dxa"/>
            <w:vMerge/>
            <w:tcBorders>
              <w:top w:val="single" w:sz="4" w:space="0" w:color="auto"/>
              <w:left w:val="single" w:sz="4" w:space="0" w:color="auto"/>
              <w:bottom w:val="single" w:sz="4" w:space="0" w:color="000000"/>
              <w:right w:val="nil"/>
            </w:tcBorders>
            <w:vAlign w:val="center"/>
            <w:hideMark/>
          </w:tcPr>
          <w:p w14:paraId="32C9C50D"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04" w:type="dxa"/>
            <w:tcBorders>
              <w:top w:val="nil"/>
              <w:left w:val="single" w:sz="8" w:space="0" w:color="auto"/>
              <w:bottom w:val="single" w:sz="8" w:space="0" w:color="auto"/>
              <w:right w:val="single" w:sz="4" w:space="0" w:color="auto"/>
            </w:tcBorders>
            <w:shd w:val="clear" w:color="auto" w:fill="auto"/>
            <w:noWrap/>
            <w:vAlign w:val="bottom"/>
            <w:hideMark/>
          </w:tcPr>
          <w:p w14:paraId="01995E2A"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single" w:sz="8" w:space="0" w:color="auto"/>
            </w:tcBorders>
            <w:shd w:val="clear" w:color="auto" w:fill="auto"/>
            <w:noWrap/>
            <w:vAlign w:val="bottom"/>
            <w:hideMark/>
          </w:tcPr>
          <w:p w14:paraId="73BE2DF2"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34" w:type="dxa"/>
            <w:tcBorders>
              <w:top w:val="nil"/>
              <w:left w:val="nil"/>
              <w:bottom w:val="single" w:sz="8" w:space="0" w:color="auto"/>
              <w:right w:val="single" w:sz="4" w:space="0" w:color="auto"/>
            </w:tcBorders>
            <w:shd w:val="clear" w:color="auto" w:fill="auto"/>
            <w:noWrap/>
            <w:vAlign w:val="bottom"/>
            <w:hideMark/>
          </w:tcPr>
          <w:p w14:paraId="61F5A210"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993" w:type="dxa"/>
            <w:tcBorders>
              <w:top w:val="nil"/>
              <w:left w:val="nil"/>
              <w:bottom w:val="single" w:sz="8" w:space="0" w:color="auto"/>
              <w:right w:val="nil"/>
            </w:tcBorders>
            <w:shd w:val="clear" w:color="auto" w:fill="auto"/>
            <w:noWrap/>
            <w:vAlign w:val="bottom"/>
            <w:hideMark/>
          </w:tcPr>
          <w:p w14:paraId="27571CA7"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5" w:type="dxa"/>
            <w:tcBorders>
              <w:top w:val="nil"/>
              <w:left w:val="single" w:sz="8" w:space="0" w:color="auto"/>
              <w:bottom w:val="single" w:sz="8" w:space="0" w:color="auto"/>
              <w:right w:val="single" w:sz="4" w:space="0" w:color="auto"/>
            </w:tcBorders>
            <w:shd w:val="clear" w:color="auto" w:fill="auto"/>
            <w:noWrap/>
            <w:vAlign w:val="bottom"/>
            <w:hideMark/>
          </w:tcPr>
          <w:p w14:paraId="53F2E82A"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993" w:type="dxa"/>
            <w:tcBorders>
              <w:top w:val="nil"/>
              <w:left w:val="nil"/>
              <w:bottom w:val="single" w:sz="8" w:space="0" w:color="auto"/>
              <w:right w:val="single" w:sz="8" w:space="0" w:color="auto"/>
            </w:tcBorders>
            <w:shd w:val="clear" w:color="auto" w:fill="auto"/>
            <w:noWrap/>
            <w:vAlign w:val="bottom"/>
            <w:hideMark/>
          </w:tcPr>
          <w:p w14:paraId="28C187A0"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275" w:type="dxa"/>
            <w:vMerge/>
            <w:tcBorders>
              <w:top w:val="single" w:sz="8" w:space="0" w:color="auto"/>
              <w:left w:val="nil"/>
              <w:bottom w:val="single" w:sz="8" w:space="0" w:color="000000"/>
              <w:right w:val="nil"/>
            </w:tcBorders>
            <w:vAlign w:val="center"/>
            <w:hideMark/>
          </w:tcPr>
          <w:p w14:paraId="237CBBF9"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34417CD"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651CCDE"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r>
      <w:tr w:rsidR="00A50E06" w:rsidRPr="00A50E06" w14:paraId="3BEC78E9"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1F2ED08"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BELGIEN</w:t>
            </w:r>
          </w:p>
        </w:tc>
        <w:tc>
          <w:tcPr>
            <w:tcW w:w="1080" w:type="dxa"/>
            <w:tcBorders>
              <w:top w:val="nil"/>
              <w:left w:val="nil"/>
              <w:bottom w:val="nil"/>
              <w:right w:val="nil"/>
            </w:tcBorders>
            <w:shd w:val="clear" w:color="000000" w:fill="C0C0C0"/>
            <w:noWrap/>
            <w:vAlign w:val="center"/>
            <w:hideMark/>
          </w:tcPr>
          <w:p w14:paraId="1F7C2EBD"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1104" w:type="dxa"/>
            <w:tcBorders>
              <w:top w:val="nil"/>
              <w:left w:val="single" w:sz="4" w:space="0" w:color="auto"/>
              <w:bottom w:val="nil"/>
              <w:right w:val="single" w:sz="8" w:space="0" w:color="auto"/>
            </w:tcBorders>
            <w:shd w:val="clear" w:color="000000" w:fill="FFFFFF"/>
            <w:noWrap/>
            <w:vAlign w:val="bottom"/>
            <w:hideMark/>
          </w:tcPr>
          <w:p w14:paraId="7A19D28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9 747 810</w:t>
            </w:r>
          </w:p>
        </w:tc>
        <w:tc>
          <w:tcPr>
            <w:tcW w:w="1134" w:type="dxa"/>
            <w:tcBorders>
              <w:top w:val="nil"/>
              <w:left w:val="single" w:sz="4" w:space="0" w:color="auto"/>
              <w:bottom w:val="nil"/>
              <w:right w:val="single" w:sz="8" w:space="0" w:color="auto"/>
            </w:tcBorders>
            <w:shd w:val="clear" w:color="000000" w:fill="FFFFFF"/>
            <w:noWrap/>
            <w:vAlign w:val="bottom"/>
            <w:hideMark/>
          </w:tcPr>
          <w:p w14:paraId="4BAED5B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D49C8B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8 123 175</w:t>
            </w:r>
          </w:p>
        </w:tc>
        <w:tc>
          <w:tcPr>
            <w:tcW w:w="993" w:type="dxa"/>
            <w:tcBorders>
              <w:top w:val="nil"/>
              <w:left w:val="single" w:sz="4" w:space="0" w:color="auto"/>
              <w:bottom w:val="nil"/>
              <w:right w:val="single" w:sz="8" w:space="0" w:color="auto"/>
            </w:tcBorders>
            <w:shd w:val="clear" w:color="000000" w:fill="FFFFFF"/>
            <w:noWrap/>
            <w:vAlign w:val="bottom"/>
            <w:hideMark/>
          </w:tcPr>
          <w:p w14:paraId="62A6CCC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40AF17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4 873 905</w:t>
            </w:r>
          </w:p>
        </w:tc>
        <w:tc>
          <w:tcPr>
            <w:tcW w:w="993" w:type="dxa"/>
            <w:tcBorders>
              <w:top w:val="nil"/>
              <w:left w:val="single" w:sz="4" w:space="0" w:color="auto"/>
              <w:bottom w:val="nil"/>
              <w:right w:val="single" w:sz="8" w:space="0" w:color="auto"/>
            </w:tcBorders>
            <w:shd w:val="clear" w:color="000000" w:fill="FFFFFF"/>
            <w:noWrap/>
            <w:vAlign w:val="bottom"/>
            <w:hideMark/>
          </w:tcPr>
          <w:p w14:paraId="22DF4AA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B3F1D3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22 744 890</w:t>
            </w:r>
          </w:p>
        </w:tc>
        <w:tc>
          <w:tcPr>
            <w:tcW w:w="1134" w:type="dxa"/>
            <w:tcBorders>
              <w:top w:val="nil"/>
              <w:left w:val="single" w:sz="4" w:space="0" w:color="auto"/>
              <w:bottom w:val="nil"/>
              <w:right w:val="single" w:sz="8" w:space="0" w:color="auto"/>
            </w:tcBorders>
            <w:shd w:val="clear" w:color="000000" w:fill="FFFFFF"/>
            <w:noWrap/>
            <w:vAlign w:val="bottom"/>
            <w:hideMark/>
          </w:tcPr>
          <w:p w14:paraId="6F50A43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3B7C42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22 744 890</w:t>
            </w:r>
          </w:p>
        </w:tc>
      </w:tr>
      <w:tr w:rsidR="00A50E06" w:rsidRPr="00A50E06" w14:paraId="3D714239"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9E768B2"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BULGARIEN</w:t>
            </w:r>
          </w:p>
        </w:tc>
        <w:tc>
          <w:tcPr>
            <w:tcW w:w="1080" w:type="dxa"/>
            <w:tcBorders>
              <w:top w:val="nil"/>
              <w:left w:val="nil"/>
              <w:bottom w:val="nil"/>
              <w:right w:val="nil"/>
            </w:tcBorders>
            <w:shd w:val="clear" w:color="000000" w:fill="C0C0C0"/>
            <w:noWrap/>
            <w:vAlign w:val="center"/>
            <w:hideMark/>
          </w:tcPr>
          <w:p w14:paraId="3DA85DA4"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1104" w:type="dxa"/>
            <w:tcBorders>
              <w:top w:val="nil"/>
              <w:left w:val="single" w:sz="4" w:space="0" w:color="auto"/>
              <w:bottom w:val="nil"/>
              <w:right w:val="single" w:sz="8" w:space="0" w:color="auto"/>
            </w:tcBorders>
            <w:shd w:val="clear" w:color="000000" w:fill="FFFFFF"/>
            <w:noWrap/>
            <w:vAlign w:val="bottom"/>
            <w:hideMark/>
          </w:tcPr>
          <w:p w14:paraId="7F1D227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655 590</w:t>
            </w:r>
          </w:p>
        </w:tc>
        <w:tc>
          <w:tcPr>
            <w:tcW w:w="1134" w:type="dxa"/>
            <w:tcBorders>
              <w:top w:val="nil"/>
              <w:left w:val="single" w:sz="4" w:space="0" w:color="auto"/>
              <w:bottom w:val="nil"/>
              <w:right w:val="single" w:sz="8" w:space="0" w:color="auto"/>
            </w:tcBorders>
            <w:shd w:val="clear" w:color="000000" w:fill="FFFFFF"/>
            <w:noWrap/>
            <w:vAlign w:val="bottom"/>
            <w:hideMark/>
          </w:tcPr>
          <w:p w14:paraId="1BC0DAF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09C3EF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546 325</w:t>
            </w:r>
          </w:p>
        </w:tc>
        <w:tc>
          <w:tcPr>
            <w:tcW w:w="993" w:type="dxa"/>
            <w:tcBorders>
              <w:top w:val="nil"/>
              <w:left w:val="single" w:sz="4" w:space="0" w:color="auto"/>
              <w:bottom w:val="nil"/>
              <w:right w:val="single" w:sz="8" w:space="0" w:color="auto"/>
            </w:tcBorders>
            <w:shd w:val="clear" w:color="000000" w:fill="FFFFFF"/>
            <w:noWrap/>
            <w:vAlign w:val="bottom"/>
            <w:hideMark/>
          </w:tcPr>
          <w:p w14:paraId="15288DC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FD300E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327 795</w:t>
            </w:r>
          </w:p>
        </w:tc>
        <w:tc>
          <w:tcPr>
            <w:tcW w:w="993" w:type="dxa"/>
            <w:tcBorders>
              <w:top w:val="nil"/>
              <w:left w:val="single" w:sz="4" w:space="0" w:color="auto"/>
              <w:bottom w:val="nil"/>
              <w:right w:val="single" w:sz="8" w:space="0" w:color="auto"/>
            </w:tcBorders>
            <w:shd w:val="clear" w:color="000000" w:fill="FFFFFF"/>
            <w:noWrap/>
            <w:vAlign w:val="bottom"/>
            <w:hideMark/>
          </w:tcPr>
          <w:p w14:paraId="6CD664F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7EB9F9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1 529 710</w:t>
            </w:r>
          </w:p>
        </w:tc>
        <w:tc>
          <w:tcPr>
            <w:tcW w:w="1134" w:type="dxa"/>
            <w:tcBorders>
              <w:top w:val="nil"/>
              <w:left w:val="single" w:sz="4" w:space="0" w:color="auto"/>
              <w:bottom w:val="nil"/>
              <w:right w:val="single" w:sz="8" w:space="0" w:color="auto"/>
            </w:tcBorders>
            <w:shd w:val="clear" w:color="000000" w:fill="FFFFFF"/>
            <w:noWrap/>
            <w:vAlign w:val="bottom"/>
            <w:hideMark/>
          </w:tcPr>
          <w:p w14:paraId="2556FBB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15035F7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1 529 710</w:t>
            </w:r>
          </w:p>
        </w:tc>
      </w:tr>
      <w:tr w:rsidR="00A50E06" w:rsidRPr="00A50E06" w14:paraId="75F811BB"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D066C2F"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TJEKKIET</w:t>
            </w:r>
          </w:p>
        </w:tc>
        <w:tc>
          <w:tcPr>
            <w:tcW w:w="1080" w:type="dxa"/>
            <w:tcBorders>
              <w:top w:val="nil"/>
              <w:left w:val="nil"/>
              <w:bottom w:val="nil"/>
              <w:right w:val="nil"/>
            </w:tcBorders>
            <w:shd w:val="clear" w:color="000000" w:fill="C0C0C0"/>
            <w:noWrap/>
            <w:vAlign w:val="center"/>
            <w:hideMark/>
          </w:tcPr>
          <w:p w14:paraId="3A711AFF"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1104" w:type="dxa"/>
            <w:tcBorders>
              <w:top w:val="nil"/>
              <w:left w:val="single" w:sz="4" w:space="0" w:color="auto"/>
              <w:bottom w:val="nil"/>
              <w:right w:val="single" w:sz="8" w:space="0" w:color="auto"/>
            </w:tcBorders>
            <w:shd w:val="clear" w:color="000000" w:fill="FFFFFF"/>
            <w:noWrap/>
            <w:vAlign w:val="bottom"/>
            <w:hideMark/>
          </w:tcPr>
          <w:p w14:paraId="20256CE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2 392 350</w:t>
            </w:r>
          </w:p>
        </w:tc>
        <w:tc>
          <w:tcPr>
            <w:tcW w:w="1134" w:type="dxa"/>
            <w:tcBorders>
              <w:top w:val="nil"/>
              <w:left w:val="single" w:sz="4" w:space="0" w:color="auto"/>
              <w:bottom w:val="nil"/>
              <w:right w:val="single" w:sz="8" w:space="0" w:color="auto"/>
            </w:tcBorders>
            <w:shd w:val="clear" w:color="000000" w:fill="FFFFFF"/>
            <w:noWrap/>
            <w:vAlign w:val="bottom"/>
            <w:hideMark/>
          </w:tcPr>
          <w:p w14:paraId="56CF793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06AF02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1 993 625</w:t>
            </w:r>
          </w:p>
        </w:tc>
        <w:tc>
          <w:tcPr>
            <w:tcW w:w="993" w:type="dxa"/>
            <w:tcBorders>
              <w:top w:val="nil"/>
              <w:left w:val="single" w:sz="4" w:space="0" w:color="auto"/>
              <w:bottom w:val="nil"/>
              <w:right w:val="single" w:sz="8" w:space="0" w:color="auto"/>
            </w:tcBorders>
            <w:shd w:val="clear" w:color="000000" w:fill="FFFFFF"/>
            <w:noWrap/>
            <w:vAlign w:val="bottom"/>
            <w:hideMark/>
          </w:tcPr>
          <w:p w14:paraId="518BDD9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DC0A00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1 196 175</w:t>
            </w:r>
          </w:p>
        </w:tc>
        <w:tc>
          <w:tcPr>
            <w:tcW w:w="993" w:type="dxa"/>
            <w:tcBorders>
              <w:top w:val="nil"/>
              <w:left w:val="single" w:sz="4" w:space="0" w:color="auto"/>
              <w:bottom w:val="nil"/>
              <w:right w:val="single" w:sz="8" w:space="0" w:color="auto"/>
            </w:tcBorders>
            <w:shd w:val="clear" w:color="000000" w:fill="FFFFFF"/>
            <w:noWrap/>
            <w:vAlign w:val="bottom"/>
            <w:hideMark/>
          </w:tcPr>
          <w:p w14:paraId="61C812E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389B9D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5 582 150</w:t>
            </w:r>
          </w:p>
        </w:tc>
        <w:tc>
          <w:tcPr>
            <w:tcW w:w="1134" w:type="dxa"/>
            <w:tcBorders>
              <w:top w:val="nil"/>
              <w:left w:val="single" w:sz="4" w:space="0" w:color="auto"/>
              <w:bottom w:val="nil"/>
              <w:right w:val="single" w:sz="8" w:space="0" w:color="auto"/>
            </w:tcBorders>
            <w:shd w:val="clear" w:color="000000" w:fill="FFFFFF"/>
            <w:noWrap/>
            <w:vAlign w:val="bottom"/>
            <w:hideMark/>
          </w:tcPr>
          <w:p w14:paraId="65AABD4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22D112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5 582 150</w:t>
            </w:r>
          </w:p>
        </w:tc>
      </w:tr>
      <w:tr w:rsidR="00A50E06" w:rsidRPr="00A50E06" w14:paraId="1CBFF58B"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8CD29D8"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DANMARK</w:t>
            </w:r>
          </w:p>
        </w:tc>
        <w:tc>
          <w:tcPr>
            <w:tcW w:w="1080" w:type="dxa"/>
            <w:tcBorders>
              <w:top w:val="nil"/>
              <w:left w:val="nil"/>
              <w:bottom w:val="nil"/>
              <w:right w:val="nil"/>
            </w:tcBorders>
            <w:shd w:val="clear" w:color="000000" w:fill="C0C0C0"/>
            <w:noWrap/>
            <w:vAlign w:val="center"/>
            <w:hideMark/>
          </w:tcPr>
          <w:p w14:paraId="01CB2781"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1104" w:type="dxa"/>
            <w:tcBorders>
              <w:top w:val="nil"/>
              <w:left w:val="single" w:sz="4" w:space="0" w:color="auto"/>
              <w:bottom w:val="nil"/>
              <w:right w:val="single" w:sz="8" w:space="0" w:color="auto"/>
            </w:tcBorders>
            <w:shd w:val="clear" w:color="000000" w:fill="FFFFFF"/>
            <w:noWrap/>
            <w:vAlign w:val="bottom"/>
            <w:hideMark/>
          </w:tcPr>
          <w:p w14:paraId="69B71FC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5 941 350</w:t>
            </w:r>
          </w:p>
        </w:tc>
        <w:tc>
          <w:tcPr>
            <w:tcW w:w="1134" w:type="dxa"/>
            <w:tcBorders>
              <w:top w:val="nil"/>
              <w:left w:val="single" w:sz="4" w:space="0" w:color="auto"/>
              <w:bottom w:val="nil"/>
              <w:right w:val="single" w:sz="8" w:space="0" w:color="auto"/>
            </w:tcBorders>
            <w:shd w:val="clear" w:color="000000" w:fill="FFFFFF"/>
            <w:noWrap/>
            <w:vAlign w:val="bottom"/>
            <w:hideMark/>
          </w:tcPr>
          <w:p w14:paraId="314B240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AB238B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4 951 125</w:t>
            </w:r>
          </w:p>
        </w:tc>
        <w:tc>
          <w:tcPr>
            <w:tcW w:w="993" w:type="dxa"/>
            <w:tcBorders>
              <w:top w:val="nil"/>
              <w:left w:val="single" w:sz="4" w:space="0" w:color="auto"/>
              <w:bottom w:val="nil"/>
              <w:right w:val="single" w:sz="8" w:space="0" w:color="auto"/>
            </w:tcBorders>
            <w:shd w:val="clear" w:color="000000" w:fill="FFFFFF"/>
            <w:noWrap/>
            <w:vAlign w:val="bottom"/>
            <w:hideMark/>
          </w:tcPr>
          <w:p w14:paraId="1236E7A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F62A2D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2 970 675</w:t>
            </w:r>
          </w:p>
        </w:tc>
        <w:tc>
          <w:tcPr>
            <w:tcW w:w="993" w:type="dxa"/>
            <w:tcBorders>
              <w:top w:val="nil"/>
              <w:left w:val="single" w:sz="4" w:space="0" w:color="auto"/>
              <w:bottom w:val="nil"/>
              <w:right w:val="single" w:sz="8" w:space="0" w:color="auto"/>
            </w:tcBorders>
            <w:shd w:val="clear" w:color="000000" w:fill="FFFFFF"/>
            <w:noWrap/>
            <w:vAlign w:val="bottom"/>
            <w:hideMark/>
          </w:tcPr>
          <w:p w14:paraId="660E583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F5B19B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13 863 150</w:t>
            </w:r>
          </w:p>
        </w:tc>
        <w:tc>
          <w:tcPr>
            <w:tcW w:w="1134" w:type="dxa"/>
            <w:tcBorders>
              <w:top w:val="nil"/>
              <w:left w:val="single" w:sz="4" w:space="0" w:color="auto"/>
              <w:bottom w:val="nil"/>
              <w:right w:val="single" w:sz="8" w:space="0" w:color="auto"/>
            </w:tcBorders>
            <w:shd w:val="clear" w:color="000000" w:fill="FFFFFF"/>
            <w:noWrap/>
            <w:vAlign w:val="bottom"/>
            <w:hideMark/>
          </w:tcPr>
          <w:p w14:paraId="74F62BE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2FE9C5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13 863 150</w:t>
            </w:r>
          </w:p>
        </w:tc>
      </w:tr>
      <w:tr w:rsidR="00A50E06" w:rsidRPr="00A50E06" w14:paraId="10DDDD88"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B3BA3BA"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TYSKLAND</w:t>
            </w:r>
          </w:p>
        </w:tc>
        <w:tc>
          <w:tcPr>
            <w:tcW w:w="1080" w:type="dxa"/>
            <w:tcBorders>
              <w:top w:val="nil"/>
              <w:left w:val="nil"/>
              <w:bottom w:val="nil"/>
              <w:right w:val="nil"/>
            </w:tcBorders>
            <w:shd w:val="clear" w:color="000000" w:fill="C0C0C0"/>
            <w:noWrap/>
            <w:vAlign w:val="center"/>
            <w:hideMark/>
          </w:tcPr>
          <w:p w14:paraId="0A04BBF7"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1104" w:type="dxa"/>
            <w:tcBorders>
              <w:top w:val="nil"/>
              <w:left w:val="single" w:sz="4" w:space="0" w:color="auto"/>
              <w:bottom w:val="nil"/>
              <w:right w:val="single" w:sz="8" w:space="0" w:color="auto"/>
            </w:tcBorders>
            <w:shd w:val="clear" w:color="000000" w:fill="FFFFFF"/>
            <w:noWrap/>
            <w:vAlign w:val="bottom"/>
            <w:hideMark/>
          </w:tcPr>
          <w:p w14:paraId="72AB985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61 739 400</w:t>
            </w:r>
          </w:p>
        </w:tc>
        <w:tc>
          <w:tcPr>
            <w:tcW w:w="1134" w:type="dxa"/>
            <w:tcBorders>
              <w:top w:val="nil"/>
              <w:left w:val="single" w:sz="4" w:space="0" w:color="auto"/>
              <w:bottom w:val="nil"/>
              <w:right w:val="single" w:sz="8" w:space="0" w:color="auto"/>
            </w:tcBorders>
            <w:shd w:val="clear" w:color="000000" w:fill="FFFFFF"/>
            <w:noWrap/>
            <w:vAlign w:val="bottom"/>
            <w:hideMark/>
          </w:tcPr>
          <w:p w14:paraId="3C0048D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1F7A7C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51 449 500</w:t>
            </w:r>
          </w:p>
        </w:tc>
        <w:tc>
          <w:tcPr>
            <w:tcW w:w="993" w:type="dxa"/>
            <w:tcBorders>
              <w:top w:val="nil"/>
              <w:left w:val="single" w:sz="4" w:space="0" w:color="auto"/>
              <w:bottom w:val="nil"/>
              <w:right w:val="single" w:sz="8" w:space="0" w:color="auto"/>
            </w:tcBorders>
            <w:shd w:val="clear" w:color="000000" w:fill="FFFFFF"/>
            <w:noWrap/>
            <w:vAlign w:val="bottom"/>
            <w:hideMark/>
          </w:tcPr>
          <w:p w14:paraId="44ECCCF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B81199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30 869 700</w:t>
            </w:r>
          </w:p>
        </w:tc>
        <w:tc>
          <w:tcPr>
            <w:tcW w:w="993" w:type="dxa"/>
            <w:tcBorders>
              <w:top w:val="nil"/>
              <w:left w:val="single" w:sz="4" w:space="0" w:color="auto"/>
              <w:bottom w:val="nil"/>
              <w:right w:val="single" w:sz="8" w:space="0" w:color="auto"/>
            </w:tcBorders>
            <w:shd w:val="clear" w:color="000000" w:fill="FFFFFF"/>
            <w:noWrap/>
            <w:vAlign w:val="bottom"/>
            <w:hideMark/>
          </w:tcPr>
          <w:p w14:paraId="32BFB69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FCC4E3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144 058 600</w:t>
            </w:r>
          </w:p>
        </w:tc>
        <w:tc>
          <w:tcPr>
            <w:tcW w:w="1134" w:type="dxa"/>
            <w:tcBorders>
              <w:top w:val="nil"/>
              <w:left w:val="single" w:sz="4" w:space="0" w:color="auto"/>
              <w:bottom w:val="nil"/>
              <w:right w:val="single" w:sz="8" w:space="0" w:color="auto"/>
            </w:tcBorders>
            <w:shd w:val="clear" w:color="000000" w:fill="FFFFFF"/>
            <w:noWrap/>
            <w:vAlign w:val="bottom"/>
            <w:hideMark/>
          </w:tcPr>
          <w:p w14:paraId="5BE176E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39AB34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144 058 600</w:t>
            </w:r>
          </w:p>
        </w:tc>
      </w:tr>
      <w:tr w:rsidR="00A50E06" w:rsidRPr="00A50E06" w14:paraId="3BC665DF"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A885963"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ESTLAND</w:t>
            </w:r>
          </w:p>
        </w:tc>
        <w:tc>
          <w:tcPr>
            <w:tcW w:w="1080" w:type="dxa"/>
            <w:tcBorders>
              <w:top w:val="nil"/>
              <w:left w:val="nil"/>
              <w:bottom w:val="nil"/>
              <w:right w:val="nil"/>
            </w:tcBorders>
            <w:shd w:val="clear" w:color="000000" w:fill="C0C0C0"/>
            <w:noWrap/>
            <w:vAlign w:val="center"/>
            <w:hideMark/>
          </w:tcPr>
          <w:p w14:paraId="4BDA0088"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1104" w:type="dxa"/>
            <w:tcBorders>
              <w:top w:val="nil"/>
              <w:left w:val="single" w:sz="4" w:space="0" w:color="auto"/>
              <w:bottom w:val="nil"/>
              <w:right w:val="single" w:sz="8" w:space="0" w:color="auto"/>
            </w:tcBorders>
            <w:shd w:val="clear" w:color="000000" w:fill="FFFFFF"/>
            <w:noWrap/>
            <w:vAlign w:val="bottom"/>
            <w:hideMark/>
          </w:tcPr>
          <w:p w14:paraId="05534BE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259 050</w:t>
            </w:r>
          </w:p>
        </w:tc>
        <w:tc>
          <w:tcPr>
            <w:tcW w:w="1134" w:type="dxa"/>
            <w:tcBorders>
              <w:top w:val="nil"/>
              <w:left w:val="single" w:sz="4" w:space="0" w:color="auto"/>
              <w:bottom w:val="nil"/>
              <w:right w:val="single" w:sz="8" w:space="0" w:color="auto"/>
            </w:tcBorders>
            <w:shd w:val="clear" w:color="000000" w:fill="FFFFFF"/>
            <w:noWrap/>
            <w:vAlign w:val="bottom"/>
            <w:hideMark/>
          </w:tcPr>
          <w:p w14:paraId="6792D4D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6FC681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215 875</w:t>
            </w:r>
          </w:p>
        </w:tc>
        <w:tc>
          <w:tcPr>
            <w:tcW w:w="993" w:type="dxa"/>
            <w:tcBorders>
              <w:top w:val="nil"/>
              <w:left w:val="single" w:sz="4" w:space="0" w:color="auto"/>
              <w:bottom w:val="nil"/>
              <w:right w:val="single" w:sz="8" w:space="0" w:color="auto"/>
            </w:tcBorders>
            <w:shd w:val="clear" w:color="000000" w:fill="FFFFFF"/>
            <w:noWrap/>
            <w:vAlign w:val="bottom"/>
            <w:hideMark/>
          </w:tcPr>
          <w:p w14:paraId="1C3128D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24F8CA0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129 525</w:t>
            </w:r>
          </w:p>
        </w:tc>
        <w:tc>
          <w:tcPr>
            <w:tcW w:w="993" w:type="dxa"/>
            <w:tcBorders>
              <w:top w:val="nil"/>
              <w:left w:val="single" w:sz="4" w:space="0" w:color="auto"/>
              <w:bottom w:val="nil"/>
              <w:right w:val="single" w:sz="8" w:space="0" w:color="auto"/>
            </w:tcBorders>
            <w:shd w:val="clear" w:color="000000" w:fill="FFFFFF"/>
            <w:noWrap/>
            <w:vAlign w:val="bottom"/>
            <w:hideMark/>
          </w:tcPr>
          <w:p w14:paraId="776C178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8D0A3B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604 450</w:t>
            </w:r>
          </w:p>
        </w:tc>
        <w:tc>
          <w:tcPr>
            <w:tcW w:w="1134" w:type="dxa"/>
            <w:tcBorders>
              <w:top w:val="nil"/>
              <w:left w:val="single" w:sz="4" w:space="0" w:color="auto"/>
              <w:bottom w:val="nil"/>
              <w:right w:val="single" w:sz="8" w:space="0" w:color="auto"/>
            </w:tcBorders>
            <w:shd w:val="clear" w:color="000000" w:fill="FFFFFF"/>
            <w:noWrap/>
            <w:vAlign w:val="bottom"/>
            <w:hideMark/>
          </w:tcPr>
          <w:p w14:paraId="47246F9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BD9560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604 450</w:t>
            </w:r>
          </w:p>
        </w:tc>
      </w:tr>
      <w:tr w:rsidR="00A50E06" w:rsidRPr="00A50E06" w14:paraId="45470B26"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53EE43E"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IRLAND</w:t>
            </w:r>
          </w:p>
        </w:tc>
        <w:tc>
          <w:tcPr>
            <w:tcW w:w="1080" w:type="dxa"/>
            <w:tcBorders>
              <w:top w:val="nil"/>
              <w:left w:val="nil"/>
              <w:bottom w:val="nil"/>
              <w:right w:val="nil"/>
            </w:tcBorders>
            <w:shd w:val="clear" w:color="000000" w:fill="C0C0C0"/>
            <w:noWrap/>
            <w:vAlign w:val="center"/>
            <w:hideMark/>
          </w:tcPr>
          <w:p w14:paraId="18C6FC43"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1104" w:type="dxa"/>
            <w:tcBorders>
              <w:top w:val="nil"/>
              <w:left w:val="single" w:sz="4" w:space="0" w:color="auto"/>
              <w:bottom w:val="nil"/>
              <w:right w:val="single" w:sz="8" w:space="0" w:color="auto"/>
            </w:tcBorders>
            <w:shd w:val="clear" w:color="000000" w:fill="FFFFFF"/>
            <w:noWrap/>
            <w:vAlign w:val="bottom"/>
            <w:hideMark/>
          </w:tcPr>
          <w:p w14:paraId="24C852B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2 820 180</w:t>
            </w:r>
          </w:p>
        </w:tc>
        <w:tc>
          <w:tcPr>
            <w:tcW w:w="1134" w:type="dxa"/>
            <w:tcBorders>
              <w:top w:val="nil"/>
              <w:left w:val="single" w:sz="4" w:space="0" w:color="auto"/>
              <w:bottom w:val="nil"/>
              <w:right w:val="single" w:sz="8" w:space="0" w:color="auto"/>
            </w:tcBorders>
            <w:shd w:val="clear" w:color="000000" w:fill="FFFFFF"/>
            <w:noWrap/>
            <w:vAlign w:val="bottom"/>
            <w:hideMark/>
          </w:tcPr>
          <w:p w14:paraId="341AB93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04007F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2 350 150</w:t>
            </w:r>
          </w:p>
        </w:tc>
        <w:tc>
          <w:tcPr>
            <w:tcW w:w="993" w:type="dxa"/>
            <w:tcBorders>
              <w:top w:val="nil"/>
              <w:left w:val="single" w:sz="4" w:space="0" w:color="auto"/>
              <w:bottom w:val="nil"/>
              <w:right w:val="single" w:sz="8" w:space="0" w:color="auto"/>
            </w:tcBorders>
            <w:shd w:val="clear" w:color="000000" w:fill="FFFFFF"/>
            <w:noWrap/>
            <w:vAlign w:val="bottom"/>
            <w:hideMark/>
          </w:tcPr>
          <w:p w14:paraId="337E3CD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CEFC63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1 410 090</w:t>
            </w:r>
          </w:p>
        </w:tc>
        <w:tc>
          <w:tcPr>
            <w:tcW w:w="993" w:type="dxa"/>
            <w:tcBorders>
              <w:top w:val="nil"/>
              <w:left w:val="single" w:sz="4" w:space="0" w:color="auto"/>
              <w:bottom w:val="nil"/>
              <w:right w:val="single" w:sz="8" w:space="0" w:color="auto"/>
            </w:tcBorders>
            <w:shd w:val="clear" w:color="000000" w:fill="FFFFFF"/>
            <w:noWrap/>
            <w:vAlign w:val="bottom"/>
            <w:hideMark/>
          </w:tcPr>
          <w:p w14:paraId="6594EFB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DBE473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6 580 420</w:t>
            </w:r>
          </w:p>
        </w:tc>
        <w:tc>
          <w:tcPr>
            <w:tcW w:w="1134" w:type="dxa"/>
            <w:tcBorders>
              <w:top w:val="nil"/>
              <w:left w:val="single" w:sz="4" w:space="0" w:color="auto"/>
              <w:bottom w:val="nil"/>
              <w:right w:val="single" w:sz="8" w:space="0" w:color="auto"/>
            </w:tcBorders>
            <w:shd w:val="clear" w:color="000000" w:fill="FFFFFF"/>
            <w:noWrap/>
            <w:vAlign w:val="bottom"/>
            <w:hideMark/>
          </w:tcPr>
          <w:p w14:paraId="27BE876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35D81B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6 580 420</w:t>
            </w:r>
          </w:p>
        </w:tc>
      </w:tr>
      <w:tr w:rsidR="00A50E06" w:rsidRPr="00A50E06" w14:paraId="32C5C9FC"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1838253"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GRÆKENLAND</w:t>
            </w:r>
          </w:p>
        </w:tc>
        <w:tc>
          <w:tcPr>
            <w:tcW w:w="1080" w:type="dxa"/>
            <w:tcBorders>
              <w:top w:val="nil"/>
              <w:left w:val="nil"/>
              <w:bottom w:val="nil"/>
              <w:right w:val="nil"/>
            </w:tcBorders>
            <w:shd w:val="clear" w:color="000000" w:fill="C0C0C0"/>
            <w:noWrap/>
            <w:vAlign w:val="center"/>
            <w:hideMark/>
          </w:tcPr>
          <w:p w14:paraId="3D2B9BF8"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1104" w:type="dxa"/>
            <w:tcBorders>
              <w:top w:val="nil"/>
              <w:left w:val="single" w:sz="4" w:space="0" w:color="auto"/>
              <w:bottom w:val="nil"/>
              <w:right w:val="single" w:sz="8" w:space="0" w:color="auto"/>
            </w:tcBorders>
            <w:shd w:val="clear" w:color="000000" w:fill="FFFFFF"/>
            <w:noWrap/>
            <w:vAlign w:val="bottom"/>
            <w:hideMark/>
          </w:tcPr>
          <w:p w14:paraId="4D0B4F8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4 522 050</w:t>
            </w:r>
          </w:p>
        </w:tc>
        <w:tc>
          <w:tcPr>
            <w:tcW w:w="1134" w:type="dxa"/>
            <w:tcBorders>
              <w:top w:val="nil"/>
              <w:left w:val="single" w:sz="4" w:space="0" w:color="auto"/>
              <w:bottom w:val="nil"/>
              <w:right w:val="single" w:sz="8" w:space="0" w:color="auto"/>
            </w:tcBorders>
            <w:shd w:val="clear" w:color="000000" w:fill="FFFFFF"/>
            <w:noWrap/>
            <w:vAlign w:val="bottom"/>
            <w:hideMark/>
          </w:tcPr>
          <w:p w14:paraId="45F8125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8E3807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3 768 375</w:t>
            </w:r>
          </w:p>
        </w:tc>
        <w:tc>
          <w:tcPr>
            <w:tcW w:w="993" w:type="dxa"/>
            <w:tcBorders>
              <w:top w:val="nil"/>
              <w:left w:val="single" w:sz="4" w:space="0" w:color="auto"/>
              <w:bottom w:val="nil"/>
              <w:right w:val="single" w:sz="8" w:space="0" w:color="auto"/>
            </w:tcBorders>
            <w:shd w:val="clear" w:color="000000" w:fill="FFFFFF"/>
            <w:noWrap/>
            <w:vAlign w:val="bottom"/>
            <w:hideMark/>
          </w:tcPr>
          <w:p w14:paraId="2AC3792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280B513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2 261 025</w:t>
            </w:r>
          </w:p>
        </w:tc>
        <w:tc>
          <w:tcPr>
            <w:tcW w:w="993" w:type="dxa"/>
            <w:tcBorders>
              <w:top w:val="nil"/>
              <w:left w:val="single" w:sz="4" w:space="0" w:color="auto"/>
              <w:bottom w:val="nil"/>
              <w:right w:val="single" w:sz="8" w:space="0" w:color="auto"/>
            </w:tcBorders>
            <w:shd w:val="clear" w:color="000000" w:fill="FFFFFF"/>
            <w:noWrap/>
            <w:vAlign w:val="bottom"/>
            <w:hideMark/>
          </w:tcPr>
          <w:p w14:paraId="55377D7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CD58AA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10 551 450</w:t>
            </w:r>
          </w:p>
        </w:tc>
        <w:tc>
          <w:tcPr>
            <w:tcW w:w="1134" w:type="dxa"/>
            <w:tcBorders>
              <w:top w:val="nil"/>
              <w:left w:val="single" w:sz="4" w:space="0" w:color="auto"/>
              <w:bottom w:val="nil"/>
              <w:right w:val="single" w:sz="8" w:space="0" w:color="auto"/>
            </w:tcBorders>
            <w:shd w:val="clear" w:color="000000" w:fill="FFFFFF"/>
            <w:noWrap/>
            <w:vAlign w:val="bottom"/>
            <w:hideMark/>
          </w:tcPr>
          <w:p w14:paraId="3734567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DE62FD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10 551 450</w:t>
            </w:r>
          </w:p>
        </w:tc>
      </w:tr>
      <w:tr w:rsidR="00A50E06" w:rsidRPr="00A50E06" w14:paraId="679C77B7"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8E286A9"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SPANIEN</w:t>
            </w:r>
          </w:p>
        </w:tc>
        <w:tc>
          <w:tcPr>
            <w:tcW w:w="1080" w:type="dxa"/>
            <w:tcBorders>
              <w:top w:val="nil"/>
              <w:left w:val="nil"/>
              <w:bottom w:val="nil"/>
              <w:right w:val="nil"/>
            </w:tcBorders>
            <w:shd w:val="clear" w:color="000000" w:fill="C0C0C0"/>
            <w:noWrap/>
            <w:vAlign w:val="center"/>
            <w:hideMark/>
          </w:tcPr>
          <w:p w14:paraId="5554F17C"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1104" w:type="dxa"/>
            <w:tcBorders>
              <w:top w:val="nil"/>
              <w:left w:val="single" w:sz="4" w:space="0" w:color="auto"/>
              <w:bottom w:val="nil"/>
              <w:right w:val="single" w:sz="8" w:space="0" w:color="auto"/>
            </w:tcBorders>
            <w:shd w:val="clear" w:color="000000" w:fill="FFFFFF"/>
            <w:noWrap/>
            <w:vAlign w:val="bottom"/>
            <w:hideMark/>
          </w:tcPr>
          <w:p w14:paraId="36C1180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23 797 440</w:t>
            </w:r>
          </w:p>
        </w:tc>
        <w:tc>
          <w:tcPr>
            <w:tcW w:w="1134" w:type="dxa"/>
            <w:tcBorders>
              <w:top w:val="nil"/>
              <w:left w:val="single" w:sz="4" w:space="0" w:color="auto"/>
              <w:bottom w:val="nil"/>
              <w:right w:val="single" w:sz="8" w:space="0" w:color="auto"/>
            </w:tcBorders>
            <w:shd w:val="clear" w:color="000000" w:fill="FFFFFF"/>
            <w:noWrap/>
            <w:vAlign w:val="bottom"/>
            <w:hideMark/>
          </w:tcPr>
          <w:p w14:paraId="28C4D48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2196FF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19 831 200</w:t>
            </w:r>
          </w:p>
        </w:tc>
        <w:tc>
          <w:tcPr>
            <w:tcW w:w="993" w:type="dxa"/>
            <w:tcBorders>
              <w:top w:val="nil"/>
              <w:left w:val="single" w:sz="4" w:space="0" w:color="auto"/>
              <w:bottom w:val="nil"/>
              <w:right w:val="single" w:sz="8" w:space="0" w:color="auto"/>
            </w:tcBorders>
            <w:shd w:val="clear" w:color="000000" w:fill="FFFFFF"/>
            <w:noWrap/>
            <w:vAlign w:val="bottom"/>
            <w:hideMark/>
          </w:tcPr>
          <w:p w14:paraId="44EA4B4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B569AC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11 898 720</w:t>
            </w:r>
          </w:p>
        </w:tc>
        <w:tc>
          <w:tcPr>
            <w:tcW w:w="993" w:type="dxa"/>
            <w:tcBorders>
              <w:top w:val="nil"/>
              <w:left w:val="single" w:sz="4" w:space="0" w:color="auto"/>
              <w:bottom w:val="nil"/>
              <w:right w:val="single" w:sz="8" w:space="0" w:color="auto"/>
            </w:tcBorders>
            <w:shd w:val="clear" w:color="000000" w:fill="FFFFFF"/>
            <w:noWrap/>
            <w:vAlign w:val="bottom"/>
            <w:hideMark/>
          </w:tcPr>
          <w:p w14:paraId="747C1EF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8BD4BA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55 527 360</w:t>
            </w:r>
          </w:p>
        </w:tc>
        <w:tc>
          <w:tcPr>
            <w:tcW w:w="1134" w:type="dxa"/>
            <w:tcBorders>
              <w:top w:val="nil"/>
              <w:left w:val="single" w:sz="4" w:space="0" w:color="auto"/>
              <w:bottom w:val="nil"/>
              <w:right w:val="single" w:sz="8" w:space="0" w:color="auto"/>
            </w:tcBorders>
            <w:shd w:val="clear" w:color="000000" w:fill="FFFFFF"/>
            <w:noWrap/>
            <w:vAlign w:val="bottom"/>
            <w:hideMark/>
          </w:tcPr>
          <w:p w14:paraId="710B9EE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5DCEDD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55 527 360</w:t>
            </w:r>
          </w:p>
        </w:tc>
      </w:tr>
      <w:tr w:rsidR="00A50E06" w:rsidRPr="00A50E06" w14:paraId="618B0298"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8A98CEE"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FRANKRIG</w:t>
            </w:r>
          </w:p>
        </w:tc>
        <w:tc>
          <w:tcPr>
            <w:tcW w:w="1080" w:type="dxa"/>
            <w:tcBorders>
              <w:top w:val="nil"/>
              <w:left w:val="nil"/>
              <w:bottom w:val="nil"/>
              <w:right w:val="nil"/>
            </w:tcBorders>
            <w:shd w:val="clear" w:color="000000" w:fill="C0C0C0"/>
            <w:noWrap/>
            <w:vAlign w:val="center"/>
            <w:hideMark/>
          </w:tcPr>
          <w:p w14:paraId="1B90846B"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1104" w:type="dxa"/>
            <w:tcBorders>
              <w:top w:val="nil"/>
              <w:left w:val="single" w:sz="4" w:space="0" w:color="auto"/>
              <w:bottom w:val="nil"/>
              <w:right w:val="single" w:sz="8" w:space="0" w:color="auto"/>
            </w:tcBorders>
            <w:shd w:val="clear" w:color="000000" w:fill="FFFFFF"/>
            <w:noWrap/>
            <w:vAlign w:val="bottom"/>
            <w:hideMark/>
          </w:tcPr>
          <w:p w14:paraId="1234BD6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53 438 070</w:t>
            </w:r>
          </w:p>
        </w:tc>
        <w:tc>
          <w:tcPr>
            <w:tcW w:w="1134" w:type="dxa"/>
            <w:tcBorders>
              <w:top w:val="nil"/>
              <w:left w:val="single" w:sz="4" w:space="0" w:color="auto"/>
              <w:bottom w:val="nil"/>
              <w:right w:val="single" w:sz="8" w:space="0" w:color="auto"/>
            </w:tcBorders>
            <w:shd w:val="clear" w:color="000000" w:fill="FFFFFF"/>
            <w:noWrap/>
            <w:vAlign w:val="bottom"/>
            <w:hideMark/>
          </w:tcPr>
          <w:p w14:paraId="0C52418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AA7B0B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44 531 725</w:t>
            </w:r>
          </w:p>
        </w:tc>
        <w:tc>
          <w:tcPr>
            <w:tcW w:w="993" w:type="dxa"/>
            <w:tcBorders>
              <w:top w:val="nil"/>
              <w:left w:val="single" w:sz="4" w:space="0" w:color="auto"/>
              <w:bottom w:val="nil"/>
              <w:right w:val="single" w:sz="8" w:space="0" w:color="auto"/>
            </w:tcBorders>
            <w:shd w:val="clear" w:color="000000" w:fill="FFFFFF"/>
            <w:noWrap/>
            <w:vAlign w:val="bottom"/>
            <w:hideMark/>
          </w:tcPr>
          <w:p w14:paraId="1E33B89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13E789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26 719 035</w:t>
            </w:r>
          </w:p>
        </w:tc>
        <w:tc>
          <w:tcPr>
            <w:tcW w:w="993" w:type="dxa"/>
            <w:tcBorders>
              <w:top w:val="nil"/>
              <w:left w:val="single" w:sz="4" w:space="0" w:color="auto"/>
              <w:bottom w:val="nil"/>
              <w:right w:val="single" w:sz="8" w:space="0" w:color="auto"/>
            </w:tcBorders>
            <w:shd w:val="clear" w:color="000000" w:fill="FFFFFF"/>
            <w:noWrap/>
            <w:vAlign w:val="bottom"/>
            <w:hideMark/>
          </w:tcPr>
          <w:p w14:paraId="14A40D1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4982BC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124 688 830</w:t>
            </w:r>
          </w:p>
        </w:tc>
        <w:tc>
          <w:tcPr>
            <w:tcW w:w="1134" w:type="dxa"/>
            <w:tcBorders>
              <w:top w:val="nil"/>
              <w:left w:val="single" w:sz="4" w:space="0" w:color="auto"/>
              <w:bottom w:val="nil"/>
              <w:right w:val="single" w:sz="8" w:space="0" w:color="auto"/>
            </w:tcBorders>
            <w:shd w:val="clear" w:color="000000" w:fill="FFFFFF"/>
            <w:noWrap/>
            <w:vAlign w:val="bottom"/>
            <w:hideMark/>
          </w:tcPr>
          <w:p w14:paraId="0CD5A45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B0DF55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124 688 830</w:t>
            </w:r>
          </w:p>
        </w:tc>
      </w:tr>
      <w:tr w:rsidR="00A50E06" w:rsidRPr="00A50E06" w14:paraId="321D90E2"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CEF6D57"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KROATIEN</w:t>
            </w:r>
          </w:p>
        </w:tc>
        <w:tc>
          <w:tcPr>
            <w:tcW w:w="1080" w:type="dxa"/>
            <w:tcBorders>
              <w:top w:val="nil"/>
              <w:left w:val="nil"/>
              <w:bottom w:val="nil"/>
              <w:right w:val="nil"/>
            </w:tcBorders>
            <w:shd w:val="clear" w:color="000000" w:fill="C0C0C0"/>
            <w:noWrap/>
            <w:vAlign w:val="center"/>
            <w:hideMark/>
          </w:tcPr>
          <w:p w14:paraId="78428090"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1104" w:type="dxa"/>
            <w:tcBorders>
              <w:top w:val="nil"/>
              <w:left w:val="single" w:sz="4" w:space="0" w:color="auto"/>
              <w:bottom w:val="nil"/>
              <w:right w:val="single" w:sz="8" w:space="0" w:color="auto"/>
            </w:tcBorders>
            <w:shd w:val="clear" w:color="000000" w:fill="FFFFFF"/>
            <w:noWrap/>
            <w:vAlign w:val="bottom"/>
            <w:hideMark/>
          </w:tcPr>
          <w:p w14:paraId="2A4B0BF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675 540</w:t>
            </w:r>
          </w:p>
        </w:tc>
        <w:tc>
          <w:tcPr>
            <w:tcW w:w="1134" w:type="dxa"/>
            <w:tcBorders>
              <w:top w:val="nil"/>
              <w:left w:val="single" w:sz="4" w:space="0" w:color="auto"/>
              <w:bottom w:val="nil"/>
              <w:right w:val="single" w:sz="8" w:space="0" w:color="auto"/>
            </w:tcBorders>
            <w:shd w:val="clear" w:color="000000" w:fill="FFFFFF"/>
            <w:noWrap/>
            <w:vAlign w:val="bottom"/>
            <w:hideMark/>
          </w:tcPr>
          <w:p w14:paraId="1C172C7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010D4D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562 950</w:t>
            </w:r>
          </w:p>
        </w:tc>
        <w:tc>
          <w:tcPr>
            <w:tcW w:w="993" w:type="dxa"/>
            <w:tcBorders>
              <w:top w:val="nil"/>
              <w:left w:val="single" w:sz="4" w:space="0" w:color="auto"/>
              <w:bottom w:val="nil"/>
              <w:right w:val="single" w:sz="8" w:space="0" w:color="auto"/>
            </w:tcBorders>
            <w:shd w:val="clear" w:color="000000" w:fill="FFFFFF"/>
            <w:noWrap/>
            <w:vAlign w:val="bottom"/>
            <w:hideMark/>
          </w:tcPr>
          <w:p w14:paraId="60C274F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F0D929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337 770</w:t>
            </w:r>
          </w:p>
        </w:tc>
        <w:tc>
          <w:tcPr>
            <w:tcW w:w="993" w:type="dxa"/>
            <w:tcBorders>
              <w:top w:val="nil"/>
              <w:left w:val="single" w:sz="4" w:space="0" w:color="auto"/>
              <w:bottom w:val="nil"/>
              <w:right w:val="single" w:sz="8" w:space="0" w:color="auto"/>
            </w:tcBorders>
            <w:shd w:val="clear" w:color="000000" w:fill="FFFFFF"/>
            <w:noWrap/>
            <w:vAlign w:val="bottom"/>
            <w:hideMark/>
          </w:tcPr>
          <w:p w14:paraId="66BDEF3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F8FFA7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1 576 260</w:t>
            </w:r>
          </w:p>
        </w:tc>
        <w:tc>
          <w:tcPr>
            <w:tcW w:w="1134" w:type="dxa"/>
            <w:tcBorders>
              <w:top w:val="nil"/>
              <w:left w:val="single" w:sz="4" w:space="0" w:color="auto"/>
              <w:bottom w:val="nil"/>
              <w:right w:val="single" w:sz="8" w:space="0" w:color="auto"/>
            </w:tcBorders>
            <w:shd w:val="clear" w:color="000000" w:fill="FFFFFF"/>
            <w:noWrap/>
            <w:vAlign w:val="bottom"/>
            <w:hideMark/>
          </w:tcPr>
          <w:p w14:paraId="7187572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027636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1 576 260</w:t>
            </w:r>
          </w:p>
        </w:tc>
      </w:tr>
      <w:tr w:rsidR="00A50E06" w:rsidRPr="00A50E06" w14:paraId="112BC706"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34BEA92"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ITALIEN</w:t>
            </w:r>
          </w:p>
        </w:tc>
        <w:tc>
          <w:tcPr>
            <w:tcW w:w="1080" w:type="dxa"/>
            <w:tcBorders>
              <w:top w:val="nil"/>
              <w:left w:val="nil"/>
              <w:bottom w:val="nil"/>
              <w:right w:val="nil"/>
            </w:tcBorders>
            <w:shd w:val="clear" w:color="000000" w:fill="C0C0C0"/>
            <w:noWrap/>
            <w:vAlign w:val="center"/>
            <w:hideMark/>
          </w:tcPr>
          <w:p w14:paraId="0272ACEC"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1104" w:type="dxa"/>
            <w:tcBorders>
              <w:top w:val="nil"/>
              <w:left w:val="single" w:sz="4" w:space="0" w:color="auto"/>
              <w:bottom w:val="nil"/>
              <w:right w:val="single" w:sz="8" w:space="0" w:color="auto"/>
            </w:tcBorders>
            <w:shd w:val="clear" w:color="000000" w:fill="FFFFFF"/>
            <w:noWrap/>
            <w:vAlign w:val="bottom"/>
            <w:hideMark/>
          </w:tcPr>
          <w:p w14:paraId="046090F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37 590 270</w:t>
            </w:r>
          </w:p>
        </w:tc>
        <w:tc>
          <w:tcPr>
            <w:tcW w:w="1134" w:type="dxa"/>
            <w:tcBorders>
              <w:top w:val="nil"/>
              <w:left w:val="single" w:sz="4" w:space="0" w:color="auto"/>
              <w:bottom w:val="nil"/>
              <w:right w:val="single" w:sz="8" w:space="0" w:color="auto"/>
            </w:tcBorders>
            <w:shd w:val="clear" w:color="000000" w:fill="FFFFFF"/>
            <w:noWrap/>
            <w:vAlign w:val="bottom"/>
            <w:hideMark/>
          </w:tcPr>
          <w:p w14:paraId="07A5DBD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0EF0FC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31 325 225</w:t>
            </w:r>
          </w:p>
        </w:tc>
        <w:tc>
          <w:tcPr>
            <w:tcW w:w="993" w:type="dxa"/>
            <w:tcBorders>
              <w:top w:val="nil"/>
              <w:left w:val="single" w:sz="4" w:space="0" w:color="auto"/>
              <w:bottom w:val="nil"/>
              <w:right w:val="single" w:sz="8" w:space="0" w:color="auto"/>
            </w:tcBorders>
            <w:shd w:val="clear" w:color="000000" w:fill="FFFFFF"/>
            <w:noWrap/>
            <w:vAlign w:val="bottom"/>
            <w:hideMark/>
          </w:tcPr>
          <w:p w14:paraId="6E3DF41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9CA916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18 795 135</w:t>
            </w:r>
          </w:p>
        </w:tc>
        <w:tc>
          <w:tcPr>
            <w:tcW w:w="993" w:type="dxa"/>
            <w:tcBorders>
              <w:top w:val="nil"/>
              <w:left w:val="single" w:sz="4" w:space="0" w:color="auto"/>
              <w:bottom w:val="nil"/>
              <w:right w:val="single" w:sz="8" w:space="0" w:color="auto"/>
            </w:tcBorders>
            <w:shd w:val="clear" w:color="000000" w:fill="FFFFFF"/>
            <w:noWrap/>
            <w:vAlign w:val="bottom"/>
            <w:hideMark/>
          </w:tcPr>
          <w:p w14:paraId="4B3A192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EE2DD9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87 710 630</w:t>
            </w:r>
          </w:p>
        </w:tc>
        <w:tc>
          <w:tcPr>
            <w:tcW w:w="1134" w:type="dxa"/>
            <w:tcBorders>
              <w:top w:val="nil"/>
              <w:left w:val="single" w:sz="4" w:space="0" w:color="auto"/>
              <w:bottom w:val="nil"/>
              <w:right w:val="single" w:sz="8" w:space="0" w:color="auto"/>
            </w:tcBorders>
            <w:shd w:val="clear" w:color="000000" w:fill="FFFFFF"/>
            <w:noWrap/>
            <w:vAlign w:val="bottom"/>
            <w:hideMark/>
          </w:tcPr>
          <w:p w14:paraId="305C5C4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24BCE0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87 710 630</w:t>
            </w:r>
          </w:p>
        </w:tc>
      </w:tr>
      <w:tr w:rsidR="00A50E06" w:rsidRPr="00A50E06" w14:paraId="157CEDEB"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77EFAE8"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CYPERN</w:t>
            </w:r>
          </w:p>
        </w:tc>
        <w:tc>
          <w:tcPr>
            <w:tcW w:w="1080" w:type="dxa"/>
            <w:tcBorders>
              <w:top w:val="nil"/>
              <w:left w:val="nil"/>
              <w:bottom w:val="nil"/>
              <w:right w:val="nil"/>
            </w:tcBorders>
            <w:shd w:val="clear" w:color="000000" w:fill="C0C0C0"/>
            <w:noWrap/>
            <w:vAlign w:val="center"/>
            <w:hideMark/>
          </w:tcPr>
          <w:p w14:paraId="3D6C8C4B"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1104" w:type="dxa"/>
            <w:tcBorders>
              <w:top w:val="nil"/>
              <w:left w:val="single" w:sz="4" w:space="0" w:color="auto"/>
              <w:bottom w:val="nil"/>
              <w:right w:val="single" w:sz="8" w:space="0" w:color="auto"/>
            </w:tcBorders>
            <w:shd w:val="clear" w:color="000000" w:fill="FFFFFF"/>
            <w:noWrap/>
            <w:vAlign w:val="bottom"/>
            <w:hideMark/>
          </w:tcPr>
          <w:p w14:paraId="084EF65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334 860</w:t>
            </w:r>
          </w:p>
        </w:tc>
        <w:tc>
          <w:tcPr>
            <w:tcW w:w="1134" w:type="dxa"/>
            <w:tcBorders>
              <w:top w:val="nil"/>
              <w:left w:val="single" w:sz="4" w:space="0" w:color="auto"/>
              <w:bottom w:val="nil"/>
              <w:right w:val="single" w:sz="8" w:space="0" w:color="auto"/>
            </w:tcBorders>
            <w:shd w:val="clear" w:color="000000" w:fill="FFFFFF"/>
            <w:noWrap/>
            <w:vAlign w:val="bottom"/>
            <w:hideMark/>
          </w:tcPr>
          <w:p w14:paraId="584BFF1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686707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279 050</w:t>
            </w:r>
          </w:p>
        </w:tc>
        <w:tc>
          <w:tcPr>
            <w:tcW w:w="993" w:type="dxa"/>
            <w:tcBorders>
              <w:top w:val="nil"/>
              <w:left w:val="single" w:sz="4" w:space="0" w:color="auto"/>
              <w:bottom w:val="nil"/>
              <w:right w:val="single" w:sz="8" w:space="0" w:color="auto"/>
            </w:tcBorders>
            <w:shd w:val="clear" w:color="000000" w:fill="FFFFFF"/>
            <w:noWrap/>
            <w:vAlign w:val="bottom"/>
            <w:hideMark/>
          </w:tcPr>
          <w:p w14:paraId="1E94A3C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75ACA9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167 430</w:t>
            </w:r>
          </w:p>
        </w:tc>
        <w:tc>
          <w:tcPr>
            <w:tcW w:w="993" w:type="dxa"/>
            <w:tcBorders>
              <w:top w:val="nil"/>
              <w:left w:val="single" w:sz="4" w:space="0" w:color="auto"/>
              <w:bottom w:val="nil"/>
              <w:right w:val="single" w:sz="8" w:space="0" w:color="auto"/>
            </w:tcBorders>
            <w:shd w:val="clear" w:color="000000" w:fill="FFFFFF"/>
            <w:noWrap/>
            <w:vAlign w:val="bottom"/>
            <w:hideMark/>
          </w:tcPr>
          <w:p w14:paraId="011B453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E3B55E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781 340</w:t>
            </w:r>
          </w:p>
        </w:tc>
        <w:tc>
          <w:tcPr>
            <w:tcW w:w="1134" w:type="dxa"/>
            <w:tcBorders>
              <w:top w:val="nil"/>
              <w:left w:val="single" w:sz="4" w:space="0" w:color="auto"/>
              <w:bottom w:val="nil"/>
              <w:right w:val="single" w:sz="8" w:space="0" w:color="auto"/>
            </w:tcBorders>
            <w:shd w:val="clear" w:color="000000" w:fill="FFFFFF"/>
            <w:noWrap/>
            <w:vAlign w:val="bottom"/>
            <w:hideMark/>
          </w:tcPr>
          <w:p w14:paraId="155C441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FADB17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781 340</w:t>
            </w:r>
          </w:p>
        </w:tc>
      </w:tr>
      <w:tr w:rsidR="00A50E06" w:rsidRPr="00A50E06" w14:paraId="7DBC48E8"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4C0127E"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LETLAND</w:t>
            </w:r>
          </w:p>
        </w:tc>
        <w:tc>
          <w:tcPr>
            <w:tcW w:w="1080" w:type="dxa"/>
            <w:tcBorders>
              <w:top w:val="nil"/>
              <w:left w:val="nil"/>
              <w:bottom w:val="nil"/>
              <w:right w:val="nil"/>
            </w:tcBorders>
            <w:shd w:val="clear" w:color="000000" w:fill="C0C0C0"/>
            <w:noWrap/>
            <w:vAlign w:val="center"/>
            <w:hideMark/>
          </w:tcPr>
          <w:p w14:paraId="07926439"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1104" w:type="dxa"/>
            <w:tcBorders>
              <w:top w:val="nil"/>
              <w:left w:val="single" w:sz="4" w:space="0" w:color="auto"/>
              <w:bottom w:val="nil"/>
              <w:right w:val="single" w:sz="8" w:space="0" w:color="auto"/>
            </w:tcBorders>
            <w:shd w:val="clear" w:color="000000" w:fill="FFFFFF"/>
            <w:noWrap/>
            <w:vAlign w:val="bottom"/>
            <w:hideMark/>
          </w:tcPr>
          <w:p w14:paraId="161BA4E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348 360</w:t>
            </w:r>
          </w:p>
        </w:tc>
        <w:tc>
          <w:tcPr>
            <w:tcW w:w="1134" w:type="dxa"/>
            <w:tcBorders>
              <w:top w:val="nil"/>
              <w:left w:val="single" w:sz="4" w:space="0" w:color="auto"/>
              <w:bottom w:val="nil"/>
              <w:right w:val="single" w:sz="8" w:space="0" w:color="auto"/>
            </w:tcBorders>
            <w:shd w:val="clear" w:color="000000" w:fill="FFFFFF"/>
            <w:noWrap/>
            <w:vAlign w:val="bottom"/>
            <w:hideMark/>
          </w:tcPr>
          <w:p w14:paraId="3D92866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393B6F7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290 300</w:t>
            </w:r>
          </w:p>
        </w:tc>
        <w:tc>
          <w:tcPr>
            <w:tcW w:w="993" w:type="dxa"/>
            <w:tcBorders>
              <w:top w:val="nil"/>
              <w:left w:val="single" w:sz="4" w:space="0" w:color="auto"/>
              <w:bottom w:val="nil"/>
              <w:right w:val="single" w:sz="8" w:space="0" w:color="auto"/>
            </w:tcBorders>
            <w:shd w:val="clear" w:color="000000" w:fill="FFFFFF"/>
            <w:noWrap/>
            <w:vAlign w:val="bottom"/>
            <w:hideMark/>
          </w:tcPr>
          <w:p w14:paraId="382F213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319E25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174 180</w:t>
            </w:r>
          </w:p>
        </w:tc>
        <w:tc>
          <w:tcPr>
            <w:tcW w:w="993" w:type="dxa"/>
            <w:tcBorders>
              <w:top w:val="nil"/>
              <w:left w:val="single" w:sz="4" w:space="0" w:color="auto"/>
              <w:bottom w:val="nil"/>
              <w:right w:val="single" w:sz="8" w:space="0" w:color="auto"/>
            </w:tcBorders>
            <w:shd w:val="clear" w:color="000000" w:fill="FFFFFF"/>
            <w:noWrap/>
            <w:vAlign w:val="bottom"/>
            <w:hideMark/>
          </w:tcPr>
          <w:p w14:paraId="130C252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3F9257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812 840</w:t>
            </w:r>
          </w:p>
        </w:tc>
        <w:tc>
          <w:tcPr>
            <w:tcW w:w="1134" w:type="dxa"/>
            <w:tcBorders>
              <w:top w:val="nil"/>
              <w:left w:val="single" w:sz="4" w:space="0" w:color="auto"/>
              <w:bottom w:val="nil"/>
              <w:right w:val="single" w:sz="8" w:space="0" w:color="auto"/>
            </w:tcBorders>
            <w:shd w:val="clear" w:color="000000" w:fill="FFFFFF"/>
            <w:noWrap/>
            <w:vAlign w:val="bottom"/>
            <w:hideMark/>
          </w:tcPr>
          <w:p w14:paraId="181EA20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A3B3DB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812 840</w:t>
            </w:r>
          </w:p>
        </w:tc>
      </w:tr>
      <w:tr w:rsidR="00A50E06" w:rsidRPr="00A50E06" w14:paraId="1E3F54A1"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B45F6E6"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LITAUEN</w:t>
            </w:r>
          </w:p>
        </w:tc>
        <w:tc>
          <w:tcPr>
            <w:tcW w:w="1080" w:type="dxa"/>
            <w:tcBorders>
              <w:top w:val="nil"/>
              <w:left w:val="nil"/>
              <w:bottom w:val="nil"/>
              <w:right w:val="nil"/>
            </w:tcBorders>
            <w:shd w:val="clear" w:color="000000" w:fill="C0C0C0"/>
            <w:noWrap/>
            <w:vAlign w:val="center"/>
            <w:hideMark/>
          </w:tcPr>
          <w:p w14:paraId="061DB0E5"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1104" w:type="dxa"/>
            <w:tcBorders>
              <w:top w:val="nil"/>
              <w:left w:val="single" w:sz="4" w:space="0" w:color="auto"/>
              <w:bottom w:val="nil"/>
              <w:right w:val="single" w:sz="8" w:space="0" w:color="auto"/>
            </w:tcBorders>
            <w:shd w:val="clear" w:color="000000" w:fill="FFFFFF"/>
            <w:noWrap/>
            <w:vAlign w:val="bottom"/>
            <w:hideMark/>
          </w:tcPr>
          <w:p w14:paraId="3C1804C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542 310</w:t>
            </w:r>
          </w:p>
        </w:tc>
        <w:tc>
          <w:tcPr>
            <w:tcW w:w="1134" w:type="dxa"/>
            <w:tcBorders>
              <w:top w:val="nil"/>
              <w:left w:val="single" w:sz="4" w:space="0" w:color="auto"/>
              <w:bottom w:val="nil"/>
              <w:right w:val="single" w:sz="8" w:space="0" w:color="auto"/>
            </w:tcBorders>
            <w:shd w:val="clear" w:color="000000" w:fill="FFFFFF"/>
            <w:noWrap/>
            <w:vAlign w:val="bottom"/>
            <w:hideMark/>
          </w:tcPr>
          <w:p w14:paraId="007C19F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33FDD4A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451 925</w:t>
            </w:r>
          </w:p>
        </w:tc>
        <w:tc>
          <w:tcPr>
            <w:tcW w:w="993" w:type="dxa"/>
            <w:tcBorders>
              <w:top w:val="nil"/>
              <w:left w:val="single" w:sz="4" w:space="0" w:color="auto"/>
              <w:bottom w:val="nil"/>
              <w:right w:val="single" w:sz="8" w:space="0" w:color="auto"/>
            </w:tcBorders>
            <w:shd w:val="clear" w:color="000000" w:fill="FFFFFF"/>
            <w:noWrap/>
            <w:vAlign w:val="bottom"/>
            <w:hideMark/>
          </w:tcPr>
          <w:p w14:paraId="2BD2F68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748C72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271 155</w:t>
            </w:r>
          </w:p>
        </w:tc>
        <w:tc>
          <w:tcPr>
            <w:tcW w:w="993" w:type="dxa"/>
            <w:tcBorders>
              <w:top w:val="nil"/>
              <w:left w:val="single" w:sz="4" w:space="0" w:color="auto"/>
              <w:bottom w:val="nil"/>
              <w:right w:val="single" w:sz="8" w:space="0" w:color="auto"/>
            </w:tcBorders>
            <w:shd w:val="clear" w:color="000000" w:fill="FFFFFF"/>
            <w:noWrap/>
            <w:vAlign w:val="bottom"/>
            <w:hideMark/>
          </w:tcPr>
          <w:p w14:paraId="1E0C785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F71BC6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1 265 390</w:t>
            </w:r>
          </w:p>
        </w:tc>
        <w:tc>
          <w:tcPr>
            <w:tcW w:w="1134" w:type="dxa"/>
            <w:tcBorders>
              <w:top w:val="nil"/>
              <w:left w:val="single" w:sz="4" w:space="0" w:color="auto"/>
              <w:bottom w:val="nil"/>
              <w:right w:val="single" w:sz="8" w:space="0" w:color="auto"/>
            </w:tcBorders>
            <w:shd w:val="clear" w:color="000000" w:fill="FFFFFF"/>
            <w:noWrap/>
            <w:vAlign w:val="bottom"/>
            <w:hideMark/>
          </w:tcPr>
          <w:p w14:paraId="2955C5F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A98429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1 265 390</w:t>
            </w:r>
          </w:p>
        </w:tc>
      </w:tr>
      <w:tr w:rsidR="00A50E06" w:rsidRPr="00A50E06" w14:paraId="36E749D3"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E9E59AF"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LUXEMBOURG</w:t>
            </w:r>
          </w:p>
        </w:tc>
        <w:tc>
          <w:tcPr>
            <w:tcW w:w="1080" w:type="dxa"/>
            <w:tcBorders>
              <w:top w:val="nil"/>
              <w:left w:val="nil"/>
              <w:bottom w:val="nil"/>
              <w:right w:val="nil"/>
            </w:tcBorders>
            <w:shd w:val="clear" w:color="000000" w:fill="C0C0C0"/>
            <w:noWrap/>
            <w:vAlign w:val="center"/>
            <w:hideMark/>
          </w:tcPr>
          <w:p w14:paraId="1BE38D6E"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1104" w:type="dxa"/>
            <w:tcBorders>
              <w:top w:val="nil"/>
              <w:left w:val="single" w:sz="4" w:space="0" w:color="auto"/>
              <w:bottom w:val="nil"/>
              <w:right w:val="single" w:sz="8" w:space="0" w:color="auto"/>
            </w:tcBorders>
            <w:shd w:val="clear" w:color="000000" w:fill="FFFFFF"/>
            <w:noWrap/>
            <w:vAlign w:val="bottom"/>
            <w:hideMark/>
          </w:tcPr>
          <w:p w14:paraId="03B57C5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765 270</w:t>
            </w:r>
          </w:p>
        </w:tc>
        <w:tc>
          <w:tcPr>
            <w:tcW w:w="1134" w:type="dxa"/>
            <w:tcBorders>
              <w:top w:val="nil"/>
              <w:left w:val="single" w:sz="4" w:space="0" w:color="auto"/>
              <w:bottom w:val="nil"/>
              <w:right w:val="single" w:sz="8" w:space="0" w:color="auto"/>
            </w:tcBorders>
            <w:shd w:val="clear" w:color="000000" w:fill="FFFFFF"/>
            <w:noWrap/>
            <w:vAlign w:val="bottom"/>
            <w:hideMark/>
          </w:tcPr>
          <w:p w14:paraId="6470FFF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E1843B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637 725</w:t>
            </w:r>
          </w:p>
        </w:tc>
        <w:tc>
          <w:tcPr>
            <w:tcW w:w="993" w:type="dxa"/>
            <w:tcBorders>
              <w:top w:val="nil"/>
              <w:left w:val="single" w:sz="4" w:space="0" w:color="auto"/>
              <w:bottom w:val="nil"/>
              <w:right w:val="single" w:sz="8" w:space="0" w:color="auto"/>
            </w:tcBorders>
            <w:shd w:val="clear" w:color="000000" w:fill="FFFFFF"/>
            <w:noWrap/>
            <w:vAlign w:val="bottom"/>
            <w:hideMark/>
          </w:tcPr>
          <w:p w14:paraId="63EB1BB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D936A4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382 635</w:t>
            </w:r>
          </w:p>
        </w:tc>
        <w:tc>
          <w:tcPr>
            <w:tcW w:w="993" w:type="dxa"/>
            <w:tcBorders>
              <w:top w:val="nil"/>
              <w:left w:val="single" w:sz="4" w:space="0" w:color="auto"/>
              <w:bottom w:val="nil"/>
              <w:right w:val="single" w:sz="8" w:space="0" w:color="auto"/>
            </w:tcBorders>
            <w:shd w:val="clear" w:color="000000" w:fill="FFFFFF"/>
            <w:noWrap/>
            <w:vAlign w:val="bottom"/>
            <w:hideMark/>
          </w:tcPr>
          <w:p w14:paraId="2B6169C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324E44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1 785 630</w:t>
            </w:r>
          </w:p>
        </w:tc>
        <w:tc>
          <w:tcPr>
            <w:tcW w:w="1134" w:type="dxa"/>
            <w:tcBorders>
              <w:top w:val="nil"/>
              <w:left w:val="single" w:sz="4" w:space="0" w:color="auto"/>
              <w:bottom w:val="nil"/>
              <w:right w:val="single" w:sz="8" w:space="0" w:color="auto"/>
            </w:tcBorders>
            <w:shd w:val="clear" w:color="000000" w:fill="FFFFFF"/>
            <w:noWrap/>
            <w:vAlign w:val="bottom"/>
            <w:hideMark/>
          </w:tcPr>
          <w:p w14:paraId="4955FC2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2B6B91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1 785 630</w:t>
            </w:r>
          </w:p>
        </w:tc>
      </w:tr>
      <w:tr w:rsidR="00A50E06" w:rsidRPr="00A50E06" w14:paraId="0575411D"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207EC69"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UNGARN</w:t>
            </w:r>
          </w:p>
        </w:tc>
        <w:tc>
          <w:tcPr>
            <w:tcW w:w="1080" w:type="dxa"/>
            <w:tcBorders>
              <w:top w:val="nil"/>
              <w:left w:val="nil"/>
              <w:bottom w:val="nil"/>
              <w:right w:val="nil"/>
            </w:tcBorders>
            <w:shd w:val="clear" w:color="000000" w:fill="C0C0C0"/>
            <w:noWrap/>
            <w:vAlign w:val="center"/>
            <w:hideMark/>
          </w:tcPr>
          <w:p w14:paraId="650550EF"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1104" w:type="dxa"/>
            <w:tcBorders>
              <w:top w:val="nil"/>
              <w:left w:val="single" w:sz="4" w:space="0" w:color="auto"/>
              <w:bottom w:val="nil"/>
              <w:right w:val="single" w:sz="8" w:space="0" w:color="auto"/>
            </w:tcBorders>
            <w:shd w:val="clear" w:color="000000" w:fill="FFFFFF"/>
            <w:noWrap/>
            <w:vAlign w:val="bottom"/>
            <w:hideMark/>
          </w:tcPr>
          <w:p w14:paraId="17FEC40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1 843 680</w:t>
            </w:r>
          </w:p>
        </w:tc>
        <w:tc>
          <w:tcPr>
            <w:tcW w:w="1134" w:type="dxa"/>
            <w:tcBorders>
              <w:top w:val="nil"/>
              <w:left w:val="single" w:sz="4" w:space="0" w:color="auto"/>
              <w:bottom w:val="nil"/>
              <w:right w:val="single" w:sz="8" w:space="0" w:color="auto"/>
            </w:tcBorders>
            <w:shd w:val="clear" w:color="000000" w:fill="FFFFFF"/>
            <w:noWrap/>
            <w:vAlign w:val="bottom"/>
            <w:hideMark/>
          </w:tcPr>
          <w:p w14:paraId="23B32D4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BDC52A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1 536 400</w:t>
            </w:r>
          </w:p>
        </w:tc>
        <w:tc>
          <w:tcPr>
            <w:tcW w:w="993" w:type="dxa"/>
            <w:tcBorders>
              <w:top w:val="nil"/>
              <w:left w:val="single" w:sz="4" w:space="0" w:color="auto"/>
              <w:bottom w:val="nil"/>
              <w:right w:val="single" w:sz="8" w:space="0" w:color="auto"/>
            </w:tcBorders>
            <w:shd w:val="clear" w:color="000000" w:fill="FFFFFF"/>
            <w:noWrap/>
            <w:vAlign w:val="bottom"/>
            <w:hideMark/>
          </w:tcPr>
          <w:p w14:paraId="3E5CDA4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B2E429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921 840</w:t>
            </w:r>
          </w:p>
        </w:tc>
        <w:tc>
          <w:tcPr>
            <w:tcW w:w="993" w:type="dxa"/>
            <w:tcBorders>
              <w:top w:val="nil"/>
              <w:left w:val="single" w:sz="4" w:space="0" w:color="auto"/>
              <w:bottom w:val="nil"/>
              <w:right w:val="single" w:sz="8" w:space="0" w:color="auto"/>
            </w:tcBorders>
            <w:shd w:val="clear" w:color="000000" w:fill="FFFFFF"/>
            <w:noWrap/>
            <w:vAlign w:val="bottom"/>
            <w:hideMark/>
          </w:tcPr>
          <w:p w14:paraId="08BE47B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6D1362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4 301 920</w:t>
            </w:r>
          </w:p>
        </w:tc>
        <w:tc>
          <w:tcPr>
            <w:tcW w:w="1134" w:type="dxa"/>
            <w:tcBorders>
              <w:top w:val="nil"/>
              <w:left w:val="single" w:sz="4" w:space="0" w:color="auto"/>
              <w:bottom w:val="nil"/>
              <w:right w:val="single" w:sz="8" w:space="0" w:color="auto"/>
            </w:tcBorders>
            <w:shd w:val="clear" w:color="000000" w:fill="FFFFFF"/>
            <w:noWrap/>
            <w:vAlign w:val="bottom"/>
            <w:hideMark/>
          </w:tcPr>
          <w:p w14:paraId="231762B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333CE1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4 301 920</w:t>
            </w:r>
          </w:p>
        </w:tc>
      </w:tr>
      <w:tr w:rsidR="00A50E06" w:rsidRPr="00A50E06" w14:paraId="5C2AE999"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E4FAE54"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ΜΑLTA</w:t>
            </w:r>
          </w:p>
        </w:tc>
        <w:tc>
          <w:tcPr>
            <w:tcW w:w="1080" w:type="dxa"/>
            <w:tcBorders>
              <w:top w:val="nil"/>
              <w:left w:val="nil"/>
              <w:bottom w:val="nil"/>
              <w:right w:val="nil"/>
            </w:tcBorders>
            <w:shd w:val="clear" w:color="000000" w:fill="C0C0C0"/>
            <w:noWrap/>
            <w:vAlign w:val="center"/>
            <w:hideMark/>
          </w:tcPr>
          <w:p w14:paraId="51DFC094"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1104" w:type="dxa"/>
            <w:tcBorders>
              <w:top w:val="nil"/>
              <w:left w:val="single" w:sz="4" w:space="0" w:color="auto"/>
              <w:bottom w:val="nil"/>
              <w:right w:val="single" w:sz="8" w:space="0" w:color="auto"/>
            </w:tcBorders>
            <w:shd w:val="clear" w:color="000000" w:fill="FFFFFF"/>
            <w:noWrap/>
            <w:vAlign w:val="bottom"/>
            <w:hideMark/>
          </w:tcPr>
          <w:p w14:paraId="0FEBD58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114 030</w:t>
            </w:r>
          </w:p>
        </w:tc>
        <w:tc>
          <w:tcPr>
            <w:tcW w:w="1134" w:type="dxa"/>
            <w:tcBorders>
              <w:top w:val="nil"/>
              <w:left w:val="single" w:sz="4" w:space="0" w:color="auto"/>
              <w:bottom w:val="nil"/>
              <w:right w:val="single" w:sz="8" w:space="0" w:color="auto"/>
            </w:tcBorders>
            <w:shd w:val="clear" w:color="000000" w:fill="FFFFFF"/>
            <w:noWrap/>
            <w:vAlign w:val="bottom"/>
            <w:hideMark/>
          </w:tcPr>
          <w:p w14:paraId="656BFEE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B1FA43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95 025</w:t>
            </w:r>
          </w:p>
        </w:tc>
        <w:tc>
          <w:tcPr>
            <w:tcW w:w="993" w:type="dxa"/>
            <w:tcBorders>
              <w:top w:val="nil"/>
              <w:left w:val="single" w:sz="4" w:space="0" w:color="auto"/>
              <w:bottom w:val="nil"/>
              <w:right w:val="single" w:sz="8" w:space="0" w:color="auto"/>
            </w:tcBorders>
            <w:shd w:val="clear" w:color="000000" w:fill="FFFFFF"/>
            <w:noWrap/>
            <w:vAlign w:val="bottom"/>
            <w:hideMark/>
          </w:tcPr>
          <w:p w14:paraId="07EC7F5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6DE1C0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57 015</w:t>
            </w:r>
          </w:p>
        </w:tc>
        <w:tc>
          <w:tcPr>
            <w:tcW w:w="993" w:type="dxa"/>
            <w:tcBorders>
              <w:top w:val="nil"/>
              <w:left w:val="single" w:sz="4" w:space="0" w:color="auto"/>
              <w:bottom w:val="nil"/>
              <w:right w:val="single" w:sz="8" w:space="0" w:color="auto"/>
            </w:tcBorders>
            <w:shd w:val="clear" w:color="000000" w:fill="FFFFFF"/>
            <w:noWrap/>
            <w:vAlign w:val="bottom"/>
            <w:hideMark/>
          </w:tcPr>
          <w:p w14:paraId="61E5EFD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D2EE6E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266 070</w:t>
            </w:r>
          </w:p>
        </w:tc>
        <w:tc>
          <w:tcPr>
            <w:tcW w:w="1134" w:type="dxa"/>
            <w:tcBorders>
              <w:top w:val="nil"/>
              <w:left w:val="single" w:sz="4" w:space="0" w:color="auto"/>
              <w:bottom w:val="nil"/>
              <w:right w:val="single" w:sz="8" w:space="0" w:color="auto"/>
            </w:tcBorders>
            <w:shd w:val="clear" w:color="000000" w:fill="FFFFFF"/>
            <w:noWrap/>
            <w:vAlign w:val="bottom"/>
            <w:hideMark/>
          </w:tcPr>
          <w:p w14:paraId="1B5CA63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C61BA0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266 070</w:t>
            </w:r>
          </w:p>
        </w:tc>
      </w:tr>
      <w:tr w:rsidR="00A50E06" w:rsidRPr="00A50E06" w14:paraId="5B73D56A"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55075DC"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NEDERLANDENE</w:t>
            </w:r>
          </w:p>
        </w:tc>
        <w:tc>
          <w:tcPr>
            <w:tcW w:w="1080" w:type="dxa"/>
            <w:tcBorders>
              <w:top w:val="nil"/>
              <w:left w:val="nil"/>
              <w:bottom w:val="nil"/>
              <w:right w:val="nil"/>
            </w:tcBorders>
            <w:shd w:val="clear" w:color="000000" w:fill="C0C0C0"/>
            <w:noWrap/>
            <w:vAlign w:val="center"/>
            <w:hideMark/>
          </w:tcPr>
          <w:p w14:paraId="2AC66C9D"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1104" w:type="dxa"/>
            <w:tcBorders>
              <w:top w:val="nil"/>
              <w:left w:val="single" w:sz="4" w:space="0" w:color="auto"/>
              <w:bottom w:val="nil"/>
              <w:right w:val="single" w:sz="8" w:space="0" w:color="auto"/>
            </w:tcBorders>
            <w:shd w:val="clear" w:color="000000" w:fill="FFFFFF"/>
            <w:noWrap/>
            <w:vAlign w:val="bottom"/>
            <w:hideMark/>
          </w:tcPr>
          <w:p w14:paraId="194187E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14 330 340</w:t>
            </w:r>
          </w:p>
        </w:tc>
        <w:tc>
          <w:tcPr>
            <w:tcW w:w="1134" w:type="dxa"/>
            <w:tcBorders>
              <w:top w:val="nil"/>
              <w:left w:val="single" w:sz="4" w:space="0" w:color="auto"/>
              <w:bottom w:val="nil"/>
              <w:right w:val="single" w:sz="8" w:space="0" w:color="auto"/>
            </w:tcBorders>
            <w:shd w:val="clear" w:color="000000" w:fill="FFFFFF"/>
            <w:noWrap/>
            <w:vAlign w:val="bottom"/>
            <w:hideMark/>
          </w:tcPr>
          <w:p w14:paraId="0207334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946475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11 941 950</w:t>
            </w:r>
          </w:p>
        </w:tc>
        <w:tc>
          <w:tcPr>
            <w:tcW w:w="993" w:type="dxa"/>
            <w:tcBorders>
              <w:top w:val="nil"/>
              <w:left w:val="single" w:sz="4" w:space="0" w:color="auto"/>
              <w:bottom w:val="nil"/>
              <w:right w:val="single" w:sz="8" w:space="0" w:color="auto"/>
            </w:tcBorders>
            <w:shd w:val="clear" w:color="000000" w:fill="FFFFFF"/>
            <w:noWrap/>
            <w:vAlign w:val="bottom"/>
            <w:hideMark/>
          </w:tcPr>
          <w:p w14:paraId="482C933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118094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7 165 170</w:t>
            </w:r>
          </w:p>
        </w:tc>
        <w:tc>
          <w:tcPr>
            <w:tcW w:w="993" w:type="dxa"/>
            <w:tcBorders>
              <w:top w:val="nil"/>
              <w:left w:val="single" w:sz="4" w:space="0" w:color="auto"/>
              <w:bottom w:val="nil"/>
              <w:right w:val="single" w:sz="8" w:space="0" w:color="auto"/>
            </w:tcBorders>
            <w:shd w:val="clear" w:color="000000" w:fill="FFFFFF"/>
            <w:noWrap/>
            <w:vAlign w:val="bottom"/>
            <w:hideMark/>
          </w:tcPr>
          <w:p w14:paraId="4227FAE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2D02B6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33 437 460</w:t>
            </w:r>
          </w:p>
        </w:tc>
        <w:tc>
          <w:tcPr>
            <w:tcW w:w="1134" w:type="dxa"/>
            <w:tcBorders>
              <w:top w:val="nil"/>
              <w:left w:val="single" w:sz="4" w:space="0" w:color="auto"/>
              <w:bottom w:val="nil"/>
              <w:right w:val="single" w:sz="8" w:space="0" w:color="auto"/>
            </w:tcBorders>
            <w:shd w:val="clear" w:color="000000" w:fill="FFFFFF"/>
            <w:noWrap/>
            <w:vAlign w:val="bottom"/>
            <w:hideMark/>
          </w:tcPr>
          <w:p w14:paraId="571D176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1218C61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33 437 460</w:t>
            </w:r>
          </w:p>
        </w:tc>
      </w:tr>
      <w:tr w:rsidR="00A50E06" w:rsidRPr="00A50E06" w14:paraId="7A370D41"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5CF2FC8"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ØSTRIG</w:t>
            </w:r>
          </w:p>
        </w:tc>
        <w:tc>
          <w:tcPr>
            <w:tcW w:w="1080" w:type="dxa"/>
            <w:tcBorders>
              <w:top w:val="nil"/>
              <w:left w:val="nil"/>
              <w:bottom w:val="nil"/>
              <w:right w:val="nil"/>
            </w:tcBorders>
            <w:shd w:val="clear" w:color="000000" w:fill="C0C0C0"/>
            <w:noWrap/>
            <w:vAlign w:val="center"/>
            <w:hideMark/>
          </w:tcPr>
          <w:p w14:paraId="7868D130"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1104" w:type="dxa"/>
            <w:tcBorders>
              <w:top w:val="nil"/>
              <w:left w:val="single" w:sz="4" w:space="0" w:color="auto"/>
              <w:bottom w:val="nil"/>
              <w:right w:val="single" w:sz="8" w:space="0" w:color="auto"/>
            </w:tcBorders>
            <w:shd w:val="clear" w:color="000000" w:fill="FFFFFF"/>
            <w:noWrap/>
            <w:vAlign w:val="bottom"/>
            <w:hideMark/>
          </w:tcPr>
          <w:p w14:paraId="682E0DD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7 192 710</w:t>
            </w:r>
          </w:p>
        </w:tc>
        <w:tc>
          <w:tcPr>
            <w:tcW w:w="1134" w:type="dxa"/>
            <w:tcBorders>
              <w:top w:val="nil"/>
              <w:left w:val="single" w:sz="4" w:space="0" w:color="auto"/>
              <w:bottom w:val="nil"/>
              <w:right w:val="single" w:sz="8" w:space="0" w:color="auto"/>
            </w:tcBorders>
            <w:shd w:val="clear" w:color="000000" w:fill="FFFFFF"/>
            <w:noWrap/>
            <w:vAlign w:val="bottom"/>
            <w:hideMark/>
          </w:tcPr>
          <w:p w14:paraId="49D6684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16BE80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5 993 925</w:t>
            </w:r>
          </w:p>
        </w:tc>
        <w:tc>
          <w:tcPr>
            <w:tcW w:w="993" w:type="dxa"/>
            <w:tcBorders>
              <w:top w:val="nil"/>
              <w:left w:val="single" w:sz="4" w:space="0" w:color="auto"/>
              <w:bottom w:val="nil"/>
              <w:right w:val="single" w:sz="8" w:space="0" w:color="auto"/>
            </w:tcBorders>
            <w:shd w:val="clear" w:color="000000" w:fill="FFFFFF"/>
            <w:noWrap/>
            <w:vAlign w:val="bottom"/>
            <w:hideMark/>
          </w:tcPr>
          <w:p w14:paraId="63B0314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95F2C2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3 596 355</w:t>
            </w:r>
          </w:p>
        </w:tc>
        <w:tc>
          <w:tcPr>
            <w:tcW w:w="993" w:type="dxa"/>
            <w:tcBorders>
              <w:top w:val="nil"/>
              <w:left w:val="single" w:sz="4" w:space="0" w:color="auto"/>
              <w:bottom w:val="nil"/>
              <w:right w:val="single" w:sz="8" w:space="0" w:color="auto"/>
            </w:tcBorders>
            <w:shd w:val="clear" w:color="000000" w:fill="FFFFFF"/>
            <w:noWrap/>
            <w:vAlign w:val="bottom"/>
            <w:hideMark/>
          </w:tcPr>
          <w:p w14:paraId="532D0F2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2AB66A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16 782 990</w:t>
            </w:r>
          </w:p>
        </w:tc>
        <w:tc>
          <w:tcPr>
            <w:tcW w:w="1134" w:type="dxa"/>
            <w:tcBorders>
              <w:top w:val="nil"/>
              <w:left w:val="single" w:sz="4" w:space="0" w:color="auto"/>
              <w:bottom w:val="nil"/>
              <w:right w:val="single" w:sz="8" w:space="0" w:color="auto"/>
            </w:tcBorders>
            <w:shd w:val="clear" w:color="000000" w:fill="FFFFFF"/>
            <w:noWrap/>
            <w:vAlign w:val="bottom"/>
            <w:hideMark/>
          </w:tcPr>
          <w:p w14:paraId="048D9E1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7F76DA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16 782 990</w:t>
            </w:r>
          </w:p>
        </w:tc>
      </w:tr>
      <w:tr w:rsidR="00A50E06" w:rsidRPr="00A50E06" w14:paraId="4D96A027"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D0466DB"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POLEN</w:t>
            </w:r>
          </w:p>
        </w:tc>
        <w:tc>
          <w:tcPr>
            <w:tcW w:w="1080" w:type="dxa"/>
            <w:tcBorders>
              <w:top w:val="nil"/>
              <w:left w:val="nil"/>
              <w:bottom w:val="nil"/>
              <w:right w:val="nil"/>
            </w:tcBorders>
            <w:shd w:val="clear" w:color="000000" w:fill="C0C0C0"/>
            <w:noWrap/>
            <w:vAlign w:val="center"/>
            <w:hideMark/>
          </w:tcPr>
          <w:p w14:paraId="1CEABD4C"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1104" w:type="dxa"/>
            <w:tcBorders>
              <w:top w:val="nil"/>
              <w:left w:val="single" w:sz="4" w:space="0" w:color="auto"/>
              <w:bottom w:val="nil"/>
              <w:right w:val="single" w:sz="8" w:space="0" w:color="auto"/>
            </w:tcBorders>
            <w:shd w:val="clear" w:color="000000" w:fill="FFFFFF"/>
            <w:noWrap/>
            <w:vAlign w:val="bottom"/>
            <w:hideMark/>
          </w:tcPr>
          <w:p w14:paraId="746CC90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6 022 020</w:t>
            </w:r>
          </w:p>
        </w:tc>
        <w:tc>
          <w:tcPr>
            <w:tcW w:w="1134" w:type="dxa"/>
            <w:tcBorders>
              <w:top w:val="nil"/>
              <w:left w:val="single" w:sz="4" w:space="0" w:color="auto"/>
              <w:bottom w:val="nil"/>
              <w:right w:val="single" w:sz="8" w:space="0" w:color="auto"/>
            </w:tcBorders>
            <w:shd w:val="clear" w:color="000000" w:fill="FFFFFF"/>
            <w:noWrap/>
            <w:vAlign w:val="bottom"/>
            <w:hideMark/>
          </w:tcPr>
          <w:p w14:paraId="0C67EE4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A2CD53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5 018 350</w:t>
            </w:r>
          </w:p>
        </w:tc>
        <w:tc>
          <w:tcPr>
            <w:tcW w:w="993" w:type="dxa"/>
            <w:tcBorders>
              <w:top w:val="nil"/>
              <w:left w:val="single" w:sz="4" w:space="0" w:color="auto"/>
              <w:bottom w:val="nil"/>
              <w:right w:val="single" w:sz="8" w:space="0" w:color="auto"/>
            </w:tcBorders>
            <w:shd w:val="clear" w:color="000000" w:fill="FFFFFF"/>
            <w:noWrap/>
            <w:vAlign w:val="bottom"/>
            <w:hideMark/>
          </w:tcPr>
          <w:p w14:paraId="74FC540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F30817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3 011 010</w:t>
            </w:r>
          </w:p>
        </w:tc>
        <w:tc>
          <w:tcPr>
            <w:tcW w:w="993" w:type="dxa"/>
            <w:tcBorders>
              <w:top w:val="nil"/>
              <w:left w:val="single" w:sz="4" w:space="0" w:color="auto"/>
              <w:bottom w:val="nil"/>
              <w:right w:val="single" w:sz="8" w:space="0" w:color="auto"/>
            </w:tcBorders>
            <w:shd w:val="clear" w:color="000000" w:fill="FFFFFF"/>
            <w:noWrap/>
            <w:vAlign w:val="bottom"/>
            <w:hideMark/>
          </w:tcPr>
          <w:p w14:paraId="52E35B8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73AB40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14 051 380</w:t>
            </w:r>
          </w:p>
        </w:tc>
        <w:tc>
          <w:tcPr>
            <w:tcW w:w="1134" w:type="dxa"/>
            <w:tcBorders>
              <w:top w:val="nil"/>
              <w:left w:val="single" w:sz="4" w:space="0" w:color="auto"/>
              <w:bottom w:val="nil"/>
              <w:right w:val="single" w:sz="8" w:space="0" w:color="auto"/>
            </w:tcBorders>
            <w:shd w:val="clear" w:color="000000" w:fill="FFFFFF"/>
            <w:noWrap/>
            <w:vAlign w:val="bottom"/>
            <w:hideMark/>
          </w:tcPr>
          <w:p w14:paraId="2218C7D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BB804A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14 051 380</w:t>
            </w:r>
          </w:p>
        </w:tc>
      </w:tr>
      <w:tr w:rsidR="00A50E06" w:rsidRPr="00A50E06" w14:paraId="6A3610EB"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68AE830"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PORTUGAL</w:t>
            </w:r>
          </w:p>
        </w:tc>
        <w:tc>
          <w:tcPr>
            <w:tcW w:w="1080" w:type="dxa"/>
            <w:tcBorders>
              <w:top w:val="nil"/>
              <w:left w:val="nil"/>
              <w:bottom w:val="nil"/>
              <w:right w:val="nil"/>
            </w:tcBorders>
            <w:shd w:val="clear" w:color="000000" w:fill="C0C0C0"/>
            <w:noWrap/>
            <w:vAlign w:val="center"/>
            <w:hideMark/>
          </w:tcPr>
          <w:p w14:paraId="39FA421E"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1104" w:type="dxa"/>
            <w:tcBorders>
              <w:top w:val="nil"/>
              <w:left w:val="single" w:sz="4" w:space="0" w:color="auto"/>
              <w:bottom w:val="nil"/>
              <w:right w:val="single" w:sz="8" w:space="0" w:color="auto"/>
            </w:tcBorders>
            <w:shd w:val="clear" w:color="000000" w:fill="FFFFFF"/>
            <w:noWrap/>
            <w:vAlign w:val="bottom"/>
            <w:hideMark/>
          </w:tcPr>
          <w:p w14:paraId="50C75A1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3 590 370</w:t>
            </w:r>
          </w:p>
        </w:tc>
        <w:tc>
          <w:tcPr>
            <w:tcW w:w="1134" w:type="dxa"/>
            <w:tcBorders>
              <w:top w:val="nil"/>
              <w:left w:val="single" w:sz="4" w:space="0" w:color="auto"/>
              <w:bottom w:val="nil"/>
              <w:right w:val="single" w:sz="8" w:space="0" w:color="auto"/>
            </w:tcBorders>
            <w:shd w:val="clear" w:color="000000" w:fill="FFFFFF"/>
            <w:noWrap/>
            <w:vAlign w:val="bottom"/>
            <w:hideMark/>
          </w:tcPr>
          <w:p w14:paraId="0AD7A1A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D61958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2 991 975</w:t>
            </w:r>
          </w:p>
        </w:tc>
        <w:tc>
          <w:tcPr>
            <w:tcW w:w="993" w:type="dxa"/>
            <w:tcBorders>
              <w:top w:val="nil"/>
              <w:left w:val="single" w:sz="4" w:space="0" w:color="auto"/>
              <w:bottom w:val="nil"/>
              <w:right w:val="single" w:sz="8" w:space="0" w:color="auto"/>
            </w:tcBorders>
            <w:shd w:val="clear" w:color="000000" w:fill="FFFFFF"/>
            <w:noWrap/>
            <w:vAlign w:val="bottom"/>
            <w:hideMark/>
          </w:tcPr>
          <w:p w14:paraId="73B3352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D0B582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1 795 185</w:t>
            </w:r>
          </w:p>
        </w:tc>
        <w:tc>
          <w:tcPr>
            <w:tcW w:w="993" w:type="dxa"/>
            <w:tcBorders>
              <w:top w:val="nil"/>
              <w:left w:val="single" w:sz="4" w:space="0" w:color="auto"/>
              <w:bottom w:val="nil"/>
              <w:right w:val="single" w:sz="8" w:space="0" w:color="auto"/>
            </w:tcBorders>
            <w:shd w:val="clear" w:color="000000" w:fill="FFFFFF"/>
            <w:noWrap/>
            <w:vAlign w:val="bottom"/>
            <w:hideMark/>
          </w:tcPr>
          <w:p w14:paraId="7741F6E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8A91BB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8 377 530</w:t>
            </w:r>
          </w:p>
        </w:tc>
        <w:tc>
          <w:tcPr>
            <w:tcW w:w="1134" w:type="dxa"/>
            <w:tcBorders>
              <w:top w:val="nil"/>
              <w:left w:val="single" w:sz="4" w:space="0" w:color="auto"/>
              <w:bottom w:val="nil"/>
              <w:right w:val="single" w:sz="8" w:space="0" w:color="auto"/>
            </w:tcBorders>
            <w:shd w:val="clear" w:color="000000" w:fill="FFFFFF"/>
            <w:noWrap/>
            <w:vAlign w:val="bottom"/>
            <w:hideMark/>
          </w:tcPr>
          <w:p w14:paraId="4A98E64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6C68DA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8 377 530</w:t>
            </w:r>
          </w:p>
        </w:tc>
      </w:tr>
      <w:tr w:rsidR="00A50E06" w:rsidRPr="00A50E06" w14:paraId="074B0EDA"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733F6DE"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RUMÆNIEN</w:t>
            </w:r>
          </w:p>
        </w:tc>
        <w:tc>
          <w:tcPr>
            <w:tcW w:w="1080" w:type="dxa"/>
            <w:tcBorders>
              <w:top w:val="nil"/>
              <w:left w:val="nil"/>
              <w:bottom w:val="nil"/>
              <w:right w:val="nil"/>
            </w:tcBorders>
            <w:shd w:val="clear" w:color="000000" w:fill="C0C0C0"/>
            <w:noWrap/>
            <w:vAlign w:val="center"/>
            <w:hideMark/>
          </w:tcPr>
          <w:p w14:paraId="5F9260EA"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1104" w:type="dxa"/>
            <w:tcBorders>
              <w:top w:val="nil"/>
              <w:left w:val="single" w:sz="4" w:space="0" w:color="auto"/>
              <w:bottom w:val="nil"/>
              <w:right w:val="single" w:sz="8" w:space="0" w:color="auto"/>
            </w:tcBorders>
            <w:shd w:val="clear" w:color="000000" w:fill="FFFFFF"/>
            <w:noWrap/>
            <w:vAlign w:val="bottom"/>
            <w:hideMark/>
          </w:tcPr>
          <w:p w14:paraId="0D9CC8A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2 154 450</w:t>
            </w:r>
          </w:p>
        </w:tc>
        <w:tc>
          <w:tcPr>
            <w:tcW w:w="1134" w:type="dxa"/>
            <w:tcBorders>
              <w:top w:val="nil"/>
              <w:left w:val="single" w:sz="4" w:space="0" w:color="auto"/>
              <w:bottom w:val="nil"/>
              <w:right w:val="single" w:sz="8" w:space="0" w:color="auto"/>
            </w:tcBorders>
            <w:shd w:val="clear" w:color="000000" w:fill="FFFFFF"/>
            <w:noWrap/>
            <w:vAlign w:val="bottom"/>
            <w:hideMark/>
          </w:tcPr>
          <w:p w14:paraId="52CB5C4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E9F076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1 795 375</w:t>
            </w:r>
          </w:p>
        </w:tc>
        <w:tc>
          <w:tcPr>
            <w:tcW w:w="993" w:type="dxa"/>
            <w:tcBorders>
              <w:top w:val="nil"/>
              <w:left w:val="single" w:sz="4" w:space="0" w:color="auto"/>
              <w:bottom w:val="nil"/>
              <w:right w:val="single" w:sz="8" w:space="0" w:color="auto"/>
            </w:tcBorders>
            <w:shd w:val="clear" w:color="000000" w:fill="FFFFFF"/>
            <w:noWrap/>
            <w:vAlign w:val="bottom"/>
            <w:hideMark/>
          </w:tcPr>
          <w:p w14:paraId="15ECA3F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25AD32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1 077 225</w:t>
            </w:r>
          </w:p>
        </w:tc>
        <w:tc>
          <w:tcPr>
            <w:tcW w:w="993" w:type="dxa"/>
            <w:tcBorders>
              <w:top w:val="nil"/>
              <w:left w:val="single" w:sz="4" w:space="0" w:color="auto"/>
              <w:bottom w:val="nil"/>
              <w:right w:val="single" w:sz="8" w:space="0" w:color="auto"/>
            </w:tcBorders>
            <w:shd w:val="clear" w:color="000000" w:fill="FFFFFF"/>
            <w:noWrap/>
            <w:vAlign w:val="bottom"/>
            <w:hideMark/>
          </w:tcPr>
          <w:p w14:paraId="6163879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25662F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5 027 050</w:t>
            </w:r>
          </w:p>
        </w:tc>
        <w:tc>
          <w:tcPr>
            <w:tcW w:w="1134" w:type="dxa"/>
            <w:tcBorders>
              <w:top w:val="nil"/>
              <w:left w:val="single" w:sz="4" w:space="0" w:color="auto"/>
              <w:bottom w:val="nil"/>
              <w:right w:val="single" w:sz="8" w:space="0" w:color="auto"/>
            </w:tcBorders>
            <w:shd w:val="clear" w:color="000000" w:fill="FFFFFF"/>
            <w:noWrap/>
            <w:vAlign w:val="bottom"/>
            <w:hideMark/>
          </w:tcPr>
          <w:p w14:paraId="071F317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2B866C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5 027 050</w:t>
            </w:r>
          </w:p>
        </w:tc>
      </w:tr>
      <w:tr w:rsidR="00A50E06" w:rsidRPr="00A50E06" w14:paraId="0B42D932"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58563A9"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SLOVENIEN</w:t>
            </w:r>
          </w:p>
        </w:tc>
        <w:tc>
          <w:tcPr>
            <w:tcW w:w="1080" w:type="dxa"/>
            <w:tcBorders>
              <w:top w:val="nil"/>
              <w:left w:val="nil"/>
              <w:bottom w:val="nil"/>
              <w:right w:val="nil"/>
            </w:tcBorders>
            <w:shd w:val="clear" w:color="000000" w:fill="C0C0C0"/>
            <w:noWrap/>
            <w:vAlign w:val="center"/>
            <w:hideMark/>
          </w:tcPr>
          <w:p w14:paraId="494D3983"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1104" w:type="dxa"/>
            <w:tcBorders>
              <w:top w:val="nil"/>
              <w:left w:val="single" w:sz="4" w:space="0" w:color="auto"/>
              <w:bottom w:val="nil"/>
              <w:right w:val="single" w:sz="8" w:space="0" w:color="auto"/>
            </w:tcBorders>
            <w:shd w:val="clear" w:color="000000" w:fill="FFFFFF"/>
            <w:noWrap/>
            <w:vAlign w:val="bottom"/>
            <w:hideMark/>
          </w:tcPr>
          <w:p w14:paraId="32A43EB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673 560</w:t>
            </w:r>
          </w:p>
        </w:tc>
        <w:tc>
          <w:tcPr>
            <w:tcW w:w="1134" w:type="dxa"/>
            <w:tcBorders>
              <w:top w:val="nil"/>
              <w:left w:val="single" w:sz="4" w:space="0" w:color="auto"/>
              <w:bottom w:val="nil"/>
              <w:right w:val="single" w:sz="8" w:space="0" w:color="auto"/>
            </w:tcBorders>
            <w:shd w:val="clear" w:color="000000" w:fill="FFFFFF"/>
            <w:noWrap/>
            <w:vAlign w:val="bottom"/>
            <w:hideMark/>
          </w:tcPr>
          <w:p w14:paraId="6207C4E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F1ACA5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561 300</w:t>
            </w:r>
          </w:p>
        </w:tc>
        <w:tc>
          <w:tcPr>
            <w:tcW w:w="993" w:type="dxa"/>
            <w:tcBorders>
              <w:top w:val="nil"/>
              <w:left w:val="single" w:sz="4" w:space="0" w:color="auto"/>
              <w:bottom w:val="nil"/>
              <w:right w:val="single" w:sz="8" w:space="0" w:color="auto"/>
            </w:tcBorders>
            <w:shd w:val="clear" w:color="000000" w:fill="FFFFFF"/>
            <w:noWrap/>
            <w:vAlign w:val="bottom"/>
            <w:hideMark/>
          </w:tcPr>
          <w:p w14:paraId="21D1F47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E9CC9F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336 780</w:t>
            </w:r>
          </w:p>
        </w:tc>
        <w:tc>
          <w:tcPr>
            <w:tcW w:w="993" w:type="dxa"/>
            <w:tcBorders>
              <w:top w:val="nil"/>
              <w:left w:val="single" w:sz="4" w:space="0" w:color="auto"/>
              <w:bottom w:val="nil"/>
              <w:right w:val="single" w:sz="8" w:space="0" w:color="auto"/>
            </w:tcBorders>
            <w:shd w:val="clear" w:color="000000" w:fill="FFFFFF"/>
            <w:noWrap/>
            <w:vAlign w:val="bottom"/>
            <w:hideMark/>
          </w:tcPr>
          <w:p w14:paraId="2FFD7DF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2AD6807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1 571 640</w:t>
            </w:r>
          </w:p>
        </w:tc>
        <w:tc>
          <w:tcPr>
            <w:tcW w:w="1134" w:type="dxa"/>
            <w:tcBorders>
              <w:top w:val="nil"/>
              <w:left w:val="single" w:sz="4" w:space="0" w:color="auto"/>
              <w:bottom w:val="nil"/>
              <w:right w:val="single" w:sz="8" w:space="0" w:color="auto"/>
            </w:tcBorders>
            <w:shd w:val="clear" w:color="000000" w:fill="FFFFFF"/>
            <w:noWrap/>
            <w:vAlign w:val="bottom"/>
            <w:hideMark/>
          </w:tcPr>
          <w:p w14:paraId="020C1CB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5B77CF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1 571 640</w:t>
            </w:r>
          </w:p>
        </w:tc>
      </w:tr>
      <w:tr w:rsidR="00A50E06" w:rsidRPr="00A50E06" w14:paraId="63022D78"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E931122"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SLOVAKIET</w:t>
            </w:r>
          </w:p>
        </w:tc>
        <w:tc>
          <w:tcPr>
            <w:tcW w:w="1080" w:type="dxa"/>
            <w:tcBorders>
              <w:top w:val="nil"/>
              <w:left w:val="nil"/>
              <w:bottom w:val="nil"/>
              <w:right w:val="nil"/>
            </w:tcBorders>
            <w:shd w:val="clear" w:color="000000" w:fill="C0C0C0"/>
            <w:noWrap/>
            <w:vAlign w:val="center"/>
            <w:hideMark/>
          </w:tcPr>
          <w:p w14:paraId="0B050126"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1104" w:type="dxa"/>
            <w:tcBorders>
              <w:top w:val="nil"/>
              <w:left w:val="single" w:sz="4" w:space="0" w:color="auto"/>
              <w:bottom w:val="nil"/>
              <w:right w:val="single" w:sz="8" w:space="0" w:color="auto"/>
            </w:tcBorders>
            <w:shd w:val="clear" w:color="000000" w:fill="FFFFFF"/>
            <w:noWrap/>
            <w:vAlign w:val="bottom"/>
            <w:hideMark/>
          </w:tcPr>
          <w:p w14:paraId="5A09C05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1 128 480</w:t>
            </w:r>
          </w:p>
        </w:tc>
        <w:tc>
          <w:tcPr>
            <w:tcW w:w="1134" w:type="dxa"/>
            <w:tcBorders>
              <w:top w:val="nil"/>
              <w:left w:val="single" w:sz="4" w:space="0" w:color="auto"/>
              <w:bottom w:val="nil"/>
              <w:right w:val="single" w:sz="8" w:space="0" w:color="auto"/>
            </w:tcBorders>
            <w:shd w:val="clear" w:color="000000" w:fill="FFFFFF"/>
            <w:noWrap/>
            <w:vAlign w:val="bottom"/>
            <w:hideMark/>
          </w:tcPr>
          <w:p w14:paraId="4324593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47E7E3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940 400</w:t>
            </w:r>
          </w:p>
        </w:tc>
        <w:tc>
          <w:tcPr>
            <w:tcW w:w="993" w:type="dxa"/>
            <w:tcBorders>
              <w:top w:val="nil"/>
              <w:left w:val="single" w:sz="4" w:space="0" w:color="auto"/>
              <w:bottom w:val="nil"/>
              <w:right w:val="single" w:sz="8" w:space="0" w:color="auto"/>
            </w:tcBorders>
            <w:shd w:val="clear" w:color="000000" w:fill="FFFFFF"/>
            <w:noWrap/>
            <w:vAlign w:val="bottom"/>
            <w:hideMark/>
          </w:tcPr>
          <w:p w14:paraId="63BE21B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02103E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564 240</w:t>
            </w:r>
          </w:p>
        </w:tc>
        <w:tc>
          <w:tcPr>
            <w:tcW w:w="993" w:type="dxa"/>
            <w:tcBorders>
              <w:top w:val="nil"/>
              <w:left w:val="single" w:sz="4" w:space="0" w:color="auto"/>
              <w:bottom w:val="nil"/>
              <w:right w:val="single" w:sz="8" w:space="0" w:color="auto"/>
            </w:tcBorders>
            <w:shd w:val="clear" w:color="000000" w:fill="FFFFFF"/>
            <w:noWrap/>
            <w:vAlign w:val="bottom"/>
            <w:hideMark/>
          </w:tcPr>
          <w:p w14:paraId="5D9EE61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3EDFD4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2 633 120</w:t>
            </w:r>
          </w:p>
        </w:tc>
        <w:tc>
          <w:tcPr>
            <w:tcW w:w="1134" w:type="dxa"/>
            <w:tcBorders>
              <w:top w:val="nil"/>
              <w:left w:val="single" w:sz="4" w:space="0" w:color="auto"/>
              <w:bottom w:val="nil"/>
              <w:right w:val="single" w:sz="8" w:space="0" w:color="auto"/>
            </w:tcBorders>
            <w:shd w:val="clear" w:color="000000" w:fill="FFFFFF"/>
            <w:noWrap/>
            <w:vAlign w:val="bottom"/>
            <w:hideMark/>
          </w:tcPr>
          <w:p w14:paraId="4C19C55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13B35CF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2 633 120</w:t>
            </w:r>
          </w:p>
        </w:tc>
      </w:tr>
      <w:tr w:rsidR="00A50E06" w:rsidRPr="00A50E06" w14:paraId="5928E134"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5974835"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FINLAND</w:t>
            </w:r>
          </w:p>
        </w:tc>
        <w:tc>
          <w:tcPr>
            <w:tcW w:w="1080" w:type="dxa"/>
            <w:tcBorders>
              <w:top w:val="nil"/>
              <w:left w:val="nil"/>
              <w:bottom w:val="nil"/>
              <w:right w:val="nil"/>
            </w:tcBorders>
            <w:shd w:val="clear" w:color="000000" w:fill="C0C0C0"/>
            <w:noWrap/>
            <w:vAlign w:val="center"/>
            <w:hideMark/>
          </w:tcPr>
          <w:p w14:paraId="77B9FD81"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1104" w:type="dxa"/>
            <w:tcBorders>
              <w:top w:val="nil"/>
              <w:left w:val="single" w:sz="4" w:space="0" w:color="auto"/>
              <w:bottom w:val="nil"/>
              <w:right w:val="single" w:sz="8" w:space="0" w:color="auto"/>
            </w:tcBorders>
            <w:shd w:val="clear" w:color="000000" w:fill="FFFFFF"/>
            <w:noWrap/>
            <w:vAlign w:val="bottom"/>
            <w:hideMark/>
          </w:tcPr>
          <w:p w14:paraId="353F3F6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4 527 270</w:t>
            </w:r>
          </w:p>
        </w:tc>
        <w:tc>
          <w:tcPr>
            <w:tcW w:w="1134" w:type="dxa"/>
            <w:tcBorders>
              <w:top w:val="nil"/>
              <w:left w:val="single" w:sz="4" w:space="0" w:color="auto"/>
              <w:bottom w:val="nil"/>
              <w:right w:val="single" w:sz="8" w:space="0" w:color="auto"/>
            </w:tcBorders>
            <w:shd w:val="clear" w:color="000000" w:fill="FFFFFF"/>
            <w:noWrap/>
            <w:vAlign w:val="bottom"/>
            <w:hideMark/>
          </w:tcPr>
          <w:p w14:paraId="5670A19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39F4272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3 772 725</w:t>
            </w:r>
          </w:p>
        </w:tc>
        <w:tc>
          <w:tcPr>
            <w:tcW w:w="993" w:type="dxa"/>
            <w:tcBorders>
              <w:top w:val="nil"/>
              <w:left w:val="single" w:sz="4" w:space="0" w:color="auto"/>
              <w:bottom w:val="nil"/>
              <w:right w:val="single" w:sz="8" w:space="0" w:color="auto"/>
            </w:tcBorders>
            <w:shd w:val="clear" w:color="000000" w:fill="FFFFFF"/>
            <w:noWrap/>
            <w:vAlign w:val="bottom"/>
            <w:hideMark/>
          </w:tcPr>
          <w:p w14:paraId="668DC77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82A466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2 263 635</w:t>
            </w:r>
          </w:p>
        </w:tc>
        <w:tc>
          <w:tcPr>
            <w:tcW w:w="993" w:type="dxa"/>
            <w:tcBorders>
              <w:top w:val="nil"/>
              <w:left w:val="single" w:sz="4" w:space="0" w:color="auto"/>
              <w:bottom w:val="nil"/>
              <w:right w:val="single" w:sz="8" w:space="0" w:color="auto"/>
            </w:tcBorders>
            <w:shd w:val="clear" w:color="000000" w:fill="FFFFFF"/>
            <w:noWrap/>
            <w:vAlign w:val="bottom"/>
            <w:hideMark/>
          </w:tcPr>
          <w:p w14:paraId="38DC726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C1EAD9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10 563 630</w:t>
            </w:r>
          </w:p>
        </w:tc>
        <w:tc>
          <w:tcPr>
            <w:tcW w:w="1134" w:type="dxa"/>
            <w:tcBorders>
              <w:top w:val="nil"/>
              <w:left w:val="single" w:sz="4" w:space="0" w:color="auto"/>
              <w:bottom w:val="nil"/>
              <w:right w:val="single" w:sz="8" w:space="0" w:color="auto"/>
            </w:tcBorders>
            <w:shd w:val="clear" w:color="000000" w:fill="FFFFFF"/>
            <w:noWrap/>
            <w:vAlign w:val="bottom"/>
            <w:hideMark/>
          </w:tcPr>
          <w:p w14:paraId="3FF66C9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BAFFA7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10 563 630</w:t>
            </w:r>
          </w:p>
        </w:tc>
      </w:tr>
      <w:tr w:rsidR="00A50E06" w:rsidRPr="00A50E06" w14:paraId="562475BA"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0545B70"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SVERIGE</w:t>
            </w:r>
          </w:p>
        </w:tc>
        <w:tc>
          <w:tcPr>
            <w:tcW w:w="1080" w:type="dxa"/>
            <w:tcBorders>
              <w:top w:val="nil"/>
              <w:left w:val="nil"/>
              <w:bottom w:val="nil"/>
              <w:right w:val="nil"/>
            </w:tcBorders>
            <w:shd w:val="clear" w:color="000000" w:fill="C0C0C0"/>
            <w:noWrap/>
            <w:vAlign w:val="center"/>
            <w:hideMark/>
          </w:tcPr>
          <w:p w14:paraId="0F449F79"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1104" w:type="dxa"/>
            <w:tcBorders>
              <w:top w:val="nil"/>
              <w:left w:val="single" w:sz="4" w:space="0" w:color="auto"/>
              <w:bottom w:val="nil"/>
              <w:right w:val="single" w:sz="8" w:space="0" w:color="auto"/>
            </w:tcBorders>
            <w:shd w:val="clear" w:color="000000" w:fill="FFFFFF"/>
            <w:noWrap/>
            <w:vAlign w:val="bottom"/>
            <w:hideMark/>
          </w:tcPr>
          <w:p w14:paraId="56A698E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8 817 330</w:t>
            </w:r>
          </w:p>
        </w:tc>
        <w:tc>
          <w:tcPr>
            <w:tcW w:w="1134" w:type="dxa"/>
            <w:tcBorders>
              <w:top w:val="nil"/>
              <w:left w:val="single" w:sz="4" w:space="0" w:color="auto"/>
              <w:bottom w:val="nil"/>
              <w:right w:val="single" w:sz="8" w:space="0" w:color="auto"/>
            </w:tcBorders>
            <w:shd w:val="clear" w:color="000000" w:fill="FFFFFF"/>
            <w:noWrap/>
            <w:vAlign w:val="bottom"/>
            <w:hideMark/>
          </w:tcPr>
          <w:p w14:paraId="5043EB3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8A3AA5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7 347 775</w:t>
            </w:r>
          </w:p>
        </w:tc>
        <w:tc>
          <w:tcPr>
            <w:tcW w:w="993" w:type="dxa"/>
            <w:tcBorders>
              <w:top w:val="nil"/>
              <w:left w:val="single" w:sz="4" w:space="0" w:color="auto"/>
              <w:bottom w:val="nil"/>
              <w:right w:val="single" w:sz="8" w:space="0" w:color="auto"/>
            </w:tcBorders>
            <w:shd w:val="clear" w:color="000000" w:fill="FFFFFF"/>
            <w:noWrap/>
            <w:vAlign w:val="bottom"/>
            <w:hideMark/>
          </w:tcPr>
          <w:p w14:paraId="19CBCEF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AD0768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4 408 665</w:t>
            </w:r>
          </w:p>
        </w:tc>
        <w:tc>
          <w:tcPr>
            <w:tcW w:w="993" w:type="dxa"/>
            <w:tcBorders>
              <w:top w:val="nil"/>
              <w:left w:val="single" w:sz="4" w:space="0" w:color="auto"/>
              <w:bottom w:val="nil"/>
              <w:right w:val="single" w:sz="8" w:space="0" w:color="auto"/>
            </w:tcBorders>
            <w:shd w:val="clear" w:color="000000" w:fill="FFFFFF"/>
            <w:noWrap/>
            <w:vAlign w:val="bottom"/>
            <w:hideMark/>
          </w:tcPr>
          <w:p w14:paraId="6A60293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6199C0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20 573 770</w:t>
            </w:r>
          </w:p>
        </w:tc>
        <w:tc>
          <w:tcPr>
            <w:tcW w:w="1134" w:type="dxa"/>
            <w:tcBorders>
              <w:top w:val="nil"/>
              <w:left w:val="single" w:sz="4" w:space="0" w:color="auto"/>
              <w:bottom w:val="nil"/>
              <w:right w:val="single" w:sz="8" w:space="0" w:color="auto"/>
            </w:tcBorders>
            <w:shd w:val="clear" w:color="000000" w:fill="FFFFFF"/>
            <w:noWrap/>
            <w:vAlign w:val="bottom"/>
            <w:hideMark/>
          </w:tcPr>
          <w:p w14:paraId="1F82FD0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F32AD0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20 573 770</w:t>
            </w:r>
          </w:p>
        </w:tc>
      </w:tr>
      <w:tr w:rsidR="00A50E06" w:rsidRPr="00A50E06" w14:paraId="3FD2E75C"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FC54366"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DET FORENEDE KONGERIGE</w:t>
            </w:r>
          </w:p>
        </w:tc>
        <w:tc>
          <w:tcPr>
            <w:tcW w:w="1080" w:type="dxa"/>
            <w:tcBorders>
              <w:top w:val="nil"/>
              <w:left w:val="nil"/>
              <w:bottom w:val="nil"/>
              <w:right w:val="nil"/>
            </w:tcBorders>
            <w:shd w:val="clear" w:color="000000" w:fill="C0C0C0"/>
            <w:noWrap/>
            <w:vAlign w:val="center"/>
            <w:hideMark/>
          </w:tcPr>
          <w:p w14:paraId="5DB7904C"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1104" w:type="dxa"/>
            <w:tcBorders>
              <w:top w:val="nil"/>
              <w:left w:val="single" w:sz="4" w:space="0" w:color="auto"/>
              <w:bottom w:val="nil"/>
              <w:right w:val="single" w:sz="8" w:space="0" w:color="auto"/>
            </w:tcBorders>
            <w:shd w:val="clear" w:color="000000" w:fill="FFFFFF"/>
            <w:noWrap/>
            <w:vAlign w:val="bottom"/>
            <w:hideMark/>
          </w:tcPr>
          <w:p w14:paraId="6627913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44 035 860</w:t>
            </w:r>
          </w:p>
        </w:tc>
        <w:tc>
          <w:tcPr>
            <w:tcW w:w="1134" w:type="dxa"/>
            <w:tcBorders>
              <w:top w:val="nil"/>
              <w:left w:val="single" w:sz="4" w:space="0" w:color="auto"/>
              <w:bottom w:val="nil"/>
              <w:right w:val="single" w:sz="8" w:space="0" w:color="auto"/>
            </w:tcBorders>
            <w:shd w:val="clear" w:color="000000" w:fill="FFFFFF"/>
            <w:noWrap/>
            <w:vAlign w:val="bottom"/>
            <w:hideMark/>
          </w:tcPr>
          <w:p w14:paraId="16F9FFF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FDE31B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36 696 550</w:t>
            </w:r>
          </w:p>
        </w:tc>
        <w:tc>
          <w:tcPr>
            <w:tcW w:w="993" w:type="dxa"/>
            <w:tcBorders>
              <w:top w:val="nil"/>
              <w:left w:val="single" w:sz="4" w:space="0" w:color="auto"/>
              <w:bottom w:val="nil"/>
              <w:right w:val="single" w:sz="8" w:space="0" w:color="auto"/>
            </w:tcBorders>
            <w:shd w:val="clear" w:color="000000" w:fill="FFFFFF"/>
            <w:noWrap/>
            <w:vAlign w:val="bottom"/>
            <w:hideMark/>
          </w:tcPr>
          <w:p w14:paraId="5A2580F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BD21F0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22 017 930</w:t>
            </w:r>
          </w:p>
        </w:tc>
        <w:tc>
          <w:tcPr>
            <w:tcW w:w="993" w:type="dxa"/>
            <w:tcBorders>
              <w:top w:val="nil"/>
              <w:left w:val="single" w:sz="4" w:space="0" w:color="auto"/>
              <w:bottom w:val="nil"/>
              <w:right w:val="single" w:sz="8" w:space="0" w:color="auto"/>
            </w:tcBorders>
            <w:shd w:val="clear" w:color="000000" w:fill="FFFFFF"/>
            <w:noWrap/>
            <w:vAlign w:val="bottom"/>
            <w:hideMark/>
          </w:tcPr>
          <w:p w14:paraId="76FD6DC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369D03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102 750 340</w:t>
            </w:r>
          </w:p>
        </w:tc>
        <w:tc>
          <w:tcPr>
            <w:tcW w:w="1134" w:type="dxa"/>
            <w:tcBorders>
              <w:top w:val="nil"/>
              <w:left w:val="single" w:sz="4" w:space="0" w:color="auto"/>
              <w:bottom w:val="nil"/>
              <w:right w:val="single" w:sz="8" w:space="0" w:color="auto"/>
            </w:tcBorders>
            <w:shd w:val="clear" w:color="000000" w:fill="FFFFFF"/>
            <w:noWrap/>
            <w:vAlign w:val="bottom"/>
            <w:hideMark/>
          </w:tcPr>
          <w:p w14:paraId="3D650B1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866839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102 750 340</w:t>
            </w:r>
          </w:p>
        </w:tc>
      </w:tr>
      <w:tr w:rsidR="00A50E06" w:rsidRPr="00A50E06" w14:paraId="0012B80E" w14:textId="77777777" w:rsidTr="00A50E06">
        <w:trPr>
          <w:trHeight w:val="282"/>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029468" w14:textId="77777777" w:rsidR="00A50E06" w:rsidRPr="00A50E06" w:rsidRDefault="00A50E06" w:rsidP="00A50E06">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OG DET FORENEDE KONGERIGE I ALT</w:t>
            </w:r>
          </w:p>
        </w:tc>
        <w:tc>
          <w:tcPr>
            <w:tcW w:w="1080" w:type="dxa"/>
            <w:tcBorders>
              <w:top w:val="single" w:sz="4" w:space="0" w:color="auto"/>
              <w:left w:val="nil"/>
              <w:bottom w:val="single" w:sz="4" w:space="0" w:color="auto"/>
              <w:right w:val="nil"/>
            </w:tcBorders>
            <w:shd w:val="clear" w:color="000000" w:fill="BFBFBF"/>
            <w:noWrap/>
            <w:vAlign w:val="center"/>
            <w:hideMark/>
          </w:tcPr>
          <w:p w14:paraId="13042769" w14:textId="77777777" w:rsidR="00A50E06" w:rsidRPr="00A50E06" w:rsidRDefault="00A50E06" w:rsidP="00A50E06">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10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2168A184"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300 000 000</w:t>
            </w:r>
          </w:p>
        </w:tc>
        <w:tc>
          <w:tcPr>
            <w:tcW w:w="113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6090B89"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13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640C64A7"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250 000 000</w:t>
            </w:r>
          </w:p>
        </w:tc>
        <w:tc>
          <w:tcPr>
            <w:tcW w:w="993"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A7E4B5C"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6A1DE974"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150 000 000</w:t>
            </w:r>
          </w:p>
        </w:tc>
        <w:tc>
          <w:tcPr>
            <w:tcW w:w="993"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1891E999"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30BB5FFC"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700 000 000</w:t>
            </w:r>
          </w:p>
        </w:tc>
        <w:tc>
          <w:tcPr>
            <w:tcW w:w="113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1F5E1260"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F3BFD1"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700 000 000</w:t>
            </w:r>
          </w:p>
        </w:tc>
      </w:tr>
    </w:tbl>
    <w:p w14:paraId="6BA5D2AD" w14:textId="68303B92" w:rsidR="00501918" w:rsidRDefault="00501918" w:rsidP="00501918">
      <w:pPr>
        <w:pStyle w:val="Text1"/>
        <w:ind w:left="0"/>
        <w:rPr>
          <w:noProof/>
          <w:sz w:val="16"/>
          <w:szCs w:val="16"/>
        </w:rPr>
      </w:pPr>
      <w:r>
        <w:rPr>
          <w:noProof/>
          <w:sz w:val="16"/>
        </w:rPr>
        <w:t>* De bidragsbeløb, der er anført i tabellen, omfatter ikke tilbagebetalingen af frigjorte midler fra 9. EUF til medlemsstaterne og Det Forenede Kongerige, og heller ikke tilbagebetalingen af frigjorte midler fra 10. og 11. EUF til Det Forenede Kongerige.</w:t>
      </w:r>
    </w:p>
    <w:p w14:paraId="539021D8" w14:textId="51636C98" w:rsidR="00981864" w:rsidRDefault="00981864" w:rsidP="00981864">
      <w:pPr>
        <w:pStyle w:val="Text1"/>
        <w:ind w:left="0"/>
        <w:rPr>
          <w:noProof/>
        </w:rPr>
      </w:pPr>
      <w:r>
        <w:rPr>
          <w:noProof/>
          <w:sz w:val="16"/>
        </w:rPr>
        <w:t>** Ifølge de aktuelle prognoser vil EIB have indkaldt hele sin andel af 11. EUF ved udgangen af 2025.</w:t>
      </w:r>
    </w:p>
    <w:p w14:paraId="52B53D1E" w14:textId="63193FEC" w:rsidR="00981864" w:rsidRPr="00501918" w:rsidRDefault="00981864" w:rsidP="00501918">
      <w:pPr>
        <w:pStyle w:val="Text1"/>
        <w:ind w:left="0"/>
        <w:rPr>
          <w:noProof/>
          <w:sz w:val="16"/>
          <w:szCs w:val="16"/>
        </w:rPr>
        <w:sectPr w:rsidR="00981864" w:rsidRPr="00501918" w:rsidSect="00E26949">
          <w:headerReference w:type="even" r:id="rId40"/>
          <w:headerReference w:type="default" r:id="rId41"/>
          <w:footerReference w:type="even" r:id="rId42"/>
          <w:footerReference w:type="default" r:id="rId43"/>
          <w:headerReference w:type="first" r:id="rId44"/>
          <w:footerReference w:type="first" r:id="rId45"/>
          <w:pgSz w:w="16838" w:h="11906" w:orient="landscape"/>
          <w:pgMar w:top="1440" w:right="1440" w:bottom="1440" w:left="1440" w:header="709" w:footer="709" w:gutter="0"/>
          <w:cols w:space="720"/>
          <w:docGrid w:linePitch="360"/>
        </w:sectPr>
      </w:pPr>
    </w:p>
    <w:p w14:paraId="3E9A2014" w14:textId="5FA05039" w:rsidR="004B683B" w:rsidRPr="004B683B" w:rsidRDefault="00C57A0B" w:rsidP="004B683B">
      <w:pPr>
        <w:pStyle w:val="Heading2"/>
        <w:spacing w:after="0"/>
        <w:rPr>
          <w:noProof/>
        </w:rPr>
      </w:pPr>
      <w:r>
        <w:rPr>
          <w:noProof/>
        </w:rPr>
        <w:t>Tillæg 6: Medlemsstaternes og Det Forenede Kongeriges bidrag for 2025-2028 (EUR)*</w:t>
      </w:r>
    </w:p>
    <w:tbl>
      <w:tblPr>
        <w:tblW w:w="13040" w:type="dxa"/>
        <w:tblLook w:val="04A0" w:firstRow="1" w:lastRow="0" w:firstColumn="1" w:lastColumn="0" w:noHBand="0" w:noVBand="1"/>
      </w:tblPr>
      <w:tblGrid>
        <w:gridCol w:w="2120"/>
        <w:gridCol w:w="741"/>
        <w:gridCol w:w="1436"/>
        <w:gridCol w:w="1124"/>
        <w:gridCol w:w="1459"/>
        <w:gridCol w:w="1141"/>
        <w:gridCol w:w="1493"/>
        <w:gridCol w:w="1167"/>
        <w:gridCol w:w="1347"/>
        <w:gridCol w:w="1053"/>
      </w:tblGrid>
      <w:tr w:rsidR="00352C3E" w:rsidRPr="00352C3E" w14:paraId="5C1D7BCA" w14:textId="77777777" w:rsidTr="00352C3E">
        <w:trPr>
          <w:trHeight w:val="252"/>
        </w:trPr>
        <w:tc>
          <w:tcPr>
            <w:tcW w:w="21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BBC19BD"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MEDLEMSSTATERNE OG DET FORENEDE KONGERIGE</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A3436DD"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Nøgle for 11. EUF (%)</w:t>
            </w:r>
          </w:p>
        </w:tc>
        <w:tc>
          <w:tcPr>
            <w:tcW w:w="256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0296F89"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2025</w:t>
            </w:r>
          </w:p>
        </w:tc>
        <w:tc>
          <w:tcPr>
            <w:tcW w:w="26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0A8BDE7"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2026</w:t>
            </w:r>
          </w:p>
        </w:tc>
        <w:tc>
          <w:tcPr>
            <w:tcW w:w="266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48A064E"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2027</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E20D1CD"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2028</w:t>
            </w:r>
          </w:p>
        </w:tc>
      </w:tr>
      <w:tr w:rsidR="00352C3E" w:rsidRPr="00352C3E" w14:paraId="353497CD" w14:textId="77777777" w:rsidTr="00352C3E">
        <w:trPr>
          <w:trHeight w:val="252"/>
        </w:trPr>
        <w:tc>
          <w:tcPr>
            <w:tcW w:w="2120" w:type="dxa"/>
            <w:vMerge/>
            <w:tcBorders>
              <w:top w:val="single" w:sz="8" w:space="0" w:color="auto"/>
              <w:left w:val="single" w:sz="8" w:space="0" w:color="auto"/>
              <w:bottom w:val="single" w:sz="8" w:space="0" w:color="000000"/>
              <w:right w:val="single" w:sz="8" w:space="0" w:color="auto"/>
            </w:tcBorders>
            <w:vAlign w:val="center"/>
            <w:hideMark/>
          </w:tcPr>
          <w:p w14:paraId="7222D7CF" w14:textId="77777777" w:rsidR="00352C3E" w:rsidRPr="00352C3E" w:rsidRDefault="00352C3E" w:rsidP="00352C3E">
            <w:pPr>
              <w:spacing w:after="0" w:line="240" w:lineRule="auto"/>
              <w:rPr>
                <w:rFonts w:ascii="Times New Roman" w:eastAsia="Times New Roman" w:hAnsi="Times New Roman" w:cs="Times New Roman"/>
                <w:b/>
                <w:bCs/>
                <w:noProof/>
                <w:sz w:val="16"/>
                <w:szCs w:val="16"/>
                <w:lang w:val="en-IE" w:eastAsia="en-I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3DBE21D3" w14:textId="77777777" w:rsidR="00352C3E" w:rsidRPr="00352C3E" w:rsidRDefault="00352C3E" w:rsidP="00352C3E">
            <w:pPr>
              <w:spacing w:after="0" w:line="240" w:lineRule="auto"/>
              <w:rPr>
                <w:rFonts w:ascii="Times New Roman" w:eastAsia="Times New Roman" w:hAnsi="Times New Roman" w:cs="Times New Roman"/>
                <w:b/>
                <w:bCs/>
                <w:noProof/>
                <w:sz w:val="16"/>
                <w:szCs w:val="16"/>
                <w:lang w:val="en-IE" w:eastAsia="en-IE"/>
              </w:rPr>
            </w:pPr>
          </w:p>
        </w:tc>
        <w:tc>
          <w:tcPr>
            <w:tcW w:w="1436" w:type="dxa"/>
            <w:tcBorders>
              <w:top w:val="nil"/>
              <w:left w:val="nil"/>
              <w:bottom w:val="nil"/>
              <w:right w:val="single" w:sz="4" w:space="0" w:color="auto"/>
            </w:tcBorders>
            <w:shd w:val="clear" w:color="000000" w:fill="FFFFFF"/>
            <w:noWrap/>
            <w:vAlign w:val="bottom"/>
            <w:hideMark/>
          </w:tcPr>
          <w:p w14:paraId="42247EC8"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24" w:type="dxa"/>
            <w:tcBorders>
              <w:top w:val="nil"/>
              <w:left w:val="nil"/>
              <w:bottom w:val="nil"/>
              <w:right w:val="nil"/>
            </w:tcBorders>
            <w:shd w:val="clear" w:color="000000" w:fill="FFFFFF"/>
            <w:noWrap/>
            <w:vAlign w:val="bottom"/>
            <w:hideMark/>
          </w:tcPr>
          <w:p w14:paraId="0D20A46A"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459" w:type="dxa"/>
            <w:tcBorders>
              <w:top w:val="nil"/>
              <w:left w:val="single" w:sz="8" w:space="0" w:color="auto"/>
              <w:bottom w:val="nil"/>
              <w:right w:val="single" w:sz="4" w:space="0" w:color="auto"/>
            </w:tcBorders>
            <w:shd w:val="clear" w:color="000000" w:fill="FFFFFF"/>
            <w:noWrap/>
            <w:vAlign w:val="bottom"/>
            <w:hideMark/>
          </w:tcPr>
          <w:p w14:paraId="38501D3F"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41" w:type="dxa"/>
            <w:tcBorders>
              <w:top w:val="nil"/>
              <w:left w:val="nil"/>
              <w:bottom w:val="nil"/>
              <w:right w:val="single" w:sz="8" w:space="0" w:color="auto"/>
            </w:tcBorders>
            <w:shd w:val="clear" w:color="000000" w:fill="FFFFFF"/>
            <w:noWrap/>
            <w:vAlign w:val="bottom"/>
            <w:hideMark/>
          </w:tcPr>
          <w:p w14:paraId="747ED034"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493" w:type="dxa"/>
            <w:tcBorders>
              <w:top w:val="nil"/>
              <w:left w:val="nil"/>
              <w:bottom w:val="nil"/>
              <w:right w:val="single" w:sz="4" w:space="0" w:color="auto"/>
            </w:tcBorders>
            <w:shd w:val="clear" w:color="000000" w:fill="FFFFFF"/>
            <w:noWrap/>
            <w:vAlign w:val="bottom"/>
            <w:hideMark/>
          </w:tcPr>
          <w:p w14:paraId="40063E52"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167" w:type="dxa"/>
            <w:tcBorders>
              <w:top w:val="nil"/>
              <w:left w:val="nil"/>
              <w:bottom w:val="nil"/>
              <w:right w:val="single" w:sz="8" w:space="0" w:color="auto"/>
            </w:tcBorders>
            <w:shd w:val="clear" w:color="000000" w:fill="FFFFFF"/>
            <w:noWrap/>
            <w:vAlign w:val="bottom"/>
            <w:hideMark/>
          </w:tcPr>
          <w:p w14:paraId="4A91AB20"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c>
          <w:tcPr>
            <w:tcW w:w="1347" w:type="dxa"/>
            <w:tcBorders>
              <w:top w:val="nil"/>
              <w:left w:val="nil"/>
              <w:bottom w:val="nil"/>
              <w:right w:val="single" w:sz="4" w:space="0" w:color="auto"/>
            </w:tcBorders>
            <w:shd w:val="clear" w:color="000000" w:fill="FFFFFF"/>
            <w:noWrap/>
            <w:vAlign w:val="bottom"/>
            <w:hideMark/>
          </w:tcPr>
          <w:p w14:paraId="515ED493"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Kommissionen</w:t>
            </w:r>
          </w:p>
        </w:tc>
        <w:tc>
          <w:tcPr>
            <w:tcW w:w="1053" w:type="dxa"/>
            <w:tcBorders>
              <w:top w:val="nil"/>
              <w:left w:val="nil"/>
              <w:bottom w:val="nil"/>
              <w:right w:val="single" w:sz="8" w:space="0" w:color="auto"/>
            </w:tcBorders>
            <w:shd w:val="clear" w:color="000000" w:fill="FFFFFF"/>
            <w:noWrap/>
            <w:vAlign w:val="bottom"/>
            <w:hideMark/>
          </w:tcPr>
          <w:p w14:paraId="3E0DDF19"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EIB**</w:t>
            </w:r>
          </w:p>
        </w:tc>
      </w:tr>
      <w:tr w:rsidR="00352C3E" w:rsidRPr="00352C3E" w14:paraId="4C66E803" w14:textId="77777777" w:rsidTr="00352C3E">
        <w:trPr>
          <w:trHeight w:val="252"/>
        </w:trPr>
        <w:tc>
          <w:tcPr>
            <w:tcW w:w="2120" w:type="dxa"/>
            <w:vMerge/>
            <w:tcBorders>
              <w:top w:val="single" w:sz="8" w:space="0" w:color="auto"/>
              <w:left w:val="single" w:sz="8" w:space="0" w:color="auto"/>
              <w:bottom w:val="single" w:sz="8" w:space="0" w:color="000000"/>
              <w:right w:val="single" w:sz="8" w:space="0" w:color="auto"/>
            </w:tcBorders>
            <w:vAlign w:val="center"/>
            <w:hideMark/>
          </w:tcPr>
          <w:p w14:paraId="3DB06585" w14:textId="77777777" w:rsidR="00352C3E" w:rsidRPr="00352C3E" w:rsidRDefault="00352C3E" w:rsidP="00352C3E">
            <w:pPr>
              <w:spacing w:after="0" w:line="240" w:lineRule="auto"/>
              <w:rPr>
                <w:rFonts w:ascii="Times New Roman" w:eastAsia="Times New Roman" w:hAnsi="Times New Roman" w:cs="Times New Roman"/>
                <w:b/>
                <w:bCs/>
                <w:noProof/>
                <w:sz w:val="16"/>
                <w:szCs w:val="16"/>
                <w:lang w:val="en-IE" w:eastAsia="en-I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3333752F" w14:textId="77777777" w:rsidR="00352C3E" w:rsidRPr="00352C3E" w:rsidRDefault="00352C3E" w:rsidP="00352C3E">
            <w:pPr>
              <w:spacing w:after="0" w:line="240" w:lineRule="auto"/>
              <w:rPr>
                <w:rFonts w:ascii="Times New Roman" w:eastAsia="Times New Roman" w:hAnsi="Times New Roman" w:cs="Times New Roman"/>
                <w:b/>
                <w:bCs/>
                <w:noProof/>
                <w:sz w:val="16"/>
                <w:szCs w:val="16"/>
                <w:lang w:val="en-IE" w:eastAsia="en-IE"/>
              </w:rPr>
            </w:pPr>
          </w:p>
        </w:tc>
        <w:tc>
          <w:tcPr>
            <w:tcW w:w="1436" w:type="dxa"/>
            <w:tcBorders>
              <w:top w:val="nil"/>
              <w:left w:val="nil"/>
              <w:bottom w:val="single" w:sz="8" w:space="0" w:color="auto"/>
              <w:right w:val="single" w:sz="4" w:space="0" w:color="auto"/>
            </w:tcBorders>
            <w:shd w:val="clear" w:color="000000" w:fill="FFFFFF"/>
            <w:noWrap/>
            <w:vAlign w:val="bottom"/>
            <w:hideMark/>
          </w:tcPr>
          <w:p w14:paraId="58236C0E"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24" w:type="dxa"/>
            <w:tcBorders>
              <w:top w:val="nil"/>
              <w:left w:val="nil"/>
              <w:bottom w:val="single" w:sz="8" w:space="0" w:color="auto"/>
              <w:right w:val="nil"/>
            </w:tcBorders>
            <w:shd w:val="clear" w:color="000000" w:fill="FFFFFF"/>
            <w:noWrap/>
            <w:vAlign w:val="bottom"/>
            <w:hideMark/>
          </w:tcPr>
          <w:p w14:paraId="61F54913"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459" w:type="dxa"/>
            <w:tcBorders>
              <w:top w:val="nil"/>
              <w:left w:val="single" w:sz="8" w:space="0" w:color="auto"/>
              <w:bottom w:val="single" w:sz="8" w:space="0" w:color="auto"/>
              <w:right w:val="single" w:sz="4" w:space="0" w:color="auto"/>
            </w:tcBorders>
            <w:shd w:val="clear" w:color="000000" w:fill="FFFFFF"/>
            <w:noWrap/>
            <w:vAlign w:val="bottom"/>
            <w:hideMark/>
          </w:tcPr>
          <w:p w14:paraId="1A013EA3"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41" w:type="dxa"/>
            <w:tcBorders>
              <w:top w:val="nil"/>
              <w:left w:val="nil"/>
              <w:bottom w:val="single" w:sz="8" w:space="0" w:color="auto"/>
              <w:right w:val="single" w:sz="8" w:space="0" w:color="auto"/>
            </w:tcBorders>
            <w:shd w:val="clear" w:color="000000" w:fill="FFFFFF"/>
            <w:noWrap/>
            <w:vAlign w:val="bottom"/>
            <w:hideMark/>
          </w:tcPr>
          <w:p w14:paraId="3CCCB9CC"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493" w:type="dxa"/>
            <w:tcBorders>
              <w:top w:val="nil"/>
              <w:left w:val="nil"/>
              <w:bottom w:val="single" w:sz="8" w:space="0" w:color="auto"/>
              <w:right w:val="single" w:sz="4" w:space="0" w:color="auto"/>
            </w:tcBorders>
            <w:shd w:val="clear" w:color="000000" w:fill="FFFFFF"/>
            <w:noWrap/>
            <w:vAlign w:val="bottom"/>
            <w:hideMark/>
          </w:tcPr>
          <w:p w14:paraId="1500A4FF"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167" w:type="dxa"/>
            <w:tcBorders>
              <w:top w:val="nil"/>
              <w:left w:val="nil"/>
              <w:bottom w:val="single" w:sz="8" w:space="0" w:color="auto"/>
              <w:right w:val="single" w:sz="8" w:space="0" w:color="auto"/>
            </w:tcBorders>
            <w:shd w:val="clear" w:color="000000" w:fill="FFFFFF"/>
            <w:noWrap/>
            <w:vAlign w:val="bottom"/>
            <w:hideMark/>
          </w:tcPr>
          <w:p w14:paraId="54C694F7"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347" w:type="dxa"/>
            <w:tcBorders>
              <w:top w:val="nil"/>
              <w:left w:val="nil"/>
              <w:bottom w:val="single" w:sz="8" w:space="0" w:color="auto"/>
              <w:right w:val="single" w:sz="4" w:space="0" w:color="auto"/>
            </w:tcBorders>
            <w:shd w:val="clear" w:color="000000" w:fill="FFFFFF"/>
            <w:noWrap/>
            <w:vAlign w:val="bottom"/>
            <w:hideMark/>
          </w:tcPr>
          <w:p w14:paraId="614DA8C3"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c>
          <w:tcPr>
            <w:tcW w:w="1053" w:type="dxa"/>
            <w:tcBorders>
              <w:top w:val="nil"/>
              <w:left w:val="nil"/>
              <w:bottom w:val="single" w:sz="8" w:space="0" w:color="auto"/>
              <w:right w:val="single" w:sz="8" w:space="0" w:color="auto"/>
            </w:tcBorders>
            <w:shd w:val="clear" w:color="000000" w:fill="FFFFFF"/>
            <w:noWrap/>
            <w:vAlign w:val="bottom"/>
            <w:hideMark/>
          </w:tcPr>
          <w:p w14:paraId="7B50234B"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 EUF</w:t>
            </w:r>
          </w:p>
        </w:tc>
      </w:tr>
      <w:tr w:rsidR="00352C3E" w:rsidRPr="00352C3E" w14:paraId="3EDB0C64"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2DF86FF"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BELGIEN</w:t>
            </w:r>
          </w:p>
        </w:tc>
        <w:tc>
          <w:tcPr>
            <w:tcW w:w="700" w:type="dxa"/>
            <w:tcBorders>
              <w:top w:val="nil"/>
              <w:left w:val="nil"/>
              <w:bottom w:val="nil"/>
              <w:right w:val="single" w:sz="8" w:space="0" w:color="auto"/>
            </w:tcBorders>
            <w:shd w:val="clear" w:color="000000" w:fill="BFBFBF"/>
            <w:noWrap/>
            <w:vAlign w:val="bottom"/>
            <w:hideMark/>
          </w:tcPr>
          <w:p w14:paraId="744A982F"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3,24927</w:t>
            </w:r>
          </w:p>
        </w:tc>
        <w:tc>
          <w:tcPr>
            <w:tcW w:w="1436" w:type="dxa"/>
            <w:tcBorders>
              <w:top w:val="nil"/>
              <w:left w:val="nil"/>
              <w:bottom w:val="nil"/>
              <w:right w:val="single" w:sz="4" w:space="0" w:color="auto"/>
            </w:tcBorders>
            <w:shd w:val="clear" w:color="000000" w:fill="FFFFFF"/>
            <w:noWrap/>
            <w:vAlign w:val="bottom"/>
            <w:hideMark/>
          </w:tcPr>
          <w:p w14:paraId="6CBD421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25 994 160</w:t>
            </w:r>
          </w:p>
        </w:tc>
        <w:tc>
          <w:tcPr>
            <w:tcW w:w="1124" w:type="dxa"/>
            <w:tcBorders>
              <w:top w:val="nil"/>
              <w:left w:val="nil"/>
              <w:bottom w:val="nil"/>
              <w:right w:val="single" w:sz="8" w:space="0" w:color="auto"/>
            </w:tcBorders>
            <w:shd w:val="clear" w:color="000000" w:fill="FFFFFF"/>
            <w:noWrap/>
            <w:vAlign w:val="bottom"/>
            <w:hideMark/>
          </w:tcPr>
          <w:p w14:paraId="339CCE9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292 434</w:t>
            </w:r>
          </w:p>
        </w:tc>
        <w:tc>
          <w:tcPr>
            <w:tcW w:w="1459" w:type="dxa"/>
            <w:tcBorders>
              <w:top w:val="nil"/>
              <w:left w:val="nil"/>
              <w:bottom w:val="nil"/>
              <w:right w:val="single" w:sz="4" w:space="0" w:color="auto"/>
            </w:tcBorders>
            <w:shd w:val="clear" w:color="000000" w:fill="FFFFFF"/>
            <w:noWrap/>
            <w:vAlign w:val="bottom"/>
            <w:hideMark/>
          </w:tcPr>
          <w:p w14:paraId="21AF0C5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22 744 890</w:t>
            </w:r>
          </w:p>
        </w:tc>
        <w:tc>
          <w:tcPr>
            <w:tcW w:w="1141" w:type="dxa"/>
            <w:tcBorders>
              <w:top w:val="nil"/>
              <w:left w:val="nil"/>
              <w:bottom w:val="nil"/>
              <w:right w:val="single" w:sz="8" w:space="0" w:color="auto"/>
            </w:tcBorders>
            <w:shd w:val="clear" w:color="000000" w:fill="FFFFFF"/>
            <w:noWrap/>
            <w:vAlign w:val="bottom"/>
            <w:hideMark/>
          </w:tcPr>
          <w:p w14:paraId="53784A8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8CF10D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14 946 642</w:t>
            </w:r>
          </w:p>
        </w:tc>
        <w:tc>
          <w:tcPr>
            <w:tcW w:w="1167" w:type="dxa"/>
            <w:tcBorders>
              <w:top w:val="nil"/>
              <w:left w:val="nil"/>
              <w:bottom w:val="nil"/>
              <w:right w:val="single" w:sz="8" w:space="0" w:color="auto"/>
            </w:tcBorders>
            <w:shd w:val="clear" w:color="000000" w:fill="FFFFFF"/>
            <w:noWrap/>
            <w:vAlign w:val="bottom"/>
            <w:hideMark/>
          </w:tcPr>
          <w:p w14:paraId="4AC65AC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69661F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12 997 080</w:t>
            </w:r>
          </w:p>
        </w:tc>
        <w:tc>
          <w:tcPr>
            <w:tcW w:w="1053" w:type="dxa"/>
            <w:tcBorders>
              <w:top w:val="nil"/>
              <w:left w:val="nil"/>
              <w:bottom w:val="nil"/>
              <w:right w:val="single" w:sz="8" w:space="0" w:color="auto"/>
            </w:tcBorders>
            <w:shd w:val="clear" w:color="000000" w:fill="FFFFFF"/>
            <w:noWrap/>
            <w:vAlign w:val="bottom"/>
            <w:hideMark/>
          </w:tcPr>
          <w:p w14:paraId="4239CF8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35798D36"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74772175"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BULGARIEN</w:t>
            </w:r>
          </w:p>
        </w:tc>
        <w:tc>
          <w:tcPr>
            <w:tcW w:w="700" w:type="dxa"/>
            <w:tcBorders>
              <w:top w:val="nil"/>
              <w:left w:val="nil"/>
              <w:bottom w:val="nil"/>
              <w:right w:val="single" w:sz="8" w:space="0" w:color="auto"/>
            </w:tcBorders>
            <w:shd w:val="clear" w:color="000000" w:fill="BFBFBF"/>
            <w:noWrap/>
            <w:vAlign w:val="bottom"/>
            <w:hideMark/>
          </w:tcPr>
          <w:p w14:paraId="194B6A23"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0,21853</w:t>
            </w:r>
          </w:p>
        </w:tc>
        <w:tc>
          <w:tcPr>
            <w:tcW w:w="1436" w:type="dxa"/>
            <w:tcBorders>
              <w:top w:val="nil"/>
              <w:left w:val="nil"/>
              <w:bottom w:val="nil"/>
              <w:right w:val="single" w:sz="4" w:space="0" w:color="auto"/>
            </w:tcBorders>
            <w:shd w:val="clear" w:color="000000" w:fill="FFFFFF"/>
            <w:noWrap/>
            <w:vAlign w:val="bottom"/>
            <w:hideMark/>
          </w:tcPr>
          <w:p w14:paraId="7D33721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1 748 240</w:t>
            </w:r>
          </w:p>
        </w:tc>
        <w:tc>
          <w:tcPr>
            <w:tcW w:w="1124" w:type="dxa"/>
            <w:tcBorders>
              <w:top w:val="nil"/>
              <w:left w:val="nil"/>
              <w:bottom w:val="nil"/>
              <w:right w:val="single" w:sz="8" w:space="0" w:color="auto"/>
            </w:tcBorders>
            <w:shd w:val="clear" w:color="000000" w:fill="FFFFFF"/>
            <w:noWrap/>
            <w:vAlign w:val="bottom"/>
            <w:hideMark/>
          </w:tcPr>
          <w:p w14:paraId="39ACD11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19 668</w:t>
            </w:r>
          </w:p>
        </w:tc>
        <w:tc>
          <w:tcPr>
            <w:tcW w:w="1459" w:type="dxa"/>
            <w:tcBorders>
              <w:top w:val="nil"/>
              <w:left w:val="nil"/>
              <w:bottom w:val="nil"/>
              <w:right w:val="single" w:sz="4" w:space="0" w:color="auto"/>
            </w:tcBorders>
            <w:shd w:val="clear" w:color="000000" w:fill="FFFFFF"/>
            <w:noWrap/>
            <w:vAlign w:val="bottom"/>
            <w:hideMark/>
          </w:tcPr>
          <w:p w14:paraId="35DE5F8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1 529 710</w:t>
            </w:r>
          </w:p>
        </w:tc>
        <w:tc>
          <w:tcPr>
            <w:tcW w:w="1141" w:type="dxa"/>
            <w:tcBorders>
              <w:top w:val="nil"/>
              <w:left w:val="nil"/>
              <w:bottom w:val="nil"/>
              <w:right w:val="single" w:sz="8" w:space="0" w:color="auto"/>
            </w:tcBorders>
            <w:shd w:val="clear" w:color="000000" w:fill="FFFFFF"/>
            <w:noWrap/>
            <w:vAlign w:val="bottom"/>
            <w:hideMark/>
          </w:tcPr>
          <w:p w14:paraId="2F04C29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4AB272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1 005 238</w:t>
            </w:r>
          </w:p>
        </w:tc>
        <w:tc>
          <w:tcPr>
            <w:tcW w:w="1167" w:type="dxa"/>
            <w:tcBorders>
              <w:top w:val="nil"/>
              <w:left w:val="nil"/>
              <w:bottom w:val="nil"/>
              <w:right w:val="single" w:sz="8" w:space="0" w:color="auto"/>
            </w:tcBorders>
            <w:shd w:val="clear" w:color="000000" w:fill="FFFFFF"/>
            <w:noWrap/>
            <w:vAlign w:val="bottom"/>
            <w:hideMark/>
          </w:tcPr>
          <w:p w14:paraId="1509D16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4B2DB7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874 120</w:t>
            </w:r>
          </w:p>
        </w:tc>
        <w:tc>
          <w:tcPr>
            <w:tcW w:w="1053" w:type="dxa"/>
            <w:tcBorders>
              <w:top w:val="nil"/>
              <w:left w:val="nil"/>
              <w:bottom w:val="nil"/>
              <w:right w:val="single" w:sz="8" w:space="0" w:color="auto"/>
            </w:tcBorders>
            <w:shd w:val="clear" w:color="000000" w:fill="FFFFFF"/>
            <w:noWrap/>
            <w:vAlign w:val="bottom"/>
            <w:hideMark/>
          </w:tcPr>
          <w:p w14:paraId="4C99706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2CAF40C"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132B252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TJEKKIET</w:t>
            </w:r>
          </w:p>
        </w:tc>
        <w:tc>
          <w:tcPr>
            <w:tcW w:w="700" w:type="dxa"/>
            <w:tcBorders>
              <w:top w:val="nil"/>
              <w:left w:val="nil"/>
              <w:bottom w:val="nil"/>
              <w:right w:val="single" w:sz="8" w:space="0" w:color="auto"/>
            </w:tcBorders>
            <w:shd w:val="clear" w:color="000000" w:fill="BFBFBF"/>
            <w:noWrap/>
            <w:vAlign w:val="bottom"/>
            <w:hideMark/>
          </w:tcPr>
          <w:p w14:paraId="793C855B"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0,79745</w:t>
            </w:r>
          </w:p>
        </w:tc>
        <w:tc>
          <w:tcPr>
            <w:tcW w:w="1436" w:type="dxa"/>
            <w:tcBorders>
              <w:top w:val="nil"/>
              <w:left w:val="nil"/>
              <w:bottom w:val="nil"/>
              <w:right w:val="single" w:sz="4" w:space="0" w:color="auto"/>
            </w:tcBorders>
            <w:shd w:val="clear" w:color="000000" w:fill="FFFFFF"/>
            <w:noWrap/>
            <w:vAlign w:val="bottom"/>
            <w:hideMark/>
          </w:tcPr>
          <w:p w14:paraId="21D4E58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6 379 600</w:t>
            </w:r>
          </w:p>
        </w:tc>
        <w:tc>
          <w:tcPr>
            <w:tcW w:w="1124" w:type="dxa"/>
            <w:tcBorders>
              <w:top w:val="nil"/>
              <w:left w:val="nil"/>
              <w:bottom w:val="nil"/>
              <w:right w:val="single" w:sz="8" w:space="0" w:color="auto"/>
            </w:tcBorders>
            <w:shd w:val="clear" w:color="000000" w:fill="FFFFFF"/>
            <w:noWrap/>
            <w:vAlign w:val="bottom"/>
            <w:hideMark/>
          </w:tcPr>
          <w:p w14:paraId="7F7539A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71 771</w:t>
            </w:r>
          </w:p>
        </w:tc>
        <w:tc>
          <w:tcPr>
            <w:tcW w:w="1459" w:type="dxa"/>
            <w:tcBorders>
              <w:top w:val="nil"/>
              <w:left w:val="nil"/>
              <w:bottom w:val="nil"/>
              <w:right w:val="single" w:sz="4" w:space="0" w:color="auto"/>
            </w:tcBorders>
            <w:shd w:val="clear" w:color="000000" w:fill="FFFFFF"/>
            <w:noWrap/>
            <w:vAlign w:val="bottom"/>
            <w:hideMark/>
          </w:tcPr>
          <w:p w14:paraId="4F310FC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5 582 150</w:t>
            </w:r>
          </w:p>
        </w:tc>
        <w:tc>
          <w:tcPr>
            <w:tcW w:w="1141" w:type="dxa"/>
            <w:tcBorders>
              <w:top w:val="nil"/>
              <w:left w:val="nil"/>
              <w:bottom w:val="nil"/>
              <w:right w:val="single" w:sz="8" w:space="0" w:color="auto"/>
            </w:tcBorders>
            <w:shd w:val="clear" w:color="000000" w:fill="FFFFFF"/>
            <w:noWrap/>
            <w:vAlign w:val="bottom"/>
            <w:hideMark/>
          </w:tcPr>
          <w:p w14:paraId="283674E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C2F52D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3 668 270</w:t>
            </w:r>
          </w:p>
        </w:tc>
        <w:tc>
          <w:tcPr>
            <w:tcW w:w="1167" w:type="dxa"/>
            <w:tcBorders>
              <w:top w:val="nil"/>
              <w:left w:val="nil"/>
              <w:bottom w:val="nil"/>
              <w:right w:val="single" w:sz="8" w:space="0" w:color="auto"/>
            </w:tcBorders>
            <w:shd w:val="clear" w:color="000000" w:fill="FFFFFF"/>
            <w:noWrap/>
            <w:vAlign w:val="bottom"/>
            <w:hideMark/>
          </w:tcPr>
          <w:p w14:paraId="4E8A50F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B519A9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3 189 800</w:t>
            </w:r>
          </w:p>
        </w:tc>
        <w:tc>
          <w:tcPr>
            <w:tcW w:w="1053" w:type="dxa"/>
            <w:tcBorders>
              <w:top w:val="nil"/>
              <w:left w:val="nil"/>
              <w:bottom w:val="nil"/>
              <w:right w:val="single" w:sz="8" w:space="0" w:color="auto"/>
            </w:tcBorders>
            <w:shd w:val="clear" w:color="000000" w:fill="FFFFFF"/>
            <w:noWrap/>
            <w:vAlign w:val="bottom"/>
            <w:hideMark/>
          </w:tcPr>
          <w:p w14:paraId="74A4011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29F47B2D"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F0153CA"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DANMARK</w:t>
            </w:r>
          </w:p>
        </w:tc>
        <w:tc>
          <w:tcPr>
            <w:tcW w:w="700" w:type="dxa"/>
            <w:tcBorders>
              <w:top w:val="nil"/>
              <w:left w:val="nil"/>
              <w:bottom w:val="nil"/>
              <w:right w:val="single" w:sz="8" w:space="0" w:color="auto"/>
            </w:tcBorders>
            <w:shd w:val="clear" w:color="000000" w:fill="BFBFBF"/>
            <w:noWrap/>
            <w:vAlign w:val="bottom"/>
            <w:hideMark/>
          </w:tcPr>
          <w:p w14:paraId="00F847A6"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1,98045</w:t>
            </w:r>
          </w:p>
        </w:tc>
        <w:tc>
          <w:tcPr>
            <w:tcW w:w="1436" w:type="dxa"/>
            <w:tcBorders>
              <w:top w:val="nil"/>
              <w:left w:val="nil"/>
              <w:bottom w:val="nil"/>
              <w:right w:val="single" w:sz="4" w:space="0" w:color="auto"/>
            </w:tcBorders>
            <w:shd w:val="clear" w:color="000000" w:fill="FFFFFF"/>
            <w:noWrap/>
            <w:vAlign w:val="bottom"/>
            <w:hideMark/>
          </w:tcPr>
          <w:p w14:paraId="4FE167E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15 843 600</w:t>
            </w:r>
          </w:p>
        </w:tc>
        <w:tc>
          <w:tcPr>
            <w:tcW w:w="1124" w:type="dxa"/>
            <w:tcBorders>
              <w:top w:val="nil"/>
              <w:left w:val="nil"/>
              <w:bottom w:val="nil"/>
              <w:right w:val="single" w:sz="8" w:space="0" w:color="auto"/>
            </w:tcBorders>
            <w:shd w:val="clear" w:color="000000" w:fill="FFFFFF"/>
            <w:noWrap/>
            <w:vAlign w:val="bottom"/>
            <w:hideMark/>
          </w:tcPr>
          <w:p w14:paraId="155CA08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178 241</w:t>
            </w:r>
          </w:p>
        </w:tc>
        <w:tc>
          <w:tcPr>
            <w:tcW w:w="1459" w:type="dxa"/>
            <w:tcBorders>
              <w:top w:val="nil"/>
              <w:left w:val="nil"/>
              <w:bottom w:val="nil"/>
              <w:right w:val="single" w:sz="4" w:space="0" w:color="auto"/>
            </w:tcBorders>
            <w:shd w:val="clear" w:color="000000" w:fill="FFFFFF"/>
            <w:noWrap/>
            <w:vAlign w:val="bottom"/>
            <w:hideMark/>
          </w:tcPr>
          <w:p w14:paraId="1D88220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13 863 150</w:t>
            </w:r>
          </w:p>
        </w:tc>
        <w:tc>
          <w:tcPr>
            <w:tcW w:w="1141" w:type="dxa"/>
            <w:tcBorders>
              <w:top w:val="nil"/>
              <w:left w:val="nil"/>
              <w:bottom w:val="nil"/>
              <w:right w:val="single" w:sz="8" w:space="0" w:color="auto"/>
            </w:tcBorders>
            <w:shd w:val="clear" w:color="000000" w:fill="FFFFFF"/>
            <w:noWrap/>
            <w:vAlign w:val="bottom"/>
            <w:hideMark/>
          </w:tcPr>
          <w:p w14:paraId="0A8E5A7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1231144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9 110 070</w:t>
            </w:r>
          </w:p>
        </w:tc>
        <w:tc>
          <w:tcPr>
            <w:tcW w:w="1167" w:type="dxa"/>
            <w:tcBorders>
              <w:top w:val="nil"/>
              <w:left w:val="nil"/>
              <w:bottom w:val="nil"/>
              <w:right w:val="single" w:sz="8" w:space="0" w:color="auto"/>
            </w:tcBorders>
            <w:shd w:val="clear" w:color="000000" w:fill="FFFFFF"/>
            <w:noWrap/>
            <w:vAlign w:val="bottom"/>
            <w:hideMark/>
          </w:tcPr>
          <w:p w14:paraId="7FE365C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51C4141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7 921 800</w:t>
            </w:r>
          </w:p>
        </w:tc>
        <w:tc>
          <w:tcPr>
            <w:tcW w:w="1053" w:type="dxa"/>
            <w:tcBorders>
              <w:top w:val="nil"/>
              <w:left w:val="nil"/>
              <w:bottom w:val="nil"/>
              <w:right w:val="single" w:sz="8" w:space="0" w:color="auto"/>
            </w:tcBorders>
            <w:shd w:val="clear" w:color="000000" w:fill="FFFFFF"/>
            <w:noWrap/>
            <w:vAlign w:val="bottom"/>
            <w:hideMark/>
          </w:tcPr>
          <w:p w14:paraId="6A43111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08EDD53F"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3262792"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TYSKLAND</w:t>
            </w:r>
          </w:p>
        </w:tc>
        <w:tc>
          <w:tcPr>
            <w:tcW w:w="700" w:type="dxa"/>
            <w:tcBorders>
              <w:top w:val="nil"/>
              <w:left w:val="nil"/>
              <w:bottom w:val="nil"/>
              <w:right w:val="single" w:sz="8" w:space="0" w:color="auto"/>
            </w:tcBorders>
            <w:shd w:val="clear" w:color="000000" w:fill="BFBFBF"/>
            <w:noWrap/>
            <w:vAlign w:val="bottom"/>
            <w:hideMark/>
          </w:tcPr>
          <w:p w14:paraId="09C8C4B0"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20,57980</w:t>
            </w:r>
          </w:p>
        </w:tc>
        <w:tc>
          <w:tcPr>
            <w:tcW w:w="1436" w:type="dxa"/>
            <w:tcBorders>
              <w:top w:val="nil"/>
              <w:left w:val="nil"/>
              <w:bottom w:val="nil"/>
              <w:right w:val="single" w:sz="4" w:space="0" w:color="auto"/>
            </w:tcBorders>
            <w:shd w:val="clear" w:color="000000" w:fill="FFFFFF"/>
            <w:noWrap/>
            <w:vAlign w:val="bottom"/>
            <w:hideMark/>
          </w:tcPr>
          <w:p w14:paraId="762E53B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164 638 400</w:t>
            </w:r>
          </w:p>
        </w:tc>
        <w:tc>
          <w:tcPr>
            <w:tcW w:w="1124" w:type="dxa"/>
            <w:tcBorders>
              <w:top w:val="nil"/>
              <w:left w:val="nil"/>
              <w:bottom w:val="nil"/>
              <w:right w:val="single" w:sz="8" w:space="0" w:color="auto"/>
            </w:tcBorders>
            <w:shd w:val="clear" w:color="000000" w:fill="FFFFFF"/>
            <w:noWrap/>
            <w:vAlign w:val="bottom"/>
            <w:hideMark/>
          </w:tcPr>
          <w:p w14:paraId="6A4DE9F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1 852 182</w:t>
            </w:r>
          </w:p>
        </w:tc>
        <w:tc>
          <w:tcPr>
            <w:tcW w:w="1459" w:type="dxa"/>
            <w:tcBorders>
              <w:top w:val="nil"/>
              <w:left w:val="nil"/>
              <w:bottom w:val="nil"/>
              <w:right w:val="single" w:sz="4" w:space="0" w:color="auto"/>
            </w:tcBorders>
            <w:shd w:val="clear" w:color="000000" w:fill="FFFFFF"/>
            <w:noWrap/>
            <w:vAlign w:val="bottom"/>
            <w:hideMark/>
          </w:tcPr>
          <w:p w14:paraId="4A15B75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144 058 600</w:t>
            </w:r>
          </w:p>
        </w:tc>
        <w:tc>
          <w:tcPr>
            <w:tcW w:w="1141" w:type="dxa"/>
            <w:tcBorders>
              <w:top w:val="nil"/>
              <w:left w:val="nil"/>
              <w:bottom w:val="nil"/>
              <w:right w:val="single" w:sz="8" w:space="0" w:color="auto"/>
            </w:tcBorders>
            <w:shd w:val="clear" w:color="000000" w:fill="FFFFFF"/>
            <w:noWrap/>
            <w:vAlign w:val="bottom"/>
            <w:hideMark/>
          </w:tcPr>
          <w:p w14:paraId="3E2691A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8AF0E8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94 667 080</w:t>
            </w:r>
          </w:p>
        </w:tc>
        <w:tc>
          <w:tcPr>
            <w:tcW w:w="1167" w:type="dxa"/>
            <w:tcBorders>
              <w:top w:val="nil"/>
              <w:left w:val="nil"/>
              <w:bottom w:val="nil"/>
              <w:right w:val="single" w:sz="8" w:space="0" w:color="auto"/>
            </w:tcBorders>
            <w:shd w:val="clear" w:color="000000" w:fill="FFFFFF"/>
            <w:noWrap/>
            <w:vAlign w:val="bottom"/>
            <w:hideMark/>
          </w:tcPr>
          <w:p w14:paraId="1ECD673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48FCE9A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82 319 200</w:t>
            </w:r>
          </w:p>
        </w:tc>
        <w:tc>
          <w:tcPr>
            <w:tcW w:w="1053" w:type="dxa"/>
            <w:tcBorders>
              <w:top w:val="nil"/>
              <w:left w:val="nil"/>
              <w:bottom w:val="nil"/>
              <w:right w:val="single" w:sz="8" w:space="0" w:color="auto"/>
            </w:tcBorders>
            <w:shd w:val="clear" w:color="000000" w:fill="FFFFFF"/>
            <w:noWrap/>
            <w:vAlign w:val="bottom"/>
            <w:hideMark/>
          </w:tcPr>
          <w:p w14:paraId="299D0C4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13F5528"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71A7B40"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ESTLAND</w:t>
            </w:r>
          </w:p>
        </w:tc>
        <w:tc>
          <w:tcPr>
            <w:tcW w:w="700" w:type="dxa"/>
            <w:tcBorders>
              <w:top w:val="nil"/>
              <w:left w:val="nil"/>
              <w:bottom w:val="nil"/>
              <w:right w:val="single" w:sz="8" w:space="0" w:color="auto"/>
            </w:tcBorders>
            <w:shd w:val="clear" w:color="000000" w:fill="BFBFBF"/>
            <w:noWrap/>
            <w:vAlign w:val="bottom"/>
            <w:hideMark/>
          </w:tcPr>
          <w:p w14:paraId="3DF703EB"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0,08635</w:t>
            </w:r>
          </w:p>
        </w:tc>
        <w:tc>
          <w:tcPr>
            <w:tcW w:w="1436" w:type="dxa"/>
            <w:tcBorders>
              <w:top w:val="nil"/>
              <w:left w:val="nil"/>
              <w:bottom w:val="nil"/>
              <w:right w:val="single" w:sz="4" w:space="0" w:color="auto"/>
            </w:tcBorders>
            <w:shd w:val="clear" w:color="000000" w:fill="FFFFFF"/>
            <w:noWrap/>
            <w:vAlign w:val="bottom"/>
            <w:hideMark/>
          </w:tcPr>
          <w:p w14:paraId="485E14A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690 800</w:t>
            </w:r>
          </w:p>
        </w:tc>
        <w:tc>
          <w:tcPr>
            <w:tcW w:w="1124" w:type="dxa"/>
            <w:tcBorders>
              <w:top w:val="nil"/>
              <w:left w:val="nil"/>
              <w:bottom w:val="nil"/>
              <w:right w:val="single" w:sz="8" w:space="0" w:color="auto"/>
            </w:tcBorders>
            <w:shd w:val="clear" w:color="000000" w:fill="FFFFFF"/>
            <w:noWrap/>
            <w:vAlign w:val="bottom"/>
            <w:hideMark/>
          </w:tcPr>
          <w:p w14:paraId="5C4B330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7 772</w:t>
            </w:r>
          </w:p>
        </w:tc>
        <w:tc>
          <w:tcPr>
            <w:tcW w:w="1459" w:type="dxa"/>
            <w:tcBorders>
              <w:top w:val="nil"/>
              <w:left w:val="nil"/>
              <w:bottom w:val="nil"/>
              <w:right w:val="single" w:sz="4" w:space="0" w:color="auto"/>
            </w:tcBorders>
            <w:shd w:val="clear" w:color="000000" w:fill="FFFFFF"/>
            <w:noWrap/>
            <w:vAlign w:val="bottom"/>
            <w:hideMark/>
          </w:tcPr>
          <w:p w14:paraId="4BF207C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604 450</w:t>
            </w:r>
          </w:p>
        </w:tc>
        <w:tc>
          <w:tcPr>
            <w:tcW w:w="1141" w:type="dxa"/>
            <w:tcBorders>
              <w:top w:val="nil"/>
              <w:left w:val="nil"/>
              <w:bottom w:val="nil"/>
              <w:right w:val="single" w:sz="8" w:space="0" w:color="auto"/>
            </w:tcBorders>
            <w:shd w:val="clear" w:color="000000" w:fill="FFFFFF"/>
            <w:noWrap/>
            <w:vAlign w:val="bottom"/>
            <w:hideMark/>
          </w:tcPr>
          <w:p w14:paraId="1F226FB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0725497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397 210</w:t>
            </w:r>
          </w:p>
        </w:tc>
        <w:tc>
          <w:tcPr>
            <w:tcW w:w="1167" w:type="dxa"/>
            <w:tcBorders>
              <w:top w:val="nil"/>
              <w:left w:val="nil"/>
              <w:bottom w:val="nil"/>
              <w:right w:val="single" w:sz="8" w:space="0" w:color="auto"/>
            </w:tcBorders>
            <w:shd w:val="clear" w:color="000000" w:fill="FFFFFF"/>
            <w:noWrap/>
            <w:vAlign w:val="bottom"/>
            <w:hideMark/>
          </w:tcPr>
          <w:p w14:paraId="3C80A06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D96ED3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345 400</w:t>
            </w:r>
          </w:p>
        </w:tc>
        <w:tc>
          <w:tcPr>
            <w:tcW w:w="1053" w:type="dxa"/>
            <w:tcBorders>
              <w:top w:val="nil"/>
              <w:left w:val="nil"/>
              <w:bottom w:val="nil"/>
              <w:right w:val="single" w:sz="8" w:space="0" w:color="auto"/>
            </w:tcBorders>
            <w:shd w:val="clear" w:color="000000" w:fill="FFFFFF"/>
            <w:noWrap/>
            <w:vAlign w:val="bottom"/>
            <w:hideMark/>
          </w:tcPr>
          <w:p w14:paraId="1216D6E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31D76353"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5B28EF6"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IRLAND</w:t>
            </w:r>
          </w:p>
        </w:tc>
        <w:tc>
          <w:tcPr>
            <w:tcW w:w="700" w:type="dxa"/>
            <w:tcBorders>
              <w:top w:val="nil"/>
              <w:left w:val="nil"/>
              <w:bottom w:val="nil"/>
              <w:right w:val="single" w:sz="8" w:space="0" w:color="auto"/>
            </w:tcBorders>
            <w:shd w:val="clear" w:color="000000" w:fill="BFBFBF"/>
            <w:noWrap/>
            <w:vAlign w:val="bottom"/>
            <w:hideMark/>
          </w:tcPr>
          <w:p w14:paraId="6E234C61"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0,94006</w:t>
            </w:r>
          </w:p>
        </w:tc>
        <w:tc>
          <w:tcPr>
            <w:tcW w:w="1436" w:type="dxa"/>
            <w:tcBorders>
              <w:top w:val="nil"/>
              <w:left w:val="nil"/>
              <w:bottom w:val="nil"/>
              <w:right w:val="single" w:sz="4" w:space="0" w:color="auto"/>
            </w:tcBorders>
            <w:shd w:val="clear" w:color="000000" w:fill="FFFFFF"/>
            <w:noWrap/>
            <w:vAlign w:val="bottom"/>
            <w:hideMark/>
          </w:tcPr>
          <w:p w14:paraId="5B361D5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7 520 480</w:t>
            </w:r>
          </w:p>
        </w:tc>
        <w:tc>
          <w:tcPr>
            <w:tcW w:w="1124" w:type="dxa"/>
            <w:tcBorders>
              <w:top w:val="nil"/>
              <w:left w:val="nil"/>
              <w:bottom w:val="nil"/>
              <w:right w:val="single" w:sz="8" w:space="0" w:color="auto"/>
            </w:tcBorders>
            <w:shd w:val="clear" w:color="000000" w:fill="FFFFFF"/>
            <w:noWrap/>
            <w:vAlign w:val="bottom"/>
            <w:hideMark/>
          </w:tcPr>
          <w:p w14:paraId="4610BFC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84 605</w:t>
            </w:r>
          </w:p>
        </w:tc>
        <w:tc>
          <w:tcPr>
            <w:tcW w:w="1459" w:type="dxa"/>
            <w:tcBorders>
              <w:top w:val="nil"/>
              <w:left w:val="nil"/>
              <w:bottom w:val="nil"/>
              <w:right w:val="single" w:sz="4" w:space="0" w:color="auto"/>
            </w:tcBorders>
            <w:shd w:val="clear" w:color="000000" w:fill="FFFFFF"/>
            <w:noWrap/>
            <w:vAlign w:val="bottom"/>
            <w:hideMark/>
          </w:tcPr>
          <w:p w14:paraId="0B99934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6 580 420</w:t>
            </w:r>
          </w:p>
        </w:tc>
        <w:tc>
          <w:tcPr>
            <w:tcW w:w="1141" w:type="dxa"/>
            <w:tcBorders>
              <w:top w:val="nil"/>
              <w:left w:val="nil"/>
              <w:bottom w:val="nil"/>
              <w:right w:val="single" w:sz="8" w:space="0" w:color="auto"/>
            </w:tcBorders>
            <w:shd w:val="clear" w:color="000000" w:fill="FFFFFF"/>
            <w:noWrap/>
            <w:vAlign w:val="bottom"/>
            <w:hideMark/>
          </w:tcPr>
          <w:p w14:paraId="1DB3D2C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16AACB4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4 324 276</w:t>
            </w:r>
          </w:p>
        </w:tc>
        <w:tc>
          <w:tcPr>
            <w:tcW w:w="1167" w:type="dxa"/>
            <w:tcBorders>
              <w:top w:val="nil"/>
              <w:left w:val="nil"/>
              <w:bottom w:val="nil"/>
              <w:right w:val="single" w:sz="8" w:space="0" w:color="auto"/>
            </w:tcBorders>
            <w:shd w:val="clear" w:color="000000" w:fill="FFFFFF"/>
            <w:noWrap/>
            <w:vAlign w:val="bottom"/>
            <w:hideMark/>
          </w:tcPr>
          <w:p w14:paraId="3146381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6DE2B28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3 760 240</w:t>
            </w:r>
          </w:p>
        </w:tc>
        <w:tc>
          <w:tcPr>
            <w:tcW w:w="1053" w:type="dxa"/>
            <w:tcBorders>
              <w:top w:val="nil"/>
              <w:left w:val="nil"/>
              <w:bottom w:val="nil"/>
              <w:right w:val="single" w:sz="8" w:space="0" w:color="auto"/>
            </w:tcBorders>
            <w:shd w:val="clear" w:color="000000" w:fill="FFFFFF"/>
            <w:noWrap/>
            <w:vAlign w:val="bottom"/>
            <w:hideMark/>
          </w:tcPr>
          <w:p w14:paraId="2CE6EB2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7D128135"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F0A372D"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GRÆKENLAND</w:t>
            </w:r>
          </w:p>
        </w:tc>
        <w:tc>
          <w:tcPr>
            <w:tcW w:w="700" w:type="dxa"/>
            <w:tcBorders>
              <w:top w:val="nil"/>
              <w:left w:val="nil"/>
              <w:bottom w:val="nil"/>
              <w:right w:val="single" w:sz="8" w:space="0" w:color="auto"/>
            </w:tcBorders>
            <w:shd w:val="clear" w:color="000000" w:fill="BFBFBF"/>
            <w:noWrap/>
            <w:vAlign w:val="bottom"/>
            <w:hideMark/>
          </w:tcPr>
          <w:p w14:paraId="35F392E3"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1,50735</w:t>
            </w:r>
          </w:p>
        </w:tc>
        <w:tc>
          <w:tcPr>
            <w:tcW w:w="1436" w:type="dxa"/>
            <w:tcBorders>
              <w:top w:val="nil"/>
              <w:left w:val="nil"/>
              <w:bottom w:val="nil"/>
              <w:right w:val="single" w:sz="4" w:space="0" w:color="auto"/>
            </w:tcBorders>
            <w:shd w:val="clear" w:color="000000" w:fill="FFFFFF"/>
            <w:noWrap/>
            <w:vAlign w:val="bottom"/>
            <w:hideMark/>
          </w:tcPr>
          <w:p w14:paraId="5C56EAA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12 058 800</w:t>
            </w:r>
          </w:p>
        </w:tc>
        <w:tc>
          <w:tcPr>
            <w:tcW w:w="1124" w:type="dxa"/>
            <w:tcBorders>
              <w:top w:val="nil"/>
              <w:left w:val="nil"/>
              <w:bottom w:val="nil"/>
              <w:right w:val="single" w:sz="8" w:space="0" w:color="auto"/>
            </w:tcBorders>
            <w:shd w:val="clear" w:color="000000" w:fill="FFFFFF"/>
            <w:noWrap/>
            <w:vAlign w:val="bottom"/>
            <w:hideMark/>
          </w:tcPr>
          <w:p w14:paraId="0D73E60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135 662</w:t>
            </w:r>
          </w:p>
        </w:tc>
        <w:tc>
          <w:tcPr>
            <w:tcW w:w="1459" w:type="dxa"/>
            <w:tcBorders>
              <w:top w:val="nil"/>
              <w:left w:val="nil"/>
              <w:bottom w:val="nil"/>
              <w:right w:val="single" w:sz="4" w:space="0" w:color="auto"/>
            </w:tcBorders>
            <w:shd w:val="clear" w:color="000000" w:fill="FFFFFF"/>
            <w:noWrap/>
            <w:vAlign w:val="bottom"/>
            <w:hideMark/>
          </w:tcPr>
          <w:p w14:paraId="324B5AB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10 551 450</w:t>
            </w:r>
          </w:p>
        </w:tc>
        <w:tc>
          <w:tcPr>
            <w:tcW w:w="1141" w:type="dxa"/>
            <w:tcBorders>
              <w:top w:val="nil"/>
              <w:left w:val="nil"/>
              <w:bottom w:val="nil"/>
              <w:right w:val="single" w:sz="8" w:space="0" w:color="auto"/>
            </w:tcBorders>
            <w:shd w:val="clear" w:color="000000" w:fill="FFFFFF"/>
            <w:noWrap/>
            <w:vAlign w:val="bottom"/>
            <w:hideMark/>
          </w:tcPr>
          <w:p w14:paraId="0FE46B6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8F96CD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6 933 810</w:t>
            </w:r>
          </w:p>
        </w:tc>
        <w:tc>
          <w:tcPr>
            <w:tcW w:w="1167" w:type="dxa"/>
            <w:tcBorders>
              <w:top w:val="nil"/>
              <w:left w:val="nil"/>
              <w:bottom w:val="nil"/>
              <w:right w:val="single" w:sz="8" w:space="0" w:color="auto"/>
            </w:tcBorders>
            <w:shd w:val="clear" w:color="000000" w:fill="FFFFFF"/>
            <w:noWrap/>
            <w:vAlign w:val="bottom"/>
            <w:hideMark/>
          </w:tcPr>
          <w:p w14:paraId="23D0675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0D185CA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6 029 400</w:t>
            </w:r>
          </w:p>
        </w:tc>
        <w:tc>
          <w:tcPr>
            <w:tcW w:w="1053" w:type="dxa"/>
            <w:tcBorders>
              <w:top w:val="nil"/>
              <w:left w:val="nil"/>
              <w:bottom w:val="nil"/>
              <w:right w:val="single" w:sz="8" w:space="0" w:color="auto"/>
            </w:tcBorders>
            <w:shd w:val="clear" w:color="000000" w:fill="FFFFFF"/>
            <w:noWrap/>
            <w:vAlign w:val="bottom"/>
            <w:hideMark/>
          </w:tcPr>
          <w:p w14:paraId="7AA73E6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C779EC8"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9F3D5A6"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SPANIEN</w:t>
            </w:r>
          </w:p>
        </w:tc>
        <w:tc>
          <w:tcPr>
            <w:tcW w:w="700" w:type="dxa"/>
            <w:tcBorders>
              <w:top w:val="nil"/>
              <w:left w:val="nil"/>
              <w:bottom w:val="nil"/>
              <w:right w:val="single" w:sz="8" w:space="0" w:color="auto"/>
            </w:tcBorders>
            <w:shd w:val="clear" w:color="000000" w:fill="BFBFBF"/>
            <w:noWrap/>
            <w:vAlign w:val="bottom"/>
            <w:hideMark/>
          </w:tcPr>
          <w:p w14:paraId="2A5823D6"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7,93248</w:t>
            </w:r>
          </w:p>
        </w:tc>
        <w:tc>
          <w:tcPr>
            <w:tcW w:w="1436" w:type="dxa"/>
            <w:tcBorders>
              <w:top w:val="nil"/>
              <w:left w:val="nil"/>
              <w:bottom w:val="nil"/>
              <w:right w:val="single" w:sz="4" w:space="0" w:color="auto"/>
            </w:tcBorders>
            <w:shd w:val="clear" w:color="000000" w:fill="FFFFFF"/>
            <w:noWrap/>
            <w:vAlign w:val="bottom"/>
            <w:hideMark/>
          </w:tcPr>
          <w:p w14:paraId="12639D1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63 459 840</w:t>
            </w:r>
          </w:p>
        </w:tc>
        <w:tc>
          <w:tcPr>
            <w:tcW w:w="1124" w:type="dxa"/>
            <w:tcBorders>
              <w:top w:val="nil"/>
              <w:left w:val="nil"/>
              <w:bottom w:val="nil"/>
              <w:right w:val="single" w:sz="8" w:space="0" w:color="auto"/>
            </w:tcBorders>
            <w:shd w:val="clear" w:color="000000" w:fill="FFFFFF"/>
            <w:noWrap/>
            <w:vAlign w:val="bottom"/>
            <w:hideMark/>
          </w:tcPr>
          <w:p w14:paraId="128F293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713 923</w:t>
            </w:r>
          </w:p>
        </w:tc>
        <w:tc>
          <w:tcPr>
            <w:tcW w:w="1459" w:type="dxa"/>
            <w:tcBorders>
              <w:top w:val="nil"/>
              <w:left w:val="nil"/>
              <w:bottom w:val="nil"/>
              <w:right w:val="single" w:sz="4" w:space="0" w:color="auto"/>
            </w:tcBorders>
            <w:shd w:val="clear" w:color="000000" w:fill="FFFFFF"/>
            <w:noWrap/>
            <w:vAlign w:val="bottom"/>
            <w:hideMark/>
          </w:tcPr>
          <w:p w14:paraId="192E02D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55 527 360</w:t>
            </w:r>
          </w:p>
        </w:tc>
        <w:tc>
          <w:tcPr>
            <w:tcW w:w="1141" w:type="dxa"/>
            <w:tcBorders>
              <w:top w:val="nil"/>
              <w:left w:val="nil"/>
              <w:bottom w:val="nil"/>
              <w:right w:val="single" w:sz="8" w:space="0" w:color="auto"/>
            </w:tcBorders>
            <w:shd w:val="clear" w:color="000000" w:fill="FFFFFF"/>
            <w:noWrap/>
            <w:vAlign w:val="bottom"/>
            <w:hideMark/>
          </w:tcPr>
          <w:p w14:paraId="152FF1B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B58936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36 489 408</w:t>
            </w:r>
          </w:p>
        </w:tc>
        <w:tc>
          <w:tcPr>
            <w:tcW w:w="1167" w:type="dxa"/>
            <w:tcBorders>
              <w:top w:val="nil"/>
              <w:left w:val="nil"/>
              <w:bottom w:val="nil"/>
              <w:right w:val="single" w:sz="8" w:space="0" w:color="auto"/>
            </w:tcBorders>
            <w:shd w:val="clear" w:color="000000" w:fill="FFFFFF"/>
            <w:noWrap/>
            <w:vAlign w:val="bottom"/>
            <w:hideMark/>
          </w:tcPr>
          <w:p w14:paraId="401BD0C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06252D9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31 729 920</w:t>
            </w:r>
          </w:p>
        </w:tc>
        <w:tc>
          <w:tcPr>
            <w:tcW w:w="1053" w:type="dxa"/>
            <w:tcBorders>
              <w:top w:val="nil"/>
              <w:left w:val="nil"/>
              <w:bottom w:val="nil"/>
              <w:right w:val="single" w:sz="8" w:space="0" w:color="auto"/>
            </w:tcBorders>
            <w:shd w:val="clear" w:color="000000" w:fill="FFFFFF"/>
            <w:noWrap/>
            <w:vAlign w:val="bottom"/>
            <w:hideMark/>
          </w:tcPr>
          <w:p w14:paraId="5B530F1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AECBDAC"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341330EE"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FRANKRIG</w:t>
            </w:r>
          </w:p>
        </w:tc>
        <w:tc>
          <w:tcPr>
            <w:tcW w:w="700" w:type="dxa"/>
            <w:tcBorders>
              <w:top w:val="nil"/>
              <w:left w:val="nil"/>
              <w:bottom w:val="nil"/>
              <w:right w:val="single" w:sz="8" w:space="0" w:color="auto"/>
            </w:tcBorders>
            <w:shd w:val="clear" w:color="000000" w:fill="BFBFBF"/>
            <w:noWrap/>
            <w:vAlign w:val="bottom"/>
            <w:hideMark/>
          </w:tcPr>
          <w:p w14:paraId="5F48DEDE"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17,81269</w:t>
            </w:r>
          </w:p>
        </w:tc>
        <w:tc>
          <w:tcPr>
            <w:tcW w:w="1436" w:type="dxa"/>
            <w:tcBorders>
              <w:top w:val="nil"/>
              <w:left w:val="nil"/>
              <w:bottom w:val="nil"/>
              <w:right w:val="single" w:sz="4" w:space="0" w:color="auto"/>
            </w:tcBorders>
            <w:shd w:val="clear" w:color="000000" w:fill="FFFFFF"/>
            <w:noWrap/>
            <w:vAlign w:val="bottom"/>
            <w:hideMark/>
          </w:tcPr>
          <w:p w14:paraId="099AE4A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142 501 520</w:t>
            </w:r>
          </w:p>
        </w:tc>
        <w:tc>
          <w:tcPr>
            <w:tcW w:w="1124" w:type="dxa"/>
            <w:tcBorders>
              <w:top w:val="nil"/>
              <w:left w:val="nil"/>
              <w:bottom w:val="nil"/>
              <w:right w:val="single" w:sz="8" w:space="0" w:color="auto"/>
            </w:tcBorders>
            <w:shd w:val="clear" w:color="000000" w:fill="FFFFFF"/>
            <w:noWrap/>
            <w:vAlign w:val="bottom"/>
            <w:hideMark/>
          </w:tcPr>
          <w:p w14:paraId="1641E99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1 603 142</w:t>
            </w:r>
          </w:p>
        </w:tc>
        <w:tc>
          <w:tcPr>
            <w:tcW w:w="1459" w:type="dxa"/>
            <w:tcBorders>
              <w:top w:val="nil"/>
              <w:left w:val="nil"/>
              <w:bottom w:val="nil"/>
              <w:right w:val="single" w:sz="4" w:space="0" w:color="auto"/>
            </w:tcBorders>
            <w:shd w:val="clear" w:color="000000" w:fill="FFFFFF"/>
            <w:noWrap/>
            <w:vAlign w:val="bottom"/>
            <w:hideMark/>
          </w:tcPr>
          <w:p w14:paraId="79AB8F1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124 688 830</w:t>
            </w:r>
          </w:p>
        </w:tc>
        <w:tc>
          <w:tcPr>
            <w:tcW w:w="1141" w:type="dxa"/>
            <w:tcBorders>
              <w:top w:val="nil"/>
              <w:left w:val="nil"/>
              <w:bottom w:val="nil"/>
              <w:right w:val="single" w:sz="8" w:space="0" w:color="auto"/>
            </w:tcBorders>
            <w:shd w:val="clear" w:color="000000" w:fill="FFFFFF"/>
            <w:noWrap/>
            <w:vAlign w:val="bottom"/>
            <w:hideMark/>
          </w:tcPr>
          <w:p w14:paraId="459E210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5E65ED1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81 938 374</w:t>
            </w:r>
          </w:p>
        </w:tc>
        <w:tc>
          <w:tcPr>
            <w:tcW w:w="1167" w:type="dxa"/>
            <w:tcBorders>
              <w:top w:val="nil"/>
              <w:left w:val="nil"/>
              <w:bottom w:val="nil"/>
              <w:right w:val="single" w:sz="8" w:space="0" w:color="auto"/>
            </w:tcBorders>
            <w:shd w:val="clear" w:color="000000" w:fill="FFFFFF"/>
            <w:noWrap/>
            <w:vAlign w:val="bottom"/>
            <w:hideMark/>
          </w:tcPr>
          <w:p w14:paraId="0746A77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C93349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71 250 760</w:t>
            </w:r>
          </w:p>
        </w:tc>
        <w:tc>
          <w:tcPr>
            <w:tcW w:w="1053" w:type="dxa"/>
            <w:tcBorders>
              <w:top w:val="nil"/>
              <w:left w:val="nil"/>
              <w:bottom w:val="nil"/>
              <w:right w:val="single" w:sz="8" w:space="0" w:color="auto"/>
            </w:tcBorders>
            <w:shd w:val="clear" w:color="000000" w:fill="FFFFFF"/>
            <w:noWrap/>
            <w:vAlign w:val="bottom"/>
            <w:hideMark/>
          </w:tcPr>
          <w:p w14:paraId="7655F6D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7C60FBC1"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73568A5"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KROATIEN</w:t>
            </w:r>
          </w:p>
        </w:tc>
        <w:tc>
          <w:tcPr>
            <w:tcW w:w="700" w:type="dxa"/>
            <w:tcBorders>
              <w:top w:val="nil"/>
              <w:left w:val="nil"/>
              <w:bottom w:val="nil"/>
              <w:right w:val="single" w:sz="8" w:space="0" w:color="auto"/>
            </w:tcBorders>
            <w:shd w:val="clear" w:color="000000" w:fill="BFBFBF"/>
            <w:noWrap/>
            <w:vAlign w:val="bottom"/>
            <w:hideMark/>
          </w:tcPr>
          <w:p w14:paraId="66FC50C4"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0,22518</w:t>
            </w:r>
          </w:p>
        </w:tc>
        <w:tc>
          <w:tcPr>
            <w:tcW w:w="1436" w:type="dxa"/>
            <w:tcBorders>
              <w:top w:val="nil"/>
              <w:left w:val="nil"/>
              <w:bottom w:val="nil"/>
              <w:right w:val="single" w:sz="4" w:space="0" w:color="auto"/>
            </w:tcBorders>
            <w:shd w:val="clear" w:color="000000" w:fill="FFFFFF"/>
            <w:noWrap/>
            <w:vAlign w:val="bottom"/>
            <w:hideMark/>
          </w:tcPr>
          <w:p w14:paraId="78B34C5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1 801 440</w:t>
            </w:r>
          </w:p>
        </w:tc>
        <w:tc>
          <w:tcPr>
            <w:tcW w:w="1124" w:type="dxa"/>
            <w:tcBorders>
              <w:top w:val="nil"/>
              <w:left w:val="nil"/>
              <w:bottom w:val="nil"/>
              <w:right w:val="single" w:sz="8" w:space="0" w:color="auto"/>
            </w:tcBorders>
            <w:shd w:val="clear" w:color="000000" w:fill="FFFFFF"/>
            <w:noWrap/>
            <w:vAlign w:val="bottom"/>
            <w:hideMark/>
          </w:tcPr>
          <w:p w14:paraId="118476F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20 266</w:t>
            </w:r>
          </w:p>
        </w:tc>
        <w:tc>
          <w:tcPr>
            <w:tcW w:w="1459" w:type="dxa"/>
            <w:tcBorders>
              <w:top w:val="nil"/>
              <w:left w:val="nil"/>
              <w:bottom w:val="nil"/>
              <w:right w:val="single" w:sz="4" w:space="0" w:color="auto"/>
            </w:tcBorders>
            <w:shd w:val="clear" w:color="000000" w:fill="FFFFFF"/>
            <w:noWrap/>
            <w:vAlign w:val="bottom"/>
            <w:hideMark/>
          </w:tcPr>
          <w:p w14:paraId="21D538D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1 576 260</w:t>
            </w:r>
          </w:p>
        </w:tc>
        <w:tc>
          <w:tcPr>
            <w:tcW w:w="1141" w:type="dxa"/>
            <w:tcBorders>
              <w:top w:val="nil"/>
              <w:left w:val="nil"/>
              <w:bottom w:val="nil"/>
              <w:right w:val="single" w:sz="8" w:space="0" w:color="auto"/>
            </w:tcBorders>
            <w:shd w:val="clear" w:color="000000" w:fill="FFFFFF"/>
            <w:noWrap/>
            <w:vAlign w:val="bottom"/>
            <w:hideMark/>
          </w:tcPr>
          <w:p w14:paraId="0BF2C97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7C2835B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1 035 828</w:t>
            </w:r>
          </w:p>
        </w:tc>
        <w:tc>
          <w:tcPr>
            <w:tcW w:w="1167" w:type="dxa"/>
            <w:tcBorders>
              <w:top w:val="nil"/>
              <w:left w:val="nil"/>
              <w:bottom w:val="nil"/>
              <w:right w:val="single" w:sz="8" w:space="0" w:color="auto"/>
            </w:tcBorders>
            <w:shd w:val="clear" w:color="000000" w:fill="FFFFFF"/>
            <w:noWrap/>
            <w:vAlign w:val="bottom"/>
            <w:hideMark/>
          </w:tcPr>
          <w:p w14:paraId="2DA0C87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0C37CFD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900 720</w:t>
            </w:r>
          </w:p>
        </w:tc>
        <w:tc>
          <w:tcPr>
            <w:tcW w:w="1053" w:type="dxa"/>
            <w:tcBorders>
              <w:top w:val="nil"/>
              <w:left w:val="nil"/>
              <w:bottom w:val="nil"/>
              <w:right w:val="single" w:sz="8" w:space="0" w:color="auto"/>
            </w:tcBorders>
            <w:shd w:val="clear" w:color="000000" w:fill="FFFFFF"/>
            <w:noWrap/>
            <w:vAlign w:val="bottom"/>
            <w:hideMark/>
          </w:tcPr>
          <w:p w14:paraId="542DCEB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4F5EA156"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FA705D0"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ITALIEN</w:t>
            </w:r>
          </w:p>
        </w:tc>
        <w:tc>
          <w:tcPr>
            <w:tcW w:w="700" w:type="dxa"/>
            <w:tcBorders>
              <w:top w:val="nil"/>
              <w:left w:val="nil"/>
              <w:bottom w:val="nil"/>
              <w:right w:val="single" w:sz="8" w:space="0" w:color="auto"/>
            </w:tcBorders>
            <w:shd w:val="clear" w:color="000000" w:fill="BFBFBF"/>
            <w:noWrap/>
            <w:vAlign w:val="bottom"/>
            <w:hideMark/>
          </w:tcPr>
          <w:p w14:paraId="3596C937"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12,53009</w:t>
            </w:r>
          </w:p>
        </w:tc>
        <w:tc>
          <w:tcPr>
            <w:tcW w:w="1436" w:type="dxa"/>
            <w:tcBorders>
              <w:top w:val="nil"/>
              <w:left w:val="nil"/>
              <w:bottom w:val="nil"/>
              <w:right w:val="single" w:sz="4" w:space="0" w:color="auto"/>
            </w:tcBorders>
            <w:shd w:val="clear" w:color="000000" w:fill="FFFFFF"/>
            <w:noWrap/>
            <w:vAlign w:val="bottom"/>
            <w:hideMark/>
          </w:tcPr>
          <w:p w14:paraId="74B215D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100 240 720</w:t>
            </w:r>
          </w:p>
        </w:tc>
        <w:tc>
          <w:tcPr>
            <w:tcW w:w="1124" w:type="dxa"/>
            <w:tcBorders>
              <w:top w:val="nil"/>
              <w:left w:val="nil"/>
              <w:bottom w:val="nil"/>
              <w:right w:val="single" w:sz="8" w:space="0" w:color="auto"/>
            </w:tcBorders>
            <w:shd w:val="clear" w:color="000000" w:fill="FFFFFF"/>
            <w:noWrap/>
            <w:vAlign w:val="bottom"/>
            <w:hideMark/>
          </w:tcPr>
          <w:p w14:paraId="6EFD21F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1 127 708</w:t>
            </w:r>
          </w:p>
        </w:tc>
        <w:tc>
          <w:tcPr>
            <w:tcW w:w="1459" w:type="dxa"/>
            <w:tcBorders>
              <w:top w:val="nil"/>
              <w:left w:val="nil"/>
              <w:bottom w:val="nil"/>
              <w:right w:val="single" w:sz="4" w:space="0" w:color="auto"/>
            </w:tcBorders>
            <w:shd w:val="clear" w:color="000000" w:fill="FFFFFF"/>
            <w:noWrap/>
            <w:vAlign w:val="bottom"/>
            <w:hideMark/>
          </w:tcPr>
          <w:p w14:paraId="000DC00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87 710 630</w:t>
            </w:r>
          </w:p>
        </w:tc>
        <w:tc>
          <w:tcPr>
            <w:tcW w:w="1141" w:type="dxa"/>
            <w:tcBorders>
              <w:top w:val="nil"/>
              <w:left w:val="nil"/>
              <w:bottom w:val="nil"/>
              <w:right w:val="single" w:sz="8" w:space="0" w:color="auto"/>
            </w:tcBorders>
            <w:shd w:val="clear" w:color="000000" w:fill="FFFFFF"/>
            <w:noWrap/>
            <w:vAlign w:val="bottom"/>
            <w:hideMark/>
          </w:tcPr>
          <w:p w14:paraId="2A8B98C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871609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57 638 414</w:t>
            </w:r>
          </w:p>
        </w:tc>
        <w:tc>
          <w:tcPr>
            <w:tcW w:w="1167" w:type="dxa"/>
            <w:tcBorders>
              <w:top w:val="nil"/>
              <w:left w:val="nil"/>
              <w:bottom w:val="nil"/>
              <w:right w:val="single" w:sz="8" w:space="0" w:color="auto"/>
            </w:tcBorders>
            <w:shd w:val="clear" w:color="000000" w:fill="FFFFFF"/>
            <w:noWrap/>
            <w:vAlign w:val="bottom"/>
            <w:hideMark/>
          </w:tcPr>
          <w:p w14:paraId="409354D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6F2AFA6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50 120 360</w:t>
            </w:r>
          </w:p>
        </w:tc>
        <w:tc>
          <w:tcPr>
            <w:tcW w:w="1053" w:type="dxa"/>
            <w:tcBorders>
              <w:top w:val="nil"/>
              <w:left w:val="nil"/>
              <w:bottom w:val="nil"/>
              <w:right w:val="single" w:sz="8" w:space="0" w:color="auto"/>
            </w:tcBorders>
            <w:shd w:val="clear" w:color="000000" w:fill="FFFFFF"/>
            <w:noWrap/>
            <w:vAlign w:val="bottom"/>
            <w:hideMark/>
          </w:tcPr>
          <w:p w14:paraId="5ED5E92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1766D2B"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7C60391B"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CYPERN</w:t>
            </w:r>
          </w:p>
        </w:tc>
        <w:tc>
          <w:tcPr>
            <w:tcW w:w="700" w:type="dxa"/>
            <w:tcBorders>
              <w:top w:val="nil"/>
              <w:left w:val="nil"/>
              <w:bottom w:val="nil"/>
              <w:right w:val="single" w:sz="8" w:space="0" w:color="auto"/>
            </w:tcBorders>
            <w:shd w:val="clear" w:color="000000" w:fill="BFBFBF"/>
            <w:noWrap/>
            <w:vAlign w:val="bottom"/>
            <w:hideMark/>
          </w:tcPr>
          <w:p w14:paraId="127BAAFC"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0,11162</w:t>
            </w:r>
          </w:p>
        </w:tc>
        <w:tc>
          <w:tcPr>
            <w:tcW w:w="1436" w:type="dxa"/>
            <w:tcBorders>
              <w:top w:val="nil"/>
              <w:left w:val="nil"/>
              <w:bottom w:val="nil"/>
              <w:right w:val="single" w:sz="4" w:space="0" w:color="auto"/>
            </w:tcBorders>
            <w:shd w:val="clear" w:color="000000" w:fill="FFFFFF"/>
            <w:noWrap/>
            <w:vAlign w:val="bottom"/>
            <w:hideMark/>
          </w:tcPr>
          <w:p w14:paraId="2D5B47D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892 960</w:t>
            </w:r>
          </w:p>
        </w:tc>
        <w:tc>
          <w:tcPr>
            <w:tcW w:w="1124" w:type="dxa"/>
            <w:tcBorders>
              <w:top w:val="nil"/>
              <w:left w:val="nil"/>
              <w:bottom w:val="nil"/>
              <w:right w:val="single" w:sz="8" w:space="0" w:color="auto"/>
            </w:tcBorders>
            <w:shd w:val="clear" w:color="000000" w:fill="FFFFFF"/>
            <w:noWrap/>
            <w:vAlign w:val="bottom"/>
            <w:hideMark/>
          </w:tcPr>
          <w:p w14:paraId="21E0933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10 046</w:t>
            </w:r>
          </w:p>
        </w:tc>
        <w:tc>
          <w:tcPr>
            <w:tcW w:w="1459" w:type="dxa"/>
            <w:tcBorders>
              <w:top w:val="nil"/>
              <w:left w:val="nil"/>
              <w:bottom w:val="nil"/>
              <w:right w:val="single" w:sz="4" w:space="0" w:color="auto"/>
            </w:tcBorders>
            <w:shd w:val="clear" w:color="000000" w:fill="FFFFFF"/>
            <w:noWrap/>
            <w:vAlign w:val="bottom"/>
            <w:hideMark/>
          </w:tcPr>
          <w:p w14:paraId="3F7DA6F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781 340</w:t>
            </w:r>
          </w:p>
        </w:tc>
        <w:tc>
          <w:tcPr>
            <w:tcW w:w="1141" w:type="dxa"/>
            <w:tcBorders>
              <w:top w:val="nil"/>
              <w:left w:val="nil"/>
              <w:bottom w:val="nil"/>
              <w:right w:val="single" w:sz="8" w:space="0" w:color="auto"/>
            </w:tcBorders>
            <w:shd w:val="clear" w:color="000000" w:fill="FFFFFF"/>
            <w:noWrap/>
            <w:vAlign w:val="bottom"/>
            <w:hideMark/>
          </w:tcPr>
          <w:p w14:paraId="527A10D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2FE5D9A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513 452</w:t>
            </w:r>
          </w:p>
        </w:tc>
        <w:tc>
          <w:tcPr>
            <w:tcW w:w="1167" w:type="dxa"/>
            <w:tcBorders>
              <w:top w:val="nil"/>
              <w:left w:val="nil"/>
              <w:bottom w:val="nil"/>
              <w:right w:val="single" w:sz="8" w:space="0" w:color="auto"/>
            </w:tcBorders>
            <w:shd w:val="clear" w:color="000000" w:fill="FFFFFF"/>
            <w:noWrap/>
            <w:vAlign w:val="bottom"/>
            <w:hideMark/>
          </w:tcPr>
          <w:p w14:paraId="1FDBE70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523B186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446 480</w:t>
            </w:r>
          </w:p>
        </w:tc>
        <w:tc>
          <w:tcPr>
            <w:tcW w:w="1053" w:type="dxa"/>
            <w:tcBorders>
              <w:top w:val="nil"/>
              <w:left w:val="nil"/>
              <w:bottom w:val="nil"/>
              <w:right w:val="single" w:sz="8" w:space="0" w:color="auto"/>
            </w:tcBorders>
            <w:shd w:val="clear" w:color="000000" w:fill="FFFFFF"/>
            <w:noWrap/>
            <w:vAlign w:val="bottom"/>
            <w:hideMark/>
          </w:tcPr>
          <w:p w14:paraId="402473A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91DA21E"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746E2BD"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LETLAND</w:t>
            </w:r>
          </w:p>
        </w:tc>
        <w:tc>
          <w:tcPr>
            <w:tcW w:w="700" w:type="dxa"/>
            <w:tcBorders>
              <w:top w:val="nil"/>
              <w:left w:val="nil"/>
              <w:bottom w:val="nil"/>
              <w:right w:val="single" w:sz="8" w:space="0" w:color="auto"/>
            </w:tcBorders>
            <w:shd w:val="clear" w:color="000000" w:fill="BFBFBF"/>
            <w:noWrap/>
            <w:vAlign w:val="bottom"/>
            <w:hideMark/>
          </w:tcPr>
          <w:p w14:paraId="05753784"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0,11612</w:t>
            </w:r>
          </w:p>
        </w:tc>
        <w:tc>
          <w:tcPr>
            <w:tcW w:w="1436" w:type="dxa"/>
            <w:tcBorders>
              <w:top w:val="nil"/>
              <w:left w:val="nil"/>
              <w:bottom w:val="nil"/>
              <w:right w:val="single" w:sz="4" w:space="0" w:color="auto"/>
            </w:tcBorders>
            <w:shd w:val="clear" w:color="000000" w:fill="FFFFFF"/>
            <w:noWrap/>
            <w:vAlign w:val="bottom"/>
            <w:hideMark/>
          </w:tcPr>
          <w:p w14:paraId="7CDF880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928 960</w:t>
            </w:r>
          </w:p>
        </w:tc>
        <w:tc>
          <w:tcPr>
            <w:tcW w:w="1124" w:type="dxa"/>
            <w:tcBorders>
              <w:top w:val="nil"/>
              <w:left w:val="nil"/>
              <w:bottom w:val="nil"/>
              <w:right w:val="single" w:sz="8" w:space="0" w:color="auto"/>
            </w:tcBorders>
            <w:shd w:val="clear" w:color="000000" w:fill="FFFFFF"/>
            <w:noWrap/>
            <w:vAlign w:val="bottom"/>
            <w:hideMark/>
          </w:tcPr>
          <w:p w14:paraId="2672AD3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10 451</w:t>
            </w:r>
          </w:p>
        </w:tc>
        <w:tc>
          <w:tcPr>
            <w:tcW w:w="1459" w:type="dxa"/>
            <w:tcBorders>
              <w:top w:val="nil"/>
              <w:left w:val="nil"/>
              <w:bottom w:val="nil"/>
              <w:right w:val="single" w:sz="4" w:space="0" w:color="auto"/>
            </w:tcBorders>
            <w:shd w:val="clear" w:color="000000" w:fill="FFFFFF"/>
            <w:noWrap/>
            <w:vAlign w:val="bottom"/>
            <w:hideMark/>
          </w:tcPr>
          <w:p w14:paraId="186CF3A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812 840</w:t>
            </w:r>
          </w:p>
        </w:tc>
        <w:tc>
          <w:tcPr>
            <w:tcW w:w="1141" w:type="dxa"/>
            <w:tcBorders>
              <w:top w:val="nil"/>
              <w:left w:val="nil"/>
              <w:bottom w:val="nil"/>
              <w:right w:val="single" w:sz="8" w:space="0" w:color="auto"/>
            </w:tcBorders>
            <w:shd w:val="clear" w:color="000000" w:fill="FFFFFF"/>
            <w:noWrap/>
            <w:vAlign w:val="bottom"/>
            <w:hideMark/>
          </w:tcPr>
          <w:p w14:paraId="26CAFB4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54165E1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534 152</w:t>
            </w:r>
          </w:p>
        </w:tc>
        <w:tc>
          <w:tcPr>
            <w:tcW w:w="1167" w:type="dxa"/>
            <w:tcBorders>
              <w:top w:val="nil"/>
              <w:left w:val="nil"/>
              <w:bottom w:val="nil"/>
              <w:right w:val="single" w:sz="8" w:space="0" w:color="auto"/>
            </w:tcBorders>
            <w:shd w:val="clear" w:color="000000" w:fill="FFFFFF"/>
            <w:noWrap/>
            <w:vAlign w:val="bottom"/>
            <w:hideMark/>
          </w:tcPr>
          <w:p w14:paraId="79251C0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1FB234A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464 480</w:t>
            </w:r>
          </w:p>
        </w:tc>
        <w:tc>
          <w:tcPr>
            <w:tcW w:w="1053" w:type="dxa"/>
            <w:tcBorders>
              <w:top w:val="nil"/>
              <w:left w:val="nil"/>
              <w:bottom w:val="nil"/>
              <w:right w:val="single" w:sz="8" w:space="0" w:color="auto"/>
            </w:tcBorders>
            <w:shd w:val="clear" w:color="000000" w:fill="FFFFFF"/>
            <w:noWrap/>
            <w:vAlign w:val="bottom"/>
            <w:hideMark/>
          </w:tcPr>
          <w:p w14:paraId="129AD65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C4854C7"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60E142EC"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LITAUEN</w:t>
            </w:r>
          </w:p>
        </w:tc>
        <w:tc>
          <w:tcPr>
            <w:tcW w:w="700" w:type="dxa"/>
            <w:tcBorders>
              <w:top w:val="nil"/>
              <w:left w:val="nil"/>
              <w:bottom w:val="nil"/>
              <w:right w:val="single" w:sz="8" w:space="0" w:color="auto"/>
            </w:tcBorders>
            <w:shd w:val="clear" w:color="000000" w:fill="BFBFBF"/>
            <w:noWrap/>
            <w:vAlign w:val="bottom"/>
            <w:hideMark/>
          </w:tcPr>
          <w:p w14:paraId="3CD13266"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0,18077</w:t>
            </w:r>
          </w:p>
        </w:tc>
        <w:tc>
          <w:tcPr>
            <w:tcW w:w="1436" w:type="dxa"/>
            <w:tcBorders>
              <w:top w:val="nil"/>
              <w:left w:val="nil"/>
              <w:bottom w:val="nil"/>
              <w:right w:val="single" w:sz="4" w:space="0" w:color="auto"/>
            </w:tcBorders>
            <w:shd w:val="clear" w:color="000000" w:fill="FFFFFF"/>
            <w:noWrap/>
            <w:vAlign w:val="bottom"/>
            <w:hideMark/>
          </w:tcPr>
          <w:p w14:paraId="408744A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1 446 160</w:t>
            </w:r>
          </w:p>
        </w:tc>
        <w:tc>
          <w:tcPr>
            <w:tcW w:w="1124" w:type="dxa"/>
            <w:tcBorders>
              <w:top w:val="nil"/>
              <w:left w:val="nil"/>
              <w:bottom w:val="nil"/>
              <w:right w:val="single" w:sz="8" w:space="0" w:color="auto"/>
            </w:tcBorders>
            <w:shd w:val="clear" w:color="000000" w:fill="FFFFFF"/>
            <w:noWrap/>
            <w:vAlign w:val="bottom"/>
            <w:hideMark/>
          </w:tcPr>
          <w:p w14:paraId="20618D1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16 269</w:t>
            </w:r>
          </w:p>
        </w:tc>
        <w:tc>
          <w:tcPr>
            <w:tcW w:w="1459" w:type="dxa"/>
            <w:tcBorders>
              <w:top w:val="nil"/>
              <w:left w:val="nil"/>
              <w:bottom w:val="nil"/>
              <w:right w:val="single" w:sz="4" w:space="0" w:color="auto"/>
            </w:tcBorders>
            <w:shd w:val="clear" w:color="000000" w:fill="FFFFFF"/>
            <w:noWrap/>
            <w:vAlign w:val="bottom"/>
            <w:hideMark/>
          </w:tcPr>
          <w:p w14:paraId="596E7DB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1 265 390</w:t>
            </w:r>
          </w:p>
        </w:tc>
        <w:tc>
          <w:tcPr>
            <w:tcW w:w="1141" w:type="dxa"/>
            <w:tcBorders>
              <w:top w:val="nil"/>
              <w:left w:val="nil"/>
              <w:bottom w:val="nil"/>
              <w:right w:val="single" w:sz="8" w:space="0" w:color="auto"/>
            </w:tcBorders>
            <w:shd w:val="clear" w:color="000000" w:fill="FFFFFF"/>
            <w:noWrap/>
            <w:vAlign w:val="bottom"/>
            <w:hideMark/>
          </w:tcPr>
          <w:p w14:paraId="7ED92DC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CBDAE1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831 542</w:t>
            </w:r>
          </w:p>
        </w:tc>
        <w:tc>
          <w:tcPr>
            <w:tcW w:w="1167" w:type="dxa"/>
            <w:tcBorders>
              <w:top w:val="nil"/>
              <w:left w:val="nil"/>
              <w:bottom w:val="nil"/>
              <w:right w:val="single" w:sz="8" w:space="0" w:color="auto"/>
            </w:tcBorders>
            <w:shd w:val="clear" w:color="000000" w:fill="FFFFFF"/>
            <w:noWrap/>
            <w:vAlign w:val="bottom"/>
            <w:hideMark/>
          </w:tcPr>
          <w:p w14:paraId="43CB916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7394E99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723 080</w:t>
            </w:r>
          </w:p>
        </w:tc>
        <w:tc>
          <w:tcPr>
            <w:tcW w:w="1053" w:type="dxa"/>
            <w:tcBorders>
              <w:top w:val="nil"/>
              <w:left w:val="nil"/>
              <w:bottom w:val="nil"/>
              <w:right w:val="single" w:sz="8" w:space="0" w:color="auto"/>
            </w:tcBorders>
            <w:shd w:val="clear" w:color="000000" w:fill="FFFFFF"/>
            <w:noWrap/>
            <w:vAlign w:val="bottom"/>
            <w:hideMark/>
          </w:tcPr>
          <w:p w14:paraId="32D1236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6710121"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1DE923C5"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LUXEMBOURG</w:t>
            </w:r>
          </w:p>
        </w:tc>
        <w:tc>
          <w:tcPr>
            <w:tcW w:w="700" w:type="dxa"/>
            <w:tcBorders>
              <w:top w:val="nil"/>
              <w:left w:val="nil"/>
              <w:bottom w:val="nil"/>
              <w:right w:val="single" w:sz="8" w:space="0" w:color="auto"/>
            </w:tcBorders>
            <w:shd w:val="clear" w:color="000000" w:fill="BFBFBF"/>
            <w:noWrap/>
            <w:vAlign w:val="bottom"/>
            <w:hideMark/>
          </w:tcPr>
          <w:p w14:paraId="140E0F5D"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0,25509</w:t>
            </w:r>
          </w:p>
        </w:tc>
        <w:tc>
          <w:tcPr>
            <w:tcW w:w="1436" w:type="dxa"/>
            <w:tcBorders>
              <w:top w:val="nil"/>
              <w:left w:val="nil"/>
              <w:bottom w:val="nil"/>
              <w:right w:val="single" w:sz="4" w:space="0" w:color="auto"/>
            </w:tcBorders>
            <w:shd w:val="clear" w:color="000000" w:fill="FFFFFF"/>
            <w:noWrap/>
            <w:vAlign w:val="bottom"/>
            <w:hideMark/>
          </w:tcPr>
          <w:p w14:paraId="7A70319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2 040 720</w:t>
            </w:r>
          </w:p>
        </w:tc>
        <w:tc>
          <w:tcPr>
            <w:tcW w:w="1124" w:type="dxa"/>
            <w:tcBorders>
              <w:top w:val="nil"/>
              <w:left w:val="nil"/>
              <w:bottom w:val="nil"/>
              <w:right w:val="single" w:sz="8" w:space="0" w:color="auto"/>
            </w:tcBorders>
            <w:shd w:val="clear" w:color="000000" w:fill="FFFFFF"/>
            <w:noWrap/>
            <w:vAlign w:val="bottom"/>
            <w:hideMark/>
          </w:tcPr>
          <w:p w14:paraId="3D2C0AC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22 958</w:t>
            </w:r>
          </w:p>
        </w:tc>
        <w:tc>
          <w:tcPr>
            <w:tcW w:w="1459" w:type="dxa"/>
            <w:tcBorders>
              <w:top w:val="nil"/>
              <w:left w:val="nil"/>
              <w:bottom w:val="nil"/>
              <w:right w:val="single" w:sz="4" w:space="0" w:color="auto"/>
            </w:tcBorders>
            <w:shd w:val="clear" w:color="000000" w:fill="FFFFFF"/>
            <w:noWrap/>
            <w:vAlign w:val="bottom"/>
            <w:hideMark/>
          </w:tcPr>
          <w:p w14:paraId="5DA778A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1 785 630</w:t>
            </w:r>
          </w:p>
        </w:tc>
        <w:tc>
          <w:tcPr>
            <w:tcW w:w="1141" w:type="dxa"/>
            <w:tcBorders>
              <w:top w:val="nil"/>
              <w:left w:val="nil"/>
              <w:bottom w:val="nil"/>
              <w:right w:val="single" w:sz="8" w:space="0" w:color="auto"/>
            </w:tcBorders>
            <w:shd w:val="clear" w:color="000000" w:fill="FFFFFF"/>
            <w:noWrap/>
            <w:vAlign w:val="bottom"/>
            <w:hideMark/>
          </w:tcPr>
          <w:p w14:paraId="7CCC3CC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244EBF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1 173 414</w:t>
            </w:r>
          </w:p>
        </w:tc>
        <w:tc>
          <w:tcPr>
            <w:tcW w:w="1167" w:type="dxa"/>
            <w:tcBorders>
              <w:top w:val="nil"/>
              <w:left w:val="nil"/>
              <w:bottom w:val="nil"/>
              <w:right w:val="single" w:sz="8" w:space="0" w:color="auto"/>
            </w:tcBorders>
            <w:shd w:val="clear" w:color="000000" w:fill="FFFFFF"/>
            <w:noWrap/>
            <w:vAlign w:val="bottom"/>
            <w:hideMark/>
          </w:tcPr>
          <w:p w14:paraId="691D7A2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AE4546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1 020 360</w:t>
            </w:r>
          </w:p>
        </w:tc>
        <w:tc>
          <w:tcPr>
            <w:tcW w:w="1053" w:type="dxa"/>
            <w:tcBorders>
              <w:top w:val="nil"/>
              <w:left w:val="nil"/>
              <w:bottom w:val="nil"/>
              <w:right w:val="single" w:sz="8" w:space="0" w:color="auto"/>
            </w:tcBorders>
            <w:shd w:val="clear" w:color="000000" w:fill="FFFFFF"/>
            <w:noWrap/>
            <w:vAlign w:val="bottom"/>
            <w:hideMark/>
          </w:tcPr>
          <w:p w14:paraId="1486E7A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6E8A6C7A"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08450936"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UNGARN</w:t>
            </w:r>
          </w:p>
        </w:tc>
        <w:tc>
          <w:tcPr>
            <w:tcW w:w="700" w:type="dxa"/>
            <w:tcBorders>
              <w:top w:val="nil"/>
              <w:left w:val="nil"/>
              <w:bottom w:val="nil"/>
              <w:right w:val="single" w:sz="8" w:space="0" w:color="auto"/>
            </w:tcBorders>
            <w:shd w:val="clear" w:color="000000" w:fill="BFBFBF"/>
            <w:noWrap/>
            <w:vAlign w:val="bottom"/>
            <w:hideMark/>
          </w:tcPr>
          <w:p w14:paraId="5B7F1543"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0,61456</w:t>
            </w:r>
          </w:p>
        </w:tc>
        <w:tc>
          <w:tcPr>
            <w:tcW w:w="1436" w:type="dxa"/>
            <w:tcBorders>
              <w:top w:val="nil"/>
              <w:left w:val="nil"/>
              <w:bottom w:val="nil"/>
              <w:right w:val="single" w:sz="4" w:space="0" w:color="auto"/>
            </w:tcBorders>
            <w:shd w:val="clear" w:color="000000" w:fill="FFFFFF"/>
            <w:noWrap/>
            <w:vAlign w:val="bottom"/>
            <w:hideMark/>
          </w:tcPr>
          <w:p w14:paraId="355F917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4 916 480</w:t>
            </w:r>
          </w:p>
        </w:tc>
        <w:tc>
          <w:tcPr>
            <w:tcW w:w="1124" w:type="dxa"/>
            <w:tcBorders>
              <w:top w:val="nil"/>
              <w:left w:val="nil"/>
              <w:bottom w:val="nil"/>
              <w:right w:val="single" w:sz="8" w:space="0" w:color="auto"/>
            </w:tcBorders>
            <w:shd w:val="clear" w:color="000000" w:fill="FFFFFF"/>
            <w:noWrap/>
            <w:vAlign w:val="bottom"/>
            <w:hideMark/>
          </w:tcPr>
          <w:p w14:paraId="2E5C722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55 310</w:t>
            </w:r>
          </w:p>
        </w:tc>
        <w:tc>
          <w:tcPr>
            <w:tcW w:w="1459" w:type="dxa"/>
            <w:tcBorders>
              <w:top w:val="nil"/>
              <w:left w:val="nil"/>
              <w:bottom w:val="nil"/>
              <w:right w:val="single" w:sz="4" w:space="0" w:color="auto"/>
            </w:tcBorders>
            <w:shd w:val="clear" w:color="000000" w:fill="FFFFFF"/>
            <w:noWrap/>
            <w:vAlign w:val="bottom"/>
            <w:hideMark/>
          </w:tcPr>
          <w:p w14:paraId="2B94EA1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4 301 920</w:t>
            </w:r>
          </w:p>
        </w:tc>
        <w:tc>
          <w:tcPr>
            <w:tcW w:w="1141" w:type="dxa"/>
            <w:tcBorders>
              <w:top w:val="nil"/>
              <w:left w:val="nil"/>
              <w:bottom w:val="nil"/>
              <w:right w:val="single" w:sz="8" w:space="0" w:color="auto"/>
            </w:tcBorders>
            <w:shd w:val="clear" w:color="000000" w:fill="FFFFFF"/>
            <w:noWrap/>
            <w:vAlign w:val="bottom"/>
            <w:hideMark/>
          </w:tcPr>
          <w:p w14:paraId="0AE426C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DAF83C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2 826 976</w:t>
            </w:r>
          </w:p>
        </w:tc>
        <w:tc>
          <w:tcPr>
            <w:tcW w:w="1167" w:type="dxa"/>
            <w:tcBorders>
              <w:top w:val="nil"/>
              <w:left w:val="nil"/>
              <w:bottom w:val="nil"/>
              <w:right w:val="single" w:sz="8" w:space="0" w:color="auto"/>
            </w:tcBorders>
            <w:shd w:val="clear" w:color="000000" w:fill="FFFFFF"/>
            <w:noWrap/>
            <w:vAlign w:val="bottom"/>
            <w:hideMark/>
          </w:tcPr>
          <w:p w14:paraId="015EE54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08D833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2 458 240</w:t>
            </w:r>
          </w:p>
        </w:tc>
        <w:tc>
          <w:tcPr>
            <w:tcW w:w="1053" w:type="dxa"/>
            <w:tcBorders>
              <w:top w:val="nil"/>
              <w:left w:val="nil"/>
              <w:bottom w:val="nil"/>
              <w:right w:val="single" w:sz="8" w:space="0" w:color="auto"/>
            </w:tcBorders>
            <w:shd w:val="clear" w:color="000000" w:fill="FFFFFF"/>
            <w:noWrap/>
            <w:vAlign w:val="bottom"/>
            <w:hideMark/>
          </w:tcPr>
          <w:p w14:paraId="3FEFD35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83C56DE"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F7086B2"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ΜΑLTA</w:t>
            </w:r>
          </w:p>
        </w:tc>
        <w:tc>
          <w:tcPr>
            <w:tcW w:w="700" w:type="dxa"/>
            <w:tcBorders>
              <w:top w:val="nil"/>
              <w:left w:val="nil"/>
              <w:bottom w:val="nil"/>
              <w:right w:val="single" w:sz="8" w:space="0" w:color="auto"/>
            </w:tcBorders>
            <w:shd w:val="clear" w:color="000000" w:fill="BFBFBF"/>
            <w:noWrap/>
            <w:vAlign w:val="bottom"/>
            <w:hideMark/>
          </w:tcPr>
          <w:p w14:paraId="2AEC369A"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0,03801</w:t>
            </w:r>
          </w:p>
        </w:tc>
        <w:tc>
          <w:tcPr>
            <w:tcW w:w="1436" w:type="dxa"/>
            <w:tcBorders>
              <w:top w:val="nil"/>
              <w:left w:val="nil"/>
              <w:bottom w:val="nil"/>
              <w:right w:val="single" w:sz="4" w:space="0" w:color="auto"/>
            </w:tcBorders>
            <w:shd w:val="clear" w:color="000000" w:fill="FFFFFF"/>
            <w:noWrap/>
            <w:vAlign w:val="bottom"/>
            <w:hideMark/>
          </w:tcPr>
          <w:p w14:paraId="42F786E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304 080</w:t>
            </w:r>
          </w:p>
        </w:tc>
        <w:tc>
          <w:tcPr>
            <w:tcW w:w="1124" w:type="dxa"/>
            <w:tcBorders>
              <w:top w:val="nil"/>
              <w:left w:val="nil"/>
              <w:bottom w:val="nil"/>
              <w:right w:val="single" w:sz="8" w:space="0" w:color="auto"/>
            </w:tcBorders>
            <w:shd w:val="clear" w:color="000000" w:fill="FFFFFF"/>
            <w:noWrap/>
            <w:vAlign w:val="bottom"/>
            <w:hideMark/>
          </w:tcPr>
          <w:p w14:paraId="2CFF981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3 421</w:t>
            </w:r>
          </w:p>
        </w:tc>
        <w:tc>
          <w:tcPr>
            <w:tcW w:w="1459" w:type="dxa"/>
            <w:tcBorders>
              <w:top w:val="nil"/>
              <w:left w:val="nil"/>
              <w:bottom w:val="nil"/>
              <w:right w:val="single" w:sz="4" w:space="0" w:color="auto"/>
            </w:tcBorders>
            <w:shd w:val="clear" w:color="000000" w:fill="FFFFFF"/>
            <w:noWrap/>
            <w:vAlign w:val="bottom"/>
            <w:hideMark/>
          </w:tcPr>
          <w:p w14:paraId="647ACFC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266 070</w:t>
            </w:r>
          </w:p>
        </w:tc>
        <w:tc>
          <w:tcPr>
            <w:tcW w:w="1141" w:type="dxa"/>
            <w:tcBorders>
              <w:top w:val="nil"/>
              <w:left w:val="nil"/>
              <w:bottom w:val="nil"/>
              <w:right w:val="single" w:sz="8" w:space="0" w:color="auto"/>
            </w:tcBorders>
            <w:shd w:val="clear" w:color="000000" w:fill="FFFFFF"/>
            <w:noWrap/>
            <w:vAlign w:val="bottom"/>
            <w:hideMark/>
          </w:tcPr>
          <w:p w14:paraId="5682A15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C749DC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174 846</w:t>
            </w:r>
          </w:p>
        </w:tc>
        <w:tc>
          <w:tcPr>
            <w:tcW w:w="1167" w:type="dxa"/>
            <w:tcBorders>
              <w:top w:val="nil"/>
              <w:left w:val="nil"/>
              <w:bottom w:val="nil"/>
              <w:right w:val="single" w:sz="8" w:space="0" w:color="auto"/>
            </w:tcBorders>
            <w:shd w:val="clear" w:color="000000" w:fill="FFFFFF"/>
            <w:noWrap/>
            <w:vAlign w:val="bottom"/>
            <w:hideMark/>
          </w:tcPr>
          <w:p w14:paraId="50D6FD2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62BB34E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152 040</w:t>
            </w:r>
          </w:p>
        </w:tc>
        <w:tc>
          <w:tcPr>
            <w:tcW w:w="1053" w:type="dxa"/>
            <w:tcBorders>
              <w:top w:val="nil"/>
              <w:left w:val="nil"/>
              <w:bottom w:val="nil"/>
              <w:right w:val="single" w:sz="8" w:space="0" w:color="auto"/>
            </w:tcBorders>
            <w:shd w:val="clear" w:color="000000" w:fill="FFFFFF"/>
            <w:noWrap/>
            <w:vAlign w:val="bottom"/>
            <w:hideMark/>
          </w:tcPr>
          <w:p w14:paraId="42E9A3C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C642B15"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5DDD531F"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NEDERLANDENE</w:t>
            </w:r>
          </w:p>
        </w:tc>
        <w:tc>
          <w:tcPr>
            <w:tcW w:w="700" w:type="dxa"/>
            <w:tcBorders>
              <w:top w:val="nil"/>
              <w:left w:val="nil"/>
              <w:bottom w:val="nil"/>
              <w:right w:val="single" w:sz="8" w:space="0" w:color="auto"/>
            </w:tcBorders>
            <w:shd w:val="clear" w:color="000000" w:fill="BFBFBF"/>
            <w:noWrap/>
            <w:vAlign w:val="bottom"/>
            <w:hideMark/>
          </w:tcPr>
          <w:p w14:paraId="0ECAA940"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4,77678</w:t>
            </w:r>
          </w:p>
        </w:tc>
        <w:tc>
          <w:tcPr>
            <w:tcW w:w="1436" w:type="dxa"/>
            <w:tcBorders>
              <w:top w:val="nil"/>
              <w:left w:val="nil"/>
              <w:bottom w:val="nil"/>
              <w:right w:val="single" w:sz="4" w:space="0" w:color="auto"/>
            </w:tcBorders>
            <w:shd w:val="clear" w:color="000000" w:fill="FFFFFF"/>
            <w:noWrap/>
            <w:vAlign w:val="bottom"/>
            <w:hideMark/>
          </w:tcPr>
          <w:p w14:paraId="0FCBBFB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38 214 240</w:t>
            </w:r>
          </w:p>
        </w:tc>
        <w:tc>
          <w:tcPr>
            <w:tcW w:w="1124" w:type="dxa"/>
            <w:tcBorders>
              <w:top w:val="nil"/>
              <w:left w:val="nil"/>
              <w:bottom w:val="nil"/>
              <w:right w:val="single" w:sz="8" w:space="0" w:color="auto"/>
            </w:tcBorders>
            <w:shd w:val="clear" w:color="000000" w:fill="FFFFFF"/>
            <w:noWrap/>
            <w:vAlign w:val="bottom"/>
            <w:hideMark/>
          </w:tcPr>
          <w:p w14:paraId="168588B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429 910</w:t>
            </w:r>
          </w:p>
        </w:tc>
        <w:tc>
          <w:tcPr>
            <w:tcW w:w="1459" w:type="dxa"/>
            <w:tcBorders>
              <w:top w:val="nil"/>
              <w:left w:val="nil"/>
              <w:bottom w:val="nil"/>
              <w:right w:val="single" w:sz="4" w:space="0" w:color="auto"/>
            </w:tcBorders>
            <w:shd w:val="clear" w:color="000000" w:fill="FFFFFF"/>
            <w:noWrap/>
            <w:vAlign w:val="bottom"/>
            <w:hideMark/>
          </w:tcPr>
          <w:p w14:paraId="1BD9F2A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33 437 460</w:t>
            </w:r>
          </w:p>
        </w:tc>
        <w:tc>
          <w:tcPr>
            <w:tcW w:w="1141" w:type="dxa"/>
            <w:tcBorders>
              <w:top w:val="nil"/>
              <w:left w:val="nil"/>
              <w:bottom w:val="nil"/>
              <w:right w:val="single" w:sz="8" w:space="0" w:color="auto"/>
            </w:tcBorders>
            <w:shd w:val="clear" w:color="000000" w:fill="FFFFFF"/>
            <w:noWrap/>
            <w:vAlign w:val="bottom"/>
            <w:hideMark/>
          </w:tcPr>
          <w:p w14:paraId="133DB56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165CD2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21 973 188</w:t>
            </w:r>
          </w:p>
        </w:tc>
        <w:tc>
          <w:tcPr>
            <w:tcW w:w="1167" w:type="dxa"/>
            <w:tcBorders>
              <w:top w:val="nil"/>
              <w:left w:val="nil"/>
              <w:bottom w:val="nil"/>
              <w:right w:val="single" w:sz="8" w:space="0" w:color="auto"/>
            </w:tcBorders>
            <w:shd w:val="clear" w:color="000000" w:fill="FFFFFF"/>
            <w:noWrap/>
            <w:vAlign w:val="bottom"/>
            <w:hideMark/>
          </w:tcPr>
          <w:p w14:paraId="797BE74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164325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19 107 120</w:t>
            </w:r>
          </w:p>
        </w:tc>
        <w:tc>
          <w:tcPr>
            <w:tcW w:w="1053" w:type="dxa"/>
            <w:tcBorders>
              <w:top w:val="nil"/>
              <w:left w:val="nil"/>
              <w:bottom w:val="nil"/>
              <w:right w:val="single" w:sz="8" w:space="0" w:color="auto"/>
            </w:tcBorders>
            <w:shd w:val="clear" w:color="000000" w:fill="FFFFFF"/>
            <w:noWrap/>
            <w:vAlign w:val="bottom"/>
            <w:hideMark/>
          </w:tcPr>
          <w:p w14:paraId="1BEADE7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36F8D0D3"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9D5878A"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ØSTRIG</w:t>
            </w:r>
          </w:p>
        </w:tc>
        <w:tc>
          <w:tcPr>
            <w:tcW w:w="700" w:type="dxa"/>
            <w:tcBorders>
              <w:top w:val="nil"/>
              <w:left w:val="nil"/>
              <w:bottom w:val="nil"/>
              <w:right w:val="single" w:sz="8" w:space="0" w:color="auto"/>
            </w:tcBorders>
            <w:shd w:val="clear" w:color="000000" w:fill="BFBFBF"/>
            <w:noWrap/>
            <w:vAlign w:val="bottom"/>
            <w:hideMark/>
          </w:tcPr>
          <w:p w14:paraId="1FBD9AD7"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2,39757</w:t>
            </w:r>
          </w:p>
        </w:tc>
        <w:tc>
          <w:tcPr>
            <w:tcW w:w="1436" w:type="dxa"/>
            <w:tcBorders>
              <w:top w:val="nil"/>
              <w:left w:val="nil"/>
              <w:bottom w:val="nil"/>
              <w:right w:val="single" w:sz="4" w:space="0" w:color="auto"/>
            </w:tcBorders>
            <w:shd w:val="clear" w:color="000000" w:fill="FFFFFF"/>
            <w:noWrap/>
            <w:vAlign w:val="bottom"/>
            <w:hideMark/>
          </w:tcPr>
          <w:p w14:paraId="47E9FE8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19 180 560</w:t>
            </w:r>
          </w:p>
        </w:tc>
        <w:tc>
          <w:tcPr>
            <w:tcW w:w="1124" w:type="dxa"/>
            <w:tcBorders>
              <w:top w:val="nil"/>
              <w:left w:val="nil"/>
              <w:bottom w:val="nil"/>
              <w:right w:val="single" w:sz="8" w:space="0" w:color="auto"/>
            </w:tcBorders>
            <w:shd w:val="clear" w:color="000000" w:fill="FFFFFF"/>
            <w:noWrap/>
            <w:vAlign w:val="bottom"/>
            <w:hideMark/>
          </w:tcPr>
          <w:p w14:paraId="76D735E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215 781</w:t>
            </w:r>
          </w:p>
        </w:tc>
        <w:tc>
          <w:tcPr>
            <w:tcW w:w="1459" w:type="dxa"/>
            <w:tcBorders>
              <w:top w:val="nil"/>
              <w:left w:val="nil"/>
              <w:bottom w:val="nil"/>
              <w:right w:val="single" w:sz="4" w:space="0" w:color="auto"/>
            </w:tcBorders>
            <w:shd w:val="clear" w:color="000000" w:fill="FFFFFF"/>
            <w:noWrap/>
            <w:vAlign w:val="bottom"/>
            <w:hideMark/>
          </w:tcPr>
          <w:p w14:paraId="393B87C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16 782 990</w:t>
            </w:r>
          </w:p>
        </w:tc>
        <w:tc>
          <w:tcPr>
            <w:tcW w:w="1141" w:type="dxa"/>
            <w:tcBorders>
              <w:top w:val="nil"/>
              <w:left w:val="nil"/>
              <w:bottom w:val="nil"/>
              <w:right w:val="single" w:sz="8" w:space="0" w:color="auto"/>
            </w:tcBorders>
            <w:shd w:val="clear" w:color="000000" w:fill="FFFFFF"/>
            <w:noWrap/>
            <w:vAlign w:val="bottom"/>
            <w:hideMark/>
          </w:tcPr>
          <w:p w14:paraId="3BD3D0C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7FE329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11 028 822</w:t>
            </w:r>
          </w:p>
        </w:tc>
        <w:tc>
          <w:tcPr>
            <w:tcW w:w="1167" w:type="dxa"/>
            <w:tcBorders>
              <w:top w:val="nil"/>
              <w:left w:val="nil"/>
              <w:bottom w:val="nil"/>
              <w:right w:val="single" w:sz="8" w:space="0" w:color="auto"/>
            </w:tcBorders>
            <w:shd w:val="clear" w:color="000000" w:fill="FFFFFF"/>
            <w:noWrap/>
            <w:vAlign w:val="bottom"/>
            <w:hideMark/>
          </w:tcPr>
          <w:p w14:paraId="7DE6ECA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1F124FF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9 590 280</w:t>
            </w:r>
          </w:p>
        </w:tc>
        <w:tc>
          <w:tcPr>
            <w:tcW w:w="1053" w:type="dxa"/>
            <w:tcBorders>
              <w:top w:val="nil"/>
              <w:left w:val="nil"/>
              <w:bottom w:val="nil"/>
              <w:right w:val="single" w:sz="8" w:space="0" w:color="auto"/>
            </w:tcBorders>
            <w:shd w:val="clear" w:color="000000" w:fill="FFFFFF"/>
            <w:noWrap/>
            <w:vAlign w:val="bottom"/>
            <w:hideMark/>
          </w:tcPr>
          <w:p w14:paraId="1C92635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284C3765"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0270038D"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POLEN</w:t>
            </w:r>
          </w:p>
        </w:tc>
        <w:tc>
          <w:tcPr>
            <w:tcW w:w="700" w:type="dxa"/>
            <w:tcBorders>
              <w:top w:val="nil"/>
              <w:left w:val="nil"/>
              <w:bottom w:val="nil"/>
              <w:right w:val="single" w:sz="8" w:space="0" w:color="auto"/>
            </w:tcBorders>
            <w:shd w:val="clear" w:color="000000" w:fill="BFBFBF"/>
            <w:noWrap/>
            <w:vAlign w:val="bottom"/>
            <w:hideMark/>
          </w:tcPr>
          <w:p w14:paraId="1E44E3FC"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2,00734</w:t>
            </w:r>
          </w:p>
        </w:tc>
        <w:tc>
          <w:tcPr>
            <w:tcW w:w="1436" w:type="dxa"/>
            <w:tcBorders>
              <w:top w:val="nil"/>
              <w:left w:val="nil"/>
              <w:bottom w:val="nil"/>
              <w:right w:val="single" w:sz="4" w:space="0" w:color="auto"/>
            </w:tcBorders>
            <w:shd w:val="clear" w:color="000000" w:fill="FFFFFF"/>
            <w:noWrap/>
            <w:vAlign w:val="bottom"/>
            <w:hideMark/>
          </w:tcPr>
          <w:p w14:paraId="53EAF10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16 058 720</w:t>
            </w:r>
          </w:p>
        </w:tc>
        <w:tc>
          <w:tcPr>
            <w:tcW w:w="1124" w:type="dxa"/>
            <w:tcBorders>
              <w:top w:val="nil"/>
              <w:left w:val="nil"/>
              <w:bottom w:val="nil"/>
              <w:right w:val="single" w:sz="8" w:space="0" w:color="auto"/>
            </w:tcBorders>
            <w:shd w:val="clear" w:color="000000" w:fill="FFFFFF"/>
            <w:noWrap/>
            <w:vAlign w:val="bottom"/>
            <w:hideMark/>
          </w:tcPr>
          <w:p w14:paraId="772D3FA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180 661</w:t>
            </w:r>
          </w:p>
        </w:tc>
        <w:tc>
          <w:tcPr>
            <w:tcW w:w="1459" w:type="dxa"/>
            <w:tcBorders>
              <w:top w:val="nil"/>
              <w:left w:val="nil"/>
              <w:bottom w:val="nil"/>
              <w:right w:val="single" w:sz="4" w:space="0" w:color="auto"/>
            </w:tcBorders>
            <w:shd w:val="clear" w:color="000000" w:fill="FFFFFF"/>
            <w:noWrap/>
            <w:vAlign w:val="bottom"/>
            <w:hideMark/>
          </w:tcPr>
          <w:p w14:paraId="1DF0E18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14 051 380</w:t>
            </w:r>
          </w:p>
        </w:tc>
        <w:tc>
          <w:tcPr>
            <w:tcW w:w="1141" w:type="dxa"/>
            <w:tcBorders>
              <w:top w:val="nil"/>
              <w:left w:val="nil"/>
              <w:bottom w:val="nil"/>
              <w:right w:val="single" w:sz="8" w:space="0" w:color="auto"/>
            </w:tcBorders>
            <w:shd w:val="clear" w:color="000000" w:fill="FFFFFF"/>
            <w:noWrap/>
            <w:vAlign w:val="bottom"/>
            <w:hideMark/>
          </w:tcPr>
          <w:p w14:paraId="3D08164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7A4AE09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9 233 764</w:t>
            </w:r>
          </w:p>
        </w:tc>
        <w:tc>
          <w:tcPr>
            <w:tcW w:w="1167" w:type="dxa"/>
            <w:tcBorders>
              <w:top w:val="nil"/>
              <w:left w:val="nil"/>
              <w:bottom w:val="nil"/>
              <w:right w:val="single" w:sz="8" w:space="0" w:color="auto"/>
            </w:tcBorders>
            <w:shd w:val="clear" w:color="000000" w:fill="FFFFFF"/>
            <w:noWrap/>
            <w:vAlign w:val="bottom"/>
            <w:hideMark/>
          </w:tcPr>
          <w:p w14:paraId="2597731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E27695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8 029 360</w:t>
            </w:r>
          </w:p>
        </w:tc>
        <w:tc>
          <w:tcPr>
            <w:tcW w:w="1053" w:type="dxa"/>
            <w:tcBorders>
              <w:top w:val="nil"/>
              <w:left w:val="nil"/>
              <w:bottom w:val="nil"/>
              <w:right w:val="single" w:sz="8" w:space="0" w:color="auto"/>
            </w:tcBorders>
            <w:shd w:val="clear" w:color="000000" w:fill="FFFFFF"/>
            <w:noWrap/>
            <w:vAlign w:val="bottom"/>
            <w:hideMark/>
          </w:tcPr>
          <w:p w14:paraId="0901E21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7FD00C63"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0EF5F4C3"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PORTUGAL</w:t>
            </w:r>
          </w:p>
        </w:tc>
        <w:tc>
          <w:tcPr>
            <w:tcW w:w="700" w:type="dxa"/>
            <w:tcBorders>
              <w:top w:val="nil"/>
              <w:left w:val="nil"/>
              <w:bottom w:val="nil"/>
              <w:right w:val="single" w:sz="8" w:space="0" w:color="auto"/>
            </w:tcBorders>
            <w:shd w:val="clear" w:color="000000" w:fill="BFBFBF"/>
            <w:noWrap/>
            <w:vAlign w:val="bottom"/>
            <w:hideMark/>
          </w:tcPr>
          <w:p w14:paraId="0CBB92DE"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1,19679</w:t>
            </w:r>
          </w:p>
        </w:tc>
        <w:tc>
          <w:tcPr>
            <w:tcW w:w="1436" w:type="dxa"/>
            <w:tcBorders>
              <w:top w:val="nil"/>
              <w:left w:val="nil"/>
              <w:bottom w:val="nil"/>
              <w:right w:val="single" w:sz="4" w:space="0" w:color="auto"/>
            </w:tcBorders>
            <w:shd w:val="clear" w:color="000000" w:fill="FFFFFF"/>
            <w:noWrap/>
            <w:vAlign w:val="bottom"/>
            <w:hideMark/>
          </w:tcPr>
          <w:p w14:paraId="12FE00B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9 574 320</w:t>
            </w:r>
          </w:p>
        </w:tc>
        <w:tc>
          <w:tcPr>
            <w:tcW w:w="1124" w:type="dxa"/>
            <w:tcBorders>
              <w:top w:val="nil"/>
              <w:left w:val="nil"/>
              <w:bottom w:val="nil"/>
              <w:right w:val="single" w:sz="8" w:space="0" w:color="auto"/>
            </w:tcBorders>
            <w:shd w:val="clear" w:color="000000" w:fill="FFFFFF"/>
            <w:noWrap/>
            <w:vAlign w:val="bottom"/>
            <w:hideMark/>
          </w:tcPr>
          <w:p w14:paraId="356DB9C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107 711</w:t>
            </w:r>
          </w:p>
        </w:tc>
        <w:tc>
          <w:tcPr>
            <w:tcW w:w="1459" w:type="dxa"/>
            <w:tcBorders>
              <w:top w:val="nil"/>
              <w:left w:val="nil"/>
              <w:bottom w:val="nil"/>
              <w:right w:val="single" w:sz="4" w:space="0" w:color="auto"/>
            </w:tcBorders>
            <w:shd w:val="clear" w:color="000000" w:fill="FFFFFF"/>
            <w:noWrap/>
            <w:vAlign w:val="bottom"/>
            <w:hideMark/>
          </w:tcPr>
          <w:p w14:paraId="4D7BFC1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8 377 530</w:t>
            </w:r>
          </w:p>
        </w:tc>
        <w:tc>
          <w:tcPr>
            <w:tcW w:w="1141" w:type="dxa"/>
            <w:tcBorders>
              <w:top w:val="nil"/>
              <w:left w:val="nil"/>
              <w:bottom w:val="nil"/>
              <w:right w:val="single" w:sz="8" w:space="0" w:color="auto"/>
            </w:tcBorders>
            <w:shd w:val="clear" w:color="000000" w:fill="FFFFFF"/>
            <w:noWrap/>
            <w:vAlign w:val="bottom"/>
            <w:hideMark/>
          </w:tcPr>
          <w:p w14:paraId="2882526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2A9EEED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5 505 234</w:t>
            </w:r>
          </w:p>
        </w:tc>
        <w:tc>
          <w:tcPr>
            <w:tcW w:w="1167" w:type="dxa"/>
            <w:tcBorders>
              <w:top w:val="nil"/>
              <w:left w:val="nil"/>
              <w:bottom w:val="nil"/>
              <w:right w:val="single" w:sz="8" w:space="0" w:color="auto"/>
            </w:tcBorders>
            <w:shd w:val="clear" w:color="000000" w:fill="FFFFFF"/>
            <w:noWrap/>
            <w:vAlign w:val="bottom"/>
            <w:hideMark/>
          </w:tcPr>
          <w:p w14:paraId="2E3C756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6070FA6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4 787 160</w:t>
            </w:r>
          </w:p>
        </w:tc>
        <w:tc>
          <w:tcPr>
            <w:tcW w:w="1053" w:type="dxa"/>
            <w:tcBorders>
              <w:top w:val="nil"/>
              <w:left w:val="nil"/>
              <w:bottom w:val="nil"/>
              <w:right w:val="single" w:sz="8" w:space="0" w:color="auto"/>
            </w:tcBorders>
            <w:shd w:val="clear" w:color="000000" w:fill="FFFFFF"/>
            <w:noWrap/>
            <w:vAlign w:val="bottom"/>
            <w:hideMark/>
          </w:tcPr>
          <w:p w14:paraId="6944647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0C36868"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6B78314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RUMÆNIEN</w:t>
            </w:r>
          </w:p>
        </w:tc>
        <w:tc>
          <w:tcPr>
            <w:tcW w:w="700" w:type="dxa"/>
            <w:tcBorders>
              <w:top w:val="nil"/>
              <w:left w:val="nil"/>
              <w:bottom w:val="nil"/>
              <w:right w:val="single" w:sz="8" w:space="0" w:color="auto"/>
            </w:tcBorders>
            <w:shd w:val="clear" w:color="000000" w:fill="BFBFBF"/>
            <w:noWrap/>
            <w:vAlign w:val="bottom"/>
            <w:hideMark/>
          </w:tcPr>
          <w:p w14:paraId="7D06EEEB"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0,71815</w:t>
            </w:r>
          </w:p>
        </w:tc>
        <w:tc>
          <w:tcPr>
            <w:tcW w:w="1436" w:type="dxa"/>
            <w:tcBorders>
              <w:top w:val="nil"/>
              <w:left w:val="nil"/>
              <w:bottom w:val="nil"/>
              <w:right w:val="single" w:sz="4" w:space="0" w:color="auto"/>
            </w:tcBorders>
            <w:shd w:val="clear" w:color="000000" w:fill="FFFFFF"/>
            <w:noWrap/>
            <w:vAlign w:val="bottom"/>
            <w:hideMark/>
          </w:tcPr>
          <w:p w14:paraId="0E0898E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5 745 200</w:t>
            </w:r>
          </w:p>
        </w:tc>
        <w:tc>
          <w:tcPr>
            <w:tcW w:w="1124" w:type="dxa"/>
            <w:tcBorders>
              <w:top w:val="nil"/>
              <w:left w:val="nil"/>
              <w:bottom w:val="nil"/>
              <w:right w:val="single" w:sz="8" w:space="0" w:color="auto"/>
            </w:tcBorders>
            <w:shd w:val="clear" w:color="000000" w:fill="FFFFFF"/>
            <w:noWrap/>
            <w:vAlign w:val="bottom"/>
            <w:hideMark/>
          </w:tcPr>
          <w:p w14:paraId="7ADE55D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64 634</w:t>
            </w:r>
          </w:p>
        </w:tc>
        <w:tc>
          <w:tcPr>
            <w:tcW w:w="1459" w:type="dxa"/>
            <w:tcBorders>
              <w:top w:val="nil"/>
              <w:left w:val="nil"/>
              <w:bottom w:val="nil"/>
              <w:right w:val="single" w:sz="4" w:space="0" w:color="auto"/>
            </w:tcBorders>
            <w:shd w:val="clear" w:color="000000" w:fill="FFFFFF"/>
            <w:noWrap/>
            <w:vAlign w:val="bottom"/>
            <w:hideMark/>
          </w:tcPr>
          <w:p w14:paraId="3E90125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5 027 050</w:t>
            </w:r>
          </w:p>
        </w:tc>
        <w:tc>
          <w:tcPr>
            <w:tcW w:w="1141" w:type="dxa"/>
            <w:tcBorders>
              <w:top w:val="nil"/>
              <w:left w:val="nil"/>
              <w:bottom w:val="nil"/>
              <w:right w:val="single" w:sz="8" w:space="0" w:color="auto"/>
            </w:tcBorders>
            <w:shd w:val="clear" w:color="000000" w:fill="FFFFFF"/>
            <w:noWrap/>
            <w:vAlign w:val="bottom"/>
            <w:hideMark/>
          </w:tcPr>
          <w:p w14:paraId="381C698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350A06D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3 303 490</w:t>
            </w:r>
          </w:p>
        </w:tc>
        <w:tc>
          <w:tcPr>
            <w:tcW w:w="1167" w:type="dxa"/>
            <w:tcBorders>
              <w:top w:val="nil"/>
              <w:left w:val="nil"/>
              <w:bottom w:val="nil"/>
              <w:right w:val="single" w:sz="8" w:space="0" w:color="auto"/>
            </w:tcBorders>
            <w:shd w:val="clear" w:color="000000" w:fill="FFFFFF"/>
            <w:noWrap/>
            <w:vAlign w:val="bottom"/>
            <w:hideMark/>
          </w:tcPr>
          <w:p w14:paraId="5CB4231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05B2244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2 872 600</w:t>
            </w:r>
          </w:p>
        </w:tc>
        <w:tc>
          <w:tcPr>
            <w:tcW w:w="1053" w:type="dxa"/>
            <w:tcBorders>
              <w:top w:val="nil"/>
              <w:left w:val="nil"/>
              <w:bottom w:val="nil"/>
              <w:right w:val="single" w:sz="8" w:space="0" w:color="auto"/>
            </w:tcBorders>
            <w:shd w:val="clear" w:color="000000" w:fill="FFFFFF"/>
            <w:noWrap/>
            <w:vAlign w:val="bottom"/>
            <w:hideMark/>
          </w:tcPr>
          <w:p w14:paraId="1E26C79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025F7101"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73895058"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SLOVENIEN</w:t>
            </w:r>
          </w:p>
        </w:tc>
        <w:tc>
          <w:tcPr>
            <w:tcW w:w="700" w:type="dxa"/>
            <w:tcBorders>
              <w:top w:val="nil"/>
              <w:left w:val="nil"/>
              <w:bottom w:val="nil"/>
              <w:right w:val="single" w:sz="8" w:space="0" w:color="auto"/>
            </w:tcBorders>
            <w:shd w:val="clear" w:color="000000" w:fill="BFBFBF"/>
            <w:noWrap/>
            <w:vAlign w:val="bottom"/>
            <w:hideMark/>
          </w:tcPr>
          <w:p w14:paraId="75DC35C1"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0,22452</w:t>
            </w:r>
          </w:p>
        </w:tc>
        <w:tc>
          <w:tcPr>
            <w:tcW w:w="1436" w:type="dxa"/>
            <w:tcBorders>
              <w:top w:val="nil"/>
              <w:left w:val="nil"/>
              <w:bottom w:val="nil"/>
              <w:right w:val="single" w:sz="4" w:space="0" w:color="auto"/>
            </w:tcBorders>
            <w:shd w:val="clear" w:color="000000" w:fill="FFFFFF"/>
            <w:noWrap/>
            <w:vAlign w:val="bottom"/>
            <w:hideMark/>
          </w:tcPr>
          <w:p w14:paraId="1C071BA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1 796 160</w:t>
            </w:r>
          </w:p>
        </w:tc>
        <w:tc>
          <w:tcPr>
            <w:tcW w:w="1124" w:type="dxa"/>
            <w:tcBorders>
              <w:top w:val="nil"/>
              <w:left w:val="nil"/>
              <w:bottom w:val="nil"/>
              <w:right w:val="single" w:sz="8" w:space="0" w:color="auto"/>
            </w:tcBorders>
            <w:shd w:val="clear" w:color="000000" w:fill="FFFFFF"/>
            <w:noWrap/>
            <w:vAlign w:val="bottom"/>
            <w:hideMark/>
          </w:tcPr>
          <w:p w14:paraId="57BBECB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20 207</w:t>
            </w:r>
          </w:p>
        </w:tc>
        <w:tc>
          <w:tcPr>
            <w:tcW w:w="1459" w:type="dxa"/>
            <w:tcBorders>
              <w:top w:val="nil"/>
              <w:left w:val="nil"/>
              <w:bottom w:val="nil"/>
              <w:right w:val="single" w:sz="4" w:space="0" w:color="auto"/>
            </w:tcBorders>
            <w:shd w:val="clear" w:color="000000" w:fill="FFFFFF"/>
            <w:noWrap/>
            <w:vAlign w:val="bottom"/>
            <w:hideMark/>
          </w:tcPr>
          <w:p w14:paraId="5F74302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1 571 640</w:t>
            </w:r>
          </w:p>
        </w:tc>
        <w:tc>
          <w:tcPr>
            <w:tcW w:w="1141" w:type="dxa"/>
            <w:tcBorders>
              <w:top w:val="nil"/>
              <w:left w:val="nil"/>
              <w:bottom w:val="nil"/>
              <w:right w:val="single" w:sz="8" w:space="0" w:color="auto"/>
            </w:tcBorders>
            <w:shd w:val="clear" w:color="000000" w:fill="FFFFFF"/>
            <w:noWrap/>
            <w:vAlign w:val="bottom"/>
            <w:hideMark/>
          </w:tcPr>
          <w:p w14:paraId="0767E03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3711A9F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1 032 792</w:t>
            </w:r>
          </w:p>
        </w:tc>
        <w:tc>
          <w:tcPr>
            <w:tcW w:w="1167" w:type="dxa"/>
            <w:tcBorders>
              <w:top w:val="nil"/>
              <w:left w:val="nil"/>
              <w:bottom w:val="nil"/>
              <w:right w:val="single" w:sz="8" w:space="0" w:color="auto"/>
            </w:tcBorders>
            <w:shd w:val="clear" w:color="000000" w:fill="FFFFFF"/>
            <w:noWrap/>
            <w:vAlign w:val="bottom"/>
            <w:hideMark/>
          </w:tcPr>
          <w:p w14:paraId="3BB18E7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5B2639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898 080</w:t>
            </w:r>
          </w:p>
        </w:tc>
        <w:tc>
          <w:tcPr>
            <w:tcW w:w="1053" w:type="dxa"/>
            <w:tcBorders>
              <w:top w:val="nil"/>
              <w:left w:val="nil"/>
              <w:bottom w:val="nil"/>
              <w:right w:val="single" w:sz="8" w:space="0" w:color="auto"/>
            </w:tcBorders>
            <w:shd w:val="clear" w:color="000000" w:fill="FFFFFF"/>
            <w:noWrap/>
            <w:vAlign w:val="bottom"/>
            <w:hideMark/>
          </w:tcPr>
          <w:p w14:paraId="47A43A5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6B0CE2F6"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27EF2D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SLOVAKIET</w:t>
            </w:r>
          </w:p>
        </w:tc>
        <w:tc>
          <w:tcPr>
            <w:tcW w:w="700" w:type="dxa"/>
            <w:tcBorders>
              <w:top w:val="nil"/>
              <w:left w:val="nil"/>
              <w:bottom w:val="nil"/>
              <w:right w:val="single" w:sz="8" w:space="0" w:color="auto"/>
            </w:tcBorders>
            <w:shd w:val="clear" w:color="000000" w:fill="BFBFBF"/>
            <w:noWrap/>
            <w:vAlign w:val="bottom"/>
            <w:hideMark/>
          </w:tcPr>
          <w:p w14:paraId="7B368316"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0,37616</w:t>
            </w:r>
          </w:p>
        </w:tc>
        <w:tc>
          <w:tcPr>
            <w:tcW w:w="1436" w:type="dxa"/>
            <w:tcBorders>
              <w:top w:val="nil"/>
              <w:left w:val="nil"/>
              <w:bottom w:val="nil"/>
              <w:right w:val="single" w:sz="4" w:space="0" w:color="auto"/>
            </w:tcBorders>
            <w:shd w:val="clear" w:color="000000" w:fill="FFFFFF"/>
            <w:noWrap/>
            <w:vAlign w:val="bottom"/>
            <w:hideMark/>
          </w:tcPr>
          <w:p w14:paraId="754FCC3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3 009 280</w:t>
            </w:r>
          </w:p>
        </w:tc>
        <w:tc>
          <w:tcPr>
            <w:tcW w:w="1124" w:type="dxa"/>
            <w:tcBorders>
              <w:top w:val="nil"/>
              <w:left w:val="nil"/>
              <w:bottom w:val="nil"/>
              <w:right w:val="single" w:sz="8" w:space="0" w:color="auto"/>
            </w:tcBorders>
            <w:shd w:val="clear" w:color="000000" w:fill="FFFFFF"/>
            <w:noWrap/>
            <w:vAlign w:val="bottom"/>
            <w:hideMark/>
          </w:tcPr>
          <w:p w14:paraId="11594E8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33 854</w:t>
            </w:r>
          </w:p>
        </w:tc>
        <w:tc>
          <w:tcPr>
            <w:tcW w:w="1459" w:type="dxa"/>
            <w:tcBorders>
              <w:top w:val="nil"/>
              <w:left w:val="nil"/>
              <w:bottom w:val="nil"/>
              <w:right w:val="single" w:sz="4" w:space="0" w:color="auto"/>
            </w:tcBorders>
            <w:shd w:val="clear" w:color="000000" w:fill="FFFFFF"/>
            <w:noWrap/>
            <w:vAlign w:val="bottom"/>
            <w:hideMark/>
          </w:tcPr>
          <w:p w14:paraId="2A26DCC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2 633 120</w:t>
            </w:r>
          </w:p>
        </w:tc>
        <w:tc>
          <w:tcPr>
            <w:tcW w:w="1141" w:type="dxa"/>
            <w:tcBorders>
              <w:top w:val="nil"/>
              <w:left w:val="nil"/>
              <w:bottom w:val="nil"/>
              <w:right w:val="single" w:sz="8" w:space="0" w:color="auto"/>
            </w:tcBorders>
            <w:shd w:val="clear" w:color="000000" w:fill="FFFFFF"/>
            <w:noWrap/>
            <w:vAlign w:val="bottom"/>
            <w:hideMark/>
          </w:tcPr>
          <w:p w14:paraId="2FF06D3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359A0C2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1 730 336</w:t>
            </w:r>
          </w:p>
        </w:tc>
        <w:tc>
          <w:tcPr>
            <w:tcW w:w="1167" w:type="dxa"/>
            <w:tcBorders>
              <w:top w:val="nil"/>
              <w:left w:val="nil"/>
              <w:bottom w:val="nil"/>
              <w:right w:val="single" w:sz="8" w:space="0" w:color="auto"/>
            </w:tcBorders>
            <w:shd w:val="clear" w:color="000000" w:fill="FFFFFF"/>
            <w:noWrap/>
            <w:vAlign w:val="bottom"/>
            <w:hideMark/>
          </w:tcPr>
          <w:p w14:paraId="71D0163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56F1401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1 504 640</w:t>
            </w:r>
          </w:p>
        </w:tc>
        <w:tc>
          <w:tcPr>
            <w:tcW w:w="1053" w:type="dxa"/>
            <w:tcBorders>
              <w:top w:val="nil"/>
              <w:left w:val="nil"/>
              <w:bottom w:val="nil"/>
              <w:right w:val="single" w:sz="8" w:space="0" w:color="auto"/>
            </w:tcBorders>
            <w:shd w:val="clear" w:color="000000" w:fill="FFFFFF"/>
            <w:noWrap/>
            <w:vAlign w:val="bottom"/>
            <w:hideMark/>
          </w:tcPr>
          <w:p w14:paraId="0034221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6BFAF031"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686BD4F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FINLAND</w:t>
            </w:r>
          </w:p>
        </w:tc>
        <w:tc>
          <w:tcPr>
            <w:tcW w:w="700" w:type="dxa"/>
            <w:tcBorders>
              <w:top w:val="nil"/>
              <w:left w:val="nil"/>
              <w:bottom w:val="nil"/>
              <w:right w:val="single" w:sz="8" w:space="0" w:color="auto"/>
            </w:tcBorders>
            <w:shd w:val="clear" w:color="000000" w:fill="BFBFBF"/>
            <w:noWrap/>
            <w:vAlign w:val="bottom"/>
            <w:hideMark/>
          </w:tcPr>
          <w:p w14:paraId="0BD577ED"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1,50909</w:t>
            </w:r>
          </w:p>
        </w:tc>
        <w:tc>
          <w:tcPr>
            <w:tcW w:w="1436" w:type="dxa"/>
            <w:tcBorders>
              <w:top w:val="nil"/>
              <w:left w:val="nil"/>
              <w:bottom w:val="nil"/>
              <w:right w:val="single" w:sz="4" w:space="0" w:color="auto"/>
            </w:tcBorders>
            <w:shd w:val="clear" w:color="000000" w:fill="FFFFFF"/>
            <w:noWrap/>
            <w:vAlign w:val="bottom"/>
            <w:hideMark/>
          </w:tcPr>
          <w:p w14:paraId="1766661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12 072 720</w:t>
            </w:r>
          </w:p>
        </w:tc>
        <w:tc>
          <w:tcPr>
            <w:tcW w:w="1124" w:type="dxa"/>
            <w:tcBorders>
              <w:top w:val="nil"/>
              <w:left w:val="nil"/>
              <w:bottom w:val="nil"/>
              <w:right w:val="single" w:sz="8" w:space="0" w:color="auto"/>
            </w:tcBorders>
            <w:shd w:val="clear" w:color="000000" w:fill="FFFFFF"/>
            <w:noWrap/>
            <w:vAlign w:val="bottom"/>
            <w:hideMark/>
          </w:tcPr>
          <w:p w14:paraId="4E6638A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135 818</w:t>
            </w:r>
          </w:p>
        </w:tc>
        <w:tc>
          <w:tcPr>
            <w:tcW w:w="1459" w:type="dxa"/>
            <w:tcBorders>
              <w:top w:val="nil"/>
              <w:left w:val="nil"/>
              <w:bottom w:val="nil"/>
              <w:right w:val="single" w:sz="4" w:space="0" w:color="auto"/>
            </w:tcBorders>
            <w:shd w:val="clear" w:color="000000" w:fill="FFFFFF"/>
            <w:noWrap/>
            <w:vAlign w:val="bottom"/>
            <w:hideMark/>
          </w:tcPr>
          <w:p w14:paraId="4298F58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10 563 630</w:t>
            </w:r>
          </w:p>
        </w:tc>
        <w:tc>
          <w:tcPr>
            <w:tcW w:w="1141" w:type="dxa"/>
            <w:tcBorders>
              <w:top w:val="nil"/>
              <w:left w:val="nil"/>
              <w:bottom w:val="nil"/>
              <w:right w:val="single" w:sz="8" w:space="0" w:color="auto"/>
            </w:tcBorders>
            <w:shd w:val="clear" w:color="000000" w:fill="FFFFFF"/>
            <w:noWrap/>
            <w:vAlign w:val="bottom"/>
            <w:hideMark/>
          </w:tcPr>
          <w:p w14:paraId="0110FE9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04047F1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6 941 814</w:t>
            </w:r>
          </w:p>
        </w:tc>
        <w:tc>
          <w:tcPr>
            <w:tcW w:w="1167" w:type="dxa"/>
            <w:tcBorders>
              <w:top w:val="nil"/>
              <w:left w:val="nil"/>
              <w:bottom w:val="nil"/>
              <w:right w:val="single" w:sz="8" w:space="0" w:color="auto"/>
            </w:tcBorders>
            <w:shd w:val="clear" w:color="000000" w:fill="FFFFFF"/>
            <w:noWrap/>
            <w:vAlign w:val="bottom"/>
            <w:hideMark/>
          </w:tcPr>
          <w:p w14:paraId="3B8C55B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11C15A4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6 036 360</w:t>
            </w:r>
          </w:p>
        </w:tc>
        <w:tc>
          <w:tcPr>
            <w:tcW w:w="1053" w:type="dxa"/>
            <w:tcBorders>
              <w:top w:val="nil"/>
              <w:left w:val="nil"/>
              <w:bottom w:val="nil"/>
              <w:right w:val="single" w:sz="8" w:space="0" w:color="auto"/>
            </w:tcBorders>
            <w:shd w:val="clear" w:color="000000" w:fill="FFFFFF"/>
            <w:noWrap/>
            <w:vAlign w:val="bottom"/>
            <w:hideMark/>
          </w:tcPr>
          <w:p w14:paraId="41B2307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542E9AF"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14DD7E4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SVERIGE</w:t>
            </w:r>
          </w:p>
        </w:tc>
        <w:tc>
          <w:tcPr>
            <w:tcW w:w="700" w:type="dxa"/>
            <w:tcBorders>
              <w:top w:val="nil"/>
              <w:left w:val="nil"/>
              <w:bottom w:val="nil"/>
              <w:right w:val="single" w:sz="8" w:space="0" w:color="auto"/>
            </w:tcBorders>
            <w:shd w:val="clear" w:color="000000" w:fill="BFBFBF"/>
            <w:noWrap/>
            <w:vAlign w:val="bottom"/>
            <w:hideMark/>
          </w:tcPr>
          <w:p w14:paraId="1041B0ED"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2,93911</w:t>
            </w:r>
          </w:p>
        </w:tc>
        <w:tc>
          <w:tcPr>
            <w:tcW w:w="1436" w:type="dxa"/>
            <w:tcBorders>
              <w:top w:val="nil"/>
              <w:left w:val="nil"/>
              <w:bottom w:val="nil"/>
              <w:right w:val="single" w:sz="4" w:space="0" w:color="auto"/>
            </w:tcBorders>
            <w:shd w:val="clear" w:color="000000" w:fill="FFFFFF"/>
            <w:noWrap/>
            <w:vAlign w:val="bottom"/>
            <w:hideMark/>
          </w:tcPr>
          <w:p w14:paraId="432D2CB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23 512 880</w:t>
            </w:r>
          </w:p>
        </w:tc>
        <w:tc>
          <w:tcPr>
            <w:tcW w:w="1124" w:type="dxa"/>
            <w:tcBorders>
              <w:top w:val="nil"/>
              <w:left w:val="nil"/>
              <w:bottom w:val="nil"/>
              <w:right w:val="single" w:sz="8" w:space="0" w:color="auto"/>
            </w:tcBorders>
            <w:shd w:val="clear" w:color="000000" w:fill="FFFFFF"/>
            <w:noWrap/>
            <w:vAlign w:val="bottom"/>
            <w:hideMark/>
          </w:tcPr>
          <w:p w14:paraId="371A5B2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264 520</w:t>
            </w:r>
          </w:p>
        </w:tc>
        <w:tc>
          <w:tcPr>
            <w:tcW w:w="1459" w:type="dxa"/>
            <w:tcBorders>
              <w:top w:val="nil"/>
              <w:left w:val="nil"/>
              <w:bottom w:val="nil"/>
              <w:right w:val="single" w:sz="4" w:space="0" w:color="auto"/>
            </w:tcBorders>
            <w:shd w:val="clear" w:color="000000" w:fill="FFFFFF"/>
            <w:noWrap/>
            <w:vAlign w:val="bottom"/>
            <w:hideMark/>
          </w:tcPr>
          <w:p w14:paraId="0927B0C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20 573 770</w:t>
            </w:r>
          </w:p>
        </w:tc>
        <w:tc>
          <w:tcPr>
            <w:tcW w:w="1141" w:type="dxa"/>
            <w:tcBorders>
              <w:top w:val="nil"/>
              <w:left w:val="nil"/>
              <w:bottom w:val="nil"/>
              <w:right w:val="single" w:sz="8" w:space="0" w:color="auto"/>
            </w:tcBorders>
            <w:shd w:val="clear" w:color="000000" w:fill="FFFFFF"/>
            <w:noWrap/>
            <w:vAlign w:val="bottom"/>
            <w:hideMark/>
          </w:tcPr>
          <w:p w14:paraId="52B4777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7057CF2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13 519 906</w:t>
            </w:r>
          </w:p>
        </w:tc>
        <w:tc>
          <w:tcPr>
            <w:tcW w:w="1167" w:type="dxa"/>
            <w:tcBorders>
              <w:top w:val="nil"/>
              <w:left w:val="nil"/>
              <w:bottom w:val="nil"/>
              <w:right w:val="single" w:sz="8" w:space="0" w:color="auto"/>
            </w:tcBorders>
            <w:shd w:val="clear" w:color="000000" w:fill="FFFFFF"/>
            <w:noWrap/>
            <w:vAlign w:val="bottom"/>
            <w:hideMark/>
          </w:tcPr>
          <w:p w14:paraId="73B394A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4B5A205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11 756 440</w:t>
            </w:r>
          </w:p>
        </w:tc>
        <w:tc>
          <w:tcPr>
            <w:tcW w:w="1053" w:type="dxa"/>
            <w:tcBorders>
              <w:top w:val="nil"/>
              <w:left w:val="nil"/>
              <w:bottom w:val="nil"/>
              <w:right w:val="single" w:sz="8" w:space="0" w:color="auto"/>
            </w:tcBorders>
            <w:shd w:val="clear" w:color="000000" w:fill="FFFFFF"/>
            <w:noWrap/>
            <w:vAlign w:val="bottom"/>
            <w:hideMark/>
          </w:tcPr>
          <w:p w14:paraId="5B97451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008996DA"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030BC65B"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DET FORENEDE KONGERIGE*</w:t>
            </w:r>
          </w:p>
        </w:tc>
        <w:tc>
          <w:tcPr>
            <w:tcW w:w="700" w:type="dxa"/>
            <w:tcBorders>
              <w:top w:val="nil"/>
              <w:left w:val="nil"/>
              <w:bottom w:val="nil"/>
              <w:right w:val="single" w:sz="8" w:space="0" w:color="auto"/>
            </w:tcBorders>
            <w:shd w:val="clear" w:color="000000" w:fill="BFBFBF"/>
            <w:noWrap/>
            <w:vAlign w:val="bottom"/>
            <w:hideMark/>
          </w:tcPr>
          <w:p w14:paraId="75C5341F"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14,67862</w:t>
            </w:r>
          </w:p>
        </w:tc>
        <w:tc>
          <w:tcPr>
            <w:tcW w:w="1436" w:type="dxa"/>
            <w:tcBorders>
              <w:top w:val="nil"/>
              <w:left w:val="nil"/>
              <w:bottom w:val="nil"/>
              <w:right w:val="single" w:sz="4" w:space="0" w:color="auto"/>
            </w:tcBorders>
            <w:shd w:val="clear" w:color="000000" w:fill="FFFFFF"/>
            <w:noWrap/>
            <w:vAlign w:val="bottom"/>
            <w:hideMark/>
          </w:tcPr>
          <w:p w14:paraId="296D89C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117 428 960</w:t>
            </w:r>
          </w:p>
        </w:tc>
        <w:tc>
          <w:tcPr>
            <w:tcW w:w="1124" w:type="dxa"/>
            <w:tcBorders>
              <w:top w:val="nil"/>
              <w:left w:val="nil"/>
              <w:bottom w:val="nil"/>
              <w:right w:val="single" w:sz="8" w:space="0" w:color="auto"/>
            </w:tcBorders>
            <w:shd w:val="clear" w:color="000000" w:fill="FFFFFF"/>
            <w:noWrap/>
            <w:vAlign w:val="bottom"/>
            <w:hideMark/>
          </w:tcPr>
          <w:p w14:paraId="6A4B026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1 321 076</w:t>
            </w:r>
          </w:p>
        </w:tc>
        <w:tc>
          <w:tcPr>
            <w:tcW w:w="1459" w:type="dxa"/>
            <w:tcBorders>
              <w:top w:val="nil"/>
              <w:left w:val="nil"/>
              <w:bottom w:val="nil"/>
              <w:right w:val="single" w:sz="4" w:space="0" w:color="auto"/>
            </w:tcBorders>
            <w:shd w:val="clear" w:color="000000" w:fill="FFFFFF"/>
            <w:noWrap/>
            <w:vAlign w:val="bottom"/>
            <w:hideMark/>
          </w:tcPr>
          <w:p w14:paraId="5AA7762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102 750 340</w:t>
            </w:r>
          </w:p>
        </w:tc>
        <w:tc>
          <w:tcPr>
            <w:tcW w:w="1141" w:type="dxa"/>
            <w:tcBorders>
              <w:top w:val="nil"/>
              <w:left w:val="nil"/>
              <w:bottom w:val="nil"/>
              <w:right w:val="single" w:sz="8" w:space="0" w:color="auto"/>
            </w:tcBorders>
            <w:shd w:val="clear" w:color="000000" w:fill="FFFFFF"/>
            <w:noWrap/>
            <w:vAlign w:val="bottom"/>
            <w:hideMark/>
          </w:tcPr>
          <w:p w14:paraId="656D202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2677F59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67 521 652</w:t>
            </w:r>
          </w:p>
        </w:tc>
        <w:tc>
          <w:tcPr>
            <w:tcW w:w="1167" w:type="dxa"/>
            <w:tcBorders>
              <w:top w:val="nil"/>
              <w:left w:val="nil"/>
              <w:bottom w:val="nil"/>
              <w:right w:val="single" w:sz="8" w:space="0" w:color="auto"/>
            </w:tcBorders>
            <w:shd w:val="clear" w:color="000000" w:fill="FFFFFF"/>
            <w:noWrap/>
            <w:vAlign w:val="bottom"/>
            <w:hideMark/>
          </w:tcPr>
          <w:p w14:paraId="6314EE1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4FE61C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58 714 480</w:t>
            </w:r>
          </w:p>
        </w:tc>
        <w:tc>
          <w:tcPr>
            <w:tcW w:w="1053" w:type="dxa"/>
            <w:tcBorders>
              <w:top w:val="nil"/>
              <w:left w:val="nil"/>
              <w:bottom w:val="nil"/>
              <w:right w:val="single" w:sz="8" w:space="0" w:color="auto"/>
            </w:tcBorders>
            <w:shd w:val="clear" w:color="000000" w:fill="FFFFFF"/>
            <w:noWrap/>
            <w:vAlign w:val="bottom"/>
            <w:hideMark/>
          </w:tcPr>
          <w:p w14:paraId="1DF9504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6B443239" w14:textId="77777777" w:rsidTr="00352C3E">
        <w:trPr>
          <w:trHeight w:val="252"/>
        </w:trPr>
        <w:tc>
          <w:tcPr>
            <w:tcW w:w="212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96CE19E" w14:textId="77777777" w:rsidR="00352C3E" w:rsidRPr="00352C3E" w:rsidRDefault="00352C3E" w:rsidP="00352C3E">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EU-27 OG DET FORENEDE KONGERIGE I ALT</w:t>
            </w:r>
          </w:p>
        </w:tc>
        <w:tc>
          <w:tcPr>
            <w:tcW w:w="700" w:type="dxa"/>
            <w:tcBorders>
              <w:top w:val="single" w:sz="8" w:space="0" w:color="auto"/>
              <w:left w:val="nil"/>
              <w:bottom w:val="single" w:sz="8" w:space="0" w:color="auto"/>
              <w:right w:val="single" w:sz="8" w:space="0" w:color="auto"/>
            </w:tcBorders>
            <w:shd w:val="clear" w:color="000000" w:fill="A6A6A6"/>
            <w:noWrap/>
            <w:vAlign w:val="center"/>
            <w:hideMark/>
          </w:tcPr>
          <w:p w14:paraId="21183BA0"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436" w:type="dxa"/>
            <w:tcBorders>
              <w:top w:val="single" w:sz="8" w:space="0" w:color="auto"/>
              <w:left w:val="nil"/>
              <w:bottom w:val="single" w:sz="8" w:space="0" w:color="auto"/>
              <w:right w:val="single" w:sz="4" w:space="0" w:color="auto"/>
            </w:tcBorders>
            <w:shd w:val="clear" w:color="000000" w:fill="A6A6A6"/>
            <w:noWrap/>
            <w:vAlign w:val="center"/>
            <w:hideMark/>
          </w:tcPr>
          <w:p w14:paraId="39B4242B"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800 000 000</w:t>
            </w:r>
          </w:p>
        </w:tc>
        <w:tc>
          <w:tcPr>
            <w:tcW w:w="1124" w:type="dxa"/>
            <w:tcBorders>
              <w:top w:val="single" w:sz="8" w:space="0" w:color="auto"/>
              <w:left w:val="nil"/>
              <w:bottom w:val="single" w:sz="8" w:space="0" w:color="auto"/>
              <w:right w:val="single" w:sz="8" w:space="0" w:color="auto"/>
            </w:tcBorders>
            <w:shd w:val="clear" w:color="000000" w:fill="A6A6A6"/>
            <w:noWrap/>
            <w:vAlign w:val="center"/>
            <w:hideMark/>
          </w:tcPr>
          <w:p w14:paraId="4EDC648E"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9 000 000</w:t>
            </w:r>
          </w:p>
        </w:tc>
        <w:tc>
          <w:tcPr>
            <w:tcW w:w="1459" w:type="dxa"/>
            <w:tcBorders>
              <w:top w:val="single" w:sz="8" w:space="0" w:color="auto"/>
              <w:left w:val="nil"/>
              <w:bottom w:val="single" w:sz="8" w:space="0" w:color="auto"/>
              <w:right w:val="single" w:sz="4" w:space="0" w:color="auto"/>
            </w:tcBorders>
            <w:shd w:val="clear" w:color="000000" w:fill="A6A6A6"/>
            <w:noWrap/>
            <w:vAlign w:val="center"/>
            <w:hideMark/>
          </w:tcPr>
          <w:p w14:paraId="780A7ABE"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700 000 000</w:t>
            </w:r>
          </w:p>
        </w:tc>
        <w:tc>
          <w:tcPr>
            <w:tcW w:w="1141" w:type="dxa"/>
            <w:tcBorders>
              <w:top w:val="single" w:sz="8" w:space="0" w:color="auto"/>
              <w:left w:val="nil"/>
              <w:bottom w:val="single" w:sz="8" w:space="0" w:color="auto"/>
              <w:right w:val="single" w:sz="8" w:space="0" w:color="auto"/>
            </w:tcBorders>
            <w:shd w:val="clear" w:color="000000" w:fill="A6A6A6"/>
            <w:noWrap/>
            <w:vAlign w:val="center"/>
            <w:hideMark/>
          </w:tcPr>
          <w:p w14:paraId="4513BF16"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0</w:t>
            </w:r>
          </w:p>
        </w:tc>
        <w:tc>
          <w:tcPr>
            <w:tcW w:w="1493" w:type="dxa"/>
            <w:tcBorders>
              <w:top w:val="single" w:sz="8" w:space="0" w:color="auto"/>
              <w:left w:val="nil"/>
              <w:bottom w:val="single" w:sz="8" w:space="0" w:color="auto"/>
              <w:right w:val="single" w:sz="4" w:space="0" w:color="auto"/>
            </w:tcBorders>
            <w:shd w:val="clear" w:color="000000" w:fill="A6A6A6"/>
            <w:noWrap/>
            <w:vAlign w:val="center"/>
            <w:hideMark/>
          </w:tcPr>
          <w:p w14:paraId="219696C5"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460 000 000</w:t>
            </w:r>
          </w:p>
        </w:tc>
        <w:tc>
          <w:tcPr>
            <w:tcW w:w="1167" w:type="dxa"/>
            <w:tcBorders>
              <w:top w:val="single" w:sz="8" w:space="0" w:color="auto"/>
              <w:left w:val="nil"/>
              <w:bottom w:val="single" w:sz="8" w:space="0" w:color="auto"/>
              <w:right w:val="single" w:sz="8" w:space="0" w:color="auto"/>
            </w:tcBorders>
            <w:shd w:val="clear" w:color="000000" w:fill="A6A6A6"/>
            <w:noWrap/>
            <w:vAlign w:val="center"/>
            <w:hideMark/>
          </w:tcPr>
          <w:p w14:paraId="2922CCFF"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0</w:t>
            </w:r>
          </w:p>
        </w:tc>
        <w:tc>
          <w:tcPr>
            <w:tcW w:w="1347" w:type="dxa"/>
            <w:tcBorders>
              <w:top w:val="single" w:sz="8" w:space="0" w:color="auto"/>
              <w:left w:val="nil"/>
              <w:bottom w:val="single" w:sz="8" w:space="0" w:color="auto"/>
              <w:right w:val="single" w:sz="4" w:space="0" w:color="auto"/>
            </w:tcBorders>
            <w:shd w:val="clear" w:color="000000" w:fill="A6A6A6"/>
            <w:noWrap/>
            <w:vAlign w:val="center"/>
            <w:hideMark/>
          </w:tcPr>
          <w:p w14:paraId="371F2CC7"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400 000 000</w:t>
            </w:r>
          </w:p>
        </w:tc>
        <w:tc>
          <w:tcPr>
            <w:tcW w:w="1053" w:type="dxa"/>
            <w:tcBorders>
              <w:top w:val="single" w:sz="8" w:space="0" w:color="auto"/>
              <w:left w:val="nil"/>
              <w:bottom w:val="single" w:sz="8" w:space="0" w:color="auto"/>
              <w:right w:val="single" w:sz="8" w:space="0" w:color="auto"/>
            </w:tcBorders>
            <w:shd w:val="clear" w:color="000000" w:fill="A6A6A6"/>
            <w:noWrap/>
            <w:vAlign w:val="center"/>
            <w:hideMark/>
          </w:tcPr>
          <w:p w14:paraId="4205957A"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0</w:t>
            </w:r>
          </w:p>
        </w:tc>
      </w:tr>
      <w:tr w:rsidR="00352C3E" w:rsidRPr="00352C3E" w14:paraId="575DAABB" w14:textId="77777777" w:rsidTr="00352C3E">
        <w:trPr>
          <w:trHeight w:val="252"/>
        </w:trPr>
        <w:tc>
          <w:tcPr>
            <w:tcW w:w="2120" w:type="dxa"/>
            <w:tcBorders>
              <w:top w:val="nil"/>
              <w:left w:val="nil"/>
              <w:bottom w:val="nil"/>
              <w:right w:val="nil"/>
            </w:tcBorders>
            <w:shd w:val="clear" w:color="000000" w:fill="FFFFFF"/>
            <w:noWrap/>
            <w:vAlign w:val="center"/>
            <w:hideMark/>
          </w:tcPr>
          <w:p w14:paraId="3247AACC" w14:textId="77777777" w:rsidR="00352C3E" w:rsidRPr="00352C3E" w:rsidRDefault="00352C3E" w:rsidP="00352C3E">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 </w:t>
            </w:r>
          </w:p>
        </w:tc>
        <w:tc>
          <w:tcPr>
            <w:tcW w:w="700" w:type="dxa"/>
            <w:tcBorders>
              <w:top w:val="nil"/>
              <w:left w:val="nil"/>
              <w:bottom w:val="nil"/>
              <w:right w:val="nil"/>
            </w:tcBorders>
            <w:shd w:val="clear" w:color="000000" w:fill="FFFFFF"/>
            <w:noWrap/>
            <w:vAlign w:val="center"/>
            <w:hideMark/>
          </w:tcPr>
          <w:p w14:paraId="027011C8"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w:t>
            </w:r>
          </w:p>
        </w:tc>
        <w:tc>
          <w:tcPr>
            <w:tcW w:w="2560"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066C594"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809 000 000</w:t>
            </w:r>
          </w:p>
        </w:tc>
        <w:tc>
          <w:tcPr>
            <w:tcW w:w="2600" w:type="dxa"/>
            <w:gridSpan w:val="2"/>
            <w:tcBorders>
              <w:top w:val="single" w:sz="8" w:space="0" w:color="auto"/>
              <w:left w:val="nil"/>
              <w:bottom w:val="single" w:sz="8" w:space="0" w:color="auto"/>
              <w:right w:val="single" w:sz="8" w:space="0" w:color="000000"/>
            </w:tcBorders>
            <w:shd w:val="clear" w:color="000000" w:fill="A6A6A6"/>
            <w:noWrap/>
            <w:vAlign w:val="center"/>
            <w:hideMark/>
          </w:tcPr>
          <w:p w14:paraId="21B680C8"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700 000 000</w:t>
            </w:r>
          </w:p>
        </w:tc>
        <w:tc>
          <w:tcPr>
            <w:tcW w:w="2660" w:type="dxa"/>
            <w:gridSpan w:val="2"/>
            <w:tcBorders>
              <w:top w:val="single" w:sz="8" w:space="0" w:color="auto"/>
              <w:left w:val="nil"/>
              <w:bottom w:val="single" w:sz="8" w:space="0" w:color="auto"/>
              <w:right w:val="single" w:sz="8" w:space="0" w:color="000000"/>
            </w:tcBorders>
            <w:shd w:val="clear" w:color="000000" w:fill="A6A6A6"/>
            <w:noWrap/>
            <w:vAlign w:val="center"/>
            <w:hideMark/>
          </w:tcPr>
          <w:p w14:paraId="7177441B"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460 000 000</w:t>
            </w:r>
          </w:p>
        </w:tc>
        <w:tc>
          <w:tcPr>
            <w:tcW w:w="2400" w:type="dxa"/>
            <w:gridSpan w:val="2"/>
            <w:tcBorders>
              <w:top w:val="single" w:sz="8" w:space="0" w:color="auto"/>
              <w:left w:val="nil"/>
              <w:bottom w:val="single" w:sz="8" w:space="0" w:color="auto"/>
              <w:right w:val="single" w:sz="8" w:space="0" w:color="000000"/>
            </w:tcBorders>
            <w:shd w:val="clear" w:color="000000" w:fill="A6A6A6"/>
            <w:noWrap/>
            <w:vAlign w:val="center"/>
            <w:hideMark/>
          </w:tcPr>
          <w:p w14:paraId="077CBCA5"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400 000 000</w:t>
            </w:r>
          </w:p>
        </w:tc>
      </w:tr>
    </w:tbl>
    <w:p w14:paraId="7826C53C" w14:textId="7B64A823" w:rsidR="00E32987" w:rsidRDefault="00501918" w:rsidP="00501918">
      <w:pPr>
        <w:pStyle w:val="Text1"/>
        <w:ind w:left="0"/>
        <w:rPr>
          <w:noProof/>
          <w:sz w:val="16"/>
          <w:szCs w:val="16"/>
        </w:rPr>
      </w:pPr>
      <w:r>
        <w:rPr>
          <w:noProof/>
          <w:sz w:val="16"/>
        </w:rPr>
        <w:t>* De bidragsbeløb, der er anført i tabellen, omfatter ikke tilbagebetalingen af frigjorte midler fra 9. EUF til medlemsstaterne og Det Forenede Kongerige, og heller ikke tilbagebetalingen af frigjorte midler fra 10. og 11. EUF til Det Forenede Kongerige.</w:t>
      </w:r>
    </w:p>
    <w:p w14:paraId="02698809" w14:textId="32BDE442" w:rsidR="00981864" w:rsidRDefault="00981864" w:rsidP="00981864">
      <w:pPr>
        <w:pStyle w:val="Text1"/>
        <w:ind w:left="0"/>
        <w:rPr>
          <w:noProof/>
        </w:rPr>
      </w:pPr>
      <w:r>
        <w:rPr>
          <w:noProof/>
          <w:sz w:val="16"/>
        </w:rPr>
        <w:t>** Ifølge de aktuelle prognoser vil EIB have indkaldt hele sin andel af 11. EUF ved udgangen af 2025.</w:t>
      </w:r>
    </w:p>
    <w:p w14:paraId="3998EF70" w14:textId="0D34EFDA" w:rsidR="00981864" w:rsidRPr="00E26949" w:rsidRDefault="00981864" w:rsidP="00501918">
      <w:pPr>
        <w:pStyle w:val="Text1"/>
        <w:ind w:left="0"/>
        <w:rPr>
          <w:noProof/>
        </w:rPr>
        <w:sectPr w:rsidR="00981864" w:rsidRPr="00E26949" w:rsidSect="00E26949">
          <w:headerReference w:type="even" r:id="rId46"/>
          <w:headerReference w:type="default" r:id="rId47"/>
          <w:footerReference w:type="even" r:id="rId48"/>
          <w:footerReference w:type="default" r:id="rId49"/>
          <w:headerReference w:type="first" r:id="rId50"/>
          <w:footerReference w:type="first" r:id="rId51"/>
          <w:pgSz w:w="16838" w:h="11906" w:orient="landscape"/>
          <w:pgMar w:top="1440" w:right="1440" w:bottom="1440" w:left="1440" w:header="709" w:footer="709" w:gutter="0"/>
          <w:cols w:space="720"/>
          <w:docGrid w:linePitch="360"/>
        </w:sectPr>
      </w:pPr>
    </w:p>
    <w:p w14:paraId="6D18AD54" w14:textId="555A02D7" w:rsidR="00C57A0B" w:rsidRPr="00613163" w:rsidRDefault="00C57A0B" w:rsidP="00C57A0B">
      <w:pPr>
        <w:pStyle w:val="Heading2"/>
        <w:rPr>
          <w:noProof/>
        </w:rPr>
      </w:pPr>
      <w:r>
        <w:rPr>
          <w:noProof/>
        </w:rPr>
        <w:t>Tillæg 7: Status for reserver, der ikke kan trækkes på, og virkningen af restbeløbene pr. medlemsstat samt for Det Forenede Kongerige (EUR)</w:t>
      </w:r>
    </w:p>
    <w:p w14:paraId="4635494F" w14:textId="61EE6812" w:rsidR="004A2A7A" w:rsidRPr="00613163" w:rsidRDefault="004A2A7A" w:rsidP="004A2A7A">
      <w:pPr>
        <w:jc w:val="both"/>
        <w:rPr>
          <w:rFonts w:ascii="Times New Roman" w:hAnsi="Times New Roman" w:cs="Times New Roman"/>
          <w:noProof/>
          <w:sz w:val="24"/>
          <w:szCs w:val="24"/>
        </w:rPr>
      </w:pPr>
      <w:r>
        <w:rPr>
          <w:rFonts w:ascii="Times New Roman" w:hAnsi="Times New Roman"/>
          <w:noProof/>
          <w:sz w:val="24"/>
        </w:rPr>
        <w:t>I overensstemmelse med artikel 55 i finansforordningen for 11. EUF viser nedenstående tabel status for reserverne af frigjorte midler for hver EUF ved udgangen af 2024.</w:t>
      </w:r>
    </w:p>
    <w:tbl>
      <w:tblPr>
        <w:tblW w:w="10575" w:type="dxa"/>
        <w:tblInd w:w="-662" w:type="dxa"/>
        <w:tblLook w:val="04A0" w:firstRow="1" w:lastRow="0" w:firstColumn="1" w:lastColumn="0" w:noHBand="0" w:noVBand="1"/>
      </w:tblPr>
      <w:tblGrid>
        <w:gridCol w:w="1749"/>
        <w:gridCol w:w="832"/>
        <w:gridCol w:w="820"/>
        <w:gridCol w:w="880"/>
        <w:gridCol w:w="880"/>
        <w:gridCol w:w="940"/>
        <w:gridCol w:w="1034"/>
        <w:gridCol w:w="1276"/>
        <w:gridCol w:w="1276"/>
        <w:gridCol w:w="1229"/>
      </w:tblGrid>
      <w:tr w:rsidR="00AE7424" w:rsidRPr="00AE7424" w14:paraId="24F57F47" w14:textId="77777777" w:rsidTr="00AE7424">
        <w:trPr>
          <w:trHeight w:val="1020"/>
        </w:trPr>
        <w:tc>
          <w:tcPr>
            <w:tcW w:w="1408"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2E939E"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MEDLEMSSTATERNE OG DET FORENEDE KONGERIGE</w:t>
            </w:r>
          </w:p>
        </w:tc>
        <w:tc>
          <w:tcPr>
            <w:tcW w:w="832" w:type="dxa"/>
            <w:tcBorders>
              <w:top w:val="single" w:sz="8" w:space="0" w:color="auto"/>
              <w:left w:val="nil"/>
              <w:bottom w:val="single" w:sz="8" w:space="0" w:color="auto"/>
              <w:right w:val="single" w:sz="8" w:space="0" w:color="auto"/>
            </w:tcBorders>
            <w:shd w:val="clear" w:color="000000" w:fill="FFFFFF"/>
            <w:vAlign w:val="center"/>
            <w:hideMark/>
          </w:tcPr>
          <w:p w14:paraId="0EE1FC2D"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Nøgle for 9.</w:t>
            </w:r>
            <w:r>
              <w:rPr>
                <w:rFonts w:ascii="Calibri" w:hAnsi="Calibri"/>
                <w:b/>
                <w:noProof/>
                <w:color w:val="000000"/>
                <w:sz w:val="18"/>
              </w:rPr>
              <w:br/>
              <w:t>EUF %</w:t>
            </w:r>
          </w:p>
        </w:tc>
        <w:tc>
          <w:tcPr>
            <w:tcW w:w="820" w:type="dxa"/>
            <w:tcBorders>
              <w:top w:val="single" w:sz="8" w:space="0" w:color="auto"/>
              <w:left w:val="nil"/>
              <w:bottom w:val="single" w:sz="8" w:space="0" w:color="auto"/>
              <w:right w:val="single" w:sz="8" w:space="0" w:color="auto"/>
            </w:tcBorders>
            <w:shd w:val="clear" w:color="000000" w:fill="FFFFFF"/>
            <w:vAlign w:val="center"/>
            <w:hideMark/>
          </w:tcPr>
          <w:p w14:paraId="0E9413C8"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Nøgle for 10.</w:t>
            </w:r>
            <w:r>
              <w:rPr>
                <w:rFonts w:ascii="Calibri" w:hAnsi="Calibri"/>
                <w:b/>
                <w:noProof/>
                <w:color w:val="000000"/>
                <w:sz w:val="18"/>
              </w:rPr>
              <w:br/>
              <w:t>EUF %</w:t>
            </w:r>
          </w:p>
        </w:tc>
        <w:tc>
          <w:tcPr>
            <w:tcW w:w="880" w:type="dxa"/>
            <w:tcBorders>
              <w:top w:val="single" w:sz="8" w:space="0" w:color="auto"/>
              <w:left w:val="nil"/>
              <w:bottom w:val="single" w:sz="8" w:space="0" w:color="auto"/>
              <w:right w:val="single" w:sz="8" w:space="0" w:color="auto"/>
            </w:tcBorders>
            <w:shd w:val="clear" w:color="000000" w:fill="FFFFFF"/>
            <w:vAlign w:val="center"/>
            <w:hideMark/>
          </w:tcPr>
          <w:p w14:paraId="61C7936E"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Nøgle for 10. EUF</w:t>
            </w:r>
            <w:r>
              <w:rPr>
                <w:rFonts w:ascii="Calibri" w:hAnsi="Calibri"/>
                <w:b/>
                <w:noProof/>
                <w:color w:val="000000"/>
                <w:sz w:val="18"/>
                <w:vertAlign w:val="superscript"/>
              </w:rPr>
              <w:t>8</w:t>
            </w:r>
            <w:r>
              <w:rPr>
                <w:rFonts w:ascii="Calibri" w:hAnsi="Calibri"/>
                <w:b/>
                <w:noProof/>
                <w:color w:val="000000"/>
                <w:sz w:val="18"/>
              </w:rPr>
              <w:t xml:space="preserve"> efter brexit</w:t>
            </w:r>
          </w:p>
        </w:tc>
        <w:tc>
          <w:tcPr>
            <w:tcW w:w="880" w:type="dxa"/>
            <w:tcBorders>
              <w:top w:val="single" w:sz="8" w:space="0" w:color="auto"/>
              <w:left w:val="nil"/>
              <w:bottom w:val="single" w:sz="8" w:space="0" w:color="auto"/>
              <w:right w:val="single" w:sz="8" w:space="0" w:color="auto"/>
            </w:tcBorders>
            <w:shd w:val="clear" w:color="000000" w:fill="FFFFFF"/>
            <w:vAlign w:val="center"/>
            <w:hideMark/>
          </w:tcPr>
          <w:p w14:paraId="406FD082"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Nøgle for 11.</w:t>
            </w:r>
            <w:r>
              <w:rPr>
                <w:rFonts w:ascii="Calibri" w:hAnsi="Calibri"/>
                <w:b/>
                <w:noProof/>
                <w:color w:val="000000"/>
                <w:sz w:val="18"/>
              </w:rPr>
              <w:br/>
              <w:t>EUF %</w:t>
            </w:r>
          </w:p>
        </w:tc>
        <w:tc>
          <w:tcPr>
            <w:tcW w:w="940" w:type="dxa"/>
            <w:tcBorders>
              <w:top w:val="single" w:sz="8" w:space="0" w:color="auto"/>
              <w:left w:val="nil"/>
              <w:bottom w:val="nil"/>
              <w:right w:val="single" w:sz="8" w:space="0" w:color="auto"/>
            </w:tcBorders>
            <w:shd w:val="clear" w:color="auto" w:fill="auto"/>
            <w:vAlign w:val="center"/>
            <w:hideMark/>
          </w:tcPr>
          <w:p w14:paraId="1C9ED422"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Nøgle for 11. EUF efter brexit*</w:t>
            </w:r>
          </w:p>
        </w:tc>
        <w:tc>
          <w:tcPr>
            <w:tcW w:w="1034" w:type="dxa"/>
            <w:tcBorders>
              <w:top w:val="single" w:sz="8" w:space="0" w:color="auto"/>
              <w:left w:val="nil"/>
              <w:bottom w:val="single" w:sz="8" w:space="0" w:color="000000"/>
              <w:right w:val="single" w:sz="8" w:space="0" w:color="auto"/>
            </w:tcBorders>
            <w:shd w:val="clear" w:color="auto" w:fill="auto"/>
            <w:noWrap/>
            <w:vAlign w:val="center"/>
            <w:hideMark/>
          </w:tcPr>
          <w:p w14:paraId="143CEC14"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9. EUF</w:t>
            </w:r>
          </w:p>
        </w:tc>
        <w:tc>
          <w:tcPr>
            <w:tcW w:w="1276" w:type="dxa"/>
            <w:tcBorders>
              <w:top w:val="single" w:sz="8" w:space="0" w:color="auto"/>
              <w:left w:val="nil"/>
              <w:bottom w:val="single" w:sz="8" w:space="0" w:color="000000"/>
              <w:right w:val="single" w:sz="8" w:space="0" w:color="auto"/>
            </w:tcBorders>
            <w:shd w:val="clear" w:color="000000" w:fill="FFFFFF"/>
            <w:noWrap/>
            <w:vAlign w:val="center"/>
            <w:hideMark/>
          </w:tcPr>
          <w:p w14:paraId="003978F0"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10. EUF</w:t>
            </w:r>
          </w:p>
        </w:tc>
        <w:tc>
          <w:tcPr>
            <w:tcW w:w="1276" w:type="dxa"/>
            <w:tcBorders>
              <w:top w:val="single" w:sz="8" w:space="0" w:color="auto"/>
              <w:left w:val="nil"/>
              <w:bottom w:val="single" w:sz="8" w:space="0" w:color="000000"/>
              <w:right w:val="single" w:sz="8" w:space="0" w:color="auto"/>
            </w:tcBorders>
            <w:shd w:val="clear" w:color="000000" w:fill="FFFFFF"/>
            <w:noWrap/>
            <w:vAlign w:val="center"/>
            <w:hideMark/>
          </w:tcPr>
          <w:p w14:paraId="37E12F1C"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11. EUF</w:t>
            </w:r>
          </w:p>
        </w:tc>
        <w:tc>
          <w:tcPr>
            <w:tcW w:w="1229" w:type="dxa"/>
            <w:tcBorders>
              <w:top w:val="single" w:sz="8" w:space="0" w:color="auto"/>
              <w:left w:val="nil"/>
              <w:bottom w:val="single" w:sz="8" w:space="0" w:color="000000"/>
              <w:right w:val="single" w:sz="8" w:space="0" w:color="auto"/>
            </w:tcBorders>
            <w:shd w:val="clear" w:color="000000" w:fill="FFFFFF"/>
            <w:noWrap/>
            <w:vAlign w:val="center"/>
            <w:hideMark/>
          </w:tcPr>
          <w:p w14:paraId="54D9072F"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I ALT</w:t>
            </w:r>
          </w:p>
        </w:tc>
      </w:tr>
      <w:tr w:rsidR="00AE7424" w:rsidRPr="00AE7424" w14:paraId="1D2E94BB"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79207B2A"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BELGIEN</w:t>
            </w:r>
          </w:p>
        </w:tc>
        <w:tc>
          <w:tcPr>
            <w:tcW w:w="832" w:type="dxa"/>
            <w:tcBorders>
              <w:top w:val="nil"/>
              <w:left w:val="nil"/>
              <w:bottom w:val="nil"/>
              <w:right w:val="single" w:sz="8" w:space="0" w:color="auto"/>
            </w:tcBorders>
            <w:shd w:val="clear" w:color="000000" w:fill="FFFFFF"/>
            <w:noWrap/>
            <w:vAlign w:val="center"/>
            <w:hideMark/>
          </w:tcPr>
          <w:p w14:paraId="6E21F92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3,92</w:t>
            </w:r>
          </w:p>
        </w:tc>
        <w:tc>
          <w:tcPr>
            <w:tcW w:w="820" w:type="dxa"/>
            <w:tcBorders>
              <w:top w:val="nil"/>
              <w:left w:val="nil"/>
              <w:bottom w:val="nil"/>
              <w:right w:val="single" w:sz="8" w:space="0" w:color="auto"/>
            </w:tcBorders>
            <w:shd w:val="clear" w:color="000000" w:fill="FFFFFF"/>
            <w:noWrap/>
            <w:vAlign w:val="center"/>
            <w:hideMark/>
          </w:tcPr>
          <w:p w14:paraId="286174E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3,53</w:t>
            </w:r>
          </w:p>
        </w:tc>
        <w:tc>
          <w:tcPr>
            <w:tcW w:w="880" w:type="dxa"/>
            <w:tcBorders>
              <w:top w:val="nil"/>
              <w:left w:val="nil"/>
              <w:bottom w:val="nil"/>
              <w:right w:val="single" w:sz="8" w:space="0" w:color="auto"/>
            </w:tcBorders>
            <w:shd w:val="clear" w:color="000000" w:fill="FFFFFF"/>
            <w:noWrap/>
            <w:vAlign w:val="center"/>
            <w:hideMark/>
          </w:tcPr>
          <w:p w14:paraId="3DCE093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4,1442</w:t>
            </w:r>
          </w:p>
        </w:tc>
        <w:tc>
          <w:tcPr>
            <w:tcW w:w="880" w:type="dxa"/>
            <w:tcBorders>
              <w:top w:val="nil"/>
              <w:left w:val="nil"/>
              <w:bottom w:val="nil"/>
              <w:right w:val="nil"/>
            </w:tcBorders>
            <w:shd w:val="clear" w:color="000000" w:fill="FFFFFF"/>
            <w:noWrap/>
            <w:vAlign w:val="center"/>
            <w:hideMark/>
          </w:tcPr>
          <w:p w14:paraId="2443B01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3,24927</w:t>
            </w:r>
          </w:p>
        </w:tc>
        <w:tc>
          <w:tcPr>
            <w:tcW w:w="940" w:type="dxa"/>
            <w:tcBorders>
              <w:top w:val="single" w:sz="8" w:space="0" w:color="auto"/>
              <w:left w:val="single" w:sz="8" w:space="0" w:color="auto"/>
              <w:bottom w:val="nil"/>
              <w:right w:val="single" w:sz="8" w:space="0" w:color="auto"/>
            </w:tcBorders>
            <w:shd w:val="clear" w:color="000000" w:fill="FFFFFF"/>
            <w:noWrap/>
            <w:vAlign w:val="center"/>
            <w:hideMark/>
          </w:tcPr>
          <w:p w14:paraId="53C8000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3,80827</w:t>
            </w:r>
          </w:p>
        </w:tc>
        <w:tc>
          <w:tcPr>
            <w:tcW w:w="1034" w:type="dxa"/>
            <w:tcBorders>
              <w:top w:val="nil"/>
              <w:left w:val="nil"/>
              <w:bottom w:val="nil"/>
              <w:right w:val="nil"/>
            </w:tcBorders>
            <w:shd w:val="clear" w:color="000000" w:fill="FFFFFF"/>
            <w:noWrap/>
            <w:vAlign w:val="center"/>
            <w:hideMark/>
          </w:tcPr>
          <w:p w14:paraId="3AB709C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43 766,31</w:t>
            </w:r>
          </w:p>
        </w:tc>
        <w:tc>
          <w:tcPr>
            <w:tcW w:w="1276" w:type="dxa"/>
            <w:tcBorders>
              <w:top w:val="nil"/>
              <w:left w:val="single" w:sz="8" w:space="0" w:color="auto"/>
              <w:bottom w:val="nil"/>
              <w:right w:val="single" w:sz="8" w:space="0" w:color="auto"/>
            </w:tcBorders>
            <w:shd w:val="clear" w:color="000000" w:fill="FFFFFF"/>
            <w:noWrap/>
            <w:vAlign w:val="center"/>
            <w:hideMark/>
          </w:tcPr>
          <w:p w14:paraId="1AFEF85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8 639 739,60</w:t>
            </w:r>
          </w:p>
        </w:tc>
        <w:tc>
          <w:tcPr>
            <w:tcW w:w="1276" w:type="dxa"/>
            <w:tcBorders>
              <w:top w:val="nil"/>
              <w:left w:val="nil"/>
              <w:bottom w:val="nil"/>
              <w:right w:val="single" w:sz="8" w:space="0" w:color="auto"/>
            </w:tcBorders>
            <w:shd w:val="clear" w:color="000000" w:fill="FFFFFF"/>
            <w:noWrap/>
            <w:vAlign w:val="center"/>
            <w:hideMark/>
          </w:tcPr>
          <w:p w14:paraId="42896A9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13 794 008,99</w:t>
            </w:r>
          </w:p>
        </w:tc>
        <w:tc>
          <w:tcPr>
            <w:tcW w:w="1229" w:type="dxa"/>
            <w:tcBorders>
              <w:top w:val="nil"/>
              <w:left w:val="nil"/>
              <w:bottom w:val="nil"/>
              <w:right w:val="single" w:sz="8" w:space="0" w:color="auto"/>
            </w:tcBorders>
            <w:shd w:val="clear" w:color="000000" w:fill="FFFFFF"/>
            <w:noWrap/>
            <w:vAlign w:val="center"/>
            <w:hideMark/>
          </w:tcPr>
          <w:p w14:paraId="2CCBB01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22 477 514,90</w:t>
            </w:r>
          </w:p>
        </w:tc>
      </w:tr>
      <w:tr w:rsidR="00AE7424" w:rsidRPr="00AE7424" w14:paraId="4CAFBCA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1F0C9CE2"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BULGARIEN</w:t>
            </w:r>
          </w:p>
        </w:tc>
        <w:tc>
          <w:tcPr>
            <w:tcW w:w="832" w:type="dxa"/>
            <w:tcBorders>
              <w:top w:val="nil"/>
              <w:left w:val="nil"/>
              <w:bottom w:val="nil"/>
              <w:right w:val="single" w:sz="8" w:space="0" w:color="auto"/>
            </w:tcBorders>
            <w:shd w:val="clear" w:color="000000" w:fill="FFFFFF"/>
            <w:noWrap/>
            <w:vAlign w:val="center"/>
            <w:hideMark/>
          </w:tcPr>
          <w:p w14:paraId="41EB408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7916436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0,14</w:t>
            </w:r>
          </w:p>
        </w:tc>
        <w:tc>
          <w:tcPr>
            <w:tcW w:w="880" w:type="dxa"/>
            <w:tcBorders>
              <w:top w:val="nil"/>
              <w:left w:val="nil"/>
              <w:bottom w:val="nil"/>
              <w:right w:val="single" w:sz="8" w:space="0" w:color="auto"/>
            </w:tcBorders>
            <w:shd w:val="clear" w:color="000000" w:fill="FFFFFF"/>
            <w:noWrap/>
            <w:vAlign w:val="center"/>
            <w:hideMark/>
          </w:tcPr>
          <w:p w14:paraId="66244BD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0,1644</w:t>
            </w:r>
          </w:p>
        </w:tc>
        <w:tc>
          <w:tcPr>
            <w:tcW w:w="880" w:type="dxa"/>
            <w:tcBorders>
              <w:top w:val="nil"/>
              <w:left w:val="nil"/>
              <w:bottom w:val="nil"/>
              <w:right w:val="nil"/>
            </w:tcBorders>
            <w:shd w:val="clear" w:color="000000" w:fill="FFFFFF"/>
            <w:noWrap/>
            <w:vAlign w:val="center"/>
            <w:hideMark/>
          </w:tcPr>
          <w:p w14:paraId="197D476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0,21853</w:t>
            </w:r>
          </w:p>
        </w:tc>
        <w:tc>
          <w:tcPr>
            <w:tcW w:w="940" w:type="dxa"/>
            <w:tcBorders>
              <w:top w:val="nil"/>
              <w:left w:val="single" w:sz="8" w:space="0" w:color="auto"/>
              <w:bottom w:val="nil"/>
              <w:right w:val="single" w:sz="8" w:space="0" w:color="auto"/>
            </w:tcBorders>
            <w:shd w:val="clear" w:color="000000" w:fill="FFFFFF"/>
            <w:noWrap/>
            <w:vAlign w:val="center"/>
            <w:hideMark/>
          </w:tcPr>
          <w:p w14:paraId="7628EFE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0,25613</w:t>
            </w:r>
          </w:p>
        </w:tc>
        <w:tc>
          <w:tcPr>
            <w:tcW w:w="1034" w:type="dxa"/>
            <w:tcBorders>
              <w:top w:val="nil"/>
              <w:left w:val="nil"/>
              <w:bottom w:val="nil"/>
              <w:right w:val="nil"/>
            </w:tcBorders>
            <w:shd w:val="clear" w:color="000000" w:fill="FFFFFF"/>
            <w:noWrap/>
            <w:vAlign w:val="center"/>
            <w:hideMark/>
          </w:tcPr>
          <w:p w14:paraId="1B88D86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6BE191C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342 652,56</w:t>
            </w:r>
          </w:p>
        </w:tc>
        <w:tc>
          <w:tcPr>
            <w:tcW w:w="1276" w:type="dxa"/>
            <w:tcBorders>
              <w:top w:val="nil"/>
              <w:left w:val="nil"/>
              <w:bottom w:val="nil"/>
              <w:right w:val="single" w:sz="8" w:space="0" w:color="auto"/>
            </w:tcBorders>
            <w:shd w:val="clear" w:color="000000" w:fill="FFFFFF"/>
            <w:noWrap/>
            <w:vAlign w:val="center"/>
            <w:hideMark/>
          </w:tcPr>
          <w:p w14:paraId="47A31E6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927 717,54</w:t>
            </w:r>
          </w:p>
        </w:tc>
        <w:tc>
          <w:tcPr>
            <w:tcW w:w="1229" w:type="dxa"/>
            <w:tcBorders>
              <w:top w:val="nil"/>
              <w:left w:val="nil"/>
              <w:bottom w:val="nil"/>
              <w:right w:val="single" w:sz="8" w:space="0" w:color="auto"/>
            </w:tcBorders>
            <w:shd w:val="clear" w:color="000000" w:fill="FFFFFF"/>
            <w:noWrap/>
            <w:vAlign w:val="center"/>
            <w:hideMark/>
          </w:tcPr>
          <w:p w14:paraId="57D2CA8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1 270 370,11</w:t>
            </w:r>
          </w:p>
        </w:tc>
      </w:tr>
      <w:tr w:rsidR="00AE7424" w:rsidRPr="00AE7424" w14:paraId="33D0BB87"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CE66F27"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TJEKKIET</w:t>
            </w:r>
          </w:p>
        </w:tc>
        <w:tc>
          <w:tcPr>
            <w:tcW w:w="832" w:type="dxa"/>
            <w:tcBorders>
              <w:top w:val="nil"/>
              <w:left w:val="nil"/>
              <w:bottom w:val="nil"/>
              <w:right w:val="single" w:sz="8" w:space="0" w:color="auto"/>
            </w:tcBorders>
            <w:shd w:val="clear" w:color="000000" w:fill="FFFFFF"/>
            <w:noWrap/>
            <w:vAlign w:val="center"/>
            <w:hideMark/>
          </w:tcPr>
          <w:p w14:paraId="7F42DC0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42FF962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0,51</w:t>
            </w:r>
          </w:p>
        </w:tc>
        <w:tc>
          <w:tcPr>
            <w:tcW w:w="880" w:type="dxa"/>
            <w:tcBorders>
              <w:top w:val="nil"/>
              <w:left w:val="nil"/>
              <w:bottom w:val="nil"/>
              <w:right w:val="single" w:sz="8" w:space="0" w:color="auto"/>
            </w:tcBorders>
            <w:shd w:val="clear" w:color="000000" w:fill="FFFFFF"/>
            <w:noWrap/>
            <w:vAlign w:val="center"/>
            <w:hideMark/>
          </w:tcPr>
          <w:p w14:paraId="622FB35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0,5987</w:t>
            </w:r>
          </w:p>
        </w:tc>
        <w:tc>
          <w:tcPr>
            <w:tcW w:w="880" w:type="dxa"/>
            <w:tcBorders>
              <w:top w:val="nil"/>
              <w:left w:val="nil"/>
              <w:bottom w:val="nil"/>
              <w:right w:val="nil"/>
            </w:tcBorders>
            <w:shd w:val="clear" w:color="000000" w:fill="FFFFFF"/>
            <w:noWrap/>
            <w:vAlign w:val="center"/>
            <w:hideMark/>
          </w:tcPr>
          <w:p w14:paraId="5AFF659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0,79745</w:t>
            </w:r>
          </w:p>
        </w:tc>
        <w:tc>
          <w:tcPr>
            <w:tcW w:w="940" w:type="dxa"/>
            <w:tcBorders>
              <w:top w:val="nil"/>
              <w:left w:val="single" w:sz="8" w:space="0" w:color="auto"/>
              <w:bottom w:val="nil"/>
              <w:right w:val="single" w:sz="8" w:space="0" w:color="auto"/>
            </w:tcBorders>
            <w:shd w:val="clear" w:color="000000" w:fill="FFFFFF"/>
            <w:noWrap/>
            <w:vAlign w:val="center"/>
            <w:hideMark/>
          </w:tcPr>
          <w:p w14:paraId="12E96E62"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0,93464</w:t>
            </w:r>
          </w:p>
        </w:tc>
        <w:tc>
          <w:tcPr>
            <w:tcW w:w="1034" w:type="dxa"/>
            <w:tcBorders>
              <w:top w:val="nil"/>
              <w:left w:val="nil"/>
              <w:bottom w:val="nil"/>
              <w:right w:val="nil"/>
            </w:tcBorders>
            <w:shd w:val="clear" w:color="000000" w:fill="FFFFFF"/>
            <w:noWrap/>
            <w:vAlign w:val="center"/>
            <w:hideMark/>
          </w:tcPr>
          <w:p w14:paraId="203C6A3D"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48C4685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1 248 234,33</w:t>
            </w:r>
          </w:p>
        </w:tc>
        <w:tc>
          <w:tcPr>
            <w:tcW w:w="1276" w:type="dxa"/>
            <w:tcBorders>
              <w:top w:val="nil"/>
              <w:left w:val="nil"/>
              <w:bottom w:val="nil"/>
              <w:right w:val="single" w:sz="8" w:space="0" w:color="auto"/>
            </w:tcBorders>
            <w:shd w:val="clear" w:color="000000" w:fill="FFFFFF"/>
            <w:noWrap/>
            <w:vAlign w:val="center"/>
            <w:hideMark/>
          </w:tcPr>
          <w:p w14:paraId="31E2FA8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3 385 385,78</w:t>
            </w:r>
          </w:p>
        </w:tc>
        <w:tc>
          <w:tcPr>
            <w:tcW w:w="1229" w:type="dxa"/>
            <w:tcBorders>
              <w:top w:val="nil"/>
              <w:left w:val="nil"/>
              <w:bottom w:val="nil"/>
              <w:right w:val="single" w:sz="8" w:space="0" w:color="auto"/>
            </w:tcBorders>
            <w:shd w:val="clear" w:color="000000" w:fill="FFFFFF"/>
            <w:noWrap/>
            <w:vAlign w:val="center"/>
            <w:hideMark/>
          </w:tcPr>
          <w:p w14:paraId="6BB2576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4 633 620,12</w:t>
            </w:r>
          </w:p>
        </w:tc>
      </w:tr>
      <w:tr w:rsidR="00AE7424" w:rsidRPr="00AE7424" w14:paraId="6C6A4374"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69B6F618"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DANMARK</w:t>
            </w:r>
          </w:p>
        </w:tc>
        <w:tc>
          <w:tcPr>
            <w:tcW w:w="832" w:type="dxa"/>
            <w:tcBorders>
              <w:top w:val="nil"/>
              <w:left w:val="nil"/>
              <w:bottom w:val="nil"/>
              <w:right w:val="single" w:sz="8" w:space="0" w:color="auto"/>
            </w:tcBorders>
            <w:shd w:val="clear" w:color="000000" w:fill="FFFFFF"/>
            <w:noWrap/>
            <w:vAlign w:val="center"/>
            <w:hideMark/>
          </w:tcPr>
          <w:p w14:paraId="2B0BDE92"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2,14</w:t>
            </w:r>
          </w:p>
        </w:tc>
        <w:tc>
          <w:tcPr>
            <w:tcW w:w="820" w:type="dxa"/>
            <w:tcBorders>
              <w:top w:val="nil"/>
              <w:left w:val="nil"/>
              <w:bottom w:val="nil"/>
              <w:right w:val="single" w:sz="8" w:space="0" w:color="auto"/>
            </w:tcBorders>
            <w:shd w:val="clear" w:color="000000" w:fill="FFFFFF"/>
            <w:noWrap/>
            <w:vAlign w:val="center"/>
            <w:hideMark/>
          </w:tcPr>
          <w:p w14:paraId="0166577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2,00</w:t>
            </w:r>
          </w:p>
        </w:tc>
        <w:tc>
          <w:tcPr>
            <w:tcW w:w="880" w:type="dxa"/>
            <w:tcBorders>
              <w:top w:val="nil"/>
              <w:left w:val="nil"/>
              <w:bottom w:val="nil"/>
              <w:right w:val="single" w:sz="8" w:space="0" w:color="auto"/>
            </w:tcBorders>
            <w:shd w:val="clear" w:color="000000" w:fill="FFFFFF"/>
            <w:noWrap/>
            <w:vAlign w:val="center"/>
            <w:hideMark/>
          </w:tcPr>
          <w:p w14:paraId="4E3539B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2,3480</w:t>
            </w:r>
          </w:p>
        </w:tc>
        <w:tc>
          <w:tcPr>
            <w:tcW w:w="880" w:type="dxa"/>
            <w:tcBorders>
              <w:top w:val="nil"/>
              <w:left w:val="nil"/>
              <w:bottom w:val="nil"/>
              <w:right w:val="nil"/>
            </w:tcBorders>
            <w:shd w:val="clear" w:color="000000" w:fill="FFFFFF"/>
            <w:noWrap/>
            <w:vAlign w:val="center"/>
            <w:hideMark/>
          </w:tcPr>
          <w:p w14:paraId="6AF39C4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1,98045</w:t>
            </w:r>
          </w:p>
        </w:tc>
        <w:tc>
          <w:tcPr>
            <w:tcW w:w="940" w:type="dxa"/>
            <w:tcBorders>
              <w:top w:val="nil"/>
              <w:left w:val="single" w:sz="8" w:space="0" w:color="auto"/>
              <w:bottom w:val="nil"/>
              <w:right w:val="single" w:sz="8" w:space="0" w:color="auto"/>
            </w:tcBorders>
            <w:shd w:val="clear" w:color="000000" w:fill="FFFFFF"/>
            <w:noWrap/>
            <w:vAlign w:val="center"/>
            <w:hideMark/>
          </w:tcPr>
          <w:p w14:paraId="1EC079E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2,32116</w:t>
            </w:r>
          </w:p>
        </w:tc>
        <w:tc>
          <w:tcPr>
            <w:tcW w:w="1034" w:type="dxa"/>
            <w:tcBorders>
              <w:top w:val="nil"/>
              <w:left w:val="nil"/>
              <w:bottom w:val="nil"/>
              <w:right w:val="nil"/>
            </w:tcBorders>
            <w:shd w:val="clear" w:color="000000" w:fill="FFFFFF"/>
            <w:noWrap/>
            <w:vAlign w:val="center"/>
            <w:hideMark/>
          </w:tcPr>
          <w:p w14:paraId="5911B92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23 892,83</w:t>
            </w:r>
          </w:p>
        </w:tc>
        <w:tc>
          <w:tcPr>
            <w:tcW w:w="1276" w:type="dxa"/>
            <w:tcBorders>
              <w:top w:val="nil"/>
              <w:left w:val="single" w:sz="8" w:space="0" w:color="auto"/>
              <w:bottom w:val="nil"/>
              <w:right w:val="single" w:sz="8" w:space="0" w:color="auto"/>
            </w:tcBorders>
            <w:shd w:val="clear" w:color="000000" w:fill="FFFFFF"/>
            <w:noWrap/>
            <w:vAlign w:val="center"/>
            <w:hideMark/>
          </w:tcPr>
          <w:p w14:paraId="17FA1C3D"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4 895 036,60</w:t>
            </w:r>
          </w:p>
        </w:tc>
        <w:tc>
          <w:tcPr>
            <w:tcW w:w="1276" w:type="dxa"/>
            <w:tcBorders>
              <w:top w:val="nil"/>
              <w:left w:val="nil"/>
              <w:bottom w:val="nil"/>
              <w:right w:val="single" w:sz="8" w:space="0" w:color="auto"/>
            </w:tcBorders>
            <w:shd w:val="clear" w:color="000000" w:fill="FFFFFF"/>
            <w:noWrap/>
            <w:vAlign w:val="center"/>
            <w:hideMark/>
          </w:tcPr>
          <w:p w14:paraId="711A13A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8 407 533,11</w:t>
            </w:r>
          </w:p>
        </w:tc>
        <w:tc>
          <w:tcPr>
            <w:tcW w:w="1229" w:type="dxa"/>
            <w:tcBorders>
              <w:top w:val="nil"/>
              <w:left w:val="nil"/>
              <w:bottom w:val="nil"/>
              <w:right w:val="single" w:sz="8" w:space="0" w:color="auto"/>
            </w:tcBorders>
            <w:shd w:val="clear" w:color="000000" w:fill="FFFFFF"/>
            <w:noWrap/>
            <w:vAlign w:val="center"/>
            <w:hideMark/>
          </w:tcPr>
          <w:p w14:paraId="10717A3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13 326 462,54</w:t>
            </w:r>
          </w:p>
        </w:tc>
      </w:tr>
      <w:tr w:rsidR="00AE7424" w:rsidRPr="00AE7424" w14:paraId="3D4B2B9E"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43AAB12D"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TYSKLAND</w:t>
            </w:r>
          </w:p>
        </w:tc>
        <w:tc>
          <w:tcPr>
            <w:tcW w:w="832" w:type="dxa"/>
            <w:tcBorders>
              <w:top w:val="nil"/>
              <w:left w:val="nil"/>
              <w:bottom w:val="nil"/>
              <w:right w:val="single" w:sz="8" w:space="0" w:color="auto"/>
            </w:tcBorders>
            <w:shd w:val="clear" w:color="000000" w:fill="FFFFFF"/>
            <w:noWrap/>
            <w:vAlign w:val="center"/>
            <w:hideMark/>
          </w:tcPr>
          <w:p w14:paraId="065BE4E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23,36</w:t>
            </w:r>
          </w:p>
        </w:tc>
        <w:tc>
          <w:tcPr>
            <w:tcW w:w="820" w:type="dxa"/>
            <w:tcBorders>
              <w:top w:val="nil"/>
              <w:left w:val="nil"/>
              <w:bottom w:val="nil"/>
              <w:right w:val="single" w:sz="8" w:space="0" w:color="auto"/>
            </w:tcBorders>
            <w:shd w:val="clear" w:color="000000" w:fill="FFFFFF"/>
            <w:noWrap/>
            <w:vAlign w:val="center"/>
            <w:hideMark/>
          </w:tcPr>
          <w:p w14:paraId="0E68B4A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20,50</w:t>
            </w:r>
          </w:p>
        </w:tc>
        <w:tc>
          <w:tcPr>
            <w:tcW w:w="880" w:type="dxa"/>
            <w:tcBorders>
              <w:top w:val="nil"/>
              <w:left w:val="nil"/>
              <w:bottom w:val="nil"/>
              <w:right w:val="single" w:sz="8" w:space="0" w:color="auto"/>
            </w:tcBorders>
            <w:shd w:val="clear" w:color="000000" w:fill="FFFFFF"/>
            <w:noWrap/>
            <w:vAlign w:val="center"/>
            <w:hideMark/>
          </w:tcPr>
          <w:p w14:paraId="61E647F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24,0667</w:t>
            </w:r>
          </w:p>
        </w:tc>
        <w:tc>
          <w:tcPr>
            <w:tcW w:w="880" w:type="dxa"/>
            <w:tcBorders>
              <w:top w:val="nil"/>
              <w:left w:val="nil"/>
              <w:bottom w:val="nil"/>
              <w:right w:val="nil"/>
            </w:tcBorders>
            <w:shd w:val="clear" w:color="000000" w:fill="FFFFFF"/>
            <w:noWrap/>
            <w:vAlign w:val="center"/>
            <w:hideMark/>
          </w:tcPr>
          <w:p w14:paraId="5A64F4B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20,57980</w:t>
            </w:r>
          </w:p>
        </w:tc>
        <w:tc>
          <w:tcPr>
            <w:tcW w:w="940" w:type="dxa"/>
            <w:tcBorders>
              <w:top w:val="nil"/>
              <w:left w:val="single" w:sz="8" w:space="0" w:color="auto"/>
              <w:bottom w:val="nil"/>
              <w:right w:val="single" w:sz="8" w:space="0" w:color="auto"/>
            </w:tcBorders>
            <w:shd w:val="clear" w:color="000000" w:fill="FFFFFF"/>
            <w:noWrap/>
            <w:vAlign w:val="center"/>
            <w:hideMark/>
          </w:tcPr>
          <w:p w14:paraId="6E0D5D6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24,12033</w:t>
            </w:r>
          </w:p>
        </w:tc>
        <w:tc>
          <w:tcPr>
            <w:tcW w:w="1034" w:type="dxa"/>
            <w:tcBorders>
              <w:top w:val="nil"/>
              <w:left w:val="nil"/>
              <w:bottom w:val="nil"/>
              <w:right w:val="nil"/>
            </w:tcBorders>
            <w:shd w:val="clear" w:color="000000" w:fill="FFFFFF"/>
            <w:noWrap/>
            <w:vAlign w:val="center"/>
            <w:hideMark/>
          </w:tcPr>
          <w:p w14:paraId="11C556D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260 811,50</w:t>
            </w:r>
          </w:p>
        </w:tc>
        <w:tc>
          <w:tcPr>
            <w:tcW w:w="1276" w:type="dxa"/>
            <w:tcBorders>
              <w:top w:val="nil"/>
              <w:left w:val="single" w:sz="8" w:space="0" w:color="auto"/>
              <w:bottom w:val="nil"/>
              <w:right w:val="single" w:sz="8" w:space="0" w:color="auto"/>
            </w:tcBorders>
            <w:shd w:val="clear" w:color="000000" w:fill="FFFFFF"/>
            <w:noWrap/>
            <w:vAlign w:val="center"/>
            <w:hideMark/>
          </w:tcPr>
          <w:p w14:paraId="5AA0697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50 174 125,18</w:t>
            </w:r>
          </w:p>
        </w:tc>
        <w:tc>
          <w:tcPr>
            <w:tcW w:w="1276" w:type="dxa"/>
            <w:tcBorders>
              <w:top w:val="nil"/>
              <w:left w:val="nil"/>
              <w:bottom w:val="nil"/>
              <w:right w:val="single" w:sz="8" w:space="0" w:color="auto"/>
            </w:tcBorders>
            <w:shd w:val="clear" w:color="000000" w:fill="FFFFFF"/>
            <w:noWrap/>
            <w:vAlign w:val="center"/>
            <w:hideMark/>
          </w:tcPr>
          <w:p w14:paraId="56FAD66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87 366 684,25</w:t>
            </w:r>
          </w:p>
        </w:tc>
        <w:tc>
          <w:tcPr>
            <w:tcW w:w="1229" w:type="dxa"/>
            <w:tcBorders>
              <w:top w:val="nil"/>
              <w:left w:val="nil"/>
              <w:bottom w:val="nil"/>
              <w:right w:val="single" w:sz="8" w:space="0" w:color="auto"/>
            </w:tcBorders>
            <w:shd w:val="clear" w:color="000000" w:fill="FFFFFF"/>
            <w:noWrap/>
            <w:vAlign w:val="center"/>
            <w:hideMark/>
          </w:tcPr>
          <w:p w14:paraId="6FFFA43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137 801 620,93</w:t>
            </w:r>
          </w:p>
        </w:tc>
      </w:tr>
      <w:tr w:rsidR="00AE7424" w:rsidRPr="00AE7424" w14:paraId="3593E0DB"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7D5263E"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ESTLAND</w:t>
            </w:r>
          </w:p>
        </w:tc>
        <w:tc>
          <w:tcPr>
            <w:tcW w:w="832" w:type="dxa"/>
            <w:tcBorders>
              <w:top w:val="nil"/>
              <w:left w:val="nil"/>
              <w:bottom w:val="nil"/>
              <w:right w:val="single" w:sz="8" w:space="0" w:color="auto"/>
            </w:tcBorders>
            <w:shd w:val="clear" w:color="000000" w:fill="FFFFFF"/>
            <w:noWrap/>
            <w:vAlign w:val="center"/>
            <w:hideMark/>
          </w:tcPr>
          <w:p w14:paraId="1728C3D6"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11ED9BC6"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0,05</w:t>
            </w:r>
          </w:p>
        </w:tc>
        <w:tc>
          <w:tcPr>
            <w:tcW w:w="880" w:type="dxa"/>
            <w:tcBorders>
              <w:top w:val="nil"/>
              <w:left w:val="nil"/>
              <w:bottom w:val="nil"/>
              <w:right w:val="single" w:sz="8" w:space="0" w:color="auto"/>
            </w:tcBorders>
            <w:shd w:val="clear" w:color="000000" w:fill="FFFFFF"/>
            <w:noWrap/>
            <w:vAlign w:val="center"/>
            <w:hideMark/>
          </w:tcPr>
          <w:p w14:paraId="637DA2C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0,0587</w:t>
            </w:r>
          </w:p>
        </w:tc>
        <w:tc>
          <w:tcPr>
            <w:tcW w:w="880" w:type="dxa"/>
            <w:tcBorders>
              <w:top w:val="nil"/>
              <w:left w:val="nil"/>
              <w:bottom w:val="nil"/>
              <w:right w:val="nil"/>
            </w:tcBorders>
            <w:shd w:val="clear" w:color="000000" w:fill="FFFFFF"/>
            <w:noWrap/>
            <w:vAlign w:val="center"/>
            <w:hideMark/>
          </w:tcPr>
          <w:p w14:paraId="65DB117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0,08635</w:t>
            </w:r>
          </w:p>
        </w:tc>
        <w:tc>
          <w:tcPr>
            <w:tcW w:w="940" w:type="dxa"/>
            <w:tcBorders>
              <w:top w:val="nil"/>
              <w:left w:val="single" w:sz="8" w:space="0" w:color="auto"/>
              <w:bottom w:val="nil"/>
              <w:right w:val="single" w:sz="8" w:space="0" w:color="auto"/>
            </w:tcBorders>
            <w:shd w:val="clear" w:color="000000" w:fill="FFFFFF"/>
            <w:noWrap/>
            <w:vAlign w:val="center"/>
            <w:hideMark/>
          </w:tcPr>
          <w:p w14:paraId="203B27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0,10121</w:t>
            </w:r>
          </w:p>
        </w:tc>
        <w:tc>
          <w:tcPr>
            <w:tcW w:w="1034" w:type="dxa"/>
            <w:tcBorders>
              <w:top w:val="nil"/>
              <w:left w:val="nil"/>
              <w:bottom w:val="nil"/>
              <w:right w:val="nil"/>
            </w:tcBorders>
            <w:shd w:val="clear" w:color="000000" w:fill="FFFFFF"/>
            <w:noWrap/>
            <w:vAlign w:val="center"/>
            <w:hideMark/>
          </w:tcPr>
          <w:p w14:paraId="1866543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28B9236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122 375,92</w:t>
            </w:r>
          </w:p>
        </w:tc>
        <w:tc>
          <w:tcPr>
            <w:tcW w:w="1276" w:type="dxa"/>
            <w:tcBorders>
              <w:top w:val="nil"/>
              <w:left w:val="nil"/>
              <w:bottom w:val="nil"/>
              <w:right w:val="single" w:sz="8" w:space="0" w:color="auto"/>
            </w:tcBorders>
            <w:shd w:val="clear" w:color="000000" w:fill="FFFFFF"/>
            <w:noWrap/>
            <w:vAlign w:val="center"/>
            <w:hideMark/>
          </w:tcPr>
          <w:p w14:paraId="619048C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366 578,55</w:t>
            </w:r>
          </w:p>
        </w:tc>
        <w:tc>
          <w:tcPr>
            <w:tcW w:w="1229" w:type="dxa"/>
            <w:tcBorders>
              <w:top w:val="nil"/>
              <w:left w:val="nil"/>
              <w:bottom w:val="nil"/>
              <w:right w:val="single" w:sz="8" w:space="0" w:color="auto"/>
            </w:tcBorders>
            <w:shd w:val="clear" w:color="000000" w:fill="FFFFFF"/>
            <w:noWrap/>
            <w:vAlign w:val="center"/>
            <w:hideMark/>
          </w:tcPr>
          <w:p w14:paraId="7745387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488 954,46</w:t>
            </w:r>
          </w:p>
        </w:tc>
      </w:tr>
      <w:tr w:rsidR="00AE7424" w:rsidRPr="00AE7424" w14:paraId="3647C806"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526113F"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IRLAND</w:t>
            </w:r>
          </w:p>
        </w:tc>
        <w:tc>
          <w:tcPr>
            <w:tcW w:w="832" w:type="dxa"/>
            <w:tcBorders>
              <w:top w:val="nil"/>
              <w:left w:val="nil"/>
              <w:bottom w:val="nil"/>
              <w:right w:val="single" w:sz="8" w:space="0" w:color="auto"/>
            </w:tcBorders>
            <w:shd w:val="clear" w:color="000000" w:fill="FFFFFF"/>
            <w:noWrap/>
            <w:vAlign w:val="center"/>
            <w:hideMark/>
          </w:tcPr>
          <w:p w14:paraId="20704FA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0,62</w:t>
            </w:r>
          </w:p>
        </w:tc>
        <w:tc>
          <w:tcPr>
            <w:tcW w:w="820" w:type="dxa"/>
            <w:tcBorders>
              <w:top w:val="nil"/>
              <w:left w:val="nil"/>
              <w:bottom w:val="nil"/>
              <w:right w:val="single" w:sz="8" w:space="0" w:color="auto"/>
            </w:tcBorders>
            <w:shd w:val="clear" w:color="000000" w:fill="FFFFFF"/>
            <w:noWrap/>
            <w:vAlign w:val="center"/>
            <w:hideMark/>
          </w:tcPr>
          <w:p w14:paraId="0FAC116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0,91</w:t>
            </w:r>
          </w:p>
        </w:tc>
        <w:tc>
          <w:tcPr>
            <w:tcW w:w="880" w:type="dxa"/>
            <w:tcBorders>
              <w:top w:val="nil"/>
              <w:left w:val="nil"/>
              <w:bottom w:val="nil"/>
              <w:right w:val="single" w:sz="8" w:space="0" w:color="auto"/>
            </w:tcBorders>
            <w:shd w:val="clear" w:color="000000" w:fill="FFFFFF"/>
            <w:noWrap/>
            <w:vAlign w:val="center"/>
            <w:hideMark/>
          </w:tcPr>
          <w:p w14:paraId="5725946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1,0683</w:t>
            </w:r>
          </w:p>
        </w:tc>
        <w:tc>
          <w:tcPr>
            <w:tcW w:w="880" w:type="dxa"/>
            <w:tcBorders>
              <w:top w:val="nil"/>
              <w:left w:val="nil"/>
              <w:bottom w:val="nil"/>
              <w:right w:val="nil"/>
            </w:tcBorders>
            <w:shd w:val="clear" w:color="000000" w:fill="FFFFFF"/>
            <w:noWrap/>
            <w:vAlign w:val="center"/>
            <w:hideMark/>
          </w:tcPr>
          <w:p w14:paraId="57BB45C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0,94006</w:t>
            </w:r>
          </w:p>
        </w:tc>
        <w:tc>
          <w:tcPr>
            <w:tcW w:w="940" w:type="dxa"/>
            <w:tcBorders>
              <w:top w:val="nil"/>
              <w:left w:val="single" w:sz="8" w:space="0" w:color="auto"/>
              <w:bottom w:val="nil"/>
              <w:right w:val="single" w:sz="8" w:space="0" w:color="auto"/>
            </w:tcBorders>
            <w:shd w:val="clear" w:color="000000" w:fill="FFFFFF"/>
            <w:noWrap/>
            <w:vAlign w:val="center"/>
            <w:hideMark/>
          </w:tcPr>
          <w:p w14:paraId="466FCD2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1,10179</w:t>
            </w:r>
          </w:p>
        </w:tc>
        <w:tc>
          <w:tcPr>
            <w:tcW w:w="1034" w:type="dxa"/>
            <w:tcBorders>
              <w:top w:val="nil"/>
              <w:left w:val="nil"/>
              <w:bottom w:val="nil"/>
              <w:right w:val="nil"/>
            </w:tcBorders>
            <w:shd w:val="clear" w:color="000000" w:fill="FFFFFF"/>
            <w:noWrap/>
            <w:vAlign w:val="center"/>
            <w:hideMark/>
          </w:tcPr>
          <w:p w14:paraId="4A1D914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6 922,22</w:t>
            </w:r>
          </w:p>
        </w:tc>
        <w:tc>
          <w:tcPr>
            <w:tcW w:w="1276" w:type="dxa"/>
            <w:tcBorders>
              <w:top w:val="nil"/>
              <w:left w:val="single" w:sz="8" w:space="0" w:color="auto"/>
              <w:bottom w:val="nil"/>
              <w:right w:val="single" w:sz="8" w:space="0" w:color="auto"/>
            </w:tcBorders>
            <w:shd w:val="clear" w:color="000000" w:fill="FFFFFF"/>
            <w:noWrap/>
            <w:vAlign w:val="center"/>
            <w:hideMark/>
          </w:tcPr>
          <w:p w14:paraId="6B5A46C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2 227 241,65</w:t>
            </w:r>
          </w:p>
        </w:tc>
        <w:tc>
          <w:tcPr>
            <w:tcW w:w="1276" w:type="dxa"/>
            <w:tcBorders>
              <w:top w:val="nil"/>
              <w:left w:val="nil"/>
              <w:bottom w:val="nil"/>
              <w:right w:val="single" w:sz="8" w:space="0" w:color="auto"/>
            </w:tcBorders>
            <w:shd w:val="clear" w:color="000000" w:fill="FFFFFF"/>
            <w:noWrap/>
            <w:vAlign w:val="center"/>
            <w:hideMark/>
          </w:tcPr>
          <w:p w14:paraId="015A03C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3 990 802,88</w:t>
            </w:r>
          </w:p>
        </w:tc>
        <w:tc>
          <w:tcPr>
            <w:tcW w:w="1229" w:type="dxa"/>
            <w:tcBorders>
              <w:top w:val="nil"/>
              <w:left w:val="nil"/>
              <w:bottom w:val="nil"/>
              <w:right w:val="single" w:sz="8" w:space="0" w:color="auto"/>
            </w:tcBorders>
            <w:shd w:val="clear" w:color="000000" w:fill="FFFFFF"/>
            <w:noWrap/>
            <w:vAlign w:val="center"/>
            <w:hideMark/>
          </w:tcPr>
          <w:p w14:paraId="7550C2A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6 224 966,76</w:t>
            </w:r>
          </w:p>
        </w:tc>
      </w:tr>
      <w:tr w:rsidR="00AE7424" w:rsidRPr="00AE7424" w14:paraId="538C49C5"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7AD16744"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GRÆKENLAND</w:t>
            </w:r>
          </w:p>
        </w:tc>
        <w:tc>
          <w:tcPr>
            <w:tcW w:w="832" w:type="dxa"/>
            <w:tcBorders>
              <w:top w:val="nil"/>
              <w:left w:val="nil"/>
              <w:bottom w:val="nil"/>
              <w:right w:val="single" w:sz="8" w:space="0" w:color="auto"/>
            </w:tcBorders>
            <w:shd w:val="clear" w:color="000000" w:fill="FFFFFF"/>
            <w:noWrap/>
            <w:vAlign w:val="center"/>
            <w:hideMark/>
          </w:tcPr>
          <w:p w14:paraId="4E739AC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1,25</w:t>
            </w:r>
          </w:p>
        </w:tc>
        <w:tc>
          <w:tcPr>
            <w:tcW w:w="820" w:type="dxa"/>
            <w:tcBorders>
              <w:top w:val="nil"/>
              <w:left w:val="nil"/>
              <w:bottom w:val="nil"/>
              <w:right w:val="single" w:sz="8" w:space="0" w:color="auto"/>
            </w:tcBorders>
            <w:shd w:val="clear" w:color="000000" w:fill="FFFFFF"/>
            <w:noWrap/>
            <w:vAlign w:val="center"/>
            <w:hideMark/>
          </w:tcPr>
          <w:p w14:paraId="4405C6E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1,47</w:t>
            </w:r>
          </w:p>
        </w:tc>
        <w:tc>
          <w:tcPr>
            <w:tcW w:w="880" w:type="dxa"/>
            <w:tcBorders>
              <w:top w:val="nil"/>
              <w:left w:val="nil"/>
              <w:bottom w:val="nil"/>
              <w:right w:val="single" w:sz="8" w:space="0" w:color="auto"/>
            </w:tcBorders>
            <w:shd w:val="clear" w:color="000000" w:fill="FFFFFF"/>
            <w:noWrap/>
            <w:vAlign w:val="center"/>
            <w:hideMark/>
          </w:tcPr>
          <w:p w14:paraId="2CAC09AC"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1,7258</w:t>
            </w:r>
          </w:p>
        </w:tc>
        <w:tc>
          <w:tcPr>
            <w:tcW w:w="880" w:type="dxa"/>
            <w:tcBorders>
              <w:top w:val="nil"/>
              <w:left w:val="nil"/>
              <w:bottom w:val="nil"/>
              <w:right w:val="nil"/>
            </w:tcBorders>
            <w:shd w:val="clear" w:color="000000" w:fill="FFFFFF"/>
            <w:noWrap/>
            <w:vAlign w:val="center"/>
            <w:hideMark/>
          </w:tcPr>
          <w:p w14:paraId="5EFBD41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1,50735</w:t>
            </w:r>
          </w:p>
        </w:tc>
        <w:tc>
          <w:tcPr>
            <w:tcW w:w="940" w:type="dxa"/>
            <w:tcBorders>
              <w:top w:val="nil"/>
              <w:left w:val="single" w:sz="8" w:space="0" w:color="auto"/>
              <w:bottom w:val="nil"/>
              <w:right w:val="single" w:sz="8" w:space="0" w:color="auto"/>
            </w:tcBorders>
            <w:shd w:val="clear" w:color="000000" w:fill="FFFFFF"/>
            <w:noWrap/>
            <w:vAlign w:val="center"/>
            <w:hideMark/>
          </w:tcPr>
          <w:p w14:paraId="7E04509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1,76667</w:t>
            </w:r>
          </w:p>
        </w:tc>
        <w:tc>
          <w:tcPr>
            <w:tcW w:w="1034" w:type="dxa"/>
            <w:tcBorders>
              <w:top w:val="nil"/>
              <w:left w:val="nil"/>
              <w:bottom w:val="nil"/>
              <w:right w:val="nil"/>
            </w:tcBorders>
            <w:shd w:val="clear" w:color="000000" w:fill="FFFFFF"/>
            <w:noWrap/>
            <w:vAlign w:val="center"/>
            <w:hideMark/>
          </w:tcPr>
          <w:p w14:paraId="0693BF3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13 956,09</w:t>
            </w:r>
          </w:p>
        </w:tc>
        <w:tc>
          <w:tcPr>
            <w:tcW w:w="1276" w:type="dxa"/>
            <w:tcBorders>
              <w:top w:val="nil"/>
              <w:left w:val="single" w:sz="8" w:space="0" w:color="auto"/>
              <w:bottom w:val="nil"/>
              <w:right w:val="single" w:sz="8" w:space="0" w:color="auto"/>
            </w:tcBorders>
            <w:shd w:val="clear" w:color="000000" w:fill="FFFFFF"/>
            <w:noWrap/>
            <w:vAlign w:val="center"/>
            <w:hideMark/>
          </w:tcPr>
          <w:p w14:paraId="6D1A7FA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3 597 851,90</w:t>
            </w:r>
          </w:p>
        </w:tc>
        <w:tc>
          <w:tcPr>
            <w:tcW w:w="1276" w:type="dxa"/>
            <w:tcBorders>
              <w:top w:val="nil"/>
              <w:left w:val="nil"/>
              <w:bottom w:val="nil"/>
              <w:right w:val="single" w:sz="8" w:space="0" w:color="auto"/>
            </w:tcBorders>
            <w:shd w:val="clear" w:color="000000" w:fill="FFFFFF"/>
            <w:noWrap/>
            <w:vAlign w:val="center"/>
            <w:hideMark/>
          </w:tcPr>
          <w:p w14:paraId="2CA04D7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6 399 098,70</w:t>
            </w:r>
          </w:p>
        </w:tc>
        <w:tc>
          <w:tcPr>
            <w:tcW w:w="1229" w:type="dxa"/>
            <w:tcBorders>
              <w:top w:val="nil"/>
              <w:left w:val="nil"/>
              <w:bottom w:val="nil"/>
              <w:right w:val="single" w:sz="8" w:space="0" w:color="auto"/>
            </w:tcBorders>
            <w:shd w:val="clear" w:color="000000" w:fill="FFFFFF"/>
            <w:noWrap/>
            <w:vAlign w:val="center"/>
            <w:hideMark/>
          </w:tcPr>
          <w:p w14:paraId="1CC8846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10 010 906,70</w:t>
            </w:r>
          </w:p>
        </w:tc>
      </w:tr>
      <w:tr w:rsidR="00AE7424" w:rsidRPr="00AE7424" w14:paraId="33374FD2"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47F6E90D"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SPANIEN</w:t>
            </w:r>
          </w:p>
        </w:tc>
        <w:tc>
          <w:tcPr>
            <w:tcW w:w="832" w:type="dxa"/>
            <w:tcBorders>
              <w:top w:val="nil"/>
              <w:left w:val="nil"/>
              <w:bottom w:val="nil"/>
              <w:right w:val="single" w:sz="8" w:space="0" w:color="auto"/>
            </w:tcBorders>
            <w:shd w:val="clear" w:color="000000" w:fill="FFFFFF"/>
            <w:noWrap/>
            <w:vAlign w:val="center"/>
            <w:hideMark/>
          </w:tcPr>
          <w:p w14:paraId="6657736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5,84</w:t>
            </w:r>
          </w:p>
        </w:tc>
        <w:tc>
          <w:tcPr>
            <w:tcW w:w="820" w:type="dxa"/>
            <w:tcBorders>
              <w:top w:val="nil"/>
              <w:left w:val="nil"/>
              <w:bottom w:val="nil"/>
              <w:right w:val="single" w:sz="8" w:space="0" w:color="auto"/>
            </w:tcBorders>
            <w:shd w:val="clear" w:color="000000" w:fill="FFFFFF"/>
            <w:noWrap/>
            <w:vAlign w:val="center"/>
            <w:hideMark/>
          </w:tcPr>
          <w:p w14:paraId="43F44FC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7,85</w:t>
            </w:r>
          </w:p>
        </w:tc>
        <w:tc>
          <w:tcPr>
            <w:tcW w:w="880" w:type="dxa"/>
            <w:tcBorders>
              <w:top w:val="nil"/>
              <w:left w:val="nil"/>
              <w:bottom w:val="nil"/>
              <w:right w:val="single" w:sz="8" w:space="0" w:color="auto"/>
            </w:tcBorders>
            <w:shd w:val="clear" w:color="000000" w:fill="FFFFFF"/>
            <w:noWrap/>
            <w:vAlign w:val="center"/>
            <w:hideMark/>
          </w:tcPr>
          <w:p w14:paraId="0EA45E3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9,2158</w:t>
            </w:r>
          </w:p>
        </w:tc>
        <w:tc>
          <w:tcPr>
            <w:tcW w:w="880" w:type="dxa"/>
            <w:tcBorders>
              <w:top w:val="nil"/>
              <w:left w:val="nil"/>
              <w:bottom w:val="nil"/>
              <w:right w:val="nil"/>
            </w:tcBorders>
            <w:shd w:val="clear" w:color="000000" w:fill="FFFFFF"/>
            <w:noWrap/>
            <w:vAlign w:val="center"/>
            <w:hideMark/>
          </w:tcPr>
          <w:p w14:paraId="52BEC8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7,93248</w:t>
            </w:r>
          </w:p>
        </w:tc>
        <w:tc>
          <w:tcPr>
            <w:tcW w:w="940" w:type="dxa"/>
            <w:tcBorders>
              <w:top w:val="nil"/>
              <w:left w:val="single" w:sz="8" w:space="0" w:color="auto"/>
              <w:bottom w:val="nil"/>
              <w:right w:val="single" w:sz="8" w:space="0" w:color="auto"/>
            </w:tcBorders>
            <w:shd w:val="clear" w:color="000000" w:fill="FFFFFF"/>
            <w:noWrap/>
            <w:vAlign w:val="center"/>
            <w:hideMark/>
          </w:tcPr>
          <w:p w14:paraId="7C1DFD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9,29718</w:t>
            </w:r>
          </w:p>
        </w:tc>
        <w:tc>
          <w:tcPr>
            <w:tcW w:w="1034" w:type="dxa"/>
            <w:tcBorders>
              <w:top w:val="nil"/>
              <w:left w:val="nil"/>
              <w:bottom w:val="nil"/>
              <w:right w:val="nil"/>
            </w:tcBorders>
            <w:shd w:val="clear" w:color="000000" w:fill="FFFFFF"/>
            <w:noWrap/>
            <w:vAlign w:val="center"/>
            <w:hideMark/>
          </w:tcPr>
          <w:p w14:paraId="25925FF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65 202,87</w:t>
            </w:r>
          </w:p>
        </w:tc>
        <w:tc>
          <w:tcPr>
            <w:tcW w:w="1276" w:type="dxa"/>
            <w:tcBorders>
              <w:top w:val="nil"/>
              <w:left w:val="single" w:sz="8" w:space="0" w:color="auto"/>
              <w:bottom w:val="nil"/>
              <w:right w:val="single" w:sz="8" w:space="0" w:color="auto"/>
            </w:tcBorders>
            <w:shd w:val="clear" w:color="000000" w:fill="FFFFFF"/>
            <w:noWrap/>
            <w:vAlign w:val="center"/>
            <w:hideMark/>
          </w:tcPr>
          <w:p w14:paraId="7B78E33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19 213 018,67</w:t>
            </w:r>
          </w:p>
        </w:tc>
        <w:tc>
          <w:tcPr>
            <w:tcW w:w="1276" w:type="dxa"/>
            <w:tcBorders>
              <w:top w:val="nil"/>
              <w:left w:val="nil"/>
              <w:bottom w:val="nil"/>
              <w:right w:val="single" w:sz="8" w:space="0" w:color="auto"/>
            </w:tcBorders>
            <w:shd w:val="clear" w:color="000000" w:fill="FFFFFF"/>
            <w:noWrap/>
            <w:vAlign w:val="center"/>
            <w:hideMark/>
          </w:tcPr>
          <w:p w14:paraId="67B2B12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33 675 471,85</w:t>
            </w:r>
          </w:p>
        </w:tc>
        <w:tc>
          <w:tcPr>
            <w:tcW w:w="1229" w:type="dxa"/>
            <w:tcBorders>
              <w:top w:val="nil"/>
              <w:left w:val="nil"/>
              <w:bottom w:val="nil"/>
              <w:right w:val="single" w:sz="8" w:space="0" w:color="auto"/>
            </w:tcBorders>
            <w:shd w:val="clear" w:color="000000" w:fill="FFFFFF"/>
            <w:noWrap/>
            <w:vAlign w:val="center"/>
            <w:hideMark/>
          </w:tcPr>
          <w:p w14:paraId="4D438AF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52 953 693,39</w:t>
            </w:r>
          </w:p>
        </w:tc>
      </w:tr>
      <w:tr w:rsidR="00AE7424" w:rsidRPr="00AE7424" w14:paraId="6DE64C1D"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6BFDEB33"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FRANKRIG</w:t>
            </w:r>
          </w:p>
        </w:tc>
        <w:tc>
          <w:tcPr>
            <w:tcW w:w="832" w:type="dxa"/>
            <w:tcBorders>
              <w:top w:val="nil"/>
              <w:left w:val="nil"/>
              <w:bottom w:val="nil"/>
              <w:right w:val="single" w:sz="8" w:space="0" w:color="auto"/>
            </w:tcBorders>
            <w:shd w:val="clear" w:color="000000" w:fill="FFFFFF"/>
            <w:noWrap/>
            <w:vAlign w:val="center"/>
            <w:hideMark/>
          </w:tcPr>
          <w:p w14:paraId="0735016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24,30</w:t>
            </w:r>
          </w:p>
        </w:tc>
        <w:tc>
          <w:tcPr>
            <w:tcW w:w="820" w:type="dxa"/>
            <w:tcBorders>
              <w:top w:val="nil"/>
              <w:left w:val="nil"/>
              <w:bottom w:val="nil"/>
              <w:right w:val="single" w:sz="8" w:space="0" w:color="auto"/>
            </w:tcBorders>
            <w:shd w:val="clear" w:color="000000" w:fill="FFFFFF"/>
            <w:noWrap/>
            <w:vAlign w:val="center"/>
            <w:hideMark/>
          </w:tcPr>
          <w:p w14:paraId="1783D29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19,55</w:t>
            </w:r>
          </w:p>
        </w:tc>
        <w:tc>
          <w:tcPr>
            <w:tcW w:w="880" w:type="dxa"/>
            <w:tcBorders>
              <w:top w:val="nil"/>
              <w:left w:val="nil"/>
              <w:bottom w:val="nil"/>
              <w:right w:val="single" w:sz="8" w:space="0" w:color="auto"/>
            </w:tcBorders>
            <w:shd w:val="clear" w:color="000000" w:fill="FFFFFF"/>
            <w:noWrap/>
            <w:vAlign w:val="center"/>
            <w:hideMark/>
          </w:tcPr>
          <w:p w14:paraId="3733B71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22,9514</w:t>
            </w:r>
          </w:p>
        </w:tc>
        <w:tc>
          <w:tcPr>
            <w:tcW w:w="880" w:type="dxa"/>
            <w:tcBorders>
              <w:top w:val="nil"/>
              <w:left w:val="nil"/>
              <w:bottom w:val="nil"/>
              <w:right w:val="nil"/>
            </w:tcBorders>
            <w:shd w:val="clear" w:color="000000" w:fill="FFFFFF"/>
            <w:noWrap/>
            <w:vAlign w:val="center"/>
            <w:hideMark/>
          </w:tcPr>
          <w:p w14:paraId="5603AFF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17,81269</w:t>
            </w:r>
          </w:p>
        </w:tc>
        <w:tc>
          <w:tcPr>
            <w:tcW w:w="940" w:type="dxa"/>
            <w:tcBorders>
              <w:top w:val="nil"/>
              <w:left w:val="single" w:sz="8" w:space="0" w:color="auto"/>
              <w:bottom w:val="nil"/>
              <w:right w:val="single" w:sz="8" w:space="0" w:color="auto"/>
            </w:tcBorders>
            <w:shd w:val="clear" w:color="000000" w:fill="FFFFFF"/>
            <w:noWrap/>
            <w:vAlign w:val="center"/>
            <w:hideMark/>
          </w:tcPr>
          <w:p w14:paraId="668282E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20,87717</w:t>
            </w:r>
          </w:p>
        </w:tc>
        <w:tc>
          <w:tcPr>
            <w:tcW w:w="1034" w:type="dxa"/>
            <w:tcBorders>
              <w:top w:val="nil"/>
              <w:left w:val="nil"/>
              <w:bottom w:val="nil"/>
              <w:right w:val="nil"/>
            </w:tcBorders>
            <w:shd w:val="clear" w:color="000000" w:fill="FFFFFF"/>
            <w:noWrap/>
            <w:vAlign w:val="center"/>
            <w:hideMark/>
          </w:tcPr>
          <w:p w14:paraId="37E5A30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271 306,48</w:t>
            </w:r>
          </w:p>
        </w:tc>
        <w:tc>
          <w:tcPr>
            <w:tcW w:w="1276" w:type="dxa"/>
            <w:tcBorders>
              <w:top w:val="nil"/>
              <w:left w:val="single" w:sz="8" w:space="0" w:color="auto"/>
              <w:bottom w:val="nil"/>
              <w:right w:val="single" w:sz="8" w:space="0" w:color="auto"/>
            </w:tcBorders>
            <w:shd w:val="clear" w:color="000000" w:fill="FFFFFF"/>
            <w:noWrap/>
            <w:vAlign w:val="center"/>
            <w:hideMark/>
          </w:tcPr>
          <w:p w14:paraId="7FAC10B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47 848 982,79</w:t>
            </w:r>
          </w:p>
        </w:tc>
        <w:tc>
          <w:tcPr>
            <w:tcW w:w="1276" w:type="dxa"/>
            <w:tcBorders>
              <w:top w:val="nil"/>
              <w:left w:val="nil"/>
              <w:bottom w:val="nil"/>
              <w:right w:val="single" w:sz="8" w:space="0" w:color="auto"/>
            </w:tcBorders>
            <w:shd w:val="clear" w:color="000000" w:fill="FFFFFF"/>
            <w:noWrap/>
            <w:vAlign w:val="center"/>
            <w:hideMark/>
          </w:tcPr>
          <w:p w14:paraId="070A402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75 619 571,76</w:t>
            </w:r>
          </w:p>
        </w:tc>
        <w:tc>
          <w:tcPr>
            <w:tcW w:w="1229" w:type="dxa"/>
            <w:tcBorders>
              <w:top w:val="nil"/>
              <w:left w:val="nil"/>
              <w:bottom w:val="nil"/>
              <w:right w:val="single" w:sz="8" w:space="0" w:color="auto"/>
            </w:tcBorders>
            <w:shd w:val="clear" w:color="000000" w:fill="FFFFFF"/>
            <w:noWrap/>
            <w:vAlign w:val="center"/>
            <w:hideMark/>
          </w:tcPr>
          <w:p w14:paraId="2F4B116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123 739 861,04</w:t>
            </w:r>
          </w:p>
        </w:tc>
      </w:tr>
      <w:tr w:rsidR="00AE7424" w:rsidRPr="00AE7424" w14:paraId="642CFB86"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3702F63D"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KROATIEN</w:t>
            </w:r>
          </w:p>
        </w:tc>
        <w:tc>
          <w:tcPr>
            <w:tcW w:w="832" w:type="dxa"/>
            <w:tcBorders>
              <w:top w:val="nil"/>
              <w:left w:val="nil"/>
              <w:bottom w:val="nil"/>
              <w:right w:val="single" w:sz="8" w:space="0" w:color="auto"/>
            </w:tcBorders>
            <w:shd w:val="clear" w:color="000000" w:fill="FFFFFF"/>
            <w:noWrap/>
            <w:vAlign w:val="center"/>
            <w:hideMark/>
          </w:tcPr>
          <w:p w14:paraId="07AD45D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1D5C63F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80" w:type="dxa"/>
            <w:tcBorders>
              <w:top w:val="nil"/>
              <w:left w:val="nil"/>
              <w:bottom w:val="nil"/>
              <w:right w:val="single" w:sz="8" w:space="0" w:color="auto"/>
            </w:tcBorders>
            <w:shd w:val="clear" w:color="000000" w:fill="FFFFFF"/>
            <w:noWrap/>
            <w:vAlign w:val="center"/>
            <w:hideMark/>
          </w:tcPr>
          <w:p w14:paraId="7C73593C"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80" w:type="dxa"/>
            <w:tcBorders>
              <w:top w:val="nil"/>
              <w:left w:val="nil"/>
              <w:bottom w:val="nil"/>
              <w:right w:val="nil"/>
            </w:tcBorders>
            <w:shd w:val="clear" w:color="000000" w:fill="FFFFFF"/>
            <w:noWrap/>
            <w:vAlign w:val="center"/>
            <w:hideMark/>
          </w:tcPr>
          <w:p w14:paraId="70334B9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0,22518</w:t>
            </w:r>
          </w:p>
        </w:tc>
        <w:tc>
          <w:tcPr>
            <w:tcW w:w="940" w:type="dxa"/>
            <w:tcBorders>
              <w:top w:val="nil"/>
              <w:left w:val="single" w:sz="8" w:space="0" w:color="auto"/>
              <w:bottom w:val="nil"/>
              <w:right w:val="single" w:sz="8" w:space="0" w:color="auto"/>
            </w:tcBorders>
            <w:shd w:val="clear" w:color="000000" w:fill="FFFFFF"/>
            <w:noWrap/>
            <w:vAlign w:val="center"/>
            <w:hideMark/>
          </w:tcPr>
          <w:p w14:paraId="7AE7657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0,26392</w:t>
            </w:r>
          </w:p>
        </w:tc>
        <w:tc>
          <w:tcPr>
            <w:tcW w:w="1034" w:type="dxa"/>
            <w:tcBorders>
              <w:top w:val="nil"/>
              <w:left w:val="nil"/>
              <w:bottom w:val="nil"/>
              <w:right w:val="nil"/>
            </w:tcBorders>
            <w:shd w:val="clear" w:color="000000" w:fill="FFFFFF"/>
            <w:noWrap/>
            <w:vAlign w:val="center"/>
            <w:hideMark/>
          </w:tcPr>
          <w:p w14:paraId="1A2CC4C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4285B67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nil"/>
              <w:bottom w:val="nil"/>
              <w:right w:val="single" w:sz="8" w:space="0" w:color="auto"/>
            </w:tcBorders>
            <w:shd w:val="clear" w:color="000000" w:fill="FFFFFF"/>
            <w:noWrap/>
            <w:vAlign w:val="center"/>
            <w:hideMark/>
          </w:tcPr>
          <w:p w14:paraId="1EB611E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955 948,55</w:t>
            </w:r>
          </w:p>
        </w:tc>
        <w:tc>
          <w:tcPr>
            <w:tcW w:w="1229" w:type="dxa"/>
            <w:tcBorders>
              <w:top w:val="nil"/>
              <w:left w:val="nil"/>
              <w:bottom w:val="nil"/>
              <w:right w:val="single" w:sz="8" w:space="0" w:color="auto"/>
            </w:tcBorders>
            <w:shd w:val="clear" w:color="000000" w:fill="FFFFFF"/>
            <w:noWrap/>
            <w:vAlign w:val="center"/>
            <w:hideMark/>
          </w:tcPr>
          <w:p w14:paraId="49DAA65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955 948,55</w:t>
            </w:r>
          </w:p>
        </w:tc>
      </w:tr>
      <w:tr w:rsidR="00AE7424" w:rsidRPr="00AE7424" w14:paraId="35A809A0"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2CBA374C"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ITALIEN</w:t>
            </w:r>
          </w:p>
        </w:tc>
        <w:tc>
          <w:tcPr>
            <w:tcW w:w="832" w:type="dxa"/>
            <w:tcBorders>
              <w:top w:val="nil"/>
              <w:left w:val="nil"/>
              <w:bottom w:val="nil"/>
              <w:right w:val="single" w:sz="8" w:space="0" w:color="auto"/>
            </w:tcBorders>
            <w:shd w:val="clear" w:color="000000" w:fill="FFFFFF"/>
            <w:noWrap/>
            <w:vAlign w:val="center"/>
            <w:hideMark/>
          </w:tcPr>
          <w:p w14:paraId="7EE81C7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12,54</w:t>
            </w:r>
          </w:p>
        </w:tc>
        <w:tc>
          <w:tcPr>
            <w:tcW w:w="820" w:type="dxa"/>
            <w:tcBorders>
              <w:top w:val="nil"/>
              <w:left w:val="nil"/>
              <w:bottom w:val="nil"/>
              <w:right w:val="single" w:sz="8" w:space="0" w:color="auto"/>
            </w:tcBorders>
            <w:shd w:val="clear" w:color="000000" w:fill="FFFFFF"/>
            <w:noWrap/>
            <w:vAlign w:val="center"/>
            <w:hideMark/>
          </w:tcPr>
          <w:p w14:paraId="299A35B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12,86</w:t>
            </w:r>
          </w:p>
        </w:tc>
        <w:tc>
          <w:tcPr>
            <w:tcW w:w="880" w:type="dxa"/>
            <w:tcBorders>
              <w:top w:val="nil"/>
              <w:left w:val="nil"/>
              <w:bottom w:val="nil"/>
              <w:right w:val="single" w:sz="8" w:space="0" w:color="auto"/>
            </w:tcBorders>
            <w:shd w:val="clear" w:color="000000" w:fill="FFFFFF"/>
            <w:noWrap/>
            <w:vAlign w:val="center"/>
            <w:hideMark/>
          </w:tcPr>
          <w:p w14:paraId="1C0A7D0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15,0974</w:t>
            </w:r>
          </w:p>
        </w:tc>
        <w:tc>
          <w:tcPr>
            <w:tcW w:w="880" w:type="dxa"/>
            <w:tcBorders>
              <w:top w:val="nil"/>
              <w:left w:val="nil"/>
              <w:bottom w:val="nil"/>
              <w:right w:val="nil"/>
            </w:tcBorders>
            <w:shd w:val="clear" w:color="000000" w:fill="FFFFFF"/>
            <w:noWrap/>
            <w:vAlign w:val="center"/>
            <w:hideMark/>
          </w:tcPr>
          <w:p w14:paraId="596B321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12,53009</w:t>
            </w:r>
          </w:p>
        </w:tc>
        <w:tc>
          <w:tcPr>
            <w:tcW w:w="940" w:type="dxa"/>
            <w:tcBorders>
              <w:top w:val="nil"/>
              <w:left w:val="single" w:sz="8" w:space="0" w:color="auto"/>
              <w:bottom w:val="nil"/>
              <w:right w:val="single" w:sz="8" w:space="0" w:color="auto"/>
            </w:tcBorders>
            <w:shd w:val="clear" w:color="000000" w:fill="FFFFFF"/>
            <w:noWrap/>
            <w:vAlign w:val="center"/>
            <w:hideMark/>
          </w:tcPr>
          <w:p w14:paraId="006D46D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14,68576</w:t>
            </w:r>
          </w:p>
        </w:tc>
        <w:tc>
          <w:tcPr>
            <w:tcW w:w="1034" w:type="dxa"/>
            <w:tcBorders>
              <w:top w:val="nil"/>
              <w:left w:val="nil"/>
              <w:bottom w:val="nil"/>
              <w:right w:val="nil"/>
            </w:tcBorders>
            <w:shd w:val="clear" w:color="000000" w:fill="FFFFFF"/>
            <w:noWrap/>
            <w:vAlign w:val="center"/>
            <w:hideMark/>
          </w:tcPr>
          <w:p w14:paraId="7B437F9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140 007,54</w:t>
            </w:r>
          </w:p>
        </w:tc>
        <w:tc>
          <w:tcPr>
            <w:tcW w:w="1276" w:type="dxa"/>
            <w:tcBorders>
              <w:top w:val="nil"/>
              <w:left w:val="single" w:sz="8" w:space="0" w:color="auto"/>
              <w:bottom w:val="nil"/>
              <w:right w:val="single" w:sz="8" w:space="0" w:color="auto"/>
            </w:tcBorders>
            <w:shd w:val="clear" w:color="000000" w:fill="FFFFFF"/>
            <w:noWrap/>
            <w:vAlign w:val="center"/>
            <w:hideMark/>
          </w:tcPr>
          <w:p w14:paraId="6781D93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31 475 085,36</w:t>
            </w:r>
          </w:p>
        </w:tc>
        <w:tc>
          <w:tcPr>
            <w:tcW w:w="1276" w:type="dxa"/>
            <w:tcBorders>
              <w:top w:val="nil"/>
              <w:left w:val="nil"/>
              <w:bottom w:val="nil"/>
              <w:right w:val="single" w:sz="8" w:space="0" w:color="auto"/>
            </w:tcBorders>
            <w:shd w:val="clear" w:color="000000" w:fill="FFFFFF"/>
            <w:noWrap/>
            <w:vAlign w:val="center"/>
            <w:hideMark/>
          </w:tcPr>
          <w:p w14:paraId="7B77A60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53 193 540,11</w:t>
            </w:r>
          </w:p>
        </w:tc>
        <w:tc>
          <w:tcPr>
            <w:tcW w:w="1229" w:type="dxa"/>
            <w:tcBorders>
              <w:top w:val="nil"/>
              <w:left w:val="nil"/>
              <w:bottom w:val="nil"/>
              <w:right w:val="single" w:sz="8" w:space="0" w:color="auto"/>
            </w:tcBorders>
            <w:shd w:val="clear" w:color="000000" w:fill="FFFFFF"/>
            <w:noWrap/>
            <w:vAlign w:val="center"/>
            <w:hideMark/>
          </w:tcPr>
          <w:p w14:paraId="3829C64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84 808 633,01</w:t>
            </w:r>
          </w:p>
        </w:tc>
      </w:tr>
      <w:tr w:rsidR="00AE7424" w:rsidRPr="00AE7424" w14:paraId="1BBB8CE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A8620AF"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CYPERN</w:t>
            </w:r>
          </w:p>
        </w:tc>
        <w:tc>
          <w:tcPr>
            <w:tcW w:w="832" w:type="dxa"/>
            <w:tcBorders>
              <w:top w:val="nil"/>
              <w:left w:val="nil"/>
              <w:bottom w:val="nil"/>
              <w:right w:val="single" w:sz="8" w:space="0" w:color="auto"/>
            </w:tcBorders>
            <w:shd w:val="clear" w:color="000000" w:fill="FFFFFF"/>
            <w:noWrap/>
            <w:vAlign w:val="center"/>
            <w:hideMark/>
          </w:tcPr>
          <w:p w14:paraId="56A0A01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6B2A1C8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0,09</w:t>
            </w:r>
          </w:p>
        </w:tc>
        <w:tc>
          <w:tcPr>
            <w:tcW w:w="880" w:type="dxa"/>
            <w:tcBorders>
              <w:top w:val="nil"/>
              <w:left w:val="nil"/>
              <w:bottom w:val="nil"/>
              <w:right w:val="single" w:sz="8" w:space="0" w:color="auto"/>
            </w:tcBorders>
            <w:shd w:val="clear" w:color="000000" w:fill="FFFFFF"/>
            <w:noWrap/>
            <w:vAlign w:val="center"/>
            <w:hideMark/>
          </w:tcPr>
          <w:p w14:paraId="4995F54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0,1057</w:t>
            </w:r>
          </w:p>
        </w:tc>
        <w:tc>
          <w:tcPr>
            <w:tcW w:w="880" w:type="dxa"/>
            <w:tcBorders>
              <w:top w:val="nil"/>
              <w:left w:val="nil"/>
              <w:bottom w:val="nil"/>
              <w:right w:val="nil"/>
            </w:tcBorders>
            <w:shd w:val="clear" w:color="000000" w:fill="FFFFFF"/>
            <w:noWrap/>
            <w:vAlign w:val="center"/>
            <w:hideMark/>
          </w:tcPr>
          <w:p w14:paraId="18F0B86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0,11162</w:t>
            </w:r>
          </w:p>
        </w:tc>
        <w:tc>
          <w:tcPr>
            <w:tcW w:w="940" w:type="dxa"/>
            <w:tcBorders>
              <w:top w:val="nil"/>
              <w:left w:val="single" w:sz="8" w:space="0" w:color="auto"/>
              <w:bottom w:val="nil"/>
              <w:right w:val="single" w:sz="8" w:space="0" w:color="auto"/>
            </w:tcBorders>
            <w:shd w:val="clear" w:color="000000" w:fill="FFFFFF"/>
            <w:noWrap/>
            <w:vAlign w:val="center"/>
            <w:hideMark/>
          </w:tcPr>
          <w:p w14:paraId="65E040E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0,13082</w:t>
            </w:r>
          </w:p>
        </w:tc>
        <w:tc>
          <w:tcPr>
            <w:tcW w:w="1034" w:type="dxa"/>
            <w:tcBorders>
              <w:top w:val="nil"/>
              <w:left w:val="nil"/>
              <w:bottom w:val="nil"/>
              <w:right w:val="nil"/>
            </w:tcBorders>
            <w:shd w:val="clear" w:color="000000" w:fill="FFFFFF"/>
            <w:noWrap/>
            <w:vAlign w:val="center"/>
            <w:hideMark/>
          </w:tcPr>
          <w:p w14:paraId="6726E22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59BF55F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220 276,65</w:t>
            </w:r>
          </w:p>
        </w:tc>
        <w:tc>
          <w:tcPr>
            <w:tcW w:w="1276" w:type="dxa"/>
            <w:tcBorders>
              <w:top w:val="nil"/>
              <w:left w:val="nil"/>
              <w:bottom w:val="nil"/>
              <w:right w:val="single" w:sz="8" w:space="0" w:color="auto"/>
            </w:tcBorders>
            <w:shd w:val="clear" w:color="000000" w:fill="FFFFFF"/>
            <w:noWrap/>
            <w:vAlign w:val="center"/>
            <w:hideMark/>
          </w:tcPr>
          <w:p w14:paraId="1C512C5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473 856,37</w:t>
            </w:r>
          </w:p>
        </w:tc>
        <w:tc>
          <w:tcPr>
            <w:tcW w:w="1229" w:type="dxa"/>
            <w:tcBorders>
              <w:top w:val="nil"/>
              <w:left w:val="nil"/>
              <w:bottom w:val="nil"/>
              <w:right w:val="single" w:sz="8" w:space="0" w:color="auto"/>
            </w:tcBorders>
            <w:shd w:val="clear" w:color="000000" w:fill="FFFFFF"/>
            <w:noWrap/>
            <w:vAlign w:val="center"/>
            <w:hideMark/>
          </w:tcPr>
          <w:p w14:paraId="711DB52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694 133,02</w:t>
            </w:r>
          </w:p>
        </w:tc>
      </w:tr>
      <w:tr w:rsidR="00AE7424" w:rsidRPr="00AE7424" w14:paraId="21FC194B"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51A78BB"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LETLAND</w:t>
            </w:r>
          </w:p>
        </w:tc>
        <w:tc>
          <w:tcPr>
            <w:tcW w:w="832" w:type="dxa"/>
            <w:tcBorders>
              <w:top w:val="nil"/>
              <w:left w:val="nil"/>
              <w:bottom w:val="nil"/>
              <w:right w:val="single" w:sz="8" w:space="0" w:color="auto"/>
            </w:tcBorders>
            <w:shd w:val="clear" w:color="000000" w:fill="FFFFFF"/>
            <w:noWrap/>
            <w:vAlign w:val="center"/>
            <w:hideMark/>
          </w:tcPr>
          <w:p w14:paraId="639651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18C0DAB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0,07</w:t>
            </w:r>
          </w:p>
        </w:tc>
        <w:tc>
          <w:tcPr>
            <w:tcW w:w="880" w:type="dxa"/>
            <w:tcBorders>
              <w:top w:val="nil"/>
              <w:left w:val="nil"/>
              <w:bottom w:val="nil"/>
              <w:right w:val="single" w:sz="8" w:space="0" w:color="auto"/>
            </w:tcBorders>
            <w:shd w:val="clear" w:color="000000" w:fill="FFFFFF"/>
            <w:noWrap/>
            <w:vAlign w:val="center"/>
            <w:hideMark/>
          </w:tcPr>
          <w:p w14:paraId="3992673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0,0822</w:t>
            </w:r>
          </w:p>
        </w:tc>
        <w:tc>
          <w:tcPr>
            <w:tcW w:w="880" w:type="dxa"/>
            <w:tcBorders>
              <w:top w:val="nil"/>
              <w:left w:val="nil"/>
              <w:bottom w:val="nil"/>
              <w:right w:val="nil"/>
            </w:tcBorders>
            <w:shd w:val="clear" w:color="000000" w:fill="FFFFFF"/>
            <w:noWrap/>
            <w:vAlign w:val="center"/>
            <w:hideMark/>
          </w:tcPr>
          <w:p w14:paraId="408E2AD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0,11612</w:t>
            </w:r>
          </w:p>
        </w:tc>
        <w:tc>
          <w:tcPr>
            <w:tcW w:w="940" w:type="dxa"/>
            <w:tcBorders>
              <w:top w:val="nil"/>
              <w:left w:val="single" w:sz="8" w:space="0" w:color="auto"/>
              <w:bottom w:val="nil"/>
              <w:right w:val="single" w:sz="8" w:space="0" w:color="auto"/>
            </w:tcBorders>
            <w:shd w:val="clear" w:color="000000" w:fill="FFFFFF"/>
            <w:noWrap/>
            <w:vAlign w:val="center"/>
            <w:hideMark/>
          </w:tcPr>
          <w:p w14:paraId="290EDBC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0,13610</w:t>
            </w:r>
          </w:p>
        </w:tc>
        <w:tc>
          <w:tcPr>
            <w:tcW w:w="1034" w:type="dxa"/>
            <w:tcBorders>
              <w:top w:val="nil"/>
              <w:left w:val="nil"/>
              <w:bottom w:val="nil"/>
              <w:right w:val="nil"/>
            </w:tcBorders>
            <w:shd w:val="clear" w:color="000000" w:fill="FFFFFF"/>
            <w:noWrap/>
            <w:vAlign w:val="center"/>
            <w:hideMark/>
          </w:tcPr>
          <w:p w14:paraId="3A12B21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7A480BA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171 326,28</w:t>
            </w:r>
          </w:p>
        </w:tc>
        <w:tc>
          <w:tcPr>
            <w:tcW w:w="1276" w:type="dxa"/>
            <w:tcBorders>
              <w:top w:val="nil"/>
              <w:left w:val="nil"/>
              <w:bottom w:val="nil"/>
              <w:right w:val="single" w:sz="8" w:space="0" w:color="auto"/>
            </w:tcBorders>
            <w:shd w:val="clear" w:color="000000" w:fill="FFFFFF"/>
            <w:noWrap/>
            <w:vAlign w:val="center"/>
            <w:hideMark/>
          </w:tcPr>
          <w:p w14:paraId="38F3EEF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492 960,06</w:t>
            </w:r>
          </w:p>
        </w:tc>
        <w:tc>
          <w:tcPr>
            <w:tcW w:w="1229" w:type="dxa"/>
            <w:tcBorders>
              <w:top w:val="nil"/>
              <w:left w:val="nil"/>
              <w:bottom w:val="nil"/>
              <w:right w:val="single" w:sz="8" w:space="0" w:color="auto"/>
            </w:tcBorders>
            <w:shd w:val="clear" w:color="000000" w:fill="FFFFFF"/>
            <w:noWrap/>
            <w:vAlign w:val="center"/>
            <w:hideMark/>
          </w:tcPr>
          <w:p w14:paraId="0122755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664 286,34</w:t>
            </w:r>
          </w:p>
        </w:tc>
      </w:tr>
      <w:tr w:rsidR="00AE7424" w:rsidRPr="00AE7424" w14:paraId="7D6AFCAE"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5F631CCD"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LITAUEN</w:t>
            </w:r>
          </w:p>
        </w:tc>
        <w:tc>
          <w:tcPr>
            <w:tcW w:w="832" w:type="dxa"/>
            <w:tcBorders>
              <w:top w:val="nil"/>
              <w:left w:val="nil"/>
              <w:bottom w:val="nil"/>
              <w:right w:val="single" w:sz="8" w:space="0" w:color="auto"/>
            </w:tcBorders>
            <w:shd w:val="clear" w:color="000000" w:fill="FFFFFF"/>
            <w:noWrap/>
            <w:vAlign w:val="center"/>
            <w:hideMark/>
          </w:tcPr>
          <w:p w14:paraId="7854BF8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6645429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0,12</w:t>
            </w:r>
          </w:p>
        </w:tc>
        <w:tc>
          <w:tcPr>
            <w:tcW w:w="880" w:type="dxa"/>
            <w:tcBorders>
              <w:top w:val="nil"/>
              <w:left w:val="nil"/>
              <w:bottom w:val="nil"/>
              <w:right w:val="single" w:sz="8" w:space="0" w:color="auto"/>
            </w:tcBorders>
            <w:shd w:val="clear" w:color="000000" w:fill="FFFFFF"/>
            <w:noWrap/>
            <w:vAlign w:val="center"/>
            <w:hideMark/>
          </w:tcPr>
          <w:p w14:paraId="0A176CF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0,1409</w:t>
            </w:r>
          </w:p>
        </w:tc>
        <w:tc>
          <w:tcPr>
            <w:tcW w:w="880" w:type="dxa"/>
            <w:tcBorders>
              <w:top w:val="nil"/>
              <w:left w:val="nil"/>
              <w:bottom w:val="nil"/>
              <w:right w:val="nil"/>
            </w:tcBorders>
            <w:shd w:val="clear" w:color="000000" w:fill="FFFFFF"/>
            <w:noWrap/>
            <w:vAlign w:val="center"/>
            <w:hideMark/>
          </w:tcPr>
          <w:p w14:paraId="3FBB699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0,18077</w:t>
            </w:r>
          </w:p>
        </w:tc>
        <w:tc>
          <w:tcPr>
            <w:tcW w:w="940" w:type="dxa"/>
            <w:tcBorders>
              <w:top w:val="nil"/>
              <w:left w:val="single" w:sz="8" w:space="0" w:color="auto"/>
              <w:bottom w:val="nil"/>
              <w:right w:val="single" w:sz="8" w:space="0" w:color="auto"/>
            </w:tcBorders>
            <w:shd w:val="clear" w:color="000000" w:fill="FFFFFF"/>
            <w:noWrap/>
            <w:vAlign w:val="center"/>
            <w:hideMark/>
          </w:tcPr>
          <w:p w14:paraId="13CD978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0,21187</w:t>
            </w:r>
          </w:p>
        </w:tc>
        <w:tc>
          <w:tcPr>
            <w:tcW w:w="1034" w:type="dxa"/>
            <w:tcBorders>
              <w:top w:val="nil"/>
              <w:left w:val="nil"/>
              <w:bottom w:val="nil"/>
              <w:right w:val="nil"/>
            </w:tcBorders>
            <w:shd w:val="clear" w:color="000000" w:fill="FFFFFF"/>
            <w:noWrap/>
            <w:vAlign w:val="center"/>
            <w:hideMark/>
          </w:tcPr>
          <w:p w14:paraId="5139C95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30EDDF2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293 702,20</w:t>
            </w:r>
          </w:p>
        </w:tc>
        <w:tc>
          <w:tcPr>
            <w:tcW w:w="1276" w:type="dxa"/>
            <w:tcBorders>
              <w:top w:val="nil"/>
              <w:left w:val="nil"/>
              <w:bottom w:val="nil"/>
              <w:right w:val="single" w:sz="8" w:space="0" w:color="auto"/>
            </w:tcBorders>
            <w:shd w:val="clear" w:color="000000" w:fill="FFFFFF"/>
            <w:noWrap/>
            <w:vAlign w:val="center"/>
            <w:hideMark/>
          </w:tcPr>
          <w:p w14:paraId="3096BF2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767 416,37</w:t>
            </w:r>
          </w:p>
        </w:tc>
        <w:tc>
          <w:tcPr>
            <w:tcW w:w="1229" w:type="dxa"/>
            <w:tcBorders>
              <w:top w:val="nil"/>
              <w:left w:val="nil"/>
              <w:bottom w:val="nil"/>
              <w:right w:val="single" w:sz="8" w:space="0" w:color="auto"/>
            </w:tcBorders>
            <w:shd w:val="clear" w:color="000000" w:fill="FFFFFF"/>
            <w:noWrap/>
            <w:vAlign w:val="center"/>
            <w:hideMark/>
          </w:tcPr>
          <w:p w14:paraId="222EEDF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1 061 118,57</w:t>
            </w:r>
          </w:p>
        </w:tc>
      </w:tr>
      <w:tr w:rsidR="00AE7424" w:rsidRPr="00AE7424" w14:paraId="5AE8DFD6"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C6CA004"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LUXEMBOURG</w:t>
            </w:r>
          </w:p>
        </w:tc>
        <w:tc>
          <w:tcPr>
            <w:tcW w:w="832" w:type="dxa"/>
            <w:tcBorders>
              <w:top w:val="nil"/>
              <w:left w:val="nil"/>
              <w:bottom w:val="nil"/>
              <w:right w:val="single" w:sz="8" w:space="0" w:color="auto"/>
            </w:tcBorders>
            <w:shd w:val="clear" w:color="000000" w:fill="FFFFFF"/>
            <w:noWrap/>
            <w:vAlign w:val="center"/>
            <w:hideMark/>
          </w:tcPr>
          <w:p w14:paraId="3E43763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0,29</w:t>
            </w:r>
          </w:p>
        </w:tc>
        <w:tc>
          <w:tcPr>
            <w:tcW w:w="820" w:type="dxa"/>
            <w:tcBorders>
              <w:top w:val="nil"/>
              <w:left w:val="nil"/>
              <w:bottom w:val="nil"/>
              <w:right w:val="single" w:sz="8" w:space="0" w:color="auto"/>
            </w:tcBorders>
            <w:shd w:val="clear" w:color="000000" w:fill="FFFFFF"/>
            <w:noWrap/>
            <w:vAlign w:val="center"/>
            <w:hideMark/>
          </w:tcPr>
          <w:p w14:paraId="3D1B281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0,27</w:t>
            </w:r>
          </w:p>
        </w:tc>
        <w:tc>
          <w:tcPr>
            <w:tcW w:w="880" w:type="dxa"/>
            <w:tcBorders>
              <w:top w:val="nil"/>
              <w:left w:val="nil"/>
              <w:bottom w:val="nil"/>
              <w:right w:val="single" w:sz="8" w:space="0" w:color="auto"/>
            </w:tcBorders>
            <w:shd w:val="clear" w:color="000000" w:fill="FFFFFF"/>
            <w:noWrap/>
            <w:vAlign w:val="center"/>
            <w:hideMark/>
          </w:tcPr>
          <w:p w14:paraId="55DE142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0,3170</w:t>
            </w:r>
          </w:p>
        </w:tc>
        <w:tc>
          <w:tcPr>
            <w:tcW w:w="880" w:type="dxa"/>
            <w:tcBorders>
              <w:top w:val="nil"/>
              <w:left w:val="nil"/>
              <w:bottom w:val="nil"/>
              <w:right w:val="nil"/>
            </w:tcBorders>
            <w:shd w:val="clear" w:color="000000" w:fill="FFFFFF"/>
            <w:noWrap/>
            <w:vAlign w:val="center"/>
            <w:hideMark/>
          </w:tcPr>
          <w:p w14:paraId="43B9256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0,25509</w:t>
            </w:r>
          </w:p>
        </w:tc>
        <w:tc>
          <w:tcPr>
            <w:tcW w:w="940" w:type="dxa"/>
            <w:tcBorders>
              <w:top w:val="nil"/>
              <w:left w:val="single" w:sz="8" w:space="0" w:color="auto"/>
              <w:bottom w:val="nil"/>
              <w:right w:val="single" w:sz="8" w:space="0" w:color="auto"/>
            </w:tcBorders>
            <w:shd w:val="clear" w:color="000000" w:fill="FFFFFF"/>
            <w:noWrap/>
            <w:vAlign w:val="center"/>
            <w:hideMark/>
          </w:tcPr>
          <w:p w14:paraId="30DC50C2"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0,29898</w:t>
            </w:r>
          </w:p>
        </w:tc>
        <w:tc>
          <w:tcPr>
            <w:tcW w:w="1034" w:type="dxa"/>
            <w:tcBorders>
              <w:top w:val="nil"/>
              <w:left w:val="nil"/>
              <w:bottom w:val="nil"/>
              <w:right w:val="nil"/>
            </w:tcBorders>
            <w:shd w:val="clear" w:color="000000" w:fill="FFFFFF"/>
            <w:noWrap/>
            <w:vAlign w:val="center"/>
            <w:hideMark/>
          </w:tcPr>
          <w:p w14:paraId="0F12FDB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3 237,81</w:t>
            </w:r>
          </w:p>
        </w:tc>
        <w:tc>
          <w:tcPr>
            <w:tcW w:w="1276" w:type="dxa"/>
            <w:tcBorders>
              <w:top w:val="nil"/>
              <w:left w:val="single" w:sz="8" w:space="0" w:color="auto"/>
              <w:bottom w:val="nil"/>
              <w:right w:val="single" w:sz="8" w:space="0" w:color="auto"/>
            </w:tcBorders>
            <w:shd w:val="clear" w:color="000000" w:fill="FFFFFF"/>
            <w:noWrap/>
            <w:vAlign w:val="center"/>
            <w:hideMark/>
          </w:tcPr>
          <w:p w14:paraId="669D1EA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660 829,94</w:t>
            </w:r>
          </w:p>
        </w:tc>
        <w:tc>
          <w:tcPr>
            <w:tcW w:w="1276" w:type="dxa"/>
            <w:tcBorders>
              <w:top w:val="nil"/>
              <w:left w:val="nil"/>
              <w:bottom w:val="nil"/>
              <w:right w:val="single" w:sz="8" w:space="0" w:color="auto"/>
            </w:tcBorders>
            <w:shd w:val="clear" w:color="000000" w:fill="FFFFFF"/>
            <w:noWrap/>
            <w:vAlign w:val="center"/>
            <w:hideMark/>
          </w:tcPr>
          <w:p w14:paraId="34AD516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1 082 924,40</w:t>
            </w:r>
          </w:p>
        </w:tc>
        <w:tc>
          <w:tcPr>
            <w:tcW w:w="1229" w:type="dxa"/>
            <w:tcBorders>
              <w:top w:val="nil"/>
              <w:left w:val="nil"/>
              <w:bottom w:val="nil"/>
              <w:right w:val="single" w:sz="8" w:space="0" w:color="auto"/>
            </w:tcBorders>
            <w:shd w:val="clear" w:color="000000" w:fill="FFFFFF"/>
            <w:noWrap/>
            <w:vAlign w:val="center"/>
            <w:hideMark/>
          </w:tcPr>
          <w:p w14:paraId="7818650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1 746 992,15</w:t>
            </w:r>
          </w:p>
        </w:tc>
      </w:tr>
      <w:tr w:rsidR="00AE7424" w:rsidRPr="00AE7424" w14:paraId="03421C7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32DFFF5E"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UNGARN</w:t>
            </w:r>
          </w:p>
        </w:tc>
        <w:tc>
          <w:tcPr>
            <w:tcW w:w="832" w:type="dxa"/>
            <w:tcBorders>
              <w:top w:val="nil"/>
              <w:left w:val="nil"/>
              <w:bottom w:val="nil"/>
              <w:right w:val="single" w:sz="8" w:space="0" w:color="auto"/>
            </w:tcBorders>
            <w:shd w:val="clear" w:color="000000" w:fill="FFFFFF"/>
            <w:noWrap/>
            <w:vAlign w:val="center"/>
            <w:hideMark/>
          </w:tcPr>
          <w:p w14:paraId="56547ED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0292886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0,55</w:t>
            </w:r>
          </w:p>
        </w:tc>
        <w:tc>
          <w:tcPr>
            <w:tcW w:w="880" w:type="dxa"/>
            <w:tcBorders>
              <w:top w:val="nil"/>
              <w:left w:val="nil"/>
              <w:bottom w:val="nil"/>
              <w:right w:val="single" w:sz="8" w:space="0" w:color="auto"/>
            </w:tcBorders>
            <w:shd w:val="clear" w:color="000000" w:fill="FFFFFF"/>
            <w:noWrap/>
            <w:vAlign w:val="center"/>
            <w:hideMark/>
          </w:tcPr>
          <w:p w14:paraId="4A8679E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0,6457</w:t>
            </w:r>
          </w:p>
        </w:tc>
        <w:tc>
          <w:tcPr>
            <w:tcW w:w="880" w:type="dxa"/>
            <w:tcBorders>
              <w:top w:val="nil"/>
              <w:left w:val="nil"/>
              <w:bottom w:val="nil"/>
              <w:right w:val="nil"/>
            </w:tcBorders>
            <w:shd w:val="clear" w:color="000000" w:fill="FFFFFF"/>
            <w:noWrap/>
            <w:vAlign w:val="center"/>
            <w:hideMark/>
          </w:tcPr>
          <w:p w14:paraId="24007C0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0,61456</w:t>
            </w:r>
          </w:p>
        </w:tc>
        <w:tc>
          <w:tcPr>
            <w:tcW w:w="940" w:type="dxa"/>
            <w:tcBorders>
              <w:top w:val="nil"/>
              <w:left w:val="single" w:sz="8" w:space="0" w:color="auto"/>
              <w:bottom w:val="nil"/>
              <w:right w:val="single" w:sz="8" w:space="0" w:color="auto"/>
            </w:tcBorders>
            <w:shd w:val="clear" w:color="000000" w:fill="FFFFFF"/>
            <w:noWrap/>
            <w:vAlign w:val="center"/>
            <w:hideMark/>
          </w:tcPr>
          <w:p w14:paraId="41A1E2F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0,72029</w:t>
            </w:r>
          </w:p>
        </w:tc>
        <w:tc>
          <w:tcPr>
            <w:tcW w:w="1034" w:type="dxa"/>
            <w:tcBorders>
              <w:top w:val="nil"/>
              <w:left w:val="nil"/>
              <w:bottom w:val="nil"/>
              <w:right w:val="nil"/>
            </w:tcBorders>
            <w:shd w:val="clear" w:color="000000" w:fill="FFFFFF"/>
            <w:noWrap/>
            <w:vAlign w:val="center"/>
            <w:hideMark/>
          </w:tcPr>
          <w:p w14:paraId="7A8DFFB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349705D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1 346 135,07</w:t>
            </w:r>
          </w:p>
        </w:tc>
        <w:tc>
          <w:tcPr>
            <w:tcW w:w="1276" w:type="dxa"/>
            <w:tcBorders>
              <w:top w:val="nil"/>
              <w:left w:val="nil"/>
              <w:bottom w:val="nil"/>
              <w:right w:val="single" w:sz="8" w:space="0" w:color="auto"/>
            </w:tcBorders>
            <w:shd w:val="clear" w:color="000000" w:fill="FFFFFF"/>
            <w:noWrap/>
            <w:vAlign w:val="center"/>
            <w:hideMark/>
          </w:tcPr>
          <w:p w14:paraId="20C7C92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2 608 969,45</w:t>
            </w:r>
          </w:p>
        </w:tc>
        <w:tc>
          <w:tcPr>
            <w:tcW w:w="1229" w:type="dxa"/>
            <w:tcBorders>
              <w:top w:val="nil"/>
              <w:left w:val="nil"/>
              <w:bottom w:val="nil"/>
              <w:right w:val="single" w:sz="8" w:space="0" w:color="auto"/>
            </w:tcBorders>
            <w:shd w:val="clear" w:color="000000" w:fill="FFFFFF"/>
            <w:noWrap/>
            <w:vAlign w:val="center"/>
            <w:hideMark/>
          </w:tcPr>
          <w:p w14:paraId="2B7D5C1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3 955 104,52</w:t>
            </w:r>
          </w:p>
        </w:tc>
      </w:tr>
      <w:tr w:rsidR="00AE7424" w:rsidRPr="00AE7424" w14:paraId="614B01E9"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1A4BF494"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ΜΑLTA</w:t>
            </w:r>
          </w:p>
        </w:tc>
        <w:tc>
          <w:tcPr>
            <w:tcW w:w="832" w:type="dxa"/>
            <w:tcBorders>
              <w:top w:val="nil"/>
              <w:left w:val="nil"/>
              <w:bottom w:val="nil"/>
              <w:right w:val="single" w:sz="8" w:space="0" w:color="auto"/>
            </w:tcBorders>
            <w:shd w:val="clear" w:color="000000" w:fill="FFFFFF"/>
            <w:noWrap/>
            <w:vAlign w:val="center"/>
            <w:hideMark/>
          </w:tcPr>
          <w:p w14:paraId="6EF28D5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6A24F63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0,03</w:t>
            </w:r>
          </w:p>
        </w:tc>
        <w:tc>
          <w:tcPr>
            <w:tcW w:w="880" w:type="dxa"/>
            <w:tcBorders>
              <w:top w:val="nil"/>
              <w:left w:val="nil"/>
              <w:bottom w:val="nil"/>
              <w:right w:val="single" w:sz="8" w:space="0" w:color="auto"/>
            </w:tcBorders>
            <w:shd w:val="clear" w:color="000000" w:fill="FFFFFF"/>
            <w:noWrap/>
            <w:vAlign w:val="center"/>
            <w:hideMark/>
          </w:tcPr>
          <w:p w14:paraId="2707151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0,0352</w:t>
            </w:r>
          </w:p>
        </w:tc>
        <w:tc>
          <w:tcPr>
            <w:tcW w:w="880" w:type="dxa"/>
            <w:tcBorders>
              <w:top w:val="nil"/>
              <w:left w:val="nil"/>
              <w:bottom w:val="nil"/>
              <w:right w:val="nil"/>
            </w:tcBorders>
            <w:shd w:val="clear" w:color="000000" w:fill="FFFFFF"/>
            <w:noWrap/>
            <w:vAlign w:val="center"/>
            <w:hideMark/>
          </w:tcPr>
          <w:p w14:paraId="55C1F80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0,03801</w:t>
            </w:r>
          </w:p>
        </w:tc>
        <w:tc>
          <w:tcPr>
            <w:tcW w:w="940" w:type="dxa"/>
            <w:tcBorders>
              <w:top w:val="nil"/>
              <w:left w:val="single" w:sz="8" w:space="0" w:color="auto"/>
              <w:bottom w:val="nil"/>
              <w:right w:val="single" w:sz="8" w:space="0" w:color="auto"/>
            </w:tcBorders>
            <w:shd w:val="clear" w:color="000000" w:fill="FFFFFF"/>
            <w:noWrap/>
            <w:vAlign w:val="center"/>
            <w:hideMark/>
          </w:tcPr>
          <w:p w14:paraId="0D547C4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0,04455</w:t>
            </w:r>
          </w:p>
        </w:tc>
        <w:tc>
          <w:tcPr>
            <w:tcW w:w="1034" w:type="dxa"/>
            <w:tcBorders>
              <w:top w:val="nil"/>
              <w:left w:val="nil"/>
              <w:bottom w:val="nil"/>
              <w:right w:val="nil"/>
            </w:tcBorders>
            <w:shd w:val="clear" w:color="000000" w:fill="FFFFFF"/>
            <w:noWrap/>
            <w:vAlign w:val="center"/>
            <w:hideMark/>
          </w:tcPr>
          <w:p w14:paraId="7D31A7C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74FE8FA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73 425,55</w:t>
            </w:r>
          </w:p>
        </w:tc>
        <w:tc>
          <w:tcPr>
            <w:tcW w:w="1276" w:type="dxa"/>
            <w:tcBorders>
              <w:top w:val="nil"/>
              <w:left w:val="nil"/>
              <w:bottom w:val="nil"/>
              <w:right w:val="single" w:sz="8" w:space="0" w:color="auto"/>
            </w:tcBorders>
            <w:shd w:val="clear" w:color="000000" w:fill="FFFFFF"/>
            <w:noWrap/>
            <w:vAlign w:val="center"/>
            <w:hideMark/>
          </w:tcPr>
          <w:p w14:paraId="64D8E39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161 362,48</w:t>
            </w:r>
          </w:p>
        </w:tc>
        <w:tc>
          <w:tcPr>
            <w:tcW w:w="1229" w:type="dxa"/>
            <w:tcBorders>
              <w:top w:val="nil"/>
              <w:left w:val="nil"/>
              <w:bottom w:val="nil"/>
              <w:right w:val="single" w:sz="8" w:space="0" w:color="auto"/>
            </w:tcBorders>
            <w:shd w:val="clear" w:color="000000" w:fill="FFFFFF"/>
            <w:noWrap/>
            <w:vAlign w:val="center"/>
            <w:hideMark/>
          </w:tcPr>
          <w:p w14:paraId="6F9FD21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234 788,03</w:t>
            </w:r>
          </w:p>
        </w:tc>
      </w:tr>
      <w:tr w:rsidR="00AE7424" w:rsidRPr="00AE7424" w14:paraId="6D1FDC1E"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15952DC6"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NEDERLANDENE</w:t>
            </w:r>
          </w:p>
        </w:tc>
        <w:tc>
          <w:tcPr>
            <w:tcW w:w="832" w:type="dxa"/>
            <w:tcBorders>
              <w:top w:val="nil"/>
              <w:left w:val="nil"/>
              <w:bottom w:val="nil"/>
              <w:right w:val="single" w:sz="8" w:space="0" w:color="auto"/>
            </w:tcBorders>
            <w:shd w:val="clear" w:color="000000" w:fill="FFFFFF"/>
            <w:noWrap/>
            <w:vAlign w:val="center"/>
            <w:hideMark/>
          </w:tcPr>
          <w:p w14:paraId="1709CE8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5,22</w:t>
            </w:r>
          </w:p>
        </w:tc>
        <w:tc>
          <w:tcPr>
            <w:tcW w:w="820" w:type="dxa"/>
            <w:tcBorders>
              <w:top w:val="nil"/>
              <w:left w:val="nil"/>
              <w:bottom w:val="nil"/>
              <w:right w:val="single" w:sz="8" w:space="0" w:color="auto"/>
            </w:tcBorders>
            <w:shd w:val="clear" w:color="000000" w:fill="FFFFFF"/>
            <w:noWrap/>
            <w:vAlign w:val="center"/>
            <w:hideMark/>
          </w:tcPr>
          <w:p w14:paraId="6E44394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4,85</w:t>
            </w:r>
          </w:p>
        </w:tc>
        <w:tc>
          <w:tcPr>
            <w:tcW w:w="880" w:type="dxa"/>
            <w:tcBorders>
              <w:top w:val="nil"/>
              <w:left w:val="nil"/>
              <w:bottom w:val="nil"/>
              <w:right w:val="single" w:sz="8" w:space="0" w:color="auto"/>
            </w:tcBorders>
            <w:shd w:val="clear" w:color="000000" w:fill="FFFFFF"/>
            <w:noWrap/>
            <w:vAlign w:val="center"/>
            <w:hideMark/>
          </w:tcPr>
          <w:p w14:paraId="4A57244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5,6938</w:t>
            </w:r>
          </w:p>
        </w:tc>
        <w:tc>
          <w:tcPr>
            <w:tcW w:w="880" w:type="dxa"/>
            <w:tcBorders>
              <w:top w:val="nil"/>
              <w:left w:val="nil"/>
              <w:bottom w:val="nil"/>
              <w:right w:val="nil"/>
            </w:tcBorders>
            <w:shd w:val="clear" w:color="000000" w:fill="FFFFFF"/>
            <w:noWrap/>
            <w:vAlign w:val="center"/>
            <w:hideMark/>
          </w:tcPr>
          <w:p w14:paraId="0C17817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4,77678</w:t>
            </w:r>
          </w:p>
        </w:tc>
        <w:tc>
          <w:tcPr>
            <w:tcW w:w="940" w:type="dxa"/>
            <w:tcBorders>
              <w:top w:val="nil"/>
              <w:left w:val="single" w:sz="8" w:space="0" w:color="auto"/>
              <w:bottom w:val="nil"/>
              <w:right w:val="single" w:sz="8" w:space="0" w:color="auto"/>
            </w:tcBorders>
            <w:shd w:val="clear" w:color="000000" w:fill="FFFFFF"/>
            <w:noWrap/>
            <w:vAlign w:val="center"/>
            <w:hideMark/>
          </w:tcPr>
          <w:p w14:paraId="7CCDE17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5,59857</w:t>
            </w:r>
          </w:p>
        </w:tc>
        <w:tc>
          <w:tcPr>
            <w:tcW w:w="1034" w:type="dxa"/>
            <w:tcBorders>
              <w:top w:val="nil"/>
              <w:left w:val="nil"/>
              <w:bottom w:val="nil"/>
              <w:right w:val="nil"/>
            </w:tcBorders>
            <w:shd w:val="clear" w:color="000000" w:fill="FFFFFF"/>
            <w:noWrap/>
            <w:vAlign w:val="center"/>
            <w:hideMark/>
          </w:tcPr>
          <w:p w14:paraId="014F26B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58 280,65</w:t>
            </w:r>
          </w:p>
        </w:tc>
        <w:tc>
          <w:tcPr>
            <w:tcW w:w="1276" w:type="dxa"/>
            <w:tcBorders>
              <w:top w:val="nil"/>
              <w:left w:val="single" w:sz="8" w:space="0" w:color="auto"/>
              <w:bottom w:val="nil"/>
              <w:right w:val="single" w:sz="8" w:space="0" w:color="auto"/>
            </w:tcBorders>
            <w:shd w:val="clear" w:color="000000" w:fill="FFFFFF"/>
            <w:noWrap/>
            <w:vAlign w:val="center"/>
            <w:hideMark/>
          </w:tcPr>
          <w:p w14:paraId="548BF80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11 870 463,76</w:t>
            </w:r>
          </w:p>
        </w:tc>
        <w:tc>
          <w:tcPr>
            <w:tcW w:w="1276" w:type="dxa"/>
            <w:tcBorders>
              <w:top w:val="nil"/>
              <w:left w:val="nil"/>
              <w:bottom w:val="nil"/>
              <w:right w:val="single" w:sz="8" w:space="0" w:color="auto"/>
            </w:tcBorders>
            <w:shd w:val="clear" w:color="000000" w:fill="FFFFFF"/>
            <w:noWrap/>
            <w:vAlign w:val="center"/>
            <w:hideMark/>
          </w:tcPr>
          <w:p w14:paraId="18B78A2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20 278 692,21</w:t>
            </w:r>
          </w:p>
        </w:tc>
        <w:tc>
          <w:tcPr>
            <w:tcW w:w="1229" w:type="dxa"/>
            <w:tcBorders>
              <w:top w:val="nil"/>
              <w:left w:val="nil"/>
              <w:bottom w:val="nil"/>
              <w:right w:val="single" w:sz="8" w:space="0" w:color="auto"/>
            </w:tcBorders>
            <w:shd w:val="clear" w:color="000000" w:fill="FFFFFF"/>
            <w:noWrap/>
            <w:vAlign w:val="center"/>
            <w:hideMark/>
          </w:tcPr>
          <w:p w14:paraId="543AC18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32 207 436,63</w:t>
            </w:r>
          </w:p>
        </w:tc>
      </w:tr>
      <w:tr w:rsidR="00AE7424" w:rsidRPr="00AE7424" w14:paraId="6C34DE98"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7A4C56F1"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ØSTRIG</w:t>
            </w:r>
          </w:p>
        </w:tc>
        <w:tc>
          <w:tcPr>
            <w:tcW w:w="832" w:type="dxa"/>
            <w:tcBorders>
              <w:top w:val="nil"/>
              <w:left w:val="nil"/>
              <w:bottom w:val="nil"/>
              <w:right w:val="single" w:sz="8" w:space="0" w:color="auto"/>
            </w:tcBorders>
            <w:shd w:val="clear" w:color="000000" w:fill="FFFFFF"/>
            <w:noWrap/>
            <w:vAlign w:val="center"/>
            <w:hideMark/>
          </w:tcPr>
          <w:p w14:paraId="5DB0590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2,65</w:t>
            </w:r>
          </w:p>
        </w:tc>
        <w:tc>
          <w:tcPr>
            <w:tcW w:w="820" w:type="dxa"/>
            <w:tcBorders>
              <w:top w:val="nil"/>
              <w:left w:val="nil"/>
              <w:bottom w:val="nil"/>
              <w:right w:val="single" w:sz="8" w:space="0" w:color="auto"/>
            </w:tcBorders>
            <w:shd w:val="clear" w:color="000000" w:fill="FFFFFF"/>
            <w:noWrap/>
            <w:vAlign w:val="center"/>
            <w:hideMark/>
          </w:tcPr>
          <w:p w14:paraId="5155518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2,41</w:t>
            </w:r>
          </w:p>
        </w:tc>
        <w:tc>
          <w:tcPr>
            <w:tcW w:w="880" w:type="dxa"/>
            <w:tcBorders>
              <w:top w:val="nil"/>
              <w:left w:val="nil"/>
              <w:bottom w:val="nil"/>
              <w:right w:val="single" w:sz="8" w:space="0" w:color="auto"/>
            </w:tcBorders>
            <w:shd w:val="clear" w:color="000000" w:fill="FFFFFF"/>
            <w:noWrap/>
            <w:vAlign w:val="center"/>
            <w:hideMark/>
          </w:tcPr>
          <w:p w14:paraId="5125103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2,8293</w:t>
            </w:r>
          </w:p>
        </w:tc>
        <w:tc>
          <w:tcPr>
            <w:tcW w:w="880" w:type="dxa"/>
            <w:tcBorders>
              <w:top w:val="nil"/>
              <w:left w:val="nil"/>
              <w:bottom w:val="nil"/>
              <w:right w:val="nil"/>
            </w:tcBorders>
            <w:shd w:val="clear" w:color="000000" w:fill="FFFFFF"/>
            <w:noWrap/>
            <w:vAlign w:val="center"/>
            <w:hideMark/>
          </w:tcPr>
          <w:p w14:paraId="15EBF0F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2,39757</w:t>
            </w:r>
          </w:p>
        </w:tc>
        <w:tc>
          <w:tcPr>
            <w:tcW w:w="940" w:type="dxa"/>
            <w:tcBorders>
              <w:top w:val="nil"/>
              <w:left w:val="single" w:sz="8" w:space="0" w:color="auto"/>
              <w:bottom w:val="nil"/>
              <w:right w:val="single" w:sz="8" w:space="0" w:color="auto"/>
            </w:tcBorders>
            <w:shd w:val="clear" w:color="000000" w:fill="FFFFFF"/>
            <w:noWrap/>
            <w:vAlign w:val="center"/>
            <w:hideMark/>
          </w:tcPr>
          <w:p w14:paraId="1787E53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2,81005</w:t>
            </w:r>
          </w:p>
        </w:tc>
        <w:tc>
          <w:tcPr>
            <w:tcW w:w="1034" w:type="dxa"/>
            <w:tcBorders>
              <w:top w:val="nil"/>
              <w:left w:val="nil"/>
              <w:bottom w:val="nil"/>
              <w:right w:val="nil"/>
            </w:tcBorders>
            <w:shd w:val="clear" w:color="000000" w:fill="FFFFFF"/>
            <w:noWrap/>
            <w:vAlign w:val="center"/>
            <w:hideMark/>
          </w:tcPr>
          <w:p w14:paraId="5370116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29 586,92</w:t>
            </w:r>
          </w:p>
        </w:tc>
        <w:tc>
          <w:tcPr>
            <w:tcW w:w="1276" w:type="dxa"/>
            <w:tcBorders>
              <w:top w:val="nil"/>
              <w:left w:val="single" w:sz="8" w:space="0" w:color="auto"/>
              <w:bottom w:val="nil"/>
              <w:right w:val="single" w:sz="8" w:space="0" w:color="auto"/>
            </w:tcBorders>
            <w:shd w:val="clear" w:color="000000" w:fill="FFFFFF"/>
            <w:noWrap/>
            <w:vAlign w:val="center"/>
            <w:hideMark/>
          </w:tcPr>
          <w:p w14:paraId="0D590B7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5 898 519,11</w:t>
            </w:r>
          </w:p>
        </w:tc>
        <w:tc>
          <w:tcPr>
            <w:tcW w:w="1276" w:type="dxa"/>
            <w:tcBorders>
              <w:top w:val="nil"/>
              <w:left w:val="nil"/>
              <w:bottom w:val="nil"/>
              <w:right w:val="single" w:sz="8" w:space="0" w:color="auto"/>
            </w:tcBorders>
            <w:shd w:val="clear" w:color="000000" w:fill="FFFFFF"/>
            <w:noWrap/>
            <w:vAlign w:val="center"/>
            <w:hideMark/>
          </w:tcPr>
          <w:p w14:paraId="2C18B22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10 178 317,63</w:t>
            </w:r>
          </w:p>
        </w:tc>
        <w:tc>
          <w:tcPr>
            <w:tcW w:w="1229" w:type="dxa"/>
            <w:tcBorders>
              <w:top w:val="nil"/>
              <w:left w:val="nil"/>
              <w:bottom w:val="nil"/>
              <w:right w:val="single" w:sz="8" w:space="0" w:color="auto"/>
            </w:tcBorders>
            <w:shd w:val="clear" w:color="000000" w:fill="FFFFFF"/>
            <w:noWrap/>
            <w:vAlign w:val="center"/>
            <w:hideMark/>
          </w:tcPr>
          <w:p w14:paraId="4A77AD0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16 106 423,66</w:t>
            </w:r>
          </w:p>
        </w:tc>
      </w:tr>
      <w:tr w:rsidR="00AE7424" w:rsidRPr="00AE7424" w14:paraId="65DA4BA9"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434C6840"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POLEN</w:t>
            </w:r>
          </w:p>
        </w:tc>
        <w:tc>
          <w:tcPr>
            <w:tcW w:w="832" w:type="dxa"/>
            <w:tcBorders>
              <w:top w:val="nil"/>
              <w:left w:val="nil"/>
              <w:bottom w:val="nil"/>
              <w:right w:val="single" w:sz="8" w:space="0" w:color="auto"/>
            </w:tcBorders>
            <w:shd w:val="clear" w:color="000000" w:fill="FFFFFF"/>
            <w:noWrap/>
            <w:vAlign w:val="center"/>
            <w:hideMark/>
          </w:tcPr>
          <w:p w14:paraId="654842F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203E67F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1,30</w:t>
            </w:r>
          </w:p>
        </w:tc>
        <w:tc>
          <w:tcPr>
            <w:tcW w:w="880" w:type="dxa"/>
            <w:tcBorders>
              <w:top w:val="nil"/>
              <w:left w:val="nil"/>
              <w:bottom w:val="nil"/>
              <w:right w:val="single" w:sz="8" w:space="0" w:color="auto"/>
            </w:tcBorders>
            <w:shd w:val="clear" w:color="000000" w:fill="FFFFFF"/>
            <w:noWrap/>
            <w:vAlign w:val="center"/>
            <w:hideMark/>
          </w:tcPr>
          <w:p w14:paraId="1526F48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1,5262</w:t>
            </w:r>
          </w:p>
        </w:tc>
        <w:tc>
          <w:tcPr>
            <w:tcW w:w="880" w:type="dxa"/>
            <w:tcBorders>
              <w:top w:val="nil"/>
              <w:left w:val="nil"/>
              <w:bottom w:val="nil"/>
              <w:right w:val="nil"/>
            </w:tcBorders>
            <w:shd w:val="clear" w:color="000000" w:fill="FFFFFF"/>
            <w:noWrap/>
            <w:vAlign w:val="center"/>
            <w:hideMark/>
          </w:tcPr>
          <w:p w14:paraId="127EABD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2,00734</w:t>
            </w:r>
          </w:p>
        </w:tc>
        <w:tc>
          <w:tcPr>
            <w:tcW w:w="940" w:type="dxa"/>
            <w:tcBorders>
              <w:top w:val="nil"/>
              <w:left w:val="single" w:sz="8" w:space="0" w:color="auto"/>
              <w:bottom w:val="nil"/>
              <w:right w:val="single" w:sz="8" w:space="0" w:color="auto"/>
            </w:tcBorders>
            <w:shd w:val="clear" w:color="000000" w:fill="FFFFFF"/>
            <w:noWrap/>
            <w:vAlign w:val="center"/>
            <w:hideMark/>
          </w:tcPr>
          <w:p w14:paraId="2092382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2,35268</w:t>
            </w:r>
          </w:p>
        </w:tc>
        <w:tc>
          <w:tcPr>
            <w:tcW w:w="1034" w:type="dxa"/>
            <w:tcBorders>
              <w:top w:val="nil"/>
              <w:left w:val="nil"/>
              <w:bottom w:val="nil"/>
              <w:right w:val="nil"/>
            </w:tcBorders>
            <w:shd w:val="clear" w:color="000000" w:fill="FFFFFF"/>
            <w:noWrap/>
            <w:vAlign w:val="center"/>
            <w:hideMark/>
          </w:tcPr>
          <w:p w14:paraId="248232F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31E95FE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3 181 773,79</w:t>
            </w:r>
          </w:p>
        </w:tc>
        <w:tc>
          <w:tcPr>
            <w:tcW w:w="1276" w:type="dxa"/>
            <w:tcBorders>
              <w:top w:val="nil"/>
              <w:left w:val="nil"/>
              <w:bottom w:val="nil"/>
              <w:right w:val="single" w:sz="8" w:space="0" w:color="auto"/>
            </w:tcBorders>
            <w:shd w:val="clear" w:color="000000" w:fill="FFFFFF"/>
            <w:noWrap/>
            <w:vAlign w:val="center"/>
            <w:hideMark/>
          </w:tcPr>
          <w:p w14:paraId="61101F2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8 521 688,26</w:t>
            </w:r>
          </w:p>
        </w:tc>
        <w:tc>
          <w:tcPr>
            <w:tcW w:w="1229" w:type="dxa"/>
            <w:tcBorders>
              <w:top w:val="nil"/>
              <w:left w:val="nil"/>
              <w:bottom w:val="nil"/>
              <w:right w:val="single" w:sz="8" w:space="0" w:color="auto"/>
            </w:tcBorders>
            <w:shd w:val="clear" w:color="000000" w:fill="FFFFFF"/>
            <w:noWrap/>
            <w:vAlign w:val="center"/>
            <w:hideMark/>
          </w:tcPr>
          <w:p w14:paraId="4287913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11 703 462,05</w:t>
            </w:r>
          </w:p>
        </w:tc>
      </w:tr>
      <w:tr w:rsidR="00AE7424" w:rsidRPr="00AE7424" w14:paraId="39CA04C4"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2956F16"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PORTUGAL</w:t>
            </w:r>
          </w:p>
        </w:tc>
        <w:tc>
          <w:tcPr>
            <w:tcW w:w="832" w:type="dxa"/>
            <w:tcBorders>
              <w:top w:val="nil"/>
              <w:left w:val="nil"/>
              <w:bottom w:val="nil"/>
              <w:right w:val="single" w:sz="8" w:space="0" w:color="auto"/>
            </w:tcBorders>
            <w:shd w:val="clear" w:color="000000" w:fill="FFFFFF"/>
            <w:noWrap/>
            <w:vAlign w:val="center"/>
            <w:hideMark/>
          </w:tcPr>
          <w:p w14:paraId="39D3468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0,97</w:t>
            </w:r>
          </w:p>
        </w:tc>
        <w:tc>
          <w:tcPr>
            <w:tcW w:w="820" w:type="dxa"/>
            <w:tcBorders>
              <w:top w:val="nil"/>
              <w:left w:val="nil"/>
              <w:bottom w:val="nil"/>
              <w:right w:val="single" w:sz="8" w:space="0" w:color="auto"/>
            </w:tcBorders>
            <w:shd w:val="clear" w:color="000000" w:fill="FFFFFF"/>
            <w:noWrap/>
            <w:vAlign w:val="center"/>
            <w:hideMark/>
          </w:tcPr>
          <w:p w14:paraId="79468BD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1,15</w:t>
            </w:r>
          </w:p>
        </w:tc>
        <w:tc>
          <w:tcPr>
            <w:tcW w:w="880" w:type="dxa"/>
            <w:tcBorders>
              <w:top w:val="nil"/>
              <w:left w:val="nil"/>
              <w:bottom w:val="nil"/>
              <w:right w:val="single" w:sz="8" w:space="0" w:color="auto"/>
            </w:tcBorders>
            <w:shd w:val="clear" w:color="000000" w:fill="FFFFFF"/>
            <w:noWrap/>
            <w:vAlign w:val="center"/>
            <w:hideMark/>
          </w:tcPr>
          <w:p w14:paraId="226F37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1,3501</w:t>
            </w:r>
          </w:p>
        </w:tc>
        <w:tc>
          <w:tcPr>
            <w:tcW w:w="880" w:type="dxa"/>
            <w:tcBorders>
              <w:top w:val="nil"/>
              <w:left w:val="nil"/>
              <w:bottom w:val="nil"/>
              <w:right w:val="nil"/>
            </w:tcBorders>
            <w:shd w:val="clear" w:color="000000" w:fill="FFFFFF"/>
            <w:noWrap/>
            <w:vAlign w:val="center"/>
            <w:hideMark/>
          </w:tcPr>
          <w:p w14:paraId="1FB0401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1,19679</w:t>
            </w:r>
          </w:p>
        </w:tc>
        <w:tc>
          <w:tcPr>
            <w:tcW w:w="940" w:type="dxa"/>
            <w:tcBorders>
              <w:top w:val="nil"/>
              <w:left w:val="single" w:sz="8" w:space="0" w:color="auto"/>
              <w:bottom w:val="nil"/>
              <w:right w:val="single" w:sz="8" w:space="0" w:color="auto"/>
            </w:tcBorders>
            <w:shd w:val="clear" w:color="000000" w:fill="FFFFFF"/>
            <w:noWrap/>
            <w:vAlign w:val="center"/>
            <w:hideMark/>
          </w:tcPr>
          <w:p w14:paraId="4797034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1,40268</w:t>
            </w:r>
          </w:p>
        </w:tc>
        <w:tc>
          <w:tcPr>
            <w:tcW w:w="1034" w:type="dxa"/>
            <w:tcBorders>
              <w:top w:val="nil"/>
              <w:left w:val="nil"/>
              <w:bottom w:val="nil"/>
              <w:right w:val="nil"/>
            </w:tcBorders>
            <w:shd w:val="clear" w:color="000000" w:fill="FFFFFF"/>
            <w:noWrap/>
            <w:vAlign w:val="center"/>
            <w:hideMark/>
          </w:tcPr>
          <w:p w14:paraId="0766781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10 829,93</w:t>
            </w:r>
          </w:p>
        </w:tc>
        <w:tc>
          <w:tcPr>
            <w:tcW w:w="1276" w:type="dxa"/>
            <w:tcBorders>
              <w:top w:val="nil"/>
              <w:left w:val="single" w:sz="8" w:space="0" w:color="auto"/>
              <w:bottom w:val="nil"/>
              <w:right w:val="single" w:sz="8" w:space="0" w:color="auto"/>
            </w:tcBorders>
            <w:shd w:val="clear" w:color="000000" w:fill="FFFFFF"/>
            <w:noWrap/>
            <w:vAlign w:val="center"/>
            <w:hideMark/>
          </w:tcPr>
          <w:p w14:paraId="011AD3E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2 814 646,05</w:t>
            </w:r>
          </w:p>
        </w:tc>
        <w:tc>
          <w:tcPr>
            <w:tcW w:w="1276" w:type="dxa"/>
            <w:tcBorders>
              <w:top w:val="nil"/>
              <w:left w:val="nil"/>
              <w:bottom w:val="nil"/>
              <w:right w:val="single" w:sz="8" w:space="0" w:color="auto"/>
            </w:tcBorders>
            <w:shd w:val="clear" w:color="000000" w:fill="FFFFFF"/>
            <w:noWrap/>
            <w:vAlign w:val="center"/>
            <w:hideMark/>
          </w:tcPr>
          <w:p w14:paraId="7D3FA61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5 080 689,51</w:t>
            </w:r>
          </w:p>
        </w:tc>
        <w:tc>
          <w:tcPr>
            <w:tcW w:w="1229" w:type="dxa"/>
            <w:tcBorders>
              <w:top w:val="nil"/>
              <w:left w:val="nil"/>
              <w:bottom w:val="nil"/>
              <w:right w:val="single" w:sz="8" w:space="0" w:color="auto"/>
            </w:tcBorders>
            <w:shd w:val="clear" w:color="000000" w:fill="FFFFFF"/>
            <w:noWrap/>
            <w:vAlign w:val="center"/>
            <w:hideMark/>
          </w:tcPr>
          <w:p w14:paraId="0DD4DA5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7 906 165,49</w:t>
            </w:r>
          </w:p>
        </w:tc>
      </w:tr>
      <w:tr w:rsidR="00AE7424" w:rsidRPr="00AE7424" w14:paraId="2E76522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1625AB06"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RUMÆNIEN</w:t>
            </w:r>
          </w:p>
        </w:tc>
        <w:tc>
          <w:tcPr>
            <w:tcW w:w="832" w:type="dxa"/>
            <w:tcBorders>
              <w:top w:val="nil"/>
              <w:left w:val="nil"/>
              <w:bottom w:val="nil"/>
              <w:right w:val="single" w:sz="8" w:space="0" w:color="auto"/>
            </w:tcBorders>
            <w:shd w:val="clear" w:color="000000" w:fill="FFFFFF"/>
            <w:noWrap/>
            <w:vAlign w:val="center"/>
            <w:hideMark/>
          </w:tcPr>
          <w:p w14:paraId="3E1EB42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3AF25E7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0,37</w:t>
            </w:r>
          </w:p>
        </w:tc>
        <w:tc>
          <w:tcPr>
            <w:tcW w:w="880" w:type="dxa"/>
            <w:tcBorders>
              <w:top w:val="nil"/>
              <w:left w:val="nil"/>
              <w:bottom w:val="nil"/>
              <w:right w:val="single" w:sz="8" w:space="0" w:color="auto"/>
            </w:tcBorders>
            <w:shd w:val="clear" w:color="000000" w:fill="FFFFFF"/>
            <w:noWrap/>
            <w:vAlign w:val="center"/>
            <w:hideMark/>
          </w:tcPr>
          <w:p w14:paraId="7F1EBF56"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0,4344</w:t>
            </w:r>
          </w:p>
        </w:tc>
        <w:tc>
          <w:tcPr>
            <w:tcW w:w="880" w:type="dxa"/>
            <w:tcBorders>
              <w:top w:val="nil"/>
              <w:left w:val="nil"/>
              <w:bottom w:val="nil"/>
              <w:right w:val="nil"/>
            </w:tcBorders>
            <w:shd w:val="clear" w:color="000000" w:fill="FFFFFF"/>
            <w:noWrap/>
            <w:vAlign w:val="center"/>
            <w:hideMark/>
          </w:tcPr>
          <w:p w14:paraId="599F4AB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0,71815</w:t>
            </w:r>
          </w:p>
        </w:tc>
        <w:tc>
          <w:tcPr>
            <w:tcW w:w="940" w:type="dxa"/>
            <w:tcBorders>
              <w:top w:val="nil"/>
              <w:left w:val="single" w:sz="8" w:space="0" w:color="auto"/>
              <w:bottom w:val="nil"/>
              <w:right w:val="single" w:sz="8" w:space="0" w:color="auto"/>
            </w:tcBorders>
            <w:shd w:val="clear" w:color="000000" w:fill="FFFFFF"/>
            <w:noWrap/>
            <w:vAlign w:val="center"/>
            <w:hideMark/>
          </w:tcPr>
          <w:p w14:paraId="4F022DB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0,84170</w:t>
            </w:r>
          </w:p>
        </w:tc>
        <w:tc>
          <w:tcPr>
            <w:tcW w:w="1034" w:type="dxa"/>
            <w:tcBorders>
              <w:top w:val="nil"/>
              <w:left w:val="nil"/>
              <w:bottom w:val="nil"/>
              <w:right w:val="nil"/>
            </w:tcBorders>
            <w:shd w:val="clear" w:color="000000" w:fill="FFFFFF"/>
            <w:noWrap/>
            <w:vAlign w:val="center"/>
            <w:hideMark/>
          </w:tcPr>
          <w:p w14:paraId="21A09A2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2946876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905 581,77</w:t>
            </w:r>
          </w:p>
        </w:tc>
        <w:tc>
          <w:tcPr>
            <w:tcW w:w="1276" w:type="dxa"/>
            <w:tcBorders>
              <w:top w:val="nil"/>
              <w:left w:val="nil"/>
              <w:bottom w:val="nil"/>
              <w:right w:val="single" w:sz="8" w:space="0" w:color="auto"/>
            </w:tcBorders>
            <w:shd w:val="clear" w:color="000000" w:fill="FFFFFF"/>
            <w:noWrap/>
            <w:vAlign w:val="center"/>
            <w:hideMark/>
          </w:tcPr>
          <w:p w14:paraId="11C4A3C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3 048 736,35</w:t>
            </w:r>
          </w:p>
        </w:tc>
        <w:tc>
          <w:tcPr>
            <w:tcW w:w="1229" w:type="dxa"/>
            <w:tcBorders>
              <w:top w:val="nil"/>
              <w:left w:val="nil"/>
              <w:bottom w:val="nil"/>
              <w:right w:val="single" w:sz="8" w:space="0" w:color="auto"/>
            </w:tcBorders>
            <w:shd w:val="clear" w:color="000000" w:fill="FFFFFF"/>
            <w:noWrap/>
            <w:vAlign w:val="center"/>
            <w:hideMark/>
          </w:tcPr>
          <w:p w14:paraId="3FCCCA3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3 954 318,12</w:t>
            </w:r>
          </w:p>
        </w:tc>
      </w:tr>
      <w:tr w:rsidR="00AE7424" w:rsidRPr="00AE7424" w14:paraId="14329BD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C3BA361"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SLOVENIEN</w:t>
            </w:r>
          </w:p>
        </w:tc>
        <w:tc>
          <w:tcPr>
            <w:tcW w:w="832" w:type="dxa"/>
            <w:tcBorders>
              <w:top w:val="nil"/>
              <w:left w:val="nil"/>
              <w:bottom w:val="nil"/>
              <w:right w:val="single" w:sz="8" w:space="0" w:color="auto"/>
            </w:tcBorders>
            <w:shd w:val="clear" w:color="000000" w:fill="FFFFFF"/>
            <w:noWrap/>
            <w:vAlign w:val="center"/>
            <w:hideMark/>
          </w:tcPr>
          <w:p w14:paraId="66F76C9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3D0DF17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0,18</w:t>
            </w:r>
          </w:p>
        </w:tc>
        <w:tc>
          <w:tcPr>
            <w:tcW w:w="880" w:type="dxa"/>
            <w:tcBorders>
              <w:top w:val="nil"/>
              <w:left w:val="nil"/>
              <w:bottom w:val="nil"/>
              <w:right w:val="single" w:sz="8" w:space="0" w:color="auto"/>
            </w:tcBorders>
            <w:shd w:val="clear" w:color="000000" w:fill="FFFFFF"/>
            <w:noWrap/>
            <w:vAlign w:val="center"/>
            <w:hideMark/>
          </w:tcPr>
          <w:p w14:paraId="5AF436F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0,2113</w:t>
            </w:r>
          </w:p>
        </w:tc>
        <w:tc>
          <w:tcPr>
            <w:tcW w:w="880" w:type="dxa"/>
            <w:tcBorders>
              <w:top w:val="nil"/>
              <w:left w:val="nil"/>
              <w:bottom w:val="nil"/>
              <w:right w:val="nil"/>
            </w:tcBorders>
            <w:shd w:val="clear" w:color="000000" w:fill="FFFFFF"/>
            <w:noWrap/>
            <w:vAlign w:val="center"/>
            <w:hideMark/>
          </w:tcPr>
          <w:p w14:paraId="65ECB2E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0,22452</w:t>
            </w:r>
          </w:p>
        </w:tc>
        <w:tc>
          <w:tcPr>
            <w:tcW w:w="940" w:type="dxa"/>
            <w:tcBorders>
              <w:top w:val="nil"/>
              <w:left w:val="single" w:sz="8" w:space="0" w:color="auto"/>
              <w:bottom w:val="nil"/>
              <w:right w:val="single" w:sz="8" w:space="0" w:color="auto"/>
            </w:tcBorders>
            <w:shd w:val="clear" w:color="000000" w:fill="FFFFFF"/>
            <w:noWrap/>
            <w:vAlign w:val="center"/>
            <w:hideMark/>
          </w:tcPr>
          <w:p w14:paraId="44987C0C"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0,26315</w:t>
            </w:r>
          </w:p>
        </w:tc>
        <w:tc>
          <w:tcPr>
            <w:tcW w:w="1034" w:type="dxa"/>
            <w:tcBorders>
              <w:top w:val="nil"/>
              <w:left w:val="nil"/>
              <w:bottom w:val="nil"/>
              <w:right w:val="nil"/>
            </w:tcBorders>
            <w:shd w:val="clear" w:color="000000" w:fill="FFFFFF"/>
            <w:noWrap/>
            <w:vAlign w:val="center"/>
            <w:hideMark/>
          </w:tcPr>
          <w:p w14:paraId="28DBA55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0D61B67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440 553,29</w:t>
            </w:r>
          </w:p>
        </w:tc>
        <w:tc>
          <w:tcPr>
            <w:tcW w:w="1276" w:type="dxa"/>
            <w:tcBorders>
              <w:top w:val="nil"/>
              <w:left w:val="nil"/>
              <w:bottom w:val="nil"/>
              <w:right w:val="single" w:sz="8" w:space="0" w:color="auto"/>
            </w:tcBorders>
            <w:shd w:val="clear" w:color="000000" w:fill="FFFFFF"/>
            <w:noWrap/>
            <w:vAlign w:val="center"/>
            <w:hideMark/>
          </w:tcPr>
          <w:p w14:paraId="78A0F8B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953 146,68</w:t>
            </w:r>
          </w:p>
        </w:tc>
        <w:tc>
          <w:tcPr>
            <w:tcW w:w="1229" w:type="dxa"/>
            <w:tcBorders>
              <w:top w:val="nil"/>
              <w:left w:val="nil"/>
              <w:bottom w:val="nil"/>
              <w:right w:val="single" w:sz="8" w:space="0" w:color="auto"/>
            </w:tcBorders>
            <w:shd w:val="clear" w:color="000000" w:fill="FFFFFF"/>
            <w:noWrap/>
            <w:vAlign w:val="center"/>
            <w:hideMark/>
          </w:tcPr>
          <w:p w14:paraId="5272ABB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1 393 699,97</w:t>
            </w:r>
          </w:p>
        </w:tc>
      </w:tr>
      <w:tr w:rsidR="00AE7424" w:rsidRPr="00AE7424" w14:paraId="4F6992F9"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74926E4F"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SLOVAKIET</w:t>
            </w:r>
          </w:p>
        </w:tc>
        <w:tc>
          <w:tcPr>
            <w:tcW w:w="832" w:type="dxa"/>
            <w:tcBorders>
              <w:top w:val="nil"/>
              <w:left w:val="nil"/>
              <w:bottom w:val="nil"/>
              <w:right w:val="single" w:sz="8" w:space="0" w:color="auto"/>
            </w:tcBorders>
            <w:shd w:val="clear" w:color="000000" w:fill="FFFFFF"/>
            <w:noWrap/>
            <w:vAlign w:val="center"/>
            <w:hideMark/>
          </w:tcPr>
          <w:p w14:paraId="309EC4A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55EB59E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0,21</w:t>
            </w:r>
          </w:p>
        </w:tc>
        <w:tc>
          <w:tcPr>
            <w:tcW w:w="880" w:type="dxa"/>
            <w:tcBorders>
              <w:top w:val="nil"/>
              <w:left w:val="nil"/>
              <w:bottom w:val="nil"/>
              <w:right w:val="single" w:sz="8" w:space="0" w:color="auto"/>
            </w:tcBorders>
            <w:shd w:val="clear" w:color="000000" w:fill="FFFFFF"/>
            <w:noWrap/>
            <w:vAlign w:val="center"/>
            <w:hideMark/>
          </w:tcPr>
          <w:p w14:paraId="40E4592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0,2465</w:t>
            </w:r>
          </w:p>
        </w:tc>
        <w:tc>
          <w:tcPr>
            <w:tcW w:w="880" w:type="dxa"/>
            <w:tcBorders>
              <w:top w:val="nil"/>
              <w:left w:val="nil"/>
              <w:bottom w:val="nil"/>
              <w:right w:val="nil"/>
            </w:tcBorders>
            <w:shd w:val="clear" w:color="000000" w:fill="FFFFFF"/>
            <w:noWrap/>
            <w:vAlign w:val="center"/>
            <w:hideMark/>
          </w:tcPr>
          <w:p w14:paraId="133CA7B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0,37616</w:t>
            </w:r>
          </w:p>
        </w:tc>
        <w:tc>
          <w:tcPr>
            <w:tcW w:w="940" w:type="dxa"/>
            <w:tcBorders>
              <w:top w:val="nil"/>
              <w:left w:val="single" w:sz="8" w:space="0" w:color="auto"/>
              <w:bottom w:val="nil"/>
              <w:right w:val="single" w:sz="8" w:space="0" w:color="auto"/>
            </w:tcBorders>
            <w:shd w:val="clear" w:color="000000" w:fill="FFFFFF"/>
            <w:noWrap/>
            <w:vAlign w:val="center"/>
            <w:hideMark/>
          </w:tcPr>
          <w:p w14:paraId="18FA4DE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0,44087</w:t>
            </w:r>
          </w:p>
        </w:tc>
        <w:tc>
          <w:tcPr>
            <w:tcW w:w="1034" w:type="dxa"/>
            <w:tcBorders>
              <w:top w:val="nil"/>
              <w:left w:val="nil"/>
              <w:bottom w:val="nil"/>
              <w:right w:val="nil"/>
            </w:tcBorders>
            <w:shd w:val="clear" w:color="000000" w:fill="FFFFFF"/>
            <w:noWrap/>
            <w:vAlign w:val="center"/>
            <w:hideMark/>
          </w:tcPr>
          <w:p w14:paraId="558B628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5F4F6CB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513 978,84</w:t>
            </w:r>
          </w:p>
        </w:tc>
        <w:tc>
          <w:tcPr>
            <w:tcW w:w="1276" w:type="dxa"/>
            <w:tcBorders>
              <w:top w:val="nil"/>
              <w:left w:val="nil"/>
              <w:bottom w:val="nil"/>
              <w:right w:val="single" w:sz="8" w:space="0" w:color="auto"/>
            </w:tcBorders>
            <w:shd w:val="clear" w:color="000000" w:fill="FFFFFF"/>
            <w:noWrap/>
            <w:vAlign w:val="center"/>
            <w:hideMark/>
          </w:tcPr>
          <w:p w14:paraId="050AB7F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1 596 898,51</w:t>
            </w:r>
          </w:p>
        </w:tc>
        <w:tc>
          <w:tcPr>
            <w:tcW w:w="1229" w:type="dxa"/>
            <w:tcBorders>
              <w:top w:val="nil"/>
              <w:left w:val="nil"/>
              <w:bottom w:val="nil"/>
              <w:right w:val="single" w:sz="8" w:space="0" w:color="auto"/>
            </w:tcBorders>
            <w:shd w:val="clear" w:color="000000" w:fill="FFFFFF"/>
            <w:noWrap/>
            <w:vAlign w:val="center"/>
            <w:hideMark/>
          </w:tcPr>
          <w:p w14:paraId="074078D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2 110 877,35</w:t>
            </w:r>
          </w:p>
        </w:tc>
      </w:tr>
      <w:tr w:rsidR="00AE7424" w:rsidRPr="00AE7424" w14:paraId="75909A07"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20382862"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FINLAND</w:t>
            </w:r>
          </w:p>
        </w:tc>
        <w:tc>
          <w:tcPr>
            <w:tcW w:w="832" w:type="dxa"/>
            <w:tcBorders>
              <w:top w:val="nil"/>
              <w:left w:val="nil"/>
              <w:bottom w:val="nil"/>
              <w:right w:val="single" w:sz="8" w:space="0" w:color="auto"/>
            </w:tcBorders>
            <w:shd w:val="clear" w:color="000000" w:fill="FFFFFF"/>
            <w:noWrap/>
            <w:vAlign w:val="center"/>
            <w:hideMark/>
          </w:tcPr>
          <w:p w14:paraId="25720DD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1,48</w:t>
            </w:r>
          </w:p>
        </w:tc>
        <w:tc>
          <w:tcPr>
            <w:tcW w:w="820" w:type="dxa"/>
            <w:tcBorders>
              <w:top w:val="nil"/>
              <w:left w:val="nil"/>
              <w:bottom w:val="nil"/>
              <w:right w:val="single" w:sz="8" w:space="0" w:color="auto"/>
            </w:tcBorders>
            <w:shd w:val="clear" w:color="000000" w:fill="FFFFFF"/>
            <w:noWrap/>
            <w:vAlign w:val="center"/>
            <w:hideMark/>
          </w:tcPr>
          <w:p w14:paraId="2389F3E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1,47</w:t>
            </w:r>
          </w:p>
        </w:tc>
        <w:tc>
          <w:tcPr>
            <w:tcW w:w="880" w:type="dxa"/>
            <w:tcBorders>
              <w:top w:val="nil"/>
              <w:left w:val="nil"/>
              <w:bottom w:val="nil"/>
              <w:right w:val="single" w:sz="8" w:space="0" w:color="auto"/>
            </w:tcBorders>
            <w:shd w:val="clear" w:color="000000" w:fill="FFFFFF"/>
            <w:noWrap/>
            <w:vAlign w:val="center"/>
            <w:hideMark/>
          </w:tcPr>
          <w:p w14:paraId="7E5FD0D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1,7258</w:t>
            </w:r>
          </w:p>
        </w:tc>
        <w:tc>
          <w:tcPr>
            <w:tcW w:w="880" w:type="dxa"/>
            <w:tcBorders>
              <w:top w:val="nil"/>
              <w:left w:val="nil"/>
              <w:bottom w:val="nil"/>
              <w:right w:val="nil"/>
            </w:tcBorders>
            <w:shd w:val="clear" w:color="000000" w:fill="FFFFFF"/>
            <w:noWrap/>
            <w:vAlign w:val="center"/>
            <w:hideMark/>
          </w:tcPr>
          <w:p w14:paraId="3CDBD11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1,50909</w:t>
            </w:r>
          </w:p>
        </w:tc>
        <w:tc>
          <w:tcPr>
            <w:tcW w:w="940" w:type="dxa"/>
            <w:tcBorders>
              <w:top w:val="nil"/>
              <w:left w:val="single" w:sz="8" w:space="0" w:color="auto"/>
              <w:bottom w:val="nil"/>
              <w:right w:val="single" w:sz="8" w:space="0" w:color="auto"/>
            </w:tcBorders>
            <w:shd w:val="clear" w:color="000000" w:fill="FFFFFF"/>
            <w:noWrap/>
            <w:vAlign w:val="center"/>
            <w:hideMark/>
          </w:tcPr>
          <w:p w14:paraId="57F0A13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1,76871</w:t>
            </w:r>
          </w:p>
        </w:tc>
        <w:tc>
          <w:tcPr>
            <w:tcW w:w="1034" w:type="dxa"/>
            <w:tcBorders>
              <w:top w:val="nil"/>
              <w:left w:val="nil"/>
              <w:bottom w:val="nil"/>
              <w:right w:val="nil"/>
            </w:tcBorders>
            <w:shd w:val="clear" w:color="000000" w:fill="FFFFFF"/>
            <w:noWrap/>
            <w:vAlign w:val="center"/>
            <w:hideMark/>
          </w:tcPr>
          <w:p w14:paraId="45668B1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16 524,02</w:t>
            </w:r>
          </w:p>
        </w:tc>
        <w:tc>
          <w:tcPr>
            <w:tcW w:w="1276" w:type="dxa"/>
            <w:tcBorders>
              <w:top w:val="nil"/>
              <w:left w:val="single" w:sz="8" w:space="0" w:color="auto"/>
              <w:bottom w:val="nil"/>
              <w:right w:val="single" w:sz="8" w:space="0" w:color="auto"/>
            </w:tcBorders>
            <w:shd w:val="clear" w:color="000000" w:fill="FFFFFF"/>
            <w:noWrap/>
            <w:vAlign w:val="center"/>
            <w:hideMark/>
          </w:tcPr>
          <w:p w14:paraId="09F384D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3 597 851,90</w:t>
            </w:r>
          </w:p>
        </w:tc>
        <w:tc>
          <w:tcPr>
            <w:tcW w:w="1276" w:type="dxa"/>
            <w:tcBorders>
              <w:top w:val="nil"/>
              <w:left w:val="nil"/>
              <w:bottom w:val="nil"/>
              <w:right w:val="single" w:sz="8" w:space="0" w:color="auto"/>
            </w:tcBorders>
            <w:shd w:val="clear" w:color="000000" w:fill="FFFFFF"/>
            <w:noWrap/>
            <w:vAlign w:val="center"/>
            <w:hideMark/>
          </w:tcPr>
          <w:p w14:paraId="5E3D0E5D"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6 406 485,46</w:t>
            </w:r>
          </w:p>
        </w:tc>
        <w:tc>
          <w:tcPr>
            <w:tcW w:w="1229" w:type="dxa"/>
            <w:tcBorders>
              <w:top w:val="nil"/>
              <w:left w:val="nil"/>
              <w:bottom w:val="nil"/>
              <w:right w:val="single" w:sz="8" w:space="0" w:color="auto"/>
            </w:tcBorders>
            <w:shd w:val="clear" w:color="000000" w:fill="FFFFFF"/>
            <w:noWrap/>
            <w:vAlign w:val="center"/>
            <w:hideMark/>
          </w:tcPr>
          <w:p w14:paraId="675CFE3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10 020 861,38</w:t>
            </w:r>
          </w:p>
        </w:tc>
      </w:tr>
      <w:tr w:rsidR="00AE7424" w:rsidRPr="00AE7424" w14:paraId="5BEA6327" w14:textId="77777777" w:rsidTr="00AE7424">
        <w:trPr>
          <w:trHeight w:val="270"/>
        </w:trPr>
        <w:tc>
          <w:tcPr>
            <w:tcW w:w="1408" w:type="dxa"/>
            <w:tcBorders>
              <w:top w:val="nil"/>
              <w:left w:val="single" w:sz="8" w:space="0" w:color="auto"/>
              <w:bottom w:val="nil"/>
              <w:right w:val="single" w:sz="8" w:space="0" w:color="auto"/>
            </w:tcBorders>
            <w:shd w:val="clear" w:color="000000" w:fill="FFFFFF"/>
            <w:noWrap/>
            <w:vAlign w:val="center"/>
            <w:hideMark/>
          </w:tcPr>
          <w:p w14:paraId="477204E4"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SVERIGE</w:t>
            </w:r>
          </w:p>
        </w:tc>
        <w:tc>
          <w:tcPr>
            <w:tcW w:w="832" w:type="dxa"/>
            <w:tcBorders>
              <w:top w:val="nil"/>
              <w:left w:val="nil"/>
              <w:bottom w:val="nil"/>
              <w:right w:val="single" w:sz="8" w:space="0" w:color="auto"/>
            </w:tcBorders>
            <w:shd w:val="clear" w:color="000000" w:fill="FFFFFF"/>
            <w:noWrap/>
            <w:vAlign w:val="center"/>
            <w:hideMark/>
          </w:tcPr>
          <w:p w14:paraId="7C326C8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2,73</w:t>
            </w:r>
          </w:p>
        </w:tc>
        <w:tc>
          <w:tcPr>
            <w:tcW w:w="820" w:type="dxa"/>
            <w:tcBorders>
              <w:top w:val="nil"/>
              <w:left w:val="nil"/>
              <w:bottom w:val="nil"/>
              <w:right w:val="single" w:sz="8" w:space="0" w:color="auto"/>
            </w:tcBorders>
            <w:shd w:val="clear" w:color="000000" w:fill="FFFFFF"/>
            <w:noWrap/>
            <w:vAlign w:val="center"/>
            <w:hideMark/>
          </w:tcPr>
          <w:p w14:paraId="357A5EB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2,74</w:t>
            </w:r>
          </w:p>
        </w:tc>
        <w:tc>
          <w:tcPr>
            <w:tcW w:w="880" w:type="dxa"/>
            <w:tcBorders>
              <w:top w:val="nil"/>
              <w:left w:val="nil"/>
              <w:bottom w:val="nil"/>
              <w:right w:val="single" w:sz="8" w:space="0" w:color="auto"/>
            </w:tcBorders>
            <w:shd w:val="clear" w:color="000000" w:fill="FFFFFF"/>
            <w:noWrap/>
            <w:vAlign w:val="center"/>
            <w:hideMark/>
          </w:tcPr>
          <w:p w14:paraId="329187D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3,2167</w:t>
            </w:r>
          </w:p>
        </w:tc>
        <w:tc>
          <w:tcPr>
            <w:tcW w:w="880" w:type="dxa"/>
            <w:tcBorders>
              <w:top w:val="nil"/>
              <w:left w:val="nil"/>
              <w:bottom w:val="nil"/>
              <w:right w:val="nil"/>
            </w:tcBorders>
            <w:shd w:val="clear" w:color="000000" w:fill="FFFFFF"/>
            <w:noWrap/>
            <w:vAlign w:val="center"/>
            <w:hideMark/>
          </w:tcPr>
          <w:p w14:paraId="14156E1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2,93911</w:t>
            </w:r>
          </w:p>
        </w:tc>
        <w:tc>
          <w:tcPr>
            <w:tcW w:w="940" w:type="dxa"/>
            <w:tcBorders>
              <w:top w:val="nil"/>
              <w:left w:val="single" w:sz="8" w:space="0" w:color="auto"/>
              <w:bottom w:val="nil"/>
              <w:right w:val="single" w:sz="8" w:space="0" w:color="auto"/>
            </w:tcBorders>
            <w:shd w:val="clear" w:color="000000" w:fill="FFFFFF"/>
            <w:noWrap/>
            <w:vAlign w:val="center"/>
            <w:hideMark/>
          </w:tcPr>
          <w:p w14:paraId="152D558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3,44475</w:t>
            </w:r>
          </w:p>
        </w:tc>
        <w:tc>
          <w:tcPr>
            <w:tcW w:w="1034" w:type="dxa"/>
            <w:tcBorders>
              <w:top w:val="nil"/>
              <w:left w:val="nil"/>
              <w:bottom w:val="nil"/>
              <w:right w:val="nil"/>
            </w:tcBorders>
            <w:shd w:val="clear" w:color="000000" w:fill="FFFFFF"/>
            <w:noWrap/>
            <w:vAlign w:val="center"/>
            <w:hideMark/>
          </w:tcPr>
          <w:p w14:paraId="0736E87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30 480,11</w:t>
            </w:r>
          </w:p>
        </w:tc>
        <w:tc>
          <w:tcPr>
            <w:tcW w:w="1276" w:type="dxa"/>
            <w:tcBorders>
              <w:top w:val="nil"/>
              <w:left w:val="single" w:sz="8" w:space="0" w:color="auto"/>
              <w:bottom w:val="nil"/>
              <w:right w:val="single" w:sz="8" w:space="0" w:color="auto"/>
            </w:tcBorders>
            <w:shd w:val="clear" w:color="000000" w:fill="FFFFFF"/>
            <w:noWrap/>
            <w:vAlign w:val="center"/>
            <w:hideMark/>
          </w:tcPr>
          <w:p w14:paraId="608127E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6 706 200,15</w:t>
            </w:r>
          </w:p>
        </w:tc>
        <w:tc>
          <w:tcPr>
            <w:tcW w:w="1276" w:type="dxa"/>
            <w:tcBorders>
              <w:top w:val="nil"/>
              <w:left w:val="nil"/>
              <w:bottom w:val="nil"/>
              <w:right w:val="single" w:sz="8" w:space="0" w:color="auto"/>
            </w:tcBorders>
            <w:shd w:val="clear" w:color="000000" w:fill="FFFFFF"/>
            <w:noWrap/>
            <w:vAlign w:val="center"/>
            <w:hideMark/>
          </w:tcPr>
          <w:p w14:paraId="55E56AE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12 477 297,90</w:t>
            </w:r>
          </w:p>
        </w:tc>
        <w:tc>
          <w:tcPr>
            <w:tcW w:w="1229" w:type="dxa"/>
            <w:tcBorders>
              <w:top w:val="nil"/>
              <w:left w:val="nil"/>
              <w:bottom w:val="nil"/>
              <w:right w:val="single" w:sz="8" w:space="0" w:color="auto"/>
            </w:tcBorders>
            <w:shd w:val="clear" w:color="000000" w:fill="FFFFFF"/>
            <w:noWrap/>
            <w:vAlign w:val="center"/>
            <w:hideMark/>
          </w:tcPr>
          <w:p w14:paraId="5D4284B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19 213 978,16</w:t>
            </w:r>
          </w:p>
        </w:tc>
      </w:tr>
      <w:tr w:rsidR="00AE7424" w:rsidRPr="00AE7424" w14:paraId="73BD750E" w14:textId="77777777" w:rsidTr="00AE7424">
        <w:trPr>
          <w:trHeight w:val="270"/>
        </w:trPr>
        <w:tc>
          <w:tcPr>
            <w:tcW w:w="1408" w:type="dxa"/>
            <w:tcBorders>
              <w:top w:val="single" w:sz="8" w:space="0" w:color="auto"/>
              <w:left w:val="single" w:sz="8" w:space="0" w:color="auto"/>
              <w:bottom w:val="nil"/>
              <w:right w:val="single" w:sz="8" w:space="0" w:color="auto"/>
            </w:tcBorders>
            <w:shd w:val="clear" w:color="000000" w:fill="FFFFFF"/>
            <w:noWrap/>
            <w:vAlign w:val="center"/>
            <w:hideMark/>
          </w:tcPr>
          <w:p w14:paraId="49EAC6F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DET FORENEDE KONGERIGE</w:t>
            </w:r>
          </w:p>
        </w:tc>
        <w:tc>
          <w:tcPr>
            <w:tcW w:w="832" w:type="dxa"/>
            <w:tcBorders>
              <w:top w:val="single" w:sz="8" w:space="0" w:color="auto"/>
              <w:left w:val="nil"/>
              <w:bottom w:val="nil"/>
              <w:right w:val="single" w:sz="8" w:space="0" w:color="auto"/>
            </w:tcBorders>
            <w:shd w:val="clear" w:color="000000" w:fill="FFFFFF"/>
            <w:noWrap/>
            <w:vAlign w:val="center"/>
            <w:hideMark/>
          </w:tcPr>
          <w:p w14:paraId="4EE04FA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12,69</w:t>
            </w:r>
          </w:p>
        </w:tc>
        <w:tc>
          <w:tcPr>
            <w:tcW w:w="820" w:type="dxa"/>
            <w:tcBorders>
              <w:top w:val="single" w:sz="8" w:space="0" w:color="auto"/>
              <w:left w:val="nil"/>
              <w:bottom w:val="nil"/>
              <w:right w:val="single" w:sz="8" w:space="0" w:color="auto"/>
            </w:tcBorders>
            <w:shd w:val="clear" w:color="000000" w:fill="FFFFFF"/>
            <w:noWrap/>
            <w:vAlign w:val="center"/>
            <w:hideMark/>
          </w:tcPr>
          <w:p w14:paraId="0E5D2DB6"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14,82</w:t>
            </w:r>
          </w:p>
        </w:tc>
        <w:tc>
          <w:tcPr>
            <w:tcW w:w="880" w:type="dxa"/>
            <w:tcBorders>
              <w:top w:val="single" w:sz="8" w:space="0" w:color="auto"/>
              <w:left w:val="nil"/>
              <w:bottom w:val="nil"/>
              <w:right w:val="single" w:sz="8" w:space="0" w:color="auto"/>
            </w:tcBorders>
            <w:shd w:val="clear" w:color="000000" w:fill="FFFFFF"/>
            <w:noWrap/>
            <w:vAlign w:val="center"/>
            <w:hideMark/>
          </w:tcPr>
          <w:p w14:paraId="27AF69B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80" w:type="dxa"/>
            <w:tcBorders>
              <w:top w:val="single" w:sz="8" w:space="0" w:color="auto"/>
              <w:left w:val="nil"/>
              <w:bottom w:val="nil"/>
              <w:right w:val="nil"/>
            </w:tcBorders>
            <w:shd w:val="clear" w:color="000000" w:fill="FFFFFF"/>
            <w:noWrap/>
            <w:vAlign w:val="center"/>
            <w:hideMark/>
          </w:tcPr>
          <w:p w14:paraId="0F789AE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14,67862</w:t>
            </w:r>
          </w:p>
        </w:tc>
        <w:tc>
          <w:tcPr>
            <w:tcW w:w="9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0DC6E6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1034" w:type="dxa"/>
            <w:tcBorders>
              <w:top w:val="single" w:sz="8" w:space="0" w:color="auto"/>
              <w:left w:val="nil"/>
              <w:bottom w:val="nil"/>
              <w:right w:val="nil"/>
            </w:tcBorders>
            <w:shd w:val="clear" w:color="000000" w:fill="FFFFFF"/>
            <w:noWrap/>
            <w:vAlign w:val="center"/>
            <w:hideMark/>
          </w:tcPr>
          <w:p w14:paraId="4385673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141 682,27</w:t>
            </w:r>
          </w:p>
        </w:tc>
        <w:tc>
          <w:tcPr>
            <w:tcW w:w="1276" w:type="dxa"/>
            <w:tcBorders>
              <w:top w:val="single" w:sz="8" w:space="0" w:color="auto"/>
              <w:left w:val="single" w:sz="8" w:space="0" w:color="auto"/>
              <w:bottom w:val="nil"/>
              <w:right w:val="single" w:sz="8" w:space="0" w:color="auto"/>
            </w:tcBorders>
            <w:shd w:val="clear" w:color="000000" w:fill="FFFFFF"/>
            <w:noWrap/>
            <w:vAlign w:val="center"/>
            <w:hideMark/>
          </w:tcPr>
          <w:p w14:paraId="6FD5D9C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1 095 688,95</w:t>
            </w:r>
          </w:p>
        </w:tc>
        <w:tc>
          <w:tcPr>
            <w:tcW w:w="1276" w:type="dxa"/>
            <w:tcBorders>
              <w:top w:val="single" w:sz="8" w:space="0" w:color="auto"/>
              <w:left w:val="nil"/>
              <w:bottom w:val="nil"/>
              <w:right w:val="single" w:sz="8" w:space="0" w:color="auto"/>
            </w:tcBorders>
            <w:shd w:val="clear" w:color="000000" w:fill="FFFFFF"/>
            <w:noWrap/>
            <w:vAlign w:val="center"/>
            <w:hideMark/>
          </w:tcPr>
          <w:p w14:paraId="7A11CDC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4 143 849,92</w:t>
            </w:r>
          </w:p>
        </w:tc>
        <w:tc>
          <w:tcPr>
            <w:tcW w:w="1229" w:type="dxa"/>
            <w:tcBorders>
              <w:top w:val="single" w:sz="8" w:space="0" w:color="auto"/>
              <w:left w:val="nil"/>
              <w:bottom w:val="nil"/>
              <w:right w:val="single" w:sz="8" w:space="0" w:color="auto"/>
            </w:tcBorders>
            <w:shd w:val="clear" w:color="000000" w:fill="FFFFFF"/>
            <w:noWrap/>
            <w:vAlign w:val="center"/>
            <w:hideMark/>
          </w:tcPr>
          <w:p w14:paraId="181188E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5 381 221,14</w:t>
            </w:r>
          </w:p>
        </w:tc>
      </w:tr>
      <w:tr w:rsidR="00AE7424" w:rsidRPr="00AE7424" w14:paraId="5050D29A" w14:textId="77777777" w:rsidTr="00AE7424">
        <w:trPr>
          <w:trHeight w:val="270"/>
        </w:trPr>
        <w:tc>
          <w:tcPr>
            <w:tcW w:w="140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6409F4F"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EU-27 OG DET FORENEDE KONGERIGE I ALT</w:t>
            </w:r>
          </w:p>
        </w:tc>
        <w:tc>
          <w:tcPr>
            <w:tcW w:w="832" w:type="dxa"/>
            <w:tcBorders>
              <w:top w:val="single" w:sz="8" w:space="0" w:color="auto"/>
              <w:left w:val="nil"/>
              <w:bottom w:val="single" w:sz="8" w:space="0" w:color="auto"/>
              <w:right w:val="single" w:sz="8" w:space="0" w:color="auto"/>
            </w:tcBorders>
            <w:shd w:val="clear" w:color="000000" w:fill="FFFFFF"/>
            <w:noWrap/>
            <w:vAlign w:val="center"/>
            <w:hideMark/>
          </w:tcPr>
          <w:p w14:paraId="382C720A"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100,00</w:t>
            </w:r>
          </w:p>
        </w:tc>
        <w:tc>
          <w:tcPr>
            <w:tcW w:w="820" w:type="dxa"/>
            <w:tcBorders>
              <w:top w:val="single" w:sz="8" w:space="0" w:color="auto"/>
              <w:left w:val="nil"/>
              <w:bottom w:val="single" w:sz="8" w:space="0" w:color="auto"/>
              <w:right w:val="single" w:sz="8" w:space="0" w:color="auto"/>
            </w:tcBorders>
            <w:shd w:val="clear" w:color="000000" w:fill="FFFFFF"/>
            <w:noWrap/>
            <w:vAlign w:val="center"/>
            <w:hideMark/>
          </w:tcPr>
          <w:p w14:paraId="1C1FC965"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100,00</w:t>
            </w:r>
          </w:p>
        </w:tc>
        <w:tc>
          <w:tcPr>
            <w:tcW w:w="880" w:type="dxa"/>
            <w:tcBorders>
              <w:top w:val="single" w:sz="8" w:space="0" w:color="auto"/>
              <w:left w:val="nil"/>
              <w:bottom w:val="single" w:sz="8" w:space="0" w:color="auto"/>
              <w:right w:val="single" w:sz="8" w:space="0" w:color="auto"/>
            </w:tcBorders>
            <w:shd w:val="clear" w:color="000000" w:fill="FFFFFF"/>
            <w:noWrap/>
            <w:vAlign w:val="center"/>
            <w:hideMark/>
          </w:tcPr>
          <w:p w14:paraId="0A7DE06A"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 </w:t>
            </w:r>
          </w:p>
        </w:tc>
        <w:tc>
          <w:tcPr>
            <w:tcW w:w="880" w:type="dxa"/>
            <w:tcBorders>
              <w:top w:val="single" w:sz="8" w:space="0" w:color="auto"/>
              <w:left w:val="nil"/>
              <w:bottom w:val="single" w:sz="8" w:space="0" w:color="auto"/>
              <w:right w:val="single" w:sz="8" w:space="0" w:color="auto"/>
            </w:tcBorders>
            <w:shd w:val="clear" w:color="000000" w:fill="FFFFFF"/>
            <w:noWrap/>
            <w:vAlign w:val="center"/>
            <w:hideMark/>
          </w:tcPr>
          <w:p w14:paraId="1A17093E"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100,00</w:t>
            </w:r>
          </w:p>
        </w:tc>
        <w:tc>
          <w:tcPr>
            <w:tcW w:w="940" w:type="dxa"/>
            <w:tcBorders>
              <w:top w:val="nil"/>
              <w:left w:val="nil"/>
              <w:bottom w:val="single" w:sz="8" w:space="0" w:color="auto"/>
              <w:right w:val="single" w:sz="8" w:space="0" w:color="auto"/>
            </w:tcBorders>
            <w:shd w:val="clear" w:color="000000" w:fill="FFFFFF"/>
            <w:noWrap/>
            <w:vAlign w:val="center"/>
            <w:hideMark/>
          </w:tcPr>
          <w:p w14:paraId="00CA54FC"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 </w:t>
            </w:r>
          </w:p>
        </w:tc>
        <w:tc>
          <w:tcPr>
            <w:tcW w:w="1034" w:type="dxa"/>
            <w:tcBorders>
              <w:top w:val="single" w:sz="8" w:space="0" w:color="auto"/>
              <w:left w:val="nil"/>
              <w:bottom w:val="single" w:sz="8" w:space="0" w:color="auto"/>
              <w:right w:val="single" w:sz="8" w:space="0" w:color="auto"/>
            </w:tcBorders>
            <w:shd w:val="clear" w:color="000000" w:fill="FFFFFF"/>
            <w:noWrap/>
            <w:vAlign w:val="center"/>
            <w:hideMark/>
          </w:tcPr>
          <w:p w14:paraId="6D2B09A2" w14:textId="77777777" w:rsidR="00AE7424" w:rsidRPr="00AE7424" w:rsidRDefault="00AE7424" w:rsidP="00AE7424">
            <w:pPr>
              <w:spacing w:after="0" w:line="240" w:lineRule="auto"/>
              <w:jc w:val="right"/>
              <w:rPr>
                <w:rFonts w:ascii="Calibri" w:eastAsia="Times New Roman" w:hAnsi="Calibri" w:cs="Calibri"/>
                <w:b/>
                <w:bCs/>
                <w:noProof/>
                <w:color w:val="000000"/>
                <w:sz w:val="14"/>
                <w:szCs w:val="14"/>
              </w:rPr>
            </w:pPr>
            <w:r>
              <w:rPr>
                <w:rFonts w:ascii="Calibri" w:hAnsi="Calibri"/>
                <w:b/>
                <w:noProof/>
                <w:color w:val="000000"/>
                <w:sz w:val="14"/>
              </w:rPr>
              <w:t>1 116 487,58</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14:paraId="271D6DA3" w14:textId="77777777" w:rsidR="00AE7424" w:rsidRPr="00AE7424" w:rsidRDefault="00AE7424" w:rsidP="00AE7424">
            <w:pPr>
              <w:spacing w:after="0" w:line="240" w:lineRule="auto"/>
              <w:jc w:val="right"/>
              <w:rPr>
                <w:rFonts w:ascii="Calibri" w:eastAsia="Times New Roman" w:hAnsi="Calibri" w:cs="Calibri"/>
                <w:b/>
                <w:bCs/>
                <w:noProof/>
                <w:color w:val="000000"/>
                <w:sz w:val="14"/>
                <w:szCs w:val="14"/>
              </w:rPr>
            </w:pPr>
            <w:r>
              <w:rPr>
                <w:rFonts w:ascii="Calibri" w:hAnsi="Calibri"/>
                <w:b/>
                <w:noProof/>
                <w:color w:val="000000"/>
                <w:sz w:val="14"/>
              </w:rPr>
              <w:t>209 575 297,87</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14:paraId="2F03C6E1" w14:textId="77777777" w:rsidR="00AE7424" w:rsidRPr="00AE7424" w:rsidRDefault="00AE7424" w:rsidP="00AE7424">
            <w:pPr>
              <w:spacing w:after="0" w:line="240" w:lineRule="auto"/>
              <w:jc w:val="right"/>
              <w:rPr>
                <w:rFonts w:ascii="Calibri" w:eastAsia="Times New Roman" w:hAnsi="Calibri" w:cs="Calibri"/>
                <w:b/>
                <w:bCs/>
                <w:noProof/>
                <w:color w:val="000000"/>
                <w:sz w:val="14"/>
                <w:szCs w:val="14"/>
              </w:rPr>
            </w:pPr>
            <w:r>
              <w:rPr>
                <w:rFonts w:ascii="Calibri" w:hAnsi="Calibri"/>
                <w:b/>
                <w:noProof/>
                <w:color w:val="000000"/>
                <w:sz w:val="14"/>
              </w:rPr>
              <w:t>366 355 633,64</w:t>
            </w:r>
          </w:p>
        </w:tc>
        <w:tc>
          <w:tcPr>
            <w:tcW w:w="1229" w:type="dxa"/>
            <w:tcBorders>
              <w:top w:val="single" w:sz="8" w:space="0" w:color="auto"/>
              <w:left w:val="nil"/>
              <w:bottom w:val="single" w:sz="8" w:space="0" w:color="auto"/>
              <w:right w:val="single" w:sz="8" w:space="0" w:color="auto"/>
            </w:tcBorders>
            <w:shd w:val="clear" w:color="000000" w:fill="FFFFFF"/>
            <w:noWrap/>
            <w:vAlign w:val="center"/>
            <w:hideMark/>
          </w:tcPr>
          <w:p w14:paraId="3EF17636" w14:textId="77777777" w:rsidR="00AE7424" w:rsidRPr="00AE7424" w:rsidRDefault="00AE7424" w:rsidP="00AE7424">
            <w:pPr>
              <w:spacing w:after="0" w:line="240" w:lineRule="auto"/>
              <w:jc w:val="right"/>
              <w:rPr>
                <w:rFonts w:ascii="Calibri" w:eastAsia="Times New Roman" w:hAnsi="Calibri" w:cs="Calibri"/>
                <w:b/>
                <w:bCs/>
                <w:noProof/>
                <w:color w:val="000000"/>
                <w:sz w:val="14"/>
                <w:szCs w:val="14"/>
              </w:rPr>
            </w:pPr>
            <w:r>
              <w:rPr>
                <w:rFonts w:ascii="Calibri" w:hAnsi="Calibri"/>
                <w:b/>
                <w:noProof/>
                <w:color w:val="000000"/>
                <w:sz w:val="14"/>
              </w:rPr>
              <w:t>577 047 419,09</w:t>
            </w:r>
          </w:p>
        </w:tc>
      </w:tr>
    </w:tbl>
    <w:p w14:paraId="55153655" w14:textId="1A52DE91" w:rsidR="00C57A0B" w:rsidRPr="004B683B" w:rsidRDefault="00633225" w:rsidP="00E65850">
      <w:pPr>
        <w:pStyle w:val="Text1"/>
        <w:ind w:left="-709"/>
        <w:rPr>
          <w:noProof/>
          <w:sz w:val="16"/>
          <w:szCs w:val="16"/>
        </w:rPr>
      </w:pPr>
      <w:r>
        <w:rPr>
          <w:noProof/>
          <w:sz w:val="16"/>
        </w:rPr>
        <w:t>* I henhold til udtrædelsesaftalens artikel 153 kan Det Forenede Kongeriges andel af EUF's reserver ikke genanvendes. Nøglerne for medlemsstaterne er derfor blevet genberegnet på grundlag af 100 (minus) nøglen for Det Forenede Kongerige. For 10. EUF svarer dette grundlag til 85,18 (100 – 14,82), og for 11. EUF svarer dette grundlag til 85,32138 (100 – 14,67862). For Belgien svarer nøglen for 10. EUF efter brexit f.eks. til (3,53/85,18)*100.</w:t>
      </w:r>
    </w:p>
    <w:p w14:paraId="0AC5C1FA" w14:textId="77777777" w:rsidR="00C57A0B" w:rsidRPr="00C57A0B" w:rsidRDefault="00C57A0B" w:rsidP="00C57A0B">
      <w:pPr>
        <w:pStyle w:val="Text1"/>
        <w:rPr>
          <w:noProof/>
        </w:rPr>
      </w:pPr>
    </w:p>
    <w:p w14:paraId="5021A31B" w14:textId="4AE34049" w:rsidR="00A0127E" w:rsidRDefault="00A0127E">
      <w:pPr>
        <w:rPr>
          <w:noProof/>
        </w:rPr>
      </w:pPr>
    </w:p>
    <w:sectPr w:rsidR="00A0127E" w:rsidSect="009D65C7">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A3F33" w14:textId="77777777" w:rsidR="00176689" w:rsidRDefault="00176689" w:rsidP="009D65C7">
      <w:pPr>
        <w:spacing w:after="0" w:line="240" w:lineRule="auto"/>
      </w:pPr>
      <w:r>
        <w:separator/>
      </w:r>
    </w:p>
  </w:endnote>
  <w:endnote w:type="continuationSeparator" w:id="0">
    <w:p w14:paraId="0269F82B" w14:textId="77777777" w:rsidR="00176689" w:rsidRDefault="00176689" w:rsidP="009D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8C19D" w14:textId="650A373E" w:rsidR="002235F2" w:rsidRPr="002235F2" w:rsidRDefault="002235F2" w:rsidP="002235F2">
    <w:pPr>
      <w:pStyle w:val="FooterCoverPage"/>
      <w:rPr>
        <w:rFonts w:ascii="Arial" w:hAnsi="Arial" w:cs="Arial"/>
        <w:b/>
        <w:sz w:val="48"/>
      </w:rPr>
    </w:pPr>
    <w:r w:rsidRPr="002235F2">
      <w:rPr>
        <w:rFonts w:ascii="Arial" w:hAnsi="Arial" w:cs="Arial"/>
        <w:b/>
        <w:sz w:val="48"/>
      </w:rPr>
      <w:t>DA</w:t>
    </w:r>
    <w:r w:rsidRPr="002235F2">
      <w:rPr>
        <w:rFonts w:ascii="Arial" w:hAnsi="Arial" w:cs="Arial"/>
        <w:b/>
        <w:sz w:val="48"/>
      </w:rPr>
      <w:tab/>
    </w:r>
    <w:r w:rsidRPr="002235F2">
      <w:rPr>
        <w:rFonts w:ascii="Arial" w:hAnsi="Arial" w:cs="Arial"/>
        <w:b/>
        <w:sz w:val="48"/>
      </w:rPr>
      <w:tab/>
    </w:r>
    <w:r w:rsidRPr="002235F2">
      <w:tab/>
    </w:r>
    <w:r w:rsidRPr="002235F2">
      <w:rPr>
        <w:rFonts w:ascii="Arial" w:hAnsi="Arial" w:cs="Arial"/>
        <w:b/>
        <w:sz w:val="48"/>
      </w:rPr>
      <w:t>DA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120A0" w14:textId="77777777" w:rsidR="00867793" w:rsidRDefault="008677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82092"/>
      <w:docPartObj>
        <w:docPartGallery w:val="Page Numbers (Bottom of Page)"/>
        <w:docPartUnique/>
      </w:docPartObj>
    </w:sdtPr>
    <w:sdtEndPr>
      <w:rPr>
        <w:noProof/>
      </w:rPr>
    </w:sdtEndPr>
    <w:sdtContent>
      <w:p w14:paraId="34D41603" w14:textId="37D2D013" w:rsidR="00867793" w:rsidRDefault="00867793">
        <w:pPr>
          <w:pStyle w:val="Footer"/>
          <w:jc w:val="center"/>
        </w:pPr>
        <w:r>
          <w:fldChar w:fldCharType="begin"/>
        </w:r>
        <w:r>
          <w:instrText xml:space="preserve"> PAGE   \* MERGEFORMAT </w:instrText>
        </w:r>
        <w:r>
          <w:fldChar w:fldCharType="separate"/>
        </w:r>
        <w:r w:rsidR="009E550B">
          <w:rPr>
            <w:noProof/>
          </w:rPr>
          <w:t>9</w:t>
        </w:r>
        <w:r>
          <w:fldChar w:fldCharType="end"/>
        </w:r>
      </w:p>
    </w:sdtContent>
  </w:sdt>
  <w:p w14:paraId="475D4A54" w14:textId="77777777" w:rsidR="00867793" w:rsidRDefault="0086779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43A4" w14:textId="77777777" w:rsidR="00867793" w:rsidRDefault="0086779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0BCF" w14:textId="77777777" w:rsidR="00867793" w:rsidRDefault="0086779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597946"/>
      <w:docPartObj>
        <w:docPartGallery w:val="Page Numbers (Bottom of Page)"/>
        <w:docPartUnique/>
      </w:docPartObj>
    </w:sdtPr>
    <w:sdtEndPr>
      <w:rPr>
        <w:noProof/>
      </w:rPr>
    </w:sdtEndPr>
    <w:sdtContent>
      <w:p w14:paraId="7B49B863"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5633B330" w14:textId="77777777" w:rsidR="00867793" w:rsidRDefault="0086779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8BB4" w14:textId="77777777" w:rsidR="00867793" w:rsidRDefault="0086779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0BDB" w14:textId="77777777" w:rsidR="00867793" w:rsidRDefault="0086779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032631"/>
      <w:docPartObj>
        <w:docPartGallery w:val="Page Numbers (Bottom of Page)"/>
        <w:docPartUnique/>
      </w:docPartObj>
    </w:sdtPr>
    <w:sdtEndPr>
      <w:rPr>
        <w:noProof/>
      </w:rPr>
    </w:sdtEndPr>
    <w:sdtContent>
      <w:p w14:paraId="056CD221"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3AC5ED97" w14:textId="77777777" w:rsidR="00867793" w:rsidRDefault="0086779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69A1" w14:textId="77777777" w:rsidR="00867793" w:rsidRDefault="0086779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7CE2" w14:textId="77777777" w:rsidR="00867793" w:rsidRDefault="0086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CB12" w14:textId="411B505A" w:rsidR="002235F2" w:rsidRPr="002235F2" w:rsidRDefault="002235F2" w:rsidP="002235F2">
    <w:pPr>
      <w:pStyle w:val="FooterCoverPage"/>
      <w:rPr>
        <w:rFonts w:ascii="Arial" w:hAnsi="Arial" w:cs="Arial"/>
        <w:b/>
        <w:sz w:val="48"/>
      </w:rPr>
    </w:pPr>
    <w:r w:rsidRPr="002235F2">
      <w:rPr>
        <w:rFonts w:ascii="Arial" w:hAnsi="Arial" w:cs="Arial"/>
        <w:b/>
        <w:sz w:val="48"/>
      </w:rPr>
      <w:t>DA</w:t>
    </w:r>
    <w:r w:rsidRPr="002235F2">
      <w:rPr>
        <w:rFonts w:ascii="Arial" w:hAnsi="Arial" w:cs="Arial"/>
        <w:b/>
        <w:sz w:val="48"/>
      </w:rPr>
      <w:tab/>
    </w:r>
    <w:r w:rsidRPr="002235F2">
      <w:rPr>
        <w:rFonts w:ascii="Arial" w:hAnsi="Arial" w:cs="Arial"/>
        <w:b/>
        <w:sz w:val="48"/>
      </w:rPr>
      <w:tab/>
    </w:r>
    <w:r w:rsidRPr="002235F2">
      <w:tab/>
    </w:r>
    <w:r w:rsidRPr="002235F2">
      <w:rPr>
        <w:rFonts w:ascii="Arial" w:hAnsi="Arial" w:cs="Arial"/>
        <w:b/>
        <w:sz w:val="48"/>
      </w:rPr>
      <w:t>DA</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784287"/>
      <w:docPartObj>
        <w:docPartGallery w:val="Page Numbers (Bottom of Page)"/>
        <w:docPartUnique/>
      </w:docPartObj>
    </w:sdtPr>
    <w:sdtEndPr>
      <w:rPr>
        <w:noProof/>
      </w:rPr>
    </w:sdtEndPr>
    <w:sdtContent>
      <w:p w14:paraId="44C34681"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12748B9F" w14:textId="77777777" w:rsidR="00867793" w:rsidRDefault="0086779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BB98" w14:textId="77777777" w:rsidR="00867793" w:rsidRDefault="0086779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301F1" w14:textId="77777777" w:rsidR="00867793" w:rsidRDefault="0086779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140912"/>
      <w:docPartObj>
        <w:docPartGallery w:val="Page Numbers (Bottom of Page)"/>
        <w:docPartUnique/>
      </w:docPartObj>
    </w:sdtPr>
    <w:sdtEndPr>
      <w:rPr>
        <w:noProof/>
      </w:rPr>
    </w:sdtEndPr>
    <w:sdtContent>
      <w:p w14:paraId="5985D23B"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7DDEF4AD" w14:textId="77777777" w:rsidR="00867793" w:rsidRDefault="0086779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E360" w14:textId="77777777" w:rsidR="00867793" w:rsidRDefault="00867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5A285" w14:textId="77777777" w:rsidR="002235F2" w:rsidRPr="002235F2" w:rsidRDefault="002235F2" w:rsidP="002235F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DC1F5" w14:textId="77777777" w:rsidR="00656835" w:rsidRDefault="00656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037324"/>
      <w:docPartObj>
        <w:docPartGallery w:val="Page Numbers (Bottom of Page)"/>
        <w:docPartUnique/>
      </w:docPartObj>
    </w:sdtPr>
    <w:sdtEndPr>
      <w:rPr>
        <w:noProof/>
      </w:rPr>
    </w:sdtEndPr>
    <w:sdtContent>
      <w:p w14:paraId="164708A0" w14:textId="2700C339" w:rsidR="00656835" w:rsidRDefault="00656835">
        <w:pPr>
          <w:pStyle w:val="Footer"/>
          <w:jc w:val="center"/>
        </w:pPr>
        <w:r>
          <w:fldChar w:fldCharType="begin"/>
        </w:r>
        <w:r>
          <w:instrText xml:space="preserve"> PAGE   \* MERGEFORMAT </w:instrText>
        </w:r>
        <w:r>
          <w:fldChar w:fldCharType="separate"/>
        </w:r>
        <w:r w:rsidR="002235F2">
          <w:rPr>
            <w:noProof/>
          </w:rPr>
          <w:t>1</w:t>
        </w:r>
        <w:r>
          <w:fldChar w:fldCharType="end"/>
        </w:r>
      </w:p>
    </w:sdtContent>
  </w:sdt>
  <w:p w14:paraId="7958B107" w14:textId="77777777" w:rsidR="00656835" w:rsidRDefault="006568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A4EC7" w14:textId="77777777" w:rsidR="00656835" w:rsidRDefault="006568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C758" w14:textId="77777777" w:rsidR="00867793" w:rsidRDefault="008677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957854"/>
      <w:docPartObj>
        <w:docPartGallery w:val="Page Numbers (Bottom of Page)"/>
        <w:docPartUnique/>
      </w:docPartObj>
    </w:sdtPr>
    <w:sdtEndPr>
      <w:rPr>
        <w:noProof/>
      </w:rPr>
    </w:sdtEndPr>
    <w:sdtContent>
      <w:p w14:paraId="35C4CED2" w14:textId="00362444" w:rsidR="00867793" w:rsidRDefault="00867793">
        <w:pPr>
          <w:pStyle w:val="Footer"/>
          <w:jc w:val="center"/>
        </w:pPr>
        <w:r>
          <w:fldChar w:fldCharType="begin"/>
        </w:r>
        <w:r>
          <w:instrText xml:space="preserve"> PAGE   \* MERGEFORMAT </w:instrText>
        </w:r>
        <w:r>
          <w:fldChar w:fldCharType="separate"/>
        </w:r>
        <w:r w:rsidR="002235F2">
          <w:rPr>
            <w:noProof/>
          </w:rPr>
          <w:t>7</w:t>
        </w:r>
        <w:r>
          <w:fldChar w:fldCharType="end"/>
        </w:r>
      </w:p>
    </w:sdtContent>
  </w:sdt>
  <w:p w14:paraId="5A3F1A7D" w14:textId="77777777" w:rsidR="00867793" w:rsidRDefault="008677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E528" w14:textId="77777777" w:rsidR="00867793" w:rsidRDefault="0086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0053E" w14:textId="77777777" w:rsidR="00176689" w:rsidRDefault="00176689" w:rsidP="009D65C7">
      <w:pPr>
        <w:spacing w:after="0" w:line="240" w:lineRule="auto"/>
      </w:pPr>
      <w:r>
        <w:separator/>
      </w:r>
    </w:p>
  </w:footnote>
  <w:footnote w:type="continuationSeparator" w:id="0">
    <w:p w14:paraId="74D43197" w14:textId="77777777" w:rsidR="00176689" w:rsidRDefault="00176689" w:rsidP="009D65C7">
      <w:pPr>
        <w:spacing w:after="0" w:line="240" w:lineRule="auto"/>
      </w:pPr>
      <w:r>
        <w:continuationSeparator/>
      </w:r>
    </w:p>
  </w:footnote>
  <w:footnote w:id="1">
    <w:p w14:paraId="166304B4" w14:textId="77777777" w:rsidR="00656835" w:rsidRPr="00441DE5" w:rsidRDefault="00656835" w:rsidP="00441DE5">
      <w:pPr>
        <w:pStyle w:val="FootnoteText"/>
        <w:ind w:left="709" w:hanging="709"/>
        <w:rPr>
          <w:sz w:val="16"/>
          <w:szCs w:val="16"/>
        </w:rPr>
      </w:pPr>
      <w:r w:rsidRPr="00441DE5">
        <w:rPr>
          <w:rStyle w:val="FootnoteReference"/>
          <w:sz w:val="16"/>
          <w:szCs w:val="16"/>
        </w:rPr>
        <w:footnoteRef/>
      </w:r>
      <w:r w:rsidRPr="00441DE5">
        <w:rPr>
          <w:sz w:val="16"/>
          <w:szCs w:val="16"/>
        </w:rPr>
        <w:tab/>
        <w:t>I dette dokument tages der hensyn til artikel 152 og 153 i aftalen om Det Forenede Kongerige Storbritannien og Nordirlands udtræden af Den Europæiske Union og Det Europæiske Atomenergifællesskab, hvori det fastsættes, at Det Forenede Kongerige forbliver part i EUF indtil ophøret af 11. EUF og alle tidligere uafsluttede EUF'er. Det Forenede Kongeriges andel af frigjorte midler fra projekter under 11. EUF eller tidligere EUF'er må imidlertid ikke genanvendes.</w:t>
      </w:r>
    </w:p>
  </w:footnote>
  <w:footnote w:id="2">
    <w:p w14:paraId="6FB83B2A" w14:textId="77777777" w:rsidR="00656835" w:rsidRPr="009F76B6" w:rsidRDefault="00656835" w:rsidP="00441DE5">
      <w:pPr>
        <w:pStyle w:val="FootnoteText"/>
        <w:ind w:left="709" w:hanging="709"/>
        <w:rPr>
          <w:sz w:val="16"/>
          <w:szCs w:val="16"/>
        </w:rPr>
      </w:pPr>
      <w:r w:rsidRPr="00441DE5">
        <w:rPr>
          <w:rStyle w:val="FootnoteReference"/>
          <w:sz w:val="16"/>
          <w:szCs w:val="16"/>
        </w:rPr>
        <w:footnoteRef/>
      </w:r>
      <w:r w:rsidRPr="00441DE5">
        <w:rPr>
          <w:sz w:val="16"/>
          <w:szCs w:val="16"/>
        </w:rPr>
        <w:tab/>
        <w:t>Rådets forordning (EU) 2018/1877 af 26. november 2018 om finansforordningen for 11. Europæiske Udviklingsfond (EUT L 307 af 3.12.2018, s. 1).</w:t>
      </w:r>
    </w:p>
  </w:footnote>
  <w:footnote w:id="3">
    <w:p w14:paraId="77FAC8F6" w14:textId="6ADED0AD" w:rsidR="00C9556F" w:rsidRPr="008D23E2" w:rsidRDefault="00C9556F" w:rsidP="008D23E2">
      <w:pPr>
        <w:pStyle w:val="FootnoteText"/>
        <w:ind w:left="709" w:hanging="709"/>
        <w:rPr>
          <w:sz w:val="16"/>
          <w:szCs w:val="16"/>
        </w:rPr>
      </w:pPr>
      <w:r w:rsidRPr="008D23E2">
        <w:rPr>
          <w:rStyle w:val="FootnoteReference"/>
          <w:sz w:val="16"/>
          <w:szCs w:val="16"/>
        </w:rPr>
        <w:footnoteRef/>
      </w:r>
      <w:r w:rsidRPr="008D23E2">
        <w:rPr>
          <w:sz w:val="16"/>
          <w:szCs w:val="16"/>
        </w:rPr>
        <w:t xml:space="preserve"> </w:t>
      </w:r>
      <w:r w:rsidR="008D23E2">
        <w:rPr>
          <w:sz w:val="16"/>
          <w:szCs w:val="16"/>
        </w:rPr>
        <w:tab/>
      </w:r>
      <w:r w:rsidRPr="008D23E2">
        <w:rPr>
          <w:sz w:val="16"/>
          <w:szCs w:val="16"/>
        </w:rPr>
        <w:t>Tallene i denne beskrivelse vedrører kun Europa-Kommissionen. Tallene for EIB er angivet i tabel 3 og 5.</w:t>
      </w:r>
    </w:p>
  </w:footnote>
  <w:footnote w:id="4">
    <w:p w14:paraId="391CFA93" w14:textId="77777777" w:rsidR="00A81E2F" w:rsidRPr="008D23E2" w:rsidRDefault="00A81E2F" w:rsidP="008D23E2">
      <w:pPr>
        <w:pStyle w:val="FootnoteText"/>
        <w:ind w:left="709" w:hanging="709"/>
        <w:rPr>
          <w:sz w:val="16"/>
          <w:szCs w:val="16"/>
        </w:rPr>
      </w:pPr>
      <w:r w:rsidRPr="008D23E2">
        <w:rPr>
          <w:rStyle w:val="FootnoteReference"/>
          <w:sz w:val="16"/>
          <w:szCs w:val="16"/>
        </w:rPr>
        <w:footnoteRef/>
      </w:r>
      <w:r w:rsidRPr="008D23E2">
        <w:rPr>
          <w:sz w:val="16"/>
          <w:szCs w:val="16"/>
        </w:rPr>
        <w:tab/>
        <w:t>Rådets afgørelse (EU) 2022/1223 af 12. juli 2022. Midlerne finansierer navnlig foranstaltninger, der yder støtte på op til 350 000 000 EUR til fødevareproduktionen og fødevaresystemernes modstandsdygtighed, op til 100 000 000 EUR til makroøkonomisk støtte og op til 150 000 000 EUR til humanitær bistand.</w:t>
      </w:r>
    </w:p>
  </w:footnote>
  <w:footnote w:id="5">
    <w:p w14:paraId="4AB1EF07" w14:textId="09D068C9" w:rsidR="00AB3821" w:rsidRPr="008D23E2" w:rsidRDefault="00AB3821" w:rsidP="008D23E2">
      <w:pPr>
        <w:pStyle w:val="FootnoteText"/>
        <w:ind w:left="709" w:hanging="709"/>
        <w:rPr>
          <w:sz w:val="16"/>
          <w:szCs w:val="16"/>
        </w:rPr>
      </w:pPr>
      <w:r w:rsidRPr="008D23E2">
        <w:rPr>
          <w:rStyle w:val="FootnoteReference"/>
          <w:sz w:val="16"/>
          <w:szCs w:val="16"/>
        </w:rPr>
        <w:footnoteRef/>
      </w:r>
      <w:r w:rsidRPr="008D23E2">
        <w:rPr>
          <w:sz w:val="16"/>
          <w:szCs w:val="16"/>
        </w:rPr>
        <w:tab/>
        <w:t>Analysen af likviditeten fremgår af tabel 5.3.</w:t>
      </w:r>
    </w:p>
  </w:footnote>
  <w:footnote w:id="6">
    <w:p w14:paraId="1F417F85" w14:textId="00F87B08" w:rsidR="005955C8" w:rsidRDefault="005955C8" w:rsidP="008D23E2">
      <w:pPr>
        <w:pStyle w:val="FootnoteText"/>
        <w:ind w:left="709" w:hanging="709"/>
      </w:pPr>
      <w:r w:rsidRPr="008D23E2">
        <w:rPr>
          <w:rStyle w:val="FootnoteReference"/>
          <w:sz w:val="16"/>
          <w:szCs w:val="16"/>
        </w:rPr>
        <w:footnoteRef/>
      </w:r>
      <w:r w:rsidRPr="008D23E2">
        <w:rPr>
          <w:sz w:val="16"/>
          <w:szCs w:val="16"/>
        </w:rPr>
        <w:t xml:space="preserve"> </w:t>
      </w:r>
      <w:bookmarkStart w:id="3" w:name="_Hlk193811018"/>
      <w:r w:rsidR="008D23E2">
        <w:rPr>
          <w:sz w:val="16"/>
          <w:szCs w:val="16"/>
        </w:rPr>
        <w:tab/>
      </w:r>
      <w:r w:rsidRPr="008D23E2">
        <w:rPr>
          <w:sz w:val="16"/>
          <w:szCs w:val="16"/>
        </w:rPr>
        <w:t>Overgangsfacilitet 1 402,57 mio. (Rådets afgørelse 2015/0246), 200 mio. EUR (Rådets afgørelse 2017/1206), 223 mio. EUR (Rådets afgørelse 2020/1708), 43 mio. EUR (Rådets afgørelse 2021/1941) og 42,5 mio. EUR (Rådets afgørelse 2022/2242), 7,8 mio. EUR (Rådets afgørelse 2023/2586) og 6,3 mio. EUR (Rådets afgørelse 2024/2906).</w:t>
      </w:r>
      <w:bookmarkEnd w:id="3"/>
    </w:p>
  </w:footnote>
  <w:footnote w:id="7">
    <w:p w14:paraId="4070F81F" w14:textId="7C2D8965" w:rsidR="00913AA8" w:rsidRPr="008D23E2" w:rsidRDefault="00913AA8" w:rsidP="00913AA8">
      <w:pPr>
        <w:pStyle w:val="FootnoteText"/>
        <w:jc w:val="left"/>
        <w:rPr>
          <w:sz w:val="16"/>
          <w:szCs w:val="16"/>
        </w:rPr>
      </w:pPr>
      <w:r w:rsidRPr="008D23E2">
        <w:rPr>
          <w:rStyle w:val="FootnoteReference"/>
          <w:sz w:val="16"/>
          <w:szCs w:val="16"/>
        </w:rPr>
        <w:footnoteRef/>
      </w:r>
      <w:r w:rsidRPr="008D23E2">
        <w:rPr>
          <w:sz w:val="16"/>
          <w:szCs w:val="16"/>
        </w:rPr>
        <w:tab/>
        <w:t>Kommissionen tilbagebetalte 154,12 mio. EUR til Det Forenede Kongerige i 2023, 49 mio. EUR i 2024 og 15 mio. EUR med første tranche i 2025.</w:t>
      </w:r>
    </w:p>
  </w:footnote>
  <w:footnote w:id="8">
    <w:p w14:paraId="12493CD1" w14:textId="6DC8DED6" w:rsidR="00656835" w:rsidRPr="008D23E2" w:rsidRDefault="00656835">
      <w:pPr>
        <w:pStyle w:val="FootnoteText"/>
        <w:rPr>
          <w:sz w:val="16"/>
          <w:szCs w:val="16"/>
        </w:rPr>
      </w:pPr>
      <w:r w:rsidRPr="008D23E2">
        <w:rPr>
          <w:rStyle w:val="FootnoteReference"/>
          <w:sz w:val="16"/>
          <w:szCs w:val="16"/>
        </w:rPr>
        <w:footnoteRef/>
      </w:r>
      <w:r w:rsidRPr="008D23E2">
        <w:rPr>
          <w:sz w:val="16"/>
          <w:szCs w:val="16"/>
        </w:rPr>
        <w:tab/>
        <w:t>Bruttoforpligtelser, dvs. uden fradrag af frigjorte beløb.</w:t>
      </w:r>
    </w:p>
  </w:footnote>
  <w:footnote w:id="9">
    <w:p w14:paraId="631226FA" w14:textId="0F973E35" w:rsidR="00656835" w:rsidRPr="008D23E2" w:rsidRDefault="00656835" w:rsidP="008D23E2">
      <w:pPr>
        <w:pStyle w:val="FootnoteText"/>
        <w:ind w:left="709" w:hanging="709"/>
        <w:rPr>
          <w:sz w:val="16"/>
          <w:szCs w:val="16"/>
        </w:rPr>
      </w:pPr>
      <w:r w:rsidRPr="008D23E2">
        <w:rPr>
          <w:rStyle w:val="FootnoteReference"/>
          <w:sz w:val="16"/>
          <w:szCs w:val="16"/>
        </w:rPr>
        <w:footnoteRef/>
      </w:r>
      <w:r w:rsidRPr="008D23E2">
        <w:rPr>
          <w:sz w:val="16"/>
          <w:szCs w:val="16"/>
        </w:rPr>
        <w:tab/>
        <w:t>Bruttobetalinger, dvs. uden fradrag af inddrevne beløb.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C19CD" w14:textId="77777777" w:rsidR="002235F2" w:rsidRPr="002235F2" w:rsidRDefault="002235F2" w:rsidP="002235F2">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D8B8B" w14:textId="77777777" w:rsidR="00867793" w:rsidRDefault="008677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BD97" w14:textId="77777777" w:rsidR="00867793" w:rsidRDefault="008677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F391" w14:textId="77777777" w:rsidR="00867793" w:rsidRDefault="008677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89AE" w14:textId="77777777" w:rsidR="00867793" w:rsidRDefault="008677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AE74" w14:textId="77777777" w:rsidR="00867793" w:rsidRDefault="0086779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9820" w14:textId="77777777" w:rsidR="00867793" w:rsidRDefault="0086779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95BC" w14:textId="77777777" w:rsidR="00867793" w:rsidRDefault="0086779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F15D" w14:textId="77777777" w:rsidR="00867793" w:rsidRDefault="0086779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CAAF" w14:textId="77777777" w:rsidR="00867793" w:rsidRDefault="0086779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8835" w14:textId="77777777" w:rsidR="00867793" w:rsidRDefault="0086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D5EE" w14:textId="77777777" w:rsidR="002235F2" w:rsidRPr="002235F2" w:rsidRDefault="002235F2" w:rsidP="002235F2">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4219" w14:textId="77777777" w:rsidR="00867793" w:rsidRDefault="0086779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45714" w14:textId="77777777" w:rsidR="00867793" w:rsidRDefault="0086779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9610F" w14:textId="77777777" w:rsidR="00867793" w:rsidRDefault="0086779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5369" w14:textId="77777777" w:rsidR="00867793" w:rsidRDefault="0086779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4527A" w14:textId="77777777" w:rsidR="00867793" w:rsidRDefault="0086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294AE" w14:textId="77777777" w:rsidR="002235F2" w:rsidRPr="002235F2" w:rsidRDefault="002235F2" w:rsidP="002235F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58C97" w14:textId="77777777" w:rsidR="00656835" w:rsidRDefault="00656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8278" w14:textId="77777777" w:rsidR="00656835" w:rsidRDefault="00656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B2465" w14:textId="77777777" w:rsidR="00656835" w:rsidRDefault="00656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060C" w14:textId="77777777" w:rsidR="00867793" w:rsidRDefault="008677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E212" w14:textId="77777777" w:rsidR="00867793" w:rsidRDefault="008677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2723" w14:textId="77777777" w:rsidR="00867793" w:rsidRDefault="0086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E0708"/>
    <w:multiLevelType w:val="hybridMultilevel"/>
    <w:tmpl w:val="B0FAD232"/>
    <w:lvl w:ilvl="0" w:tplc="6CB863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4A12FA4"/>
    <w:multiLevelType w:val="multilevel"/>
    <w:tmpl w:val="8144A012"/>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sz w:val="24"/>
        <w:szCs w:val="24"/>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A666CE2"/>
    <w:multiLevelType w:val="hybridMultilevel"/>
    <w:tmpl w:val="B8E0F688"/>
    <w:lvl w:ilvl="0" w:tplc="0409000F">
      <w:start w:val="1"/>
      <w:numFmt w:val="decimal"/>
      <w:lvlText w:val="%1."/>
      <w:lvlJc w:val="left"/>
      <w:pPr>
        <w:ind w:left="720" w:hanging="360"/>
      </w:pPr>
    </w:lvl>
    <w:lvl w:ilvl="1" w:tplc="6DE4514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C20348D-8FCC-47FD-B621-2041DD175776"/>
    <w:docVar w:name="LW_COVERPAGE_TYPE" w:val="1"/>
    <w:docVar w:name="LW_CROSSREFERENCE" w:val="&lt;UNUSED&gt;"/>
    <w:docVar w:name="LW_DocType" w:val="NORMAL"/>
    <w:docVar w:name="LW_EMISSION" w:val="5.6.2025"/>
    <w:docVar w:name="LW_EMISSION_ISODATE" w:val="2025-06-05"/>
    <w:docVar w:name="LW_EMISSION_LOCATION" w:val="BRX"/>
    <w:docVar w:name="LW_EMISSION_PREFIX" w:val="Bruxelles, den "/>
    <w:docVar w:name="LW_EMISSION_SUFFIX" w:val=" "/>
    <w:docVar w:name="LW_ID_DOCTYPE_NONLW" w:val="CP-010"/>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5) 2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inansielle oplysninger om Den Europæiske Udviklingsfond (EUF):_x000d__x000b_finansiel gennemførelse 2024 og overslag for 2025-2028&lt;FMT:Font=Aptos&gt;_x000d__x000d__x000d__x000d__x000d__x000d__x000d__x000d_&lt;/FMT&gt;_x000d__x000b_&lt;FMT:Font=Aptos&gt;_x000d__x000d__x000d__x000d__x000d__x000d__x000d__x000d_&lt;/FMT&gt;_x000d__x000b_&lt;FMT:Font=Aptos&gt;_x000d__x000d__x000d__x000d__x000d__x000d__x000d__x000d_&lt;/FMT&gt;_x000d__x000b_&lt;FMT:Font=Aptos&gt;_x000d__x000d__x000d__x000d__x000d__x000d__x000d__x000d_&lt;/FMT&gt;_x000d__x000b_&lt;FMT:Font=Aptos&gt;_x000d__x000d__x000d__x000d__x000d__x000d__x000d__x000d_&lt;/FMT&gt;_x000d__x000b_&lt;FMT:Font=Aptos&gt;_x000d__x000d__x000d__x000d__x000d__x000d__x000d__x000d_&lt;/FMT&gt;_x000d__x000b_&lt;FMT:Font=Aptos&gt;_x000d__x000d__x000d__x000d__x000d__x000d__x000d__x000d_&lt;/FMT&gt;_x000d__x000b_"/>
    <w:docVar w:name="LW_TYPE.DOC.CP" w:val="MEDDELELSE FRA KOMMISSIONEN TIL RÅDET"/>
    <w:docVar w:name="LW_TYPE.DOC.CP.USERTEXT" w:val="&lt;EMPTY&gt;"/>
    <w:docVar w:name="LwApiVersions" w:val="LW4CoDe 1.24.5.0; LW 9.0, Build 20240221"/>
  </w:docVars>
  <w:rsids>
    <w:rsidRoot w:val="009D65C7"/>
    <w:rsid w:val="000073F5"/>
    <w:rsid w:val="00024F7E"/>
    <w:rsid w:val="00035E0A"/>
    <w:rsid w:val="00041B74"/>
    <w:rsid w:val="00047221"/>
    <w:rsid w:val="0005231B"/>
    <w:rsid w:val="000731B9"/>
    <w:rsid w:val="000754CF"/>
    <w:rsid w:val="00092F9E"/>
    <w:rsid w:val="00095BF5"/>
    <w:rsid w:val="00096A5F"/>
    <w:rsid w:val="000C4952"/>
    <w:rsid w:val="000D044E"/>
    <w:rsid w:val="000D5031"/>
    <w:rsid w:val="000F6876"/>
    <w:rsid w:val="001101AD"/>
    <w:rsid w:val="00110FC7"/>
    <w:rsid w:val="00116F44"/>
    <w:rsid w:val="00117F35"/>
    <w:rsid w:val="00120FF8"/>
    <w:rsid w:val="001240E6"/>
    <w:rsid w:val="0013160E"/>
    <w:rsid w:val="00140B8F"/>
    <w:rsid w:val="001462A8"/>
    <w:rsid w:val="00154CCD"/>
    <w:rsid w:val="00174BF6"/>
    <w:rsid w:val="00176689"/>
    <w:rsid w:val="00180F0F"/>
    <w:rsid w:val="00181337"/>
    <w:rsid w:val="00183939"/>
    <w:rsid w:val="001929A3"/>
    <w:rsid w:val="001970E2"/>
    <w:rsid w:val="00197EE4"/>
    <w:rsid w:val="001E3565"/>
    <w:rsid w:val="001E7B93"/>
    <w:rsid w:val="001F1457"/>
    <w:rsid w:val="001F5D7C"/>
    <w:rsid w:val="0020097D"/>
    <w:rsid w:val="0021563D"/>
    <w:rsid w:val="002235F2"/>
    <w:rsid w:val="0023723D"/>
    <w:rsid w:val="002432B6"/>
    <w:rsid w:val="00245950"/>
    <w:rsid w:val="00252D5F"/>
    <w:rsid w:val="002531A8"/>
    <w:rsid w:val="002601C4"/>
    <w:rsid w:val="00265E72"/>
    <w:rsid w:val="0027214A"/>
    <w:rsid w:val="00280CA8"/>
    <w:rsid w:val="00281C3D"/>
    <w:rsid w:val="00291111"/>
    <w:rsid w:val="002C2813"/>
    <w:rsid w:val="002C28AE"/>
    <w:rsid w:val="002D51AD"/>
    <w:rsid w:val="002D776A"/>
    <w:rsid w:val="002F20A9"/>
    <w:rsid w:val="0033195F"/>
    <w:rsid w:val="0033728A"/>
    <w:rsid w:val="0034225C"/>
    <w:rsid w:val="003442FF"/>
    <w:rsid w:val="003457E8"/>
    <w:rsid w:val="0034797B"/>
    <w:rsid w:val="00347A29"/>
    <w:rsid w:val="00350B73"/>
    <w:rsid w:val="00352C3E"/>
    <w:rsid w:val="00363429"/>
    <w:rsid w:val="00371BA8"/>
    <w:rsid w:val="0037404E"/>
    <w:rsid w:val="0038569B"/>
    <w:rsid w:val="00396DF6"/>
    <w:rsid w:val="003A08D0"/>
    <w:rsid w:val="003A0B2C"/>
    <w:rsid w:val="003A4615"/>
    <w:rsid w:val="003B5421"/>
    <w:rsid w:val="003D00DF"/>
    <w:rsid w:val="003D41DD"/>
    <w:rsid w:val="003F0DBB"/>
    <w:rsid w:val="0040375F"/>
    <w:rsid w:val="004060DC"/>
    <w:rsid w:val="00410660"/>
    <w:rsid w:val="004110F9"/>
    <w:rsid w:val="0041319E"/>
    <w:rsid w:val="0042392F"/>
    <w:rsid w:val="0044169D"/>
    <w:rsid w:val="00441DE5"/>
    <w:rsid w:val="00445744"/>
    <w:rsid w:val="00453DB2"/>
    <w:rsid w:val="00455F9E"/>
    <w:rsid w:val="004650FA"/>
    <w:rsid w:val="00467F2A"/>
    <w:rsid w:val="00474AE8"/>
    <w:rsid w:val="00474C76"/>
    <w:rsid w:val="00492104"/>
    <w:rsid w:val="004A2A7A"/>
    <w:rsid w:val="004B2600"/>
    <w:rsid w:val="004B62A2"/>
    <w:rsid w:val="004B683B"/>
    <w:rsid w:val="004C04C3"/>
    <w:rsid w:val="004C0B5E"/>
    <w:rsid w:val="004C147D"/>
    <w:rsid w:val="004D0886"/>
    <w:rsid w:val="004D08D1"/>
    <w:rsid w:val="004D2C46"/>
    <w:rsid w:val="004E19BE"/>
    <w:rsid w:val="004E3F14"/>
    <w:rsid w:val="004E70A6"/>
    <w:rsid w:val="00501918"/>
    <w:rsid w:val="005028D5"/>
    <w:rsid w:val="00513B66"/>
    <w:rsid w:val="005144C1"/>
    <w:rsid w:val="005223F5"/>
    <w:rsid w:val="005269AE"/>
    <w:rsid w:val="0054704B"/>
    <w:rsid w:val="00555E98"/>
    <w:rsid w:val="00556E07"/>
    <w:rsid w:val="005574DB"/>
    <w:rsid w:val="005661E2"/>
    <w:rsid w:val="00572334"/>
    <w:rsid w:val="00574C19"/>
    <w:rsid w:val="005955C8"/>
    <w:rsid w:val="00597F0D"/>
    <w:rsid w:val="005A221A"/>
    <w:rsid w:val="005B4145"/>
    <w:rsid w:val="005B6630"/>
    <w:rsid w:val="005B7C09"/>
    <w:rsid w:val="005D582C"/>
    <w:rsid w:val="005E61CF"/>
    <w:rsid w:val="005F3086"/>
    <w:rsid w:val="005F3302"/>
    <w:rsid w:val="005F4B2A"/>
    <w:rsid w:val="006042D5"/>
    <w:rsid w:val="00606BE3"/>
    <w:rsid w:val="00633225"/>
    <w:rsid w:val="00636384"/>
    <w:rsid w:val="00643CF2"/>
    <w:rsid w:val="00651054"/>
    <w:rsid w:val="0065322F"/>
    <w:rsid w:val="00656835"/>
    <w:rsid w:val="006605F8"/>
    <w:rsid w:val="00665FE7"/>
    <w:rsid w:val="006678EA"/>
    <w:rsid w:val="00675EEF"/>
    <w:rsid w:val="00682021"/>
    <w:rsid w:val="00682D28"/>
    <w:rsid w:val="00682F38"/>
    <w:rsid w:val="00686946"/>
    <w:rsid w:val="00691E46"/>
    <w:rsid w:val="006A0B31"/>
    <w:rsid w:val="006A1C01"/>
    <w:rsid w:val="006A64D4"/>
    <w:rsid w:val="006B039B"/>
    <w:rsid w:val="006B678C"/>
    <w:rsid w:val="006B6BD4"/>
    <w:rsid w:val="006C28CC"/>
    <w:rsid w:val="006D0B14"/>
    <w:rsid w:val="006D28CB"/>
    <w:rsid w:val="006E40C9"/>
    <w:rsid w:val="006F2A06"/>
    <w:rsid w:val="006F356F"/>
    <w:rsid w:val="006F5687"/>
    <w:rsid w:val="00730FB9"/>
    <w:rsid w:val="00733614"/>
    <w:rsid w:val="007378FE"/>
    <w:rsid w:val="00742EC6"/>
    <w:rsid w:val="00747D61"/>
    <w:rsid w:val="0076282F"/>
    <w:rsid w:val="007758AD"/>
    <w:rsid w:val="00776165"/>
    <w:rsid w:val="00786356"/>
    <w:rsid w:val="007972C7"/>
    <w:rsid w:val="007A3174"/>
    <w:rsid w:val="007B13DC"/>
    <w:rsid w:val="007B5B55"/>
    <w:rsid w:val="007B7A3F"/>
    <w:rsid w:val="007C39DD"/>
    <w:rsid w:val="007D0E4D"/>
    <w:rsid w:val="007D2FB3"/>
    <w:rsid w:val="007D7132"/>
    <w:rsid w:val="007E6245"/>
    <w:rsid w:val="007E7416"/>
    <w:rsid w:val="007F12FF"/>
    <w:rsid w:val="007F7B22"/>
    <w:rsid w:val="007F7BC4"/>
    <w:rsid w:val="00804505"/>
    <w:rsid w:val="0080475C"/>
    <w:rsid w:val="008064B9"/>
    <w:rsid w:val="00810258"/>
    <w:rsid w:val="00810E37"/>
    <w:rsid w:val="00827482"/>
    <w:rsid w:val="00831BD2"/>
    <w:rsid w:val="00836561"/>
    <w:rsid w:val="00841354"/>
    <w:rsid w:val="008426BB"/>
    <w:rsid w:val="00844C22"/>
    <w:rsid w:val="00845434"/>
    <w:rsid w:val="00855070"/>
    <w:rsid w:val="008652FD"/>
    <w:rsid w:val="00867793"/>
    <w:rsid w:val="008824E3"/>
    <w:rsid w:val="00895C51"/>
    <w:rsid w:val="008A1549"/>
    <w:rsid w:val="008A6C44"/>
    <w:rsid w:val="008B0799"/>
    <w:rsid w:val="008B1305"/>
    <w:rsid w:val="008B2FD0"/>
    <w:rsid w:val="008B3F72"/>
    <w:rsid w:val="008C1BB8"/>
    <w:rsid w:val="008D022D"/>
    <w:rsid w:val="008D0AF8"/>
    <w:rsid w:val="008D0E97"/>
    <w:rsid w:val="008D23E2"/>
    <w:rsid w:val="008D3C90"/>
    <w:rsid w:val="008D653F"/>
    <w:rsid w:val="008F10FE"/>
    <w:rsid w:val="008F1ADD"/>
    <w:rsid w:val="008F2627"/>
    <w:rsid w:val="009035E0"/>
    <w:rsid w:val="00913AA8"/>
    <w:rsid w:val="0091530B"/>
    <w:rsid w:val="00932DA5"/>
    <w:rsid w:val="00936564"/>
    <w:rsid w:val="00943589"/>
    <w:rsid w:val="00957322"/>
    <w:rsid w:val="00966A84"/>
    <w:rsid w:val="00967B74"/>
    <w:rsid w:val="00972ABE"/>
    <w:rsid w:val="00981864"/>
    <w:rsid w:val="009844FD"/>
    <w:rsid w:val="00986B0C"/>
    <w:rsid w:val="009B10FA"/>
    <w:rsid w:val="009B71D4"/>
    <w:rsid w:val="009C3770"/>
    <w:rsid w:val="009D65C7"/>
    <w:rsid w:val="009E1D32"/>
    <w:rsid w:val="009E3DA2"/>
    <w:rsid w:val="009E550B"/>
    <w:rsid w:val="009F76B6"/>
    <w:rsid w:val="00A0127E"/>
    <w:rsid w:val="00A0254A"/>
    <w:rsid w:val="00A0379E"/>
    <w:rsid w:val="00A10FD0"/>
    <w:rsid w:val="00A12D70"/>
    <w:rsid w:val="00A50E06"/>
    <w:rsid w:val="00A51274"/>
    <w:rsid w:val="00A71EA8"/>
    <w:rsid w:val="00A72DD9"/>
    <w:rsid w:val="00A81E2F"/>
    <w:rsid w:val="00A87B66"/>
    <w:rsid w:val="00A9783F"/>
    <w:rsid w:val="00AB1566"/>
    <w:rsid w:val="00AB1ADC"/>
    <w:rsid w:val="00AB3821"/>
    <w:rsid w:val="00AB4B26"/>
    <w:rsid w:val="00AB71CE"/>
    <w:rsid w:val="00AC26C9"/>
    <w:rsid w:val="00AE2D76"/>
    <w:rsid w:val="00AE3333"/>
    <w:rsid w:val="00AE3E65"/>
    <w:rsid w:val="00AE448C"/>
    <w:rsid w:val="00AE7424"/>
    <w:rsid w:val="00AF23E3"/>
    <w:rsid w:val="00B00002"/>
    <w:rsid w:val="00B00818"/>
    <w:rsid w:val="00B049DA"/>
    <w:rsid w:val="00B17235"/>
    <w:rsid w:val="00B24DE5"/>
    <w:rsid w:val="00B32AF4"/>
    <w:rsid w:val="00B54403"/>
    <w:rsid w:val="00B702E2"/>
    <w:rsid w:val="00B80A74"/>
    <w:rsid w:val="00B91BD5"/>
    <w:rsid w:val="00B9237D"/>
    <w:rsid w:val="00B934C6"/>
    <w:rsid w:val="00B9410B"/>
    <w:rsid w:val="00B959AD"/>
    <w:rsid w:val="00BA3C93"/>
    <w:rsid w:val="00BA7988"/>
    <w:rsid w:val="00BB3384"/>
    <w:rsid w:val="00BB3913"/>
    <w:rsid w:val="00BC0A39"/>
    <w:rsid w:val="00BE196C"/>
    <w:rsid w:val="00C0113F"/>
    <w:rsid w:val="00C1106B"/>
    <w:rsid w:val="00C13A4F"/>
    <w:rsid w:val="00C13E03"/>
    <w:rsid w:val="00C37311"/>
    <w:rsid w:val="00C57A0B"/>
    <w:rsid w:val="00C61493"/>
    <w:rsid w:val="00C620BF"/>
    <w:rsid w:val="00C8006E"/>
    <w:rsid w:val="00C87671"/>
    <w:rsid w:val="00C9556F"/>
    <w:rsid w:val="00CA0387"/>
    <w:rsid w:val="00CB00B6"/>
    <w:rsid w:val="00CD797F"/>
    <w:rsid w:val="00CE099C"/>
    <w:rsid w:val="00CE1EC9"/>
    <w:rsid w:val="00D074AB"/>
    <w:rsid w:val="00D13A96"/>
    <w:rsid w:val="00D23814"/>
    <w:rsid w:val="00D240CE"/>
    <w:rsid w:val="00D24D13"/>
    <w:rsid w:val="00D42514"/>
    <w:rsid w:val="00D42B0D"/>
    <w:rsid w:val="00D435DC"/>
    <w:rsid w:val="00D4364E"/>
    <w:rsid w:val="00D71C64"/>
    <w:rsid w:val="00D905C8"/>
    <w:rsid w:val="00D910BD"/>
    <w:rsid w:val="00D928E6"/>
    <w:rsid w:val="00DA0228"/>
    <w:rsid w:val="00DA1485"/>
    <w:rsid w:val="00DA729B"/>
    <w:rsid w:val="00DB1153"/>
    <w:rsid w:val="00DB4062"/>
    <w:rsid w:val="00DC0648"/>
    <w:rsid w:val="00DE2F49"/>
    <w:rsid w:val="00DE46E7"/>
    <w:rsid w:val="00DE4BE1"/>
    <w:rsid w:val="00DF276E"/>
    <w:rsid w:val="00DF3D90"/>
    <w:rsid w:val="00DF4E4D"/>
    <w:rsid w:val="00E156D1"/>
    <w:rsid w:val="00E253D9"/>
    <w:rsid w:val="00E26949"/>
    <w:rsid w:val="00E30142"/>
    <w:rsid w:val="00E32987"/>
    <w:rsid w:val="00E34738"/>
    <w:rsid w:val="00E35DA4"/>
    <w:rsid w:val="00E40660"/>
    <w:rsid w:val="00E459E1"/>
    <w:rsid w:val="00E514AE"/>
    <w:rsid w:val="00E514BF"/>
    <w:rsid w:val="00E618A8"/>
    <w:rsid w:val="00E63D2D"/>
    <w:rsid w:val="00E65850"/>
    <w:rsid w:val="00E719D5"/>
    <w:rsid w:val="00E80E47"/>
    <w:rsid w:val="00E87C60"/>
    <w:rsid w:val="00E93C9B"/>
    <w:rsid w:val="00E940EC"/>
    <w:rsid w:val="00E941BD"/>
    <w:rsid w:val="00EA0BAE"/>
    <w:rsid w:val="00EC0F88"/>
    <w:rsid w:val="00EC160E"/>
    <w:rsid w:val="00ED3D97"/>
    <w:rsid w:val="00ED641B"/>
    <w:rsid w:val="00EE12E4"/>
    <w:rsid w:val="00EF01E3"/>
    <w:rsid w:val="00EF31B7"/>
    <w:rsid w:val="00EF44EA"/>
    <w:rsid w:val="00F06C4B"/>
    <w:rsid w:val="00F437A3"/>
    <w:rsid w:val="00F53DF1"/>
    <w:rsid w:val="00F6004C"/>
    <w:rsid w:val="00F73712"/>
    <w:rsid w:val="00F87700"/>
    <w:rsid w:val="00F976C4"/>
    <w:rsid w:val="00FB4396"/>
    <w:rsid w:val="00FC267C"/>
    <w:rsid w:val="00FC3A54"/>
    <w:rsid w:val="00FD725A"/>
    <w:rsid w:val="00FE3A8E"/>
    <w:rsid w:val="00FE51E2"/>
    <w:rsid w:val="00FF54DA"/>
    <w:rsid w:val="00FF7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A463BD"/>
  <w15:chartTrackingRefBased/>
  <w15:docId w15:val="{22E4B974-6FF6-4FDE-A409-48553427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83B"/>
  </w:style>
  <w:style w:type="paragraph" w:styleId="Heading1">
    <w:name w:val="heading 1"/>
    <w:basedOn w:val="Normal"/>
    <w:next w:val="Text1"/>
    <w:link w:val="Heading1Char"/>
    <w:uiPriority w:val="9"/>
    <w:qFormat/>
    <w:rsid w:val="00A0127E"/>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rsid w:val="00A0127E"/>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semiHidden/>
    <w:unhideWhenUsed/>
    <w:qFormat/>
    <w:rsid w:val="00A0127E"/>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semiHidden/>
    <w:unhideWhenUsed/>
    <w:qFormat/>
    <w:rsid w:val="00A0127E"/>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9D65C7"/>
    <w:rPr>
      <w:color w:val="0000FF"/>
      <w:shd w:val="clear" w:color="auto" w:fill="auto"/>
    </w:rPr>
  </w:style>
  <w:style w:type="paragraph" w:styleId="Header">
    <w:name w:val="header"/>
    <w:basedOn w:val="Normal"/>
    <w:link w:val="HeaderChar"/>
    <w:uiPriority w:val="99"/>
    <w:unhideWhenUsed/>
    <w:rsid w:val="009D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5C7"/>
  </w:style>
  <w:style w:type="paragraph" w:styleId="Footer">
    <w:name w:val="footer"/>
    <w:basedOn w:val="Normal"/>
    <w:link w:val="FooterChar"/>
    <w:uiPriority w:val="99"/>
    <w:unhideWhenUsed/>
    <w:rsid w:val="009D6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5C7"/>
  </w:style>
  <w:style w:type="paragraph" w:customStyle="1" w:styleId="Pagedecouverture">
    <w:name w:val="Page de couverture"/>
    <w:basedOn w:val="Normal"/>
    <w:next w:val="Normal"/>
    <w:rsid w:val="009D65C7"/>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9D65C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D65C7"/>
    <w:rPr>
      <w:rFonts w:ascii="Times New Roman" w:hAnsi="Times New Roman" w:cs="Times New Roman"/>
      <w:sz w:val="24"/>
    </w:rPr>
  </w:style>
  <w:style w:type="paragraph" w:customStyle="1" w:styleId="FooterSensitivity">
    <w:name w:val="Footer Sensitivity"/>
    <w:basedOn w:val="Normal"/>
    <w:link w:val="FooterSensitivityChar"/>
    <w:rsid w:val="009D65C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D65C7"/>
    <w:rPr>
      <w:rFonts w:ascii="Times New Roman" w:hAnsi="Times New Roman" w:cs="Times New Roman"/>
      <w:b/>
      <w:sz w:val="32"/>
    </w:rPr>
  </w:style>
  <w:style w:type="paragraph" w:customStyle="1" w:styleId="HeaderCoverPage">
    <w:name w:val="Header Cover Page"/>
    <w:basedOn w:val="Normal"/>
    <w:link w:val="HeaderCoverPageChar"/>
    <w:rsid w:val="009D65C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D65C7"/>
    <w:rPr>
      <w:rFonts w:ascii="Times New Roman" w:hAnsi="Times New Roman" w:cs="Times New Roman"/>
      <w:sz w:val="24"/>
    </w:rPr>
  </w:style>
  <w:style w:type="paragraph" w:customStyle="1" w:styleId="HeaderSensitivity">
    <w:name w:val="Header Sensitivity"/>
    <w:basedOn w:val="Normal"/>
    <w:link w:val="HeaderSensitivityChar"/>
    <w:rsid w:val="009D65C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D65C7"/>
    <w:rPr>
      <w:rFonts w:ascii="Times New Roman" w:hAnsi="Times New Roman" w:cs="Times New Roman"/>
      <w:b/>
      <w:sz w:val="32"/>
    </w:rPr>
  </w:style>
  <w:style w:type="paragraph" w:customStyle="1" w:styleId="HeaderSensitivityRight">
    <w:name w:val="Header Sensitivity Right"/>
    <w:basedOn w:val="Normal"/>
    <w:link w:val="HeaderSensitivityRightChar"/>
    <w:rsid w:val="009D65C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D65C7"/>
    <w:rPr>
      <w:rFonts w:ascii="Times New Roman" w:hAnsi="Times New Roman" w:cs="Times New Roman"/>
      <w:sz w:val="28"/>
    </w:rPr>
  </w:style>
  <w:style w:type="character" w:customStyle="1" w:styleId="Heading1Char">
    <w:name w:val="Heading 1 Char"/>
    <w:basedOn w:val="DefaultParagraphFont"/>
    <w:link w:val="Heading1"/>
    <w:uiPriority w:val="9"/>
    <w:rsid w:val="00A0127E"/>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sid w:val="00A0127E"/>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sid w:val="00A0127E"/>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sid w:val="00A0127E"/>
    <w:rPr>
      <w:rFonts w:ascii="Times New Roman" w:eastAsia="Times New Roman" w:hAnsi="Times New Roman" w:cs="Times New Roman"/>
      <w:bCs/>
      <w:iCs/>
      <w:sz w:val="24"/>
      <w:lang w:eastAsia="en-GB"/>
    </w:rPr>
  </w:style>
  <w:style w:type="paragraph" w:customStyle="1" w:styleId="Text1">
    <w:name w:val="Text 1"/>
    <w:basedOn w:val="Normal"/>
    <w:rsid w:val="00A0127E"/>
    <w:pPr>
      <w:spacing w:before="120" w:after="120" w:line="240" w:lineRule="auto"/>
      <w:ind w:left="850"/>
      <w:jc w:val="both"/>
    </w:pPr>
    <w:rPr>
      <w:rFonts w:ascii="Times New Roman" w:eastAsia="Times New Roman" w:hAnsi="Times New Roman" w:cs="Times New Roman"/>
      <w:sz w:val="24"/>
      <w:lang w:eastAsia="en-GB"/>
    </w:rPr>
  </w:style>
  <w:style w:type="paragraph" w:styleId="FootnoteText">
    <w:name w:val="footnote text"/>
    <w:basedOn w:val="Normal"/>
    <w:link w:val="FootnoteTextChar"/>
    <w:unhideWhenUsed/>
    <w:rsid w:val="00A0127E"/>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0127E"/>
    <w:rPr>
      <w:rFonts w:ascii="Times New Roman" w:eastAsia="Times New Roman" w:hAnsi="Times New Roman" w:cs="Times New Roman"/>
      <w:sz w:val="20"/>
      <w:szCs w:val="20"/>
      <w:lang w:eastAsia="en-GB"/>
    </w:rPr>
  </w:style>
  <w:style w:type="character" w:styleId="FootnoteReference">
    <w:name w:val="footnote reference"/>
    <w:semiHidden/>
    <w:unhideWhenUsed/>
    <w:rsid w:val="00A0127E"/>
    <w:rPr>
      <w:vertAlign w:val="superscript"/>
    </w:rPr>
  </w:style>
  <w:style w:type="character" w:styleId="CommentReference">
    <w:name w:val="annotation reference"/>
    <w:basedOn w:val="DefaultParagraphFont"/>
    <w:uiPriority w:val="99"/>
    <w:semiHidden/>
    <w:unhideWhenUsed/>
    <w:rsid w:val="00347A29"/>
    <w:rPr>
      <w:sz w:val="16"/>
      <w:szCs w:val="16"/>
    </w:rPr>
  </w:style>
  <w:style w:type="paragraph" w:styleId="CommentText">
    <w:name w:val="annotation text"/>
    <w:basedOn w:val="Normal"/>
    <w:link w:val="CommentTextChar"/>
    <w:uiPriority w:val="99"/>
    <w:unhideWhenUsed/>
    <w:rsid w:val="00347A29"/>
    <w:pPr>
      <w:spacing w:line="240" w:lineRule="auto"/>
    </w:pPr>
    <w:rPr>
      <w:sz w:val="20"/>
      <w:szCs w:val="20"/>
    </w:rPr>
  </w:style>
  <w:style w:type="character" w:customStyle="1" w:styleId="CommentTextChar">
    <w:name w:val="Comment Text Char"/>
    <w:basedOn w:val="DefaultParagraphFont"/>
    <w:link w:val="CommentText"/>
    <w:uiPriority w:val="99"/>
    <w:rsid w:val="00347A29"/>
    <w:rPr>
      <w:sz w:val="20"/>
      <w:szCs w:val="20"/>
    </w:rPr>
  </w:style>
  <w:style w:type="paragraph" w:styleId="CommentSubject">
    <w:name w:val="annotation subject"/>
    <w:basedOn w:val="CommentText"/>
    <w:next w:val="CommentText"/>
    <w:link w:val="CommentSubjectChar"/>
    <w:uiPriority w:val="99"/>
    <w:semiHidden/>
    <w:unhideWhenUsed/>
    <w:rsid w:val="00347A29"/>
    <w:rPr>
      <w:b/>
      <w:bCs/>
    </w:rPr>
  </w:style>
  <w:style w:type="character" w:customStyle="1" w:styleId="CommentSubjectChar">
    <w:name w:val="Comment Subject Char"/>
    <w:basedOn w:val="CommentTextChar"/>
    <w:link w:val="CommentSubject"/>
    <w:uiPriority w:val="99"/>
    <w:semiHidden/>
    <w:rsid w:val="00347A29"/>
    <w:rPr>
      <w:b/>
      <w:bCs/>
      <w:sz w:val="20"/>
      <w:szCs w:val="20"/>
    </w:rPr>
  </w:style>
  <w:style w:type="paragraph" w:styleId="BalloonText">
    <w:name w:val="Balloon Text"/>
    <w:basedOn w:val="Normal"/>
    <w:link w:val="BalloonTextChar"/>
    <w:uiPriority w:val="99"/>
    <w:semiHidden/>
    <w:unhideWhenUsed/>
    <w:rsid w:val="00347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29"/>
    <w:rPr>
      <w:rFonts w:ascii="Segoe UI" w:hAnsi="Segoe UI" w:cs="Segoe UI"/>
      <w:sz w:val="18"/>
      <w:szCs w:val="18"/>
    </w:rPr>
  </w:style>
  <w:style w:type="paragraph" w:styleId="ListParagraph">
    <w:name w:val="List Paragraph"/>
    <w:basedOn w:val="Normal"/>
    <w:uiPriority w:val="34"/>
    <w:qFormat/>
    <w:rsid w:val="00972ABE"/>
    <w:pPr>
      <w:spacing w:after="0" w:line="240" w:lineRule="auto"/>
      <w:ind w:left="720"/>
    </w:pPr>
    <w:rPr>
      <w:rFonts w:ascii="Calibri" w:hAnsi="Calibri" w:cs="Calibri"/>
      <w:lang w:eastAsia="en-GB"/>
    </w:rPr>
  </w:style>
  <w:style w:type="character" w:customStyle="1" w:styleId="ui-provider">
    <w:name w:val="ui-provider"/>
    <w:basedOn w:val="DefaultParagraphFont"/>
    <w:rsid w:val="007B7A3F"/>
  </w:style>
  <w:style w:type="paragraph" w:styleId="Revision">
    <w:name w:val="Revision"/>
    <w:hidden/>
    <w:uiPriority w:val="99"/>
    <w:semiHidden/>
    <w:rsid w:val="00DF276E"/>
    <w:pPr>
      <w:spacing w:after="0" w:line="240" w:lineRule="auto"/>
    </w:pPr>
  </w:style>
  <w:style w:type="character" w:styleId="Strong">
    <w:name w:val="Strong"/>
    <w:basedOn w:val="DefaultParagraphFont"/>
    <w:uiPriority w:val="22"/>
    <w:qFormat/>
    <w:rsid w:val="00514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6830">
      <w:bodyDiv w:val="1"/>
      <w:marLeft w:val="0"/>
      <w:marRight w:val="0"/>
      <w:marTop w:val="0"/>
      <w:marBottom w:val="0"/>
      <w:divBdr>
        <w:top w:val="none" w:sz="0" w:space="0" w:color="auto"/>
        <w:left w:val="none" w:sz="0" w:space="0" w:color="auto"/>
        <w:bottom w:val="none" w:sz="0" w:space="0" w:color="auto"/>
        <w:right w:val="none" w:sz="0" w:space="0" w:color="auto"/>
      </w:divBdr>
    </w:div>
    <w:div w:id="110708719">
      <w:bodyDiv w:val="1"/>
      <w:marLeft w:val="0"/>
      <w:marRight w:val="0"/>
      <w:marTop w:val="0"/>
      <w:marBottom w:val="0"/>
      <w:divBdr>
        <w:top w:val="none" w:sz="0" w:space="0" w:color="auto"/>
        <w:left w:val="none" w:sz="0" w:space="0" w:color="auto"/>
        <w:bottom w:val="none" w:sz="0" w:space="0" w:color="auto"/>
        <w:right w:val="none" w:sz="0" w:space="0" w:color="auto"/>
      </w:divBdr>
    </w:div>
    <w:div w:id="148406124">
      <w:bodyDiv w:val="1"/>
      <w:marLeft w:val="0"/>
      <w:marRight w:val="0"/>
      <w:marTop w:val="0"/>
      <w:marBottom w:val="0"/>
      <w:divBdr>
        <w:top w:val="none" w:sz="0" w:space="0" w:color="auto"/>
        <w:left w:val="none" w:sz="0" w:space="0" w:color="auto"/>
        <w:bottom w:val="none" w:sz="0" w:space="0" w:color="auto"/>
        <w:right w:val="none" w:sz="0" w:space="0" w:color="auto"/>
      </w:divBdr>
    </w:div>
    <w:div w:id="221871802">
      <w:bodyDiv w:val="1"/>
      <w:marLeft w:val="0"/>
      <w:marRight w:val="0"/>
      <w:marTop w:val="0"/>
      <w:marBottom w:val="0"/>
      <w:divBdr>
        <w:top w:val="none" w:sz="0" w:space="0" w:color="auto"/>
        <w:left w:val="none" w:sz="0" w:space="0" w:color="auto"/>
        <w:bottom w:val="none" w:sz="0" w:space="0" w:color="auto"/>
        <w:right w:val="none" w:sz="0" w:space="0" w:color="auto"/>
      </w:divBdr>
    </w:div>
    <w:div w:id="233443176">
      <w:bodyDiv w:val="1"/>
      <w:marLeft w:val="0"/>
      <w:marRight w:val="0"/>
      <w:marTop w:val="0"/>
      <w:marBottom w:val="0"/>
      <w:divBdr>
        <w:top w:val="none" w:sz="0" w:space="0" w:color="auto"/>
        <w:left w:val="none" w:sz="0" w:space="0" w:color="auto"/>
        <w:bottom w:val="none" w:sz="0" w:space="0" w:color="auto"/>
        <w:right w:val="none" w:sz="0" w:space="0" w:color="auto"/>
      </w:divBdr>
    </w:div>
    <w:div w:id="279148603">
      <w:bodyDiv w:val="1"/>
      <w:marLeft w:val="0"/>
      <w:marRight w:val="0"/>
      <w:marTop w:val="0"/>
      <w:marBottom w:val="0"/>
      <w:divBdr>
        <w:top w:val="none" w:sz="0" w:space="0" w:color="auto"/>
        <w:left w:val="none" w:sz="0" w:space="0" w:color="auto"/>
        <w:bottom w:val="none" w:sz="0" w:space="0" w:color="auto"/>
        <w:right w:val="none" w:sz="0" w:space="0" w:color="auto"/>
      </w:divBdr>
    </w:div>
    <w:div w:id="284581566">
      <w:bodyDiv w:val="1"/>
      <w:marLeft w:val="0"/>
      <w:marRight w:val="0"/>
      <w:marTop w:val="0"/>
      <w:marBottom w:val="0"/>
      <w:divBdr>
        <w:top w:val="none" w:sz="0" w:space="0" w:color="auto"/>
        <w:left w:val="none" w:sz="0" w:space="0" w:color="auto"/>
        <w:bottom w:val="none" w:sz="0" w:space="0" w:color="auto"/>
        <w:right w:val="none" w:sz="0" w:space="0" w:color="auto"/>
      </w:divBdr>
    </w:div>
    <w:div w:id="310524542">
      <w:bodyDiv w:val="1"/>
      <w:marLeft w:val="0"/>
      <w:marRight w:val="0"/>
      <w:marTop w:val="0"/>
      <w:marBottom w:val="0"/>
      <w:divBdr>
        <w:top w:val="none" w:sz="0" w:space="0" w:color="auto"/>
        <w:left w:val="none" w:sz="0" w:space="0" w:color="auto"/>
        <w:bottom w:val="none" w:sz="0" w:space="0" w:color="auto"/>
        <w:right w:val="none" w:sz="0" w:space="0" w:color="auto"/>
      </w:divBdr>
    </w:div>
    <w:div w:id="311637460">
      <w:bodyDiv w:val="1"/>
      <w:marLeft w:val="0"/>
      <w:marRight w:val="0"/>
      <w:marTop w:val="0"/>
      <w:marBottom w:val="0"/>
      <w:divBdr>
        <w:top w:val="none" w:sz="0" w:space="0" w:color="auto"/>
        <w:left w:val="none" w:sz="0" w:space="0" w:color="auto"/>
        <w:bottom w:val="none" w:sz="0" w:space="0" w:color="auto"/>
        <w:right w:val="none" w:sz="0" w:space="0" w:color="auto"/>
      </w:divBdr>
    </w:div>
    <w:div w:id="432365565">
      <w:bodyDiv w:val="1"/>
      <w:marLeft w:val="0"/>
      <w:marRight w:val="0"/>
      <w:marTop w:val="0"/>
      <w:marBottom w:val="0"/>
      <w:divBdr>
        <w:top w:val="none" w:sz="0" w:space="0" w:color="auto"/>
        <w:left w:val="none" w:sz="0" w:space="0" w:color="auto"/>
        <w:bottom w:val="none" w:sz="0" w:space="0" w:color="auto"/>
        <w:right w:val="none" w:sz="0" w:space="0" w:color="auto"/>
      </w:divBdr>
    </w:div>
    <w:div w:id="492525234">
      <w:bodyDiv w:val="1"/>
      <w:marLeft w:val="0"/>
      <w:marRight w:val="0"/>
      <w:marTop w:val="0"/>
      <w:marBottom w:val="0"/>
      <w:divBdr>
        <w:top w:val="none" w:sz="0" w:space="0" w:color="auto"/>
        <w:left w:val="none" w:sz="0" w:space="0" w:color="auto"/>
        <w:bottom w:val="none" w:sz="0" w:space="0" w:color="auto"/>
        <w:right w:val="none" w:sz="0" w:space="0" w:color="auto"/>
      </w:divBdr>
    </w:div>
    <w:div w:id="494343933">
      <w:bodyDiv w:val="1"/>
      <w:marLeft w:val="0"/>
      <w:marRight w:val="0"/>
      <w:marTop w:val="0"/>
      <w:marBottom w:val="0"/>
      <w:divBdr>
        <w:top w:val="none" w:sz="0" w:space="0" w:color="auto"/>
        <w:left w:val="none" w:sz="0" w:space="0" w:color="auto"/>
        <w:bottom w:val="none" w:sz="0" w:space="0" w:color="auto"/>
        <w:right w:val="none" w:sz="0" w:space="0" w:color="auto"/>
      </w:divBdr>
    </w:div>
    <w:div w:id="505362230">
      <w:bodyDiv w:val="1"/>
      <w:marLeft w:val="0"/>
      <w:marRight w:val="0"/>
      <w:marTop w:val="0"/>
      <w:marBottom w:val="0"/>
      <w:divBdr>
        <w:top w:val="none" w:sz="0" w:space="0" w:color="auto"/>
        <w:left w:val="none" w:sz="0" w:space="0" w:color="auto"/>
        <w:bottom w:val="none" w:sz="0" w:space="0" w:color="auto"/>
        <w:right w:val="none" w:sz="0" w:space="0" w:color="auto"/>
      </w:divBdr>
    </w:div>
    <w:div w:id="523321967">
      <w:bodyDiv w:val="1"/>
      <w:marLeft w:val="0"/>
      <w:marRight w:val="0"/>
      <w:marTop w:val="0"/>
      <w:marBottom w:val="0"/>
      <w:divBdr>
        <w:top w:val="none" w:sz="0" w:space="0" w:color="auto"/>
        <w:left w:val="none" w:sz="0" w:space="0" w:color="auto"/>
        <w:bottom w:val="none" w:sz="0" w:space="0" w:color="auto"/>
        <w:right w:val="none" w:sz="0" w:space="0" w:color="auto"/>
      </w:divBdr>
    </w:div>
    <w:div w:id="554125324">
      <w:bodyDiv w:val="1"/>
      <w:marLeft w:val="0"/>
      <w:marRight w:val="0"/>
      <w:marTop w:val="0"/>
      <w:marBottom w:val="0"/>
      <w:divBdr>
        <w:top w:val="none" w:sz="0" w:space="0" w:color="auto"/>
        <w:left w:val="none" w:sz="0" w:space="0" w:color="auto"/>
        <w:bottom w:val="none" w:sz="0" w:space="0" w:color="auto"/>
        <w:right w:val="none" w:sz="0" w:space="0" w:color="auto"/>
      </w:divBdr>
    </w:div>
    <w:div w:id="561914500">
      <w:bodyDiv w:val="1"/>
      <w:marLeft w:val="0"/>
      <w:marRight w:val="0"/>
      <w:marTop w:val="0"/>
      <w:marBottom w:val="0"/>
      <w:divBdr>
        <w:top w:val="none" w:sz="0" w:space="0" w:color="auto"/>
        <w:left w:val="none" w:sz="0" w:space="0" w:color="auto"/>
        <w:bottom w:val="none" w:sz="0" w:space="0" w:color="auto"/>
        <w:right w:val="none" w:sz="0" w:space="0" w:color="auto"/>
      </w:divBdr>
    </w:div>
    <w:div w:id="569268371">
      <w:bodyDiv w:val="1"/>
      <w:marLeft w:val="0"/>
      <w:marRight w:val="0"/>
      <w:marTop w:val="0"/>
      <w:marBottom w:val="0"/>
      <w:divBdr>
        <w:top w:val="none" w:sz="0" w:space="0" w:color="auto"/>
        <w:left w:val="none" w:sz="0" w:space="0" w:color="auto"/>
        <w:bottom w:val="none" w:sz="0" w:space="0" w:color="auto"/>
        <w:right w:val="none" w:sz="0" w:space="0" w:color="auto"/>
      </w:divBdr>
    </w:div>
    <w:div w:id="569845951">
      <w:bodyDiv w:val="1"/>
      <w:marLeft w:val="0"/>
      <w:marRight w:val="0"/>
      <w:marTop w:val="0"/>
      <w:marBottom w:val="0"/>
      <w:divBdr>
        <w:top w:val="none" w:sz="0" w:space="0" w:color="auto"/>
        <w:left w:val="none" w:sz="0" w:space="0" w:color="auto"/>
        <w:bottom w:val="none" w:sz="0" w:space="0" w:color="auto"/>
        <w:right w:val="none" w:sz="0" w:space="0" w:color="auto"/>
      </w:divBdr>
    </w:div>
    <w:div w:id="581792818">
      <w:bodyDiv w:val="1"/>
      <w:marLeft w:val="0"/>
      <w:marRight w:val="0"/>
      <w:marTop w:val="0"/>
      <w:marBottom w:val="0"/>
      <w:divBdr>
        <w:top w:val="none" w:sz="0" w:space="0" w:color="auto"/>
        <w:left w:val="none" w:sz="0" w:space="0" w:color="auto"/>
        <w:bottom w:val="none" w:sz="0" w:space="0" w:color="auto"/>
        <w:right w:val="none" w:sz="0" w:space="0" w:color="auto"/>
      </w:divBdr>
    </w:div>
    <w:div w:id="599458306">
      <w:bodyDiv w:val="1"/>
      <w:marLeft w:val="0"/>
      <w:marRight w:val="0"/>
      <w:marTop w:val="0"/>
      <w:marBottom w:val="0"/>
      <w:divBdr>
        <w:top w:val="none" w:sz="0" w:space="0" w:color="auto"/>
        <w:left w:val="none" w:sz="0" w:space="0" w:color="auto"/>
        <w:bottom w:val="none" w:sz="0" w:space="0" w:color="auto"/>
        <w:right w:val="none" w:sz="0" w:space="0" w:color="auto"/>
      </w:divBdr>
    </w:div>
    <w:div w:id="625231901">
      <w:bodyDiv w:val="1"/>
      <w:marLeft w:val="0"/>
      <w:marRight w:val="0"/>
      <w:marTop w:val="0"/>
      <w:marBottom w:val="0"/>
      <w:divBdr>
        <w:top w:val="none" w:sz="0" w:space="0" w:color="auto"/>
        <w:left w:val="none" w:sz="0" w:space="0" w:color="auto"/>
        <w:bottom w:val="none" w:sz="0" w:space="0" w:color="auto"/>
        <w:right w:val="none" w:sz="0" w:space="0" w:color="auto"/>
      </w:divBdr>
    </w:div>
    <w:div w:id="634721114">
      <w:bodyDiv w:val="1"/>
      <w:marLeft w:val="0"/>
      <w:marRight w:val="0"/>
      <w:marTop w:val="0"/>
      <w:marBottom w:val="0"/>
      <w:divBdr>
        <w:top w:val="none" w:sz="0" w:space="0" w:color="auto"/>
        <w:left w:val="none" w:sz="0" w:space="0" w:color="auto"/>
        <w:bottom w:val="none" w:sz="0" w:space="0" w:color="auto"/>
        <w:right w:val="none" w:sz="0" w:space="0" w:color="auto"/>
      </w:divBdr>
    </w:div>
    <w:div w:id="674109161">
      <w:bodyDiv w:val="1"/>
      <w:marLeft w:val="0"/>
      <w:marRight w:val="0"/>
      <w:marTop w:val="0"/>
      <w:marBottom w:val="0"/>
      <w:divBdr>
        <w:top w:val="none" w:sz="0" w:space="0" w:color="auto"/>
        <w:left w:val="none" w:sz="0" w:space="0" w:color="auto"/>
        <w:bottom w:val="none" w:sz="0" w:space="0" w:color="auto"/>
        <w:right w:val="none" w:sz="0" w:space="0" w:color="auto"/>
      </w:divBdr>
    </w:div>
    <w:div w:id="683241934">
      <w:bodyDiv w:val="1"/>
      <w:marLeft w:val="0"/>
      <w:marRight w:val="0"/>
      <w:marTop w:val="0"/>
      <w:marBottom w:val="0"/>
      <w:divBdr>
        <w:top w:val="none" w:sz="0" w:space="0" w:color="auto"/>
        <w:left w:val="none" w:sz="0" w:space="0" w:color="auto"/>
        <w:bottom w:val="none" w:sz="0" w:space="0" w:color="auto"/>
        <w:right w:val="none" w:sz="0" w:space="0" w:color="auto"/>
      </w:divBdr>
    </w:div>
    <w:div w:id="711852053">
      <w:bodyDiv w:val="1"/>
      <w:marLeft w:val="0"/>
      <w:marRight w:val="0"/>
      <w:marTop w:val="0"/>
      <w:marBottom w:val="0"/>
      <w:divBdr>
        <w:top w:val="none" w:sz="0" w:space="0" w:color="auto"/>
        <w:left w:val="none" w:sz="0" w:space="0" w:color="auto"/>
        <w:bottom w:val="none" w:sz="0" w:space="0" w:color="auto"/>
        <w:right w:val="none" w:sz="0" w:space="0" w:color="auto"/>
      </w:divBdr>
    </w:div>
    <w:div w:id="725838715">
      <w:bodyDiv w:val="1"/>
      <w:marLeft w:val="0"/>
      <w:marRight w:val="0"/>
      <w:marTop w:val="0"/>
      <w:marBottom w:val="0"/>
      <w:divBdr>
        <w:top w:val="none" w:sz="0" w:space="0" w:color="auto"/>
        <w:left w:val="none" w:sz="0" w:space="0" w:color="auto"/>
        <w:bottom w:val="none" w:sz="0" w:space="0" w:color="auto"/>
        <w:right w:val="none" w:sz="0" w:space="0" w:color="auto"/>
      </w:divBdr>
    </w:div>
    <w:div w:id="739257293">
      <w:bodyDiv w:val="1"/>
      <w:marLeft w:val="0"/>
      <w:marRight w:val="0"/>
      <w:marTop w:val="0"/>
      <w:marBottom w:val="0"/>
      <w:divBdr>
        <w:top w:val="none" w:sz="0" w:space="0" w:color="auto"/>
        <w:left w:val="none" w:sz="0" w:space="0" w:color="auto"/>
        <w:bottom w:val="none" w:sz="0" w:space="0" w:color="auto"/>
        <w:right w:val="none" w:sz="0" w:space="0" w:color="auto"/>
      </w:divBdr>
    </w:div>
    <w:div w:id="803815014">
      <w:bodyDiv w:val="1"/>
      <w:marLeft w:val="0"/>
      <w:marRight w:val="0"/>
      <w:marTop w:val="0"/>
      <w:marBottom w:val="0"/>
      <w:divBdr>
        <w:top w:val="none" w:sz="0" w:space="0" w:color="auto"/>
        <w:left w:val="none" w:sz="0" w:space="0" w:color="auto"/>
        <w:bottom w:val="none" w:sz="0" w:space="0" w:color="auto"/>
        <w:right w:val="none" w:sz="0" w:space="0" w:color="auto"/>
      </w:divBdr>
    </w:div>
    <w:div w:id="827095669">
      <w:bodyDiv w:val="1"/>
      <w:marLeft w:val="0"/>
      <w:marRight w:val="0"/>
      <w:marTop w:val="0"/>
      <w:marBottom w:val="0"/>
      <w:divBdr>
        <w:top w:val="none" w:sz="0" w:space="0" w:color="auto"/>
        <w:left w:val="none" w:sz="0" w:space="0" w:color="auto"/>
        <w:bottom w:val="none" w:sz="0" w:space="0" w:color="auto"/>
        <w:right w:val="none" w:sz="0" w:space="0" w:color="auto"/>
      </w:divBdr>
    </w:div>
    <w:div w:id="916793079">
      <w:bodyDiv w:val="1"/>
      <w:marLeft w:val="0"/>
      <w:marRight w:val="0"/>
      <w:marTop w:val="0"/>
      <w:marBottom w:val="0"/>
      <w:divBdr>
        <w:top w:val="none" w:sz="0" w:space="0" w:color="auto"/>
        <w:left w:val="none" w:sz="0" w:space="0" w:color="auto"/>
        <w:bottom w:val="none" w:sz="0" w:space="0" w:color="auto"/>
        <w:right w:val="none" w:sz="0" w:space="0" w:color="auto"/>
      </w:divBdr>
    </w:div>
    <w:div w:id="980960488">
      <w:bodyDiv w:val="1"/>
      <w:marLeft w:val="0"/>
      <w:marRight w:val="0"/>
      <w:marTop w:val="0"/>
      <w:marBottom w:val="0"/>
      <w:divBdr>
        <w:top w:val="none" w:sz="0" w:space="0" w:color="auto"/>
        <w:left w:val="none" w:sz="0" w:space="0" w:color="auto"/>
        <w:bottom w:val="none" w:sz="0" w:space="0" w:color="auto"/>
        <w:right w:val="none" w:sz="0" w:space="0" w:color="auto"/>
      </w:divBdr>
    </w:div>
    <w:div w:id="991955601">
      <w:bodyDiv w:val="1"/>
      <w:marLeft w:val="0"/>
      <w:marRight w:val="0"/>
      <w:marTop w:val="0"/>
      <w:marBottom w:val="0"/>
      <w:divBdr>
        <w:top w:val="none" w:sz="0" w:space="0" w:color="auto"/>
        <w:left w:val="none" w:sz="0" w:space="0" w:color="auto"/>
        <w:bottom w:val="none" w:sz="0" w:space="0" w:color="auto"/>
        <w:right w:val="none" w:sz="0" w:space="0" w:color="auto"/>
      </w:divBdr>
    </w:div>
    <w:div w:id="1067848470">
      <w:bodyDiv w:val="1"/>
      <w:marLeft w:val="0"/>
      <w:marRight w:val="0"/>
      <w:marTop w:val="0"/>
      <w:marBottom w:val="0"/>
      <w:divBdr>
        <w:top w:val="none" w:sz="0" w:space="0" w:color="auto"/>
        <w:left w:val="none" w:sz="0" w:space="0" w:color="auto"/>
        <w:bottom w:val="none" w:sz="0" w:space="0" w:color="auto"/>
        <w:right w:val="none" w:sz="0" w:space="0" w:color="auto"/>
      </w:divBdr>
    </w:div>
    <w:div w:id="1114323455">
      <w:bodyDiv w:val="1"/>
      <w:marLeft w:val="0"/>
      <w:marRight w:val="0"/>
      <w:marTop w:val="0"/>
      <w:marBottom w:val="0"/>
      <w:divBdr>
        <w:top w:val="none" w:sz="0" w:space="0" w:color="auto"/>
        <w:left w:val="none" w:sz="0" w:space="0" w:color="auto"/>
        <w:bottom w:val="none" w:sz="0" w:space="0" w:color="auto"/>
        <w:right w:val="none" w:sz="0" w:space="0" w:color="auto"/>
      </w:divBdr>
    </w:div>
    <w:div w:id="1152404454">
      <w:bodyDiv w:val="1"/>
      <w:marLeft w:val="0"/>
      <w:marRight w:val="0"/>
      <w:marTop w:val="0"/>
      <w:marBottom w:val="0"/>
      <w:divBdr>
        <w:top w:val="none" w:sz="0" w:space="0" w:color="auto"/>
        <w:left w:val="none" w:sz="0" w:space="0" w:color="auto"/>
        <w:bottom w:val="none" w:sz="0" w:space="0" w:color="auto"/>
        <w:right w:val="none" w:sz="0" w:space="0" w:color="auto"/>
      </w:divBdr>
    </w:div>
    <w:div w:id="1167549454">
      <w:bodyDiv w:val="1"/>
      <w:marLeft w:val="0"/>
      <w:marRight w:val="0"/>
      <w:marTop w:val="0"/>
      <w:marBottom w:val="0"/>
      <w:divBdr>
        <w:top w:val="none" w:sz="0" w:space="0" w:color="auto"/>
        <w:left w:val="none" w:sz="0" w:space="0" w:color="auto"/>
        <w:bottom w:val="none" w:sz="0" w:space="0" w:color="auto"/>
        <w:right w:val="none" w:sz="0" w:space="0" w:color="auto"/>
      </w:divBdr>
    </w:div>
    <w:div w:id="1188524905">
      <w:bodyDiv w:val="1"/>
      <w:marLeft w:val="0"/>
      <w:marRight w:val="0"/>
      <w:marTop w:val="0"/>
      <w:marBottom w:val="0"/>
      <w:divBdr>
        <w:top w:val="none" w:sz="0" w:space="0" w:color="auto"/>
        <w:left w:val="none" w:sz="0" w:space="0" w:color="auto"/>
        <w:bottom w:val="none" w:sz="0" w:space="0" w:color="auto"/>
        <w:right w:val="none" w:sz="0" w:space="0" w:color="auto"/>
      </w:divBdr>
    </w:div>
    <w:div w:id="1267930933">
      <w:bodyDiv w:val="1"/>
      <w:marLeft w:val="0"/>
      <w:marRight w:val="0"/>
      <w:marTop w:val="0"/>
      <w:marBottom w:val="0"/>
      <w:divBdr>
        <w:top w:val="none" w:sz="0" w:space="0" w:color="auto"/>
        <w:left w:val="none" w:sz="0" w:space="0" w:color="auto"/>
        <w:bottom w:val="none" w:sz="0" w:space="0" w:color="auto"/>
        <w:right w:val="none" w:sz="0" w:space="0" w:color="auto"/>
      </w:divBdr>
    </w:div>
    <w:div w:id="1311012808">
      <w:bodyDiv w:val="1"/>
      <w:marLeft w:val="0"/>
      <w:marRight w:val="0"/>
      <w:marTop w:val="0"/>
      <w:marBottom w:val="0"/>
      <w:divBdr>
        <w:top w:val="none" w:sz="0" w:space="0" w:color="auto"/>
        <w:left w:val="none" w:sz="0" w:space="0" w:color="auto"/>
        <w:bottom w:val="none" w:sz="0" w:space="0" w:color="auto"/>
        <w:right w:val="none" w:sz="0" w:space="0" w:color="auto"/>
      </w:divBdr>
    </w:div>
    <w:div w:id="1399742485">
      <w:bodyDiv w:val="1"/>
      <w:marLeft w:val="0"/>
      <w:marRight w:val="0"/>
      <w:marTop w:val="0"/>
      <w:marBottom w:val="0"/>
      <w:divBdr>
        <w:top w:val="none" w:sz="0" w:space="0" w:color="auto"/>
        <w:left w:val="none" w:sz="0" w:space="0" w:color="auto"/>
        <w:bottom w:val="none" w:sz="0" w:space="0" w:color="auto"/>
        <w:right w:val="none" w:sz="0" w:space="0" w:color="auto"/>
      </w:divBdr>
    </w:div>
    <w:div w:id="1490561772">
      <w:bodyDiv w:val="1"/>
      <w:marLeft w:val="0"/>
      <w:marRight w:val="0"/>
      <w:marTop w:val="0"/>
      <w:marBottom w:val="0"/>
      <w:divBdr>
        <w:top w:val="none" w:sz="0" w:space="0" w:color="auto"/>
        <w:left w:val="none" w:sz="0" w:space="0" w:color="auto"/>
        <w:bottom w:val="none" w:sz="0" w:space="0" w:color="auto"/>
        <w:right w:val="none" w:sz="0" w:space="0" w:color="auto"/>
      </w:divBdr>
    </w:div>
    <w:div w:id="1503012603">
      <w:bodyDiv w:val="1"/>
      <w:marLeft w:val="0"/>
      <w:marRight w:val="0"/>
      <w:marTop w:val="0"/>
      <w:marBottom w:val="0"/>
      <w:divBdr>
        <w:top w:val="none" w:sz="0" w:space="0" w:color="auto"/>
        <w:left w:val="none" w:sz="0" w:space="0" w:color="auto"/>
        <w:bottom w:val="none" w:sz="0" w:space="0" w:color="auto"/>
        <w:right w:val="none" w:sz="0" w:space="0" w:color="auto"/>
      </w:divBdr>
    </w:div>
    <w:div w:id="1511872571">
      <w:bodyDiv w:val="1"/>
      <w:marLeft w:val="0"/>
      <w:marRight w:val="0"/>
      <w:marTop w:val="0"/>
      <w:marBottom w:val="0"/>
      <w:divBdr>
        <w:top w:val="none" w:sz="0" w:space="0" w:color="auto"/>
        <w:left w:val="none" w:sz="0" w:space="0" w:color="auto"/>
        <w:bottom w:val="none" w:sz="0" w:space="0" w:color="auto"/>
        <w:right w:val="none" w:sz="0" w:space="0" w:color="auto"/>
      </w:divBdr>
    </w:div>
    <w:div w:id="1516724575">
      <w:bodyDiv w:val="1"/>
      <w:marLeft w:val="0"/>
      <w:marRight w:val="0"/>
      <w:marTop w:val="0"/>
      <w:marBottom w:val="0"/>
      <w:divBdr>
        <w:top w:val="none" w:sz="0" w:space="0" w:color="auto"/>
        <w:left w:val="none" w:sz="0" w:space="0" w:color="auto"/>
        <w:bottom w:val="none" w:sz="0" w:space="0" w:color="auto"/>
        <w:right w:val="none" w:sz="0" w:space="0" w:color="auto"/>
      </w:divBdr>
    </w:div>
    <w:div w:id="1529833179">
      <w:bodyDiv w:val="1"/>
      <w:marLeft w:val="0"/>
      <w:marRight w:val="0"/>
      <w:marTop w:val="0"/>
      <w:marBottom w:val="0"/>
      <w:divBdr>
        <w:top w:val="none" w:sz="0" w:space="0" w:color="auto"/>
        <w:left w:val="none" w:sz="0" w:space="0" w:color="auto"/>
        <w:bottom w:val="none" w:sz="0" w:space="0" w:color="auto"/>
        <w:right w:val="none" w:sz="0" w:space="0" w:color="auto"/>
      </w:divBdr>
    </w:div>
    <w:div w:id="1530534973">
      <w:bodyDiv w:val="1"/>
      <w:marLeft w:val="0"/>
      <w:marRight w:val="0"/>
      <w:marTop w:val="0"/>
      <w:marBottom w:val="0"/>
      <w:divBdr>
        <w:top w:val="none" w:sz="0" w:space="0" w:color="auto"/>
        <w:left w:val="none" w:sz="0" w:space="0" w:color="auto"/>
        <w:bottom w:val="none" w:sz="0" w:space="0" w:color="auto"/>
        <w:right w:val="none" w:sz="0" w:space="0" w:color="auto"/>
      </w:divBdr>
    </w:div>
    <w:div w:id="1594897065">
      <w:bodyDiv w:val="1"/>
      <w:marLeft w:val="0"/>
      <w:marRight w:val="0"/>
      <w:marTop w:val="0"/>
      <w:marBottom w:val="0"/>
      <w:divBdr>
        <w:top w:val="none" w:sz="0" w:space="0" w:color="auto"/>
        <w:left w:val="none" w:sz="0" w:space="0" w:color="auto"/>
        <w:bottom w:val="none" w:sz="0" w:space="0" w:color="auto"/>
        <w:right w:val="none" w:sz="0" w:space="0" w:color="auto"/>
      </w:divBdr>
    </w:div>
    <w:div w:id="1609390988">
      <w:bodyDiv w:val="1"/>
      <w:marLeft w:val="0"/>
      <w:marRight w:val="0"/>
      <w:marTop w:val="0"/>
      <w:marBottom w:val="0"/>
      <w:divBdr>
        <w:top w:val="none" w:sz="0" w:space="0" w:color="auto"/>
        <w:left w:val="none" w:sz="0" w:space="0" w:color="auto"/>
        <w:bottom w:val="none" w:sz="0" w:space="0" w:color="auto"/>
        <w:right w:val="none" w:sz="0" w:space="0" w:color="auto"/>
      </w:divBdr>
    </w:div>
    <w:div w:id="1611156390">
      <w:bodyDiv w:val="1"/>
      <w:marLeft w:val="0"/>
      <w:marRight w:val="0"/>
      <w:marTop w:val="0"/>
      <w:marBottom w:val="0"/>
      <w:divBdr>
        <w:top w:val="none" w:sz="0" w:space="0" w:color="auto"/>
        <w:left w:val="none" w:sz="0" w:space="0" w:color="auto"/>
        <w:bottom w:val="none" w:sz="0" w:space="0" w:color="auto"/>
        <w:right w:val="none" w:sz="0" w:space="0" w:color="auto"/>
      </w:divBdr>
    </w:div>
    <w:div w:id="1678998725">
      <w:bodyDiv w:val="1"/>
      <w:marLeft w:val="0"/>
      <w:marRight w:val="0"/>
      <w:marTop w:val="0"/>
      <w:marBottom w:val="0"/>
      <w:divBdr>
        <w:top w:val="none" w:sz="0" w:space="0" w:color="auto"/>
        <w:left w:val="none" w:sz="0" w:space="0" w:color="auto"/>
        <w:bottom w:val="none" w:sz="0" w:space="0" w:color="auto"/>
        <w:right w:val="none" w:sz="0" w:space="0" w:color="auto"/>
      </w:divBdr>
    </w:div>
    <w:div w:id="1690915194">
      <w:bodyDiv w:val="1"/>
      <w:marLeft w:val="0"/>
      <w:marRight w:val="0"/>
      <w:marTop w:val="0"/>
      <w:marBottom w:val="0"/>
      <w:divBdr>
        <w:top w:val="none" w:sz="0" w:space="0" w:color="auto"/>
        <w:left w:val="none" w:sz="0" w:space="0" w:color="auto"/>
        <w:bottom w:val="none" w:sz="0" w:space="0" w:color="auto"/>
        <w:right w:val="none" w:sz="0" w:space="0" w:color="auto"/>
      </w:divBdr>
    </w:div>
    <w:div w:id="1838958612">
      <w:bodyDiv w:val="1"/>
      <w:marLeft w:val="0"/>
      <w:marRight w:val="0"/>
      <w:marTop w:val="0"/>
      <w:marBottom w:val="0"/>
      <w:divBdr>
        <w:top w:val="none" w:sz="0" w:space="0" w:color="auto"/>
        <w:left w:val="none" w:sz="0" w:space="0" w:color="auto"/>
        <w:bottom w:val="none" w:sz="0" w:space="0" w:color="auto"/>
        <w:right w:val="none" w:sz="0" w:space="0" w:color="auto"/>
      </w:divBdr>
    </w:div>
    <w:div w:id="1872298271">
      <w:bodyDiv w:val="1"/>
      <w:marLeft w:val="0"/>
      <w:marRight w:val="0"/>
      <w:marTop w:val="0"/>
      <w:marBottom w:val="0"/>
      <w:divBdr>
        <w:top w:val="none" w:sz="0" w:space="0" w:color="auto"/>
        <w:left w:val="none" w:sz="0" w:space="0" w:color="auto"/>
        <w:bottom w:val="none" w:sz="0" w:space="0" w:color="auto"/>
        <w:right w:val="none" w:sz="0" w:space="0" w:color="auto"/>
      </w:divBdr>
    </w:div>
    <w:div w:id="1876308169">
      <w:bodyDiv w:val="1"/>
      <w:marLeft w:val="0"/>
      <w:marRight w:val="0"/>
      <w:marTop w:val="0"/>
      <w:marBottom w:val="0"/>
      <w:divBdr>
        <w:top w:val="none" w:sz="0" w:space="0" w:color="auto"/>
        <w:left w:val="none" w:sz="0" w:space="0" w:color="auto"/>
        <w:bottom w:val="none" w:sz="0" w:space="0" w:color="auto"/>
        <w:right w:val="none" w:sz="0" w:space="0" w:color="auto"/>
      </w:divBdr>
    </w:div>
    <w:div w:id="1896115426">
      <w:bodyDiv w:val="1"/>
      <w:marLeft w:val="0"/>
      <w:marRight w:val="0"/>
      <w:marTop w:val="0"/>
      <w:marBottom w:val="0"/>
      <w:divBdr>
        <w:top w:val="none" w:sz="0" w:space="0" w:color="auto"/>
        <w:left w:val="none" w:sz="0" w:space="0" w:color="auto"/>
        <w:bottom w:val="none" w:sz="0" w:space="0" w:color="auto"/>
        <w:right w:val="none" w:sz="0" w:space="0" w:color="auto"/>
      </w:divBdr>
    </w:div>
    <w:div w:id="1900284805">
      <w:bodyDiv w:val="1"/>
      <w:marLeft w:val="0"/>
      <w:marRight w:val="0"/>
      <w:marTop w:val="0"/>
      <w:marBottom w:val="0"/>
      <w:divBdr>
        <w:top w:val="none" w:sz="0" w:space="0" w:color="auto"/>
        <w:left w:val="none" w:sz="0" w:space="0" w:color="auto"/>
        <w:bottom w:val="none" w:sz="0" w:space="0" w:color="auto"/>
        <w:right w:val="none" w:sz="0" w:space="0" w:color="auto"/>
      </w:divBdr>
    </w:div>
    <w:div w:id="1942880326">
      <w:bodyDiv w:val="1"/>
      <w:marLeft w:val="0"/>
      <w:marRight w:val="0"/>
      <w:marTop w:val="0"/>
      <w:marBottom w:val="0"/>
      <w:divBdr>
        <w:top w:val="none" w:sz="0" w:space="0" w:color="auto"/>
        <w:left w:val="none" w:sz="0" w:space="0" w:color="auto"/>
        <w:bottom w:val="none" w:sz="0" w:space="0" w:color="auto"/>
        <w:right w:val="none" w:sz="0" w:space="0" w:color="auto"/>
      </w:divBdr>
    </w:div>
    <w:div w:id="1951089839">
      <w:bodyDiv w:val="1"/>
      <w:marLeft w:val="0"/>
      <w:marRight w:val="0"/>
      <w:marTop w:val="0"/>
      <w:marBottom w:val="0"/>
      <w:divBdr>
        <w:top w:val="none" w:sz="0" w:space="0" w:color="auto"/>
        <w:left w:val="none" w:sz="0" w:space="0" w:color="auto"/>
        <w:bottom w:val="none" w:sz="0" w:space="0" w:color="auto"/>
        <w:right w:val="none" w:sz="0" w:space="0" w:color="auto"/>
      </w:divBdr>
    </w:div>
    <w:div w:id="1965043416">
      <w:bodyDiv w:val="1"/>
      <w:marLeft w:val="0"/>
      <w:marRight w:val="0"/>
      <w:marTop w:val="0"/>
      <w:marBottom w:val="0"/>
      <w:divBdr>
        <w:top w:val="none" w:sz="0" w:space="0" w:color="auto"/>
        <w:left w:val="none" w:sz="0" w:space="0" w:color="auto"/>
        <w:bottom w:val="none" w:sz="0" w:space="0" w:color="auto"/>
        <w:right w:val="none" w:sz="0" w:space="0" w:color="auto"/>
      </w:divBdr>
    </w:div>
    <w:div w:id="1967001169">
      <w:bodyDiv w:val="1"/>
      <w:marLeft w:val="0"/>
      <w:marRight w:val="0"/>
      <w:marTop w:val="0"/>
      <w:marBottom w:val="0"/>
      <w:divBdr>
        <w:top w:val="none" w:sz="0" w:space="0" w:color="auto"/>
        <w:left w:val="none" w:sz="0" w:space="0" w:color="auto"/>
        <w:bottom w:val="none" w:sz="0" w:space="0" w:color="auto"/>
        <w:right w:val="none" w:sz="0" w:space="0" w:color="auto"/>
      </w:divBdr>
    </w:div>
    <w:div w:id="1980959721">
      <w:bodyDiv w:val="1"/>
      <w:marLeft w:val="0"/>
      <w:marRight w:val="0"/>
      <w:marTop w:val="0"/>
      <w:marBottom w:val="0"/>
      <w:divBdr>
        <w:top w:val="none" w:sz="0" w:space="0" w:color="auto"/>
        <w:left w:val="none" w:sz="0" w:space="0" w:color="auto"/>
        <w:bottom w:val="none" w:sz="0" w:space="0" w:color="auto"/>
        <w:right w:val="none" w:sz="0" w:space="0" w:color="auto"/>
      </w:divBdr>
    </w:div>
    <w:div w:id="1990936844">
      <w:bodyDiv w:val="1"/>
      <w:marLeft w:val="0"/>
      <w:marRight w:val="0"/>
      <w:marTop w:val="0"/>
      <w:marBottom w:val="0"/>
      <w:divBdr>
        <w:top w:val="none" w:sz="0" w:space="0" w:color="auto"/>
        <w:left w:val="none" w:sz="0" w:space="0" w:color="auto"/>
        <w:bottom w:val="none" w:sz="0" w:space="0" w:color="auto"/>
        <w:right w:val="none" w:sz="0" w:space="0" w:color="auto"/>
      </w:divBdr>
    </w:div>
    <w:div w:id="2040736772">
      <w:bodyDiv w:val="1"/>
      <w:marLeft w:val="0"/>
      <w:marRight w:val="0"/>
      <w:marTop w:val="0"/>
      <w:marBottom w:val="0"/>
      <w:divBdr>
        <w:top w:val="none" w:sz="0" w:space="0" w:color="auto"/>
        <w:left w:val="none" w:sz="0" w:space="0" w:color="auto"/>
        <w:bottom w:val="none" w:sz="0" w:space="0" w:color="auto"/>
        <w:right w:val="none" w:sz="0" w:space="0" w:color="auto"/>
      </w:divBdr>
    </w:div>
    <w:div w:id="2044359300">
      <w:bodyDiv w:val="1"/>
      <w:marLeft w:val="0"/>
      <w:marRight w:val="0"/>
      <w:marTop w:val="0"/>
      <w:marBottom w:val="0"/>
      <w:divBdr>
        <w:top w:val="none" w:sz="0" w:space="0" w:color="auto"/>
        <w:left w:val="none" w:sz="0" w:space="0" w:color="auto"/>
        <w:bottom w:val="none" w:sz="0" w:space="0" w:color="auto"/>
        <w:right w:val="none" w:sz="0" w:space="0" w:color="auto"/>
      </w:divBdr>
    </w:div>
    <w:div w:id="20672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8" Type="http://schemas.openxmlformats.org/officeDocument/2006/relationships/image" Target="media/image1.emf"/><Relationship Id="rId51" Type="http://schemas.openxmlformats.org/officeDocument/2006/relationships/footer" Target="footer2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111F7-0523-4926-B61F-093F1F5E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11</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2025-04-04T06:39:00Z</dcterms:created>
  <dcterms:modified xsi:type="dcterms:W3CDTF">2025-06-03T15:31:00Z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CP-010</vt:lpwstr>
  </property>
  <property fmtid="{D5CDD505-2E9C-101B-9397-08002B2CF9AE}" pid="7" name="Last edited using">
    <vt:lpwstr>LW 9.1, Build 20240808</vt:lpwstr>
  </property>
  <property fmtid="{D5CDD505-2E9C-101B-9397-08002B2CF9AE}" pid="8" name="Created using">
    <vt:lpwstr>LW 8.1, Build 20230124</vt:lpwstr>
  </property>
  <property fmtid="{D5CDD505-2E9C-101B-9397-08002B2CF9AE}" pid="9" name="MSIP_Label_6bd9ddd1-4d20-43f6-abfa-fc3c07406f94_Enabled">
    <vt:lpwstr>true</vt:lpwstr>
  </property>
  <property fmtid="{D5CDD505-2E9C-101B-9397-08002B2CF9AE}" pid="10" name="MSIP_Label_6bd9ddd1-4d20-43f6-abfa-fc3c07406f94_SetDate">
    <vt:lpwstr>2023-03-29T12:41:30Z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2b09fff0-e25d-424c-9075-9c7e0c4477f1</vt:lpwstr>
  </property>
  <property fmtid="{D5CDD505-2E9C-101B-9397-08002B2CF9AE}" pid="15" name="MSIP_Label_6bd9ddd1-4d20-43f6-abfa-fc3c07406f94_ContentBits">
    <vt:lpwstr>0</vt:lpwstr>
  </property>
</Properties>
</file>