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4EF0D7BA" w:rsidR="008B6253" w:rsidRPr="00B21330" w:rsidRDefault="00123DCD" w:rsidP="00123DCD">
      <w:pPr>
        <w:pStyle w:val="Pagedecouverture"/>
        <w:rPr>
          <w:noProof/>
        </w:rPr>
      </w:pPr>
      <w:bookmarkStart w:id="0" w:name="LW_BM_COVERPAGE"/>
      <w:r>
        <w:rPr>
          <w:noProof/>
        </w:rPr>
        <w:pict w14:anchorId="29372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571FF1A-5418-49E0-90D1-2A0B7B9FF505" style="width:455.25pt;height:405.75pt">
            <v:imagedata r:id="rId11" o:title=""/>
          </v:shape>
        </w:pict>
      </w:r>
    </w:p>
    <w:bookmarkEnd w:id="0"/>
    <w:p w14:paraId="01AEB2FF" w14:textId="77777777" w:rsidR="008B6253" w:rsidRPr="00B21330" w:rsidRDefault="008B6253" w:rsidP="008B6253">
      <w:pPr>
        <w:rPr>
          <w:noProof/>
        </w:rPr>
        <w:sectPr w:rsidR="008B6253" w:rsidRPr="00B21330" w:rsidSect="00123DC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B21330" w:rsidRDefault="008B6253" w:rsidP="008B6253">
      <w:pPr>
        <w:pStyle w:val="TOCHeading"/>
        <w:rPr>
          <w:rFonts w:eastAsiaTheme="minorHAnsi"/>
          <w:b w:val="0"/>
          <w:noProof/>
          <w:sz w:val="24"/>
        </w:rPr>
      </w:pPr>
      <w:bookmarkStart w:id="1" w:name="_GoBack"/>
      <w:bookmarkEnd w:id="1"/>
    </w:p>
    <w:sdt>
      <w:sdtPr>
        <w:rPr>
          <w:rFonts w:eastAsiaTheme="minorEastAsia"/>
          <w:b w:val="0"/>
          <w:noProof/>
          <w:sz w:val="24"/>
        </w:rPr>
        <w:id w:val="-874687748"/>
        <w:docPartObj>
          <w:docPartGallery w:val="Table of Contents"/>
          <w:docPartUnique/>
        </w:docPartObj>
      </w:sdtPr>
      <w:sdtEndPr>
        <w:rPr>
          <w:sz w:val="22"/>
          <w:szCs w:val="22"/>
        </w:rPr>
      </w:sdtEndPr>
      <w:sdtContent>
        <w:p w14:paraId="24E88DD3" w14:textId="77777777" w:rsidR="008B6253" w:rsidRPr="00B21330" w:rsidRDefault="008B6253" w:rsidP="008B6253">
          <w:pPr>
            <w:pStyle w:val="TOCHeading"/>
            <w:rPr>
              <w:noProof/>
              <w:color w:val="034EA2" w:themeColor="accent1"/>
            </w:rPr>
          </w:pPr>
          <w:r w:rsidRPr="00B21330">
            <w:rPr>
              <w:noProof/>
              <w:color w:val="034EA2" w:themeColor="accent1"/>
            </w:rPr>
            <w:t>Indholdsfortegnelse</w:t>
          </w:r>
        </w:p>
        <w:p w14:paraId="3E93D840" w14:textId="6C8B35BE" w:rsidR="007D6D02" w:rsidRPr="00B21330" w:rsidRDefault="008B6253">
          <w:pPr>
            <w:pStyle w:val="TOC1"/>
            <w:rPr>
              <w:rFonts w:asciiTheme="minorHAnsi" w:eastAsiaTheme="minorEastAsia" w:hAnsiTheme="minorHAnsi" w:cstheme="minorBidi"/>
              <w:noProof/>
              <w:kern w:val="2"/>
              <w:sz w:val="24"/>
              <w:lang w:eastAsia="da-DK"/>
              <w14:ligatures w14:val="standardContextual"/>
            </w:rPr>
          </w:pPr>
          <w:r w:rsidRPr="00B21330">
            <w:rPr>
              <w:noProof/>
            </w:rPr>
            <w:fldChar w:fldCharType="begin"/>
          </w:r>
          <w:r w:rsidRPr="00B21330">
            <w:rPr>
              <w:noProof/>
            </w:rPr>
            <w:instrText xml:space="preserve"> TOC \o "1-3" \h \z \u </w:instrText>
          </w:r>
          <w:r w:rsidRPr="00B21330">
            <w:rPr>
              <w:noProof/>
            </w:rPr>
            <w:fldChar w:fldCharType="separate"/>
          </w:r>
          <w:hyperlink w:anchor="_Toc192765636" w:history="1">
            <w:r w:rsidR="007D6D02" w:rsidRPr="00B21330">
              <w:rPr>
                <w:rStyle w:val="Hyperlink"/>
                <w:noProof/>
              </w:rPr>
              <w:t>1.</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Resumé</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_Toc192765636 \h </w:instrText>
            </w:r>
            <w:r w:rsidR="007D6D02" w:rsidRPr="00B21330">
              <w:rPr>
                <w:noProof/>
                <w:webHidden/>
              </w:rPr>
            </w:r>
            <w:r w:rsidR="007D6D02" w:rsidRPr="00B21330">
              <w:rPr>
                <w:noProof/>
                <w:webHidden/>
              </w:rPr>
              <w:fldChar w:fldCharType="separate"/>
            </w:r>
            <w:r w:rsidR="00FD7F1E">
              <w:rPr>
                <w:noProof/>
                <w:webHidden/>
              </w:rPr>
              <w:t>3</w:t>
            </w:r>
            <w:r w:rsidR="007D6D02" w:rsidRPr="00B21330">
              <w:rPr>
                <w:noProof/>
                <w:webHidden/>
              </w:rPr>
              <w:fldChar w:fldCharType="end"/>
            </w:r>
          </w:hyperlink>
        </w:p>
        <w:p w14:paraId="48DBE2CB" w14:textId="2B565726"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37" w:history="1">
            <w:r w:rsidR="007D6D02" w:rsidRPr="00B21330">
              <w:rPr>
                <w:rStyle w:val="Hyperlink"/>
                <w:noProof/>
              </w:rPr>
              <w:t>2.</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Indledning</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_Toc192765637 \h </w:instrText>
            </w:r>
            <w:r w:rsidR="007D6D02" w:rsidRPr="00B21330">
              <w:rPr>
                <w:noProof/>
                <w:webHidden/>
              </w:rPr>
            </w:r>
            <w:r w:rsidR="007D6D02" w:rsidRPr="00B21330">
              <w:rPr>
                <w:noProof/>
                <w:webHidden/>
              </w:rPr>
              <w:fldChar w:fldCharType="separate"/>
            </w:r>
            <w:r w:rsidR="00FD7F1E">
              <w:rPr>
                <w:noProof/>
                <w:webHidden/>
              </w:rPr>
              <w:t>4</w:t>
            </w:r>
            <w:r w:rsidR="007D6D02" w:rsidRPr="00B21330">
              <w:rPr>
                <w:noProof/>
                <w:webHidden/>
              </w:rPr>
              <w:fldChar w:fldCharType="end"/>
            </w:r>
          </w:hyperlink>
        </w:p>
        <w:p w14:paraId="369873E4" w14:textId="5A61F4F9"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38" w:history="1">
            <w:r w:rsidR="007D6D02" w:rsidRPr="00B21330">
              <w:rPr>
                <w:rStyle w:val="Hyperlink"/>
                <w:noProof/>
              </w:rPr>
              <w:t>3.</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Gennemførelse af lånoptagelse i andet halvår af 2024</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_Toc192765638 \h </w:instrText>
            </w:r>
            <w:r w:rsidR="007D6D02" w:rsidRPr="00B21330">
              <w:rPr>
                <w:noProof/>
                <w:webHidden/>
              </w:rPr>
            </w:r>
            <w:r w:rsidR="007D6D02" w:rsidRPr="00B21330">
              <w:rPr>
                <w:noProof/>
                <w:webHidden/>
              </w:rPr>
              <w:fldChar w:fldCharType="separate"/>
            </w:r>
            <w:r w:rsidR="00FD7F1E">
              <w:rPr>
                <w:noProof/>
                <w:webHidden/>
              </w:rPr>
              <w:t>4</w:t>
            </w:r>
            <w:r w:rsidR="007D6D02" w:rsidRPr="00B21330">
              <w:rPr>
                <w:noProof/>
                <w:webHidden/>
              </w:rPr>
              <w:fldChar w:fldCharType="end"/>
            </w:r>
          </w:hyperlink>
        </w:p>
        <w:p w14:paraId="5333AF28" w14:textId="444C17C1"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42" w:history="1">
            <w:r w:rsidR="007D6D02" w:rsidRPr="00B21330">
              <w:rPr>
                <w:rStyle w:val="Hyperlink"/>
                <w:noProof/>
              </w:rPr>
              <w:t>4.</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Finansieringsomkostninger og likviditetssaldi</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_Toc192765642 \h </w:instrText>
            </w:r>
            <w:r w:rsidR="007D6D02" w:rsidRPr="00B21330">
              <w:rPr>
                <w:noProof/>
                <w:webHidden/>
              </w:rPr>
            </w:r>
            <w:r w:rsidR="007D6D02" w:rsidRPr="00B21330">
              <w:rPr>
                <w:noProof/>
                <w:webHidden/>
              </w:rPr>
              <w:fldChar w:fldCharType="separate"/>
            </w:r>
            <w:r w:rsidR="00FD7F1E">
              <w:rPr>
                <w:noProof/>
                <w:webHidden/>
              </w:rPr>
              <w:t>8</w:t>
            </w:r>
            <w:r w:rsidR="007D6D02" w:rsidRPr="00B21330">
              <w:rPr>
                <w:noProof/>
                <w:webHidden/>
              </w:rPr>
              <w:fldChar w:fldCharType="end"/>
            </w:r>
          </w:hyperlink>
        </w:p>
        <w:p w14:paraId="20875CE0" w14:textId="2101D193"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45" w:history="1">
            <w:r w:rsidR="007D6D02" w:rsidRPr="00B21330">
              <w:rPr>
                <w:rStyle w:val="Hyperlink"/>
                <w:noProof/>
              </w:rPr>
              <w:t>5.</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Skridt til at videreudvikle økosystemet for EU-obligationer</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_Toc192765645 \h </w:instrText>
            </w:r>
            <w:r w:rsidR="007D6D02" w:rsidRPr="00B21330">
              <w:rPr>
                <w:noProof/>
                <w:webHidden/>
              </w:rPr>
            </w:r>
            <w:r w:rsidR="007D6D02" w:rsidRPr="00B21330">
              <w:rPr>
                <w:noProof/>
                <w:webHidden/>
              </w:rPr>
              <w:fldChar w:fldCharType="separate"/>
            </w:r>
            <w:r w:rsidR="00FD7F1E">
              <w:rPr>
                <w:noProof/>
                <w:webHidden/>
              </w:rPr>
              <w:t>11</w:t>
            </w:r>
            <w:r w:rsidR="007D6D02" w:rsidRPr="00B21330">
              <w:rPr>
                <w:noProof/>
                <w:webHidden/>
              </w:rPr>
              <w:fldChar w:fldCharType="end"/>
            </w:r>
          </w:hyperlink>
        </w:p>
        <w:p w14:paraId="0402C071" w14:textId="52F38870"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46" w:history="1">
            <w:r w:rsidR="007D6D02" w:rsidRPr="00B21330">
              <w:rPr>
                <w:rStyle w:val="Hyperlink"/>
                <w:noProof/>
              </w:rPr>
              <w:t>6.</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Andre milepæle i andet halvår af 2024</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_Toc192765646 \h </w:instrText>
            </w:r>
            <w:r w:rsidR="007D6D02" w:rsidRPr="00B21330">
              <w:rPr>
                <w:noProof/>
                <w:webHidden/>
              </w:rPr>
            </w:r>
            <w:r w:rsidR="007D6D02" w:rsidRPr="00B21330">
              <w:rPr>
                <w:noProof/>
                <w:webHidden/>
              </w:rPr>
              <w:fldChar w:fldCharType="separate"/>
            </w:r>
            <w:r w:rsidR="00FD7F1E">
              <w:rPr>
                <w:noProof/>
                <w:webHidden/>
              </w:rPr>
              <w:t>12</w:t>
            </w:r>
            <w:r w:rsidR="007D6D02" w:rsidRPr="00B21330">
              <w:rPr>
                <w:noProof/>
                <w:webHidden/>
              </w:rPr>
              <w:fldChar w:fldCharType="end"/>
            </w:r>
          </w:hyperlink>
        </w:p>
        <w:p w14:paraId="465E634C" w14:textId="423ACFEF" w:rsidR="007D6D02" w:rsidRPr="00B21330" w:rsidRDefault="00123DCD">
          <w:pPr>
            <w:pStyle w:val="TOC1"/>
            <w:rPr>
              <w:rFonts w:asciiTheme="minorHAnsi" w:eastAsiaTheme="minorEastAsia" w:hAnsiTheme="minorHAnsi" w:cstheme="minorBidi"/>
              <w:noProof/>
              <w:kern w:val="2"/>
              <w:sz w:val="24"/>
              <w:lang w:eastAsia="da-DK"/>
              <w14:ligatures w14:val="standardContextual"/>
            </w:rPr>
          </w:pPr>
          <w:hyperlink w:anchor="_Toc192765648" w:history="1">
            <w:r w:rsidR="007D6D02" w:rsidRPr="00B21330">
              <w:rPr>
                <w:rStyle w:val="Hyperlink"/>
                <w:noProof/>
              </w:rPr>
              <w:t>7.</w:t>
            </w:r>
            <w:r w:rsidR="007D6D02" w:rsidRPr="00B21330">
              <w:rPr>
                <w:rFonts w:asciiTheme="minorHAnsi" w:eastAsiaTheme="minorEastAsia" w:hAnsiTheme="minorHAnsi" w:cstheme="minorBidi"/>
                <w:noProof/>
                <w:kern w:val="2"/>
                <w:sz w:val="24"/>
                <w:lang w:eastAsia="da-DK"/>
                <w14:ligatures w14:val="standardContextual"/>
              </w:rPr>
              <w:tab/>
            </w:r>
            <w:r w:rsidR="007D6D02" w:rsidRPr="00B21330">
              <w:rPr>
                <w:rStyle w:val="Hyperlink"/>
                <w:noProof/>
              </w:rPr>
              <w:t>Tidsplan for udstedelser i første halvår af 2025</w:t>
            </w:r>
            <w:r w:rsidR="007D6D02" w:rsidRPr="00B21330">
              <w:rPr>
                <w:noProof/>
                <w:webHidden/>
              </w:rPr>
              <w:tab/>
            </w:r>
            <w:r w:rsidR="007D6D02" w:rsidRPr="00B21330">
              <w:rPr>
                <w:noProof/>
                <w:webHidden/>
              </w:rPr>
              <w:fldChar w:fldCharType="begin"/>
            </w:r>
            <w:r w:rsidR="007D6D02" w:rsidRPr="00B21330">
              <w:rPr>
                <w:noProof/>
                <w:webHidden/>
              </w:rPr>
              <w:instrText xml:space="preserve"> PAGEREF _Toc192765648 \h </w:instrText>
            </w:r>
            <w:r w:rsidR="007D6D02" w:rsidRPr="00B21330">
              <w:rPr>
                <w:noProof/>
                <w:webHidden/>
              </w:rPr>
            </w:r>
            <w:r w:rsidR="007D6D02" w:rsidRPr="00B21330">
              <w:rPr>
                <w:noProof/>
                <w:webHidden/>
              </w:rPr>
              <w:fldChar w:fldCharType="separate"/>
            </w:r>
            <w:r w:rsidR="00FD7F1E">
              <w:rPr>
                <w:noProof/>
                <w:webHidden/>
              </w:rPr>
              <w:t>13</w:t>
            </w:r>
            <w:r w:rsidR="007D6D02" w:rsidRPr="00B21330">
              <w:rPr>
                <w:noProof/>
                <w:webHidden/>
              </w:rPr>
              <w:fldChar w:fldCharType="end"/>
            </w:r>
          </w:hyperlink>
        </w:p>
        <w:p w14:paraId="33097789" w14:textId="2E142A1C" w:rsidR="008B6253" w:rsidRPr="00B21330" w:rsidRDefault="008B6253" w:rsidP="008B6253">
          <w:pPr>
            <w:rPr>
              <w:noProof/>
            </w:rPr>
          </w:pPr>
          <w:r w:rsidRPr="00B21330">
            <w:rPr>
              <w:b/>
              <w:noProof/>
            </w:rPr>
            <w:fldChar w:fldCharType="end"/>
          </w:r>
        </w:p>
      </w:sdtContent>
    </w:sdt>
    <w:p w14:paraId="0D3B81B7" w14:textId="77777777" w:rsidR="008B6253" w:rsidRPr="00B21330" w:rsidRDefault="008B6253" w:rsidP="008B6253">
      <w:pPr>
        <w:rPr>
          <w:noProof/>
        </w:rPr>
      </w:pPr>
    </w:p>
    <w:p w14:paraId="3EEBF846" w14:textId="77777777" w:rsidR="008B6253" w:rsidRPr="00B21330" w:rsidRDefault="008B6253" w:rsidP="008B6253">
      <w:pPr>
        <w:rPr>
          <w:noProof/>
          <w:u w:val="single"/>
        </w:rPr>
        <w:sectPr w:rsidR="008B6253" w:rsidRPr="00B21330"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588F7376" w14:textId="179A61F4" w:rsidR="003F3D5E" w:rsidRPr="00B21330" w:rsidRDefault="00123DCD" w:rsidP="63F8525A">
      <w:pPr>
        <w:spacing w:line="259" w:lineRule="auto"/>
        <w:jc w:val="center"/>
        <w:rPr>
          <w:rFonts w:cstheme="minorBidi"/>
          <w:b/>
          <w:bCs/>
          <w:noProof/>
          <w:color w:val="44546A" w:themeColor="text2"/>
          <w:sz w:val="28"/>
          <w:szCs w:val="28"/>
        </w:rPr>
      </w:pPr>
      <w:r>
        <w:rPr>
          <w:noProof/>
        </w:rPr>
        <w:pict w14:anchorId="70181A18">
          <v:rect id="Rectangle 26" o:spid="_x0000_s2053" style="position:absolute;left:0;text-align:left;margin-left:0;margin-top:23.35pt;width:451.3pt;height:13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" fillcolor="#f5f5f5" stroked="f" strokeweight="1pt"/>
        </w:pict>
      </w:r>
      <w:r w:rsidR="000E5618" w:rsidRPr="00B21330">
        <w:rPr>
          <w:b/>
          <w:noProof/>
          <w:color w:val="44546A" w:themeColor="text2"/>
          <w:sz w:val="28"/>
        </w:rPr>
        <w:t>TILVEJEBRAGT FINANSIERING I ANDET HALVÅR AF 2024</w:t>
      </w:r>
    </w:p>
    <w:p w14:paraId="79CE8971" w14:textId="58C1DE1E" w:rsidR="001A2134" w:rsidRPr="00B21330" w:rsidRDefault="00CF5DC4" w:rsidP="00320534">
      <w:pPr>
        <w:spacing w:after="0" w:line="259" w:lineRule="auto"/>
        <w:jc w:val="center"/>
        <w:rPr>
          <w:rFonts w:asciiTheme="minorHAnsi" w:hAnsiTheme="minorHAnsi" w:cstheme="minorBidi"/>
          <w:noProof/>
          <w:szCs w:val="22"/>
        </w:rPr>
      </w:pPr>
      <w:r w:rsidRPr="00B21330">
        <w:rPr>
          <w:rFonts w:asciiTheme="minorHAnsi" w:hAnsiTheme="minorHAnsi"/>
          <w:noProof/>
        </w:rPr>
        <w:t xml:space="preserve"> </w:t>
      </w:r>
      <w:r w:rsidRPr="00B21330">
        <w:rPr>
          <w:noProof/>
          <w:lang w:val="en-GB" w:eastAsia="en-GB"/>
        </w:rPr>
        <w:drawing>
          <wp:inline distT="0" distB="0" distL="0" distR="0" wp14:anchorId="5482D5EA" wp14:editId="4D52672D">
            <wp:extent cx="4863570" cy="1584190"/>
            <wp:effectExtent l="0" t="0" r="0" b="0"/>
            <wp:docPr id="205944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46465" name="Picture 1"/>
                    <pic:cNvPicPr/>
                  </pic:nvPicPr>
                  <pic:blipFill>
                    <a:blip r:embed="rId24">
                      <a:extLst>
                        <a:ext uri="{28A0092B-C50C-407E-A947-70E740481C1C}">
                          <a14:useLocalDpi xmlns:a14="http://schemas.microsoft.com/office/drawing/2010/main" val="0"/>
                        </a:ext>
                      </a:extLst>
                    </a:blip>
                    <a:srcRect t="3037" b="3037"/>
                    <a:stretch>
                      <a:fillRect/>
                    </a:stretch>
                  </pic:blipFill>
                  <pic:spPr bwMode="auto">
                    <a:xfrm>
                      <a:off x="0" y="0"/>
                      <a:ext cx="4863570" cy="1584190"/>
                    </a:xfrm>
                    <a:prstGeom prst="rect">
                      <a:avLst/>
                    </a:prstGeom>
                    <a:ln>
                      <a:noFill/>
                    </a:ln>
                    <a:extLst>
                      <a:ext uri="{53640926-AAD7-44D8-BBD7-CCE9431645EC}">
                        <a14:shadowObscured xmlns:a14="http://schemas.microsoft.com/office/drawing/2010/main"/>
                      </a:ext>
                    </a:extLst>
                  </pic:spPr>
                </pic:pic>
              </a:graphicData>
            </a:graphic>
          </wp:inline>
        </w:drawing>
      </w:r>
    </w:p>
    <w:p w14:paraId="0E09A041" w14:textId="2DC72977" w:rsidR="00F97153" w:rsidRPr="00B21330" w:rsidRDefault="00123DCD" w:rsidP="00E14B07">
      <w:pPr>
        <w:spacing w:before="360" w:after="0"/>
        <w:jc w:val="center"/>
        <w:rPr>
          <w:b/>
          <w:bCs/>
          <w:noProof/>
          <w:color w:val="44546A" w:themeColor="text2"/>
          <w:sz w:val="28"/>
          <w:szCs w:val="28"/>
        </w:rPr>
      </w:pPr>
      <w:r>
        <w:rPr>
          <w:b/>
          <w:noProof/>
          <w:color w:val="44546A" w:themeColor="text2"/>
          <w:sz w:val="28"/>
        </w:rPr>
        <w:pict w14:anchorId="6E37AB4C">
          <v:rect id="_x0000_s2069" style="position:absolute;left:0;text-align:left;margin-left:-16.35pt;margin-top:37.9pt;width:451.3pt;height:210.9pt;z-index:-251658238" fillcolor="#f5f5f5" stroked="f"/>
        </w:pict>
      </w:r>
      <w:r w:rsidR="00AF3092" w:rsidRPr="00B21330">
        <w:rPr>
          <w:b/>
          <w:noProof/>
          <w:color w:val="44546A" w:themeColor="text2"/>
          <w:sz w:val="28"/>
        </w:rPr>
        <w:t>ANVENDELSE AF PROVENUET</w:t>
      </w:r>
    </w:p>
    <w:p w14:paraId="6EAAFF33" w14:textId="3AB0DAD0" w:rsidR="009E132D" w:rsidRPr="00B21330" w:rsidRDefault="00123DCD" w:rsidP="00E06416">
      <w:pPr>
        <w:rPr>
          <w:noProof/>
        </w:rPr>
      </w:pPr>
      <w:r>
        <w:rPr>
          <w:noProof/>
        </w:rPr>
        <w:pict w14:anchorId="45E2C28F">
          <v:shapetype id="_x0000_t202" coordsize="21600,21600" o:spt="202" path="m,l,21600r21600,l21600,xe">
            <v:stroke joinstyle="miter"/>
            <v:path gradientshapeok="t" o:connecttype="rect"/>
          </v:shapetype>
          <v:shape id="Text Box 29" o:spid="_x0000_s2073" type="#_x0000_t202" style="position:absolute;left:0;text-align:left;margin-left:315pt;margin-top:8.55pt;width:150pt;height:20.4pt;z-index:25165824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hoGw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" filled="f" stroked="f" strokeweight=".5pt">
            <v:textbox style="mso-next-textbox:#Text Box 29">
              <w:txbxContent>
                <w:p w14:paraId="4C6E9CB0" w14:textId="15CEC246" w:rsidR="0060139C" w:rsidRPr="00F169EB" w:rsidRDefault="0060139C" w:rsidP="00B21330">
                  <w:pPr>
                    <w:jc w:val="left"/>
                    <w:rPr>
                      <w:color w:val="034EA2" w:themeColor="accent1"/>
                      <w:sz w:val="24"/>
                    </w:rPr>
                  </w:pPr>
                  <w:r w:rsidRPr="00B21330">
                    <w:rPr>
                      <w:color w:val="034EA2" w:themeColor="accent1"/>
                      <w:szCs w:val="22"/>
                    </w:rPr>
                    <w:t>ANDET HALVÅR</w:t>
                  </w:r>
                  <w:r>
                    <w:rPr>
                      <w:color w:val="034EA2" w:themeColor="accent1"/>
                      <w:sz w:val="24"/>
                    </w:rPr>
                    <w:t xml:space="preserve"> 2024</w:t>
                  </w:r>
                </w:p>
              </w:txbxContent>
            </v:textbox>
          </v:shape>
        </w:pict>
      </w:r>
      <w:r>
        <w:rPr>
          <w:noProof/>
        </w:rPr>
        <w:pict w14:anchorId="3B1A3AE8">
          <v:group id="_x0000_s2087" style="position:absolute;left:0;text-align:left;margin-left:38.05pt;margin-top:8.55pt;width:180.6pt;height:32pt;z-index:251658243" coordorigin="2124,5264" coordsize="3612,6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71" type="#_x0000_t86" style="position:absolute;left:3824;top:3993;width:211;height:3612;rotation:-90" adj="1016" strokecolor="#44546a [3215]" strokeweight="1pt"/>
            <v:shape id="_x0000_s2064" type="#_x0000_t202" style="position:absolute;left:2628;top:5264;width:2551;height:640" fillcolor="#f5f5f5" stroked="f">
              <v:textbox style="mso-next-textbox:#_x0000_s2064" inset="0,,0">
                <w:txbxContent>
                  <w:p w14:paraId="454374DB" w14:textId="1348C10C" w:rsidR="00BD7489" w:rsidRPr="00544DEE" w:rsidRDefault="00BD7489" w:rsidP="00BD7489">
                    <w:pPr>
                      <w:jc w:val="center"/>
                      <w:rPr>
                        <w:b/>
                        <w:bCs/>
                        <w:color w:val="44546A" w:themeColor="text2"/>
                        <w:sz w:val="20"/>
                        <w:szCs w:val="20"/>
                      </w:rPr>
                    </w:pPr>
                    <w:r>
                      <w:rPr>
                        <w:b/>
                        <w:color w:val="44546A" w:themeColor="text2"/>
                        <w:sz w:val="20"/>
                      </w:rPr>
                      <w:t>NextGenerationEU i alt 72,2 mia. EUR</w:t>
                    </w:r>
                  </w:p>
                  <w:p w14:paraId="5F150A92" w14:textId="77777777" w:rsidR="00BD7489" w:rsidRDefault="00BD7489"/>
                </w:txbxContent>
              </v:textbox>
            </v:shape>
          </v:group>
        </w:pict>
      </w:r>
    </w:p>
    <w:p w14:paraId="02D365E7" w14:textId="3EF315EF" w:rsidR="00E06416" w:rsidRPr="00B21330" w:rsidRDefault="00E06416" w:rsidP="00E06416">
      <w:pPr>
        <w:rPr>
          <w:noProof/>
        </w:rPr>
      </w:pPr>
    </w:p>
    <w:p w14:paraId="0ACBC32F" w14:textId="66316088" w:rsidR="002B627C" w:rsidRPr="00B21330" w:rsidRDefault="00BC3CA9" w:rsidP="00E06416">
      <w:pPr>
        <w:rPr>
          <w:noProof/>
        </w:rPr>
      </w:pPr>
      <w:r w:rsidRPr="00B21330">
        <w:rPr>
          <w:noProof/>
          <w:lang w:val="en-GB" w:eastAsia="en-GB"/>
        </w:rPr>
        <w:drawing>
          <wp:inline distT="0" distB="0" distL="0" distR="0" wp14:anchorId="0F513938" wp14:editId="4BD3712D">
            <wp:extent cx="5686738" cy="2072809"/>
            <wp:effectExtent l="0" t="0" r="0" b="0"/>
            <wp:docPr id="1571714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14860" name="Picture 1"/>
                    <pic:cNvPicPr/>
                  </pic:nvPicPr>
                  <pic:blipFill>
                    <a:blip r:embed="rId25">
                      <a:extLst>
                        <a:ext uri="{28A0092B-C50C-407E-A947-70E740481C1C}">
                          <a14:useLocalDpi xmlns:a14="http://schemas.microsoft.com/office/drawing/2010/main" val="0"/>
                        </a:ext>
                      </a:extLst>
                    </a:blip>
                    <a:srcRect t="1427" b="1427"/>
                    <a:stretch>
                      <a:fillRect/>
                    </a:stretch>
                  </pic:blipFill>
                  <pic:spPr bwMode="auto">
                    <a:xfrm>
                      <a:off x="0" y="0"/>
                      <a:ext cx="5686738" cy="2072809"/>
                    </a:xfrm>
                    <a:prstGeom prst="rect">
                      <a:avLst/>
                    </a:prstGeom>
                    <a:ln>
                      <a:noFill/>
                    </a:ln>
                    <a:extLst>
                      <a:ext uri="{53640926-AAD7-44D8-BBD7-CCE9431645EC}">
                        <a14:shadowObscured xmlns:a14="http://schemas.microsoft.com/office/drawing/2010/main"/>
                      </a:ext>
                    </a:extLst>
                  </pic:spPr>
                </pic:pic>
              </a:graphicData>
            </a:graphic>
          </wp:inline>
        </w:drawing>
      </w:r>
    </w:p>
    <w:p w14:paraId="23FAC418" w14:textId="75882B19" w:rsidR="00E06416" w:rsidRPr="00B21330" w:rsidRDefault="00123DCD" w:rsidP="00E06416">
      <w:pPr>
        <w:rPr>
          <w:noProof/>
        </w:rPr>
      </w:pPr>
      <w:r>
        <w:rPr>
          <w:noProof/>
        </w:rPr>
        <w:pict w14:anchorId="60EE82D1">
          <v:shape id="Text Box 35" o:spid="_x0000_s2074" type="#_x0000_t202" style="position:absolute;left:0;text-align:left;margin-left:266pt;margin-top:19.05pt;width:163pt;height:20.4pt;z-index:25165824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NN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" filled="f" stroked="f" strokeweight=".5pt">
            <v:textbox style="mso-next-textbox:#Text Box 35">
              <w:txbxContent>
                <w:p w14:paraId="70C922DE" w14:textId="77777777" w:rsidR="00AB4083" w:rsidRPr="00F169EB" w:rsidRDefault="00AB4083" w:rsidP="00AB4083">
                  <w:pPr>
                    <w:jc w:val="right"/>
                    <w:rPr>
                      <w:color w:val="034EA2" w:themeColor="accent1"/>
                      <w:sz w:val="24"/>
                    </w:rPr>
                  </w:pPr>
                  <w:r>
                    <w:rPr>
                      <w:color w:val="034EA2" w:themeColor="accent1"/>
                      <w:sz w:val="24"/>
                    </w:rPr>
                    <w:t>Siden programmets start</w:t>
                  </w:r>
                </w:p>
              </w:txbxContent>
            </v:textbox>
            <w10:wrap anchorx="margin"/>
          </v:shape>
        </w:pict>
      </w:r>
      <w:r>
        <w:rPr>
          <w:b/>
          <w:noProof/>
          <w:color w:val="44546A" w:themeColor="text2"/>
          <w:sz w:val="28"/>
        </w:rPr>
        <w:pict w14:anchorId="6E37AB4C">
          <v:rect id="_x0000_s2070" style="position:absolute;left:0;text-align:left;margin-left:0;margin-top:15.85pt;width:451.3pt;height:248.3pt;z-index:-251658239" fillcolor="#f5f5f5" stroked="f"/>
        </w:pict>
      </w:r>
      <w:r>
        <w:rPr>
          <w:noProof/>
        </w:rPr>
        <w:pict w14:anchorId="09B90781">
          <v:group id="_x0000_s2088" style="position:absolute;left:0;text-align:left;margin-left:47.65pt;margin-top:15.85pt;width:180.6pt;height:31.2pt;z-index:251658244" coordorigin="2916,10815" coordsize="3612,624">
            <v:shape id="_x0000_s2072" type="#_x0000_t86" style="position:absolute;left:4616;top:9460;width:211;height:3612;rotation:-90" adj="1016" strokecolor="#44546a [3215]" strokeweight="1pt"/>
            <v:rect id="_x0000_s2067" style="position:absolute;left:3454;top:10815;width:2551;height:624" fillcolor="#f5f5f5" stroked="f">
              <v:textbox style="mso-next-textbox:#_x0000_s2067">
                <w:txbxContent>
                  <w:p w14:paraId="759D2301" w14:textId="5FED7DF4" w:rsidR="00A86EB0" w:rsidRPr="00A86EB0" w:rsidRDefault="00A86EB0" w:rsidP="00A86EB0">
                    <w:pPr>
                      <w:spacing w:after="0"/>
                      <w:jc w:val="center"/>
                      <w:rPr>
                        <w:b/>
                        <w:bCs/>
                        <w:color w:val="44546A" w:themeColor="text2"/>
                        <w:sz w:val="20"/>
                        <w:szCs w:val="20"/>
                      </w:rPr>
                    </w:pPr>
                    <w:r>
                      <w:rPr>
                        <w:b/>
                        <w:color w:val="44546A" w:themeColor="text2"/>
                        <w:sz w:val="20"/>
                      </w:rPr>
                      <w:t>NextGenerationEU i alt 365,8 mia. EUR</w:t>
                    </w:r>
                  </w:p>
                </w:txbxContent>
              </v:textbox>
            </v:rect>
          </v:group>
        </w:pict>
      </w:r>
    </w:p>
    <w:p w14:paraId="611BEB9A" w14:textId="4D0B39F8" w:rsidR="00E06416" w:rsidRPr="00B21330" w:rsidRDefault="00E06416" w:rsidP="0068501F">
      <w:pPr>
        <w:rPr>
          <w:noProof/>
        </w:rPr>
      </w:pPr>
    </w:p>
    <w:p w14:paraId="48B59401" w14:textId="36C64AB0" w:rsidR="00992168" w:rsidRPr="00B21330" w:rsidRDefault="00BE318B" w:rsidP="00992168">
      <w:pPr>
        <w:rPr>
          <w:noProof/>
        </w:rPr>
      </w:pPr>
      <w:r w:rsidRPr="00B21330">
        <w:rPr>
          <w:noProof/>
          <w:lang w:val="en-GB" w:eastAsia="en-GB"/>
        </w:rPr>
        <w:drawing>
          <wp:inline distT="0" distB="0" distL="0" distR="0" wp14:anchorId="4C2416CB" wp14:editId="5FB89C7B">
            <wp:extent cx="5687435" cy="2911619"/>
            <wp:effectExtent l="0" t="0" r="0" b="0"/>
            <wp:docPr id="22" name="Picture 21">
              <a:extLst xmlns:a="http://schemas.openxmlformats.org/drawingml/2006/main">
                <a:ext uri="{FF2B5EF4-FFF2-40B4-BE49-F238E27FC236}">
                  <a16:creationId xmlns:a16="http://schemas.microsoft.com/office/drawing/2014/main" id="{7AE6366C-A2F6-6696-9DFA-B0F2B7DA9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7AE6366C-A2F6-6696-9DFA-B0F2B7DA9EE5}"/>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687435" cy="2911619"/>
                    </a:xfrm>
                    <a:prstGeom prst="rect">
                      <a:avLst/>
                    </a:prstGeom>
                  </pic:spPr>
                </pic:pic>
              </a:graphicData>
            </a:graphic>
          </wp:inline>
        </w:drawing>
      </w:r>
      <w:r w:rsidR="00123DCD">
        <w:rPr>
          <w:noProof/>
        </w:rPr>
        <w:pict w14:anchorId="274F9848">
          <v:shape id="_x0000_s2089" type="#_x0000_t202" style="position:absolute;left:0;text-align:left;margin-left:338.8pt;margin-top:761.4pt;width:111.6pt;height:18pt;z-index:251658249;mso-position-horizontal-relative:text;mso-position-vertical-relative:page" filled="f" stroked="f">
            <v:textbox style="mso-next-textbox:#_x0000_s2089">
              <w:txbxContent>
                <w:p w14:paraId="2E386E6E" w14:textId="77777777" w:rsidR="00BB07E3" w:rsidRPr="00BB07E3" w:rsidRDefault="00BB07E3" w:rsidP="00BB07E3">
                  <w:pPr>
                    <w:rPr>
                      <w:color w:val="595959" w:themeColor="text1" w:themeTint="A6"/>
                    </w:rPr>
                  </w:pPr>
                  <w:r>
                    <w:rPr>
                      <w:i/>
                      <w:color w:val="595959" w:themeColor="text1" w:themeTint="A6"/>
                      <w:sz w:val="18"/>
                    </w:rPr>
                    <w:t>Alle beløb i mia. EUR</w:t>
                  </w:r>
                </w:p>
                <w:p w14:paraId="792E0B4B" w14:textId="77777777" w:rsidR="00BB07E3" w:rsidRPr="00BB07E3" w:rsidRDefault="00BB07E3">
                  <w:pPr>
                    <w:rPr>
                      <w:color w:val="595959" w:themeColor="text1" w:themeTint="A6"/>
                    </w:rPr>
                  </w:pPr>
                </w:p>
              </w:txbxContent>
            </v:textbox>
            <w10:wrap anchory="page"/>
          </v:shape>
        </w:pict>
      </w:r>
    </w:p>
    <w:p w14:paraId="429A8B76" w14:textId="2DD379D9" w:rsidR="00AA6602" w:rsidRPr="00B21330" w:rsidRDefault="00A11F51" w:rsidP="00A11F51">
      <w:pPr>
        <w:spacing w:line="259" w:lineRule="auto"/>
        <w:jc w:val="left"/>
        <w:rPr>
          <w:rFonts w:cstheme="minorBidi"/>
          <w:b/>
          <w:bCs/>
          <w:noProof/>
          <w:color w:val="44546A" w:themeColor="text2"/>
          <w:szCs w:val="22"/>
        </w:rPr>
      </w:pPr>
      <w:r w:rsidRPr="00B21330">
        <w:rPr>
          <w:b/>
          <w:noProof/>
          <w:color w:val="44546A" w:themeColor="text2"/>
          <w:sz w:val="28"/>
        </w:rPr>
        <w:t xml:space="preserve">UDESTÅENDE EU-OBLIGATIONER </w:t>
      </w:r>
      <w:r w:rsidRPr="00B21330">
        <w:rPr>
          <w:b/>
          <w:noProof/>
          <w:color w:val="44546A" w:themeColor="text2"/>
          <w:sz w:val="28"/>
        </w:rPr>
        <w:cr/>
      </w:r>
      <w:r w:rsidRPr="00B21330">
        <w:rPr>
          <w:noProof/>
          <w:color w:val="44546A" w:themeColor="text2"/>
        </w:rPr>
        <w:t>pr. 31. december 2024</w:t>
      </w:r>
      <w:r w:rsidRPr="00B21330">
        <w:rPr>
          <w:b/>
          <w:noProof/>
          <w:color w:val="44546A" w:themeColor="text2"/>
        </w:rPr>
        <w:t xml:space="preserve"> </w:t>
      </w:r>
    </w:p>
    <w:p w14:paraId="18FC3C27" w14:textId="14C61108" w:rsidR="00E01E9C" w:rsidRPr="00B21330" w:rsidRDefault="00E01E9C" w:rsidP="00A11F51">
      <w:pPr>
        <w:spacing w:line="259" w:lineRule="auto"/>
        <w:jc w:val="left"/>
        <w:rPr>
          <w:rFonts w:cstheme="minorBidi"/>
          <w:b/>
          <w:bCs/>
          <w:noProof/>
          <w:color w:val="44546A" w:themeColor="text2"/>
          <w:szCs w:val="22"/>
        </w:rPr>
      </w:pPr>
      <w:r w:rsidRPr="00B21330">
        <w:rPr>
          <w:noProof/>
          <w:lang w:val="en-GB" w:eastAsia="en-GB"/>
        </w:rPr>
        <w:drawing>
          <wp:inline distT="0" distB="0" distL="0" distR="0" wp14:anchorId="0D881BED" wp14:editId="2D22F16F">
            <wp:extent cx="5731510" cy="972151"/>
            <wp:effectExtent l="0" t="0" r="0" b="0"/>
            <wp:docPr id="20546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7959" name="Picture 1"/>
                    <pic:cNvPicPr/>
                  </pic:nvPicPr>
                  <pic:blipFill rotWithShape="1">
                    <a:blip r:embed="rId2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http://schemas.openxmlformats.org/drawingml/2006/chart" xmlns:a16="http://schemas.microsoft.com/office/drawing/2014/main" xmlns:a14="http://schemas.microsoft.com/office/drawing/2010/main" xmlns="" r:embed="rId28"/>
                        </a:ext>
                      </a:extLst>
                    </a:blip>
                    <a:srcRect t="7953" b="14950"/>
                    <a:stretch/>
                  </pic:blipFill>
                  <pic:spPr bwMode="auto">
                    <a:xfrm>
                      <a:off x="0" y="0"/>
                      <a:ext cx="5731510" cy="972151"/>
                    </a:xfrm>
                    <a:prstGeom prst="rect">
                      <a:avLst/>
                    </a:prstGeom>
                    <a:ln>
                      <a:noFill/>
                    </a:ln>
                    <a:extLst>
                      <a:ext uri="{53640926-AAD7-44D8-BBD7-CCE9431645EC}">
                        <a14:shadowObscured xmlns:a14="http://schemas.microsoft.com/office/drawing/2010/main"/>
                      </a:ext>
                    </a:extLst>
                  </pic:spPr>
                </pic:pic>
              </a:graphicData>
            </a:graphic>
          </wp:inline>
        </w:drawing>
      </w:r>
    </w:p>
    <w:p w14:paraId="1B97669D" w14:textId="018BCF73" w:rsidR="00C9543F" w:rsidRPr="00B21330" w:rsidRDefault="00123DCD" w:rsidP="00A11F51">
      <w:pPr>
        <w:spacing w:line="259" w:lineRule="auto"/>
        <w:jc w:val="left"/>
        <w:rPr>
          <w:rFonts w:asciiTheme="minorHAnsi" w:hAnsiTheme="minorHAnsi" w:cstheme="minorBidi"/>
          <w:noProof/>
          <w:szCs w:val="22"/>
        </w:rPr>
      </w:pPr>
      <w:r>
        <w:rPr>
          <w:rFonts w:asciiTheme="minorHAnsi" w:hAnsiTheme="minorHAnsi"/>
          <w:noProof/>
        </w:rPr>
      </w:r>
      <w:r>
        <w:rPr>
          <w:rFonts w:asciiTheme="minorHAnsi" w:hAnsiTheme="minorHAnsi"/>
          <w:noProof/>
        </w:rPr>
        <w:pict w14:anchorId="6C98F9D9">
          <v:group id="_x0000_s2117" style="width:437.4pt;height:70.6pt;mso-position-horizontal-relative:char;mso-position-vertical-relative:line" coordorigin="1440,4543" coordsize="8748,1011">
            <v:group id="Group 46" o:spid="_x0000_s2104" style="position:absolute;left:1440;top:4555;width:2734;height:316" coordorigin=",74" coordsize="14722,2009">
              <v:shape id="TextBox 25" o:spid="_x0000_s2105" type="#_x0000_t202" style="position:absolute;left:538;top:74;width:14184;height:2009;visibility:visible" filled="f" stroked="f">
                <v:textbox style="mso-fit-shape-to-text:t">
                  <w:txbxContent>
                    <w:p w14:paraId="5B1FFE4B" w14:textId="35B868C3" w:rsidR="00C25F02" w:rsidRPr="00C9543F" w:rsidRDefault="00C25F02" w:rsidP="00C25F02">
                      <w:pPr>
                        <w:spacing w:after="40"/>
                        <w:textAlignment w:val="baseline"/>
                        <w:rPr>
                          <w:rFonts w:eastAsia="Arial" w:cs="Arial"/>
                          <w:b/>
                          <w:bCs/>
                          <w:color w:val="034EA2"/>
                          <w:sz w:val="20"/>
                          <w:szCs w:val="20"/>
                        </w:rPr>
                      </w:pPr>
                      <w:r>
                        <w:rPr>
                          <w:b/>
                          <w:color w:val="034EA2"/>
                          <w:sz w:val="20"/>
                        </w:rPr>
                        <w:t>147,8 mia.</w:t>
                      </w:r>
                      <w:r w:rsidR="007D6D02">
                        <w:rPr>
                          <w:rFonts w:ascii="Calibri" w:hAnsi="Calibri" w:cs="Calibri"/>
                          <w:b/>
                          <w:color w:val="034EA2"/>
                          <w:sz w:val="20"/>
                        </w:rPr>
                        <w:t> </w:t>
                      </w:r>
                      <w:r>
                        <w:rPr>
                          <w:b/>
                          <w:color w:val="034EA2"/>
                          <w:sz w:val="20"/>
                        </w:rPr>
                        <w:t>EUR</w:t>
                      </w:r>
                      <w:r w:rsidR="007D6D02">
                        <w:rPr>
                          <w:rFonts w:ascii="Calibri" w:hAnsi="Calibri" w:cs="Calibri"/>
                          <w:b/>
                          <w:color w:val="034EA2"/>
                          <w:sz w:val="20"/>
                        </w:rPr>
                        <w:t> </w:t>
                      </w:r>
                      <w:r w:rsidRPr="007D6D02">
                        <w:rPr>
                          <w:color w:val="000000" w:themeColor="text1"/>
                          <w:sz w:val="16"/>
                          <w:szCs w:val="16"/>
                        </w:rPr>
                        <w:t>back-to-back</w:t>
                      </w:r>
                    </w:p>
                  </w:txbxContent>
                </v:textbox>
              </v:shape>
              <v:rect id="Rectangle 48" o:spid="_x0000_s2106" style="position:absolute;top:633;width:1080;height:1080;visibility:visible;v-text-anchor:middle" fillcolor="#034ea2" stroked="f" strokeweight="2pt">
                <o:lock v:ext="edit" aspectratio="t"/>
              </v:rect>
            </v:group>
            <v:group id="Group 49" o:spid="_x0000_s2107" style="position:absolute;left:4264;top:4543;width:5924;height:1011" coordorigin="15205" coordsize="31894,6423">
              <v:group id="Group 50" o:spid="_x0000_s2108" style="position:absolute;left:15205;top:2082;width:28506;height:2093" coordorigin="15205,2082" coordsize="28506,2093">
                <v:shape id="TextBox 23" o:spid="_x0000_s2109" type="#_x0000_t202" style="position:absolute;left:16287;top:2082;width:27424;height:2093;visibility:visible" filled="f" stroked="f">
                  <v:textbox style="mso-fit-shape-to-text:t">
                    <w:txbxContent>
                      <w:p w14:paraId="756B71C3" w14:textId="349A6A90" w:rsidR="00C25F02" w:rsidRPr="00C9543F" w:rsidRDefault="00C25F02" w:rsidP="00C25F02">
                        <w:pPr>
                          <w:spacing w:after="80"/>
                          <w:rPr>
                            <w:rFonts w:eastAsia="Arial" w:cs="Arial"/>
                            <w:color w:val="000000" w:themeColor="text1"/>
                            <w:sz w:val="20"/>
                            <w:szCs w:val="20"/>
                          </w:rPr>
                        </w:pPr>
                        <w:r>
                          <w:rPr>
                            <w:color w:val="000000" w:themeColor="text1"/>
                            <w:sz w:val="20"/>
                          </w:rPr>
                          <w:t>heraf 362,2 mia. EUR i konventionelle EU-obligationer</w:t>
                        </w:r>
                      </w:p>
                    </w:txbxContent>
                  </v:textbox>
                </v:shape>
                <v:rect id="Rectangle 52" o:spid="_x0000_s2110" style="position:absolute;left:15205;top:2739;width:1080;height:1080;visibility:visible;v-text-anchor:middle" fillcolor="#70ad47" stroked="f" strokeweight="2pt">
                  <o:lock v:ext="edit" aspectratio="t"/>
                </v:rect>
              </v:group>
              <v:group id="Group 53" o:spid="_x0000_s2111" style="position:absolute;left:15205;top:4330;width:31894;height:2093" coordorigin="15205,4330" coordsize="31894,2093">
                <v:rect id="Rectangle 54" o:spid="_x0000_s2112" style="position:absolute;left:15205;top:4846;width:1080;height:1080;visibility:visible;v-text-anchor:middle" fillcolor="#70ad47" stroked="f" strokeweight="2pt">
                  <v:fill r:id="rId29" o:title="" color2="window" type="pattern"/>
                  <o:lock v:ext="edit" aspectratio="t"/>
                </v:rect>
                <v:shape id="TextBox 22" o:spid="_x0000_s2113" type="#_x0000_t202" style="position:absolute;left:16287;top:4330;width:30812;height:2093;visibility:visible" filled="f" stroked="f">
                  <v:textbox style="mso-fit-shape-to-text:t">
                    <w:txbxContent>
                      <w:p w14:paraId="35F842F9" w14:textId="130937D7" w:rsidR="00C25F02" w:rsidRPr="00C9543F" w:rsidRDefault="00C25F02" w:rsidP="00C25F02">
                        <w:pPr>
                          <w:spacing w:after="80"/>
                          <w:textAlignment w:val="baseline"/>
                          <w:rPr>
                            <w:rFonts w:cs="Arial"/>
                            <w:color w:val="000000" w:themeColor="text1"/>
                            <w:sz w:val="20"/>
                            <w:szCs w:val="20"/>
                          </w:rPr>
                        </w:pPr>
                        <w:r>
                          <w:rPr>
                            <w:color w:val="000000" w:themeColor="text1"/>
                            <w:sz w:val="20"/>
                          </w:rPr>
                          <w:t>heraf 68,2 mia. EUR i grønne NextGenerationEU-obligationer</w:t>
                        </w:r>
                      </w:p>
                    </w:txbxContent>
                  </v:textbox>
                </v:shape>
              </v:group>
              <v:group id="Group 56" o:spid="_x0000_s2114" style="position:absolute;left:15205;width:31059;height:4520" coordorigin="15205" coordsize="31058,4520">
                <v:shape id="TextBox 19" o:spid="_x0000_s2115" type="#_x0000_t202" style="position:absolute;left:16287;width:29976;height:4520;visibility:visible" filled="f" stroked="f">
                  <v:textbox>
                    <w:txbxContent>
                      <w:p w14:paraId="4698C5BA" w14:textId="6DE6411E" w:rsidR="007D6D02" w:rsidRPr="00C25F02" w:rsidRDefault="00C25F02" w:rsidP="00C25F02">
                        <w:pPr>
                          <w:spacing w:after="80"/>
                          <w:textAlignment w:val="baseline"/>
                          <w:rPr>
                            <w:rFonts w:eastAsia="Arial" w:cs="Arial"/>
                            <w:b/>
                            <w:bCs/>
                            <w:color w:val="70AD47"/>
                            <w:sz w:val="18"/>
                            <w:szCs w:val="18"/>
                          </w:rPr>
                        </w:pPr>
                        <w:r>
                          <w:rPr>
                            <w:b/>
                            <w:color w:val="70AD47"/>
                            <w:sz w:val="20"/>
                          </w:rPr>
                          <w:t xml:space="preserve">430,4 mia. EUR </w:t>
                        </w:r>
                        <w:r>
                          <w:rPr>
                            <w:color w:val="000000" w:themeColor="text1"/>
                            <w:sz w:val="20"/>
                          </w:rPr>
                          <w:t>obligationer i alt i henhold til den fælles finansieringsmetode</w:t>
                        </w:r>
                      </w:p>
                    </w:txbxContent>
                  </v:textbox>
                </v:shape>
                <v:rect id="Rectangle 58" o:spid="_x0000_s2116" style="position:absolute;left:15205;top:635;width:915;height:914;visibility:visible;v-text-anchor:middle" filled="f" strokecolor="#70ad47" strokeweight="1.5pt">
                  <v:path arrowok="t"/>
                  <o:lock v:ext="edit" aspectratio="t"/>
                </v:rect>
              </v:group>
            </v:group>
            <w10:anchorlock/>
          </v:group>
        </w:pict>
      </w:r>
    </w:p>
    <w:p w14:paraId="66038DDE" w14:textId="77777777" w:rsidR="00C9543F" w:rsidRPr="00B21330" w:rsidRDefault="00C9543F" w:rsidP="00A11F51">
      <w:pPr>
        <w:spacing w:line="259" w:lineRule="auto"/>
        <w:jc w:val="left"/>
        <w:rPr>
          <w:rFonts w:asciiTheme="minorHAnsi" w:hAnsiTheme="minorHAnsi" w:cstheme="minorBidi"/>
          <w:noProof/>
          <w:sz w:val="6"/>
          <w:szCs w:val="6"/>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CellMar>
          <w:top w:w="113" w:type="dxa"/>
          <w:bottom w:w="113" w:type="dxa"/>
        </w:tblCellMar>
        <w:tblLook w:val="04A0" w:firstRow="1" w:lastRow="0" w:firstColumn="1" w:lastColumn="0" w:noHBand="0" w:noVBand="1"/>
      </w:tblPr>
      <w:tblGrid>
        <w:gridCol w:w="9076"/>
      </w:tblGrid>
      <w:tr w:rsidR="00A11F51" w:rsidRPr="00B21330" w14:paraId="0FE367EE" w14:textId="77777777" w:rsidTr="0E388B1A">
        <w:trPr>
          <w:trHeight w:val="1943"/>
        </w:trPr>
        <w:tc>
          <w:tcPr>
            <w:tcW w:w="9076" w:type="dxa"/>
            <w:shd w:val="clear" w:color="auto" w:fill="F5F5F5"/>
          </w:tcPr>
          <w:p w14:paraId="31D6E2E9" w14:textId="4A796A5B" w:rsidR="00A11F51" w:rsidRPr="00B21330" w:rsidRDefault="00A11F51" w:rsidP="00A11F51">
            <w:pPr>
              <w:spacing w:after="120"/>
              <w:jc w:val="left"/>
              <w:rPr>
                <w:rFonts w:cstheme="minorBidi"/>
                <w:b/>
                <w:bCs/>
                <w:noProof/>
                <w:color w:val="034EA2"/>
              </w:rPr>
            </w:pPr>
            <w:r w:rsidRPr="00B21330">
              <w:rPr>
                <w:b/>
                <w:noProof/>
                <w:color w:val="034EA2"/>
              </w:rPr>
              <w:t>VIGTIGE FAKTA om andet halvår 2024</w:t>
            </w:r>
          </w:p>
          <w:p w14:paraId="0A12EF6E" w14:textId="04913DF1" w:rsidR="00A961B6" w:rsidRPr="00B21330" w:rsidRDefault="002F4F1A" w:rsidP="00A11F51">
            <w:pPr>
              <w:numPr>
                <w:ilvl w:val="0"/>
                <w:numId w:val="29"/>
              </w:numPr>
              <w:spacing w:after="60"/>
              <w:ind w:left="340" w:hanging="170"/>
              <w:contextualSpacing/>
              <w:jc w:val="left"/>
              <w:rPr>
                <w:rFonts w:cstheme="minorBidi"/>
                <w:noProof/>
                <w:color w:val="034EA2"/>
              </w:rPr>
            </w:pPr>
            <w:r w:rsidRPr="00B21330">
              <w:rPr>
                <w:noProof/>
                <w:color w:val="034EA2"/>
              </w:rPr>
              <w:t>Fire syndikeringer og seks auktioner rejste 64,3 mia. EUR med en gennemsnitlig løbetid på ca. 12 år, hvilket bringer den samlede langsigtede finansiering, der blev rejst i 2024, op på 138,1 mia. EUR.</w:t>
            </w:r>
          </w:p>
          <w:p w14:paraId="16496AE5" w14:textId="16DF6B83" w:rsidR="001B75AB" w:rsidRPr="00B21330" w:rsidRDefault="00C261E0" w:rsidP="006710FA">
            <w:pPr>
              <w:numPr>
                <w:ilvl w:val="0"/>
                <w:numId w:val="29"/>
              </w:numPr>
              <w:spacing w:after="60"/>
              <w:ind w:left="340" w:hanging="170"/>
              <w:contextualSpacing/>
              <w:jc w:val="left"/>
              <w:rPr>
                <w:rFonts w:cstheme="minorBidi"/>
                <w:noProof/>
              </w:rPr>
            </w:pPr>
            <w:r w:rsidRPr="00B21330">
              <w:rPr>
                <w:noProof/>
                <w:color w:val="034EA2"/>
              </w:rPr>
              <w:t xml:space="preserve">De fleste af midlerne blev anvendt til NextGenerationEU (72,2 mia. EUR) med yderligere udbetalinger under Ukrainefaciliteten (5,2 mia. EUR) og under </w:t>
            </w:r>
            <w:r w:rsidRPr="00B21330">
              <w:rPr>
                <w:noProof/>
                <w:color w:val="034EA2" w:themeColor="accent1"/>
              </w:rPr>
              <w:t xml:space="preserve">makrofinansiel bistand (MFA) i form af </w:t>
            </w:r>
            <w:r w:rsidRPr="00B21330">
              <w:rPr>
                <w:noProof/>
                <w:color w:val="034EA2"/>
              </w:rPr>
              <w:t>låneprogrammer</w:t>
            </w:r>
            <w:r w:rsidRPr="00B21330">
              <w:rPr>
                <w:noProof/>
                <w:color w:val="034EA2" w:themeColor="accent1"/>
              </w:rPr>
              <w:t xml:space="preserve"> til Egypten (1 mia. EUR) og Moldova (95 mio. EUR).</w:t>
            </w:r>
          </w:p>
          <w:p w14:paraId="3E81AD55" w14:textId="59CFB663" w:rsidR="004908A7" w:rsidRPr="00B21330" w:rsidRDefault="006F7AAA" w:rsidP="004908A7">
            <w:pPr>
              <w:numPr>
                <w:ilvl w:val="0"/>
                <w:numId w:val="29"/>
              </w:numPr>
              <w:spacing w:after="60"/>
              <w:ind w:left="340" w:hanging="170"/>
              <w:contextualSpacing/>
              <w:jc w:val="left"/>
              <w:rPr>
                <w:rFonts w:cstheme="minorBidi"/>
                <w:noProof/>
                <w:color w:val="034EA2"/>
              </w:rPr>
            </w:pPr>
            <w:r w:rsidRPr="00B21330">
              <w:rPr>
                <w:noProof/>
                <w:color w:val="034EA2"/>
              </w:rPr>
              <w:t>Finansieringsomkostningerne var på 2,97 % for NextGenerationEU (sammenlignet med 3,19 % i første halvår af 2024) og 2,68 % for Ukrainefaciliteten og den makrofinansielle bistand til Egypten.</w:t>
            </w:r>
          </w:p>
        </w:tc>
      </w:tr>
    </w:tbl>
    <w:p w14:paraId="155CDCD6" w14:textId="77777777" w:rsidR="00252C49" w:rsidRPr="00B21330" w:rsidRDefault="00252C49">
      <w:pPr>
        <w:spacing w:line="259" w:lineRule="auto"/>
        <w:rPr>
          <w:noProof/>
        </w:rPr>
      </w:pPr>
    </w:p>
    <w:p w14:paraId="34E6C602" w14:textId="10BBF2C3" w:rsidR="00BA3133" w:rsidRPr="00B21330" w:rsidRDefault="00BA3133">
      <w:pPr>
        <w:spacing w:line="259" w:lineRule="auto"/>
        <w:rPr>
          <w:rFonts w:eastAsiaTheme="majorEastAsia"/>
          <w:b/>
          <w:noProof/>
        </w:rPr>
      </w:pPr>
      <w:r w:rsidRPr="00B21330">
        <w:rPr>
          <w:noProof/>
        </w:rPr>
        <w:br w:type="page"/>
      </w:r>
    </w:p>
    <w:p w14:paraId="263DA02E" w14:textId="03E4299B" w:rsidR="00F13D4C" w:rsidRPr="00B21330" w:rsidRDefault="00F13D4C" w:rsidP="00BE145B">
      <w:pPr>
        <w:pStyle w:val="Heading1"/>
        <w:rPr>
          <w:noProof/>
        </w:rPr>
      </w:pPr>
      <w:bookmarkStart w:id="2" w:name="_Toc192765636"/>
      <w:r w:rsidRPr="00B21330">
        <w:rPr>
          <w:noProof/>
        </w:rPr>
        <w:t>Resumé</w:t>
      </w:r>
      <w:bookmarkEnd w:id="2"/>
    </w:p>
    <w:p w14:paraId="7B2B037A" w14:textId="6A7AED55" w:rsidR="009D32AB" w:rsidRPr="00B21330" w:rsidRDefault="00ED7D0E" w:rsidP="00ED7D0E">
      <w:pPr>
        <w:rPr>
          <w:iCs/>
          <w:noProof/>
        </w:rPr>
      </w:pPr>
      <w:bookmarkStart w:id="3" w:name="_Hlk187319594"/>
      <w:bookmarkStart w:id="4" w:name="_Hlk156385433"/>
      <w:r w:rsidRPr="00B21330">
        <w:rPr>
          <w:noProof/>
        </w:rPr>
        <w:t xml:space="preserve">I andet halvår af 2024 rejste EU 64,3 mia. EUR i langsigtet finansiering gennem gennemførelse af fire syndikeringer og seks auktioner i overensstemmelse med målet i den finansieringsplan, der blev offentliggjort i juni 2024. 8 mia. EUR af disse 64,3 mia. EUR i langsigtet finansiering blev rejst gennem grønne obligationer under NextGenerationEU (NGEU). Sammen med de 73,8 mia. EUR, der blev rejst i første halvår af 2024, bragte disse udstedelser den samlede langsigtede finansiering, der blev rejst i 2024, op på 138,1 mia. EUR – det højeste beløb i obligationer udstedt af EU i et enkelt år. </w:t>
      </w:r>
      <w:r w:rsidRPr="00B21330">
        <w:rPr>
          <w:noProof/>
          <w:color w:val="000000" w:themeColor="text1"/>
        </w:rPr>
        <w:t xml:space="preserve">Ved udgangen af 2024 havde EU 578,2 mia. EUR i udestående EU-obligationer (med en gennemsnitlig restløbetid på ca. 12 år), hvoraf 68,2 mia. EUR var i form af grønne NGEU-obligationer. </w:t>
      </w:r>
    </w:p>
    <w:p w14:paraId="1C0F023F" w14:textId="755B8D35" w:rsidR="00ED7D0E" w:rsidRPr="00B21330" w:rsidRDefault="00527BF7" w:rsidP="00ED7D0E">
      <w:pPr>
        <w:rPr>
          <w:rFonts w:ascii="Arial" w:eastAsia="Times New Roman" w:hAnsi="Arial" w:cs="Arial"/>
          <w:noProof/>
          <w:sz w:val="27"/>
          <w:szCs w:val="27"/>
        </w:rPr>
      </w:pPr>
      <w:r w:rsidRPr="00B21330">
        <w:rPr>
          <w:noProof/>
          <w:color w:val="000000" w:themeColor="text1"/>
        </w:rPr>
        <w:t xml:space="preserve">Provenuet fra udstedelser af EU-obligationer gjorde det muligt for Kommissionen fortsat at reagere på politiske prioriteter i EU og dets nabolande. Specifikt i andet halvår af 2024 blev </w:t>
      </w:r>
      <w:r w:rsidRPr="00B21330">
        <w:rPr>
          <w:noProof/>
        </w:rPr>
        <w:t>72,2 mia. EUR af dette provenu udbetalt til gennemførelse af NGEU-investeringer og -reformer. Ukraine modtog 5,2 mia. EUR under Ukrainefaciliteten</w:t>
      </w:r>
      <w:bookmarkStart w:id="5" w:name="_Hlk156380977"/>
      <w:r w:rsidRPr="00B21330">
        <w:rPr>
          <w:noProof/>
        </w:rPr>
        <w:t xml:space="preserve">, og yderligere 1,1 mia. EUR i provenu blev anvendt til at finansiere 1 mia. EUR og 95 mio. EUR i makrofinansiel bistand (MFA) </w:t>
      </w:r>
      <w:bookmarkEnd w:id="3"/>
      <w:r w:rsidRPr="00B21330">
        <w:rPr>
          <w:noProof/>
        </w:rPr>
        <w:t>til henholdsvis Egypten og Moldova.</w:t>
      </w:r>
    </w:p>
    <w:bookmarkEnd w:id="5"/>
    <w:p w14:paraId="06D5DF1E" w14:textId="5E7AD5DA" w:rsidR="00ED7D0E" w:rsidRPr="00B21330" w:rsidRDefault="00585EB8" w:rsidP="00ED7D0E">
      <w:pPr>
        <w:rPr>
          <w:noProof/>
        </w:rPr>
      </w:pPr>
      <w:r w:rsidRPr="00B21330">
        <w:rPr>
          <w:noProof/>
        </w:rPr>
        <w:t>EU's finansieringsomkostninger</w:t>
      </w:r>
      <w:r w:rsidR="00072047" w:rsidRPr="00B21330">
        <w:rPr>
          <w:rStyle w:val="FootnoteReference"/>
          <w:noProof/>
        </w:rPr>
        <w:footnoteReference w:id="2"/>
      </w:r>
      <w:r w:rsidRPr="00B21330">
        <w:rPr>
          <w:noProof/>
        </w:rPr>
        <w:t xml:space="preserve"> fortsatte med at falde til 2,97 % sammenlignet med 3,19 % i den foregående finansieringsperiode. Faldet i EU's samlede finansieringsomkostninger skyldtes gunstigere markedsvilkår og en stramning af EU-renterne i forhold til de europæiske statsobligationer (EGB) i løbet af semestret. Det 10-årige rentespænd mellem EU-obligationer og en 50/50-kurv af tyske/franske statsobligationer faldt fra 25 basispoint i begyndelsen af andet halvår af 2024 til 12 basispoint i december 2024. </w:t>
      </w:r>
    </w:p>
    <w:p w14:paraId="5A78647B" w14:textId="59BDEFFD" w:rsidR="0081666A" w:rsidRPr="00B21330" w:rsidRDefault="00ED7D0E" w:rsidP="00260CFD">
      <w:pPr>
        <w:rPr>
          <w:noProof/>
        </w:rPr>
      </w:pPr>
      <w:r w:rsidRPr="00B21330">
        <w:rPr>
          <w:noProof/>
        </w:rPr>
        <w:t>Kommissionen tog også yderligere skridt til at støtte funktionen og likviditeten af markedet for EU-obligationer</w:t>
      </w:r>
      <w:r w:rsidRPr="00B21330">
        <w:rPr>
          <w:noProof/>
          <w:color w:val="000000" w:themeColor="text1"/>
        </w:rPr>
        <w:t>.</w:t>
      </w:r>
      <w:r w:rsidRPr="00B21330">
        <w:rPr>
          <w:noProof/>
        </w:rPr>
        <w:t xml:space="preserve"> I oktober 2024 lancerede den en tilbagekøbsfacilitet for EU-obligationer med det formål at støtte EU's primary dealere, når de offentliggør kursnoteringer på EU-obligationer på elektroniske handelsplatforme.</w:t>
      </w:r>
    </w:p>
    <w:p w14:paraId="7430E6D6" w14:textId="519AD4EC" w:rsidR="00113B9E" w:rsidRPr="00B21330" w:rsidRDefault="00526244" w:rsidP="00526244">
      <w:pPr>
        <w:rPr>
          <w:noProof/>
        </w:rPr>
      </w:pPr>
      <w:r w:rsidRPr="00B21330">
        <w:rPr>
          <w:noProof/>
        </w:rPr>
        <w:t>Denne store udvikling fra EU's side, kombineret med konsolideringen af EU-udstedelser under den fælles finansieringsmetode, har gjort det muligt for markedsdeltagerne at tage uafhængige initiativer, der kan støtte EU-obligationsmarkedets funktion yderligere. I andet halvår af 2024 omfattede dette lanceringen af en indeksbaseret futureskontrakt på EU-obligationer i december samt meddelelsen om fornyet interesse for lanceringen af en traditionel (fysisk afviklet) futureskontrakt i 2025 fra en førende europæisk børs.</w:t>
      </w:r>
    </w:p>
    <w:p w14:paraId="15FC060E" w14:textId="6D2F1EA6" w:rsidR="00CC0D21" w:rsidRPr="00B21330" w:rsidRDefault="002D5366" w:rsidP="007930D6">
      <w:pPr>
        <w:rPr>
          <w:noProof/>
        </w:rPr>
      </w:pPr>
      <w:r w:rsidRPr="00B21330">
        <w:rPr>
          <w:noProof/>
          <w:color w:val="000000" w:themeColor="text1"/>
        </w:rPr>
        <w:t xml:space="preserve">Offentliggørelsen af </w:t>
      </w:r>
      <w:r w:rsidRPr="00B21330">
        <w:rPr>
          <w:noProof/>
        </w:rPr>
        <w:t xml:space="preserve">2024-udgaven af den årlige </w:t>
      </w:r>
      <w:hyperlink r:id="rId30">
        <w:r w:rsidRPr="00B21330">
          <w:rPr>
            <w:rStyle w:val="Hyperlink"/>
            <w:noProof/>
          </w:rPr>
          <w:t>rapport om fordeling af grønne NGEU-obligationer og konsekvensanalyse</w:t>
        </w:r>
      </w:hyperlink>
      <w:r w:rsidRPr="00B21330">
        <w:rPr>
          <w:noProof/>
        </w:rPr>
        <w:t xml:space="preserve"> </w:t>
      </w:r>
      <w:r w:rsidRPr="00B21330">
        <w:rPr>
          <w:noProof/>
          <w:color w:val="000000" w:themeColor="text1"/>
        </w:rPr>
        <w:t>var endnu et højdepunkt i andet halvår af 2024. Den</w:t>
      </w:r>
      <w:r w:rsidRPr="00B21330">
        <w:rPr>
          <w:noProof/>
        </w:rPr>
        <w:t xml:space="preserve"> indeholder ajourførte oplysninger om tildelingen af provenuet fra udstedelsen af grønne NGEU-obligationer og om deres anslåede realiserede og forventede klimavirkninger. I rapporten dokumenteres i) den øgede udstedelse af grønne NGEU-obligationer (hvilket bringer den udestående gæld i grønne NGEU-obligationer op på 68,2 mia. EUR), ii) fremskridtene med gennemførelsen af klimarelevante udgifter finansieret af grønne NGEU-obligationer og iii) en stigning i puljen af støtteberettigede udgifter til grønne NGEU-obligationer efter integrationen af REPowerEU-programmet (REPowerEU-programmet beløber sig nu til 264 mia. EUR).</w:t>
      </w:r>
    </w:p>
    <w:p w14:paraId="6458497B" w14:textId="35AD3CC2" w:rsidR="001B6374" w:rsidRPr="00B21330" w:rsidRDefault="005C0779" w:rsidP="001B6374">
      <w:pPr>
        <w:rPr>
          <w:noProof/>
        </w:rPr>
      </w:pPr>
      <w:r w:rsidRPr="00B21330">
        <w:rPr>
          <w:noProof/>
        </w:rPr>
        <w:t>Endelig bebudede Kommissionen den 10. december 2024 sin finansieringsplanlægning for første halvår af 2025 med et mål om at udstede obligationer for op til 90 mia. EUR mellem januar og udgangen af juni. Der forventes et vejledende finansieringsniveau på 160 mia. EUR i EU-obligationer i 2025. Auktioner over obligationer i tre dele vil blive indført allerede i første halvår af 2025 for at lette den øgede udstedelse af langfristede obligationer. For at supplere EU's finansieringsbehov vil den langsigtede finansiering også blive suppleret med udstedelse af kortfristet gæld, også ved at indføre et nyt EU-gældsbevis på 12 måneder i januar 2025.</w:t>
      </w:r>
    </w:p>
    <w:p w14:paraId="6054F437" w14:textId="13C27636" w:rsidR="001401DA" w:rsidRPr="00B21330" w:rsidRDefault="008B6253" w:rsidP="00BE145B">
      <w:pPr>
        <w:pStyle w:val="Heading1"/>
        <w:rPr>
          <w:noProof/>
        </w:rPr>
      </w:pPr>
      <w:bookmarkStart w:id="6" w:name="_Toc192765637"/>
      <w:bookmarkEnd w:id="4"/>
      <w:r w:rsidRPr="00B21330">
        <w:rPr>
          <w:noProof/>
        </w:rPr>
        <w:t>Indledning</w:t>
      </w:r>
      <w:bookmarkEnd w:id="6"/>
    </w:p>
    <w:p w14:paraId="1AD97532" w14:textId="2DDBDF68" w:rsidR="00F333BA" w:rsidRPr="00B21330" w:rsidRDefault="00F333BA" w:rsidP="00F333BA">
      <w:pPr>
        <w:rPr>
          <w:noProof/>
        </w:rPr>
      </w:pPr>
      <w:r w:rsidRPr="00B21330">
        <w:rPr>
          <w:noProof/>
        </w:rPr>
        <w:t>Kommissionen har optaget lån på vegne af Den Europæiske Union i mere end 40 år. I de seneste fem år er der sket en markant stigning i EU's obligationsudstedelse, da den er afhængig af kapitalmarkederne til finansiering af store programmer såsom SURE</w:t>
      </w:r>
      <w:r w:rsidRPr="00B21330">
        <w:rPr>
          <w:rStyle w:val="FootnoteReference"/>
          <w:noProof/>
        </w:rPr>
        <w:footnoteReference w:id="3"/>
      </w:r>
      <w:r w:rsidRPr="00B21330">
        <w:rPr>
          <w:noProof/>
        </w:rPr>
        <w:t>, NextGenerationEU (NGEU) og støtten til Ukraine (MFA+ i 2023, Ukrainefaciliteten i 2024 og MFA-lånet under samarbejdsmekanismen vedrørende lån til Ukraine, der starter i 2025). Den 31. december 2024 var EU's samlede udestående gæld på over 600 mia. EUR, heraf 23,1 mia. EUR i form af EU-gældsbeviser.</w:t>
      </w:r>
    </w:p>
    <w:p w14:paraId="2371BB69" w14:textId="7DFAEB3A" w:rsidR="00F333BA" w:rsidRPr="00B21330" w:rsidRDefault="00F333BA" w:rsidP="00F333BA">
      <w:pPr>
        <w:rPr>
          <w:noProof/>
        </w:rPr>
      </w:pPr>
      <w:r w:rsidRPr="00B21330">
        <w:rPr>
          <w:noProof/>
        </w:rPr>
        <w:t>I denne halvårlige rapport</w:t>
      </w:r>
      <w:r w:rsidRPr="00B21330">
        <w:rPr>
          <w:rStyle w:val="FootnoteReference"/>
          <w:noProof/>
        </w:rPr>
        <w:footnoteReference w:id="4"/>
      </w:r>
      <w:r w:rsidRPr="00B21330">
        <w:rPr>
          <w:noProof/>
        </w:rPr>
        <w:t xml:space="preserve"> gennemgås gennemførelsen af låntagningstransaktioner mellem den 1. juli 2024 og den 31. december 2024. Der ses også nærmere på udstedelse af EU-obligationer i første halvår af 2025. I denne rapport vurderes det ikke, hvordan provenuet fra udstedelser af EU-obligationer bliver anvendt, herunder til grønne udgifter, da dette er omfattet af særskilte rapporter i overensstemmelse med forordningerne for hvert enkelt instrument</w:t>
      </w:r>
      <w:r w:rsidRPr="00B21330">
        <w:rPr>
          <w:rStyle w:val="FootnoteReference"/>
          <w:noProof/>
        </w:rPr>
        <w:footnoteReference w:id="5"/>
      </w:r>
      <w:r w:rsidRPr="00B21330">
        <w:rPr>
          <w:noProof/>
        </w:rPr>
        <w:t>.</w:t>
      </w:r>
    </w:p>
    <w:p w14:paraId="5D2F601E" w14:textId="7F249F7C" w:rsidR="00F333BA" w:rsidRPr="00B21330" w:rsidRDefault="00F333BA" w:rsidP="00F333BA">
      <w:pPr>
        <w:rPr>
          <w:noProof/>
        </w:rPr>
      </w:pPr>
      <w:r w:rsidRPr="00B21330">
        <w:rPr>
          <w:noProof/>
        </w:rPr>
        <w:t>I forlængelse af anbefalingen fra Den Europæiske Revisionsret i juni 2023</w:t>
      </w:r>
      <w:r w:rsidRPr="00B21330">
        <w:rPr>
          <w:rStyle w:val="FootnoteReference"/>
          <w:noProof/>
        </w:rPr>
        <w:footnoteReference w:id="6"/>
      </w:r>
      <w:r w:rsidRPr="00B21330">
        <w:rPr>
          <w:noProof/>
        </w:rPr>
        <w:t xml:space="preserve"> indeholder bilaget til denne rapport indikatorer, som kan anvendes til at overvåge gennemførelsen af den overordnede gældsforvaltningsstrategi, der ligger til grund for Kommissionens fælles finansieringsmetode</w:t>
      </w:r>
      <w:r w:rsidRPr="00B21330">
        <w:rPr>
          <w:rStyle w:val="FootnoteReference"/>
          <w:noProof/>
          <w:spacing w:val="-6"/>
        </w:rPr>
        <w:footnoteReference w:id="7"/>
      </w:r>
      <w:r w:rsidRPr="00B21330">
        <w:rPr>
          <w:noProof/>
        </w:rPr>
        <w:t xml:space="preserve">.  </w:t>
      </w:r>
    </w:p>
    <w:p w14:paraId="4FD8F240" w14:textId="643AFC9B" w:rsidR="008B6253" w:rsidRPr="00B21330" w:rsidRDefault="00BD5F9F" w:rsidP="00BE145B">
      <w:pPr>
        <w:pStyle w:val="Heading1"/>
        <w:rPr>
          <w:noProof/>
        </w:rPr>
      </w:pPr>
      <w:bookmarkStart w:id="7" w:name="_Ref155883558"/>
      <w:bookmarkStart w:id="8" w:name="_Ref169097162"/>
      <w:bookmarkStart w:id="9" w:name="_Toc192765638"/>
      <w:r w:rsidRPr="00B21330">
        <w:rPr>
          <w:noProof/>
        </w:rPr>
        <w:t xml:space="preserve">Gennemførelse af lånoptagelse i andet halvår af </w:t>
      </w:r>
      <w:bookmarkEnd w:id="7"/>
      <w:r w:rsidRPr="00B21330">
        <w:rPr>
          <w:noProof/>
        </w:rPr>
        <w:t>202</w:t>
      </w:r>
      <w:bookmarkEnd w:id="8"/>
      <w:r w:rsidRPr="00B21330">
        <w:rPr>
          <w:noProof/>
        </w:rPr>
        <w:t>4</w:t>
      </w:r>
      <w:bookmarkEnd w:id="9"/>
    </w:p>
    <w:p w14:paraId="15368E26" w14:textId="655EA9E9" w:rsidR="00A02D98" w:rsidRPr="00B21330" w:rsidRDefault="00A02D98" w:rsidP="00A02D98">
      <w:pPr>
        <w:rPr>
          <w:noProof/>
        </w:rPr>
      </w:pPr>
      <w:bookmarkStart w:id="10" w:name="_Toc169303166"/>
      <w:r w:rsidRPr="00B21330">
        <w:rPr>
          <w:noProof/>
        </w:rPr>
        <w:t>I andet halvår af 2024 fortsatte Kommissionen med at tilvejebringe midler på markederne gennem sin fælles finansieringsmetode. Ud over at opfylde alle udbetalingsforpligtelserne til tiden forblev beløbene og løbetiderne for de udstedte obligationer inden for de forud fastsatte parametre, og finansieringsvilkårene var på linje med dem, der gælder for en udsteder med en størrelse og rating som EU. I afsnittene nedenfor beskrives nogle af de vigtigste elementer i Kommissionens lånoptagelses- og långivningstransaktioner i andet halvår af 2024. Yderligere indikatorer, der anvendes til at overvåge gennemførelsen af Kommissionens finansieringsstrategi, drøftes i bilaget til denne rapport.</w:t>
      </w:r>
    </w:p>
    <w:p w14:paraId="0C7AA257" w14:textId="105F20BE" w:rsidR="005D6F11" w:rsidRPr="00B21330" w:rsidRDefault="003926DF" w:rsidP="002703F1">
      <w:pPr>
        <w:pStyle w:val="Heading2"/>
        <w:rPr>
          <w:noProof/>
        </w:rPr>
      </w:pPr>
      <w:bookmarkStart w:id="11" w:name="_Toc170294782"/>
      <w:bookmarkStart w:id="12" w:name="_Toc187347924"/>
      <w:bookmarkStart w:id="13" w:name="_Toc187701953"/>
      <w:bookmarkStart w:id="14" w:name="_Toc187702008"/>
      <w:bookmarkStart w:id="15" w:name="_Toc190904644"/>
      <w:bookmarkStart w:id="16" w:name="_Toc192765639"/>
      <w:r w:rsidRPr="00B21330">
        <w:rPr>
          <w:noProof/>
        </w:rPr>
        <w:t>Gennemførelse af finansieringstransaktioner i andet halvår af 2024</w:t>
      </w:r>
      <w:bookmarkEnd w:id="10"/>
      <w:bookmarkEnd w:id="11"/>
      <w:bookmarkEnd w:id="12"/>
      <w:bookmarkEnd w:id="13"/>
      <w:bookmarkEnd w:id="14"/>
      <w:bookmarkEnd w:id="15"/>
      <w:bookmarkEnd w:id="16"/>
    </w:p>
    <w:p w14:paraId="671F7083" w14:textId="1C54BB1A" w:rsidR="0049203F" w:rsidRPr="00B21330" w:rsidRDefault="00C95DD4" w:rsidP="0049203F">
      <w:pPr>
        <w:rPr>
          <w:noProof/>
        </w:rPr>
      </w:pPr>
      <w:bookmarkStart w:id="17" w:name="_Hlk138161421"/>
      <w:r w:rsidRPr="00B21330">
        <w:rPr>
          <w:noProof/>
        </w:rPr>
        <w:t xml:space="preserve">I overensstemmelse med finansieringsplanen for 1. juli til 31. december 2024 rejste Kommissionen i alt 64,3 mia. EUR i EU-obligationer med en gennemsnitlig løbetid på ca. 12 år (sammenlignet med 14 år for den finansiering, der blev rejst i første halvår af 2024). </w:t>
      </w:r>
      <w:r w:rsidRPr="00B21330">
        <w:rPr>
          <w:noProof/>
          <w:color w:val="000000" w:themeColor="text1"/>
        </w:rPr>
        <w:t>I andet halvår af 2024 var udstedelsen af grønne obligationer under NextGenerationEU på 8 mia. EUR, hvilket bragte den samlede værdi af udestående grønne obligationer op på 68,2 mia. EUR og dermed gjorde EU til den femtestørste udsteder af grønne obligationer på verdensplan.</w:t>
      </w:r>
    </w:p>
    <w:p w14:paraId="5C7794E5" w14:textId="6547EDD9" w:rsidR="00EB47DD" w:rsidRPr="00B21330" w:rsidRDefault="0049203F" w:rsidP="0049203F">
      <w:pPr>
        <w:rPr>
          <w:noProof/>
        </w:rPr>
      </w:pPr>
      <w:r w:rsidRPr="00B21330">
        <w:rPr>
          <w:noProof/>
        </w:rPr>
        <w:t xml:space="preserve">Kommissionen anvendte en blanding af fire syndikeringer (58 % af det rejste beløb) og otte auktioner (42 % af det rejste beløb) i overensstemmelse med det bebudede mål. EU-obligationer blev udstedt med regelmæssige mellemrum i løbet af 6-månedersperioden, idet der blev taget hensyn til markedslikviditetsforholdene, samtidig med at der blev sikret en regelmæssig tilstedeværelse på markedet. </w:t>
      </w:r>
    </w:p>
    <w:p w14:paraId="5C86CE36" w14:textId="6C2FF610" w:rsidR="00BA3133" w:rsidRDefault="00BA3133" w:rsidP="00810A51">
      <w:pPr>
        <w:rPr>
          <w:b/>
          <w:noProof/>
          <w:color w:val="034EA2" w:themeColor="accent1"/>
        </w:rPr>
      </w:pPr>
      <w:bookmarkStart w:id="18" w:name="_Hlk169095317"/>
      <w:r w:rsidRPr="00B21330">
        <w:rPr>
          <w:b/>
          <w:noProof/>
          <w:color w:val="034EA2" w:themeColor="accent1"/>
        </w:rPr>
        <w:t>Figur 2: Tilvejebragt finansiering gennem den fælles finansieringsmetode</w:t>
      </w:r>
    </w:p>
    <w:p w14:paraId="01208D2A" w14:textId="4332D436" w:rsidR="00FD7F1E" w:rsidRPr="00B21330" w:rsidRDefault="00FD7F1E" w:rsidP="00810A51">
      <w:pPr>
        <w:rPr>
          <w:b/>
          <w:bCs/>
          <w:noProof/>
          <w:color w:val="034EA2" w:themeColor="accent1"/>
        </w:rPr>
      </w:pPr>
      <w:r>
        <w:rPr>
          <w:noProof/>
          <w:lang w:val="en-GB" w:eastAsia="en-GB"/>
        </w:rPr>
        <w:drawing>
          <wp:inline distT="0" distB="0" distL="0" distR="0" wp14:anchorId="1003F9E1" wp14:editId="0C7A0C2C">
            <wp:extent cx="5731510" cy="3309620"/>
            <wp:effectExtent l="0" t="0" r="0" b="0"/>
            <wp:docPr id="37638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87395" name=""/>
                    <pic:cNvPicPr/>
                  </pic:nvPicPr>
                  <pic:blipFill>
                    <a:blip r:embed="rId31"/>
                    <a:stretch>
                      <a:fillRect/>
                    </a:stretch>
                  </pic:blipFill>
                  <pic:spPr>
                    <a:xfrm>
                      <a:off x="0" y="0"/>
                      <a:ext cx="5731510" cy="3309620"/>
                    </a:xfrm>
                    <a:prstGeom prst="rect">
                      <a:avLst/>
                    </a:prstGeom>
                  </pic:spPr>
                </pic:pic>
              </a:graphicData>
            </a:graphic>
          </wp:inline>
        </w:drawing>
      </w:r>
    </w:p>
    <w:p w14:paraId="480514B6" w14:textId="06E16302" w:rsidR="009428DB" w:rsidRPr="00B21330" w:rsidRDefault="009428DB" w:rsidP="009428DB">
      <w:pPr>
        <w:rPr>
          <w:noProof/>
          <w:color w:val="3B3838" w:themeColor="background2" w:themeShade="40"/>
          <w:sz w:val="18"/>
          <w:szCs w:val="18"/>
        </w:rPr>
      </w:pPr>
      <w:r w:rsidRPr="00B21330">
        <w:rPr>
          <w:noProof/>
          <w:color w:val="3B3838" w:themeColor="background2" w:themeShade="40"/>
          <w:sz w:val="18"/>
        </w:rPr>
        <w:t>De første to NextGenerationEU-transaktioner fandt sted i juni 2021. Disse er medtaget i tallet for andet halvår af 2021, da de indgik i samme finansieringsplan som de transaktioner, der fandt sted i andet halvår af 2021.</w:t>
      </w:r>
    </w:p>
    <w:bookmarkEnd w:id="18"/>
    <w:p w14:paraId="05F85E31" w14:textId="77777777" w:rsidR="009428DB" w:rsidRPr="00B21330" w:rsidRDefault="009428DB" w:rsidP="009428DB">
      <w:pPr>
        <w:jc w:val="right"/>
        <w:rPr>
          <w:noProof/>
          <w:color w:val="595959" w:themeColor="text1" w:themeTint="A6"/>
          <w:sz w:val="18"/>
          <w:szCs w:val="18"/>
        </w:rPr>
      </w:pPr>
      <w:r w:rsidRPr="00B21330">
        <w:rPr>
          <w:i/>
          <w:noProof/>
          <w:color w:val="595959" w:themeColor="text1" w:themeTint="A6"/>
          <w:sz w:val="18"/>
        </w:rPr>
        <w:t>Alle beløb i mia. EUR</w:t>
      </w:r>
    </w:p>
    <w:p w14:paraId="5938BA3D" w14:textId="5F3565CE" w:rsidR="002469E9" w:rsidRPr="00B21330" w:rsidRDefault="002469E9" w:rsidP="002469E9">
      <w:pPr>
        <w:rPr>
          <w:noProof/>
        </w:rPr>
      </w:pPr>
      <w:bookmarkStart w:id="19" w:name="_Hlk156564741"/>
      <w:bookmarkStart w:id="20" w:name="_Hlk155181535"/>
      <w:bookmarkStart w:id="21" w:name="_Hlk169518262"/>
      <w:bookmarkStart w:id="22" w:name="_Hlk139454398"/>
      <w:r w:rsidRPr="00B21330">
        <w:rPr>
          <w:noProof/>
        </w:rPr>
        <w:t>Transaktionerne i andet halvår af 2024 bragte de samlede udestående EU-obligationer op på 578,2 mia. EUR, hvoraf 430,4 mia. EUR blev udstedt gennem EU's fælles finansieringsstrategi, der blev lanceret i juni 2021. Af det sidste beløb</w:t>
      </w:r>
      <w:bookmarkStart w:id="23" w:name="_Hlk158104850"/>
      <w:bookmarkEnd w:id="19"/>
      <w:r w:rsidRPr="00B21330">
        <w:rPr>
          <w:noProof/>
        </w:rPr>
        <w:t xml:space="preserve"> blev der udstedt 68,2 mia. EUR i form af grønne NextGenerationEU-obligationer.</w:t>
      </w:r>
      <w:bookmarkEnd w:id="20"/>
      <w:r w:rsidRPr="00B21330">
        <w:rPr>
          <w:noProof/>
        </w:rPr>
        <w:t xml:space="preserve"> </w:t>
      </w:r>
    </w:p>
    <w:bookmarkEnd w:id="21"/>
    <w:bookmarkEnd w:id="23"/>
    <w:p w14:paraId="6E7825A0" w14:textId="137C7880" w:rsidR="001C6C43" w:rsidRPr="00B21330" w:rsidRDefault="002469E9" w:rsidP="005D6F11">
      <w:pPr>
        <w:rPr>
          <w:noProof/>
        </w:rPr>
      </w:pPr>
      <w:r w:rsidRPr="00B21330">
        <w:rPr>
          <w:noProof/>
        </w:rPr>
        <w:t>I andet halvår af 2024 har Kommissionen også udstedt 3- og 6-måneders EU-gældsbeviser gennem auktioner, der afholdes hver anden måned, for at opfylde kortsigtede finansieringsbehov. Ved udgangen af december 2024 havde EU en udestående kredit på 23,1 mia. EUR gennem EU-gældsbeviser.</w:t>
      </w:r>
      <w:bookmarkEnd w:id="22"/>
    </w:p>
    <w:p w14:paraId="1BBD1ABF" w14:textId="66D9714C" w:rsidR="003926DF" w:rsidRPr="00B21330" w:rsidRDefault="003926DF" w:rsidP="005971A7">
      <w:pPr>
        <w:pStyle w:val="Heading2"/>
        <w:rPr>
          <w:noProof/>
        </w:rPr>
      </w:pPr>
      <w:bookmarkStart w:id="24" w:name="_Toc169303167"/>
      <w:bookmarkStart w:id="25" w:name="_Toc170294783"/>
      <w:bookmarkStart w:id="26" w:name="_Toc187347925"/>
      <w:bookmarkStart w:id="27" w:name="_Toc187701954"/>
      <w:bookmarkStart w:id="28" w:name="_Toc187702009"/>
      <w:bookmarkStart w:id="29" w:name="_Toc190904645"/>
      <w:bookmarkStart w:id="30" w:name="_Toc192765640"/>
      <w:bookmarkStart w:id="31" w:name="_Hlk169127536"/>
      <w:bookmarkEnd w:id="17"/>
      <w:r w:rsidRPr="00B21330">
        <w:rPr>
          <w:noProof/>
        </w:rPr>
        <w:t>Udbetalinger</w:t>
      </w:r>
      <w:bookmarkEnd w:id="24"/>
      <w:bookmarkEnd w:id="25"/>
      <w:bookmarkEnd w:id="26"/>
      <w:bookmarkEnd w:id="27"/>
      <w:bookmarkEnd w:id="28"/>
      <w:bookmarkEnd w:id="29"/>
      <w:bookmarkEnd w:id="30"/>
    </w:p>
    <w:p w14:paraId="57EC12A0" w14:textId="643FD7DD" w:rsidR="00083C92" w:rsidRPr="00B21330" w:rsidRDefault="00DC2305" w:rsidP="009536A9">
      <w:pPr>
        <w:rPr>
          <w:noProof/>
        </w:rPr>
      </w:pPr>
      <w:bookmarkStart w:id="32" w:name="_Hlk187329427"/>
      <w:r w:rsidRPr="00B21330">
        <w:rPr>
          <w:noProof/>
        </w:rPr>
        <w:t>Som følge af disse transaktioner fortsatte Kommissionen med at finansiere medlemsstaternes genopretnings- og resiliensplaner gennem rettidig udbetaling af provenuet (inden for seks arbejdsdage).</w:t>
      </w:r>
      <w:bookmarkEnd w:id="32"/>
    </w:p>
    <w:p w14:paraId="6FF8005B" w14:textId="651FAA6E" w:rsidR="005C414E" w:rsidRPr="00B21330" w:rsidRDefault="002C0915" w:rsidP="005C414E">
      <w:pPr>
        <w:rPr>
          <w:noProof/>
        </w:rPr>
      </w:pPr>
      <w:r w:rsidRPr="00B21330">
        <w:rPr>
          <w:noProof/>
        </w:rPr>
        <w:t>Samlet set udbetalte Kommissionen i andet halvår af 2024 i alt ca. 78,5 mia. EUR til alle politikker tilsammen, som den delvist finansierede med midler, der allerede var blevet rejst i første halvår af 2024. Af de midler, der blev rejst i denne periode, blev 72,2 mia. EUR udbetalt til finansiering af NextGenerationEU. Af dette beløb blev 61,7 mia. EUR anvendt til at finansiere medlemsstaternes genopretnings- og resiliensplaner under genopretnings- og resiliensfaciliteten. Dette kan igen opdeles i 37,2 mia. EUR i form af tilskud til 15 medlemsstater og 24,5 mia. EUR i form af lån til ni medlemsstater. De resterende 10,5 mia. EUR blev anvendt til at finansiere EU-forvaltede programmer støttet af NextGenerationEU</w:t>
      </w:r>
      <w:r w:rsidR="005C414E" w:rsidRPr="00B21330">
        <w:rPr>
          <w:noProof/>
          <w:vertAlign w:val="superscript"/>
        </w:rPr>
        <w:footnoteReference w:id="8"/>
      </w:r>
      <w:r w:rsidRPr="00B21330">
        <w:rPr>
          <w:noProof/>
        </w:rPr>
        <w:t>.</w:t>
      </w:r>
    </w:p>
    <w:p w14:paraId="1832A5BC" w14:textId="56217C6B" w:rsidR="005C414E" w:rsidRPr="00B21330" w:rsidRDefault="005C414E" w:rsidP="005C414E">
      <w:pPr>
        <w:rPr>
          <w:noProof/>
        </w:rPr>
      </w:pPr>
      <w:r w:rsidRPr="00B21330">
        <w:rPr>
          <w:noProof/>
        </w:rPr>
        <w:t>Samlet set har Kommissionen siden sommeren 2021 udbetalt 375,4 mia. EUR til støtte for NextGenerationEU. Dette omfatter 197,4 mia. EUR i tilskud og 108,7 mia. EUR i lån til medlemsstaterne under genopretnings- og resiliensfaciliteten og 69,3 mia. EUR til de EU-forvaltede NGEU-programmer. Af de i alt 375,4 mia. EUR i støtte til NGEU er 365,8 mia. EUR blevet finansieret ved udstedelse af gældsbeviser</w:t>
      </w:r>
      <w:r w:rsidRPr="00B21330">
        <w:rPr>
          <w:noProof/>
          <w:vertAlign w:val="superscript"/>
        </w:rPr>
        <w:footnoteReference w:id="9"/>
      </w:r>
      <w:r w:rsidRPr="00B21330">
        <w:rPr>
          <w:noProof/>
        </w:rPr>
        <w:t>.</w:t>
      </w:r>
    </w:p>
    <w:p w14:paraId="6FEE8558" w14:textId="292771BC" w:rsidR="003E4BE8" w:rsidRPr="00B21330" w:rsidRDefault="005C414E" w:rsidP="00DC2305">
      <w:pPr>
        <w:rPr>
          <w:noProof/>
        </w:rPr>
      </w:pPr>
      <w:r w:rsidRPr="00B21330">
        <w:rPr>
          <w:noProof/>
        </w:rPr>
        <w:t xml:space="preserve">Ud over NGEU-udbetalingerne udbetalte Kommissionen 5,2 mia. EUR til Ukraine i anden halvår af 2024 under Ukrainefaciliteten, hvilket bringer det samlede udbetalte beløb under Ukrainefaciliteten i 2024 op på 13,1 mia. EUR. I andet halvår af 2024 finansierede udstedelsen af EU-obligationer også makrofinansielle bistandslån på 1 mia. EUR til Egypten og 95 mio. EUR til Moldova. </w:t>
      </w:r>
    </w:p>
    <w:p w14:paraId="53F3E1A0" w14:textId="3EDC669F" w:rsidR="003926DF" w:rsidRPr="00B21330" w:rsidRDefault="00352DCC" w:rsidP="00A87F59">
      <w:pPr>
        <w:pStyle w:val="Heading2"/>
        <w:rPr>
          <w:noProof/>
        </w:rPr>
      </w:pPr>
      <w:bookmarkStart w:id="33" w:name="_Toc169303168"/>
      <w:bookmarkStart w:id="34" w:name="_Toc170294784"/>
      <w:bookmarkStart w:id="35" w:name="_Toc187347926"/>
      <w:bookmarkStart w:id="36" w:name="_Toc187701955"/>
      <w:bookmarkStart w:id="37" w:name="_Toc187702010"/>
      <w:bookmarkStart w:id="38" w:name="_Toc190904646"/>
      <w:bookmarkStart w:id="39" w:name="_Toc192765641"/>
      <w:bookmarkEnd w:id="31"/>
      <w:r w:rsidRPr="00B21330">
        <w:rPr>
          <w:noProof/>
        </w:rPr>
        <w:t>Investorefterspørgsel og likviditet på det sekundære marked</w:t>
      </w:r>
      <w:bookmarkEnd w:id="33"/>
      <w:bookmarkEnd w:id="34"/>
      <w:bookmarkEnd w:id="35"/>
      <w:bookmarkEnd w:id="36"/>
      <w:bookmarkEnd w:id="37"/>
      <w:bookmarkEnd w:id="38"/>
      <w:bookmarkEnd w:id="39"/>
    </w:p>
    <w:p w14:paraId="15738A70" w14:textId="3DFB2EC6" w:rsidR="00216746" w:rsidRPr="00B21330" w:rsidRDefault="00556A0B" w:rsidP="00216746">
      <w:pPr>
        <w:rPr>
          <w:noProof/>
        </w:rPr>
      </w:pPr>
      <w:bookmarkStart w:id="40" w:name="_Hlk139454867"/>
      <w:r w:rsidRPr="00B21330">
        <w:rPr>
          <w:noProof/>
        </w:rPr>
        <w:t>EU-obligationsudstedelser var fortsat omfattet af efterspørgslen fra et afbalanceret og diversificeret globalt investorgrundlag</w:t>
      </w:r>
      <w:r w:rsidR="00216746" w:rsidRPr="00B21330">
        <w:rPr>
          <w:noProof/>
          <w:vertAlign w:val="superscript"/>
        </w:rPr>
        <w:footnoteReference w:id="10"/>
      </w:r>
      <w:r w:rsidRPr="00B21330">
        <w:rPr>
          <w:noProof/>
        </w:rPr>
        <w:t>.</w:t>
      </w:r>
    </w:p>
    <w:p w14:paraId="340E80F0" w14:textId="285412A7" w:rsidR="00FD7F1E" w:rsidRDefault="00FD7F1E">
      <w:pPr>
        <w:spacing w:line="259" w:lineRule="auto"/>
        <w:jc w:val="left"/>
        <w:rPr>
          <w:b/>
          <w:bCs/>
          <w:noProof/>
          <w:color w:val="034EA2" w:themeColor="accent1"/>
        </w:rPr>
      </w:pPr>
      <w:r>
        <w:rPr>
          <w:b/>
          <w:bCs/>
          <w:noProof/>
          <w:color w:val="034EA2" w:themeColor="accent1"/>
        </w:rPr>
        <w:br w:type="page"/>
      </w:r>
    </w:p>
    <w:p w14:paraId="41A81828" w14:textId="7371C4F1" w:rsidR="00EF6F31" w:rsidRDefault="00EF6F31" w:rsidP="00216746">
      <w:pPr>
        <w:rPr>
          <w:b/>
          <w:noProof/>
          <w:color w:val="034EA2" w:themeColor="accent1"/>
        </w:rPr>
      </w:pPr>
      <w:r w:rsidRPr="00B21330">
        <w:rPr>
          <w:b/>
          <w:noProof/>
          <w:color w:val="034EA2" w:themeColor="accent1"/>
        </w:rPr>
        <w:t>Figur 3: Opdeling af investorer i syndikerede transaktioner gennemført i andet halvår 2024</w:t>
      </w:r>
    </w:p>
    <w:p w14:paraId="21703ABE" w14:textId="5D2E16D3" w:rsidR="00FD7F1E" w:rsidRDefault="00FD7F1E" w:rsidP="00216746">
      <w:pPr>
        <w:rPr>
          <w:b/>
          <w:noProof/>
          <w:color w:val="034EA2" w:themeColor="accent1"/>
        </w:rPr>
      </w:pPr>
      <w:r>
        <w:rPr>
          <w:noProof/>
          <w:lang w:val="en-GB" w:eastAsia="en-GB"/>
        </w:rPr>
        <w:drawing>
          <wp:inline distT="0" distB="0" distL="0" distR="0" wp14:anchorId="4C2E7AD6" wp14:editId="11BE6534">
            <wp:extent cx="5731510" cy="2794635"/>
            <wp:effectExtent l="0" t="0" r="0" b="0"/>
            <wp:docPr id="178366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62903" name=""/>
                    <pic:cNvPicPr/>
                  </pic:nvPicPr>
                  <pic:blipFill>
                    <a:blip r:embed="rId32"/>
                    <a:stretch>
                      <a:fillRect/>
                    </a:stretch>
                  </pic:blipFill>
                  <pic:spPr>
                    <a:xfrm>
                      <a:off x="0" y="0"/>
                      <a:ext cx="5731510" cy="2794635"/>
                    </a:xfrm>
                    <a:prstGeom prst="rect">
                      <a:avLst/>
                    </a:prstGeom>
                  </pic:spPr>
                </pic:pic>
              </a:graphicData>
            </a:graphic>
          </wp:inline>
        </w:drawing>
      </w:r>
    </w:p>
    <w:p w14:paraId="7894FA45" w14:textId="6217DC24" w:rsidR="00FD7F1E" w:rsidRPr="00B21330" w:rsidRDefault="00FD7F1E" w:rsidP="00216746">
      <w:pPr>
        <w:rPr>
          <w:b/>
          <w:bCs/>
          <w:noProof/>
          <w:color w:val="034EA2" w:themeColor="accent1"/>
        </w:rPr>
      </w:pPr>
      <w:r>
        <w:rPr>
          <w:noProof/>
          <w:lang w:val="en-GB" w:eastAsia="en-GB"/>
        </w:rPr>
        <w:drawing>
          <wp:inline distT="0" distB="0" distL="0" distR="0" wp14:anchorId="48653AE0" wp14:editId="26F47D7A">
            <wp:extent cx="5731510" cy="2611755"/>
            <wp:effectExtent l="0" t="0" r="0" b="0"/>
            <wp:docPr id="39694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49873" name=""/>
                    <pic:cNvPicPr/>
                  </pic:nvPicPr>
                  <pic:blipFill>
                    <a:blip r:embed="rId33"/>
                    <a:stretch>
                      <a:fillRect/>
                    </a:stretch>
                  </pic:blipFill>
                  <pic:spPr>
                    <a:xfrm>
                      <a:off x="0" y="0"/>
                      <a:ext cx="5731510" cy="2611755"/>
                    </a:xfrm>
                    <a:prstGeom prst="rect">
                      <a:avLst/>
                    </a:prstGeom>
                  </pic:spPr>
                </pic:pic>
              </a:graphicData>
            </a:graphic>
          </wp:inline>
        </w:drawing>
      </w:r>
    </w:p>
    <w:p w14:paraId="718C1DF1" w14:textId="503D489E" w:rsidR="00D52047" w:rsidRPr="00B21330" w:rsidRDefault="00D52047" w:rsidP="00D52047">
      <w:pPr>
        <w:spacing w:after="0"/>
        <w:jc w:val="left"/>
        <w:rPr>
          <w:rFonts w:ascii="Times New Roman" w:eastAsia="Times New Roman" w:hAnsi="Times New Roman"/>
          <w:noProof/>
          <w:sz w:val="24"/>
        </w:rPr>
      </w:pPr>
    </w:p>
    <w:p w14:paraId="5AEE9404" w14:textId="3D909477" w:rsidR="00F81553" w:rsidRPr="00B21330" w:rsidRDefault="008979B0" w:rsidP="00B2444A">
      <w:pPr>
        <w:rPr>
          <w:noProof/>
        </w:rPr>
      </w:pPr>
      <w:bookmarkStart w:id="42" w:name="_Hlk169094028"/>
      <w:bookmarkEnd w:id="40"/>
      <w:r w:rsidRPr="00B21330">
        <w:rPr>
          <w:noProof/>
        </w:rPr>
        <w:t>Præmier for nyudstedelser (NIP)</w:t>
      </w:r>
      <w:r w:rsidR="002835C6" w:rsidRPr="00B21330">
        <w:rPr>
          <w:noProof/>
          <w:vertAlign w:val="superscript"/>
        </w:rPr>
        <w:footnoteReference w:id="11"/>
      </w:r>
      <w:bookmarkStart w:id="43" w:name="_Hlk170294116"/>
      <w:bookmarkEnd w:id="42"/>
      <w:r w:rsidRPr="00B21330">
        <w:rPr>
          <w:noProof/>
        </w:rPr>
        <w:t xml:space="preserve"> efterspurgt af investorer som en koncession, da EU's obligationsudstedelser gennem syndikering i gennemsnit lå på ca. 2,1 basispoint i andet halvår af 2024. Selv om dette var højere end niveauet i første halvår af 2024 (hvor den gennemsnitlige NIP var på ca. 1,2 basispoint), var niveauet i andet halvår af 2024 fortsat i overensstemmelse med andre udstederes koncessioner vedrørende sammenlignelige transaktioner (målt efter størrelse og løbetid), hvilket afspejler højere volatilitet i tredje kvartal af 2024.</w:t>
      </w:r>
    </w:p>
    <w:bookmarkEnd w:id="43"/>
    <w:p w14:paraId="10C2D56C" w14:textId="5AC148BA" w:rsidR="00733125" w:rsidRPr="00B21330" w:rsidRDefault="00733125" w:rsidP="00733125">
      <w:pPr>
        <w:rPr>
          <w:noProof/>
        </w:rPr>
      </w:pPr>
      <w:r w:rsidRPr="00B21330">
        <w:rPr>
          <w:noProof/>
        </w:rPr>
        <w:t xml:space="preserve">Samtidig var likviditeten af EU-obligationer på det sekundære marked noget højere i andet halvår 2024 end i første halvår 2024. De kursnoteringsordninger, der har været gældende siden november 2023 (hvorved EU's primary dealere tilskyndes til at angive pålidelige priser på EU-obligationer på de førende elektroniske obligationshandelsplatforme), understøttede fortsat EU-obligationernes likviditet. Siden indførelsen af disse kursnoteringsordninger har den daglige handelsvolumen for EU-obligationer på den vigtigste elektroniske handelsplatform i gennemsnit ligget et godt stykke over 800 mio. EUR med daglige toppunkter på over 2 mia. EUR. </w:t>
      </w:r>
    </w:p>
    <w:p w14:paraId="7A46A9E6" w14:textId="69430BB7" w:rsidR="001077F9" w:rsidRPr="00B21330" w:rsidRDefault="00733125" w:rsidP="00CE068C">
      <w:pPr>
        <w:rPr>
          <w:noProof/>
        </w:rPr>
      </w:pPr>
      <w:r w:rsidRPr="00B21330">
        <w:rPr>
          <w:noProof/>
        </w:rPr>
        <w:t>Kommissionen støttede også likviditeten i EU-obligationskurven ved at udnytte eksisterende linjer og samtidig oprette nye for at opfylde programbehovene og investorernes efterspørgsel. Som følge heraf var det gennemsnitlige udestående beløb pr. EU-obligation på ca. 14,8 mia. EUR ved udgangen af 2024, hvilket er en stigning fra 13 mia. EUR ved udgangen af første halvår 2024. Der blev også lanceret nye 5- og 7-årige linjer i andet halvår af 2024.</w:t>
      </w:r>
    </w:p>
    <w:p w14:paraId="03C83E44" w14:textId="1ACAB312" w:rsidR="009A0198" w:rsidRDefault="00EF6F31" w:rsidP="009A0198">
      <w:pPr>
        <w:rPr>
          <w:b/>
          <w:noProof/>
          <w:color w:val="034EA2" w:themeColor="accent1"/>
        </w:rPr>
      </w:pPr>
      <w:bookmarkStart w:id="44" w:name="_Hlk187333874"/>
      <w:r w:rsidRPr="00B21330">
        <w:rPr>
          <w:b/>
          <w:noProof/>
          <w:color w:val="034EA2" w:themeColor="accent1"/>
        </w:rPr>
        <w:t>Figur 4: Kvartalsvis omsætning på det sekundære marked for EU-obligationer og europæiske statsobligationer (% af den udestående volumen)</w:t>
      </w:r>
    </w:p>
    <w:p w14:paraId="09742D9C" w14:textId="68FB3451" w:rsidR="00FD7F1E" w:rsidRPr="00B21330" w:rsidRDefault="00FD7F1E" w:rsidP="009A0198">
      <w:pPr>
        <w:rPr>
          <w:b/>
          <w:bCs/>
          <w:noProof/>
          <w:color w:val="034EA2" w:themeColor="accent1"/>
        </w:rPr>
      </w:pPr>
      <w:r>
        <w:rPr>
          <w:noProof/>
          <w:lang w:val="en-GB" w:eastAsia="en-GB"/>
        </w:rPr>
        <w:drawing>
          <wp:inline distT="0" distB="0" distL="0" distR="0" wp14:anchorId="0813053C" wp14:editId="1426F7BD">
            <wp:extent cx="5731510" cy="3472815"/>
            <wp:effectExtent l="0" t="0" r="0" b="0"/>
            <wp:docPr id="80155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52556" name=""/>
                    <pic:cNvPicPr/>
                  </pic:nvPicPr>
                  <pic:blipFill>
                    <a:blip r:embed="rId34"/>
                    <a:stretch>
                      <a:fillRect/>
                    </a:stretch>
                  </pic:blipFill>
                  <pic:spPr>
                    <a:xfrm>
                      <a:off x="0" y="0"/>
                      <a:ext cx="5731510" cy="3472815"/>
                    </a:xfrm>
                    <a:prstGeom prst="rect">
                      <a:avLst/>
                    </a:prstGeom>
                  </pic:spPr>
                </pic:pic>
              </a:graphicData>
            </a:graphic>
          </wp:inline>
        </w:drawing>
      </w:r>
    </w:p>
    <w:p w14:paraId="2D2CAD4A" w14:textId="35FACBA0" w:rsidR="00F02986" w:rsidRPr="00B21330" w:rsidRDefault="00F02986" w:rsidP="009A0198">
      <w:pPr>
        <w:rPr>
          <w:b/>
          <w:bCs/>
          <w:noProof/>
          <w:color w:val="034EA2" w:themeColor="accent1"/>
        </w:rPr>
      </w:pPr>
    </w:p>
    <w:bookmarkEnd w:id="44"/>
    <w:p w14:paraId="66E247E6" w14:textId="0F5B713D" w:rsidR="009A0198" w:rsidRPr="00B21330" w:rsidRDefault="009A0198" w:rsidP="009A0198">
      <w:pPr>
        <w:contextualSpacing/>
        <w:rPr>
          <w:noProof/>
          <w:sz w:val="20"/>
          <w:szCs w:val="20"/>
        </w:rPr>
      </w:pPr>
      <w:r w:rsidRPr="00B21330">
        <w:rPr>
          <w:i/>
          <w:noProof/>
          <w:sz w:val="20"/>
        </w:rPr>
        <w:t>Kilde:</w:t>
      </w:r>
      <w:r w:rsidRPr="00B21330">
        <w:rPr>
          <w:noProof/>
          <w:sz w:val="20"/>
        </w:rPr>
        <w:t xml:space="preserve"> Europa-Kommissionen på grundlag af data fra Det Økonomiske og Finansielle Udvalgs Underudvalg for EU's Statsobligationsmarkeder (ESDM). </w:t>
      </w:r>
    </w:p>
    <w:p w14:paraId="74E89C11" w14:textId="71629B47" w:rsidR="00B60214" w:rsidRPr="00B21330" w:rsidRDefault="009A0198" w:rsidP="009A0198">
      <w:pPr>
        <w:contextualSpacing/>
        <w:rPr>
          <w:noProof/>
          <w:sz w:val="20"/>
          <w:szCs w:val="20"/>
        </w:rPr>
      </w:pPr>
      <w:r w:rsidRPr="00B21330">
        <w:rPr>
          <w:noProof/>
          <w:sz w:val="20"/>
        </w:rPr>
        <w:t>Bemærk: Her består markedet for europæiske statsobligationer af obligationer udstedt af stater i euroområdet, den europæiske finansielle stabilitetsfacilitet og den europæiske stabilitetsmekanisme. Der foreligger endnu ikke data for tredje og fjerde kvartal 2024.</w:t>
      </w:r>
    </w:p>
    <w:p w14:paraId="0260D5D1" w14:textId="1D8DEE60" w:rsidR="00E81087" w:rsidRPr="00B21330" w:rsidRDefault="00DB3549" w:rsidP="00A87F59">
      <w:pPr>
        <w:pStyle w:val="Heading1"/>
        <w:rPr>
          <w:noProof/>
        </w:rPr>
      </w:pPr>
      <w:bookmarkStart w:id="45" w:name="_Toc192765642"/>
      <w:r w:rsidRPr="00B21330">
        <w:rPr>
          <w:noProof/>
        </w:rPr>
        <w:t>Finansieringsomkostninger og likviditetssaldi</w:t>
      </w:r>
      <w:bookmarkEnd w:id="45"/>
    </w:p>
    <w:p w14:paraId="6EB8EACA" w14:textId="2859BED3" w:rsidR="001D0900" w:rsidRPr="00B21330" w:rsidRDefault="001D0900" w:rsidP="00A87F59">
      <w:pPr>
        <w:pStyle w:val="Heading2"/>
        <w:rPr>
          <w:noProof/>
        </w:rPr>
      </w:pPr>
      <w:bookmarkStart w:id="46" w:name="_Toc187701957"/>
      <w:bookmarkStart w:id="47" w:name="_Toc187702012"/>
      <w:bookmarkStart w:id="48" w:name="_Toc190904648"/>
      <w:bookmarkStart w:id="49" w:name="_Toc192765643"/>
      <w:r w:rsidRPr="00B21330">
        <w:rPr>
          <w:noProof/>
        </w:rPr>
        <w:t>Finansieringsomkostninger</w:t>
      </w:r>
      <w:bookmarkEnd w:id="46"/>
      <w:bookmarkEnd w:id="47"/>
      <w:bookmarkEnd w:id="48"/>
      <w:bookmarkEnd w:id="49"/>
    </w:p>
    <w:p w14:paraId="5D65988D" w14:textId="2BB43FAA" w:rsidR="00943313" w:rsidRPr="00B21330" w:rsidRDefault="00943313" w:rsidP="00035235">
      <w:pPr>
        <w:rPr>
          <w:noProof/>
        </w:rPr>
      </w:pPr>
      <w:r w:rsidRPr="00B21330">
        <w:rPr>
          <w:noProof/>
        </w:rPr>
        <w:t>Omkostningsfordelingsmetoden under den diversificerede finansieringsstrategi gør det muligt for Kommissionen at knytte de finansieringsomkostninger, der pålægges modtagerne (EU-budgettet eller lånemodtagerne), til de betingelser, der blev opnået på markedet, da udbetalingerne blev finansieret</w:t>
      </w:r>
      <w:r w:rsidR="009E499F" w:rsidRPr="00B21330">
        <w:rPr>
          <w:noProof/>
          <w:vertAlign w:val="superscript"/>
        </w:rPr>
        <w:footnoteReference w:id="12"/>
      </w:r>
      <w:r w:rsidRPr="00B21330">
        <w:rPr>
          <w:noProof/>
        </w:rPr>
        <w:t xml:space="preserve">. Fra den 30. september 2024 gør denne metode det desuden muligt at allokere låneomkostninger på et programrelateret grundlag. Dette afspejler det øgede antal politiske programmer, der finansieres af den diversificerede finansieringsstrategi under den fælles finansieringsmetode.  </w:t>
      </w:r>
    </w:p>
    <w:p w14:paraId="2A2B87A2" w14:textId="4C256431" w:rsidR="0094369E" w:rsidRPr="00B21330" w:rsidRDefault="000214CF" w:rsidP="007B6993">
      <w:pPr>
        <w:rPr>
          <w:noProof/>
        </w:rPr>
      </w:pPr>
      <w:r w:rsidRPr="00B21330">
        <w:rPr>
          <w:noProof/>
        </w:rPr>
        <w:t>I overensstemmelse med denne metode er finansieringsomkostningerne</w:t>
      </w:r>
      <w:r w:rsidRPr="00B21330">
        <w:rPr>
          <w:noProof/>
          <w:vertAlign w:val="superscript"/>
        </w:rPr>
        <w:t xml:space="preserve"> </w:t>
      </w:r>
      <w:r w:rsidRPr="00B21330">
        <w:rPr>
          <w:noProof/>
        </w:rPr>
        <w:t>for NGEU-betalinger i tidssegmentet juli-december 2024 ("TC7" i tabellen nedenfor) anslået til 2,97 % sammenlignet med 3,19 % for det foregående tidssegment på seks måneder. Udgifterne til finansiering af udbetalinger under Ukrainefaciliteten og MFA-programmet for Egypten udgjorde 2,68 % ved udgangen af december 2024. De lavere finansieringsomkostninger for disse politikker sammenlignet med NextGenerationEU afspejler, at de kan finansieres ved hjælp af obligationer med kortere gennemsnitlige løbetider end dem, der anvendes til at finansiere NGEU, da NGEU's tilbagebetalingsprofil (og dermed gennemsnitlige løbetider) skal overholde det særlige midlertidige loft for "egne indtægter".</w:t>
      </w:r>
    </w:p>
    <w:p w14:paraId="769BE625" w14:textId="4080E997" w:rsidR="00EF6F31" w:rsidRPr="00B21330" w:rsidRDefault="00EF6F31" w:rsidP="007B6993">
      <w:pPr>
        <w:rPr>
          <w:b/>
          <w:bCs/>
          <w:noProof/>
          <w:color w:val="034EA2" w:themeColor="accent1"/>
        </w:rPr>
      </w:pPr>
      <w:r w:rsidRPr="00B21330">
        <w:rPr>
          <w:b/>
          <w:noProof/>
          <w:color w:val="034EA2" w:themeColor="accent1"/>
        </w:rPr>
        <w:t>Figur 5: Finansieringsomkostninger</w:t>
      </w:r>
    </w:p>
    <w:tbl>
      <w:tblPr>
        <w:tblStyle w:val="TableGrid"/>
        <w:tblW w:w="9242"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5"/>
        <w:gridCol w:w="1013"/>
        <w:gridCol w:w="1014"/>
        <w:gridCol w:w="1014"/>
        <w:gridCol w:w="1014"/>
        <w:gridCol w:w="1014"/>
        <w:gridCol w:w="1014"/>
        <w:gridCol w:w="1014"/>
      </w:tblGrid>
      <w:tr w:rsidR="0094369E" w:rsidRPr="00B21330" w14:paraId="34967047" w14:textId="5B58EB9C" w:rsidTr="00515408">
        <w:trPr>
          <w:trHeight w:val="415"/>
        </w:trPr>
        <w:tc>
          <w:tcPr>
            <w:tcW w:w="2145" w:type="dxa"/>
            <w:vMerge w:val="restart"/>
            <w:shd w:val="clear" w:color="auto" w:fill="034EA2" w:themeFill="accent1"/>
            <w:vAlign w:val="center"/>
          </w:tcPr>
          <w:p w14:paraId="4EFAAE64" w14:textId="52D2C32D" w:rsidR="0094369E" w:rsidRPr="00B21330" w:rsidRDefault="0094369E" w:rsidP="0094369E">
            <w:pPr>
              <w:jc w:val="center"/>
              <w:rPr>
                <w:b/>
                <w:bCs/>
                <w:noProof/>
                <w:color w:val="FFFFFF" w:themeColor="background1"/>
              </w:rPr>
            </w:pPr>
            <w:r w:rsidRPr="00B21330">
              <w:rPr>
                <w:b/>
                <w:noProof/>
                <w:color w:val="FFFFFF" w:themeColor="background1"/>
              </w:rPr>
              <w:t>NextGenerationEU</w:t>
            </w:r>
          </w:p>
        </w:tc>
        <w:tc>
          <w:tcPr>
            <w:tcW w:w="1013" w:type="dxa"/>
            <w:shd w:val="clear" w:color="auto" w:fill="034EA2" w:themeFill="accent1"/>
            <w:vAlign w:val="center"/>
            <w:hideMark/>
          </w:tcPr>
          <w:p w14:paraId="5C0F100C" w14:textId="219E3F9A" w:rsidR="0094369E" w:rsidRPr="00B21330" w:rsidRDefault="0094369E">
            <w:pPr>
              <w:jc w:val="center"/>
              <w:rPr>
                <w:b/>
                <w:bCs/>
                <w:noProof/>
                <w:color w:val="FFFFFF" w:themeColor="background1"/>
              </w:rPr>
            </w:pPr>
            <w:r w:rsidRPr="00B21330">
              <w:rPr>
                <w:b/>
                <w:noProof/>
                <w:color w:val="FFFFFF" w:themeColor="background1"/>
              </w:rPr>
              <w:t>TC1</w:t>
            </w:r>
          </w:p>
        </w:tc>
        <w:tc>
          <w:tcPr>
            <w:tcW w:w="1014" w:type="dxa"/>
            <w:shd w:val="clear" w:color="auto" w:fill="034EA2" w:themeFill="accent1"/>
            <w:vAlign w:val="center"/>
            <w:hideMark/>
          </w:tcPr>
          <w:p w14:paraId="48E77872" w14:textId="271C6655" w:rsidR="0094369E" w:rsidRPr="00B21330" w:rsidRDefault="0094369E">
            <w:pPr>
              <w:jc w:val="center"/>
              <w:rPr>
                <w:b/>
                <w:bCs/>
                <w:noProof/>
                <w:color w:val="FFFFFF" w:themeColor="background1"/>
              </w:rPr>
            </w:pPr>
            <w:r w:rsidRPr="00B21330">
              <w:rPr>
                <w:b/>
                <w:noProof/>
                <w:color w:val="FFFFFF" w:themeColor="background1"/>
              </w:rPr>
              <w:t>TC2</w:t>
            </w:r>
          </w:p>
        </w:tc>
        <w:tc>
          <w:tcPr>
            <w:tcW w:w="1014" w:type="dxa"/>
            <w:shd w:val="clear" w:color="auto" w:fill="034EA2" w:themeFill="accent1"/>
            <w:vAlign w:val="center"/>
            <w:hideMark/>
          </w:tcPr>
          <w:p w14:paraId="73049051" w14:textId="34F47E55" w:rsidR="0094369E" w:rsidRPr="00B21330" w:rsidRDefault="0094369E">
            <w:pPr>
              <w:jc w:val="center"/>
              <w:rPr>
                <w:b/>
                <w:bCs/>
                <w:noProof/>
                <w:color w:val="FFFFFF" w:themeColor="background1"/>
              </w:rPr>
            </w:pPr>
            <w:r w:rsidRPr="00B21330">
              <w:rPr>
                <w:b/>
                <w:noProof/>
                <w:color w:val="FFFFFF" w:themeColor="background1"/>
              </w:rPr>
              <w:t>TC3</w:t>
            </w:r>
          </w:p>
        </w:tc>
        <w:tc>
          <w:tcPr>
            <w:tcW w:w="1014" w:type="dxa"/>
            <w:shd w:val="clear" w:color="auto" w:fill="034EA2" w:themeFill="accent1"/>
            <w:vAlign w:val="center"/>
            <w:hideMark/>
          </w:tcPr>
          <w:p w14:paraId="11216AA4" w14:textId="64D1D479" w:rsidR="0094369E" w:rsidRPr="00B21330" w:rsidRDefault="0094369E">
            <w:pPr>
              <w:jc w:val="center"/>
              <w:rPr>
                <w:b/>
                <w:bCs/>
                <w:noProof/>
                <w:color w:val="FFFFFF" w:themeColor="background1"/>
              </w:rPr>
            </w:pPr>
            <w:r w:rsidRPr="00B21330">
              <w:rPr>
                <w:b/>
                <w:noProof/>
                <w:color w:val="FFFFFF" w:themeColor="background1"/>
              </w:rPr>
              <w:t>TC4</w:t>
            </w:r>
          </w:p>
        </w:tc>
        <w:tc>
          <w:tcPr>
            <w:tcW w:w="1014" w:type="dxa"/>
            <w:shd w:val="clear" w:color="auto" w:fill="034EA2" w:themeFill="accent1"/>
            <w:vAlign w:val="center"/>
            <w:hideMark/>
          </w:tcPr>
          <w:p w14:paraId="4A04C8C1" w14:textId="573508D0" w:rsidR="0094369E" w:rsidRPr="00B21330" w:rsidRDefault="0094369E">
            <w:pPr>
              <w:jc w:val="center"/>
              <w:rPr>
                <w:b/>
                <w:bCs/>
                <w:noProof/>
                <w:color w:val="FFFFFF" w:themeColor="background1"/>
              </w:rPr>
            </w:pPr>
            <w:r w:rsidRPr="00B21330">
              <w:rPr>
                <w:b/>
                <w:noProof/>
                <w:color w:val="FFFFFF" w:themeColor="background1"/>
              </w:rPr>
              <w:t>TC5</w:t>
            </w:r>
          </w:p>
        </w:tc>
        <w:tc>
          <w:tcPr>
            <w:tcW w:w="1014" w:type="dxa"/>
            <w:shd w:val="clear" w:color="auto" w:fill="034EA2" w:themeFill="accent1"/>
            <w:vAlign w:val="center"/>
          </w:tcPr>
          <w:p w14:paraId="1B6452C8" w14:textId="35FB1F9C" w:rsidR="0094369E" w:rsidRPr="00B21330" w:rsidRDefault="0094369E" w:rsidP="00071659">
            <w:pPr>
              <w:jc w:val="center"/>
              <w:rPr>
                <w:b/>
                <w:bCs/>
                <w:noProof/>
                <w:color w:val="FFFFFF" w:themeColor="background1"/>
              </w:rPr>
            </w:pPr>
            <w:r w:rsidRPr="00B21330">
              <w:rPr>
                <w:b/>
                <w:noProof/>
                <w:color w:val="FFFFFF" w:themeColor="background1"/>
              </w:rPr>
              <w:t>TC6</w:t>
            </w:r>
          </w:p>
        </w:tc>
        <w:tc>
          <w:tcPr>
            <w:tcW w:w="1014" w:type="dxa"/>
            <w:shd w:val="clear" w:color="auto" w:fill="034EA2" w:themeFill="accent1"/>
            <w:vAlign w:val="center"/>
          </w:tcPr>
          <w:p w14:paraId="7D53A173" w14:textId="5CDEFB5D" w:rsidR="0094369E" w:rsidRPr="00B21330" w:rsidRDefault="0094369E" w:rsidP="008229A6">
            <w:pPr>
              <w:jc w:val="center"/>
              <w:rPr>
                <w:b/>
                <w:bCs/>
                <w:noProof/>
                <w:color w:val="FFFFFF" w:themeColor="background1"/>
              </w:rPr>
            </w:pPr>
            <w:r w:rsidRPr="00B21330">
              <w:rPr>
                <w:b/>
                <w:noProof/>
                <w:color w:val="FFFFFF" w:themeColor="background1"/>
              </w:rPr>
              <w:t>TC7</w:t>
            </w:r>
          </w:p>
        </w:tc>
      </w:tr>
      <w:tr w:rsidR="0094369E" w:rsidRPr="00B21330" w14:paraId="7F2149EF" w14:textId="0C65BA8E" w:rsidTr="00515408">
        <w:trPr>
          <w:trHeight w:val="415"/>
        </w:trPr>
        <w:tc>
          <w:tcPr>
            <w:tcW w:w="2145" w:type="dxa"/>
            <w:vMerge/>
          </w:tcPr>
          <w:p w14:paraId="7F9E03DF" w14:textId="77777777" w:rsidR="0094369E" w:rsidRPr="00B21330" w:rsidRDefault="0094369E">
            <w:pPr>
              <w:jc w:val="center"/>
              <w:rPr>
                <w:noProof/>
                <w:color w:val="3B3838" w:themeColor="background2" w:themeShade="40"/>
              </w:rPr>
            </w:pPr>
          </w:p>
        </w:tc>
        <w:tc>
          <w:tcPr>
            <w:tcW w:w="1013" w:type="dxa"/>
            <w:vAlign w:val="center"/>
            <w:hideMark/>
          </w:tcPr>
          <w:p w14:paraId="0A5E174F" w14:textId="02011C0E" w:rsidR="0094369E" w:rsidRPr="00B21330" w:rsidRDefault="0094369E">
            <w:pPr>
              <w:jc w:val="center"/>
              <w:rPr>
                <w:noProof/>
                <w:color w:val="3B3838" w:themeColor="background2" w:themeShade="40"/>
              </w:rPr>
            </w:pPr>
            <w:r w:rsidRPr="00B21330">
              <w:rPr>
                <w:noProof/>
                <w:color w:val="3B3838" w:themeColor="background2" w:themeShade="40"/>
              </w:rPr>
              <w:t>0,15 %</w:t>
            </w:r>
          </w:p>
        </w:tc>
        <w:tc>
          <w:tcPr>
            <w:tcW w:w="1014" w:type="dxa"/>
            <w:vAlign w:val="center"/>
            <w:hideMark/>
          </w:tcPr>
          <w:p w14:paraId="56B0D810" w14:textId="2215903E" w:rsidR="0094369E" w:rsidRPr="00B21330" w:rsidRDefault="0094369E">
            <w:pPr>
              <w:jc w:val="center"/>
              <w:rPr>
                <w:noProof/>
                <w:color w:val="3B3838" w:themeColor="background2" w:themeShade="40"/>
              </w:rPr>
            </w:pPr>
            <w:r w:rsidRPr="00B21330">
              <w:rPr>
                <w:noProof/>
                <w:color w:val="3B3838" w:themeColor="background2" w:themeShade="40"/>
              </w:rPr>
              <w:t>1,38 %</w:t>
            </w:r>
          </w:p>
        </w:tc>
        <w:tc>
          <w:tcPr>
            <w:tcW w:w="1014" w:type="dxa"/>
            <w:vAlign w:val="center"/>
            <w:hideMark/>
          </w:tcPr>
          <w:p w14:paraId="595DB7A6" w14:textId="56F8C545" w:rsidR="0094369E" w:rsidRPr="00B21330" w:rsidRDefault="0094369E">
            <w:pPr>
              <w:jc w:val="center"/>
              <w:rPr>
                <w:noProof/>
                <w:color w:val="3B3838" w:themeColor="background2" w:themeShade="40"/>
              </w:rPr>
            </w:pPr>
            <w:r w:rsidRPr="00B21330">
              <w:rPr>
                <w:noProof/>
                <w:color w:val="3B3838" w:themeColor="background2" w:themeShade="40"/>
              </w:rPr>
              <w:t>2,61 %</w:t>
            </w:r>
          </w:p>
        </w:tc>
        <w:tc>
          <w:tcPr>
            <w:tcW w:w="1014" w:type="dxa"/>
            <w:vAlign w:val="center"/>
            <w:hideMark/>
          </w:tcPr>
          <w:p w14:paraId="7B5B5356" w14:textId="53E11789" w:rsidR="0094369E" w:rsidRPr="00B21330" w:rsidRDefault="0094369E">
            <w:pPr>
              <w:jc w:val="center"/>
              <w:rPr>
                <w:noProof/>
                <w:color w:val="3B3838" w:themeColor="background2" w:themeShade="40"/>
              </w:rPr>
            </w:pPr>
            <w:r w:rsidRPr="00B21330">
              <w:rPr>
                <w:noProof/>
                <w:color w:val="3B3838" w:themeColor="background2" w:themeShade="40"/>
              </w:rPr>
              <w:t>3,27 %</w:t>
            </w:r>
          </w:p>
        </w:tc>
        <w:tc>
          <w:tcPr>
            <w:tcW w:w="1014" w:type="dxa"/>
            <w:vAlign w:val="center"/>
            <w:hideMark/>
          </w:tcPr>
          <w:p w14:paraId="799909FE" w14:textId="0B7940F4" w:rsidR="0094369E" w:rsidRPr="00B21330" w:rsidRDefault="0094369E">
            <w:pPr>
              <w:jc w:val="center"/>
              <w:rPr>
                <w:noProof/>
                <w:color w:val="3B3838" w:themeColor="background2" w:themeShade="40"/>
              </w:rPr>
            </w:pPr>
            <w:r w:rsidRPr="00B21330">
              <w:rPr>
                <w:noProof/>
                <w:color w:val="3B3838" w:themeColor="background2" w:themeShade="40"/>
              </w:rPr>
              <w:t>3,63 %</w:t>
            </w:r>
          </w:p>
        </w:tc>
        <w:tc>
          <w:tcPr>
            <w:tcW w:w="1014" w:type="dxa"/>
            <w:vAlign w:val="center"/>
          </w:tcPr>
          <w:p w14:paraId="0F492973" w14:textId="2405E175" w:rsidR="0094369E" w:rsidRPr="00B21330" w:rsidRDefault="0094369E" w:rsidP="00071659">
            <w:pPr>
              <w:jc w:val="center"/>
              <w:rPr>
                <w:noProof/>
                <w:color w:val="3B3838" w:themeColor="background2" w:themeShade="40"/>
              </w:rPr>
            </w:pPr>
            <w:r w:rsidRPr="00B21330">
              <w:rPr>
                <w:noProof/>
                <w:color w:val="3B3838" w:themeColor="background2" w:themeShade="40"/>
              </w:rPr>
              <w:t>3,19 %</w:t>
            </w:r>
          </w:p>
        </w:tc>
        <w:tc>
          <w:tcPr>
            <w:tcW w:w="1014" w:type="dxa"/>
            <w:vAlign w:val="center"/>
          </w:tcPr>
          <w:p w14:paraId="35B2A424" w14:textId="40AC4AD0" w:rsidR="0094369E" w:rsidRPr="00B21330" w:rsidRDefault="0004632F" w:rsidP="008229A6">
            <w:pPr>
              <w:jc w:val="center"/>
              <w:rPr>
                <w:noProof/>
                <w:color w:val="3B3838" w:themeColor="background2" w:themeShade="40"/>
              </w:rPr>
            </w:pPr>
            <w:r w:rsidRPr="00B21330">
              <w:rPr>
                <w:noProof/>
                <w:color w:val="3B3838" w:themeColor="background2" w:themeShade="40"/>
              </w:rPr>
              <w:t>2,97 %</w:t>
            </w:r>
          </w:p>
        </w:tc>
      </w:tr>
    </w:tbl>
    <w:p w14:paraId="7FF44516" w14:textId="77777777" w:rsidR="00D62573" w:rsidRPr="00B21330" w:rsidRDefault="00D62573" w:rsidP="007B6993">
      <w:pPr>
        <w:rPr>
          <w:b/>
          <w:bCs/>
          <w:noProof/>
          <w:color w:val="034EA2" w:themeColor="accent1"/>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21330" w14:paraId="2BCF427E" w14:textId="77777777" w:rsidTr="00901B92">
        <w:trPr>
          <w:trHeight w:val="415"/>
        </w:trPr>
        <w:tc>
          <w:tcPr>
            <w:tcW w:w="2093" w:type="dxa"/>
            <w:shd w:val="clear" w:color="auto" w:fill="034EA2" w:themeFill="accent1"/>
            <w:vAlign w:val="center"/>
          </w:tcPr>
          <w:p w14:paraId="6BBC2473" w14:textId="3994960E" w:rsidR="00901B92" w:rsidRPr="00B21330" w:rsidRDefault="00901B92" w:rsidP="001E1429">
            <w:pPr>
              <w:jc w:val="center"/>
              <w:rPr>
                <w:b/>
                <w:bCs/>
                <w:noProof/>
                <w:color w:val="FFFFFF" w:themeColor="background1"/>
              </w:rPr>
            </w:pPr>
            <w:r w:rsidRPr="00B21330">
              <w:rPr>
                <w:b/>
                <w:noProof/>
                <w:color w:val="FFFFFF" w:themeColor="background1"/>
              </w:rPr>
              <w:t>Ukrainefaciliteten</w:t>
            </w:r>
          </w:p>
        </w:tc>
      </w:tr>
      <w:tr w:rsidR="00901B92" w:rsidRPr="00B21330" w14:paraId="5AAF8A75" w14:textId="77777777" w:rsidTr="00901B92">
        <w:trPr>
          <w:trHeight w:val="415"/>
        </w:trPr>
        <w:tc>
          <w:tcPr>
            <w:tcW w:w="2093" w:type="dxa"/>
            <w:vAlign w:val="center"/>
          </w:tcPr>
          <w:p w14:paraId="43E8F298" w14:textId="5148135F" w:rsidR="00901B92" w:rsidRPr="00B21330" w:rsidRDefault="00016108" w:rsidP="001E1429">
            <w:pPr>
              <w:jc w:val="center"/>
              <w:rPr>
                <w:noProof/>
                <w:color w:val="3B3838" w:themeColor="background2" w:themeShade="40"/>
              </w:rPr>
            </w:pPr>
            <w:r w:rsidRPr="00B21330">
              <w:rPr>
                <w:noProof/>
                <w:color w:val="3B3838" w:themeColor="background2" w:themeShade="40"/>
              </w:rPr>
              <w:t>2,68 %</w:t>
            </w:r>
          </w:p>
        </w:tc>
      </w:tr>
    </w:tbl>
    <w:p w14:paraId="353FF887" w14:textId="77777777" w:rsidR="00901B92" w:rsidRPr="00B21330" w:rsidRDefault="00901B92" w:rsidP="007B6993">
      <w:pPr>
        <w:rPr>
          <w:b/>
          <w:bCs/>
          <w:noProof/>
          <w:color w:val="034EA2" w:themeColor="accent1"/>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21330" w14:paraId="162C3904" w14:textId="77777777" w:rsidTr="00901B92">
        <w:trPr>
          <w:trHeight w:val="415"/>
        </w:trPr>
        <w:tc>
          <w:tcPr>
            <w:tcW w:w="2093" w:type="dxa"/>
            <w:shd w:val="clear" w:color="auto" w:fill="034EA2" w:themeFill="accent1"/>
            <w:vAlign w:val="center"/>
          </w:tcPr>
          <w:p w14:paraId="564AFF2D" w14:textId="67F6DA39" w:rsidR="00901B92" w:rsidRPr="00B21330" w:rsidRDefault="00901B92" w:rsidP="001E1429">
            <w:pPr>
              <w:jc w:val="center"/>
              <w:rPr>
                <w:b/>
                <w:bCs/>
                <w:noProof/>
                <w:color w:val="FFFFFF" w:themeColor="background1"/>
              </w:rPr>
            </w:pPr>
            <w:r w:rsidRPr="00B21330">
              <w:rPr>
                <w:b/>
                <w:noProof/>
                <w:color w:val="FFFFFF" w:themeColor="background1"/>
              </w:rPr>
              <w:t>MFA Egypten</w:t>
            </w:r>
          </w:p>
        </w:tc>
      </w:tr>
      <w:tr w:rsidR="00901B92" w:rsidRPr="00B21330" w14:paraId="50C72027" w14:textId="77777777" w:rsidTr="00901B92">
        <w:trPr>
          <w:trHeight w:val="415"/>
        </w:trPr>
        <w:tc>
          <w:tcPr>
            <w:tcW w:w="2093" w:type="dxa"/>
            <w:vAlign w:val="center"/>
          </w:tcPr>
          <w:p w14:paraId="4EDEB4B3" w14:textId="30121D81" w:rsidR="00901B92" w:rsidRPr="00B21330" w:rsidRDefault="00016108" w:rsidP="001E1429">
            <w:pPr>
              <w:jc w:val="center"/>
              <w:rPr>
                <w:noProof/>
                <w:color w:val="3B3838" w:themeColor="background2" w:themeShade="40"/>
              </w:rPr>
            </w:pPr>
            <w:r w:rsidRPr="00B21330">
              <w:rPr>
                <w:noProof/>
                <w:color w:val="3B3838" w:themeColor="background2" w:themeShade="40"/>
              </w:rPr>
              <w:t>2,68 %</w:t>
            </w:r>
          </w:p>
        </w:tc>
      </w:tr>
    </w:tbl>
    <w:p w14:paraId="506374B3" w14:textId="77777777" w:rsidR="00266B45" w:rsidRPr="00B21330" w:rsidRDefault="00266B45" w:rsidP="00266B45">
      <w:pPr>
        <w:rPr>
          <w:noProof/>
        </w:rPr>
      </w:pPr>
    </w:p>
    <w:p w14:paraId="14B36A49" w14:textId="3D46E4DD" w:rsidR="00882B2E" w:rsidRPr="00B21330" w:rsidRDefault="00266B45" w:rsidP="00882B2E">
      <w:pPr>
        <w:rPr>
          <w:noProof/>
        </w:rPr>
      </w:pPr>
      <w:r w:rsidRPr="00B21330">
        <w:rPr>
          <w:noProof/>
        </w:rPr>
        <w:t>Den yderligere reduktion af finansieringsomkostningerne i andet halvår af 2024 afspejlede bredere markedsvilkår og en stramning af renten på EU-obligationer i forhold til renten på europæiske statsobligationer i 6-månedersperioden. Renten på EU-obligationer faldt med ca. 33 basispoint i andet halvår af 2024, fra 3,23 % den 1. juli 2024 til 2,90 % den 31. december 2024 for en 10-årig obligation. Denne udvikling blev understøttet af Den Europæiske Centralbanks tre rentenedsættelser på 25 basispoint i løbet af andet halvår af 2024. Rentespændene mellem EU og de fleste udstedere af europæiske statsobligationer blev strammet i andet halvår af 2024. F.eks. faldt det 10-årige rentespænd mellem EU-obligationer og en 50/50-kurv af tyske/franske statsobligationer fra omkring 25 basispoint i begyndelsen af halvåret til 12 basispoint i slutningen</w:t>
      </w:r>
      <w:bookmarkStart w:id="50" w:name="_Hlk169710857"/>
      <w:r w:rsidRPr="00B21330">
        <w:rPr>
          <w:noProof/>
        </w:rPr>
        <w:t xml:space="preserve">. </w:t>
      </w:r>
    </w:p>
    <w:p w14:paraId="4FDD3DC4" w14:textId="5181772E" w:rsidR="00B21330" w:rsidRPr="00B21330" w:rsidRDefault="00B21330">
      <w:pPr>
        <w:spacing w:line="259" w:lineRule="auto"/>
        <w:jc w:val="left"/>
        <w:rPr>
          <w:b/>
          <w:bCs/>
          <w:noProof/>
          <w:color w:val="034EA2" w:themeColor="accent1"/>
        </w:rPr>
      </w:pPr>
    </w:p>
    <w:p w14:paraId="3A76B9BE" w14:textId="77777777" w:rsidR="00FD7F1E" w:rsidRDefault="00FD7F1E">
      <w:pPr>
        <w:spacing w:line="259" w:lineRule="auto"/>
        <w:jc w:val="left"/>
        <w:rPr>
          <w:b/>
          <w:noProof/>
          <w:color w:val="034EA2" w:themeColor="accent1"/>
        </w:rPr>
      </w:pPr>
      <w:r>
        <w:rPr>
          <w:b/>
          <w:noProof/>
          <w:color w:val="034EA2" w:themeColor="accent1"/>
        </w:rPr>
        <w:br w:type="page"/>
      </w:r>
    </w:p>
    <w:p w14:paraId="15E82C08" w14:textId="6EC5EF35" w:rsidR="008229A6" w:rsidRPr="00B21330" w:rsidRDefault="008229A6" w:rsidP="008229A6">
      <w:pPr>
        <w:rPr>
          <w:b/>
          <w:bCs/>
          <w:noProof/>
          <w:color w:val="034EA2" w:themeColor="accent1"/>
        </w:rPr>
      </w:pPr>
      <w:r w:rsidRPr="00B21330">
        <w:rPr>
          <w:b/>
          <w:noProof/>
          <w:color w:val="034EA2" w:themeColor="accent1"/>
        </w:rPr>
        <w:t>Figur 6: Udbytte af 10-årige EU-obligationer</w:t>
      </w:r>
    </w:p>
    <w:p w14:paraId="5CA94D4A" w14:textId="6BD53E57" w:rsidR="008229A6" w:rsidRPr="00B21330" w:rsidRDefault="005B1BB2" w:rsidP="00D42605">
      <w:pPr>
        <w:rPr>
          <w:noProof/>
        </w:rPr>
      </w:pPr>
      <w:r w:rsidRPr="00B21330">
        <w:rPr>
          <w:noProof/>
          <w:lang w:val="en-GB" w:eastAsia="en-GB"/>
        </w:rPr>
        <w:drawing>
          <wp:inline distT="0" distB="0" distL="0" distR="0" wp14:anchorId="6EC57DD3" wp14:editId="16146B06">
            <wp:extent cx="5731510" cy="3078480"/>
            <wp:effectExtent l="0" t="0" r="0" b="0"/>
            <wp:docPr id="96984286" name="Chart 1">
              <a:extLst xmlns:a="http://schemas.openxmlformats.org/drawingml/2006/main">
                <a:ext uri="{FF2B5EF4-FFF2-40B4-BE49-F238E27FC236}">
                  <a16:creationId xmlns:a16="http://schemas.microsoft.com/office/drawing/2014/main" id="{A959B213-9179-499A-9000-EC1899CB5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0178AF5" w14:textId="77777777" w:rsidR="008229A6" w:rsidRPr="00B21330" w:rsidRDefault="008229A6" w:rsidP="00D42605">
      <w:pPr>
        <w:rPr>
          <w:strike/>
          <w:noProof/>
        </w:rPr>
      </w:pPr>
    </w:p>
    <w:p w14:paraId="578660E7" w14:textId="24AC3BA7" w:rsidR="00D73D12" w:rsidRPr="00B21330" w:rsidRDefault="001D0900" w:rsidP="00A87F59">
      <w:pPr>
        <w:pStyle w:val="Heading2"/>
        <w:rPr>
          <w:noProof/>
        </w:rPr>
      </w:pPr>
      <w:bookmarkStart w:id="51" w:name="_Toc169303171"/>
      <w:bookmarkStart w:id="52" w:name="_Toc170294787"/>
      <w:bookmarkStart w:id="53" w:name="_Toc187347929"/>
      <w:bookmarkStart w:id="54" w:name="_Toc187701958"/>
      <w:bookmarkStart w:id="55" w:name="_Toc187702013"/>
      <w:bookmarkStart w:id="56" w:name="_Toc190904649"/>
      <w:bookmarkStart w:id="57" w:name="_Toc192765644"/>
      <w:bookmarkStart w:id="58" w:name="_Hlk187336294"/>
      <w:bookmarkEnd w:id="50"/>
      <w:r w:rsidRPr="00B21330">
        <w:rPr>
          <w:noProof/>
        </w:rPr>
        <w:t>Likviditetsstyring</w:t>
      </w:r>
      <w:bookmarkEnd w:id="51"/>
      <w:bookmarkEnd w:id="52"/>
      <w:bookmarkEnd w:id="53"/>
      <w:bookmarkEnd w:id="54"/>
      <w:bookmarkEnd w:id="55"/>
      <w:bookmarkEnd w:id="56"/>
      <w:bookmarkEnd w:id="57"/>
    </w:p>
    <w:p w14:paraId="19DD8801" w14:textId="3E2640F6" w:rsidR="00046F24" w:rsidRPr="00B21330" w:rsidRDefault="00046F24" w:rsidP="00046F24">
      <w:pPr>
        <w:rPr>
          <w:noProof/>
        </w:rPr>
      </w:pPr>
      <w:bookmarkStart w:id="59" w:name="_Ref155257759"/>
      <w:r w:rsidRPr="00B21330">
        <w:rPr>
          <w:noProof/>
        </w:rPr>
        <w:t>Kommissionen opretholdt en regelmæssig og forudsigelig tilstedeværelse på de finansielle markeder i overensstemmelse med den finansieringsplan, der blev bebudet i juni 2024. I andet halvår af 2024 steg de gennemsnitlige likviditetsbeholdninger i forhold til første halvår af 2024, primært som følge af udbetalinger koncentreret i slutningen af 2024 og begyndelsen af 2025. Som følge heraf udgjorde den gennemsnitlige kontantbeholdning 50,7 mia. EUR i andet halvår sammenlignet med 28,2 mia. EUR i første halvår af 2024. Kontantbeholdningerne faldt til 33,8 mia. EUR i begyndelsen af 2025 efter at have toppet med 76,9 mia. EUR i begyndelsen af december 2024 (før udbetalinger på næsten 43 mia. EUR i de tre følgende uger). De resterende kontantbeholdninger ved årets udgang vil blive trukket på i begyndelsen af 2025 for at opfylde de planlagte udbetalingsbehov.</w:t>
      </w:r>
    </w:p>
    <w:p w14:paraId="661F336D" w14:textId="58005575" w:rsidR="00996115" w:rsidRPr="00B21330" w:rsidRDefault="00475680" w:rsidP="00440BC5">
      <w:pPr>
        <w:rPr>
          <w:noProof/>
        </w:rPr>
      </w:pPr>
      <w:r w:rsidRPr="00B21330">
        <w:rPr>
          <w:noProof/>
        </w:rPr>
        <w:t>Disse likviditetsbeholdninger resulterede ikke i omkostninger for de støttede programmer. Tværtimod var overskydende kontantbeholdninger genstand for aktiv likviditetsstyring i hele andet halvår 2024 for at optimere afkastet af kontantbeholdninger uden at pådrage sig modpartsrisiko. Understøttet af denne aktive likviditetsstyring blev der opnået en nettoindtægt på 58,1 mio. EUR på kontantbeholdningerne fra juli til december 2024. Kumuleret med indtjeningen i første halvår af 2024 udgjorde den årlige indtjening på likviditetsbeholdninger EUR</w:t>
      </w:r>
      <w:r w:rsidRPr="00B21330">
        <w:rPr>
          <w:rFonts w:ascii="Calibri" w:hAnsi="Calibri"/>
          <w:noProof/>
        </w:rPr>
        <w:t> </w:t>
      </w:r>
      <w:r w:rsidRPr="00B21330">
        <w:rPr>
          <w:noProof/>
        </w:rPr>
        <w:t xml:space="preserve">139,9 mio. ved årets udgang. Disse indtægter vil blive fordelt forholdsmæssigt mellem EU-budgettet og lånemodtagerne, navnlig medlemsstaterne under genopretnings- og resiliensfacilitetens låneprogram. </w:t>
      </w:r>
    </w:p>
    <w:p w14:paraId="795EF447" w14:textId="341E071D" w:rsidR="00DF5658" w:rsidRPr="00B21330" w:rsidRDefault="001401DA" w:rsidP="00DF5658">
      <w:pPr>
        <w:pStyle w:val="Heading1"/>
        <w:rPr>
          <w:noProof/>
        </w:rPr>
      </w:pPr>
      <w:bookmarkStart w:id="60" w:name="_Toc192765645"/>
      <w:bookmarkStart w:id="61" w:name="_Hlk187423718"/>
      <w:bookmarkEnd w:id="58"/>
      <w:r w:rsidRPr="00B21330">
        <w:rPr>
          <w:noProof/>
        </w:rPr>
        <w:t>Skridt til at videreudvikle økosystemet for EU-obligationer</w:t>
      </w:r>
      <w:bookmarkEnd w:id="59"/>
      <w:bookmarkEnd w:id="60"/>
    </w:p>
    <w:p w14:paraId="1AEA051A" w14:textId="2AE87235" w:rsidR="00847A54" w:rsidRPr="00B21330" w:rsidRDefault="00847A54" w:rsidP="00847A54">
      <w:pPr>
        <w:rPr>
          <w:noProof/>
        </w:rPr>
      </w:pPr>
      <w:r w:rsidRPr="00B21330">
        <w:rPr>
          <w:noProof/>
        </w:rPr>
        <w:t>I oktober 2024 lancerede Kommissionen en tilbagekøbsaftalefacilitet for EU-obligationer, som gør det muligt for EU at give sine primary dealere mulighed for midlertidigt at købe specifikke EU-obligationer. Faciliteten har til formål at hjælpe EU's primary dealere med at give faste og offentlige kursnoteringer på EU-obligationer, så investorerne kan have tillid til de vilkår, hvorpå de kan handle EU-obligationer på det sekundære marked, hvilket vil forbedre effektiviteten og likviditeten på markedet for EU-obligationer.</w:t>
      </w:r>
    </w:p>
    <w:p w14:paraId="1ED269A0" w14:textId="640A7C41" w:rsidR="00847A54" w:rsidRPr="00B21330" w:rsidRDefault="00847A54" w:rsidP="00847A54">
      <w:pPr>
        <w:rPr>
          <w:noProof/>
        </w:rPr>
      </w:pPr>
      <w:r w:rsidRPr="00B21330">
        <w:rPr>
          <w:noProof/>
        </w:rPr>
        <w:t>Oprettelsen af repofaciliteten følger i fodsporene på mange store udstedere, der tilbyder denne service til deres primary dealere, og er et naturligt næste skridt i uddybningen af markedsøkosystemet for EU-obligationer. Med lanceringen af ordningen har EU opfyldt det sidste af de tilsagn, der blev givet i december 2022 om de skridt, der skal tages for at opbygge kapacitet til at støtte EU-obligationsmarkedet.</w:t>
      </w:r>
    </w:p>
    <w:p w14:paraId="092AD4ED" w14:textId="61FC9A52" w:rsidR="00847A54" w:rsidRPr="00B21330" w:rsidRDefault="00847A54" w:rsidP="00847A54">
      <w:pPr>
        <w:rPr>
          <w:noProof/>
        </w:rPr>
      </w:pPr>
      <w:r w:rsidRPr="00B21330">
        <w:rPr>
          <w:noProof/>
        </w:rPr>
        <w:t xml:space="preserve">Den igangværende udvikling af økosystemet for EU-obligationer, kombineret med konsolideringen af finansieringsmængderne under den fælles finansieringsmetode (der har været gældende siden januar 2023), har også gjort det muligt for markedsdeltagerne at tage uafhængige initiativer, som yderligere kan støtte EU-obligationsmarkedets funktion. </w:t>
      </w:r>
    </w:p>
    <w:p w14:paraId="0C481F75" w14:textId="5AFC0C1F" w:rsidR="00DF5658" w:rsidRPr="00B21330" w:rsidRDefault="004C7FC5" w:rsidP="001B0E99">
      <w:pPr>
        <w:rPr>
          <w:noProof/>
        </w:rPr>
      </w:pPr>
      <w:r w:rsidRPr="00B21330">
        <w:rPr>
          <w:noProof/>
        </w:rPr>
        <w:t xml:space="preserve">Disse uafhængige initiativer omfattede lanceringen af en futureskontrakt baseret på et indeks over EU-obligationer i december 2024. En førende europæisk børs meddelte sin fornyede interesse i at lancere en traditionel (fysisk afviklet) EU-obligationsfuture på markedet i løbet af 2025. Tilgængeligheden af disse futureskontrakter vil yderligere støtte investeringer i EU-obligationer ved at give markedsdeltagerne mulighed for at afdække åbne positioner på EU-obligationer og vurdere markedsforventningerne til prisfastsættelse af EU-obligationer. Indeksudbydere fortsatte med at overveje, hvordan EU-obligationer bedst klassificeres i forskellige indekser, idet en anden indeksforvalter meddelte, at den efter en høring af indeksbrugerne endnu ikke var klar til at medtage EU-obligationer i sine relevante statslige indekser, men at den ville revurdere situationen senere. </w:t>
      </w:r>
    </w:p>
    <w:p w14:paraId="6B3B3AB6" w14:textId="5C4F77D7" w:rsidR="00456072" w:rsidRPr="00B21330" w:rsidRDefault="00456072" w:rsidP="00A87F59">
      <w:pPr>
        <w:pStyle w:val="Heading1"/>
        <w:rPr>
          <w:noProof/>
        </w:rPr>
      </w:pPr>
      <w:bookmarkStart w:id="62" w:name="_Ref169300365"/>
      <w:bookmarkStart w:id="63" w:name="_Ref169300367"/>
      <w:bookmarkStart w:id="64" w:name="_Toc192765646"/>
      <w:r w:rsidRPr="00B21330">
        <w:rPr>
          <w:noProof/>
        </w:rPr>
        <w:t>Andre milepæle i andet halvår af 202</w:t>
      </w:r>
      <w:bookmarkEnd w:id="62"/>
      <w:bookmarkEnd w:id="63"/>
      <w:r w:rsidRPr="00B21330">
        <w:rPr>
          <w:noProof/>
        </w:rPr>
        <w:t>4</w:t>
      </w:r>
      <w:bookmarkEnd w:id="64"/>
    </w:p>
    <w:p w14:paraId="5A4859E4" w14:textId="6FACD352" w:rsidR="00456072" w:rsidRPr="00B21330" w:rsidRDefault="00DF5658" w:rsidP="00A87F59">
      <w:pPr>
        <w:pStyle w:val="Heading2"/>
        <w:rPr>
          <w:noProof/>
        </w:rPr>
      </w:pPr>
      <w:bookmarkStart w:id="65" w:name="_Toc187347932"/>
      <w:bookmarkStart w:id="66" w:name="_Toc187702016"/>
      <w:bookmarkStart w:id="67" w:name="_Toc190904652"/>
      <w:bookmarkStart w:id="68" w:name="_Toc192765647"/>
      <w:r w:rsidRPr="00B21330">
        <w:rPr>
          <w:noProof/>
        </w:rPr>
        <w:t>Rapport om fordeling af grønne NGEU-obligationer og konsekvensanalyse 2024</w:t>
      </w:r>
      <w:bookmarkEnd w:id="65"/>
      <w:bookmarkEnd w:id="66"/>
      <w:bookmarkEnd w:id="67"/>
      <w:bookmarkEnd w:id="68"/>
    </w:p>
    <w:p w14:paraId="5DBC0FB7" w14:textId="4259CC2F" w:rsidR="001A57FF" w:rsidRPr="00B21330" w:rsidRDefault="001A57FF" w:rsidP="001A57FF">
      <w:pPr>
        <w:rPr>
          <w:noProof/>
        </w:rPr>
      </w:pPr>
      <w:bookmarkStart w:id="69" w:name="_Toc187702017"/>
      <w:bookmarkStart w:id="70" w:name="_Toc169303180"/>
      <w:r w:rsidRPr="00B21330">
        <w:rPr>
          <w:noProof/>
        </w:rPr>
        <w:t>Tre år efter udstedelsen af de første grønne obligationer i oktober 2021 udgjorde udstedelsen af grønne NGEU-obligationer ved udgangen af 2024 mere end 68 mia. EUR. Disse obligationer blev udstedt på grundlag af en allerede rapporteret og valideret klimarelevant udgift på 53 mia. EUR og en samlet pulje af klimarelevante udgifter til en værdi af 264 mia. EUR i medlemsstaternes planer, der finansieres af genopretnings- og resiliensfaciliteten.</w:t>
      </w:r>
    </w:p>
    <w:p w14:paraId="12B3C829" w14:textId="58B35ADA" w:rsidR="001A57FF" w:rsidRPr="00B21330" w:rsidRDefault="001A57FF" w:rsidP="001A57FF">
      <w:pPr>
        <w:rPr>
          <w:noProof/>
        </w:rPr>
      </w:pPr>
      <w:r w:rsidRPr="00B21330">
        <w:rPr>
          <w:noProof/>
        </w:rPr>
        <w:t xml:space="preserve">I overensstemmelse med rapporteringskravene i rammen for grønne NGEU-obligationer offentliggjorde Kommissionen sin 2024-udgave af den årlige </w:t>
      </w:r>
      <w:hyperlink r:id="rId36" w:history="1">
        <w:r w:rsidRPr="00B21330">
          <w:rPr>
            <w:rStyle w:val="Hyperlink"/>
            <w:noProof/>
          </w:rPr>
          <w:t>rapport om fordeling af grønne NGEU-obligationer og konsekvensanalyse</w:t>
        </w:r>
      </w:hyperlink>
      <w:r w:rsidRPr="00B21330">
        <w:rPr>
          <w:noProof/>
        </w:rPr>
        <w:t xml:space="preserve"> i november. </w:t>
      </w:r>
    </w:p>
    <w:p w14:paraId="161276DB" w14:textId="140E4416" w:rsidR="001A57FF" w:rsidRPr="00B21330" w:rsidRDefault="001A57FF" w:rsidP="001A57FF">
      <w:pPr>
        <w:rPr>
          <w:noProof/>
        </w:rPr>
      </w:pPr>
      <w:r w:rsidRPr="00B21330">
        <w:rPr>
          <w:noProof/>
        </w:rPr>
        <w:t xml:space="preserve">Rapporten viser (baseret på skæringsdatoen den 1. august 2024), at: </w:t>
      </w:r>
    </w:p>
    <w:p w14:paraId="6D26210C" w14:textId="70E669C0" w:rsidR="00DB4A9B" w:rsidRPr="00B21330" w:rsidRDefault="001A57FF" w:rsidP="001A57FF">
      <w:pPr>
        <w:pStyle w:val="ListParagraph"/>
        <w:numPr>
          <w:ilvl w:val="0"/>
          <w:numId w:val="37"/>
        </w:numPr>
        <w:rPr>
          <w:rFonts w:ascii="EC Square Sans Pro" w:hAnsi="EC Square Sans Pro"/>
          <w:noProof/>
        </w:rPr>
      </w:pPr>
      <w:r w:rsidRPr="00B21330">
        <w:rPr>
          <w:rFonts w:ascii="EC Square Sans Pro" w:hAnsi="EC Square Sans Pro"/>
          <w:noProof/>
        </w:rPr>
        <w:t>Puljen af støtteberettigede udgifter til grønne NGEU-obligationer steg til 264,6 mia. EUR i 2024, hvilket er næsten 40 % højere end i 2023. Denne stigning skyldtes hovedsagelig højere udgifter, der er relevante for klimaomstillingen, efter at medlemsstaternes genopretnings- og resiliensplaner blev revideret for at medtage REPowerEU-planen.</w:t>
      </w:r>
    </w:p>
    <w:p w14:paraId="6CD2A7E9" w14:textId="53228DB0" w:rsidR="00C97E32" w:rsidRPr="00B21330" w:rsidRDefault="00555E15" w:rsidP="001A57FF">
      <w:pPr>
        <w:pStyle w:val="ListParagraph"/>
        <w:numPr>
          <w:ilvl w:val="0"/>
          <w:numId w:val="37"/>
        </w:numPr>
        <w:rPr>
          <w:rFonts w:ascii="EC Square Sans Pro" w:hAnsi="EC Square Sans Pro"/>
          <w:noProof/>
        </w:rPr>
      </w:pPr>
      <w:r w:rsidRPr="00B21330">
        <w:rPr>
          <w:rFonts w:ascii="EC Square Sans Pro" w:hAnsi="EC Square Sans Pro"/>
          <w:noProof/>
        </w:rPr>
        <w:t xml:space="preserve">Puljen af grønne NGEU-obligationer stemmer fortsat i høj grad overens med EU-klassificeringssystemet. 63,4 % af den samlede pulje af støtteberettigede udgifter til grønne NGEU-obligationer vurderes at være helt eller i væsentlig grad i overensstemmelse med EU's klassificeringsparametre (sammenlignet med 57,5 % i 2023). </w:t>
      </w:r>
    </w:p>
    <w:p w14:paraId="58452BB4" w14:textId="585EF85C" w:rsidR="001A57FF" w:rsidRPr="00B21330" w:rsidRDefault="001A57FF" w:rsidP="001A57FF">
      <w:pPr>
        <w:pStyle w:val="ListParagraph"/>
        <w:numPr>
          <w:ilvl w:val="0"/>
          <w:numId w:val="37"/>
        </w:numPr>
        <w:rPr>
          <w:noProof/>
        </w:rPr>
      </w:pPr>
      <w:r w:rsidRPr="00B21330">
        <w:rPr>
          <w:rFonts w:ascii="EC Square Sans Pro" w:hAnsi="EC Square Sans Pro"/>
          <w:noProof/>
        </w:rPr>
        <w:t>En fuldstændig udrulning af investeringer, der finansieres af grønne NGEU-obligationer, forventes at reducere EU's drivhusgasemissioner med 55 mio. ton om året, hvilket svarer til 1,5 % af alle drivhusgasemissioner i EU.</w:t>
      </w:r>
      <w:r w:rsidRPr="00B21330">
        <w:rPr>
          <w:noProof/>
        </w:rPr>
        <w:t xml:space="preserve"> </w:t>
      </w:r>
    </w:p>
    <w:p w14:paraId="66FAD1BA" w14:textId="19469A09" w:rsidR="00D9063C" w:rsidRPr="00B21330" w:rsidRDefault="001A57FF" w:rsidP="0026697C">
      <w:pPr>
        <w:rPr>
          <w:noProof/>
        </w:rPr>
      </w:pPr>
      <w:r w:rsidRPr="00B21330">
        <w:rPr>
          <w:noProof/>
        </w:rPr>
        <w:t>Fremadrettet vil grønne NGEU-obligationer i stigende grad blive udstedt, samtidig med at medlemsstaterne rapporterer og validerer støtteberettigede udgifter. For udgifter, der bekræftes efter 2026, kan Kommissionen udstede grønne NGEU-obligationer som erstatning for forfaldne konventionelle obligationer i refinansieringsfasen. Denne fremgangsmåde sikrer, at alle støtteberettigede udgifter kontrolleres fuldt ud, inden obligationerne udstedes.</w:t>
      </w:r>
      <w:bookmarkEnd w:id="69"/>
    </w:p>
    <w:p w14:paraId="15D20713" w14:textId="2CD23F29" w:rsidR="001401DA" w:rsidRPr="00B21330" w:rsidRDefault="007D6C82" w:rsidP="009C1A13">
      <w:pPr>
        <w:pStyle w:val="Heading1"/>
        <w:rPr>
          <w:noProof/>
        </w:rPr>
      </w:pPr>
      <w:bookmarkStart w:id="71" w:name="_Toc192765648"/>
      <w:bookmarkStart w:id="72" w:name="_Hlk155276042"/>
      <w:bookmarkStart w:id="73" w:name="_Hlk158303590"/>
      <w:bookmarkStart w:id="74" w:name="_Hlk158382887"/>
      <w:bookmarkEnd w:id="61"/>
      <w:bookmarkEnd w:id="70"/>
      <w:r w:rsidRPr="00B21330">
        <w:rPr>
          <w:noProof/>
        </w:rPr>
        <w:t>Tidsplan for udstedelser i første halvår af 2025</w:t>
      </w:r>
      <w:bookmarkEnd w:id="71"/>
    </w:p>
    <w:bookmarkEnd w:id="72"/>
    <w:bookmarkEnd w:id="73"/>
    <w:bookmarkEnd w:id="74"/>
    <w:p w14:paraId="6C59CE6F" w14:textId="0802000C" w:rsidR="003874C8" w:rsidRPr="00B21330" w:rsidRDefault="003874C8" w:rsidP="003874C8">
      <w:pPr>
        <w:rPr>
          <w:noProof/>
        </w:rPr>
      </w:pPr>
      <w:r w:rsidRPr="00B21330">
        <w:rPr>
          <w:noProof/>
        </w:rPr>
        <w:t xml:space="preserve">Den 10. december 2024 meddelte Kommissionen, at den havde til hensigt at udstede op til 90 mia. EUR i EU-obligationer i første halvår af 2025, hvilket er det højeste halvårlige finansieringsmål siden lanceringen af den diversificerede finansieringsstrategi i 2021. På grundlag af udbetalingsprognoserne forventer EU at opnå 160 mia. EUR i finansiering i 2025 ved at udstede EU-obligationer. Disse finansieringsbehov afspejler den brede vifte af eksisterende og nye EU-politikprogrammer, der finansieres af provenuet fra EU-obligationer, som i andet halvår 2024 blev udvidet til at omfatte et nyt ekstraordinært makrofinansielt bistandslån på 18,1 mia. EUR til Ukraine inden for rammerne af G7-aftalen og ny støtte til udvidelseskandidater under investeringsfaciliteten for Vestbalkan og nabolandene (såsom Egypten og Jordan). </w:t>
      </w:r>
    </w:p>
    <w:p w14:paraId="4C5176A7" w14:textId="46430963" w:rsidR="003874C8" w:rsidRPr="00B21330" w:rsidRDefault="003874C8" w:rsidP="003874C8">
      <w:pPr>
        <w:rPr>
          <w:noProof/>
        </w:rPr>
      </w:pPr>
      <w:r w:rsidRPr="00B21330">
        <w:rPr>
          <w:noProof/>
        </w:rPr>
        <w:t>Beløb, der opkræves ved udstedelse af EU-obligationer, vil blive suppleret med kortfristet finansiering gennem EU-gældsbeviser og andre kortfristede finansieringsværktøjer. Øgede mængder af EU-gældsbeviser vil blive fremmet af indførelsen af auktioner i tre dele og lanceringen af en ny 12-månederslinje for EU-gældsbeviser i januar 2025, ud over de eksisterende 3- og 6-månederslinjer.</w:t>
      </w:r>
    </w:p>
    <w:p w14:paraId="43AF04B0" w14:textId="0BBAFACD" w:rsidR="00063474" w:rsidRPr="00B21330" w:rsidRDefault="0088395D" w:rsidP="00E7763D">
      <w:pPr>
        <w:rPr>
          <w:noProof/>
        </w:rPr>
      </w:pPr>
      <w:r w:rsidRPr="00B21330">
        <w:rPr>
          <w:noProof/>
        </w:rPr>
        <w:t>I overensstemmelse med det øgede finansieringsmål forventes der også at blive udstedt flere obligationer via auktioner i første halvår af 2025, hvilket vil holde auktionsandelen stabil. Denne stigning vil blive lettet ved at indføre auktioner over obligationer i tre dele i første halvår af 2025. På samme måde arbejder Kommissionen på at indføre ikkekonkurrencebaserede tildelinger ved auktion ("greenshoe-option") for at tildele en begrænset yderligere mængde auktionerede obligationer umiddelbart efter en auktion. Denne ekstra funktion bruges også af mange statslige auktionsprogrammer til at give deres primary dealere et incitament til at støtte auktioner ved at give dem mulighed for at erhverve yderligere obligationer på gunstige vilkår, hvis markedsprisen efter auktionen bevæger sig til deres fordel. Kommissionen sigter mod at gennemføre ikkekonkurrencemæssige tildelinger som led i finansieringsplanen for andet halvår af 2025.</w:t>
      </w:r>
    </w:p>
    <w:p w14:paraId="7DBF6AC6" w14:textId="0ED63147" w:rsidR="003F3424" w:rsidRPr="00B21330" w:rsidRDefault="003F3424" w:rsidP="00F13D4C">
      <w:pPr>
        <w:rPr>
          <w:noProof/>
        </w:rPr>
        <w:sectPr w:rsidR="003F3424" w:rsidRPr="00B21330" w:rsidSect="00CA43D7">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08" w:footer="708" w:gutter="0"/>
          <w:cols w:space="708"/>
          <w:docGrid w:linePitch="360"/>
        </w:sectPr>
      </w:pPr>
    </w:p>
    <w:p w14:paraId="1A69248E" w14:textId="72CEED08" w:rsidR="00D73D12" w:rsidRPr="00B21330" w:rsidRDefault="00325F9E" w:rsidP="00F9742E">
      <w:pPr>
        <w:rPr>
          <w:b/>
          <w:bCs/>
          <w:noProof/>
          <w:color w:val="034EA2" w:themeColor="accent1"/>
        </w:rPr>
      </w:pPr>
      <w:r w:rsidRPr="00B21330">
        <w:rPr>
          <w:b/>
          <w:noProof/>
          <w:color w:val="034EA2" w:themeColor="accent1"/>
        </w:rPr>
        <w:t>Bilag: Gennemførelsesindikatorer for anvendelsen af midler til at nå Kommissionens mål for dens overordnede gældsforvaltningsstrategis effektivitet og virkningsfuldhed</w:t>
      </w:r>
    </w:p>
    <w:tbl>
      <w:tblPr>
        <w:tblStyle w:val="GridTable4-Accent5"/>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1664"/>
        <w:gridCol w:w="3264"/>
        <w:gridCol w:w="2442"/>
        <w:gridCol w:w="2551"/>
        <w:gridCol w:w="4678"/>
      </w:tblGrid>
      <w:tr w:rsidR="00515675" w:rsidRPr="00B21330" w14:paraId="49380785" w14:textId="77777777" w:rsidTr="04A2D39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28" w:type="dxa"/>
            <w:gridSpan w:val="2"/>
            <w:shd w:val="clear" w:color="auto" w:fill="034EA2" w:themeFill="accent1"/>
            <w:vAlign w:val="center"/>
          </w:tcPr>
          <w:p w14:paraId="43AA69EA" w14:textId="77777777" w:rsidR="00515675" w:rsidRPr="00B21330" w:rsidRDefault="00515675" w:rsidP="001E1429">
            <w:pPr>
              <w:jc w:val="center"/>
              <w:rPr>
                <w:noProof/>
                <w:sz w:val="18"/>
                <w:szCs w:val="18"/>
              </w:rPr>
            </w:pPr>
            <w:r w:rsidRPr="00B21330">
              <w:rPr>
                <w:noProof/>
                <w:sz w:val="18"/>
              </w:rPr>
              <w:t>Midler</w:t>
            </w:r>
          </w:p>
        </w:tc>
        <w:tc>
          <w:tcPr>
            <w:tcW w:w="2268" w:type="dxa"/>
            <w:shd w:val="clear" w:color="auto" w:fill="034EA2" w:themeFill="accent1"/>
            <w:vAlign w:val="center"/>
          </w:tcPr>
          <w:p w14:paraId="7BAE177C" w14:textId="77777777" w:rsidR="00515675" w:rsidRPr="00B21330" w:rsidRDefault="00515675" w:rsidP="001E1429">
            <w:pPr>
              <w:ind w:left="113" w:hanging="113"/>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21330">
              <w:rPr>
                <w:noProof/>
                <w:sz w:val="18"/>
              </w:rPr>
              <w:t>Indikator</w:t>
            </w:r>
          </w:p>
        </w:tc>
        <w:tc>
          <w:tcPr>
            <w:tcW w:w="2551" w:type="dxa"/>
            <w:shd w:val="clear" w:color="auto" w:fill="034EA2" w:themeFill="accent1"/>
            <w:vAlign w:val="center"/>
          </w:tcPr>
          <w:p w14:paraId="60C7FC50" w14:textId="77777777" w:rsidR="00515675" w:rsidRPr="00B21330"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21330">
              <w:rPr>
                <w:noProof/>
                <w:sz w:val="18"/>
              </w:rPr>
              <w:t>Værdi i andet halvår af 2024 (medmindre andet er angivet)</w:t>
            </w:r>
          </w:p>
        </w:tc>
        <w:tc>
          <w:tcPr>
            <w:tcW w:w="4678" w:type="dxa"/>
            <w:shd w:val="clear" w:color="auto" w:fill="034EA2" w:themeFill="accent1"/>
            <w:vAlign w:val="center"/>
          </w:tcPr>
          <w:p w14:paraId="73276419" w14:textId="77777777" w:rsidR="00515675" w:rsidRPr="00B21330"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21330">
              <w:rPr>
                <w:noProof/>
                <w:sz w:val="18"/>
              </w:rPr>
              <w:t>Bemærkninger angående gennemførelsen i andet halvår af 2024</w:t>
            </w:r>
          </w:p>
        </w:tc>
      </w:tr>
      <w:tr w:rsidR="00515675" w:rsidRPr="00B21330" w14:paraId="4B9315AC"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05855DA6" w14:textId="77777777" w:rsidR="00515675" w:rsidRPr="00B21330" w:rsidRDefault="00515675" w:rsidP="001E1429">
            <w:pPr>
              <w:jc w:val="left"/>
              <w:rPr>
                <w:noProof/>
                <w:color w:val="034EA2" w:themeColor="accent1"/>
                <w:sz w:val="18"/>
                <w:szCs w:val="18"/>
              </w:rPr>
            </w:pPr>
            <w:r w:rsidRPr="00B21330">
              <w:rPr>
                <w:noProof/>
                <w:color w:val="034EA2" w:themeColor="accent1"/>
                <w:sz w:val="18"/>
              </w:rPr>
              <w:t>Gennemførelse af programmet for EU-obligationer</w:t>
            </w:r>
          </w:p>
          <w:p w14:paraId="68666518" w14:textId="77777777" w:rsidR="00515675" w:rsidRPr="00B21330" w:rsidRDefault="00515675" w:rsidP="001E1429">
            <w:pPr>
              <w:rPr>
                <w:noProof/>
                <w:sz w:val="18"/>
                <w:szCs w:val="18"/>
              </w:rPr>
            </w:pPr>
          </w:p>
        </w:tc>
        <w:tc>
          <w:tcPr>
            <w:tcW w:w="3264" w:type="dxa"/>
            <w:vMerge w:val="restart"/>
            <w:shd w:val="clear" w:color="auto" w:fill="auto"/>
          </w:tcPr>
          <w:p w14:paraId="3B4147F9" w14:textId="77777777" w:rsidR="00515675" w:rsidRPr="00B21330" w:rsidRDefault="00515675" w:rsidP="001E1429">
            <w:pPr>
              <w:pStyle w:val="ListParagraph"/>
              <w:numPr>
                <w:ilvl w:val="0"/>
                <w:numId w:val="27"/>
              </w:numPr>
              <w:spacing w:after="60" w:line="240" w:lineRule="auto"/>
              <w:ind w:left="170" w:hanging="170"/>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sidRPr="00B21330">
              <w:rPr>
                <w:rFonts w:ascii="EC Square Sans Pro" w:hAnsi="EC Square Sans Pro"/>
                <w:noProof/>
                <w:color w:val="034EA2" w:themeColor="accent1"/>
                <w:sz w:val="18"/>
              </w:rPr>
              <w:t xml:space="preserve"> Regelmæssige udstedelser på tværs af kurven</w:t>
            </w:r>
          </w:p>
          <w:p w14:paraId="5272F7C5"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Regelmæssige udstedelser af EU-obligationer (og grønne NGEU-obligationer) for alle løbetider på tværs af kurven (op til 30 år) for at give forskellige typer investorer investeringsmuligheder som et middel til at fastholde en stærk investorefterspørgsel og dermed fleksibilitet til at bestemme udstedelsesmængder og løbetider for individuelle transaktioner på grundlag af markedsvilkårene.</w:t>
            </w:r>
          </w:p>
        </w:tc>
        <w:tc>
          <w:tcPr>
            <w:tcW w:w="2268" w:type="dxa"/>
            <w:shd w:val="clear" w:color="auto" w:fill="auto"/>
          </w:tcPr>
          <w:p w14:paraId="1F981204" w14:textId="77777777" w:rsidR="00515675" w:rsidRPr="00B21330"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Udstedelsesprogrammets løbetidsopdeling</w:t>
            </w:r>
          </w:p>
        </w:tc>
        <w:tc>
          <w:tcPr>
            <w:tcW w:w="2551" w:type="dxa"/>
            <w:shd w:val="clear" w:color="auto" w:fill="auto"/>
          </w:tcPr>
          <w:p w14:paraId="27F7E7F0"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1-4 år: 15 %</w:t>
            </w:r>
          </w:p>
          <w:p w14:paraId="6C89BCC6"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 xml:space="preserve">4-8 år: 37 % </w:t>
            </w:r>
          </w:p>
          <w:p w14:paraId="7B1BE8EB"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8-12 år: 10 %</w:t>
            </w:r>
          </w:p>
          <w:p w14:paraId="78C37C46"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12-17 år: 12 %</w:t>
            </w:r>
          </w:p>
          <w:p w14:paraId="7E8381D6"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17-23 år: 8 %</w:t>
            </w:r>
          </w:p>
          <w:p w14:paraId="1618EB0D"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23-31 år: 17 %</w:t>
            </w:r>
          </w:p>
        </w:tc>
        <w:tc>
          <w:tcPr>
            <w:tcW w:w="4678" w:type="dxa"/>
            <w:vMerge w:val="restart"/>
            <w:shd w:val="clear" w:color="auto" w:fill="auto"/>
          </w:tcPr>
          <w:p w14:paraId="54FE1263" w14:textId="232CFE2E" w:rsidR="00515675" w:rsidRPr="00B21330"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I andet halvår af 2024 forfulgte Kommissionen sit mål gennem regelmæssige obligationsudstedelser med forskellige løbetider for at tilføre EU-kurven likviditet for alle segmenter. Finansieringstransaktionerne var fordelt over 6-månedersperioden for at sikre en regelmæssig tilstedeværelse på markedet. Der var færre transaktioner end i første halvår 2024, da finansieringsmålet for andet halvår 2024 på op til 65 mia. EUR var lavere end finansieringsmålet for første halvår 2024 på 75 mia. EUR.</w:t>
            </w:r>
          </w:p>
          <w:p w14:paraId="32143070" w14:textId="55389551" w:rsidR="00515675" w:rsidRPr="00B21330"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 xml:space="preserve">Udstedelsen af grønne obligationer var en smule lavere end i første halvår af 2024, hvilket afspejler det lavere finansieringsmål, medlemsstaternes kumulative rapporterede udgifter og tilpasning af udstedelser af grønne obligationer i forhold til disse udgifter på passende vis. </w:t>
            </w:r>
          </w:p>
        </w:tc>
      </w:tr>
      <w:tr w:rsidR="00515675" w:rsidRPr="00B21330" w14:paraId="22CABA41"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4B35148" w14:textId="77777777" w:rsidR="00515675" w:rsidRPr="00B21330" w:rsidRDefault="00515675" w:rsidP="001E1429">
            <w:pPr>
              <w:jc w:val="left"/>
              <w:rPr>
                <w:noProof/>
                <w:color w:val="034EA2" w:themeColor="accent1"/>
                <w:sz w:val="18"/>
                <w:szCs w:val="18"/>
              </w:rPr>
            </w:pPr>
          </w:p>
        </w:tc>
        <w:tc>
          <w:tcPr>
            <w:tcW w:w="3264" w:type="dxa"/>
            <w:vMerge/>
          </w:tcPr>
          <w:p w14:paraId="4E422347" w14:textId="77777777" w:rsidR="00515675" w:rsidRPr="00B21330"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A5038C0" w14:textId="77777777" w:rsidR="00515675" w:rsidRPr="00B21330" w:rsidRDefault="00515675" w:rsidP="001E1429">
            <w:pPr>
              <w:pStyle w:val="ListParagraph"/>
              <w:numPr>
                <w:ilvl w:val="0"/>
                <w:numId w:val="20"/>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sidRPr="00B21330">
              <w:rPr>
                <w:rFonts w:ascii="EC Square Sans Pro" w:hAnsi="EC Square Sans Pro"/>
                <w:i/>
                <w:noProof/>
                <w:sz w:val="18"/>
              </w:rPr>
              <w:t>Rettidig distribution af udstedelser</w:t>
            </w:r>
          </w:p>
          <w:p w14:paraId="529E1569" w14:textId="77777777" w:rsidR="00515675" w:rsidRPr="00B21330" w:rsidRDefault="00515675" w:rsidP="001E1429">
            <w:pPr>
              <w:spacing w:after="40"/>
              <w:ind w:left="226" w:hanging="113"/>
              <w:jc w:val="left"/>
              <w:cnfStyle w:val="000000000000" w:firstRow="0" w:lastRow="0" w:firstColumn="0" w:lastColumn="0" w:oddVBand="0" w:evenVBand="0" w:oddHBand="0" w:evenHBand="0" w:firstRowFirstColumn="0" w:firstRowLastColumn="0" w:lastRowFirstColumn="0" w:lastRowLastColumn="0"/>
              <w:rPr>
                <w:i/>
                <w:iCs/>
                <w:noProof/>
                <w:sz w:val="18"/>
                <w:szCs w:val="18"/>
              </w:rPr>
            </w:pPr>
          </w:p>
        </w:tc>
        <w:tc>
          <w:tcPr>
            <w:tcW w:w="2551" w:type="dxa"/>
            <w:shd w:val="clear" w:color="auto" w:fill="auto"/>
          </w:tcPr>
          <w:p w14:paraId="15A83A0F" w14:textId="08A00629" w:rsidR="00515675" w:rsidRPr="00B21330" w:rsidRDefault="006D00D3"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Fire syndikeringer og seks obligationsauktioner, hvilket resulterede i en eller to udstedelser pr. måned.</w:t>
            </w:r>
          </w:p>
        </w:tc>
        <w:tc>
          <w:tcPr>
            <w:tcW w:w="4678" w:type="dxa"/>
            <w:vMerge/>
          </w:tcPr>
          <w:p w14:paraId="71C80DEA" w14:textId="77777777" w:rsidR="00515675" w:rsidRPr="00B21330"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B21330" w14:paraId="14834C6F"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65806FC" w14:textId="77777777" w:rsidR="00515675" w:rsidRPr="00B21330" w:rsidRDefault="00515675" w:rsidP="001E1429">
            <w:pPr>
              <w:jc w:val="left"/>
              <w:rPr>
                <w:noProof/>
                <w:color w:val="034EA2" w:themeColor="accent1"/>
                <w:sz w:val="18"/>
                <w:szCs w:val="18"/>
              </w:rPr>
            </w:pPr>
          </w:p>
        </w:tc>
        <w:tc>
          <w:tcPr>
            <w:tcW w:w="3264" w:type="dxa"/>
            <w:vMerge/>
          </w:tcPr>
          <w:p w14:paraId="0A10D44E" w14:textId="77777777" w:rsidR="00515675" w:rsidRPr="00B21330"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2AD773F" w14:textId="77777777" w:rsidR="00515675" w:rsidRPr="00B21330"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Udstedelser af grønne obligationer</w:t>
            </w:r>
            <w:r w:rsidRPr="00B21330">
              <w:rPr>
                <w:rStyle w:val="FootnoteReference"/>
                <w:rFonts w:ascii="EC Square Sans Pro" w:hAnsi="EC Square Sans Pro" w:cs="Times New Roman"/>
                <w:i/>
                <w:iCs/>
                <w:noProof/>
                <w:sz w:val="18"/>
                <w:szCs w:val="18"/>
              </w:rPr>
              <w:footnoteReference w:id="13"/>
            </w:r>
          </w:p>
        </w:tc>
        <w:tc>
          <w:tcPr>
            <w:tcW w:w="2551" w:type="dxa"/>
            <w:shd w:val="clear" w:color="auto" w:fill="auto"/>
          </w:tcPr>
          <w:p w14:paraId="13C48D99" w14:textId="2FBE06BF"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8 mia. EUR ved at udnytte EU 2043- og EU 2050-obligationer.</w:t>
            </w:r>
          </w:p>
        </w:tc>
        <w:tc>
          <w:tcPr>
            <w:tcW w:w="4678" w:type="dxa"/>
            <w:vMerge/>
          </w:tcPr>
          <w:p w14:paraId="7678D4A9"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B21330" w14:paraId="244B4E9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C180DAD" w14:textId="77777777" w:rsidR="00515675" w:rsidRPr="00B21330" w:rsidRDefault="00515675" w:rsidP="001E1429">
            <w:pPr>
              <w:rPr>
                <w:noProof/>
                <w:sz w:val="18"/>
                <w:szCs w:val="18"/>
              </w:rPr>
            </w:pPr>
          </w:p>
        </w:tc>
        <w:tc>
          <w:tcPr>
            <w:tcW w:w="3264" w:type="dxa"/>
            <w:shd w:val="clear" w:color="auto" w:fill="auto"/>
          </w:tcPr>
          <w:p w14:paraId="11D1670A" w14:textId="77777777" w:rsidR="00515675" w:rsidRPr="00B21330" w:rsidRDefault="00515675" w:rsidP="001E1429">
            <w:pPr>
              <w:pStyle w:val="ListParagraph"/>
              <w:numPr>
                <w:ilvl w:val="0"/>
                <w:numId w:val="27"/>
              </w:numPr>
              <w:spacing w:after="60" w:line="240" w:lineRule="auto"/>
              <w:ind w:left="17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sidRPr="00B21330">
              <w:rPr>
                <w:rFonts w:ascii="EC Square Sans Pro" w:hAnsi="EC Square Sans Pro"/>
                <w:noProof/>
                <w:color w:val="034EA2" w:themeColor="accent1"/>
                <w:sz w:val="18"/>
              </w:rPr>
              <w:t xml:space="preserve"> Opnåelse af en passende balance mellem auktioner og syndikeringer</w:t>
            </w:r>
          </w:p>
          <w:p w14:paraId="296A9F29" w14:textId="77777777" w:rsidR="00515675" w:rsidRPr="00B21330"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Anvendelse af forskellige finansieringsteknikker med en passende balance, afhængigt af det samlede udstedelsesvolumen og markedsvilkårene med henblik på at styre gennemførelsesrisici, forbedre likviditeten på det sekundære marked og mindske låneomkostningerne.</w:t>
            </w:r>
          </w:p>
        </w:tc>
        <w:tc>
          <w:tcPr>
            <w:tcW w:w="2268" w:type="dxa"/>
            <w:shd w:val="clear" w:color="auto" w:fill="auto"/>
          </w:tcPr>
          <w:p w14:paraId="7A68A808" w14:textId="77777777" w:rsidR="00515675" w:rsidRPr="00B21330" w:rsidRDefault="00515675" w:rsidP="001E1429">
            <w:pPr>
              <w:pStyle w:val="ListParagraph"/>
              <w:numPr>
                <w:ilvl w:val="0"/>
                <w:numId w:val="23"/>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 xml:space="preserve">Fordeling mellem auktion/syndikering i % </w:t>
            </w:r>
          </w:p>
        </w:tc>
        <w:tc>
          <w:tcPr>
            <w:tcW w:w="2551" w:type="dxa"/>
            <w:shd w:val="clear" w:color="auto" w:fill="auto"/>
          </w:tcPr>
          <w:p w14:paraId="1C032754" w14:textId="77777777" w:rsidR="00515675" w:rsidRPr="00B21330"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 xml:space="preserve">42 % af obligationsudstedelserne via auktion. </w:t>
            </w:r>
          </w:p>
        </w:tc>
        <w:tc>
          <w:tcPr>
            <w:tcW w:w="4678" w:type="dxa"/>
            <w:shd w:val="clear" w:color="auto" w:fill="auto"/>
          </w:tcPr>
          <w:p w14:paraId="40089510" w14:textId="377A460E" w:rsidR="00515675" w:rsidRPr="00B21330"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I andet halvår 2024 udstedte Kommissionen 42 % af EU-obligationerne via auktion, i overensstemmelse med andelen i første halvår 2024.</w:t>
            </w:r>
          </w:p>
        </w:tc>
      </w:tr>
      <w:tr w:rsidR="00515675" w:rsidRPr="00B21330" w14:paraId="0955BDD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812F781" w14:textId="77777777" w:rsidR="00515675" w:rsidRPr="00B21330" w:rsidRDefault="00515675" w:rsidP="001E1429">
            <w:pPr>
              <w:rPr>
                <w:noProof/>
                <w:sz w:val="18"/>
                <w:szCs w:val="18"/>
              </w:rPr>
            </w:pPr>
          </w:p>
        </w:tc>
        <w:tc>
          <w:tcPr>
            <w:tcW w:w="3264" w:type="dxa"/>
            <w:vMerge w:val="restart"/>
            <w:shd w:val="clear" w:color="auto" w:fill="auto"/>
          </w:tcPr>
          <w:p w14:paraId="0AAE0B59" w14:textId="77777777" w:rsidR="00515675" w:rsidRPr="00B21330" w:rsidRDefault="00515675" w:rsidP="001E1429">
            <w:pPr>
              <w:pStyle w:val="ListParagraph"/>
              <w:numPr>
                <w:ilvl w:val="0"/>
                <w:numId w:val="27"/>
              </w:numPr>
              <w:spacing w:after="60" w:line="240" w:lineRule="auto"/>
              <w:ind w:left="170" w:hanging="17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sidRPr="00B21330">
              <w:rPr>
                <w:rFonts w:ascii="EC Square Sans Pro" w:hAnsi="EC Square Sans Pro"/>
                <w:noProof/>
                <w:color w:val="034EA2" w:themeColor="accent1"/>
                <w:sz w:val="18"/>
              </w:rPr>
              <w:t xml:space="preserve"> Etablering af store og likvide toneangivende obligationer</w:t>
            </w:r>
          </w:p>
          <w:p w14:paraId="51F615FF" w14:textId="77777777" w:rsidR="00515675" w:rsidRPr="00B21330"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Udnyttelse af EU-obligationer for at bringe den udestående mængde af forskellige midler op på et niveau, der svarer til store og likvide benchmarklinjer.</w:t>
            </w:r>
          </w:p>
        </w:tc>
        <w:tc>
          <w:tcPr>
            <w:tcW w:w="2268" w:type="dxa"/>
            <w:shd w:val="clear" w:color="auto" w:fill="auto"/>
          </w:tcPr>
          <w:p w14:paraId="68B6A81C" w14:textId="77777777" w:rsidR="00515675" w:rsidRPr="00B21330"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sidRPr="00B21330">
              <w:rPr>
                <w:rFonts w:ascii="EC Square Sans Pro" w:hAnsi="EC Square Sans Pro"/>
                <w:i/>
                <w:noProof/>
                <w:sz w:val="18"/>
              </w:rPr>
              <w:t>Udstedelser gennem nye obligationer i forhold til udstedt volumen gennem tap-udstedelser</w:t>
            </w:r>
          </w:p>
        </w:tc>
        <w:tc>
          <w:tcPr>
            <w:tcW w:w="2551" w:type="dxa"/>
            <w:shd w:val="clear" w:color="auto" w:fill="auto"/>
          </w:tcPr>
          <w:p w14:paraId="425C1728" w14:textId="77777777" w:rsidR="00515675" w:rsidRPr="00B21330"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 xml:space="preserve">10 mia. EUR gennem nye obligationer </w:t>
            </w:r>
          </w:p>
          <w:p w14:paraId="61F14354" w14:textId="77777777" w:rsidR="00515675" w:rsidRPr="00B21330"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54,2 mia. EUR gennem tap-udstedelser</w:t>
            </w:r>
          </w:p>
        </w:tc>
        <w:tc>
          <w:tcPr>
            <w:tcW w:w="4678" w:type="dxa"/>
            <w:vMerge w:val="restart"/>
            <w:shd w:val="clear" w:color="auto" w:fill="auto"/>
          </w:tcPr>
          <w:p w14:paraId="7FB0D9A2"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pacing w:val="-4"/>
                <w:sz w:val="18"/>
                <w:szCs w:val="18"/>
              </w:rPr>
            </w:pPr>
            <w:r w:rsidRPr="00B21330">
              <w:rPr>
                <w:noProof/>
                <w:sz w:val="18"/>
              </w:rPr>
              <w:t>For at støtte EU-værdipapirers likviditet anvendte Kommissionen sine transaktioner til at udnytte de eksisterende finansielle midler, idet ca. 84 % af finansieringen blev mobiliseret gennem tap-udstedelser.</w:t>
            </w:r>
          </w:p>
          <w:p w14:paraId="3E9A202D"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39D12FCC" w14:textId="29ABCD2C"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 xml:space="preserve">Der blev afsat nye finansielle midler for at forsyne markedet med nye benchmark, hvor det var nødvendigt på kurven og baseret på anbefalingerne fra EU's primary dealere. Der blev lanceret nye 5-årige og 7-årige obligationer i andet halvår af 2024. </w:t>
            </w:r>
          </w:p>
          <w:p w14:paraId="29236998"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4E96C6CE" w14:textId="6AAE23C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Som følge heraf steg det gennemsnitlige udestående beløb pr. obligation marginalt til ca. 15 mia. EUR ved udgangen af december 2024, hvilket sikrede konsekvent likviditet for obligationerne.</w:t>
            </w:r>
          </w:p>
        </w:tc>
      </w:tr>
      <w:tr w:rsidR="00515675" w:rsidRPr="00B21330" w14:paraId="3089CED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960448F" w14:textId="77777777" w:rsidR="00515675" w:rsidRPr="00B21330" w:rsidRDefault="00515675" w:rsidP="001E1429">
            <w:pPr>
              <w:rPr>
                <w:noProof/>
                <w:sz w:val="18"/>
                <w:szCs w:val="18"/>
              </w:rPr>
            </w:pPr>
          </w:p>
        </w:tc>
        <w:tc>
          <w:tcPr>
            <w:tcW w:w="3264" w:type="dxa"/>
            <w:vMerge/>
          </w:tcPr>
          <w:p w14:paraId="3D32F3EC" w14:textId="77777777" w:rsidR="00515675" w:rsidRPr="00B21330"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66C473A2" w14:textId="77777777" w:rsidR="00515675" w:rsidRPr="00B21330" w:rsidRDefault="00515675" w:rsidP="001E1429">
            <w:pPr>
              <w:pStyle w:val="ListParagraph"/>
              <w:numPr>
                <w:ilvl w:val="0"/>
                <w:numId w:val="22"/>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Tempoet for udnyttelse af nye obligationer</w:t>
            </w:r>
            <w:r w:rsidRPr="00B21330">
              <w:rPr>
                <w:rStyle w:val="FootnoteReference"/>
                <w:rFonts w:ascii="EC Square Sans Pro" w:hAnsi="EC Square Sans Pro" w:cs="Times New Roman"/>
                <w:i/>
                <w:iCs/>
                <w:noProof/>
                <w:sz w:val="18"/>
                <w:szCs w:val="18"/>
              </w:rPr>
              <w:footnoteReference w:id="14"/>
            </w:r>
          </w:p>
        </w:tc>
        <w:tc>
          <w:tcPr>
            <w:tcW w:w="2551" w:type="dxa"/>
            <w:shd w:val="clear" w:color="auto" w:fill="auto"/>
          </w:tcPr>
          <w:p w14:paraId="1994F1F5" w14:textId="77777777" w:rsidR="00515675" w:rsidRPr="00B21330"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2 måneder</w:t>
            </w:r>
          </w:p>
        </w:tc>
        <w:tc>
          <w:tcPr>
            <w:tcW w:w="4678" w:type="dxa"/>
            <w:vMerge/>
          </w:tcPr>
          <w:p w14:paraId="02131142" w14:textId="77777777" w:rsidR="00515675" w:rsidRPr="00B21330"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B21330" w14:paraId="2050135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1D1F5D7" w14:textId="77777777" w:rsidR="00515675" w:rsidRPr="00B21330" w:rsidRDefault="00515675" w:rsidP="001E1429">
            <w:pPr>
              <w:rPr>
                <w:noProof/>
                <w:sz w:val="18"/>
                <w:szCs w:val="18"/>
              </w:rPr>
            </w:pPr>
          </w:p>
        </w:tc>
        <w:tc>
          <w:tcPr>
            <w:tcW w:w="3264" w:type="dxa"/>
            <w:vMerge/>
          </w:tcPr>
          <w:p w14:paraId="5ED105C1" w14:textId="77777777" w:rsidR="00515675" w:rsidRPr="00B21330"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13D6B65A" w14:textId="77777777" w:rsidR="00515675" w:rsidRPr="00B21330"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sidRPr="00B21330">
              <w:rPr>
                <w:rFonts w:ascii="EC Square Sans Pro" w:hAnsi="EC Square Sans Pro"/>
                <w:i/>
                <w:noProof/>
                <w:sz w:val="18"/>
              </w:rPr>
              <w:t>Gennemsnitlig størrelse på udestående obligationer</w:t>
            </w:r>
            <w:r w:rsidRPr="00B21330">
              <w:rPr>
                <w:rStyle w:val="FootnoteReference"/>
                <w:rFonts w:ascii="EC Square Sans Pro" w:hAnsi="EC Square Sans Pro" w:cs="Times New Roman"/>
                <w:i/>
                <w:iCs/>
                <w:noProof/>
                <w:sz w:val="18"/>
                <w:szCs w:val="18"/>
              </w:rPr>
              <w:footnoteReference w:id="15"/>
            </w:r>
          </w:p>
        </w:tc>
        <w:tc>
          <w:tcPr>
            <w:tcW w:w="2551" w:type="dxa"/>
            <w:shd w:val="clear" w:color="auto" w:fill="auto"/>
          </w:tcPr>
          <w:p w14:paraId="2F1E4A20"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Ca. 15 mia.</w:t>
            </w:r>
          </w:p>
        </w:tc>
        <w:tc>
          <w:tcPr>
            <w:tcW w:w="4678" w:type="dxa"/>
            <w:vMerge/>
          </w:tcPr>
          <w:p w14:paraId="380E86A4" w14:textId="77777777" w:rsidR="00515675" w:rsidRPr="00B21330"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B21330" w14:paraId="7FC2950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B023783" w14:textId="77777777" w:rsidR="00515675" w:rsidRPr="00B21330" w:rsidRDefault="00515675" w:rsidP="001E1429">
            <w:pPr>
              <w:rPr>
                <w:noProof/>
                <w:sz w:val="18"/>
                <w:szCs w:val="18"/>
              </w:rPr>
            </w:pPr>
          </w:p>
        </w:tc>
        <w:tc>
          <w:tcPr>
            <w:tcW w:w="3264" w:type="dxa"/>
            <w:vMerge/>
          </w:tcPr>
          <w:p w14:paraId="5F1866B1" w14:textId="77777777" w:rsidR="00515675" w:rsidRPr="00B21330"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62886CB" w14:textId="77777777" w:rsidR="00515675" w:rsidRPr="00B21330" w:rsidRDefault="00515675" w:rsidP="001E1429">
            <w:pPr>
              <w:pStyle w:val="ListParagraph"/>
              <w:numPr>
                <w:ilvl w:val="0"/>
                <w:numId w:val="22"/>
              </w:numPr>
              <w:spacing w:after="40" w:line="240" w:lineRule="auto"/>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Omsætning i forhold til udstedelsesmængde</w:t>
            </w:r>
          </w:p>
        </w:tc>
        <w:tc>
          <w:tcPr>
            <w:tcW w:w="2551" w:type="dxa"/>
            <w:shd w:val="clear" w:color="auto" w:fill="auto"/>
          </w:tcPr>
          <w:p w14:paraId="1BC7E234" w14:textId="6E835ADE" w:rsidR="00515675" w:rsidRPr="00B21330" w:rsidRDefault="004A0E52" w:rsidP="001E1429">
            <w:pPr>
              <w:jc w:val="left"/>
              <w:cnfStyle w:val="000000000000" w:firstRow="0" w:lastRow="0" w:firstColumn="0" w:lastColumn="0" w:oddVBand="0" w:evenVBand="0" w:oddHBand="0" w:evenHBand="0" w:firstRowFirstColumn="0" w:firstRowLastColumn="0" w:lastRowFirstColumn="0" w:lastRowLastColumn="0"/>
              <w:rPr>
                <w:noProof/>
                <w:sz w:val="18"/>
                <w:szCs w:val="18"/>
                <w:highlight w:val="yellow"/>
              </w:rPr>
            </w:pPr>
            <w:r w:rsidRPr="00B21330">
              <w:rPr>
                <w:noProof/>
                <w:sz w:val="18"/>
              </w:rPr>
              <w:t>Ca. 155 % i andet halvår 2024 mod 139 % i første halvår 2024</w:t>
            </w:r>
          </w:p>
        </w:tc>
        <w:tc>
          <w:tcPr>
            <w:tcW w:w="4678" w:type="dxa"/>
            <w:vMerge/>
          </w:tcPr>
          <w:p w14:paraId="5E3DB12B" w14:textId="77777777" w:rsidR="00515675" w:rsidRPr="00B21330"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21330" w14:paraId="614A2488"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6DB7E7C" w14:textId="77777777" w:rsidR="00855155" w:rsidRPr="00B21330" w:rsidRDefault="00855155" w:rsidP="00855155">
            <w:pPr>
              <w:rPr>
                <w:noProof/>
                <w:sz w:val="18"/>
                <w:szCs w:val="18"/>
              </w:rPr>
            </w:pPr>
          </w:p>
        </w:tc>
        <w:tc>
          <w:tcPr>
            <w:tcW w:w="3264" w:type="dxa"/>
            <w:vMerge/>
          </w:tcPr>
          <w:p w14:paraId="0D90588E" w14:textId="77777777" w:rsidR="00855155" w:rsidRPr="00B21330" w:rsidRDefault="00855155" w:rsidP="0085515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5A1FC93" w14:textId="77777777" w:rsidR="00855155" w:rsidRPr="00B21330" w:rsidRDefault="00855155" w:rsidP="00855155">
            <w:pPr>
              <w:pStyle w:val="ListParagraph"/>
              <w:numPr>
                <w:ilvl w:val="0"/>
                <w:numId w:val="22"/>
              </w:numPr>
              <w:spacing w:after="40" w:line="240" w:lineRule="auto"/>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Absolut omsætning</w:t>
            </w:r>
          </w:p>
        </w:tc>
        <w:tc>
          <w:tcPr>
            <w:tcW w:w="2551" w:type="dxa"/>
            <w:shd w:val="clear" w:color="auto" w:fill="auto"/>
          </w:tcPr>
          <w:p w14:paraId="62638E0F" w14:textId="58BE0A6C" w:rsidR="00855155" w:rsidRPr="00B21330"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894 mia. EUR i andet halvår 2024 i forhold til 714 mia. EUR i første halvår 2024</w:t>
            </w:r>
          </w:p>
        </w:tc>
        <w:tc>
          <w:tcPr>
            <w:tcW w:w="4678" w:type="dxa"/>
            <w:vMerge/>
          </w:tcPr>
          <w:p w14:paraId="204DBCA1"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21330" w14:paraId="6CDFCE1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74687083" w14:textId="77777777" w:rsidR="00855155" w:rsidRPr="00B21330" w:rsidRDefault="00855155" w:rsidP="00855155">
            <w:pPr>
              <w:rPr>
                <w:noProof/>
                <w:sz w:val="18"/>
                <w:szCs w:val="18"/>
              </w:rPr>
            </w:pPr>
          </w:p>
        </w:tc>
        <w:tc>
          <w:tcPr>
            <w:tcW w:w="3264" w:type="dxa"/>
            <w:vMerge w:val="restart"/>
            <w:shd w:val="clear" w:color="auto" w:fill="auto"/>
          </w:tcPr>
          <w:p w14:paraId="65B13C23" w14:textId="77777777" w:rsidR="00855155" w:rsidRPr="00B21330" w:rsidRDefault="00855155" w:rsidP="00855155">
            <w:pPr>
              <w:pStyle w:val="ListParagraph"/>
              <w:numPr>
                <w:ilvl w:val="0"/>
                <w:numId w:val="28"/>
              </w:numPr>
              <w:spacing w:after="60" w:line="240" w:lineRule="auto"/>
              <w:ind w:left="170" w:hanging="170"/>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sidRPr="00B21330">
              <w:rPr>
                <w:rFonts w:ascii="EC Square Sans Pro" w:hAnsi="EC Square Sans Pro"/>
                <w:noProof/>
                <w:color w:val="034EA2" w:themeColor="accent1"/>
                <w:sz w:val="18"/>
              </w:rPr>
              <w:t xml:space="preserve"> Forvaltning af løbetidsprofilen for EU-obligationsudstedelser under behørig hensyntagen til:</w:t>
            </w:r>
          </w:p>
          <w:p w14:paraId="5B5CEFF1" w14:textId="77777777" w:rsidR="00855155" w:rsidRPr="00B21330"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det midlertidige ekstra råderum (for NGEU-relateret låntagning) og det permanente råderum (for MFA+) under EU-budgettet</w:t>
            </w:r>
          </w:p>
          <w:p w14:paraId="176DD99A" w14:textId="77777777" w:rsidR="00855155" w:rsidRPr="00B21330"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 xml:space="preserve">fremtidig indfrielse af udbetalinger i et givet år </w:t>
            </w:r>
          </w:p>
          <w:p w14:paraId="6C41B5BF" w14:textId="77777777" w:rsidR="00855155" w:rsidRPr="00B21330"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behov for en stabil fremtidig roll-over</w:t>
            </w:r>
          </w:p>
          <w:p w14:paraId="2FE64132" w14:textId="77777777" w:rsidR="00855155" w:rsidRPr="00B21330"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21330">
              <w:rPr>
                <w:rFonts w:ascii="EC Square Sans Pro" w:hAnsi="EC Square Sans Pro"/>
                <w:noProof/>
                <w:sz w:val="18"/>
              </w:rPr>
              <w:t>behovet for at beskytte EU's rating for at sikre lave låneomkostninger på langt sigt og en stærk efterspørgsel fra det centrale investorgrundlag.</w:t>
            </w:r>
          </w:p>
        </w:tc>
        <w:tc>
          <w:tcPr>
            <w:tcW w:w="2268" w:type="dxa"/>
            <w:shd w:val="clear" w:color="auto" w:fill="auto"/>
          </w:tcPr>
          <w:p w14:paraId="2F5FE8B7" w14:textId="77777777" w:rsidR="00855155" w:rsidRPr="00B21330"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 xml:space="preserve">Gennemsnitlig løbetid for udstedelser </w:t>
            </w:r>
          </w:p>
        </w:tc>
        <w:tc>
          <w:tcPr>
            <w:tcW w:w="2551" w:type="dxa"/>
            <w:shd w:val="clear" w:color="auto" w:fill="auto"/>
          </w:tcPr>
          <w:p w14:paraId="0D6F8E3F"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 xml:space="preserve">Omkring 12 år </w:t>
            </w:r>
          </w:p>
        </w:tc>
        <w:tc>
          <w:tcPr>
            <w:tcW w:w="4678" w:type="dxa"/>
            <w:vMerge w:val="restart"/>
            <w:shd w:val="clear" w:color="auto" w:fill="auto"/>
          </w:tcPr>
          <w:p w14:paraId="0BB0D198"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I andet halvår 2024 havde EU-obligationsudstedelserne en gennemsnitlig løbetid på 12 år. Dette afspejlede behovet for at sprede indløsningsprofilen over tid og samtidig tiltrække investorer til transaktioner på det primære marked i EU. Den gennemsnitlige løbetid lå under den maksimale gennemsnitlige løbetid på 17 år som fastsat i den årlige lånebeslutning for 2024.</w:t>
            </w:r>
          </w:p>
          <w:p w14:paraId="19656B5E"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62D4C2FF"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Den gennemsnitlige løbetid for udestående gæld var stabil (ca. 12 år).</w:t>
            </w:r>
          </w:p>
          <w:p w14:paraId="1749A647"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7F7CAC02" w14:textId="265DCB7C"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Refinansieringen forblev også stabil, hvilket afspejler de tidligere udstedelser og indløsningsprofilen i forbindelse hermed.</w:t>
            </w:r>
          </w:p>
        </w:tc>
      </w:tr>
      <w:tr w:rsidR="00855155" w:rsidRPr="00B21330" w14:paraId="5FD08962"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0F27B35" w14:textId="77777777" w:rsidR="00855155" w:rsidRPr="00B21330" w:rsidRDefault="00855155" w:rsidP="00855155">
            <w:pPr>
              <w:rPr>
                <w:noProof/>
                <w:sz w:val="18"/>
                <w:szCs w:val="18"/>
              </w:rPr>
            </w:pPr>
          </w:p>
        </w:tc>
        <w:tc>
          <w:tcPr>
            <w:tcW w:w="3264" w:type="dxa"/>
            <w:vMerge/>
          </w:tcPr>
          <w:p w14:paraId="516D9045" w14:textId="77777777" w:rsidR="00855155" w:rsidRPr="00B21330"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344961B" w14:textId="77777777" w:rsidR="00855155" w:rsidRPr="00B21330"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Gennemsnitlig løbetid for udestående gæld</w:t>
            </w:r>
          </w:p>
        </w:tc>
        <w:tc>
          <w:tcPr>
            <w:tcW w:w="2551" w:type="dxa"/>
            <w:shd w:val="clear" w:color="auto" w:fill="auto"/>
          </w:tcPr>
          <w:p w14:paraId="293F915B"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Omkring 12 år</w:t>
            </w:r>
          </w:p>
        </w:tc>
        <w:tc>
          <w:tcPr>
            <w:tcW w:w="4678" w:type="dxa"/>
            <w:vMerge/>
          </w:tcPr>
          <w:p w14:paraId="06B81A2B"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21330" w14:paraId="6064274F"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E33636B" w14:textId="77777777" w:rsidR="00855155" w:rsidRPr="00B21330" w:rsidRDefault="00855155" w:rsidP="00855155">
            <w:pPr>
              <w:rPr>
                <w:noProof/>
                <w:sz w:val="18"/>
                <w:szCs w:val="18"/>
              </w:rPr>
            </w:pPr>
          </w:p>
        </w:tc>
        <w:tc>
          <w:tcPr>
            <w:tcW w:w="3264" w:type="dxa"/>
            <w:vMerge/>
          </w:tcPr>
          <w:p w14:paraId="7479F282" w14:textId="77777777" w:rsidR="00855155" w:rsidRPr="00B21330" w:rsidRDefault="00855155" w:rsidP="00855155">
            <w:pPr>
              <w:pStyle w:val="ListParagraph"/>
              <w:numPr>
                <w:ilvl w:val="0"/>
                <w:numId w:val="28"/>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055961FC" w14:textId="77777777" w:rsidR="00855155" w:rsidRPr="00B21330"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Refinansiering på kort sigt, dvs. procentdel af udestående obligationer og gældsbeviser med forfald inden for de næste 12 måneder</w:t>
            </w:r>
          </w:p>
        </w:tc>
        <w:tc>
          <w:tcPr>
            <w:tcW w:w="2551" w:type="dxa"/>
            <w:shd w:val="clear" w:color="auto" w:fill="auto"/>
          </w:tcPr>
          <w:p w14:paraId="5110C4A8" w14:textId="38BBEB78"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Under 10 %</w:t>
            </w:r>
          </w:p>
        </w:tc>
        <w:tc>
          <w:tcPr>
            <w:tcW w:w="4678" w:type="dxa"/>
            <w:vMerge/>
          </w:tcPr>
          <w:p w14:paraId="0B553F25"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21330" w14:paraId="7562A38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D44FCBA" w14:textId="77777777" w:rsidR="00855155" w:rsidRPr="00B21330" w:rsidRDefault="00855155" w:rsidP="00855155">
            <w:pPr>
              <w:rPr>
                <w:noProof/>
                <w:sz w:val="18"/>
                <w:szCs w:val="18"/>
              </w:rPr>
            </w:pPr>
          </w:p>
        </w:tc>
        <w:tc>
          <w:tcPr>
            <w:tcW w:w="3264" w:type="dxa"/>
            <w:vMerge/>
          </w:tcPr>
          <w:p w14:paraId="5AA07583" w14:textId="77777777" w:rsidR="00855155" w:rsidRPr="00B21330"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8C90BDD" w14:textId="77777777" w:rsidR="00855155" w:rsidRPr="00B21330"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pacing w:val="-6"/>
                <w:sz w:val="18"/>
                <w:szCs w:val="18"/>
              </w:rPr>
            </w:pPr>
            <w:r w:rsidRPr="00B21330">
              <w:rPr>
                <w:rFonts w:ascii="EC Square Sans Pro" w:hAnsi="EC Square Sans Pro"/>
                <w:i/>
                <w:noProof/>
                <w:sz w:val="18"/>
              </w:rPr>
              <w:t>Refinansiering på mellemlangt sigt, dvs. procentdel af udestående obligationer og gældsbeviser med forfald inden for de næste fem år</w:t>
            </w:r>
          </w:p>
        </w:tc>
        <w:tc>
          <w:tcPr>
            <w:tcW w:w="2551" w:type="dxa"/>
            <w:shd w:val="clear" w:color="auto" w:fill="auto"/>
          </w:tcPr>
          <w:p w14:paraId="33D8FEFE" w14:textId="160C4F46"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Under 37 %</w:t>
            </w:r>
          </w:p>
        </w:tc>
        <w:tc>
          <w:tcPr>
            <w:tcW w:w="4678" w:type="dxa"/>
            <w:vMerge/>
          </w:tcPr>
          <w:p w14:paraId="26BB2AB8"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21330" w14:paraId="53FD8A04"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6427F484" w14:textId="77777777" w:rsidR="00855155" w:rsidRPr="00B21330" w:rsidRDefault="00855155" w:rsidP="00855155">
            <w:pPr>
              <w:jc w:val="left"/>
              <w:rPr>
                <w:noProof/>
                <w:color w:val="034EA2" w:themeColor="accent1"/>
                <w:sz w:val="18"/>
                <w:szCs w:val="18"/>
              </w:rPr>
            </w:pPr>
            <w:r w:rsidRPr="00B21330">
              <w:rPr>
                <w:noProof/>
                <w:color w:val="034EA2" w:themeColor="accent1"/>
                <w:sz w:val="18"/>
              </w:rPr>
              <w:t>Gennemførelse af programmet for EU-gældsbeviser</w:t>
            </w:r>
          </w:p>
          <w:p w14:paraId="6BDC45A4" w14:textId="77777777" w:rsidR="00855155" w:rsidRPr="00B21330" w:rsidRDefault="00855155" w:rsidP="00855155">
            <w:pPr>
              <w:rPr>
                <w:noProof/>
                <w:sz w:val="18"/>
                <w:szCs w:val="18"/>
              </w:rPr>
            </w:pPr>
          </w:p>
        </w:tc>
        <w:tc>
          <w:tcPr>
            <w:tcW w:w="3264" w:type="dxa"/>
            <w:vMerge w:val="restart"/>
            <w:shd w:val="clear" w:color="auto" w:fill="auto"/>
          </w:tcPr>
          <w:p w14:paraId="7C688EAC" w14:textId="7777777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Regelmæssig udstedelse af EU-gældsbeviser med løbetider på op til et år via auktion for at tiltrække yderligere investorer (eller yderligere porteføljer fra eksisterende investorer) og støtte likviditetsstyring.</w:t>
            </w:r>
          </w:p>
        </w:tc>
        <w:tc>
          <w:tcPr>
            <w:tcW w:w="2268" w:type="dxa"/>
            <w:shd w:val="clear" w:color="auto" w:fill="auto"/>
          </w:tcPr>
          <w:p w14:paraId="5236647A" w14:textId="77777777" w:rsidR="00855155" w:rsidRPr="00B21330" w:rsidRDefault="00855155" w:rsidP="00855155">
            <w:pPr>
              <w:pStyle w:val="ListParagraph"/>
              <w:numPr>
                <w:ilvl w:val="0"/>
                <w:numId w:val="24"/>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sidRPr="00B21330">
              <w:rPr>
                <w:rFonts w:ascii="EC Square Sans Pro" w:hAnsi="EC Square Sans Pro"/>
                <w:i/>
                <w:noProof/>
                <w:sz w:val="18"/>
              </w:rPr>
              <w:t>Udestående for EU-gældsbeviser</w:t>
            </w:r>
          </w:p>
        </w:tc>
        <w:tc>
          <w:tcPr>
            <w:tcW w:w="2551" w:type="dxa"/>
            <w:shd w:val="clear" w:color="auto" w:fill="auto"/>
          </w:tcPr>
          <w:p w14:paraId="0BB9903D"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20-25 mia. EUR</w:t>
            </w:r>
          </w:p>
        </w:tc>
        <w:tc>
          <w:tcPr>
            <w:tcW w:w="4678" w:type="dxa"/>
            <w:vMerge w:val="restart"/>
            <w:shd w:val="clear" w:color="auto" w:fill="auto"/>
          </w:tcPr>
          <w:p w14:paraId="68DF278F"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Udestående gæld under programmet for EU-gældsbeviser steg fra ca. 20 mia. EUR til ca. 25 mia. EUR i perioden som led i udviklingen af programmet for at tilføre yderligere likviditet, når det var nødvendigt.</w:t>
            </w:r>
          </w:p>
        </w:tc>
      </w:tr>
      <w:tr w:rsidR="00855155" w:rsidRPr="00B21330" w14:paraId="72EA0DDA"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0A498F7" w14:textId="77777777" w:rsidR="00855155" w:rsidRPr="00B21330" w:rsidRDefault="00855155" w:rsidP="00855155">
            <w:pPr>
              <w:jc w:val="left"/>
              <w:rPr>
                <w:noProof/>
                <w:color w:val="034EA2" w:themeColor="accent1"/>
                <w:sz w:val="18"/>
                <w:szCs w:val="18"/>
              </w:rPr>
            </w:pPr>
          </w:p>
        </w:tc>
        <w:tc>
          <w:tcPr>
            <w:tcW w:w="3264" w:type="dxa"/>
            <w:vMerge/>
          </w:tcPr>
          <w:p w14:paraId="058D0996" w14:textId="77777777" w:rsidR="00855155" w:rsidRPr="00B21330"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0EB56868" w14:textId="77777777" w:rsidR="00855155" w:rsidRPr="00B21330" w:rsidRDefault="00855155" w:rsidP="00855155">
            <w:pPr>
              <w:pStyle w:val="ListParagraph"/>
              <w:numPr>
                <w:ilvl w:val="0"/>
                <w:numId w:val="24"/>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Antal EU-gældsbevisauktioner</w:t>
            </w:r>
          </w:p>
        </w:tc>
        <w:tc>
          <w:tcPr>
            <w:tcW w:w="2551" w:type="dxa"/>
            <w:shd w:val="clear" w:color="auto" w:fill="auto"/>
          </w:tcPr>
          <w:p w14:paraId="60731800"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10</w:t>
            </w:r>
          </w:p>
        </w:tc>
        <w:tc>
          <w:tcPr>
            <w:tcW w:w="4678" w:type="dxa"/>
            <w:vMerge/>
          </w:tcPr>
          <w:p w14:paraId="3A6C9702"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21330" w14:paraId="25619B42"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18225424" w14:textId="77777777" w:rsidR="00855155" w:rsidRPr="00B21330" w:rsidRDefault="00855155" w:rsidP="00855155">
            <w:pPr>
              <w:rPr>
                <w:noProof/>
                <w:sz w:val="18"/>
                <w:szCs w:val="18"/>
              </w:rPr>
            </w:pPr>
            <w:r w:rsidRPr="00B21330">
              <w:rPr>
                <w:noProof/>
                <w:color w:val="034EA2" w:themeColor="accent1"/>
                <w:sz w:val="18"/>
              </w:rPr>
              <w:t>Likviditetsstyring</w:t>
            </w:r>
          </w:p>
        </w:tc>
        <w:tc>
          <w:tcPr>
            <w:tcW w:w="3264" w:type="dxa"/>
            <w:shd w:val="clear" w:color="auto" w:fill="auto"/>
          </w:tcPr>
          <w:p w14:paraId="7802AAF0" w14:textId="78E36A0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Forvaltning af en likviditetspulje på grundlag af betalingsforpligtelser, udbetalingsbehov og omkostninger i forbindelse med kontantbeholdninger under behørig hensyntagen til de gældende forhold på markedet.</w:t>
            </w:r>
          </w:p>
        </w:tc>
        <w:tc>
          <w:tcPr>
            <w:tcW w:w="2268" w:type="dxa"/>
            <w:shd w:val="clear" w:color="auto" w:fill="auto"/>
          </w:tcPr>
          <w:p w14:paraId="1964AC6E" w14:textId="77777777" w:rsidR="00855155" w:rsidRPr="00B21330" w:rsidRDefault="00855155" w:rsidP="00855155">
            <w:pPr>
              <w:pStyle w:val="ListParagraph"/>
              <w:numPr>
                <w:ilvl w:val="0"/>
                <w:numId w:val="25"/>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Antal manglende udbetalinger på grund af manglende likviditet</w:t>
            </w:r>
          </w:p>
        </w:tc>
        <w:tc>
          <w:tcPr>
            <w:tcW w:w="2551" w:type="dxa"/>
            <w:shd w:val="clear" w:color="auto" w:fill="auto"/>
          </w:tcPr>
          <w:p w14:paraId="4637B986" w14:textId="7777777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Ingen</w:t>
            </w:r>
          </w:p>
        </w:tc>
        <w:tc>
          <w:tcPr>
            <w:tcW w:w="4678" w:type="dxa"/>
            <w:shd w:val="clear" w:color="auto" w:fill="auto"/>
          </w:tcPr>
          <w:p w14:paraId="62D5210B" w14:textId="188CFE01"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Kommissionen opfyldte alle udbetalingsbehovene, og der var ingen manglende afvikling i løbet af halvåret.</w:t>
            </w:r>
          </w:p>
        </w:tc>
      </w:tr>
      <w:tr w:rsidR="00855155" w:rsidRPr="00B21330" w14:paraId="1DDCD7DB"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2C8DFAE9" w14:textId="77777777" w:rsidR="00855155" w:rsidRPr="00B21330" w:rsidRDefault="00855155" w:rsidP="00855155">
            <w:pPr>
              <w:jc w:val="left"/>
              <w:rPr>
                <w:noProof/>
                <w:sz w:val="18"/>
                <w:szCs w:val="18"/>
              </w:rPr>
            </w:pPr>
            <w:r w:rsidRPr="00B21330">
              <w:rPr>
                <w:noProof/>
                <w:color w:val="034EA2" w:themeColor="accent1"/>
                <w:sz w:val="18"/>
              </w:rPr>
              <w:t>Netværk af primary dealere</w:t>
            </w:r>
          </w:p>
        </w:tc>
        <w:tc>
          <w:tcPr>
            <w:tcW w:w="3264" w:type="dxa"/>
            <w:shd w:val="clear" w:color="auto" w:fill="auto"/>
          </w:tcPr>
          <w:p w14:paraId="5DDF7E81" w14:textId="3BDD073C"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Tiltrækning af en bred vifte af finansielle institutioner med et stærkt engagement i at støtte EU-udstedelser.</w:t>
            </w:r>
          </w:p>
        </w:tc>
        <w:tc>
          <w:tcPr>
            <w:tcW w:w="2268" w:type="dxa"/>
            <w:shd w:val="clear" w:color="auto" w:fill="auto"/>
          </w:tcPr>
          <w:p w14:paraId="62050E1A" w14:textId="7039DD80" w:rsidR="00855155" w:rsidRPr="00B21330" w:rsidRDefault="00855155" w:rsidP="00855155">
            <w:pPr>
              <w:pStyle w:val="ListParagraph"/>
              <w:numPr>
                <w:ilvl w:val="0"/>
                <w:numId w:val="13"/>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bookmarkStart w:id="75" w:name="_Hlk187078956"/>
            <w:r w:rsidRPr="00B21330">
              <w:rPr>
                <w:rFonts w:ascii="EC Square Sans Pro" w:hAnsi="EC Square Sans Pro"/>
                <w:i/>
                <w:noProof/>
                <w:sz w:val="18"/>
              </w:rPr>
              <w:t>Antal institutioner, der har underskrevet tegningstilsagn for transaktioner i løbet af de seneste seks måneder</w:t>
            </w:r>
            <w:bookmarkEnd w:id="75"/>
          </w:p>
        </w:tc>
        <w:tc>
          <w:tcPr>
            <w:tcW w:w="2551" w:type="dxa"/>
            <w:shd w:val="clear" w:color="auto" w:fill="auto"/>
          </w:tcPr>
          <w:p w14:paraId="76FAE338" w14:textId="14B1E47F" w:rsidR="00855155" w:rsidRPr="00B21330"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15 (sammenlignet med 19 i første halvår 2024)</w:t>
            </w:r>
          </w:p>
        </w:tc>
        <w:tc>
          <w:tcPr>
            <w:tcW w:w="4678" w:type="dxa"/>
            <w:shd w:val="clear" w:color="auto" w:fill="auto"/>
          </w:tcPr>
          <w:p w14:paraId="11EBCB24" w14:textId="60E17C19"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bCs/>
                <w:noProof/>
                <w:sz w:val="18"/>
                <w:szCs w:val="18"/>
              </w:rPr>
            </w:pPr>
            <w:r w:rsidRPr="00B21330">
              <w:rPr>
                <w:noProof/>
                <w:sz w:val="18"/>
              </w:rPr>
              <w:t>EU's primary dealere fortsatte med at støtte Kommissionen, og rotationen ved syndikeringerne hjalp Kommissionen med at gøre bedst mulig brug af alle de banker, der kunne deltage i en syndikering.</w:t>
            </w:r>
          </w:p>
        </w:tc>
      </w:tr>
      <w:tr w:rsidR="00855155" w:rsidRPr="00B21330" w14:paraId="0491B75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3C51B3BE" w14:textId="77777777" w:rsidR="00855155" w:rsidRPr="00B21330" w:rsidRDefault="00855155" w:rsidP="00855155">
            <w:pPr>
              <w:jc w:val="left"/>
              <w:rPr>
                <w:noProof/>
                <w:sz w:val="18"/>
                <w:szCs w:val="18"/>
              </w:rPr>
            </w:pPr>
            <w:r w:rsidRPr="00B21330">
              <w:rPr>
                <w:noProof/>
                <w:color w:val="034EA2" w:themeColor="accent1"/>
                <w:sz w:val="18"/>
              </w:rPr>
              <w:t xml:space="preserve">Kommunikation med forskellige markedsaktører og sammenlignelige udstedere </w:t>
            </w:r>
          </w:p>
        </w:tc>
        <w:tc>
          <w:tcPr>
            <w:tcW w:w="3264" w:type="dxa"/>
            <w:vMerge w:val="restart"/>
            <w:shd w:val="clear" w:color="auto" w:fill="auto"/>
          </w:tcPr>
          <w:p w14:paraId="256948EE" w14:textId="2A730EEC"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Opretholdelse og opbygning af tillid hos investorerne, markedets deltagere og sammenlignelige udstedere for at støtte efterspørgslen efter EU-gæld og forbedre EU's forståelse af markedsdynamikken og investorernes behov.</w:t>
            </w:r>
          </w:p>
        </w:tc>
        <w:tc>
          <w:tcPr>
            <w:tcW w:w="2268" w:type="dxa"/>
            <w:shd w:val="clear" w:color="auto" w:fill="auto"/>
          </w:tcPr>
          <w:p w14:paraId="531FA22F" w14:textId="77777777" w:rsidR="00855155" w:rsidRPr="00B21330"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 xml:space="preserve">Afvigelser fra de på forhånd meddelte tidspunkter for offentliggørelse af finansieringsplaner </w:t>
            </w:r>
          </w:p>
        </w:tc>
        <w:tc>
          <w:tcPr>
            <w:tcW w:w="2551" w:type="dxa"/>
            <w:shd w:val="clear" w:color="auto" w:fill="auto"/>
          </w:tcPr>
          <w:p w14:paraId="7F9DC91A" w14:textId="7777777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Ingen</w:t>
            </w:r>
          </w:p>
        </w:tc>
        <w:tc>
          <w:tcPr>
            <w:tcW w:w="4678" w:type="dxa"/>
            <w:vMerge w:val="restart"/>
            <w:shd w:val="clear" w:color="auto" w:fill="auto"/>
          </w:tcPr>
          <w:p w14:paraId="6338D717" w14:textId="77777777" w:rsidR="00855155" w:rsidRPr="00B21330"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 xml:space="preserve">Kommissionen opretholdt regelmæssig og forudsigelig kommunikation med markederne i overensstemmelse med tidligere meddelelser. </w:t>
            </w:r>
          </w:p>
          <w:p w14:paraId="16A075E2" w14:textId="74F314A6" w:rsidR="00855155" w:rsidRPr="00B21330" w:rsidRDefault="00F71DFB"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I løbet af andet halvår af 2024 skete der en reduktion af tildelingen på 1 mia. EUR som følge af sikringen af attraktive finansieringsforhold i obligationsauktionerne.</w:t>
            </w:r>
          </w:p>
          <w:p w14:paraId="24D7217D" w14:textId="1FAC08E4" w:rsidR="00855155" w:rsidRPr="00B21330"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Kommissionen offentliggjorde regelmæssigt investorstatistikker, som forblev stabile, og dens diversificerede investorbase fortsatte med at stige.</w:t>
            </w:r>
          </w:p>
          <w:p w14:paraId="6C2C8FB3"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21330" w14:paraId="62A4F54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53290D7" w14:textId="77777777" w:rsidR="00855155" w:rsidRPr="00B21330" w:rsidRDefault="00855155" w:rsidP="00855155">
            <w:pPr>
              <w:rPr>
                <w:noProof/>
                <w:color w:val="034EA2" w:themeColor="accent1"/>
                <w:sz w:val="18"/>
                <w:szCs w:val="18"/>
              </w:rPr>
            </w:pPr>
          </w:p>
        </w:tc>
        <w:tc>
          <w:tcPr>
            <w:tcW w:w="3264" w:type="dxa"/>
            <w:vMerge/>
          </w:tcPr>
          <w:p w14:paraId="5FEB6FF4" w14:textId="77777777" w:rsidR="00855155" w:rsidRPr="00B21330"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6632DA66" w14:textId="77777777" w:rsidR="00855155" w:rsidRPr="00B21330" w:rsidRDefault="00855155" w:rsidP="00855155">
            <w:pPr>
              <w:pStyle w:val="ListParagraph"/>
              <w:numPr>
                <w:ilvl w:val="0"/>
                <w:numId w:val="26"/>
              </w:numPr>
              <w:spacing w:after="40"/>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 xml:space="preserve">Afvigelse fra de mængder, der er bebudet i finansieringsplanen </w:t>
            </w:r>
          </w:p>
        </w:tc>
        <w:tc>
          <w:tcPr>
            <w:tcW w:w="2551" w:type="dxa"/>
            <w:shd w:val="clear" w:color="auto" w:fill="auto"/>
          </w:tcPr>
          <w:p w14:paraId="47F1776F" w14:textId="77777777" w:rsidR="00855155" w:rsidRPr="00B21330"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21330">
              <w:rPr>
                <w:noProof/>
                <w:sz w:val="18"/>
              </w:rPr>
              <w:t>Mindre end 1 mia. EUR eller mindre end 2 % (sammenlignet med mindre end 2 % i første halvår af 2024).</w:t>
            </w:r>
          </w:p>
        </w:tc>
        <w:tc>
          <w:tcPr>
            <w:tcW w:w="4678" w:type="dxa"/>
            <w:vMerge/>
          </w:tcPr>
          <w:p w14:paraId="157FCB3F" w14:textId="77777777" w:rsidR="00855155" w:rsidRPr="00B21330"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21330" w14:paraId="6C55C8B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D62398C" w14:textId="77777777" w:rsidR="00855155" w:rsidRPr="00B21330" w:rsidRDefault="00855155" w:rsidP="00855155">
            <w:pPr>
              <w:rPr>
                <w:noProof/>
                <w:color w:val="034EA2" w:themeColor="accent1"/>
                <w:sz w:val="18"/>
                <w:szCs w:val="18"/>
              </w:rPr>
            </w:pPr>
          </w:p>
        </w:tc>
        <w:tc>
          <w:tcPr>
            <w:tcW w:w="3264" w:type="dxa"/>
            <w:vMerge/>
          </w:tcPr>
          <w:p w14:paraId="6C4695C2" w14:textId="7777777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p>
        </w:tc>
        <w:tc>
          <w:tcPr>
            <w:tcW w:w="2268" w:type="dxa"/>
            <w:shd w:val="clear" w:color="auto" w:fill="auto"/>
          </w:tcPr>
          <w:p w14:paraId="6AEC34E0" w14:textId="77777777" w:rsidR="00855155" w:rsidRPr="00B21330"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21330">
              <w:rPr>
                <w:rFonts w:ascii="EC Square Sans Pro" w:hAnsi="EC Square Sans Pro"/>
                <w:i/>
                <w:noProof/>
                <w:sz w:val="18"/>
              </w:rPr>
              <w:t>Statistikker over fordeling af investorer</w:t>
            </w:r>
          </w:p>
        </w:tc>
        <w:tc>
          <w:tcPr>
            <w:tcW w:w="2551" w:type="dxa"/>
            <w:shd w:val="clear" w:color="auto" w:fill="auto"/>
          </w:tcPr>
          <w:p w14:paraId="43E73872" w14:textId="77777777"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 xml:space="preserve">Efter type: </w:t>
            </w:r>
          </w:p>
          <w:p w14:paraId="186D47DB" w14:textId="1FA18E5F"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 xml:space="preserve">centralbanker/officielle institutioner 25,1 %, fondsforvaltere 22,5 %, bankers finansafdelinger 21,9 %, forsikrings- og pensionsfonde 20,5 %, banker 7,3 %, hedgefonde 2,6 % </w:t>
            </w:r>
          </w:p>
          <w:p w14:paraId="04AC14B1" w14:textId="630E0D44" w:rsidR="00855155" w:rsidRPr="00B21330"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21330">
              <w:rPr>
                <w:noProof/>
                <w:sz w:val="18"/>
              </w:rPr>
              <w:t>Efter land/region: Det Forenede Kongerige 19,4 %, Norden 12,4 %, Frankrig 11,7 %, Benelux 9,2 %, Italien 8,8 %, Asien-Stillehavsområdet 8,2 %, Tyskland 8,1 %, Den Iberiske Halvø 7,9 %, andre EU-lande 7,4 %, Europæiske lande uden for EU 2,6 %, Nord-, Syd- og Mellemamerika 2,2 %, Mellemøsten og Afrika 2,0 %</w:t>
            </w:r>
          </w:p>
        </w:tc>
        <w:tc>
          <w:tcPr>
            <w:tcW w:w="4678" w:type="dxa"/>
            <w:vMerge/>
          </w:tcPr>
          <w:p w14:paraId="58A27B01" w14:textId="77777777" w:rsidR="00855155" w:rsidRPr="00B21330"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bl>
    <w:p w14:paraId="07037DC9" w14:textId="77777777" w:rsidR="00515675" w:rsidRPr="00B21330" w:rsidRDefault="00515675" w:rsidP="00515675">
      <w:pPr>
        <w:rPr>
          <w:b/>
          <w:bCs/>
          <w:noProof/>
          <w:color w:val="034EA2" w:themeColor="accent1"/>
        </w:rPr>
      </w:pPr>
    </w:p>
    <w:sectPr w:rsidR="00515675" w:rsidRPr="00B21330" w:rsidSect="00A046A3">
      <w:headerReference w:type="even" r:id="rId43"/>
      <w:headerReference w:type="default" r:id="rId44"/>
      <w:footerReference w:type="even" r:id="rId45"/>
      <w:footerReference w:type="default" r:id="rId46"/>
      <w:headerReference w:type="first" r:id="rId47"/>
      <w:footerReference w:type="first" r:id="rId48"/>
      <w:pgSz w:w="16839" w:h="11907"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A1D2" w14:textId="77777777" w:rsidR="0064354F" w:rsidRDefault="0064354F" w:rsidP="008B6253">
      <w:pPr>
        <w:spacing w:after="0"/>
      </w:pPr>
      <w:r>
        <w:separator/>
      </w:r>
    </w:p>
  </w:endnote>
  <w:endnote w:type="continuationSeparator" w:id="0">
    <w:p w14:paraId="47AE044C" w14:textId="77777777" w:rsidR="0064354F" w:rsidRDefault="0064354F" w:rsidP="008B6253">
      <w:pPr>
        <w:spacing w:after="0"/>
      </w:pPr>
      <w:r>
        <w:continuationSeparator/>
      </w:r>
    </w:p>
  </w:endnote>
  <w:endnote w:type="continuationNotice" w:id="1">
    <w:p w14:paraId="4A278816" w14:textId="77777777" w:rsidR="0064354F" w:rsidRDefault="00643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Bahnschrift Light"/>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5970" w14:textId="5AF40A0E" w:rsidR="00123DCD" w:rsidRPr="00123DCD" w:rsidRDefault="00123DCD" w:rsidP="00123DCD">
    <w:pPr>
      <w:pStyle w:val="FooterCoverPage"/>
      <w:rPr>
        <w:rFonts w:ascii="Arial" w:hAnsi="Arial" w:cs="Arial"/>
        <w:b/>
        <w:sz w:val="48"/>
      </w:rPr>
    </w:pPr>
    <w:r w:rsidRPr="00123DCD">
      <w:rPr>
        <w:rFonts w:ascii="Arial" w:hAnsi="Arial" w:cs="Arial"/>
        <w:b/>
        <w:sz w:val="48"/>
      </w:rPr>
      <w:t>DA</w:t>
    </w:r>
    <w:r w:rsidRPr="00123DCD">
      <w:rPr>
        <w:rFonts w:ascii="Arial" w:hAnsi="Arial" w:cs="Arial"/>
        <w:b/>
        <w:sz w:val="48"/>
      </w:rPr>
      <w:tab/>
    </w:r>
    <w:r w:rsidRPr="00123DCD">
      <w:rPr>
        <w:rFonts w:ascii="Arial" w:hAnsi="Arial" w:cs="Arial"/>
        <w:b/>
        <w:sz w:val="48"/>
      </w:rPr>
      <w:tab/>
    </w:r>
    <w:r w:rsidRPr="00123DCD">
      <w:tab/>
    </w:r>
    <w:r w:rsidRPr="00123DCD">
      <w:rPr>
        <w:rFonts w:ascii="Arial" w:hAnsi="Arial" w:cs="Arial"/>
        <w:b/>
        <w:sz w:val="48"/>
      </w:rPr>
      <w:t>DA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1C2621" w:rsidRDefault="001C26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49A40BC" w:rsidR="001C2621" w:rsidRDefault="001C2621">
    <w:pPr>
      <w:pStyle w:val="Footer"/>
      <w:jc w:val="center"/>
      <w:rPr>
        <w:noProof/>
      </w:rPr>
    </w:pPr>
    <w:r>
      <w:fldChar w:fldCharType="begin"/>
    </w:r>
    <w:r>
      <w:instrText xml:space="preserve"> PAGE   \* MERGEFORMAT </w:instrText>
    </w:r>
    <w:r>
      <w:fldChar w:fldCharType="separate"/>
    </w:r>
    <w:r w:rsidR="004A00F6">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1C2621" w:rsidRDefault="001C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F240" w14:textId="2CFB6752" w:rsidR="00123DCD" w:rsidRPr="00123DCD" w:rsidRDefault="00123DCD" w:rsidP="00123DCD">
    <w:pPr>
      <w:pStyle w:val="FooterCoverPage"/>
      <w:rPr>
        <w:rFonts w:ascii="Arial" w:hAnsi="Arial" w:cs="Arial"/>
        <w:b/>
        <w:sz w:val="48"/>
      </w:rPr>
    </w:pPr>
    <w:r w:rsidRPr="00123DCD">
      <w:rPr>
        <w:rFonts w:ascii="Arial" w:hAnsi="Arial" w:cs="Arial"/>
        <w:b/>
        <w:sz w:val="48"/>
      </w:rPr>
      <w:t>DA</w:t>
    </w:r>
    <w:r w:rsidRPr="00123DCD">
      <w:rPr>
        <w:rFonts w:ascii="Arial" w:hAnsi="Arial" w:cs="Arial"/>
        <w:b/>
        <w:sz w:val="48"/>
      </w:rPr>
      <w:tab/>
    </w:r>
    <w:r w:rsidRPr="00123DCD">
      <w:rPr>
        <w:rFonts w:ascii="Arial" w:hAnsi="Arial" w:cs="Arial"/>
        <w:b/>
        <w:sz w:val="48"/>
      </w:rPr>
      <w:tab/>
    </w:r>
    <w:r w:rsidRPr="00123DCD">
      <w:tab/>
    </w:r>
    <w:r w:rsidRPr="00123DCD">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A374" w14:textId="77777777" w:rsidR="00123DCD" w:rsidRPr="00123DCD" w:rsidRDefault="00123DCD" w:rsidP="00123DC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1C2621" w:rsidRDefault="001C2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1C2621" w:rsidRPr="007352EE" w:rsidRDefault="001C2621" w:rsidP="00BD68A5">
    <w:pPr>
      <w:pStyle w:val="FooterCoverPage"/>
      <w:rPr>
        <w:rFonts w:ascii="Arial" w:hAnsi="Arial" w:cs="Arial"/>
        <w:b/>
        <w:sz w:val="48"/>
      </w:rPr>
    </w:pPr>
    <w:r>
      <w:rPr>
        <w:rFonts w:ascii="Arial" w:hAnsi="Arial"/>
        <w:b/>
        <w:sz w:val="48"/>
      </w:rPr>
      <w:t>DA</w:t>
    </w:r>
    <w:r>
      <w:rPr>
        <w:rFonts w:ascii="Arial" w:hAnsi="Arial"/>
        <w:b/>
        <w:sz w:val="48"/>
      </w:rPr>
      <w:tab/>
    </w:r>
    <w:r>
      <w:rPr>
        <w:rFonts w:ascii="Arial" w:hAnsi="Arial"/>
        <w:b/>
        <w:sz w:val="48"/>
      </w:rPr>
      <w:tab/>
    </w:r>
    <w:r>
      <w:tab/>
    </w:r>
    <w:r>
      <w:rPr>
        <w:rFonts w:ascii="Arial" w:hAnsi="Arial"/>
        <w:b/>
        <w:sz w:val="48"/>
      </w:rPr>
      <w:t>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1C2621" w:rsidRDefault="001C26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1C2621" w:rsidRDefault="001C26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1D60C231" w:rsidR="001C2621" w:rsidRDefault="001C2621">
        <w:pPr>
          <w:pStyle w:val="Footer"/>
          <w:jc w:val="right"/>
        </w:pPr>
        <w:r>
          <w:fldChar w:fldCharType="begin"/>
        </w:r>
        <w:r>
          <w:instrText xml:space="preserve"> PAGE   \* MERGEFORMAT </w:instrText>
        </w:r>
        <w:r>
          <w:fldChar w:fldCharType="separate"/>
        </w:r>
        <w:r w:rsidR="00123DCD">
          <w:rPr>
            <w:noProof/>
          </w:rPr>
          <w:t>3</w:t>
        </w:r>
        <w:r>
          <w:fldChar w:fldCharType="end"/>
        </w:r>
      </w:p>
    </w:sdtContent>
  </w:sdt>
  <w:p w14:paraId="0CB50D4F" w14:textId="77777777" w:rsidR="001C2621" w:rsidRDefault="001C26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1C2621" w:rsidRDefault="001C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8878E" w14:textId="77777777" w:rsidR="0064354F" w:rsidRDefault="0064354F" w:rsidP="008B6253">
      <w:pPr>
        <w:spacing w:after="0"/>
      </w:pPr>
      <w:r>
        <w:separator/>
      </w:r>
    </w:p>
  </w:footnote>
  <w:footnote w:type="continuationSeparator" w:id="0">
    <w:p w14:paraId="02904CD4" w14:textId="77777777" w:rsidR="0064354F" w:rsidRDefault="0064354F" w:rsidP="008B6253">
      <w:pPr>
        <w:spacing w:after="0"/>
      </w:pPr>
      <w:r>
        <w:continuationSeparator/>
      </w:r>
    </w:p>
  </w:footnote>
  <w:footnote w:type="continuationNotice" w:id="1">
    <w:p w14:paraId="52232718" w14:textId="77777777" w:rsidR="0064354F" w:rsidRDefault="0064354F">
      <w:pPr>
        <w:spacing w:after="0"/>
      </w:pPr>
    </w:p>
  </w:footnote>
  <w:footnote w:id="2">
    <w:p w14:paraId="36A6D2BF" w14:textId="77E0D79B" w:rsidR="00072047" w:rsidRPr="000659B4" w:rsidRDefault="00072047" w:rsidP="00B21330">
      <w:pPr>
        <w:pStyle w:val="FootnoteText"/>
        <w:ind w:left="426" w:hanging="426"/>
      </w:pPr>
      <w:r>
        <w:rPr>
          <w:rStyle w:val="FootnoteReference"/>
        </w:rPr>
        <w:footnoteRef/>
      </w:r>
      <w:r w:rsidR="00B21330">
        <w:tab/>
      </w:r>
      <w:r>
        <w:t>I overensstemmelse med omkostningsfordelingsmetoden som fastsat i Kommissionens gennemførelsesafgørelse (EU) 2024/1974.</w:t>
      </w:r>
    </w:p>
  </w:footnote>
  <w:footnote w:id="3">
    <w:p w14:paraId="7D8748D8" w14:textId="5D5D6907" w:rsidR="00F333BA" w:rsidRPr="001A5608" w:rsidRDefault="00F333BA" w:rsidP="00B21330">
      <w:pPr>
        <w:pStyle w:val="FootnoteText"/>
        <w:ind w:left="426" w:hanging="426"/>
      </w:pPr>
      <w:r>
        <w:rPr>
          <w:rStyle w:val="FootnoteReference"/>
        </w:rPr>
        <w:footnoteRef/>
      </w:r>
      <w:r w:rsidR="00B21330">
        <w:tab/>
      </w:r>
      <w:r>
        <w:t>Det europæiske instrument for midlertidig støtte til mindskelse af risiciene for arbejdsløshed i en nødsituation (SURE).</w:t>
      </w:r>
    </w:p>
  </w:footnote>
  <w:footnote w:id="4">
    <w:p w14:paraId="4A028087" w14:textId="1D36889C" w:rsidR="00F333BA" w:rsidRPr="000659B4" w:rsidRDefault="00F333BA" w:rsidP="00B21330">
      <w:pPr>
        <w:pStyle w:val="FootnoteText"/>
        <w:ind w:left="426" w:hanging="426"/>
      </w:pPr>
      <w:r>
        <w:rPr>
          <w:rStyle w:val="FootnoteReference"/>
        </w:rPr>
        <w:footnoteRef/>
      </w:r>
      <w:r w:rsidR="00B21330">
        <w:tab/>
      </w:r>
      <w:r>
        <w:t>Udarbejdet i overensstemmelse med artikel 13 i Kommissionens gennemførelsesafgørelse C(2023)8010, som fastsætter ordningerne for gennemførelsen af den fælles finansieringsmetode for låntagnings- og gældsforvaltningstransaktioner.</w:t>
      </w:r>
    </w:p>
  </w:footnote>
  <w:footnote w:id="5">
    <w:p w14:paraId="5D0990D6" w14:textId="7E44599E" w:rsidR="00F333BA" w:rsidRPr="000659B4" w:rsidRDefault="00F333BA" w:rsidP="00B21330">
      <w:pPr>
        <w:pStyle w:val="FootnoteText"/>
        <w:ind w:left="426" w:hanging="426"/>
      </w:pPr>
      <w:r>
        <w:rPr>
          <w:rStyle w:val="FootnoteReference"/>
        </w:rPr>
        <w:footnoteRef/>
      </w:r>
      <w:r w:rsidR="00B21330">
        <w:tab/>
      </w:r>
      <w:r>
        <w:t xml:space="preserve">Se f.eks. årsberetningen om </w:t>
      </w:r>
      <w:hyperlink r:id="rId1" w:history="1">
        <w:r>
          <w:rPr>
            <w:rStyle w:val="Hyperlink"/>
          </w:rPr>
          <w:t>genopretnings- og resiliensfaciliteten</w:t>
        </w:r>
      </w:hyperlink>
      <w:r>
        <w:t xml:space="preserve"> og </w:t>
      </w:r>
      <w:hyperlink r:id="rId2" w:history="1">
        <w:r>
          <w:rPr>
            <w:rStyle w:val="Hyperlink"/>
          </w:rPr>
          <w:t>makrofinansiel bistand</w:t>
        </w:r>
      </w:hyperlink>
      <w:r>
        <w:t xml:space="preserve"> samt </w:t>
      </w:r>
      <w:hyperlink r:id="rId3" w:history="1">
        <w:r>
          <w:rPr>
            <w:rStyle w:val="Hyperlink"/>
          </w:rPr>
          <w:t>rapporten om fordeling af grønne NGEU-obligationer og konsekvensanalyse</w:t>
        </w:r>
      </w:hyperlink>
      <w:r>
        <w:t xml:space="preserve">.  </w:t>
      </w:r>
    </w:p>
  </w:footnote>
  <w:footnote w:id="6">
    <w:p w14:paraId="53063AC2" w14:textId="688F4AC2" w:rsidR="00F333BA" w:rsidRPr="000659B4" w:rsidRDefault="00F333BA" w:rsidP="00B21330">
      <w:pPr>
        <w:pStyle w:val="FootnoteText"/>
        <w:ind w:left="426" w:hanging="426"/>
      </w:pPr>
      <w:r>
        <w:rPr>
          <w:rStyle w:val="FootnoteReference"/>
        </w:rPr>
        <w:footnoteRef/>
      </w:r>
      <w:r w:rsidR="00B21330">
        <w:tab/>
      </w:r>
      <w:hyperlink r:id="rId4" w:history="1">
        <w:r>
          <w:rPr>
            <w:rStyle w:val="Hyperlink"/>
          </w:rPr>
          <w:t>Særberetning 16/2023:</w:t>
        </w:r>
      </w:hyperlink>
      <w:hyperlink r:id="rId5" w:history="1">
        <w:r>
          <w:rPr>
            <w:rStyle w:val="Hyperlink"/>
          </w:rPr>
          <w:t>NGEU-gældsforvaltning i Kommissionen</w:t>
        </w:r>
      </w:hyperlink>
      <w:r>
        <w:t xml:space="preserve"> og </w:t>
      </w:r>
      <w:hyperlink r:id="rId6" w:history="1">
        <w:r>
          <w:rPr>
            <w:rStyle w:val="Hyperlink"/>
          </w:rPr>
          <w:t>Kommissionens svar</w:t>
        </w:r>
      </w:hyperlink>
      <w:r>
        <w:t>.</w:t>
      </w:r>
    </w:p>
  </w:footnote>
  <w:footnote w:id="7">
    <w:p w14:paraId="3108F639" w14:textId="4D44CB27" w:rsidR="00F333BA" w:rsidRPr="00B551F9" w:rsidRDefault="00F333BA" w:rsidP="00B21330">
      <w:pPr>
        <w:pStyle w:val="FootnoteText"/>
        <w:ind w:left="426" w:hanging="426"/>
      </w:pPr>
      <w:r>
        <w:rPr>
          <w:rStyle w:val="FootnoteReference"/>
        </w:rPr>
        <w:footnoteRef/>
      </w:r>
      <w:r w:rsidR="00B21330">
        <w:tab/>
      </w:r>
      <w:r>
        <w:t xml:space="preserve">En beskrivelse af den overordnede gældsforvaltningsstrategi findes i den halvårlige rapport om gennemførelsen af EU's låntagnings- og långivningstransaktioner fra den 1. januar 2023 til den 30. juni 2023, se den fjerde </w:t>
      </w:r>
      <w:hyperlink r:id="rId7" w:history="1">
        <w:r>
          <w:rPr>
            <w:rStyle w:val="Hyperlink"/>
          </w:rPr>
          <w:t>halvårlige rapport om gennemførelsen af EU's låntagnings- og långivningstransaktioner (europa.eu)</w:t>
        </w:r>
      </w:hyperlink>
      <w:r>
        <w:t>.</w:t>
      </w:r>
    </w:p>
  </w:footnote>
  <w:footnote w:id="8">
    <w:p w14:paraId="0D2FD9E0" w14:textId="23C3ED44" w:rsidR="005C414E" w:rsidRPr="00877CA0" w:rsidRDefault="005C414E" w:rsidP="005C414E">
      <w:pPr>
        <w:pStyle w:val="FootnoteText"/>
        <w:ind w:left="426" w:hanging="426"/>
      </w:pPr>
      <w:r>
        <w:rPr>
          <w:rStyle w:val="FootnoteReference"/>
        </w:rPr>
        <w:footnoteRef/>
      </w:r>
      <w:r w:rsidR="00B21330">
        <w:tab/>
      </w:r>
      <w:r>
        <w:t>Disse omfatter platformen for strategiske teknologier for Europa (STEP), Horisont Europa, InvestEU-fonden, ReactEU, EU-civilbeskyttelsesmekanismen (RescEU), Den Europæiske Landbrugsfond for Udvikling af Landdistrikterne (ELFUL) og Fonden for Retfærdig Omstilling.</w:t>
      </w:r>
    </w:p>
  </w:footnote>
  <w:footnote w:id="9">
    <w:p w14:paraId="7FC61A99" w14:textId="6B8DFFE2" w:rsidR="005C414E" w:rsidRPr="00C44E47" w:rsidRDefault="005C414E" w:rsidP="005C414E">
      <w:pPr>
        <w:pStyle w:val="FootnoteText"/>
        <w:ind w:left="426" w:hanging="426"/>
      </w:pPr>
      <w:r>
        <w:rPr>
          <w:rStyle w:val="FootnoteReference"/>
        </w:rPr>
        <w:footnoteRef/>
      </w:r>
      <w:r w:rsidR="00B21330">
        <w:tab/>
      </w:r>
      <w:r>
        <w:t>Yderligere 9,6 mia. EUR i NGEU-udgifter er blevet finansieret af andre kilder (dvs. emissionshandelsordningen (ETS) og brexittilpasningsreserven (BAR)).</w:t>
      </w:r>
    </w:p>
  </w:footnote>
  <w:footnote w:id="10">
    <w:p w14:paraId="0AF853BC" w14:textId="747AF10E" w:rsidR="001C2621" w:rsidRPr="00C44E47" w:rsidRDefault="001C2621" w:rsidP="00456D3B">
      <w:pPr>
        <w:pStyle w:val="FootnoteText"/>
        <w:ind w:left="426" w:hanging="426"/>
      </w:pPr>
      <w:r>
        <w:rPr>
          <w:rStyle w:val="FootnoteReference"/>
        </w:rPr>
        <w:footnoteRef/>
      </w:r>
      <w:bookmarkStart w:id="41" w:name="_Hlk187333391"/>
      <w:r w:rsidR="00B21330">
        <w:tab/>
      </w:r>
      <w:r>
        <w:t>Hidtil har EU-obligationer udstedt via syndikeringer samlet set tiltrukket mere end 1 900 forskellige investorer fra over 70 forskellige lande. Over 65 % af investeringerne i syndikeringer over EU-obligationer er fra investorer, der er etableret i EU, og næsten 20 % er fra internationale investorer, der opererer fra Det Forenede Kongerige. Resten af investeringerne stammer fra andre internationale investorer i Asien og europæiske lande uden for EU såsom Norge og Schweiz. Over 65 % af de udstedte EU-obligationer er blevet købt af langsigtede investorer, såkaldte buy-and-hold-investorer (dvs. fondsforvaltere, forsikringsselskaber, pensionsfonde og centralbanker/officielle institutioner). Der er også en god fordeling af investorer, der ønsker forskellige løbetider. Centralbanker/officielle institutioner og bankers finansafdelinger (som normalt foretrækker at investere i obligationer med løbetider på op til ti år) tegner sig for ca. 47 % af opkøbene af EU-obligationer på de primære markeder i syndikerede transaktioner, og pensionsfonde og forsikringsselskaber (som foretrækker løbetider på over ti år) tegner sig for næsten 20 %.</w:t>
      </w:r>
      <w:bookmarkEnd w:id="41"/>
    </w:p>
  </w:footnote>
  <w:footnote w:id="11">
    <w:p w14:paraId="24050A48" w14:textId="79544B96" w:rsidR="001C2621" w:rsidRPr="006839E6" w:rsidRDefault="001C2621" w:rsidP="00B21330">
      <w:pPr>
        <w:pStyle w:val="FootnoteText"/>
        <w:ind w:left="426" w:hanging="426"/>
      </w:pPr>
      <w:r>
        <w:rPr>
          <w:rStyle w:val="FootnoteReference"/>
        </w:rPr>
        <w:footnoteRef/>
      </w:r>
      <w:r w:rsidR="00B21330">
        <w:tab/>
      </w:r>
      <w:r>
        <w:t xml:space="preserve">Denne præmie for nyemissioner er en præmie, som udstederen betaler for at overtale investorer til at købe sine obligationer på det primære marked i stedet for på det sekundære marked. </w:t>
      </w:r>
    </w:p>
  </w:footnote>
  <w:footnote w:id="12">
    <w:p w14:paraId="734BE8F3" w14:textId="488899F5" w:rsidR="009E499F" w:rsidRPr="00C83356" w:rsidRDefault="009E499F" w:rsidP="00B21330">
      <w:pPr>
        <w:pStyle w:val="FootnoteText"/>
        <w:ind w:left="426" w:hanging="426"/>
      </w:pPr>
      <w:r>
        <w:rPr>
          <w:rStyle w:val="FootnoteReference"/>
        </w:rPr>
        <w:footnoteRef/>
      </w:r>
      <w:r w:rsidR="00B21330">
        <w:tab/>
      </w:r>
      <w:r>
        <w:t>For NextGenerationEU er de afholdte renteudgifter fordelt mellem EU-budgettet og de medlemsstater, der modtager lån, efter metoden i Kommissionens gennemførelsesafgørelse (EU) 2021/1095 og dens efterfølgere Kommissionens gennemførelsesafgørelse (EU) 2022/9701 og Kommissionens gennemførelsesafgørelse (EU) 2024/1974. Denne metode sondrer mellem tre forskellige omkostningskategorier: i) finansieringsomkostninger til finansiering af ikketilbagebetalingspligtig støtte og udbetalinger af lån beregnet efter tidssegmenter på seks måneder, ii) omkostningerne til at råde over likvide beholdninger og styre likviditeten og iii) administrationsomkostninger. Det har været muligt at opdele hvert program, siden Kommissionens gennemførelsesafgørelse (EU, Euratom) 2024/1974 trådte i kraft i andet halvår af 2024. For at undgå nogen form for tilbagevirkende effekt forbliver programmer, der blev finansieret og udbetalt før gennemførelsen af denne metode (såsom MFA+-lån til Ukraine og ekstraordinær brofinansiering under Ukrainefaciliteten), samlet med NGEU's låne- og udlånsoperationer under den fælles finansieringsmetode.</w:t>
      </w:r>
    </w:p>
  </w:footnote>
  <w:footnote w:id="13">
    <w:p w14:paraId="32030774" w14:textId="1B213487" w:rsidR="00515675" w:rsidRPr="00FA1F7E" w:rsidRDefault="00515675" w:rsidP="00515675">
      <w:pPr>
        <w:pStyle w:val="FootnoteText"/>
        <w:rPr>
          <w:sz w:val="18"/>
          <w:szCs w:val="18"/>
        </w:rPr>
      </w:pPr>
      <w:r>
        <w:rPr>
          <w:rStyle w:val="FootnoteReference"/>
          <w:sz w:val="18"/>
          <w:szCs w:val="18"/>
        </w:rPr>
        <w:footnoteRef/>
      </w:r>
      <w:r w:rsidR="00B21330">
        <w:tab/>
      </w:r>
      <w:r>
        <w:t>Yderligere oplysninger om grønne NGEU-obligationer findes på NGEU Green Bond Dashboard her:</w:t>
      </w:r>
      <w:r>
        <w:rPr>
          <w:sz w:val="18"/>
        </w:rPr>
        <w:t xml:space="preserve"> </w:t>
      </w:r>
      <w:hyperlink r:id="rId8" w:history="1">
        <w:r>
          <w:rPr>
            <w:rStyle w:val="Hyperlink"/>
            <w:sz w:val="18"/>
          </w:rPr>
          <w:t>Dashboard (europa.eu)</w:t>
        </w:r>
      </w:hyperlink>
      <w:r w:rsidR="00B21330" w:rsidRPr="00B21330">
        <w:rPr>
          <w:rStyle w:val="Hyperlink"/>
          <w:sz w:val="18"/>
          <w:u w:val="none"/>
        </w:rPr>
        <w:t>.</w:t>
      </w:r>
    </w:p>
  </w:footnote>
  <w:footnote w:id="14">
    <w:p w14:paraId="277C0AE6" w14:textId="47973AA1" w:rsidR="00515675" w:rsidRPr="007D6D02" w:rsidRDefault="00515675" w:rsidP="00B21330">
      <w:pPr>
        <w:spacing w:after="0"/>
        <w:ind w:left="426" w:hanging="426"/>
        <w:rPr>
          <w:sz w:val="20"/>
          <w:szCs w:val="20"/>
        </w:rPr>
      </w:pPr>
      <w:r>
        <w:rPr>
          <w:rStyle w:val="FootnoteReference"/>
          <w:sz w:val="18"/>
          <w:szCs w:val="18"/>
        </w:rPr>
        <w:footnoteRef/>
      </w:r>
      <w:r w:rsidR="00B21330">
        <w:rPr>
          <w:sz w:val="20"/>
          <w:szCs w:val="20"/>
        </w:rPr>
        <w:tab/>
      </w:r>
      <w:r w:rsidRPr="007D6D02">
        <w:rPr>
          <w:sz w:val="20"/>
          <w:szCs w:val="20"/>
        </w:rPr>
        <w:t>Baseret på det gennemsnitlige antal måneder mellem en ny udstedelse og første tap-udstedelse, når de nye linjer, der udnyttes i løbet af andet halvår 2024, tages i betragtning.</w:t>
      </w:r>
    </w:p>
  </w:footnote>
  <w:footnote w:id="15">
    <w:p w14:paraId="5CBAD5DF" w14:textId="14C8947C" w:rsidR="00515675" w:rsidRPr="0002172B" w:rsidRDefault="00515675" w:rsidP="00B21330">
      <w:pPr>
        <w:pStyle w:val="FootnoteText"/>
        <w:ind w:left="426" w:hanging="426"/>
      </w:pPr>
      <w:r>
        <w:rPr>
          <w:rStyle w:val="FootnoteReference"/>
          <w:sz w:val="18"/>
          <w:szCs w:val="18"/>
        </w:rPr>
        <w:footnoteRef/>
      </w:r>
      <w:r w:rsidR="00B21330">
        <w:rPr>
          <w:sz w:val="18"/>
        </w:rPr>
        <w:tab/>
      </w:r>
      <w:r>
        <w:rPr>
          <w:sz w:val="18"/>
        </w:rPr>
        <w:t>Udestående obligationer i forhold til antallet af obligationer ved udgangen af andet halvår 2024, baseret på obligationer udstedt i henhold til den diversificerede finansieringsstrategi.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A156" w14:textId="77777777" w:rsidR="00123DCD" w:rsidRPr="00123DCD" w:rsidRDefault="00123DCD" w:rsidP="00123DCD">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1C2621" w:rsidRDefault="001C2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1C2621" w:rsidRDefault="001C2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1C2621" w:rsidRDefault="001C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D152" w14:textId="77777777" w:rsidR="00123DCD" w:rsidRPr="00123DCD" w:rsidRDefault="00123DCD" w:rsidP="00123DC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F8AE5" w14:textId="77777777" w:rsidR="00123DCD" w:rsidRPr="00123DCD" w:rsidRDefault="00123DCD" w:rsidP="00123DC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1C2621" w:rsidRDefault="001C2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1C2621" w:rsidRDefault="001C2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1C2621" w:rsidRDefault="001C2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1C2621" w:rsidRDefault="001C2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1C2621" w:rsidRPr="00657B16" w:rsidRDefault="001C2621"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1C2621" w:rsidRDefault="001C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85"/>
    <w:multiLevelType w:val="hybridMultilevel"/>
    <w:tmpl w:val="03C045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61A4A"/>
    <w:multiLevelType w:val="hybridMultilevel"/>
    <w:tmpl w:val="9D847452"/>
    <w:lvl w:ilvl="0" w:tplc="0D9A2F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BB670D"/>
    <w:multiLevelType w:val="hybridMultilevel"/>
    <w:tmpl w:val="7C3C86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F15449"/>
    <w:multiLevelType w:val="hybridMultilevel"/>
    <w:tmpl w:val="680CEC7A"/>
    <w:lvl w:ilvl="0" w:tplc="4DC4E9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66335"/>
    <w:multiLevelType w:val="hybridMultilevel"/>
    <w:tmpl w:val="505C6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7E7CA7"/>
    <w:multiLevelType w:val="hybridMultilevel"/>
    <w:tmpl w:val="DC8443FA"/>
    <w:lvl w:ilvl="0" w:tplc="36305444">
      <w:start w:val="1"/>
      <w:numFmt w:val="bullet"/>
      <w:lvlText w:val="-"/>
      <w:lvlJc w:val="left"/>
      <w:pPr>
        <w:ind w:left="720" w:hanging="360"/>
      </w:pPr>
      <w:rPr>
        <w:rFonts w:ascii="EC Square Sans Pro" w:eastAsia="Times New Roman" w:hAnsi="EC Square Sans Pro" w:cs="Times New Roman" w:hint="default"/>
        <w:b/>
        <w:bCs/>
        <w:color w:val="70AD47" w:themeColor="accent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43C7C"/>
    <w:multiLevelType w:val="hybridMultilevel"/>
    <w:tmpl w:val="58C04AA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A71202"/>
    <w:multiLevelType w:val="hybridMultilevel"/>
    <w:tmpl w:val="28CCA644"/>
    <w:lvl w:ilvl="0" w:tplc="111E0DF2">
      <w:start w:val="1"/>
      <w:numFmt w:val="bullet"/>
      <w:lvlText w:val=""/>
      <w:lvlJc w:val="left"/>
      <w:pPr>
        <w:ind w:left="720" w:hanging="360"/>
      </w:pPr>
      <w:rPr>
        <w:rFonts w:ascii="Symbol" w:hAnsi="Symbol" w:hint="default"/>
        <w:color w:val="034EA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751D3"/>
    <w:multiLevelType w:val="hybridMultilevel"/>
    <w:tmpl w:val="2CA2CE64"/>
    <w:lvl w:ilvl="0" w:tplc="6ECAA736">
      <w:start w:val="1"/>
      <w:numFmt w:val="low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27F54"/>
    <w:multiLevelType w:val="hybridMultilevel"/>
    <w:tmpl w:val="010A5B40"/>
    <w:lvl w:ilvl="0" w:tplc="42947A9C">
      <w:start w:val="1"/>
      <w:numFmt w:val="bullet"/>
      <w:lvlText w:val="•"/>
      <w:lvlJc w:val="left"/>
      <w:pPr>
        <w:tabs>
          <w:tab w:val="num" w:pos="720"/>
        </w:tabs>
        <w:ind w:left="720" w:hanging="360"/>
      </w:pPr>
      <w:rPr>
        <w:rFonts w:ascii="Arial" w:hAnsi="Arial" w:hint="default"/>
      </w:rPr>
    </w:lvl>
    <w:lvl w:ilvl="1" w:tplc="215AC05A" w:tentative="1">
      <w:start w:val="1"/>
      <w:numFmt w:val="bullet"/>
      <w:lvlText w:val="•"/>
      <w:lvlJc w:val="left"/>
      <w:pPr>
        <w:tabs>
          <w:tab w:val="num" w:pos="1440"/>
        </w:tabs>
        <w:ind w:left="1440" w:hanging="360"/>
      </w:pPr>
      <w:rPr>
        <w:rFonts w:ascii="Arial" w:hAnsi="Arial" w:hint="default"/>
      </w:rPr>
    </w:lvl>
    <w:lvl w:ilvl="2" w:tplc="ADD695E0" w:tentative="1">
      <w:start w:val="1"/>
      <w:numFmt w:val="bullet"/>
      <w:lvlText w:val="•"/>
      <w:lvlJc w:val="left"/>
      <w:pPr>
        <w:tabs>
          <w:tab w:val="num" w:pos="2160"/>
        </w:tabs>
        <w:ind w:left="2160" w:hanging="360"/>
      </w:pPr>
      <w:rPr>
        <w:rFonts w:ascii="Arial" w:hAnsi="Arial" w:hint="default"/>
      </w:rPr>
    </w:lvl>
    <w:lvl w:ilvl="3" w:tplc="529CBC18" w:tentative="1">
      <w:start w:val="1"/>
      <w:numFmt w:val="bullet"/>
      <w:lvlText w:val="•"/>
      <w:lvlJc w:val="left"/>
      <w:pPr>
        <w:tabs>
          <w:tab w:val="num" w:pos="2880"/>
        </w:tabs>
        <w:ind w:left="2880" w:hanging="360"/>
      </w:pPr>
      <w:rPr>
        <w:rFonts w:ascii="Arial" w:hAnsi="Arial" w:hint="default"/>
      </w:rPr>
    </w:lvl>
    <w:lvl w:ilvl="4" w:tplc="87264A7C" w:tentative="1">
      <w:start w:val="1"/>
      <w:numFmt w:val="bullet"/>
      <w:lvlText w:val="•"/>
      <w:lvlJc w:val="left"/>
      <w:pPr>
        <w:tabs>
          <w:tab w:val="num" w:pos="3600"/>
        </w:tabs>
        <w:ind w:left="3600" w:hanging="360"/>
      </w:pPr>
      <w:rPr>
        <w:rFonts w:ascii="Arial" w:hAnsi="Arial" w:hint="default"/>
      </w:rPr>
    </w:lvl>
    <w:lvl w:ilvl="5" w:tplc="0C662316" w:tentative="1">
      <w:start w:val="1"/>
      <w:numFmt w:val="bullet"/>
      <w:lvlText w:val="•"/>
      <w:lvlJc w:val="left"/>
      <w:pPr>
        <w:tabs>
          <w:tab w:val="num" w:pos="4320"/>
        </w:tabs>
        <w:ind w:left="4320" w:hanging="360"/>
      </w:pPr>
      <w:rPr>
        <w:rFonts w:ascii="Arial" w:hAnsi="Arial" w:hint="default"/>
      </w:rPr>
    </w:lvl>
    <w:lvl w:ilvl="6" w:tplc="6BB69D36" w:tentative="1">
      <w:start w:val="1"/>
      <w:numFmt w:val="bullet"/>
      <w:lvlText w:val="•"/>
      <w:lvlJc w:val="left"/>
      <w:pPr>
        <w:tabs>
          <w:tab w:val="num" w:pos="5040"/>
        </w:tabs>
        <w:ind w:left="5040" w:hanging="360"/>
      </w:pPr>
      <w:rPr>
        <w:rFonts w:ascii="Arial" w:hAnsi="Arial" w:hint="default"/>
      </w:rPr>
    </w:lvl>
    <w:lvl w:ilvl="7" w:tplc="AF4A540C" w:tentative="1">
      <w:start w:val="1"/>
      <w:numFmt w:val="bullet"/>
      <w:lvlText w:val="•"/>
      <w:lvlJc w:val="left"/>
      <w:pPr>
        <w:tabs>
          <w:tab w:val="num" w:pos="5760"/>
        </w:tabs>
        <w:ind w:left="5760" w:hanging="360"/>
      </w:pPr>
      <w:rPr>
        <w:rFonts w:ascii="Arial" w:hAnsi="Arial" w:hint="default"/>
      </w:rPr>
    </w:lvl>
    <w:lvl w:ilvl="8" w:tplc="CAF800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120080"/>
    <w:multiLevelType w:val="hybridMultilevel"/>
    <w:tmpl w:val="9D4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473A4"/>
    <w:multiLevelType w:val="hybridMultilevel"/>
    <w:tmpl w:val="6D3E5978"/>
    <w:lvl w:ilvl="0" w:tplc="CDBC193C">
      <w:start w:val="1"/>
      <w:numFmt w:val="bullet"/>
      <w:lvlText w:val=""/>
      <w:lvlJc w:val="left"/>
      <w:pPr>
        <w:ind w:left="360" w:hanging="360"/>
      </w:pPr>
      <w:rPr>
        <w:rFonts w:ascii="Symbol" w:hAnsi="Symbol" w:hint="default"/>
        <w:color w:val="034EA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C62327"/>
    <w:multiLevelType w:val="hybridMultilevel"/>
    <w:tmpl w:val="7E726144"/>
    <w:lvl w:ilvl="0" w:tplc="F1D08040">
      <w:start w:val="1"/>
      <w:numFmt w:val="bullet"/>
      <w:lvlText w:val="•"/>
      <w:lvlJc w:val="left"/>
      <w:pPr>
        <w:tabs>
          <w:tab w:val="num" w:pos="720"/>
        </w:tabs>
        <w:ind w:left="720" w:hanging="360"/>
      </w:pPr>
      <w:rPr>
        <w:rFonts w:ascii="Arial" w:hAnsi="Arial" w:hint="default"/>
      </w:rPr>
    </w:lvl>
    <w:lvl w:ilvl="1" w:tplc="925C4DA6" w:tentative="1">
      <w:start w:val="1"/>
      <w:numFmt w:val="bullet"/>
      <w:lvlText w:val="•"/>
      <w:lvlJc w:val="left"/>
      <w:pPr>
        <w:tabs>
          <w:tab w:val="num" w:pos="1440"/>
        </w:tabs>
        <w:ind w:left="1440" w:hanging="360"/>
      </w:pPr>
      <w:rPr>
        <w:rFonts w:ascii="Arial" w:hAnsi="Arial" w:hint="default"/>
      </w:rPr>
    </w:lvl>
    <w:lvl w:ilvl="2" w:tplc="3E7C8AA6" w:tentative="1">
      <w:start w:val="1"/>
      <w:numFmt w:val="bullet"/>
      <w:lvlText w:val="•"/>
      <w:lvlJc w:val="left"/>
      <w:pPr>
        <w:tabs>
          <w:tab w:val="num" w:pos="2160"/>
        </w:tabs>
        <w:ind w:left="2160" w:hanging="360"/>
      </w:pPr>
      <w:rPr>
        <w:rFonts w:ascii="Arial" w:hAnsi="Arial" w:hint="default"/>
      </w:rPr>
    </w:lvl>
    <w:lvl w:ilvl="3" w:tplc="A94A1B4E" w:tentative="1">
      <w:start w:val="1"/>
      <w:numFmt w:val="bullet"/>
      <w:lvlText w:val="•"/>
      <w:lvlJc w:val="left"/>
      <w:pPr>
        <w:tabs>
          <w:tab w:val="num" w:pos="2880"/>
        </w:tabs>
        <w:ind w:left="2880" w:hanging="360"/>
      </w:pPr>
      <w:rPr>
        <w:rFonts w:ascii="Arial" w:hAnsi="Arial" w:hint="default"/>
      </w:rPr>
    </w:lvl>
    <w:lvl w:ilvl="4" w:tplc="08D8C6E0" w:tentative="1">
      <w:start w:val="1"/>
      <w:numFmt w:val="bullet"/>
      <w:lvlText w:val="•"/>
      <w:lvlJc w:val="left"/>
      <w:pPr>
        <w:tabs>
          <w:tab w:val="num" w:pos="3600"/>
        </w:tabs>
        <w:ind w:left="3600" w:hanging="360"/>
      </w:pPr>
      <w:rPr>
        <w:rFonts w:ascii="Arial" w:hAnsi="Arial" w:hint="default"/>
      </w:rPr>
    </w:lvl>
    <w:lvl w:ilvl="5" w:tplc="39109110" w:tentative="1">
      <w:start w:val="1"/>
      <w:numFmt w:val="bullet"/>
      <w:lvlText w:val="•"/>
      <w:lvlJc w:val="left"/>
      <w:pPr>
        <w:tabs>
          <w:tab w:val="num" w:pos="4320"/>
        </w:tabs>
        <w:ind w:left="4320" w:hanging="360"/>
      </w:pPr>
      <w:rPr>
        <w:rFonts w:ascii="Arial" w:hAnsi="Arial" w:hint="default"/>
      </w:rPr>
    </w:lvl>
    <w:lvl w:ilvl="6" w:tplc="BA8032D4" w:tentative="1">
      <w:start w:val="1"/>
      <w:numFmt w:val="bullet"/>
      <w:lvlText w:val="•"/>
      <w:lvlJc w:val="left"/>
      <w:pPr>
        <w:tabs>
          <w:tab w:val="num" w:pos="5040"/>
        </w:tabs>
        <w:ind w:left="5040" w:hanging="360"/>
      </w:pPr>
      <w:rPr>
        <w:rFonts w:ascii="Arial" w:hAnsi="Arial" w:hint="default"/>
      </w:rPr>
    </w:lvl>
    <w:lvl w:ilvl="7" w:tplc="72C2EF70" w:tentative="1">
      <w:start w:val="1"/>
      <w:numFmt w:val="bullet"/>
      <w:lvlText w:val="•"/>
      <w:lvlJc w:val="left"/>
      <w:pPr>
        <w:tabs>
          <w:tab w:val="num" w:pos="5760"/>
        </w:tabs>
        <w:ind w:left="5760" w:hanging="360"/>
      </w:pPr>
      <w:rPr>
        <w:rFonts w:ascii="Arial" w:hAnsi="Arial" w:hint="default"/>
      </w:rPr>
    </w:lvl>
    <w:lvl w:ilvl="8" w:tplc="22848B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12BB0"/>
    <w:multiLevelType w:val="hybridMultilevel"/>
    <w:tmpl w:val="E9527C90"/>
    <w:lvl w:ilvl="0" w:tplc="0F465D34">
      <w:start w:val="12"/>
      <w:numFmt w:val="bullet"/>
      <w:lvlText w:val="-"/>
      <w:lvlJc w:val="left"/>
      <w:pPr>
        <w:ind w:left="72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A63F3E"/>
    <w:multiLevelType w:val="hybridMultilevel"/>
    <w:tmpl w:val="15F6BF5C"/>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926F6"/>
    <w:multiLevelType w:val="hybridMultilevel"/>
    <w:tmpl w:val="9282F37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24"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2166D"/>
    <w:multiLevelType w:val="hybridMultilevel"/>
    <w:tmpl w:val="135AE8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140E52"/>
    <w:multiLevelType w:val="hybridMultilevel"/>
    <w:tmpl w:val="3188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829CE"/>
    <w:multiLevelType w:val="hybridMultilevel"/>
    <w:tmpl w:val="0D56E2F8"/>
    <w:lvl w:ilvl="0" w:tplc="D67042A2">
      <w:start w:val="1"/>
      <w:numFmt w:val="bullet"/>
      <w:lvlText w:val="•"/>
      <w:lvlJc w:val="left"/>
      <w:pPr>
        <w:tabs>
          <w:tab w:val="num" w:pos="720"/>
        </w:tabs>
        <w:ind w:left="720" w:hanging="360"/>
      </w:pPr>
      <w:rPr>
        <w:rFonts w:ascii="Arial" w:hAnsi="Arial" w:hint="default"/>
      </w:rPr>
    </w:lvl>
    <w:lvl w:ilvl="1" w:tplc="C5A001CA" w:tentative="1">
      <w:start w:val="1"/>
      <w:numFmt w:val="bullet"/>
      <w:lvlText w:val="•"/>
      <w:lvlJc w:val="left"/>
      <w:pPr>
        <w:tabs>
          <w:tab w:val="num" w:pos="1440"/>
        </w:tabs>
        <w:ind w:left="1440" w:hanging="360"/>
      </w:pPr>
      <w:rPr>
        <w:rFonts w:ascii="Arial" w:hAnsi="Arial" w:hint="default"/>
      </w:rPr>
    </w:lvl>
    <w:lvl w:ilvl="2" w:tplc="0966FE9E" w:tentative="1">
      <w:start w:val="1"/>
      <w:numFmt w:val="bullet"/>
      <w:lvlText w:val="•"/>
      <w:lvlJc w:val="left"/>
      <w:pPr>
        <w:tabs>
          <w:tab w:val="num" w:pos="2160"/>
        </w:tabs>
        <w:ind w:left="2160" w:hanging="360"/>
      </w:pPr>
      <w:rPr>
        <w:rFonts w:ascii="Arial" w:hAnsi="Arial" w:hint="default"/>
      </w:rPr>
    </w:lvl>
    <w:lvl w:ilvl="3" w:tplc="B6BAA56C" w:tentative="1">
      <w:start w:val="1"/>
      <w:numFmt w:val="bullet"/>
      <w:lvlText w:val="•"/>
      <w:lvlJc w:val="left"/>
      <w:pPr>
        <w:tabs>
          <w:tab w:val="num" w:pos="2880"/>
        </w:tabs>
        <w:ind w:left="2880" w:hanging="360"/>
      </w:pPr>
      <w:rPr>
        <w:rFonts w:ascii="Arial" w:hAnsi="Arial" w:hint="default"/>
      </w:rPr>
    </w:lvl>
    <w:lvl w:ilvl="4" w:tplc="AC3E3172" w:tentative="1">
      <w:start w:val="1"/>
      <w:numFmt w:val="bullet"/>
      <w:lvlText w:val="•"/>
      <w:lvlJc w:val="left"/>
      <w:pPr>
        <w:tabs>
          <w:tab w:val="num" w:pos="3600"/>
        </w:tabs>
        <w:ind w:left="3600" w:hanging="360"/>
      </w:pPr>
      <w:rPr>
        <w:rFonts w:ascii="Arial" w:hAnsi="Arial" w:hint="default"/>
      </w:rPr>
    </w:lvl>
    <w:lvl w:ilvl="5" w:tplc="3F4472FC" w:tentative="1">
      <w:start w:val="1"/>
      <w:numFmt w:val="bullet"/>
      <w:lvlText w:val="•"/>
      <w:lvlJc w:val="left"/>
      <w:pPr>
        <w:tabs>
          <w:tab w:val="num" w:pos="4320"/>
        </w:tabs>
        <w:ind w:left="4320" w:hanging="360"/>
      </w:pPr>
      <w:rPr>
        <w:rFonts w:ascii="Arial" w:hAnsi="Arial" w:hint="default"/>
      </w:rPr>
    </w:lvl>
    <w:lvl w:ilvl="6" w:tplc="9392BC8A" w:tentative="1">
      <w:start w:val="1"/>
      <w:numFmt w:val="bullet"/>
      <w:lvlText w:val="•"/>
      <w:lvlJc w:val="left"/>
      <w:pPr>
        <w:tabs>
          <w:tab w:val="num" w:pos="5040"/>
        </w:tabs>
        <w:ind w:left="5040" w:hanging="360"/>
      </w:pPr>
      <w:rPr>
        <w:rFonts w:ascii="Arial" w:hAnsi="Arial" w:hint="default"/>
      </w:rPr>
    </w:lvl>
    <w:lvl w:ilvl="7" w:tplc="A95A6D3A" w:tentative="1">
      <w:start w:val="1"/>
      <w:numFmt w:val="bullet"/>
      <w:lvlText w:val="•"/>
      <w:lvlJc w:val="left"/>
      <w:pPr>
        <w:tabs>
          <w:tab w:val="num" w:pos="5760"/>
        </w:tabs>
        <w:ind w:left="5760" w:hanging="360"/>
      </w:pPr>
      <w:rPr>
        <w:rFonts w:ascii="Arial" w:hAnsi="Arial" w:hint="default"/>
      </w:rPr>
    </w:lvl>
    <w:lvl w:ilvl="8" w:tplc="C9DCB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F34744"/>
    <w:multiLevelType w:val="hybridMultilevel"/>
    <w:tmpl w:val="88DCC7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7B3804"/>
    <w:multiLevelType w:val="hybridMultilevel"/>
    <w:tmpl w:val="9282F3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8"/>
  </w:num>
  <w:num w:numId="3">
    <w:abstractNumId w:val="1"/>
  </w:num>
  <w:num w:numId="4">
    <w:abstractNumId w:val="20"/>
  </w:num>
  <w:num w:numId="5">
    <w:abstractNumId w:val="8"/>
  </w:num>
  <w:num w:numId="6">
    <w:abstractNumId w:val="10"/>
  </w:num>
  <w:num w:numId="7">
    <w:abstractNumId w:val="13"/>
  </w:num>
  <w:num w:numId="8">
    <w:abstractNumId w:val="15"/>
  </w:num>
  <w:num w:numId="9">
    <w:abstractNumId w:val="4"/>
  </w:num>
  <w:num w:numId="10">
    <w:abstractNumId w:val="11"/>
  </w:num>
  <w:num w:numId="11">
    <w:abstractNumId w:val="25"/>
  </w:num>
  <w:num w:numId="12">
    <w:abstractNumId w:val="24"/>
  </w:num>
  <w:num w:numId="13">
    <w:abstractNumId w:val="26"/>
  </w:num>
  <w:num w:numId="14">
    <w:abstractNumId w:val="32"/>
  </w:num>
  <w:num w:numId="15">
    <w:abstractNumId w:val="18"/>
  </w:num>
  <w:num w:numId="16">
    <w:abstractNumId w:val="5"/>
  </w:num>
  <w:num w:numId="17">
    <w:abstractNumId w:val="17"/>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9"/>
  </w:num>
  <w:num w:numId="22">
    <w:abstractNumId w:val="30"/>
  </w:num>
  <w:num w:numId="23">
    <w:abstractNumId w:val="31"/>
  </w:num>
  <w:num w:numId="24">
    <w:abstractNumId w:val="0"/>
  </w:num>
  <w:num w:numId="25">
    <w:abstractNumId w:val="14"/>
  </w:num>
  <w:num w:numId="26">
    <w:abstractNumId w:val="27"/>
  </w:num>
  <w:num w:numId="27">
    <w:abstractNumId w:val="2"/>
  </w:num>
  <w:num w:numId="28">
    <w:abstractNumId w:val="21"/>
  </w:num>
  <w:num w:numId="29">
    <w:abstractNumId w:val="7"/>
  </w:num>
  <w:num w:numId="30">
    <w:abstractNumId w:val="3"/>
  </w:num>
  <w:num w:numId="31">
    <w:abstractNumId w:val="12"/>
  </w:num>
  <w:num w:numId="32">
    <w:abstractNumId w:val="12"/>
  </w:num>
  <w:num w:numId="33">
    <w:abstractNumId w:val="12"/>
  </w:num>
  <w:num w:numId="34">
    <w:abstractNumId w:val="29"/>
  </w:num>
  <w:num w:numId="35">
    <w:abstractNumId w:val="19"/>
  </w:num>
  <w:num w:numId="36">
    <w:abstractNumId w:val="16"/>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120"/>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1571FF1A-5418-49E0-90D1-2A0B7B9FF505"/>
    <w:docVar w:name="LW_COVERPAGE_TYPE" w:val="1"/>
    <w:docVar w:name="LW_CROSSREFERENCE" w:val="&lt;UNUSED&gt;"/>
    <w:docVar w:name="LW_DocType" w:val="NORMAL"/>
    <w:docVar w:name="LW_EMISSION" w:val="12.3.2025"/>
    <w:docVar w:name="LW_EMISSION_ISODATE" w:val="2025-03-12"/>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5) 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Halvårlig rapport om gennemførelsen af låntagnings-, gældsforvaltnings- og dermed forbundne långivningstransaktioner i henhold til artikel 13 i Kommissionens gennemførelsesafgørelse C(2023)8010_x000d__x000d__x000d__x000d__x000d__x000d__x000d__x000d__x000d__x000d__x000d__x000d__x000b__x000d__x000d__x000d__x000d__x000d__x000d__x000d__x000d__x000d__x000d__x000d__x000d__x000b__x000d__x000d__x000d__x000d__x000d__x000d__x000d__x000d__x000d__x000d__x000d__x000d__x000d__x000d__x000d__x000d__x000d__x000d__x000d__x000b__x000d__x000d__x000d__x000d__x000d__x000d__x000d__x000d__x000d__x000d__x000d__x000d__x000d__x000d__x000d__x000d__x000d__x000d__x000b__x000d_1. juli 2024 til 31. december 2024_x000d__x000d__x000d__x000d__x000d__x000d__x000d__x000d__x000d__x000d__x000d__x000d__x000d__x000d__x000d__x000d__x000d__x000d__x000d__x000b__x000d__x000d__x000d__x000d__x000d__x000d__x000d__x000d__x000d__x000d__x000d__x000d__x000d__x000d__x000d__x000d__x000d__x000d__x000b__x000d_"/>
    <w:docVar w:name="LW_TYPE.DOC.CP" w:val="RAPPORT FRA KOMMISSIONEN TIL EUROPA-PARLAMENTET OG RÅDET"/>
    <w:docVar w:name="LwApiVersions" w:val="LW4CoDe 1.24.5.0; LW 9.0, Build 20240221"/>
  </w:docVars>
  <w:rsids>
    <w:rsidRoot w:val="008B6253"/>
    <w:rsid w:val="000006A3"/>
    <w:rsid w:val="000016AC"/>
    <w:rsid w:val="0000198B"/>
    <w:rsid w:val="00001C79"/>
    <w:rsid w:val="00002581"/>
    <w:rsid w:val="000025FB"/>
    <w:rsid w:val="000027C3"/>
    <w:rsid w:val="00003760"/>
    <w:rsid w:val="00003B2C"/>
    <w:rsid w:val="00004513"/>
    <w:rsid w:val="00004853"/>
    <w:rsid w:val="00004EFF"/>
    <w:rsid w:val="00005E65"/>
    <w:rsid w:val="000065CB"/>
    <w:rsid w:val="00006945"/>
    <w:rsid w:val="00007866"/>
    <w:rsid w:val="00007DB0"/>
    <w:rsid w:val="000113D6"/>
    <w:rsid w:val="000123E4"/>
    <w:rsid w:val="00012D54"/>
    <w:rsid w:val="00012F88"/>
    <w:rsid w:val="00013124"/>
    <w:rsid w:val="00013AFC"/>
    <w:rsid w:val="00015055"/>
    <w:rsid w:val="00016108"/>
    <w:rsid w:val="00016BBF"/>
    <w:rsid w:val="0001773F"/>
    <w:rsid w:val="00017BCF"/>
    <w:rsid w:val="00017F73"/>
    <w:rsid w:val="0002126B"/>
    <w:rsid w:val="00021271"/>
    <w:rsid w:val="000214CF"/>
    <w:rsid w:val="00021B91"/>
    <w:rsid w:val="00022392"/>
    <w:rsid w:val="0002402F"/>
    <w:rsid w:val="00024157"/>
    <w:rsid w:val="000248CD"/>
    <w:rsid w:val="00025D1D"/>
    <w:rsid w:val="00025DF2"/>
    <w:rsid w:val="000264A7"/>
    <w:rsid w:val="00026571"/>
    <w:rsid w:val="000275EB"/>
    <w:rsid w:val="000304D4"/>
    <w:rsid w:val="00030B16"/>
    <w:rsid w:val="00031566"/>
    <w:rsid w:val="000339B4"/>
    <w:rsid w:val="00034162"/>
    <w:rsid w:val="00034C0A"/>
    <w:rsid w:val="00035235"/>
    <w:rsid w:val="00036A07"/>
    <w:rsid w:val="00036DE3"/>
    <w:rsid w:val="00040E1F"/>
    <w:rsid w:val="0004137B"/>
    <w:rsid w:val="0004154A"/>
    <w:rsid w:val="00042B53"/>
    <w:rsid w:val="0004460D"/>
    <w:rsid w:val="00044BC7"/>
    <w:rsid w:val="0004607D"/>
    <w:rsid w:val="00046267"/>
    <w:rsid w:val="0004632F"/>
    <w:rsid w:val="000466B2"/>
    <w:rsid w:val="00046807"/>
    <w:rsid w:val="00046F24"/>
    <w:rsid w:val="000500DD"/>
    <w:rsid w:val="00052C99"/>
    <w:rsid w:val="00052FDD"/>
    <w:rsid w:val="000545EE"/>
    <w:rsid w:val="000558F6"/>
    <w:rsid w:val="000559C6"/>
    <w:rsid w:val="00055E40"/>
    <w:rsid w:val="00056D87"/>
    <w:rsid w:val="00056EE5"/>
    <w:rsid w:val="000571C9"/>
    <w:rsid w:val="00057D8E"/>
    <w:rsid w:val="00060405"/>
    <w:rsid w:val="000623CD"/>
    <w:rsid w:val="00063474"/>
    <w:rsid w:val="00063876"/>
    <w:rsid w:val="0006518B"/>
    <w:rsid w:val="0006573D"/>
    <w:rsid w:val="000659B4"/>
    <w:rsid w:val="00065C93"/>
    <w:rsid w:val="0006645C"/>
    <w:rsid w:val="00067AC8"/>
    <w:rsid w:val="0007120F"/>
    <w:rsid w:val="00071659"/>
    <w:rsid w:val="00072047"/>
    <w:rsid w:val="000744F6"/>
    <w:rsid w:val="00074966"/>
    <w:rsid w:val="00075B6A"/>
    <w:rsid w:val="00075F80"/>
    <w:rsid w:val="0007609D"/>
    <w:rsid w:val="000761ED"/>
    <w:rsid w:val="00076F7B"/>
    <w:rsid w:val="000770E1"/>
    <w:rsid w:val="000777AF"/>
    <w:rsid w:val="00077F71"/>
    <w:rsid w:val="000804D7"/>
    <w:rsid w:val="00080B80"/>
    <w:rsid w:val="00080D59"/>
    <w:rsid w:val="00081182"/>
    <w:rsid w:val="000811DA"/>
    <w:rsid w:val="00081EB2"/>
    <w:rsid w:val="000830C3"/>
    <w:rsid w:val="000831BF"/>
    <w:rsid w:val="00083C92"/>
    <w:rsid w:val="00084648"/>
    <w:rsid w:val="00085FEE"/>
    <w:rsid w:val="0008748B"/>
    <w:rsid w:val="0009189C"/>
    <w:rsid w:val="0009299B"/>
    <w:rsid w:val="0009414B"/>
    <w:rsid w:val="00094607"/>
    <w:rsid w:val="00094B94"/>
    <w:rsid w:val="00095BFD"/>
    <w:rsid w:val="00095DF7"/>
    <w:rsid w:val="00096802"/>
    <w:rsid w:val="00096D86"/>
    <w:rsid w:val="000973CE"/>
    <w:rsid w:val="00097D72"/>
    <w:rsid w:val="000A0545"/>
    <w:rsid w:val="000A0885"/>
    <w:rsid w:val="000A0AA1"/>
    <w:rsid w:val="000A1136"/>
    <w:rsid w:val="000A6EC7"/>
    <w:rsid w:val="000B0652"/>
    <w:rsid w:val="000B3537"/>
    <w:rsid w:val="000B4EF5"/>
    <w:rsid w:val="000B5255"/>
    <w:rsid w:val="000B6398"/>
    <w:rsid w:val="000C00E3"/>
    <w:rsid w:val="000C09D9"/>
    <w:rsid w:val="000C1517"/>
    <w:rsid w:val="000C168A"/>
    <w:rsid w:val="000C26FE"/>
    <w:rsid w:val="000C3020"/>
    <w:rsid w:val="000C3CD5"/>
    <w:rsid w:val="000C41A5"/>
    <w:rsid w:val="000C5D88"/>
    <w:rsid w:val="000C7051"/>
    <w:rsid w:val="000D008A"/>
    <w:rsid w:val="000D213D"/>
    <w:rsid w:val="000D2596"/>
    <w:rsid w:val="000D2B51"/>
    <w:rsid w:val="000D2FDD"/>
    <w:rsid w:val="000D5BA5"/>
    <w:rsid w:val="000D647C"/>
    <w:rsid w:val="000D7879"/>
    <w:rsid w:val="000D79AE"/>
    <w:rsid w:val="000E2B98"/>
    <w:rsid w:val="000E2CCD"/>
    <w:rsid w:val="000E4BFB"/>
    <w:rsid w:val="000E5618"/>
    <w:rsid w:val="000E5D4B"/>
    <w:rsid w:val="000E5EF5"/>
    <w:rsid w:val="000E6508"/>
    <w:rsid w:val="000E6611"/>
    <w:rsid w:val="000E6912"/>
    <w:rsid w:val="000E6982"/>
    <w:rsid w:val="000F037D"/>
    <w:rsid w:val="000F165A"/>
    <w:rsid w:val="000F1753"/>
    <w:rsid w:val="000F186A"/>
    <w:rsid w:val="000F2ACA"/>
    <w:rsid w:val="000F3C9A"/>
    <w:rsid w:val="000F462D"/>
    <w:rsid w:val="000F5D63"/>
    <w:rsid w:val="000F6E3B"/>
    <w:rsid w:val="000F7CB6"/>
    <w:rsid w:val="001004B8"/>
    <w:rsid w:val="001019EB"/>
    <w:rsid w:val="00102155"/>
    <w:rsid w:val="00102ABC"/>
    <w:rsid w:val="00102D9B"/>
    <w:rsid w:val="0010394A"/>
    <w:rsid w:val="00103A63"/>
    <w:rsid w:val="0010410E"/>
    <w:rsid w:val="00104E19"/>
    <w:rsid w:val="0010771D"/>
    <w:rsid w:val="001077F9"/>
    <w:rsid w:val="00110D36"/>
    <w:rsid w:val="00113042"/>
    <w:rsid w:val="0011323F"/>
    <w:rsid w:val="001137FB"/>
    <w:rsid w:val="00113B9E"/>
    <w:rsid w:val="00114207"/>
    <w:rsid w:val="00114B84"/>
    <w:rsid w:val="00117185"/>
    <w:rsid w:val="0012011D"/>
    <w:rsid w:val="00120241"/>
    <w:rsid w:val="001208C2"/>
    <w:rsid w:val="00120B20"/>
    <w:rsid w:val="00121CE9"/>
    <w:rsid w:val="00122DAA"/>
    <w:rsid w:val="00123DCD"/>
    <w:rsid w:val="00127DB2"/>
    <w:rsid w:val="00127FC7"/>
    <w:rsid w:val="00131111"/>
    <w:rsid w:val="0013129F"/>
    <w:rsid w:val="0013341B"/>
    <w:rsid w:val="001337A8"/>
    <w:rsid w:val="00134308"/>
    <w:rsid w:val="00135190"/>
    <w:rsid w:val="001358C9"/>
    <w:rsid w:val="001359B6"/>
    <w:rsid w:val="00135B3B"/>
    <w:rsid w:val="0013697B"/>
    <w:rsid w:val="00137822"/>
    <w:rsid w:val="00137CF7"/>
    <w:rsid w:val="001401DA"/>
    <w:rsid w:val="00140C8A"/>
    <w:rsid w:val="00141100"/>
    <w:rsid w:val="00142200"/>
    <w:rsid w:val="0014295B"/>
    <w:rsid w:val="00142F64"/>
    <w:rsid w:val="00143006"/>
    <w:rsid w:val="001431B8"/>
    <w:rsid w:val="00143B58"/>
    <w:rsid w:val="00146211"/>
    <w:rsid w:val="00146FCA"/>
    <w:rsid w:val="0014728B"/>
    <w:rsid w:val="00147839"/>
    <w:rsid w:val="001505D1"/>
    <w:rsid w:val="00150F73"/>
    <w:rsid w:val="0015107E"/>
    <w:rsid w:val="0015130B"/>
    <w:rsid w:val="001524C7"/>
    <w:rsid w:val="00154274"/>
    <w:rsid w:val="00154875"/>
    <w:rsid w:val="00154A51"/>
    <w:rsid w:val="001555A6"/>
    <w:rsid w:val="001574CF"/>
    <w:rsid w:val="0016009E"/>
    <w:rsid w:val="00160344"/>
    <w:rsid w:val="00160A0F"/>
    <w:rsid w:val="00160C1F"/>
    <w:rsid w:val="00161936"/>
    <w:rsid w:val="00162300"/>
    <w:rsid w:val="0016311F"/>
    <w:rsid w:val="00163BF4"/>
    <w:rsid w:val="00164FBD"/>
    <w:rsid w:val="00164FD6"/>
    <w:rsid w:val="0016530F"/>
    <w:rsid w:val="00165420"/>
    <w:rsid w:val="00166CA0"/>
    <w:rsid w:val="001672C7"/>
    <w:rsid w:val="00171240"/>
    <w:rsid w:val="001717F0"/>
    <w:rsid w:val="00171F26"/>
    <w:rsid w:val="00175474"/>
    <w:rsid w:val="00176299"/>
    <w:rsid w:val="001767DC"/>
    <w:rsid w:val="00177222"/>
    <w:rsid w:val="00177D92"/>
    <w:rsid w:val="00180CE3"/>
    <w:rsid w:val="00181102"/>
    <w:rsid w:val="00181A94"/>
    <w:rsid w:val="00181E20"/>
    <w:rsid w:val="0018247B"/>
    <w:rsid w:val="0018389B"/>
    <w:rsid w:val="0018490F"/>
    <w:rsid w:val="00185E6B"/>
    <w:rsid w:val="00187563"/>
    <w:rsid w:val="00190160"/>
    <w:rsid w:val="00192332"/>
    <w:rsid w:val="001936B3"/>
    <w:rsid w:val="00194F65"/>
    <w:rsid w:val="00195E47"/>
    <w:rsid w:val="001977FA"/>
    <w:rsid w:val="001A2134"/>
    <w:rsid w:val="001A3541"/>
    <w:rsid w:val="001A445F"/>
    <w:rsid w:val="001A4733"/>
    <w:rsid w:val="001A5022"/>
    <w:rsid w:val="001A5608"/>
    <w:rsid w:val="001A57FF"/>
    <w:rsid w:val="001A59C4"/>
    <w:rsid w:val="001A66D1"/>
    <w:rsid w:val="001A675E"/>
    <w:rsid w:val="001B033B"/>
    <w:rsid w:val="001B0E99"/>
    <w:rsid w:val="001B31F3"/>
    <w:rsid w:val="001B4862"/>
    <w:rsid w:val="001B6374"/>
    <w:rsid w:val="001B6617"/>
    <w:rsid w:val="001B6959"/>
    <w:rsid w:val="001B6FE8"/>
    <w:rsid w:val="001B75AB"/>
    <w:rsid w:val="001B79B9"/>
    <w:rsid w:val="001C0880"/>
    <w:rsid w:val="001C11F1"/>
    <w:rsid w:val="001C1350"/>
    <w:rsid w:val="001C13F0"/>
    <w:rsid w:val="001C2621"/>
    <w:rsid w:val="001C28B3"/>
    <w:rsid w:val="001C33B2"/>
    <w:rsid w:val="001C3C2E"/>
    <w:rsid w:val="001C445C"/>
    <w:rsid w:val="001C542F"/>
    <w:rsid w:val="001C5859"/>
    <w:rsid w:val="001C6C43"/>
    <w:rsid w:val="001D0900"/>
    <w:rsid w:val="001D1371"/>
    <w:rsid w:val="001D15D9"/>
    <w:rsid w:val="001D2A9E"/>
    <w:rsid w:val="001D2AB4"/>
    <w:rsid w:val="001D2E91"/>
    <w:rsid w:val="001D30CA"/>
    <w:rsid w:val="001D446D"/>
    <w:rsid w:val="001D478A"/>
    <w:rsid w:val="001D47EB"/>
    <w:rsid w:val="001D5B74"/>
    <w:rsid w:val="001D69E8"/>
    <w:rsid w:val="001D72F9"/>
    <w:rsid w:val="001E0283"/>
    <w:rsid w:val="001E0480"/>
    <w:rsid w:val="001E1251"/>
    <w:rsid w:val="001E1429"/>
    <w:rsid w:val="001E1475"/>
    <w:rsid w:val="001E2E34"/>
    <w:rsid w:val="001E6FE8"/>
    <w:rsid w:val="001E7B69"/>
    <w:rsid w:val="001E7C4B"/>
    <w:rsid w:val="001F33BD"/>
    <w:rsid w:val="001F36F8"/>
    <w:rsid w:val="001F3746"/>
    <w:rsid w:val="001F43CE"/>
    <w:rsid w:val="001F5B65"/>
    <w:rsid w:val="001F6191"/>
    <w:rsid w:val="001F66FD"/>
    <w:rsid w:val="001F6E5E"/>
    <w:rsid w:val="00202BDB"/>
    <w:rsid w:val="002039FF"/>
    <w:rsid w:val="00203B8E"/>
    <w:rsid w:val="002040AE"/>
    <w:rsid w:val="00204834"/>
    <w:rsid w:val="002055AD"/>
    <w:rsid w:val="00207920"/>
    <w:rsid w:val="002101E7"/>
    <w:rsid w:val="0021075C"/>
    <w:rsid w:val="002107DC"/>
    <w:rsid w:val="00210CCA"/>
    <w:rsid w:val="00211FA8"/>
    <w:rsid w:val="00212A39"/>
    <w:rsid w:val="0021450B"/>
    <w:rsid w:val="002148BF"/>
    <w:rsid w:val="002151F6"/>
    <w:rsid w:val="00216746"/>
    <w:rsid w:val="0021776C"/>
    <w:rsid w:val="00217ED6"/>
    <w:rsid w:val="00221E97"/>
    <w:rsid w:val="00222DEE"/>
    <w:rsid w:val="002255AC"/>
    <w:rsid w:val="0022595F"/>
    <w:rsid w:val="00231768"/>
    <w:rsid w:val="00231D56"/>
    <w:rsid w:val="00232130"/>
    <w:rsid w:val="00232636"/>
    <w:rsid w:val="002334C2"/>
    <w:rsid w:val="002338DB"/>
    <w:rsid w:val="00234ADF"/>
    <w:rsid w:val="00237A80"/>
    <w:rsid w:val="00240156"/>
    <w:rsid w:val="0024146E"/>
    <w:rsid w:val="0024343F"/>
    <w:rsid w:val="00243E6C"/>
    <w:rsid w:val="00243FE5"/>
    <w:rsid w:val="002469E9"/>
    <w:rsid w:val="0024722E"/>
    <w:rsid w:val="00252C49"/>
    <w:rsid w:val="00253A22"/>
    <w:rsid w:val="002547A5"/>
    <w:rsid w:val="00254D4D"/>
    <w:rsid w:val="0026079A"/>
    <w:rsid w:val="00260BF1"/>
    <w:rsid w:val="00260CFD"/>
    <w:rsid w:val="00261126"/>
    <w:rsid w:val="002619C8"/>
    <w:rsid w:val="00261F4B"/>
    <w:rsid w:val="00262915"/>
    <w:rsid w:val="00262A23"/>
    <w:rsid w:val="00262AC8"/>
    <w:rsid w:val="00264614"/>
    <w:rsid w:val="002667A6"/>
    <w:rsid w:val="0026697C"/>
    <w:rsid w:val="00266B45"/>
    <w:rsid w:val="00266C5C"/>
    <w:rsid w:val="00267604"/>
    <w:rsid w:val="002703F1"/>
    <w:rsid w:val="00270C15"/>
    <w:rsid w:val="00274144"/>
    <w:rsid w:val="00275FE6"/>
    <w:rsid w:val="00276737"/>
    <w:rsid w:val="00276FC8"/>
    <w:rsid w:val="00280E09"/>
    <w:rsid w:val="002815FA"/>
    <w:rsid w:val="00282E65"/>
    <w:rsid w:val="002835C6"/>
    <w:rsid w:val="00284F80"/>
    <w:rsid w:val="002855E5"/>
    <w:rsid w:val="002858D3"/>
    <w:rsid w:val="00285D29"/>
    <w:rsid w:val="00286E0A"/>
    <w:rsid w:val="00287A0F"/>
    <w:rsid w:val="002913C3"/>
    <w:rsid w:val="002918A6"/>
    <w:rsid w:val="002936F3"/>
    <w:rsid w:val="00293811"/>
    <w:rsid w:val="00295066"/>
    <w:rsid w:val="002955CD"/>
    <w:rsid w:val="002958AA"/>
    <w:rsid w:val="00296908"/>
    <w:rsid w:val="002A1200"/>
    <w:rsid w:val="002A3273"/>
    <w:rsid w:val="002A3A30"/>
    <w:rsid w:val="002A6325"/>
    <w:rsid w:val="002A67DD"/>
    <w:rsid w:val="002A798E"/>
    <w:rsid w:val="002B0728"/>
    <w:rsid w:val="002B107F"/>
    <w:rsid w:val="002B1A1A"/>
    <w:rsid w:val="002B278C"/>
    <w:rsid w:val="002B2A5F"/>
    <w:rsid w:val="002B3935"/>
    <w:rsid w:val="002B4027"/>
    <w:rsid w:val="002B4117"/>
    <w:rsid w:val="002B535A"/>
    <w:rsid w:val="002B5B25"/>
    <w:rsid w:val="002B627C"/>
    <w:rsid w:val="002B7257"/>
    <w:rsid w:val="002C0014"/>
    <w:rsid w:val="002C0915"/>
    <w:rsid w:val="002C0B94"/>
    <w:rsid w:val="002C0C35"/>
    <w:rsid w:val="002C134A"/>
    <w:rsid w:val="002C1BE5"/>
    <w:rsid w:val="002C29AA"/>
    <w:rsid w:val="002C2D32"/>
    <w:rsid w:val="002C3985"/>
    <w:rsid w:val="002C4890"/>
    <w:rsid w:val="002C59A6"/>
    <w:rsid w:val="002C69E8"/>
    <w:rsid w:val="002C6D51"/>
    <w:rsid w:val="002C6DC8"/>
    <w:rsid w:val="002C7AD0"/>
    <w:rsid w:val="002D1554"/>
    <w:rsid w:val="002D32CA"/>
    <w:rsid w:val="002D5366"/>
    <w:rsid w:val="002D54AC"/>
    <w:rsid w:val="002D71E2"/>
    <w:rsid w:val="002D769E"/>
    <w:rsid w:val="002E086B"/>
    <w:rsid w:val="002E0AC8"/>
    <w:rsid w:val="002E2F3C"/>
    <w:rsid w:val="002E39D3"/>
    <w:rsid w:val="002E4FA7"/>
    <w:rsid w:val="002E56EE"/>
    <w:rsid w:val="002E570D"/>
    <w:rsid w:val="002E757F"/>
    <w:rsid w:val="002F10E6"/>
    <w:rsid w:val="002F24D1"/>
    <w:rsid w:val="002F28D6"/>
    <w:rsid w:val="002F4F1A"/>
    <w:rsid w:val="002F58AB"/>
    <w:rsid w:val="002F58B5"/>
    <w:rsid w:val="002F6BF4"/>
    <w:rsid w:val="002F6E61"/>
    <w:rsid w:val="002F7560"/>
    <w:rsid w:val="002F7768"/>
    <w:rsid w:val="002F7DBD"/>
    <w:rsid w:val="0030157E"/>
    <w:rsid w:val="00303189"/>
    <w:rsid w:val="0030390C"/>
    <w:rsid w:val="00303954"/>
    <w:rsid w:val="0030418A"/>
    <w:rsid w:val="0030467E"/>
    <w:rsid w:val="0030557B"/>
    <w:rsid w:val="00306786"/>
    <w:rsid w:val="00310433"/>
    <w:rsid w:val="00311FEB"/>
    <w:rsid w:val="00312A3E"/>
    <w:rsid w:val="003130F2"/>
    <w:rsid w:val="00313841"/>
    <w:rsid w:val="00313B5F"/>
    <w:rsid w:val="00313D8B"/>
    <w:rsid w:val="00314041"/>
    <w:rsid w:val="003160E0"/>
    <w:rsid w:val="00316BEE"/>
    <w:rsid w:val="003173C5"/>
    <w:rsid w:val="00320534"/>
    <w:rsid w:val="0032072E"/>
    <w:rsid w:val="00322997"/>
    <w:rsid w:val="003244E6"/>
    <w:rsid w:val="003247A7"/>
    <w:rsid w:val="003257E5"/>
    <w:rsid w:val="00325F9E"/>
    <w:rsid w:val="00326FD4"/>
    <w:rsid w:val="003277B5"/>
    <w:rsid w:val="00330D09"/>
    <w:rsid w:val="00330EEA"/>
    <w:rsid w:val="00331131"/>
    <w:rsid w:val="00333383"/>
    <w:rsid w:val="00334EED"/>
    <w:rsid w:val="003352BC"/>
    <w:rsid w:val="0033618F"/>
    <w:rsid w:val="00337165"/>
    <w:rsid w:val="003377B6"/>
    <w:rsid w:val="003409E9"/>
    <w:rsid w:val="00340F05"/>
    <w:rsid w:val="00342348"/>
    <w:rsid w:val="00343040"/>
    <w:rsid w:val="003437C9"/>
    <w:rsid w:val="00343D6C"/>
    <w:rsid w:val="003468B4"/>
    <w:rsid w:val="00350522"/>
    <w:rsid w:val="00350B76"/>
    <w:rsid w:val="00350EEC"/>
    <w:rsid w:val="0035219A"/>
    <w:rsid w:val="00352458"/>
    <w:rsid w:val="00352BF1"/>
    <w:rsid w:val="00352DCC"/>
    <w:rsid w:val="00353839"/>
    <w:rsid w:val="003547C7"/>
    <w:rsid w:val="00356700"/>
    <w:rsid w:val="00361B1E"/>
    <w:rsid w:val="00363BC3"/>
    <w:rsid w:val="00364E2A"/>
    <w:rsid w:val="00365323"/>
    <w:rsid w:val="003668D8"/>
    <w:rsid w:val="00366E07"/>
    <w:rsid w:val="00367924"/>
    <w:rsid w:val="00370204"/>
    <w:rsid w:val="00370471"/>
    <w:rsid w:val="003707F5"/>
    <w:rsid w:val="003707FA"/>
    <w:rsid w:val="003722FA"/>
    <w:rsid w:val="00372518"/>
    <w:rsid w:val="0037406F"/>
    <w:rsid w:val="00374646"/>
    <w:rsid w:val="00374A49"/>
    <w:rsid w:val="00375246"/>
    <w:rsid w:val="0037681F"/>
    <w:rsid w:val="00380223"/>
    <w:rsid w:val="00381941"/>
    <w:rsid w:val="003824EB"/>
    <w:rsid w:val="003835FD"/>
    <w:rsid w:val="003843F4"/>
    <w:rsid w:val="00384A09"/>
    <w:rsid w:val="00384CCF"/>
    <w:rsid w:val="003874C8"/>
    <w:rsid w:val="00387E02"/>
    <w:rsid w:val="00391716"/>
    <w:rsid w:val="003925C4"/>
    <w:rsid w:val="003926DF"/>
    <w:rsid w:val="0039294E"/>
    <w:rsid w:val="00394AA7"/>
    <w:rsid w:val="00395373"/>
    <w:rsid w:val="00395DF8"/>
    <w:rsid w:val="00396252"/>
    <w:rsid w:val="00396CA2"/>
    <w:rsid w:val="003974D6"/>
    <w:rsid w:val="003976C1"/>
    <w:rsid w:val="003A2408"/>
    <w:rsid w:val="003A39EA"/>
    <w:rsid w:val="003A42A4"/>
    <w:rsid w:val="003A47A7"/>
    <w:rsid w:val="003A4BBC"/>
    <w:rsid w:val="003A63C0"/>
    <w:rsid w:val="003A6B34"/>
    <w:rsid w:val="003A70A1"/>
    <w:rsid w:val="003A77A2"/>
    <w:rsid w:val="003A7DA8"/>
    <w:rsid w:val="003B0BAD"/>
    <w:rsid w:val="003B1D98"/>
    <w:rsid w:val="003B2793"/>
    <w:rsid w:val="003B52C9"/>
    <w:rsid w:val="003B5F66"/>
    <w:rsid w:val="003B6C79"/>
    <w:rsid w:val="003C0307"/>
    <w:rsid w:val="003C0956"/>
    <w:rsid w:val="003C42DA"/>
    <w:rsid w:val="003C4469"/>
    <w:rsid w:val="003C4943"/>
    <w:rsid w:val="003C524B"/>
    <w:rsid w:val="003C52F3"/>
    <w:rsid w:val="003C657A"/>
    <w:rsid w:val="003D0FED"/>
    <w:rsid w:val="003D31CE"/>
    <w:rsid w:val="003D357F"/>
    <w:rsid w:val="003D5F52"/>
    <w:rsid w:val="003D7150"/>
    <w:rsid w:val="003D7999"/>
    <w:rsid w:val="003D7DB4"/>
    <w:rsid w:val="003D7F22"/>
    <w:rsid w:val="003E1782"/>
    <w:rsid w:val="003E27DC"/>
    <w:rsid w:val="003E2F5B"/>
    <w:rsid w:val="003E3635"/>
    <w:rsid w:val="003E3C67"/>
    <w:rsid w:val="003E3DF4"/>
    <w:rsid w:val="003E4A9D"/>
    <w:rsid w:val="003E4BE8"/>
    <w:rsid w:val="003E4E21"/>
    <w:rsid w:val="003E6F22"/>
    <w:rsid w:val="003F16EC"/>
    <w:rsid w:val="003F19E5"/>
    <w:rsid w:val="003F3424"/>
    <w:rsid w:val="003F3D5E"/>
    <w:rsid w:val="003F3F62"/>
    <w:rsid w:val="003F53BF"/>
    <w:rsid w:val="003F55A3"/>
    <w:rsid w:val="003F6229"/>
    <w:rsid w:val="003F654D"/>
    <w:rsid w:val="003F775B"/>
    <w:rsid w:val="0040010E"/>
    <w:rsid w:val="00402C7D"/>
    <w:rsid w:val="0040365E"/>
    <w:rsid w:val="0040566D"/>
    <w:rsid w:val="00406798"/>
    <w:rsid w:val="00406FC4"/>
    <w:rsid w:val="00407ED3"/>
    <w:rsid w:val="00410705"/>
    <w:rsid w:val="004109ED"/>
    <w:rsid w:val="004110DC"/>
    <w:rsid w:val="00411F86"/>
    <w:rsid w:val="00412F6D"/>
    <w:rsid w:val="00417698"/>
    <w:rsid w:val="00420A36"/>
    <w:rsid w:val="00420A92"/>
    <w:rsid w:val="0042179B"/>
    <w:rsid w:val="00422A17"/>
    <w:rsid w:val="00423091"/>
    <w:rsid w:val="00423F17"/>
    <w:rsid w:val="0042440C"/>
    <w:rsid w:val="0042478D"/>
    <w:rsid w:val="00424D8E"/>
    <w:rsid w:val="004258ED"/>
    <w:rsid w:val="00425E4F"/>
    <w:rsid w:val="004261C9"/>
    <w:rsid w:val="00426ED0"/>
    <w:rsid w:val="00427760"/>
    <w:rsid w:val="00430382"/>
    <w:rsid w:val="00432655"/>
    <w:rsid w:val="00432A72"/>
    <w:rsid w:val="00432EF9"/>
    <w:rsid w:val="00434763"/>
    <w:rsid w:val="00434E9A"/>
    <w:rsid w:val="004354A2"/>
    <w:rsid w:val="004366D5"/>
    <w:rsid w:val="0043697C"/>
    <w:rsid w:val="00440BC5"/>
    <w:rsid w:val="00441C73"/>
    <w:rsid w:val="00441CDD"/>
    <w:rsid w:val="00442A22"/>
    <w:rsid w:val="004432DE"/>
    <w:rsid w:val="00443911"/>
    <w:rsid w:val="004446BA"/>
    <w:rsid w:val="00444C81"/>
    <w:rsid w:val="00446140"/>
    <w:rsid w:val="0045252A"/>
    <w:rsid w:val="00452999"/>
    <w:rsid w:val="00452D19"/>
    <w:rsid w:val="00453ADD"/>
    <w:rsid w:val="0045555D"/>
    <w:rsid w:val="00456072"/>
    <w:rsid w:val="00456822"/>
    <w:rsid w:val="00456C7D"/>
    <w:rsid w:val="00456D3B"/>
    <w:rsid w:val="00460382"/>
    <w:rsid w:val="00462A26"/>
    <w:rsid w:val="00462ECF"/>
    <w:rsid w:val="0046302A"/>
    <w:rsid w:val="004650A2"/>
    <w:rsid w:val="00466FA8"/>
    <w:rsid w:val="004675E6"/>
    <w:rsid w:val="00470A50"/>
    <w:rsid w:val="00471184"/>
    <w:rsid w:val="00471D64"/>
    <w:rsid w:val="00472563"/>
    <w:rsid w:val="0047269B"/>
    <w:rsid w:val="004745F2"/>
    <w:rsid w:val="004751DA"/>
    <w:rsid w:val="00475680"/>
    <w:rsid w:val="00475E00"/>
    <w:rsid w:val="00476FFD"/>
    <w:rsid w:val="00477911"/>
    <w:rsid w:val="00477D1E"/>
    <w:rsid w:val="00480A1F"/>
    <w:rsid w:val="00482E48"/>
    <w:rsid w:val="00483303"/>
    <w:rsid w:val="0048379F"/>
    <w:rsid w:val="0048674A"/>
    <w:rsid w:val="0048700A"/>
    <w:rsid w:val="00487DA6"/>
    <w:rsid w:val="004904E7"/>
    <w:rsid w:val="004908A7"/>
    <w:rsid w:val="00491026"/>
    <w:rsid w:val="00491B57"/>
    <w:rsid w:val="0049203F"/>
    <w:rsid w:val="00493041"/>
    <w:rsid w:val="004930B6"/>
    <w:rsid w:val="0049506B"/>
    <w:rsid w:val="00495ADD"/>
    <w:rsid w:val="004977A4"/>
    <w:rsid w:val="0049785D"/>
    <w:rsid w:val="004A00F6"/>
    <w:rsid w:val="004A0271"/>
    <w:rsid w:val="004A0BA9"/>
    <w:rsid w:val="004A0E52"/>
    <w:rsid w:val="004A127E"/>
    <w:rsid w:val="004A2C87"/>
    <w:rsid w:val="004A4C37"/>
    <w:rsid w:val="004A561F"/>
    <w:rsid w:val="004A61C9"/>
    <w:rsid w:val="004A73B2"/>
    <w:rsid w:val="004A7891"/>
    <w:rsid w:val="004B06F0"/>
    <w:rsid w:val="004B07BD"/>
    <w:rsid w:val="004B097C"/>
    <w:rsid w:val="004B11E1"/>
    <w:rsid w:val="004B1671"/>
    <w:rsid w:val="004B29D1"/>
    <w:rsid w:val="004B3199"/>
    <w:rsid w:val="004B58D1"/>
    <w:rsid w:val="004B75BB"/>
    <w:rsid w:val="004B780F"/>
    <w:rsid w:val="004C17DE"/>
    <w:rsid w:val="004C1A08"/>
    <w:rsid w:val="004C23E6"/>
    <w:rsid w:val="004C2DA5"/>
    <w:rsid w:val="004C351A"/>
    <w:rsid w:val="004C49A2"/>
    <w:rsid w:val="004C4BA9"/>
    <w:rsid w:val="004C562D"/>
    <w:rsid w:val="004C5BE8"/>
    <w:rsid w:val="004C68F8"/>
    <w:rsid w:val="004C69CA"/>
    <w:rsid w:val="004C7FC5"/>
    <w:rsid w:val="004D086E"/>
    <w:rsid w:val="004D0899"/>
    <w:rsid w:val="004D0EB0"/>
    <w:rsid w:val="004D1861"/>
    <w:rsid w:val="004D39C2"/>
    <w:rsid w:val="004D4588"/>
    <w:rsid w:val="004D4B99"/>
    <w:rsid w:val="004D59F2"/>
    <w:rsid w:val="004E1833"/>
    <w:rsid w:val="004E1A9B"/>
    <w:rsid w:val="004E287C"/>
    <w:rsid w:val="004E380B"/>
    <w:rsid w:val="004E3F51"/>
    <w:rsid w:val="004E49E1"/>
    <w:rsid w:val="004E4B5D"/>
    <w:rsid w:val="004E5242"/>
    <w:rsid w:val="004E7244"/>
    <w:rsid w:val="004E7BA3"/>
    <w:rsid w:val="004F0A38"/>
    <w:rsid w:val="004F2370"/>
    <w:rsid w:val="004F3029"/>
    <w:rsid w:val="004F4654"/>
    <w:rsid w:val="004F575E"/>
    <w:rsid w:val="004F5D0C"/>
    <w:rsid w:val="004F6168"/>
    <w:rsid w:val="004F72E5"/>
    <w:rsid w:val="004F775B"/>
    <w:rsid w:val="004F7DB0"/>
    <w:rsid w:val="0050054D"/>
    <w:rsid w:val="00500C37"/>
    <w:rsid w:val="00500DC7"/>
    <w:rsid w:val="005018C6"/>
    <w:rsid w:val="00501B59"/>
    <w:rsid w:val="00501CA3"/>
    <w:rsid w:val="005021EA"/>
    <w:rsid w:val="0050453A"/>
    <w:rsid w:val="00504C75"/>
    <w:rsid w:val="005058F7"/>
    <w:rsid w:val="005072AE"/>
    <w:rsid w:val="00510A78"/>
    <w:rsid w:val="00511341"/>
    <w:rsid w:val="00511532"/>
    <w:rsid w:val="00512207"/>
    <w:rsid w:val="00512726"/>
    <w:rsid w:val="00512C51"/>
    <w:rsid w:val="0051310D"/>
    <w:rsid w:val="0051368B"/>
    <w:rsid w:val="0051433A"/>
    <w:rsid w:val="00514EF3"/>
    <w:rsid w:val="00515408"/>
    <w:rsid w:val="00515675"/>
    <w:rsid w:val="00520896"/>
    <w:rsid w:val="00524128"/>
    <w:rsid w:val="0052432C"/>
    <w:rsid w:val="00525A42"/>
    <w:rsid w:val="00525DD6"/>
    <w:rsid w:val="0052611C"/>
    <w:rsid w:val="00526244"/>
    <w:rsid w:val="005265EE"/>
    <w:rsid w:val="00526640"/>
    <w:rsid w:val="005269EF"/>
    <w:rsid w:val="0052705F"/>
    <w:rsid w:val="00527BF7"/>
    <w:rsid w:val="00527BFE"/>
    <w:rsid w:val="00531685"/>
    <w:rsid w:val="00532874"/>
    <w:rsid w:val="00532E05"/>
    <w:rsid w:val="00533E04"/>
    <w:rsid w:val="0053408A"/>
    <w:rsid w:val="005341C2"/>
    <w:rsid w:val="0053490A"/>
    <w:rsid w:val="005371A6"/>
    <w:rsid w:val="00537A70"/>
    <w:rsid w:val="0054119B"/>
    <w:rsid w:val="005428DB"/>
    <w:rsid w:val="00542A6E"/>
    <w:rsid w:val="00542EFD"/>
    <w:rsid w:val="00543FD9"/>
    <w:rsid w:val="00545761"/>
    <w:rsid w:val="00545864"/>
    <w:rsid w:val="00545F6E"/>
    <w:rsid w:val="00546180"/>
    <w:rsid w:val="00547173"/>
    <w:rsid w:val="00547755"/>
    <w:rsid w:val="00547DE9"/>
    <w:rsid w:val="00547E7D"/>
    <w:rsid w:val="00550CD9"/>
    <w:rsid w:val="005515C3"/>
    <w:rsid w:val="00551B89"/>
    <w:rsid w:val="00552430"/>
    <w:rsid w:val="00552F6F"/>
    <w:rsid w:val="00553237"/>
    <w:rsid w:val="005533A7"/>
    <w:rsid w:val="005543D6"/>
    <w:rsid w:val="00554456"/>
    <w:rsid w:val="005547C4"/>
    <w:rsid w:val="0055580C"/>
    <w:rsid w:val="00555E15"/>
    <w:rsid w:val="00556A0B"/>
    <w:rsid w:val="005601D1"/>
    <w:rsid w:val="0056086D"/>
    <w:rsid w:val="00560991"/>
    <w:rsid w:val="005612CE"/>
    <w:rsid w:val="00561F48"/>
    <w:rsid w:val="00562772"/>
    <w:rsid w:val="00562CEC"/>
    <w:rsid w:val="005630F9"/>
    <w:rsid w:val="0056358A"/>
    <w:rsid w:val="00563BBD"/>
    <w:rsid w:val="00564724"/>
    <w:rsid w:val="00564896"/>
    <w:rsid w:val="00564D50"/>
    <w:rsid w:val="00565805"/>
    <w:rsid w:val="00566DBD"/>
    <w:rsid w:val="00567602"/>
    <w:rsid w:val="00570D76"/>
    <w:rsid w:val="00570D82"/>
    <w:rsid w:val="00570F8D"/>
    <w:rsid w:val="00571587"/>
    <w:rsid w:val="00571A9E"/>
    <w:rsid w:val="0057337E"/>
    <w:rsid w:val="00574761"/>
    <w:rsid w:val="0057694A"/>
    <w:rsid w:val="00580C86"/>
    <w:rsid w:val="00581289"/>
    <w:rsid w:val="00582DDA"/>
    <w:rsid w:val="00583183"/>
    <w:rsid w:val="005837D1"/>
    <w:rsid w:val="0058487B"/>
    <w:rsid w:val="00585379"/>
    <w:rsid w:val="00585EB8"/>
    <w:rsid w:val="005866B3"/>
    <w:rsid w:val="00587543"/>
    <w:rsid w:val="0059049F"/>
    <w:rsid w:val="005909A6"/>
    <w:rsid w:val="00590CE0"/>
    <w:rsid w:val="00591ED7"/>
    <w:rsid w:val="00592E38"/>
    <w:rsid w:val="00593541"/>
    <w:rsid w:val="005939F1"/>
    <w:rsid w:val="00595034"/>
    <w:rsid w:val="005956F3"/>
    <w:rsid w:val="005971A7"/>
    <w:rsid w:val="00597FCD"/>
    <w:rsid w:val="005A01CF"/>
    <w:rsid w:val="005A055B"/>
    <w:rsid w:val="005A0BF8"/>
    <w:rsid w:val="005A169C"/>
    <w:rsid w:val="005A214F"/>
    <w:rsid w:val="005A2447"/>
    <w:rsid w:val="005A2C6D"/>
    <w:rsid w:val="005A374D"/>
    <w:rsid w:val="005A484A"/>
    <w:rsid w:val="005A4EE1"/>
    <w:rsid w:val="005A522E"/>
    <w:rsid w:val="005A544A"/>
    <w:rsid w:val="005A76CE"/>
    <w:rsid w:val="005B02C7"/>
    <w:rsid w:val="005B0CDE"/>
    <w:rsid w:val="005B1BB2"/>
    <w:rsid w:val="005B1F67"/>
    <w:rsid w:val="005B2E28"/>
    <w:rsid w:val="005B2E50"/>
    <w:rsid w:val="005B2EFB"/>
    <w:rsid w:val="005B4C56"/>
    <w:rsid w:val="005C0779"/>
    <w:rsid w:val="005C0B64"/>
    <w:rsid w:val="005C0CD1"/>
    <w:rsid w:val="005C37A0"/>
    <w:rsid w:val="005C37F5"/>
    <w:rsid w:val="005C3F78"/>
    <w:rsid w:val="005C414E"/>
    <w:rsid w:val="005C41D9"/>
    <w:rsid w:val="005C4C97"/>
    <w:rsid w:val="005C5AB7"/>
    <w:rsid w:val="005C63E3"/>
    <w:rsid w:val="005C6A1E"/>
    <w:rsid w:val="005C70C7"/>
    <w:rsid w:val="005C75F9"/>
    <w:rsid w:val="005D04B7"/>
    <w:rsid w:val="005D297C"/>
    <w:rsid w:val="005D46F7"/>
    <w:rsid w:val="005D515D"/>
    <w:rsid w:val="005D59EF"/>
    <w:rsid w:val="005D5D3C"/>
    <w:rsid w:val="005D6F11"/>
    <w:rsid w:val="005D71B6"/>
    <w:rsid w:val="005E2CD1"/>
    <w:rsid w:val="005E4653"/>
    <w:rsid w:val="005E4AD8"/>
    <w:rsid w:val="005E4E8C"/>
    <w:rsid w:val="005E54EC"/>
    <w:rsid w:val="005E7022"/>
    <w:rsid w:val="005E77E4"/>
    <w:rsid w:val="005F0AA4"/>
    <w:rsid w:val="005F37FD"/>
    <w:rsid w:val="005F4F81"/>
    <w:rsid w:val="005F5F02"/>
    <w:rsid w:val="005F7189"/>
    <w:rsid w:val="005F7A04"/>
    <w:rsid w:val="005F7E9D"/>
    <w:rsid w:val="00600674"/>
    <w:rsid w:val="006008AF"/>
    <w:rsid w:val="00600CB1"/>
    <w:rsid w:val="006012E4"/>
    <w:rsid w:val="0060139C"/>
    <w:rsid w:val="00601905"/>
    <w:rsid w:val="00601A09"/>
    <w:rsid w:val="006063F4"/>
    <w:rsid w:val="006073D6"/>
    <w:rsid w:val="00607408"/>
    <w:rsid w:val="00607C1D"/>
    <w:rsid w:val="006115E1"/>
    <w:rsid w:val="006142DC"/>
    <w:rsid w:val="00614787"/>
    <w:rsid w:val="006148CC"/>
    <w:rsid w:val="00615A56"/>
    <w:rsid w:val="00620EEA"/>
    <w:rsid w:val="00621274"/>
    <w:rsid w:val="0062182B"/>
    <w:rsid w:val="00621889"/>
    <w:rsid w:val="006237D6"/>
    <w:rsid w:val="00625C66"/>
    <w:rsid w:val="006263DE"/>
    <w:rsid w:val="00626AC1"/>
    <w:rsid w:val="00630397"/>
    <w:rsid w:val="00630A1F"/>
    <w:rsid w:val="00632AD6"/>
    <w:rsid w:val="0063369B"/>
    <w:rsid w:val="006336D6"/>
    <w:rsid w:val="006352E7"/>
    <w:rsid w:val="00637D21"/>
    <w:rsid w:val="00640611"/>
    <w:rsid w:val="006409AF"/>
    <w:rsid w:val="00642983"/>
    <w:rsid w:val="006429A5"/>
    <w:rsid w:val="00642A38"/>
    <w:rsid w:val="006430EA"/>
    <w:rsid w:val="0064354F"/>
    <w:rsid w:val="006441EE"/>
    <w:rsid w:val="00645FB5"/>
    <w:rsid w:val="006469DE"/>
    <w:rsid w:val="00647E00"/>
    <w:rsid w:val="00647EE7"/>
    <w:rsid w:val="006502DB"/>
    <w:rsid w:val="006507A6"/>
    <w:rsid w:val="00651ECE"/>
    <w:rsid w:val="0065253B"/>
    <w:rsid w:val="006526C6"/>
    <w:rsid w:val="00652D66"/>
    <w:rsid w:val="00654088"/>
    <w:rsid w:val="00655CA2"/>
    <w:rsid w:val="006565E0"/>
    <w:rsid w:val="006601F5"/>
    <w:rsid w:val="00661018"/>
    <w:rsid w:val="00661D36"/>
    <w:rsid w:val="006638BA"/>
    <w:rsid w:val="00663A40"/>
    <w:rsid w:val="0066452E"/>
    <w:rsid w:val="00665AFE"/>
    <w:rsid w:val="006661B7"/>
    <w:rsid w:val="0066722F"/>
    <w:rsid w:val="00667E38"/>
    <w:rsid w:val="006710FA"/>
    <w:rsid w:val="006728B2"/>
    <w:rsid w:val="006754A8"/>
    <w:rsid w:val="0067556E"/>
    <w:rsid w:val="00676EA2"/>
    <w:rsid w:val="00677192"/>
    <w:rsid w:val="006776C3"/>
    <w:rsid w:val="00680782"/>
    <w:rsid w:val="00680C46"/>
    <w:rsid w:val="00681F32"/>
    <w:rsid w:val="0068361C"/>
    <w:rsid w:val="00683814"/>
    <w:rsid w:val="006839E6"/>
    <w:rsid w:val="0068450A"/>
    <w:rsid w:val="0068501F"/>
    <w:rsid w:val="0068622C"/>
    <w:rsid w:val="00690E88"/>
    <w:rsid w:val="006913DC"/>
    <w:rsid w:val="006914EA"/>
    <w:rsid w:val="00693973"/>
    <w:rsid w:val="00693E21"/>
    <w:rsid w:val="00694E2D"/>
    <w:rsid w:val="00695370"/>
    <w:rsid w:val="0069582D"/>
    <w:rsid w:val="0069603F"/>
    <w:rsid w:val="006963ED"/>
    <w:rsid w:val="0069675F"/>
    <w:rsid w:val="006A0214"/>
    <w:rsid w:val="006A07E7"/>
    <w:rsid w:val="006A578A"/>
    <w:rsid w:val="006A72DE"/>
    <w:rsid w:val="006A74F1"/>
    <w:rsid w:val="006B0540"/>
    <w:rsid w:val="006B12D9"/>
    <w:rsid w:val="006B2FB3"/>
    <w:rsid w:val="006B472A"/>
    <w:rsid w:val="006B726B"/>
    <w:rsid w:val="006C015E"/>
    <w:rsid w:val="006C0EC4"/>
    <w:rsid w:val="006C1195"/>
    <w:rsid w:val="006C22A4"/>
    <w:rsid w:val="006C29D5"/>
    <w:rsid w:val="006C5F19"/>
    <w:rsid w:val="006C6378"/>
    <w:rsid w:val="006C6606"/>
    <w:rsid w:val="006C66D8"/>
    <w:rsid w:val="006C67C1"/>
    <w:rsid w:val="006C76F6"/>
    <w:rsid w:val="006D00D3"/>
    <w:rsid w:val="006D00F8"/>
    <w:rsid w:val="006D0545"/>
    <w:rsid w:val="006D139D"/>
    <w:rsid w:val="006D23F1"/>
    <w:rsid w:val="006D3171"/>
    <w:rsid w:val="006D541E"/>
    <w:rsid w:val="006D5A2A"/>
    <w:rsid w:val="006D6314"/>
    <w:rsid w:val="006D6C0E"/>
    <w:rsid w:val="006E10F7"/>
    <w:rsid w:val="006E1A53"/>
    <w:rsid w:val="006E2250"/>
    <w:rsid w:val="006E2644"/>
    <w:rsid w:val="006E2A5C"/>
    <w:rsid w:val="006E3BF2"/>
    <w:rsid w:val="006E6023"/>
    <w:rsid w:val="006E680B"/>
    <w:rsid w:val="006E7742"/>
    <w:rsid w:val="006F11E7"/>
    <w:rsid w:val="006F1EFC"/>
    <w:rsid w:val="006F2571"/>
    <w:rsid w:val="006F3037"/>
    <w:rsid w:val="006F3103"/>
    <w:rsid w:val="006F4E45"/>
    <w:rsid w:val="006F55DB"/>
    <w:rsid w:val="006F5904"/>
    <w:rsid w:val="006F65FE"/>
    <w:rsid w:val="006F6702"/>
    <w:rsid w:val="006F6FD4"/>
    <w:rsid w:val="006F7559"/>
    <w:rsid w:val="006F7AAA"/>
    <w:rsid w:val="0070205F"/>
    <w:rsid w:val="00702571"/>
    <w:rsid w:val="00702AD4"/>
    <w:rsid w:val="00702AE0"/>
    <w:rsid w:val="00702D9F"/>
    <w:rsid w:val="0070358A"/>
    <w:rsid w:val="0070410F"/>
    <w:rsid w:val="007057CC"/>
    <w:rsid w:val="007070F9"/>
    <w:rsid w:val="00707B56"/>
    <w:rsid w:val="00710028"/>
    <w:rsid w:val="0071009D"/>
    <w:rsid w:val="0071167C"/>
    <w:rsid w:val="007118E2"/>
    <w:rsid w:val="00711B9E"/>
    <w:rsid w:val="007120FC"/>
    <w:rsid w:val="00713A80"/>
    <w:rsid w:val="00713B9A"/>
    <w:rsid w:val="00714BD1"/>
    <w:rsid w:val="00715042"/>
    <w:rsid w:val="007164DA"/>
    <w:rsid w:val="0072000B"/>
    <w:rsid w:val="0072040A"/>
    <w:rsid w:val="00720B1A"/>
    <w:rsid w:val="00723236"/>
    <w:rsid w:val="00723A8F"/>
    <w:rsid w:val="00724759"/>
    <w:rsid w:val="007249C2"/>
    <w:rsid w:val="007253FD"/>
    <w:rsid w:val="0073033C"/>
    <w:rsid w:val="00730738"/>
    <w:rsid w:val="00731D10"/>
    <w:rsid w:val="00732337"/>
    <w:rsid w:val="00733125"/>
    <w:rsid w:val="00733174"/>
    <w:rsid w:val="007332A0"/>
    <w:rsid w:val="00733BD7"/>
    <w:rsid w:val="007352C3"/>
    <w:rsid w:val="00735865"/>
    <w:rsid w:val="00735D8C"/>
    <w:rsid w:val="00736030"/>
    <w:rsid w:val="00737114"/>
    <w:rsid w:val="0074065A"/>
    <w:rsid w:val="007436A5"/>
    <w:rsid w:val="00745105"/>
    <w:rsid w:val="00745414"/>
    <w:rsid w:val="0074596B"/>
    <w:rsid w:val="00745AF5"/>
    <w:rsid w:val="00746CFD"/>
    <w:rsid w:val="00750734"/>
    <w:rsid w:val="0075167C"/>
    <w:rsid w:val="00751AE1"/>
    <w:rsid w:val="00751D64"/>
    <w:rsid w:val="00752CE1"/>
    <w:rsid w:val="0075403C"/>
    <w:rsid w:val="00755B19"/>
    <w:rsid w:val="007560BD"/>
    <w:rsid w:val="00760221"/>
    <w:rsid w:val="00760A2E"/>
    <w:rsid w:val="00761E44"/>
    <w:rsid w:val="00762833"/>
    <w:rsid w:val="00762CEF"/>
    <w:rsid w:val="007633EC"/>
    <w:rsid w:val="00763711"/>
    <w:rsid w:val="00763ACD"/>
    <w:rsid w:val="0076452C"/>
    <w:rsid w:val="007653FA"/>
    <w:rsid w:val="007662F6"/>
    <w:rsid w:val="0076678F"/>
    <w:rsid w:val="00767241"/>
    <w:rsid w:val="00767800"/>
    <w:rsid w:val="00767987"/>
    <w:rsid w:val="0077082E"/>
    <w:rsid w:val="007712C5"/>
    <w:rsid w:val="0077171F"/>
    <w:rsid w:val="00772A8D"/>
    <w:rsid w:val="00772D70"/>
    <w:rsid w:val="00773531"/>
    <w:rsid w:val="00773F0E"/>
    <w:rsid w:val="00774C7F"/>
    <w:rsid w:val="00775B43"/>
    <w:rsid w:val="00775D9C"/>
    <w:rsid w:val="00775EC1"/>
    <w:rsid w:val="00776436"/>
    <w:rsid w:val="007764AF"/>
    <w:rsid w:val="00777D12"/>
    <w:rsid w:val="00780B69"/>
    <w:rsid w:val="00780DE7"/>
    <w:rsid w:val="00781659"/>
    <w:rsid w:val="00782D0A"/>
    <w:rsid w:val="00782EAB"/>
    <w:rsid w:val="00784312"/>
    <w:rsid w:val="0078579B"/>
    <w:rsid w:val="00785CBA"/>
    <w:rsid w:val="00786210"/>
    <w:rsid w:val="00786E34"/>
    <w:rsid w:val="00786F26"/>
    <w:rsid w:val="00787AB4"/>
    <w:rsid w:val="00790A35"/>
    <w:rsid w:val="0079106F"/>
    <w:rsid w:val="007911DD"/>
    <w:rsid w:val="007916CB"/>
    <w:rsid w:val="007917AA"/>
    <w:rsid w:val="00792B58"/>
    <w:rsid w:val="00792D94"/>
    <w:rsid w:val="007930D6"/>
    <w:rsid w:val="007943CC"/>
    <w:rsid w:val="00794B42"/>
    <w:rsid w:val="00795578"/>
    <w:rsid w:val="00795699"/>
    <w:rsid w:val="00796810"/>
    <w:rsid w:val="00796DA8"/>
    <w:rsid w:val="007A0D9A"/>
    <w:rsid w:val="007A197C"/>
    <w:rsid w:val="007A1FE8"/>
    <w:rsid w:val="007A2190"/>
    <w:rsid w:val="007A373F"/>
    <w:rsid w:val="007A660C"/>
    <w:rsid w:val="007A74E8"/>
    <w:rsid w:val="007B0523"/>
    <w:rsid w:val="007B08DA"/>
    <w:rsid w:val="007B2A55"/>
    <w:rsid w:val="007B3621"/>
    <w:rsid w:val="007B3B54"/>
    <w:rsid w:val="007B66F0"/>
    <w:rsid w:val="007B6993"/>
    <w:rsid w:val="007B7F4E"/>
    <w:rsid w:val="007C0D23"/>
    <w:rsid w:val="007C36D5"/>
    <w:rsid w:val="007C4284"/>
    <w:rsid w:val="007C4BA8"/>
    <w:rsid w:val="007C6091"/>
    <w:rsid w:val="007C76AC"/>
    <w:rsid w:val="007C7A34"/>
    <w:rsid w:val="007D00A6"/>
    <w:rsid w:val="007D0CE6"/>
    <w:rsid w:val="007D191B"/>
    <w:rsid w:val="007D3332"/>
    <w:rsid w:val="007D380E"/>
    <w:rsid w:val="007D4E4A"/>
    <w:rsid w:val="007D607F"/>
    <w:rsid w:val="007D6AD6"/>
    <w:rsid w:val="007D6C82"/>
    <w:rsid w:val="007D6D02"/>
    <w:rsid w:val="007D6E3C"/>
    <w:rsid w:val="007D7C6D"/>
    <w:rsid w:val="007E251D"/>
    <w:rsid w:val="007E4A8A"/>
    <w:rsid w:val="007E5972"/>
    <w:rsid w:val="007E5AB1"/>
    <w:rsid w:val="007E5C6F"/>
    <w:rsid w:val="007E6C81"/>
    <w:rsid w:val="007E77E8"/>
    <w:rsid w:val="007F07C3"/>
    <w:rsid w:val="007F0ECC"/>
    <w:rsid w:val="007F10A6"/>
    <w:rsid w:val="007F2DED"/>
    <w:rsid w:val="007F3F70"/>
    <w:rsid w:val="007F5F6F"/>
    <w:rsid w:val="007F6BD3"/>
    <w:rsid w:val="007F7B35"/>
    <w:rsid w:val="00800146"/>
    <w:rsid w:val="008002D3"/>
    <w:rsid w:val="008004E8"/>
    <w:rsid w:val="00800C56"/>
    <w:rsid w:val="00800EF0"/>
    <w:rsid w:val="00804B18"/>
    <w:rsid w:val="00804D94"/>
    <w:rsid w:val="00804E4F"/>
    <w:rsid w:val="008056EF"/>
    <w:rsid w:val="00805883"/>
    <w:rsid w:val="0080768A"/>
    <w:rsid w:val="00810743"/>
    <w:rsid w:val="00810A51"/>
    <w:rsid w:val="00810A53"/>
    <w:rsid w:val="00810E0F"/>
    <w:rsid w:val="00811C3B"/>
    <w:rsid w:val="00812772"/>
    <w:rsid w:val="008129E9"/>
    <w:rsid w:val="00813C69"/>
    <w:rsid w:val="0081661C"/>
    <w:rsid w:val="0081666A"/>
    <w:rsid w:val="008204F3"/>
    <w:rsid w:val="00820BC1"/>
    <w:rsid w:val="008210AC"/>
    <w:rsid w:val="008211C8"/>
    <w:rsid w:val="00821699"/>
    <w:rsid w:val="00821A0B"/>
    <w:rsid w:val="008229A6"/>
    <w:rsid w:val="00822BCC"/>
    <w:rsid w:val="00822FCC"/>
    <w:rsid w:val="008262CA"/>
    <w:rsid w:val="0082698E"/>
    <w:rsid w:val="00827F4B"/>
    <w:rsid w:val="0083106C"/>
    <w:rsid w:val="00831921"/>
    <w:rsid w:val="0083273D"/>
    <w:rsid w:val="00832D8D"/>
    <w:rsid w:val="00832ED7"/>
    <w:rsid w:val="008349E8"/>
    <w:rsid w:val="00836C79"/>
    <w:rsid w:val="0083737E"/>
    <w:rsid w:val="00837AF0"/>
    <w:rsid w:val="00840773"/>
    <w:rsid w:val="0084414B"/>
    <w:rsid w:val="00844CB3"/>
    <w:rsid w:val="00844DD8"/>
    <w:rsid w:val="0084544F"/>
    <w:rsid w:val="00845ED1"/>
    <w:rsid w:val="00846CB6"/>
    <w:rsid w:val="00847561"/>
    <w:rsid w:val="00847A54"/>
    <w:rsid w:val="0085119E"/>
    <w:rsid w:val="00851DE2"/>
    <w:rsid w:val="00851FBB"/>
    <w:rsid w:val="008532B9"/>
    <w:rsid w:val="008533E8"/>
    <w:rsid w:val="00855155"/>
    <w:rsid w:val="00855953"/>
    <w:rsid w:val="00855CCF"/>
    <w:rsid w:val="008562DF"/>
    <w:rsid w:val="00856D8B"/>
    <w:rsid w:val="008606D0"/>
    <w:rsid w:val="008611B0"/>
    <w:rsid w:val="008619D4"/>
    <w:rsid w:val="00864262"/>
    <w:rsid w:val="00864E2C"/>
    <w:rsid w:val="00865195"/>
    <w:rsid w:val="00865480"/>
    <w:rsid w:val="008718CB"/>
    <w:rsid w:val="00872418"/>
    <w:rsid w:val="00872E1F"/>
    <w:rsid w:val="0087342A"/>
    <w:rsid w:val="00873D64"/>
    <w:rsid w:val="00874092"/>
    <w:rsid w:val="008759B5"/>
    <w:rsid w:val="00877B96"/>
    <w:rsid w:val="00877CA0"/>
    <w:rsid w:val="008803BD"/>
    <w:rsid w:val="008805AC"/>
    <w:rsid w:val="00880AA2"/>
    <w:rsid w:val="00881F53"/>
    <w:rsid w:val="0088253F"/>
    <w:rsid w:val="00882B2E"/>
    <w:rsid w:val="0088395D"/>
    <w:rsid w:val="00883EE5"/>
    <w:rsid w:val="00885279"/>
    <w:rsid w:val="008855E7"/>
    <w:rsid w:val="00886DAC"/>
    <w:rsid w:val="0089037E"/>
    <w:rsid w:val="008907E7"/>
    <w:rsid w:val="00890FB6"/>
    <w:rsid w:val="008927F4"/>
    <w:rsid w:val="00893E3B"/>
    <w:rsid w:val="0089415E"/>
    <w:rsid w:val="008943E5"/>
    <w:rsid w:val="008946CA"/>
    <w:rsid w:val="00895D25"/>
    <w:rsid w:val="00896F9A"/>
    <w:rsid w:val="008979B0"/>
    <w:rsid w:val="008A02D6"/>
    <w:rsid w:val="008A0C66"/>
    <w:rsid w:val="008A17A6"/>
    <w:rsid w:val="008A2F85"/>
    <w:rsid w:val="008A3E6A"/>
    <w:rsid w:val="008A4A43"/>
    <w:rsid w:val="008A4D9E"/>
    <w:rsid w:val="008A6A46"/>
    <w:rsid w:val="008A6B5E"/>
    <w:rsid w:val="008A6BA6"/>
    <w:rsid w:val="008A6DA6"/>
    <w:rsid w:val="008A7DDB"/>
    <w:rsid w:val="008B0474"/>
    <w:rsid w:val="008B0587"/>
    <w:rsid w:val="008B0676"/>
    <w:rsid w:val="008B23B9"/>
    <w:rsid w:val="008B287B"/>
    <w:rsid w:val="008B466E"/>
    <w:rsid w:val="008B5224"/>
    <w:rsid w:val="008B5335"/>
    <w:rsid w:val="008B5BDC"/>
    <w:rsid w:val="008B6206"/>
    <w:rsid w:val="008B6253"/>
    <w:rsid w:val="008C0B34"/>
    <w:rsid w:val="008C0F4B"/>
    <w:rsid w:val="008C2215"/>
    <w:rsid w:val="008C383B"/>
    <w:rsid w:val="008C3C0C"/>
    <w:rsid w:val="008C40C7"/>
    <w:rsid w:val="008C4F58"/>
    <w:rsid w:val="008C533A"/>
    <w:rsid w:val="008C60C2"/>
    <w:rsid w:val="008C63E1"/>
    <w:rsid w:val="008C687B"/>
    <w:rsid w:val="008C79A4"/>
    <w:rsid w:val="008D3098"/>
    <w:rsid w:val="008D388C"/>
    <w:rsid w:val="008D4780"/>
    <w:rsid w:val="008D4B79"/>
    <w:rsid w:val="008D4CA4"/>
    <w:rsid w:val="008D536D"/>
    <w:rsid w:val="008D788C"/>
    <w:rsid w:val="008D7E8A"/>
    <w:rsid w:val="008E0BCE"/>
    <w:rsid w:val="008E17D3"/>
    <w:rsid w:val="008E1C79"/>
    <w:rsid w:val="008E1D15"/>
    <w:rsid w:val="008E2651"/>
    <w:rsid w:val="008E43C3"/>
    <w:rsid w:val="008E4F81"/>
    <w:rsid w:val="008E562E"/>
    <w:rsid w:val="008E5B42"/>
    <w:rsid w:val="008E6065"/>
    <w:rsid w:val="008F079D"/>
    <w:rsid w:val="008F12BB"/>
    <w:rsid w:val="008F23DD"/>
    <w:rsid w:val="008F2F2E"/>
    <w:rsid w:val="008F3C04"/>
    <w:rsid w:val="008F7517"/>
    <w:rsid w:val="00900DE2"/>
    <w:rsid w:val="009019C0"/>
    <w:rsid w:val="00901B92"/>
    <w:rsid w:val="00901F98"/>
    <w:rsid w:val="00902938"/>
    <w:rsid w:val="00902AFF"/>
    <w:rsid w:val="0090305E"/>
    <w:rsid w:val="00903DF1"/>
    <w:rsid w:val="00906359"/>
    <w:rsid w:val="00910BA2"/>
    <w:rsid w:val="00910C6C"/>
    <w:rsid w:val="00910E8F"/>
    <w:rsid w:val="00911008"/>
    <w:rsid w:val="0091353C"/>
    <w:rsid w:val="009139D9"/>
    <w:rsid w:val="00913EC8"/>
    <w:rsid w:val="00915315"/>
    <w:rsid w:val="0091594F"/>
    <w:rsid w:val="00915CBF"/>
    <w:rsid w:val="009166BC"/>
    <w:rsid w:val="009175A9"/>
    <w:rsid w:val="00920161"/>
    <w:rsid w:val="00920B4C"/>
    <w:rsid w:val="00921221"/>
    <w:rsid w:val="009216BF"/>
    <w:rsid w:val="00921C31"/>
    <w:rsid w:val="00921D3F"/>
    <w:rsid w:val="00922D50"/>
    <w:rsid w:val="00923220"/>
    <w:rsid w:val="009236B2"/>
    <w:rsid w:val="00924D26"/>
    <w:rsid w:val="009266EF"/>
    <w:rsid w:val="0092689E"/>
    <w:rsid w:val="00927020"/>
    <w:rsid w:val="0092755B"/>
    <w:rsid w:val="00930594"/>
    <w:rsid w:val="00931193"/>
    <w:rsid w:val="00931685"/>
    <w:rsid w:val="00931877"/>
    <w:rsid w:val="00931C51"/>
    <w:rsid w:val="009331D5"/>
    <w:rsid w:val="00933578"/>
    <w:rsid w:val="00933FF5"/>
    <w:rsid w:val="00934248"/>
    <w:rsid w:val="0093486C"/>
    <w:rsid w:val="009363AD"/>
    <w:rsid w:val="009363CC"/>
    <w:rsid w:val="00936D60"/>
    <w:rsid w:val="00937123"/>
    <w:rsid w:val="0094078E"/>
    <w:rsid w:val="009413B6"/>
    <w:rsid w:val="0094151F"/>
    <w:rsid w:val="00941A51"/>
    <w:rsid w:val="0094267A"/>
    <w:rsid w:val="009428DB"/>
    <w:rsid w:val="0094290B"/>
    <w:rsid w:val="00943313"/>
    <w:rsid w:val="0094369E"/>
    <w:rsid w:val="009438D2"/>
    <w:rsid w:val="00945A9D"/>
    <w:rsid w:val="00945D79"/>
    <w:rsid w:val="00947B55"/>
    <w:rsid w:val="009507F5"/>
    <w:rsid w:val="00950D10"/>
    <w:rsid w:val="0095117B"/>
    <w:rsid w:val="009516E6"/>
    <w:rsid w:val="009536A9"/>
    <w:rsid w:val="00953920"/>
    <w:rsid w:val="0095572E"/>
    <w:rsid w:val="00956424"/>
    <w:rsid w:val="009571DF"/>
    <w:rsid w:val="0096065D"/>
    <w:rsid w:val="0096105C"/>
    <w:rsid w:val="0096195B"/>
    <w:rsid w:val="00963A1F"/>
    <w:rsid w:val="0096526A"/>
    <w:rsid w:val="00965E9A"/>
    <w:rsid w:val="00965EC1"/>
    <w:rsid w:val="00966166"/>
    <w:rsid w:val="00966269"/>
    <w:rsid w:val="00966CF2"/>
    <w:rsid w:val="009678F3"/>
    <w:rsid w:val="00970261"/>
    <w:rsid w:val="009704A7"/>
    <w:rsid w:val="0097076C"/>
    <w:rsid w:val="009714A1"/>
    <w:rsid w:val="00971672"/>
    <w:rsid w:val="00971B2B"/>
    <w:rsid w:val="00972C84"/>
    <w:rsid w:val="00973A8D"/>
    <w:rsid w:val="0097414C"/>
    <w:rsid w:val="00974665"/>
    <w:rsid w:val="00974EB4"/>
    <w:rsid w:val="009758E3"/>
    <w:rsid w:val="0097648B"/>
    <w:rsid w:val="00977E2D"/>
    <w:rsid w:val="009805C3"/>
    <w:rsid w:val="009808D5"/>
    <w:rsid w:val="00980D74"/>
    <w:rsid w:val="00982FDF"/>
    <w:rsid w:val="00983819"/>
    <w:rsid w:val="0098518A"/>
    <w:rsid w:val="00985B09"/>
    <w:rsid w:val="00987D13"/>
    <w:rsid w:val="00992168"/>
    <w:rsid w:val="00992D76"/>
    <w:rsid w:val="009938CC"/>
    <w:rsid w:val="009944DB"/>
    <w:rsid w:val="0099453B"/>
    <w:rsid w:val="009946A3"/>
    <w:rsid w:val="009948BC"/>
    <w:rsid w:val="00994EDF"/>
    <w:rsid w:val="00995D0F"/>
    <w:rsid w:val="00996115"/>
    <w:rsid w:val="00996E1E"/>
    <w:rsid w:val="0099784E"/>
    <w:rsid w:val="009A0198"/>
    <w:rsid w:val="009A01E1"/>
    <w:rsid w:val="009A0CBD"/>
    <w:rsid w:val="009A16A3"/>
    <w:rsid w:val="009A1935"/>
    <w:rsid w:val="009A2C42"/>
    <w:rsid w:val="009A3010"/>
    <w:rsid w:val="009A3C57"/>
    <w:rsid w:val="009A6B07"/>
    <w:rsid w:val="009A6C61"/>
    <w:rsid w:val="009A73C3"/>
    <w:rsid w:val="009A7D29"/>
    <w:rsid w:val="009B2063"/>
    <w:rsid w:val="009B2A88"/>
    <w:rsid w:val="009B2C99"/>
    <w:rsid w:val="009B3417"/>
    <w:rsid w:val="009B3A74"/>
    <w:rsid w:val="009B4285"/>
    <w:rsid w:val="009B4E2A"/>
    <w:rsid w:val="009B507C"/>
    <w:rsid w:val="009B56EB"/>
    <w:rsid w:val="009B5DE2"/>
    <w:rsid w:val="009B647F"/>
    <w:rsid w:val="009B678B"/>
    <w:rsid w:val="009B705D"/>
    <w:rsid w:val="009B74B3"/>
    <w:rsid w:val="009C1073"/>
    <w:rsid w:val="009C1A13"/>
    <w:rsid w:val="009C2C1E"/>
    <w:rsid w:val="009C4827"/>
    <w:rsid w:val="009C4CA0"/>
    <w:rsid w:val="009C5F8F"/>
    <w:rsid w:val="009C65F9"/>
    <w:rsid w:val="009C7E88"/>
    <w:rsid w:val="009D0549"/>
    <w:rsid w:val="009D07EE"/>
    <w:rsid w:val="009D0F28"/>
    <w:rsid w:val="009D10D6"/>
    <w:rsid w:val="009D1126"/>
    <w:rsid w:val="009D18F6"/>
    <w:rsid w:val="009D2E41"/>
    <w:rsid w:val="009D31AF"/>
    <w:rsid w:val="009D32AB"/>
    <w:rsid w:val="009D3405"/>
    <w:rsid w:val="009D5D10"/>
    <w:rsid w:val="009D60A9"/>
    <w:rsid w:val="009D6831"/>
    <w:rsid w:val="009D7B64"/>
    <w:rsid w:val="009E0388"/>
    <w:rsid w:val="009E0845"/>
    <w:rsid w:val="009E132D"/>
    <w:rsid w:val="009E1442"/>
    <w:rsid w:val="009E155D"/>
    <w:rsid w:val="009E1A95"/>
    <w:rsid w:val="009E2B64"/>
    <w:rsid w:val="009E330D"/>
    <w:rsid w:val="009E499F"/>
    <w:rsid w:val="009E5066"/>
    <w:rsid w:val="009E58BB"/>
    <w:rsid w:val="009E62F9"/>
    <w:rsid w:val="009E6999"/>
    <w:rsid w:val="009E7F85"/>
    <w:rsid w:val="009F0B2D"/>
    <w:rsid w:val="009F0C8A"/>
    <w:rsid w:val="009F196E"/>
    <w:rsid w:val="009F1D3A"/>
    <w:rsid w:val="009F2CBE"/>
    <w:rsid w:val="009F3413"/>
    <w:rsid w:val="009F7677"/>
    <w:rsid w:val="009F790C"/>
    <w:rsid w:val="00A00080"/>
    <w:rsid w:val="00A00FE6"/>
    <w:rsid w:val="00A0158F"/>
    <w:rsid w:val="00A02D98"/>
    <w:rsid w:val="00A0375B"/>
    <w:rsid w:val="00A041D0"/>
    <w:rsid w:val="00A046A3"/>
    <w:rsid w:val="00A067D6"/>
    <w:rsid w:val="00A074EA"/>
    <w:rsid w:val="00A0763B"/>
    <w:rsid w:val="00A07697"/>
    <w:rsid w:val="00A078D3"/>
    <w:rsid w:val="00A07ACF"/>
    <w:rsid w:val="00A07E76"/>
    <w:rsid w:val="00A1028E"/>
    <w:rsid w:val="00A1084A"/>
    <w:rsid w:val="00A1134F"/>
    <w:rsid w:val="00A11F51"/>
    <w:rsid w:val="00A12163"/>
    <w:rsid w:val="00A1301D"/>
    <w:rsid w:val="00A1362A"/>
    <w:rsid w:val="00A1427B"/>
    <w:rsid w:val="00A15D5F"/>
    <w:rsid w:val="00A1683B"/>
    <w:rsid w:val="00A171AD"/>
    <w:rsid w:val="00A21296"/>
    <w:rsid w:val="00A22F27"/>
    <w:rsid w:val="00A25E8B"/>
    <w:rsid w:val="00A270AE"/>
    <w:rsid w:val="00A273F7"/>
    <w:rsid w:val="00A27A43"/>
    <w:rsid w:val="00A31923"/>
    <w:rsid w:val="00A31C96"/>
    <w:rsid w:val="00A36B12"/>
    <w:rsid w:val="00A37440"/>
    <w:rsid w:val="00A41F10"/>
    <w:rsid w:val="00A41FD0"/>
    <w:rsid w:val="00A4309F"/>
    <w:rsid w:val="00A43C10"/>
    <w:rsid w:val="00A450A6"/>
    <w:rsid w:val="00A4558E"/>
    <w:rsid w:val="00A462A7"/>
    <w:rsid w:val="00A46D38"/>
    <w:rsid w:val="00A46F12"/>
    <w:rsid w:val="00A50306"/>
    <w:rsid w:val="00A5040B"/>
    <w:rsid w:val="00A50927"/>
    <w:rsid w:val="00A5095C"/>
    <w:rsid w:val="00A50B02"/>
    <w:rsid w:val="00A50D24"/>
    <w:rsid w:val="00A512A6"/>
    <w:rsid w:val="00A521CC"/>
    <w:rsid w:val="00A534AD"/>
    <w:rsid w:val="00A53651"/>
    <w:rsid w:val="00A53CD2"/>
    <w:rsid w:val="00A543D6"/>
    <w:rsid w:val="00A547D6"/>
    <w:rsid w:val="00A55ED6"/>
    <w:rsid w:val="00A568F0"/>
    <w:rsid w:val="00A5711F"/>
    <w:rsid w:val="00A5781C"/>
    <w:rsid w:val="00A62854"/>
    <w:rsid w:val="00A62B4B"/>
    <w:rsid w:val="00A632F3"/>
    <w:rsid w:val="00A64F9B"/>
    <w:rsid w:val="00A65380"/>
    <w:rsid w:val="00A65782"/>
    <w:rsid w:val="00A65BCF"/>
    <w:rsid w:val="00A66DA5"/>
    <w:rsid w:val="00A6763F"/>
    <w:rsid w:val="00A70679"/>
    <w:rsid w:val="00A70DF7"/>
    <w:rsid w:val="00A71C78"/>
    <w:rsid w:val="00A72D25"/>
    <w:rsid w:val="00A73181"/>
    <w:rsid w:val="00A73791"/>
    <w:rsid w:val="00A73AF9"/>
    <w:rsid w:val="00A7460A"/>
    <w:rsid w:val="00A74A03"/>
    <w:rsid w:val="00A75719"/>
    <w:rsid w:val="00A759AD"/>
    <w:rsid w:val="00A80F43"/>
    <w:rsid w:val="00A8112D"/>
    <w:rsid w:val="00A81372"/>
    <w:rsid w:val="00A824B4"/>
    <w:rsid w:val="00A84C8E"/>
    <w:rsid w:val="00A84D69"/>
    <w:rsid w:val="00A855A6"/>
    <w:rsid w:val="00A85A2C"/>
    <w:rsid w:val="00A85C89"/>
    <w:rsid w:val="00A85DAB"/>
    <w:rsid w:val="00A86BD9"/>
    <w:rsid w:val="00A86EB0"/>
    <w:rsid w:val="00A87C39"/>
    <w:rsid w:val="00A87F59"/>
    <w:rsid w:val="00A9046C"/>
    <w:rsid w:val="00A9084E"/>
    <w:rsid w:val="00A92957"/>
    <w:rsid w:val="00A95AE0"/>
    <w:rsid w:val="00A95BD7"/>
    <w:rsid w:val="00A961B6"/>
    <w:rsid w:val="00A96239"/>
    <w:rsid w:val="00AA1F50"/>
    <w:rsid w:val="00AA24D5"/>
    <w:rsid w:val="00AA3373"/>
    <w:rsid w:val="00AA3546"/>
    <w:rsid w:val="00AA4417"/>
    <w:rsid w:val="00AA6490"/>
    <w:rsid w:val="00AA6602"/>
    <w:rsid w:val="00AB0F9A"/>
    <w:rsid w:val="00AB1D7B"/>
    <w:rsid w:val="00AB20AA"/>
    <w:rsid w:val="00AB29A2"/>
    <w:rsid w:val="00AB2E9C"/>
    <w:rsid w:val="00AB311E"/>
    <w:rsid w:val="00AB39BC"/>
    <w:rsid w:val="00AB4083"/>
    <w:rsid w:val="00AB4AF4"/>
    <w:rsid w:val="00AB5D50"/>
    <w:rsid w:val="00AB673C"/>
    <w:rsid w:val="00AC02DD"/>
    <w:rsid w:val="00AC1040"/>
    <w:rsid w:val="00AC1A37"/>
    <w:rsid w:val="00AC2C4C"/>
    <w:rsid w:val="00AC53AE"/>
    <w:rsid w:val="00AC5DAB"/>
    <w:rsid w:val="00AD0495"/>
    <w:rsid w:val="00AD0771"/>
    <w:rsid w:val="00AD08A6"/>
    <w:rsid w:val="00AD3417"/>
    <w:rsid w:val="00AD3476"/>
    <w:rsid w:val="00AD3976"/>
    <w:rsid w:val="00AD5145"/>
    <w:rsid w:val="00AD5911"/>
    <w:rsid w:val="00AD734F"/>
    <w:rsid w:val="00AE21A6"/>
    <w:rsid w:val="00AE2783"/>
    <w:rsid w:val="00AE6C69"/>
    <w:rsid w:val="00AF09CF"/>
    <w:rsid w:val="00AF12BE"/>
    <w:rsid w:val="00AF175B"/>
    <w:rsid w:val="00AF3092"/>
    <w:rsid w:val="00AF3D43"/>
    <w:rsid w:val="00AF6546"/>
    <w:rsid w:val="00AF66B9"/>
    <w:rsid w:val="00AF709D"/>
    <w:rsid w:val="00B005B6"/>
    <w:rsid w:val="00B0090A"/>
    <w:rsid w:val="00B01AC2"/>
    <w:rsid w:val="00B02618"/>
    <w:rsid w:val="00B02B81"/>
    <w:rsid w:val="00B0605A"/>
    <w:rsid w:val="00B07AE0"/>
    <w:rsid w:val="00B103BF"/>
    <w:rsid w:val="00B10792"/>
    <w:rsid w:val="00B11EE8"/>
    <w:rsid w:val="00B11FAD"/>
    <w:rsid w:val="00B12D15"/>
    <w:rsid w:val="00B14D27"/>
    <w:rsid w:val="00B14D36"/>
    <w:rsid w:val="00B16275"/>
    <w:rsid w:val="00B163C5"/>
    <w:rsid w:val="00B168E6"/>
    <w:rsid w:val="00B17556"/>
    <w:rsid w:val="00B21330"/>
    <w:rsid w:val="00B217C5"/>
    <w:rsid w:val="00B219C7"/>
    <w:rsid w:val="00B22230"/>
    <w:rsid w:val="00B2444A"/>
    <w:rsid w:val="00B24D55"/>
    <w:rsid w:val="00B27871"/>
    <w:rsid w:val="00B27CA6"/>
    <w:rsid w:val="00B27FE1"/>
    <w:rsid w:val="00B306B7"/>
    <w:rsid w:val="00B3107D"/>
    <w:rsid w:val="00B311E9"/>
    <w:rsid w:val="00B312C7"/>
    <w:rsid w:val="00B31CC1"/>
    <w:rsid w:val="00B32B8F"/>
    <w:rsid w:val="00B33560"/>
    <w:rsid w:val="00B33BCF"/>
    <w:rsid w:val="00B345B6"/>
    <w:rsid w:val="00B34D4F"/>
    <w:rsid w:val="00B35E31"/>
    <w:rsid w:val="00B36115"/>
    <w:rsid w:val="00B36598"/>
    <w:rsid w:val="00B368C3"/>
    <w:rsid w:val="00B37171"/>
    <w:rsid w:val="00B37814"/>
    <w:rsid w:val="00B40F65"/>
    <w:rsid w:val="00B4100C"/>
    <w:rsid w:val="00B41195"/>
    <w:rsid w:val="00B42064"/>
    <w:rsid w:val="00B42A25"/>
    <w:rsid w:val="00B45F6E"/>
    <w:rsid w:val="00B4643F"/>
    <w:rsid w:val="00B46D14"/>
    <w:rsid w:val="00B47C0D"/>
    <w:rsid w:val="00B47F53"/>
    <w:rsid w:val="00B50B36"/>
    <w:rsid w:val="00B512D0"/>
    <w:rsid w:val="00B537CD"/>
    <w:rsid w:val="00B54EDF"/>
    <w:rsid w:val="00B551F9"/>
    <w:rsid w:val="00B568F1"/>
    <w:rsid w:val="00B57748"/>
    <w:rsid w:val="00B57AB1"/>
    <w:rsid w:val="00B60214"/>
    <w:rsid w:val="00B60611"/>
    <w:rsid w:val="00B636F0"/>
    <w:rsid w:val="00B648A0"/>
    <w:rsid w:val="00B64CC1"/>
    <w:rsid w:val="00B668E1"/>
    <w:rsid w:val="00B67790"/>
    <w:rsid w:val="00B70348"/>
    <w:rsid w:val="00B70F4E"/>
    <w:rsid w:val="00B71EEE"/>
    <w:rsid w:val="00B72277"/>
    <w:rsid w:val="00B7261C"/>
    <w:rsid w:val="00B72E66"/>
    <w:rsid w:val="00B73527"/>
    <w:rsid w:val="00B73E75"/>
    <w:rsid w:val="00B74CA8"/>
    <w:rsid w:val="00B7513E"/>
    <w:rsid w:val="00B75886"/>
    <w:rsid w:val="00B759EB"/>
    <w:rsid w:val="00B75C5C"/>
    <w:rsid w:val="00B75D15"/>
    <w:rsid w:val="00B76A38"/>
    <w:rsid w:val="00B77E6E"/>
    <w:rsid w:val="00B80050"/>
    <w:rsid w:val="00B804EB"/>
    <w:rsid w:val="00B8055A"/>
    <w:rsid w:val="00B83DDA"/>
    <w:rsid w:val="00B861F6"/>
    <w:rsid w:val="00B86D39"/>
    <w:rsid w:val="00B87456"/>
    <w:rsid w:val="00B87BE3"/>
    <w:rsid w:val="00B908B8"/>
    <w:rsid w:val="00B909E3"/>
    <w:rsid w:val="00B90C0F"/>
    <w:rsid w:val="00B90DE3"/>
    <w:rsid w:val="00B921BB"/>
    <w:rsid w:val="00B93571"/>
    <w:rsid w:val="00B935E8"/>
    <w:rsid w:val="00B93895"/>
    <w:rsid w:val="00B96418"/>
    <w:rsid w:val="00B966AD"/>
    <w:rsid w:val="00B96FC3"/>
    <w:rsid w:val="00BA025A"/>
    <w:rsid w:val="00BA0B58"/>
    <w:rsid w:val="00BA2500"/>
    <w:rsid w:val="00BA2ADF"/>
    <w:rsid w:val="00BA2ED4"/>
    <w:rsid w:val="00BA3133"/>
    <w:rsid w:val="00BA3247"/>
    <w:rsid w:val="00BA394E"/>
    <w:rsid w:val="00BA4BF0"/>
    <w:rsid w:val="00BA4F5A"/>
    <w:rsid w:val="00BA7BA6"/>
    <w:rsid w:val="00BB005C"/>
    <w:rsid w:val="00BB0445"/>
    <w:rsid w:val="00BB05DC"/>
    <w:rsid w:val="00BB07E3"/>
    <w:rsid w:val="00BB0B4E"/>
    <w:rsid w:val="00BB1BCA"/>
    <w:rsid w:val="00BB308F"/>
    <w:rsid w:val="00BB40A8"/>
    <w:rsid w:val="00BB5195"/>
    <w:rsid w:val="00BB5286"/>
    <w:rsid w:val="00BB59C0"/>
    <w:rsid w:val="00BB6D5E"/>
    <w:rsid w:val="00BB6EAD"/>
    <w:rsid w:val="00BB6F0B"/>
    <w:rsid w:val="00BC051C"/>
    <w:rsid w:val="00BC09CA"/>
    <w:rsid w:val="00BC0CE6"/>
    <w:rsid w:val="00BC2B00"/>
    <w:rsid w:val="00BC3CA9"/>
    <w:rsid w:val="00BC3F44"/>
    <w:rsid w:val="00BC4EBB"/>
    <w:rsid w:val="00BC5BE0"/>
    <w:rsid w:val="00BC5D06"/>
    <w:rsid w:val="00BC6B7E"/>
    <w:rsid w:val="00BD12EA"/>
    <w:rsid w:val="00BD142C"/>
    <w:rsid w:val="00BD1A7E"/>
    <w:rsid w:val="00BD21E3"/>
    <w:rsid w:val="00BD275C"/>
    <w:rsid w:val="00BD2C72"/>
    <w:rsid w:val="00BD3D19"/>
    <w:rsid w:val="00BD3E56"/>
    <w:rsid w:val="00BD4221"/>
    <w:rsid w:val="00BD45AF"/>
    <w:rsid w:val="00BD50FB"/>
    <w:rsid w:val="00BD527A"/>
    <w:rsid w:val="00BD5CC8"/>
    <w:rsid w:val="00BD5EEB"/>
    <w:rsid w:val="00BD5F9F"/>
    <w:rsid w:val="00BD68A5"/>
    <w:rsid w:val="00BD6917"/>
    <w:rsid w:val="00BD6E49"/>
    <w:rsid w:val="00BD7489"/>
    <w:rsid w:val="00BD74EC"/>
    <w:rsid w:val="00BD7AB1"/>
    <w:rsid w:val="00BD7D77"/>
    <w:rsid w:val="00BE069B"/>
    <w:rsid w:val="00BE07B2"/>
    <w:rsid w:val="00BE0B4D"/>
    <w:rsid w:val="00BE145B"/>
    <w:rsid w:val="00BE1D7D"/>
    <w:rsid w:val="00BE2922"/>
    <w:rsid w:val="00BE2956"/>
    <w:rsid w:val="00BE318B"/>
    <w:rsid w:val="00BE40D6"/>
    <w:rsid w:val="00BE4521"/>
    <w:rsid w:val="00BE470E"/>
    <w:rsid w:val="00BE7053"/>
    <w:rsid w:val="00BE70A5"/>
    <w:rsid w:val="00BE77A7"/>
    <w:rsid w:val="00BF064E"/>
    <w:rsid w:val="00BF0898"/>
    <w:rsid w:val="00BF56CF"/>
    <w:rsid w:val="00BF5876"/>
    <w:rsid w:val="00BF7ABF"/>
    <w:rsid w:val="00BF7E10"/>
    <w:rsid w:val="00C00C65"/>
    <w:rsid w:val="00C02227"/>
    <w:rsid w:val="00C0366E"/>
    <w:rsid w:val="00C03848"/>
    <w:rsid w:val="00C04940"/>
    <w:rsid w:val="00C04C34"/>
    <w:rsid w:val="00C0505E"/>
    <w:rsid w:val="00C05724"/>
    <w:rsid w:val="00C061CA"/>
    <w:rsid w:val="00C07DEC"/>
    <w:rsid w:val="00C07F6B"/>
    <w:rsid w:val="00C10D28"/>
    <w:rsid w:val="00C12C05"/>
    <w:rsid w:val="00C13350"/>
    <w:rsid w:val="00C13877"/>
    <w:rsid w:val="00C14137"/>
    <w:rsid w:val="00C151CC"/>
    <w:rsid w:val="00C15F2E"/>
    <w:rsid w:val="00C16A4F"/>
    <w:rsid w:val="00C17523"/>
    <w:rsid w:val="00C1764C"/>
    <w:rsid w:val="00C17C84"/>
    <w:rsid w:val="00C17F9A"/>
    <w:rsid w:val="00C20C72"/>
    <w:rsid w:val="00C20E0D"/>
    <w:rsid w:val="00C2124D"/>
    <w:rsid w:val="00C21AA9"/>
    <w:rsid w:val="00C2253A"/>
    <w:rsid w:val="00C23D3C"/>
    <w:rsid w:val="00C23FB6"/>
    <w:rsid w:val="00C240AB"/>
    <w:rsid w:val="00C249BB"/>
    <w:rsid w:val="00C25F02"/>
    <w:rsid w:val="00C261E0"/>
    <w:rsid w:val="00C30399"/>
    <w:rsid w:val="00C30E3F"/>
    <w:rsid w:val="00C30FD5"/>
    <w:rsid w:val="00C3131E"/>
    <w:rsid w:val="00C31E5F"/>
    <w:rsid w:val="00C3298E"/>
    <w:rsid w:val="00C342E4"/>
    <w:rsid w:val="00C35CD9"/>
    <w:rsid w:val="00C37856"/>
    <w:rsid w:val="00C40D5E"/>
    <w:rsid w:val="00C426CB"/>
    <w:rsid w:val="00C43354"/>
    <w:rsid w:val="00C4405A"/>
    <w:rsid w:val="00C44890"/>
    <w:rsid w:val="00C44912"/>
    <w:rsid w:val="00C44E47"/>
    <w:rsid w:val="00C45C1A"/>
    <w:rsid w:val="00C46220"/>
    <w:rsid w:val="00C466E9"/>
    <w:rsid w:val="00C47826"/>
    <w:rsid w:val="00C47A89"/>
    <w:rsid w:val="00C50368"/>
    <w:rsid w:val="00C50605"/>
    <w:rsid w:val="00C51AB6"/>
    <w:rsid w:val="00C51B45"/>
    <w:rsid w:val="00C52551"/>
    <w:rsid w:val="00C531FB"/>
    <w:rsid w:val="00C54A27"/>
    <w:rsid w:val="00C559AE"/>
    <w:rsid w:val="00C60216"/>
    <w:rsid w:val="00C602C6"/>
    <w:rsid w:val="00C60558"/>
    <w:rsid w:val="00C633C5"/>
    <w:rsid w:val="00C633CA"/>
    <w:rsid w:val="00C6453D"/>
    <w:rsid w:val="00C64675"/>
    <w:rsid w:val="00C64AB8"/>
    <w:rsid w:val="00C71004"/>
    <w:rsid w:val="00C715AD"/>
    <w:rsid w:val="00C71B42"/>
    <w:rsid w:val="00C71E5C"/>
    <w:rsid w:val="00C7276C"/>
    <w:rsid w:val="00C74AA7"/>
    <w:rsid w:val="00C75817"/>
    <w:rsid w:val="00C75E4E"/>
    <w:rsid w:val="00C764BB"/>
    <w:rsid w:val="00C77085"/>
    <w:rsid w:val="00C8066F"/>
    <w:rsid w:val="00C809F9"/>
    <w:rsid w:val="00C80D0B"/>
    <w:rsid w:val="00C81B23"/>
    <w:rsid w:val="00C8231F"/>
    <w:rsid w:val="00C82446"/>
    <w:rsid w:val="00C8297A"/>
    <w:rsid w:val="00C83356"/>
    <w:rsid w:val="00C853A3"/>
    <w:rsid w:val="00C863A5"/>
    <w:rsid w:val="00C86667"/>
    <w:rsid w:val="00C87A9F"/>
    <w:rsid w:val="00C92A3B"/>
    <w:rsid w:val="00C92EBC"/>
    <w:rsid w:val="00C94584"/>
    <w:rsid w:val="00C94FC6"/>
    <w:rsid w:val="00C9543F"/>
    <w:rsid w:val="00C95DD4"/>
    <w:rsid w:val="00C9641E"/>
    <w:rsid w:val="00C96CA0"/>
    <w:rsid w:val="00C9792D"/>
    <w:rsid w:val="00C97E32"/>
    <w:rsid w:val="00CA098D"/>
    <w:rsid w:val="00CA0EA4"/>
    <w:rsid w:val="00CA1596"/>
    <w:rsid w:val="00CA19BF"/>
    <w:rsid w:val="00CA211C"/>
    <w:rsid w:val="00CA2256"/>
    <w:rsid w:val="00CA43D7"/>
    <w:rsid w:val="00CA77EA"/>
    <w:rsid w:val="00CB02F4"/>
    <w:rsid w:val="00CB24A3"/>
    <w:rsid w:val="00CB277A"/>
    <w:rsid w:val="00CB27C7"/>
    <w:rsid w:val="00CB2828"/>
    <w:rsid w:val="00CB36BC"/>
    <w:rsid w:val="00CB3AA0"/>
    <w:rsid w:val="00CB5904"/>
    <w:rsid w:val="00CB6185"/>
    <w:rsid w:val="00CB64B7"/>
    <w:rsid w:val="00CB72AD"/>
    <w:rsid w:val="00CC01CC"/>
    <w:rsid w:val="00CC045D"/>
    <w:rsid w:val="00CC0D21"/>
    <w:rsid w:val="00CC15C9"/>
    <w:rsid w:val="00CC4073"/>
    <w:rsid w:val="00CC43A8"/>
    <w:rsid w:val="00CC44E4"/>
    <w:rsid w:val="00CC5489"/>
    <w:rsid w:val="00CC5C7F"/>
    <w:rsid w:val="00CC5EB3"/>
    <w:rsid w:val="00CC6BA9"/>
    <w:rsid w:val="00CC6FD6"/>
    <w:rsid w:val="00CC7334"/>
    <w:rsid w:val="00CC743B"/>
    <w:rsid w:val="00CC7E05"/>
    <w:rsid w:val="00CD11F0"/>
    <w:rsid w:val="00CD2C5C"/>
    <w:rsid w:val="00CD3F0A"/>
    <w:rsid w:val="00CD484C"/>
    <w:rsid w:val="00CD50EA"/>
    <w:rsid w:val="00CD66CA"/>
    <w:rsid w:val="00CD6862"/>
    <w:rsid w:val="00CD6EC6"/>
    <w:rsid w:val="00CD79C4"/>
    <w:rsid w:val="00CD7C4D"/>
    <w:rsid w:val="00CE068C"/>
    <w:rsid w:val="00CE2886"/>
    <w:rsid w:val="00CE311A"/>
    <w:rsid w:val="00CE34A2"/>
    <w:rsid w:val="00CE3769"/>
    <w:rsid w:val="00CE3862"/>
    <w:rsid w:val="00CE3D95"/>
    <w:rsid w:val="00CE62E0"/>
    <w:rsid w:val="00CF0060"/>
    <w:rsid w:val="00CF040B"/>
    <w:rsid w:val="00CF06D5"/>
    <w:rsid w:val="00CF1114"/>
    <w:rsid w:val="00CF29A0"/>
    <w:rsid w:val="00CF2C74"/>
    <w:rsid w:val="00CF3BA0"/>
    <w:rsid w:val="00CF4AC4"/>
    <w:rsid w:val="00CF5DC4"/>
    <w:rsid w:val="00CF6027"/>
    <w:rsid w:val="00CF616B"/>
    <w:rsid w:val="00CF61A0"/>
    <w:rsid w:val="00CF62CF"/>
    <w:rsid w:val="00D00934"/>
    <w:rsid w:val="00D02D0C"/>
    <w:rsid w:val="00D05443"/>
    <w:rsid w:val="00D060A0"/>
    <w:rsid w:val="00D110B2"/>
    <w:rsid w:val="00D12565"/>
    <w:rsid w:val="00D129D9"/>
    <w:rsid w:val="00D15076"/>
    <w:rsid w:val="00D171FA"/>
    <w:rsid w:val="00D2043C"/>
    <w:rsid w:val="00D22AE6"/>
    <w:rsid w:val="00D23533"/>
    <w:rsid w:val="00D260C5"/>
    <w:rsid w:val="00D26CB0"/>
    <w:rsid w:val="00D2793E"/>
    <w:rsid w:val="00D306F4"/>
    <w:rsid w:val="00D31252"/>
    <w:rsid w:val="00D312CC"/>
    <w:rsid w:val="00D31B75"/>
    <w:rsid w:val="00D325E9"/>
    <w:rsid w:val="00D33216"/>
    <w:rsid w:val="00D3353D"/>
    <w:rsid w:val="00D34F43"/>
    <w:rsid w:val="00D3563A"/>
    <w:rsid w:val="00D36031"/>
    <w:rsid w:val="00D3648A"/>
    <w:rsid w:val="00D3721F"/>
    <w:rsid w:val="00D40955"/>
    <w:rsid w:val="00D40C2D"/>
    <w:rsid w:val="00D418D6"/>
    <w:rsid w:val="00D42605"/>
    <w:rsid w:val="00D43379"/>
    <w:rsid w:val="00D4505C"/>
    <w:rsid w:val="00D47568"/>
    <w:rsid w:val="00D5002D"/>
    <w:rsid w:val="00D50941"/>
    <w:rsid w:val="00D50F7F"/>
    <w:rsid w:val="00D52047"/>
    <w:rsid w:val="00D52069"/>
    <w:rsid w:val="00D5396A"/>
    <w:rsid w:val="00D54782"/>
    <w:rsid w:val="00D554AF"/>
    <w:rsid w:val="00D56CFA"/>
    <w:rsid w:val="00D56EF0"/>
    <w:rsid w:val="00D57348"/>
    <w:rsid w:val="00D5787B"/>
    <w:rsid w:val="00D57DD8"/>
    <w:rsid w:val="00D6067D"/>
    <w:rsid w:val="00D614D2"/>
    <w:rsid w:val="00D6235C"/>
    <w:rsid w:val="00D624F8"/>
    <w:rsid w:val="00D62573"/>
    <w:rsid w:val="00D64DD7"/>
    <w:rsid w:val="00D6659D"/>
    <w:rsid w:val="00D66763"/>
    <w:rsid w:val="00D66AE3"/>
    <w:rsid w:val="00D676BA"/>
    <w:rsid w:val="00D7056F"/>
    <w:rsid w:val="00D707B9"/>
    <w:rsid w:val="00D70884"/>
    <w:rsid w:val="00D70967"/>
    <w:rsid w:val="00D73D12"/>
    <w:rsid w:val="00D73DFC"/>
    <w:rsid w:val="00D742B5"/>
    <w:rsid w:val="00D757BF"/>
    <w:rsid w:val="00D7623A"/>
    <w:rsid w:val="00D7652A"/>
    <w:rsid w:val="00D769F2"/>
    <w:rsid w:val="00D7754F"/>
    <w:rsid w:val="00D77C83"/>
    <w:rsid w:val="00D815F0"/>
    <w:rsid w:val="00D82844"/>
    <w:rsid w:val="00D82F29"/>
    <w:rsid w:val="00D83EF4"/>
    <w:rsid w:val="00D84897"/>
    <w:rsid w:val="00D848D3"/>
    <w:rsid w:val="00D8633C"/>
    <w:rsid w:val="00D86514"/>
    <w:rsid w:val="00D9063C"/>
    <w:rsid w:val="00D93936"/>
    <w:rsid w:val="00D940BF"/>
    <w:rsid w:val="00D95129"/>
    <w:rsid w:val="00D95188"/>
    <w:rsid w:val="00D96367"/>
    <w:rsid w:val="00D9747A"/>
    <w:rsid w:val="00D975B1"/>
    <w:rsid w:val="00D97EF4"/>
    <w:rsid w:val="00DA0DD1"/>
    <w:rsid w:val="00DA1B82"/>
    <w:rsid w:val="00DA1CEA"/>
    <w:rsid w:val="00DA2349"/>
    <w:rsid w:val="00DA2B2F"/>
    <w:rsid w:val="00DA3889"/>
    <w:rsid w:val="00DA39A5"/>
    <w:rsid w:val="00DA789B"/>
    <w:rsid w:val="00DB1071"/>
    <w:rsid w:val="00DB2233"/>
    <w:rsid w:val="00DB3549"/>
    <w:rsid w:val="00DB3B1D"/>
    <w:rsid w:val="00DB3F1A"/>
    <w:rsid w:val="00DB4822"/>
    <w:rsid w:val="00DB4A9B"/>
    <w:rsid w:val="00DB4AB6"/>
    <w:rsid w:val="00DB52FF"/>
    <w:rsid w:val="00DB57CF"/>
    <w:rsid w:val="00DB5919"/>
    <w:rsid w:val="00DB6542"/>
    <w:rsid w:val="00DB761C"/>
    <w:rsid w:val="00DB7DA5"/>
    <w:rsid w:val="00DC1E69"/>
    <w:rsid w:val="00DC2305"/>
    <w:rsid w:val="00DC38EE"/>
    <w:rsid w:val="00DC3E3D"/>
    <w:rsid w:val="00DC416D"/>
    <w:rsid w:val="00DC4494"/>
    <w:rsid w:val="00DC48DF"/>
    <w:rsid w:val="00DC4A1B"/>
    <w:rsid w:val="00DC5EEF"/>
    <w:rsid w:val="00DD0D1A"/>
    <w:rsid w:val="00DD0DB2"/>
    <w:rsid w:val="00DD2044"/>
    <w:rsid w:val="00DD2A57"/>
    <w:rsid w:val="00DD2DE8"/>
    <w:rsid w:val="00DD324A"/>
    <w:rsid w:val="00DD3361"/>
    <w:rsid w:val="00DD514E"/>
    <w:rsid w:val="00DD57BA"/>
    <w:rsid w:val="00DE2986"/>
    <w:rsid w:val="00DE29C3"/>
    <w:rsid w:val="00DE34DA"/>
    <w:rsid w:val="00DE4377"/>
    <w:rsid w:val="00DE563C"/>
    <w:rsid w:val="00DF0BCB"/>
    <w:rsid w:val="00DF0F6A"/>
    <w:rsid w:val="00DF131F"/>
    <w:rsid w:val="00DF187D"/>
    <w:rsid w:val="00DF21D3"/>
    <w:rsid w:val="00DF2C1A"/>
    <w:rsid w:val="00DF4731"/>
    <w:rsid w:val="00DF4B32"/>
    <w:rsid w:val="00DF52DE"/>
    <w:rsid w:val="00DF5658"/>
    <w:rsid w:val="00DF5FAE"/>
    <w:rsid w:val="00E01996"/>
    <w:rsid w:val="00E01E9C"/>
    <w:rsid w:val="00E0210B"/>
    <w:rsid w:val="00E02208"/>
    <w:rsid w:val="00E0230B"/>
    <w:rsid w:val="00E0244F"/>
    <w:rsid w:val="00E03481"/>
    <w:rsid w:val="00E03A59"/>
    <w:rsid w:val="00E041E0"/>
    <w:rsid w:val="00E06416"/>
    <w:rsid w:val="00E12F6A"/>
    <w:rsid w:val="00E130D8"/>
    <w:rsid w:val="00E14B07"/>
    <w:rsid w:val="00E1511F"/>
    <w:rsid w:val="00E153F4"/>
    <w:rsid w:val="00E16EEC"/>
    <w:rsid w:val="00E209DB"/>
    <w:rsid w:val="00E20AFC"/>
    <w:rsid w:val="00E2120A"/>
    <w:rsid w:val="00E21C09"/>
    <w:rsid w:val="00E21E50"/>
    <w:rsid w:val="00E22DDC"/>
    <w:rsid w:val="00E2353B"/>
    <w:rsid w:val="00E24082"/>
    <w:rsid w:val="00E2426F"/>
    <w:rsid w:val="00E268AD"/>
    <w:rsid w:val="00E278BD"/>
    <w:rsid w:val="00E306EB"/>
    <w:rsid w:val="00E308DA"/>
    <w:rsid w:val="00E31443"/>
    <w:rsid w:val="00E336D2"/>
    <w:rsid w:val="00E34811"/>
    <w:rsid w:val="00E34D04"/>
    <w:rsid w:val="00E35D2F"/>
    <w:rsid w:val="00E3602F"/>
    <w:rsid w:val="00E36866"/>
    <w:rsid w:val="00E40C65"/>
    <w:rsid w:val="00E4144D"/>
    <w:rsid w:val="00E445DE"/>
    <w:rsid w:val="00E4536F"/>
    <w:rsid w:val="00E45FD7"/>
    <w:rsid w:val="00E460ED"/>
    <w:rsid w:val="00E462F0"/>
    <w:rsid w:val="00E46BB5"/>
    <w:rsid w:val="00E470E5"/>
    <w:rsid w:val="00E47E3E"/>
    <w:rsid w:val="00E51452"/>
    <w:rsid w:val="00E52306"/>
    <w:rsid w:val="00E52C73"/>
    <w:rsid w:val="00E53A75"/>
    <w:rsid w:val="00E54105"/>
    <w:rsid w:val="00E544C5"/>
    <w:rsid w:val="00E55541"/>
    <w:rsid w:val="00E561A9"/>
    <w:rsid w:val="00E56567"/>
    <w:rsid w:val="00E5667C"/>
    <w:rsid w:val="00E57621"/>
    <w:rsid w:val="00E5779C"/>
    <w:rsid w:val="00E631E9"/>
    <w:rsid w:val="00E63502"/>
    <w:rsid w:val="00E6355E"/>
    <w:rsid w:val="00E6358D"/>
    <w:rsid w:val="00E63612"/>
    <w:rsid w:val="00E6380D"/>
    <w:rsid w:val="00E63E54"/>
    <w:rsid w:val="00E63F2F"/>
    <w:rsid w:val="00E63FAB"/>
    <w:rsid w:val="00E646CE"/>
    <w:rsid w:val="00E65FEC"/>
    <w:rsid w:val="00E67408"/>
    <w:rsid w:val="00E675C0"/>
    <w:rsid w:val="00E67B25"/>
    <w:rsid w:val="00E71805"/>
    <w:rsid w:val="00E723D1"/>
    <w:rsid w:val="00E7253C"/>
    <w:rsid w:val="00E727FE"/>
    <w:rsid w:val="00E742AE"/>
    <w:rsid w:val="00E7593D"/>
    <w:rsid w:val="00E7690E"/>
    <w:rsid w:val="00E76992"/>
    <w:rsid w:val="00E7763D"/>
    <w:rsid w:val="00E8024C"/>
    <w:rsid w:val="00E81087"/>
    <w:rsid w:val="00E811A6"/>
    <w:rsid w:val="00E823CD"/>
    <w:rsid w:val="00E834C5"/>
    <w:rsid w:val="00E83992"/>
    <w:rsid w:val="00E85E78"/>
    <w:rsid w:val="00E85E9C"/>
    <w:rsid w:val="00E85EE5"/>
    <w:rsid w:val="00E864BD"/>
    <w:rsid w:val="00E87235"/>
    <w:rsid w:val="00E87AAF"/>
    <w:rsid w:val="00E9001B"/>
    <w:rsid w:val="00E9023F"/>
    <w:rsid w:val="00E91029"/>
    <w:rsid w:val="00E922DF"/>
    <w:rsid w:val="00E9236A"/>
    <w:rsid w:val="00E92C01"/>
    <w:rsid w:val="00E9547B"/>
    <w:rsid w:val="00E96000"/>
    <w:rsid w:val="00E979F7"/>
    <w:rsid w:val="00EA0740"/>
    <w:rsid w:val="00EA11EB"/>
    <w:rsid w:val="00EA1520"/>
    <w:rsid w:val="00EA2AA3"/>
    <w:rsid w:val="00EA3115"/>
    <w:rsid w:val="00EA6F46"/>
    <w:rsid w:val="00EA71C2"/>
    <w:rsid w:val="00EA7361"/>
    <w:rsid w:val="00EA79DE"/>
    <w:rsid w:val="00EA7A4D"/>
    <w:rsid w:val="00EB1AB6"/>
    <w:rsid w:val="00EB218C"/>
    <w:rsid w:val="00EB3372"/>
    <w:rsid w:val="00EB393C"/>
    <w:rsid w:val="00EB39F9"/>
    <w:rsid w:val="00EB47DD"/>
    <w:rsid w:val="00EB49F7"/>
    <w:rsid w:val="00EB6034"/>
    <w:rsid w:val="00EC0718"/>
    <w:rsid w:val="00EC0818"/>
    <w:rsid w:val="00EC08A0"/>
    <w:rsid w:val="00EC0942"/>
    <w:rsid w:val="00EC0C18"/>
    <w:rsid w:val="00EC0DDB"/>
    <w:rsid w:val="00EC0F07"/>
    <w:rsid w:val="00EC43E1"/>
    <w:rsid w:val="00EC442D"/>
    <w:rsid w:val="00EC66B0"/>
    <w:rsid w:val="00EC7667"/>
    <w:rsid w:val="00EC7F27"/>
    <w:rsid w:val="00ED0806"/>
    <w:rsid w:val="00ED0F8F"/>
    <w:rsid w:val="00ED1389"/>
    <w:rsid w:val="00ED2171"/>
    <w:rsid w:val="00ED2294"/>
    <w:rsid w:val="00ED38DC"/>
    <w:rsid w:val="00ED3942"/>
    <w:rsid w:val="00ED5650"/>
    <w:rsid w:val="00ED6804"/>
    <w:rsid w:val="00ED6DAF"/>
    <w:rsid w:val="00ED75D7"/>
    <w:rsid w:val="00ED76CE"/>
    <w:rsid w:val="00ED7D0E"/>
    <w:rsid w:val="00EE01EE"/>
    <w:rsid w:val="00EE104F"/>
    <w:rsid w:val="00EE2607"/>
    <w:rsid w:val="00EE2830"/>
    <w:rsid w:val="00EE2B30"/>
    <w:rsid w:val="00EE2C0C"/>
    <w:rsid w:val="00EE3051"/>
    <w:rsid w:val="00EE43CE"/>
    <w:rsid w:val="00EE47C9"/>
    <w:rsid w:val="00EE4D2C"/>
    <w:rsid w:val="00EE5577"/>
    <w:rsid w:val="00EE631F"/>
    <w:rsid w:val="00EE675E"/>
    <w:rsid w:val="00EF016E"/>
    <w:rsid w:val="00EF0994"/>
    <w:rsid w:val="00EF106A"/>
    <w:rsid w:val="00EF38A4"/>
    <w:rsid w:val="00EF4D17"/>
    <w:rsid w:val="00EF5CD7"/>
    <w:rsid w:val="00EF68C7"/>
    <w:rsid w:val="00EF6991"/>
    <w:rsid w:val="00EF6CCC"/>
    <w:rsid w:val="00EF6F31"/>
    <w:rsid w:val="00EF73A3"/>
    <w:rsid w:val="00F004A0"/>
    <w:rsid w:val="00F006D1"/>
    <w:rsid w:val="00F01C78"/>
    <w:rsid w:val="00F02405"/>
    <w:rsid w:val="00F02986"/>
    <w:rsid w:val="00F033DB"/>
    <w:rsid w:val="00F03AF2"/>
    <w:rsid w:val="00F06087"/>
    <w:rsid w:val="00F1027B"/>
    <w:rsid w:val="00F11836"/>
    <w:rsid w:val="00F12E70"/>
    <w:rsid w:val="00F130B8"/>
    <w:rsid w:val="00F131F1"/>
    <w:rsid w:val="00F13D4C"/>
    <w:rsid w:val="00F14661"/>
    <w:rsid w:val="00F154AA"/>
    <w:rsid w:val="00F159B2"/>
    <w:rsid w:val="00F162A8"/>
    <w:rsid w:val="00F17EFF"/>
    <w:rsid w:val="00F20813"/>
    <w:rsid w:val="00F21CD3"/>
    <w:rsid w:val="00F2283B"/>
    <w:rsid w:val="00F23458"/>
    <w:rsid w:val="00F25332"/>
    <w:rsid w:val="00F255CC"/>
    <w:rsid w:val="00F26048"/>
    <w:rsid w:val="00F26AE1"/>
    <w:rsid w:val="00F301E6"/>
    <w:rsid w:val="00F32988"/>
    <w:rsid w:val="00F33393"/>
    <w:rsid w:val="00F333BA"/>
    <w:rsid w:val="00F33DEF"/>
    <w:rsid w:val="00F3661F"/>
    <w:rsid w:val="00F36BA9"/>
    <w:rsid w:val="00F377B8"/>
    <w:rsid w:val="00F37831"/>
    <w:rsid w:val="00F402B2"/>
    <w:rsid w:val="00F40D30"/>
    <w:rsid w:val="00F41C25"/>
    <w:rsid w:val="00F431F3"/>
    <w:rsid w:val="00F4410F"/>
    <w:rsid w:val="00F4441B"/>
    <w:rsid w:val="00F46018"/>
    <w:rsid w:val="00F464A6"/>
    <w:rsid w:val="00F46B6D"/>
    <w:rsid w:val="00F47063"/>
    <w:rsid w:val="00F47376"/>
    <w:rsid w:val="00F47DD5"/>
    <w:rsid w:val="00F50489"/>
    <w:rsid w:val="00F50AA9"/>
    <w:rsid w:val="00F50F23"/>
    <w:rsid w:val="00F50FBB"/>
    <w:rsid w:val="00F5171E"/>
    <w:rsid w:val="00F517C8"/>
    <w:rsid w:val="00F52CE6"/>
    <w:rsid w:val="00F5307F"/>
    <w:rsid w:val="00F54024"/>
    <w:rsid w:val="00F55A79"/>
    <w:rsid w:val="00F55C9E"/>
    <w:rsid w:val="00F561B0"/>
    <w:rsid w:val="00F56A08"/>
    <w:rsid w:val="00F57E1D"/>
    <w:rsid w:val="00F60EB5"/>
    <w:rsid w:val="00F60F12"/>
    <w:rsid w:val="00F6157C"/>
    <w:rsid w:val="00F62977"/>
    <w:rsid w:val="00F62E14"/>
    <w:rsid w:val="00F62ED5"/>
    <w:rsid w:val="00F639CE"/>
    <w:rsid w:val="00F64146"/>
    <w:rsid w:val="00F64E24"/>
    <w:rsid w:val="00F64EE3"/>
    <w:rsid w:val="00F652FE"/>
    <w:rsid w:val="00F66676"/>
    <w:rsid w:val="00F700F4"/>
    <w:rsid w:val="00F70324"/>
    <w:rsid w:val="00F705FB"/>
    <w:rsid w:val="00F71904"/>
    <w:rsid w:val="00F71DFB"/>
    <w:rsid w:val="00F71E43"/>
    <w:rsid w:val="00F726BB"/>
    <w:rsid w:val="00F72C08"/>
    <w:rsid w:val="00F73068"/>
    <w:rsid w:val="00F75723"/>
    <w:rsid w:val="00F75F06"/>
    <w:rsid w:val="00F774AD"/>
    <w:rsid w:val="00F777EE"/>
    <w:rsid w:val="00F8148E"/>
    <w:rsid w:val="00F81553"/>
    <w:rsid w:val="00F82BBF"/>
    <w:rsid w:val="00F836DC"/>
    <w:rsid w:val="00F844A0"/>
    <w:rsid w:val="00F84747"/>
    <w:rsid w:val="00F8491E"/>
    <w:rsid w:val="00F84EBB"/>
    <w:rsid w:val="00F85764"/>
    <w:rsid w:val="00F85CBB"/>
    <w:rsid w:val="00F867FC"/>
    <w:rsid w:val="00F87AB3"/>
    <w:rsid w:val="00F87E8E"/>
    <w:rsid w:val="00F91FB0"/>
    <w:rsid w:val="00F923A5"/>
    <w:rsid w:val="00F93C79"/>
    <w:rsid w:val="00F943B2"/>
    <w:rsid w:val="00F946A9"/>
    <w:rsid w:val="00F953AC"/>
    <w:rsid w:val="00F959C7"/>
    <w:rsid w:val="00F95FD7"/>
    <w:rsid w:val="00F96BE2"/>
    <w:rsid w:val="00F96DDE"/>
    <w:rsid w:val="00F97153"/>
    <w:rsid w:val="00F9742E"/>
    <w:rsid w:val="00FA03FE"/>
    <w:rsid w:val="00FA1F7E"/>
    <w:rsid w:val="00FA256C"/>
    <w:rsid w:val="00FA3815"/>
    <w:rsid w:val="00FA3C9C"/>
    <w:rsid w:val="00FA6020"/>
    <w:rsid w:val="00FA612D"/>
    <w:rsid w:val="00FA68C2"/>
    <w:rsid w:val="00FA68E8"/>
    <w:rsid w:val="00FA6ECC"/>
    <w:rsid w:val="00FA7E39"/>
    <w:rsid w:val="00FB2051"/>
    <w:rsid w:val="00FB27C3"/>
    <w:rsid w:val="00FB284B"/>
    <w:rsid w:val="00FB2867"/>
    <w:rsid w:val="00FB46A7"/>
    <w:rsid w:val="00FB4B11"/>
    <w:rsid w:val="00FB5A91"/>
    <w:rsid w:val="00FB6E71"/>
    <w:rsid w:val="00FB6E8D"/>
    <w:rsid w:val="00FB72E6"/>
    <w:rsid w:val="00FB76FD"/>
    <w:rsid w:val="00FC1879"/>
    <w:rsid w:val="00FC3CCC"/>
    <w:rsid w:val="00FC59BC"/>
    <w:rsid w:val="00FC5CFE"/>
    <w:rsid w:val="00FC5FF8"/>
    <w:rsid w:val="00FC62A3"/>
    <w:rsid w:val="00FC69D5"/>
    <w:rsid w:val="00FD0501"/>
    <w:rsid w:val="00FD0EE1"/>
    <w:rsid w:val="00FD1044"/>
    <w:rsid w:val="00FD190D"/>
    <w:rsid w:val="00FD4208"/>
    <w:rsid w:val="00FD741E"/>
    <w:rsid w:val="00FD7F1E"/>
    <w:rsid w:val="00FE0F8D"/>
    <w:rsid w:val="00FE1536"/>
    <w:rsid w:val="00FE2382"/>
    <w:rsid w:val="00FE29DC"/>
    <w:rsid w:val="00FE2E17"/>
    <w:rsid w:val="00FE3E7E"/>
    <w:rsid w:val="00FE5106"/>
    <w:rsid w:val="00FE587A"/>
    <w:rsid w:val="00FE5D3A"/>
    <w:rsid w:val="00FE6858"/>
    <w:rsid w:val="00FE6E28"/>
    <w:rsid w:val="00FE7980"/>
    <w:rsid w:val="00FF080E"/>
    <w:rsid w:val="00FF125E"/>
    <w:rsid w:val="00FF1436"/>
    <w:rsid w:val="00FF2ABC"/>
    <w:rsid w:val="00FF5171"/>
    <w:rsid w:val="00FF57E2"/>
    <w:rsid w:val="00FF6691"/>
    <w:rsid w:val="00FF6728"/>
    <w:rsid w:val="00FF6B6B"/>
    <w:rsid w:val="00FF7356"/>
    <w:rsid w:val="00FF757F"/>
    <w:rsid w:val="00FF7703"/>
    <w:rsid w:val="00FF78D9"/>
    <w:rsid w:val="00FF7D13"/>
    <w:rsid w:val="00FF7E6B"/>
    <w:rsid w:val="023D4326"/>
    <w:rsid w:val="04A2D39D"/>
    <w:rsid w:val="0D353577"/>
    <w:rsid w:val="0E388B1A"/>
    <w:rsid w:val="18EA121D"/>
    <w:rsid w:val="1ACBD1D2"/>
    <w:rsid w:val="1BEB6044"/>
    <w:rsid w:val="29DAD07D"/>
    <w:rsid w:val="2F76101F"/>
    <w:rsid w:val="3134600D"/>
    <w:rsid w:val="4203F3B2"/>
    <w:rsid w:val="4292D8C3"/>
    <w:rsid w:val="4439011F"/>
    <w:rsid w:val="4802C35B"/>
    <w:rsid w:val="4E7C6B93"/>
    <w:rsid w:val="5C990295"/>
    <w:rsid w:val="5D4B8F4C"/>
    <w:rsid w:val="6016FD19"/>
    <w:rsid w:val="63F8525A"/>
    <w:rsid w:val="689FB946"/>
    <w:rsid w:val="6A3B62FE"/>
    <w:rsid w:val="6BB2DFDB"/>
    <w:rsid w:val="712E3AAC"/>
    <w:rsid w:val="79CAB406"/>
    <w:rsid w:val="7D842421"/>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2996028F"/>
  <w15:docId w15:val="{B0F25B92-0DE4-4A6D-BACF-25067B1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B8"/>
    <w:pPr>
      <w:spacing w:line="240" w:lineRule="auto"/>
      <w:jc w:val="both"/>
    </w:pPr>
    <w:rPr>
      <w:rFonts w:ascii="EC Square Sans Pro" w:hAnsi="EC Square Sans Pro" w:cs="Times New Roman"/>
      <w:szCs w:val="24"/>
    </w:rPr>
  </w:style>
  <w:style w:type="paragraph" w:styleId="Heading1">
    <w:name w:val="heading 1"/>
    <w:basedOn w:val="Normal"/>
    <w:next w:val="Normal"/>
    <w:link w:val="Heading1Char"/>
    <w:uiPriority w:val="9"/>
    <w:qFormat/>
    <w:rsid w:val="00BE145B"/>
    <w:pPr>
      <w:keepNext/>
      <w:keepLines/>
      <w:numPr>
        <w:numId w:val="1"/>
      </w:numPr>
      <w:spacing w:before="360" w:after="240"/>
      <w:ind w:left="340" w:hanging="340"/>
      <w:outlineLvl w:val="0"/>
    </w:pPr>
    <w:rPr>
      <w:rFonts w:eastAsiaTheme="majorEastAsia" w:cstheme="majorBidi"/>
      <w:b/>
      <w:color w:val="034EA2" w:themeColor="accent1"/>
      <w:sz w:val="32"/>
      <w:szCs w:val="32"/>
    </w:rPr>
  </w:style>
  <w:style w:type="paragraph" w:styleId="Heading2">
    <w:name w:val="heading 2"/>
    <w:basedOn w:val="Normal"/>
    <w:next w:val="Normal"/>
    <w:link w:val="Heading2Char"/>
    <w:uiPriority w:val="9"/>
    <w:unhideWhenUsed/>
    <w:qFormat/>
    <w:rsid w:val="002703F1"/>
    <w:pPr>
      <w:keepNext/>
      <w:keepLines/>
      <w:spacing w:before="240"/>
      <w:outlineLvl w:val="1"/>
    </w:pPr>
    <w:rPr>
      <w:rFonts w:eastAsiaTheme="majorEastAsia" w:cstheme="majorBidi"/>
      <w:caps/>
      <w:color w:val="70AD47" w:themeColor="accent2"/>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5B"/>
    <w:rPr>
      <w:rFonts w:ascii="EC Square Sans Pro" w:eastAsiaTheme="majorEastAsia" w:hAnsi="EC Square Sans Pro" w:cstheme="majorBidi"/>
      <w:b/>
      <w:color w:val="034EA2" w:themeColor="accent1"/>
      <w:sz w:val="32"/>
      <w:szCs w:val="32"/>
      <w:lang w:val="da-DK"/>
    </w:rPr>
  </w:style>
  <w:style w:type="paragraph" w:styleId="Header">
    <w:name w:val="header"/>
    <w:basedOn w:val="Normal"/>
    <w:link w:val="HeaderChar"/>
    <w:uiPriority w:val="99"/>
    <w:unhideWhenUsed/>
    <w:rsid w:val="008B6253"/>
    <w:pPr>
      <w:tabs>
        <w:tab w:val="center" w:pos="4513"/>
        <w:tab w:val="right" w:pos="9026"/>
      </w:tabs>
      <w:spacing w:after="0"/>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da-DK"/>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da-DK"/>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da-DK"/>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da-DK"/>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da-DK"/>
    </w:rPr>
  </w:style>
  <w:style w:type="paragraph" w:styleId="NormalWeb">
    <w:name w:val="Normal (Web)"/>
    <w:basedOn w:val="Normal"/>
    <w:uiPriority w:val="99"/>
    <w:unhideWhenUsed/>
    <w:rsid w:val="008B6253"/>
    <w:pPr>
      <w:spacing w:before="100" w:beforeAutospacing="1" w:after="100" w:afterAutospacing="1"/>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8B6253"/>
    <w:pPr>
      <w:spacing w:line="259" w:lineRule="auto"/>
      <w:ind w:left="720"/>
      <w:contextualSpacing/>
    </w:pPr>
    <w:rPr>
      <w:rFonts w:asciiTheme="minorHAnsi" w:hAnsiTheme="minorHAnsi" w:cstheme="minorBidi"/>
      <w:szCs w:val="22"/>
    </w:rPr>
  </w:style>
  <w:style w:type="character" w:styleId="IntenseReference">
    <w:name w:val="Intense Reference"/>
    <w:basedOn w:val="DefaultParagraphFont"/>
    <w:uiPriority w:val="32"/>
    <w:qFormat/>
    <w:rsid w:val="008B6253"/>
    <w:rPr>
      <w:b/>
      <w:bCs/>
      <w:smallCaps/>
      <w:color w:val="034EA2"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7B6FC" w:themeColor="accent1" w:themeTint="66"/>
        <w:left w:val="single" w:sz="4" w:space="0" w:color="77B6FC" w:themeColor="accent1" w:themeTint="66"/>
        <w:bottom w:val="single" w:sz="4" w:space="0" w:color="77B6FC" w:themeColor="accent1" w:themeTint="66"/>
        <w:right w:val="single" w:sz="4" w:space="0" w:color="77B6FC" w:themeColor="accent1" w:themeTint="66"/>
        <w:insideH w:val="single" w:sz="4" w:space="0" w:color="77B6FC" w:themeColor="accent1" w:themeTint="66"/>
        <w:insideV w:val="single" w:sz="4" w:space="0" w:color="77B6FC" w:themeColor="accent1" w:themeTint="66"/>
      </w:tblBorders>
    </w:tblPr>
    <w:tblStylePr w:type="firstRow">
      <w:rPr>
        <w:b/>
        <w:bCs/>
      </w:rPr>
      <w:tblPr/>
      <w:tcPr>
        <w:tcBorders>
          <w:bottom w:val="single" w:sz="12" w:space="0" w:color="3391FB" w:themeColor="accent1" w:themeTint="99"/>
        </w:tcBorders>
      </w:tcPr>
    </w:tblStylePr>
    <w:tblStylePr w:type="lastRow">
      <w:rPr>
        <w:b/>
        <w:bCs/>
      </w:rPr>
      <w:tblPr/>
      <w:tcPr>
        <w:tcBorders>
          <w:top w:val="double" w:sz="2" w:space="0" w:color="3391F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8B6253"/>
    <w:rPr>
      <w:lang w:val="da-DK"/>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da-DK"/>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da-DK"/>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da-DK"/>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da-DK"/>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da-DK"/>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da-DK"/>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2703F1"/>
    <w:rPr>
      <w:rFonts w:ascii="EC Square Sans Pro" w:eastAsiaTheme="majorEastAsia" w:hAnsi="EC Square Sans Pro" w:cstheme="majorBidi"/>
      <w:caps/>
      <w:color w:val="70AD47" w:themeColor="accent2"/>
      <w:sz w:val="24"/>
      <w:szCs w:val="26"/>
      <w:lang w:val="da-DK"/>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PlainText">
    <w:name w:val="Plain Text"/>
    <w:basedOn w:val="Normal"/>
    <w:link w:val="PlainTextChar"/>
    <w:uiPriority w:val="99"/>
    <w:unhideWhenUsed/>
    <w:rsid w:val="00547755"/>
    <w:pPr>
      <w:spacing w:after="0"/>
    </w:pPr>
    <w:rPr>
      <w:rFonts w:ascii="Calibri" w:hAnsi="Calibri" w:cstheme="minorBidi"/>
      <w:szCs w:val="21"/>
    </w:rPr>
  </w:style>
  <w:style w:type="character" w:customStyle="1" w:styleId="PlainTextChar">
    <w:name w:val="Plain Text Char"/>
    <w:basedOn w:val="DefaultParagraphFont"/>
    <w:link w:val="PlainText"/>
    <w:uiPriority w:val="99"/>
    <w:rsid w:val="00547755"/>
    <w:rPr>
      <w:rFonts w:ascii="Calibri" w:hAnsi="Calibri"/>
      <w:szCs w:val="21"/>
      <w:lang w:val="da-DK"/>
    </w:rPr>
  </w:style>
  <w:style w:type="paragraph" w:customStyle="1" w:styleId="ecl-page-header-standardiseddescription">
    <w:name w:val="ecl-page-header-standardised__description"/>
    <w:basedOn w:val="Normal"/>
    <w:uiPriority w:val="99"/>
    <w:rsid w:val="007A1FE8"/>
    <w:pPr>
      <w:spacing w:before="100" w:beforeAutospacing="1" w:after="100" w:afterAutospacing="1"/>
    </w:pPr>
    <w:rPr>
      <w:rFonts w:eastAsia="Times New Roman"/>
      <w:lang w:eastAsia="en-GB"/>
    </w:rPr>
  </w:style>
  <w:style w:type="character" w:customStyle="1" w:styleId="UnresolvedMention1">
    <w:name w:val="Unresolved Mention1"/>
    <w:basedOn w:val="DefaultParagraphFont"/>
    <w:uiPriority w:val="99"/>
    <w:semiHidden/>
    <w:unhideWhenUsed/>
    <w:rsid w:val="00580C86"/>
    <w:rPr>
      <w:color w:val="605E5C"/>
      <w:shd w:val="clear" w:color="auto" w:fill="E1DFDD"/>
    </w:rPr>
  </w:style>
  <w:style w:type="character" w:customStyle="1" w:styleId="UnresolvedMention">
    <w:name w:val="Unresolved Mention"/>
    <w:basedOn w:val="DefaultParagraphFont"/>
    <w:uiPriority w:val="99"/>
    <w:semiHidden/>
    <w:unhideWhenUsed/>
    <w:rsid w:val="00B7513E"/>
    <w:rPr>
      <w:color w:val="605E5C"/>
      <w:shd w:val="clear" w:color="auto" w:fill="E1DFDD"/>
    </w:rPr>
  </w:style>
  <w:style w:type="table" w:styleId="GridTable4-Accent5">
    <w:name w:val="Grid Table 4 Accent 5"/>
    <w:basedOn w:val="TableNormal"/>
    <w:uiPriority w:val="49"/>
    <w:rsid w:val="00FA60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2">
    <w:name w:val="Text 2"/>
    <w:basedOn w:val="Normal"/>
    <w:uiPriority w:val="1"/>
    <w:qFormat/>
    <w:rsid w:val="00471184"/>
    <w:pPr>
      <w:spacing w:after="240"/>
      <w:ind w:left="1077"/>
    </w:pPr>
    <w:rPr>
      <w:rFonts w:ascii="Times New Roman" w:eastAsia="Times New Roman" w:hAnsi="Times New Roman"/>
      <w:sz w:val="24"/>
      <w:szCs w:val="20"/>
      <w:lang w:eastAsia="en-GB"/>
    </w:rPr>
  </w:style>
  <w:style w:type="character" w:customStyle="1" w:styleId="Mention">
    <w:name w:val="Mention"/>
    <w:basedOn w:val="DefaultParagraphFont"/>
    <w:uiPriority w:val="99"/>
    <w:unhideWhenUsed/>
    <w:rsid w:val="005B0CDE"/>
    <w:rPr>
      <w:color w:val="2B579A"/>
      <w:shd w:val="clear" w:color="auto" w:fill="E1DFDD"/>
    </w:rPr>
  </w:style>
  <w:style w:type="paragraph" w:customStyle="1" w:styleId="LegalNumPar">
    <w:name w:val="LegalNumPar"/>
    <w:basedOn w:val="Normal"/>
    <w:rsid w:val="00607C1D"/>
    <w:pPr>
      <w:numPr>
        <w:numId w:val="33"/>
      </w:numPr>
      <w:spacing w:line="360" w:lineRule="auto"/>
    </w:pPr>
    <w:rPr>
      <w:sz w:val="24"/>
    </w:rPr>
  </w:style>
  <w:style w:type="paragraph" w:customStyle="1" w:styleId="LegalNumPar2">
    <w:name w:val="LegalNumPar2"/>
    <w:basedOn w:val="Normal"/>
    <w:rsid w:val="00607C1D"/>
    <w:pPr>
      <w:numPr>
        <w:ilvl w:val="1"/>
        <w:numId w:val="33"/>
      </w:numPr>
      <w:spacing w:line="360" w:lineRule="auto"/>
    </w:pPr>
    <w:rPr>
      <w:sz w:val="24"/>
    </w:rPr>
  </w:style>
  <w:style w:type="paragraph" w:customStyle="1" w:styleId="LegalNumPar3">
    <w:name w:val="LegalNumPar3"/>
    <w:basedOn w:val="Normal"/>
    <w:rsid w:val="00607C1D"/>
    <w:pPr>
      <w:numPr>
        <w:ilvl w:val="2"/>
        <w:numId w:val="33"/>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2507214">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1609872">
      <w:bodyDiv w:val="1"/>
      <w:marLeft w:val="0"/>
      <w:marRight w:val="0"/>
      <w:marTop w:val="0"/>
      <w:marBottom w:val="0"/>
      <w:divBdr>
        <w:top w:val="none" w:sz="0" w:space="0" w:color="auto"/>
        <w:left w:val="none" w:sz="0" w:space="0" w:color="auto"/>
        <w:bottom w:val="none" w:sz="0" w:space="0" w:color="auto"/>
        <w:right w:val="none" w:sz="0" w:space="0" w:color="auto"/>
      </w:divBdr>
      <w:divsChild>
        <w:div w:id="1276669232">
          <w:marLeft w:val="0"/>
          <w:marRight w:val="0"/>
          <w:marTop w:val="0"/>
          <w:marBottom w:val="0"/>
          <w:divBdr>
            <w:top w:val="none" w:sz="0" w:space="0" w:color="auto"/>
            <w:left w:val="none" w:sz="0" w:space="0" w:color="auto"/>
            <w:bottom w:val="none" w:sz="0" w:space="0" w:color="auto"/>
            <w:right w:val="none" w:sz="0" w:space="0" w:color="auto"/>
          </w:divBdr>
        </w:div>
      </w:divsChild>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66022188">
      <w:bodyDiv w:val="1"/>
      <w:marLeft w:val="0"/>
      <w:marRight w:val="0"/>
      <w:marTop w:val="0"/>
      <w:marBottom w:val="0"/>
      <w:divBdr>
        <w:top w:val="none" w:sz="0" w:space="0" w:color="auto"/>
        <w:left w:val="none" w:sz="0" w:space="0" w:color="auto"/>
        <w:bottom w:val="none" w:sz="0" w:space="0" w:color="auto"/>
        <w:right w:val="none" w:sz="0" w:space="0" w:color="auto"/>
      </w:divBdr>
    </w:div>
    <w:div w:id="168252948">
      <w:bodyDiv w:val="1"/>
      <w:marLeft w:val="0"/>
      <w:marRight w:val="0"/>
      <w:marTop w:val="0"/>
      <w:marBottom w:val="0"/>
      <w:divBdr>
        <w:top w:val="none" w:sz="0" w:space="0" w:color="auto"/>
        <w:left w:val="none" w:sz="0" w:space="0" w:color="auto"/>
        <w:bottom w:val="none" w:sz="0" w:space="0" w:color="auto"/>
        <w:right w:val="none" w:sz="0" w:space="0" w:color="auto"/>
      </w:divBdr>
      <w:divsChild>
        <w:div w:id="182017978">
          <w:marLeft w:val="360"/>
          <w:marRight w:val="0"/>
          <w:marTop w:val="0"/>
          <w:marBottom w:val="60"/>
          <w:divBdr>
            <w:top w:val="none" w:sz="0" w:space="0" w:color="auto"/>
            <w:left w:val="none" w:sz="0" w:space="0" w:color="auto"/>
            <w:bottom w:val="none" w:sz="0" w:space="0" w:color="auto"/>
            <w:right w:val="none" w:sz="0" w:space="0" w:color="auto"/>
          </w:divBdr>
        </w:div>
      </w:divsChild>
    </w:div>
    <w:div w:id="169830019">
      <w:bodyDiv w:val="1"/>
      <w:marLeft w:val="0"/>
      <w:marRight w:val="0"/>
      <w:marTop w:val="0"/>
      <w:marBottom w:val="0"/>
      <w:divBdr>
        <w:top w:val="none" w:sz="0" w:space="0" w:color="auto"/>
        <w:left w:val="none" w:sz="0" w:space="0" w:color="auto"/>
        <w:bottom w:val="none" w:sz="0" w:space="0" w:color="auto"/>
        <w:right w:val="none" w:sz="0" w:space="0" w:color="auto"/>
      </w:divBdr>
      <w:divsChild>
        <w:div w:id="1590652496">
          <w:marLeft w:val="360"/>
          <w:marRight w:val="0"/>
          <w:marTop w:val="0"/>
          <w:marBottom w:val="60"/>
          <w:divBdr>
            <w:top w:val="none" w:sz="0" w:space="0" w:color="auto"/>
            <w:left w:val="none" w:sz="0" w:space="0" w:color="auto"/>
            <w:bottom w:val="none" w:sz="0" w:space="0" w:color="auto"/>
            <w:right w:val="none" w:sz="0" w:space="0" w:color="auto"/>
          </w:divBdr>
        </w:div>
      </w:divsChild>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87590709">
      <w:bodyDiv w:val="1"/>
      <w:marLeft w:val="0"/>
      <w:marRight w:val="0"/>
      <w:marTop w:val="0"/>
      <w:marBottom w:val="0"/>
      <w:divBdr>
        <w:top w:val="none" w:sz="0" w:space="0" w:color="auto"/>
        <w:left w:val="none" w:sz="0" w:space="0" w:color="auto"/>
        <w:bottom w:val="none" w:sz="0" w:space="0" w:color="auto"/>
        <w:right w:val="none" w:sz="0" w:space="0" w:color="auto"/>
      </w:divBdr>
      <w:divsChild>
        <w:div w:id="57674530">
          <w:marLeft w:val="360"/>
          <w:marRight w:val="0"/>
          <w:marTop w:val="0"/>
          <w:marBottom w:val="60"/>
          <w:divBdr>
            <w:top w:val="none" w:sz="0" w:space="0" w:color="auto"/>
            <w:left w:val="none" w:sz="0" w:space="0" w:color="auto"/>
            <w:bottom w:val="none" w:sz="0" w:space="0" w:color="auto"/>
            <w:right w:val="none" w:sz="0" w:space="0" w:color="auto"/>
          </w:divBdr>
        </w:div>
        <w:div w:id="521548672">
          <w:marLeft w:val="360"/>
          <w:marRight w:val="0"/>
          <w:marTop w:val="0"/>
          <w:marBottom w:val="60"/>
          <w:divBdr>
            <w:top w:val="none" w:sz="0" w:space="0" w:color="auto"/>
            <w:left w:val="none" w:sz="0" w:space="0" w:color="auto"/>
            <w:bottom w:val="none" w:sz="0" w:space="0" w:color="auto"/>
            <w:right w:val="none" w:sz="0" w:space="0" w:color="auto"/>
          </w:divBdr>
        </w:div>
      </w:divsChild>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5161138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74737370">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10080985">
      <w:bodyDiv w:val="1"/>
      <w:marLeft w:val="0"/>
      <w:marRight w:val="0"/>
      <w:marTop w:val="0"/>
      <w:marBottom w:val="0"/>
      <w:divBdr>
        <w:top w:val="none" w:sz="0" w:space="0" w:color="auto"/>
        <w:left w:val="none" w:sz="0" w:space="0" w:color="auto"/>
        <w:bottom w:val="none" w:sz="0" w:space="0" w:color="auto"/>
        <w:right w:val="none" w:sz="0" w:space="0" w:color="auto"/>
      </w:divBdr>
      <w:divsChild>
        <w:div w:id="1007635415">
          <w:marLeft w:val="0"/>
          <w:marRight w:val="0"/>
          <w:marTop w:val="0"/>
          <w:marBottom w:val="0"/>
          <w:divBdr>
            <w:top w:val="none" w:sz="0" w:space="0" w:color="auto"/>
            <w:left w:val="none" w:sz="0" w:space="0" w:color="auto"/>
            <w:bottom w:val="none" w:sz="0" w:space="0" w:color="auto"/>
            <w:right w:val="none" w:sz="0" w:space="0" w:color="auto"/>
          </w:divBdr>
        </w:div>
      </w:divsChild>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70239873">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81838311">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0377750">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32965235">
      <w:bodyDiv w:val="1"/>
      <w:marLeft w:val="0"/>
      <w:marRight w:val="0"/>
      <w:marTop w:val="0"/>
      <w:marBottom w:val="0"/>
      <w:divBdr>
        <w:top w:val="none" w:sz="0" w:space="0" w:color="auto"/>
        <w:left w:val="none" w:sz="0" w:space="0" w:color="auto"/>
        <w:bottom w:val="none" w:sz="0" w:space="0" w:color="auto"/>
        <w:right w:val="none" w:sz="0" w:space="0" w:color="auto"/>
      </w:divBdr>
      <w:divsChild>
        <w:div w:id="2105297646">
          <w:marLeft w:val="0"/>
          <w:marRight w:val="0"/>
          <w:marTop w:val="0"/>
          <w:marBottom w:val="0"/>
          <w:divBdr>
            <w:top w:val="none" w:sz="0" w:space="0" w:color="auto"/>
            <w:left w:val="none" w:sz="0" w:space="0" w:color="auto"/>
            <w:bottom w:val="none" w:sz="0" w:space="0" w:color="auto"/>
            <w:right w:val="none" w:sz="0" w:space="0" w:color="auto"/>
          </w:divBdr>
        </w:div>
      </w:divsChild>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27554824">
      <w:bodyDiv w:val="1"/>
      <w:marLeft w:val="0"/>
      <w:marRight w:val="0"/>
      <w:marTop w:val="0"/>
      <w:marBottom w:val="0"/>
      <w:divBdr>
        <w:top w:val="none" w:sz="0" w:space="0" w:color="auto"/>
        <w:left w:val="none" w:sz="0" w:space="0" w:color="auto"/>
        <w:bottom w:val="none" w:sz="0" w:space="0" w:color="auto"/>
        <w:right w:val="none" w:sz="0" w:space="0" w:color="auto"/>
      </w:divBdr>
      <w:divsChild>
        <w:div w:id="171920167">
          <w:marLeft w:val="0"/>
          <w:marRight w:val="0"/>
          <w:marTop w:val="0"/>
          <w:marBottom w:val="0"/>
          <w:divBdr>
            <w:top w:val="none" w:sz="0" w:space="0" w:color="auto"/>
            <w:left w:val="none" w:sz="0" w:space="0" w:color="auto"/>
            <w:bottom w:val="none" w:sz="0" w:space="0" w:color="auto"/>
            <w:right w:val="none" w:sz="0" w:space="0" w:color="auto"/>
          </w:divBdr>
        </w:div>
      </w:divsChild>
    </w:div>
    <w:div w:id="850220207">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70861799">
      <w:bodyDiv w:val="1"/>
      <w:marLeft w:val="0"/>
      <w:marRight w:val="0"/>
      <w:marTop w:val="0"/>
      <w:marBottom w:val="0"/>
      <w:divBdr>
        <w:top w:val="none" w:sz="0" w:space="0" w:color="auto"/>
        <w:left w:val="none" w:sz="0" w:space="0" w:color="auto"/>
        <w:bottom w:val="none" w:sz="0" w:space="0" w:color="auto"/>
        <w:right w:val="none" w:sz="0" w:space="0" w:color="auto"/>
      </w:divBdr>
      <w:divsChild>
        <w:div w:id="1946419365">
          <w:marLeft w:val="0"/>
          <w:marRight w:val="0"/>
          <w:marTop w:val="0"/>
          <w:marBottom w:val="0"/>
          <w:divBdr>
            <w:top w:val="none" w:sz="0" w:space="0" w:color="auto"/>
            <w:left w:val="none" w:sz="0" w:space="0" w:color="auto"/>
            <w:bottom w:val="none" w:sz="0" w:space="0" w:color="auto"/>
            <w:right w:val="none" w:sz="0" w:space="0" w:color="auto"/>
          </w:divBdr>
        </w:div>
      </w:divsChild>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11502105">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62833838">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047237">
      <w:bodyDiv w:val="1"/>
      <w:marLeft w:val="0"/>
      <w:marRight w:val="0"/>
      <w:marTop w:val="0"/>
      <w:marBottom w:val="0"/>
      <w:divBdr>
        <w:top w:val="none" w:sz="0" w:space="0" w:color="auto"/>
        <w:left w:val="none" w:sz="0" w:space="0" w:color="auto"/>
        <w:bottom w:val="none" w:sz="0" w:space="0" w:color="auto"/>
        <w:right w:val="none" w:sz="0" w:space="0" w:color="auto"/>
      </w:divBdr>
      <w:divsChild>
        <w:div w:id="111679979">
          <w:marLeft w:val="0"/>
          <w:marRight w:val="0"/>
          <w:marTop w:val="0"/>
          <w:marBottom w:val="0"/>
          <w:divBdr>
            <w:top w:val="none" w:sz="0" w:space="0" w:color="auto"/>
            <w:left w:val="none" w:sz="0" w:space="0" w:color="auto"/>
            <w:bottom w:val="none" w:sz="0" w:space="0" w:color="auto"/>
            <w:right w:val="none" w:sz="0" w:space="0" w:color="auto"/>
          </w:divBdr>
        </w:div>
      </w:divsChild>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290404034">
      <w:bodyDiv w:val="1"/>
      <w:marLeft w:val="0"/>
      <w:marRight w:val="0"/>
      <w:marTop w:val="0"/>
      <w:marBottom w:val="0"/>
      <w:divBdr>
        <w:top w:val="none" w:sz="0" w:space="0" w:color="auto"/>
        <w:left w:val="none" w:sz="0" w:space="0" w:color="auto"/>
        <w:bottom w:val="none" w:sz="0" w:space="0" w:color="auto"/>
        <w:right w:val="none" w:sz="0" w:space="0" w:color="auto"/>
      </w:divBdr>
    </w:div>
    <w:div w:id="1315720598">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55961662">
      <w:bodyDiv w:val="1"/>
      <w:marLeft w:val="0"/>
      <w:marRight w:val="0"/>
      <w:marTop w:val="0"/>
      <w:marBottom w:val="0"/>
      <w:divBdr>
        <w:top w:val="none" w:sz="0" w:space="0" w:color="auto"/>
        <w:left w:val="none" w:sz="0" w:space="0" w:color="auto"/>
        <w:bottom w:val="none" w:sz="0" w:space="0" w:color="auto"/>
        <w:right w:val="none" w:sz="0" w:space="0" w:color="auto"/>
      </w:divBdr>
    </w:div>
    <w:div w:id="1388214577">
      <w:bodyDiv w:val="1"/>
      <w:marLeft w:val="0"/>
      <w:marRight w:val="0"/>
      <w:marTop w:val="0"/>
      <w:marBottom w:val="0"/>
      <w:divBdr>
        <w:top w:val="none" w:sz="0" w:space="0" w:color="auto"/>
        <w:left w:val="none" w:sz="0" w:space="0" w:color="auto"/>
        <w:bottom w:val="none" w:sz="0" w:space="0" w:color="auto"/>
        <w:right w:val="none" w:sz="0" w:space="0" w:color="auto"/>
      </w:divBdr>
      <w:divsChild>
        <w:div w:id="859125399">
          <w:marLeft w:val="0"/>
          <w:marRight w:val="0"/>
          <w:marTop w:val="0"/>
          <w:marBottom w:val="0"/>
          <w:divBdr>
            <w:top w:val="none" w:sz="0" w:space="0" w:color="auto"/>
            <w:left w:val="none" w:sz="0" w:space="0" w:color="auto"/>
            <w:bottom w:val="none" w:sz="0" w:space="0" w:color="auto"/>
            <w:right w:val="none" w:sz="0" w:space="0" w:color="auto"/>
          </w:divBdr>
        </w:div>
      </w:divsChild>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474709656">
      <w:bodyDiv w:val="1"/>
      <w:marLeft w:val="0"/>
      <w:marRight w:val="0"/>
      <w:marTop w:val="0"/>
      <w:marBottom w:val="0"/>
      <w:divBdr>
        <w:top w:val="none" w:sz="0" w:space="0" w:color="auto"/>
        <w:left w:val="none" w:sz="0" w:space="0" w:color="auto"/>
        <w:bottom w:val="none" w:sz="0" w:space="0" w:color="auto"/>
        <w:right w:val="none" w:sz="0" w:space="0" w:color="auto"/>
      </w:divBdr>
    </w:div>
    <w:div w:id="150019687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48700522">
      <w:bodyDiv w:val="1"/>
      <w:marLeft w:val="0"/>
      <w:marRight w:val="0"/>
      <w:marTop w:val="0"/>
      <w:marBottom w:val="0"/>
      <w:divBdr>
        <w:top w:val="none" w:sz="0" w:space="0" w:color="auto"/>
        <w:left w:val="none" w:sz="0" w:space="0" w:color="auto"/>
        <w:bottom w:val="none" w:sz="0" w:space="0" w:color="auto"/>
        <w:right w:val="none" w:sz="0" w:space="0" w:color="auto"/>
      </w:divBdr>
      <w:divsChild>
        <w:div w:id="1124738870">
          <w:marLeft w:val="0"/>
          <w:marRight w:val="0"/>
          <w:marTop w:val="0"/>
          <w:marBottom w:val="0"/>
          <w:divBdr>
            <w:top w:val="none" w:sz="0" w:space="0" w:color="auto"/>
            <w:left w:val="none" w:sz="0" w:space="0" w:color="auto"/>
            <w:bottom w:val="none" w:sz="0" w:space="0" w:color="auto"/>
            <w:right w:val="none" w:sz="0" w:space="0" w:color="auto"/>
          </w:divBdr>
        </w:div>
      </w:divsChild>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69216219">
      <w:bodyDiv w:val="1"/>
      <w:marLeft w:val="0"/>
      <w:marRight w:val="0"/>
      <w:marTop w:val="0"/>
      <w:marBottom w:val="0"/>
      <w:divBdr>
        <w:top w:val="none" w:sz="0" w:space="0" w:color="auto"/>
        <w:left w:val="none" w:sz="0" w:space="0" w:color="auto"/>
        <w:bottom w:val="none" w:sz="0" w:space="0" w:color="auto"/>
        <w:right w:val="none" w:sz="0" w:space="0" w:color="auto"/>
      </w:divBdr>
    </w:div>
    <w:div w:id="1672757176">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118258">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85075376">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6649100">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83394417">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16931386">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19233640">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10.png"/><Relationship Id="rId42" Type="http://schemas.openxmlformats.org/officeDocument/2006/relationships/footer" Target="footer9.xml"/><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header" Target="header8.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6.gi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8.png"/><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svg"/><Relationship Id="rId36" Type="http://schemas.openxmlformats.org/officeDocument/2006/relationships/hyperlink" Target="https://commission.europa.eu/document/download/abdee617-a078-4ee3-a3ec-20c7d32725b5_en?filename=NextGenerationEU%20Green%20Bonds%20Allocation%20and%20Impact%20Report%202024.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7.png"/><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hyperlink" Target="https://commission.europa.eu/document/download/abdee617-a078-4ee3-a3ec-20c7d32725b5_en?filename=NextGenerationEU%20Green%20Bonds%20Allocation%20and%20Impact%20Report%202024.pdf" TargetMode="External"/><Relationship Id="rId35" Type="http://schemas.openxmlformats.org/officeDocument/2006/relationships/chart" Target="charts/chart1.xm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eu-budget/eu-borrower-investor-relations/nextgenerationeu-green-bonds/dashboard_en" TargetMode="External"/><Relationship Id="rId3" Type="http://schemas.openxmlformats.org/officeDocument/2006/relationships/hyperlink" Target="https://commission.europa.eu/document/download/abdee617-a078-4ee3-a3ec-20c7d32725b5_en?filename=NextGenerationEU%20Green%20Bonds%20Allocation%20and%20Impact%20Report%202024.pdf" TargetMode="External"/><Relationship Id="rId7" Type="http://schemas.openxmlformats.org/officeDocument/2006/relationships/hyperlink" Target="https://commission.europa.eu/system/files/2023-07/Fourth%20half-yearly%20report%20on%20the%20execution%20of%20the%20EU%20borrowing%20and%20lending%20operations.PDF" TargetMode="External"/><Relationship Id="rId2" Type="http://schemas.openxmlformats.org/officeDocument/2006/relationships/hyperlink" Target="https://eur-lex.europa.eu/legal-content/DA/TXT/PDF/?uri=CELEX:52024DC0240" TargetMode="External"/><Relationship Id="rId1" Type="http://schemas.openxmlformats.org/officeDocument/2006/relationships/hyperlink" Target="https://commission.europa.eu/document/download/187852c2-07e0-4bef-af3f-5719b9077f2e_en?filename=COM_2024_474_1_EN_ACT_part1_v2.pdf" TargetMode="External"/><Relationship Id="rId6" Type="http://schemas.openxmlformats.org/officeDocument/2006/relationships/hyperlink" Target="https://www.eca.europa.eu/Lists/ECAReplies/COM-Replies-SR-2023-16/COM-Replies-SR-2023-16_DA.pdf" TargetMode="External"/><Relationship Id="rId5" Type="http://schemas.openxmlformats.org/officeDocument/2006/relationships/hyperlink" Target="https://www.eca.europa.eu/ECAPublications/SR-2023-16/SR-2023-16_DA.pdf" TargetMode="External"/><Relationship Id="rId4" Type="http://schemas.openxmlformats.org/officeDocument/2006/relationships/hyperlink" Target="https://www.eca.europa.eu/ECAPublications/SR-2023-16/SR-2023-16_DA.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ohelee\AppData\Local\Microsoft\Windows\INetCache\Content.Outlook\DEERG5ZQ\Quarterly%20and%20semi-annual%20repor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69531763880728E-2"/>
          <c:y val="4.5379537953795381E-2"/>
          <c:w val="0.89284028118244585"/>
          <c:h val="0.74970180088875027"/>
        </c:manualLayout>
      </c:layout>
      <c:lineChart>
        <c:grouping val="standard"/>
        <c:varyColors val="0"/>
        <c:ser>
          <c:idx val="0"/>
          <c:order val="0"/>
          <c:tx>
            <c:strRef>
              <c:f>Data!$B$1</c:f>
              <c:strCache>
                <c:ptCount val="1"/>
                <c:pt idx="0">
                  <c:v>EU 10y yield</c:v>
                </c:pt>
              </c:strCache>
            </c:strRef>
          </c:tx>
          <c:spPr>
            <a:ln w="28575" cap="rnd">
              <a:solidFill>
                <a:schemeClr val="accent1"/>
              </a:solidFill>
              <a:round/>
            </a:ln>
            <a:effectLst/>
          </c:spPr>
          <c:marker>
            <c:symbol val="none"/>
          </c:marker>
          <c:cat>
            <c:numRef>
              <c:f>Data!$A$2:$A$249</c:f>
              <c:numCache>
                <c:formatCode>m/d/yyyy</c:formatCode>
                <c:ptCount val="248"/>
                <c:pt idx="0">
                  <c:v>45657</c:v>
                </c:pt>
                <c:pt idx="1">
                  <c:v>45656</c:v>
                </c:pt>
                <c:pt idx="2">
                  <c:v>45653</c:v>
                </c:pt>
                <c:pt idx="3">
                  <c:v>45650</c:v>
                </c:pt>
                <c:pt idx="4">
                  <c:v>45649</c:v>
                </c:pt>
                <c:pt idx="5">
                  <c:v>45646</c:v>
                </c:pt>
                <c:pt idx="6">
                  <c:v>45645</c:v>
                </c:pt>
                <c:pt idx="7">
                  <c:v>45644</c:v>
                </c:pt>
                <c:pt idx="8">
                  <c:v>45643</c:v>
                </c:pt>
                <c:pt idx="9">
                  <c:v>45642</c:v>
                </c:pt>
                <c:pt idx="10">
                  <c:v>45639</c:v>
                </c:pt>
                <c:pt idx="11">
                  <c:v>45638</c:v>
                </c:pt>
                <c:pt idx="12">
                  <c:v>45637</c:v>
                </c:pt>
                <c:pt idx="13">
                  <c:v>45636</c:v>
                </c:pt>
                <c:pt idx="14">
                  <c:v>45635</c:v>
                </c:pt>
                <c:pt idx="15">
                  <c:v>45632</c:v>
                </c:pt>
                <c:pt idx="16">
                  <c:v>45631</c:v>
                </c:pt>
                <c:pt idx="17">
                  <c:v>45630</c:v>
                </c:pt>
                <c:pt idx="18">
                  <c:v>45629</c:v>
                </c:pt>
                <c:pt idx="19">
                  <c:v>45628</c:v>
                </c:pt>
                <c:pt idx="20">
                  <c:v>45625</c:v>
                </c:pt>
                <c:pt idx="21">
                  <c:v>45624</c:v>
                </c:pt>
                <c:pt idx="22">
                  <c:v>45623</c:v>
                </c:pt>
                <c:pt idx="23">
                  <c:v>45622</c:v>
                </c:pt>
                <c:pt idx="24">
                  <c:v>45621</c:v>
                </c:pt>
                <c:pt idx="25">
                  <c:v>45618</c:v>
                </c:pt>
                <c:pt idx="26">
                  <c:v>45617</c:v>
                </c:pt>
                <c:pt idx="27">
                  <c:v>45616</c:v>
                </c:pt>
                <c:pt idx="28">
                  <c:v>45615</c:v>
                </c:pt>
                <c:pt idx="29">
                  <c:v>45614</c:v>
                </c:pt>
                <c:pt idx="30">
                  <c:v>45611</c:v>
                </c:pt>
                <c:pt idx="31">
                  <c:v>45610</c:v>
                </c:pt>
                <c:pt idx="32">
                  <c:v>45609</c:v>
                </c:pt>
                <c:pt idx="33">
                  <c:v>45608</c:v>
                </c:pt>
                <c:pt idx="34">
                  <c:v>45607</c:v>
                </c:pt>
                <c:pt idx="35">
                  <c:v>45604</c:v>
                </c:pt>
                <c:pt idx="36">
                  <c:v>45603</c:v>
                </c:pt>
                <c:pt idx="37">
                  <c:v>45602</c:v>
                </c:pt>
                <c:pt idx="38">
                  <c:v>45601</c:v>
                </c:pt>
                <c:pt idx="39">
                  <c:v>45600</c:v>
                </c:pt>
                <c:pt idx="40">
                  <c:v>45597</c:v>
                </c:pt>
                <c:pt idx="41">
                  <c:v>45596</c:v>
                </c:pt>
                <c:pt idx="42">
                  <c:v>45595</c:v>
                </c:pt>
                <c:pt idx="43">
                  <c:v>45594</c:v>
                </c:pt>
                <c:pt idx="44">
                  <c:v>45593</c:v>
                </c:pt>
                <c:pt idx="45">
                  <c:v>45590</c:v>
                </c:pt>
                <c:pt idx="46">
                  <c:v>45589</c:v>
                </c:pt>
                <c:pt idx="47">
                  <c:v>45588</c:v>
                </c:pt>
                <c:pt idx="48">
                  <c:v>45587</c:v>
                </c:pt>
                <c:pt idx="49">
                  <c:v>45586</c:v>
                </c:pt>
                <c:pt idx="50">
                  <c:v>45583</c:v>
                </c:pt>
                <c:pt idx="51">
                  <c:v>45582</c:v>
                </c:pt>
                <c:pt idx="52">
                  <c:v>45581</c:v>
                </c:pt>
                <c:pt idx="53">
                  <c:v>45580</c:v>
                </c:pt>
                <c:pt idx="54">
                  <c:v>45579</c:v>
                </c:pt>
                <c:pt idx="55">
                  <c:v>45576</c:v>
                </c:pt>
                <c:pt idx="56">
                  <c:v>45575</c:v>
                </c:pt>
                <c:pt idx="57">
                  <c:v>45574</c:v>
                </c:pt>
                <c:pt idx="58">
                  <c:v>45573</c:v>
                </c:pt>
                <c:pt idx="59">
                  <c:v>45572</c:v>
                </c:pt>
                <c:pt idx="60">
                  <c:v>45569</c:v>
                </c:pt>
                <c:pt idx="61">
                  <c:v>45568</c:v>
                </c:pt>
                <c:pt idx="62">
                  <c:v>45567</c:v>
                </c:pt>
                <c:pt idx="63">
                  <c:v>45566</c:v>
                </c:pt>
                <c:pt idx="64">
                  <c:v>45565</c:v>
                </c:pt>
                <c:pt idx="65">
                  <c:v>45562</c:v>
                </c:pt>
                <c:pt idx="66">
                  <c:v>45561</c:v>
                </c:pt>
                <c:pt idx="67">
                  <c:v>45560</c:v>
                </c:pt>
                <c:pt idx="68">
                  <c:v>45559</c:v>
                </c:pt>
                <c:pt idx="69">
                  <c:v>45558</c:v>
                </c:pt>
                <c:pt idx="70">
                  <c:v>45555</c:v>
                </c:pt>
                <c:pt idx="71">
                  <c:v>45554</c:v>
                </c:pt>
                <c:pt idx="72">
                  <c:v>45553</c:v>
                </c:pt>
                <c:pt idx="73">
                  <c:v>45552</c:v>
                </c:pt>
                <c:pt idx="74">
                  <c:v>45551</c:v>
                </c:pt>
                <c:pt idx="75">
                  <c:v>45548</c:v>
                </c:pt>
                <c:pt idx="76">
                  <c:v>45547</c:v>
                </c:pt>
                <c:pt idx="77">
                  <c:v>45546</c:v>
                </c:pt>
                <c:pt idx="78">
                  <c:v>45545</c:v>
                </c:pt>
                <c:pt idx="79">
                  <c:v>45544</c:v>
                </c:pt>
                <c:pt idx="80">
                  <c:v>45541</c:v>
                </c:pt>
                <c:pt idx="81">
                  <c:v>45540</c:v>
                </c:pt>
                <c:pt idx="82">
                  <c:v>45539</c:v>
                </c:pt>
                <c:pt idx="83">
                  <c:v>45538</c:v>
                </c:pt>
                <c:pt idx="84">
                  <c:v>45537</c:v>
                </c:pt>
                <c:pt idx="85">
                  <c:v>45534</c:v>
                </c:pt>
                <c:pt idx="86">
                  <c:v>45533</c:v>
                </c:pt>
                <c:pt idx="87">
                  <c:v>45532</c:v>
                </c:pt>
                <c:pt idx="88">
                  <c:v>45531</c:v>
                </c:pt>
                <c:pt idx="89">
                  <c:v>45530</c:v>
                </c:pt>
                <c:pt idx="90">
                  <c:v>45527</c:v>
                </c:pt>
                <c:pt idx="91">
                  <c:v>45526</c:v>
                </c:pt>
                <c:pt idx="92">
                  <c:v>45525</c:v>
                </c:pt>
                <c:pt idx="93">
                  <c:v>45524</c:v>
                </c:pt>
                <c:pt idx="94">
                  <c:v>45523</c:v>
                </c:pt>
                <c:pt idx="95">
                  <c:v>45520</c:v>
                </c:pt>
                <c:pt idx="96">
                  <c:v>45519</c:v>
                </c:pt>
                <c:pt idx="97">
                  <c:v>45518</c:v>
                </c:pt>
                <c:pt idx="98">
                  <c:v>45517</c:v>
                </c:pt>
                <c:pt idx="99">
                  <c:v>45516</c:v>
                </c:pt>
                <c:pt idx="100">
                  <c:v>45513</c:v>
                </c:pt>
                <c:pt idx="101">
                  <c:v>45512</c:v>
                </c:pt>
                <c:pt idx="102">
                  <c:v>45511</c:v>
                </c:pt>
                <c:pt idx="103">
                  <c:v>45510</c:v>
                </c:pt>
                <c:pt idx="104">
                  <c:v>45509</c:v>
                </c:pt>
                <c:pt idx="105">
                  <c:v>45506</c:v>
                </c:pt>
                <c:pt idx="106">
                  <c:v>45505</c:v>
                </c:pt>
                <c:pt idx="107">
                  <c:v>45504</c:v>
                </c:pt>
                <c:pt idx="108">
                  <c:v>45503</c:v>
                </c:pt>
                <c:pt idx="109">
                  <c:v>45502</c:v>
                </c:pt>
                <c:pt idx="110">
                  <c:v>45499</c:v>
                </c:pt>
                <c:pt idx="111">
                  <c:v>45498</c:v>
                </c:pt>
                <c:pt idx="112">
                  <c:v>45497</c:v>
                </c:pt>
                <c:pt idx="113">
                  <c:v>45496</c:v>
                </c:pt>
                <c:pt idx="114">
                  <c:v>45495</c:v>
                </c:pt>
                <c:pt idx="115">
                  <c:v>45492</c:v>
                </c:pt>
                <c:pt idx="116">
                  <c:v>45491</c:v>
                </c:pt>
                <c:pt idx="117">
                  <c:v>45490</c:v>
                </c:pt>
                <c:pt idx="118">
                  <c:v>45489</c:v>
                </c:pt>
                <c:pt idx="119">
                  <c:v>45488</c:v>
                </c:pt>
                <c:pt idx="120">
                  <c:v>45485</c:v>
                </c:pt>
                <c:pt idx="121">
                  <c:v>45484</c:v>
                </c:pt>
                <c:pt idx="122">
                  <c:v>45483</c:v>
                </c:pt>
                <c:pt idx="123">
                  <c:v>45482</c:v>
                </c:pt>
                <c:pt idx="124">
                  <c:v>45481</c:v>
                </c:pt>
                <c:pt idx="125">
                  <c:v>45478</c:v>
                </c:pt>
                <c:pt idx="126">
                  <c:v>45477</c:v>
                </c:pt>
                <c:pt idx="127">
                  <c:v>45476</c:v>
                </c:pt>
                <c:pt idx="128">
                  <c:v>45475</c:v>
                </c:pt>
                <c:pt idx="129">
                  <c:v>45474</c:v>
                </c:pt>
                <c:pt idx="130">
                  <c:v>45471</c:v>
                </c:pt>
                <c:pt idx="131">
                  <c:v>45470</c:v>
                </c:pt>
                <c:pt idx="132">
                  <c:v>45469</c:v>
                </c:pt>
                <c:pt idx="133">
                  <c:v>45468</c:v>
                </c:pt>
                <c:pt idx="134">
                  <c:v>45467</c:v>
                </c:pt>
                <c:pt idx="135">
                  <c:v>45464</c:v>
                </c:pt>
                <c:pt idx="136">
                  <c:v>45463</c:v>
                </c:pt>
                <c:pt idx="137">
                  <c:v>45462</c:v>
                </c:pt>
                <c:pt idx="138">
                  <c:v>45461</c:v>
                </c:pt>
                <c:pt idx="139">
                  <c:v>45460</c:v>
                </c:pt>
                <c:pt idx="140">
                  <c:v>45457</c:v>
                </c:pt>
                <c:pt idx="141">
                  <c:v>45456</c:v>
                </c:pt>
                <c:pt idx="142">
                  <c:v>45455</c:v>
                </c:pt>
                <c:pt idx="143">
                  <c:v>45454</c:v>
                </c:pt>
                <c:pt idx="144">
                  <c:v>45453</c:v>
                </c:pt>
                <c:pt idx="145">
                  <c:v>45450</c:v>
                </c:pt>
                <c:pt idx="146">
                  <c:v>45449</c:v>
                </c:pt>
                <c:pt idx="147">
                  <c:v>45448</c:v>
                </c:pt>
                <c:pt idx="148">
                  <c:v>45447</c:v>
                </c:pt>
                <c:pt idx="149">
                  <c:v>45446</c:v>
                </c:pt>
                <c:pt idx="150">
                  <c:v>45443</c:v>
                </c:pt>
                <c:pt idx="151">
                  <c:v>45442</c:v>
                </c:pt>
                <c:pt idx="152">
                  <c:v>45441</c:v>
                </c:pt>
                <c:pt idx="153">
                  <c:v>45440</c:v>
                </c:pt>
                <c:pt idx="154">
                  <c:v>45439</c:v>
                </c:pt>
                <c:pt idx="155">
                  <c:v>45436</c:v>
                </c:pt>
                <c:pt idx="156">
                  <c:v>45435</c:v>
                </c:pt>
                <c:pt idx="157">
                  <c:v>45434</c:v>
                </c:pt>
                <c:pt idx="158">
                  <c:v>45433</c:v>
                </c:pt>
                <c:pt idx="159">
                  <c:v>45432</c:v>
                </c:pt>
                <c:pt idx="160">
                  <c:v>45429</c:v>
                </c:pt>
                <c:pt idx="161">
                  <c:v>45428</c:v>
                </c:pt>
                <c:pt idx="162">
                  <c:v>45427</c:v>
                </c:pt>
                <c:pt idx="163">
                  <c:v>45426</c:v>
                </c:pt>
                <c:pt idx="164">
                  <c:v>45425</c:v>
                </c:pt>
                <c:pt idx="165">
                  <c:v>45422</c:v>
                </c:pt>
                <c:pt idx="166">
                  <c:v>45421</c:v>
                </c:pt>
                <c:pt idx="167">
                  <c:v>45420</c:v>
                </c:pt>
                <c:pt idx="168">
                  <c:v>45419</c:v>
                </c:pt>
                <c:pt idx="169">
                  <c:v>45418</c:v>
                </c:pt>
                <c:pt idx="170">
                  <c:v>45415</c:v>
                </c:pt>
                <c:pt idx="171">
                  <c:v>45414</c:v>
                </c:pt>
                <c:pt idx="172">
                  <c:v>45412</c:v>
                </c:pt>
                <c:pt idx="173">
                  <c:v>45411</c:v>
                </c:pt>
                <c:pt idx="174">
                  <c:v>45408</c:v>
                </c:pt>
                <c:pt idx="175">
                  <c:v>45407</c:v>
                </c:pt>
                <c:pt idx="176">
                  <c:v>45406</c:v>
                </c:pt>
                <c:pt idx="177">
                  <c:v>45405</c:v>
                </c:pt>
                <c:pt idx="178">
                  <c:v>45404</c:v>
                </c:pt>
                <c:pt idx="179">
                  <c:v>45401</c:v>
                </c:pt>
                <c:pt idx="180">
                  <c:v>45400</c:v>
                </c:pt>
                <c:pt idx="181">
                  <c:v>45399</c:v>
                </c:pt>
                <c:pt idx="182">
                  <c:v>45398</c:v>
                </c:pt>
                <c:pt idx="183">
                  <c:v>45397</c:v>
                </c:pt>
                <c:pt idx="184">
                  <c:v>45394</c:v>
                </c:pt>
                <c:pt idx="185">
                  <c:v>45393</c:v>
                </c:pt>
                <c:pt idx="186">
                  <c:v>45392</c:v>
                </c:pt>
                <c:pt idx="187">
                  <c:v>45391</c:v>
                </c:pt>
                <c:pt idx="188">
                  <c:v>45390</c:v>
                </c:pt>
                <c:pt idx="189">
                  <c:v>45387</c:v>
                </c:pt>
                <c:pt idx="190">
                  <c:v>45386</c:v>
                </c:pt>
                <c:pt idx="191">
                  <c:v>45385</c:v>
                </c:pt>
                <c:pt idx="192">
                  <c:v>45384</c:v>
                </c:pt>
                <c:pt idx="193">
                  <c:v>45379</c:v>
                </c:pt>
                <c:pt idx="194">
                  <c:v>45378</c:v>
                </c:pt>
                <c:pt idx="195">
                  <c:v>45377</c:v>
                </c:pt>
                <c:pt idx="196">
                  <c:v>45376</c:v>
                </c:pt>
                <c:pt idx="197">
                  <c:v>45373</c:v>
                </c:pt>
                <c:pt idx="198">
                  <c:v>45372</c:v>
                </c:pt>
                <c:pt idx="199">
                  <c:v>45371</c:v>
                </c:pt>
                <c:pt idx="200">
                  <c:v>45370</c:v>
                </c:pt>
                <c:pt idx="201">
                  <c:v>45369</c:v>
                </c:pt>
                <c:pt idx="202">
                  <c:v>45366</c:v>
                </c:pt>
                <c:pt idx="203">
                  <c:v>45365</c:v>
                </c:pt>
                <c:pt idx="204">
                  <c:v>45364</c:v>
                </c:pt>
                <c:pt idx="205">
                  <c:v>45363</c:v>
                </c:pt>
                <c:pt idx="206">
                  <c:v>45362</c:v>
                </c:pt>
                <c:pt idx="207">
                  <c:v>45359</c:v>
                </c:pt>
                <c:pt idx="208">
                  <c:v>45358</c:v>
                </c:pt>
                <c:pt idx="209">
                  <c:v>45357</c:v>
                </c:pt>
                <c:pt idx="210">
                  <c:v>45356</c:v>
                </c:pt>
                <c:pt idx="211">
                  <c:v>45355</c:v>
                </c:pt>
                <c:pt idx="212">
                  <c:v>45352</c:v>
                </c:pt>
                <c:pt idx="213">
                  <c:v>45351</c:v>
                </c:pt>
                <c:pt idx="214">
                  <c:v>45350</c:v>
                </c:pt>
                <c:pt idx="215">
                  <c:v>45349</c:v>
                </c:pt>
                <c:pt idx="216">
                  <c:v>45348</c:v>
                </c:pt>
                <c:pt idx="217">
                  <c:v>45345</c:v>
                </c:pt>
                <c:pt idx="218">
                  <c:v>45344</c:v>
                </c:pt>
                <c:pt idx="219">
                  <c:v>45343</c:v>
                </c:pt>
                <c:pt idx="220">
                  <c:v>45342</c:v>
                </c:pt>
                <c:pt idx="221">
                  <c:v>45341</c:v>
                </c:pt>
                <c:pt idx="222">
                  <c:v>45338</c:v>
                </c:pt>
                <c:pt idx="223">
                  <c:v>45337</c:v>
                </c:pt>
                <c:pt idx="224">
                  <c:v>45336</c:v>
                </c:pt>
                <c:pt idx="225">
                  <c:v>45335</c:v>
                </c:pt>
                <c:pt idx="226">
                  <c:v>45334</c:v>
                </c:pt>
                <c:pt idx="227">
                  <c:v>45331</c:v>
                </c:pt>
                <c:pt idx="228">
                  <c:v>45330</c:v>
                </c:pt>
                <c:pt idx="229">
                  <c:v>45329</c:v>
                </c:pt>
                <c:pt idx="230">
                  <c:v>45328</c:v>
                </c:pt>
                <c:pt idx="231">
                  <c:v>45327</c:v>
                </c:pt>
                <c:pt idx="232">
                  <c:v>45324</c:v>
                </c:pt>
                <c:pt idx="233">
                  <c:v>45323</c:v>
                </c:pt>
                <c:pt idx="234">
                  <c:v>45322</c:v>
                </c:pt>
                <c:pt idx="235">
                  <c:v>45321</c:v>
                </c:pt>
                <c:pt idx="236">
                  <c:v>45320</c:v>
                </c:pt>
                <c:pt idx="237">
                  <c:v>45317</c:v>
                </c:pt>
                <c:pt idx="238">
                  <c:v>45316</c:v>
                </c:pt>
                <c:pt idx="239">
                  <c:v>45315</c:v>
                </c:pt>
                <c:pt idx="240">
                  <c:v>45314</c:v>
                </c:pt>
                <c:pt idx="241">
                  <c:v>45313</c:v>
                </c:pt>
                <c:pt idx="242">
                  <c:v>45310</c:v>
                </c:pt>
                <c:pt idx="243">
                  <c:v>45309</c:v>
                </c:pt>
                <c:pt idx="244">
                  <c:v>45308</c:v>
                </c:pt>
                <c:pt idx="245">
                  <c:v>45307</c:v>
                </c:pt>
                <c:pt idx="246">
                  <c:v>45306</c:v>
                </c:pt>
                <c:pt idx="247">
                  <c:v>45303</c:v>
                </c:pt>
              </c:numCache>
            </c:numRef>
          </c:cat>
          <c:val>
            <c:numRef>
              <c:f>Data!$B$2:$B$249</c:f>
              <c:numCache>
                <c:formatCode>General</c:formatCode>
                <c:ptCount val="248"/>
                <c:pt idx="0">
                  <c:v>2.9020000000000001</c:v>
                </c:pt>
                <c:pt idx="1">
                  <c:v>2.9020000000000001</c:v>
                </c:pt>
                <c:pt idx="2">
                  <c:v>2.9289999999999998</c:v>
                </c:pt>
                <c:pt idx="3">
                  <c:v>2.863</c:v>
                </c:pt>
                <c:pt idx="4">
                  <c:v>2.863</c:v>
                </c:pt>
                <c:pt idx="5">
                  <c:v>2.823</c:v>
                </c:pt>
                <c:pt idx="6">
                  <c:v>2.8359999999999999</c:v>
                </c:pt>
                <c:pt idx="7">
                  <c:v>2.7709999999999999</c:v>
                </c:pt>
                <c:pt idx="8">
                  <c:v>2.7440000000000002</c:v>
                </c:pt>
                <c:pt idx="9">
                  <c:v>2.76</c:v>
                </c:pt>
                <c:pt idx="10">
                  <c:v>2.77</c:v>
                </c:pt>
                <c:pt idx="11">
                  <c:v>2.718</c:v>
                </c:pt>
                <c:pt idx="12">
                  <c:v>2.641</c:v>
                </c:pt>
                <c:pt idx="13">
                  <c:v>2.6240000000000001</c:v>
                </c:pt>
                <c:pt idx="14">
                  <c:v>2.625</c:v>
                </c:pt>
                <c:pt idx="15">
                  <c:v>2.605</c:v>
                </c:pt>
                <c:pt idx="16">
                  <c:v>2.6309999999999998</c:v>
                </c:pt>
                <c:pt idx="17">
                  <c:v>2.6190000000000002</c:v>
                </c:pt>
                <c:pt idx="18">
                  <c:v>2.6139999999999999</c:v>
                </c:pt>
                <c:pt idx="19">
                  <c:v>2.609</c:v>
                </c:pt>
                <c:pt idx="20">
                  <c:v>2.6539999999999999</c:v>
                </c:pt>
                <c:pt idx="21">
                  <c:v>2.7</c:v>
                </c:pt>
                <c:pt idx="22">
                  <c:v>2.734</c:v>
                </c:pt>
                <c:pt idx="23">
                  <c:v>2.7669999999999999</c:v>
                </c:pt>
                <c:pt idx="24">
                  <c:v>2.778</c:v>
                </c:pt>
                <c:pt idx="25">
                  <c:v>2.8050000000000002</c:v>
                </c:pt>
                <c:pt idx="26">
                  <c:v>2.9009999999999998</c:v>
                </c:pt>
                <c:pt idx="27">
                  <c:v>2.9159999999999999</c:v>
                </c:pt>
                <c:pt idx="28">
                  <c:v>2.8889999999999998</c:v>
                </c:pt>
                <c:pt idx="29">
                  <c:v>2.9020000000000001</c:v>
                </c:pt>
                <c:pt idx="30">
                  <c:v>2.8730000000000002</c:v>
                </c:pt>
                <c:pt idx="31">
                  <c:v>2.8730000000000002</c:v>
                </c:pt>
                <c:pt idx="32">
                  <c:v>2.9340000000000002</c:v>
                </c:pt>
                <c:pt idx="33">
                  <c:v>2.919</c:v>
                </c:pt>
                <c:pt idx="34">
                  <c:v>2.89</c:v>
                </c:pt>
                <c:pt idx="35">
                  <c:v>2.9540000000000002</c:v>
                </c:pt>
                <c:pt idx="36">
                  <c:v>3.0430000000000001</c:v>
                </c:pt>
                <c:pt idx="37">
                  <c:v>3.008</c:v>
                </c:pt>
                <c:pt idx="38">
                  <c:v>3.024</c:v>
                </c:pt>
                <c:pt idx="39">
                  <c:v>2.9990000000000001</c:v>
                </c:pt>
                <c:pt idx="40">
                  <c:v>2.992</c:v>
                </c:pt>
                <c:pt idx="41">
                  <c:v>2.988</c:v>
                </c:pt>
                <c:pt idx="42">
                  <c:v>2.9780000000000002</c:v>
                </c:pt>
                <c:pt idx="43">
                  <c:v>2.9209999999999998</c:v>
                </c:pt>
                <c:pt idx="44">
                  <c:v>2.89</c:v>
                </c:pt>
                <c:pt idx="45">
                  <c:v>2.89</c:v>
                </c:pt>
                <c:pt idx="46">
                  <c:v>2.8570000000000002</c:v>
                </c:pt>
                <c:pt idx="47">
                  <c:v>2.9</c:v>
                </c:pt>
                <c:pt idx="48">
                  <c:v>2.9239999999999999</c:v>
                </c:pt>
                <c:pt idx="49">
                  <c:v>2.8940000000000001</c:v>
                </c:pt>
                <c:pt idx="50">
                  <c:v>2.7959999999999998</c:v>
                </c:pt>
                <c:pt idx="51">
                  <c:v>2.8250000000000002</c:v>
                </c:pt>
                <c:pt idx="52">
                  <c:v>2.8010000000000002</c:v>
                </c:pt>
                <c:pt idx="53">
                  <c:v>2.835</c:v>
                </c:pt>
                <c:pt idx="54">
                  <c:v>2.9</c:v>
                </c:pt>
                <c:pt idx="55">
                  <c:v>2.8980000000000001</c:v>
                </c:pt>
                <c:pt idx="56">
                  <c:v>2.8940000000000001</c:v>
                </c:pt>
                <c:pt idx="57">
                  <c:v>2.8969999999999998</c:v>
                </c:pt>
                <c:pt idx="58">
                  <c:v>2.87</c:v>
                </c:pt>
                <c:pt idx="59">
                  <c:v>2.8820000000000001</c:v>
                </c:pt>
                <c:pt idx="60">
                  <c:v>2.8290000000000002</c:v>
                </c:pt>
                <c:pt idx="61">
                  <c:v>2.7829999999999999</c:v>
                </c:pt>
                <c:pt idx="62">
                  <c:v>2.7269999999999999</c:v>
                </c:pt>
                <c:pt idx="63">
                  <c:v>2.665</c:v>
                </c:pt>
                <c:pt idx="64">
                  <c:v>2.7639999999999998</c:v>
                </c:pt>
                <c:pt idx="65">
                  <c:v>2.7749999999999999</c:v>
                </c:pt>
                <c:pt idx="66">
                  <c:v>2.8370000000000002</c:v>
                </c:pt>
                <c:pt idx="67">
                  <c:v>2.8210000000000002</c:v>
                </c:pt>
                <c:pt idx="68">
                  <c:v>2.7959999999999998</c:v>
                </c:pt>
                <c:pt idx="69">
                  <c:v>2.798</c:v>
                </c:pt>
                <c:pt idx="70">
                  <c:v>2.8250000000000002</c:v>
                </c:pt>
                <c:pt idx="71">
                  <c:v>2.8159999999999998</c:v>
                </c:pt>
                <c:pt idx="72">
                  <c:v>2.8</c:v>
                </c:pt>
                <c:pt idx="73">
                  <c:v>2.7519999999999998</c:v>
                </c:pt>
                <c:pt idx="74">
                  <c:v>2.7290000000000001</c:v>
                </c:pt>
                <c:pt idx="75">
                  <c:v>2.758</c:v>
                </c:pt>
                <c:pt idx="76">
                  <c:v>2.7519999999999998</c:v>
                </c:pt>
                <c:pt idx="77">
                  <c:v>2.7170000000000001</c:v>
                </c:pt>
                <c:pt idx="78">
                  <c:v>2.7290000000000001</c:v>
                </c:pt>
                <c:pt idx="79">
                  <c:v>2.7570000000000001</c:v>
                </c:pt>
                <c:pt idx="80">
                  <c:v>2.7530000000000001</c:v>
                </c:pt>
                <c:pt idx="81">
                  <c:v>2.7919999999999998</c:v>
                </c:pt>
                <c:pt idx="82">
                  <c:v>2.823</c:v>
                </c:pt>
                <c:pt idx="83">
                  <c:v>2.87</c:v>
                </c:pt>
                <c:pt idx="84">
                  <c:v>2.92</c:v>
                </c:pt>
                <c:pt idx="85">
                  <c:v>2.8839999999999999</c:v>
                </c:pt>
                <c:pt idx="86">
                  <c:v>2.8559999999999999</c:v>
                </c:pt>
                <c:pt idx="87">
                  <c:v>2.8490000000000002</c:v>
                </c:pt>
                <c:pt idx="88">
                  <c:v>2.879</c:v>
                </c:pt>
                <c:pt idx="89">
                  <c:v>2.84</c:v>
                </c:pt>
                <c:pt idx="90">
                  <c:v>2.823</c:v>
                </c:pt>
                <c:pt idx="91">
                  <c:v>2.8420000000000001</c:v>
                </c:pt>
                <c:pt idx="92">
                  <c:v>2.7930000000000001</c:v>
                </c:pt>
                <c:pt idx="93">
                  <c:v>2.806</c:v>
                </c:pt>
                <c:pt idx="94">
                  <c:v>2.8370000000000002</c:v>
                </c:pt>
                <c:pt idx="95">
                  <c:v>2.8340000000000001</c:v>
                </c:pt>
                <c:pt idx="96">
                  <c:v>2.8319999999999999</c:v>
                </c:pt>
                <c:pt idx="97">
                  <c:v>2.7610000000000001</c:v>
                </c:pt>
                <c:pt idx="98">
                  <c:v>2.778</c:v>
                </c:pt>
                <c:pt idx="99">
                  <c:v>2.8220000000000001</c:v>
                </c:pt>
                <c:pt idx="100">
                  <c:v>2.8279999999999998</c:v>
                </c:pt>
                <c:pt idx="101">
                  <c:v>2.8679999999999999</c:v>
                </c:pt>
                <c:pt idx="102">
                  <c:v>2.8660000000000001</c:v>
                </c:pt>
                <c:pt idx="103">
                  <c:v>2.8210000000000002</c:v>
                </c:pt>
                <c:pt idx="104">
                  <c:v>2.8359999999999999</c:v>
                </c:pt>
                <c:pt idx="105">
                  <c:v>2.8029999999999999</c:v>
                </c:pt>
                <c:pt idx="106">
                  <c:v>2.847</c:v>
                </c:pt>
                <c:pt idx="107">
                  <c:v>2.8820000000000001</c:v>
                </c:pt>
                <c:pt idx="108">
                  <c:v>2.9169999999999998</c:v>
                </c:pt>
                <c:pt idx="109">
                  <c:v>2.9390000000000001</c:v>
                </c:pt>
                <c:pt idx="110">
                  <c:v>2.9849999999999999</c:v>
                </c:pt>
                <c:pt idx="111">
                  <c:v>2.9969999999999999</c:v>
                </c:pt>
                <c:pt idx="112">
                  <c:v>3.0190000000000001</c:v>
                </c:pt>
                <c:pt idx="113">
                  <c:v>3.004</c:v>
                </c:pt>
                <c:pt idx="114">
                  <c:v>3.0379999999999998</c:v>
                </c:pt>
                <c:pt idx="115">
                  <c:v>3.0139999999999998</c:v>
                </c:pt>
                <c:pt idx="116">
                  <c:v>2.99</c:v>
                </c:pt>
                <c:pt idx="117">
                  <c:v>2.988</c:v>
                </c:pt>
                <c:pt idx="118">
                  <c:v>2.9950000000000001</c:v>
                </c:pt>
                <c:pt idx="119">
                  <c:v>3.0430000000000001</c:v>
                </c:pt>
                <c:pt idx="120">
                  <c:v>3.0609999999999999</c:v>
                </c:pt>
                <c:pt idx="121">
                  <c:v>3.03</c:v>
                </c:pt>
                <c:pt idx="122">
                  <c:v>3.09</c:v>
                </c:pt>
                <c:pt idx="123">
                  <c:v>3.14</c:v>
                </c:pt>
                <c:pt idx="124">
                  <c:v>3.101</c:v>
                </c:pt>
                <c:pt idx="125">
                  <c:v>3.1179999999999999</c:v>
                </c:pt>
                <c:pt idx="126">
                  <c:v>3.169</c:v>
                </c:pt>
                <c:pt idx="127">
                  <c:v>3.1539999999999999</c:v>
                </c:pt>
                <c:pt idx="128">
                  <c:v>3.1989999999999998</c:v>
                </c:pt>
                <c:pt idx="129">
                  <c:v>3.2269999999999999</c:v>
                </c:pt>
                <c:pt idx="130">
                  <c:v>3.173</c:v>
                </c:pt>
                <c:pt idx="131">
                  <c:v>3.129</c:v>
                </c:pt>
                <c:pt idx="132">
                  <c:v>3.11</c:v>
                </c:pt>
                <c:pt idx="133">
                  <c:v>3.0649999999999999</c:v>
                </c:pt>
                <c:pt idx="134">
                  <c:v>3.073</c:v>
                </c:pt>
                <c:pt idx="135">
                  <c:v>3.0659999999999998</c:v>
                </c:pt>
                <c:pt idx="136">
                  <c:v>3.0659999999999998</c:v>
                </c:pt>
                <c:pt idx="137">
                  <c:v>3.0569999999999999</c:v>
                </c:pt>
                <c:pt idx="138">
                  <c:v>3.03</c:v>
                </c:pt>
                <c:pt idx="139">
                  <c:v>3.07</c:v>
                </c:pt>
                <c:pt idx="140">
                  <c:v>3.0489999999999999</c:v>
                </c:pt>
                <c:pt idx="141">
                  <c:v>3.0859999999999999</c:v>
                </c:pt>
                <c:pt idx="142">
                  <c:v>3.085</c:v>
                </c:pt>
                <c:pt idx="143">
                  <c:v>3.1629999999999998</c:v>
                </c:pt>
                <c:pt idx="144">
                  <c:v>3.1779999999999999</c:v>
                </c:pt>
                <c:pt idx="145">
                  <c:v>3.09</c:v>
                </c:pt>
                <c:pt idx="146">
                  <c:v>3.0329999999999999</c:v>
                </c:pt>
                <c:pt idx="147">
                  <c:v>3.0169999999999999</c:v>
                </c:pt>
                <c:pt idx="148">
                  <c:v>3.0430000000000001</c:v>
                </c:pt>
                <c:pt idx="149">
                  <c:v>3.069</c:v>
                </c:pt>
                <c:pt idx="150">
                  <c:v>3.1429999999999998</c:v>
                </c:pt>
                <c:pt idx="151">
                  <c:v>3.1309999999999998</c:v>
                </c:pt>
                <c:pt idx="152">
                  <c:v>3.1709999999999998</c:v>
                </c:pt>
                <c:pt idx="153">
                  <c:v>3.0870000000000002</c:v>
                </c:pt>
                <c:pt idx="154">
                  <c:v>3.0470000000000002</c:v>
                </c:pt>
                <c:pt idx="155">
                  <c:v>3.0640000000000001</c:v>
                </c:pt>
                <c:pt idx="156">
                  <c:v>3.0590000000000002</c:v>
                </c:pt>
                <c:pt idx="157">
                  <c:v>3.012</c:v>
                </c:pt>
                <c:pt idx="158">
                  <c:v>2.984</c:v>
                </c:pt>
                <c:pt idx="159">
                  <c:v>3.0129999999999999</c:v>
                </c:pt>
                <c:pt idx="160">
                  <c:v>3.0049999999999999</c:v>
                </c:pt>
                <c:pt idx="161">
                  <c:v>2.9729999999999999</c:v>
                </c:pt>
                <c:pt idx="162">
                  <c:v>2.9430000000000001</c:v>
                </c:pt>
                <c:pt idx="163">
                  <c:v>3.052</c:v>
                </c:pt>
                <c:pt idx="164">
                  <c:v>2.9969999999999999</c:v>
                </c:pt>
                <c:pt idx="165">
                  <c:v>2.9969999999999999</c:v>
                </c:pt>
                <c:pt idx="166">
                  <c:v>2.9889999999999999</c:v>
                </c:pt>
                <c:pt idx="167">
                  <c:v>2.9550000000000001</c:v>
                </c:pt>
                <c:pt idx="168">
                  <c:v>2.9510000000000001</c:v>
                </c:pt>
                <c:pt idx="169">
                  <c:v>3.0179999999999998</c:v>
                </c:pt>
                <c:pt idx="170">
                  <c:v>3.0369999999999999</c:v>
                </c:pt>
                <c:pt idx="171">
                  <c:v>3.0760000000000001</c:v>
                </c:pt>
                <c:pt idx="172">
                  <c:v>3.1059999999999999</c:v>
                </c:pt>
                <c:pt idx="173">
                  <c:v>3.0550000000000002</c:v>
                </c:pt>
                <c:pt idx="174">
                  <c:v>3.101</c:v>
                </c:pt>
                <c:pt idx="175">
                  <c:v>3.1579999999999999</c:v>
                </c:pt>
                <c:pt idx="176">
                  <c:v>3.161</c:v>
                </c:pt>
                <c:pt idx="177">
                  <c:v>3.089</c:v>
                </c:pt>
                <c:pt idx="178">
                  <c:v>3.0760000000000001</c:v>
                </c:pt>
                <c:pt idx="179">
                  <c:v>3.0830000000000002</c:v>
                </c:pt>
                <c:pt idx="180">
                  <c:v>3.0920000000000001</c:v>
                </c:pt>
                <c:pt idx="181">
                  <c:v>3.052</c:v>
                </c:pt>
                <c:pt idx="182">
                  <c:v>3.0939999999999999</c:v>
                </c:pt>
                <c:pt idx="183">
                  <c:v>3.05</c:v>
                </c:pt>
                <c:pt idx="184">
                  <c:v>2.9790000000000001</c:v>
                </c:pt>
                <c:pt idx="185">
                  <c:v>3.0710000000000002</c:v>
                </c:pt>
                <c:pt idx="186">
                  <c:v>3.04</c:v>
                </c:pt>
                <c:pt idx="187">
                  <c:v>2.9790000000000001</c:v>
                </c:pt>
                <c:pt idx="188">
                  <c:v>3.0030000000000001</c:v>
                </c:pt>
                <c:pt idx="189">
                  <c:v>2.9790000000000001</c:v>
                </c:pt>
                <c:pt idx="190">
                  <c:v>2.9369999999999998</c:v>
                </c:pt>
                <c:pt idx="191">
                  <c:v>2.9830000000000001</c:v>
                </c:pt>
                <c:pt idx="192">
                  <c:v>2.984</c:v>
                </c:pt>
                <c:pt idx="193">
                  <c:v>2.8719999999999999</c:v>
                </c:pt>
                <c:pt idx="194">
                  <c:v>2.8660000000000001</c:v>
                </c:pt>
                <c:pt idx="195">
                  <c:v>2.9049999999999998</c:v>
                </c:pt>
                <c:pt idx="196">
                  <c:v>2.931</c:v>
                </c:pt>
                <c:pt idx="197">
                  <c:v>2.8860000000000001</c:v>
                </c:pt>
                <c:pt idx="198">
                  <c:v>2.9420000000000002</c:v>
                </c:pt>
                <c:pt idx="199">
                  <c:v>2.964</c:v>
                </c:pt>
                <c:pt idx="200">
                  <c:v>2.98</c:v>
                </c:pt>
                <c:pt idx="201">
                  <c:v>2.99</c:v>
                </c:pt>
                <c:pt idx="202">
                  <c:v>2.9809999999999999</c:v>
                </c:pt>
                <c:pt idx="203">
                  <c:v>2.9649999999999999</c:v>
                </c:pt>
                <c:pt idx="204">
                  <c:v>2.9060000000000001</c:v>
                </c:pt>
                <c:pt idx="205">
                  <c:v>2.871</c:v>
                </c:pt>
                <c:pt idx="206">
                  <c:v>2.855</c:v>
                </c:pt>
                <c:pt idx="207">
                  <c:v>2.819</c:v>
                </c:pt>
                <c:pt idx="208">
                  <c:v>2.8650000000000002</c:v>
                </c:pt>
                <c:pt idx="209">
                  <c:v>2.8940000000000001</c:v>
                </c:pt>
                <c:pt idx="210">
                  <c:v>2.9060000000000001</c:v>
                </c:pt>
                <c:pt idx="211">
                  <c:v>2.9769999999999999</c:v>
                </c:pt>
                <c:pt idx="212">
                  <c:v>3.0030000000000001</c:v>
                </c:pt>
                <c:pt idx="213">
                  <c:v>2.9830000000000001</c:v>
                </c:pt>
                <c:pt idx="214">
                  <c:v>3.0379999999999998</c:v>
                </c:pt>
                <c:pt idx="215">
                  <c:v>3.05</c:v>
                </c:pt>
                <c:pt idx="216">
                  <c:v>3.0329999999999999</c:v>
                </c:pt>
                <c:pt idx="217">
                  <c:v>2.9540000000000002</c:v>
                </c:pt>
                <c:pt idx="218">
                  <c:v>3.03</c:v>
                </c:pt>
                <c:pt idx="219">
                  <c:v>3.0379999999999998</c:v>
                </c:pt>
                <c:pt idx="220">
                  <c:v>2.976</c:v>
                </c:pt>
                <c:pt idx="221">
                  <c:v>3.016</c:v>
                </c:pt>
                <c:pt idx="222">
                  <c:v>3.0089999999999999</c:v>
                </c:pt>
                <c:pt idx="223">
                  <c:v>2.9769999999999999</c:v>
                </c:pt>
                <c:pt idx="224">
                  <c:v>2.9580000000000002</c:v>
                </c:pt>
                <c:pt idx="225">
                  <c:v>3.0259999999999998</c:v>
                </c:pt>
                <c:pt idx="226">
                  <c:v>2.9969999999999999</c:v>
                </c:pt>
                <c:pt idx="227">
                  <c:v>3.0369999999999999</c:v>
                </c:pt>
                <c:pt idx="228">
                  <c:v>3.012</c:v>
                </c:pt>
                <c:pt idx="229">
                  <c:v>2.9769999999999999</c:v>
                </c:pt>
                <c:pt idx="230">
                  <c:v>2.9510000000000001</c:v>
                </c:pt>
                <c:pt idx="231">
                  <c:v>2.9670000000000001</c:v>
                </c:pt>
                <c:pt idx="232">
                  <c:v>2.883</c:v>
                </c:pt>
                <c:pt idx="233">
                  <c:v>2.802</c:v>
                </c:pt>
                <c:pt idx="234">
                  <c:v>2.8170000000000002</c:v>
                </c:pt>
                <c:pt idx="235">
                  <c:v>2.8959999999999999</c:v>
                </c:pt>
                <c:pt idx="236">
                  <c:v>2.86</c:v>
                </c:pt>
                <c:pt idx="237">
                  <c:v>2.919</c:v>
                </c:pt>
                <c:pt idx="238">
                  <c:v>2.9129999999999998</c:v>
                </c:pt>
                <c:pt idx="239">
                  <c:v>2.9689999999999999</c:v>
                </c:pt>
                <c:pt idx="240">
                  <c:v>2.9830000000000001</c:v>
                </c:pt>
                <c:pt idx="241">
                  <c:v>2.9220000000000002</c:v>
                </c:pt>
                <c:pt idx="242">
                  <c:v>2.9740000000000002</c:v>
                </c:pt>
                <c:pt idx="243">
                  <c:v>2.9870000000000001</c:v>
                </c:pt>
                <c:pt idx="244">
                  <c:v>2.931</c:v>
                </c:pt>
                <c:pt idx="245">
                  <c:v>2.8889999999999998</c:v>
                </c:pt>
                <c:pt idx="246">
                  <c:v>2.86</c:v>
                </c:pt>
                <c:pt idx="247">
                  <c:v>2.8260000000000001</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06E-46D1-A927-45AB9DAB9828}"/>
            </c:ext>
          </c:extLst>
        </c:ser>
        <c:dLbls>
          <c:showLegendKey val="0"/>
          <c:showVal val="0"/>
          <c:showCatName val="0"/>
          <c:showSerName val="0"/>
          <c:showPercent val="0"/>
          <c:showBubbleSize val="0"/>
        </c:dLbls>
        <c:smooth val="0"/>
        <c:axId val="1189277823"/>
        <c:axId val="1189280703"/>
      </c:lineChart>
      <c:dateAx>
        <c:axId val="1189277823"/>
        <c:scaling>
          <c:orientation val="minMax"/>
          <c:max val="45658"/>
          <c:min val="45292"/>
        </c:scaling>
        <c:delete val="0"/>
        <c:axPos val="b"/>
        <c:numFmt formatCode="m/d/yy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80703"/>
        <c:crosses val="autoZero"/>
        <c:auto val="1"/>
        <c:lblOffset val="100"/>
        <c:baseTimeUnit val="days"/>
      </c:dateAx>
      <c:valAx>
        <c:axId val="1189280703"/>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77823"/>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emi Annual">
      <a:dk1>
        <a:sysClr val="windowText" lastClr="000000"/>
      </a:dk1>
      <a:lt1>
        <a:sysClr val="window" lastClr="FFFFFF"/>
      </a:lt1>
      <a:dk2>
        <a:srgbClr val="44546A"/>
      </a:dk2>
      <a:lt2>
        <a:srgbClr val="E7E6E6"/>
      </a:lt2>
      <a:accent1>
        <a:srgbClr val="034EA2"/>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11" ma:contentTypeDescription="Create a new document." ma:contentTypeScope="" ma:versionID="cbdbc34adac4f579b59f992811bf0ebd">
  <xsd:schema xmlns:xsd="http://www.w3.org/2001/XMLSchema" xmlns:xs="http://www.w3.org/2001/XMLSchema" xmlns:p="http://schemas.microsoft.com/office/2006/metadata/properties" xmlns:ns2="e0fb9e4e-9a17-43c4-891a-079bfb0a02bd" xmlns:ns3="a68ce457-625d-4aa4-9b00-ade22038be21" targetNamespace="http://schemas.microsoft.com/office/2006/metadata/properties" ma:root="true" ma:fieldsID="b3d5e4c1fe961ddb3630e8deecf6f510" ns2:_="" ns3:_="">
    <xsd:import namespace="e0fb9e4e-9a17-43c4-891a-079bfb0a02bd"/>
    <xsd:import namespace="a68ce457-625d-4aa4-9b00-ade22038b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ce457-625d-4aa4-9b00-ade22038b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b7ec0b-d50f-4274-96ed-1d4aa9483822}" ma:internalName="TaxCatchAll" ma:showField="CatchAllData" ma:web="a68ce457-625d-4aa4-9b00-ade22038b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b9e4e-9a17-43c4-891a-079bfb0a02b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68ce457-625d-4aa4-9b00-ade22038be2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009B-79F2-40F4-9DBF-EC4DC2A6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a68ce457-625d-4aa4-9b00-ade22038b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D84AA-26DF-44BD-B729-4DCED448F13E}">
  <ds:schemaRefs>
    <ds:schemaRef ds:uri="http://purl.org/dc/elements/1.1/"/>
    <ds:schemaRef ds:uri="http://schemas.microsoft.com/office/2006/documentManagement/types"/>
    <ds:schemaRef ds:uri="http://purl.org/dc/dcmitype/"/>
    <ds:schemaRef ds:uri="http://www.w3.org/XML/1998/namespace"/>
    <ds:schemaRef ds:uri="e0fb9e4e-9a17-43c4-891a-079bfb0a02bd"/>
    <ds:schemaRef ds:uri="http://schemas.openxmlformats.org/package/2006/metadata/core-properties"/>
    <ds:schemaRef ds:uri="a68ce457-625d-4aa4-9b00-ade22038be2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4.xml><?xml version="1.0" encoding="utf-8"?>
<ds:datastoreItem xmlns:ds="http://schemas.openxmlformats.org/officeDocument/2006/customXml" ds:itemID="{EC23DD08-6714-4EEA-8C84-20352CE5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33212</CharactersWithSpaces>
  <SharedDoc>false</SharedDoc>
  <HLinks>
    <vt:vector size="96" baseType="variant">
      <vt:variant>
        <vt:i4>7667806</vt:i4>
      </vt:variant>
      <vt:variant>
        <vt:i4>51</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7667806</vt:i4>
      </vt:variant>
      <vt:variant>
        <vt:i4>48</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1441847</vt:i4>
      </vt:variant>
      <vt:variant>
        <vt:i4>38</vt:i4>
      </vt:variant>
      <vt:variant>
        <vt:i4>0</vt:i4>
      </vt:variant>
      <vt:variant>
        <vt:i4>5</vt:i4>
      </vt:variant>
      <vt:variant>
        <vt:lpwstr/>
      </vt:variant>
      <vt:variant>
        <vt:lpwstr>_Toc190904653</vt:lpwstr>
      </vt:variant>
      <vt:variant>
        <vt:i4>1441847</vt:i4>
      </vt:variant>
      <vt:variant>
        <vt:i4>32</vt:i4>
      </vt:variant>
      <vt:variant>
        <vt:i4>0</vt:i4>
      </vt:variant>
      <vt:variant>
        <vt:i4>5</vt:i4>
      </vt:variant>
      <vt:variant>
        <vt:lpwstr/>
      </vt:variant>
      <vt:variant>
        <vt:lpwstr>_Toc190904651</vt:lpwstr>
      </vt:variant>
      <vt:variant>
        <vt:i4>1441847</vt:i4>
      </vt:variant>
      <vt:variant>
        <vt:i4>26</vt:i4>
      </vt:variant>
      <vt:variant>
        <vt:i4>0</vt:i4>
      </vt:variant>
      <vt:variant>
        <vt:i4>5</vt:i4>
      </vt:variant>
      <vt:variant>
        <vt:lpwstr/>
      </vt:variant>
      <vt:variant>
        <vt:lpwstr>_Toc190904650</vt:lpwstr>
      </vt:variant>
      <vt:variant>
        <vt:i4>1507383</vt:i4>
      </vt:variant>
      <vt:variant>
        <vt:i4>20</vt:i4>
      </vt:variant>
      <vt:variant>
        <vt:i4>0</vt:i4>
      </vt:variant>
      <vt:variant>
        <vt:i4>5</vt:i4>
      </vt:variant>
      <vt:variant>
        <vt:lpwstr/>
      </vt:variant>
      <vt:variant>
        <vt:lpwstr>_Toc190904647</vt:lpwstr>
      </vt:variant>
      <vt:variant>
        <vt:i4>1507383</vt:i4>
      </vt:variant>
      <vt:variant>
        <vt:i4>14</vt:i4>
      </vt:variant>
      <vt:variant>
        <vt:i4>0</vt:i4>
      </vt:variant>
      <vt:variant>
        <vt:i4>5</vt:i4>
      </vt:variant>
      <vt:variant>
        <vt:lpwstr/>
      </vt:variant>
      <vt:variant>
        <vt:lpwstr>_Toc190904643</vt:lpwstr>
      </vt:variant>
      <vt:variant>
        <vt:i4>1507383</vt:i4>
      </vt:variant>
      <vt:variant>
        <vt:i4>8</vt:i4>
      </vt:variant>
      <vt:variant>
        <vt:i4>0</vt:i4>
      </vt:variant>
      <vt:variant>
        <vt:i4>5</vt:i4>
      </vt:variant>
      <vt:variant>
        <vt:lpwstr/>
      </vt:variant>
      <vt:variant>
        <vt:lpwstr>_Toc190904642</vt:lpwstr>
      </vt:variant>
      <vt:variant>
        <vt:i4>1507383</vt:i4>
      </vt:variant>
      <vt:variant>
        <vt:i4>2</vt:i4>
      </vt:variant>
      <vt:variant>
        <vt:i4>0</vt:i4>
      </vt:variant>
      <vt:variant>
        <vt:i4>5</vt:i4>
      </vt:variant>
      <vt:variant>
        <vt:lpwstr/>
      </vt:variant>
      <vt:variant>
        <vt:lpwstr>_Toc190904641</vt:lpwstr>
      </vt:variant>
      <vt:variant>
        <vt:i4>2097171</vt:i4>
      </vt:variant>
      <vt:variant>
        <vt:i4>18</vt:i4>
      </vt:variant>
      <vt:variant>
        <vt:i4>0</vt:i4>
      </vt:variant>
      <vt:variant>
        <vt:i4>5</vt:i4>
      </vt:variant>
      <vt:variant>
        <vt:lpwstr>https://commission.europa.eu/strategy-and-policy/eu-budget/eu-borrower-investor-relations/nextgenerationeu-green-bonds/dashboard_en</vt:lpwstr>
      </vt:variant>
      <vt:variant>
        <vt:lpwstr/>
      </vt:variant>
      <vt:variant>
        <vt:i4>7143527</vt:i4>
      </vt:variant>
      <vt:variant>
        <vt:i4>15</vt:i4>
      </vt:variant>
      <vt:variant>
        <vt:i4>0</vt:i4>
      </vt:variant>
      <vt:variant>
        <vt:i4>5</vt:i4>
      </vt:variant>
      <vt:variant>
        <vt:lpwstr>https://commission.europa.eu/system/files/2023-07/Fourth half-yearly report on the execution of the EU borrowing and lending operations.PDF</vt:lpwstr>
      </vt:variant>
      <vt:variant>
        <vt:lpwstr/>
      </vt:variant>
      <vt:variant>
        <vt:i4>7143426</vt:i4>
      </vt:variant>
      <vt:variant>
        <vt:i4>12</vt:i4>
      </vt:variant>
      <vt:variant>
        <vt:i4>0</vt:i4>
      </vt:variant>
      <vt:variant>
        <vt:i4>5</vt:i4>
      </vt:variant>
      <vt:variant>
        <vt:lpwstr>https://www.eca.europa.eu/Lists/ECAReplies/COM-Replies-SR-2023-16/COM-Replies-SR-2023-16_EN.pdf</vt:lpwstr>
      </vt:variant>
      <vt:variant>
        <vt:lpwstr/>
      </vt:variant>
      <vt:variant>
        <vt:i4>4653163</vt:i4>
      </vt:variant>
      <vt:variant>
        <vt:i4>9</vt:i4>
      </vt:variant>
      <vt:variant>
        <vt:i4>0</vt:i4>
      </vt:variant>
      <vt:variant>
        <vt:i4>5</vt:i4>
      </vt:variant>
      <vt:variant>
        <vt:lpwstr>https://www.eca.europa.eu/ECAPublications/SR-2023-16/SR-2023-16_EN.pdf</vt:lpwstr>
      </vt:variant>
      <vt:variant>
        <vt:lpwstr/>
      </vt:variant>
      <vt:variant>
        <vt:i4>7667806</vt:i4>
      </vt:variant>
      <vt:variant>
        <vt:i4>6</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1179737</vt:i4>
      </vt:variant>
      <vt:variant>
        <vt:i4>3</vt:i4>
      </vt:variant>
      <vt:variant>
        <vt:i4>0</vt:i4>
      </vt:variant>
      <vt:variant>
        <vt:i4>5</vt:i4>
      </vt:variant>
      <vt:variant>
        <vt:lpwstr>https://eur-lex.europa.eu/legal-content/EN/TXT/PDF/?uri=CELEX:52024DC0240</vt:lpwstr>
      </vt:variant>
      <vt:variant>
        <vt:lpwstr/>
      </vt:variant>
      <vt:variant>
        <vt:i4>4653150</vt:i4>
      </vt:variant>
      <vt:variant>
        <vt:i4>0</vt:i4>
      </vt:variant>
      <vt:variant>
        <vt:i4>0</vt:i4>
      </vt:variant>
      <vt:variant>
        <vt:i4>5</vt:i4>
      </vt:variant>
      <vt:variant>
        <vt:lpwstr>https://commission.europa.eu/document/download/187852c2-07e0-4bef-af3f-5719b9077f2e_en?filename=COM_2024_474_1_EN_ACT_part1_v2.pdf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2024-01-25T06:41:00Z</cp:lastPrinted>
  <dcterms:created xsi:type="dcterms:W3CDTF">2025-02-26T08:21:00Z</dcterms:created>
  <dcterms:modified xsi:type="dcterms:W3CDTF">2025-03-19T06:57:00Z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y fmtid="{D5CDD505-2E9C-101B-9397-08002B2CF9AE}" pid="18" name="MediaServiceImageTags">
    <vt:lpwstr/>
  </property>
  <property name="OP_sanitized" fmtid="{D5CDD505-2E9C-101B-9397-08002B2CF9AE}" pid="19">
    <vt:lpwstr>True</vt:lpwstr>
  </property>
</Properties>
</file>