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032" w:rsidRPr="00DF5650" w:rsidRDefault="00DF2680" w:rsidP="00DF2680">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10910F35-30CB-440C-A450-2A55F5FAA4A8" style="width:455.25pt;height:355.5pt">
            <v:imagedata r:id="rId8" o:title=""/>
          </v:shape>
        </w:pict>
      </w:r>
    </w:p>
    <w:p w:rsidR="00573032" w:rsidRPr="00DF5650" w:rsidRDefault="00573032">
      <w:pPr>
        <w:rPr>
          <w:noProof/>
        </w:rPr>
        <w:sectPr w:rsidR="00573032" w:rsidRPr="00DF5650" w:rsidSect="00DF2680">
          <w:footerReference w:type="even" r:id="rId9"/>
          <w:footerReference w:type="default" r:id="rId10"/>
          <w:pgSz w:w="11907" w:h="16839"/>
          <w:pgMar w:top="1134" w:right="1417" w:bottom="1134" w:left="1417" w:header="709" w:footer="709" w:gutter="0"/>
          <w:pgNumType w:start="0"/>
          <w:cols w:space="720"/>
          <w:docGrid w:linePitch="360"/>
        </w:sectPr>
      </w:pPr>
    </w:p>
    <w:p w:rsidR="00573032" w:rsidRPr="00DF5650" w:rsidRDefault="00C43172">
      <w:pPr>
        <w:pStyle w:val="Exposdesmotifstitre"/>
        <w:rPr>
          <w:noProof/>
        </w:rPr>
      </w:pPr>
      <w:bookmarkStart w:id="0" w:name="_GoBack"/>
      <w:bookmarkEnd w:id="0"/>
      <w:r w:rsidRPr="00DF5650">
        <w:rPr>
          <w:noProof/>
        </w:rPr>
        <w:lastRenderedPageBreak/>
        <w:t>BEGRUNDELSE</w:t>
      </w:r>
    </w:p>
    <w:p w:rsidR="00573032" w:rsidRPr="00DF5650" w:rsidRDefault="00C43172">
      <w:pPr>
        <w:pStyle w:val="ManualHeading1"/>
        <w:rPr>
          <w:noProof/>
        </w:rPr>
      </w:pPr>
      <w:r w:rsidRPr="00DF5650">
        <w:rPr>
          <w:noProof/>
        </w:rPr>
        <w:t>1.</w:t>
      </w:r>
      <w:r w:rsidRPr="00DF5650">
        <w:rPr>
          <w:noProof/>
        </w:rPr>
        <w:tab/>
        <w:t>BAGGRUND FOR FORSLAGET</w:t>
      </w:r>
    </w:p>
    <w:p w:rsidR="00573032" w:rsidRPr="00DF5650" w:rsidRDefault="00C43172">
      <w:pPr>
        <w:pStyle w:val="ManualHeading2"/>
        <w:rPr>
          <w:rFonts w:eastAsia="Arial Unicode MS"/>
          <w:noProof/>
        </w:rPr>
      </w:pPr>
      <w:r w:rsidRPr="00DF5650">
        <w:rPr>
          <w:noProof/>
          <w:color w:val="000000"/>
          <w:u w:color="000000"/>
          <w:bdr w:val="nil"/>
        </w:rPr>
        <w:t>•</w:t>
      </w:r>
      <w:r w:rsidRPr="00DF5650">
        <w:rPr>
          <w:noProof/>
          <w:color w:val="000000"/>
          <w:u w:color="000000"/>
          <w:bdr w:val="nil"/>
        </w:rPr>
        <w:tab/>
      </w:r>
      <w:r w:rsidRPr="00DF5650">
        <w:rPr>
          <w:noProof/>
        </w:rPr>
        <w:t>Forslagets begrundelse og formål</w:t>
      </w:r>
    </w:p>
    <w:p w:rsidR="007C2FDB" w:rsidRPr="00DF5650" w:rsidRDefault="007C2FDB">
      <w:pPr>
        <w:pBdr>
          <w:top w:val="nil"/>
          <w:left w:val="nil"/>
          <w:bottom w:val="nil"/>
          <w:right w:val="nil"/>
          <w:between w:val="nil"/>
          <w:bar w:val="nil"/>
        </w:pBdr>
        <w:spacing w:before="0" w:after="240"/>
        <w:rPr>
          <w:rFonts w:eastAsia="Arial Unicode MS"/>
          <w:noProof/>
          <w:color w:val="000000"/>
        </w:rPr>
      </w:pPr>
      <w:r w:rsidRPr="00DF5650">
        <w:rPr>
          <w:noProof/>
        </w:rPr>
        <w:t>Formålet med dette forslag er at ændre Rådets direktiv 2006/112/EF</w:t>
      </w:r>
      <w:r w:rsidRPr="00E072A5">
        <w:rPr>
          <w:rStyle w:val="FootnoteReference"/>
          <w:noProof/>
        </w:rPr>
        <w:footnoteReference w:id="1"/>
      </w:r>
      <w:r w:rsidRPr="00DF5650">
        <w:rPr>
          <w:noProof/>
        </w:rPr>
        <w:t xml:space="preserve"> (momsdirektivet) med henblik på at indføre en elektronisk fritagelsesattest, der bekræfter, at en transaktion opfylder betingelserne for en specifik fritagelse</w:t>
      </w:r>
      <w:r w:rsidR="000041AB" w:rsidRPr="00DF5650">
        <w:rPr>
          <w:noProof/>
        </w:rPr>
        <w:t xml:space="preserve"> i</w:t>
      </w:r>
      <w:r w:rsidR="000041AB">
        <w:rPr>
          <w:noProof/>
        </w:rPr>
        <w:t> </w:t>
      </w:r>
      <w:r w:rsidR="000041AB" w:rsidRPr="00DF5650">
        <w:rPr>
          <w:noProof/>
        </w:rPr>
        <w:t>hen</w:t>
      </w:r>
      <w:r w:rsidRPr="00DF5650">
        <w:rPr>
          <w:noProof/>
        </w:rPr>
        <w:t xml:space="preserve">hold til direktivets artikel 151, </w:t>
      </w:r>
      <w:r w:rsidRPr="000041AB">
        <w:rPr>
          <w:noProof/>
          <w:lang w:val="pl-PL"/>
        </w:rPr>
        <w:t>stk.</w:t>
      </w:r>
      <w:r w:rsidR="000041AB" w:rsidRPr="000041AB">
        <w:rPr>
          <w:noProof/>
          <w:lang w:val="pl-PL"/>
        </w:rPr>
        <w:t> </w:t>
      </w:r>
      <w:r w:rsidRPr="000041AB">
        <w:rPr>
          <w:noProof/>
          <w:lang w:val="pl-PL"/>
        </w:rPr>
        <w:t>1</w:t>
      </w:r>
      <w:r w:rsidRPr="00DF5650">
        <w:rPr>
          <w:noProof/>
        </w:rPr>
        <w:t>, første afsnit.</w:t>
      </w:r>
    </w:p>
    <w:p w:rsidR="003D0541" w:rsidRPr="00DF5650" w:rsidRDefault="00B129D2" w:rsidP="00FE5369">
      <w:pPr>
        <w:pBdr>
          <w:top w:val="nil"/>
          <w:left w:val="nil"/>
          <w:bottom w:val="nil"/>
          <w:right w:val="nil"/>
          <w:between w:val="nil"/>
          <w:bar w:val="nil"/>
        </w:pBdr>
        <w:spacing w:before="0" w:after="240"/>
        <w:rPr>
          <w:rFonts w:cs="Calibri"/>
          <w:noProof/>
          <w:color w:val="000000" w:themeColor="text1"/>
        </w:rPr>
      </w:pPr>
      <w:r w:rsidRPr="00DF5650">
        <w:rPr>
          <w:noProof/>
        </w:rPr>
        <w:t xml:space="preserve">Bilag II til Rådets gennemførelsesforordning (EU) </w:t>
      </w:r>
      <w:r w:rsidRPr="000041AB">
        <w:rPr>
          <w:noProof/>
          <w:lang w:val="pl-PL"/>
        </w:rPr>
        <w:t>nr.</w:t>
      </w:r>
      <w:r w:rsidR="000041AB" w:rsidRPr="000041AB">
        <w:rPr>
          <w:noProof/>
          <w:lang w:val="pl-PL"/>
        </w:rPr>
        <w:t> </w:t>
      </w:r>
      <w:r w:rsidRPr="000041AB">
        <w:rPr>
          <w:noProof/>
          <w:lang w:val="pl-PL"/>
        </w:rPr>
        <w:t>2</w:t>
      </w:r>
      <w:r w:rsidRPr="00DF5650">
        <w:rPr>
          <w:noProof/>
        </w:rPr>
        <w:t>82/2011</w:t>
      </w:r>
      <w:r w:rsidR="00B87B0D" w:rsidRPr="00DF5650">
        <w:rPr>
          <w:rStyle w:val="FootnoteReference"/>
          <w:noProof/>
        </w:rPr>
        <w:footnoteReference w:id="2"/>
      </w:r>
      <w:r w:rsidRPr="00DF5650">
        <w:rPr>
          <w:noProof/>
        </w:rPr>
        <w:t xml:space="preserve"> (momsgennemførelsesforordningen) indeholder bestemmelser om en moms- eller punktafgiftsfritagelsesattest, der er udformet til at blive håndteret som en papirudgave og skal underskrives i hånden. For at gøre det muligt for medlemsstaterne at holde trit med de stigende krav</w:t>
      </w:r>
      <w:r w:rsidR="000041AB" w:rsidRPr="00DF5650">
        <w:rPr>
          <w:noProof/>
        </w:rPr>
        <w:t xml:space="preserve"> i</w:t>
      </w:r>
      <w:r w:rsidR="000041AB">
        <w:rPr>
          <w:noProof/>
        </w:rPr>
        <w:t> </w:t>
      </w:r>
      <w:r w:rsidR="000041AB" w:rsidRPr="00DF5650">
        <w:rPr>
          <w:noProof/>
        </w:rPr>
        <w:t>den</w:t>
      </w:r>
      <w:r w:rsidRPr="00DF5650">
        <w:rPr>
          <w:noProof/>
        </w:rPr>
        <w:t xml:space="preserve"> digitale tidsalder og mindske den administrative byrde for virksomhederne bør den nuværende papirudgave erstattes af den nye elektroniske attest. </w:t>
      </w:r>
      <w:bookmarkStart w:id="1" w:name="_Hlk157008872"/>
      <w:r w:rsidRPr="00DF5650">
        <w:rPr>
          <w:noProof/>
        </w:rPr>
        <w:t>Når der overgås til den elektroniske attest, vil det desuden blive muligt for medlemsstaterne at opfylde de forpligtelser, der følger af EU-lovgivningen</w:t>
      </w:r>
      <w:r w:rsidR="002F0C09" w:rsidRPr="00DF5650">
        <w:rPr>
          <w:rStyle w:val="FootnoteReference"/>
          <w:rFonts w:eastAsia="Arial Unicode MS"/>
          <w:noProof/>
        </w:rPr>
        <w:footnoteReference w:id="3"/>
      </w:r>
      <w:r w:rsidRPr="00DF5650">
        <w:rPr>
          <w:noProof/>
        </w:rPr>
        <w:t>, og som kræver, at de indfører de nødvendige tekniske midler til at muliggøre elektronisk behandling af elektronisk underskrevne dokumenter, når de anvender en onlinetjeneste, der leveres af eller på vegne af en offentlig myndighed.</w:t>
      </w:r>
      <w:bookmarkEnd w:id="1"/>
    </w:p>
    <w:p w:rsidR="00FE5369" w:rsidRPr="00DF5650" w:rsidRDefault="003D0541" w:rsidP="003D0541">
      <w:pPr>
        <w:pBdr>
          <w:top w:val="nil"/>
          <w:left w:val="nil"/>
          <w:bottom w:val="nil"/>
          <w:right w:val="nil"/>
          <w:between w:val="nil"/>
          <w:bar w:val="nil"/>
        </w:pBdr>
        <w:spacing w:before="0" w:after="240"/>
        <w:rPr>
          <w:rFonts w:cs="Calibri"/>
          <w:noProof/>
          <w:color w:val="000000" w:themeColor="text1"/>
        </w:rPr>
      </w:pPr>
      <w:r w:rsidRPr="00DF5650">
        <w:rPr>
          <w:noProof/>
          <w:color w:val="000000" w:themeColor="text1"/>
        </w:rPr>
        <w:t>Dette initiativ har også til formål at tilpasse sig punktafgiftsområdet, hvor elektroniske procedurer allerede er mulige</w:t>
      </w:r>
      <w:r w:rsidR="00A60D97" w:rsidRPr="00DF5650">
        <w:rPr>
          <w:rStyle w:val="FootnoteReference"/>
          <w:rFonts w:cs="Calibri"/>
          <w:noProof/>
          <w:color w:val="000000" w:themeColor="text1"/>
        </w:rPr>
        <w:footnoteReference w:id="4"/>
      </w:r>
      <w:r w:rsidRPr="00DF5650">
        <w:rPr>
          <w:noProof/>
          <w:color w:val="000000" w:themeColor="text1"/>
        </w:rPr>
        <w:t xml:space="preserve">. </w:t>
      </w:r>
    </w:p>
    <w:p w:rsidR="00573032" w:rsidRPr="00DF5650" w:rsidRDefault="00120535" w:rsidP="00845DA2">
      <w:pPr>
        <w:pBdr>
          <w:top w:val="nil"/>
          <w:left w:val="nil"/>
          <w:bottom w:val="nil"/>
          <w:right w:val="nil"/>
          <w:between w:val="nil"/>
          <w:bar w:val="nil"/>
        </w:pBdr>
        <w:spacing w:before="0" w:after="240"/>
        <w:rPr>
          <w:noProof/>
        </w:rPr>
      </w:pPr>
      <w:r w:rsidRPr="00DF5650">
        <w:rPr>
          <w:noProof/>
          <w:color w:val="000000" w:themeColor="text1"/>
        </w:rPr>
        <w:t xml:space="preserve">Det skal gøre det muligt for Kommissionen at vedtage gennemførelsesforanstaltninger, der fastsætter de tekniske detaljer og specifikationer vedrørende attestens elektroniske format og den måde, hvorpå den skal behandles elektronisk. </w:t>
      </w:r>
      <w:r w:rsidRPr="00DF5650">
        <w:rPr>
          <w:noProof/>
        </w:rPr>
        <w:t>De respektive gennemførelsesretsakter bør vedtages</w:t>
      </w:r>
      <w:r w:rsidR="000041AB" w:rsidRPr="00DF5650">
        <w:rPr>
          <w:noProof/>
        </w:rPr>
        <w:t xml:space="preserve"> i</w:t>
      </w:r>
      <w:r w:rsidR="000041AB">
        <w:rPr>
          <w:noProof/>
        </w:rPr>
        <w:t> </w:t>
      </w:r>
      <w:r w:rsidR="000041AB" w:rsidRPr="00DF5650">
        <w:rPr>
          <w:noProof/>
        </w:rPr>
        <w:t>sam</w:t>
      </w:r>
      <w:r w:rsidRPr="00DF5650">
        <w:rPr>
          <w:noProof/>
        </w:rPr>
        <w:t>råd med Det Stående Udvalg for Administrativt Samarbejde, der er nedsat ved artikel 58 i Rådets forordning (EU) nr. 904/2010</w:t>
      </w:r>
      <w:r w:rsidR="00C43172" w:rsidRPr="00DF5650">
        <w:rPr>
          <w:rStyle w:val="FootnoteReference"/>
          <w:noProof/>
        </w:rPr>
        <w:footnoteReference w:id="5"/>
      </w:r>
      <w:r w:rsidRPr="00DF5650">
        <w:rPr>
          <w:noProof/>
        </w:rPr>
        <w:t>, og efter undersøgelsesproceduren</w:t>
      </w:r>
      <w:r w:rsidR="000041AB" w:rsidRPr="00DF5650">
        <w:rPr>
          <w:noProof/>
        </w:rPr>
        <w:t xml:space="preserve"> i</w:t>
      </w:r>
      <w:r w:rsidR="000041AB">
        <w:rPr>
          <w:noProof/>
        </w:rPr>
        <w:t> </w:t>
      </w:r>
      <w:r w:rsidR="000041AB" w:rsidRPr="00DF5650">
        <w:rPr>
          <w:noProof/>
        </w:rPr>
        <w:t>art</w:t>
      </w:r>
      <w:r w:rsidRPr="00DF5650">
        <w:rPr>
          <w:noProof/>
        </w:rPr>
        <w:t>ikel 5</w:t>
      </w:r>
      <w:r w:rsidR="000041AB" w:rsidRPr="00DF5650">
        <w:rPr>
          <w:noProof/>
        </w:rPr>
        <w:t xml:space="preserve"> i</w:t>
      </w:r>
      <w:r w:rsidR="000041AB">
        <w:rPr>
          <w:noProof/>
        </w:rPr>
        <w:t> </w:t>
      </w:r>
      <w:r w:rsidR="000041AB" w:rsidRPr="00DF5650">
        <w:rPr>
          <w:noProof/>
        </w:rPr>
        <w:t>for</w:t>
      </w:r>
      <w:r w:rsidRPr="00DF5650">
        <w:rPr>
          <w:noProof/>
        </w:rPr>
        <w:t>ordning (EU) nr. 182/2011</w:t>
      </w:r>
      <w:r w:rsidR="00C43172" w:rsidRPr="00DF5650">
        <w:rPr>
          <w:rStyle w:val="FootnoteReference"/>
          <w:noProof/>
        </w:rPr>
        <w:footnoteReference w:id="6"/>
      </w:r>
      <w:r w:rsidRPr="00DF5650">
        <w:rPr>
          <w:noProof/>
        </w:rPr>
        <w:t>.</w:t>
      </w:r>
    </w:p>
    <w:p w:rsidR="00A552F5" w:rsidRPr="00DF5650" w:rsidRDefault="0067287A" w:rsidP="00A552F5">
      <w:pPr>
        <w:spacing w:after="200"/>
        <w:rPr>
          <w:noProof/>
        </w:rPr>
      </w:pPr>
      <w:r w:rsidRPr="00DF5650">
        <w:rPr>
          <w:noProof/>
        </w:rPr>
        <w:t>Dette forslag er resultatet af en tilbundsgående analyse af gennemførligheden af og omkostningerne ved at indføre en elektronisk fritagelsesattest, som blev foretaget på anmodning af medlemsstaterne, der havde trukket dette element i et tidligere forslag fra Kommissionen fra april 2021</w:t>
      </w:r>
      <w:r w:rsidRPr="00DF5650">
        <w:rPr>
          <w:rStyle w:val="FootnoteReference"/>
          <w:noProof/>
        </w:rPr>
        <w:footnoteReference w:id="7"/>
      </w:r>
      <w:r w:rsidRPr="00DF5650">
        <w:rPr>
          <w:noProof/>
        </w:rPr>
        <w:t xml:space="preserve"> ("købs- og donationsforslaget") tilbage og anmodet om mere indsigt</w:t>
      </w:r>
      <w:r w:rsidR="000041AB" w:rsidRPr="00DF5650">
        <w:rPr>
          <w:noProof/>
        </w:rPr>
        <w:t xml:space="preserve"> i</w:t>
      </w:r>
      <w:r w:rsidR="000041AB">
        <w:rPr>
          <w:noProof/>
        </w:rPr>
        <w:t> </w:t>
      </w:r>
      <w:r w:rsidR="000041AB" w:rsidRPr="00DF5650">
        <w:rPr>
          <w:noProof/>
        </w:rPr>
        <w:t>gen</w:t>
      </w:r>
      <w:r w:rsidRPr="00DF5650">
        <w:rPr>
          <w:noProof/>
        </w:rPr>
        <w:t>nemførelsesaspekterne, da de tilsvarende ændringer af momsdirektivet blev vedtaget</w:t>
      </w:r>
      <w:r w:rsidR="000041AB" w:rsidRPr="00DF5650">
        <w:rPr>
          <w:noProof/>
        </w:rPr>
        <w:t xml:space="preserve"> i</w:t>
      </w:r>
      <w:r w:rsidR="000041AB">
        <w:rPr>
          <w:noProof/>
        </w:rPr>
        <w:t> </w:t>
      </w:r>
      <w:r w:rsidR="000041AB" w:rsidRPr="00DF5650">
        <w:rPr>
          <w:noProof/>
        </w:rPr>
        <w:t>jul</w:t>
      </w:r>
      <w:r w:rsidRPr="00DF5650">
        <w:rPr>
          <w:noProof/>
        </w:rPr>
        <w:t>i 2021</w:t>
      </w:r>
      <w:r w:rsidRPr="00DF5650">
        <w:rPr>
          <w:rStyle w:val="FootnoteReference"/>
          <w:noProof/>
        </w:rPr>
        <w:footnoteReference w:id="8"/>
      </w:r>
      <w:r w:rsidRPr="00DF5650">
        <w:rPr>
          <w:noProof/>
        </w:rPr>
        <w:t>.</w:t>
      </w:r>
    </w:p>
    <w:p w:rsidR="00A552F5" w:rsidRPr="00DF5650" w:rsidRDefault="008924E8" w:rsidP="008924E8">
      <w:pPr>
        <w:spacing w:after="200"/>
        <w:rPr>
          <w:noProof/>
        </w:rPr>
      </w:pPr>
      <w:r w:rsidRPr="00DF5650">
        <w:rPr>
          <w:noProof/>
        </w:rPr>
        <w:t xml:space="preserve">Efter at der ved </w:t>
      </w:r>
      <w:r w:rsidRPr="000041AB">
        <w:rPr>
          <w:noProof/>
          <w:lang w:val="pl-PL"/>
        </w:rPr>
        <w:t>det</w:t>
      </w:r>
      <w:r w:rsidR="000041AB" w:rsidRPr="000041AB">
        <w:rPr>
          <w:noProof/>
          <w:lang w:val="pl-PL"/>
        </w:rPr>
        <w:t> </w:t>
      </w:r>
      <w:r w:rsidRPr="000041AB">
        <w:rPr>
          <w:noProof/>
          <w:lang w:val="pl-PL"/>
        </w:rPr>
        <w:t>3</w:t>
      </w:r>
      <w:r w:rsidRPr="00DF5650">
        <w:rPr>
          <w:noProof/>
        </w:rPr>
        <w:t>6. møde</w:t>
      </w:r>
      <w:r w:rsidR="000041AB" w:rsidRPr="00DF5650">
        <w:rPr>
          <w:noProof/>
        </w:rPr>
        <w:t xml:space="preserve"> i</w:t>
      </w:r>
      <w:r w:rsidR="000041AB">
        <w:rPr>
          <w:noProof/>
        </w:rPr>
        <w:t> </w:t>
      </w:r>
      <w:r w:rsidR="000041AB" w:rsidRPr="00DF5650">
        <w:rPr>
          <w:noProof/>
        </w:rPr>
        <w:t>Gru</w:t>
      </w:r>
      <w:r w:rsidRPr="00DF5650">
        <w:rPr>
          <w:noProof/>
        </w:rPr>
        <w:t>ppen vedrørende Momssystemets Fremtid</w:t>
      </w:r>
      <w:r w:rsidR="000041AB" w:rsidRPr="00DF5650">
        <w:rPr>
          <w:noProof/>
        </w:rPr>
        <w:t xml:space="preserve"> i</w:t>
      </w:r>
      <w:r w:rsidR="000041AB">
        <w:rPr>
          <w:noProof/>
        </w:rPr>
        <w:t> </w:t>
      </w:r>
      <w:r w:rsidR="000041AB" w:rsidRPr="00DF5650">
        <w:rPr>
          <w:noProof/>
        </w:rPr>
        <w:t>dec</w:t>
      </w:r>
      <w:r w:rsidRPr="00DF5650">
        <w:rPr>
          <w:noProof/>
        </w:rPr>
        <w:t>ember 2021 blev udtrykt bred støtte til omdannelse af fritagelsesattesten til et elektronisk format, gav SCAC's</w:t>
      </w:r>
      <w:r w:rsidR="007F320D" w:rsidRPr="00DF5650">
        <w:rPr>
          <w:rStyle w:val="FootnoteReference"/>
          <w:noProof/>
        </w:rPr>
        <w:footnoteReference w:id="9"/>
      </w:r>
      <w:r w:rsidRPr="00DF5650">
        <w:rPr>
          <w:noProof/>
        </w:rPr>
        <w:t xml:space="preserve"> ekspertgruppe</w:t>
      </w:r>
      <w:r w:rsidR="000041AB" w:rsidRPr="00DF5650">
        <w:rPr>
          <w:noProof/>
        </w:rPr>
        <w:t xml:space="preserve"> i</w:t>
      </w:r>
      <w:r w:rsidR="000041AB">
        <w:rPr>
          <w:noProof/>
        </w:rPr>
        <w:t> </w:t>
      </w:r>
      <w:r w:rsidR="000041AB" w:rsidRPr="000041AB">
        <w:rPr>
          <w:noProof/>
          <w:lang w:val="pl-PL"/>
        </w:rPr>
        <w:t>maj </w:t>
      </w:r>
      <w:r w:rsidRPr="000041AB">
        <w:rPr>
          <w:noProof/>
          <w:lang w:val="pl-PL"/>
        </w:rPr>
        <w:t>2</w:t>
      </w:r>
      <w:r w:rsidRPr="00DF5650">
        <w:rPr>
          <w:noProof/>
        </w:rPr>
        <w:t>022 SCIT</w:t>
      </w:r>
      <w:r w:rsidR="007F320D" w:rsidRPr="00DF5650">
        <w:rPr>
          <w:rStyle w:val="FootnoteReference"/>
          <w:noProof/>
        </w:rPr>
        <w:footnoteReference w:id="10"/>
      </w:r>
      <w:r w:rsidRPr="00DF5650">
        <w:rPr>
          <w:noProof/>
        </w:rPr>
        <w:t xml:space="preserve"> mandat til at undersøge gennemførligheden af og omkostningerne ved et sådant projekt samt dets gennemførelsesaspekter. SCAC's ekspertgruppe drøftede resultaterne af denne tekniske undersøgelse</w:t>
      </w:r>
      <w:r w:rsidR="00A552F5" w:rsidRPr="00DF5650">
        <w:rPr>
          <w:rStyle w:val="FootnoteReference"/>
          <w:noProof/>
        </w:rPr>
        <w:footnoteReference w:id="11"/>
      </w:r>
      <w:r w:rsidRPr="00DF5650">
        <w:rPr>
          <w:noProof/>
        </w:rPr>
        <w:t xml:space="preserve"> på </w:t>
      </w:r>
      <w:r w:rsidRPr="000041AB">
        <w:rPr>
          <w:noProof/>
          <w:lang w:val="pl-PL"/>
        </w:rPr>
        <w:t>sit</w:t>
      </w:r>
      <w:r w:rsidR="000041AB" w:rsidRPr="000041AB">
        <w:rPr>
          <w:noProof/>
          <w:lang w:val="pl-PL"/>
        </w:rPr>
        <w:t> </w:t>
      </w:r>
      <w:r w:rsidRPr="000041AB">
        <w:rPr>
          <w:noProof/>
          <w:lang w:val="pl-PL"/>
        </w:rPr>
        <w:t>2</w:t>
      </w:r>
      <w:r w:rsidRPr="00DF5650">
        <w:rPr>
          <w:noProof/>
        </w:rPr>
        <w:t>7. møde</w:t>
      </w:r>
      <w:r w:rsidR="000041AB" w:rsidRPr="00DF5650">
        <w:rPr>
          <w:noProof/>
        </w:rPr>
        <w:t xml:space="preserve"> i</w:t>
      </w:r>
      <w:r w:rsidR="000041AB">
        <w:rPr>
          <w:noProof/>
        </w:rPr>
        <w:t> </w:t>
      </w:r>
      <w:r w:rsidR="000041AB" w:rsidRPr="00DF5650">
        <w:rPr>
          <w:noProof/>
        </w:rPr>
        <w:t>feb</w:t>
      </w:r>
      <w:r w:rsidRPr="00DF5650">
        <w:rPr>
          <w:noProof/>
        </w:rPr>
        <w:t>ruar 2023</w:t>
      </w:r>
      <w:r w:rsidR="0069499B" w:rsidRPr="00DF5650">
        <w:rPr>
          <w:rStyle w:val="FootnoteReference"/>
          <w:noProof/>
        </w:rPr>
        <w:footnoteReference w:id="12"/>
      </w:r>
      <w:r w:rsidRPr="00DF5650">
        <w:rPr>
          <w:noProof/>
        </w:rPr>
        <w:t>.</w:t>
      </w:r>
    </w:p>
    <w:p w:rsidR="008924E8" w:rsidRPr="00DF5650" w:rsidRDefault="008924E8" w:rsidP="00443D0D">
      <w:pPr>
        <w:spacing w:after="200"/>
        <w:rPr>
          <w:noProof/>
        </w:rPr>
      </w:pPr>
      <w:r w:rsidRPr="00DF5650">
        <w:rPr>
          <w:noProof/>
        </w:rPr>
        <w:t xml:space="preserve">På </w:t>
      </w:r>
      <w:r w:rsidRPr="000041AB">
        <w:rPr>
          <w:noProof/>
          <w:lang w:val="pl-PL"/>
        </w:rPr>
        <w:t>det</w:t>
      </w:r>
      <w:r w:rsidR="000041AB" w:rsidRPr="000041AB">
        <w:rPr>
          <w:noProof/>
          <w:lang w:val="pl-PL"/>
        </w:rPr>
        <w:t> </w:t>
      </w:r>
      <w:r w:rsidRPr="000041AB">
        <w:rPr>
          <w:noProof/>
          <w:lang w:val="pl-PL"/>
        </w:rPr>
        <w:t>4</w:t>
      </w:r>
      <w:r w:rsidRPr="00DF5650">
        <w:rPr>
          <w:noProof/>
        </w:rPr>
        <w:t>3. møde</w:t>
      </w:r>
      <w:r w:rsidR="000041AB" w:rsidRPr="00DF5650">
        <w:rPr>
          <w:noProof/>
        </w:rPr>
        <w:t xml:space="preserve"> i</w:t>
      </w:r>
      <w:r w:rsidR="000041AB">
        <w:rPr>
          <w:noProof/>
        </w:rPr>
        <w:t> </w:t>
      </w:r>
      <w:r w:rsidR="000041AB" w:rsidRPr="00DF5650">
        <w:rPr>
          <w:noProof/>
        </w:rPr>
        <w:t>Gru</w:t>
      </w:r>
      <w:r w:rsidRPr="00DF5650">
        <w:rPr>
          <w:noProof/>
        </w:rPr>
        <w:t>ppen vedrørende Momssystemets Fremtid, der blev afholdt</w:t>
      </w:r>
      <w:r w:rsidR="000041AB" w:rsidRPr="00DF5650">
        <w:rPr>
          <w:noProof/>
        </w:rPr>
        <w:t xml:space="preserve"> i</w:t>
      </w:r>
      <w:r w:rsidR="000041AB">
        <w:rPr>
          <w:noProof/>
        </w:rPr>
        <w:t> </w:t>
      </w:r>
      <w:r w:rsidR="000041AB" w:rsidRPr="00DF5650">
        <w:rPr>
          <w:noProof/>
        </w:rPr>
        <w:t>nov</w:t>
      </w:r>
      <w:r w:rsidRPr="00DF5650">
        <w:rPr>
          <w:noProof/>
        </w:rPr>
        <w:t>ember 2023, blev der opnået enighed om princippet om en digital løsning for fritagelsesattesten med præference for en mulighed, der omfatter en PDF-formular ledsaget af en fuldt elektronisk proces. Denne tekniske løsning har den fordel, at den bygger på allerede udviklede standarder, da den er baseret på GD TAXUD's tekniske stack- og open source-teknologier, hvilket gør den egnet til udrulning i GD TAXUD's datacentre. De tekniske drøftelser med medlemsstaterne vil fortsætte inden for rammerne af SCAC og SCIT, herunder yderligere analyse af tekniske detaljer, hvilket også vil gøre det muligt for medlemsstaterne at indhente de nødvendige elementer til beregning af deres omkostninger.</w:t>
      </w:r>
    </w:p>
    <w:p w:rsidR="00845DA2" w:rsidRPr="00DF5650" w:rsidRDefault="00845DA2" w:rsidP="00845DA2">
      <w:pPr>
        <w:pBdr>
          <w:top w:val="nil"/>
          <w:left w:val="nil"/>
          <w:bottom w:val="nil"/>
          <w:right w:val="nil"/>
          <w:between w:val="nil"/>
          <w:bar w:val="nil"/>
        </w:pBdr>
        <w:spacing w:before="0" w:after="240"/>
        <w:rPr>
          <w:rFonts w:cs="Calibri"/>
          <w:noProof/>
          <w:color w:val="000000" w:themeColor="text1"/>
        </w:rPr>
      </w:pPr>
      <w:r w:rsidRPr="00DF5650">
        <w:rPr>
          <w:noProof/>
          <w:color w:val="000000" w:themeColor="text1"/>
        </w:rPr>
        <w:t xml:space="preserve">I betragtning af det store antal IT-projekter, som de i øjeblikket står over for, vil medlemsstaterne fortsat kunne anvende papirudgaven af fritagelsesattesten i en overgangsperiode indtil </w:t>
      </w:r>
      <w:r w:rsidRPr="000041AB">
        <w:rPr>
          <w:noProof/>
          <w:color w:val="000000" w:themeColor="text1"/>
          <w:lang w:val="pl-PL"/>
        </w:rPr>
        <w:t>den</w:t>
      </w:r>
      <w:r w:rsidR="000041AB" w:rsidRPr="000041AB">
        <w:rPr>
          <w:noProof/>
          <w:color w:val="000000" w:themeColor="text1"/>
          <w:lang w:val="pl-PL"/>
        </w:rPr>
        <w:t> </w:t>
      </w:r>
      <w:r w:rsidRPr="000041AB">
        <w:rPr>
          <w:noProof/>
          <w:color w:val="000000" w:themeColor="text1"/>
          <w:lang w:val="pl-PL"/>
        </w:rPr>
        <w:t>3</w:t>
      </w:r>
      <w:r w:rsidRPr="00DF5650">
        <w:rPr>
          <w:noProof/>
          <w:color w:val="000000" w:themeColor="text1"/>
        </w:rPr>
        <w:t>0. juni 2030. For at gøre det så let som muligt for medlemsstaterne at skifte til den elektroniske procedure bør denne mulighed være fleksibel og tilgængelig for hver enkelt transaktion.</w:t>
      </w:r>
    </w:p>
    <w:p w:rsidR="00D0372F" w:rsidRPr="00DF5650" w:rsidRDefault="00D0372F" w:rsidP="00EB30AF">
      <w:pPr>
        <w:pBdr>
          <w:top w:val="nil"/>
          <w:left w:val="nil"/>
          <w:bottom w:val="nil"/>
          <w:right w:val="nil"/>
          <w:between w:val="nil"/>
          <w:bar w:val="nil"/>
        </w:pBdr>
        <w:spacing w:before="0" w:after="240"/>
        <w:rPr>
          <w:rFonts w:cs="Calibri"/>
          <w:noProof/>
          <w:color w:val="000000" w:themeColor="text1"/>
        </w:rPr>
      </w:pPr>
      <w:r w:rsidRPr="00DF5650">
        <w:rPr>
          <w:noProof/>
          <w:color w:val="000000" w:themeColor="text1"/>
        </w:rPr>
        <w:t xml:space="preserve">Af hensyn til retssikkerheden og den administrative forenkling og for at undgå yderligere IT-gennemførelsesomkostninger vil der ved anvendelse af den elektroniske fritagelsesattest ikke blive skelnet mellem indenlandske og grænseoverskridende transaktioner. </w:t>
      </w:r>
      <w:r w:rsidRPr="00DF5650">
        <w:rPr>
          <w:noProof/>
        </w:rPr>
        <w:t>Den elektroniske fritagelsesattest vil også blive anvendt, hvis fritagelsen indrømmes</w:t>
      </w:r>
      <w:r w:rsidR="000041AB" w:rsidRPr="00DF5650">
        <w:rPr>
          <w:noProof/>
        </w:rPr>
        <w:t xml:space="preserve"> i</w:t>
      </w:r>
      <w:r w:rsidR="000041AB">
        <w:rPr>
          <w:noProof/>
        </w:rPr>
        <w:t> </w:t>
      </w:r>
      <w:r w:rsidR="000041AB" w:rsidRPr="00DF5650">
        <w:rPr>
          <w:noProof/>
        </w:rPr>
        <w:t>for</w:t>
      </w:r>
      <w:r w:rsidRPr="00DF5650">
        <w:rPr>
          <w:noProof/>
        </w:rPr>
        <w:t>m af tilbagebetaling af moms</w:t>
      </w:r>
      <w:r w:rsidR="000041AB" w:rsidRPr="00DF5650">
        <w:rPr>
          <w:noProof/>
        </w:rPr>
        <w:t xml:space="preserve"> i</w:t>
      </w:r>
      <w:r w:rsidR="000041AB">
        <w:rPr>
          <w:noProof/>
        </w:rPr>
        <w:t> </w:t>
      </w:r>
      <w:r w:rsidR="000041AB" w:rsidRPr="00DF5650">
        <w:rPr>
          <w:noProof/>
        </w:rPr>
        <w:t>ove</w:t>
      </w:r>
      <w:r w:rsidRPr="00DF5650">
        <w:rPr>
          <w:noProof/>
        </w:rPr>
        <w:t xml:space="preserve">rensstemmelse med momsdirektivets artikel 151, </w:t>
      </w:r>
      <w:r w:rsidRPr="000041AB">
        <w:rPr>
          <w:noProof/>
          <w:lang w:val="pl-PL"/>
        </w:rPr>
        <w:t>stk.</w:t>
      </w:r>
      <w:r w:rsidR="000041AB" w:rsidRPr="000041AB">
        <w:rPr>
          <w:noProof/>
          <w:lang w:val="pl-PL"/>
        </w:rPr>
        <w:t> </w:t>
      </w:r>
      <w:r w:rsidRPr="000041AB">
        <w:rPr>
          <w:noProof/>
          <w:lang w:val="pl-PL"/>
        </w:rPr>
        <w:t>2</w:t>
      </w:r>
      <w:r w:rsidRPr="00DF5650">
        <w:rPr>
          <w:noProof/>
        </w:rPr>
        <w:t>.</w:t>
      </w:r>
    </w:p>
    <w:p w:rsidR="005D2008" w:rsidRPr="00DF5650" w:rsidRDefault="00BC76EA" w:rsidP="00845DA2">
      <w:pPr>
        <w:pBdr>
          <w:top w:val="nil"/>
          <w:left w:val="nil"/>
          <w:bottom w:val="nil"/>
          <w:right w:val="nil"/>
          <w:between w:val="nil"/>
          <w:bar w:val="nil"/>
        </w:pBdr>
        <w:spacing w:before="0" w:after="240"/>
        <w:rPr>
          <w:rFonts w:cs="Calibri"/>
          <w:noProof/>
          <w:color w:val="000000" w:themeColor="text1"/>
        </w:rPr>
      </w:pPr>
      <w:r w:rsidRPr="00DF5650">
        <w:rPr>
          <w:noProof/>
          <w:color w:val="000000" w:themeColor="text1"/>
        </w:rPr>
        <w:t>Desuden tilføjes der med dette forslag en ny bestemmelse, der præciserer, at det</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til</w:t>
      </w:r>
      <w:r w:rsidRPr="00DF5650">
        <w:rPr>
          <w:noProof/>
          <w:color w:val="000000" w:themeColor="text1"/>
        </w:rPr>
        <w:t>fælde, hvor betingelserne for fritagelse ikke er opfyldt eller ophører med at finde anvendelse, er det fritagelsesberettigede organ/den fritagelsesberettigede enkeltperson, der har udstedt attesten, som er forpligtet til at betale den skyldige moms. Den afgiftspligtige person ville i en sådan situation uberettiget blive stillet ringere som følge af et krav om yderligere betaling af moms, da kun det fritagelsesberettigede organ/den fritagelsesberettigede enkeltperson normalt ville have kendskab til de relevante oplysninger om opfyldelsen af betingelserne for fritagelsen. En sådan præcisering er også nødvendig for at undgå retsusikkerhed. For at undgå unødvendige byrder</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dis</w:t>
      </w:r>
      <w:r w:rsidRPr="00DF5650">
        <w:rPr>
          <w:noProof/>
          <w:color w:val="000000" w:themeColor="text1"/>
        </w:rPr>
        <w:t>se ekstraordinære tilfælde kan medlemsstaterne træffe de nødvendige foranstaltninger for at give fritagelsesberettigede organer/enkeltpersoner mulighed for at betale den skyldige moms, uden at der er behov for fuld momsregistrering.</w:t>
      </w:r>
    </w:p>
    <w:p w:rsidR="00B6010A" w:rsidRPr="00DF5650" w:rsidRDefault="00964265" w:rsidP="00B6010A">
      <w:pPr>
        <w:pBdr>
          <w:top w:val="nil"/>
          <w:left w:val="nil"/>
          <w:bottom w:val="nil"/>
          <w:right w:val="nil"/>
          <w:between w:val="nil"/>
          <w:bar w:val="nil"/>
        </w:pBdr>
        <w:spacing w:before="0" w:after="240"/>
        <w:rPr>
          <w:rFonts w:cs="Calibri"/>
          <w:noProof/>
          <w:color w:val="000000" w:themeColor="text1"/>
        </w:rPr>
      </w:pPr>
      <w:r w:rsidRPr="00DF5650">
        <w:rPr>
          <w:noProof/>
        </w:rPr>
        <w:t>Den bestemmelse om automatisk validering, der er fastsat</w:t>
      </w:r>
      <w:r w:rsidR="000041AB" w:rsidRPr="00DF5650">
        <w:rPr>
          <w:noProof/>
        </w:rPr>
        <w:t xml:space="preserve"> i</w:t>
      </w:r>
      <w:r w:rsidR="000041AB">
        <w:rPr>
          <w:noProof/>
        </w:rPr>
        <w:t> </w:t>
      </w:r>
      <w:r w:rsidR="000041AB" w:rsidRPr="00DF5650">
        <w:rPr>
          <w:noProof/>
        </w:rPr>
        <w:t>mom</w:t>
      </w:r>
      <w:r w:rsidRPr="00DF5650">
        <w:rPr>
          <w:noProof/>
        </w:rPr>
        <w:t xml:space="preserve">sgennemførelsesforordningens artikel 51, </w:t>
      </w:r>
      <w:r w:rsidRPr="000041AB">
        <w:rPr>
          <w:noProof/>
          <w:lang w:val="pl-PL"/>
        </w:rPr>
        <w:t>stk.</w:t>
      </w:r>
      <w:r w:rsidR="000041AB" w:rsidRPr="000041AB">
        <w:rPr>
          <w:noProof/>
          <w:lang w:val="pl-PL"/>
        </w:rPr>
        <w:t> </w:t>
      </w:r>
      <w:r w:rsidRPr="000041AB">
        <w:rPr>
          <w:noProof/>
          <w:lang w:val="pl-PL"/>
        </w:rPr>
        <w:t>2</w:t>
      </w:r>
      <w:r w:rsidRPr="00DF5650">
        <w:rPr>
          <w:noProof/>
        </w:rPr>
        <w:t>, vil blive opretholdt</w:t>
      </w:r>
      <w:r w:rsidR="000041AB" w:rsidRPr="00DF5650">
        <w:rPr>
          <w:noProof/>
        </w:rPr>
        <w:t xml:space="preserve"> i</w:t>
      </w:r>
      <w:r w:rsidR="000041AB">
        <w:rPr>
          <w:noProof/>
        </w:rPr>
        <w:t> </w:t>
      </w:r>
      <w:r w:rsidR="000041AB" w:rsidRPr="00DF5650">
        <w:rPr>
          <w:noProof/>
        </w:rPr>
        <w:t>for</w:t>
      </w:r>
      <w:r w:rsidRPr="00DF5650">
        <w:rPr>
          <w:noProof/>
        </w:rPr>
        <w:t>bindelse med den nye elektroniske procedure.</w:t>
      </w:r>
      <w:r w:rsidRPr="00DF5650">
        <w:rPr>
          <w:noProof/>
          <w:color w:val="000000" w:themeColor="text1"/>
        </w:rPr>
        <w:t xml:space="preserve"> Dette medfører, at medlemsstaterne, hvis varerne eller ydelserne er beregnet til officiel brug, kan dispensere fritagelsesberettigede organer/enkeltpersoner fra kravet om, at attesten skal underskrives elektronisk af værtsmedlemsstaten, på betingelser, som de selv fastsætter. Denne dispensation kan trækkes tilbage</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til</w:t>
      </w:r>
      <w:r w:rsidRPr="00DF5650">
        <w:rPr>
          <w:noProof/>
          <w:color w:val="000000" w:themeColor="text1"/>
        </w:rPr>
        <w:t>fælde af misbrug.</w:t>
      </w:r>
    </w:p>
    <w:p w:rsidR="00506F04" w:rsidRPr="00DF5650" w:rsidRDefault="00BC76EA" w:rsidP="00845DA2">
      <w:pPr>
        <w:pBdr>
          <w:top w:val="nil"/>
          <w:left w:val="nil"/>
          <w:bottom w:val="nil"/>
          <w:right w:val="nil"/>
          <w:between w:val="nil"/>
          <w:bar w:val="nil"/>
        </w:pBdr>
        <w:spacing w:before="0" w:after="240"/>
        <w:rPr>
          <w:rFonts w:cs="Calibri"/>
          <w:noProof/>
          <w:color w:val="000000" w:themeColor="text1"/>
        </w:rPr>
      </w:pPr>
      <w:r w:rsidRPr="00DF5650">
        <w:rPr>
          <w:noProof/>
        </w:rPr>
        <w:t xml:space="preserve">Medlemsstaterne vil skulle anvende de nye regler fra </w:t>
      </w:r>
      <w:r w:rsidRPr="000041AB">
        <w:rPr>
          <w:noProof/>
          <w:lang w:val="pl-PL"/>
        </w:rPr>
        <w:t>den</w:t>
      </w:r>
      <w:r w:rsidR="000041AB" w:rsidRPr="000041AB">
        <w:rPr>
          <w:noProof/>
          <w:lang w:val="pl-PL"/>
        </w:rPr>
        <w:t> </w:t>
      </w:r>
      <w:r w:rsidRPr="000041AB">
        <w:rPr>
          <w:noProof/>
          <w:lang w:val="pl-PL"/>
        </w:rPr>
        <w:t>1</w:t>
      </w:r>
      <w:r w:rsidRPr="00DF5650">
        <w:rPr>
          <w:noProof/>
        </w:rPr>
        <w:t>. juli 2026, hvilket vil give dem tilstrækkelig tid til at gennemføre den nye elektroniske fritagelsesattest og -procedure.</w:t>
      </w:r>
    </w:p>
    <w:p w:rsidR="00573032" w:rsidRPr="00DF5650" w:rsidRDefault="00C43172">
      <w:pPr>
        <w:pStyle w:val="ManualHeading2"/>
        <w:rPr>
          <w:rFonts w:eastAsia="Arial Unicode MS"/>
          <w:noProof/>
          <w:color w:val="000000"/>
          <w:u w:color="000000"/>
          <w:bdr w:val="nil"/>
        </w:rPr>
      </w:pPr>
      <w:r w:rsidRPr="00DF5650">
        <w:rPr>
          <w:noProof/>
          <w:color w:val="000000"/>
          <w:u w:color="000000"/>
          <w:bdr w:val="nil"/>
        </w:rPr>
        <w:t>•</w:t>
      </w:r>
      <w:r w:rsidRPr="00DF5650">
        <w:rPr>
          <w:noProof/>
          <w:color w:val="000000"/>
          <w:u w:color="000000"/>
          <w:bdr w:val="nil"/>
        </w:rPr>
        <w:tab/>
      </w:r>
      <w:r w:rsidRPr="00DF5650">
        <w:rPr>
          <w:noProof/>
        </w:rPr>
        <w:t>Sammenhæng med de gældende regler på samme område</w:t>
      </w:r>
    </w:p>
    <w:p w:rsidR="00946B52" w:rsidRPr="00DF5650" w:rsidRDefault="005C3F41" w:rsidP="006D0B10">
      <w:pPr>
        <w:pStyle w:val="Text1"/>
        <w:ind w:left="0"/>
        <w:rPr>
          <w:noProof/>
        </w:rPr>
      </w:pPr>
      <w:r w:rsidRPr="00DF5650">
        <w:rPr>
          <w:noProof/>
        </w:rPr>
        <w:t>Forslaget giver mulighed for at overgå til en elektronisk fritagelsesattest som næste skridt efter tilpasningen</w:t>
      </w:r>
      <w:r w:rsidR="000041AB" w:rsidRPr="00DF5650">
        <w:rPr>
          <w:noProof/>
        </w:rPr>
        <w:t xml:space="preserve"> i</w:t>
      </w:r>
      <w:r w:rsidR="000041AB">
        <w:rPr>
          <w:noProof/>
        </w:rPr>
        <w:t> </w:t>
      </w:r>
      <w:r w:rsidR="000041AB" w:rsidRPr="00DF5650">
        <w:rPr>
          <w:noProof/>
        </w:rPr>
        <w:t>2</w:t>
      </w:r>
      <w:r w:rsidRPr="00DF5650">
        <w:rPr>
          <w:noProof/>
        </w:rPr>
        <w:t>022</w:t>
      </w:r>
      <w:r w:rsidRPr="00DF5650">
        <w:rPr>
          <w:rStyle w:val="FootnoteReference"/>
          <w:noProof/>
        </w:rPr>
        <w:footnoteReference w:id="13"/>
      </w:r>
      <w:r w:rsidRPr="00DF5650">
        <w:rPr>
          <w:noProof/>
        </w:rPr>
        <w:t>, hvilket afspejler det udvidede anvendelsesområde for fritagelserne</w:t>
      </w:r>
      <w:r w:rsidR="000041AB" w:rsidRPr="00DF5650">
        <w:rPr>
          <w:noProof/>
        </w:rPr>
        <w:t xml:space="preserve"> i</w:t>
      </w:r>
      <w:r w:rsidR="000041AB">
        <w:rPr>
          <w:noProof/>
        </w:rPr>
        <w:t> </w:t>
      </w:r>
      <w:r w:rsidR="000041AB" w:rsidRPr="00DF5650">
        <w:rPr>
          <w:noProof/>
        </w:rPr>
        <w:t>hen</w:t>
      </w:r>
      <w:r w:rsidRPr="00DF5650">
        <w:rPr>
          <w:noProof/>
        </w:rPr>
        <w:t xml:space="preserve">hold til momsdirektivets artikel 151, </w:t>
      </w:r>
      <w:r w:rsidRPr="000041AB">
        <w:rPr>
          <w:noProof/>
          <w:lang w:val="pl-PL"/>
        </w:rPr>
        <w:t>stk.</w:t>
      </w:r>
      <w:r w:rsidR="000041AB" w:rsidRPr="000041AB">
        <w:rPr>
          <w:noProof/>
          <w:lang w:val="pl-PL"/>
        </w:rPr>
        <w:t> </w:t>
      </w:r>
      <w:r w:rsidRPr="000041AB">
        <w:rPr>
          <w:noProof/>
          <w:lang w:val="pl-PL"/>
        </w:rPr>
        <w:t>1</w:t>
      </w:r>
      <w:r w:rsidRPr="00DF5650">
        <w:rPr>
          <w:noProof/>
        </w:rPr>
        <w:t>, til at omfatte Unionens aktiviteter under den fælles sikkerheds- og forsvarspolitik (FSFP)</w:t>
      </w:r>
      <w:r w:rsidRPr="00DF5650">
        <w:rPr>
          <w:rStyle w:val="FootnoteReference"/>
          <w:noProof/>
        </w:rPr>
        <w:footnoteReference w:id="14"/>
      </w:r>
      <w:r w:rsidRPr="00DF5650">
        <w:rPr>
          <w:noProof/>
        </w:rPr>
        <w:t xml:space="preserve"> og EU-foranstaltninger som reaktion på covid-19-pandemien</w:t>
      </w:r>
      <w:r w:rsidRPr="00DF5650">
        <w:rPr>
          <w:rStyle w:val="FootnoteReference"/>
          <w:noProof/>
        </w:rPr>
        <w:footnoteReference w:id="15"/>
      </w:r>
      <w:r w:rsidRPr="00DF5650">
        <w:rPr>
          <w:noProof/>
        </w:rPr>
        <w:t>.</w:t>
      </w:r>
    </w:p>
    <w:p w:rsidR="00573032" w:rsidRPr="00DF5650" w:rsidRDefault="00C43172">
      <w:pPr>
        <w:pStyle w:val="ManualHeading2"/>
        <w:rPr>
          <w:rFonts w:eastAsia="Arial Unicode MS"/>
          <w:noProof/>
        </w:rPr>
      </w:pPr>
      <w:r w:rsidRPr="00DF5650">
        <w:rPr>
          <w:noProof/>
          <w:color w:val="000000"/>
          <w:u w:color="000000"/>
          <w:bdr w:val="nil"/>
        </w:rPr>
        <w:t>•</w:t>
      </w:r>
      <w:r w:rsidRPr="00DF5650">
        <w:rPr>
          <w:noProof/>
          <w:color w:val="000000"/>
          <w:u w:color="000000"/>
          <w:bdr w:val="nil"/>
        </w:rPr>
        <w:tab/>
      </w:r>
      <w:r w:rsidRPr="00DF5650">
        <w:rPr>
          <w:noProof/>
        </w:rPr>
        <w:t>Sammenhæng med Unionens politik på andre områder</w:t>
      </w:r>
    </w:p>
    <w:p w:rsidR="00573032" w:rsidRPr="00DF5650" w:rsidRDefault="005B77FF" w:rsidP="005B77FF">
      <w:pPr>
        <w:pBdr>
          <w:top w:val="nil"/>
          <w:left w:val="nil"/>
          <w:bottom w:val="nil"/>
          <w:right w:val="nil"/>
          <w:between w:val="nil"/>
          <w:bar w:val="nil"/>
        </w:pBdr>
        <w:spacing w:before="0" w:after="240"/>
        <w:rPr>
          <w:noProof/>
        </w:rPr>
      </w:pPr>
      <w:r w:rsidRPr="00DF5650">
        <w:rPr>
          <w:noProof/>
        </w:rPr>
        <w:t>Indførelsen af den elektroniske momsfritagelsesattest er</w:t>
      </w:r>
      <w:r w:rsidR="000041AB" w:rsidRPr="00DF5650">
        <w:rPr>
          <w:noProof/>
        </w:rPr>
        <w:t xml:space="preserve"> i</w:t>
      </w:r>
      <w:r w:rsidR="000041AB">
        <w:rPr>
          <w:noProof/>
        </w:rPr>
        <w:t> </w:t>
      </w:r>
      <w:r w:rsidR="000041AB" w:rsidRPr="00DF5650">
        <w:rPr>
          <w:noProof/>
        </w:rPr>
        <w:t>ove</w:t>
      </w:r>
      <w:r w:rsidRPr="00DF5650">
        <w:rPr>
          <w:noProof/>
        </w:rPr>
        <w:t>rensstemmelse med de initiativer, der er taget som led i EU's digitaliseringspolitik (såsom Berlinerklæringen om det digitale samfund og en værdibaseret digital forvaltning</w:t>
      </w:r>
      <w:r w:rsidRPr="00DF5650">
        <w:rPr>
          <w:rStyle w:val="FootnoteReference"/>
          <w:noProof/>
        </w:rPr>
        <w:footnoteReference w:id="16"/>
      </w:r>
      <w:r w:rsidRPr="00DF5650">
        <w:rPr>
          <w:noProof/>
        </w:rPr>
        <w:t>), og vil hjælpe medlemsstaterne med at ruste deres skattemyndigheder til at overholde de krav til anvendelse af avancerede elektroniske signaturer, der er fastsat i EU-lovgivningen</w:t>
      </w:r>
      <w:r w:rsidRPr="00DF5650">
        <w:rPr>
          <w:rStyle w:val="FootnoteReference"/>
          <w:rFonts w:eastAsia="Arial Unicode MS"/>
          <w:noProof/>
        </w:rPr>
        <w:footnoteReference w:id="17"/>
      </w:r>
      <w:r w:rsidRPr="00DF5650">
        <w:rPr>
          <w:noProof/>
        </w:rPr>
        <w:t>.</w:t>
      </w:r>
    </w:p>
    <w:p w:rsidR="00573032" w:rsidRPr="00DF5650" w:rsidRDefault="00C43172">
      <w:pPr>
        <w:pStyle w:val="ManualHeading1"/>
        <w:rPr>
          <w:noProof/>
        </w:rPr>
      </w:pPr>
      <w:r w:rsidRPr="00DF5650">
        <w:rPr>
          <w:noProof/>
        </w:rPr>
        <w:t>2.</w:t>
      </w:r>
      <w:r w:rsidRPr="00DF5650">
        <w:rPr>
          <w:noProof/>
        </w:rPr>
        <w:tab/>
        <w:t>RETSGRUNDLAG, NÆRHEDSPRINCIPPET OG PROPORTIONALITETSPRINCIPPET</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Retsgrundlag</w:t>
      </w:r>
    </w:p>
    <w:p w:rsidR="00573032" w:rsidRPr="00DF5650" w:rsidRDefault="00C43172">
      <w:pPr>
        <w:pBdr>
          <w:top w:val="nil"/>
          <w:left w:val="nil"/>
          <w:bottom w:val="nil"/>
          <w:right w:val="nil"/>
          <w:between w:val="nil"/>
          <w:bar w:val="nil"/>
        </w:pBdr>
        <w:spacing w:before="0" w:after="240"/>
        <w:rPr>
          <w:rFonts w:eastAsia="Arial Unicode MS"/>
          <w:noProof/>
        </w:rPr>
      </w:pPr>
      <w:r w:rsidRPr="00DF5650">
        <w:rPr>
          <w:noProof/>
        </w:rPr>
        <w:t>Retsgrundlaget for forslaget er artikel 113</w:t>
      </w:r>
      <w:r w:rsidR="000041AB" w:rsidRPr="00DF5650">
        <w:rPr>
          <w:noProof/>
        </w:rPr>
        <w:t xml:space="preserve"> i</w:t>
      </w:r>
      <w:r w:rsidR="000041AB">
        <w:rPr>
          <w:noProof/>
        </w:rPr>
        <w:t> </w:t>
      </w:r>
      <w:r w:rsidR="000041AB" w:rsidRPr="00DF5650">
        <w:rPr>
          <w:noProof/>
        </w:rPr>
        <w:t>tra</w:t>
      </w:r>
      <w:r w:rsidRPr="00DF5650">
        <w:rPr>
          <w:noProof/>
        </w:rPr>
        <w:t>ktaten om Den Europæiske Unions funktionsmåde</w:t>
      </w:r>
      <w:r w:rsidR="000041AB" w:rsidRPr="00DF5650">
        <w:rPr>
          <w:noProof/>
        </w:rPr>
        <w:t>.</w:t>
      </w:r>
      <w:r w:rsidR="000041AB" w:rsidRPr="00DF5650">
        <w:rPr>
          <w:noProof/>
          <w:color w:val="000000" w:themeColor="text1"/>
        </w:rPr>
        <w:t xml:space="preserve"> I</w:t>
      </w:r>
      <w:r w:rsidR="000041AB">
        <w:rPr>
          <w:noProof/>
        </w:rPr>
        <w:t> </w:t>
      </w:r>
      <w:r w:rsidR="000041AB" w:rsidRPr="00DF5650">
        <w:rPr>
          <w:noProof/>
          <w:color w:val="000000" w:themeColor="text1"/>
        </w:rPr>
        <w:t>hen</w:t>
      </w:r>
      <w:r w:rsidRPr="00DF5650">
        <w:rPr>
          <w:noProof/>
          <w:color w:val="000000" w:themeColor="text1"/>
        </w:rPr>
        <w:t>hold til denne artikel vedtager Rådet, der træffer afgørelse med enstemmighed efter en særlig lovgivningsprocedure og efter høring af Europa-Parlamentet og Det Økonomiske og Sociale Udvalg, bestemmelser om harmonisering af medlemsstaternes regler vedrørende indirekte skatter.</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 xml:space="preserve">Nærhedsprincippet (for områder, der ikke er omfattet af enekompetence) </w:t>
      </w:r>
    </w:p>
    <w:p w:rsidR="00573032" w:rsidRPr="00DF5650" w:rsidRDefault="00C43172">
      <w:pPr>
        <w:pBdr>
          <w:top w:val="nil"/>
          <w:left w:val="nil"/>
          <w:bottom w:val="nil"/>
          <w:right w:val="nil"/>
          <w:between w:val="nil"/>
          <w:bar w:val="nil"/>
        </w:pBdr>
        <w:spacing w:before="0" w:after="240"/>
        <w:rPr>
          <w:rFonts w:eastAsia="Arial Unicode MS"/>
          <w:noProof/>
        </w:rPr>
      </w:pPr>
      <w:r w:rsidRPr="00DF5650">
        <w:rPr>
          <w:noProof/>
        </w:rPr>
        <w:t xml:space="preserve">I overensstemmelse med nærhedsprincippet (artikel 5, </w:t>
      </w:r>
      <w:r w:rsidRPr="000041AB">
        <w:rPr>
          <w:noProof/>
          <w:lang w:val="pl-PL"/>
        </w:rPr>
        <w:t>stk.</w:t>
      </w:r>
      <w:r w:rsidR="000041AB" w:rsidRPr="000041AB">
        <w:rPr>
          <w:noProof/>
          <w:lang w:val="pl-PL"/>
        </w:rPr>
        <w:t> </w:t>
      </w:r>
      <w:r w:rsidRPr="000041AB">
        <w:rPr>
          <w:noProof/>
          <w:lang w:val="pl-PL"/>
        </w:rPr>
        <w:t>3</w:t>
      </w:r>
      <w:r w:rsidRPr="00DF5650">
        <w:rPr>
          <w:noProof/>
        </w:rPr>
        <w:t>,</w:t>
      </w:r>
      <w:r w:rsidR="000041AB" w:rsidRPr="00DF5650">
        <w:rPr>
          <w:noProof/>
        </w:rPr>
        <w:t xml:space="preserve"> i</w:t>
      </w:r>
      <w:r w:rsidR="000041AB">
        <w:rPr>
          <w:noProof/>
        </w:rPr>
        <w:t> </w:t>
      </w:r>
      <w:r w:rsidR="000041AB" w:rsidRPr="00DF5650">
        <w:rPr>
          <w:noProof/>
        </w:rPr>
        <w:t>tra</w:t>
      </w:r>
      <w:r w:rsidRPr="00DF5650">
        <w:rPr>
          <w:noProof/>
        </w:rPr>
        <w:t>ktaten om Den Europæiske Union) kan der kun handles på EU-niveau, hvis de påtænkte mål ikke</w:t>
      </w:r>
      <w:r w:rsidR="000041AB" w:rsidRPr="00DF5650">
        <w:rPr>
          <w:noProof/>
        </w:rPr>
        <w:t xml:space="preserve"> i</w:t>
      </w:r>
      <w:r w:rsidR="000041AB">
        <w:rPr>
          <w:noProof/>
        </w:rPr>
        <w:t> </w:t>
      </w:r>
      <w:r w:rsidR="000041AB" w:rsidRPr="00DF5650">
        <w:rPr>
          <w:noProof/>
        </w:rPr>
        <w:t>til</w:t>
      </w:r>
      <w:r w:rsidRPr="00DF5650">
        <w:rPr>
          <w:noProof/>
        </w:rPr>
        <w:t>strækkelig grad kan opfyldes af medlemsstaterne alene og bedre kan gennemføres på EU-plan på grund af omfanget eller virkningerne af den foreslåede handling.</w:t>
      </w:r>
      <w:r w:rsidRPr="00DF5650">
        <w:rPr>
          <w:noProof/>
          <w:color w:val="000000" w:themeColor="text1"/>
        </w:rPr>
        <w:t xml:space="preserve"> Det nuværende momsdirektiv forhindrer medlemsstaterne i at indføre og anvende en elektronisk momsfritagelsesattest.</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Proportionalitetsprincippet</w:t>
      </w:r>
    </w:p>
    <w:p w:rsidR="00573032" w:rsidRPr="00DF5650" w:rsidRDefault="006D4AC2" w:rsidP="00844BDB">
      <w:pPr>
        <w:pBdr>
          <w:top w:val="nil"/>
          <w:left w:val="nil"/>
          <w:bottom w:val="nil"/>
          <w:right w:val="nil"/>
          <w:between w:val="nil"/>
          <w:bar w:val="nil"/>
        </w:pBdr>
        <w:spacing w:before="0" w:after="240"/>
        <w:rPr>
          <w:rFonts w:eastAsia="Arial Unicode MS"/>
          <w:noProof/>
        </w:rPr>
      </w:pPr>
      <w:r w:rsidRPr="00DF5650">
        <w:rPr>
          <w:noProof/>
          <w:color w:val="000000" w:themeColor="text1"/>
        </w:rPr>
        <w:t>Forslaget er</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ove</w:t>
      </w:r>
      <w:r w:rsidRPr="00DF5650">
        <w:rPr>
          <w:noProof/>
          <w:color w:val="000000" w:themeColor="text1"/>
        </w:rPr>
        <w:t>rensstemmelse med proportionalitetsprincippet, da det ikke går ud over, hvad der er nødvendigt og står i et rimeligt forhold til det tilstræbte mål. Initiativet indfører en elektronisk fritagelsesattest, der bekræfter, at en transaktion opfylder betingelserne for en specifik fritagelse</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hen</w:t>
      </w:r>
      <w:r w:rsidRPr="00DF5650">
        <w:rPr>
          <w:noProof/>
          <w:color w:val="000000" w:themeColor="text1"/>
        </w:rPr>
        <w:t xml:space="preserve">hold til momsdirektivets artikel 151, </w:t>
      </w:r>
      <w:r w:rsidRPr="000041AB">
        <w:rPr>
          <w:noProof/>
          <w:color w:val="000000" w:themeColor="text1"/>
          <w:lang w:val="pl-PL"/>
        </w:rPr>
        <w:t>stk.</w:t>
      </w:r>
      <w:r w:rsidR="000041AB" w:rsidRPr="000041AB">
        <w:rPr>
          <w:noProof/>
          <w:color w:val="000000" w:themeColor="text1"/>
          <w:lang w:val="pl-PL"/>
        </w:rPr>
        <w:t> </w:t>
      </w:r>
      <w:r w:rsidRPr="000041AB">
        <w:rPr>
          <w:noProof/>
          <w:color w:val="000000" w:themeColor="text1"/>
          <w:lang w:val="pl-PL"/>
        </w:rPr>
        <w:t>1</w:t>
      </w:r>
      <w:r w:rsidRPr="00DF5650">
        <w:rPr>
          <w:noProof/>
          <w:color w:val="000000" w:themeColor="text1"/>
        </w:rPr>
        <w:t>, første afsnit</w:t>
      </w:r>
      <w:r w:rsidR="000041AB" w:rsidRPr="00DF5650">
        <w:rPr>
          <w:noProof/>
          <w:color w:val="000000" w:themeColor="text1"/>
        </w:rPr>
        <w:t>. I</w:t>
      </w:r>
      <w:r w:rsidR="000041AB">
        <w:rPr>
          <w:noProof/>
          <w:color w:val="000000" w:themeColor="text1"/>
        </w:rPr>
        <w:t> </w:t>
      </w:r>
      <w:r w:rsidR="000041AB" w:rsidRPr="00DF5650">
        <w:rPr>
          <w:noProof/>
          <w:color w:val="000000" w:themeColor="text1"/>
        </w:rPr>
        <w:t>bet</w:t>
      </w:r>
      <w:r w:rsidRPr="00DF5650">
        <w:rPr>
          <w:noProof/>
          <w:color w:val="000000" w:themeColor="text1"/>
        </w:rPr>
        <w:t>ragtning af den øgede administrative byrde og den manglende fleksibilitet, der er forbundet med en fritagelsesprocedure baseret på papirdokumenter, vil de foreslåede foranstaltninger føre til en betydelig forenkling og omkostningsbesparelser på langt sigt og derfor stå i et rimeligt forhold til de begrænsede budgetmæssige virkninger.</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Valg af retsakt</w:t>
      </w:r>
    </w:p>
    <w:p w:rsidR="00573032" w:rsidRPr="00DF5650" w:rsidRDefault="00C43172">
      <w:pPr>
        <w:pBdr>
          <w:top w:val="nil"/>
          <w:left w:val="nil"/>
          <w:bottom w:val="nil"/>
          <w:right w:val="nil"/>
          <w:between w:val="nil"/>
          <w:bar w:val="nil"/>
        </w:pBdr>
        <w:spacing w:before="0" w:after="240"/>
        <w:rPr>
          <w:rFonts w:eastAsia="Arial Unicode MS"/>
          <w:noProof/>
        </w:rPr>
      </w:pPr>
      <w:r w:rsidRPr="00DF5650">
        <w:rPr>
          <w:noProof/>
          <w:color w:val="000000" w:themeColor="text1"/>
        </w:rPr>
        <w:t>Det kræver et direktiv at ændre det nuværende momsdirektiv.</w:t>
      </w:r>
    </w:p>
    <w:p w:rsidR="00573032" w:rsidRPr="00DF5650" w:rsidRDefault="00C43172">
      <w:pPr>
        <w:pStyle w:val="ManualHeading1"/>
        <w:rPr>
          <w:noProof/>
        </w:rPr>
      </w:pPr>
      <w:r w:rsidRPr="00DF5650">
        <w:rPr>
          <w:noProof/>
        </w:rPr>
        <w:t>3.</w:t>
      </w:r>
      <w:r w:rsidRPr="00DF5650">
        <w:rPr>
          <w:noProof/>
        </w:rPr>
        <w:tab/>
        <w:t>RESULTATER AF EFTERFØLGENDE EVALUERINGER, HØRINGER AF INTERESSENTER OG KONSEKVENSANALYSER</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Høringer af interesserede parter</w:t>
      </w:r>
    </w:p>
    <w:p w:rsidR="00573032" w:rsidRPr="00DF5650" w:rsidRDefault="00CA6F06">
      <w:pPr>
        <w:pBdr>
          <w:top w:val="nil"/>
          <w:left w:val="nil"/>
          <w:bottom w:val="nil"/>
          <w:right w:val="nil"/>
          <w:between w:val="nil"/>
          <w:bar w:val="nil"/>
        </w:pBdr>
        <w:spacing w:before="0" w:after="240"/>
        <w:rPr>
          <w:rFonts w:eastAsia="Arial Unicode MS"/>
          <w:noProof/>
        </w:rPr>
      </w:pPr>
      <w:r w:rsidRPr="00DF5650">
        <w:rPr>
          <w:noProof/>
          <w:color w:val="000000" w:themeColor="text1"/>
        </w:rPr>
        <w:t>Der blev ikke gennemført nogen høring af interessenter på grund af initiativets meget tekniske karakter og dets tilpasning til indsatsen på EU-plan for at fremme interaktioner mellem digitale myndigheder.</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Indhentning og brug af ekspertbistand</w:t>
      </w:r>
    </w:p>
    <w:p w:rsidR="00573032" w:rsidRPr="00DF5650" w:rsidRDefault="00C43172" w:rsidP="00CA6F06">
      <w:pPr>
        <w:pBdr>
          <w:top w:val="nil"/>
          <w:left w:val="nil"/>
          <w:bottom w:val="nil"/>
          <w:right w:val="nil"/>
          <w:between w:val="nil"/>
          <w:bar w:val="nil"/>
        </w:pBdr>
        <w:spacing w:before="0" w:after="240"/>
        <w:rPr>
          <w:noProof/>
          <w:color w:val="000000" w:themeColor="text1"/>
        </w:rPr>
      </w:pPr>
      <w:r w:rsidRPr="00DF5650">
        <w:rPr>
          <w:noProof/>
          <w:color w:val="000000" w:themeColor="text1"/>
        </w:rPr>
        <w:t>Kommissionen har</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sam</w:t>
      </w:r>
      <w:r w:rsidRPr="00DF5650">
        <w:rPr>
          <w:noProof/>
          <w:color w:val="000000" w:themeColor="text1"/>
        </w:rPr>
        <w:t>råd med medlemsstaterne gennemført en teknisk undersøgelse for at finde frem til mulige IT-løsninger til indførelse af en elektronisk fritagelsesattest og en dertilhørende procedure.</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Konsekvensanalyse</w:t>
      </w:r>
    </w:p>
    <w:p w:rsidR="00573032" w:rsidRPr="00DF5650" w:rsidRDefault="00C43172">
      <w:pPr>
        <w:pBdr>
          <w:top w:val="nil"/>
          <w:left w:val="nil"/>
          <w:bottom w:val="nil"/>
          <w:right w:val="nil"/>
          <w:between w:val="nil"/>
          <w:bar w:val="nil"/>
        </w:pBdr>
        <w:spacing w:before="0" w:after="240"/>
        <w:rPr>
          <w:rFonts w:eastAsia="Arial Unicode MS"/>
          <w:noProof/>
        </w:rPr>
      </w:pPr>
      <w:r w:rsidRPr="00DF5650">
        <w:rPr>
          <w:noProof/>
          <w:color w:val="000000" w:themeColor="text1"/>
        </w:rPr>
        <w:t>Der er ikke foretaget nogen særskilt konsekvensanalyse på grund af dette initiativs tekniske karakter og meget snævre anvendelsesområde.</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Grundlæggende rettigheder</w:t>
      </w:r>
    </w:p>
    <w:p w:rsidR="00573032" w:rsidRPr="00DF5650" w:rsidRDefault="00467577" w:rsidP="006C6F2E">
      <w:pPr>
        <w:pBdr>
          <w:top w:val="nil"/>
          <w:left w:val="nil"/>
          <w:bottom w:val="nil"/>
          <w:right w:val="nil"/>
          <w:between w:val="nil"/>
          <w:bar w:val="nil"/>
        </w:pBdr>
        <w:spacing w:before="0" w:after="240"/>
        <w:rPr>
          <w:rFonts w:eastAsia="Arial Unicode MS"/>
          <w:noProof/>
          <w:color w:val="000000" w:themeColor="text1"/>
        </w:rPr>
      </w:pPr>
      <w:r w:rsidRPr="00DF5650">
        <w:rPr>
          <w:noProof/>
          <w:color w:val="000000" w:themeColor="text1"/>
        </w:rPr>
        <w:t>Den foreslåede overgang med henblik på at gøre momsfritagelsesproceduren elektronisk støtter tilpasningen til den digitale tidsalder og styrker borgernes rettigheder med hensyn til behandling af deres personoplysninger som beskyttet af artikel 8 i EU's charter om grundlæggende rettigheder og artikel 16</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tra</w:t>
      </w:r>
      <w:r w:rsidRPr="00DF5650">
        <w:rPr>
          <w:noProof/>
          <w:color w:val="000000" w:themeColor="text1"/>
        </w:rPr>
        <w:t>ktaten om Den Europæiske Unions funktionsmåde.</w:t>
      </w:r>
    </w:p>
    <w:p w:rsidR="00573032" w:rsidRPr="00DF5650" w:rsidRDefault="00C43172">
      <w:pPr>
        <w:pStyle w:val="ManualHeading1"/>
        <w:rPr>
          <w:noProof/>
        </w:rPr>
      </w:pPr>
      <w:r w:rsidRPr="00DF5650">
        <w:rPr>
          <w:noProof/>
        </w:rPr>
        <w:t>4.</w:t>
      </w:r>
      <w:r w:rsidRPr="00DF5650">
        <w:rPr>
          <w:noProof/>
        </w:rPr>
        <w:tab/>
        <w:t>VIRKNINGER FOR BUDGETTET</w:t>
      </w:r>
    </w:p>
    <w:p w:rsidR="008A7F9D" w:rsidRPr="00DF5650" w:rsidRDefault="008A7F9D">
      <w:pPr>
        <w:pBdr>
          <w:top w:val="nil"/>
          <w:left w:val="nil"/>
          <w:bottom w:val="nil"/>
          <w:right w:val="nil"/>
          <w:between w:val="nil"/>
          <w:bar w:val="nil"/>
        </w:pBdr>
        <w:spacing w:before="0" w:after="240"/>
        <w:rPr>
          <w:noProof/>
        </w:rPr>
      </w:pPr>
      <w:r w:rsidRPr="00DF5650">
        <w:rPr>
          <w:noProof/>
        </w:rPr>
        <w:t xml:space="preserve">Forslaget vil fjerne den administrative byrde og de omkostninger, der er forbundet med behandlingen af papirudgaven af momsfritagelsesattesten. De fleste af omkostningerne til gennemførelse og drift af den digitale løsning, der anslås </w:t>
      </w:r>
      <w:r w:rsidRPr="000041AB">
        <w:rPr>
          <w:noProof/>
          <w:lang w:val="pl-PL"/>
        </w:rPr>
        <w:t>til</w:t>
      </w:r>
      <w:r w:rsidR="000041AB" w:rsidRPr="000041AB">
        <w:rPr>
          <w:noProof/>
          <w:lang w:val="pl-PL"/>
        </w:rPr>
        <w:t> </w:t>
      </w:r>
      <w:r w:rsidRPr="000041AB">
        <w:rPr>
          <w:noProof/>
          <w:lang w:val="pl-PL"/>
        </w:rPr>
        <w:t>2</w:t>
      </w:r>
      <w:r w:rsidRPr="00DF5650">
        <w:rPr>
          <w:noProof/>
        </w:rPr>
        <w:t>,9 mio. EUR, vil blive afholdt af Kommissionen og finansieres fuldt ud under Fiscalisprogrammet inden for dets planlagte midler</w:t>
      </w:r>
      <w:r w:rsidR="000041AB" w:rsidRPr="00DF5650">
        <w:rPr>
          <w:noProof/>
        </w:rPr>
        <w:t xml:space="preserve"> i</w:t>
      </w:r>
      <w:r w:rsidR="000041AB">
        <w:rPr>
          <w:noProof/>
        </w:rPr>
        <w:t> </w:t>
      </w:r>
      <w:r w:rsidR="000041AB" w:rsidRPr="00DF5650">
        <w:rPr>
          <w:noProof/>
        </w:rPr>
        <w:t>den</w:t>
      </w:r>
      <w:r w:rsidRPr="00DF5650">
        <w:rPr>
          <w:noProof/>
        </w:rPr>
        <w:t xml:space="preserve"> nuværende flerårige finansielle ramme. Omkostningerne for medlemsstaterne, hovedsagelig</w:t>
      </w:r>
      <w:r w:rsidR="000041AB" w:rsidRPr="00DF5650">
        <w:rPr>
          <w:noProof/>
        </w:rPr>
        <w:t xml:space="preserve"> i</w:t>
      </w:r>
      <w:r w:rsidR="000041AB">
        <w:rPr>
          <w:noProof/>
        </w:rPr>
        <w:t> </w:t>
      </w:r>
      <w:r w:rsidR="000041AB" w:rsidRPr="00DF5650">
        <w:rPr>
          <w:noProof/>
        </w:rPr>
        <w:t>for</w:t>
      </w:r>
      <w:r w:rsidRPr="00DF5650">
        <w:rPr>
          <w:noProof/>
        </w:rPr>
        <w:t>bindelse med at give adgang til den centrale applikation, skønnes at være lave.</w:t>
      </w:r>
    </w:p>
    <w:p w:rsidR="00573032" w:rsidRPr="00DF5650" w:rsidRDefault="00FB051A">
      <w:pPr>
        <w:pBdr>
          <w:top w:val="nil"/>
          <w:left w:val="nil"/>
          <w:bottom w:val="nil"/>
          <w:right w:val="nil"/>
          <w:between w:val="nil"/>
          <w:bar w:val="nil"/>
        </w:pBdr>
        <w:spacing w:before="0" w:after="240"/>
        <w:rPr>
          <w:rFonts w:eastAsia="Arial Unicode MS"/>
          <w:noProof/>
        </w:rPr>
      </w:pPr>
      <w:r w:rsidRPr="00DF5650">
        <w:rPr>
          <w:noProof/>
        </w:rPr>
        <w:t xml:space="preserve">Den nye elektroniske attest vil ikke påvirke anvendelsesområdet for de momsfritagelser, der anvendes. Der vil derfor ikke være nogen indvirkning på EU-budgettet, da de egne indtægter baseret på bruttonationalindkomsten (BNI) ikke vil blive påvirket. </w:t>
      </w:r>
    </w:p>
    <w:p w:rsidR="00573032" w:rsidRPr="00DF5650" w:rsidRDefault="00C43172">
      <w:pPr>
        <w:pStyle w:val="ManualHeading1"/>
        <w:rPr>
          <w:noProof/>
        </w:rPr>
      </w:pPr>
      <w:r w:rsidRPr="00DF5650">
        <w:rPr>
          <w:noProof/>
        </w:rPr>
        <w:t>5.</w:t>
      </w:r>
      <w:r w:rsidRPr="00DF5650">
        <w:rPr>
          <w:noProof/>
        </w:rPr>
        <w:tab/>
        <w:t>ANDRE FORHOLD</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Forklarende dokumenter (for direktiver)</w:t>
      </w:r>
    </w:p>
    <w:p w:rsidR="00573032" w:rsidRPr="00DF5650" w:rsidRDefault="00C43172">
      <w:pPr>
        <w:pBdr>
          <w:top w:val="nil"/>
          <w:left w:val="nil"/>
          <w:bottom w:val="nil"/>
          <w:right w:val="nil"/>
          <w:between w:val="nil"/>
          <w:bar w:val="nil"/>
        </w:pBdr>
        <w:spacing w:before="0" w:after="240"/>
        <w:rPr>
          <w:rFonts w:eastAsia="Arial Unicode MS"/>
          <w:noProof/>
        </w:rPr>
      </w:pPr>
      <w:r w:rsidRPr="00DF5650">
        <w:rPr>
          <w:noProof/>
          <w:color w:val="000000" w:themeColor="text1"/>
        </w:rPr>
        <w:t>Forslaget kræver ingen forklarende dokumenter om gennemførelsen.</w:t>
      </w:r>
    </w:p>
    <w:p w:rsidR="00573032" w:rsidRPr="00DF5650" w:rsidRDefault="00C43172">
      <w:pPr>
        <w:pStyle w:val="ManualHeading2"/>
        <w:rPr>
          <w:rFonts w:eastAsia="Arial Unicode MS"/>
          <w:noProof/>
          <w:u w:color="000000"/>
          <w:bdr w:val="nil"/>
        </w:rPr>
      </w:pPr>
      <w:r w:rsidRPr="00DF5650">
        <w:rPr>
          <w:noProof/>
          <w:u w:color="000000"/>
          <w:bdr w:val="nil"/>
        </w:rPr>
        <w:t>•</w:t>
      </w:r>
      <w:r w:rsidRPr="00DF5650">
        <w:rPr>
          <w:noProof/>
          <w:u w:color="000000"/>
          <w:bdr w:val="nil"/>
        </w:rPr>
        <w:tab/>
        <w:t>Nærmere redegørelse for de enkelte bestemmelser</w:t>
      </w:r>
      <w:r w:rsidR="000041AB" w:rsidRPr="00DF5650">
        <w:rPr>
          <w:noProof/>
          <w:u w:color="000000"/>
          <w:bdr w:val="nil"/>
        </w:rPr>
        <w:t xml:space="preserve"> i</w:t>
      </w:r>
      <w:r w:rsidR="000041AB">
        <w:rPr>
          <w:noProof/>
          <w:u w:color="000000"/>
          <w:bdr w:val="nil"/>
        </w:rPr>
        <w:t> </w:t>
      </w:r>
      <w:r w:rsidR="000041AB" w:rsidRPr="00DF5650">
        <w:rPr>
          <w:noProof/>
          <w:u w:color="000000"/>
          <w:bdr w:val="nil"/>
        </w:rPr>
        <w:t>for</w:t>
      </w:r>
      <w:r w:rsidRPr="00DF5650">
        <w:rPr>
          <w:noProof/>
          <w:u w:color="000000"/>
          <w:bdr w:val="nil"/>
        </w:rPr>
        <w:t>slaget</w:t>
      </w:r>
    </w:p>
    <w:p w:rsidR="005957E3" w:rsidRPr="00DF5650" w:rsidRDefault="00B129D2" w:rsidP="005957E3">
      <w:pPr>
        <w:pBdr>
          <w:top w:val="nil"/>
          <w:left w:val="nil"/>
          <w:bottom w:val="nil"/>
          <w:right w:val="nil"/>
          <w:between w:val="nil"/>
          <w:bar w:val="nil"/>
        </w:pBdr>
        <w:spacing w:before="0" w:after="240"/>
        <w:rPr>
          <w:rFonts w:eastAsia="Arial Unicode MS"/>
          <w:noProof/>
          <w:color w:val="000000" w:themeColor="text1"/>
        </w:rPr>
      </w:pPr>
      <w:r w:rsidRPr="00DF5650">
        <w:rPr>
          <w:noProof/>
          <w:color w:val="000000" w:themeColor="text1"/>
        </w:rPr>
        <w:t>Artikel 1 har til formål at ændre momsdirektivet ved at give Kommissionen mulighed for</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sam</w:t>
      </w:r>
      <w:r w:rsidRPr="00DF5650">
        <w:rPr>
          <w:noProof/>
          <w:color w:val="000000" w:themeColor="text1"/>
        </w:rPr>
        <w:t>råd med medlemsstaterne at vedtage gennemførelsesforanstaltninger, der fastsætter en elektronisk attest, som bekræfter, at transaktionen opfylder betingelserne for en specifik fritagelse</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hen</w:t>
      </w:r>
      <w:r w:rsidRPr="00DF5650">
        <w:rPr>
          <w:noProof/>
          <w:color w:val="000000" w:themeColor="text1"/>
        </w:rPr>
        <w:t xml:space="preserve">hold til momsdirektivets artikel 151, </w:t>
      </w:r>
      <w:r w:rsidRPr="000041AB">
        <w:rPr>
          <w:noProof/>
          <w:color w:val="000000" w:themeColor="text1"/>
          <w:lang w:val="pl-PL"/>
        </w:rPr>
        <w:t>stk.</w:t>
      </w:r>
      <w:r w:rsidR="000041AB" w:rsidRPr="000041AB">
        <w:rPr>
          <w:noProof/>
          <w:color w:val="000000" w:themeColor="text1"/>
          <w:lang w:val="pl-PL"/>
        </w:rPr>
        <w:t> </w:t>
      </w:r>
      <w:r w:rsidRPr="000041AB">
        <w:rPr>
          <w:noProof/>
          <w:color w:val="000000" w:themeColor="text1"/>
          <w:lang w:val="pl-PL"/>
        </w:rPr>
        <w:t>1</w:t>
      </w:r>
      <w:r w:rsidRPr="00DF5650">
        <w:rPr>
          <w:noProof/>
          <w:color w:val="000000" w:themeColor="text1"/>
        </w:rPr>
        <w:t xml:space="preserve">, første afsnit, som udstedes af det fritagelsesberettigede organ/den fritagelsesberettigede enkeltperson, til hvem den afgiftsfritagne levering af varer eller ydelser foretages, og som sammen med værtsmedlemsstaten underskriver attesten elektronisk. </w:t>
      </w:r>
    </w:p>
    <w:p w:rsidR="005957E3" w:rsidRPr="00DF5650" w:rsidRDefault="009C6EC4" w:rsidP="005957E3">
      <w:pPr>
        <w:pBdr>
          <w:top w:val="nil"/>
          <w:left w:val="nil"/>
          <w:bottom w:val="nil"/>
          <w:right w:val="nil"/>
          <w:between w:val="nil"/>
          <w:bar w:val="nil"/>
        </w:pBdr>
        <w:spacing w:before="0" w:after="240"/>
        <w:rPr>
          <w:rFonts w:eastAsia="Arial Unicode MS"/>
          <w:noProof/>
          <w:color w:val="000000" w:themeColor="text1"/>
        </w:rPr>
      </w:pPr>
      <w:r w:rsidRPr="00DF5650">
        <w:rPr>
          <w:noProof/>
          <w:color w:val="000000" w:themeColor="text1"/>
        </w:rPr>
        <w:t>De nødvendige gennemførelsesretsakter skal indeholde de tekniske detaljer og specifikationer for det elektroniske format og behandlingen af attesten og vedtages efter undersøgelsesproceduren</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art</w:t>
      </w:r>
      <w:r w:rsidRPr="00DF5650">
        <w:rPr>
          <w:noProof/>
          <w:color w:val="000000" w:themeColor="text1"/>
        </w:rPr>
        <w:t>ikel 5</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for</w:t>
      </w:r>
      <w:r w:rsidRPr="00DF5650">
        <w:rPr>
          <w:noProof/>
          <w:color w:val="000000" w:themeColor="text1"/>
        </w:rPr>
        <w:t xml:space="preserve">ordning (EU) </w:t>
      </w:r>
      <w:r w:rsidRPr="000041AB">
        <w:rPr>
          <w:noProof/>
          <w:color w:val="000000" w:themeColor="text1"/>
          <w:lang w:val="pl-PL"/>
        </w:rPr>
        <w:t>nr.</w:t>
      </w:r>
      <w:r w:rsidR="000041AB" w:rsidRPr="000041AB">
        <w:rPr>
          <w:noProof/>
          <w:color w:val="000000" w:themeColor="text1"/>
          <w:lang w:val="pl-PL"/>
        </w:rPr>
        <w:t> </w:t>
      </w:r>
      <w:r w:rsidRPr="000041AB">
        <w:rPr>
          <w:noProof/>
          <w:color w:val="000000" w:themeColor="text1"/>
          <w:lang w:val="pl-PL"/>
        </w:rPr>
        <w:t>1</w:t>
      </w:r>
      <w:r w:rsidRPr="00DF5650">
        <w:rPr>
          <w:noProof/>
          <w:color w:val="000000" w:themeColor="text1"/>
        </w:rPr>
        <w:t xml:space="preserve">82/2011, til hvilket formål det udvalg, der er nedsat ved artikel 58 i Rådets forordning (EU) </w:t>
      </w:r>
      <w:r w:rsidRPr="000041AB">
        <w:rPr>
          <w:noProof/>
          <w:color w:val="000000" w:themeColor="text1"/>
          <w:lang w:val="pl-PL"/>
        </w:rPr>
        <w:t>nr.</w:t>
      </w:r>
      <w:r w:rsidR="000041AB" w:rsidRPr="000041AB">
        <w:rPr>
          <w:noProof/>
          <w:color w:val="000000" w:themeColor="text1"/>
          <w:lang w:val="pl-PL"/>
        </w:rPr>
        <w:t> </w:t>
      </w:r>
      <w:r w:rsidRPr="000041AB">
        <w:rPr>
          <w:noProof/>
          <w:color w:val="000000" w:themeColor="text1"/>
          <w:lang w:val="pl-PL"/>
        </w:rPr>
        <w:t>9</w:t>
      </w:r>
      <w:r w:rsidRPr="00DF5650">
        <w:rPr>
          <w:noProof/>
          <w:color w:val="000000" w:themeColor="text1"/>
        </w:rPr>
        <w:t>04/2010, skal anvendes.</w:t>
      </w:r>
    </w:p>
    <w:p w:rsidR="00506F04" w:rsidRPr="00DF5650" w:rsidRDefault="00513288" w:rsidP="005957E3">
      <w:pPr>
        <w:pBdr>
          <w:top w:val="nil"/>
          <w:left w:val="nil"/>
          <w:bottom w:val="nil"/>
          <w:right w:val="nil"/>
          <w:between w:val="nil"/>
          <w:bar w:val="nil"/>
        </w:pBdr>
        <w:spacing w:before="0" w:after="240"/>
        <w:rPr>
          <w:rFonts w:eastAsia="Arial Unicode MS"/>
          <w:noProof/>
          <w:color w:val="000000" w:themeColor="text1"/>
        </w:rPr>
      </w:pPr>
      <w:r w:rsidRPr="00DF5650">
        <w:rPr>
          <w:noProof/>
          <w:color w:val="000000" w:themeColor="text1"/>
        </w:rPr>
        <w:t>På grund af det store antal igangværende IT-projekter kan medlemsstaterne alternativt anvende papirudgaven af attesten</w:t>
      </w:r>
      <w:r w:rsidR="000041AB" w:rsidRPr="00DF5650">
        <w:rPr>
          <w:noProof/>
          <w:color w:val="000000" w:themeColor="text1"/>
        </w:rPr>
        <w:t xml:space="preserve"> i</w:t>
      </w:r>
      <w:r w:rsidR="000041AB">
        <w:rPr>
          <w:noProof/>
          <w:color w:val="000000" w:themeColor="text1"/>
        </w:rPr>
        <w:t> </w:t>
      </w:r>
      <w:r w:rsidR="000041AB" w:rsidRPr="00DF5650">
        <w:rPr>
          <w:noProof/>
          <w:color w:val="000000" w:themeColor="text1"/>
        </w:rPr>
        <w:t>bil</w:t>
      </w:r>
      <w:r w:rsidRPr="00DF5650">
        <w:rPr>
          <w:noProof/>
          <w:color w:val="000000" w:themeColor="text1"/>
        </w:rPr>
        <w:t xml:space="preserve">ag II til momsgennemførelsesforordningen for transaktioner, der foretages indtil </w:t>
      </w:r>
      <w:r w:rsidRPr="000041AB">
        <w:rPr>
          <w:noProof/>
          <w:color w:val="000000" w:themeColor="text1"/>
          <w:lang w:val="pl-PL"/>
        </w:rPr>
        <w:t>den</w:t>
      </w:r>
      <w:r w:rsidR="000041AB" w:rsidRPr="000041AB">
        <w:rPr>
          <w:noProof/>
          <w:color w:val="000000" w:themeColor="text1"/>
          <w:lang w:val="pl-PL"/>
        </w:rPr>
        <w:t> </w:t>
      </w:r>
      <w:r w:rsidRPr="000041AB">
        <w:rPr>
          <w:noProof/>
          <w:color w:val="000000" w:themeColor="text1"/>
          <w:lang w:val="pl-PL"/>
        </w:rPr>
        <w:t>3</w:t>
      </w:r>
      <w:r w:rsidRPr="00DF5650">
        <w:rPr>
          <w:noProof/>
          <w:color w:val="000000" w:themeColor="text1"/>
        </w:rPr>
        <w:t>0. juni 2030.</w:t>
      </w:r>
    </w:p>
    <w:p w:rsidR="005957E3" w:rsidRPr="00DF5650" w:rsidRDefault="00506F04" w:rsidP="00506F04">
      <w:pPr>
        <w:pBdr>
          <w:top w:val="nil"/>
          <w:left w:val="nil"/>
          <w:bottom w:val="nil"/>
          <w:right w:val="nil"/>
          <w:between w:val="nil"/>
          <w:bar w:val="nil"/>
        </w:pBdr>
        <w:spacing w:before="0" w:after="240"/>
        <w:rPr>
          <w:rFonts w:eastAsia="Arial Unicode MS"/>
          <w:noProof/>
          <w:color w:val="000000" w:themeColor="text1"/>
        </w:rPr>
      </w:pPr>
      <w:r w:rsidRPr="00DF5650">
        <w:rPr>
          <w:noProof/>
          <w:color w:val="000000" w:themeColor="text1"/>
        </w:rPr>
        <w:t>I erkendelse af, at virksomheder normalt ikke har adgang til de relevante oplysninger, præciseres det, at det, hvis betingelserne for fritagelse ikke er opfyldt eller ophører med at finde anvendelse, er det fritagelsesberettigede organ/den fritagelsesberettigede enkeltperson, der udsteder den elektroniske attest, som skal betale moms til den medlemsstat, hvor den skal betales.</w:t>
      </w:r>
    </w:p>
    <w:p w:rsidR="00573032" w:rsidRPr="00DF5650" w:rsidRDefault="00513288">
      <w:pPr>
        <w:spacing w:before="0" w:after="0"/>
        <w:jc w:val="left"/>
        <w:rPr>
          <w:noProof/>
        </w:rPr>
      </w:pPr>
      <w:r w:rsidRPr="00DF5650">
        <w:rPr>
          <w:noProof/>
        </w:rPr>
        <w:t xml:space="preserve">For at give medlemsstaterne tilstrækkelig tid til at gennemføre den nye elektroniske procedure, skal de nye regler anvendes fra </w:t>
      </w:r>
      <w:r w:rsidRPr="000041AB">
        <w:rPr>
          <w:noProof/>
          <w:lang w:val="pl-PL"/>
        </w:rPr>
        <w:t>den</w:t>
      </w:r>
      <w:r w:rsidR="000041AB" w:rsidRPr="000041AB">
        <w:rPr>
          <w:noProof/>
          <w:lang w:val="pl-PL"/>
        </w:rPr>
        <w:t> </w:t>
      </w:r>
      <w:r w:rsidRPr="000041AB">
        <w:rPr>
          <w:noProof/>
          <w:lang w:val="pl-PL"/>
        </w:rPr>
        <w:t>1</w:t>
      </w:r>
      <w:r w:rsidRPr="00DF5650">
        <w:rPr>
          <w:noProof/>
        </w:rPr>
        <w:t>. juli 2026.</w:t>
      </w:r>
    </w:p>
    <w:p w:rsidR="00A3088C" w:rsidRPr="00DF5650" w:rsidRDefault="00A3088C">
      <w:pPr>
        <w:spacing w:before="0" w:after="0"/>
        <w:jc w:val="left"/>
        <w:rPr>
          <w:noProof/>
        </w:rPr>
        <w:sectPr w:rsidR="00A3088C" w:rsidRPr="00DF5650" w:rsidSect="00DF2680">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cols w:space="708"/>
          <w:docGrid w:linePitch="360"/>
        </w:sectPr>
      </w:pPr>
    </w:p>
    <w:p w:rsidR="00573032" w:rsidRPr="00DF5650" w:rsidRDefault="00EA3325" w:rsidP="00EA3325">
      <w:pPr>
        <w:pStyle w:val="Rfrenceinterinstitutionnelle"/>
        <w:rPr>
          <w:noProof/>
        </w:rPr>
      </w:pPr>
      <w:r>
        <w:rPr>
          <w:noProof/>
        </w:rPr>
        <w:t>2024/0152 (CNS)</w:t>
      </w:r>
    </w:p>
    <w:p w:rsidR="00573032" w:rsidRPr="00DF5650" w:rsidRDefault="00EA3325" w:rsidP="00EA3325">
      <w:pPr>
        <w:pStyle w:val="Statut"/>
        <w:rPr>
          <w:noProof/>
        </w:rPr>
      </w:pPr>
      <w:r w:rsidRPr="00EA3325">
        <w:rPr>
          <w:noProof/>
        </w:rPr>
        <w:t>Forslag til</w:t>
      </w:r>
    </w:p>
    <w:p w:rsidR="00573032" w:rsidRPr="00DF5650" w:rsidRDefault="00EA3325" w:rsidP="00EA3325">
      <w:pPr>
        <w:pStyle w:val="Typedudocument"/>
        <w:rPr>
          <w:noProof/>
        </w:rPr>
      </w:pPr>
      <w:r w:rsidRPr="00EA3325">
        <w:rPr>
          <w:noProof/>
        </w:rPr>
        <w:t>RÅDETS DIREKTIV</w:t>
      </w:r>
    </w:p>
    <w:p w:rsidR="00573032" w:rsidRPr="00DF5650" w:rsidRDefault="00EA3325" w:rsidP="00EA3325">
      <w:pPr>
        <w:pStyle w:val="Titreobjet"/>
        <w:rPr>
          <w:noProof/>
        </w:rPr>
      </w:pPr>
      <w:r w:rsidRPr="00EA3325">
        <w:rPr>
          <w:noProof/>
        </w:rPr>
        <w:t>om ændring af direktiv 2006/112/EF for så vidt angår den elektroniske momsfritagelsesattest</w:t>
      </w:r>
    </w:p>
    <w:p w:rsidR="00573032" w:rsidRPr="00DF5650" w:rsidRDefault="00C43172">
      <w:pPr>
        <w:pStyle w:val="Institutionquiagit"/>
        <w:rPr>
          <w:noProof/>
        </w:rPr>
      </w:pPr>
      <w:r w:rsidRPr="00DF5650">
        <w:rPr>
          <w:noProof/>
        </w:rPr>
        <w:t>RÅDET FOR DEN EUROPÆISKE UNION HAR —</w:t>
      </w:r>
    </w:p>
    <w:p w:rsidR="00573032" w:rsidRPr="00DF5650" w:rsidRDefault="00C43172">
      <w:pPr>
        <w:rPr>
          <w:noProof/>
        </w:rPr>
      </w:pPr>
      <w:r w:rsidRPr="00DF5650">
        <w:rPr>
          <w:noProof/>
        </w:rPr>
        <w:t>under henvisning til traktaten om Den Europæiske Unions funktionsmåde, særlig artikel 113,</w:t>
      </w:r>
    </w:p>
    <w:p w:rsidR="00573032" w:rsidRPr="00DF5650" w:rsidRDefault="00C43172">
      <w:pPr>
        <w:rPr>
          <w:noProof/>
        </w:rPr>
      </w:pPr>
      <w:r w:rsidRPr="00DF5650">
        <w:rPr>
          <w:noProof/>
        </w:rPr>
        <w:t>under henvisning til forslag fra Europa-Kommissionen, og</w:t>
      </w:r>
    </w:p>
    <w:p w:rsidR="00573032" w:rsidRPr="00DF5650" w:rsidRDefault="00C43172">
      <w:pPr>
        <w:rPr>
          <w:noProof/>
        </w:rPr>
      </w:pPr>
      <w:r w:rsidRPr="00DF5650">
        <w:rPr>
          <w:noProof/>
        </w:rPr>
        <w:t>efter fremsendelse af udkast til lovgivningsmæssig retsakt til de nationale parlamenter,</w:t>
      </w:r>
    </w:p>
    <w:p w:rsidR="00573032" w:rsidRPr="00DF5650" w:rsidRDefault="00C43172">
      <w:pPr>
        <w:rPr>
          <w:noProof/>
        </w:rPr>
      </w:pPr>
      <w:r w:rsidRPr="00DF5650">
        <w:rPr>
          <w:noProof/>
        </w:rPr>
        <w:t>under henvisning til udtalelse fra Europa-Parlamentet</w:t>
      </w:r>
      <w:r w:rsidRPr="00DF5650">
        <w:rPr>
          <w:rStyle w:val="FootnoteReference"/>
          <w:noProof/>
        </w:rPr>
        <w:footnoteReference w:id="18"/>
      </w:r>
      <w:r w:rsidRPr="00DF5650">
        <w:rPr>
          <w:noProof/>
        </w:rPr>
        <w:t xml:space="preserve">, </w:t>
      </w:r>
    </w:p>
    <w:p w:rsidR="00573032" w:rsidRPr="00DF5650" w:rsidRDefault="00C43172">
      <w:pPr>
        <w:rPr>
          <w:noProof/>
        </w:rPr>
      </w:pPr>
      <w:r w:rsidRPr="00DF5650">
        <w:rPr>
          <w:noProof/>
        </w:rPr>
        <w:t>under henvisning til udtalelse fra Det Europæiske Økonomiske og Sociale Udvalg</w:t>
      </w:r>
      <w:r w:rsidRPr="00DF5650">
        <w:rPr>
          <w:rStyle w:val="FootnoteReference"/>
          <w:noProof/>
        </w:rPr>
        <w:footnoteReference w:id="19"/>
      </w:r>
      <w:r w:rsidRPr="00DF5650">
        <w:rPr>
          <w:noProof/>
        </w:rPr>
        <w:t xml:space="preserve">, </w:t>
      </w:r>
    </w:p>
    <w:p w:rsidR="00573032" w:rsidRPr="00DF5650" w:rsidRDefault="00C43172">
      <w:pPr>
        <w:rPr>
          <w:noProof/>
        </w:rPr>
      </w:pPr>
      <w:r w:rsidRPr="00DF5650">
        <w:rPr>
          <w:noProof/>
        </w:rPr>
        <w:t>efter en særlig lovgivningsprocedure, og</w:t>
      </w:r>
    </w:p>
    <w:p w:rsidR="00573032" w:rsidRPr="00DF5650" w:rsidRDefault="00C43172">
      <w:pPr>
        <w:rPr>
          <w:noProof/>
        </w:rPr>
      </w:pPr>
      <w:r w:rsidRPr="00DF5650">
        <w:rPr>
          <w:noProof/>
        </w:rPr>
        <w:t>ud fra følgende betragtninger:</w:t>
      </w:r>
    </w:p>
    <w:p w:rsidR="00573032" w:rsidRPr="00DF5650" w:rsidRDefault="000041AB" w:rsidP="000041AB">
      <w:pPr>
        <w:pStyle w:val="Point0"/>
        <w:rPr>
          <w:noProof/>
        </w:rPr>
      </w:pPr>
      <w:r>
        <w:rPr>
          <w:noProof/>
        </w:rPr>
        <w:t>1)</w:t>
      </w:r>
      <w:r>
        <w:rPr>
          <w:noProof/>
        </w:rPr>
        <w:tab/>
      </w:r>
      <w:r w:rsidR="00D80060" w:rsidRPr="00DF5650">
        <w:rPr>
          <w:noProof/>
        </w:rPr>
        <w:t xml:space="preserve">I henhold til artikel 51 i Rådets gennemførelsesforordning (EU) </w:t>
      </w:r>
      <w:r w:rsidR="00D80060" w:rsidRPr="000041AB">
        <w:rPr>
          <w:noProof/>
          <w:lang w:val="pl-PL"/>
        </w:rPr>
        <w:t>nr.</w:t>
      </w:r>
      <w:r w:rsidRPr="000041AB">
        <w:rPr>
          <w:noProof/>
          <w:lang w:val="pl-PL"/>
        </w:rPr>
        <w:t> </w:t>
      </w:r>
      <w:r w:rsidR="00D80060" w:rsidRPr="000041AB">
        <w:rPr>
          <w:noProof/>
          <w:lang w:val="pl-PL"/>
        </w:rPr>
        <w:t>2</w:t>
      </w:r>
      <w:r w:rsidR="00D80060" w:rsidRPr="00DF5650">
        <w:rPr>
          <w:noProof/>
        </w:rPr>
        <w:t>82/2011</w:t>
      </w:r>
      <w:r w:rsidR="00254093" w:rsidRPr="00DF5650">
        <w:rPr>
          <w:rStyle w:val="FootnoteReference"/>
          <w:noProof/>
        </w:rPr>
        <w:footnoteReference w:id="20"/>
      </w:r>
      <w:r w:rsidR="00D80060" w:rsidRPr="00DF5650">
        <w:rPr>
          <w:noProof/>
        </w:rPr>
        <w:t xml:space="preserve"> skal den moms- og/eller punktafgiftsfritagelsesattest, der er fastsat</w:t>
      </w:r>
      <w:r w:rsidRPr="00DF5650">
        <w:rPr>
          <w:noProof/>
        </w:rPr>
        <w:t xml:space="preserve"> i</w:t>
      </w:r>
      <w:r>
        <w:rPr>
          <w:noProof/>
        </w:rPr>
        <w:t> </w:t>
      </w:r>
      <w:r w:rsidRPr="00DF5650">
        <w:rPr>
          <w:noProof/>
        </w:rPr>
        <w:t>bil</w:t>
      </w:r>
      <w:r w:rsidR="00D80060" w:rsidRPr="00DF5650">
        <w:rPr>
          <w:noProof/>
        </w:rPr>
        <w:t>ag II til nævnte gennemførelsesforordning, bekræfte, at en levering af varer eller ydelser til et fritagelsesberettiget organ/en fritagelsesberettiget enkeltperson opfylder betingelserne for fritagelse</w:t>
      </w:r>
      <w:r w:rsidRPr="00DF5650">
        <w:rPr>
          <w:noProof/>
        </w:rPr>
        <w:t xml:space="preserve"> i</w:t>
      </w:r>
      <w:r>
        <w:rPr>
          <w:noProof/>
        </w:rPr>
        <w:t> </w:t>
      </w:r>
      <w:r w:rsidRPr="00DF5650">
        <w:rPr>
          <w:noProof/>
        </w:rPr>
        <w:t>hen</w:t>
      </w:r>
      <w:r w:rsidR="00D80060" w:rsidRPr="00DF5650">
        <w:rPr>
          <w:noProof/>
        </w:rPr>
        <w:t>hold til artikel 151 i Rådets direktiv 2006/112/EF</w:t>
      </w:r>
      <w:r w:rsidR="00226B22" w:rsidRPr="00DF5650">
        <w:rPr>
          <w:rStyle w:val="FootnoteReference"/>
          <w:noProof/>
        </w:rPr>
        <w:footnoteReference w:id="21"/>
      </w:r>
      <w:r w:rsidR="00D80060" w:rsidRPr="00DF5650">
        <w:rPr>
          <w:noProof/>
        </w:rPr>
        <w:t xml:space="preserve">. Gennemførelsesforordning (EU) </w:t>
      </w:r>
      <w:r w:rsidR="00D80060" w:rsidRPr="000041AB">
        <w:rPr>
          <w:noProof/>
          <w:lang w:val="pl-PL"/>
        </w:rPr>
        <w:t>nr.</w:t>
      </w:r>
      <w:r w:rsidRPr="000041AB">
        <w:rPr>
          <w:noProof/>
          <w:lang w:val="pl-PL"/>
        </w:rPr>
        <w:t> </w:t>
      </w:r>
      <w:r w:rsidR="00D80060" w:rsidRPr="000041AB">
        <w:rPr>
          <w:noProof/>
          <w:lang w:val="pl-PL"/>
        </w:rPr>
        <w:t>2</w:t>
      </w:r>
      <w:r w:rsidR="00D80060" w:rsidRPr="00DF5650">
        <w:rPr>
          <w:noProof/>
        </w:rPr>
        <w:t>82/2011 indeholder bestemmelser om en fritagelsesattest</w:t>
      </w:r>
      <w:r w:rsidRPr="00DF5650">
        <w:rPr>
          <w:noProof/>
        </w:rPr>
        <w:t xml:space="preserve"> i</w:t>
      </w:r>
      <w:r>
        <w:rPr>
          <w:noProof/>
        </w:rPr>
        <w:t> </w:t>
      </w:r>
      <w:r w:rsidRPr="00DF5650">
        <w:rPr>
          <w:noProof/>
        </w:rPr>
        <w:t>pap</w:t>
      </w:r>
      <w:r w:rsidR="00D80060" w:rsidRPr="00DF5650">
        <w:rPr>
          <w:noProof/>
        </w:rPr>
        <w:t>irform, der skal underskrives i hånden. Det er nødvendigt at digitalisere processen med at oprette og indsende fritagelsesattesten og erstatte papirdokumentet med et dokument</w:t>
      </w:r>
      <w:r w:rsidRPr="00DF5650">
        <w:rPr>
          <w:noProof/>
        </w:rPr>
        <w:t xml:space="preserve"> i</w:t>
      </w:r>
      <w:r>
        <w:rPr>
          <w:noProof/>
        </w:rPr>
        <w:t> </w:t>
      </w:r>
      <w:r w:rsidRPr="00DF5650">
        <w:rPr>
          <w:noProof/>
        </w:rPr>
        <w:t>ele</w:t>
      </w:r>
      <w:r w:rsidR="00D80060" w:rsidRPr="00DF5650">
        <w:rPr>
          <w:noProof/>
        </w:rPr>
        <w:t>ktronisk format for at minimere bureaukratiet og den administrative byrde og reducere omkostningerne på lang sigt.</w:t>
      </w:r>
    </w:p>
    <w:p w:rsidR="00360B39" w:rsidRPr="00DF5650" w:rsidRDefault="000041AB" w:rsidP="000041AB">
      <w:pPr>
        <w:pStyle w:val="Point0"/>
        <w:rPr>
          <w:noProof/>
        </w:rPr>
      </w:pPr>
      <w:r>
        <w:rPr>
          <w:noProof/>
        </w:rPr>
        <w:t>2)</w:t>
      </w:r>
      <w:r>
        <w:rPr>
          <w:noProof/>
        </w:rPr>
        <w:tab/>
      </w:r>
      <w:r w:rsidR="00360B39" w:rsidRPr="00DF5650">
        <w:rPr>
          <w:noProof/>
        </w:rPr>
        <w:t>I betragtning af det store antal ressourcekrævende IT-projekter, som medlemsstaterne er involveret i, bør medlemsstaterne ud over det, der kræves for at skifte til en elektronisk fritagelsesattest, have fleksibilitet og tilstrækkelig tid til at fuldføre overgangen til den nye elektroniske procedure. Med henblik herpå bør de have mulighed for fortsat at anvende papirformularen</w:t>
      </w:r>
      <w:r w:rsidRPr="00DF5650">
        <w:rPr>
          <w:noProof/>
        </w:rPr>
        <w:t xml:space="preserve"> i</w:t>
      </w:r>
      <w:r>
        <w:rPr>
          <w:noProof/>
        </w:rPr>
        <w:t> </w:t>
      </w:r>
      <w:r w:rsidRPr="00DF5650">
        <w:rPr>
          <w:noProof/>
        </w:rPr>
        <w:t>bil</w:t>
      </w:r>
      <w:r w:rsidR="00360B39" w:rsidRPr="00DF5650">
        <w:rPr>
          <w:noProof/>
        </w:rPr>
        <w:t xml:space="preserve">ag II til Rådets gennemførelsesforordning (EU) </w:t>
      </w:r>
      <w:r w:rsidR="00360B39" w:rsidRPr="000041AB">
        <w:rPr>
          <w:noProof/>
          <w:lang w:val="pl-PL"/>
        </w:rPr>
        <w:t>nr.</w:t>
      </w:r>
      <w:r w:rsidRPr="000041AB">
        <w:rPr>
          <w:noProof/>
          <w:lang w:val="pl-PL"/>
        </w:rPr>
        <w:t> </w:t>
      </w:r>
      <w:r w:rsidR="00360B39" w:rsidRPr="000041AB">
        <w:rPr>
          <w:noProof/>
          <w:lang w:val="pl-PL"/>
        </w:rPr>
        <w:t>2</w:t>
      </w:r>
      <w:r w:rsidR="00360B39" w:rsidRPr="00DF5650">
        <w:rPr>
          <w:noProof/>
        </w:rPr>
        <w:t>82/2011 for transaktioner, der foretages i en overgangsperiode.</w:t>
      </w:r>
    </w:p>
    <w:p w:rsidR="000B69B5" w:rsidRPr="00DF5650" w:rsidRDefault="000041AB" w:rsidP="000041AB">
      <w:pPr>
        <w:pStyle w:val="Point0"/>
        <w:rPr>
          <w:noProof/>
        </w:rPr>
      </w:pPr>
      <w:r>
        <w:rPr>
          <w:noProof/>
        </w:rPr>
        <w:t>3)</w:t>
      </w:r>
      <w:r>
        <w:rPr>
          <w:noProof/>
        </w:rPr>
        <w:tab/>
      </w:r>
      <w:r w:rsidR="00D82963" w:rsidRPr="00DF5650">
        <w:rPr>
          <w:noProof/>
        </w:rPr>
        <w:t>Det er muligt, at et organ eller en enkeltperson, der er berettiget til fritagelse for sine indkøb</w:t>
      </w:r>
      <w:r w:rsidRPr="00DF5650">
        <w:rPr>
          <w:noProof/>
        </w:rPr>
        <w:t xml:space="preserve"> i</w:t>
      </w:r>
      <w:r>
        <w:rPr>
          <w:noProof/>
        </w:rPr>
        <w:t> </w:t>
      </w:r>
      <w:r w:rsidRPr="00DF5650">
        <w:rPr>
          <w:noProof/>
        </w:rPr>
        <w:t>hen</w:t>
      </w:r>
      <w:r w:rsidR="00D82963" w:rsidRPr="00DF5650">
        <w:rPr>
          <w:noProof/>
        </w:rPr>
        <w:t>hold til artikel 151</w:t>
      </w:r>
      <w:r w:rsidRPr="00DF5650">
        <w:rPr>
          <w:noProof/>
        </w:rPr>
        <w:t xml:space="preserve"> i</w:t>
      </w:r>
      <w:r>
        <w:rPr>
          <w:noProof/>
        </w:rPr>
        <w:t> </w:t>
      </w:r>
      <w:r w:rsidRPr="00DF5650">
        <w:rPr>
          <w:noProof/>
        </w:rPr>
        <w:t>dir</w:t>
      </w:r>
      <w:r w:rsidR="00D82963" w:rsidRPr="00DF5650">
        <w:rPr>
          <w:noProof/>
        </w:rPr>
        <w:t>ektiv 2006/112/EF, efter udstedelse af en fritagelsesattest kan blive klar over, at betingelserne for den pågældende fritagelse ikke er opfyldt eller vil ophøre med at være opfyldt. Sådanne oplysninger er normalt kun kendt af dette organ eller den pågældende enkeltperson, da vurderingen af, om disse betingelser er opfyldt, skal foretages på grundlag af den virksomhed, der udøves af det organ eller den person, til hvem leveringen finder sted, og af hvem disse varer eller tjenesteydelser skal anvendes. For at sikre retssikkerheden for afgiftspligtige personer og undgå unødige byrder for afgiftspligtige personer er det nødvendigt at præcisere, at den skyldige moms i sådanne tilfælde bør betales af det fritagelsesberettigede organ/den fritagelsesberettigede enkeltperson, der har udstedt fritagelsesattesten. Medlemsstaterne bør undgå unødvendige byrder i sådanne ekstraordinære tilfælde ved at tillade betaling af moms, uden at der er behov for en fuldstændig momsregistrering.</w:t>
      </w:r>
    </w:p>
    <w:p w:rsidR="00EF5646" w:rsidRPr="00DF5650" w:rsidRDefault="000041AB" w:rsidP="000041AB">
      <w:pPr>
        <w:pStyle w:val="Point0"/>
        <w:rPr>
          <w:noProof/>
        </w:rPr>
      </w:pPr>
      <w:r>
        <w:rPr>
          <w:noProof/>
        </w:rPr>
        <w:t>4)</w:t>
      </w:r>
      <w:r>
        <w:rPr>
          <w:noProof/>
        </w:rPr>
        <w:tab/>
      </w:r>
      <w:r w:rsidR="001F2451" w:rsidRPr="00DF5650">
        <w:rPr>
          <w:noProof/>
        </w:rPr>
        <w:t>Om end den nuværende mulighed for papirudgaven af attesten bibeholdes, bør det være muligt for medlemsstaterne fortsat at fravige kravet om, at den elektroniske attest skal underskrives af værtsmedlemsstaten, på betingelser, som de kan fastsætte, og som kan trækkes tilbage</w:t>
      </w:r>
      <w:r w:rsidRPr="00DF5650">
        <w:rPr>
          <w:noProof/>
        </w:rPr>
        <w:t xml:space="preserve"> i</w:t>
      </w:r>
      <w:r>
        <w:rPr>
          <w:noProof/>
        </w:rPr>
        <w:t> </w:t>
      </w:r>
      <w:r w:rsidRPr="00DF5650">
        <w:rPr>
          <w:noProof/>
        </w:rPr>
        <w:t>til</w:t>
      </w:r>
      <w:r w:rsidR="001F2451" w:rsidRPr="00DF5650">
        <w:rPr>
          <w:noProof/>
        </w:rPr>
        <w:t>fælde af misbrug.</w:t>
      </w:r>
    </w:p>
    <w:p w:rsidR="00BC48A6" w:rsidRPr="00DF5650" w:rsidRDefault="000041AB" w:rsidP="000041AB">
      <w:pPr>
        <w:pStyle w:val="Point0"/>
        <w:rPr>
          <w:noProof/>
        </w:rPr>
      </w:pPr>
      <w:r>
        <w:rPr>
          <w:noProof/>
        </w:rPr>
        <w:t>5)</w:t>
      </w:r>
      <w:r>
        <w:rPr>
          <w:noProof/>
        </w:rPr>
        <w:tab/>
      </w:r>
      <w:r w:rsidR="00BC48A6" w:rsidRPr="00DF5650">
        <w:rPr>
          <w:noProof/>
        </w:rPr>
        <w:t xml:space="preserve">For at sikre ensartede betingelser for gennemførelsen af artikel 151, </w:t>
      </w:r>
      <w:r w:rsidR="00BC48A6" w:rsidRPr="000041AB">
        <w:rPr>
          <w:noProof/>
          <w:lang w:val="pl-PL"/>
        </w:rPr>
        <w:t>stk.</w:t>
      </w:r>
      <w:r w:rsidRPr="000041AB">
        <w:rPr>
          <w:noProof/>
          <w:lang w:val="pl-PL"/>
        </w:rPr>
        <w:t> </w:t>
      </w:r>
      <w:r w:rsidR="00BC48A6" w:rsidRPr="000041AB">
        <w:rPr>
          <w:noProof/>
          <w:lang w:val="pl-PL"/>
        </w:rPr>
        <w:t>1</w:t>
      </w:r>
      <w:r w:rsidR="00BC48A6" w:rsidRPr="00DF5650">
        <w:rPr>
          <w:noProof/>
        </w:rPr>
        <w:t>,</w:t>
      </w:r>
      <w:r w:rsidRPr="00DF5650">
        <w:rPr>
          <w:noProof/>
        </w:rPr>
        <w:t xml:space="preserve"> i</w:t>
      </w:r>
      <w:r>
        <w:rPr>
          <w:noProof/>
        </w:rPr>
        <w:t> </w:t>
      </w:r>
      <w:r w:rsidRPr="00DF5650">
        <w:rPr>
          <w:noProof/>
        </w:rPr>
        <w:t>dir</w:t>
      </w:r>
      <w:r w:rsidR="00BC48A6" w:rsidRPr="00DF5650">
        <w:rPr>
          <w:noProof/>
        </w:rPr>
        <w:t>ektiv 2006/112/EF bør Kommissionen tillægges gennemførelsesbeføjelser. Disse beføjelser bør udøves</w:t>
      </w:r>
      <w:r w:rsidRPr="00DF5650">
        <w:rPr>
          <w:noProof/>
        </w:rPr>
        <w:t xml:space="preserve"> i</w:t>
      </w:r>
      <w:r>
        <w:rPr>
          <w:noProof/>
        </w:rPr>
        <w:t> </w:t>
      </w:r>
      <w:r w:rsidRPr="00DF5650">
        <w:rPr>
          <w:noProof/>
        </w:rPr>
        <w:t>ove</w:t>
      </w:r>
      <w:r w:rsidR="00BC48A6" w:rsidRPr="00DF5650">
        <w:rPr>
          <w:noProof/>
        </w:rPr>
        <w:t xml:space="preserve">rensstemmelse med Europa-Parlamentets og Rådets forordning (EU) </w:t>
      </w:r>
      <w:r w:rsidR="00BC48A6" w:rsidRPr="000041AB">
        <w:rPr>
          <w:noProof/>
          <w:lang w:val="pl-PL"/>
        </w:rPr>
        <w:t>nr.</w:t>
      </w:r>
      <w:r w:rsidRPr="000041AB">
        <w:rPr>
          <w:noProof/>
          <w:lang w:val="pl-PL"/>
        </w:rPr>
        <w:t> </w:t>
      </w:r>
      <w:r w:rsidR="00BC48A6" w:rsidRPr="000041AB">
        <w:rPr>
          <w:noProof/>
          <w:lang w:val="pl-PL"/>
        </w:rPr>
        <w:t>1</w:t>
      </w:r>
      <w:r w:rsidR="00BC48A6" w:rsidRPr="00DF5650">
        <w:rPr>
          <w:noProof/>
        </w:rPr>
        <w:t>82/2011</w:t>
      </w:r>
      <w:r w:rsidR="00BC48A6" w:rsidRPr="00DF5650">
        <w:rPr>
          <w:rStyle w:val="FootnoteReference"/>
          <w:noProof/>
        </w:rPr>
        <w:footnoteReference w:id="22"/>
      </w:r>
      <w:r w:rsidR="00BC48A6" w:rsidRPr="00DF5650">
        <w:rPr>
          <w:noProof/>
        </w:rPr>
        <w:t>.</w:t>
      </w:r>
    </w:p>
    <w:p w:rsidR="00573032" w:rsidRPr="00DF5650" w:rsidRDefault="000041AB" w:rsidP="000041AB">
      <w:pPr>
        <w:pStyle w:val="Point0"/>
        <w:rPr>
          <w:noProof/>
        </w:rPr>
      </w:pPr>
      <w:r>
        <w:rPr>
          <w:noProof/>
        </w:rPr>
        <w:t>6)</w:t>
      </w:r>
      <w:r>
        <w:rPr>
          <w:noProof/>
        </w:rPr>
        <w:tab/>
      </w:r>
      <w:r w:rsidR="00C43172" w:rsidRPr="00DF5650">
        <w:rPr>
          <w:noProof/>
        </w:rPr>
        <w:t>Direktiv 2006/112/EF bør derfor ændres</w:t>
      </w:r>
      <w:r w:rsidRPr="00DF5650">
        <w:rPr>
          <w:noProof/>
        </w:rPr>
        <w:t xml:space="preserve"> i</w:t>
      </w:r>
      <w:r>
        <w:rPr>
          <w:noProof/>
        </w:rPr>
        <w:t> </w:t>
      </w:r>
      <w:r w:rsidRPr="00DF5650">
        <w:rPr>
          <w:noProof/>
        </w:rPr>
        <w:t>ove</w:t>
      </w:r>
      <w:r w:rsidR="00C43172" w:rsidRPr="00DF5650">
        <w:rPr>
          <w:noProof/>
        </w:rPr>
        <w:t xml:space="preserve">rensstemmelse hermed — </w:t>
      </w:r>
    </w:p>
    <w:p w:rsidR="00573032" w:rsidRPr="00DF5650" w:rsidRDefault="00C43172">
      <w:pPr>
        <w:pStyle w:val="Formuledadoption"/>
        <w:rPr>
          <w:noProof/>
        </w:rPr>
      </w:pPr>
      <w:r w:rsidRPr="00DF5650">
        <w:rPr>
          <w:noProof/>
        </w:rPr>
        <w:t>VEDTAGET DETTE DIREKTIV:</w:t>
      </w:r>
    </w:p>
    <w:p w:rsidR="00573032" w:rsidRPr="00DF5650" w:rsidRDefault="00B129D2">
      <w:pPr>
        <w:pStyle w:val="Titrearticle"/>
        <w:rPr>
          <w:noProof/>
        </w:rPr>
      </w:pPr>
      <w:r w:rsidRPr="00DF5650">
        <w:rPr>
          <w:noProof/>
        </w:rPr>
        <w:t>Artikel 1</w:t>
      </w:r>
    </w:p>
    <w:p w:rsidR="004E5127" w:rsidRPr="00DF5650" w:rsidRDefault="006754E2" w:rsidP="00AC52B4">
      <w:pPr>
        <w:rPr>
          <w:noProof/>
        </w:rPr>
      </w:pPr>
      <w:r w:rsidRPr="00DF5650">
        <w:rPr>
          <w:noProof/>
        </w:rPr>
        <w:t>I artikel 151</w:t>
      </w:r>
      <w:r w:rsidR="000041AB" w:rsidRPr="00DF5650">
        <w:rPr>
          <w:noProof/>
        </w:rPr>
        <w:t xml:space="preserve"> i</w:t>
      </w:r>
      <w:r w:rsidR="000041AB">
        <w:rPr>
          <w:noProof/>
        </w:rPr>
        <w:t> </w:t>
      </w:r>
      <w:r w:rsidR="000041AB" w:rsidRPr="00DF5650">
        <w:rPr>
          <w:noProof/>
        </w:rPr>
        <w:t>dir</w:t>
      </w:r>
      <w:r w:rsidRPr="00DF5650">
        <w:rPr>
          <w:noProof/>
        </w:rPr>
        <w:t xml:space="preserve">ektiv 2006/112/EF indsættes følgende som stykke 1a </w:t>
      </w:r>
      <w:r w:rsidRPr="000041AB">
        <w:rPr>
          <w:noProof/>
          <w:lang w:val="pl-PL"/>
        </w:rPr>
        <w:t>og</w:t>
      </w:r>
      <w:r w:rsidR="000041AB" w:rsidRPr="000041AB">
        <w:rPr>
          <w:noProof/>
          <w:lang w:val="pl-PL"/>
        </w:rPr>
        <w:t> </w:t>
      </w:r>
      <w:r w:rsidRPr="000041AB">
        <w:rPr>
          <w:noProof/>
          <w:lang w:val="pl-PL"/>
        </w:rPr>
        <w:t>1</w:t>
      </w:r>
      <w:r w:rsidRPr="00DF5650">
        <w:rPr>
          <w:noProof/>
        </w:rPr>
        <w:t>b:</w:t>
      </w:r>
      <w:r w:rsidRPr="00DF5650">
        <w:rPr>
          <w:noProof/>
        </w:rPr>
        <w:tab/>
      </w:r>
    </w:p>
    <w:p w:rsidR="00221163" w:rsidRPr="00DF5650" w:rsidRDefault="004E5127" w:rsidP="00397A47">
      <w:pPr>
        <w:pStyle w:val="Text1"/>
        <w:tabs>
          <w:tab w:val="left" w:pos="1134"/>
        </w:tabs>
        <w:ind w:left="567" w:right="568"/>
        <w:rPr>
          <w:noProof/>
        </w:rPr>
      </w:pPr>
      <w:r w:rsidRPr="00DF5650">
        <w:rPr>
          <w:noProof/>
        </w:rPr>
        <w:t>"</w:t>
      </w:r>
      <w:bookmarkStart w:id="2" w:name="_Hlk161393243"/>
      <w:r w:rsidRPr="00DF5650">
        <w:rPr>
          <w:noProof/>
        </w:rPr>
        <w:t>1a.</w:t>
      </w:r>
      <w:r w:rsidRPr="00DF5650">
        <w:rPr>
          <w:noProof/>
        </w:rPr>
        <w:tab/>
        <w:t>Medlemsstaterne anvender en elektronisk attest til at bekræfte, at en transaktion opfylder betingelserne for en undtagelse</w:t>
      </w:r>
      <w:r w:rsidR="000041AB" w:rsidRPr="00DF5650">
        <w:rPr>
          <w:noProof/>
        </w:rPr>
        <w:t xml:space="preserve"> i</w:t>
      </w:r>
      <w:r w:rsidR="000041AB">
        <w:rPr>
          <w:noProof/>
        </w:rPr>
        <w:t> </w:t>
      </w:r>
      <w:r w:rsidR="000041AB" w:rsidRPr="00DF5650">
        <w:rPr>
          <w:noProof/>
        </w:rPr>
        <w:t>hen</w:t>
      </w:r>
      <w:r w:rsidRPr="00DF5650">
        <w:rPr>
          <w:noProof/>
        </w:rPr>
        <w:t xml:space="preserve">hold til </w:t>
      </w:r>
      <w:r w:rsidRPr="000041AB">
        <w:rPr>
          <w:noProof/>
          <w:lang w:val="pl-PL"/>
        </w:rPr>
        <w:t>stk.</w:t>
      </w:r>
      <w:r w:rsidR="000041AB" w:rsidRPr="000041AB">
        <w:rPr>
          <w:noProof/>
          <w:lang w:val="pl-PL"/>
        </w:rPr>
        <w:t> </w:t>
      </w:r>
      <w:r w:rsidRPr="000041AB">
        <w:rPr>
          <w:noProof/>
          <w:lang w:val="pl-PL"/>
        </w:rPr>
        <w:t>1</w:t>
      </w:r>
      <w:r w:rsidRPr="00DF5650">
        <w:rPr>
          <w:noProof/>
        </w:rPr>
        <w:t xml:space="preserve">, første afsnit. Det fritagelsesberettigede organ/den fritagelsesberettigede enkeltperson, til hvem den afgiftsfritagne levering af varer eller ydelser foretages, udsteder attesten og underskriver den sammen med værtsmedlemsstaten elektronisk. </w:t>
      </w:r>
      <w:bookmarkEnd w:id="2"/>
    </w:p>
    <w:p w:rsidR="00B6010A" w:rsidRPr="00DF5650" w:rsidRDefault="00B6010A" w:rsidP="00397A47">
      <w:pPr>
        <w:pStyle w:val="Text1"/>
        <w:tabs>
          <w:tab w:val="left" w:pos="1134"/>
        </w:tabs>
        <w:ind w:left="567" w:right="568"/>
        <w:rPr>
          <w:noProof/>
        </w:rPr>
      </w:pPr>
      <w:r w:rsidRPr="00DF5650">
        <w:rPr>
          <w:noProof/>
        </w:rPr>
        <w:t>Hvis varerne eller ydelserne er beregnet til officiel brug, kan medlemsstaterne dispensere fritagelsesberettigede organer/enkeltpersoner fra kravet om, at attesten skal underskrives af værtsmedlemsstaten, på betingelser, som de selv fastsætter. Denne dispensation kan trækkes tilbage</w:t>
      </w:r>
      <w:r w:rsidR="000041AB" w:rsidRPr="00DF5650">
        <w:rPr>
          <w:noProof/>
        </w:rPr>
        <w:t xml:space="preserve"> i</w:t>
      </w:r>
      <w:r w:rsidR="000041AB">
        <w:rPr>
          <w:noProof/>
        </w:rPr>
        <w:t> </w:t>
      </w:r>
      <w:r w:rsidR="000041AB" w:rsidRPr="00DF5650">
        <w:rPr>
          <w:noProof/>
        </w:rPr>
        <w:t>til</w:t>
      </w:r>
      <w:r w:rsidRPr="00DF5650">
        <w:rPr>
          <w:noProof/>
        </w:rPr>
        <w:t>fælde af misbrug. Medlemsstaterne underretter Kommissionen om, hvilket kontaktpunkt der er udpeget til at identificere de tjenester, der er ansvarlige for at underskrive attesten ad elektronisk vej, og</w:t>
      </w:r>
      <w:r w:rsidR="000041AB" w:rsidRPr="00DF5650">
        <w:rPr>
          <w:noProof/>
        </w:rPr>
        <w:t xml:space="preserve"> i</w:t>
      </w:r>
      <w:r w:rsidR="000041AB">
        <w:rPr>
          <w:noProof/>
        </w:rPr>
        <w:t> </w:t>
      </w:r>
      <w:r w:rsidR="000041AB" w:rsidRPr="00DF5650">
        <w:rPr>
          <w:noProof/>
        </w:rPr>
        <w:t>hvi</w:t>
      </w:r>
      <w:r w:rsidRPr="00DF5650">
        <w:rPr>
          <w:noProof/>
        </w:rPr>
        <w:t>lket omfang de dispenserer fra dette krav. Kommissionen videresender disse oplysninger til de øvrige medlemsstater.</w:t>
      </w:r>
    </w:p>
    <w:p w:rsidR="00B73705" w:rsidRPr="00DF5650" w:rsidRDefault="00775A93" w:rsidP="00221163">
      <w:pPr>
        <w:pStyle w:val="Text1"/>
        <w:tabs>
          <w:tab w:val="left" w:pos="1134"/>
        </w:tabs>
        <w:ind w:left="567" w:right="568"/>
        <w:rPr>
          <w:noProof/>
        </w:rPr>
      </w:pPr>
      <w:r w:rsidRPr="00DF5650">
        <w:rPr>
          <w:noProof/>
        </w:rPr>
        <w:t>Uanset første afsnit kan medlemsstaterne vælge at anvende papirudgaven af attesten</w:t>
      </w:r>
      <w:r w:rsidR="000041AB" w:rsidRPr="00DF5650">
        <w:rPr>
          <w:noProof/>
        </w:rPr>
        <w:t xml:space="preserve"> i</w:t>
      </w:r>
      <w:r w:rsidR="000041AB">
        <w:rPr>
          <w:noProof/>
        </w:rPr>
        <w:t> </w:t>
      </w:r>
      <w:r w:rsidR="000041AB" w:rsidRPr="00DF5650">
        <w:rPr>
          <w:noProof/>
        </w:rPr>
        <w:t>bil</w:t>
      </w:r>
      <w:r w:rsidRPr="00DF5650">
        <w:rPr>
          <w:noProof/>
        </w:rPr>
        <w:t xml:space="preserve">ag II til Rådets gennemførelsesforordning (EU) </w:t>
      </w:r>
      <w:r w:rsidRPr="000041AB">
        <w:rPr>
          <w:noProof/>
          <w:lang w:val="pl-PL"/>
        </w:rPr>
        <w:t>nr.</w:t>
      </w:r>
      <w:r w:rsidR="000041AB" w:rsidRPr="000041AB">
        <w:rPr>
          <w:noProof/>
          <w:lang w:val="pl-PL"/>
        </w:rPr>
        <w:t> </w:t>
      </w:r>
      <w:r w:rsidRPr="000041AB">
        <w:rPr>
          <w:noProof/>
          <w:lang w:val="pl-PL"/>
        </w:rPr>
        <w:t>2</w:t>
      </w:r>
      <w:r w:rsidRPr="00DF5650">
        <w:rPr>
          <w:noProof/>
        </w:rPr>
        <w:t xml:space="preserve">82/2011 * til enhver transaktion, der foretages indtil </w:t>
      </w:r>
      <w:r w:rsidRPr="000041AB">
        <w:rPr>
          <w:noProof/>
          <w:lang w:val="pl-PL"/>
        </w:rPr>
        <w:t>den</w:t>
      </w:r>
      <w:r w:rsidR="000041AB" w:rsidRPr="000041AB">
        <w:rPr>
          <w:noProof/>
          <w:lang w:val="pl-PL"/>
        </w:rPr>
        <w:t> </w:t>
      </w:r>
      <w:r w:rsidRPr="000041AB">
        <w:rPr>
          <w:noProof/>
          <w:lang w:val="pl-PL"/>
        </w:rPr>
        <w:t>3</w:t>
      </w:r>
      <w:r w:rsidRPr="00DF5650">
        <w:rPr>
          <w:noProof/>
        </w:rPr>
        <w:t>0. juni 2030.</w:t>
      </w:r>
    </w:p>
    <w:p w:rsidR="00626626" w:rsidRPr="00DF5650" w:rsidRDefault="00DB44B9" w:rsidP="00987E48">
      <w:pPr>
        <w:pStyle w:val="Text1"/>
        <w:tabs>
          <w:tab w:val="left" w:pos="1134"/>
        </w:tabs>
        <w:ind w:left="567" w:right="568"/>
        <w:rPr>
          <w:noProof/>
        </w:rPr>
      </w:pPr>
      <w:r w:rsidRPr="00DF5650">
        <w:rPr>
          <w:noProof/>
        </w:rPr>
        <w:t>Kommissionen fastsætter ved hjælp af gennemførelsesretsakter de tekniske detaljer og specifikationer for så vidt angår det elektroniske format for den i første afsnit omhandlede attest og behandlingen heraf. Disse gennemførelsesretsakter vedtages efter undersøgelsesproceduren</w:t>
      </w:r>
      <w:r w:rsidR="000041AB" w:rsidRPr="00DF5650">
        <w:rPr>
          <w:noProof/>
        </w:rPr>
        <w:t xml:space="preserve"> i</w:t>
      </w:r>
      <w:r w:rsidR="000041AB">
        <w:rPr>
          <w:noProof/>
        </w:rPr>
        <w:t> </w:t>
      </w:r>
      <w:r w:rsidR="000041AB" w:rsidRPr="00DF5650">
        <w:rPr>
          <w:noProof/>
          <w:color w:val="000000"/>
          <w:shd w:val="clear" w:color="auto" w:fill="FFFFFF"/>
        </w:rPr>
        <w:t>art</w:t>
      </w:r>
      <w:r w:rsidRPr="00DF5650">
        <w:rPr>
          <w:noProof/>
          <w:color w:val="000000"/>
          <w:shd w:val="clear" w:color="auto" w:fill="FFFFFF"/>
        </w:rPr>
        <w:t>ikel 5</w:t>
      </w:r>
      <w:r w:rsidR="000041AB" w:rsidRPr="00DF5650">
        <w:rPr>
          <w:noProof/>
          <w:color w:val="000000"/>
          <w:shd w:val="clear" w:color="auto" w:fill="FFFFFF"/>
        </w:rPr>
        <w:t xml:space="preserve"> i</w:t>
      </w:r>
      <w:r w:rsidR="000041AB">
        <w:rPr>
          <w:noProof/>
          <w:color w:val="000000"/>
          <w:shd w:val="clear" w:color="auto" w:fill="FFFFFF"/>
        </w:rPr>
        <w:t> </w:t>
      </w:r>
      <w:r w:rsidR="000041AB" w:rsidRPr="00DF5650">
        <w:rPr>
          <w:noProof/>
          <w:color w:val="000000"/>
          <w:shd w:val="clear" w:color="auto" w:fill="FFFFFF"/>
        </w:rPr>
        <w:t>for</w:t>
      </w:r>
      <w:r w:rsidRPr="00DF5650">
        <w:rPr>
          <w:noProof/>
          <w:color w:val="000000"/>
          <w:shd w:val="clear" w:color="auto" w:fill="FFFFFF"/>
        </w:rPr>
        <w:t>ordning (EU) nr. 182/2011, og</w:t>
      </w:r>
      <w:r w:rsidR="000041AB" w:rsidRPr="00DF5650">
        <w:rPr>
          <w:noProof/>
          <w:color w:val="000000"/>
          <w:shd w:val="clear" w:color="auto" w:fill="FFFFFF"/>
        </w:rPr>
        <w:t xml:space="preserve"> i</w:t>
      </w:r>
      <w:r w:rsidR="000041AB">
        <w:rPr>
          <w:noProof/>
          <w:color w:val="000000"/>
          <w:shd w:val="clear" w:color="auto" w:fill="FFFFFF"/>
        </w:rPr>
        <w:t> </w:t>
      </w:r>
      <w:r w:rsidR="000041AB" w:rsidRPr="00DF5650">
        <w:rPr>
          <w:noProof/>
          <w:color w:val="000000"/>
          <w:shd w:val="clear" w:color="auto" w:fill="FFFFFF"/>
        </w:rPr>
        <w:t>den</w:t>
      </w:r>
      <w:r w:rsidRPr="00DF5650">
        <w:rPr>
          <w:noProof/>
          <w:color w:val="000000"/>
          <w:shd w:val="clear" w:color="auto" w:fill="FFFFFF"/>
        </w:rPr>
        <w:t xml:space="preserve"> forbindelse er udvalget det udvalg, der er nedsat ved artikel 58</w:t>
      </w:r>
      <w:r w:rsidR="000041AB" w:rsidRPr="00DF5650">
        <w:rPr>
          <w:noProof/>
          <w:color w:val="000000"/>
          <w:shd w:val="clear" w:color="auto" w:fill="FFFFFF"/>
        </w:rPr>
        <w:t xml:space="preserve"> i</w:t>
      </w:r>
      <w:r w:rsidR="000041AB">
        <w:rPr>
          <w:noProof/>
          <w:color w:val="000000"/>
          <w:shd w:val="clear" w:color="auto" w:fill="FFFFFF"/>
        </w:rPr>
        <w:t> </w:t>
      </w:r>
      <w:r w:rsidR="000041AB" w:rsidRPr="00DF5650">
        <w:rPr>
          <w:noProof/>
          <w:color w:val="000000"/>
          <w:shd w:val="clear" w:color="auto" w:fill="FFFFFF"/>
        </w:rPr>
        <w:t>for</w:t>
      </w:r>
      <w:r w:rsidRPr="00DF5650">
        <w:rPr>
          <w:noProof/>
          <w:color w:val="000000"/>
          <w:shd w:val="clear" w:color="auto" w:fill="FFFFFF"/>
        </w:rPr>
        <w:t>ordning (EU) nr. 904/2010</w:t>
      </w:r>
      <w:r w:rsidRPr="00DF5650">
        <w:rPr>
          <w:noProof/>
        </w:rPr>
        <w:t>.</w:t>
      </w:r>
    </w:p>
    <w:p w:rsidR="009730B9" w:rsidRPr="00DF5650" w:rsidRDefault="009730B9" w:rsidP="00987E48">
      <w:pPr>
        <w:pStyle w:val="Text1"/>
        <w:tabs>
          <w:tab w:val="left" w:pos="1134"/>
        </w:tabs>
        <w:ind w:left="567" w:right="568"/>
        <w:rPr>
          <w:noProof/>
        </w:rPr>
      </w:pPr>
      <w:r w:rsidRPr="00DF5650">
        <w:rPr>
          <w:noProof/>
        </w:rPr>
        <w:t>1b.</w:t>
      </w:r>
      <w:r w:rsidRPr="00DF5650">
        <w:rPr>
          <w:noProof/>
        </w:rPr>
        <w:tab/>
        <w:t>Hvis betingelserne for fritagelse</w:t>
      </w:r>
      <w:r w:rsidR="000041AB" w:rsidRPr="00DF5650">
        <w:rPr>
          <w:noProof/>
        </w:rPr>
        <w:t xml:space="preserve"> i</w:t>
      </w:r>
      <w:r w:rsidR="000041AB">
        <w:rPr>
          <w:noProof/>
        </w:rPr>
        <w:t> </w:t>
      </w:r>
      <w:r w:rsidR="000041AB" w:rsidRPr="000041AB">
        <w:rPr>
          <w:noProof/>
          <w:lang w:val="pl-PL"/>
        </w:rPr>
        <w:t>stk</w:t>
      </w:r>
      <w:r w:rsidRPr="000041AB">
        <w:rPr>
          <w:noProof/>
          <w:lang w:val="pl-PL"/>
        </w:rPr>
        <w:t>.</w:t>
      </w:r>
      <w:r w:rsidR="000041AB" w:rsidRPr="000041AB">
        <w:rPr>
          <w:noProof/>
          <w:lang w:val="pl-PL"/>
        </w:rPr>
        <w:t> </w:t>
      </w:r>
      <w:r w:rsidRPr="000041AB">
        <w:rPr>
          <w:noProof/>
          <w:lang w:val="pl-PL"/>
        </w:rPr>
        <w:t>1</w:t>
      </w:r>
      <w:r w:rsidRPr="00DF5650">
        <w:rPr>
          <w:noProof/>
        </w:rPr>
        <w:t xml:space="preserve">, første afsnit, ikke er opfyldt eller ophører med at finde anvendelse, er det fritagelsesberettigede organ/den fritagelsesberettigede enkeltperson, der har udstedt og underskrevet attesten, forpligtet til at betale momsen til den medlemsstat, hvor den skal betales, jf. dog </w:t>
      </w:r>
      <w:r w:rsidRPr="000041AB">
        <w:rPr>
          <w:noProof/>
          <w:lang w:val="pl-PL"/>
        </w:rPr>
        <w:t>stk.</w:t>
      </w:r>
      <w:r w:rsidR="000041AB" w:rsidRPr="000041AB">
        <w:rPr>
          <w:noProof/>
          <w:lang w:val="pl-PL"/>
        </w:rPr>
        <w:t> </w:t>
      </w:r>
      <w:r w:rsidRPr="000041AB">
        <w:rPr>
          <w:noProof/>
          <w:lang w:val="pl-PL"/>
        </w:rPr>
        <w:t>3</w:t>
      </w:r>
      <w:r w:rsidRPr="00DF5650">
        <w:rPr>
          <w:noProof/>
        </w:rPr>
        <w:t>.</w:t>
      </w:r>
    </w:p>
    <w:p w:rsidR="00626626" w:rsidRPr="00DF5650" w:rsidRDefault="00626626" w:rsidP="00987E48">
      <w:pPr>
        <w:pStyle w:val="Text1"/>
        <w:tabs>
          <w:tab w:val="left" w:pos="1134"/>
        </w:tabs>
        <w:ind w:left="567" w:right="568"/>
        <w:rPr>
          <w:noProof/>
        </w:rPr>
      </w:pPr>
      <w:r w:rsidRPr="00DF5650">
        <w:rPr>
          <w:noProof/>
        </w:rPr>
        <w:t>______________________</w:t>
      </w:r>
    </w:p>
    <w:p w:rsidR="006D0D48" w:rsidRPr="00DF5650" w:rsidRDefault="00626626" w:rsidP="00987E48">
      <w:pPr>
        <w:pStyle w:val="Text1"/>
        <w:tabs>
          <w:tab w:val="left" w:pos="1134"/>
        </w:tabs>
        <w:ind w:left="567" w:right="568"/>
        <w:rPr>
          <w:noProof/>
        </w:rPr>
      </w:pPr>
      <w:r w:rsidRPr="00DF5650">
        <w:rPr>
          <w:noProof/>
        </w:rPr>
        <w:t>*</w:t>
      </w:r>
      <w:r w:rsidRPr="00DF5650">
        <w:rPr>
          <w:noProof/>
        </w:rPr>
        <w:tab/>
        <w:t xml:space="preserve">Rådets gennemførelsesforordning (EU) nr. 282/2011 </w:t>
      </w:r>
      <w:r w:rsidRPr="000041AB">
        <w:rPr>
          <w:noProof/>
          <w:lang w:val="pl-PL"/>
        </w:rPr>
        <w:t>af</w:t>
      </w:r>
      <w:r w:rsidR="000041AB" w:rsidRPr="000041AB">
        <w:rPr>
          <w:noProof/>
          <w:lang w:val="pl-PL"/>
        </w:rPr>
        <w:t> </w:t>
      </w:r>
      <w:r w:rsidRPr="000041AB">
        <w:rPr>
          <w:noProof/>
          <w:lang w:val="pl-PL"/>
        </w:rPr>
        <w:t>1</w:t>
      </w:r>
      <w:r w:rsidRPr="00DF5650">
        <w:rPr>
          <w:noProof/>
        </w:rPr>
        <w:t xml:space="preserve">5. marts 2011 om foranstaltninger til gennemførelse af direktiv 2006/112/EF om det fælles merværdiafgiftssystem (EUT L 77 </w:t>
      </w:r>
      <w:r w:rsidRPr="000041AB">
        <w:rPr>
          <w:noProof/>
          <w:lang w:val="pl-PL"/>
        </w:rPr>
        <w:t>af</w:t>
      </w:r>
      <w:r w:rsidR="000041AB" w:rsidRPr="000041AB">
        <w:rPr>
          <w:noProof/>
          <w:lang w:val="pl-PL"/>
        </w:rPr>
        <w:t> </w:t>
      </w:r>
      <w:r w:rsidRPr="000041AB">
        <w:rPr>
          <w:noProof/>
          <w:lang w:val="pl-PL"/>
        </w:rPr>
        <w:t>2</w:t>
      </w:r>
      <w:r w:rsidRPr="00DF5650">
        <w:rPr>
          <w:noProof/>
        </w:rPr>
        <w:t>3.3.2011, s. 1, ELI: http://data.europa.eu/eli/reg_impl/2011/282/oj).".</w:t>
      </w:r>
    </w:p>
    <w:p w:rsidR="007344FF" w:rsidRPr="00DF5650" w:rsidRDefault="00B129D2" w:rsidP="00AC5351">
      <w:pPr>
        <w:pStyle w:val="Titrearticle"/>
        <w:rPr>
          <w:noProof/>
        </w:rPr>
      </w:pPr>
      <w:r w:rsidRPr="00DF5650">
        <w:rPr>
          <w:noProof/>
        </w:rPr>
        <w:t>Artikel 2</w:t>
      </w:r>
    </w:p>
    <w:p w:rsidR="00590413" w:rsidRPr="00DF5650" w:rsidRDefault="00590413" w:rsidP="00590413">
      <w:pPr>
        <w:pStyle w:val="ManualNumPar1"/>
        <w:rPr>
          <w:noProof/>
        </w:rPr>
      </w:pPr>
      <w:r w:rsidRPr="00DF5650">
        <w:rPr>
          <w:noProof/>
        </w:rPr>
        <w:t>1.</w:t>
      </w:r>
      <w:r w:rsidRPr="00DF5650">
        <w:rPr>
          <w:noProof/>
        </w:rPr>
        <w:tab/>
        <w:t>Medlemsstaterne sætter de nødvendige love og administrative bestemmelser</w:t>
      </w:r>
      <w:r w:rsidR="000041AB" w:rsidRPr="00DF5650">
        <w:rPr>
          <w:noProof/>
        </w:rPr>
        <w:t xml:space="preserve"> i</w:t>
      </w:r>
      <w:r w:rsidR="000041AB">
        <w:rPr>
          <w:noProof/>
        </w:rPr>
        <w:t> </w:t>
      </w:r>
      <w:r w:rsidR="000041AB" w:rsidRPr="00DF5650">
        <w:rPr>
          <w:noProof/>
        </w:rPr>
        <w:t>kra</w:t>
      </w:r>
      <w:r w:rsidRPr="00DF5650">
        <w:rPr>
          <w:noProof/>
        </w:rPr>
        <w:t xml:space="preserve">ft for at efterkomme dette direktivs artikel 1 senest </w:t>
      </w:r>
      <w:r w:rsidRPr="000041AB">
        <w:rPr>
          <w:noProof/>
          <w:lang w:val="pl-PL"/>
        </w:rPr>
        <w:t>den</w:t>
      </w:r>
      <w:r w:rsidR="000041AB" w:rsidRPr="000041AB">
        <w:rPr>
          <w:noProof/>
          <w:lang w:val="pl-PL"/>
        </w:rPr>
        <w:t> </w:t>
      </w:r>
      <w:r w:rsidRPr="000041AB">
        <w:rPr>
          <w:noProof/>
          <w:lang w:val="pl-PL"/>
        </w:rPr>
        <w:t>3</w:t>
      </w:r>
      <w:r w:rsidRPr="00DF5650">
        <w:rPr>
          <w:noProof/>
        </w:rPr>
        <w:t>0. juni 2026. De meddeler straks Kommissionen disse love og bestemmelser.</w:t>
      </w:r>
    </w:p>
    <w:p w:rsidR="00590413" w:rsidRPr="00DF5650" w:rsidRDefault="00590413" w:rsidP="00590413">
      <w:pPr>
        <w:pStyle w:val="Text1"/>
        <w:rPr>
          <w:noProof/>
        </w:rPr>
      </w:pPr>
      <w:r w:rsidRPr="00DF5650">
        <w:rPr>
          <w:noProof/>
        </w:rPr>
        <w:t>Disse love og bestemmelser skal ved vedtagelsen indeholde en henvisning til dette direktiv eller skal ved offentliggørelsen ledsages af en sådan henvisning. De nærmere regler for henvisningen fastsættes af medlemsstaterne.</w:t>
      </w:r>
    </w:p>
    <w:p w:rsidR="00590413" w:rsidRPr="00DF5650" w:rsidRDefault="00590413" w:rsidP="00590413">
      <w:pPr>
        <w:pStyle w:val="ManualNumPar1"/>
        <w:rPr>
          <w:noProof/>
        </w:rPr>
      </w:pPr>
      <w:r w:rsidRPr="00DF5650">
        <w:rPr>
          <w:noProof/>
        </w:rPr>
        <w:t>2.</w:t>
      </w:r>
      <w:r w:rsidRPr="00DF5650">
        <w:rPr>
          <w:noProof/>
        </w:rPr>
        <w:tab/>
        <w:t>Medlemsstaterne meddeler Kommissionen teksten til de vigtigste nationale retsforskrifter, som de udsteder på det område, der er omfattet af dette direktivs artikel 1.</w:t>
      </w:r>
    </w:p>
    <w:p w:rsidR="00E95BE2" w:rsidRPr="00DF5650" w:rsidRDefault="00E95BE2" w:rsidP="00B505B0">
      <w:pPr>
        <w:rPr>
          <w:noProof/>
        </w:rPr>
      </w:pPr>
    </w:p>
    <w:p w:rsidR="00573032" w:rsidRPr="00DF5650" w:rsidRDefault="00B129D2">
      <w:pPr>
        <w:pStyle w:val="Titrearticle"/>
        <w:rPr>
          <w:noProof/>
        </w:rPr>
      </w:pPr>
      <w:r w:rsidRPr="00DF5650">
        <w:rPr>
          <w:noProof/>
        </w:rPr>
        <w:t>Artikel 3</w:t>
      </w:r>
    </w:p>
    <w:p w:rsidR="00573032" w:rsidRPr="00DF5650" w:rsidRDefault="00C43172" w:rsidP="00E61D94">
      <w:pPr>
        <w:rPr>
          <w:noProof/>
        </w:rPr>
      </w:pPr>
      <w:r w:rsidRPr="00DF5650">
        <w:rPr>
          <w:noProof/>
        </w:rPr>
        <w:t>Dette direktiv træder</w:t>
      </w:r>
      <w:r w:rsidR="000041AB" w:rsidRPr="00DF5650">
        <w:rPr>
          <w:noProof/>
        </w:rPr>
        <w:t xml:space="preserve"> i</w:t>
      </w:r>
      <w:r w:rsidR="000041AB">
        <w:rPr>
          <w:noProof/>
        </w:rPr>
        <w:t> </w:t>
      </w:r>
      <w:r w:rsidR="000041AB" w:rsidRPr="00DF5650">
        <w:rPr>
          <w:noProof/>
        </w:rPr>
        <w:t>kra</w:t>
      </w:r>
      <w:r w:rsidRPr="00DF5650">
        <w:rPr>
          <w:noProof/>
        </w:rPr>
        <w:t>ft på tyvendedagen efter offentliggørelsen</w:t>
      </w:r>
      <w:r w:rsidR="000041AB" w:rsidRPr="00DF5650">
        <w:rPr>
          <w:noProof/>
        </w:rPr>
        <w:t xml:space="preserve"> i</w:t>
      </w:r>
      <w:r w:rsidR="000041AB">
        <w:rPr>
          <w:noProof/>
        </w:rPr>
        <w:t> </w:t>
      </w:r>
      <w:r w:rsidR="000041AB" w:rsidRPr="00DF5650">
        <w:rPr>
          <w:i/>
          <w:iCs/>
          <w:noProof/>
        </w:rPr>
        <w:t>Den</w:t>
      </w:r>
      <w:r w:rsidRPr="00DF5650">
        <w:rPr>
          <w:i/>
          <w:iCs/>
          <w:noProof/>
        </w:rPr>
        <w:t xml:space="preserve"> Europæiske Unions Tidende</w:t>
      </w:r>
      <w:r w:rsidRPr="00DF5650">
        <w:rPr>
          <w:noProof/>
        </w:rPr>
        <w:t xml:space="preserve">. </w:t>
      </w:r>
    </w:p>
    <w:p w:rsidR="00573032" w:rsidRPr="00DF5650" w:rsidRDefault="00B129D2" w:rsidP="002A7E94">
      <w:pPr>
        <w:pStyle w:val="Titrearticle"/>
        <w:rPr>
          <w:noProof/>
        </w:rPr>
      </w:pPr>
      <w:r w:rsidRPr="00DF5650">
        <w:rPr>
          <w:noProof/>
        </w:rPr>
        <w:t>Artikel 4</w:t>
      </w:r>
    </w:p>
    <w:p w:rsidR="00573032" w:rsidRPr="00DF5650" w:rsidRDefault="00C43172">
      <w:pPr>
        <w:rPr>
          <w:noProof/>
        </w:rPr>
      </w:pPr>
      <w:r w:rsidRPr="00DF5650">
        <w:rPr>
          <w:noProof/>
        </w:rPr>
        <w:t>Dette direktiv er rettet til medlemsstaterne.</w:t>
      </w:r>
    </w:p>
    <w:p w:rsidR="00573032" w:rsidRPr="00DF5650" w:rsidRDefault="00EA3325" w:rsidP="002A7E94">
      <w:pPr>
        <w:pStyle w:val="Fait"/>
        <w:rPr>
          <w:noProof/>
        </w:rPr>
      </w:pPr>
      <w:r>
        <w:rPr>
          <w:noProof/>
        </w:rPr>
        <w:t>Udfærdiget i Bruxelles, den .</w:t>
      </w:r>
    </w:p>
    <w:p w:rsidR="00573032" w:rsidRPr="00DF5650" w:rsidRDefault="00C43172" w:rsidP="002A7E94">
      <w:pPr>
        <w:pStyle w:val="Institutionquisigne"/>
        <w:rPr>
          <w:noProof/>
        </w:rPr>
      </w:pPr>
      <w:r w:rsidRPr="00DF5650">
        <w:rPr>
          <w:noProof/>
        </w:rPr>
        <w:tab/>
        <w:t>På Rådets vegne</w:t>
      </w:r>
    </w:p>
    <w:p w:rsidR="00573032" w:rsidRPr="00DF5650" w:rsidRDefault="00C43172" w:rsidP="00221163">
      <w:pPr>
        <w:pStyle w:val="Personnequisigne"/>
        <w:rPr>
          <w:rFonts w:eastAsia="Times New Roman"/>
          <w:noProof/>
          <w:szCs w:val="24"/>
        </w:rPr>
      </w:pPr>
      <w:r w:rsidRPr="00DF5650">
        <w:rPr>
          <w:noProof/>
        </w:rPr>
        <w:tab/>
        <w:t>Formand</w:t>
      </w:r>
    </w:p>
    <w:sectPr w:rsidR="00573032" w:rsidRPr="00DF5650" w:rsidSect="00DF2680">
      <w:endnotePr>
        <w:numFmt w:val="decimal"/>
      </w:end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A9C" w:rsidRDefault="00A37A9C">
      <w:pPr>
        <w:spacing w:before="0" w:after="0"/>
      </w:pPr>
      <w:r>
        <w:separator/>
      </w:r>
    </w:p>
  </w:endnote>
  <w:endnote w:type="continuationSeparator" w:id="0">
    <w:p w:rsidR="00A37A9C" w:rsidRDefault="00A37A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80" w:rsidRPr="00DF2680" w:rsidRDefault="00DF2680" w:rsidP="00DF2680">
    <w:pPr>
      <w:pStyle w:val="Footer"/>
      <w:rPr>
        <w:rFonts w:ascii="Arial" w:hAnsi="Arial" w:cs="Arial"/>
        <w:b/>
        <w:sz w:val="48"/>
      </w:rPr>
    </w:pPr>
    <w:r w:rsidRPr="00DF2680">
      <w:rPr>
        <w:rFonts w:ascii="Arial" w:hAnsi="Arial" w:cs="Arial"/>
        <w:b/>
        <w:sz w:val="48"/>
      </w:rPr>
      <w:t>DA</w:t>
    </w:r>
    <w:r w:rsidRPr="00DF2680">
      <w:rPr>
        <w:rFonts w:ascii="Arial" w:hAnsi="Arial" w:cs="Arial"/>
        <w:b/>
        <w:sz w:val="48"/>
      </w:rPr>
      <w:tab/>
    </w:r>
    <w:r w:rsidRPr="00DF2680">
      <w:rPr>
        <w:rFonts w:ascii="Arial" w:hAnsi="Arial" w:cs="Arial"/>
        <w:b/>
        <w:sz w:val="48"/>
      </w:rPr>
      <w:tab/>
    </w:r>
    <w:r w:rsidRPr="00DF2680">
      <w:tab/>
    </w:r>
    <w:r w:rsidRPr="00DF2680">
      <w:rPr>
        <w:rFonts w:ascii="Arial" w:hAnsi="Arial" w:cs="Arial"/>
        <w:b/>
        <w:sz w:val="48"/>
      </w:rPr>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80" w:rsidRPr="00DF2680" w:rsidRDefault="00DF2680" w:rsidP="00DF2680">
    <w:pPr>
      <w:pStyle w:val="Footer"/>
      <w:rPr>
        <w:rFonts w:ascii="Arial" w:hAnsi="Arial" w:cs="Arial"/>
        <w:b/>
        <w:sz w:val="48"/>
      </w:rPr>
    </w:pPr>
    <w:r w:rsidRPr="00DF2680">
      <w:rPr>
        <w:rFonts w:ascii="Arial" w:hAnsi="Arial" w:cs="Arial"/>
        <w:b/>
        <w:sz w:val="48"/>
      </w:rPr>
      <w:t>DA</w:t>
    </w:r>
    <w:r w:rsidRPr="00DF2680">
      <w:rPr>
        <w:rFonts w:ascii="Arial" w:hAnsi="Arial" w:cs="Arial"/>
        <w:b/>
        <w:sz w:val="48"/>
      </w:rPr>
      <w:tab/>
    </w:r>
    <w:r w:rsidRPr="00DF2680">
      <w:rPr>
        <w:rFonts w:ascii="Arial" w:hAnsi="Arial" w:cs="Arial"/>
        <w:b/>
        <w:sz w:val="48"/>
      </w:rPr>
      <w:tab/>
    </w:r>
    <w:r w:rsidRPr="00DF2680">
      <w:tab/>
    </w:r>
    <w:r w:rsidRPr="00DF2680">
      <w:rPr>
        <w:rFonts w:ascii="Arial" w:hAnsi="Arial" w:cs="Arial"/>
        <w:b/>
        <w:sz w:val="48"/>
      </w:rPr>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80" w:rsidRDefault="00DF26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80" w:rsidRPr="00DF2680" w:rsidRDefault="00DF2680" w:rsidP="00DF2680">
    <w:pPr>
      <w:pStyle w:val="Footer"/>
      <w:rPr>
        <w:rFonts w:ascii="Arial" w:hAnsi="Arial" w:cs="Arial"/>
        <w:b/>
        <w:sz w:val="48"/>
      </w:rPr>
    </w:pPr>
    <w:r w:rsidRPr="00DF2680">
      <w:rPr>
        <w:rFonts w:ascii="Arial" w:hAnsi="Arial" w:cs="Arial"/>
        <w:b/>
        <w:sz w:val="48"/>
      </w:rPr>
      <w:t>DA</w:t>
    </w:r>
    <w:r w:rsidRPr="00DF2680">
      <w:rPr>
        <w:rFonts w:ascii="Arial" w:hAnsi="Arial" w:cs="Arial"/>
        <w:b/>
        <w:sz w:val="48"/>
      </w:rPr>
      <w:tab/>
    </w:r>
    <w:r>
      <w:fldChar w:fldCharType="begin"/>
    </w:r>
    <w:r>
      <w:instrText xml:space="preserve"> PAGE  \* MERGEFORMAT </w:instrText>
    </w:r>
    <w:r>
      <w:fldChar w:fldCharType="separate"/>
    </w:r>
    <w:r w:rsidR="002A7E94">
      <w:rPr>
        <w:noProof/>
      </w:rPr>
      <w:t>8</w:t>
    </w:r>
    <w:r>
      <w:fldChar w:fldCharType="end"/>
    </w:r>
    <w:r>
      <w:tab/>
    </w:r>
    <w:r w:rsidRPr="00DF2680">
      <w:tab/>
    </w:r>
    <w:r w:rsidRPr="00DF2680">
      <w:rPr>
        <w:rFonts w:ascii="Arial" w:hAnsi="Arial" w:cs="Arial"/>
        <w:b/>
        <w:sz w:val="48"/>
      </w:rPr>
      <w:t>DA</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80" w:rsidRDefault="00DF2680" w:rsidP="00DF2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A9C" w:rsidRDefault="00A37A9C">
      <w:pPr>
        <w:spacing w:before="0" w:after="0"/>
      </w:pPr>
      <w:r>
        <w:separator/>
      </w:r>
    </w:p>
  </w:footnote>
  <w:footnote w:type="continuationSeparator" w:id="0">
    <w:p w:rsidR="00A37A9C" w:rsidRDefault="00A37A9C">
      <w:pPr>
        <w:spacing w:before="0" w:after="0"/>
      </w:pPr>
      <w:r>
        <w:continuationSeparator/>
      </w:r>
    </w:p>
  </w:footnote>
  <w:footnote w:id="1">
    <w:p w:rsidR="007C2FDB" w:rsidRPr="00DF5650" w:rsidRDefault="007C2FDB" w:rsidP="007C2FDB">
      <w:pPr>
        <w:pStyle w:val="FootnoteText"/>
      </w:pPr>
      <w:r>
        <w:rPr>
          <w:rStyle w:val="FootnoteReference"/>
        </w:rPr>
        <w:footnoteRef/>
      </w:r>
      <w:r w:rsidRPr="00DF5650">
        <w:tab/>
        <w:t xml:space="preserve">Rådets direktiv 2006/112/EF </w:t>
      </w:r>
      <w:r w:rsidRPr="000041AB">
        <w:rPr>
          <w:lang w:val="pl-PL"/>
        </w:rPr>
        <w:t>af</w:t>
      </w:r>
      <w:r w:rsidR="000041AB" w:rsidRPr="000041AB">
        <w:rPr>
          <w:lang w:val="pl-PL"/>
        </w:rPr>
        <w:t> </w:t>
      </w:r>
      <w:r w:rsidRPr="000041AB">
        <w:rPr>
          <w:lang w:val="pl-PL"/>
        </w:rPr>
        <w:t>2</w:t>
      </w:r>
      <w:r w:rsidRPr="00DF5650">
        <w:t>8. november 2006 om det fælles merværdiafgiftssystem (</w:t>
      </w:r>
      <w:hyperlink r:id="rId1" w:history="1">
        <w:r w:rsidRPr="00DF5650">
          <w:rPr>
            <w:rStyle w:val="Hyperlink"/>
          </w:rPr>
          <w:t xml:space="preserve">EUT L 347 </w:t>
        </w:r>
        <w:r w:rsidRPr="000041AB">
          <w:rPr>
            <w:rStyle w:val="Hyperlink"/>
            <w:lang w:val="pl-PL"/>
          </w:rPr>
          <w:t>af</w:t>
        </w:r>
        <w:r w:rsidR="000041AB" w:rsidRPr="000041AB">
          <w:rPr>
            <w:rStyle w:val="Hyperlink"/>
            <w:lang w:val="pl-PL"/>
          </w:rPr>
          <w:t> </w:t>
        </w:r>
        <w:r w:rsidRPr="000041AB">
          <w:rPr>
            <w:rStyle w:val="Hyperlink"/>
            <w:lang w:val="pl-PL"/>
          </w:rPr>
          <w:t>1</w:t>
        </w:r>
        <w:r w:rsidRPr="00DF5650">
          <w:rPr>
            <w:rStyle w:val="Hyperlink"/>
          </w:rPr>
          <w:t>1.12.2006, s. 1</w:t>
        </w:r>
      </w:hyperlink>
      <w:r w:rsidRPr="00DF5650">
        <w:t>), som ændret.</w:t>
      </w:r>
    </w:p>
  </w:footnote>
  <w:footnote w:id="2">
    <w:p w:rsidR="00B87B0D" w:rsidRPr="00DF5650" w:rsidRDefault="00B87B0D" w:rsidP="00B87B0D">
      <w:pPr>
        <w:pStyle w:val="FootnoteText"/>
      </w:pPr>
      <w:r>
        <w:rPr>
          <w:rStyle w:val="FootnoteReference"/>
        </w:rPr>
        <w:footnoteRef/>
      </w:r>
      <w:r w:rsidRPr="00DF5650">
        <w:tab/>
        <w:t xml:space="preserve">Rådets gennemførelsesforordning (EU) </w:t>
      </w:r>
      <w:r w:rsidRPr="000041AB">
        <w:rPr>
          <w:lang w:val="pl-PL"/>
        </w:rPr>
        <w:t>nr.</w:t>
      </w:r>
      <w:r w:rsidR="000041AB" w:rsidRPr="000041AB">
        <w:rPr>
          <w:lang w:val="pl-PL"/>
        </w:rPr>
        <w:t> </w:t>
      </w:r>
      <w:r w:rsidRPr="000041AB">
        <w:rPr>
          <w:lang w:val="pl-PL"/>
        </w:rPr>
        <w:t>2</w:t>
      </w:r>
      <w:r w:rsidRPr="00DF5650">
        <w:t xml:space="preserve">82/2011 </w:t>
      </w:r>
      <w:r w:rsidRPr="000041AB">
        <w:rPr>
          <w:lang w:val="pl-PL"/>
        </w:rPr>
        <w:t>af</w:t>
      </w:r>
      <w:r w:rsidR="000041AB" w:rsidRPr="000041AB">
        <w:rPr>
          <w:lang w:val="pl-PL"/>
        </w:rPr>
        <w:t> </w:t>
      </w:r>
      <w:r w:rsidRPr="000041AB">
        <w:rPr>
          <w:lang w:val="pl-PL"/>
        </w:rPr>
        <w:t>1</w:t>
      </w:r>
      <w:r w:rsidRPr="00DF5650">
        <w:t xml:space="preserve">5. marts 2011 om foranstaltninger til gennemførelse af direktiv 2006/112/EF om det fælles merværdiafgiftssystem (omarbejdning) (EUT L 77 </w:t>
      </w:r>
      <w:r w:rsidRPr="000041AB">
        <w:rPr>
          <w:lang w:val="pl-PL"/>
        </w:rPr>
        <w:t>af</w:t>
      </w:r>
      <w:r w:rsidR="000041AB" w:rsidRPr="000041AB">
        <w:rPr>
          <w:lang w:val="pl-PL"/>
        </w:rPr>
        <w:t> </w:t>
      </w:r>
      <w:r w:rsidRPr="000041AB">
        <w:rPr>
          <w:lang w:val="pl-PL"/>
        </w:rPr>
        <w:t>2</w:t>
      </w:r>
      <w:r w:rsidRPr="00DF5650">
        <w:t>3.3.2011, s. 1).</w:t>
      </w:r>
    </w:p>
  </w:footnote>
  <w:footnote w:id="3">
    <w:p w:rsidR="002F0C09" w:rsidRPr="00DF5650" w:rsidRDefault="002F0C09" w:rsidP="002F0C09">
      <w:pPr>
        <w:pStyle w:val="FootnoteText"/>
      </w:pPr>
      <w:r>
        <w:rPr>
          <w:rStyle w:val="FootnoteReference"/>
        </w:rPr>
        <w:footnoteRef/>
      </w:r>
      <w:r w:rsidRPr="00DF5650">
        <w:tab/>
        <w:t xml:space="preserve">Kommissionens gennemførelsesafgørelse (EU) 2015/1506 </w:t>
      </w:r>
      <w:r w:rsidRPr="000041AB">
        <w:rPr>
          <w:lang w:val="pl-PL"/>
        </w:rPr>
        <w:t>af</w:t>
      </w:r>
      <w:r w:rsidR="000041AB" w:rsidRPr="000041AB">
        <w:rPr>
          <w:lang w:val="pl-PL"/>
        </w:rPr>
        <w:t> </w:t>
      </w:r>
      <w:r w:rsidRPr="000041AB">
        <w:rPr>
          <w:lang w:val="pl-PL"/>
        </w:rPr>
        <w:t>8</w:t>
      </w:r>
      <w:r w:rsidRPr="00DF5650">
        <w:t>. september 2015 om fastlæggelse af specifikationer vedrørende formater for avancerede elektroniske signaturer og avancerede segl, som skal anerkendes af offentlige myndigheder</w:t>
      </w:r>
      <w:r w:rsidR="000041AB" w:rsidRPr="00DF5650">
        <w:t xml:space="preserve"> i</w:t>
      </w:r>
      <w:r w:rsidR="000041AB">
        <w:t> </w:t>
      </w:r>
      <w:r w:rsidR="000041AB" w:rsidRPr="00DF5650">
        <w:t>hen</w:t>
      </w:r>
      <w:r w:rsidRPr="00DF5650">
        <w:t xml:space="preserve">hold til artikel 27, </w:t>
      </w:r>
      <w:r w:rsidRPr="000041AB">
        <w:rPr>
          <w:lang w:val="pl-PL"/>
        </w:rPr>
        <w:t>stk.</w:t>
      </w:r>
      <w:r w:rsidR="000041AB" w:rsidRPr="000041AB">
        <w:rPr>
          <w:lang w:val="pl-PL"/>
        </w:rPr>
        <w:t> </w:t>
      </w:r>
      <w:r w:rsidRPr="000041AB">
        <w:rPr>
          <w:lang w:val="pl-PL"/>
        </w:rPr>
        <w:t>5</w:t>
      </w:r>
      <w:r w:rsidRPr="00DF5650">
        <w:t xml:space="preserve">, og artikel 37, </w:t>
      </w:r>
      <w:r w:rsidRPr="000041AB">
        <w:rPr>
          <w:lang w:val="pl-PL"/>
        </w:rPr>
        <w:t>stk.</w:t>
      </w:r>
      <w:r w:rsidR="000041AB" w:rsidRPr="000041AB">
        <w:rPr>
          <w:lang w:val="pl-PL"/>
        </w:rPr>
        <w:t> </w:t>
      </w:r>
      <w:r w:rsidRPr="000041AB">
        <w:rPr>
          <w:lang w:val="pl-PL"/>
        </w:rPr>
        <w:t>5</w:t>
      </w:r>
      <w:r w:rsidRPr="00DF5650">
        <w:t>,</w:t>
      </w:r>
      <w:r w:rsidR="000041AB" w:rsidRPr="00DF5650">
        <w:t xml:space="preserve"> i</w:t>
      </w:r>
      <w:r w:rsidR="000041AB">
        <w:t> </w:t>
      </w:r>
      <w:r w:rsidR="000041AB" w:rsidRPr="00DF5650">
        <w:t>Eur</w:t>
      </w:r>
      <w:r w:rsidRPr="00DF5650">
        <w:t xml:space="preserve">opa-Parlamentets og Rådets forordning (EU) </w:t>
      </w:r>
      <w:r w:rsidRPr="000041AB">
        <w:rPr>
          <w:lang w:val="pl-PL"/>
        </w:rPr>
        <w:t>nr.</w:t>
      </w:r>
      <w:r w:rsidR="000041AB" w:rsidRPr="000041AB">
        <w:rPr>
          <w:lang w:val="pl-PL"/>
        </w:rPr>
        <w:t> </w:t>
      </w:r>
      <w:r w:rsidRPr="000041AB">
        <w:rPr>
          <w:lang w:val="pl-PL"/>
        </w:rPr>
        <w:t>9</w:t>
      </w:r>
      <w:r w:rsidRPr="00DF5650">
        <w:t>10/2014 om elektronisk identifikation og tillidstjenester til brug for elektroniske transaktioner på det indre marked (</w:t>
      </w:r>
      <w:hyperlink r:id="rId2" w:history="1">
        <w:r w:rsidRPr="00DF5650">
          <w:rPr>
            <w:rStyle w:val="Hyperlink"/>
          </w:rPr>
          <w:t xml:space="preserve">EUT L 235 </w:t>
        </w:r>
        <w:r w:rsidRPr="000041AB">
          <w:rPr>
            <w:rStyle w:val="Hyperlink"/>
            <w:lang w:val="pl-PL"/>
          </w:rPr>
          <w:t>af</w:t>
        </w:r>
        <w:r w:rsidR="000041AB" w:rsidRPr="000041AB">
          <w:rPr>
            <w:rStyle w:val="Hyperlink"/>
            <w:lang w:val="pl-PL"/>
          </w:rPr>
          <w:t> </w:t>
        </w:r>
        <w:r w:rsidRPr="000041AB">
          <w:rPr>
            <w:rStyle w:val="Hyperlink"/>
            <w:lang w:val="pl-PL"/>
          </w:rPr>
          <w:t>9</w:t>
        </w:r>
        <w:r w:rsidRPr="00DF5650">
          <w:rPr>
            <w:rStyle w:val="Hyperlink"/>
          </w:rPr>
          <w:t>.9.2015, s. 37</w:t>
        </w:r>
      </w:hyperlink>
      <w:r w:rsidRPr="00DF5650">
        <w:t>).</w:t>
      </w:r>
    </w:p>
  </w:footnote>
  <w:footnote w:id="4">
    <w:p w:rsidR="00A60D97" w:rsidRPr="00DF5650" w:rsidRDefault="00A60D97" w:rsidP="001C6257">
      <w:pPr>
        <w:pStyle w:val="FootnoteText"/>
      </w:pPr>
      <w:r>
        <w:rPr>
          <w:rStyle w:val="FootnoteReference"/>
        </w:rPr>
        <w:footnoteRef/>
      </w:r>
      <w:r w:rsidRPr="00DF5650">
        <w:tab/>
        <w:t xml:space="preserve">Artikel 12, </w:t>
      </w:r>
      <w:r w:rsidRPr="000041AB">
        <w:rPr>
          <w:lang w:val="pl-PL"/>
        </w:rPr>
        <w:t>stk.</w:t>
      </w:r>
      <w:r w:rsidR="000041AB" w:rsidRPr="000041AB">
        <w:rPr>
          <w:lang w:val="pl-PL"/>
        </w:rPr>
        <w:t> </w:t>
      </w:r>
      <w:r w:rsidRPr="000041AB">
        <w:rPr>
          <w:lang w:val="pl-PL"/>
        </w:rPr>
        <w:t>3</w:t>
      </w:r>
      <w:r w:rsidRPr="00DF5650">
        <w:t xml:space="preserve">, i Rådets direktiv (EU) 2020/262 </w:t>
      </w:r>
      <w:r w:rsidRPr="000041AB">
        <w:rPr>
          <w:lang w:val="pl-PL"/>
        </w:rPr>
        <w:t>af</w:t>
      </w:r>
      <w:r w:rsidR="000041AB" w:rsidRPr="000041AB">
        <w:rPr>
          <w:lang w:val="pl-PL"/>
        </w:rPr>
        <w:t> </w:t>
      </w:r>
      <w:r w:rsidRPr="000041AB">
        <w:rPr>
          <w:lang w:val="pl-PL"/>
        </w:rPr>
        <w:t>1</w:t>
      </w:r>
      <w:r w:rsidRPr="00DF5650">
        <w:t xml:space="preserve">9. december 2019 om den generelle ordning for punktafgifter (omarbejdning) (EUT L 58 </w:t>
      </w:r>
      <w:r w:rsidRPr="000041AB">
        <w:rPr>
          <w:lang w:val="pl-PL"/>
        </w:rPr>
        <w:t>af</w:t>
      </w:r>
      <w:r w:rsidR="000041AB" w:rsidRPr="000041AB">
        <w:rPr>
          <w:lang w:val="pl-PL"/>
        </w:rPr>
        <w:t> </w:t>
      </w:r>
      <w:r w:rsidRPr="000041AB">
        <w:rPr>
          <w:lang w:val="pl-PL"/>
        </w:rPr>
        <w:t>2</w:t>
      </w:r>
      <w:r w:rsidRPr="00DF5650">
        <w:t>7.2.2020, s. 4, ELI: http://data.europa.eu/eli/dir/2020/262/oj)</w:t>
      </w:r>
    </w:p>
  </w:footnote>
  <w:footnote w:id="5">
    <w:p w:rsidR="00573032" w:rsidRPr="00DF5650" w:rsidRDefault="00C43172">
      <w:pPr>
        <w:pStyle w:val="FootnoteText"/>
      </w:pPr>
      <w:r>
        <w:rPr>
          <w:rStyle w:val="FootnoteReference"/>
        </w:rPr>
        <w:footnoteRef/>
      </w:r>
      <w:r w:rsidRPr="00DF5650">
        <w:tab/>
        <w:t xml:space="preserve">Rådets forordning (EU) </w:t>
      </w:r>
      <w:r w:rsidRPr="000041AB">
        <w:rPr>
          <w:lang w:val="pl-PL"/>
        </w:rPr>
        <w:t>nr.</w:t>
      </w:r>
      <w:r w:rsidR="000041AB" w:rsidRPr="000041AB">
        <w:rPr>
          <w:lang w:val="pl-PL"/>
        </w:rPr>
        <w:t> </w:t>
      </w:r>
      <w:r w:rsidRPr="000041AB">
        <w:rPr>
          <w:lang w:val="pl-PL"/>
        </w:rPr>
        <w:t>9</w:t>
      </w:r>
      <w:r w:rsidRPr="00DF5650">
        <w:t xml:space="preserve">04/2010 </w:t>
      </w:r>
      <w:r w:rsidRPr="000041AB">
        <w:rPr>
          <w:lang w:val="pl-PL"/>
        </w:rPr>
        <w:t>af</w:t>
      </w:r>
      <w:r w:rsidR="000041AB" w:rsidRPr="000041AB">
        <w:rPr>
          <w:lang w:val="pl-PL"/>
        </w:rPr>
        <w:t> </w:t>
      </w:r>
      <w:r w:rsidRPr="000041AB">
        <w:rPr>
          <w:lang w:val="pl-PL"/>
        </w:rPr>
        <w:t>7</w:t>
      </w:r>
      <w:r w:rsidRPr="00DF5650">
        <w:t>. oktober 2010 om administrativt samarbejde og bekæmpelse af svig vedrørende merværdiafgift (</w:t>
      </w:r>
      <w:hyperlink r:id="rId3" w:history="1">
        <w:r w:rsidRPr="00DF5650">
          <w:rPr>
            <w:rStyle w:val="Hyperlink"/>
          </w:rPr>
          <w:t xml:space="preserve">EUT L 268 </w:t>
        </w:r>
        <w:r w:rsidRPr="000041AB">
          <w:rPr>
            <w:rStyle w:val="Hyperlink"/>
            <w:lang w:val="pl-PL"/>
          </w:rPr>
          <w:t>af</w:t>
        </w:r>
        <w:r w:rsidR="000041AB" w:rsidRPr="000041AB">
          <w:rPr>
            <w:rStyle w:val="Hyperlink"/>
            <w:lang w:val="pl-PL"/>
          </w:rPr>
          <w:t> </w:t>
        </w:r>
        <w:r w:rsidRPr="000041AB">
          <w:rPr>
            <w:rStyle w:val="Hyperlink"/>
            <w:lang w:val="pl-PL"/>
          </w:rPr>
          <w:t>1</w:t>
        </w:r>
        <w:r w:rsidRPr="00DF5650">
          <w:rPr>
            <w:rStyle w:val="Hyperlink"/>
          </w:rPr>
          <w:t>2.10.2010, s. 1</w:t>
        </w:r>
      </w:hyperlink>
      <w:r w:rsidRPr="00DF5650">
        <w:t>).</w:t>
      </w:r>
    </w:p>
  </w:footnote>
  <w:footnote w:id="6">
    <w:p w:rsidR="00573032" w:rsidRPr="00DF5650" w:rsidRDefault="00C43172">
      <w:pPr>
        <w:pStyle w:val="FootnoteText"/>
      </w:pPr>
      <w:r>
        <w:rPr>
          <w:rStyle w:val="FootnoteReference"/>
        </w:rPr>
        <w:footnoteRef/>
      </w:r>
      <w:r w:rsidRPr="00DF5650">
        <w:tab/>
        <w:t xml:space="preserve">Europa-Parlamentets og Rådets forordning (EU) </w:t>
      </w:r>
      <w:r w:rsidRPr="000041AB">
        <w:rPr>
          <w:lang w:val="pl-PL"/>
        </w:rPr>
        <w:t>nr.</w:t>
      </w:r>
      <w:r w:rsidR="000041AB" w:rsidRPr="000041AB">
        <w:rPr>
          <w:lang w:val="pl-PL"/>
        </w:rPr>
        <w:t> </w:t>
      </w:r>
      <w:r w:rsidRPr="000041AB">
        <w:rPr>
          <w:lang w:val="pl-PL"/>
        </w:rPr>
        <w:t>1</w:t>
      </w:r>
      <w:r w:rsidRPr="00DF5650">
        <w:t xml:space="preserve">82/2011 </w:t>
      </w:r>
      <w:r w:rsidRPr="000041AB">
        <w:rPr>
          <w:lang w:val="pl-PL"/>
        </w:rPr>
        <w:t>af</w:t>
      </w:r>
      <w:r w:rsidR="000041AB" w:rsidRPr="000041AB">
        <w:rPr>
          <w:lang w:val="pl-PL"/>
        </w:rPr>
        <w:t> </w:t>
      </w:r>
      <w:r w:rsidRPr="000041AB">
        <w:rPr>
          <w:lang w:val="pl-PL"/>
        </w:rPr>
        <w:t>1</w:t>
      </w:r>
      <w:r w:rsidRPr="00DF5650">
        <w:t>6. februar 2011 om de generelle regler og principper for, hvordan medlemsstaterne skal kontrollere Kommissionens udøvelse af gennemførelsesbeføjelser (</w:t>
      </w:r>
      <w:hyperlink r:id="rId4" w:history="1">
        <w:r w:rsidRPr="00DF5650">
          <w:rPr>
            <w:rStyle w:val="Hyperlink"/>
          </w:rPr>
          <w:t xml:space="preserve">EUT L 55 </w:t>
        </w:r>
        <w:r w:rsidRPr="000041AB">
          <w:rPr>
            <w:rStyle w:val="Hyperlink"/>
            <w:lang w:val="pl-PL"/>
          </w:rPr>
          <w:t>af</w:t>
        </w:r>
        <w:r w:rsidR="000041AB" w:rsidRPr="000041AB">
          <w:rPr>
            <w:rStyle w:val="Hyperlink"/>
            <w:lang w:val="pl-PL"/>
          </w:rPr>
          <w:t> </w:t>
        </w:r>
        <w:r w:rsidRPr="000041AB">
          <w:rPr>
            <w:rStyle w:val="Hyperlink"/>
            <w:lang w:val="pl-PL"/>
          </w:rPr>
          <w:t>2</w:t>
        </w:r>
        <w:r w:rsidRPr="00DF5650">
          <w:rPr>
            <w:rStyle w:val="Hyperlink"/>
          </w:rPr>
          <w:t>8.2.2011, s. 13</w:t>
        </w:r>
      </w:hyperlink>
      <w:r w:rsidRPr="00DF5650">
        <w:t>).</w:t>
      </w:r>
    </w:p>
  </w:footnote>
  <w:footnote w:id="7">
    <w:p w:rsidR="0067287A" w:rsidRPr="00DF5650" w:rsidRDefault="0067287A" w:rsidP="00CF381E">
      <w:pPr>
        <w:pStyle w:val="FootnoteText"/>
      </w:pPr>
      <w:r>
        <w:rPr>
          <w:rStyle w:val="FootnoteReference"/>
        </w:rPr>
        <w:footnoteRef/>
      </w:r>
      <w:r w:rsidRPr="00DF5650">
        <w:tab/>
        <w:t>Forslag til Rådets direktiv om ændring af direktiv 2006/112/EF for så vidt angår fritagelser ved indførsel og visse leveringer</w:t>
      </w:r>
      <w:r w:rsidR="000041AB" w:rsidRPr="00DF5650">
        <w:t xml:space="preserve"> i</w:t>
      </w:r>
      <w:r w:rsidR="000041AB">
        <w:t> </w:t>
      </w:r>
      <w:r w:rsidR="000041AB" w:rsidRPr="00DF5650">
        <w:t>til</w:t>
      </w:r>
      <w:r w:rsidRPr="00DF5650">
        <w:t>knytning til EU-foranstaltninger af almen interesse (COM(2021) 181 final).</w:t>
      </w:r>
    </w:p>
  </w:footnote>
  <w:footnote w:id="8">
    <w:p w:rsidR="0067287A" w:rsidRPr="00DF5650" w:rsidRDefault="0067287A" w:rsidP="0067287A">
      <w:pPr>
        <w:pStyle w:val="FootnoteText"/>
      </w:pPr>
      <w:r>
        <w:rPr>
          <w:rStyle w:val="FootnoteReference"/>
        </w:rPr>
        <w:footnoteRef/>
      </w:r>
      <w:r w:rsidRPr="00DF5650">
        <w:tab/>
        <w:t xml:space="preserve">Rådets direktiv (EU) 2021/1159 </w:t>
      </w:r>
      <w:r w:rsidRPr="000041AB">
        <w:rPr>
          <w:lang w:val="pl-PL"/>
        </w:rPr>
        <w:t>af</w:t>
      </w:r>
      <w:r w:rsidR="000041AB" w:rsidRPr="000041AB">
        <w:rPr>
          <w:lang w:val="pl-PL"/>
        </w:rPr>
        <w:t> </w:t>
      </w:r>
      <w:r w:rsidRPr="000041AB">
        <w:rPr>
          <w:lang w:val="pl-PL"/>
        </w:rPr>
        <w:t>1</w:t>
      </w:r>
      <w:r w:rsidRPr="00DF5650">
        <w:t>3. juli 2021 om ændring af direktiv 2006/112/EF, for så vidt angår midlertidige fritagelser ved indførsel og visse leveringer som reaktion på covid-19-pandemien (</w:t>
      </w:r>
      <w:hyperlink r:id="rId5" w:history="1">
        <w:r w:rsidRPr="00DF5650">
          <w:rPr>
            <w:rStyle w:val="Hyperlink"/>
          </w:rPr>
          <w:t xml:space="preserve">EUT L 250 </w:t>
        </w:r>
        <w:r w:rsidRPr="000041AB">
          <w:rPr>
            <w:rStyle w:val="Hyperlink"/>
            <w:lang w:val="pl-PL"/>
          </w:rPr>
          <w:t>af</w:t>
        </w:r>
        <w:r w:rsidR="000041AB" w:rsidRPr="000041AB">
          <w:rPr>
            <w:rStyle w:val="Hyperlink"/>
            <w:lang w:val="pl-PL"/>
          </w:rPr>
          <w:t> </w:t>
        </w:r>
        <w:r w:rsidRPr="000041AB">
          <w:rPr>
            <w:rStyle w:val="Hyperlink"/>
            <w:lang w:val="pl-PL"/>
          </w:rPr>
          <w:t>1</w:t>
        </w:r>
        <w:r w:rsidRPr="00DF5650">
          <w:rPr>
            <w:rStyle w:val="Hyperlink"/>
          </w:rPr>
          <w:t>5.7.2021, s. 1</w:t>
        </w:r>
      </w:hyperlink>
      <w:r w:rsidRPr="00DF5650">
        <w:t>).</w:t>
      </w:r>
    </w:p>
  </w:footnote>
  <w:footnote w:id="9">
    <w:p w:rsidR="007F320D" w:rsidRPr="00DF5650" w:rsidRDefault="007F320D" w:rsidP="00CF381E">
      <w:pPr>
        <w:pStyle w:val="FootnoteText"/>
      </w:pPr>
      <w:r>
        <w:rPr>
          <w:rStyle w:val="FootnoteReference"/>
        </w:rPr>
        <w:footnoteRef/>
      </w:r>
      <w:r w:rsidRPr="00DF5650">
        <w:tab/>
        <w:t>Det Stående Udvalg for Administrativt Samarbejde.</w:t>
      </w:r>
    </w:p>
  </w:footnote>
  <w:footnote w:id="10">
    <w:p w:rsidR="007F320D" w:rsidRPr="00DF5650" w:rsidRDefault="007F320D" w:rsidP="00CF381E">
      <w:pPr>
        <w:pStyle w:val="FootnoteText"/>
      </w:pPr>
      <w:r>
        <w:rPr>
          <w:rStyle w:val="FootnoteReference"/>
        </w:rPr>
        <w:footnoteRef/>
      </w:r>
      <w:r w:rsidRPr="00DF5650">
        <w:tab/>
        <w:t>Underudvalg vedrørende IT-anliggender.</w:t>
      </w:r>
    </w:p>
  </w:footnote>
  <w:footnote w:id="11">
    <w:p w:rsidR="00A552F5" w:rsidRPr="00DF5650" w:rsidRDefault="00A552F5" w:rsidP="00CF381E">
      <w:pPr>
        <w:pStyle w:val="FootnoteText"/>
      </w:pPr>
      <w:r>
        <w:rPr>
          <w:rStyle w:val="FootnoteReference"/>
        </w:rPr>
        <w:footnoteRef/>
      </w:r>
      <w:r w:rsidRPr="00DF5650">
        <w:tab/>
        <w:t>Se teknisk studie, der er vedlagt som bilag til dokument SCIT 214.</w:t>
      </w:r>
    </w:p>
  </w:footnote>
  <w:footnote w:id="12">
    <w:p w:rsidR="0069499B" w:rsidRPr="00DF5650" w:rsidRDefault="0069499B" w:rsidP="0069499B">
      <w:pPr>
        <w:pStyle w:val="FootnoteText"/>
      </w:pPr>
      <w:r>
        <w:rPr>
          <w:rStyle w:val="FootnoteReference"/>
        </w:rPr>
        <w:footnoteRef/>
      </w:r>
      <w:r w:rsidRPr="00DF5650">
        <w:tab/>
        <w:t xml:space="preserve">Se arbejdsdokument SCAC-EG </w:t>
      </w:r>
      <w:r w:rsidRPr="000041AB">
        <w:rPr>
          <w:lang w:val="pl-PL"/>
        </w:rPr>
        <w:t>nr.</w:t>
      </w:r>
      <w:r w:rsidR="000041AB" w:rsidRPr="000041AB">
        <w:rPr>
          <w:lang w:val="pl-PL"/>
        </w:rPr>
        <w:t> </w:t>
      </w:r>
      <w:r w:rsidRPr="000041AB">
        <w:rPr>
          <w:lang w:val="pl-PL"/>
        </w:rPr>
        <w:t>1</w:t>
      </w:r>
      <w:r w:rsidRPr="00DF5650">
        <w:t xml:space="preserve">58 og referat af mødet, dokument SCAC-EG </w:t>
      </w:r>
      <w:r w:rsidRPr="000041AB">
        <w:rPr>
          <w:lang w:val="pl-PL"/>
        </w:rPr>
        <w:t>nr.</w:t>
      </w:r>
      <w:r w:rsidR="000041AB" w:rsidRPr="000041AB">
        <w:rPr>
          <w:lang w:val="pl-PL"/>
        </w:rPr>
        <w:t> </w:t>
      </w:r>
      <w:r w:rsidRPr="000041AB">
        <w:rPr>
          <w:lang w:val="pl-PL"/>
        </w:rPr>
        <w:t>1</w:t>
      </w:r>
      <w:r w:rsidRPr="00DF5650">
        <w:t>59.</w:t>
      </w:r>
    </w:p>
  </w:footnote>
  <w:footnote w:id="13">
    <w:p w:rsidR="005C3F41" w:rsidRPr="00DF5650" w:rsidRDefault="005C3F41" w:rsidP="005C3F41">
      <w:pPr>
        <w:pStyle w:val="FootnoteText"/>
      </w:pPr>
      <w:r>
        <w:rPr>
          <w:rStyle w:val="FootnoteReference"/>
        </w:rPr>
        <w:footnoteRef/>
      </w:r>
      <w:r w:rsidRPr="00DF5650">
        <w:tab/>
        <w:t xml:space="preserve">Rådets gennemførelsesforordning (EU) 2022/432 </w:t>
      </w:r>
      <w:r w:rsidRPr="000041AB">
        <w:rPr>
          <w:lang w:val="pl-PL"/>
        </w:rPr>
        <w:t>af</w:t>
      </w:r>
      <w:r w:rsidR="000041AB" w:rsidRPr="000041AB">
        <w:rPr>
          <w:lang w:val="pl-PL"/>
        </w:rPr>
        <w:t> </w:t>
      </w:r>
      <w:r w:rsidRPr="000041AB">
        <w:rPr>
          <w:lang w:val="pl-PL"/>
        </w:rPr>
        <w:t>1</w:t>
      </w:r>
      <w:r w:rsidRPr="00DF5650">
        <w:t xml:space="preserve">5. marts 2022 om ændring af gennemførelsesforordning (EU) </w:t>
      </w:r>
      <w:r w:rsidRPr="000041AB">
        <w:rPr>
          <w:lang w:val="pl-PL"/>
        </w:rPr>
        <w:t>nr.</w:t>
      </w:r>
      <w:r w:rsidR="000041AB" w:rsidRPr="000041AB">
        <w:rPr>
          <w:lang w:val="pl-PL"/>
        </w:rPr>
        <w:t> </w:t>
      </w:r>
      <w:r w:rsidRPr="000041AB">
        <w:rPr>
          <w:lang w:val="pl-PL"/>
        </w:rPr>
        <w:t>2</w:t>
      </w:r>
      <w:r w:rsidRPr="00DF5650">
        <w:t>82/2011 for så vidt angår attest for moms- og/eller punktafgiftsfritagelse (</w:t>
      </w:r>
      <w:hyperlink r:id="rId6" w:history="1">
        <w:r w:rsidRPr="00DF5650">
          <w:rPr>
            <w:rStyle w:val="Hyperlink"/>
          </w:rPr>
          <w:t xml:space="preserve">EUT L 88 </w:t>
        </w:r>
        <w:r w:rsidRPr="000041AB">
          <w:rPr>
            <w:rStyle w:val="Hyperlink"/>
            <w:lang w:val="pl-PL"/>
          </w:rPr>
          <w:t>af</w:t>
        </w:r>
        <w:r w:rsidR="000041AB" w:rsidRPr="000041AB">
          <w:rPr>
            <w:rStyle w:val="Hyperlink"/>
            <w:lang w:val="pl-PL"/>
          </w:rPr>
          <w:t> </w:t>
        </w:r>
        <w:r w:rsidRPr="000041AB">
          <w:rPr>
            <w:rStyle w:val="Hyperlink"/>
            <w:lang w:val="pl-PL"/>
          </w:rPr>
          <w:t>1</w:t>
        </w:r>
        <w:r w:rsidRPr="00DF5650">
          <w:rPr>
            <w:rStyle w:val="Hyperlink"/>
          </w:rPr>
          <w:t>6.3.2022, s. 1</w:t>
        </w:r>
      </w:hyperlink>
      <w:r w:rsidRPr="00DF5650">
        <w:rPr>
          <w:rStyle w:val="Hyperlink"/>
        </w:rPr>
        <w:t>5</w:t>
      </w:r>
      <w:r w:rsidRPr="00DF5650">
        <w:t>).</w:t>
      </w:r>
    </w:p>
  </w:footnote>
  <w:footnote w:id="14">
    <w:p w:rsidR="005C3F41" w:rsidRPr="00DF5650" w:rsidRDefault="005C3F41" w:rsidP="005C3F41">
      <w:pPr>
        <w:pStyle w:val="FootnoteText"/>
      </w:pPr>
      <w:r>
        <w:rPr>
          <w:rStyle w:val="FootnoteReference"/>
        </w:rPr>
        <w:footnoteRef/>
      </w:r>
      <w:r w:rsidRPr="00DF5650">
        <w:tab/>
        <w:t xml:space="preserve">Rådets direktiv (EU) 2019/2235 </w:t>
      </w:r>
      <w:r w:rsidRPr="000041AB">
        <w:rPr>
          <w:lang w:val="pl-PL"/>
        </w:rPr>
        <w:t>af</w:t>
      </w:r>
      <w:r w:rsidR="000041AB" w:rsidRPr="000041AB">
        <w:rPr>
          <w:lang w:val="pl-PL"/>
        </w:rPr>
        <w:t> </w:t>
      </w:r>
      <w:r w:rsidRPr="000041AB">
        <w:rPr>
          <w:lang w:val="pl-PL"/>
        </w:rPr>
        <w:t>1</w:t>
      </w:r>
      <w:r w:rsidRPr="00DF5650">
        <w:t>6. december 2019 om ændring af direktiv 2006/112/EF om det fælles merværdiafgiftssystem og direktiv 2008/118/EF om den generelle ordning for punktafgifter, for så vidt angår forsvarsindsatsen inden for Unionens rammer (</w:t>
      </w:r>
      <w:hyperlink r:id="rId7" w:history="1">
        <w:r w:rsidRPr="00DF5650">
          <w:rPr>
            <w:rStyle w:val="Hyperlink"/>
          </w:rPr>
          <w:t xml:space="preserve">EUT L 336 </w:t>
        </w:r>
        <w:r w:rsidRPr="000041AB">
          <w:rPr>
            <w:rStyle w:val="Hyperlink"/>
            <w:lang w:val="pl-PL"/>
          </w:rPr>
          <w:t>af</w:t>
        </w:r>
        <w:r w:rsidR="000041AB" w:rsidRPr="000041AB">
          <w:rPr>
            <w:rStyle w:val="Hyperlink"/>
            <w:lang w:val="pl-PL"/>
          </w:rPr>
          <w:t> </w:t>
        </w:r>
        <w:r w:rsidRPr="000041AB">
          <w:rPr>
            <w:rStyle w:val="Hyperlink"/>
            <w:lang w:val="pl-PL"/>
          </w:rPr>
          <w:t>3</w:t>
        </w:r>
        <w:r w:rsidRPr="00DF5650">
          <w:rPr>
            <w:rStyle w:val="Hyperlink"/>
          </w:rPr>
          <w:t>0.12.2019, s. 1</w:t>
        </w:r>
      </w:hyperlink>
      <w:r w:rsidRPr="00DF5650">
        <w:rPr>
          <w:rStyle w:val="Hyperlink"/>
        </w:rPr>
        <w:t>0</w:t>
      </w:r>
      <w:r w:rsidRPr="00DF5650">
        <w:t>).</w:t>
      </w:r>
    </w:p>
  </w:footnote>
  <w:footnote w:id="15">
    <w:p w:rsidR="005C3F41" w:rsidRPr="00DF5650" w:rsidRDefault="005C3F41" w:rsidP="005C3F41">
      <w:pPr>
        <w:pStyle w:val="FootnoteText"/>
      </w:pPr>
      <w:r>
        <w:rPr>
          <w:rStyle w:val="FootnoteReference"/>
        </w:rPr>
        <w:footnoteRef/>
      </w:r>
      <w:r w:rsidRPr="00DF5650">
        <w:tab/>
        <w:t xml:space="preserve">Rådets direktiv (EU) 2021/1159 </w:t>
      </w:r>
      <w:r w:rsidRPr="000041AB">
        <w:rPr>
          <w:lang w:val="pl-PL"/>
        </w:rPr>
        <w:t>af</w:t>
      </w:r>
      <w:r w:rsidR="000041AB" w:rsidRPr="000041AB">
        <w:rPr>
          <w:lang w:val="pl-PL"/>
        </w:rPr>
        <w:t> </w:t>
      </w:r>
      <w:r w:rsidRPr="000041AB">
        <w:rPr>
          <w:lang w:val="pl-PL"/>
        </w:rPr>
        <w:t>1</w:t>
      </w:r>
      <w:r w:rsidRPr="00DF5650">
        <w:t>3. juli 2021 om ændring af direktiv 2006/112/EF, for så vidt angår midlertidige fritagelser ved indførsel og visse leveringer som reaktion på covid-19-pandemien (</w:t>
      </w:r>
      <w:hyperlink r:id="rId8" w:history="1">
        <w:r w:rsidRPr="00DF5650">
          <w:rPr>
            <w:rStyle w:val="Hyperlink"/>
          </w:rPr>
          <w:t xml:space="preserve">EUT L 250 </w:t>
        </w:r>
        <w:r w:rsidRPr="000041AB">
          <w:rPr>
            <w:rStyle w:val="Hyperlink"/>
            <w:lang w:val="pl-PL"/>
          </w:rPr>
          <w:t>af</w:t>
        </w:r>
        <w:r w:rsidR="000041AB" w:rsidRPr="000041AB">
          <w:rPr>
            <w:rStyle w:val="Hyperlink"/>
            <w:lang w:val="pl-PL"/>
          </w:rPr>
          <w:t> </w:t>
        </w:r>
        <w:r w:rsidRPr="000041AB">
          <w:rPr>
            <w:rStyle w:val="Hyperlink"/>
            <w:lang w:val="pl-PL"/>
          </w:rPr>
          <w:t>1</w:t>
        </w:r>
        <w:r w:rsidRPr="00DF5650">
          <w:rPr>
            <w:rStyle w:val="Hyperlink"/>
          </w:rPr>
          <w:t>5.7.2021, s. 1</w:t>
        </w:r>
      </w:hyperlink>
      <w:r w:rsidRPr="00DF5650">
        <w:t>).</w:t>
      </w:r>
    </w:p>
  </w:footnote>
  <w:footnote w:id="16">
    <w:p w:rsidR="005B77FF" w:rsidRPr="00DF5650" w:rsidRDefault="005B77FF" w:rsidP="005B77FF">
      <w:pPr>
        <w:pStyle w:val="FootnoteText"/>
      </w:pPr>
      <w:r>
        <w:rPr>
          <w:rStyle w:val="FootnoteReference"/>
        </w:rPr>
        <w:footnoteRef/>
      </w:r>
      <w:r w:rsidRPr="00DF5650">
        <w:tab/>
      </w:r>
      <w:hyperlink r:id="rId9" w:history="1">
        <w:r w:rsidRPr="00DF5650">
          <w:rPr>
            <w:rStyle w:val="Hyperlink"/>
          </w:rPr>
          <w:t>https://digital-strategy.ec.europa.eu/en/news/berlin-declaration-digital-society-and-value-based-digital-government</w:t>
        </w:r>
      </w:hyperlink>
      <w:r w:rsidRPr="00DF5650">
        <w:t xml:space="preserve"> </w:t>
      </w:r>
    </w:p>
  </w:footnote>
  <w:footnote w:id="17">
    <w:p w:rsidR="005B77FF" w:rsidRPr="00DF5650" w:rsidRDefault="005B77FF" w:rsidP="005B77FF">
      <w:pPr>
        <w:pStyle w:val="FootnoteText"/>
      </w:pPr>
      <w:r>
        <w:rPr>
          <w:rStyle w:val="FootnoteReference"/>
        </w:rPr>
        <w:footnoteRef/>
      </w:r>
      <w:r w:rsidRPr="00DF5650">
        <w:tab/>
        <w:t xml:space="preserve">Kommissionens gennemførelsesafgørelse (EU) 2015/1506 </w:t>
      </w:r>
      <w:r w:rsidRPr="000041AB">
        <w:rPr>
          <w:lang w:val="pl-PL"/>
        </w:rPr>
        <w:t>af</w:t>
      </w:r>
      <w:r w:rsidR="000041AB" w:rsidRPr="000041AB">
        <w:rPr>
          <w:lang w:val="pl-PL"/>
        </w:rPr>
        <w:t> </w:t>
      </w:r>
      <w:r w:rsidRPr="000041AB">
        <w:rPr>
          <w:lang w:val="pl-PL"/>
        </w:rPr>
        <w:t>8</w:t>
      </w:r>
      <w:r w:rsidRPr="00DF5650">
        <w:t>. september 2015 om fastlæggelse af specifikationer vedrørende formater for avancerede elektroniske signaturer og avancerede segl, som skal anerkendes af offentlige myndigheder</w:t>
      </w:r>
      <w:r w:rsidR="000041AB" w:rsidRPr="00DF5650">
        <w:t xml:space="preserve"> i</w:t>
      </w:r>
      <w:r w:rsidR="000041AB">
        <w:t> </w:t>
      </w:r>
      <w:r w:rsidR="000041AB" w:rsidRPr="00DF5650">
        <w:t>hen</w:t>
      </w:r>
      <w:r w:rsidRPr="00DF5650">
        <w:t xml:space="preserve">hold til artikel 27, </w:t>
      </w:r>
      <w:r w:rsidRPr="000041AB">
        <w:rPr>
          <w:lang w:val="pl-PL"/>
        </w:rPr>
        <w:t>stk.</w:t>
      </w:r>
      <w:r w:rsidR="000041AB" w:rsidRPr="000041AB">
        <w:rPr>
          <w:lang w:val="pl-PL"/>
        </w:rPr>
        <w:t> </w:t>
      </w:r>
      <w:r w:rsidRPr="000041AB">
        <w:rPr>
          <w:lang w:val="pl-PL"/>
        </w:rPr>
        <w:t>5</w:t>
      </w:r>
      <w:r w:rsidRPr="00DF5650">
        <w:t xml:space="preserve">, og artikel 37, </w:t>
      </w:r>
      <w:r w:rsidRPr="000041AB">
        <w:rPr>
          <w:lang w:val="pl-PL"/>
        </w:rPr>
        <w:t>stk.</w:t>
      </w:r>
      <w:r w:rsidR="000041AB" w:rsidRPr="000041AB">
        <w:rPr>
          <w:lang w:val="pl-PL"/>
        </w:rPr>
        <w:t> </w:t>
      </w:r>
      <w:r w:rsidRPr="000041AB">
        <w:rPr>
          <w:lang w:val="pl-PL"/>
        </w:rPr>
        <w:t>5</w:t>
      </w:r>
      <w:r w:rsidRPr="00DF5650">
        <w:t>,</w:t>
      </w:r>
      <w:r w:rsidR="000041AB" w:rsidRPr="00DF5650">
        <w:t xml:space="preserve"> i</w:t>
      </w:r>
      <w:r w:rsidR="000041AB">
        <w:t> </w:t>
      </w:r>
      <w:r w:rsidR="000041AB" w:rsidRPr="00DF5650">
        <w:t>Eur</w:t>
      </w:r>
      <w:r w:rsidRPr="00DF5650">
        <w:t xml:space="preserve">opa-Parlamentets og Rådets forordning (EU) </w:t>
      </w:r>
      <w:r w:rsidRPr="000041AB">
        <w:rPr>
          <w:lang w:val="pl-PL"/>
        </w:rPr>
        <w:t>nr.</w:t>
      </w:r>
      <w:r w:rsidR="000041AB" w:rsidRPr="000041AB">
        <w:rPr>
          <w:lang w:val="pl-PL"/>
        </w:rPr>
        <w:t> </w:t>
      </w:r>
      <w:r w:rsidRPr="000041AB">
        <w:rPr>
          <w:lang w:val="pl-PL"/>
        </w:rPr>
        <w:t>9</w:t>
      </w:r>
      <w:r w:rsidRPr="00DF5650">
        <w:t>10/2014 om elektronisk identifikation og tillidstjenester til brug for elektroniske transaktioner på det indre marked (</w:t>
      </w:r>
      <w:hyperlink r:id="rId10" w:history="1">
        <w:r w:rsidRPr="00DF5650">
          <w:rPr>
            <w:rStyle w:val="Hyperlink"/>
          </w:rPr>
          <w:t xml:space="preserve">EUT L 235 </w:t>
        </w:r>
        <w:r w:rsidRPr="000041AB">
          <w:rPr>
            <w:rStyle w:val="Hyperlink"/>
            <w:lang w:val="pl-PL"/>
          </w:rPr>
          <w:t>af</w:t>
        </w:r>
        <w:r w:rsidR="000041AB" w:rsidRPr="000041AB">
          <w:rPr>
            <w:rStyle w:val="Hyperlink"/>
            <w:lang w:val="pl-PL"/>
          </w:rPr>
          <w:t> </w:t>
        </w:r>
        <w:r w:rsidRPr="000041AB">
          <w:rPr>
            <w:rStyle w:val="Hyperlink"/>
            <w:lang w:val="pl-PL"/>
          </w:rPr>
          <w:t>9</w:t>
        </w:r>
        <w:r w:rsidRPr="00DF5650">
          <w:rPr>
            <w:rStyle w:val="Hyperlink"/>
          </w:rPr>
          <w:t>.9.2015, s. 37</w:t>
        </w:r>
      </w:hyperlink>
      <w:r w:rsidRPr="00DF5650">
        <w:t>).</w:t>
      </w:r>
    </w:p>
  </w:footnote>
  <w:footnote w:id="18">
    <w:p w:rsidR="00573032" w:rsidRPr="00DF5650" w:rsidRDefault="00C43172">
      <w:pPr>
        <w:pStyle w:val="FootnoteText"/>
        <w:rPr>
          <w:lang w:val="fr-FR"/>
        </w:rPr>
      </w:pPr>
      <w:r>
        <w:rPr>
          <w:rStyle w:val="FootnoteReference"/>
        </w:rPr>
        <w:footnoteRef/>
      </w:r>
      <w:r w:rsidRPr="00DF5650">
        <w:rPr>
          <w:lang w:val="fr-FR"/>
        </w:rPr>
        <w:tab/>
        <w:t>EUT C,</w:t>
      </w:r>
      <w:r w:rsidR="000041AB" w:rsidRPr="000041AB">
        <w:rPr>
          <w:lang w:val="pl-PL"/>
        </w:rPr>
        <w:t xml:space="preserve">, </w:t>
      </w:r>
      <w:r w:rsidRPr="00DF5650">
        <w:rPr>
          <w:lang w:val="fr-FR"/>
        </w:rPr>
        <w:t>s. .</w:t>
      </w:r>
    </w:p>
  </w:footnote>
  <w:footnote w:id="19">
    <w:p w:rsidR="00573032" w:rsidRPr="00DF5650" w:rsidRDefault="00C43172">
      <w:pPr>
        <w:pStyle w:val="FootnoteText"/>
        <w:rPr>
          <w:lang w:val="fr-FR"/>
        </w:rPr>
      </w:pPr>
      <w:r>
        <w:rPr>
          <w:rStyle w:val="FootnoteReference"/>
        </w:rPr>
        <w:footnoteRef/>
      </w:r>
      <w:r w:rsidRPr="00DF5650">
        <w:rPr>
          <w:lang w:val="fr-FR"/>
        </w:rPr>
        <w:tab/>
        <w:t>EUT C,</w:t>
      </w:r>
      <w:r w:rsidR="000041AB" w:rsidRPr="000041AB">
        <w:rPr>
          <w:lang w:val="pl-PL"/>
        </w:rPr>
        <w:t xml:space="preserve">, </w:t>
      </w:r>
      <w:r w:rsidRPr="00DF5650">
        <w:rPr>
          <w:lang w:val="fr-FR"/>
        </w:rPr>
        <w:t>s. .</w:t>
      </w:r>
    </w:p>
  </w:footnote>
  <w:footnote w:id="20">
    <w:p w:rsidR="00254093" w:rsidRPr="00DF5650" w:rsidRDefault="00254093" w:rsidP="00254093">
      <w:pPr>
        <w:pStyle w:val="FootnoteText"/>
      </w:pPr>
      <w:r>
        <w:rPr>
          <w:rStyle w:val="FootnoteReference"/>
        </w:rPr>
        <w:footnoteRef/>
      </w:r>
      <w:r w:rsidRPr="00DF5650">
        <w:tab/>
        <w:t xml:space="preserve">Rådets gennemførelsesforordning (EU) nr. 282/2011 </w:t>
      </w:r>
      <w:r w:rsidRPr="000041AB">
        <w:rPr>
          <w:lang w:val="pl-PL"/>
        </w:rPr>
        <w:t>af</w:t>
      </w:r>
      <w:r w:rsidR="000041AB" w:rsidRPr="000041AB">
        <w:rPr>
          <w:lang w:val="pl-PL"/>
        </w:rPr>
        <w:t> </w:t>
      </w:r>
      <w:r w:rsidRPr="000041AB">
        <w:rPr>
          <w:lang w:val="pl-PL"/>
        </w:rPr>
        <w:t>1</w:t>
      </w:r>
      <w:r w:rsidRPr="00DF5650">
        <w:t xml:space="preserve">5. marts 2011 om foranstaltninger til gennemførelse af direktiv 2006/112/EF om det fælles merværdiafgiftssystem (EUT L 77 </w:t>
      </w:r>
      <w:r w:rsidRPr="000041AB">
        <w:rPr>
          <w:lang w:val="pl-PL"/>
        </w:rPr>
        <w:t>af</w:t>
      </w:r>
      <w:r w:rsidR="000041AB" w:rsidRPr="000041AB">
        <w:rPr>
          <w:lang w:val="pl-PL"/>
        </w:rPr>
        <w:t> </w:t>
      </w:r>
      <w:r w:rsidRPr="000041AB">
        <w:rPr>
          <w:lang w:val="pl-PL"/>
        </w:rPr>
        <w:t>2</w:t>
      </w:r>
      <w:r w:rsidRPr="00DF5650">
        <w:t xml:space="preserve">3.3.2011, s. 1, ELI: </w:t>
      </w:r>
      <w:hyperlink r:id="rId11" w:history="1">
        <w:r w:rsidRPr="00DF5650">
          <w:rPr>
            <w:rStyle w:val="Hyperlink"/>
          </w:rPr>
          <w:t>http://data.europa.eu/eli/reg_impl/2011/282/oj</w:t>
        </w:r>
      </w:hyperlink>
      <w:r w:rsidRPr="00DF5650">
        <w:t xml:space="preserve">). </w:t>
      </w:r>
    </w:p>
  </w:footnote>
  <w:footnote w:id="21">
    <w:p w:rsidR="00226B22" w:rsidRPr="00DF5650" w:rsidRDefault="00226B22" w:rsidP="004C36F9">
      <w:pPr>
        <w:pStyle w:val="FootnoteText"/>
        <w:rPr>
          <w:rFonts w:ascii="&amp;quot" w:eastAsia="Times New Roman" w:hAnsi="&amp;quot"/>
          <w:color w:val="444444"/>
          <w:sz w:val="21"/>
          <w:szCs w:val="21"/>
        </w:rPr>
      </w:pPr>
      <w:r>
        <w:rPr>
          <w:rStyle w:val="FootnoteReference"/>
        </w:rPr>
        <w:footnoteRef/>
      </w:r>
      <w:r w:rsidRPr="00DF5650">
        <w:tab/>
        <w:t xml:space="preserve">Rådets direktiv 2006/112/EF </w:t>
      </w:r>
      <w:r w:rsidRPr="000041AB">
        <w:rPr>
          <w:lang w:val="pl-PL"/>
        </w:rPr>
        <w:t>af</w:t>
      </w:r>
      <w:r w:rsidR="000041AB" w:rsidRPr="000041AB">
        <w:rPr>
          <w:lang w:val="pl-PL"/>
        </w:rPr>
        <w:t> </w:t>
      </w:r>
      <w:r w:rsidRPr="000041AB">
        <w:rPr>
          <w:lang w:val="pl-PL"/>
        </w:rPr>
        <w:t>2</w:t>
      </w:r>
      <w:r w:rsidRPr="00DF5650">
        <w:t xml:space="preserve">8. november 2006 om det fælles merværdiafgiftssystem (EUT L 347 </w:t>
      </w:r>
      <w:r w:rsidRPr="000041AB">
        <w:rPr>
          <w:lang w:val="pl-PL"/>
        </w:rPr>
        <w:t>af</w:t>
      </w:r>
      <w:r w:rsidR="000041AB" w:rsidRPr="000041AB">
        <w:rPr>
          <w:lang w:val="pl-PL"/>
        </w:rPr>
        <w:t> </w:t>
      </w:r>
      <w:r w:rsidRPr="000041AB">
        <w:rPr>
          <w:lang w:val="pl-PL"/>
        </w:rPr>
        <w:t>1</w:t>
      </w:r>
      <w:r w:rsidRPr="00DF5650">
        <w:t xml:space="preserve">1.12.2006, s. 1, ELI: </w:t>
      </w:r>
      <w:hyperlink r:id="rId12" w:history="1">
        <w:r w:rsidRPr="00DF5650">
          <w:rPr>
            <w:rStyle w:val="Hyperlink"/>
          </w:rPr>
          <w:t>http://data.europa.eu/eli/dir/2006/112/oj</w:t>
        </w:r>
      </w:hyperlink>
      <w:r w:rsidRPr="00DF5650">
        <w:t xml:space="preserve">). </w:t>
      </w:r>
    </w:p>
  </w:footnote>
  <w:footnote w:id="22">
    <w:p w:rsidR="00BC48A6" w:rsidRPr="00DF5650" w:rsidRDefault="00BC48A6" w:rsidP="00BC48A6">
      <w:pPr>
        <w:pStyle w:val="FootnoteText"/>
      </w:pPr>
      <w:r>
        <w:rPr>
          <w:rStyle w:val="FootnoteReference"/>
        </w:rPr>
        <w:footnoteRef/>
      </w:r>
      <w:r w:rsidRPr="00DF5650">
        <w:tab/>
        <w:t xml:space="preserve">Europa-Parlamentets og Rådets forordning (EU) </w:t>
      </w:r>
      <w:r w:rsidRPr="000041AB">
        <w:rPr>
          <w:lang w:val="pl-PL"/>
        </w:rPr>
        <w:t>nr.</w:t>
      </w:r>
      <w:r w:rsidR="000041AB" w:rsidRPr="000041AB">
        <w:rPr>
          <w:lang w:val="pl-PL"/>
        </w:rPr>
        <w:t> </w:t>
      </w:r>
      <w:r w:rsidRPr="000041AB">
        <w:rPr>
          <w:lang w:val="pl-PL"/>
        </w:rPr>
        <w:t>1</w:t>
      </w:r>
      <w:r w:rsidRPr="00DF5650">
        <w:t xml:space="preserve">82/2011 </w:t>
      </w:r>
      <w:r w:rsidRPr="000041AB">
        <w:rPr>
          <w:lang w:val="pl-PL"/>
        </w:rPr>
        <w:t>af</w:t>
      </w:r>
      <w:r w:rsidR="000041AB" w:rsidRPr="000041AB">
        <w:rPr>
          <w:lang w:val="pl-PL"/>
        </w:rPr>
        <w:t> </w:t>
      </w:r>
      <w:r w:rsidRPr="000041AB">
        <w:rPr>
          <w:lang w:val="pl-PL"/>
        </w:rPr>
        <w:t>1</w:t>
      </w:r>
      <w:r w:rsidRPr="00DF5650">
        <w:t xml:space="preserve">6. februar 2011 om de generelle regler og principper for, hvordan medlemsstaterne skal kontrollere Kommissionens udøvelse af gennemførelsesbeføjelser (EUT L 55 </w:t>
      </w:r>
      <w:r w:rsidRPr="000041AB">
        <w:rPr>
          <w:lang w:val="pl-PL"/>
        </w:rPr>
        <w:t>af</w:t>
      </w:r>
      <w:r w:rsidR="000041AB" w:rsidRPr="000041AB">
        <w:rPr>
          <w:lang w:val="pl-PL"/>
        </w:rPr>
        <w:t> </w:t>
      </w:r>
      <w:r w:rsidRPr="000041AB">
        <w:rPr>
          <w:lang w:val="pl-PL"/>
        </w:rPr>
        <w:t>2</w:t>
      </w:r>
      <w:r w:rsidRPr="00DF5650">
        <w:t xml:space="preserve">8.2.2011, s. 13, ELI: </w:t>
      </w:r>
      <w:hyperlink r:id="rId13" w:history="1">
        <w:r w:rsidRPr="00DF5650">
          <w:rPr>
            <w:rStyle w:val="Hyperlink"/>
          </w:rPr>
          <w:t>http://data.europa.eu/eli/reg/2011/182/oj</w:t>
        </w:r>
      </w:hyperlink>
      <w:r w:rsidRPr="00DF565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80" w:rsidRDefault="00DF26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680" w:rsidRDefault="00DF26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554D31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456EB0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02945FC0"/>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F9DE55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6342C5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40605B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AE2EDB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36C098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7D44C2C"/>
    <w:multiLevelType w:val="singleLevel"/>
    <w:tmpl w:val="551A5850"/>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4" w15:restartNumberingAfterBreak="0">
    <w:nsid w:val="7DF748A8"/>
    <w:multiLevelType w:val="singleLevel"/>
    <w:tmpl w:val="8CDC5166"/>
    <w:name w:val="List Dash 1"/>
    <w:lvl w:ilvl="0">
      <w:start w:val="1"/>
      <w:numFmt w:val="bullet"/>
      <w:lvlRestart w:val="0"/>
      <w:pStyle w:val="ListDash1"/>
      <w:lvlText w:val="–"/>
      <w:lvlJc w:val="left"/>
      <w:pPr>
        <w:tabs>
          <w:tab w:val="num" w:pos="1134"/>
        </w:tabs>
        <w:ind w:left="1134" w:hanging="283"/>
      </w:pPr>
      <w:rPr>
        <w:rFonts w:ascii="Times New Roman" w:hAnsi="Times New Roman"/>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4"/>
  </w:num>
  <w:num w:numId="10">
    <w:abstractNumId w:val="8"/>
  </w:num>
  <w:num w:numId="11">
    <w:abstractNumId w:val="20"/>
  </w:num>
  <w:num w:numId="12">
    <w:abstractNumId w:val="13"/>
  </w:num>
  <w:num w:numId="13">
    <w:abstractNumId w:val="22"/>
  </w:num>
  <w:num w:numId="14">
    <w:abstractNumId w:val="12"/>
  </w:num>
  <w:num w:numId="15">
    <w:abstractNumId w:val="14"/>
  </w:num>
  <w:num w:numId="16">
    <w:abstractNumId w:val="15"/>
  </w:num>
  <w:num w:numId="17">
    <w:abstractNumId w:val="10"/>
  </w:num>
  <w:num w:numId="18">
    <w:abstractNumId w:val="21"/>
  </w:num>
  <w:num w:numId="19">
    <w:abstractNumId w:val="9"/>
  </w:num>
  <w:num w:numId="20">
    <w:abstractNumId w:val="16"/>
  </w:num>
  <w:num w:numId="21">
    <w:abstractNumId w:val="18"/>
  </w:num>
  <w:num w:numId="22">
    <w:abstractNumId w:val="19"/>
  </w:num>
  <w:num w:numId="23">
    <w:abstractNumId w:val="11"/>
  </w:num>
  <w:num w:numId="24">
    <w:abstractNumId w:val="17"/>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4-07-01 08:33:1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10910F35-30CB-440C-A450-2A55F5FAA4A8"/>
    <w:docVar w:name="LW_COVERPAGE_TYPE" w:val="1"/>
    <w:docVar w:name="LW_CROSSREFERENCE" w:val="&lt;UNUSED&gt;"/>
    <w:docVar w:name="LW_DocType" w:val="COM"/>
    <w:docVar w:name="LW_EMISSION" w:val="8.7.2024"/>
    <w:docVar w:name="LW_EMISSION_ISODATE" w:val="2024-07-08"/>
    <w:docVar w:name="LW_EMISSION_LOCATION" w:val="BRX"/>
    <w:docVar w:name="LW_EMISSION_PREFIX" w:val="Bruxelles, den "/>
    <w:docVar w:name="LW_EMISSION_SUFFIX" w:val=" "/>
    <w:docVar w:name="LW_ID_DOCMODEL" w:val="SJ-017"/>
    <w:docVar w:name="LW_ID_DOCSIGNATURE" w:val="SJ-017"/>
    <w:docVar w:name="LW_ID_DOCSTRUCTURE" w:val="COM/PL/ORG"/>
    <w:docVar w:name="LW_ID_DOCTYPE" w:val="SJ-017"/>
    <w:docVar w:name="LW_ID_EXP.MOTIFS.NEW" w:val="EM_PL_"/>
    <w:docVar w:name="LW_ID_STATUT" w:val="SJ-017"/>
    <w:docVar w:name="LW_INTERETEEE.CP" w:val="&lt;UNUSED&g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CNS"/>
    <w:docVar w:name="LW_REF.II.NEW.CP_NUMBER" w:val="0152"/>
    <w:docVar w:name="LW_REF.II.NEW.CP_YEAR" w:val="2024"/>
    <w:docVar w:name="LW_REF.INST.NEW" w:val="COM"/>
    <w:docVar w:name="LW_REF.INST.NEW_ADOPTED" w:val="final"/>
    <w:docVar w:name="LW_REF.INST.NEW_TEXT" w:val="(2024) 278"/>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orslag til"/>
    <w:docVar w:name="LW_SUPERTITRE" w:val="&lt;UNUSED&gt;"/>
    <w:docVar w:name="LW_TITRE.OBJ.CP" w:val="om ændring af direktiv 2006/112/EF for så vidt angår den elektroniske momsfritagelsesattest"/>
    <w:docVar w:name="LW_TYPE.DOC.CP" w:val="RÅDETS DIREKTIV"/>
    <w:docVar w:name="LwApiVersions" w:val="LW4CoDe 1.24.5.0; LW 9.0, Build 20240221"/>
  </w:docVars>
  <w:rsids>
    <w:rsidRoot w:val="00573032"/>
    <w:rsid w:val="000041AB"/>
    <w:rsid w:val="000079E1"/>
    <w:rsid w:val="0001156F"/>
    <w:rsid w:val="0002513F"/>
    <w:rsid w:val="00037B48"/>
    <w:rsid w:val="00043C5B"/>
    <w:rsid w:val="000505A9"/>
    <w:rsid w:val="00063B66"/>
    <w:rsid w:val="00064F54"/>
    <w:rsid w:val="0007234A"/>
    <w:rsid w:val="000814A8"/>
    <w:rsid w:val="000827C4"/>
    <w:rsid w:val="00082B50"/>
    <w:rsid w:val="000840D3"/>
    <w:rsid w:val="0008741D"/>
    <w:rsid w:val="000A1BA7"/>
    <w:rsid w:val="000B0450"/>
    <w:rsid w:val="000B69B5"/>
    <w:rsid w:val="000D280B"/>
    <w:rsid w:val="000D56F6"/>
    <w:rsid w:val="000E0795"/>
    <w:rsid w:val="0010264B"/>
    <w:rsid w:val="00117333"/>
    <w:rsid w:val="00120535"/>
    <w:rsid w:val="00121A7B"/>
    <w:rsid w:val="00122611"/>
    <w:rsid w:val="00131B7C"/>
    <w:rsid w:val="001568D3"/>
    <w:rsid w:val="00170E50"/>
    <w:rsid w:val="001C6257"/>
    <w:rsid w:val="001E731A"/>
    <w:rsid w:val="001F2451"/>
    <w:rsid w:val="00217E99"/>
    <w:rsid w:val="00221163"/>
    <w:rsid w:val="00226B22"/>
    <w:rsid w:val="00226E9A"/>
    <w:rsid w:val="00247ABA"/>
    <w:rsid w:val="00254093"/>
    <w:rsid w:val="00261391"/>
    <w:rsid w:val="00276B3D"/>
    <w:rsid w:val="002827BE"/>
    <w:rsid w:val="002A7E94"/>
    <w:rsid w:val="002C4125"/>
    <w:rsid w:val="002F0C09"/>
    <w:rsid w:val="0033436C"/>
    <w:rsid w:val="00355805"/>
    <w:rsid w:val="00360B39"/>
    <w:rsid w:val="00374F62"/>
    <w:rsid w:val="003939E8"/>
    <w:rsid w:val="00397A47"/>
    <w:rsid w:val="003A53F5"/>
    <w:rsid w:val="003C7D88"/>
    <w:rsid w:val="003D0541"/>
    <w:rsid w:val="003D406A"/>
    <w:rsid w:val="003D7C15"/>
    <w:rsid w:val="003E34E4"/>
    <w:rsid w:val="003F7E14"/>
    <w:rsid w:val="004064E3"/>
    <w:rsid w:val="00411AC0"/>
    <w:rsid w:val="004359FD"/>
    <w:rsid w:val="00437EA4"/>
    <w:rsid w:val="00443D0D"/>
    <w:rsid w:val="004504FD"/>
    <w:rsid w:val="00454A9D"/>
    <w:rsid w:val="0045788F"/>
    <w:rsid w:val="00467577"/>
    <w:rsid w:val="00470865"/>
    <w:rsid w:val="00474329"/>
    <w:rsid w:val="00474547"/>
    <w:rsid w:val="00481497"/>
    <w:rsid w:val="004C36F9"/>
    <w:rsid w:val="004E5127"/>
    <w:rsid w:val="004F246B"/>
    <w:rsid w:val="00502819"/>
    <w:rsid w:val="00506F04"/>
    <w:rsid w:val="00513288"/>
    <w:rsid w:val="00523D87"/>
    <w:rsid w:val="00534946"/>
    <w:rsid w:val="00570B7C"/>
    <w:rsid w:val="0057285C"/>
    <w:rsid w:val="00573032"/>
    <w:rsid w:val="00590413"/>
    <w:rsid w:val="00590C3A"/>
    <w:rsid w:val="005957E3"/>
    <w:rsid w:val="005A1A15"/>
    <w:rsid w:val="005B19DE"/>
    <w:rsid w:val="005B2090"/>
    <w:rsid w:val="005B42B5"/>
    <w:rsid w:val="005B65F2"/>
    <w:rsid w:val="005B67F7"/>
    <w:rsid w:val="005B77FF"/>
    <w:rsid w:val="005C3F41"/>
    <w:rsid w:val="005C47B5"/>
    <w:rsid w:val="005D2008"/>
    <w:rsid w:val="0060190D"/>
    <w:rsid w:val="00605EFB"/>
    <w:rsid w:val="00623E0C"/>
    <w:rsid w:val="00626626"/>
    <w:rsid w:val="00642C1C"/>
    <w:rsid w:val="00643E19"/>
    <w:rsid w:val="0067287A"/>
    <w:rsid w:val="006754E2"/>
    <w:rsid w:val="0068381A"/>
    <w:rsid w:val="006842AA"/>
    <w:rsid w:val="00685C80"/>
    <w:rsid w:val="0069499B"/>
    <w:rsid w:val="00694EB2"/>
    <w:rsid w:val="006A7DCC"/>
    <w:rsid w:val="006B3C8B"/>
    <w:rsid w:val="006C6F2E"/>
    <w:rsid w:val="006C7789"/>
    <w:rsid w:val="006D0B10"/>
    <w:rsid w:val="006D0D48"/>
    <w:rsid w:val="006D4790"/>
    <w:rsid w:val="006D4AC2"/>
    <w:rsid w:val="006E77AA"/>
    <w:rsid w:val="006F428D"/>
    <w:rsid w:val="00701342"/>
    <w:rsid w:val="007021B0"/>
    <w:rsid w:val="00715B16"/>
    <w:rsid w:val="00717A2C"/>
    <w:rsid w:val="007344FF"/>
    <w:rsid w:val="00753A42"/>
    <w:rsid w:val="00775A93"/>
    <w:rsid w:val="00787D49"/>
    <w:rsid w:val="00793E02"/>
    <w:rsid w:val="007A2005"/>
    <w:rsid w:val="007B1860"/>
    <w:rsid w:val="007B418B"/>
    <w:rsid w:val="007C2FDB"/>
    <w:rsid w:val="007C4C0A"/>
    <w:rsid w:val="007E0A44"/>
    <w:rsid w:val="007E5E1D"/>
    <w:rsid w:val="007F320D"/>
    <w:rsid w:val="008160C5"/>
    <w:rsid w:val="00831E1D"/>
    <w:rsid w:val="00844BDB"/>
    <w:rsid w:val="00845DA2"/>
    <w:rsid w:val="00851A3F"/>
    <w:rsid w:val="00854134"/>
    <w:rsid w:val="00871F17"/>
    <w:rsid w:val="00875BE9"/>
    <w:rsid w:val="00876C1B"/>
    <w:rsid w:val="0088271E"/>
    <w:rsid w:val="008924E8"/>
    <w:rsid w:val="00893764"/>
    <w:rsid w:val="008A26FE"/>
    <w:rsid w:val="008A7F9D"/>
    <w:rsid w:val="008B760D"/>
    <w:rsid w:val="008C7108"/>
    <w:rsid w:val="008D4431"/>
    <w:rsid w:val="008F56E9"/>
    <w:rsid w:val="008F65A4"/>
    <w:rsid w:val="009006DB"/>
    <w:rsid w:val="00904C4A"/>
    <w:rsid w:val="00912DD3"/>
    <w:rsid w:val="00913FFF"/>
    <w:rsid w:val="0092172C"/>
    <w:rsid w:val="00924F20"/>
    <w:rsid w:val="009365D4"/>
    <w:rsid w:val="00937D2C"/>
    <w:rsid w:val="0094626E"/>
    <w:rsid w:val="00946B52"/>
    <w:rsid w:val="0094764B"/>
    <w:rsid w:val="00964265"/>
    <w:rsid w:val="009730B9"/>
    <w:rsid w:val="00987E48"/>
    <w:rsid w:val="009946C5"/>
    <w:rsid w:val="009A4B99"/>
    <w:rsid w:val="009C23A1"/>
    <w:rsid w:val="009C6EC4"/>
    <w:rsid w:val="009E3FB7"/>
    <w:rsid w:val="009E7128"/>
    <w:rsid w:val="00A06FB5"/>
    <w:rsid w:val="00A12CBC"/>
    <w:rsid w:val="00A17543"/>
    <w:rsid w:val="00A304ED"/>
    <w:rsid w:val="00A3088C"/>
    <w:rsid w:val="00A31647"/>
    <w:rsid w:val="00A32CF7"/>
    <w:rsid w:val="00A37A9C"/>
    <w:rsid w:val="00A51A2D"/>
    <w:rsid w:val="00A51EA6"/>
    <w:rsid w:val="00A54910"/>
    <w:rsid w:val="00A552F5"/>
    <w:rsid w:val="00A60D97"/>
    <w:rsid w:val="00A92D1F"/>
    <w:rsid w:val="00A94488"/>
    <w:rsid w:val="00AB0027"/>
    <w:rsid w:val="00AB0841"/>
    <w:rsid w:val="00AC52B4"/>
    <w:rsid w:val="00AC5351"/>
    <w:rsid w:val="00AD08F1"/>
    <w:rsid w:val="00AD7F30"/>
    <w:rsid w:val="00B0049B"/>
    <w:rsid w:val="00B129D2"/>
    <w:rsid w:val="00B17016"/>
    <w:rsid w:val="00B21E30"/>
    <w:rsid w:val="00B31FD4"/>
    <w:rsid w:val="00B4430A"/>
    <w:rsid w:val="00B5044D"/>
    <w:rsid w:val="00B505B0"/>
    <w:rsid w:val="00B6010A"/>
    <w:rsid w:val="00B643F6"/>
    <w:rsid w:val="00B73705"/>
    <w:rsid w:val="00B87B0D"/>
    <w:rsid w:val="00B96657"/>
    <w:rsid w:val="00BA14FA"/>
    <w:rsid w:val="00BA451D"/>
    <w:rsid w:val="00BB421C"/>
    <w:rsid w:val="00BB4FB8"/>
    <w:rsid w:val="00BB6911"/>
    <w:rsid w:val="00BC39CB"/>
    <w:rsid w:val="00BC48A6"/>
    <w:rsid w:val="00BC76EA"/>
    <w:rsid w:val="00BD1C5F"/>
    <w:rsid w:val="00BE46A7"/>
    <w:rsid w:val="00BE6815"/>
    <w:rsid w:val="00BF7180"/>
    <w:rsid w:val="00C028FB"/>
    <w:rsid w:val="00C22AD2"/>
    <w:rsid w:val="00C231F5"/>
    <w:rsid w:val="00C43172"/>
    <w:rsid w:val="00C45C46"/>
    <w:rsid w:val="00C561E0"/>
    <w:rsid w:val="00C72736"/>
    <w:rsid w:val="00C80C7A"/>
    <w:rsid w:val="00C85475"/>
    <w:rsid w:val="00CA351C"/>
    <w:rsid w:val="00CA6F06"/>
    <w:rsid w:val="00CB53B0"/>
    <w:rsid w:val="00CB59D9"/>
    <w:rsid w:val="00CC3C36"/>
    <w:rsid w:val="00CE54B7"/>
    <w:rsid w:val="00CF0CDF"/>
    <w:rsid w:val="00CF381E"/>
    <w:rsid w:val="00CF4CD1"/>
    <w:rsid w:val="00D0372F"/>
    <w:rsid w:val="00D2286A"/>
    <w:rsid w:val="00D305D1"/>
    <w:rsid w:val="00D35EF1"/>
    <w:rsid w:val="00D461F3"/>
    <w:rsid w:val="00D6424A"/>
    <w:rsid w:val="00D70BDE"/>
    <w:rsid w:val="00D70D1A"/>
    <w:rsid w:val="00D765B0"/>
    <w:rsid w:val="00D76982"/>
    <w:rsid w:val="00D80060"/>
    <w:rsid w:val="00D82963"/>
    <w:rsid w:val="00DA3FBC"/>
    <w:rsid w:val="00DA5E36"/>
    <w:rsid w:val="00DB44B9"/>
    <w:rsid w:val="00DE0CB4"/>
    <w:rsid w:val="00DE42C7"/>
    <w:rsid w:val="00DF2680"/>
    <w:rsid w:val="00DF5650"/>
    <w:rsid w:val="00E072A5"/>
    <w:rsid w:val="00E106FB"/>
    <w:rsid w:val="00E33596"/>
    <w:rsid w:val="00E36402"/>
    <w:rsid w:val="00E4192E"/>
    <w:rsid w:val="00E41D18"/>
    <w:rsid w:val="00E42F9E"/>
    <w:rsid w:val="00E435FC"/>
    <w:rsid w:val="00E61766"/>
    <w:rsid w:val="00E61D94"/>
    <w:rsid w:val="00E63C5E"/>
    <w:rsid w:val="00E67117"/>
    <w:rsid w:val="00E707E2"/>
    <w:rsid w:val="00E73911"/>
    <w:rsid w:val="00E7767B"/>
    <w:rsid w:val="00E8038B"/>
    <w:rsid w:val="00E84932"/>
    <w:rsid w:val="00E9097A"/>
    <w:rsid w:val="00E921B9"/>
    <w:rsid w:val="00E94018"/>
    <w:rsid w:val="00E95BE2"/>
    <w:rsid w:val="00EA3325"/>
    <w:rsid w:val="00EA75E2"/>
    <w:rsid w:val="00EB30AF"/>
    <w:rsid w:val="00EB6734"/>
    <w:rsid w:val="00EB72F9"/>
    <w:rsid w:val="00EF5338"/>
    <w:rsid w:val="00EF5646"/>
    <w:rsid w:val="00F13D89"/>
    <w:rsid w:val="00F26CCF"/>
    <w:rsid w:val="00F36824"/>
    <w:rsid w:val="00F506B0"/>
    <w:rsid w:val="00F57AD9"/>
    <w:rsid w:val="00F62DDC"/>
    <w:rsid w:val="00F76783"/>
    <w:rsid w:val="00F82D8F"/>
    <w:rsid w:val="00F9570B"/>
    <w:rsid w:val="00FB051A"/>
    <w:rsid w:val="00FC59F1"/>
    <w:rsid w:val="00FD1D63"/>
    <w:rsid w:val="00FD5D7D"/>
    <w:rsid w:val="00FE5369"/>
    <w:rsid w:val="00FF0EC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NormalWeb">
    <w:name w:val="Normal (Web)"/>
    <w:basedOn w:val="Normal"/>
    <w:uiPriority w:val="99"/>
    <w:unhideWhenUsed/>
    <w:rPr>
      <w:szCs w:val="24"/>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a-DK"/>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da-DK"/>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pPr>
      <w:spacing w:after="0" w:line="240" w:lineRule="auto"/>
    </w:pPr>
    <w:rPr>
      <w:rFonts w:ascii="Times New Roman" w:hAnsi="Times New Roman" w:cs="Times New Roman"/>
      <w:sz w:val="24"/>
    </w:rPr>
  </w:style>
  <w:style w:type="character" w:customStyle="1" w:styleId="superscript">
    <w:name w:val="superscript"/>
    <w:basedOn w:val="DefaultParagraphFont"/>
  </w:style>
  <w:style w:type="paragraph" w:customStyle="1" w:styleId="ListDash1">
    <w:name w:val="List Dash 1"/>
    <w:basedOn w:val="Normal"/>
    <w:pPr>
      <w:numPr>
        <w:numId w:val="9"/>
      </w:numPr>
    </w:pPr>
    <w:rPr>
      <w:rFonts w:eastAsia="Times New Roman"/>
      <w:szCs w:val="24"/>
      <w:lang w:eastAsia="de-DE"/>
    </w:rPr>
  </w:style>
  <w:style w:type="paragraph" w:customStyle="1" w:styleId="ListDash2">
    <w:name w:val="List Dash 2"/>
    <w:basedOn w:val="Normal"/>
    <w:pPr>
      <w:numPr>
        <w:numId w:val="10"/>
      </w:numPr>
    </w:pPr>
    <w:rPr>
      <w:rFonts w:eastAsia="Times New Roman"/>
      <w:szCs w:val="24"/>
      <w:lang w:eastAsia="de-DE"/>
    </w:rPr>
  </w:style>
  <w:style w:type="character" w:styleId="FollowedHyperlink">
    <w:name w:val="FollowedHyperlink"/>
    <w:basedOn w:val="DefaultParagraphFont"/>
    <w:uiPriority w:val="99"/>
    <w:semiHidden/>
    <w:unhideWhenUsed/>
    <w:rsid w:val="00FC59F1"/>
    <w:rPr>
      <w:color w:val="800080" w:themeColor="followedHyperlink"/>
      <w:u w:val="single"/>
    </w:rPr>
  </w:style>
  <w:style w:type="character" w:customStyle="1" w:styleId="UnresolvedMention">
    <w:name w:val="Unresolved Mention"/>
    <w:basedOn w:val="DefaultParagraphFont"/>
    <w:uiPriority w:val="99"/>
    <w:semiHidden/>
    <w:unhideWhenUsed/>
    <w:rsid w:val="00C45C46"/>
    <w:rPr>
      <w:color w:val="605E5C"/>
      <w:shd w:val="clear" w:color="auto" w:fill="E1DFDD"/>
    </w:rPr>
  </w:style>
  <w:style w:type="paragraph" w:customStyle="1" w:styleId="Footnote">
    <w:name w:val="Footnote"/>
    <w:aliases w:val="Times 10 Point,Exposant 3 Point,Footnote Reference Superscript Car,Char Char Char Char Char Car,BVI fnr Car,Footnote symbol Car,SUPERS Car,note TESI Car,number"/>
    <w:basedOn w:val="Normal"/>
    <w:link w:val="FootnoteReference"/>
    <w:uiPriority w:val="99"/>
    <w:rsid w:val="005C3F41"/>
    <w:pPr>
      <w:spacing w:before="0" w:after="160" w:line="240" w:lineRule="exact"/>
      <w:jc w:val="left"/>
    </w:pPr>
    <w:rPr>
      <w:rFonts w:asciiTheme="minorHAnsi" w:hAnsiTheme="minorHAnsi" w:cstheme="minorBidi"/>
      <w:sz w:val="22"/>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A552F5"/>
    <w:pPr>
      <w:spacing w:before="0" w:after="0" w:line="160" w:lineRule="exact"/>
      <w:ind w:left="284" w:hanging="284"/>
    </w:pPr>
    <w:rPr>
      <w:rFonts w:eastAsia="Times New Roman"/>
      <w:sz w:val="20"/>
      <w:szCs w:val="20"/>
      <w:vertAlign w:val="superscript"/>
      <w:lang w:eastAsia="en-GB"/>
    </w:rPr>
  </w:style>
  <w:style w:type="character" w:customStyle="1" w:styleId="cf01">
    <w:name w:val="cf01"/>
    <w:basedOn w:val="DefaultParagraphFont"/>
    <w:rsid w:val="002827BE"/>
    <w:rPr>
      <w:rFonts w:ascii="Segoe UI" w:hAnsi="Segoe UI" w:cs="Segoe UI" w:hint="default"/>
      <w:sz w:val="18"/>
      <w:szCs w:val="18"/>
    </w:rPr>
  </w:style>
  <w:style w:type="character" w:customStyle="1" w:styleId="HeaderChar">
    <w:name w:val="Header Char"/>
    <w:basedOn w:val="DefaultParagraphFont"/>
    <w:link w:val="Header"/>
    <w:uiPriority w:val="99"/>
    <w:rsid w:val="00DF2680"/>
    <w:rPr>
      <w:rFonts w:ascii="Times New Roman" w:hAnsi="Times New Roman" w:cs="Times New Roman"/>
      <w:sz w:val="24"/>
      <w:lang w:val="da-DK"/>
    </w:rPr>
  </w:style>
  <w:style w:type="character" w:customStyle="1" w:styleId="FooterChar">
    <w:name w:val="Footer Char"/>
    <w:basedOn w:val="DefaultParagraphFont"/>
    <w:link w:val="Footer"/>
    <w:uiPriority w:val="99"/>
    <w:rsid w:val="00DF2680"/>
    <w:rPr>
      <w:rFonts w:ascii="Times New Roman" w:hAnsi="Times New Roman" w:cs="Times New Roman"/>
      <w:sz w:val="24"/>
      <w:lang w:val="da-D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a-DK"/>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a-DK"/>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a-DK"/>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a-DK"/>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a-DK"/>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a-DK"/>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a-DK"/>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Footnote"/>
    <w:uiPriority w:val="99"/>
    <w:semiHidden/>
    <w:unhideWhenUsed/>
    <w:rPr>
      <w:shd w:val="clear" w:color="auto" w:fill="auto"/>
      <w:vertAlign w:val="superscript"/>
    </w:rPr>
  </w:style>
  <w:style w:type="paragraph" w:customStyle="1" w:styleId="HeaderSensitivity">
    <w:name w:val="Header Sensitivity"/>
    <w:basedOn w:val="Normal"/>
    <w:rsid w:val="00DF2680"/>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DF2680"/>
    <w:pPr>
      <w:spacing w:before="0"/>
      <w:jc w:val="right"/>
    </w:pPr>
    <w:rPr>
      <w:sz w:val="28"/>
    </w:rPr>
  </w:style>
  <w:style w:type="paragraph" w:customStyle="1" w:styleId="FooterSensitivity">
    <w:name w:val="Footer Sensitivity"/>
    <w:basedOn w:val="Normal"/>
    <w:rsid w:val="00DF2680"/>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NumPar5">
    <w:name w:val="NumPar 5"/>
    <w:basedOn w:val="Normal"/>
    <w:next w:val="Text2"/>
    <w:pPr>
      <w:numPr>
        <w:ilvl w:val="4"/>
        <w:numId w:val="17"/>
      </w:numPr>
    </w:pPr>
  </w:style>
  <w:style w:type="paragraph" w:customStyle="1" w:styleId="NumPar6">
    <w:name w:val="NumPar 6"/>
    <w:basedOn w:val="Normal"/>
    <w:next w:val="Text2"/>
    <w:pPr>
      <w:numPr>
        <w:ilvl w:val="5"/>
        <w:numId w:val="17"/>
      </w:numPr>
    </w:pPr>
  </w:style>
  <w:style w:type="paragraph" w:customStyle="1" w:styleId="NumPar7">
    <w:name w:val="NumPar 7"/>
    <w:basedOn w:val="Normal"/>
    <w:next w:val="Text2"/>
    <w:pPr>
      <w:numPr>
        <w:ilvl w:val="6"/>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DF2680"/>
    <w:pPr>
      <w:tabs>
        <w:tab w:val="center" w:pos="4535"/>
        <w:tab w:val="right" w:pos="9071"/>
      </w:tabs>
      <w:spacing w:before="0"/>
    </w:pPr>
  </w:style>
  <w:style w:type="paragraph" w:customStyle="1" w:styleId="HeaderLandscape">
    <w:name w:val="HeaderLandscape"/>
    <w:basedOn w:val="Normal"/>
    <w:rsid w:val="00DF2680"/>
    <w:pPr>
      <w:tabs>
        <w:tab w:val="center" w:pos="7285"/>
        <w:tab w:val="right" w:pos="14003"/>
      </w:tabs>
      <w:spacing w:before="0"/>
    </w:pPr>
  </w:style>
  <w:style w:type="paragraph" w:styleId="Footer">
    <w:name w:val="footer"/>
    <w:basedOn w:val="Normal"/>
    <w:link w:val="FooterChar"/>
    <w:uiPriority w:val="99"/>
    <w:unhideWhenUsed/>
    <w:rsid w:val="00DF2680"/>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DF2680"/>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OJ:L:2021:250:TOC" TargetMode="External"/><Relationship Id="rId13" Type="http://schemas.openxmlformats.org/officeDocument/2006/relationships/hyperlink" Target="http://data.europa.eu/eli/reg/2011/182/oj" TargetMode="External"/><Relationship Id="rId3" Type="http://schemas.openxmlformats.org/officeDocument/2006/relationships/hyperlink" Target="https://eur-lex.europa.eu/legal-content/EN/TXT/?uri=CELEX%3A32010R0904&amp;qid=1717738790056" TargetMode="External"/><Relationship Id="rId7" Type="http://schemas.openxmlformats.org/officeDocument/2006/relationships/hyperlink" Target="https://eur-lex.europa.eu/legal-content/EN/TXT/?uri=uriserv:OJ.L_.2019.336.01.0010.01.ENG&amp;toc=OJ:L:2019:336:TOC" TargetMode="External"/><Relationship Id="rId12" Type="http://schemas.openxmlformats.org/officeDocument/2006/relationships/hyperlink" Target="http://data.europa.eu/eli/dir/2006/112/oj" TargetMode="External"/><Relationship Id="rId2" Type="http://schemas.openxmlformats.org/officeDocument/2006/relationships/hyperlink" Target="https://eur-lex.europa.eu/legal-content/EN/TXT/?uri=OJ%3AJOL_2015_235_R_0006" TargetMode="External"/><Relationship Id="rId1" Type="http://schemas.openxmlformats.org/officeDocument/2006/relationships/hyperlink" Target="https://eur-lex.europa.eu/legal-content/EN/TXT/?uri=CELEX%3A32006L0112&amp;qid=1717738711163" TargetMode="External"/><Relationship Id="rId6" Type="http://schemas.openxmlformats.org/officeDocument/2006/relationships/hyperlink" Target="https://eur-lex.europa.eu/legal-content/EN/TXT/?uri=CELEX%3A32022R0432&amp;qid=1705923422795" TargetMode="External"/><Relationship Id="rId11" Type="http://schemas.openxmlformats.org/officeDocument/2006/relationships/hyperlink" Target="http://data.europa.eu/eli/reg_impl/2011/282/oj" TargetMode="External"/><Relationship Id="rId5" Type="http://schemas.openxmlformats.org/officeDocument/2006/relationships/hyperlink" Target="https://eur-lex.europa.eu/legal-content/EN/TXT/?uri=OJ:L:2021:250:TOC" TargetMode="External"/><Relationship Id="rId10" Type="http://schemas.openxmlformats.org/officeDocument/2006/relationships/hyperlink" Target="https://eur-lex.europa.eu/legal-content/EN/TXT/?uri=OJ%3AJOL_2015_235_R_0006" TargetMode="External"/><Relationship Id="rId4" Type="http://schemas.openxmlformats.org/officeDocument/2006/relationships/hyperlink" Target="https://eur-lex.europa.eu/legal-content/EN/TXT/?uri=CELEX%3A32011R0182&amp;qid=1718959803296" TargetMode="External"/><Relationship Id="rId9" Type="http://schemas.openxmlformats.org/officeDocument/2006/relationships/hyperlink" Target="https://digital-strategy.ec.europa.eu/da/news/berlin-declaration-digital-society-and-value-based-digital-govern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F432B-360A-4593-B8C1-038FFFBBF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9</Pages>
  <Words>2906</Words>
  <Characters>16568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2024-06-21T09:53:00Z</dcterms:created>
  <dcterms:modified xsi:type="dcterms:W3CDTF">2024-07-01T06:33:00Z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9.0, Build 20230317</vt:lpwstr>
  </property>
  <property fmtid="{D5CDD505-2E9C-101B-9397-08002B2CF9AE}" pid="3" name="MSIP_Label_6bd9ddd1-4d20-43f6-abfa-fc3c07406f94_Enabled">
    <vt:lpwstr>true</vt:lpwstr>
  </property>
  <property fmtid="{D5CDD505-2E9C-101B-9397-08002B2CF9AE}" pid="4" name="MSIP_Label_6bd9ddd1-4d20-43f6-abfa-fc3c07406f94_SetDate">
    <vt:lpwstr>2024-06-07T08:28:16Z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a3fdd5f3-e60b-4fb3-992b-7f3b41fea35a</vt:lpwstr>
  </property>
  <property fmtid="{D5CDD505-2E9C-101B-9397-08002B2CF9AE}" pid="9" name="MSIP_Label_6bd9ddd1-4d20-43f6-abfa-fc3c07406f94_ContentBits">
    <vt:lpwstr>0</vt:lpwstr>
  </property>
  <property fmtid="{D5CDD505-2E9C-101B-9397-08002B2CF9AE}" pid="10" name="Category">
    <vt:lpwstr>COM/PL/ORG</vt:lpwstr>
  </property>
  <property fmtid="{D5CDD505-2E9C-101B-9397-08002B2CF9AE}" pid="11" name="Level of sensitivity">
    <vt:lpwstr>Standard treatment</vt:lpwstr>
  </property>
  <property fmtid="{D5CDD505-2E9C-101B-9397-08002B2CF9AE}" pid="12" name="Part">
    <vt:lpwstr>1</vt:lpwstr>
  </property>
  <property fmtid="{D5CDD505-2E9C-101B-9397-08002B2CF9AE}" pid="13" name="Total parts">
    <vt:lpwstr>1</vt:lpwstr>
  </property>
  <property fmtid="{D5CDD505-2E9C-101B-9397-08002B2CF9AE}" pid="14" name="LWTemplateID">
    <vt:lpwstr>SJ-017</vt:lpwstr>
  </property>
  <property fmtid="{D5CDD505-2E9C-101B-9397-08002B2CF9AE}" pid="15" name="DQCStatus">
    <vt:lpwstr>Green (DQC version 03)</vt:lpwstr>
  </property>
</Properties>
</file>