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A9799" w14:textId="7662C674" w:rsidR="008D7A36" w:rsidRPr="00A858C4" w:rsidRDefault="007A795C" w:rsidP="007A795C">
      <w:pPr>
        <w:pStyle w:val="Pagedecouverture"/>
        <w:rPr>
          <w:noProof/>
        </w:rPr>
      </w:pPr>
      <w:r>
        <w:rPr>
          <w:noProof/>
        </w:rPr>
        <w:pict w14:anchorId="2B05E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5A5647E1-B972-42FF-8ACD-94FD88429519" style="width:455.25pt;height:355.5pt">
            <v:imagedata r:id="rId11" o:title=""/>
          </v:shape>
        </w:pict>
      </w:r>
    </w:p>
    <w:p w14:paraId="27B6A81E" w14:textId="77777777" w:rsidR="006C6F6D" w:rsidRPr="00A858C4" w:rsidRDefault="006C6F6D" w:rsidP="006C6F6D">
      <w:pPr>
        <w:rPr>
          <w:noProof/>
        </w:rPr>
        <w:sectPr w:rsidR="006C6F6D" w:rsidRPr="00A858C4" w:rsidSect="007A795C">
          <w:footerReference w:type="default" r:id="rId12"/>
          <w:pgSz w:w="11907" w:h="16839"/>
          <w:pgMar w:top="1134" w:right="1417" w:bottom="1134" w:left="1417" w:header="709" w:footer="709" w:gutter="0"/>
          <w:pgNumType w:start="0"/>
          <w:cols w:space="720"/>
          <w:docGrid w:linePitch="360"/>
        </w:sectPr>
      </w:pPr>
    </w:p>
    <w:p w14:paraId="255C5114" w14:textId="77777777" w:rsidR="008D7A36" w:rsidRPr="00A858C4" w:rsidRDefault="008D7A36" w:rsidP="00A42069">
      <w:pPr>
        <w:pStyle w:val="Exposdesmotifstitre"/>
        <w:rPr>
          <w:noProof/>
        </w:rPr>
      </w:pPr>
      <w:bookmarkStart w:id="0" w:name="_GoBack"/>
      <w:bookmarkEnd w:id="0"/>
      <w:r w:rsidRPr="00A858C4">
        <w:rPr>
          <w:noProof/>
        </w:rPr>
        <w:lastRenderedPageBreak/>
        <w:t>BEGRUNDELSE</w:t>
      </w:r>
    </w:p>
    <w:p w14:paraId="619F3F5C" w14:textId="77777777" w:rsidR="008D7A36" w:rsidRPr="00A858C4" w:rsidRDefault="008D7A36" w:rsidP="00A42069">
      <w:pPr>
        <w:widowControl w:val="0"/>
        <w:shd w:val="clear" w:color="auto" w:fill="FFFFFF"/>
        <w:autoSpaceDE w:val="0"/>
        <w:autoSpaceDN w:val="0"/>
        <w:adjustRightInd w:val="0"/>
        <w:spacing w:before="230" w:after="0" w:line="269" w:lineRule="exact"/>
        <w:ind w:right="86"/>
        <w:rPr>
          <w:noProof/>
          <w:color w:val="008000"/>
        </w:rPr>
      </w:pPr>
    </w:p>
    <w:p w14:paraId="354E971F" w14:textId="77777777" w:rsidR="008D7A36" w:rsidRPr="00A858C4" w:rsidRDefault="008D7A36" w:rsidP="00A42069">
      <w:pPr>
        <w:pStyle w:val="ManualHeading1"/>
        <w:rPr>
          <w:noProof/>
        </w:rPr>
      </w:pPr>
      <w:bookmarkStart w:id="1" w:name="_Toc151112530"/>
      <w:bookmarkStart w:id="2" w:name="_Toc151133546"/>
      <w:r w:rsidRPr="00A858C4">
        <w:rPr>
          <w:noProof/>
        </w:rPr>
        <w:t>1.</w:t>
      </w:r>
      <w:r w:rsidRPr="00A858C4">
        <w:rPr>
          <w:noProof/>
        </w:rPr>
        <w:tab/>
        <w:t>BAGGRUND FOR FORSLAGET</w:t>
      </w:r>
      <w:bookmarkEnd w:id="1"/>
      <w:bookmarkEnd w:id="2"/>
    </w:p>
    <w:p w14:paraId="23084CEA" w14:textId="77777777" w:rsidR="008D7A36" w:rsidRPr="00A858C4" w:rsidRDefault="008D7A36" w:rsidP="00A42069">
      <w:pPr>
        <w:pStyle w:val="ManualHeading2"/>
        <w:rPr>
          <w:rFonts w:eastAsia="Arial Unicode MS"/>
          <w:noProof/>
        </w:rPr>
      </w:pPr>
      <w:bookmarkStart w:id="3" w:name="_Toc151112531"/>
      <w:bookmarkStart w:id="4" w:name="_Toc151133547"/>
      <w:r w:rsidRPr="00A858C4">
        <w:rPr>
          <w:noProof/>
          <w:color w:val="000000"/>
          <w:u w:color="000000"/>
          <w:bdr w:val="nil"/>
        </w:rPr>
        <w:t>•</w:t>
      </w:r>
      <w:r w:rsidRPr="00A858C4">
        <w:rPr>
          <w:noProof/>
          <w:color w:val="000000"/>
          <w:u w:color="000000"/>
          <w:bdr w:val="nil"/>
        </w:rPr>
        <w:tab/>
      </w:r>
      <w:r w:rsidRPr="00A858C4">
        <w:rPr>
          <w:noProof/>
        </w:rPr>
        <w:t>Forslagets begrundelse og formål</w:t>
      </w:r>
      <w:bookmarkEnd w:id="3"/>
      <w:bookmarkEnd w:id="4"/>
    </w:p>
    <w:p w14:paraId="107B7FE2" w14:textId="77777777" w:rsidR="00562E88" w:rsidRPr="00A858C4" w:rsidRDefault="00562E88">
      <w:pPr>
        <w:pBdr>
          <w:top w:val="nil"/>
          <w:left w:val="nil"/>
          <w:bottom w:val="nil"/>
          <w:right w:val="nil"/>
          <w:between w:val="nil"/>
          <w:bar w:val="nil"/>
        </w:pBdr>
        <w:spacing w:before="0" w:after="240"/>
        <w:rPr>
          <w:rFonts w:eastAsia="Arial Unicode MS"/>
          <w:bCs/>
          <w:noProof/>
          <w:color w:val="000000" w:themeColor="text1"/>
          <w:szCs w:val="24"/>
        </w:rPr>
      </w:pPr>
      <w:r w:rsidRPr="00A858C4">
        <w:rPr>
          <w:noProof/>
          <w:color w:val="000000" w:themeColor="text1"/>
        </w:rPr>
        <w:t>Den 29. maj 1989 vedtog Rådet Rådets beslutning</w:t>
      </w:r>
      <w:r w:rsidRPr="00A858C4">
        <w:rPr>
          <w:b/>
          <w:noProof/>
          <w:color w:val="000000" w:themeColor="text1"/>
        </w:rPr>
        <w:t xml:space="preserve"> </w:t>
      </w:r>
      <w:r w:rsidRPr="00A858C4">
        <w:rPr>
          <w:noProof/>
          <w:color w:val="000000" w:themeColor="text1"/>
        </w:rPr>
        <w:t>89/367/EØF</w:t>
      </w:r>
      <w:bookmarkStart w:id="5" w:name="_Hlk129249091"/>
      <w:r w:rsidRPr="00A858C4">
        <w:rPr>
          <w:noProof/>
          <w:color w:val="000000" w:themeColor="text1"/>
        </w:rPr>
        <w:t xml:space="preserve"> </w:t>
      </w:r>
      <w:bookmarkEnd w:id="5"/>
      <w:r w:rsidRPr="00A858C4">
        <w:rPr>
          <w:noProof/>
          <w:color w:val="000000" w:themeColor="text1"/>
        </w:rPr>
        <w:t>om nedsættelse af en stående skovbrugskomité</w:t>
      </w:r>
      <w:r w:rsidR="00C46656" w:rsidRPr="00A858C4">
        <w:rPr>
          <w:rStyle w:val="FootnoteReference"/>
          <w:rFonts w:eastAsia="Arial Unicode MS"/>
          <w:bCs/>
          <w:noProof/>
          <w:color w:val="000000" w:themeColor="text1"/>
        </w:rPr>
        <w:footnoteReference w:id="1"/>
      </w:r>
      <w:r w:rsidRPr="00A858C4">
        <w:rPr>
          <w:noProof/>
          <w:color w:val="000000" w:themeColor="text1"/>
        </w:rPr>
        <w:t xml:space="preserve"> for at skabe et mere snævert og vedvarende samarbejde mellem medlemsstaterne og Kommissionen på skovbrugsområdet og således støtte de skovbrugsaktioner, der er indledt ved Det Europæiske Økonomiske Fællesskabs politik vedrørende landbrugsstrukturerne og udviklingen i landdistrikterne (artikel 1). </w:t>
      </w:r>
    </w:p>
    <w:p w14:paraId="6CE5B087" w14:textId="77777777" w:rsidR="00562E88" w:rsidRPr="00A858C4" w:rsidRDefault="00562E88">
      <w:pPr>
        <w:pBdr>
          <w:top w:val="nil"/>
          <w:left w:val="nil"/>
          <w:bottom w:val="nil"/>
          <w:right w:val="nil"/>
          <w:between w:val="nil"/>
          <w:bar w:val="nil"/>
        </w:pBdr>
        <w:spacing w:before="0" w:after="240"/>
        <w:rPr>
          <w:rFonts w:eastAsia="Arial Unicode MS"/>
          <w:bCs/>
          <w:noProof/>
          <w:color w:val="000000" w:themeColor="text1"/>
          <w:szCs w:val="24"/>
        </w:rPr>
      </w:pPr>
      <w:r w:rsidRPr="00A858C4">
        <w:rPr>
          <w:noProof/>
          <w:color w:val="000000" w:themeColor="text1"/>
        </w:rPr>
        <w:t>Den stående skovbrugskomité består af repræsentanter for medlemsstaterne og ledes af en repræsentant for Kommissionen (artikel 3).</w:t>
      </w:r>
    </w:p>
    <w:p w14:paraId="42B22A6C" w14:textId="77777777" w:rsidR="00505ED2" w:rsidRPr="00A858C4" w:rsidRDefault="00A12CA2">
      <w:pPr>
        <w:pBdr>
          <w:top w:val="nil"/>
          <w:left w:val="nil"/>
          <w:bottom w:val="nil"/>
          <w:right w:val="nil"/>
          <w:between w:val="nil"/>
          <w:bar w:val="nil"/>
        </w:pBdr>
        <w:spacing w:before="0" w:after="240"/>
        <w:rPr>
          <w:rFonts w:eastAsia="Arial Unicode MS"/>
          <w:bCs/>
          <w:iCs/>
          <w:noProof/>
          <w:color w:val="000000" w:themeColor="text1"/>
          <w:szCs w:val="24"/>
        </w:rPr>
      </w:pPr>
      <w:r w:rsidRPr="00A858C4">
        <w:rPr>
          <w:noProof/>
          <w:color w:val="000000" w:themeColor="text1"/>
        </w:rPr>
        <w:t>I 2019 etablerede Kommissionen Arbejdsgruppen for Skove og Natur, som er en undergruppe til Koordinationsgruppen Vedrørende Biodiversitet og Natur. Arbejdsgruppens primære formål er at yde rådgivning og ekspertise til Kommissionen i forbindelse med skovøkosystemer og forvaltningen heraf med henblik på at bidrage til gennemførelsen og evalueringen af den europæiske grønne pagt, EU's biodiversitetsstrategi for 2030 og relaterede tiltag samt FN's konvention om rammen for biologisk mangfoldighed efter 2020. I EU's nye skovstrategi for 2030</w:t>
      </w:r>
      <w:r w:rsidR="007425E8" w:rsidRPr="00A858C4">
        <w:rPr>
          <w:rStyle w:val="FootnoteReference"/>
          <w:noProof/>
        </w:rPr>
        <w:footnoteReference w:id="2"/>
      </w:r>
      <w:r w:rsidRPr="00A858C4">
        <w:rPr>
          <w:noProof/>
          <w:color w:val="000000" w:themeColor="text1"/>
        </w:rPr>
        <w:t xml:space="preserve"> fandt Kommissionen, "at skovenes bredere bidrag til målene i den europæiske grønne pagt, som præsenteres i strategien, herunder for klima, biodiversitet og bæredygtig bioøkonomi, kræver en mere inklusiv og bedre koordineret skovforvaltningsstruktur i EU, der afspejler alle målene i den nye EU-skovstrategi og deres indbyrdes forbindelser. Koordineringen af forskellige politikker bør styrkes, og der bør ske tværfaglig udveksling med inddragelse af en bred vifte af eksperter og interessenter. I betragtning af den europæiske befolknings stigende interesse for fremtiden for EU's skove bør der også sikres gennemsigtighed i forvaltningen, så alle kan følge med i, hvordan Kommissionen og medlemsstaterne får hjælp til at opfylde målene i den nye EU-skovstrategi."</w:t>
      </w:r>
    </w:p>
    <w:p w14:paraId="481242FB" w14:textId="77777777" w:rsidR="008F47B1" w:rsidRPr="00A858C4" w:rsidRDefault="001E219A">
      <w:pPr>
        <w:pBdr>
          <w:top w:val="nil"/>
          <w:left w:val="nil"/>
          <w:bottom w:val="nil"/>
          <w:right w:val="nil"/>
          <w:between w:val="nil"/>
          <w:bar w:val="nil"/>
        </w:pBdr>
        <w:spacing w:before="0" w:after="240"/>
        <w:rPr>
          <w:rFonts w:eastAsia="Arial Unicode MS"/>
          <w:bCs/>
          <w:noProof/>
          <w:color w:val="000000" w:themeColor="text1"/>
          <w:szCs w:val="24"/>
        </w:rPr>
      </w:pPr>
      <w:r w:rsidRPr="00A858C4">
        <w:rPr>
          <w:noProof/>
          <w:color w:val="000000" w:themeColor="text1"/>
        </w:rPr>
        <w:t xml:space="preserve">Som led i denne nye forvaltningsstruktur foreslår Kommissionen at ændre Rådets beslutning 89/367/EØF ved en afgørelse truffet af Europa-Parlamentet og Rådet. Kommissionen foreslår at ændre Rådets beslutning 89/367/EØF for at ajourføre retsgrundlaget og de politiske henvisninger, omdøbe Den Stående Skovbrugskomité og udvide dens opgaver. I den foreslåede afgørelse redegøres der endvidere nærmere for medlemskabet for at sikre, at de af medlemsstaternes myndigheder, der er kompetente, når det drejer sig om at nå de forskellige politiske mål i den nye EU-skovstrategi for 2030 og efterfølgende EU-skovstrategier, herunder vedrørende klima, skovenes sundhedstilstand, miljø, skovbrug, udvikling af landdistrikterne samt bioøkonomi, er med i denne gruppe. </w:t>
      </w:r>
    </w:p>
    <w:p w14:paraId="7FA0778A" w14:textId="77777777" w:rsidR="008D7A36" w:rsidRPr="00A858C4" w:rsidRDefault="008D7A36" w:rsidP="00A42069">
      <w:pPr>
        <w:pStyle w:val="ManualHeading2"/>
        <w:rPr>
          <w:rFonts w:eastAsia="Arial Unicode MS"/>
          <w:noProof/>
          <w:color w:val="000000" w:themeColor="text1"/>
          <w:u w:color="000000"/>
          <w:bdr w:val="nil"/>
        </w:rPr>
      </w:pPr>
      <w:bookmarkStart w:id="6" w:name="_Toc151112532"/>
      <w:bookmarkStart w:id="7" w:name="_Toc151133548"/>
      <w:r w:rsidRPr="00A858C4">
        <w:rPr>
          <w:noProof/>
          <w:color w:val="000000"/>
          <w:u w:color="000000"/>
          <w:bdr w:val="nil"/>
        </w:rPr>
        <w:t>•</w:t>
      </w:r>
      <w:r w:rsidRPr="00A858C4">
        <w:rPr>
          <w:noProof/>
          <w:color w:val="000000" w:themeColor="text1"/>
          <w:u w:color="000000"/>
          <w:bdr w:val="nil"/>
        </w:rPr>
        <w:tab/>
      </w:r>
      <w:r w:rsidRPr="00A858C4">
        <w:rPr>
          <w:noProof/>
          <w:color w:val="000000" w:themeColor="text1"/>
        </w:rPr>
        <w:t>Sammenhæng med de gældende regler på samme område</w:t>
      </w:r>
      <w:bookmarkEnd w:id="6"/>
      <w:bookmarkEnd w:id="7"/>
    </w:p>
    <w:p w14:paraId="4A16D99A" w14:textId="77777777" w:rsidR="00AB5681" w:rsidRPr="00A858C4" w:rsidRDefault="00AB5681" w:rsidP="00A42069">
      <w:pPr>
        <w:pBdr>
          <w:top w:val="nil"/>
          <w:left w:val="nil"/>
          <w:bottom w:val="nil"/>
          <w:right w:val="nil"/>
          <w:between w:val="nil"/>
          <w:bar w:val="nil"/>
        </w:pBdr>
        <w:spacing w:before="0" w:after="240"/>
        <w:rPr>
          <w:rFonts w:eastAsia="Arial Unicode MS"/>
          <w:noProof/>
          <w:color w:val="000000" w:themeColor="text1"/>
        </w:rPr>
      </w:pPr>
      <w:r w:rsidRPr="00A858C4">
        <w:rPr>
          <w:noProof/>
          <w:color w:val="000000" w:themeColor="text1"/>
        </w:rPr>
        <w:t>De foreslåede ændringer er i fuld overensstemmelse med den nye EU-skovstrategi, særlig når det drejer sig om en ny forvaltning, som afspejler alle målene i den nye EU-skovstrategi og deres indbyrdes forbindelser, i overensstemmelse med de øgede ambitioner på klima- og biodiversitetsområdet, som er fastsat i den europæiske grønne pagt.</w:t>
      </w:r>
    </w:p>
    <w:p w14:paraId="69A6B525" w14:textId="77777777" w:rsidR="008D7A36" w:rsidRPr="00A858C4" w:rsidRDefault="008D7A36" w:rsidP="00A42069">
      <w:pPr>
        <w:pStyle w:val="ManualHeading2"/>
        <w:rPr>
          <w:rFonts w:eastAsia="Arial Unicode MS"/>
          <w:noProof/>
        </w:rPr>
      </w:pPr>
      <w:bookmarkStart w:id="8" w:name="_Toc151112533"/>
      <w:bookmarkStart w:id="9" w:name="_Toc151133549"/>
      <w:r w:rsidRPr="00A858C4">
        <w:rPr>
          <w:noProof/>
          <w:color w:val="000000"/>
          <w:u w:color="000000"/>
          <w:bdr w:val="nil"/>
        </w:rPr>
        <w:t>•</w:t>
      </w:r>
      <w:r w:rsidRPr="00A858C4">
        <w:rPr>
          <w:noProof/>
          <w:color w:val="000000"/>
          <w:u w:color="000000"/>
          <w:bdr w:val="nil"/>
        </w:rPr>
        <w:tab/>
      </w:r>
      <w:r w:rsidRPr="00A858C4">
        <w:rPr>
          <w:noProof/>
        </w:rPr>
        <w:t>Sammenhæng med Unionens politik på andre områder</w:t>
      </w:r>
      <w:bookmarkEnd w:id="8"/>
      <w:bookmarkEnd w:id="9"/>
    </w:p>
    <w:p w14:paraId="3B80423B" w14:textId="77777777" w:rsidR="008D7A36" w:rsidRPr="00A858C4" w:rsidRDefault="00B50D36" w:rsidP="00B50D36">
      <w:pPr>
        <w:pBdr>
          <w:top w:val="nil"/>
          <w:left w:val="nil"/>
          <w:bottom w:val="nil"/>
          <w:right w:val="nil"/>
          <w:between w:val="nil"/>
          <w:bar w:val="nil"/>
        </w:pBdr>
        <w:spacing w:before="0" w:after="240"/>
        <w:rPr>
          <w:rFonts w:eastAsia="Arial Unicode MS"/>
          <w:noProof/>
        </w:rPr>
      </w:pPr>
      <w:r w:rsidRPr="00A858C4">
        <w:rPr>
          <w:noProof/>
          <w:color w:val="000000" w:themeColor="text1"/>
        </w:rPr>
        <w:t>Dette forslag er i overensstemmelse med og bidrager til gennemførelsen af målene i den europæiske grønne pagt, EU's biodiversitetsstrategi for 2030, den nye EU-skovstrategi for 2030, den fælles landbrugspolitik og Fit for 55-pakken.</w:t>
      </w:r>
    </w:p>
    <w:p w14:paraId="42799997" w14:textId="77777777" w:rsidR="008D7A36" w:rsidRPr="00A858C4" w:rsidRDefault="008D7A36" w:rsidP="00A42069">
      <w:pPr>
        <w:pStyle w:val="ManualHeading1"/>
        <w:rPr>
          <w:noProof/>
        </w:rPr>
      </w:pPr>
      <w:bookmarkStart w:id="10" w:name="_Toc151112534"/>
      <w:bookmarkStart w:id="11" w:name="_Toc151133550"/>
      <w:r w:rsidRPr="00A858C4">
        <w:rPr>
          <w:noProof/>
        </w:rPr>
        <w:t>2.</w:t>
      </w:r>
      <w:r w:rsidRPr="00A858C4">
        <w:rPr>
          <w:noProof/>
        </w:rPr>
        <w:tab/>
        <w:t>RETSGRUNDLAG, NÆRHEDSPRINCIPPET OG PROPORTIONALITETSPRINCIPPET</w:t>
      </w:r>
      <w:bookmarkEnd w:id="10"/>
      <w:bookmarkEnd w:id="11"/>
    </w:p>
    <w:p w14:paraId="4E060C9F" w14:textId="77777777" w:rsidR="008D7A36" w:rsidRPr="00A858C4" w:rsidRDefault="008D7A36" w:rsidP="00A42069">
      <w:pPr>
        <w:pStyle w:val="ManualHeading2"/>
        <w:rPr>
          <w:rFonts w:eastAsia="Arial Unicode MS"/>
          <w:noProof/>
          <w:u w:color="000000"/>
          <w:bdr w:val="nil"/>
        </w:rPr>
      </w:pPr>
      <w:bookmarkStart w:id="12" w:name="_Toc151112535"/>
      <w:bookmarkStart w:id="13" w:name="_Toc151133551"/>
      <w:r w:rsidRPr="00A858C4">
        <w:rPr>
          <w:noProof/>
          <w:u w:color="000000"/>
          <w:bdr w:val="nil"/>
        </w:rPr>
        <w:t>•</w:t>
      </w:r>
      <w:r w:rsidRPr="00A858C4">
        <w:rPr>
          <w:noProof/>
          <w:u w:color="000000"/>
          <w:bdr w:val="nil"/>
        </w:rPr>
        <w:tab/>
        <w:t>Retsgrundlag</w:t>
      </w:r>
      <w:bookmarkEnd w:id="12"/>
      <w:bookmarkEnd w:id="13"/>
    </w:p>
    <w:p w14:paraId="591F16A3" w14:textId="77777777" w:rsidR="008D7A36" w:rsidRPr="00A858C4" w:rsidRDefault="008D7A36" w:rsidP="008D7A36">
      <w:pPr>
        <w:pBdr>
          <w:top w:val="nil"/>
          <w:left w:val="nil"/>
          <w:bottom w:val="nil"/>
          <w:right w:val="nil"/>
          <w:between w:val="nil"/>
          <w:bar w:val="nil"/>
        </w:pBdr>
        <w:spacing w:before="0" w:after="240"/>
        <w:rPr>
          <w:rFonts w:eastAsia="Arial Unicode MS"/>
          <w:noProof/>
        </w:rPr>
      </w:pPr>
      <w:r w:rsidRPr="00A858C4">
        <w:rPr>
          <w:noProof/>
          <w:color w:val="000000" w:themeColor="text1"/>
        </w:rPr>
        <w:t xml:space="preserve">Forslaget er baseret på artikel 43 og artikel 192, stk. 1, i traktaten om Den Europæiske Unions funktionsmåde. I henhold til begge artikler er det den almindelige lovgivningsprocedure, der finder anvendelse. </w:t>
      </w:r>
    </w:p>
    <w:p w14:paraId="18B4541E" w14:textId="77777777" w:rsidR="00327767" w:rsidRPr="00A858C4" w:rsidRDefault="008D7A36" w:rsidP="001B050B">
      <w:pPr>
        <w:pBdr>
          <w:top w:val="nil"/>
          <w:left w:val="nil"/>
          <w:bottom w:val="nil"/>
          <w:right w:val="nil"/>
          <w:between w:val="nil"/>
          <w:bar w:val="nil"/>
        </w:pBdr>
        <w:spacing w:before="0" w:after="240"/>
        <w:rPr>
          <w:rFonts w:eastAsia="Arial Unicode MS"/>
          <w:b/>
          <w:noProof/>
          <w:u w:color="000000"/>
          <w:bdr w:val="nil"/>
        </w:rPr>
      </w:pPr>
      <w:r w:rsidRPr="00A858C4">
        <w:rPr>
          <w:noProof/>
          <w:u w:color="000000"/>
          <w:bdr w:val="nil"/>
        </w:rPr>
        <w:t>•</w:t>
      </w:r>
      <w:r w:rsidRPr="00A858C4">
        <w:rPr>
          <w:noProof/>
          <w:u w:color="000000"/>
          <w:bdr w:val="nil"/>
        </w:rPr>
        <w:tab/>
      </w:r>
      <w:r w:rsidRPr="00A858C4">
        <w:rPr>
          <w:b/>
          <w:noProof/>
          <w:u w:color="000000"/>
          <w:bdr w:val="nil"/>
        </w:rPr>
        <w:t>Nærhedsprincippet (for områder, der ikke er omfattet af enekompetence)</w:t>
      </w:r>
    </w:p>
    <w:p w14:paraId="590BC1C3" w14:textId="77777777" w:rsidR="001B050B" w:rsidRPr="00A858C4" w:rsidRDefault="001B050B" w:rsidP="001B050B">
      <w:pPr>
        <w:pBdr>
          <w:top w:val="nil"/>
          <w:left w:val="nil"/>
          <w:bottom w:val="nil"/>
          <w:right w:val="nil"/>
          <w:between w:val="nil"/>
          <w:bar w:val="nil"/>
        </w:pBdr>
        <w:spacing w:before="0" w:after="240"/>
        <w:rPr>
          <w:noProof/>
        </w:rPr>
      </w:pPr>
      <w:r w:rsidRPr="00A858C4">
        <w:rPr>
          <w:noProof/>
        </w:rPr>
        <w:t xml:space="preserve">Den nye forvaltning har til formål at fremme en effektiv koordinering mellem Kommissionen og medlemsstaterne i fuld overensstemmelse med deres respektive kompetencer på skov- og skovbrugsområdet og med nærhedsprincippet. </w:t>
      </w:r>
    </w:p>
    <w:p w14:paraId="33153EE4" w14:textId="77777777" w:rsidR="00327767" w:rsidRPr="00A858C4" w:rsidRDefault="001310BD" w:rsidP="00327767">
      <w:pPr>
        <w:rPr>
          <w:noProof/>
          <w:sz w:val="20"/>
        </w:rPr>
      </w:pPr>
      <w:r w:rsidRPr="00A858C4">
        <w:rPr>
          <w:noProof/>
        </w:rPr>
        <w:t>Traktaten nævner ikke udtrykkeligt "skovpolitik", men EU har kompetencer på en række områder, der kan vedrøre skove, såsom klima, miljø, udvikling af landdistrikterne og katastrofeforebyggelse. EU har allerede udøvet disse kompetencer, og skove er omfattet af en række retsakter. Inden for disse områder med delt EU-kompetence henhører skove og skovbrug ikke under medlemsstaternes enekompetence.</w:t>
      </w:r>
    </w:p>
    <w:p w14:paraId="511A7DA1" w14:textId="77777777" w:rsidR="007B5FA9" w:rsidRPr="00A858C4" w:rsidRDefault="00F51D65" w:rsidP="007B5FA9">
      <w:pPr>
        <w:pBdr>
          <w:top w:val="nil"/>
          <w:left w:val="nil"/>
          <w:bottom w:val="nil"/>
          <w:right w:val="nil"/>
          <w:between w:val="nil"/>
          <w:bar w:val="nil"/>
        </w:pBdr>
        <w:spacing w:before="0" w:after="240"/>
        <w:rPr>
          <w:noProof/>
        </w:rPr>
      </w:pPr>
      <w:r w:rsidRPr="00A858C4">
        <w:rPr>
          <w:noProof/>
        </w:rPr>
        <w:t>Den nye EU-skovstrategi for 2030 har til formål at overvinde de udfordringer, der påvirker skove og skovbrug (f.eks. klimaændringer, tab af biodiversitet osv.), og frigøre skovenes potentiale for vores fremtid under fuld overholdelse af nærhedsprincippet. Kommissionen arbejder tæt sammen med medlemsstaterne om at gennemføre strategien.</w:t>
      </w:r>
    </w:p>
    <w:p w14:paraId="00526A4D" w14:textId="77777777" w:rsidR="008D7A36" w:rsidRPr="00A858C4" w:rsidRDefault="008D7A36" w:rsidP="00A42069">
      <w:pPr>
        <w:pStyle w:val="ManualHeading2"/>
        <w:rPr>
          <w:rFonts w:eastAsia="Arial Unicode MS"/>
          <w:noProof/>
          <w:u w:color="000000"/>
          <w:bdr w:val="nil"/>
        </w:rPr>
      </w:pPr>
      <w:bookmarkStart w:id="14" w:name="_Toc151112536"/>
      <w:bookmarkStart w:id="15" w:name="_Toc151133552"/>
      <w:r w:rsidRPr="00A858C4">
        <w:rPr>
          <w:noProof/>
          <w:u w:color="000000"/>
          <w:bdr w:val="nil"/>
        </w:rPr>
        <w:t>•</w:t>
      </w:r>
      <w:r w:rsidRPr="00A858C4">
        <w:rPr>
          <w:noProof/>
          <w:u w:color="000000"/>
          <w:bdr w:val="nil"/>
        </w:rPr>
        <w:tab/>
        <w:t>Proportionalitetsprincippet</w:t>
      </w:r>
      <w:bookmarkEnd w:id="14"/>
      <w:bookmarkEnd w:id="15"/>
    </w:p>
    <w:p w14:paraId="74C4B328" w14:textId="77777777" w:rsidR="00B2185D" w:rsidRPr="00A858C4" w:rsidRDefault="00B2185D" w:rsidP="00A42069">
      <w:pPr>
        <w:pBdr>
          <w:top w:val="nil"/>
          <w:left w:val="nil"/>
          <w:bottom w:val="nil"/>
          <w:right w:val="nil"/>
          <w:between w:val="nil"/>
          <w:bar w:val="nil"/>
        </w:pBdr>
        <w:spacing w:before="0" w:after="240"/>
        <w:rPr>
          <w:rFonts w:eastAsia="Arial Unicode MS"/>
          <w:noProof/>
          <w:color w:val="000000" w:themeColor="text1"/>
        </w:rPr>
      </w:pPr>
      <w:r w:rsidRPr="00A858C4">
        <w:rPr>
          <w:noProof/>
          <w:color w:val="000000" w:themeColor="text1"/>
        </w:rPr>
        <w:t>Forslaget går ikke ud over, hvad der er nødvendigt for at nå målene</w:t>
      </w:r>
      <w:r w:rsidRPr="00A858C4">
        <w:rPr>
          <w:noProof/>
        </w:rPr>
        <w:t xml:space="preserve"> om</w:t>
      </w:r>
      <w:r w:rsidRPr="00A858C4">
        <w:rPr>
          <w:noProof/>
          <w:color w:val="000000" w:themeColor="text1"/>
        </w:rPr>
        <w:t xml:space="preserve"> at sikre en styrkelse af Kommissionens og medlemsstaternes samarbejde og tværfaglige udveksling af synspunkter om skove og skovbrugsområdet. Den mest effektive måde at opnå en mere inklusiv og bedre koordineret skovforvaltningsstruktur i EU på er at ændre Rådets beslutning 89/367/EØF med henblik på at udvide Den Stående Skovbrugskomités anvendelsesområde, præcisere dens opgaver og opbygning samt at omdøbe den for at afspejle disse ændringer.</w:t>
      </w:r>
    </w:p>
    <w:p w14:paraId="391A05A9" w14:textId="77777777" w:rsidR="00B2185D" w:rsidRPr="00A858C4" w:rsidRDefault="00B2185D" w:rsidP="00A42069">
      <w:pPr>
        <w:pBdr>
          <w:top w:val="nil"/>
          <w:left w:val="nil"/>
          <w:bottom w:val="nil"/>
          <w:right w:val="nil"/>
          <w:between w:val="nil"/>
          <w:bar w:val="nil"/>
        </w:pBdr>
        <w:spacing w:before="0" w:after="240"/>
        <w:rPr>
          <w:rFonts w:eastAsia="Arial Unicode MS"/>
          <w:noProof/>
          <w:color w:val="0000FF"/>
        </w:rPr>
      </w:pPr>
      <w:r w:rsidRPr="00A858C4">
        <w:rPr>
          <w:noProof/>
          <w:color w:val="000000" w:themeColor="text1"/>
        </w:rPr>
        <w:t>EU's og medlemsstaternes administrative byrde er begrænset, da medlemsstaterne allerede er medlemmer af Den Stående Skovbrugskomité og udpeger deres repræsentanter, og byrden går ikke ud over, hvad der er nødvendigt for at nå målene med forslaget, da medlemsstaterne sikrer, at de myndigheder, der er kompetente, når det drejer sig om at nå de forskellige politiske mål i den nye EU-skovstrategi for 2030, deltager.</w:t>
      </w:r>
    </w:p>
    <w:p w14:paraId="3657FD7C" w14:textId="77777777" w:rsidR="008D7A36" w:rsidRPr="00A858C4" w:rsidRDefault="008D7A36" w:rsidP="00A42069">
      <w:pPr>
        <w:pStyle w:val="ManualHeading2"/>
        <w:rPr>
          <w:rFonts w:eastAsia="Arial Unicode MS"/>
          <w:noProof/>
          <w:u w:color="000000"/>
          <w:bdr w:val="nil"/>
        </w:rPr>
      </w:pPr>
      <w:bookmarkStart w:id="16" w:name="_Toc151112537"/>
      <w:bookmarkStart w:id="17" w:name="_Toc151133553"/>
      <w:r w:rsidRPr="00A858C4">
        <w:rPr>
          <w:noProof/>
          <w:u w:color="000000"/>
          <w:bdr w:val="nil"/>
        </w:rPr>
        <w:t>•</w:t>
      </w:r>
      <w:r w:rsidRPr="00A858C4">
        <w:rPr>
          <w:noProof/>
          <w:u w:color="000000"/>
          <w:bdr w:val="nil"/>
        </w:rPr>
        <w:tab/>
        <w:t>Valg af retsakt</w:t>
      </w:r>
      <w:bookmarkEnd w:id="16"/>
      <w:bookmarkEnd w:id="17"/>
    </w:p>
    <w:p w14:paraId="68A456C3" w14:textId="77777777" w:rsidR="008D7A36" w:rsidRPr="00A858C4" w:rsidRDefault="00A6519B" w:rsidP="00B2185D">
      <w:pPr>
        <w:pBdr>
          <w:top w:val="nil"/>
          <w:left w:val="nil"/>
          <w:bottom w:val="nil"/>
          <w:right w:val="nil"/>
          <w:between w:val="nil"/>
          <w:bar w:val="nil"/>
        </w:pBdr>
        <w:spacing w:before="0" w:after="240"/>
        <w:rPr>
          <w:rFonts w:eastAsia="Arial Unicode MS"/>
          <w:noProof/>
          <w:color w:val="000000" w:themeColor="text1"/>
        </w:rPr>
      </w:pPr>
      <w:r w:rsidRPr="00A858C4">
        <w:rPr>
          <w:noProof/>
          <w:color w:val="000000" w:themeColor="text1"/>
        </w:rPr>
        <w:t>Den foreslåede retsakt er et forslag til Europa-Parlamentets og Rådets afgørelse om ændring af Rådets beslutning 89/367/EØF af 29. maj 1989 om nedsættelse af en stående skovbrugskomité.</w:t>
      </w:r>
    </w:p>
    <w:p w14:paraId="03A15315" w14:textId="77777777" w:rsidR="008D7A36" w:rsidRPr="00A858C4" w:rsidRDefault="0020567D" w:rsidP="00B2185D">
      <w:pPr>
        <w:pBdr>
          <w:top w:val="nil"/>
          <w:left w:val="nil"/>
          <w:bottom w:val="nil"/>
          <w:right w:val="nil"/>
          <w:between w:val="nil"/>
          <w:bar w:val="nil"/>
        </w:pBdr>
        <w:spacing w:before="0" w:after="240"/>
        <w:rPr>
          <w:rFonts w:eastAsia="Arial Unicode MS"/>
          <w:noProof/>
        </w:rPr>
      </w:pPr>
      <w:r w:rsidRPr="00A858C4">
        <w:rPr>
          <w:noProof/>
          <w:color w:val="000000" w:themeColor="text1"/>
        </w:rPr>
        <w:t xml:space="preserve">Forslaget afspejler et behov for at ændre Rådets beslutning 89/367/EØF af 29. maj 1989 og bringe den i fuld overensstemmelse med den nye EU-skovstrategi med henblik på en ny skovforvaltning. </w:t>
      </w:r>
    </w:p>
    <w:p w14:paraId="5EFCF0BE" w14:textId="77777777" w:rsidR="008D7A36" w:rsidRPr="00A858C4" w:rsidRDefault="008D7A36" w:rsidP="00A42069">
      <w:pPr>
        <w:pStyle w:val="ManualHeading1"/>
        <w:rPr>
          <w:noProof/>
        </w:rPr>
      </w:pPr>
      <w:bookmarkStart w:id="18" w:name="_Toc151112538"/>
      <w:bookmarkStart w:id="19" w:name="_Toc151133554"/>
      <w:r w:rsidRPr="00A858C4">
        <w:rPr>
          <w:noProof/>
        </w:rPr>
        <w:t>3.</w:t>
      </w:r>
      <w:r w:rsidRPr="00A858C4">
        <w:rPr>
          <w:noProof/>
        </w:rPr>
        <w:tab/>
        <w:t>RESULTATER AF EFTERFØLGENDE EVALUERINGER, HØRINGER AF INTERESSENTER OG KONSEKVENSANALYSER</w:t>
      </w:r>
      <w:bookmarkEnd w:id="18"/>
      <w:bookmarkEnd w:id="19"/>
    </w:p>
    <w:p w14:paraId="28AC97FE" w14:textId="77777777" w:rsidR="008D7A36" w:rsidRPr="00A858C4" w:rsidRDefault="008D7A36" w:rsidP="00173BEB">
      <w:pPr>
        <w:pStyle w:val="ManualHeading2"/>
        <w:rPr>
          <w:rFonts w:eastAsia="Arial Unicode MS"/>
          <w:noProof/>
        </w:rPr>
      </w:pPr>
      <w:r w:rsidRPr="00A858C4">
        <w:rPr>
          <w:noProof/>
          <w:u w:color="000000"/>
          <w:bdr w:val="nil"/>
        </w:rPr>
        <w:tab/>
      </w:r>
    </w:p>
    <w:p w14:paraId="004FC57E" w14:textId="77777777" w:rsidR="008D7A36" w:rsidRPr="00A858C4" w:rsidRDefault="008D7A36" w:rsidP="00A42069">
      <w:pPr>
        <w:pStyle w:val="ManualHeading2"/>
        <w:rPr>
          <w:rFonts w:eastAsia="Arial Unicode MS"/>
          <w:noProof/>
          <w:u w:color="000000"/>
          <w:bdr w:val="nil"/>
        </w:rPr>
      </w:pPr>
      <w:bookmarkStart w:id="20" w:name="_Toc151112539"/>
      <w:bookmarkStart w:id="21" w:name="_Toc151133555"/>
      <w:r w:rsidRPr="00A858C4">
        <w:rPr>
          <w:noProof/>
          <w:u w:color="000000"/>
          <w:bdr w:val="nil"/>
        </w:rPr>
        <w:t>•</w:t>
      </w:r>
      <w:r w:rsidRPr="00A858C4">
        <w:rPr>
          <w:noProof/>
          <w:u w:color="000000"/>
          <w:bdr w:val="nil"/>
        </w:rPr>
        <w:tab/>
        <w:t>Høringer af interessenter</w:t>
      </w:r>
      <w:bookmarkEnd w:id="20"/>
      <w:bookmarkEnd w:id="21"/>
    </w:p>
    <w:p w14:paraId="0F581A90" w14:textId="77777777" w:rsidR="00E615B0" w:rsidRPr="00A858C4" w:rsidRDefault="00E615B0" w:rsidP="00E615B0">
      <w:pPr>
        <w:pStyle w:val="Text1"/>
        <w:ind w:left="0"/>
        <w:rPr>
          <w:strike/>
          <w:noProof/>
        </w:rPr>
      </w:pPr>
      <w:r w:rsidRPr="00A858C4">
        <w:rPr>
          <w:noProof/>
        </w:rPr>
        <w:t>Forslaget ændrer Rådets beslutning</w:t>
      </w:r>
      <w:r w:rsidRPr="00A858C4">
        <w:rPr>
          <w:b/>
          <w:noProof/>
        </w:rPr>
        <w:t xml:space="preserve"> </w:t>
      </w:r>
      <w:r w:rsidRPr="00A858C4">
        <w:rPr>
          <w:noProof/>
        </w:rPr>
        <w:t xml:space="preserve">89/367/EØF om nedsættelse af Den Stående Skovbrugskomité, som er medlemsstaternes rådgivende gruppe. Gruppen omdøbes, og dens mandat og opgaver ajourføres. Ajourføringen af forvaltningssystemet for skove blev bebudet i den nye EU-skovstrategi for 2030. Det vedrører ikke nogen interessenter direkte, da det kun er medlemsstaternes repræsentanter, der kan være medlemmer af gruppen. </w:t>
      </w:r>
    </w:p>
    <w:p w14:paraId="41FFCB19" w14:textId="77777777" w:rsidR="003D1A00" w:rsidRPr="00A858C4" w:rsidRDefault="003D1A00" w:rsidP="00505ED2">
      <w:pPr>
        <w:pStyle w:val="Text1"/>
        <w:ind w:left="0"/>
        <w:rPr>
          <w:noProof/>
          <w:lang w:eastAsia="en-GB"/>
        </w:rPr>
      </w:pPr>
    </w:p>
    <w:p w14:paraId="0D1F5C8D" w14:textId="77777777" w:rsidR="003D1A00" w:rsidRPr="00A858C4" w:rsidRDefault="003D1A00" w:rsidP="003D1A00">
      <w:pPr>
        <w:pStyle w:val="Text1"/>
        <w:ind w:left="0"/>
        <w:rPr>
          <w:b/>
          <w:noProof/>
        </w:rPr>
      </w:pPr>
      <w:r w:rsidRPr="00A858C4">
        <w:rPr>
          <w:b/>
          <w:noProof/>
        </w:rPr>
        <w:t>•</w:t>
      </w:r>
      <w:r w:rsidRPr="00A858C4">
        <w:rPr>
          <w:b/>
          <w:noProof/>
        </w:rPr>
        <w:tab/>
        <w:t>Konsekvensanalyse</w:t>
      </w:r>
    </w:p>
    <w:p w14:paraId="072E4A71" w14:textId="77777777" w:rsidR="00E615B0" w:rsidRPr="00A858C4" w:rsidRDefault="00E615B0" w:rsidP="00E615B0">
      <w:pPr>
        <w:pStyle w:val="Text1"/>
        <w:ind w:left="0"/>
        <w:rPr>
          <w:bCs/>
          <w:noProof/>
        </w:rPr>
      </w:pPr>
      <w:r w:rsidRPr="00A858C4">
        <w:rPr>
          <w:noProof/>
        </w:rPr>
        <w:t>Der er ikke behov for en konsekvensanalyse, fordi det ikke forventes, at forslaget har nogen væsentlige økonomiske, sociale eller miljømæssige virkninger. Det udspringer af, at Kommissionen i den nye EU-skovstrategi for 2030 har forpligtet sig til at ajourføre forvaltningssystemet for skove. Kommissionen foreslår at ajourføre Rådets beslutning 89/367/EØF af 29. maj 1989 om nedsættelse af en stående skovbrugskomité (en gruppe, der består af repræsentanter for medlemsstaterne) ved en afgørelse fra Europa-Parlamentet og Rådet.</w:t>
      </w:r>
    </w:p>
    <w:p w14:paraId="15EA93E4" w14:textId="77777777" w:rsidR="008D7A36" w:rsidRPr="00A858C4" w:rsidRDefault="008D7A36" w:rsidP="00A42069">
      <w:pPr>
        <w:pStyle w:val="ManualHeading1"/>
        <w:rPr>
          <w:noProof/>
        </w:rPr>
      </w:pPr>
      <w:bookmarkStart w:id="22" w:name="_Toc151112540"/>
      <w:bookmarkStart w:id="23" w:name="_Toc151133556"/>
      <w:r w:rsidRPr="00A858C4">
        <w:rPr>
          <w:noProof/>
        </w:rPr>
        <w:t>4.</w:t>
      </w:r>
      <w:r w:rsidRPr="00A858C4">
        <w:rPr>
          <w:noProof/>
        </w:rPr>
        <w:tab/>
        <w:t>VIRKNINGER FOR BUDGETTET</w:t>
      </w:r>
      <w:bookmarkEnd w:id="22"/>
      <w:bookmarkEnd w:id="23"/>
    </w:p>
    <w:p w14:paraId="63384634" w14:textId="77777777" w:rsidR="00212C4E" w:rsidRPr="00A858C4" w:rsidRDefault="00021146" w:rsidP="00A42069">
      <w:pPr>
        <w:pBdr>
          <w:top w:val="nil"/>
          <w:left w:val="nil"/>
          <w:bottom w:val="nil"/>
          <w:right w:val="nil"/>
          <w:between w:val="nil"/>
          <w:bar w:val="nil"/>
        </w:pBdr>
        <w:spacing w:before="0" w:after="240"/>
        <w:rPr>
          <w:rFonts w:eastAsia="Arial Unicode MS"/>
          <w:noProof/>
        </w:rPr>
      </w:pPr>
      <w:r w:rsidRPr="00A858C4">
        <w:rPr>
          <w:noProof/>
        </w:rPr>
        <w:t>I den finansieringsoversigt, der er tilknyttet dette forslag, gøres der rede for de budgetmæssige virkninger af forslaget.</w:t>
      </w:r>
    </w:p>
    <w:p w14:paraId="00EA1176" w14:textId="77777777" w:rsidR="008D7A36" w:rsidRPr="00A858C4" w:rsidRDefault="008D7A36" w:rsidP="008A2576">
      <w:pPr>
        <w:pStyle w:val="ManualHeading1"/>
        <w:rPr>
          <w:noProof/>
        </w:rPr>
        <w:sectPr w:rsidR="008D7A36" w:rsidRPr="00A858C4" w:rsidSect="007A795C">
          <w:footerReference w:type="default" r:id="rId13"/>
          <w:footerReference w:type="first" r:id="rId14"/>
          <w:pgSz w:w="11907" w:h="16839"/>
          <w:pgMar w:top="1134" w:right="1417" w:bottom="1134" w:left="1417" w:header="709" w:footer="709" w:gutter="0"/>
          <w:cols w:space="720"/>
          <w:docGrid w:linePitch="360"/>
        </w:sectPr>
      </w:pPr>
    </w:p>
    <w:p w14:paraId="1D7C6C4E" w14:textId="15381CE7" w:rsidR="005A3385" w:rsidRDefault="005A3385" w:rsidP="005A3385">
      <w:pPr>
        <w:pStyle w:val="Rfrenceinterinstitutionnelle"/>
        <w:rPr>
          <w:noProof/>
        </w:rPr>
      </w:pPr>
      <w:r w:rsidRPr="005A3385">
        <w:t>2023/0410 (COD)</w:t>
      </w:r>
    </w:p>
    <w:p w14:paraId="2EAC83CE" w14:textId="78E2524E" w:rsidR="008D7A36" w:rsidRPr="00A858C4" w:rsidRDefault="00835E4E" w:rsidP="00835E4E">
      <w:pPr>
        <w:pStyle w:val="Statut"/>
        <w:rPr>
          <w:noProof/>
        </w:rPr>
      </w:pPr>
      <w:r w:rsidRPr="00835E4E">
        <w:rPr>
          <w:noProof/>
        </w:rPr>
        <w:t>Forslag til</w:t>
      </w:r>
    </w:p>
    <w:p w14:paraId="2B49488F" w14:textId="5829D374" w:rsidR="008D7A36" w:rsidRPr="00A858C4" w:rsidRDefault="00835E4E" w:rsidP="00835E4E">
      <w:pPr>
        <w:pStyle w:val="Typedudocument"/>
        <w:rPr>
          <w:noProof/>
        </w:rPr>
      </w:pPr>
      <w:r w:rsidRPr="00835E4E">
        <w:rPr>
          <w:noProof/>
        </w:rPr>
        <w:t>EUROPA-PARLAMENTETS OG RÅDETS AFGØRELSE</w:t>
      </w:r>
    </w:p>
    <w:p w14:paraId="3571694F" w14:textId="7BC0C3FF" w:rsidR="008D7A36" w:rsidRPr="00A858C4" w:rsidRDefault="00835E4E" w:rsidP="00835E4E">
      <w:pPr>
        <w:pStyle w:val="Titreobjet"/>
        <w:rPr>
          <w:noProof/>
        </w:rPr>
      </w:pPr>
      <w:r w:rsidRPr="00835E4E">
        <w:rPr>
          <w:noProof/>
        </w:rPr>
        <w:t>om ændring af Rådets beslutning 89/367/EØF om nedsættelse af en stående skovbrugskomité</w:t>
      </w:r>
    </w:p>
    <w:p w14:paraId="5AE1C53D" w14:textId="77777777" w:rsidR="008D7A36" w:rsidRPr="00A858C4" w:rsidRDefault="008D7A36" w:rsidP="00A42069">
      <w:pPr>
        <w:pStyle w:val="Institutionquiagit"/>
        <w:rPr>
          <w:noProof/>
        </w:rPr>
      </w:pPr>
      <w:r w:rsidRPr="00A858C4">
        <w:rPr>
          <w:noProof/>
        </w:rPr>
        <w:t>EUROPA-PARLAMENTET OG RÅDET FOR DEN EUROPÆISKE UNION HAR —</w:t>
      </w:r>
    </w:p>
    <w:p w14:paraId="2258ACE6" w14:textId="77777777" w:rsidR="008D7A36" w:rsidRPr="00A858C4" w:rsidRDefault="008D7A36" w:rsidP="00A42069">
      <w:pPr>
        <w:rPr>
          <w:noProof/>
        </w:rPr>
      </w:pPr>
      <w:r w:rsidRPr="00A858C4">
        <w:rPr>
          <w:noProof/>
        </w:rPr>
        <w:t>under henvisning til traktaten om Den Europæiske Unions funktionsmåde, særlig artikel 43 og 192, stk. 1,</w:t>
      </w:r>
    </w:p>
    <w:p w14:paraId="3EEDB112" w14:textId="77777777" w:rsidR="008D7A36" w:rsidRPr="00A858C4" w:rsidRDefault="008D7A36" w:rsidP="00A42069">
      <w:pPr>
        <w:rPr>
          <w:noProof/>
        </w:rPr>
      </w:pPr>
      <w:r w:rsidRPr="00A858C4">
        <w:rPr>
          <w:noProof/>
        </w:rPr>
        <w:t>under henvisning til forslag fra Europa-Kommissionen,</w:t>
      </w:r>
    </w:p>
    <w:p w14:paraId="3FAEDE40" w14:textId="77777777" w:rsidR="00505ED2" w:rsidRPr="00A858C4" w:rsidRDefault="008D7A36" w:rsidP="00A42069">
      <w:pPr>
        <w:rPr>
          <w:noProof/>
        </w:rPr>
      </w:pPr>
      <w:r w:rsidRPr="00A858C4">
        <w:rPr>
          <w:noProof/>
        </w:rPr>
        <w:t>under henvisning til udtalelse fra Det Europæiske Økonomiske og Sociale Udvalg</w:t>
      </w:r>
      <w:r w:rsidRPr="00A858C4">
        <w:rPr>
          <w:noProof/>
          <w:color w:val="000000" w:themeColor="text1"/>
        </w:rPr>
        <w:t xml:space="preserve"> </w:t>
      </w:r>
      <w:r w:rsidRPr="00A858C4">
        <w:rPr>
          <w:rStyle w:val="FootnoteReference"/>
          <w:noProof/>
        </w:rPr>
        <w:footnoteReference w:id="3"/>
      </w:r>
      <w:r w:rsidRPr="00A858C4">
        <w:rPr>
          <w:noProof/>
        </w:rPr>
        <w:t xml:space="preserve">, </w:t>
      </w:r>
    </w:p>
    <w:p w14:paraId="32910781" w14:textId="77777777" w:rsidR="008D7A36" w:rsidRPr="00D5526B" w:rsidRDefault="008D7A36" w:rsidP="00A42069">
      <w:r w:rsidRPr="00A858C4">
        <w:rPr>
          <w:noProof/>
        </w:rPr>
        <w:t>under henvisning til udtalelse fra Regionsudvalget</w:t>
      </w:r>
      <w:r w:rsidRPr="00A858C4">
        <w:rPr>
          <w:noProof/>
          <w:color w:val="000000" w:themeColor="text1"/>
        </w:rPr>
        <w:t xml:space="preserve"> </w:t>
      </w:r>
      <w:r w:rsidRPr="00A858C4">
        <w:rPr>
          <w:rStyle w:val="FootnoteReference"/>
          <w:noProof/>
        </w:rPr>
        <w:footnoteReference w:id="4"/>
      </w:r>
      <w:r w:rsidRPr="00A858C4">
        <w:rPr>
          <w:noProof/>
        </w:rPr>
        <w:t xml:space="preserve">, </w:t>
      </w:r>
    </w:p>
    <w:p w14:paraId="00D9B9EE" w14:textId="77777777" w:rsidR="008D7A36" w:rsidRPr="00A858C4" w:rsidRDefault="008D7A36" w:rsidP="00A42069">
      <w:pPr>
        <w:rPr>
          <w:noProof/>
        </w:rPr>
      </w:pPr>
      <w:r w:rsidRPr="00A858C4">
        <w:rPr>
          <w:noProof/>
        </w:rPr>
        <w:t>efter den almindelige lovgivningsprocedure, og</w:t>
      </w:r>
    </w:p>
    <w:p w14:paraId="3BBE9FAD" w14:textId="77777777" w:rsidR="003F69DD" w:rsidRPr="00A858C4" w:rsidRDefault="003F69DD" w:rsidP="00A42069">
      <w:pPr>
        <w:rPr>
          <w:noProof/>
        </w:rPr>
      </w:pPr>
    </w:p>
    <w:p w14:paraId="1B007CE1" w14:textId="77777777" w:rsidR="008D7A36" w:rsidRPr="00A858C4" w:rsidRDefault="008D7A36" w:rsidP="008D7A36">
      <w:pPr>
        <w:rPr>
          <w:noProof/>
        </w:rPr>
      </w:pPr>
      <w:r w:rsidRPr="00A858C4">
        <w:rPr>
          <w:noProof/>
        </w:rPr>
        <w:t>ud fra følgende betragtninger:</w:t>
      </w:r>
    </w:p>
    <w:p w14:paraId="7CC3782F" w14:textId="77777777" w:rsidR="003F69DD" w:rsidRPr="00A858C4" w:rsidRDefault="003F69DD" w:rsidP="00693EC7">
      <w:pPr>
        <w:rPr>
          <w:noProof/>
        </w:rPr>
      </w:pPr>
    </w:p>
    <w:p w14:paraId="71E6A8F8" w14:textId="57530AC6" w:rsidR="008D7A36" w:rsidRPr="00A858C4" w:rsidRDefault="00B4433E" w:rsidP="00B4433E">
      <w:pPr>
        <w:pStyle w:val="ManualConsidrant"/>
        <w:rPr>
          <w:noProof/>
        </w:rPr>
      </w:pPr>
      <w:r w:rsidRPr="00B4433E">
        <w:t>(1)</w:t>
      </w:r>
      <w:r w:rsidRPr="00B4433E">
        <w:tab/>
      </w:r>
      <w:r w:rsidR="008D7A36" w:rsidRPr="00A858C4">
        <w:rPr>
          <w:noProof/>
        </w:rPr>
        <w:t>Ved Rådets beslutning 89/367/EØF</w:t>
      </w:r>
      <w:r w:rsidR="008D7A36" w:rsidRPr="00A858C4">
        <w:rPr>
          <w:noProof/>
          <w:color w:val="000000" w:themeColor="text1"/>
        </w:rPr>
        <w:t xml:space="preserve"> </w:t>
      </w:r>
      <w:r w:rsidR="009039B8" w:rsidRPr="00A858C4">
        <w:rPr>
          <w:rStyle w:val="FootnoteReference"/>
          <w:bCs/>
          <w:noProof/>
        </w:rPr>
        <w:footnoteReference w:id="5"/>
      </w:r>
      <w:r w:rsidR="008D7A36" w:rsidRPr="00A858C4">
        <w:rPr>
          <w:noProof/>
        </w:rPr>
        <w:t xml:space="preserve">blev der nedsat en stående skovbrugskomité for at skabe et mere snævert og vedvarende samarbejde mellem medlemsstaterne og Kommissionen på skovbrugsområdet og således støtte de skovbrugsaktioner, der er indledt ved EU's politik vedrørende landbrugsstrukturerne og udviklingen i landdistrikterne. </w:t>
      </w:r>
    </w:p>
    <w:p w14:paraId="38ED22B6" w14:textId="08198D6C" w:rsidR="00045C54" w:rsidRPr="00A858C4" w:rsidRDefault="00B4433E" w:rsidP="00B4433E">
      <w:pPr>
        <w:pStyle w:val="ManualConsidrant"/>
        <w:rPr>
          <w:noProof/>
        </w:rPr>
      </w:pPr>
      <w:r w:rsidRPr="00B4433E">
        <w:t>(2)</w:t>
      </w:r>
      <w:r w:rsidRPr="00B4433E">
        <w:tab/>
      </w:r>
      <w:r w:rsidR="00BE6052" w:rsidRPr="00A858C4">
        <w:rPr>
          <w:noProof/>
        </w:rPr>
        <w:t>Skovenes bredere bidrag til målene i Kommissionens meddelelse af 11. december 2019 med titlen "Den europæiske grønne pagt"</w:t>
      </w:r>
      <w:r w:rsidR="001514D7" w:rsidRPr="00A858C4">
        <w:rPr>
          <w:rStyle w:val="FootnoteReference"/>
          <w:noProof/>
        </w:rPr>
        <w:footnoteReference w:id="6"/>
      </w:r>
      <w:r w:rsidR="00BE6052" w:rsidRPr="00A858C4">
        <w:rPr>
          <w:noProof/>
        </w:rPr>
        <w:t>, herunder vedrørende klima, biodiversitet og bæredygtig bioøkonomi, kræver en mere inklusiv og bedre koordineret skovforvaltningsstruktur i EU, der afspejler alle målene i Kommissionens meddelelse af 16. juli 2021 med titlen "Ny EU-skovstrategi for 2030"</w:t>
      </w:r>
      <w:r w:rsidR="001654C2" w:rsidRPr="00A858C4">
        <w:rPr>
          <w:rStyle w:val="FootnoteReference"/>
          <w:noProof/>
        </w:rPr>
        <w:footnoteReference w:id="7"/>
      </w:r>
      <w:r w:rsidR="00BE6052" w:rsidRPr="00A858C4">
        <w:rPr>
          <w:noProof/>
        </w:rPr>
        <w:t xml:space="preserve"> og deres indbyrdes forbindelser. </w:t>
      </w:r>
    </w:p>
    <w:p w14:paraId="7C597A41" w14:textId="6FED927C" w:rsidR="00FF0459" w:rsidRPr="00A858C4" w:rsidRDefault="00B4433E" w:rsidP="00B4433E">
      <w:pPr>
        <w:pStyle w:val="ManualConsidrant"/>
        <w:rPr>
          <w:noProof/>
        </w:rPr>
      </w:pPr>
      <w:r w:rsidRPr="00B4433E">
        <w:t>(3)</w:t>
      </w:r>
      <w:r w:rsidRPr="00B4433E">
        <w:tab/>
      </w:r>
      <w:r w:rsidR="00045C54" w:rsidRPr="00A858C4">
        <w:rPr>
          <w:noProof/>
        </w:rPr>
        <w:t xml:space="preserve">Den erfaring og ekspertise inden for skove og skovbrug, som Den Stående Skovbrugskomité og Arbejdsgruppen for Skove og Natur besidder, og som er udsprunget af forskellige EU-politikker, er vigtig for skovenes og skovbrugets bredere bidrag til EU's centrale mål og initiativer såsom den europæiske grønne pagt og den nye EU-skovstrategi og for at fremme sammenhæng og synergier mellem de af EU's og medlemsstaternes politikker, der er relevante for skove og skovbrug. </w:t>
      </w:r>
    </w:p>
    <w:p w14:paraId="0FB3FD29" w14:textId="1E3B9C72" w:rsidR="001E3E89" w:rsidRPr="00A858C4" w:rsidRDefault="00B4433E" w:rsidP="00B4433E">
      <w:pPr>
        <w:pStyle w:val="ManualConsidrant"/>
        <w:rPr>
          <w:noProof/>
        </w:rPr>
      </w:pPr>
      <w:r w:rsidRPr="00B4433E">
        <w:t>(4)</w:t>
      </w:r>
      <w:r w:rsidRPr="00B4433E">
        <w:tab/>
      </w:r>
      <w:r w:rsidR="00BA1346" w:rsidRPr="00A858C4">
        <w:rPr>
          <w:noProof/>
        </w:rPr>
        <w:t>Den mest effektive måde at opnå en mere inklusiv og bedre koordineret skovforvaltningsstruktur i EU på er at udvide Den Stående Skovbrugskomités anvendelsesområde</w:t>
      </w:r>
      <w:r w:rsidR="00BA1346" w:rsidRPr="00A858C4">
        <w:rPr>
          <w:noProof/>
          <w:color w:val="FFFF00"/>
        </w:rPr>
        <w:t xml:space="preserve"> </w:t>
      </w:r>
      <w:r w:rsidR="00BA1346" w:rsidRPr="00A858C4">
        <w:rPr>
          <w:noProof/>
        </w:rPr>
        <w:t>og præcisere dens opgaver og opbygning.</w:t>
      </w:r>
      <w:r w:rsidR="00BA1346" w:rsidRPr="00A858C4">
        <w:rPr>
          <w:noProof/>
          <w:color w:val="FFFF00"/>
        </w:rPr>
        <w:t xml:space="preserve"> </w:t>
      </w:r>
      <w:r w:rsidR="00BA1346" w:rsidRPr="00A858C4">
        <w:rPr>
          <w:noProof/>
        </w:rPr>
        <w:t xml:space="preserve"> Den Stående Skovbrugskomité bør endvidere omdøbes til Den Stående Ekspertgruppe for Skove og Skovbrug for at afspejle disse ændringer. På Kommissionens eller en medlemsstats anmodning bør den behandle alle spørgsmål eller aspekter vedrørende skove og skovbrug, der udspringer af forskellige EU-politikker. Det bør derfor sikres, at medlemsstaterne udpeger repræsentanter fra de myndigheder, der er kompetente, når det drejer sig om at nå de specifikke politiske mål.</w:t>
      </w:r>
    </w:p>
    <w:p w14:paraId="0703D6F4" w14:textId="1BAB85E0" w:rsidR="008D7A36" w:rsidRPr="00A858C4" w:rsidRDefault="00B4433E" w:rsidP="00B4433E">
      <w:pPr>
        <w:pStyle w:val="ManualConsidrant"/>
        <w:rPr>
          <w:noProof/>
        </w:rPr>
      </w:pPr>
      <w:r w:rsidRPr="00B4433E">
        <w:t>(5)</w:t>
      </w:r>
      <w:r w:rsidRPr="00B4433E">
        <w:tab/>
      </w:r>
      <w:r w:rsidR="008D7A36" w:rsidRPr="00A858C4">
        <w:rPr>
          <w:noProof/>
        </w:rPr>
        <w:t>Beslutning 89/367/EØF bør ændres i overensstemmelse hermed —</w:t>
      </w:r>
    </w:p>
    <w:p w14:paraId="395A05F0" w14:textId="77777777" w:rsidR="003F69DD" w:rsidRPr="00A858C4" w:rsidRDefault="003F69DD" w:rsidP="005D1D40">
      <w:pPr>
        <w:rPr>
          <w:noProof/>
        </w:rPr>
      </w:pPr>
    </w:p>
    <w:p w14:paraId="4DA2A3F9" w14:textId="77777777" w:rsidR="008D7A36" w:rsidRPr="00A858C4" w:rsidRDefault="008D7A36" w:rsidP="00A42069">
      <w:pPr>
        <w:pStyle w:val="Formuledadoption"/>
        <w:rPr>
          <w:noProof/>
        </w:rPr>
      </w:pPr>
      <w:r w:rsidRPr="00A858C4">
        <w:rPr>
          <w:noProof/>
        </w:rPr>
        <w:t>VEDTAGET DENNE AFGØRELSE:</w:t>
      </w:r>
    </w:p>
    <w:p w14:paraId="737974D9" w14:textId="77777777" w:rsidR="008D7A36" w:rsidRPr="00A858C4" w:rsidRDefault="008D7A36" w:rsidP="00A42069">
      <w:pPr>
        <w:pStyle w:val="Titrearticle"/>
        <w:rPr>
          <w:noProof/>
        </w:rPr>
      </w:pPr>
      <w:r w:rsidRPr="00A858C4">
        <w:rPr>
          <w:noProof/>
        </w:rPr>
        <w:t>Artikel 1</w:t>
      </w:r>
    </w:p>
    <w:p w14:paraId="1584B088" w14:textId="77777777" w:rsidR="008D7A36" w:rsidRPr="00A858C4" w:rsidRDefault="008D7A36" w:rsidP="005D1D40">
      <w:pPr>
        <w:rPr>
          <w:i/>
          <w:noProof/>
        </w:rPr>
      </w:pPr>
      <w:r w:rsidRPr="00A858C4">
        <w:rPr>
          <w:noProof/>
        </w:rPr>
        <w:t>I beslutning 89/367/EØF foretages følgende ændringer:</w:t>
      </w:r>
    </w:p>
    <w:p w14:paraId="1E750316" w14:textId="6CABF38E" w:rsidR="00B70C34" w:rsidRPr="00A858C4" w:rsidRDefault="00B4433E" w:rsidP="00B4433E">
      <w:pPr>
        <w:pStyle w:val="Point0"/>
        <w:rPr>
          <w:noProof/>
        </w:rPr>
      </w:pPr>
      <w:r w:rsidRPr="00B4433E">
        <w:t>(1)</w:t>
      </w:r>
      <w:r w:rsidRPr="00B4433E">
        <w:tab/>
      </w:r>
      <w:r w:rsidR="00B70C34" w:rsidRPr="00A858C4">
        <w:rPr>
          <w:noProof/>
        </w:rPr>
        <w:t>Titlen affattes således:</w:t>
      </w:r>
    </w:p>
    <w:p w14:paraId="0A0426E1" w14:textId="77777777" w:rsidR="00C77A03" w:rsidRPr="00A858C4" w:rsidRDefault="00B70C34" w:rsidP="00816477">
      <w:pPr>
        <w:pStyle w:val="ListParagraph"/>
        <w:rPr>
          <w:i/>
          <w:noProof/>
        </w:rPr>
      </w:pPr>
      <w:r w:rsidRPr="00A858C4">
        <w:rPr>
          <w:noProof/>
        </w:rPr>
        <w:t>"Rådets beslutning 89/367/EØF af 29. maj 1989 om nedsættelse af en stående ekspertgruppe for skove og skovbrug"</w:t>
      </w:r>
    </w:p>
    <w:p w14:paraId="6FB705D5" w14:textId="598C0BC2" w:rsidR="0085390B" w:rsidRPr="00A858C4" w:rsidRDefault="00B4433E" w:rsidP="00B4433E">
      <w:pPr>
        <w:pStyle w:val="Point0"/>
        <w:rPr>
          <w:noProof/>
        </w:rPr>
      </w:pPr>
      <w:r w:rsidRPr="00B4433E">
        <w:t>(2)</w:t>
      </w:r>
      <w:r w:rsidRPr="00B4433E">
        <w:tab/>
      </w:r>
      <w:r w:rsidR="0085390B" w:rsidRPr="00A858C4">
        <w:rPr>
          <w:noProof/>
        </w:rPr>
        <w:t>Artikel 1 affattes således:</w:t>
      </w:r>
    </w:p>
    <w:p w14:paraId="29655F26" w14:textId="77777777" w:rsidR="00471D1E" w:rsidRPr="00A858C4" w:rsidRDefault="00EA2CD5" w:rsidP="00924EDF">
      <w:pPr>
        <w:pStyle w:val="Titrearticle"/>
        <w:jc w:val="both"/>
        <w:rPr>
          <w:i w:val="0"/>
          <w:iCs/>
          <w:noProof/>
          <w:szCs w:val="24"/>
        </w:rPr>
      </w:pPr>
      <w:r w:rsidRPr="00A858C4">
        <w:rPr>
          <w:i w:val="0"/>
          <w:noProof/>
        </w:rPr>
        <w:t>"</w:t>
      </w:r>
      <w:r w:rsidRPr="00A858C4">
        <w:rPr>
          <w:noProof/>
        </w:rPr>
        <w:t>Artikel 1</w:t>
      </w:r>
      <w:r w:rsidRPr="00A858C4">
        <w:rPr>
          <w:i w:val="0"/>
          <w:noProof/>
        </w:rPr>
        <w:t xml:space="preserve"> </w:t>
      </w:r>
    </w:p>
    <w:p w14:paraId="3100085A" w14:textId="77777777" w:rsidR="0050568C" w:rsidRPr="00A858C4" w:rsidRDefault="0097529B" w:rsidP="00924EDF">
      <w:pPr>
        <w:pStyle w:val="Titrearticle"/>
        <w:jc w:val="both"/>
        <w:rPr>
          <w:i w:val="0"/>
          <w:iCs/>
          <w:noProof/>
          <w:szCs w:val="24"/>
        </w:rPr>
      </w:pPr>
      <w:r w:rsidRPr="00A858C4">
        <w:rPr>
          <w:i w:val="0"/>
          <w:noProof/>
        </w:rPr>
        <w:t>For at sikre, at Kommissionens og medlemsstaternes samarbejde styrkes, og at de tværfagligt kan udveksle synspunkter om skove og skovbrugsområdet i forbindelse med alle de områder af EU-politikkerne, der vedrører skove, nedsættes hermed en stående ekspertgruppe for skove og skovbrug, i det følgende benævnt "ekspertgruppen"."</w:t>
      </w:r>
    </w:p>
    <w:p w14:paraId="694D2C79" w14:textId="77777777" w:rsidR="0061532F" w:rsidRPr="00A858C4" w:rsidRDefault="0061532F" w:rsidP="007B5981">
      <w:pPr>
        <w:rPr>
          <w:noProof/>
          <w:szCs w:val="24"/>
        </w:rPr>
      </w:pPr>
    </w:p>
    <w:p w14:paraId="50B01E9C" w14:textId="541C21FC" w:rsidR="0061532F" w:rsidRPr="00A858C4" w:rsidRDefault="00924EDF" w:rsidP="004546BB">
      <w:pPr>
        <w:rPr>
          <w:noProof/>
        </w:rPr>
      </w:pPr>
      <w:r w:rsidRPr="00A858C4">
        <w:rPr>
          <w:noProof/>
        </w:rPr>
        <w:t xml:space="preserve">(3) </w:t>
      </w:r>
      <w:r w:rsidRPr="00A858C4">
        <w:rPr>
          <w:noProof/>
        </w:rPr>
        <w:tab/>
        <w:t>Artikel 2 affattes således:</w:t>
      </w:r>
    </w:p>
    <w:p w14:paraId="0F931BCB" w14:textId="77777777" w:rsidR="00CE025B" w:rsidRPr="00A858C4" w:rsidRDefault="00EA2CD5" w:rsidP="004D269B">
      <w:pPr>
        <w:rPr>
          <w:noProof/>
        </w:rPr>
      </w:pPr>
      <w:r w:rsidRPr="00A858C4">
        <w:rPr>
          <w:noProof/>
        </w:rPr>
        <w:t>"</w:t>
      </w:r>
      <w:r w:rsidRPr="00A858C4">
        <w:rPr>
          <w:i/>
          <w:noProof/>
        </w:rPr>
        <w:t>Artikel 2</w:t>
      </w:r>
      <w:r w:rsidRPr="00A858C4">
        <w:rPr>
          <w:noProof/>
        </w:rPr>
        <w:t xml:space="preserve"> </w:t>
      </w:r>
    </w:p>
    <w:p w14:paraId="199DFB69" w14:textId="77777777" w:rsidR="004D269B" w:rsidRPr="00A858C4" w:rsidRDefault="004D269B" w:rsidP="004D269B">
      <w:pPr>
        <w:rPr>
          <w:noProof/>
        </w:rPr>
      </w:pPr>
      <w:r w:rsidRPr="00A858C4">
        <w:rPr>
          <w:noProof/>
        </w:rPr>
        <w:t>1. Kommissionen kan enten på eget initiativ eller efter anmodning fra en medlemsstats repræsentant høre ekspertgruppen om alle de spørgsmål og aspekter vedrørende skove og skovbrug, som følger af de forskellige EU-politikker.</w:t>
      </w:r>
    </w:p>
    <w:p w14:paraId="5CC2BB9E" w14:textId="77777777" w:rsidR="004D269B" w:rsidRPr="00A858C4" w:rsidRDefault="004D269B" w:rsidP="007B5981">
      <w:pPr>
        <w:rPr>
          <w:noProof/>
        </w:rPr>
      </w:pPr>
    </w:p>
    <w:p w14:paraId="35A47963" w14:textId="77777777" w:rsidR="0050568C" w:rsidRPr="00A858C4" w:rsidRDefault="004D269B" w:rsidP="007B5981">
      <w:pPr>
        <w:rPr>
          <w:noProof/>
        </w:rPr>
      </w:pPr>
      <w:r w:rsidRPr="00A858C4">
        <w:rPr>
          <w:noProof/>
        </w:rPr>
        <w:t>2. Ekspertgruppen har bl.a. til opgave at:</w:t>
      </w:r>
    </w:p>
    <w:p w14:paraId="01D18E68" w14:textId="77777777" w:rsidR="002A3061" w:rsidRPr="00A858C4" w:rsidRDefault="002A3061" w:rsidP="00DC06D6">
      <w:pPr>
        <w:rPr>
          <w:noProof/>
        </w:rPr>
      </w:pPr>
      <w:r w:rsidRPr="00A858C4">
        <w:rPr>
          <w:noProof/>
        </w:rPr>
        <w:t>a) assistere Kommissionen i udarbejdelsen af lovgivningsforslag, retningslinjer eller andre af EU's politiske initiativer, som er relevante for skove og skovbrug, herunder gennemførelsen af den nye EU-skovstrategi for 2030 og efterfølgende EU-skovstrategier</w:t>
      </w:r>
    </w:p>
    <w:p w14:paraId="5F50CB2D" w14:textId="77777777" w:rsidR="00034507" w:rsidRPr="00A858C4" w:rsidRDefault="00034507" w:rsidP="00DC06D6">
      <w:pPr>
        <w:rPr>
          <w:noProof/>
        </w:rPr>
      </w:pPr>
    </w:p>
    <w:p w14:paraId="398F5B50" w14:textId="77777777" w:rsidR="006F2831" w:rsidRPr="00A858C4" w:rsidRDefault="006F2831" w:rsidP="006F2831">
      <w:pPr>
        <w:rPr>
          <w:noProof/>
        </w:rPr>
      </w:pPr>
      <w:r w:rsidRPr="00A858C4">
        <w:rPr>
          <w:noProof/>
        </w:rPr>
        <w:t xml:space="preserve">b) bistå Kommissionen med rådgivning og ekspertise, enten på Kommissionens eget initiativ eller efter anmodning fra en medlemsstat, med henblik på at støtte skovenes og skovbrugets bredere bidrag til EU's centrale mål og initiativer såsom den europæiske grønne pagt og for at fremme sammenhæng og synergier mellem de EU-politikker, der er relevante for skove og skovbrug </w:t>
      </w:r>
    </w:p>
    <w:p w14:paraId="4BAECE00" w14:textId="77777777" w:rsidR="00034507" w:rsidRPr="00A858C4" w:rsidRDefault="00034507" w:rsidP="006F2831">
      <w:pPr>
        <w:rPr>
          <w:noProof/>
        </w:rPr>
      </w:pPr>
    </w:p>
    <w:p w14:paraId="0C21A9D9" w14:textId="77777777" w:rsidR="006F2831" w:rsidRPr="00A858C4" w:rsidRDefault="006F2831" w:rsidP="006F2831">
      <w:pPr>
        <w:rPr>
          <w:noProof/>
        </w:rPr>
      </w:pPr>
      <w:r w:rsidRPr="00A858C4">
        <w:rPr>
          <w:noProof/>
        </w:rPr>
        <w:t>c) fremme samarbejdet mellem Kommissionen og medlemsstaterne på skov- og skovbrugsområdet, herunder for at støtte tiltag og interventioner inden for rammerne af den fælles landbrugspolitik</w:t>
      </w:r>
    </w:p>
    <w:p w14:paraId="027DA721" w14:textId="77777777" w:rsidR="00034507" w:rsidRPr="00A858C4" w:rsidRDefault="00034507" w:rsidP="006F2831">
      <w:pPr>
        <w:rPr>
          <w:noProof/>
        </w:rPr>
      </w:pPr>
    </w:p>
    <w:p w14:paraId="2981406E" w14:textId="77777777" w:rsidR="00CF04BA" w:rsidRPr="00A858C4" w:rsidRDefault="006F2831" w:rsidP="00CF04BA">
      <w:pPr>
        <w:rPr>
          <w:noProof/>
        </w:rPr>
      </w:pPr>
      <w:r w:rsidRPr="00A858C4">
        <w:rPr>
          <w:noProof/>
        </w:rPr>
        <w:t xml:space="preserve">d) fremme udveksling af viden, ekspertise og god praksis på skov- og skovbrugsområdet. </w:t>
      </w:r>
    </w:p>
    <w:p w14:paraId="5E919294" w14:textId="77777777" w:rsidR="00DC06D6" w:rsidRPr="00A858C4" w:rsidRDefault="00DC06D6" w:rsidP="00DC06D6">
      <w:pPr>
        <w:autoSpaceDE w:val="0"/>
        <w:autoSpaceDN w:val="0"/>
        <w:adjustRightInd w:val="0"/>
        <w:spacing w:before="0" w:after="0"/>
        <w:rPr>
          <w:noProof/>
          <w:szCs w:val="24"/>
        </w:rPr>
      </w:pPr>
    </w:p>
    <w:p w14:paraId="11B127B6" w14:textId="77777777" w:rsidR="002A3061" w:rsidRPr="00A858C4" w:rsidRDefault="00124453" w:rsidP="00DC06D6">
      <w:pPr>
        <w:rPr>
          <w:noProof/>
        </w:rPr>
      </w:pPr>
      <w:r w:rsidRPr="00A858C4">
        <w:rPr>
          <w:noProof/>
        </w:rPr>
        <w:t>3. Europa-Parlamentet og Rådet kan på forslag fra Kommissionen tildele ekspertgruppen andre opgaver i forbindelse med de EU-politikker, der vedrører skove og skovbrug."</w:t>
      </w:r>
    </w:p>
    <w:p w14:paraId="544D32D4" w14:textId="77777777" w:rsidR="004913E3" w:rsidRPr="00A858C4" w:rsidRDefault="004913E3" w:rsidP="00DC06D6">
      <w:pPr>
        <w:rPr>
          <w:noProof/>
        </w:rPr>
      </w:pPr>
    </w:p>
    <w:p w14:paraId="30A3D452" w14:textId="5650B309" w:rsidR="0061532F" w:rsidRPr="00A858C4" w:rsidRDefault="00924EDF" w:rsidP="00045C54">
      <w:pPr>
        <w:rPr>
          <w:noProof/>
        </w:rPr>
      </w:pPr>
      <w:r w:rsidRPr="00A858C4">
        <w:rPr>
          <w:noProof/>
        </w:rPr>
        <w:t>(4) Artikel 3 affattes således:</w:t>
      </w:r>
    </w:p>
    <w:p w14:paraId="18151772" w14:textId="77777777" w:rsidR="00CE025B" w:rsidRPr="00A858C4" w:rsidRDefault="00EA2CD5" w:rsidP="007B5981">
      <w:pPr>
        <w:rPr>
          <w:noProof/>
        </w:rPr>
      </w:pPr>
      <w:r w:rsidRPr="00A858C4">
        <w:rPr>
          <w:noProof/>
        </w:rPr>
        <w:t>"</w:t>
      </w:r>
      <w:r w:rsidRPr="00A858C4">
        <w:rPr>
          <w:i/>
          <w:noProof/>
        </w:rPr>
        <w:t>Artikel 3</w:t>
      </w:r>
    </w:p>
    <w:p w14:paraId="7C313917" w14:textId="77777777" w:rsidR="007B5981" w:rsidRPr="00A858C4" w:rsidRDefault="007B5981" w:rsidP="007B5981">
      <w:pPr>
        <w:rPr>
          <w:noProof/>
        </w:rPr>
      </w:pPr>
      <w:r w:rsidRPr="00A858C4">
        <w:rPr>
          <w:noProof/>
        </w:rPr>
        <w:t>Ekspertgruppen består af repræsentanter for medlemsstaterne.</w:t>
      </w:r>
    </w:p>
    <w:p w14:paraId="07682EE8" w14:textId="77777777" w:rsidR="004913E3" w:rsidRPr="00A858C4" w:rsidRDefault="004913E3" w:rsidP="007B5981">
      <w:pPr>
        <w:rPr>
          <w:noProof/>
        </w:rPr>
      </w:pPr>
    </w:p>
    <w:p w14:paraId="42DC1E06" w14:textId="77777777" w:rsidR="007B5981" w:rsidRPr="00A858C4" w:rsidRDefault="007B5981" w:rsidP="007B5981">
      <w:pPr>
        <w:rPr>
          <w:noProof/>
        </w:rPr>
      </w:pPr>
      <w:r w:rsidRPr="00A858C4">
        <w:rPr>
          <w:noProof/>
        </w:rPr>
        <w:t>Medlemsstaterne udpeger deres repræsentanter for at sikre, at de myndigheder, der er kompetente, når det drejer sig om at nå de forskellige politiske mål i den nye EU-skovstrategi for 2030, deltager, herunder vedrørende klima, skovenes sundhedstilstand, miljø, skovbrug, udvikling af landdistrikterne og bioøkonomien samt efterfølgende EU-skovstrategier.</w:t>
      </w:r>
    </w:p>
    <w:p w14:paraId="1178984F" w14:textId="77777777" w:rsidR="004913E3" w:rsidRPr="00A858C4" w:rsidRDefault="004913E3" w:rsidP="007B5981">
      <w:pPr>
        <w:rPr>
          <w:noProof/>
        </w:rPr>
      </w:pPr>
    </w:p>
    <w:p w14:paraId="5A77D727" w14:textId="77777777" w:rsidR="00B226B3" w:rsidRPr="00A858C4" w:rsidRDefault="00B87B48" w:rsidP="007B5981">
      <w:pPr>
        <w:rPr>
          <w:noProof/>
        </w:rPr>
      </w:pPr>
      <w:r w:rsidRPr="00A858C4">
        <w:rPr>
          <w:noProof/>
        </w:rPr>
        <w:t xml:space="preserve">Ekspertgruppen ledes af en repræsentant for Kommissionen. </w:t>
      </w:r>
    </w:p>
    <w:p w14:paraId="4285E5CF" w14:textId="77777777" w:rsidR="004913E3" w:rsidRPr="00A858C4" w:rsidRDefault="004913E3" w:rsidP="007B5981">
      <w:pPr>
        <w:rPr>
          <w:noProof/>
        </w:rPr>
      </w:pPr>
    </w:p>
    <w:p w14:paraId="25CE0C98" w14:textId="77777777" w:rsidR="00500311" w:rsidRPr="00A858C4" w:rsidRDefault="00B226B3" w:rsidP="007B5981">
      <w:pPr>
        <w:rPr>
          <w:noProof/>
        </w:rPr>
      </w:pPr>
      <w:r w:rsidRPr="00A858C4">
        <w:rPr>
          <w:noProof/>
        </w:rPr>
        <w:t xml:space="preserve">Kommissionen varetager sekretariatet for ekspertgruppen. </w:t>
      </w:r>
    </w:p>
    <w:p w14:paraId="6CC5E740" w14:textId="77777777" w:rsidR="004913E3" w:rsidRPr="00A858C4" w:rsidRDefault="004913E3" w:rsidP="007B5981">
      <w:pPr>
        <w:rPr>
          <w:noProof/>
        </w:rPr>
      </w:pPr>
    </w:p>
    <w:p w14:paraId="7F457FC0" w14:textId="77777777" w:rsidR="001E219A" w:rsidRPr="00A858C4" w:rsidRDefault="004D0DD4" w:rsidP="007B5981">
      <w:pPr>
        <w:rPr>
          <w:noProof/>
        </w:rPr>
      </w:pPr>
      <w:r w:rsidRPr="00A858C4">
        <w:rPr>
          <w:noProof/>
        </w:rPr>
        <w:t>Ekspertgruppen vedtager selv sin forretningsorden.".</w:t>
      </w:r>
    </w:p>
    <w:p w14:paraId="2842F28B" w14:textId="77777777" w:rsidR="007B5981" w:rsidRPr="00A858C4" w:rsidRDefault="007B5981" w:rsidP="007B5981">
      <w:pPr>
        <w:rPr>
          <w:noProof/>
        </w:rPr>
      </w:pPr>
    </w:p>
    <w:p w14:paraId="2B5F99D6" w14:textId="77777777" w:rsidR="008D7A36" w:rsidRPr="00A858C4" w:rsidRDefault="008D7A36" w:rsidP="004E219D">
      <w:pPr>
        <w:pStyle w:val="Titrearticle"/>
        <w:rPr>
          <w:noProof/>
        </w:rPr>
      </w:pPr>
      <w:r w:rsidRPr="00A858C4">
        <w:rPr>
          <w:noProof/>
        </w:rPr>
        <w:t>Artikel</w:t>
      </w:r>
      <w:r w:rsidRPr="00A858C4">
        <w:rPr>
          <w:noProof/>
          <w:color w:val="000000" w:themeColor="text1"/>
        </w:rPr>
        <w:t xml:space="preserve"> </w:t>
      </w:r>
      <w:r w:rsidRPr="00A858C4">
        <w:rPr>
          <w:noProof/>
        </w:rPr>
        <w:t>2</w:t>
      </w:r>
    </w:p>
    <w:p w14:paraId="0D9D6A55" w14:textId="77777777" w:rsidR="008D7A36" w:rsidRPr="00A858C4" w:rsidRDefault="008D7A36" w:rsidP="00A42069">
      <w:pPr>
        <w:rPr>
          <w:noProof/>
        </w:rPr>
      </w:pPr>
      <w:r w:rsidRPr="00A858C4">
        <w:rPr>
          <w:noProof/>
        </w:rPr>
        <w:t xml:space="preserve">Denne afgørelse træder i kraft på </w:t>
      </w:r>
      <w:r w:rsidRPr="00A858C4">
        <w:rPr>
          <w:noProof/>
          <w:color w:val="000000" w:themeColor="text1"/>
        </w:rPr>
        <w:t>tyvendedagen</w:t>
      </w:r>
      <w:r w:rsidRPr="00A858C4">
        <w:rPr>
          <w:noProof/>
          <w:color w:val="0000FF"/>
        </w:rPr>
        <w:t xml:space="preserve"> </w:t>
      </w:r>
      <w:r w:rsidRPr="00A858C4">
        <w:rPr>
          <w:noProof/>
        </w:rPr>
        <w:t xml:space="preserve">efter offentliggørelsen i </w:t>
      </w:r>
      <w:r w:rsidRPr="00A858C4">
        <w:rPr>
          <w:i/>
          <w:noProof/>
        </w:rPr>
        <w:t>Den Europæiske Unions Tidende</w:t>
      </w:r>
      <w:r w:rsidRPr="00A858C4">
        <w:rPr>
          <w:noProof/>
        </w:rPr>
        <w:t>.</w:t>
      </w:r>
    </w:p>
    <w:p w14:paraId="6B04EC35" w14:textId="77777777" w:rsidR="008D7A36" w:rsidRPr="00A858C4" w:rsidRDefault="008D7A36" w:rsidP="008A697A">
      <w:pPr>
        <w:pStyle w:val="Titrearticle"/>
        <w:rPr>
          <w:noProof/>
        </w:rPr>
      </w:pPr>
      <w:r w:rsidRPr="00A858C4">
        <w:rPr>
          <w:noProof/>
        </w:rPr>
        <w:t>Artikel 3</w:t>
      </w:r>
    </w:p>
    <w:p w14:paraId="36E6A956" w14:textId="77777777" w:rsidR="008D7A36" w:rsidRPr="00A858C4" w:rsidRDefault="008D7A36" w:rsidP="00A42069">
      <w:pPr>
        <w:rPr>
          <w:noProof/>
        </w:rPr>
      </w:pPr>
      <w:r w:rsidRPr="00A858C4">
        <w:rPr>
          <w:noProof/>
        </w:rPr>
        <w:t xml:space="preserve">Denne afgørelse er rettet til medlemsstaterne. </w:t>
      </w:r>
    </w:p>
    <w:p w14:paraId="49FB1A4A" w14:textId="44D5DC11" w:rsidR="008D7A36" w:rsidRPr="00A858C4" w:rsidRDefault="00BF741E" w:rsidP="008A697A">
      <w:pPr>
        <w:pStyle w:val="Fait"/>
        <w:rPr>
          <w:noProof/>
        </w:rPr>
      </w:pPr>
      <w:r w:rsidRPr="00BF741E">
        <w:t xml:space="preserve">Udfærdiget i Bruxelles, den </w:t>
      </w:r>
      <w:r w:rsidRPr="00BF741E">
        <w:rPr>
          <w:rStyle w:val="Marker"/>
        </w:rPr>
        <w:t>[…]</w:t>
      </w:r>
      <w:r w:rsidRPr="00BF741E">
        <w:t>.</w:t>
      </w:r>
    </w:p>
    <w:p w14:paraId="412C5EC0" w14:textId="77777777" w:rsidR="008D7A36" w:rsidRPr="00A858C4" w:rsidRDefault="008D7A36" w:rsidP="008A697A">
      <w:pPr>
        <w:pStyle w:val="Institutionquisigne"/>
        <w:rPr>
          <w:noProof/>
        </w:rPr>
      </w:pPr>
      <w:r w:rsidRPr="00A858C4">
        <w:rPr>
          <w:noProof/>
        </w:rPr>
        <w:t>På Europa-Parlamentets vegne</w:t>
      </w:r>
      <w:r w:rsidRPr="00A858C4">
        <w:rPr>
          <w:noProof/>
        </w:rPr>
        <w:tab/>
        <w:t>På Rådets vegne</w:t>
      </w:r>
    </w:p>
    <w:p w14:paraId="5E3BCBBB" w14:textId="77777777" w:rsidR="00DF4478" w:rsidRPr="00A858C4" w:rsidRDefault="008D7A36" w:rsidP="008D7A36">
      <w:pPr>
        <w:pStyle w:val="Personnequisigne"/>
        <w:rPr>
          <w:noProof/>
        </w:rPr>
      </w:pPr>
      <w:r w:rsidRPr="00A858C4">
        <w:rPr>
          <w:noProof/>
        </w:rPr>
        <w:t>Formand</w:t>
      </w:r>
      <w:r w:rsidRPr="00A858C4">
        <w:rPr>
          <w:noProof/>
        </w:rPr>
        <w:tab/>
        <w:t>Formand</w:t>
      </w:r>
    </w:p>
    <w:p w14:paraId="3703B8EC" w14:textId="77777777" w:rsidR="00DF4478" w:rsidRPr="00A858C4" w:rsidRDefault="00DF4478">
      <w:pPr>
        <w:spacing w:before="0" w:after="200" w:line="276" w:lineRule="auto"/>
        <w:jc w:val="left"/>
        <w:rPr>
          <w:i/>
          <w:noProof/>
        </w:rPr>
      </w:pPr>
      <w:r w:rsidRPr="00A858C4">
        <w:rPr>
          <w:noProof/>
        </w:rPr>
        <w:br w:type="page"/>
      </w:r>
    </w:p>
    <w:p w14:paraId="24DA1678" w14:textId="77777777" w:rsidR="00DF4478" w:rsidRPr="00A858C4" w:rsidRDefault="00DF4478" w:rsidP="005D1D40">
      <w:pPr>
        <w:pStyle w:val="Fichefinanciretitre"/>
        <w:rPr>
          <w:noProof/>
        </w:rPr>
      </w:pPr>
      <w:r w:rsidRPr="00A858C4">
        <w:rPr>
          <w:noProof/>
        </w:rPr>
        <w:t>FINANSIERINGSOVERSIGT</w:t>
      </w:r>
    </w:p>
    <w:p w14:paraId="5D9CC02D" w14:textId="77777777" w:rsidR="00DF4478" w:rsidRPr="00A858C4" w:rsidRDefault="00DF4478" w:rsidP="00DF4478">
      <w:pPr>
        <w:rPr>
          <w:noProof/>
        </w:rPr>
      </w:pPr>
    </w:p>
    <w:p w14:paraId="61855C3B" w14:textId="77777777" w:rsidR="00DF4478" w:rsidRPr="00A858C4" w:rsidRDefault="00DF4478" w:rsidP="00DF4478">
      <w:pPr>
        <w:spacing w:before="0" w:after="200" w:line="276" w:lineRule="auto"/>
        <w:jc w:val="left"/>
        <w:rPr>
          <w:noProof/>
        </w:rPr>
      </w:pPr>
    </w:p>
    <w:sdt>
      <w:sdtPr>
        <w:rPr>
          <w:b w:val="0"/>
          <w:noProof/>
          <w:sz w:val="24"/>
        </w:rPr>
        <w:id w:val="-1567868634"/>
        <w:docPartObj>
          <w:docPartGallery w:val="Table of Contents"/>
          <w:docPartUnique/>
        </w:docPartObj>
      </w:sdtPr>
      <w:sdtEndPr>
        <w:rPr>
          <w:bCs/>
        </w:rPr>
      </w:sdtEndPr>
      <w:sdtContent>
        <w:p w14:paraId="0A7A8E94" w14:textId="48C32B34" w:rsidR="00D90B9F" w:rsidRPr="00D90B9F" w:rsidRDefault="00835E4E" w:rsidP="00D90B9F">
          <w:pPr>
            <w:pStyle w:val="TOCHeading"/>
            <w:rPr>
              <w:noProof/>
            </w:rPr>
          </w:pPr>
          <w:r>
            <w:rPr>
              <w:noProof/>
            </w:rPr>
            <w:t>Indholdsfortegnelse</w:t>
          </w:r>
          <w:r w:rsidR="00D90B9F">
            <w:rPr>
              <w:noProof/>
            </w:rPr>
            <w:fldChar w:fldCharType="begin"/>
          </w:r>
          <w:r w:rsidR="00D90B9F">
            <w:rPr>
              <w:noProof/>
            </w:rPr>
            <w:instrText xml:space="preserve"> TOC \o "1-3" \h \z \u </w:instrText>
          </w:r>
          <w:r w:rsidR="00D90B9F">
            <w:rPr>
              <w:noProof/>
            </w:rPr>
            <w:fldChar w:fldCharType="separate"/>
          </w:r>
        </w:p>
        <w:p w14:paraId="41D50921" w14:textId="3C1C5034" w:rsidR="00D90B9F" w:rsidRPr="00D90B9F" w:rsidRDefault="002217EE">
          <w:pPr>
            <w:pStyle w:val="TOC1"/>
            <w:rPr>
              <w:rFonts w:asciiTheme="minorHAnsi" w:eastAsiaTheme="minorEastAsia" w:hAnsiTheme="minorHAnsi" w:cstheme="minorBidi"/>
              <w:noProof/>
              <w:sz w:val="22"/>
              <w:lang w:eastAsia="da-DK"/>
            </w:rPr>
          </w:pPr>
          <w:hyperlink w:anchor="_Toc151133557" w:history="1">
            <w:r w:rsidR="00D90B9F" w:rsidRPr="00D90B9F">
              <w:rPr>
                <w:rStyle w:val="Hyperlink"/>
                <w:smallCaps/>
                <w:noProof/>
              </w:rPr>
              <w:t>1.</w:t>
            </w:r>
            <w:r w:rsidR="00D90B9F" w:rsidRPr="00D90B9F">
              <w:rPr>
                <w:rFonts w:asciiTheme="minorHAnsi" w:eastAsiaTheme="minorEastAsia" w:hAnsiTheme="minorHAnsi" w:cstheme="minorBidi"/>
                <w:noProof/>
                <w:sz w:val="22"/>
                <w:lang w:eastAsia="da-DK"/>
              </w:rPr>
              <w:tab/>
            </w:r>
            <w:r w:rsidR="00D90B9F" w:rsidRPr="00D90B9F">
              <w:rPr>
                <w:rStyle w:val="Hyperlink"/>
                <w:smallCaps/>
                <w:noProof/>
              </w:rPr>
              <w:t>FORSLAGETS/INITIATIVETS RAMME</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_Toc151133557 \h </w:instrText>
            </w:r>
            <w:r w:rsidR="00D90B9F" w:rsidRPr="00D90B9F">
              <w:rPr>
                <w:noProof/>
                <w:webHidden/>
              </w:rPr>
            </w:r>
            <w:r w:rsidR="00D90B9F" w:rsidRPr="00D90B9F">
              <w:rPr>
                <w:noProof/>
                <w:webHidden/>
              </w:rPr>
              <w:fldChar w:fldCharType="separate"/>
            </w:r>
            <w:r w:rsidR="00D90B9F" w:rsidRPr="00D90B9F">
              <w:rPr>
                <w:noProof/>
                <w:webHidden/>
              </w:rPr>
              <w:t>9</w:t>
            </w:r>
            <w:r w:rsidR="00D90B9F" w:rsidRPr="00D90B9F">
              <w:rPr>
                <w:noProof/>
                <w:webHidden/>
              </w:rPr>
              <w:fldChar w:fldCharType="end"/>
            </w:r>
          </w:hyperlink>
        </w:p>
        <w:p w14:paraId="24CC1999" w14:textId="0111930A" w:rsidR="00D90B9F" w:rsidRPr="00D90B9F" w:rsidRDefault="002217EE">
          <w:pPr>
            <w:pStyle w:val="TOC2"/>
            <w:rPr>
              <w:rFonts w:asciiTheme="minorHAnsi" w:eastAsiaTheme="minorEastAsia" w:hAnsiTheme="minorHAnsi" w:cstheme="minorBidi"/>
              <w:noProof/>
              <w:sz w:val="22"/>
              <w:lang w:eastAsia="da-DK"/>
            </w:rPr>
          </w:pPr>
          <w:hyperlink w:anchor="_Toc151133558" w:history="1">
            <w:r w:rsidR="00D90B9F" w:rsidRPr="00D90B9F">
              <w:rPr>
                <w:rStyle w:val="Hyperlink"/>
                <w:noProof/>
              </w:rPr>
              <w:t>1.1.</w:t>
            </w:r>
            <w:r w:rsidR="00D90B9F" w:rsidRPr="00D90B9F">
              <w:rPr>
                <w:rFonts w:asciiTheme="minorHAnsi" w:eastAsiaTheme="minorEastAsia" w:hAnsiTheme="minorHAnsi" w:cstheme="minorBidi"/>
                <w:noProof/>
                <w:sz w:val="22"/>
                <w:lang w:eastAsia="da-DK"/>
              </w:rPr>
              <w:tab/>
            </w:r>
            <w:r w:rsidR="00D90B9F" w:rsidRPr="00D90B9F">
              <w:rPr>
                <w:rStyle w:val="Hyperlink"/>
                <w:noProof/>
              </w:rPr>
              <w:t>Forslagets/initiativets betegnelse</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_Toc151133558 \h </w:instrText>
            </w:r>
            <w:r w:rsidR="00D90B9F" w:rsidRPr="00D90B9F">
              <w:rPr>
                <w:noProof/>
                <w:webHidden/>
              </w:rPr>
            </w:r>
            <w:r w:rsidR="00D90B9F" w:rsidRPr="00D90B9F">
              <w:rPr>
                <w:noProof/>
                <w:webHidden/>
              </w:rPr>
              <w:fldChar w:fldCharType="separate"/>
            </w:r>
            <w:r w:rsidR="00D90B9F" w:rsidRPr="00D90B9F">
              <w:rPr>
                <w:noProof/>
                <w:webHidden/>
              </w:rPr>
              <w:t>9</w:t>
            </w:r>
            <w:r w:rsidR="00D90B9F" w:rsidRPr="00D90B9F">
              <w:rPr>
                <w:noProof/>
                <w:webHidden/>
              </w:rPr>
              <w:fldChar w:fldCharType="end"/>
            </w:r>
          </w:hyperlink>
        </w:p>
        <w:p w14:paraId="44FEB78E" w14:textId="60030907" w:rsidR="00D90B9F" w:rsidRPr="00D90B9F" w:rsidRDefault="002217EE">
          <w:pPr>
            <w:pStyle w:val="TOC2"/>
            <w:rPr>
              <w:rFonts w:asciiTheme="minorHAnsi" w:eastAsiaTheme="minorEastAsia" w:hAnsiTheme="minorHAnsi" w:cstheme="minorBidi"/>
              <w:noProof/>
              <w:sz w:val="22"/>
              <w:lang w:eastAsia="da-DK"/>
            </w:rPr>
          </w:pPr>
          <w:hyperlink w:anchor="_Toc151133559" w:history="1">
            <w:r w:rsidR="00D90B9F" w:rsidRPr="00D90B9F">
              <w:rPr>
                <w:rStyle w:val="Hyperlink"/>
                <w:noProof/>
              </w:rPr>
              <w:t>1.2.</w:t>
            </w:r>
            <w:r w:rsidR="00D90B9F" w:rsidRPr="00D90B9F">
              <w:rPr>
                <w:rFonts w:asciiTheme="minorHAnsi" w:eastAsiaTheme="minorEastAsia" w:hAnsiTheme="minorHAnsi" w:cstheme="minorBidi"/>
                <w:noProof/>
                <w:sz w:val="22"/>
                <w:lang w:eastAsia="da-DK"/>
              </w:rPr>
              <w:tab/>
            </w:r>
            <w:r w:rsidR="00D90B9F" w:rsidRPr="00D90B9F">
              <w:rPr>
                <w:rStyle w:val="Hyperlink"/>
                <w:noProof/>
              </w:rPr>
              <w:t>Berørt(e) politikområde(r)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_Toc151133559 \h </w:instrText>
            </w:r>
            <w:r w:rsidR="00D90B9F" w:rsidRPr="00D90B9F">
              <w:rPr>
                <w:noProof/>
                <w:webHidden/>
              </w:rPr>
            </w:r>
            <w:r w:rsidR="00D90B9F" w:rsidRPr="00D90B9F">
              <w:rPr>
                <w:noProof/>
                <w:webHidden/>
              </w:rPr>
              <w:fldChar w:fldCharType="separate"/>
            </w:r>
            <w:r w:rsidR="00D90B9F" w:rsidRPr="00D90B9F">
              <w:rPr>
                <w:noProof/>
                <w:webHidden/>
              </w:rPr>
              <w:t>9</w:t>
            </w:r>
            <w:r w:rsidR="00D90B9F" w:rsidRPr="00D90B9F">
              <w:rPr>
                <w:noProof/>
                <w:webHidden/>
              </w:rPr>
              <w:fldChar w:fldCharType="end"/>
            </w:r>
          </w:hyperlink>
        </w:p>
        <w:p w14:paraId="7AD4AC88" w14:textId="6B1EC6B1" w:rsidR="00D90B9F" w:rsidRPr="00D90B9F" w:rsidRDefault="002217EE">
          <w:pPr>
            <w:pStyle w:val="TOC2"/>
            <w:rPr>
              <w:rFonts w:asciiTheme="minorHAnsi" w:eastAsiaTheme="minorEastAsia" w:hAnsiTheme="minorHAnsi" w:cstheme="minorBidi"/>
              <w:noProof/>
              <w:sz w:val="22"/>
              <w:lang w:eastAsia="da-DK"/>
            </w:rPr>
          </w:pPr>
          <w:hyperlink w:anchor="_Toc151133560" w:history="1">
            <w:r w:rsidR="00D90B9F" w:rsidRPr="00D90B9F">
              <w:rPr>
                <w:rStyle w:val="Hyperlink"/>
                <w:noProof/>
              </w:rPr>
              <w:t>1.3.</w:t>
            </w:r>
            <w:r w:rsidR="00D90B9F" w:rsidRPr="00D90B9F">
              <w:rPr>
                <w:rFonts w:asciiTheme="minorHAnsi" w:eastAsiaTheme="minorEastAsia" w:hAnsiTheme="minorHAnsi" w:cstheme="minorBidi"/>
                <w:noProof/>
                <w:sz w:val="22"/>
                <w:lang w:eastAsia="da-DK"/>
              </w:rPr>
              <w:tab/>
            </w:r>
            <w:r w:rsidR="00D90B9F" w:rsidRPr="00D90B9F">
              <w:rPr>
                <w:rStyle w:val="Hyperlink"/>
                <w:noProof/>
              </w:rPr>
              <w:t>Forslaget/initiativet vedrører: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_Toc151133560 \h </w:instrText>
            </w:r>
            <w:r w:rsidR="00D90B9F" w:rsidRPr="00D90B9F">
              <w:rPr>
                <w:noProof/>
                <w:webHidden/>
              </w:rPr>
            </w:r>
            <w:r w:rsidR="00D90B9F" w:rsidRPr="00D90B9F">
              <w:rPr>
                <w:noProof/>
                <w:webHidden/>
              </w:rPr>
              <w:fldChar w:fldCharType="separate"/>
            </w:r>
            <w:r w:rsidR="00D90B9F" w:rsidRPr="00D90B9F">
              <w:rPr>
                <w:noProof/>
                <w:webHidden/>
              </w:rPr>
              <w:t>9</w:t>
            </w:r>
            <w:r w:rsidR="00D90B9F" w:rsidRPr="00D90B9F">
              <w:rPr>
                <w:noProof/>
                <w:webHidden/>
              </w:rPr>
              <w:fldChar w:fldCharType="end"/>
            </w:r>
          </w:hyperlink>
        </w:p>
        <w:p w14:paraId="4BEBD777" w14:textId="1DD5F181" w:rsidR="00D90B9F" w:rsidRPr="00D90B9F" w:rsidRDefault="002217EE">
          <w:pPr>
            <w:pStyle w:val="TOC2"/>
            <w:rPr>
              <w:rFonts w:asciiTheme="minorHAnsi" w:eastAsiaTheme="minorEastAsia" w:hAnsiTheme="minorHAnsi" w:cstheme="minorBidi"/>
              <w:noProof/>
              <w:sz w:val="22"/>
              <w:lang w:eastAsia="da-DK"/>
            </w:rPr>
          </w:pPr>
          <w:hyperlink w:anchor="_Toc151133561" w:history="1">
            <w:r w:rsidR="00D90B9F" w:rsidRPr="00D90B9F">
              <w:rPr>
                <w:rStyle w:val="Hyperlink"/>
                <w:noProof/>
              </w:rPr>
              <w:t>1.4.</w:t>
            </w:r>
            <w:r w:rsidR="00D90B9F" w:rsidRPr="00D90B9F">
              <w:rPr>
                <w:rFonts w:asciiTheme="minorHAnsi" w:eastAsiaTheme="minorEastAsia" w:hAnsiTheme="minorHAnsi" w:cstheme="minorBidi"/>
                <w:noProof/>
                <w:sz w:val="22"/>
                <w:lang w:eastAsia="da-DK"/>
              </w:rPr>
              <w:tab/>
            </w:r>
            <w:r w:rsidR="00D90B9F" w:rsidRPr="00D90B9F">
              <w:rPr>
                <w:rStyle w:val="Hyperlink"/>
                <w:noProof/>
              </w:rPr>
              <w:t>Mål</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_Toc151133561 \h </w:instrText>
            </w:r>
            <w:r w:rsidR="00D90B9F" w:rsidRPr="00D90B9F">
              <w:rPr>
                <w:noProof/>
                <w:webHidden/>
              </w:rPr>
            </w:r>
            <w:r w:rsidR="00D90B9F" w:rsidRPr="00D90B9F">
              <w:rPr>
                <w:noProof/>
                <w:webHidden/>
              </w:rPr>
              <w:fldChar w:fldCharType="separate"/>
            </w:r>
            <w:r w:rsidR="00D90B9F" w:rsidRPr="00D90B9F">
              <w:rPr>
                <w:noProof/>
                <w:webHidden/>
              </w:rPr>
              <w:t>9</w:t>
            </w:r>
            <w:r w:rsidR="00D90B9F" w:rsidRPr="00D90B9F">
              <w:rPr>
                <w:noProof/>
                <w:webHidden/>
              </w:rPr>
              <w:fldChar w:fldCharType="end"/>
            </w:r>
          </w:hyperlink>
        </w:p>
        <w:p w14:paraId="31B5C606" w14:textId="74AA6D37" w:rsidR="00D90B9F" w:rsidRPr="00D90B9F" w:rsidRDefault="002217EE">
          <w:pPr>
            <w:pStyle w:val="TOC3"/>
            <w:rPr>
              <w:rFonts w:asciiTheme="minorHAnsi" w:eastAsiaTheme="minorEastAsia" w:hAnsiTheme="minorHAnsi" w:cstheme="minorBidi"/>
              <w:noProof/>
              <w:sz w:val="22"/>
              <w:lang w:eastAsia="da-DK"/>
            </w:rPr>
          </w:pPr>
          <w:hyperlink w:anchor="_Toc151133562" w:history="1">
            <w:r w:rsidR="00D90B9F" w:rsidRPr="00D90B9F">
              <w:rPr>
                <w:rStyle w:val="Hyperlink"/>
                <w:noProof/>
              </w:rPr>
              <w:t>1.4.1.</w:t>
            </w:r>
            <w:r w:rsidR="00D90B9F" w:rsidRPr="00D90B9F">
              <w:rPr>
                <w:rFonts w:asciiTheme="minorHAnsi" w:eastAsiaTheme="minorEastAsia" w:hAnsiTheme="minorHAnsi" w:cstheme="minorBidi"/>
                <w:noProof/>
                <w:sz w:val="22"/>
                <w:lang w:eastAsia="da-DK"/>
              </w:rPr>
              <w:tab/>
            </w:r>
            <w:r w:rsidR="00D90B9F" w:rsidRPr="00D90B9F">
              <w:rPr>
                <w:rStyle w:val="Hyperlink"/>
                <w:noProof/>
              </w:rPr>
              <w:t>Generelt/generelle mål</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_Toc151133562 \h </w:instrText>
            </w:r>
            <w:r w:rsidR="00D90B9F" w:rsidRPr="00D90B9F">
              <w:rPr>
                <w:noProof/>
                <w:webHidden/>
              </w:rPr>
            </w:r>
            <w:r w:rsidR="00D90B9F" w:rsidRPr="00D90B9F">
              <w:rPr>
                <w:noProof/>
                <w:webHidden/>
              </w:rPr>
              <w:fldChar w:fldCharType="separate"/>
            </w:r>
            <w:r w:rsidR="00D90B9F" w:rsidRPr="00D90B9F">
              <w:rPr>
                <w:noProof/>
                <w:webHidden/>
              </w:rPr>
              <w:t>9</w:t>
            </w:r>
            <w:r w:rsidR="00D90B9F" w:rsidRPr="00D90B9F">
              <w:rPr>
                <w:noProof/>
                <w:webHidden/>
              </w:rPr>
              <w:fldChar w:fldCharType="end"/>
            </w:r>
          </w:hyperlink>
        </w:p>
        <w:p w14:paraId="257AAD32" w14:textId="7F5202A0" w:rsidR="00D90B9F" w:rsidRPr="00D90B9F" w:rsidRDefault="002217EE">
          <w:pPr>
            <w:pStyle w:val="TOC3"/>
            <w:rPr>
              <w:rFonts w:asciiTheme="minorHAnsi" w:eastAsiaTheme="minorEastAsia" w:hAnsiTheme="minorHAnsi" w:cstheme="minorBidi"/>
              <w:noProof/>
              <w:sz w:val="22"/>
              <w:lang w:eastAsia="da-DK"/>
            </w:rPr>
          </w:pPr>
          <w:hyperlink w:anchor="_Toc151133563" w:history="1">
            <w:r w:rsidR="00D90B9F" w:rsidRPr="00D90B9F">
              <w:rPr>
                <w:rStyle w:val="Hyperlink"/>
                <w:noProof/>
              </w:rPr>
              <w:t>1.4.2.</w:t>
            </w:r>
            <w:r w:rsidR="00D90B9F" w:rsidRPr="00D90B9F">
              <w:rPr>
                <w:rFonts w:asciiTheme="minorHAnsi" w:eastAsiaTheme="minorEastAsia" w:hAnsiTheme="minorHAnsi" w:cstheme="minorBidi"/>
                <w:noProof/>
                <w:sz w:val="22"/>
                <w:lang w:eastAsia="da-DK"/>
              </w:rPr>
              <w:tab/>
            </w:r>
            <w:r w:rsidR="00D90B9F" w:rsidRPr="00D90B9F">
              <w:rPr>
                <w:rStyle w:val="Hyperlink"/>
                <w:noProof/>
              </w:rPr>
              <w:t>Specifikt/specifikke mål</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_Toc151133563 \h </w:instrText>
            </w:r>
            <w:r w:rsidR="00D90B9F" w:rsidRPr="00D90B9F">
              <w:rPr>
                <w:noProof/>
                <w:webHidden/>
              </w:rPr>
            </w:r>
            <w:r w:rsidR="00D90B9F" w:rsidRPr="00D90B9F">
              <w:rPr>
                <w:noProof/>
                <w:webHidden/>
              </w:rPr>
              <w:fldChar w:fldCharType="separate"/>
            </w:r>
            <w:r w:rsidR="00D90B9F" w:rsidRPr="00D90B9F">
              <w:rPr>
                <w:noProof/>
                <w:webHidden/>
              </w:rPr>
              <w:t>9</w:t>
            </w:r>
            <w:r w:rsidR="00D90B9F" w:rsidRPr="00D90B9F">
              <w:rPr>
                <w:noProof/>
                <w:webHidden/>
              </w:rPr>
              <w:fldChar w:fldCharType="end"/>
            </w:r>
          </w:hyperlink>
        </w:p>
        <w:p w14:paraId="6E5328E9" w14:textId="1946B53C" w:rsidR="00D90B9F" w:rsidRPr="00D90B9F" w:rsidRDefault="002217EE">
          <w:pPr>
            <w:pStyle w:val="TOC3"/>
            <w:rPr>
              <w:rFonts w:asciiTheme="minorHAnsi" w:eastAsiaTheme="minorEastAsia" w:hAnsiTheme="minorHAnsi" w:cstheme="minorBidi"/>
              <w:noProof/>
              <w:sz w:val="22"/>
              <w:lang w:eastAsia="da-DK"/>
            </w:rPr>
          </w:pPr>
          <w:hyperlink w:anchor="_Toc151133564" w:history="1">
            <w:r w:rsidR="00D90B9F" w:rsidRPr="00D90B9F">
              <w:rPr>
                <w:rStyle w:val="Hyperlink"/>
                <w:noProof/>
              </w:rPr>
              <w:t>1.4.3.</w:t>
            </w:r>
            <w:r w:rsidR="00D90B9F" w:rsidRPr="00D90B9F">
              <w:rPr>
                <w:rFonts w:asciiTheme="minorHAnsi" w:eastAsiaTheme="minorEastAsia" w:hAnsiTheme="minorHAnsi" w:cstheme="minorBidi"/>
                <w:noProof/>
                <w:sz w:val="22"/>
                <w:lang w:eastAsia="da-DK"/>
              </w:rPr>
              <w:tab/>
            </w:r>
            <w:r w:rsidR="00D90B9F" w:rsidRPr="00D90B9F">
              <w:rPr>
                <w:rStyle w:val="Hyperlink"/>
                <w:noProof/>
              </w:rPr>
              <w:t>Forventet/forventede resultat(er) og virkning(er)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_Toc151133564 \h </w:instrText>
            </w:r>
            <w:r w:rsidR="00D90B9F" w:rsidRPr="00D90B9F">
              <w:rPr>
                <w:noProof/>
                <w:webHidden/>
              </w:rPr>
            </w:r>
            <w:r w:rsidR="00D90B9F" w:rsidRPr="00D90B9F">
              <w:rPr>
                <w:noProof/>
                <w:webHidden/>
              </w:rPr>
              <w:fldChar w:fldCharType="separate"/>
            </w:r>
            <w:r w:rsidR="00D90B9F" w:rsidRPr="00D90B9F">
              <w:rPr>
                <w:noProof/>
                <w:webHidden/>
              </w:rPr>
              <w:t>9</w:t>
            </w:r>
            <w:r w:rsidR="00D90B9F" w:rsidRPr="00D90B9F">
              <w:rPr>
                <w:noProof/>
                <w:webHidden/>
              </w:rPr>
              <w:fldChar w:fldCharType="end"/>
            </w:r>
          </w:hyperlink>
        </w:p>
        <w:p w14:paraId="07555302" w14:textId="64C17F76" w:rsidR="00D90B9F" w:rsidRPr="00D90B9F" w:rsidRDefault="002217EE">
          <w:pPr>
            <w:pStyle w:val="TOC3"/>
            <w:rPr>
              <w:rFonts w:asciiTheme="minorHAnsi" w:eastAsiaTheme="minorEastAsia" w:hAnsiTheme="minorHAnsi" w:cstheme="minorBidi"/>
              <w:noProof/>
              <w:sz w:val="22"/>
              <w:lang w:eastAsia="da-DK"/>
            </w:rPr>
          </w:pPr>
          <w:hyperlink w:anchor="_Toc151133565" w:history="1">
            <w:r w:rsidR="00D90B9F" w:rsidRPr="00D90B9F">
              <w:rPr>
                <w:rStyle w:val="Hyperlink"/>
                <w:noProof/>
              </w:rPr>
              <w:t>1.4.4.</w:t>
            </w:r>
            <w:r w:rsidR="00D90B9F" w:rsidRPr="00D90B9F">
              <w:rPr>
                <w:rFonts w:asciiTheme="minorHAnsi" w:eastAsiaTheme="minorEastAsia" w:hAnsiTheme="minorHAnsi" w:cstheme="minorBidi"/>
                <w:noProof/>
                <w:sz w:val="22"/>
                <w:lang w:eastAsia="da-DK"/>
              </w:rPr>
              <w:tab/>
            </w:r>
            <w:r w:rsidR="00D90B9F" w:rsidRPr="00D90B9F">
              <w:rPr>
                <w:rStyle w:val="Hyperlink"/>
                <w:noProof/>
              </w:rPr>
              <w:t>Resultatindikatorer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_Toc151133565 \h </w:instrText>
            </w:r>
            <w:r w:rsidR="00D90B9F" w:rsidRPr="00D90B9F">
              <w:rPr>
                <w:noProof/>
                <w:webHidden/>
              </w:rPr>
            </w:r>
            <w:r w:rsidR="00D90B9F" w:rsidRPr="00D90B9F">
              <w:rPr>
                <w:noProof/>
                <w:webHidden/>
              </w:rPr>
              <w:fldChar w:fldCharType="separate"/>
            </w:r>
            <w:r w:rsidR="00D90B9F" w:rsidRPr="00D90B9F">
              <w:rPr>
                <w:noProof/>
                <w:webHidden/>
              </w:rPr>
              <w:t>9</w:t>
            </w:r>
            <w:r w:rsidR="00D90B9F" w:rsidRPr="00D90B9F">
              <w:rPr>
                <w:noProof/>
                <w:webHidden/>
              </w:rPr>
              <w:fldChar w:fldCharType="end"/>
            </w:r>
          </w:hyperlink>
        </w:p>
        <w:p w14:paraId="6F5E179D" w14:textId="66269C24" w:rsidR="00D90B9F" w:rsidRPr="00D90B9F" w:rsidRDefault="002217EE">
          <w:pPr>
            <w:pStyle w:val="TOC2"/>
            <w:rPr>
              <w:rFonts w:asciiTheme="minorHAnsi" w:eastAsiaTheme="minorEastAsia" w:hAnsiTheme="minorHAnsi" w:cstheme="minorBidi"/>
              <w:noProof/>
              <w:sz w:val="22"/>
              <w:lang w:eastAsia="da-DK"/>
            </w:rPr>
          </w:pPr>
          <w:hyperlink w:anchor="_Toc151133566" w:history="1">
            <w:r w:rsidR="00D90B9F" w:rsidRPr="00D90B9F">
              <w:rPr>
                <w:rStyle w:val="Hyperlink"/>
                <w:noProof/>
              </w:rPr>
              <w:t>1.5.</w:t>
            </w:r>
            <w:r w:rsidR="00D90B9F" w:rsidRPr="00D90B9F">
              <w:rPr>
                <w:rFonts w:asciiTheme="minorHAnsi" w:eastAsiaTheme="minorEastAsia" w:hAnsiTheme="minorHAnsi" w:cstheme="minorBidi"/>
                <w:noProof/>
                <w:sz w:val="22"/>
                <w:lang w:eastAsia="da-DK"/>
              </w:rPr>
              <w:tab/>
            </w:r>
            <w:r w:rsidR="00D90B9F" w:rsidRPr="00D90B9F">
              <w:rPr>
                <w:rStyle w:val="Hyperlink"/>
                <w:noProof/>
              </w:rPr>
              <w:t>Begrundelse for forslaget/initiativet</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_Toc151133566 \h </w:instrText>
            </w:r>
            <w:r w:rsidR="00D90B9F" w:rsidRPr="00D90B9F">
              <w:rPr>
                <w:noProof/>
                <w:webHidden/>
              </w:rPr>
            </w:r>
            <w:r w:rsidR="00D90B9F" w:rsidRPr="00D90B9F">
              <w:rPr>
                <w:noProof/>
                <w:webHidden/>
              </w:rPr>
              <w:fldChar w:fldCharType="separate"/>
            </w:r>
            <w:r w:rsidR="00D90B9F" w:rsidRPr="00D90B9F">
              <w:rPr>
                <w:noProof/>
                <w:webHidden/>
              </w:rPr>
              <w:t>10</w:t>
            </w:r>
            <w:r w:rsidR="00D90B9F" w:rsidRPr="00D90B9F">
              <w:rPr>
                <w:noProof/>
                <w:webHidden/>
              </w:rPr>
              <w:fldChar w:fldCharType="end"/>
            </w:r>
          </w:hyperlink>
        </w:p>
        <w:p w14:paraId="07BCE277" w14:textId="0B66EAA4" w:rsidR="00D90B9F" w:rsidRPr="00D90B9F" w:rsidRDefault="002217EE">
          <w:pPr>
            <w:pStyle w:val="TOC3"/>
            <w:rPr>
              <w:rFonts w:asciiTheme="minorHAnsi" w:eastAsiaTheme="minorEastAsia" w:hAnsiTheme="minorHAnsi" w:cstheme="minorBidi"/>
              <w:noProof/>
              <w:sz w:val="22"/>
              <w:lang w:eastAsia="da-DK"/>
            </w:rPr>
          </w:pPr>
          <w:hyperlink w:anchor="_Toc151133567" w:history="1">
            <w:r w:rsidR="00D90B9F" w:rsidRPr="00D90B9F">
              <w:rPr>
                <w:rStyle w:val="Hyperlink"/>
                <w:noProof/>
              </w:rPr>
              <w:t>1.5.1.</w:t>
            </w:r>
            <w:r w:rsidR="00D90B9F" w:rsidRPr="00D90B9F">
              <w:rPr>
                <w:rFonts w:asciiTheme="minorHAnsi" w:eastAsiaTheme="minorEastAsia" w:hAnsiTheme="minorHAnsi" w:cstheme="minorBidi"/>
                <w:noProof/>
                <w:sz w:val="22"/>
                <w:lang w:eastAsia="da-DK"/>
              </w:rPr>
              <w:tab/>
            </w:r>
            <w:r w:rsidR="00D90B9F" w:rsidRPr="00D90B9F">
              <w:rPr>
                <w:rStyle w:val="Hyperlink"/>
                <w:noProof/>
              </w:rPr>
              <w:t>Behov, der skal opfyldes på kort eller lang sigt, herunder en detaljeret tidsplan for iværksættelsen af initiativet</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_Toc151133567 \h </w:instrText>
            </w:r>
            <w:r w:rsidR="00D90B9F" w:rsidRPr="00D90B9F">
              <w:rPr>
                <w:noProof/>
                <w:webHidden/>
              </w:rPr>
            </w:r>
            <w:r w:rsidR="00D90B9F" w:rsidRPr="00D90B9F">
              <w:rPr>
                <w:noProof/>
                <w:webHidden/>
              </w:rPr>
              <w:fldChar w:fldCharType="separate"/>
            </w:r>
            <w:r w:rsidR="00D90B9F" w:rsidRPr="00D90B9F">
              <w:rPr>
                <w:noProof/>
                <w:webHidden/>
              </w:rPr>
              <w:t>10</w:t>
            </w:r>
            <w:r w:rsidR="00D90B9F" w:rsidRPr="00D90B9F">
              <w:rPr>
                <w:noProof/>
                <w:webHidden/>
              </w:rPr>
              <w:fldChar w:fldCharType="end"/>
            </w:r>
          </w:hyperlink>
        </w:p>
        <w:p w14:paraId="7448AF97" w14:textId="431CEE84" w:rsidR="00D90B9F" w:rsidRPr="00D90B9F" w:rsidRDefault="002217EE">
          <w:pPr>
            <w:pStyle w:val="TOC3"/>
            <w:rPr>
              <w:rFonts w:asciiTheme="minorHAnsi" w:eastAsiaTheme="minorEastAsia" w:hAnsiTheme="minorHAnsi" w:cstheme="minorBidi"/>
              <w:noProof/>
              <w:sz w:val="22"/>
              <w:lang w:eastAsia="da-DK"/>
            </w:rPr>
          </w:pPr>
          <w:hyperlink w:anchor="_Toc151133568" w:history="1">
            <w:r w:rsidR="00D90B9F" w:rsidRPr="00D90B9F">
              <w:rPr>
                <w:rStyle w:val="Hyperlink"/>
                <w:noProof/>
              </w:rPr>
              <w:t>1.5.2.</w:t>
            </w:r>
            <w:r w:rsidR="00D90B9F" w:rsidRPr="00D90B9F">
              <w:rPr>
                <w:rFonts w:asciiTheme="minorHAnsi" w:eastAsiaTheme="minorEastAsia" w:hAnsiTheme="minorHAnsi" w:cstheme="minorBidi"/>
                <w:noProof/>
                <w:sz w:val="22"/>
                <w:lang w:eastAsia="da-DK"/>
              </w:rPr>
              <w:tab/>
            </w:r>
            <w:r w:rsidR="00D90B9F" w:rsidRPr="00D90B9F">
              <w:rPr>
                <w:rStyle w:val="Hyperlink"/>
                <w:noProof/>
              </w:rPr>
              <w:t>Merværdien ved et EU-tiltag (f.eks. som følge af koordineringsfordele, retssikkerhed, større effekt eller komplementaritet). Ved "merværdien ved et EU-tiltag" forstås her merværdien af EU's intervention i forhold til den værdi, som medlemsstaterne ville have skabt enkeltvis</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_Toc151133568 \h </w:instrText>
            </w:r>
            <w:r w:rsidR="00D90B9F" w:rsidRPr="00D90B9F">
              <w:rPr>
                <w:noProof/>
                <w:webHidden/>
              </w:rPr>
            </w:r>
            <w:r w:rsidR="00D90B9F" w:rsidRPr="00D90B9F">
              <w:rPr>
                <w:noProof/>
                <w:webHidden/>
              </w:rPr>
              <w:fldChar w:fldCharType="separate"/>
            </w:r>
            <w:r w:rsidR="00D90B9F" w:rsidRPr="00D90B9F">
              <w:rPr>
                <w:noProof/>
                <w:webHidden/>
              </w:rPr>
              <w:t>10</w:t>
            </w:r>
            <w:r w:rsidR="00D90B9F" w:rsidRPr="00D90B9F">
              <w:rPr>
                <w:noProof/>
                <w:webHidden/>
              </w:rPr>
              <w:fldChar w:fldCharType="end"/>
            </w:r>
          </w:hyperlink>
        </w:p>
        <w:p w14:paraId="2385352F" w14:textId="2E02DB6B" w:rsidR="00D90B9F" w:rsidRPr="00D90B9F" w:rsidRDefault="002217EE">
          <w:pPr>
            <w:pStyle w:val="TOC3"/>
            <w:rPr>
              <w:rFonts w:asciiTheme="minorHAnsi" w:eastAsiaTheme="minorEastAsia" w:hAnsiTheme="minorHAnsi" w:cstheme="minorBidi"/>
              <w:noProof/>
              <w:sz w:val="22"/>
              <w:lang w:eastAsia="da-DK"/>
            </w:rPr>
          </w:pPr>
          <w:hyperlink w:anchor="_Toc151133569" w:history="1">
            <w:r w:rsidR="00D90B9F" w:rsidRPr="00D90B9F">
              <w:rPr>
                <w:rStyle w:val="Hyperlink"/>
                <w:noProof/>
              </w:rPr>
              <w:t>1.5.3.</w:t>
            </w:r>
            <w:r w:rsidR="00D90B9F" w:rsidRPr="00D90B9F">
              <w:rPr>
                <w:rFonts w:asciiTheme="minorHAnsi" w:eastAsiaTheme="minorEastAsia" w:hAnsiTheme="minorHAnsi" w:cstheme="minorBidi"/>
                <w:noProof/>
                <w:sz w:val="22"/>
                <w:lang w:eastAsia="da-DK"/>
              </w:rPr>
              <w:tab/>
            </w:r>
            <w:r w:rsidR="00D90B9F" w:rsidRPr="00D90B9F">
              <w:rPr>
                <w:rStyle w:val="Hyperlink"/>
                <w:noProof/>
              </w:rPr>
              <w:t>Erfaringer fra tidligere foranstaltninger af lignende art</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_Toc151133569 \h </w:instrText>
            </w:r>
            <w:r w:rsidR="00D90B9F" w:rsidRPr="00D90B9F">
              <w:rPr>
                <w:noProof/>
                <w:webHidden/>
              </w:rPr>
            </w:r>
            <w:r w:rsidR="00D90B9F" w:rsidRPr="00D90B9F">
              <w:rPr>
                <w:noProof/>
                <w:webHidden/>
              </w:rPr>
              <w:fldChar w:fldCharType="separate"/>
            </w:r>
            <w:r w:rsidR="00D90B9F" w:rsidRPr="00D90B9F">
              <w:rPr>
                <w:noProof/>
                <w:webHidden/>
              </w:rPr>
              <w:t>10</w:t>
            </w:r>
            <w:r w:rsidR="00D90B9F" w:rsidRPr="00D90B9F">
              <w:rPr>
                <w:noProof/>
                <w:webHidden/>
              </w:rPr>
              <w:fldChar w:fldCharType="end"/>
            </w:r>
          </w:hyperlink>
        </w:p>
        <w:p w14:paraId="48561355" w14:textId="72394565" w:rsidR="00D90B9F" w:rsidRPr="00D90B9F" w:rsidRDefault="002217EE">
          <w:pPr>
            <w:pStyle w:val="TOC3"/>
            <w:rPr>
              <w:rFonts w:asciiTheme="minorHAnsi" w:eastAsiaTheme="minorEastAsia" w:hAnsiTheme="minorHAnsi" w:cstheme="minorBidi"/>
              <w:noProof/>
              <w:sz w:val="22"/>
              <w:lang w:eastAsia="da-DK"/>
            </w:rPr>
          </w:pPr>
          <w:hyperlink w:anchor="_Toc151133570" w:history="1">
            <w:r w:rsidR="00D90B9F" w:rsidRPr="00D90B9F">
              <w:rPr>
                <w:rStyle w:val="Hyperlink"/>
                <w:noProof/>
              </w:rPr>
              <w:t>1.5.4.</w:t>
            </w:r>
            <w:r w:rsidR="00D90B9F" w:rsidRPr="00D90B9F">
              <w:rPr>
                <w:rFonts w:asciiTheme="minorHAnsi" w:eastAsiaTheme="minorEastAsia" w:hAnsiTheme="minorHAnsi" w:cstheme="minorBidi"/>
                <w:noProof/>
                <w:sz w:val="22"/>
                <w:lang w:eastAsia="da-DK"/>
              </w:rPr>
              <w:tab/>
            </w:r>
            <w:r w:rsidR="00D90B9F" w:rsidRPr="00D90B9F">
              <w:rPr>
                <w:rStyle w:val="Hyperlink"/>
                <w:noProof/>
              </w:rPr>
              <w:t>Forenelighed med den flerårige finansielle ramme og mulige synergivirkninger med andre relevante instrumenter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_Toc151133570 \h </w:instrText>
            </w:r>
            <w:r w:rsidR="00D90B9F" w:rsidRPr="00D90B9F">
              <w:rPr>
                <w:noProof/>
                <w:webHidden/>
              </w:rPr>
            </w:r>
            <w:r w:rsidR="00D90B9F" w:rsidRPr="00D90B9F">
              <w:rPr>
                <w:noProof/>
                <w:webHidden/>
              </w:rPr>
              <w:fldChar w:fldCharType="separate"/>
            </w:r>
            <w:r w:rsidR="00D90B9F" w:rsidRPr="00D90B9F">
              <w:rPr>
                <w:noProof/>
                <w:webHidden/>
              </w:rPr>
              <w:t>11</w:t>
            </w:r>
            <w:r w:rsidR="00D90B9F" w:rsidRPr="00D90B9F">
              <w:rPr>
                <w:noProof/>
                <w:webHidden/>
              </w:rPr>
              <w:fldChar w:fldCharType="end"/>
            </w:r>
          </w:hyperlink>
        </w:p>
        <w:p w14:paraId="293073C1" w14:textId="48EC9CBE" w:rsidR="00D90B9F" w:rsidRPr="00D90B9F" w:rsidRDefault="002217EE">
          <w:pPr>
            <w:pStyle w:val="TOC3"/>
            <w:rPr>
              <w:rFonts w:asciiTheme="minorHAnsi" w:eastAsiaTheme="minorEastAsia" w:hAnsiTheme="minorHAnsi" w:cstheme="minorBidi"/>
              <w:noProof/>
              <w:sz w:val="22"/>
              <w:lang w:eastAsia="da-DK"/>
            </w:rPr>
          </w:pPr>
          <w:hyperlink w:anchor="_Toc151133571" w:history="1">
            <w:r w:rsidR="00D90B9F" w:rsidRPr="00D90B9F">
              <w:rPr>
                <w:rStyle w:val="Hyperlink"/>
                <w:noProof/>
              </w:rPr>
              <w:t>1.5.5.</w:t>
            </w:r>
            <w:r w:rsidR="00D90B9F" w:rsidRPr="00D90B9F">
              <w:rPr>
                <w:rFonts w:asciiTheme="minorHAnsi" w:eastAsiaTheme="minorEastAsia" w:hAnsiTheme="minorHAnsi" w:cstheme="minorBidi"/>
                <w:noProof/>
                <w:sz w:val="22"/>
                <w:lang w:eastAsia="da-DK"/>
              </w:rPr>
              <w:tab/>
            </w:r>
            <w:r w:rsidR="00D90B9F" w:rsidRPr="00D90B9F">
              <w:rPr>
                <w:rStyle w:val="Hyperlink"/>
                <w:noProof/>
              </w:rPr>
              <w:t>Vurdering af de forskellige finansieringsmuligheder, der er til rådighed, herunder muligheden for omfordeling</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_Toc151133571 \h </w:instrText>
            </w:r>
            <w:r w:rsidR="00D90B9F" w:rsidRPr="00D90B9F">
              <w:rPr>
                <w:noProof/>
                <w:webHidden/>
              </w:rPr>
            </w:r>
            <w:r w:rsidR="00D90B9F" w:rsidRPr="00D90B9F">
              <w:rPr>
                <w:noProof/>
                <w:webHidden/>
              </w:rPr>
              <w:fldChar w:fldCharType="separate"/>
            </w:r>
            <w:r w:rsidR="00D90B9F" w:rsidRPr="00D90B9F">
              <w:rPr>
                <w:noProof/>
                <w:webHidden/>
              </w:rPr>
              <w:t>11</w:t>
            </w:r>
            <w:r w:rsidR="00D90B9F" w:rsidRPr="00D90B9F">
              <w:rPr>
                <w:noProof/>
                <w:webHidden/>
              </w:rPr>
              <w:fldChar w:fldCharType="end"/>
            </w:r>
          </w:hyperlink>
        </w:p>
        <w:p w14:paraId="42D57EB7" w14:textId="3F7C4CBD" w:rsidR="00D90B9F" w:rsidRPr="00D90B9F" w:rsidRDefault="002217EE">
          <w:pPr>
            <w:pStyle w:val="TOC2"/>
            <w:rPr>
              <w:rFonts w:asciiTheme="minorHAnsi" w:eastAsiaTheme="minorEastAsia" w:hAnsiTheme="minorHAnsi" w:cstheme="minorBidi"/>
              <w:noProof/>
              <w:sz w:val="22"/>
              <w:lang w:eastAsia="da-DK"/>
            </w:rPr>
          </w:pPr>
          <w:hyperlink w:anchor="_Toc151133572" w:history="1">
            <w:r w:rsidR="00D90B9F" w:rsidRPr="00D90B9F">
              <w:rPr>
                <w:rStyle w:val="Hyperlink"/>
                <w:noProof/>
              </w:rPr>
              <w:t>1.6.</w:t>
            </w:r>
            <w:r w:rsidR="00D90B9F" w:rsidRPr="00D90B9F">
              <w:rPr>
                <w:rFonts w:asciiTheme="minorHAnsi" w:eastAsiaTheme="minorEastAsia" w:hAnsiTheme="minorHAnsi" w:cstheme="minorBidi"/>
                <w:noProof/>
                <w:sz w:val="22"/>
                <w:lang w:eastAsia="da-DK"/>
              </w:rPr>
              <w:tab/>
            </w:r>
            <w:r w:rsidR="00D90B9F" w:rsidRPr="00D90B9F">
              <w:rPr>
                <w:rStyle w:val="Hyperlink"/>
                <w:noProof/>
              </w:rPr>
              <w:t>Forslagets/initiativets varighed og finansielle virkninger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_Toc151133572 \h </w:instrText>
            </w:r>
            <w:r w:rsidR="00D90B9F" w:rsidRPr="00D90B9F">
              <w:rPr>
                <w:noProof/>
                <w:webHidden/>
              </w:rPr>
            </w:r>
            <w:r w:rsidR="00D90B9F" w:rsidRPr="00D90B9F">
              <w:rPr>
                <w:noProof/>
                <w:webHidden/>
              </w:rPr>
              <w:fldChar w:fldCharType="separate"/>
            </w:r>
            <w:r w:rsidR="00D90B9F" w:rsidRPr="00D90B9F">
              <w:rPr>
                <w:noProof/>
                <w:webHidden/>
              </w:rPr>
              <w:t>12</w:t>
            </w:r>
            <w:r w:rsidR="00D90B9F" w:rsidRPr="00D90B9F">
              <w:rPr>
                <w:noProof/>
                <w:webHidden/>
              </w:rPr>
              <w:fldChar w:fldCharType="end"/>
            </w:r>
          </w:hyperlink>
        </w:p>
        <w:p w14:paraId="136B16E3" w14:textId="55352EEE" w:rsidR="00D90B9F" w:rsidRPr="00D90B9F" w:rsidRDefault="002217EE">
          <w:pPr>
            <w:pStyle w:val="TOC2"/>
            <w:rPr>
              <w:rFonts w:asciiTheme="minorHAnsi" w:eastAsiaTheme="minorEastAsia" w:hAnsiTheme="minorHAnsi" w:cstheme="minorBidi"/>
              <w:noProof/>
              <w:sz w:val="22"/>
              <w:lang w:eastAsia="da-DK"/>
            </w:rPr>
          </w:pPr>
          <w:hyperlink w:anchor="_Toc151133573" w:history="1">
            <w:r w:rsidR="00D90B9F" w:rsidRPr="00D90B9F">
              <w:rPr>
                <w:rStyle w:val="Hyperlink"/>
                <w:noProof/>
              </w:rPr>
              <w:t>1.7.</w:t>
            </w:r>
            <w:r w:rsidR="00D90B9F" w:rsidRPr="00D90B9F">
              <w:rPr>
                <w:rFonts w:asciiTheme="minorHAnsi" w:eastAsiaTheme="minorEastAsia" w:hAnsiTheme="minorHAnsi" w:cstheme="minorBidi"/>
                <w:noProof/>
                <w:sz w:val="22"/>
                <w:lang w:eastAsia="da-DK"/>
              </w:rPr>
              <w:tab/>
            </w:r>
            <w:r w:rsidR="00D90B9F" w:rsidRPr="00D90B9F">
              <w:rPr>
                <w:rStyle w:val="Hyperlink"/>
                <w:noProof/>
              </w:rPr>
              <w:t>Planlagt(e) budgetgennemførelsesmetode(r) </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_Toc151133573 \h </w:instrText>
            </w:r>
            <w:r w:rsidR="00D90B9F" w:rsidRPr="00D90B9F">
              <w:rPr>
                <w:noProof/>
                <w:webHidden/>
              </w:rPr>
            </w:r>
            <w:r w:rsidR="00D90B9F" w:rsidRPr="00D90B9F">
              <w:rPr>
                <w:noProof/>
                <w:webHidden/>
              </w:rPr>
              <w:fldChar w:fldCharType="separate"/>
            </w:r>
            <w:r w:rsidR="00D90B9F" w:rsidRPr="00D90B9F">
              <w:rPr>
                <w:noProof/>
                <w:webHidden/>
              </w:rPr>
              <w:t>12</w:t>
            </w:r>
            <w:r w:rsidR="00D90B9F" w:rsidRPr="00D90B9F">
              <w:rPr>
                <w:noProof/>
                <w:webHidden/>
              </w:rPr>
              <w:fldChar w:fldCharType="end"/>
            </w:r>
          </w:hyperlink>
        </w:p>
        <w:p w14:paraId="0E59C53B" w14:textId="19832B2F" w:rsidR="00D90B9F" w:rsidRPr="00D90B9F" w:rsidRDefault="002217EE">
          <w:pPr>
            <w:pStyle w:val="TOC1"/>
            <w:rPr>
              <w:rFonts w:asciiTheme="minorHAnsi" w:eastAsiaTheme="minorEastAsia" w:hAnsiTheme="minorHAnsi" w:cstheme="minorBidi"/>
              <w:noProof/>
              <w:sz w:val="22"/>
              <w:lang w:eastAsia="da-DK"/>
            </w:rPr>
          </w:pPr>
          <w:hyperlink w:anchor="_Toc151133574" w:history="1">
            <w:r w:rsidR="00D90B9F" w:rsidRPr="00D90B9F">
              <w:rPr>
                <w:rStyle w:val="Hyperlink"/>
                <w:smallCaps/>
                <w:noProof/>
              </w:rPr>
              <w:t>2.</w:t>
            </w:r>
            <w:r w:rsidR="00D90B9F" w:rsidRPr="00D90B9F">
              <w:rPr>
                <w:rFonts w:asciiTheme="minorHAnsi" w:eastAsiaTheme="minorEastAsia" w:hAnsiTheme="minorHAnsi" w:cstheme="minorBidi"/>
                <w:noProof/>
                <w:sz w:val="22"/>
                <w:lang w:eastAsia="da-DK"/>
              </w:rPr>
              <w:tab/>
            </w:r>
            <w:r w:rsidR="00D90B9F" w:rsidRPr="00D90B9F">
              <w:rPr>
                <w:rStyle w:val="Hyperlink"/>
                <w:smallCaps/>
                <w:noProof/>
              </w:rPr>
              <w:t>FORVALTNINGSFORANSTALTNINGER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_Toc151133574 \h </w:instrText>
            </w:r>
            <w:r w:rsidR="00D90B9F" w:rsidRPr="00D90B9F">
              <w:rPr>
                <w:noProof/>
                <w:webHidden/>
              </w:rPr>
            </w:r>
            <w:r w:rsidR="00D90B9F" w:rsidRPr="00D90B9F">
              <w:rPr>
                <w:noProof/>
                <w:webHidden/>
              </w:rPr>
              <w:fldChar w:fldCharType="separate"/>
            </w:r>
            <w:r w:rsidR="00D90B9F" w:rsidRPr="00D90B9F">
              <w:rPr>
                <w:noProof/>
                <w:webHidden/>
              </w:rPr>
              <w:t>13</w:t>
            </w:r>
            <w:r w:rsidR="00D90B9F" w:rsidRPr="00D90B9F">
              <w:rPr>
                <w:noProof/>
                <w:webHidden/>
              </w:rPr>
              <w:fldChar w:fldCharType="end"/>
            </w:r>
          </w:hyperlink>
        </w:p>
        <w:p w14:paraId="24F015D8" w14:textId="0019DE33" w:rsidR="00D90B9F" w:rsidRPr="00D90B9F" w:rsidRDefault="002217EE">
          <w:pPr>
            <w:pStyle w:val="TOC2"/>
            <w:rPr>
              <w:rFonts w:asciiTheme="minorHAnsi" w:eastAsiaTheme="minorEastAsia" w:hAnsiTheme="minorHAnsi" w:cstheme="minorBidi"/>
              <w:noProof/>
              <w:sz w:val="22"/>
              <w:lang w:eastAsia="da-DK"/>
            </w:rPr>
          </w:pPr>
          <w:hyperlink w:anchor="_Toc151133575" w:history="1">
            <w:r w:rsidR="00D90B9F" w:rsidRPr="00D90B9F">
              <w:rPr>
                <w:rStyle w:val="Hyperlink"/>
                <w:noProof/>
              </w:rPr>
              <w:t>2.1.</w:t>
            </w:r>
            <w:r w:rsidR="00D90B9F" w:rsidRPr="00D90B9F">
              <w:rPr>
                <w:rFonts w:asciiTheme="minorHAnsi" w:eastAsiaTheme="minorEastAsia" w:hAnsiTheme="minorHAnsi" w:cstheme="minorBidi"/>
                <w:noProof/>
                <w:sz w:val="22"/>
                <w:lang w:eastAsia="da-DK"/>
              </w:rPr>
              <w:tab/>
            </w:r>
            <w:r w:rsidR="00D90B9F" w:rsidRPr="00D90B9F">
              <w:rPr>
                <w:rStyle w:val="Hyperlink"/>
                <w:noProof/>
              </w:rPr>
              <w:t>Bestemmelser om overvågning og rapportering</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_Toc151133575 \h </w:instrText>
            </w:r>
            <w:r w:rsidR="00D90B9F" w:rsidRPr="00D90B9F">
              <w:rPr>
                <w:noProof/>
                <w:webHidden/>
              </w:rPr>
            </w:r>
            <w:r w:rsidR="00D90B9F" w:rsidRPr="00D90B9F">
              <w:rPr>
                <w:noProof/>
                <w:webHidden/>
              </w:rPr>
              <w:fldChar w:fldCharType="separate"/>
            </w:r>
            <w:r w:rsidR="00D90B9F" w:rsidRPr="00D90B9F">
              <w:rPr>
                <w:noProof/>
                <w:webHidden/>
              </w:rPr>
              <w:t>13</w:t>
            </w:r>
            <w:r w:rsidR="00D90B9F" w:rsidRPr="00D90B9F">
              <w:rPr>
                <w:noProof/>
                <w:webHidden/>
              </w:rPr>
              <w:fldChar w:fldCharType="end"/>
            </w:r>
          </w:hyperlink>
        </w:p>
        <w:p w14:paraId="2982B5CB" w14:textId="1EABB874" w:rsidR="00D90B9F" w:rsidRPr="00D90B9F" w:rsidRDefault="002217EE">
          <w:pPr>
            <w:pStyle w:val="TOC2"/>
            <w:rPr>
              <w:rFonts w:asciiTheme="minorHAnsi" w:eastAsiaTheme="minorEastAsia" w:hAnsiTheme="minorHAnsi" w:cstheme="minorBidi"/>
              <w:noProof/>
              <w:sz w:val="22"/>
              <w:lang w:eastAsia="da-DK"/>
            </w:rPr>
          </w:pPr>
          <w:hyperlink w:anchor="_Toc151133576" w:history="1">
            <w:r w:rsidR="00D90B9F" w:rsidRPr="00D90B9F">
              <w:rPr>
                <w:rStyle w:val="Hyperlink"/>
                <w:noProof/>
              </w:rPr>
              <w:t>2.2.</w:t>
            </w:r>
            <w:r w:rsidR="00D90B9F" w:rsidRPr="00D90B9F">
              <w:rPr>
                <w:rFonts w:asciiTheme="minorHAnsi" w:eastAsiaTheme="minorEastAsia" w:hAnsiTheme="minorHAnsi" w:cstheme="minorBidi"/>
                <w:noProof/>
                <w:sz w:val="22"/>
                <w:lang w:eastAsia="da-DK"/>
              </w:rPr>
              <w:tab/>
            </w:r>
            <w:r w:rsidR="00D90B9F" w:rsidRPr="00D90B9F">
              <w:rPr>
                <w:rStyle w:val="Hyperlink"/>
                <w:noProof/>
              </w:rPr>
              <w:t>Forvaltnings- og kontrolsystem(er)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_Toc151133576 \h </w:instrText>
            </w:r>
            <w:r w:rsidR="00D90B9F" w:rsidRPr="00D90B9F">
              <w:rPr>
                <w:noProof/>
                <w:webHidden/>
              </w:rPr>
            </w:r>
            <w:r w:rsidR="00D90B9F" w:rsidRPr="00D90B9F">
              <w:rPr>
                <w:noProof/>
                <w:webHidden/>
              </w:rPr>
              <w:fldChar w:fldCharType="separate"/>
            </w:r>
            <w:r w:rsidR="00D90B9F" w:rsidRPr="00D90B9F">
              <w:rPr>
                <w:noProof/>
                <w:webHidden/>
              </w:rPr>
              <w:t>13</w:t>
            </w:r>
            <w:r w:rsidR="00D90B9F" w:rsidRPr="00D90B9F">
              <w:rPr>
                <w:noProof/>
                <w:webHidden/>
              </w:rPr>
              <w:fldChar w:fldCharType="end"/>
            </w:r>
          </w:hyperlink>
        </w:p>
        <w:p w14:paraId="1684FAAD" w14:textId="6061F143" w:rsidR="00D90B9F" w:rsidRPr="00D90B9F" w:rsidRDefault="002217EE">
          <w:pPr>
            <w:pStyle w:val="TOC3"/>
            <w:rPr>
              <w:rFonts w:asciiTheme="minorHAnsi" w:eastAsiaTheme="minorEastAsia" w:hAnsiTheme="minorHAnsi" w:cstheme="minorBidi"/>
              <w:noProof/>
              <w:sz w:val="22"/>
              <w:lang w:eastAsia="da-DK"/>
            </w:rPr>
          </w:pPr>
          <w:hyperlink w:anchor="_Toc151133577" w:history="1">
            <w:r w:rsidR="00D90B9F" w:rsidRPr="00D90B9F">
              <w:rPr>
                <w:rStyle w:val="Hyperlink"/>
                <w:noProof/>
              </w:rPr>
              <w:t>2.2.1.</w:t>
            </w:r>
            <w:r w:rsidR="00D90B9F" w:rsidRPr="00D90B9F">
              <w:rPr>
                <w:rFonts w:asciiTheme="minorHAnsi" w:eastAsiaTheme="minorEastAsia" w:hAnsiTheme="minorHAnsi" w:cstheme="minorBidi"/>
                <w:noProof/>
                <w:sz w:val="22"/>
                <w:lang w:eastAsia="da-DK"/>
              </w:rPr>
              <w:tab/>
            </w:r>
            <w:r w:rsidR="00D90B9F" w:rsidRPr="00D90B9F">
              <w:rPr>
                <w:rStyle w:val="Hyperlink"/>
                <w:noProof/>
              </w:rPr>
              <w:t>Begrundelse for den/de foreslåede forvaltningsmetode(r), finansieringsmekanisme(r), betalingsvilkår og kontrolstrategi</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_Toc151133577 \h </w:instrText>
            </w:r>
            <w:r w:rsidR="00D90B9F" w:rsidRPr="00D90B9F">
              <w:rPr>
                <w:noProof/>
                <w:webHidden/>
              </w:rPr>
            </w:r>
            <w:r w:rsidR="00D90B9F" w:rsidRPr="00D90B9F">
              <w:rPr>
                <w:noProof/>
                <w:webHidden/>
              </w:rPr>
              <w:fldChar w:fldCharType="separate"/>
            </w:r>
            <w:r w:rsidR="00D90B9F" w:rsidRPr="00D90B9F">
              <w:rPr>
                <w:noProof/>
                <w:webHidden/>
              </w:rPr>
              <w:t>13</w:t>
            </w:r>
            <w:r w:rsidR="00D90B9F" w:rsidRPr="00D90B9F">
              <w:rPr>
                <w:noProof/>
                <w:webHidden/>
              </w:rPr>
              <w:fldChar w:fldCharType="end"/>
            </w:r>
          </w:hyperlink>
        </w:p>
        <w:p w14:paraId="06916EBB" w14:textId="6F3E5D98" w:rsidR="00D90B9F" w:rsidRPr="00D90B9F" w:rsidRDefault="002217EE">
          <w:pPr>
            <w:pStyle w:val="TOC3"/>
            <w:rPr>
              <w:rFonts w:asciiTheme="minorHAnsi" w:eastAsiaTheme="minorEastAsia" w:hAnsiTheme="minorHAnsi" w:cstheme="minorBidi"/>
              <w:noProof/>
              <w:sz w:val="22"/>
              <w:lang w:eastAsia="da-DK"/>
            </w:rPr>
          </w:pPr>
          <w:hyperlink w:anchor="_Toc151133578" w:history="1">
            <w:r w:rsidR="00D90B9F" w:rsidRPr="00D90B9F">
              <w:rPr>
                <w:rStyle w:val="Hyperlink"/>
                <w:noProof/>
              </w:rPr>
              <w:t>2.2.2.</w:t>
            </w:r>
            <w:r w:rsidR="00D90B9F" w:rsidRPr="00D90B9F">
              <w:rPr>
                <w:rFonts w:asciiTheme="minorHAnsi" w:eastAsiaTheme="minorEastAsia" w:hAnsiTheme="minorHAnsi" w:cstheme="minorBidi"/>
                <w:noProof/>
                <w:sz w:val="22"/>
                <w:lang w:eastAsia="da-DK"/>
              </w:rPr>
              <w:tab/>
            </w:r>
            <w:r w:rsidR="00D90B9F" w:rsidRPr="00D90B9F">
              <w:rPr>
                <w:rStyle w:val="Hyperlink"/>
                <w:noProof/>
              </w:rPr>
              <w:t>Oplysninger om de konstaterede risici og det/de interne kontrolsystem(er), der etableres for at afbøde dem</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_Toc151133578 \h </w:instrText>
            </w:r>
            <w:r w:rsidR="00D90B9F" w:rsidRPr="00D90B9F">
              <w:rPr>
                <w:noProof/>
                <w:webHidden/>
              </w:rPr>
            </w:r>
            <w:r w:rsidR="00D90B9F" w:rsidRPr="00D90B9F">
              <w:rPr>
                <w:noProof/>
                <w:webHidden/>
              </w:rPr>
              <w:fldChar w:fldCharType="separate"/>
            </w:r>
            <w:r w:rsidR="00D90B9F" w:rsidRPr="00D90B9F">
              <w:rPr>
                <w:noProof/>
                <w:webHidden/>
              </w:rPr>
              <w:t>13</w:t>
            </w:r>
            <w:r w:rsidR="00D90B9F" w:rsidRPr="00D90B9F">
              <w:rPr>
                <w:noProof/>
                <w:webHidden/>
              </w:rPr>
              <w:fldChar w:fldCharType="end"/>
            </w:r>
          </w:hyperlink>
        </w:p>
        <w:p w14:paraId="1451B209" w14:textId="57D5EC52" w:rsidR="00D90B9F" w:rsidRPr="00D90B9F" w:rsidRDefault="002217EE">
          <w:pPr>
            <w:pStyle w:val="TOC3"/>
            <w:rPr>
              <w:rFonts w:asciiTheme="minorHAnsi" w:eastAsiaTheme="minorEastAsia" w:hAnsiTheme="minorHAnsi" w:cstheme="minorBidi"/>
              <w:noProof/>
              <w:sz w:val="22"/>
              <w:lang w:eastAsia="da-DK"/>
            </w:rPr>
          </w:pPr>
          <w:hyperlink w:anchor="_Toc151133579" w:history="1">
            <w:r w:rsidR="00D90B9F" w:rsidRPr="00D90B9F">
              <w:rPr>
                <w:rStyle w:val="Hyperlink"/>
                <w:noProof/>
              </w:rPr>
              <w:t>2.2.3.</w:t>
            </w:r>
            <w:r w:rsidR="00D90B9F" w:rsidRPr="00D90B9F">
              <w:rPr>
                <w:rFonts w:asciiTheme="minorHAnsi" w:eastAsiaTheme="minorEastAsia" w:hAnsiTheme="minorHAnsi" w:cstheme="minorBidi"/>
                <w:noProof/>
                <w:sz w:val="22"/>
                <w:lang w:eastAsia="da-DK"/>
              </w:rPr>
              <w:tab/>
            </w:r>
            <w:r w:rsidR="00D90B9F" w:rsidRPr="00D90B9F">
              <w:rPr>
                <w:rStyle w:val="Hyperlink"/>
                <w:noProof/>
              </w:rPr>
              <w:t>Vurdering af og begrundelse for kontrolforanstaltningernes omkostningseffektivitet (forholdet mellem kontrolomkostningerne og værdien af de forvaltede midler) samt vurdering af den forventede risiko for fejl (ved betaling og ved afslutning)</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_Toc151133579 \h </w:instrText>
            </w:r>
            <w:r w:rsidR="00D90B9F" w:rsidRPr="00D90B9F">
              <w:rPr>
                <w:noProof/>
                <w:webHidden/>
              </w:rPr>
            </w:r>
            <w:r w:rsidR="00D90B9F" w:rsidRPr="00D90B9F">
              <w:rPr>
                <w:noProof/>
                <w:webHidden/>
              </w:rPr>
              <w:fldChar w:fldCharType="separate"/>
            </w:r>
            <w:r w:rsidR="00D90B9F" w:rsidRPr="00D90B9F">
              <w:rPr>
                <w:noProof/>
                <w:webHidden/>
              </w:rPr>
              <w:t>13</w:t>
            </w:r>
            <w:r w:rsidR="00D90B9F" w:rsidRPr="00D90B9F">
              <w:rPr>
                <w:noProof/>
                <w:webHidden/>
              </w:rPr>
              <w:fldChar w:fldCharType="end"/>
            </w:r>
          </w:hyperlink>
        </w:p>
        <w:p w14:paraId="1D27BC4B" w14:textId="0202FCE4" w:rsidR="00D90B9F" w:rsidRPr="00D90B9F" w:rsidRDefault="002217EE">
          <w:pPr>
            <w:pStyle w:val="TOC2"/>
            <w:rPr>
              <w:rFonts w:asciiTheme="minorHAnsi" w:eastAsiaTheme="minorEastAsia" w:hAnsiTheme="minorHAnsi" w:cstheme="minorBidi"/>
              <w:noProof/>
              <w:sz w:val="22"/>
              <w:lang w:eastAsia="da-DK"/>
            </w:rPr>
          </w:pPr>
          <w:hyperlink w:anchor="_Toc151133580" w:history="1">
            <w:r w:rsidR="00D90B9F" w:rsidRPr="00D90B9F">
              <w:rPr>
                <w:rStyle w:val="Hyperlink"/>
                <w:noProof/>
              </w:rPr>
              <w:t>2.3.</w:t>
            </w:r>
            <w:r w:rsidR="00D90B9F" w:rsidRPr="00D90B9F">
              <w:rPr>
                <w:rFonts w:asciiTheme="minorHAnsi" w:eastAsiaTheme="minorEastAsia" w:hAnsiTheme="minorHAnsi" w:cstheme="minorBidi"/>
                <w:noProof/>
                <w:sz w:val="22"/>
                <w:lang w:eastAsia="da-DK"/>
              </w:rPr>
              <w:tab/>
            </w:r>
            <w:r w:rsidR="00D90B9F" w:rsidRPr="00D90B9F">
              <w:rPr>
                <w:rStyle w:val="Hyperlink"/>
                <w:noProof/>
              </w:rPr>
              <w:t>Foranstaltninger til forebyggelse af svig og uregelmæssigheder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_Toc151133580 \h </w:instrText>
            </w:r>
            <w:r w:rsidR="00D90B9F" w:rsidRPr="00D90B9F">
              <w:rPr>
                <w:noProof/>
                <w:webHidden/>
              </w:rPr>
            </w:r>
            <w:r w:rsidR="00D90B9F" w:rsidRPr="00D90B9F">
              <w:rPr>
                <w:noProof/>
                <w:webHidden/>
              </w:rPr>
              <w:fldChar w:fldCharType="separate"/>
            </w:r>
            <w:r w:rsidR="00D90B9F" w:rsidRPr="00D90B9F">
              <w:rPr>
                <w:noProof/>
                <w:webHidden/>
              </w:rPr>
              <w:t>13</w:t>
            </w:r>
            <w:r w:rsidR="00D90B9F" w:rsidRPr="00D90B9F">
              <w:rPr>
                <w:noProof/>
                <w:webHidden/>
              </w:rPr>
              <w:fldChar w:fldCharType="end"/>
            </w:r>
          </w:hyperlink>
        </w:p>
        <w:p w14:paraId="186F457E" w14:textId="20EAF80D" w:rsidR="00D90B9F" w:rsidRPr="00D90B9F" w:rsidRDefault="002217EE">
          <w:pPr>
            <w:pStyle w:val="TOC1"/>
            <w:rPr>
              <w:rFonts w:asciiTheme="minorHAnsi" w:eastAsiaTheme="minorEastAsia" w:hAnsiTheme="minorHAnsi" w:cstheme="minorBidi"/>
              <w:noProof/>
              <w:sz w:val="22"/>
              <w:lang w:eastAsia="da-DK"/>
            </w:rPr>
          </w:pPr>
          <w:hyperlink w:anchor="_Toc151133581" w:history="1">
            <w:r w:rsidR="00D90B9F" w:rsidRPr="00D90B9F">
              <w:rPr>
                <w:rStyle w:val="Hyperlink"/>
                <w:smallCaps/>
                <w:noProof/>
              </w:rPr>
              <w:t>3.</w:t>
            </w:r>
            <w:r w:rsidR="00D90B9F" w:rsidRPr="00D90B9F">
              <w:rPr>
                <w:rFonts w:asciiTheme="minorHAnsi" w:eastAsiaTheme="minorEastAsia" w:hAnsiTheme="minorHAnsi" w:cstheme="minorBidi"/>
                <w:noProof/>
                <w:sz w:val="22"/>
                <w:lang w:eastAsia="da-DK"/>
              </w:rPr>
              <w:tab/>
            </w:r>
            <w:r w:rsidR="00D90B9F" w:rsidRPr="00D90B9F">
              <w:rPr>
                <w:rStyle w:val="Hyperlink"/>
                <w:smallCaps/>
                <w:noProof/>
              </w:rPr>
              <w:t>FORSLAGETS/INITIATIVETS ANSLÅEDE FINANSIELLE VIRKNINGER</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_Toc151133581 \h </w:instrText>
            </w:r>
            <w:r w:rsidR="00D90B9F" w:rsidRPr="00D90B9F">
              <w:rPr>
                <w:noProof/>
                <w:webHidden/>
              </w:rPr>
            </w:r>
            <w:r w:rsidR="00D90B9F" w:rsidRPr="00D90B9F">
              <w:rPr>
                <w:noProof/>
                <w:webHidden/>
              </w:rPr>
              <w:fldChar w:fldCharType="separate"/>
            </w:r>
            <w:r w:rsidR="00D90B9F" w:rsidRPr="00D90B9F">
              <w:rPr>
                <w:noProof/>
                <w:webHidden/>
              </w:rPr>
              <w:t>14</w:t>
            </w:r>
            <w:r w:rsidR="00D90B9F" w:rsidRPr="00D90B9F">
              <w:rPr>
                <w:noProof/>
                <w:webHidden/>
              </w:rPr>
              <w:fldChar w:fldCharType="end"/>
            </w:r>
          </w:hyperlink>
        </w:p>
        <w:p w14:paraId="7FC9A7BF" w14:textId="05DCFACD" w:rsidR="00D90B9F" w:rsidRPr="00D90B9F" w:rsidRDefault="002217EE">
          <w:pPr>
            <w:pStyle w:val="TOC2"/>
            <w:rPr>
              <w:rFonts w:asciiTheme="minorHAnsi" w:eastAsiaTheme="minorEastAsia" w:hAnsiTheme="minorHAnsi" w:cstheme="minorBidi"/>
              <w:noProof/>
              <w:sz w:val="22"/>
              <w:lang w:eastAsia="da-DK"/>
            </w:rPr>
          </w:pPr>
          <w:hyperlink w:anchor="_Toc151133582" w:history="1">
            <w:r w:rsidR="00D90B9F" w:rsidRPr="00D90B9F">
              <w:rPr>
                <w:rStyle w:val="Hyperlink"/>
                <w:noProof/>
              </w:rPr>
              <w:t>3.1.</w:t>
            </w:r>
            <w:r w:rsidR="00D90B9F" w:rsidRPr="00D90B9F">
              <w:rPr>
                <w:rFonts w:asciiTheme="minorHAnsi" w:eastAsiaTheme="minorEastAsia" w:hAnsiTheme="minorHAnsi" w:cstheme="minorBidi"/>
                <w:noProof/>
                <w:sz w:val="22"/>
                <w:lang w:eastAsia="da-DK"/>
              </w:rPr>
              <w:tab/>
            </w:r>
            <w:r w:rsidR="00D90B9F" w:rsidRPr="00D90B9F">
              <w:rPr>
                <w:rStyle w:val="Hyperlink"/>
                <w:noProof/>
              </w:rPr>
              <w:t>Berørt(e) udgiftsområde(r) i den flerårige finansielle ramme og udgiftspost(er) på budgettet</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_Toc151133582 \h </w:instrText>
            </w:r>
            <w:r w:rsidR="00D90B9F" w:rsidRPr="00D90B9F">
              <w:rPr>
                <w:noProof/>
                <w:webHidden/>
              </w:rPr>
            </w:r>
            <w:r w:rsidR="00D90B9F" w:rsidRPr="00D90B9F">
              <w:rPr>
                <w:noProof/>
                <w:webHidden/>
              </w:rPr>
              <w:fldChar w:fldCharType="separate"/>
            </w:r>
            <w:r w:rsidR="00D90B9F" w:rsidRPr="00D90B9F">
              <w:rPr>
                <w:noProof/>
                <w:webHidden/>
              </w:rPr>
              <w:t>14</w:t>
            </w:r>
            <w:r w:rsidR="00D90B9F" w:rsidRPr="00D90B9F">
              <w:rPr>
                <w:noProof/>
                <w:webHidden/>
              </w:rPr>
              <w:fldChar w:fldCharType="end"/>
            </w:r>
          </w:hyperlink>
        </w:p>
        <w:p w14:paraId="76353455" w14:textId="02500056" w:rsidR="00D90B9F" w:rsidRPr="00D90B9F" w:rsidRDefault="002217EE">
          <w:pPr>
            <w:pStyle w:val="TOC2"/>
            <w:rPr>
              <w:rFonts w:asciiTheme="minorHAnsi" w:eastAsiaTheme="minorEastAsia" w:hAnsiTheme="minorHAnsi" w:cstheme="minorBidi"/>
              <w:noProof/>
              <w:sz w:val="22"/>
              <w:lang w:eastAsia="da-DK"/>
            </w:rPr>
          </w:pPr>
          <w:hyperlink w:anchor="_Toc151133583" w:history="1">
            <w:r w:rsidR="00D90B9F" w:rsidRPr="00D90B9F">
              <w:rPr>
                <w:rStyle w:val="Hyperlink"/>
                <w:noProof/>
              </w:rPr>
              <w:t>3.2.</w:t>
            </w:r>
            <w:r w:rsidR="00D90B9F" w:rsidRPr="00D90B9F">
              <w:rPr>
                <w:rFonts w:asciiTheme="minorHAnsi" w:eastAsiaTheme="minorEastAsia" w:hAnsiTheme="minorHAnsi" w:cstheme="minorBidi"/>
                <w:noProof/>
                <w:sz w:val="22"/>
                <w:lang w:eastAsia="da-DK"/>
              </w:rPr>
              <w:tab/>
            </w:r>
            <w:r w:rsidR="00D90B9F" w:rsidRPr="00D90B9F">
              <w:rPr>
                <w:rStyle w:val="Hyperlink"/>
                <w:noProof/>
              </w:rPr>
              <w:t>Forslagets anslåede finansielle virkninger for bevillingerne</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_Toc151133583 \h </w:instrText>
            </w:r>
            <w:r w:rsidR="00D90B9F" w:rsidRPr="00D90B9F">
              <w:rPr>
                <w:noProof/>
                <w:webHidden/>
              </w:rPr>
            </w:r>
            <w:r w:rsidR="00D90B9F" w:rsidRPr="00D90B9F">
              <w:rPr>
                <w:noProof/>
                <w:webHidden/>
              </w:rPr>
              <w:fldChar w:fldCharType="separate"/>
            </w:r>
            <w:r w:rsidR="00D90B9F" w:rsidRPr="00D90B9F">
              <w:rPr>
                <w:noProof/>
                <w:webHidden/>
              </w:rPr>
              <w:t>15</w:t>
            </w:r>
            <w:r w:rsidR="00D90B9F" w:rsidRPr="00D90B9F">
              <w:rPr>
                <w:noProof/>
                <w:webHidden/>
              </w:rPr>
              <w:fldChar w:fldCharType="end"/>
            </w:r>
          </w:hyperlink>
        </w:p>
        <w:p w14:paraId="72259B16" w14:textId="2D913096" w:rsidR="00D90B9F" w:rsidRPr="00D90B9F" w:rsidRDefault="002217EE">
          <w:pPr>
            <w:pStyle w:val="TOC3"/>
            <w:rPr>
              <w:rFonts w:asciiTheme="minorHAnsi" w:eastAsiaTheme="minorEastAsia" w:hAnsiTheme="minorHAnsi" w:cstheme="minorBidi"/>
              <w:noProof/>
              <w:sz w:val="22"/>
              <w:lang w:eastAsia="da-DK"/>
            </w:rPr>
          </w:pPr>
          <w:hyperlink w:anchor="_Toc151133584" w:history="1">
            <w:r w:rsidR="00D90B9F" w:rsidRPr="00D90B9F">
              <w:rPr>
                <w:rStyle w:val="Hyperlink"/>
                <w:noProof/>
              </w:rPr>
              <w:t>3.2.1.</w:t>
            </w:r>
            <w:r w:rsidR="00D90B9F" w:rsidRPr="00D90B9F">
              <w:rPr>
                <w:rFonts w:asciiTheme="minorHAnsi" w:eastAsiaTheme="minorEastAsia" w:hAnsiTheme="minorHAnsi" w:cstheme="minorBidi"/>
                <w:noProof/>
                <w:sz w:val="22"/>
                <w:lang w:eastAsia="da-DK"/>
              </w:rPr>
              <w:tab/>
            </w:r>
            <w:r w:rsidR="00D90B9F" w:rsidRPr="00D90B9F">
              <w:rPr>
                <w:rStyle w:val="Hyperlink"/>
                <w:noProof/>
              </w:rPr>
              <w:t>Sammenfatning af de anslåede virkninger for aktionsbevillingerne</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_Toc151133584 \h </w:instrText>
            </w:r>
            <w:r w:rsidR="00D90B9F" w:rsidRPr="00D90B9F">
              <w:rPr>
                <w:noProof/>
                <w:webHidden/>
              </w:rPr>
            </w:r>
            <w:r w:rsidR="00D90B9F" w:rsidRPr="00D90B9F">
              <w:rPr>
                <w:noProof/>
                <w:webHidden/>
              </w:rPr>
              <w:fldChar w:fldCharType="separate"/>
            </w:r>
            <w:r w:rsidR="00D90B9F" w:rsidRPr="00D90B9F">
              <w:rPr>
                <w:noProof/>
                <w:webHidden/>
              </w:rPr>
              <w:t>15</w:t>
            </w:r>
            <w:r w:rsidR="00D90B9F" w:rsidRPr="00D90B9F">
              <w:rPr>
                <w:noProof/>
                <w:webHidden/>
              </w:rPr>
              <w:fldChar w:fldCharType="end"/>
            </w:r>
          </w:hyperlink>
        </w:p>
        <w:p w14:paraId="27BB7EB9" w14:textId="2A7C59F5" w:rsidR="00D90B9F" w:rsidRPr="00D90B9F" w:rsidRDefault="002217EE">
          <w:pPr>
            <w:pStyle w:val="TOC3"/>
            <w:rPr>
              <w:rFonts w:asciiTheme="minorHAnsi" w:eastAsiaTheme="minorEastAsia" w:hAnsiTheme="minorHAnsi" w:cstheme="minorBidi"/>
              <w:noProof/>
              <w:sz w:val="22"/>
              <w:lang w:eastAsia="da-DK"/>
            </w:rPr>
          </w:pPr>
          <w:hyperlink w:anchor="_Toc151133585" w:history="1">
            <w:r w:rsidR="00D90B9F" w:rsidRPr="00D90B9F">
              <w:rPr>
                <w:rStyle w:val="Hyperlink"/>
                <w:noProof/>
              </w:rPr>
              <w:t>3.2.2.</w:t>
            </w:r>
            <w:r w:rsidR="00D90B9F" w:rsidRPr="00D90B9F">
              <w:rPr>
                <w:rFonts w:asciiTheme="minorHAnsi" w:eastAsiaTheme="minorEastAsia" w:hAnsiTheme="minorHAnsi" w:cstheme="minorBidi"/>
                <w:noProof/>
                <w:sz w:val="22"/>
                <w:lang w:eastAsia="da-DK"/>
              </w:rPr>
              <w:tab/>
            </w:r>
            <w:r w:rsidR="00D90B9F" w:rsidRPr="00D90B9F">
              <w:rPr>
                <w:rStyle w:val="Hyperlink"/>
                <w:noProof/>
              </w:rPr>
              <w:t>Anslåede resultater finansieret med aktionsbevillinger – IKKE RELEVANT</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_Toc151133585 \h </w:instrText>
            </w:r>
            <w:r w:rsidR="00D90B9F" w:rsidRPr="00D90B9F">
              <w:rPr>
                <w:noProof/>
                <w:webHidden/>
              </w:rPr>
            </w:r>
            <w:r w:rsidR="00D90B9F" w:rsidRPr="00D90B9F">
              <w:rPr>
                <w:noProof/>
                <w:webHidden/>
              </w:rPr>
              <w:fldChar w:fldCharType="separate"/>
            </w:r>
            <w:r w:rsidR="00D90B9F" w:rsidRPr="00D90B9F">
              <w:rPr>
                <w:noProof/>
                <w:webHidden/>
              </w:rPr>
              <w:t>18</w:t>
            </w:r>
            <w:r w:rsidR="00D90B9F" w:rsidRPr="00D90B9F">
              <w:rPr>
                <w:noProof/>
                <w:webHidden/>
              </w:rPr>
              <w:fldChar w:fldCharType="end"/>
            </w:r>
          </w:hyperlink>
        </w:p>
        <w:p w14:paraId="5EF9500E" w14:textId="3AFBF95C" w:rsidR="00D90B9F" w:rsidRPr="00D90B9F" w:rsidRDefault="002217EE">
          <w:pPr>
            <w:pStyle w:val="TOC3"/>
            <w:rPr>
              <w:rFonts w:asciiTheme="minorHAnsi" w:eastAsiaTheme="minorEastAsia" w:hAnsiTheme="minorHAnsi" w:cstheme="minorBidi"/>
              <w:noProof/>
              <w:sz w:val="22"/>
              <w:lang w:eastAsia="da-DK"/>
            </w:rPr>
          </w:pPr>
          <w:hyperlink w:anchor="_Toc151133586" w:history="1">
            <w:r w:rsidR="00D90B9F" w:rsidRPr="00D90B9F">
              <w:rPr>
                <w:rStyle w:val="Hyperlink"/>
                <w:noProof/>
              </w:rPr>
              <w:t>3.2.3.</w:t>
            </w:r>
            <w:r w:rsidR="00D90B9F" w:rsidRPr="00D90B9F">
              <w:rPr>
                <w:rFonts w:asciiTheme="minorHAnsi" w:eastAsiaTheme="minorEastAsia" w:hAnsiTheme="minorHAnsi" w:cstheme="minorBidi"/>
                <w:noProof/>
                <w:sz w:val="22"/>
                <w:lang w:eastAsia="da-DK"/>
              </w:rPr>
              <w:tab/>
            </w:r>
            <w:r w:rsidR="00D90B9F" w:rsidRPr="00D90B9F">
              <w:rPr>
                <w:rStyle w:val="Hyperlink"/>
                <w:noProof/>
              </w:rPr>
              <w:t>Sammenfatning af de anslåede virkninger for administrationsbevillingerne</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_Toc151133586 \h </w:instrText>
            </w:r>
            <w:r w:rsidR="00D90B9F" w:rsidRPr="00D90B9F">
              <w:rPr>
                <w:noProof/>
                <w:webHidden/>
              </w:rPr>
            </w:r>
            <w:r w:rsidR="00D90B9F" w:rsidRPr="00D90B9F">
              <w:rPr>
                <w:noProof/>
                <w:webHidden/>
              </w:rPr>
              <w:fldChar w:fldCharType="separate"/>
            </w:r>
            <w:r w:rsidR="00D90B9F" w:rsidRPr="00D90B9F">
              <w:rPr>
                <w:noProof/>
                <w:webHidden/>
              </w:rPr>
              <w:t>20</w:t>
            </w:r>
            <w:r w:rsidR="00D90B9F" w:rsidRPr="00D90B9F">
              <w:rPr>
                <w:noProof/>
                <w:webHidden/>
              </w:rPr>
              <w:fldChar w:fldCharType="end"/>
            </w:r>
          </w:hyperlink>
        </w:p>
        <w:p w14:paraId="1D81028E" w14:textId="40D3E7E7" w:rsidR="00D90B9F" w:rsidRPr="00D90B9F" w:rsidRDefault="002217EE">
          <w:pPr>
            <w:pStyle w:val="TOC3"/>
            <w:rPr>
              <w:rFonts w:asciiTheme="minorHAnsi" w:eastAsiaTheme="minorEastAsia" w:hAnsiTheme="minorHAnsi" w:cstheme="minorBidi"/>
              <w:noProof/>
              <w:sz w:val="22"/>
              <w:lang w:eastAsia="da-DK"/>
            </w:rPr>
          </w:pPr>
          <w:hyperlink w:anchor="_Toc151133587" w:history="1">
            <w:r w:rsidR="00D90B9F" w:rsidRPr="00D90B9F">
              <w:rPr>
                <w:rStyle w:val="Hyperlink"/>
                <w:noProof/>
              </w:rPr>
              <w:t>3.2.4.</w:t>
            </w:r>
            <w:r w:rsidR="00D90B9F" w:rsidRPr="00D90B9F">
              <w:rPr>
                <w:rFonts w:asciiTheme="minorHAnsi" w:eastAsiaTheme="minorEastAsia" w:hAnsiTheme="minorHAnsi" w:cstheme="minorBidi"/>
                <w:noProof/>
                <w:sz w:val="22"/>
                <w:lang w:eastAsia="da-DK"/>
              </w:rPr>
              <w:tab/>
            </w:r>
            <w:r w:rsidR="00D90B9F" w:rsidRPr="00D90B9F">
              <w:rPr>
                <w:rStyle w:val="Hyperlink"/>
                <w:noProof/>
              </w:rPr>
              <w:t>Forenelighed med indeværende flerårige finansielle ramme</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_Toc151133587 \h </w:instrText>
            </w:r>
            <w:r w:rsidR="00D90B9F" w:rsidRPr="00D90B9F">
              <w:rPr>
                <w:noProof/>
                <w:webHidden/>
              </w:rPr>
            </w:r>
            <w:r w:rsidR="00D90B9F" w:rsidRPr="00D90B9F">
              <w:rPr>
                <w:noProof/>
                <w:webHidden/>
              </w:rPr>
              <w:fldChar w:fldCharType="separate"/>
            </w:r>
            <w:r w:rsidR="00D90B9F" w:rsidRPr="00D90B9F">
              <w:rPr>
                <w:noProof/>
                <w:webHidden/>
              </w:rPr>
              <w:t>22</w:t>
            </w:r>
            <w:r w:rsidR="00D90B9F" w:rsidRPr="00D90B9F">
              <w:rPr>
                <w:noProof/>
                <w:webHidden/>
              </w:rPr>
              <w:fldChar w:fldCharType="end"/>
            </w:r>
          </w:hyperlink>
        </w:p>
        <w:p w14:paraId="794BB06A" w14:textId="1E48B112" w:rsidR="00D90B9F" w:rsidRPr="00D90B9F" w:rsidRDefault="002217EE">
          <w:pPr>
            <w:pStyle w:val="TOC3"/>
            <w:rPr>
              <w:rFonts w:asciiTheme="minorHAnsi" w:eastAsiaTheme="minorEastAsia" w:hAnsiTheme="minorHAnsi" w:cstheme="minorBidi"/>
              <w:noProof/>
              <w:sz w:val="22"/>
              <w:lang w:eastAsia="da-DK"/>
            </w:rPr>
          </w:pPr>
          <w:hyperlink w:anchor="_Toc151133588" w:history="1">
            <w:r w:rsidR="00D90B9F" w:rsidRPr="00D90B9F">
              <w:rPr>
                <w:rStyle w:val="Hyperlink"/>
                <w:noProof/>
              </w:rPr>
              <w:t>3.2.5.</w:t>
            </w:r>
            <w:r w:rsidR="00D90B9F" w:rsidRPr="00D90B9F">
              <w:rPr>
                <w:rFonts w:asciiTheme="minorHAnsi" w:eastAsiaTheme="minorEastAsia" w:hAnsiTheme="minorHAnsi" w:cstheme="minorBidi"/>
                <w:noProof/>
                <w:sz w:val="22"/>
                <w:lang w:eastAsia="da-DK"/>
              </w:rPr>
              <w:tab/>
            </w:r>
            <w:r w:rsidR="00D90B9F" w:rsidRPr="00D90B9F">
              <w:rPr>
                <w:rStyle w:val="Hyperlink"/>
                <w:noProof/>
              </w:rPr>
              <w:t>Bidrag fra tredjemand</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_Toc151133588 \h </w:instrText>
            </w:r>
            <w:r w:rsidR="00D90B9F" w:rsidRPr="00D90B9F">
              <w:rPr>
                <w:noProof/>
                <w:webHidden/>
              </w:rPr>
            </w:r>
            <w:r w:rsidR="00D90B9F" w:rsidRPr="00D90B9F">
              <w:rPr>
                <w:noProof/>
                <w:webHidden/>
              </w:rPr>
              <w:fldChar w:fldCharType="separate"/>
            </w:r>
            <w:r w:rsidR="00D90B9F" w:rsidRPr="00D90B9F">
              <w:rPr>
                <w:noProof/>
                <w:webHidden/>
              </w:rPr>
              <w:t>22</w:t>
            </w:r>
            <w:r w:rsidR="00D90B9F" w:rsidRPr="00D90B9F">
              <w:rPr>
                <w:noProof/>
                <w:webHidden/>
              </w:rPr>
              <w:fldChar w:fldCharType="end"/>
            </w:r>
          </w:hyperlink>
        </w:p>
        <w:p w14:paraId="67BBC080" w14:textId="1600CCAA" w:rsidR="00D90B9F" w:rsidRDefault="002217EE">
          <w:pPr>
            <w:pStyle w:val="TOC2"/>
            <w:rPr>
              <w:rFonts w:asciiTheme="minorHAnsi" w:eastAsiaTheme="minorEastAsia" w:hAnsiTheme="minorHAnsi" w:cstheme="minorBidi"/>
              <w:noProof/>
              <w:sz w:val="22"/>
              <w:lang w:eastAsia="da-DK"/>
            </w:rPr>
          </w:pPr>
          <w:hyperlink w:anchor="_Toc151133589" w:history="1">
            <w:r w:rsidR="00D90B9F" w:rsidRPr="00D90B9F">
              <w:rPr>
                <w:rStyle w:val="Hyperlink"/>
                <w:noProof/>
              </w:rPr>
              <w:t>3.3.</w:t>
            </w:r>
            <w:r w:rsidR="00D90B9F" w:rsidRPr="00D90B9F">
              <w:rPr>
                <w:rFonts w:asciiTheme="minorHAnsi" w:eastAsiaTheme="minorEastAsia" w:hAnsiTheme="minorHAnsi" w:cstheme="minorBidi"/>
                <w:noProof/>
                <w:sz w:val="22"/>
                <w:lang w:eastAsia="da-DK"/>
              </w:rPr>
              <w:tab/>
            </w:r>
            <w:r w:rsidR="00D90B9F" w:rsidRPr="00D90B9F">
              <w:rPr>
                <w:rStyle w:val="Hyperlink"/>
                <w:noProof/>
              </w:rPr>
              <w:t>Anslåede virkninger for indtægterne</w:t>
            </w:r>
            <w:r w:rsidR="00D90B9F" w:rsidRPr="00D90B9F">
              <w:rPr>
                <w:noProof/>
                <w:webHidden/>
              </w:rPr>
              <w:tab/>
            </w:r>
            <w:r w:rsidR="00D90B9F" w:rsidRPr="00D90B9F">
              <w:rPr>
                <w:noProof/>
                <w:webHidden/>
              </w:rPr>
              <w:fldChar w:fldCharType="begin"/>
            </w:r>
            <w:r w:rsidR="00D90B9F" w:rsidRPr="00D90B9F">
              <w:rPr>
                <w:noProof/>
                <w:webHidden/>
              </w:rPr>
              <w:instrText xml:space="preserve"> PAGEREF _Toc151133589 \h </w:instrText>
            </w:r>
            <w:r w:rsidR="00D90B9F" w:rsidRPr="00D90B9F">
              <w:rPr>
                <w:noProof/>
                <w:webHidden/>
              </w:rPr>
            </w:r>
            <w:r w:rsidR="00D90B9F" w:rsidRPr="00D90B9F">
              <w:rPr>
                <w:noProof/>
                <w:webHidden/>
              </w:rPr>
              <w:fldChar w:fldCharType="separate"/>
            </w:r>
            <w:r w:rsidR="00D90B9F" w:rsidRPr="00D90B9F">
              <w:rPr>
                <w:noProof/>
                <w:webHidden/>
              </w:rPr>
              <w:t>23</w:t>
            </w:r>
            <w:r w:rsidR="00D90B9F" w:rsidRPr="00D90B9F">
              <w:rPr>
                <w:noProof/>
                <w:webHidden/>
              </w:rPr>
              <w:fldChar w:fldCharType="end"/>
            </w:r>
          </w:hyperlink>
        </w:p>
        <w:p w14:paraId="0F5530FB" w14:textId="37B84197" w:rsidR="00D90B9F" w:rsidRDefault="00D90B9F">
          <w:pPr>
            <w:rPr>
              <w:noProof/>
            </w:rPr>
          </w:pPr>
          <w:r>
            <w:rPr>
              <w:b/>
              <w:bCs/>
              <w:noProof/>
            </w:rPr>
            <w:fldChar w:fldCharType="end"/>
          </w:r>
        </w:p>
      </w:sdtContent>
    </w:sdt>
    <w:p w14:paraId="5DB8594D" w14:textId="77777777" w:rsidR="00DF4478" w:rsidRPr="00A858C4" w:rsidRDefault="00DF4478" w:rsidP="00DF4478">
      <w:pPr>
        <w:rPr>
          <w:noProof/>
        </w:rPr>
        <w:sectPr w:rsidR="00DF4478" w:rsidRPr="00A858C4" w:rsidSect="007A795C">
          <w:pgSz w:w="11907" w:h="16840" w:code="9"/>
          <w:pgMar w:top="1134" w:right="1418" w:bottom="1134" w:left="1418" w:header="709" w:footer="709" w:gutter="0"/>
          <w:cols w:space="720"/>
          <w:docGrid w:linePitch="360"/>
        </w:sectPr>
      </w:pPr>
    </w:p>
    <w:p w14:paraId="0446BC30" w14:textId="77777777" w:rsidR="00DF4478" w:rsidRPr="00A858C4" w:rsidRDefault="00DF4478" w:rsidP="00DF4478">
      <w:pPr>
        <w:keepNext/>
        <w:tabs>
          <w:tab w:val="left" w:pos="850"/>
        </w:tabs>
        <w:spacing w:before="360"/>
        <w:ind w:left="850" w:hanging="850"/>
        <w:outlineLvl w:val="0"/>
        <w:rPr>
          <w:b/>
          <w:smallCaps/>
          <w:noProof/>
        </w:rPr>
      </w:pPr>
      <w:bookmarkStart w:id="24" w:name="_Toc514938007"/>
      <w:bookmarkStart w:id="25" w:name="_Toc151133557"/>
      <w:r w:rsidRPr="00A858C4">
        <w:rPr>
          <w:b/>
          <w:smallCaps/>
          <w:noProof/>
        </w:rPr>
        <w:t>1.</w:t>
      </w:r>
      <w:r w:rsidRPr="00A858C4">
        <w:rPr>
          <w:b/>
          <w:smallCaps/>
          <w:noProof/>
        </w:rPr>
        <w:tab/>
        <w:t>FORSLAGETS/INITIATIVETS RAMME</w:t>
      </w:r>
      <w:bookmarkEnd w:id="24"/>
      <w:bookmarkEnd w:id="25"/>
      <w:r w:rsidRPr="00A858C4">
        <w:rPr>
          <w:b/>
          <w:smallCaps/>
          <w:noProof/>
        </w:rPr>
        <w:t xml:space="preserve"> </w:t>
      </w:r>
    </w:p>
    <w:p w14:paraId="28AE2F6B" w14:textId="77777777" w:rsidR="00DF4478" w:rsidRPr="00A858C4" w:rsidRDefault="00DF4478" w:rsidP="00DF4478">
      <w:pPr>
        <w:keepNext/>
        <w:tabs>
          <w:tab w:val="left" w:pos="850"/>
        </w:tabs>
        <w:ind w:left="850" w:hanging="850"/>
        <w:outlineLvl w:val="1"/>
        <w:rPr>
          <w:b/>
          <w:noProof/>
        </w:rPr>
      </w:pPr>
      <w:bookmarkStart w:id="26" w:name="_Toc514938008"/>
      <w:bookmarkStart w:id="27" w:name="_Toc151133558"/>
      <w:r w:rsidRPr="00A858C4">
        <w:rPr>
          <w:b/>
          <w:noProof/>
        </w:rPr>
        <w:t>1.1.</w:t>
      </w:r>
      <w:r w:rsidRPr="00A858C4">
        <w:rPr>
          <w:b/>
          <w:noProof/>
        </w:rPr>
        <w:tab/>
        <w:t>Forslagets/initiativets betegnelse</w:t>
      </w:r>
      <w:bookmarkEnd w:id="26"/>
      <w:bookmarkEnd w:id="27"/>
    </w:p>
    <w:p w14:paraId="3D5DD544"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Europa-Parlamentets og Rådets afgørelse om ændring af Rådets beslutning 89/367/EØF om nedsættelse af en stående skovbrugskomité</w:t>
      </w:r>
    </w:p>
    <w:p w14:paraId="53CB70C9"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3EB2BC1E" w14:textId="77777777" w:rsidR="00DF4478" w:rsidRPr="00A858C4" w:rsidRDefault="00DF4478" w:rsidP="00DF4478">
      <w:pPr>
        <w:keepNext/>
        <w:tabs>
          <w:tab w:val="left" w:pos="850"/>
        </w:tabs>
        <w:ind w:left="850" w:hanging="850"/>
        <w:outlineLvl w:val="1"/>
        <w:rPr>
          <w:b/>
          <w:i/>
          <w:noProof/>
        </w:rPr>
      </w:pPr>
      <w:bookmarkStart w:id="28" w:name="_Toc514938011"/>
      <w:bookmarkStart w:id="29" w:name="_Toc151133559"/>
      <w:r w:rsidRPr="00A858C4">
        <w:rPr>
          <w:b/>
          <w:noProof/>
        </w:rPr>
        <w:t>1.2.</w:t>
      </w:r>
      <w:r w:rsidRPr="00A858C4">
        <w:rPr>
          <w:b/>
          <w:noProof/>
        </w:rPr>
        <w:tab/>
        <w:t>Berørt(e) politikområde(r)</w:t>
      </w:r>
      <w:bookmarkEnd w:id="28"/>
      <w:bookmarkEnd w:id="29"/>
      <w:r w:rsidRPr="00A858C4">
        <w:rPr>
          <w:b/>
          <w:i/>
          <w:noProof/>
        </w:rPr>
        <w:t xml:space="preserve"> </w:t>
      </w:r>
    </w:p>
    <w:p w14:paraId="69E7905B"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GD AGRI og GD ENV</w:t>
      </w:r>
    </w:p>
    <w:p w14:paraId="7399DB81"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7086EC01" w14:textId="77777777" w:rsidR="00DF4478" w:rsidRPr="00A858C4" w:rsidRDefault="00DF4478" w:rsidP="00DF4478">
      <w:pPr>
        <w:keepNext/>
        <w:tabs>
          <w:tab w:val="left" w:pos="850"/>
        </w:tabs>
        <w:ind w:left="850" w:hanging="850"/>
        <w:outlineLvl w:val="1"/>
        <w:rPr>
          <w:b/>
          <w:bCs/>
          <w:noProof/>
          <w:szCs w:val="24"/>
        </w:rPr>
      </w:pPr>
      <w:bookmarkStart w:id="30" w:name="_Toc514938014"/>
      <w:bookmarkStart w:id="31" w:name="_Toc151133560"/>
      <w:r w:rsidRPr="00A858C4">
        <w:rPr>
          <w:b/>
          <w:noProof/>
        </w:rPr>
        <w:t>1.3.</w:t>
      </w:r>
      <w:r w:rsidRPr="00A858C4">
        <w:rPr>
          <w:b/>
          <w:noProof/>
        </w:rPr>
        <w:tab/>
        <w:t>Forslaget/initiativet vedrører:</w:t>
      </w:r>
      <w:bookmarkEnd w:id="30"/>
      <w:bookmarkEnd w:id="31"/>
      <w:r w:rsidRPr="00A858C4">
        <w:rPr>
          <w:b/>
          <w:noProof/>
        </w:rPr>
        <w:t xml:space="preserve"> </w:t>
      </w:r>
    </w:p>
    <w:p w14:paraId="0318E438" w14:textId="77777777" w:rsidR="00DF4478" w:rsidRPr="00A858C4" w:rsidRDefault="00DF4478" w:rsidP="00DF4478">
      <w:pPr>
        <w:ind w:left="850"/>
        <w:rPr>
          <w:b/>
          <w:noProof/>
          <w:sz w:val="22"/>
        </w:rPr>
      </w:pPr>
      <w:r w:rsidRPr="00A858C4">
        <w:rPr>
          <w:noProof/>
          <w:sz w:val="22"/>
        </w:rPr>
        <w:sym w:font="Wingdings" w:char="F0A8"/>
      </w:r>
      <w:r w:rsidRPr="00A858C4">
        <w:rPr>
          <w:b/>
          <w:i/>
          <w:noProof/>
          <w:sz w:val="22"/>
        </w:rPr>
        <w:t xml:space="preserve"> </w:t>
      </w:r>
      <w:r w:rsidRPr="00A858C4">
        <w:rPr>
          <w:b/>
          <w:noProof/>
        </w:rPr>
        <w:t>en ny foranstaltning</w:t>
      </w:r>
      <w:r w:rsidRPr="00A858C4">
        <w:rPr>
          <w:b/>
          <w:noProof/>
          <w:sz w:val="22"/>
        </w:rPr>
        <w:t xml:space="preserve"> </w:t>
      </w:r>
    </w:p>
    <w:p w14:paraId="6CF7E393" w14:textId="77777777" w:rsidR="00DF4478" w:rsidRPr="00A858C4" w:rsidRDefault="00DF4478" w:rsidP="00DF4478">
      <w:pPr>
        <w:ind w:left="850"/>
        <w:rPr>
          <w:noProof/>
          <w:sz w:val="22"/>
        </w:rPr>
      </w:pPr>
      <w:r w:rsidRPr="00A858C4">
        <w:rPr>
          <w:noProof/>
          <w:sz w:val="22"/>
        </w:rPr>
        <w:sym w:font="Wingdings" w:char="F0A8"/>
      </w:r>
      <w:r w:rsidRPr="00A858C4">
        <w:rPr>
          <w:i/>
          <w:noProof/>
          <w:sz w:val="22"/>
        </w:rPr>
        <w:t xml:space="preserve"> </w:t>
      </w:r>
      <w:r w:rsidRPr="00A858C4">
        <w:rPr>
          <w:b/>
          <w:noProof/>
        </w:rPr>
        <w:t>en ny foranstaltning som opfølgning på et pilotprojekt/en forberedende foranstaltning</w:t>
      </w:r>
      <w:r w:rsidRPr="00A858C4">
        <w:rPr>
          <w:noProof/>
          <w:color w:val="000000" w:themeColor="text1"/>
        </w:rPr>
        <w:t> </w:t>
      </w:r>
      <w:r w:rsidRPr="00A858C4">
        <w:rPr>
          <w:rStyle w:val="FootnoteReference"/>
          <w:noProof/>
        </w:rPr>
        <w:footnoteReference w:id="8"/>
      </w:r>
      <w:r w:rsidRPr="00A858C4">
        <w:rPr>
          <w:noProof/>
          <w:sz w:val="22"/>
        </w:rPr>
        <w:t xml:space="preserve"> </w:t>
      </w:r>
    </w:p>
    <w:p w14:paraId="7CE27730" w14:textId="77777777" w:rsidR="00DF4478" w:rsidRPr="00A858C4" w:rsidRDefault="00DF4478" w:rsidP="00DF4478">
      <w:pPr>
        <w:ind w:left="850"/>
        <w:rPr>
          <w:noProof/>
          <w:sz w:val="22"/>
        </w:rPr>
      </w:pPr>
      <w:r w:rsidRPr="00A858C4">
        <w:rPr>
          <w:noProof/>
          <w:sz w:val="22"/>
        </w:rPr>
        <w:sym w:font="Wingdings" w:char="F0A8"/>
      </w:r>
      <w:r w:rsidRPr="00A858C4">
        <w:rPr>
          <w:i/>
          <w:noProof/>
          <w:sz w:val="22"/>
        </w:rPr>
        <w:t xml:space="preserve"> </w:t>
      </w:r>
      <w:r w:rsidRPr="00A858C4">
        <w:rPr>
          <w:b/>
          <w:noProof/>
        </w:rPr>
        <w:t>en forlængelse af en eksisterende foranstaltning</w:t>
      </w:r>
      <w:r w:rsidRPr="00A858C4">
        <w:rPr>
          <w:noProof/>
          <w:sz w:val="22"/>
        </w:rPr>
        <w:t xml:space="preserve"> </w:t>
      </w:r>
    </w:p>
    <w:p w14:paraId="170355DD" w14:textId="77777777" w:rsidR="00DF4478" w:rsidRPr="00A858C4" w:rsidRDefault="00DF4478" w:rsidP="00DF4478">
      <w:pPr>
        <w:ind w:left="850"/>
        <w:rPr>
          <w:noProof/>
        </w:rPr>
      </w:pPr>
      <w:r w:rsidRPr="00A858C4">
        <w:rPr>
          <w:noProof/>
          <w:sz w:val="22"/>
        </w:rPr>
        <w:t>×</w:t>
      </w:r>
      <w:r w:rsidRPr="00A858C4">
        <w:rPr>
          <w:i/>
          <w:noProof/>
          <w:sz w:val="22"/>
        </w:rPr>
        <w:t xml:space="preserve"> </w:t>
      </w:r>
      <w:r w:rsidRPr="00A858C4">
        <w:rPr>
          <w:b/>
          <w:noProof/>
        </w:rPr>
        <w:t>en sammenlægning eller en omlægning af en eller flere foranstaltninger til en anden/en ny foranstaltning</w:t>
      </w:r>
      <w:r w:rsidRPr="00A858C4">
        <w:rPr>
          <w:noProof/>
        </w:rPr>
        <w:t xml:space="preserve"> </w:t>
      </w:r>
    </w:p>
    <w:p w14:paraId="7601C8A3" w14:textId="77777777" w:rsidR="00DF4478" w:rsidRPr="00A858C4" w:rsidRDefault="00DF4478" w:rsidP="00DF4478">
      <w:pPr>
        <w:keepNext/>
        <w:tabs>
          <w:tab w:val="left" w:pos="850"/>
        </w:tabs>
        <w:ind w:left="850" w:hanging="850"/>
        <w:outlineLvl w:val="1"/>
        <w:rPr>
          <w:b/>
          <w:bCs/>
          <w:noProof/>
          <w:szCs w:val="24"/>
        </w:rPr>
      </w:pPr>
      <w:bookmarkStart w:id="32" w:name="_Toc514938015"/>
      <w:bookmarkStart w:id="33" w:name="_Toc151133561"/>
      <w:r w:rsidRPr="00A858C4">
        <w:rPr>
          <w:b/>
          <w:noProof/>
        </w:rPr>
        <w:t>1.4.</w:t>
      </w:r>
      <w:r w:rsidRPr="00A858C4">
        <w:rPr>
          <w:b/>
          <w:noProof/>
        </w:rPr>
        <w:tab/>
        <w:t>Mål</w:t>
      </w:r>
      <w:bookmarkEnd w:id="32"/>
      <w:bookmarkEnd w:id="33"/>
    </w:p>
    <w:p w14:paraId="3D7B0EC0" w14:textId="77777777" w:rsidR="00DF4478" w:rsidRPr="00A858C4" w:rsidRDefault="00DF4478" w:rsidP="00DF4478">
      <w:pPr>
        <w:keepNext/>
        <w:tabs>
          <w:tab w:val="left" w:pos="850"/>
        </w:tabs>
        <w:ind w:left="850" w:hanging="850"/>
        <w:outlineLvl w:val="2"/>
        <w:rPr>
          <w:i/>
          <w:noProof/>
        </w:rPr>
      </w:pPr>
      <w:bookmarkStart w:id="34" w:name="_Toc514938016"/>
      <w:bookmarkStart w:id="35" w:name="_Toc151133562"/>
      <w:r w:rsidRPr="00A858C4">
        <w:rPr>
          <w:i/>
          <w:noProof/>
        </w:rPr>
        <w:t>1.4.1.</w:t>
      </w:r>
      <w:r w:rsidRPr="00A858C4">
        <w:rPr>
          <w:i/>
          <w:noProof/>
        </w:rPr>
        <w:tab/>
        <w:t>Generelt/generelle mål</w:t>
      </w:r>
      <w:bookmarkEnd w:id="34"/>
      <w:bookmarkEnd w:id="35"/>
    </w:p>
    <w:p w14:paraId="34F1A734"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1) Bidrage til gennemførelsen af den europæiske grønne pagt, EU's biodiversitetsstrategi for 2030, den nye EU-skovstrategi for 2030, den fælles landbrugspolitik og Fit for 55-pakken.</w:t>
      </w:r>
    </w:p>
    <w:p w14:paraId="35A84C5C" w14:textId="77777777" w:rsidR="00693EC7" w:rsidRPr="00A858C4" w:rsidRDefault="00693EC7" w:rsidP="00DF4478">
      <w:pPr>
        <w:pBdr>
          <w:top w:val="single" w:sz="4" w:space="1" w:color="auto"/>
          <w:left w:val="single" w:sz="4" w:space="4" w:color="auto"/>
          <w:bottom w:val="single" w:sz="4" w:space="1" w:color="auto"/>
          <w:right w:val="single" w:sz="4" w:space="4" w:color="auto"/>
        </w:pBdr>
        <w:ind w:left="850"/>
        <w:rPr>
          <w:noProof/>
        </w:rPr>
      </w:pPr>
    </w:p>
    <w:p w14:paraId="1486306E" w14:textId="77777777" w:rsidR="00DF4478" w:rsidRPr="00A858C4" w:rsidRDefault="00DF4478" w:rsidP="00DF4478">
      <w:pPr>
        <w:keepNext/>
        <w:tabs>
          <w:tab w:val="left" w:pos="850"/>
        </w:tabs>
        <w:ind w:left="850" w:hanging="850"/>
        <w:outlineLvl w:val="2"/>
        <w:rPr>
          <w:bCs/>
          <w:i/>
          <w:noProof/>
          <w:szCs w:val="24"/>
          <w:highlight w:val="yellow"/>
        </w:rPr>
      </w:pPr>
      <w:bookmarkStart w:id="36" w:name="_Toc514938018"/>
      <w:bookmarkStart w:id="37" w:name="_Toc151133563"/>
      <w:r w:rsidRPr="00A858C4">
        <w:rPr>
          <w:i/>
          <w:noProof/>
        </w:rPr>
        <w:t>1.4.2.</w:t>
      </w:r>
      <w:r w:rsidRPr="00A858C4">
        <w:rPr>
          <w:i/>
          <w:noProof/>
        </w:rPr>
        <w:tab/>
        <w:t>Specifikt/specifikke mål</w:t>
      </w:r>
      <w:bookmarkEnd w:id="36"/>
      <w:bookmarkEnd w:id="37"/>
    </w:p>
    <w:p w14:paraId="7AFC989D"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u w:val="single"/>
        </w:rPr>
      </w:pPr>
      <w:r w:rsidRPr="00A858C4">
        <w:rPr>
          <w:noProof/>
          <w:u w:val="single"/>
        </w:rPr>
        <w:t>Specifik mål nr.</w:t>
      </w:r>
    </w:p>
    <w:p w14:paraId="4777C921" w14:textId="77777777" w:rsidR="00DF4478" w:rsidRPr="00A858C4" w:rsidRDefault="00693EC7" w:rsidP="00693EC7">
      <w:pPr>
        <w:pBdr>
          <w:top w:val="single" w:sz="4" w:space="1" w:color="auto"/>
          <w:left w:val="single" w:sz="4" w:space="4" w:color="auto"/>
          <w:bottom w:val="single" w:sz="4" w:space="1" w:color="auto"/>
          <w:right w:val="single" w:sz="4" w:space="4" w:color="auto"/>
        </w:pBdr>
        <w:ind w:left="850"/>
        <w:rPr>
          <w:noProof/>
        </w:rPr>
      </w:pPr>
      <w:r w:rsidRPr="00A858C4">
        <w:rPr>
          <w:noProof/>
        </w:rPr>
        <w:t xml:space="preserve">1) At udvide ekspertgruppens opgaver </w:t>
      </w:r>
    </w:p>
    <w:p w14:paraId="596BC7D6" w14:textId="77777777" w:rsidR="00DF4478" w:rsidRPr="00A858C4" w:rsidRDefault="00693EC7" w:rsidP="00693EC7">
      <w:pPr>
        <w:pBdr>
          <w:top w:val="single" w:sz="4" w:space="1" w:color="auto"/>
          <w:left w:val="single" w:sz="4" w:space="4" w:color="auto"/>
          <w:bottom w:val="single" w:sz="4" w:space="1" w:color="auto"/>
          <w:right w:val="single" w:sz="4" w:space="4" w:color="auto"/>
        </w:pBdr>
        <w:ind w:left="850"/>
        <w:rPr>
          <w:noProof/>
        </w:rPr>
      </w:pPr>
      <w:r w:rsidRPr="00A858C4">
        <w:rPr>
          <w:noProof/>
        </w:rPr>
        <w:t>2) At præcisere og udvide medlemskabet og derigennem sikre, at de kompetente myndigheder, der er relevante for de behandlede spørgsmål, er med i denne gruppe.</w:t>
      </w:r>
    </w:p>
    <w:p w14:paraId="16DE3636" w14:textId="77777777" w:rsidR="00DF4478" w:rsidRPr="00A858C4" w:rsidRDefault="00DF4478" w:rsidP="00DF4478">
      <w:pPr>
        <w:keepNext/>
        <w:tabs>
          <w:tab w:val="left" w:pos="850"/>
        </w:tabs>
        <w:ind w:left="850" w:hanging="850"/>
        <w:outlineLvl w:val="2"/>
        <w:rPr>
          <w:i/>
          <w:noProof/>
        </w:rPr>
      </w:pPr>
      <w:bookmarkStart w:id="38" w:name="_Toc514938019"/>
      <w:bookmarkStart w:id="39" w:name="_Toc151133564"/>
      <w:r w:rsidRPr="00A858C4">
        <w:rPr>
          <w:i/>
          <w:noProof/>
        </w:rPr>
        <w:t>1.4.3.</w:t>
      </w:r>
      <w:r w:rsidRPr="00A858C4">
        <w:rPr>
          <w:i/>
          <w:noProof/>
        </w:rPr>
        <w:tab/>
        <w:t>Forventet/forventede resultat(er) og virkning(er)</w:t>
      </w:r>
      <w:bookmarkEnd w:id="38"/>
      <w:bookmarkEnd w:id="39"/>
    </w:p>
    <w:p w14:paraId="65D26472" w14:textId="77777777" w:rsidR="00DF4478" w:rsidRPr="00A858C4" w:rsidRDefault="00DF4478" w:rsidP="00DF4478">
      <w:pPr>
        <w:ind w:left="850"/>
        <w:rPr>
          <w:i/>
          <w:noProof/>
          <w:sz w:val="20"/>
        </w:rPr>
      </w:pPr>
      <w:r w:rsidRPr="00A858C4">
        <w:rPr>
          <w:i/>
          <w:noProof/>
          <w:sz w:val="20"/>
        </w:rPr>
        <w:t>Angiv, hvilke virkninger forslaget/initiativet forventes at få for modtagerne/målgruppen.</w:t>
      </w:r>
    </w:p>
    <w:p w14:paraId="53645768"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Med forslaget skabes en mere inklusiv og tværfaglig ekspertgruppe, som afspejler alle de miljømæssige, sociale og økonomiske mål i EU's ny skovstrategi.</w:t>
      </w:r>
    </w:p>
    <w:p w14:paraId="4B7A237F"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27B09C80"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3D709A6A"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23E0AC07" w14:textId="77777777" w:rsidR="00DF4478" w:rsidRPr="00A858C4" w:rsidRDefault="00DF4478" w:rsidP="00DF4478">
      <w:pPr>
        <w:keepNext/>
        <w:tabs>
          <w:tab w:val="left" w:pos="850"/>
        </w:tabs>
        <w:ind w:left="850" w:hanging="850"/>
        <w:outlineLvl w:val="2"/>
        <w:rPr>
          <w:i/>
          <w:noProof/>
          <w:szCs w:val="24"/>
        </w:rPr>
      </w:pPr>
      <w:bookmarkStart w:id="40" w:name="_Toc514938023"/>
      <w:bookmarkStart w:id="41" w:name="_Toc151133565"/>
      <w:r w:rsidRPr="00A858C4">
        <w:rPr>
          <w:i/>
          <w:noProof/>
        </w:rPr>
        <w:t>1.4.4.</w:t>
      </w:r>
      <w:r w:rsidRPr="00A858C4">
        <w:rPr>
          <w:i/>
          <w:noProof/>
        </w:rPr>
        <w:tab/>
        <w:t>Resultatindikatorer</w:t>
      </w:r>
      <w:bookmarkEnd w:id="40"/>
      <w:bookmarkEnd w:id="41"/>
    </w:p>
    <w:p w14:paraId="7D344202" w14:textId="77777777" w:rsidR="00DF4478" w:rsidRPr="00A858C4" w:rsidRDefault="00DF4478" w:rsidP="00DF4478">
      <w:pPr>
        <w:ind w:left="850"/>
        <w:rPr>
          <w:i/>
          <w:noProof/>
          <w:sz w:val="20"/>
        </w:rPr>
      </w:pPr>
      <w:r w:rsidRPr="00A858C4">
        <w:rPr>
          <w:i/>
          <w:noProof/>
          <w:sz w:val="20"/>
        </w:rPr>
        <w:t>Angiv indikatorerne til overvågning af fremskridt og resultater.</w:t>
      </w:r>
    </w:p>
    <w:p w14:paraId="58D55324"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Styrket samarbejde og tværfaglig udveksling mellem Kommissionen og medlemsstaterne om skove og skovbrugsområdet i forbindelse med alle de områder af EU-politikkerne, der vedrører skove.</w:t>
      </w:r>
    </w:p>
    <w:p w14:paraId="0AE37535" w14:textId="77777777" w:rsidR="00DF4478" w:rsidRPr="00A858C4" w:rsidRDefault="00DF4478" w:rsidP="00DF4478">
      <w:pPr>
        <w:keepNext/>
        <w:tabs>
          <w:tab w:val="left" w:pos="850"/>
        </w:tabs>
        <w:ind w:left="850" w:hanging="850"/>
        <w:outlineLvl w:val="1"/>
        <w:rPr>
          <w:b/>
          <w:bCs/>
          <w:noProof/>
          <w:szCs w:val="24"/>
        </w:rPr>
      </w:pPr>
      <w:bookmarkStart w:id="42" w:name="_Toc514938025"/>
      <w:bookmarkStart w:id="43" w:name="_Toc151133566"/>
      <w:r w:rsidRPr="00A858C4">
        <w:rPr>
          <w:b/>
          <w:noProof/>
        </w:rPr>
        <w:t>1.5.</w:t>
      </w:r>
      <w:r w:rsidRPr="00A858C4">
        <w:rPr>
          <w:b/>
          <w:noProof/>
        </w:rPr>
        <w:tab/>
        <w:t>Begrundelse for forslaget/initiativet</w:t>
      </w:r>
      <w:bookmarkEnd w:id="42"/>
      <w:bookmarkEnd w:id="43"/>
      <w:r w:rsidRPr="00A858C4">
        <w:rPr>
          <w:b/>
          <w:noProof/>
        </w:rPr>
        <w:t xml:space="preserve"> </w:t>
      </w:r>
    </w:p>
    <w:p w14:paraId="53141FA9" w14:textId="77777777" w:rsidR="00DF4478" w:rsidRPr="00A858C4" w:rsidRDefault="00DF4478" w:rsidP="00DF4478">
      <w:pPr>
        <w:keepNext/>
        <w:tabs>
          <w:tab w:val="left" w:pos="850"/>
        </w:tabs>
        <w:ind w:left="850" w:hanging="850"/>
        <w:outlineLvl w:val="2"/>
        <w:rPr>
          <w:i/>
          <w:noProof/>
        </w:rPr>
      </w:pPr>
      <w:bookmarkStart w:id="44" w:name="_Toc514938026"/>
      <w:bookmarkStart w:id="45" w:name="_Toc151133567"/>
      <w:r w:rsidRPr="00A858C4">
        <w:rPr>
          <w:i/>
          <w:noProof/>
        </w:rPr>
        <w:t>1.5.1.</w:t>
      </w:r>
      <w:r w:rsidRPr="00A858C4">
        <w:rPr>
          <w:i/>
          <w:noProof/>
        </w:rPr>
        <w:tab/>
        <w:t>Behov, der skal opfyldes på kort eller lang sigt, herunder en detaljeret tidsplan for iværksættelsen af initiativet</w:t>
      </w:r>
      <w:bookmarkEnd w:id="44"/>
      <w:bookmarkEnd w:id="45"/>
    </w:p>
    <w:p w14:paraId="460F7315" w14:textId="3031CEA3" w:rsidR="00DF4478" w:rsidRPr="00A858C4" w:rsidRDefault="00DF4478" w:rsidP="00DF4478">
      <w:pPr>
        <w:pBdr>
          <w:top w:val="dotted" w:sz="4" w:space="1" w:color="auto"/>
          <w:left w:val="dotted" w:sz="4" w:space="4" w:color="auto"/>
          <w:bottom w:val="dotted" w:sz="4" w:space="1" w:color="auto"/>
          <w:right w:val="dotted" w:sz="4" w:space="4" w:color="auto"/>
        </w:pBdr>
        <w:spacing w:before="0" w:after="60"/>
        <w:ind w:left="794"/>
        <w:jc w:val="left"/>
        <w:rPr>
          <w:rFonts w:eastAsia="Times New Roman"/>
          <w:noProof/>
          <w:szCs w:val="24"/>
        </w:rPr>
      </w:pPr>
      <w:r w:rsidRPr="00A858C4">
        <w:rPr>
          <w:noProof/>
          <w:color w:val="000000" w:themeColor="text1"/>
        </w:rPr>
        <w:t>Kommissionen foreslår at ændre Rådets beslutning 89/367/EØF af 29. maj 1989 ved en afgørelse truffet af Europa-Parlamentet og Rådet for at afspejle den nye forvaltningsstruktur i EU's nye skovstrategi for 20</w:t>
      </w:r>
      <w:r w:rsidR="00255ED0">
        <w:rPr>
          <w:noProof/>
          <w:color w:val="000000" w:themeColor="text1"/>
        </w:rPr>
        <w:t>30</w:t>
      </w:r>
      <w:r w:rsidRPr="00A858C4">
        <w:rPr>
          <w:noProof/>
          <w:color w:val="000000" w:themeColor="text1"/>
        </w:rPr>
        <w:t>. Kommissionen foreslår at ajourføre retsgrundlaget og referencepolitikkerne og udvide Den Stående Skovbrugskomités opgaver og omdøbe den til Den Stående Ekspertgruppe for Skove og Skovbrug. Med forslaget præciseres og udvides medlemskabet, og det sikres derigennem, at de kompetente myndigheder, der er relevante for de behandlede spørgsmål, er med i denne gruppe.</w:t>
      </w:r>
    </w:p>
    <w:p w14:paraId="59BEBA8E" w14:textId="77777777" w:rsidR="00DF4478" w:rsidRPr="00A858C4" w:rsidRDefault="00DF4478" w:rsidP="00DF4478">
      <w:pPr>
        <w:keepNext/>
        <w:tabs>
          <w:tab w:val="left" w:pos="850"/>
        </w:tabs>
        <w:ind w:left="850" w:hanging="850"/>
        <w:outlineLvl w:val="2"/>
        <w:rPr>
          <w:bCs/>
          <w:i/>
          <w:noProof/>
          <w:szCs w:val="24"/>
        </w:rPr>
      </w:pPr>
      <w:bookmarkStart w:id="46" w:name="_Toc514938029"/>
      <w:bookmarkStart w:id="47" w:name="_Toc151133568"/>
      <w:r w:rsidRPr="00A858C4">
        <w:rPr>
          <w:i/>
          <w:noProof/>
        </w:rPr>
        <w:t>1.5.2.</w:t>
      </w:r>
      <w:r w:rsidRPr="00A858C4">
        <w:rPr>
          <w:i/>
          <w:noProof/>
        </w:rPr>
        <w:tab/>
        <w:t>Merværdien ved et EU-tiltag (f.eks. som følge af koordineringsfordele, retssikkerhed, større effekt eller komplementaritet). Ved "merværdien ved et EU-tiltag" forstås her merværdien af EU's intervention i forhold til den værdi, som medlemsstaterne ville have skabt enkeltvis</w:t>
      </w:r>
      <w:bookmarkEnd w:id="46"/>
      <w:bookmarkEnd w:id="47"/>
    </w:p>
    <w:p w14:paraId="0507AFD5"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 xml:space="preserve">En forvaltningsstruktur, der omfatter medlemsstaternes eksperter, som skal rådgive Kommissionen, kan kun sikres gennem tiltag på EU-plan. </w:t>
      </w:r>
    </w:p>
    <w:p w14:paraId="12F1347B" w14:textId="77777777" w:rsidR="00DF4478" w:rsidRPr="00A858C4" w:rsidRDefault="005136FC" w:rsidP="00DF4478">
      <w:pPr>
        <w:pBdr>
          <w:top w:val="single" w:sz="4" w:space="1" w:color="auto"/>
          <w:left w:val="single" w:sz="4" w:space="4" w:color="auto"/>
          <w:bottom w:val="single" w:sz="4" w:space="1" w:color="auto"/>
          <w:right w:val="single" w:sz="4" w:space="4" w:color="auto"/>
        </w:pBdr>
        <w:ind w:left="850"/>
        <w:rPr>
          <w:noProof/>
        </w:rPr>
      </w:pPr>
      <w:r w:rsidRPr="00A858C4">
        <w:rPr>
          <w:noProof/>
        </w:rPr>
        <w:t xml:space="preserve">Traktaten nævner ikke udtrykkeligt "skovpolitik", men EU har kompetencer på en række områder, der kan vedrøre skove, såsom klima, miljø, udvikling af landdistrikterne og katastrofeforebyggelse. EU udøver allerede disse kompetencer, og skove er omfattet af en række retsakter. Inden for disse områder med delt EU-kompetence henhører skove og skovbrug ikke under medlemsstaternes enekompetence. </w:t>
      </w:r>
    </w:p>
    <w:p w14:paraId="4A770BB4"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Målet med den nye EU-skovstrategi er at overvinde de udfordringer, der påvirker skove og skovbrug (f.eks. klimaændringer, tab af biodiversitet osv.) og frigøre potentialet for, hvad skove kan gøre for vores fremtid, i fuld overensstemmelse med nærhedsprincippet. Kommissionen arbejder tæt sammen med medlemsstaterne om at gennemføre den nye EU-skovstrategi. Den mest effektive måde at opnå en mere inklusiv og bedre koordineret skovforvaltningsstruktur i EU på er at udvide Den Stående Skovbrugskomités anvendelsesområde, præcisere dens opgaver og opbygning og omdøbe den for at afspejle disse ændringer. Den sammensættes af medlemsstaternes kompetente myndigheder, der er relevante for de politiske sektorer, der henvises til i den nye EU-skovstrategi, og ledes af en repræsentant for Kommissionen.</w:t>
      </w:r>
    </w:p>
    <w:p w14:paraId="5408DAFF"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 xml:space="preserve"> </w:t>
      </w:r>
    </w:p>
    <w:p w14:paraId="72C643F9" w14:textId="77777777" w:rsidR="00DF4478" w:rsidRPr="00A858C4" w:rsidRDefault="00DF4478" w:rsidP="00DF4478">
      <w:pPr>
        <w:keepNext/>
        <w:tabs>
          <w:tab w:val="left" w:pos="850"/>
        </w:tabs>
        <w:ind w:left="850" w:hanging="850"/>
        <w:outlineLvl w:val="2"/>
        <w:rPr>
          <w:i/>
          <w:noProof/>
        </w:rPr>
      </w:pPr>
      <w:bookmarkStart w:id="48" w:name="_Toc514938030"/>
      <w:bookmarkStart w:id="49" w:name="_Toc151133569"/>
      <w:r w:rsidRPr="00A858C4">
        <w:rPr>
          <w:i/>
          <w:noProof/>
        </w:rPr>
        <w:t>1.5.3.</w:t>
      </w:r>
      <w:r w:rsidRPr="00A858C4">
        <w:rPr>
          <w:i/>
          <w:noProof/>
        </w:rPr>
        <w:tab/>
        <w:t>Erfaringer fra tidligere foranstaltninger af lignende art</w:t>
      </w:r>
      <w:bookmarkEnd w:id="48"/>
      <w:bookmarkEnd w:id="49"/>
    </w:p>
    <w:p w14:paraId="3B2A9168" w14:textId="77777777" w:rsidR="00DF4478" w:rsidRPr="00A858C4" w:rsidRDefault="00275F81" w:rsidP="00DF4478">
      <w:pPr>
        <w:pBdr>
          <w:top w:val="single" w:sz="4" w:space="1" w:color="auto"/>
          <w:left w:val="single" w:sz="4" w:space="4" w:color="auto"/>
          <w:bottom w:val="single" w:sz="4" w:space="1" w:color="auto"/>
          <w:right w:val="single" w:sz="4" w:space="4" w:color="auto"/>
        </w:pBdr>
        <w:ind w:left="850"/>
        <w:rPr>
          <w:noProof/>
        </w:rPr>
      </w:pPr>
      <w:r w:rsidRPr="00A858C4">
        <w:rPr>
          <w:noProof/>
        </w:rPr>
        <w:t>Den Stående Skovbrugskomité blev nedsat ved afgørelse</w:t>
      </w:r>
      <w:r w:rsidRPr="00A858C4">
        <w:rPr>
          <w:b/>
          <w:noProof/>
        </w:rPr>
        <w:t xml:space="preserve"> </w:t>
      </w:r>
      <w:r w:rsidRPr="00A858C4">
        <w:rPr>
          <w:noProof/>
        </w:rPr>
        <w:t>89/367/EØF for at skabe et mere snævert og vedvarende samarbejde mellem medlemsstaterne og Kommissionen på skovbrugsområdet og således støtte de skovbrugsaktioner, der er indledt ved Det Europæiske Økonomiske Fællesskabs politik vedrørende landbrugsstrukturerne og udviklingen i landdistrikterne. Skovenes bredere bidrag til målene i den europæiske grønne pagt, som præsenteres i den nye EU-skovstrategi, herunder for klima, biodiversitet og bæredygtig bioøkonomi, kræver en mere inklusiv og bedre koordineret skovforvaltningsstruktur i EU, der afspejler alle målene i den nye EU-skovstrategi og deres indbyrdes forbindelser. Den mest effektive måde at opnå en mere inklusiv og bedre koordineret skovforvaltningsstruktur i EU på er at udvide Den Stående Skovbrugskomités anvendelsesområde og præcisere dens opgaver og opbygning. Den Stående Skovbrugskomité bør endvidere omdøbes for at afspejle disse ændringer.</w:t>
      </w:r>
    </w:p>
    <w:p w14:paraId="6B1916A0"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3C85DBC8" w14:textId="77777777" w:rsidR="00DF4478" w:rsidRPr="00A858C4" w:rsidRDefault="00DF4478" w:rsidP="00DF4478">
      <w:pPr>
        <w:keepNext/>
        <w:tabs>
          <w:tab w:val="left" w:pos="850"/>
        </w:tabs>
        <w:ind w:left="850" w:hanging="850"/>
        <w:outlineLvl w:val="2"/>
        <w:rPr>
          <w:i/>
          <w:noProof/>
        </w:rPr>
      </w:pPr>
      <w:bookmarkStart w:id="50" w:name="_Toc514938033"/>
      <w:bookmarkStart w:id="51" w:name="_Toc151133570"/>
      <w:r w:rsidRPr="00A858C4">
        <w:rPr>
          <w:i/>
          <w:noProof/>
        </w:rPr>
        <w:t>1.5.4.</w:t>
      </w:r>
      <w:r w:rsidRPr="00A858C4">
        <w:rPr>
          <w:i/>
          <w:noProof/>
        </w:rPr>
        <w:tab/>
        <w:t>Forenelighed med den flerårige finansielle ramme og mulige synergivirkninger med andre relevante instrumenter</w:t>
      </w:r>
      <w:bookmarkEnd w:id="50"/>
      <w:bookmarkEnd w:id="51"/>
    </w:p>
    <w:p w14:paraId="764D519C"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Skal finansieres fra det samlede rammebeløb for GD AGRI og GD ENV på lige fod.</w:t>
      </w:r>
    </w:p>
    <w:p w14:paraId="0F40B23B"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40022BEB" w14:textId="77777777" w:rsidR="00DF4478" w:rsidRPr="00A858C4" w:rsidRDefault="00DF4478" w:rsidP="00DF4478">
      <w:pPr>
        <w:keepNext/>
        <w:tabs>
          <w:tab w:val="left" w:pos="850"/>
        </w:tabs>
        <w:ind w:left="850" w:hanging="850"/>
        <w:outlineLvl w:val="2"/>
        <w:rPr>
          <w:i/>
          <w:noProof/>
        </w:rPr>
      </w:pPr>
      <w:bookmarkStart w:id="52" w:name="_Toc514938036"/>
      <w:bookmarkStart w:id="53" w:name="_Toc151133571"/>
      <w:r w:rsidRPr="00A858C4">
        <w:rPr>
          <w:i/>
          <w:noProof/>
        </w:rPr>
        <w:t>1.5.5.</w:t>
      </w:r>
      <w:r w:rsidRPr="00A858C4">
        <w:rPr>
          <w:i/>
          <w:noProof/>
        </w:rPr>
        <w:tab/>
        <w:t>Vurdering af de forskellige finansieringsmuligheder, der er til rådighed, herunder muligheden for omfordeling</w:t>
      </w:r>
      <w:bookmarkEnd w:id="52"/>
      <w:bookmarkEnd w:id="53"/>
    </w:p>
    <w:p w14:paraId="2E5BAFD6"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Ikke relevant</w:t>
      </w:r>
    </w:p>
    <w:p w14:paraId="0E7579F0"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4BD3B3D2" w14:textId="77777777" w:rsidR="00DF4478" w:rsidRPr="00A858C4" w:rsidRDefault="00DF4478" w:rsidP="00DF4478">
      <w:pPr>
        <w:ind w:left="850"/>
        <w:rPr>
          <w:noProof/>
        </w:rPr>
      </w:pPr>
    </w:p>
    <w:p w14:paraId="13A64BA5" w14:textId="77777777" w:rsidR="00DF4478" w:rsidRPr="00A858C4" w:rsidRDefault="00DF4478" w:rsidP="00DF4478">
      <w:pPr>
        <w:keepNext/>
        <w:tabs>
          <w:tab w:val="left" w:pos="850"/>
        </w:tabs>
        <w:ind w:left="850" w:hanging="850"/>
        <w:outlineLvl w:val="1"/>
        <w:rPr>
          <w:b/>
          <w:bCs/>
          <w:noProof/>
          <w:szCs w:val="24"/>
        </w:rPr>
      </w:pPr>
      <w:r w:rsidRPr="00A858C4">
        <w:rPr>
          <w:noProof/>
        </w:rPr>
        <w:br w:type="page"/>
      </w:r>
      <w:bookmarkStart w:id="54" w:name="_Toc514938039"/>
      <w:bookmarkStart w:id="55" w:name="_Toc151133572"/>
      <w:r w:rsidRPr="00A858C4">
        <w:rPr>
          <w:b/>
          <w:noProof/>
        </w:rPr>
        <w:t>1.6.</w:t>
      </w:r>
      <w:r w:rsidRPr="00A858C4">
        <w:rPr>
          <w:b/>
          <w:noProof/>
        </w:rPr>
        <w:tab/>
        <w:t>Forslagets/initiativets varighed og finansielle virkninger</w:t>
      </w:r>
      <w:bookmarkEnd w:id="54"/>
      <w:bookmarkEnd w:id="55"/>
    </w:p>
    <w:p w14:paraId="6DB0AFF0" w14:textId="77777777" w:rsidR="00DF4478" w:rsidRPr="00A858C4" w:rsidRDefault="00DF4478" w:rsidP="00DF4478">
      <w:pPr>
        <w:ind w:left="850"/>
        <w:rPr>
          <w:noProof/>
        </w:rPr>
      </w:pPr>
      <w:r w:rsidRPr="00A858C4">
        <w:rPr>
          <w:noProof/>
        </w:rPr>
        <w:sym w:font="Wingdings" w:char="F0A8"/>
      </w:r>
      <w:r w:rsidRPr="00A858C4">
        <w:rPr>
          <w:b/>
          <w:i/>
          <w:noProof/>
        </w:rPr>
        <w:t xml:space="preserve"> </w:t>
      </w:r>
      <w:r w:rsidRPr="00A858C4">
        <w:rPr>
          <w:b/>
          <w:noProof/>
        </w:rPr>
        <w:t xml:space="preserve">Begrænset varighed </w:t>
      </w:r>
    </w:p>
    <w:p w14:paraId="2E5A7077"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 xml:space="preserve">gældende fra [DD/MM]ÅÅÅÅ til [DD/MM]ÅÅÅÅ </w:t>
      </w:r>
    </w:p>
    <w:p w14:paraId="5E995CD2"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 xml:space="preserve">finansielle virkninger fra ÅÅÅÅ til ÅÅÅÅ for forpligtelsesbevillinger og fra ÅÅÅÅ til ÅÅÅÅ for betalingsbevillinger </w:t>
      </w:r>
    </w:p>
    <w:p w14:paraId="3C8ACB17" w14:textId="77777777" w:rsidR="00DF4478" w:rsidRPr="00A858C4" w:rsidRDefault="00DF4478" w:rsidP="00DF4478">
      <w:pPr>
        <w:ind w:left="850"/>
        <w:rPr>
          <w:noProof/>
        </w:rPr>
      </w:pPr>
      <w:r w:rsidRPr="00A858C4">
        <w:rPr>
          <w:noProof/>
        </w:rPr>
        <w:t>×</w:t>
      </w:r>
      <w:r w:rsidRPr="00A858C4">
        <w:rPr>
          <w:b/>
          <w:i/>
          <w:noProof/>
        </w:rPr>
        <w:t xml:space="preserve"> </w:t>
      </w:r>
      <w:r w:rsidRPr="00A858C4">
        <w:rPr>
          <w:b/>
          <w:noProof/>
        </w:rPr>
        <w:t>Ubegrænset varighed</w:t>
      </w:r>
    </w:p>
    <w:p w14:paraId="339E134A" w14:textId="77777777" w:rsidR="00DF4478" w:rsidRPr="00A858C4" w:rsidRDefault="00DF4478" w:rsidP="00DF4478">
      <w:pPr>
        <w:tabs>
          <w:tab w:val="num" w:pos="1134"/>
        </w:tabs>
        <w:ind w:left="1134" w:hanging="283"/>
        <w:rPr>
          <w:noProof/>
        </w:rPr>
      </w:pPr>
      <w:r w:rsidRPr="00A858C4">
        <w:rPr>
          <w:noProof/>
        </w:rPr>
        <w:t>iværksættelse med en indkøringsperiode fra 2023</w:t>
      </w:r>
    </w:p>
    <w:p w14:paraId="5256C0DE" w14:textId="77777777" w:rsidR="00DF4478" w:rsidRPr="00A858C4" w:rsidRDefault="00DF4478" w:rsidP="00DF4478">
      <w:pPr>
        <w:tabs>
          <w:tab w:val="num" w:pos="1134"/>
        </w:tabs>
        <w:ind w:left="1134" w:hanging="283"/>
        <w:rPr>
          <w:noProof/>
        </w:rPr>
      </w:pPr>
      <w:r w:rsidRPr="00A858C4">
        <w:rPr>
          <w:noProof/>
        </w:rPr>
        <w:t>derefter gennemførelse i fuldt omfang.</w:t>
      </w:r>
    </w:p>
    <w:p w14:paraId="6531ED52" w14:textId="77777777" w:rsidR="00DF4478" w:rsidRPr="00A858C4" w:rsidRDefault="00DF4478" w:rsidP="00DF4478">
      <w:pPr>
        <w:keepNext/>
        <w:tabs>
          <w:tab w:val="left" w:pos="850"/>
        </w:tabs>
        <w:ind w:left="850" w:hanging="850"/>
        <w:outlineLvl w:val="1"/>
        <w:rPr>
          <w:b/>
          <w:bCs/>
          <w:noProof/>
          <w:szCs w:val="24"/>
        </w:rPr>
      </w:pPr>
      <w:bookmarkStart w:id="56" w:name="_Toc514938040"/>
      <w:bookmarkStart w:id="57" w:name="_Toc151133573"/>
      <w:r w:rsidRPr="00A858C4">
        <w:rPr>
          <w:b/>
          <w:noProof/>
        </w:rPr>
        <w:t>1.7.</w:t>
      </w:r>
      <w:r w:rsidRPr="00A858C4">
        <w:rPr>
          <w:b/>
          <w:noProof/>
        </w:rPr>
        <w:tab/>
        <w:t>Planlagt(e) budgetgennemførelsesmetode(r)</w:t>
      </w:r>
      <w:r w:rsidRPr="00A858C4">
        <w:rPr>
          <w:noProof/>
          <w:color w:val="000000" w:themeColor="text1"/>
        </w:rPr>
        <w:t> </w:t>
      </w:r>
      <w:r w:rsidRPr="00A858C4">
        <w:rPr>
          <w:rStyle w:val="FootnoteReference"/>
          <w:noProof/>
        </w:rPr>
        <w:footnoteReference w:id="9"/>
      </w:r>
      <w:bookmarkEnd w:id="56"/>
      <w:bookmarkEnd w:id="57"/>
      <w:r w:rsidRPr="00A858C4">
        <w:rPr>
          <w:b/>
          <w:noProof/>
          <w:vertAlign w:val="superscript"/>
        </w:rPr>
        <w:t xml:space="preserve"> </w:t>
      </w:r>
    </w:p>
    <w:p w14:paraId="476A597A" w14:textId="77777777" w:rsidR="00DF4478" w:rsidRPr="00A858C4" w:rsidRDefault="00DF4478" w:rsidP="00DF4478">
      <w:pPr>
        <w:ind w:left="850"/>
        <w:rPr>
          <w:noProof/>
        </w:rPr>
      </w:pPr>
      <w:r w:rsidRPr="00A858C4">
        <w:rPr>
          <w:noProof/>
        </w:rPr>
        <w:t>×</w:t>
      </w:r>
      <w:r w:rsidRPr="00A858C4">
        <w:rPr>
          <w:i/>
          <w:noProof/>
        </w:rPr>
        <w:t xml:space="preserve"> </w:t>
      </w:r>
      <w:r w:rsidRPr="00A858C4">
        <w:rPr>
          <w:b/>
          <w:noProof/>
        </w:rPr>
        <w:t>Direkte forvaltning</w:t>
      </w:r>
      <w:r w:rsidRPr="00A858C4">
        <w:rPr>
          <w:noProof/>
        </w:rPr>
        <w:t xml:space="preserve"> ved Kommissionen</w:t>
      </w:r>
    </w:p>
    <w:p w14:paraId="55F76C5E" w14:textId="77777777" w:rsidR="00DF4478" w:rsidRPr="00A858C4" w:rsidRDefault="00DF4478" w:rsidP="00DF4478">
      <w:pPr>
        <w:tabs>
          <w:tab w:val="num" w:pos="1134"/>
        </w:tabs>
        <w:ind w:left="1134" w:hanging="283"/>
        <w:rPr>
          <w:rFonts w:cs="EUAlbertina"/>
          <w:noProof/>
        </w:rPr>
      </w:pPr>
      <w:r w:rsidRPr="00A858C4">
        <w:rPr>
          <w:noProof/>
        </w:rPr>
        <w:sym w:font="Wingdings" w:char="F0A8"/>
      </w:r>
      <w:r w:rsidRPr="00A858C4">
        <w:rPr>
          <w:noProof/>
        </w:rPr>
        <w:t xml:space="preserve"> i dens tjenestegrene, herunder ved dens personale i EU's delegationer </w:t>
      </w:r>
    </w:p>
    <w:p w14:paraId="10054431"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 xml:space="preserve">i forvaltningsorganerne </w:t>
      </w:r>
    </w:p>
    <w:p w14:paraId="3515D0D0" w14:textId="77777777" w:rsidR="00DF4478" w:rsidRPr="00A858C4" w:rsidRDefault="00DF4478" w:rsidP="00DF4478">
      <w:pPr>
        <w:ind w:left="850"/>
        <w:rPr>
          <w:noProof/>
        </w:rPr>
      </w:pPr>
      <w:r w:rsidRPr="00A858C4">
        <w:rPr>
          <w:noProof/>
        </w:rPr>
        <w:sym w:font="Wingdings" w:char="F0A8"/>
      </w:r>
      <w:r w:rsidRPr="00A858C4">
        <w:rPr>
          <w:b/>
          <w:i/>
          <w:noProof/>
        </w:rPr>
        <w:t xml:space="preserve"> </w:t>
      </w:r>
      <w:r w:rsidRPr="00A858C4">
        <w:rPr>
          <w:b/>
          <w:noProof/>
        </w:rPr>
        <w:t>Delt forvaltning</w:t>
      </w:r>
      <w:r w:rsidRPr="00A858C4">
        <w:rPr>
          <w:noProof/>
        </w:rPr>
        <w:t xml:space="preserve"> i samarbejde med medlemsstaterne </w:t>
      </w:r>
    </w:p>
    <w:p w14:paraId="20F87A34" w14:textId="77777777" w:rsidR="00DF4478" w:rsidRPr="00A858C4" w:rsidRDefault="00DF4478" w:rsidP="00DF4478">
      <w:pPr>
        <w:ind w:left="850"/>
        <w:rPr>
          <w:noProof/>
        </w:rPr>
      </w:pPr>
      <w:r w:rsidRPr="00A858C4">
        <w:rPr>
          <w:noProof/>
        </w:rPr>
        <w:sym w:font="Wingdings" w:char="F0A8"/>
      </w:r>
      <w:r w:rsidRPr="00A858C4">
        <w:rPr>
          <w:i/>
          <w:noProof/>
        </w:rPr>
        <w:t xml:space="preserve"> </w:t>
      </w:r>
      <w:r w:rsidRPr="00A858C4">
        <w:rPr>
          <w:b/>
          <w:noProof/>
        </w:rPr>
        <w:t>Indirekte forvaltning</w:t>
      </w:r>
      <w:r w:rsidRPr="00A858C4">
        <w:rPr>
          <w:noProof/>
        </w:rPr>
        <w:t xml:space="preserve"> ved at overlade budgetgennemførelsesopgaver til:</w:t>
      </w:r>
    </w:p>
    <w:p w14:paraId="7774F108"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 xml:space="preserve"> tredjelande eller organer, som tredjelande har udpeget</w:t>
      </w:r>
    </w:p>
    <w:p w14:paraId="5C4FBF6F"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 xml:space="preserve"> internationale organisationer og deres agenturer (angives nærmere)</w:t>
      </w:r>
    </w:p>
    <w:p w14:paraId="7A6FE527"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 xml:space="preserve"> Den Europæiske Investeringsbank og Den Europæiske Investeringsfond</w:t>
      </w:r>
    </w:p>
    <w:p w14:paraId="31B71596"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 xml:space="preserve"> de organer, der er omhandlet i finansforordningens artikel 70 og 71</w:t>
      </w:r>
    </w:p>
    <w:p w14:paraId="57C3DE41"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 xml:space="preserve"> offentligretlige organer</w:t>
      </w:r>
    </w:p>
    <w:p w14:paraId="10323763"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 xml:space="preserve"> privatretlige organer, der har fået overdraget offentlige tjenesteydelsesopgaver, i det omfang de har fået stillet tilstrækkelige finansielle garantier</w:t>
      </w:r>
    </w:p>
    <w:p w14:paraId="71838749"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 xml:space="preserve"> privatretlige organer, undergivet lovgivningen i en medlemsstat, som har fået overdraget gennemførelsen af et offentlig-privat partnerskab, og som har fået stillet tilstrækkelige finansielle garantier</w:t>
      </w:r>
    </w:p>
    <w:p w14:paraId="5DE9EFCF"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 xml:space="preserve"> organer eller personer, der har fået overdraget gennemførelsen af specifikke aktioner i den fælles udenrigs- og sikkerhedspolitik i henhold til afsnit V i traktaten om Den Europæiske Union, og som er anført i den relevante basisretsakt.</w:t>
      </w:r>
    </w:p>
    <w:p w14:paraId="72A1AE70" w14:textId="77777777" w:rsidR="00DF4478" w:rsidRPr="00A858C4" w:rsidRDefault="00DF4478" w:rsidP="00DF4478">
      <w:pPr>
        <w:tabs>
          <w:tab w:val="num" w:pos="1134"/>
        </w:tabs>
        <w:ind w:left="1134" w:hanging="283"/>
        <w:rPr>
          <w:i/>
          <w:noProof/>
          <w:sz w:val="18"/>
          <w:u w:val="single"/>
        </w:rPr>
      </w:pPr>
      <w:r w:rsidRPr="00A858C4">
        <w:rPr>
          <w:i/>
          <w:noProof/>
          <w:sz w:val="18"/>
        </w:rPr>
        <w:t>Hvis der angives flere forvaltningsmetoder, gives der en nærmere forklaring i afsnittet "Bemærkninger".</w:t>
      </w:r>
    </w:p>
    <w:p w14:paraId="3FAE0183" w14:textId="77777777" w:rsidR="00DF4478" w:rsidRPr="00A858C4" w:rsidRDefault="00DF4478" w:rsidP="00DF4478">
      <w:pPr>
        <w:rPr>
          <w:noProof/>
        </w:rPr>
      </w:pPr>
      <w:r w:rsidRPr="00A858C4">
        <w:rPr>
          <w:noProof/>
        </w:rPr>
        <w:t xml:space="preserve">Bemærkninger </w:t>
      </w:r>
    </w:p>
    <w:p w14:paraId="117CDE20" w14:textId="77777777" w:rsidR="00DF4478" w:rsidRPr="00A858C4" w:rsidRDefault="00DF4478" w:rsidP="00DF4478">
      <w:pPr>
        <w:pBdr>
          <w:top w:val="single" w:sz="4" w:space="1" w:color="auto"/>
          <w:left w:val="single" w:sz="4" w:space="4" w:color="auto"/>
          <w:bottom w:val="single" w:sz="4" w:space="1" w:color="auto"/>
          <w:right w:val="single" w:sz="4" w:space="4" w:color="auto"/>
        </w:pBdr>
        <w:rPr>
          <w:noProof/>
        </w:rPr>
      </w:pPr>
    </w:p>
    <w:p w14:paraId="7E623BCD" w14:textId="77777777" w:rsidR="00DF4478" w:rsidRPr="00A858C4" w:rsidRDefault="00DF4478" w:rsidP="00DF4478">
      <w:pPr>
        <w:pBdr>
          <w:top w:val="single" w:sz="4" w:space="1" w:color="auto"/>
          <w:left w:val="single" w:sz="4" w:space="4" w:color="auto"/>
          <w:bottom w:val="single" w:sz="4" w:space="1" w:color="auto"/>
          <w:right w:val="single" w:sz="4" w:space="4" w:color="auto"/>
        </w:pBdr>
        <w:rPr>
          <w:noProof/>
        </w:rPr>
      </w:pPr>
    </w:p>
    <w:p w14:paraId="199D20EF" w14:textId="77777777" w:rsidR="00DF4478" w:rsidRPr="00A858C4" w:rsidRDefault="00DF4478" w:rsidP="00DF4478">
      <w:pPr>
        <w:rPr>
          <w:noProof/>
        </w:rPr>
        <w:sectPr w:rsidR="00DF4478" w:rsidRPr="00A858C4" w:rsidSect="007A795C">
          <w:pgSz w:w="11907" w:h="16840" w:code="9"/>
          <w:pgMar w:top="1134" w:right="1418" w:bottom="1134" w:left="1418" w:header="709" w:footer="709" w:gutter="0"/>
          <w:cols w:space="708"/>
          <w:docGrid w:linePitch="360"/>
        </w:sectPr>
      </w:pPr>
    </w:p>
    <w:p w14:paraId="3C05353C" w14:textId="77777777" w:rsidR="00DF4478" w:rsidRPr="00A858C4" w:rsidRDefault="00DF4478" w:rsidP="00DF4478">
      <w:pPr>
        <w:keepNext/>
        <w:tabs>
          <w:tab w:val="left" w:pos="850"/>
        </w:tabs>
        <w:spacing w:before="360"/>
        <w:ind w:left="850" w:hanging="850"/>
        <w:outlineLvl w:val="0"/>
        <w:rPr>
          <w:b/>
          <w:bCs/>
          <w:smallCaps/>
          <w:noProof/>
          <w:szCs w:val="24"/>
        </w:rPr>
      </w:pPr>
      <w:bookmarkStart w:id="58" w:name="_Toc514938041"/>
      <w:bookmarkStart w:id="59" w:name="_Toc151133574"/>
      <w:r w:rsidRPr="00A858C4">
        <w:rPr>
          <w:b/>
          <w:smallCaps/>
          <w:noProof/>
        </w:rPr>
        <w:t>2.</w:t>
      </w:r>
      <w:r w:rsidRPr="00A858C4">
        <w:rPr>
          <w:b/>
          <w:smallCaps/>
          <w:noProof/>
        </w:rPr>
        <w:tab/>
        <w:t>FORVALTNINGSFORANSTALTNINGER</w:t>
      </w:r>
      <w:bookmarkEnd w:id="58"/>
      <w:bookmarkEnd w:id="59"/>
      <w:r w:rsidRPr="00A858C4">
        <w:rPr>
          <w:b/>
          <w:smallCaps/>
          <w:noProof/>
        </w:rPr>
        <w:t xml:space="preserve"> </w:t>
      </w:r>
    </w:p>
    <w:p w14:paraId="2ED8126B" w14:textId="77777777" w:rsidR="00DF4478" w:rsidRPr="00A858C4" w:rsidRDefault="00DF4478" w:rsidP="00DF4478">
      <w:pPr>
        <w:keepNext/>
        <w:tabs>
          <w:tab w:val="left" w:pos="850"/>
        </w:tabs>
        <w:ind w:left="850" w:hanging="850"/>
        <w:outlineLvl w:val="1"/>
        <w:rPr>
          <w:b/>
          <w:noProof/>
        </w:rPr>
      </w:pPr>
      <w:bookmarkStart w:id="60" w:name="_Toc514938042"/>
      <w:bookmarkStart w:id="61" w:name="_Toc151133575"/>
      <w:r w:rsidRPr="00A858C4">
        <w:rPr>
          <w:b/>
          <w:noProof/>
        </w:rPr>
        <w:t>2.1.</w:t>
      </w:r>
      <w:r w:rsidRPr="00A858C4">
        <w:rPr>
          <w:b/>
          <w:noProof/>
        </w:rPr>
        <w:tab/>
        <w:t>Bestemmelser om overvågning og rapportering</w:t>
      </w:r>
      <w:bookmarkEnd w:id="60"/>
      <w:bookmarkEnd w:id="61"/>
      <w:r w:rsidRPr="00A858C4">
        <w:rPr>
          <w:b/>
          <w:noProof/>
        </w:rPr>
        <w:t xml:space="preserve"> </w:t>
      </w:r>
    </w:p>
    <w:p w14:paraId="3247619F" w14:textId="77777777" w:rsidR="00DF4478" w:rsidRPr="00A858C4" w:rsidRDefault="00DF4478" w:rsidP="00DF4478">
      <w:pPr>
        <w:ind w:left="850"/>
        <w:rPr>
          <w:i/>
          <w:noProof/>
          <w:sz w:val="20"/>
        </w:rPr>
      </w:pPr>
      <w:r w:rsidRPr="00A858C4">
        <w:rPr>
          <w:i/>
          <w:noProof/>
          <w:sz w:val="20"/>
        </w:rPr>
        <w:t>Angiv hyppighed og betingelser.</w:t>
      </w:r>
    </w:p>
    <w:p w14:paraId="7778E6ED"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Ikke relevant</w:t>
      </w:r>
    </w:p>
    <w:p w14:paraId="74400DF4" w14:textId="77777777" w:rsidR="00DF4478" w:rsidRPr="00A858C4" w:rsidRDefault="00DF4478" w:rsidP="00DF4478">
      <w:pPr>
        <w:keepNext/>
        <w:tabs>
          <w:tab w:val="left" w:pos="850"/>
        </w:tabs>
        <w:ind w:left="850" w:hanging="850"/>
        <w:outlineLvl w:val="1"/>
        <w:rPr>
          <w:b/>
          <w:bCs/>
          <w:noProof/>
          <w:szCs w:val="24"/>
        </w:rPr>
      </w:pPr>
      <w:bookmarkStart w:id="62" w:name="_Toc514938045"/>
      <w:bookmarkStart w:id="63" w:name="_Toc151133576"/>
      <w:r w:rsidRPr="00A858C4">
        <w:rPr>
          <w:b/>
          <w:noProof/>
        </w:rPr>
        <w:t>2.2.</w:t>
      </w:r>
      <w:r w:rsidRPr="00A858C4">
        <w:rPr>
          <w:b/>
          <w:noProof/>
        </w:rPr>
        <w:tab/>
        <w:t>Forvaltnings- og kontrolsystem(er)</w:t>
      </w:r>
      <w:bookmarkEnd w:id="62"/>
      <w:bookmarkEnd w:id="63"/>
      <w:r w:rsidRPr="00A858C4">
        <w:rPr>
          <w:b/>
          <w:noProof/>
        </w:rPr>
        <w:t xml:space="preserve"> </w:t>
      </w:r>
    </w:p>
    <w:p w14:paraId="58642D38" w14:textId="77777777" w:rsidR="00DF4478" w:rsidRPr="00A858C4" w:rsidRDefault="00DF4478" w:rsidP="00DF4478">
      <w:pPr>
        <w:keepNext/>
        <w:tabs>
          <w:tab w:val="left" w:pos="850"/>
        </w:tabs>
        <w:ind w:left="850" w:hanging="850"/>
        <w:outlineLvl w:val="2"/>
        <w:rPr>
          <w:i/>
          <w:noProof/>
        </w:rPr>
      </w:pPr>
      <w:bookmarkStart w:id="64" w:name="_Toc514938046"/>
      <w:bookmarkStart w:id="65" w:name="_Toc151133577"/>
      <w:r w:rsidRPr="00A858C4">
        <w:rPr>
          <w:i/>
          <w:noProof/>
        </w:rPr>
        <w:t>2.2.1.</w:t>
      </w:r>
      <w:r w:rsidRPr="00A858C4">
        <w:rPr>
          <w:i/>
          <w:noProof/>
        </w:rPr>
        <w:tab/>
        <w:t>Begrundelse for den/de foreslåede forvaltningsmetode(r), finansieringsmekanisme(r), betalingsvilkår og kontrolstrategi</w:t>
      </w:r>
      <w:bookmarkEnd w:id="64"/>
      <w:bookmarkEnd w:id="65"/>
    </w:p>
    <w:p w14:paraId="1627A69F"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Ikke relevant</w:t>
      </w:r>
    </w:p>
    <w:p w14:paraId="0A2FDD1C" w14:textId="77777777" w:rsidR="00DF4478" w:rsidRPr="00A858C4" w:rsidRDefault="00DF4478" w:rsidP="00DF4478">
      <w:pPr>
        <w:keepNext/>
        <w:tabs>
          <w:tab w:val="left" w:pos="850"/>
        </w:tabs>
        <w:ind w:left="850" w:hanging="850"/>
        <w:outlineLvl w:val="2"/>
        <w:rPr>
          <w:bCs/>
          <w:i/>
          <w:noProof/>
          <w:szCs w:val="24"/>
        </w:rPr>
      </w:pPr>
      <w:bookmarkStart w:id="66" w:name="_Toc514938047"/>
      <w:bookmarkStart w:id="67" w:name="_Toc151133578"/>
      <w:r w:rsidRPr="00A858C4">
        <w:rPr>
          <w:i/>
          <w:noProof/>
        </w:rPr>
        <w:t>2.2.2.</w:t>
      </w:r>
      <w:r w:rsidRPr="00A858C4">
        <w:rPr>
          <w:i/>
          <w:noProof/>
        </w:rPr>
        <w:tab/>
        <w:t>Oplysninger om de konstaterede risici og det/de interne kontrolsystem(er), der etableres for at afbøde dem</w:t>
      </w:r>
      <w:bookmarkEnd w:id="66"/>
      <w:bookmarkEnd w:id="67"/>
    </w:p>
    <w:p w14:paraId="69422940"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Ikke relevant</w:t>
      </w:r>
    </w:p>
    <w:p w14:paraId="2A35714A" w14:textId="77777777" w:rsidR="00DF4478" w:rsidRPr="00A858C4" w:rsidRDefault="00DF4478" w:rsidP="00DF4478">
      <w:pPr>
        <w:keepNext/>
        <w:tabs>
          <w:tab w:val="left" w:pos="850"/>
        </w:tabs>
        <w:ind w:left="850" w:hanging="850"/>
        <w:outlineLvl w:val="2"/>
        <w:rPr>
          <w:i/>
          <w:noProof/>
        </w:rPr>
      </w:pPr>
      <w:bookmarkStart w:id="68" w:name="_Toc514938048"/>
      <w:bookmarkStart w:id="69" w:name="_Toc151133579"/>
      <w:r w:rsidRPr="00A858C4">
        <w:rPr>
          <w:i/>
          <w:noProof/>
        </w:rPr>
        <w:t>2.2.3.</w:t>
      </w:r>
      <w:r w:rsidRPr="00A858C4">
        <w:rPr>
          <w:i/>
          <w:noProof/>
        </w:rPr>
        <w:tab/>
        <w:t>Vurdering af og begrundelse for kontrolforanstaltningernes omkostningseffektivitet (forholdet mellem kontrolomkostningerne og værdien af de forvaltede midler) samt vurdering af den forventede risiko for fejl (ved betaling og ved afslutning)</w:t>
      </w:r>
      <w:bookmarkEnd w:id="68"/>
      <w:bookmarkEnd w:id="69"/>
      <w:r w:rsidRPr="00A858C4">
        <w:rPr>
          <w:i/>
          <w:noProof/>
        </w:rPr>
        <w:t xml:space="preserve"> </w:t>
      </w:r>
    </w:p>
    <w:p w14:paraId="5F47F315"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Ikke relevant</w:t>
      </w:r>
    </w:p>
    <w:p w14:paraId="6645463E"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0AA49BA8" w14:textId="77777777" w:rsidR="00DF4478" w:rsidRPr="00A858C4" w:rsidRDefault="00DF4478" w:rsidP="00DF4478">
      <w:pPr>
        <w:keepNext/>
        <w:tabs>
          <w:tab w:val="left" w:pos="850"/>
        </w:tabs>
        <w:ind w:left="850" w:hanging="850"/>
        <w:outlineLvl w:val="1"/>
        <w:rPr>
          <w:b/>
          <w:bCs/>
          <w:noProof/>
          <w:szCs w:val="24"/>
        </w:rPr>
      </w:pPr>
      <w:bookmarkStart w:id="70" w:name="_Toc514938049"/>
      <w:bookmarkStart w:id="71" w:name="_Toc151133580"/>
      <w:r w:rsidRPr="00A858C4">
        <w:rPr>
          <w:b/>
          <w:noProof/>
        </w:rPr>
        <w:t>2.3.</w:t>
      </w:r>
      <w:r w:rsidRPr="00A858C4">
        <w:rPr>
          <w:b/>
          <w:noProof/>
        </w:rPr>
        <w:tab/>
        <w:t>Foranstaltninger til forebyggelse af svig og uregelmæssigheder</w:t>
      </w:r>
      <w:bookmarkEnd w:id="70"/>
      <w:bookmarkEnd w:id="71"/>
      <w:r w:rsidRPr="00A858C4">
        <w:rPr>
          <w:b/>
          <w:noProof/>
        </w:rPr>
        <w:t xml:space="preserve"> </w:t>
      </w:r>
    </w:p>
    <w:p w14:paraId="67F43B6B" w14:textId="77777777" w:rsidR="00DF4478" w:rsidRPr="00A858C4" w:rsidRDefault="00DF4478" w:rsidP="00DF4478">
      <w:pPr>
        <w:ind w:left="850"/>
        <w:rPr>
          <w:i/>
          <w:noProof/>
          <w:sz w:val="20"/>
        </w:rPr>
      </w:pPr>
      <w:r w:rsidRPr="00A858C4">
        <w:rPr>
          <w:i/>
          <w:noProof/>
          <w:sz w:val="20"/>
        </w:rPr>
        <w:t>Angiv eksisterende eller påtænkte forebyggelses- og beskyttelsesforanstaltninger, f.eks. fra strategien til bekæmpelse af svig.</w:t>
      </w:r>
    </w:p>
    <w:p w14:paraId="1F986B57"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r w:rsidRPr="00A858C4">
        <w:rPr>
          <w:noProof/>
        </w:rPr>
        <w:t>Ikke relevant</w:t>
      </w:r>
    </w:p>
    <w:p w14:paraId="355A9890"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6F9B8960" w14:textId="77777777" w:rsidR="00DF4478" w:rsidRPr="00A858C4" w:rsidRDefault="00DF4478" w:rsidP="00DF4478">
      <w:pPr>
        <w:rPr>
          <w:noProof/>
        </w:rPr>
        <w:sectPr w:rsidR="00DF4478" w:rsidRPr="00A858C4" w:rsidSect="007A795C">
          <w:pgSz w:w="11907" w:h="16840" w:code="9"/>
          <w:pgMar w:top="1134" w:right="1418" w:bottom="1134" w:left="1418" w:header="709" w:footer="709" w:gutter="0"/>
          <w:cols w:space="708"/>
          <w:docGrid w:linePitch="360"/>
        </w:sectPr>
      </w:pPr>
    </w:p>
    <w:p w14:paraId="3CF22980" w14:textId="77777777" w:rsidR="00DF4478" w:rsidRPr="00A858C4" w:rsidRDefault="00DF4478" w:rsidP="00DF4478">
      <w:pPr>
        <w:keepNext/>
        <w:tabs>
          <w:tab w:val="left" w:pos="850"/>
        </w:tabs>
        <w:spacing w:before="360"/>
        <w:ind w:left="850" w:hanging="850"/>
        <w:outlineLvl w:val="0"/>
        <w:rPr>
          <w:b/>
          <w:bCs/>
          <w:smallCaps/>
          <w:noProof/>
          <w:szCs w:val="24"/>
        </w:rPr>
      </w:pPr>
      <w:bookmarkStart w:id="72" w:name="_Toc514938050"/>
      <w:bookmarkStart w:id="73" w:name="_Toc151133581"/>
      <w:r w:rsidRPr="00A858C4">
        <w:rPr>
          <w:b/>
          <w:smallCaps/>
          <w:noProof/>
        </w:rPr>
        <w:t>3.</w:t>
      </w:r>
      <w:r w:rsidRPr="00A858C4">
        <w:rPr>
          <w:b/>
          <w:smallCaps/>
          <w:noProof/>
        </w:rPr>
        <w:tab/>
        <w:t>FORSLAGETS/INITIATIVETS ANSLÅEDE FINANSIELLE VIRKNINGER</w:t>
      </w:r>
      <w:bookmarkEnd w:id="72"/>
      <w:bookmarkEnd w:id="73"/>
      <w:r w:rsidRPr="00A858C4">
        <w:rPr>
          <w:b/>
          <w:smallCaps/>
          <w:noProof/>
        </w:rPr>
        <w:t xml:space="preserve"> </w:t>
      </w:r>
    </w:p>
    <w:p w14:paraId="312EF6A2" w14:textId="77777777" w:rsidR="00DF4478" w:rsidRPr="00A858C4" w:rsidRDefault="00DF4478" w:rsidP="00DF4478">
      <w:pPr>
        <w:keepNext/>
        <w:tabs>
          <w:tab w:val="left" w:pos="850"/>
        </w:tabs>
        <w:ind w:left="850" w:hanging="850"/>
        <w:outlineLvl w:val="1"/>
        <w:rPr>
          <w:b/>
          <w:noProof/>
        </w:rPr>
      </w:pPr>
      <w:bookmarkStart w:id="74" w:name="_Toc514938051"/>
      <w:bookmarkStart w:id="75" w:name="_Toc151133582"/>
      <w:r w:rsidRPr="00A858C4">
        <w:rPr>
          <w:b/>
          <w:noProof/>
        </w:rPr>
        <w:t>3.1.</w:t>
      </w:r>
      <w:r w:rsidRPr="00A858C4">
        <w:rPr>
          <w:b/>
          <w:noProof/>
        </w:rPr>
        <w:tab/>
        <w:t>Berørt(e) udgiftsområde(r) i den flerårige finansielle ramme og udgiftspost(er) på budgettet</w:t>
      </w:r>
      <w:bookmarkEnd w:id="74"/>
      <w:bookmarkEnd w:id="75"/>
      <w:r w:rsidRPr="00A858C4">
        <w:rPr>
          <w:b/>
          <w:noProof/>
        </w:rPr>
        <w:t xml:space="preserve"> </w:t>
      </w:r>
    </w:p>
    <w:p w14:paraId="71B8643D" w14:textId="77777777" w:rsidR="00DF4478" w:rsidRPr="00A858C4" w:rsidRDefault="00DF4478" w:rsidP="00DF4478">
      <w:pPr>
        <w:tabs>
          <w:tab w:val="num" w:pos="1134"/>
        </w:tabs>
        <w:ind w:left="1134" w:hanging="283"/>
        <w:rPr>
          <w:noProof/>
        </w:rPr>
      </w:pPr>
      <w:r w:rsidRPr="00A858C4">
        <w:rPr>
          <w:noProof/>
        </w:rPr>
        <w:t xml:space="preserve">Eksisterende udgiftsposter </w:t>
      </w:r>
    </w:p>
    <w:p w14:paraId="49EA6BA0" w14:textId="77777777" w:rsidR="00DF4478" w:rsidRPr="00A858C4" w:rsidRDefault="00DF4478" w:rsidP="00DF4478">
      <w:pPr>
        <w:ind w:left="850"/>
        <w:rPr>
          <w:i/>
          <w:noProof/>
        </w:rPr>
      </w:pPr>
      <w:r w:rsidRPr="00A858C4">
        <w:rPr>
          <w:i/>
          <w:noProof/>
          <w:u w:val="single"/>
        </w:rPr>
        <w:t>I samme rækkefølge</w:t>
      </w:r>
      <w:r w:rsidRPr="00A858C4">
        <w:rPr>
          <w:i/>
          <w:noProof/>
        </w:rPr>
        <w:t xml:space="preserve"> som udgiftsområderne i den flerårige finansielle ramme og budgetposterne.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F4478" w:rsidRPr="00A858C4" w14:paraId="5AC01860" w14:textId="77777777" w:rsidTr="005D1D40">
        <w:tc>
          <w:tcPr>
            <w:tcW w:w="1080" w:type="dxa"/>
            <w:vMerge w:val="restart"/>
            <w:vAlign w:val="center"/>
          </w:tcPr>
          <w:p w14:paraId="412FAF84" w14:textId="77777777" w:rsidR="00DF4478" w:rsidRPr="00A858C4" w:rsidRDefault="00DF4478" w:rsidP="00DF4478">
            <w:pPr>
              <w:spacing w:before="60" w:after="60"/>
              <w:jc w:val="center"/>
              <w:rPr>
                <w:noProof/>
              </w:rPr>
            </w:pPr>
            <w:r w:rsidRPr="00A858C4">
              <w:rPr>
                <w:noProof/>
                <w:sz w:val="18"/>
              </w:rPr>
              <w:t>Udgiftsområde i den flerårige finansielle ramme</w:t>
            </w:r>
          </w:p>
        </w:tc>
        <w:tc>
          <w:tcPr>
            <w:tcW w:w="3960" w:type="dxa"/>
            <w:vAlign w:val="center"/>
          </w:tcPr>
          <w:p w14:paraId="5D6D455A" w14:textId="77777777" w:rsidR="00DF4478" w:rsidRPr="00A858C4" w:rsidRDefault="00DF4478" w:rsidP="00DF4478">
            <w:pPr>
              <w:spacing w:before="60" w:after="60"/>
              <w:jc w:val="center"/>
              <w:rPr>
                <w:noProof/>
              </w:rPr>
            </w:pPr>
            <w:r w:rsidRPr="00A858C4">
              <w:rPr>
                <w:noProof/>
                <w:sz w:val="20"/>
              </w:rPr>
              <w:t>Budgetpost</w:t>
            </w:r>
          </w:p>
        </w:tc>
        <w:tc>
          <w:tcPr>
            <w:tcW w:w="1080" w:type="dxa"/>
            <w:vAlign w:val="center"/>
          </w:tcPr>
          <w:p w14:paraId="440A64D6" w14:textId="77777777" w:rsidR="00DF4478" w:rsidRPr="00A858C4" w:rsidRDefault="00DF4478" w:rsidP="00DF4478">
            <w:pPr>
              <w:spacing w:before="60" w:after="60"/>
              <w:jc w:val="center"/>
              <w:rPr>
                <w:noProof/>
              </w:rPr>
            </w:pPr>
            <w:r w:rsidRPr="00A858C4">
              <w:rPr>
                <w:noProof/>
                <w:sz w:val="18"/>
              </w:rPr>
              <w:t xml:space="preserve">Udgiftens </w:t>
            </w:r>
            <w:r w:rsidRPr="00A858C4">
              <w:rPr>
                <w:noProof/>
                <w:sz w:val="22"/>
              </w:rPr>
              <w:br/>
            </w:r>
            <w:r w:rsidRPr="00A858C4">
              <w:rPr>
                <w:noProof/>
                <w:sz w:val="18"/>
              </w:rPr>
              <w:t>art</w:t>
            </w:r>
          </w:p>
        </w:tc>
        <w:tc>
          <w:tcPr>
            <w:tcW w:w="4440" w:type="dxa"/>
            <w:gridSpan w:val="4"/>
            <w:vAlign w:val="center"/>
          </w:tcPr>
          <w:p w14:paraId="5DCB4918" w14:textId="77777777" w:rsidR="00DF4478" w:rsidRPr="00A858C4" w:rsidRDefault="00DF4478" w:rsidP="00DF4478">
            <w:pPr>
              <w:spacing w:before="60" w:after="60"/>
              <w:jc w:val="center"/>
              <w:rPr>
                <w:noProof/>
              </w:rPr>
            </w:pPr>
            <w:r w:rsidRPr="00A858C4">
              <w:rPr>
                <w:noProof/>
                <w:sz w:val="20"/>
              </w:rPr>
              <w:t xml:space="preserve">Bidrag </w:t>
            </w:r>
          </w:p>
        </w:tc>
      </w:tr>
      <w:tr w:rsidR="00DF4478" w:rsidRPr="00A858C4" w14:paraId="0922B1A4" w14:textId="77777777" w:rsidTr="005D1D40">
        <w:tc>
          <w:tcPr>
            <w:tcW w:w="1080" w:type="dxa"/>
            <w:vMerge/>
            <w:vAlign w:val="center"/>
          </w:tcPr>
          <w:p w14:paraId="167401FB" w14:textId="77777777" w:rsidR="00DF4478" w:rsidRPr="00A858C4" w:rsidRDefault="00DF4478" w:rsidP="00DF4478">
            <w:pPr>
              <w:jc w:val="center"/>
              <w:rPr>
                <w:noProof/>
              </w:rPr>
            </w:pPr>
          </w:p>
        </w:tc>
        <w:tc>
          <w:tcPr>
            <w:tcW w:w="3960" w:type="dxa"/>
            <w:vAlign w:val="center"/>
          </w:tcPr>
          <w:p w14:paraId="7B7CAB42" w14:textId="77777777" w:rsidR="00DF4478" w:rsidRPr="00A858C4" w:rsidRDefault="00DF4478" w:rsidP="00DF4478">
            <w:pPr>
              <w:rPr>
                <w:noProof/>
              </w:rPr>
            </w:pPr>
            <w:r w:rsidRPr="00A858C4">
              <w:rPr>
                <w:noProof/>
                <w:sz w:val="20"/>
              </w:rPr>
              <w:t xml:space="preserve">Nummer </w:t>
            </w:r>
            <w:r w:rsidRPr="00A858C4">
              <w:rPr>
                <w:noProof/>
                <w:sz w:val="22"/>
              </w:rPr>
              <w:br/>
            </w:r>
          </w:p>
        </w:tc>
        <w:tc>
          <w:tcPr>
            <w:tcW w:w="1080" w:type="dxa"/>
            <w:vAlign w:val="center"/>
          </w:tcPr>
          <w:p w14:paraId="78C30234" w14:textId="77777777" w:rsidR="00DF4478" w:rsidRPr="00A858C4" w:rsidRDefault="00DF4478" w:rsidP="00DF4478">
            <w:pPr>
              <w:jc w:val="center"/>
              <w:rPr>
                <w:noProof/>
              </w:rPr>
            </w:pPr>
            <w:r w:rsidRPr="00A858C4">
              <w:rPr>
                <w:noProof/>
                <w:sz w:val="18"/>
              </w:rPr>
              <w:t>OB/IOB</w:t>
            </w:r>
            <w:r w:rsidRPr="00A858C4">
              <w:rPr>
                <w:noProof/>
                <w:color w:val="000000" w:themeColor="text1"/>
              </w:rPr>
              <w:t> </w:t>
            </w:r>
            <w:r w:rsidRPr="00A858C4">
              <w:rPr>
                <w:rStyle w:val="FootnoteReference"/>
                <w:noProof/>
              </w:rPr>
              <w:footnoteReference w:id="10"/>
            </w:r>
          </w:p>
        </w:tc>
        <w:tc>
          <w:tcPr>
            <w:tcW w:w="956" w:type="dxa"/>
            <w:vAlign w:val="center"/>
          </w:tcPr>
          <w:p w14:paraId="6C386F36" w14:textId="77777777" w:rsidR="00DF4478" w:rsidRPr="00A858C4" w:rsidRDefault="00DF4478" w:rsidP="00DF4478">
            <w:pPr>
              <w:jc w:val="center"/>
              <w:rPr>
                <w:b/>
                <w:noProof/>
                <w:sz w:val="18"/>
              </w:rPr>
            </w:pPr>
            <w:r w:rsidRPr="00A858C4">
              <w:rPr>
                <w:noProof/>
                <w:sz w:val="18"/>
              </w:rPr>
              <w:t>fra EFTA-lande</w:t>
            </w:r>
            <w:r w:rsidRPr="00A858C4">
              <w:rPr>
                <w:rStyle w:val="FootnoteReference"/>
                <w:noProof/>
              </w:rPr>
              <w:footnoteReference w:id="11"/>
            </w:r>
          </w:p>
        </w:tc>
        <w:tc>
          <w:tcPr>
            <w:tcW w:w="1080" w:type="dxa"/>
            <w:vAlign w:val="center"/>
          </w:tcPr>
          <w:p w14:paraId="4C0F613A" w14:textId="77777777" w:rsidR="00DF4478" w:rsidRPr="00A858C4" w:rsidRDefault="00DF4478" w:rsidP="00DF4478">
            <w:pPr>
              <w:jc w:val="center"/>
              <w:rPr>
                <w:noProof/>
                <w:sz w:val="18"/>
              </w:rPr>
            </w:pPr>
            <w:r w:rsidRPr="00A858C4">
              <w:rPr>
                <w:noProof/>
                <w:sz w:val="18"/>
              </w:rPr>
              <w:t>fra kandidatlande og potentielle kandidater</w:t>
            </w:r>
            <w:r w:rsidRPr="00A858C4">
              <w:rPr>
                <w:rStyle w:val="FootnoteReference"/>
                <w:noProof/>
              </w:rPr>
              <w:footnoteReference w:id="12"/>
            </w:r>
          </w:p>
        </w:tc>
        <w:tc>
          <w:tcPr>
            <w:tcW w:w="956" w:type="dxa"/>
            <w:vAlign w:val="center"/>
          </w:tcPr>
          <w:p w14:paraId="0511DC98" w14:textId="77777777" w:rsidR="00DF4478" w:rsidRPr="00A858C4" w:rsidRDefault="00DF4478" w:rsidP="00DF4478">
            <w:pPr>
              <w:jc w:val="center"/>
              <w:rPr>
                <w:noProof/>
                <w:sz w:val="18"/>
              </w:rPr>
            </w:pPr>
            <w:r w:rsidRPr="00A858C4">
              <w:rPr>
                <w:noProof/>
                <w:sz w:val="18"/>
              </w:rPr>
              <w:t>fra andre tredjelande</w:t>
            </w:r>
          </w:p>
        </w:tc>
        <w:tc>
          <w:tcPr>
            <w:tcW w:w="1448" w:type="dxa"/>
            <w:vAlign w:val="center"/>
          </w:tcPr>
          <w:p w14:paraId="194863A0" w14:textId="77777777" w:rsidR="00DF4478" w:rsidRPr="00A858C4" w:rsidRDefault="00DF4478" w:rsidP="00DF4478">
            <w:pPr>
              <w:jc w:val="center"/>
              <w:rPr>
                <w:noProof/>
              </w:rPr>
            </w:pPr>
            <w:r w:rsidRPr="00A858C4">
              <w:rPr>
                <w:noProof/>
                <w:sz w:val="18"/>
              </w:rPr>
              <w:t>andre formålsbestemte indtægter</w:t>
            </w:r>
          </w:p>
        </w:tc>
      </w:tr>
      <w:tr w:rsidR="00DF4478" w:rsidRPr="00A858C4" w14:paraId="566749F8" w14:textId="77777777" w:rsidTr="005D1D40">
        <w:tc>
          <w:tcPr>
            <w:tcW w:w="1080" w:type="dxa"/>
            <w:vAlign w:val="center"/>
          </w:tcPr>
          <w:p w14:paraId="1305A31E" w14:textId="77777777" w:rsidR="00DF4478" w:rsidRPr="00A858C4" w:rsidRDefault="00DF4478" w:rsidP="00DF4478">
            <w:pPr>
              <w:jc w:val="center"/>
              <w:rPr>
                <w:noProof/>
                <w:color w:val="0000FF"/>
              </w:rPr>
            </w:pPr>
            <w:r w:rsidRPr="00A858C4">
              <w:rPr>
                <w:noProof/>
              </w:rPr>
              <w:t>7</w:t>
            </w:r>
          </w:p>
        </w:tc>
        <w:tc>
          <w:tcPr>
            <w:tcW w:w="3960" w:type="dxa"/>
            <w:vAlign w:val="center"/>
          </w:tcPr>
          <w:p w14:paraId="5A4F74C3" w14:textId="77777777" w:rsidR="00DF4478" w:rsidRPr="00A858C4" w:rsidRDefault="00DF4478" w:rsidP="00DF4478">
            <w:pPr>
              <w:spacing w:before="60"/>
              <w:rPr>
                <w:noProof/>
              </w:rPr>
            </w:pPr>
            <w:r w:rsidRPr="00A858C4">
              <w:rPr>
                <w:noProof/>
                <w:sz w:val="22"/>
              </w:rPr>
              <w:t>20 02 06 02</w:t>
            </w:r>
          </w:p>
        </w:tc>
        <w:tc>
          <w:tcPr>
            <w:tcW w:w="1080" w:type="dxa"/>
            <w:vAlign w:val="center"/>
          </w:tcPr>
          <w:p w14:paraId="353F45E4" w14:textId="77777777" w:rsidR="00DF4478" w:rsidRPr="00A858C4" w:rsidRDefault="00DF4478" w:rsidP="00DF4478">
            <w:pPr>
              <w:jc w:val="center"/>
              <w:rPr>
                <w:noProof/>
                <w:color w:val="0000FF"/>
              </w:rPr>
            </w:pPr>
            <w:r w:rsidRPr="00A858C4">
              <w:rPr>
                <w:noProof/>
                <w:sz w:val="22"/>
              </w:rPr>
              <w:t>IOB</w:t>
            </w:r>
          </w:p>
        </w:tc>
        <w:tc>
          <w:tcPr>
            <w:tcW w:w="956" w:type="dxa"/>
            <w:vAlign w:val="center"/>
          </w:tcPr>
          <w:p w14:paraId="576908A1" w14:textId="77777777" w:rsidR="00DF4478" w:rsidRPr="00A858C4" w:rsidRDefault="00DF4478" w:rsidP="00DF4478">
            <w:pPr>
              <w:jc w:val="center"/>
              <w:rPr>
                <w:noProof/>
                <w:sz w:val="20"/>
                <w:szCs w:val="20"/>
              </w:rPr>
            </w:pPr>
            <w:r w:rsidRPr="00A858C4">
              <w:rPr>
                <w:noProof/>
                <w:sz w:val="20"/>
              </w:rPr>
              <w:t>NEJ</w:t>
            </w:r>
          </w:p>
        </w:tc>
        <w:tc>
          <w:tcPr>
            <w:tcW w:w="1080" w:type="dxa"/>
            <w:vAlign w:val="center"/>
          </w:tcPr>
          <w:p w14:paraId="737CE94B" w14:textId="77777777" w:rsidR="00DF4478" w:rsidRPr="00A858C4" w:rsidRDefault="00DF4478" w:rsidP="00DF4478">
            <w:pPr>
              <w:jc w:val="center"/>
              <w:rPr>
                <w:noProof/>
                <w:sz w:val="20"/>
                <w:szCs w:val="20"/>
              </w:rPr>
            </w:pPr>
            <w:r w:rsidRPr="00A858C4">
              <w:rPr>
                <w:noProof/>
                <w:sz w:val="20"/>
              </w:rPr>
              <w:t>NEJ</w:t>
            </w:r>
          </w:p>
        </w:tc>
        <w:tc>
          <w:tcPr>
            <w:tcW w:w="956" w:type="dxa"/>
            <w:vAlign w:val="center"/>
          </w:tcPr>
          <w:p w14:paraId="1A0ED62A" w14:textId="77777777" w:rsidR="00DF4478" w:rsidRPr="00A858C4" w:rsidRDefault="00DF4478" w:rsidP="00DF4478">
            <w:pPr>
              <w:jc w:val="center"/>
              <w:rPr>
                <w:noProof/>
                <w:sz w:val="20"/>
                <w:szCs w:val="20"/>
              </w:rPr>
            </w:pPr>
            <w:r w:rsidRPr="00A858C4">
              <w:rPr>
                <w:noProof/>
                <w:sz w:val="20"/>
              </w:rPr>
              <w:t>NEJ</w:t>
            </w:r>
          </w:p>
        </w:tc>
        <w:tc>
          <w:tcPr>
            <w:tcW w:w="1448" w:type="dxa"/>
            <w:vAlign w:val="center"/>
          </w:tcPr>
          <w:p w14:paraId="463ABCBC" w14:textId="77777777" w:rsidR="00DF4478" w:rsidRPr="00A858C4" w:rsidRDefault="00DF4478" w:rsidP="00DF4478">
            <w:pPr>
              <w:jc w:val="center"/>
              <w:rPr>
                <w:noProof/>
                <w:sz w:val="20"/>
                <w:szCs w:val="20"/>
              </w:rPr>
            </w:pPr>
            <w:r w:rsidRPr="00A858C4">
              <w:rPr>
                <w:noProof/>
                <w:sz w:val="20"/>
              </w:rPr>
              <w:t>NEJ</w:t>
            </w:r>
          </w:p>
        </w:tc>
      </w:tr>
    </w:tbl>
    <w:p w14:paraId="538D887B" w14:textId="77777777" w:rsidR="00DF4478" w:rsidRPr="00A858C4" w:rsidRDefault="00DF4478" w:rsidP="00DF4478">
      <w:pPr>
        <w:tabs>
          <w:tab w:val="num" w:pos="1134"/>
        </w:tabs>
        <w:ind w:left="1134" w:hanging="283"/>
        <w:rPr>
          <w:noProof/>
        </w:rPr>
      </w:pPr>
      <w:r w:rsidRPr="00A858C4">
        <w:rPr>
          <w:noProof/>
        </w:rPr>
        <w:t xml:space="preserve">Nye budgetposter, som der anmodes om </w:t>
      </w:r>
    </w:p>
    <w:p w14:paraId="77B9CB45" w14:textId="77777777" w:rsidR="00DF4478" w:rsidRPr="00A858C4" w:rsidRDefault="00DF4478" w:rsidP="00DF4478">
      <w:pPr>
        <w:ind w:left="850"/>
        <w:rPr>
          <w:i/>
          <w:noProof/>
          <w:sz w:val="20"/>
        </w:rPr>
      </w:pPr>
      <w:r w:rsidRPr="00A858C4">
        <w:rPr>
          <w:i/>
          <w:noProof/>
          <w:u w:val="single"/>
        </w:rPr>
        <w:t>I samme rækkefølge</w:t>
      </w:r>
      <w:r w:rsidRPr="00A858C4">
        <w:rPr>
          <w:i/>
          <w:noProof/>
        </w:rPr>
        <w:t xml:space="preserve"> som udgiftsområderne i den flerårige finansielle ramme og budgetposterne.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F4478" w:rsidRPr="00A858C4" w14:paraId="0CE266DD" w14:textId="77777777" w:rsidTr="005D1D40">
        <w:tc>
          <w:tcPr>
            <w:tcW w:w="1080" w:type="dxa"/>
            <w:vMerge w:val="restart"/>
            <w:vAlign w:val="center"/>
          </w:tcPr>
          <w:p w14:paraId="2DB8082F" w14:textId="77777777" w:rsidR="00DF4478" w:rsidRPr="00A858C4" w:rsidRDefault="00DF4478" w:rsidP="00DF4478">
            <w:pPr>
              <w:spacing w:before="60" w:after="60"/>
              <w:jc w:val="center"/>
              <w:rPr>
                <w:noProof/>
                <w:sz w:val="18"/>
                <w:szCs w:val="18"/>
              </w:rPr>
            </w:pPr>
            <w:r w:rsidRPr="00A858C4">
              <w:rPr>
                <w:noProof/>
                <w:sz w:val="18"/>
              </w:rPr>
              <w:t>Udgiftsområde i den flerårige finansielle ramme</w:t>
            </w:r>
          </w:p>
        </w:tc>
        <w:tc>
          <w:tcPr>
            <w:tcW w:w="3960" w:type="dxa"/>
            <w:vAlign w:val="center"/>
          </w:tcPr>
          <w:p w14:paraId="081EBF21" w14:textId="77777777" w:rsidR="00DF4478" w:rsidRPr="00A858C4" w:rsidRDefault="00DF4478" w:rsidP="00DF4478">
            <w:pPr>
              <w:spacing w:before="60" w:after="60"/>
              <w:jc w:val="center"/>
              <w:rPr>
                <w:noProof/>
              </w:rPr>
            </w:pPr>
            <w:r w:rsidRPr="00A858C4">
              <w:rPr>
                <w:noProof/>
                <w:sz w:val="20"/>
              </w:rPr>
              <w:t>Budgetpost</w:t>
            </w:r>
          </w:p>
        </w:tc>
        <w:tc>
          <w:tcPr>
            <w:tcW w:w="1080" w:type="dxa"/>
            <w:vAlign w:val="center"/>
          </w:tcPr>
          <w:p w14:paraId="1E97167A" w14:textId="77777777" w:rsidR="00DF4478" w:rsidRPr="00A858C4" w:rsidRDefault="00DF4478" w:rsidP="00DF4478">
            <w:pPr>
              <w:spacing w:before="60" w:after="60"/>
              <w:jc w:val="center"/>
              <w:rPr>
                <w:noProof/>
              </w:rPr>
            </w:pPr>
            <w:r w:rsidRPr="00A858C4">
              <w:rPr>
                <w:noProof/>
              </w:rPr>
              <w:t>Udgiftens</w:t>
            </w:r>
            <w:r w:rsidRPr="00A858C4">
              <w:rPr>
                <w:noProof/>
                <w:sz w:val="22"/>
              </w:rPr>
              <w:br/>
            </w:r>
            <w:r w:rsidRPr="00A858C4">
              <w:rPr>
                <w:noProof/>
                <w:sz w:val="18"/>
              </w:rPr>
              <w:t>art</w:t>
            </w:r>
          </w:p>
        </w:tc>
        <w:tc>
          <w:tcPr>
            <w:tcW w:w="4440" w:type="dxa"/>
            <w:gridSpan w:val="4"/>
            <w:vAlign w:val="center"/>
          </w:tcPr>
          <w:p w14:paraId="254616B8" w14:textId="77777777" w:rsidR="00DF4478" w:rsidRPr="00A858C4" w:rsidRDefault="00DF4478" w:rsidP="00DF4478">
            <w:pPr>
              <w:spacing w:before="60" w:after="60"/>
              <w:jc w:val="center"/>
              <w:rPr>
                <w:noProof/>
              </w:rPr>
            </w:pPr>
            <w:r w:rsidRPr="00A858C4">
              <w:rPr>
                <w:noProof/>
                <w:sz w:val="20"/>
              </w:rPr>
              <w:t xml:space="preserve">Bidrag </w:t>
            </w:r>
          </w:p>
        </w:tc>
      </w:tr>
      <w:tr w:rsidR="00DF4478" w:rsidRPr="00A858C4" w14:paraId="0181F8FC" w14:textId="77777777" w:rsidTr="005D1D40">
        <w:tc>
          <w:tcPr>
            <w:tcW w:w="1080" w:type="dxa"/>
            <w:vMerge/>
            <w:vAlign w:val="center"/>
          </w:tcPr>
          <w:p w14:paraId="6490F3D7" w14:textId="77777777" w:rsidR="00DF4478" w:rsidRPr="00A858C4" w:rsidRDefault="00DF4478" w:rsidP="00DF4478">
            <w:pPr>
              <w:jc w:val="center"/>
              <w:rPr>
                <w:noProof/>
              </w:rPr>
            </w:pPr>
          </w:p>
        </w:tc>
        <w:tc>
          <w:tcPr>
            <w:tcW w:w="3960" w:type="dxa"/>
            <w:vAlign w:val="center"/>
          </w:tcPr>
          <w:p w14:paraId="27E76ADB" w14:textId="77777777" w:rsidR="00DF4478" w:rsidRPr="00A858C4" w:rsidRDefault="00DF4478" w:rsidP="00DF4478">
            <w:pPr>
              <w:rPr>
                <w:noProof/>
              </w:rPr>
            </w:pPr>
            <w:r w:rsidRPr="00A858C4">
              <w:rPr>
                <w:noProof/>
                <w:sz w:val="20"/>
              </w:rPr>
              <w:t xml:space="preserve">Nummer </w:t>
            </w:r>
            <w:r w:rsidRPr="00A858C4">
              <w:rPr>
                <w:noProof/>
                <w:sz w:val="22"/>
              </w:rPr>
              <w:br/>
            </w:r>
          </w:p>
        </w:tc>
        <w:tc>
          <w:tcPr>
            <w:tcW w:w="1080" w:type="dxa"/>
            <w:vAlign w:val="center"/>
          </w:tcPr>
          <w:p w14:paraId="73FB0EAD" w14:textId="77777777" w:rsidR="00DF4478" w:rsidRPr="00A858C4" w:rsidRDefault="00DF4478" w:rsidP="00DF4478">
            <w:pPr>
              <w:jc w:val="center"/>
              <w:rPr>
                <w:noProof/>
              </w:rPr>
            </w:pPr>
            <w:r w:rsidRPr="00A858C4">
              <w:rPr>
                <w:noProof/>
                <w:sz w:val="18"/>
              </w:rPr>
              <w:t>OB/IOB</w:t>
            </w:r>
          </w:p>
        </w:tc>
        <w:tc>
          <w:tcPr>
            <w:tcW w:w="956" w:type="dxa"/>
            <w:vAlign w:val="center"/>
          </w:tcPr>
          <w:p w14:paraId="016EE8C1" w14:textId="77777777" w:rsidR="00DF4478" w:rsidRPr="00A858C4" w:rsidRDefault="00DF4478" w:rsidP="00DF4478">
            <w:pPr>
              <w:jc w:val="center"/>
              <w:rPr>
                <w:noProof/>
                <w:sz w:val="18"/>
              </w:rPr>
            </w:pPr>
            <w:r w:rsidRPr="00A858C4">
              <w:rPr>
                <w:noProof/>
                <w:sz w:val="18"/>
              </w:rPr>
              <w:t>fra EFTA-lande</w:t>
            </w:r>
          </w:p>
        </w:tc>
        <w:tc>
          <w:tcPr>
            <w:tcW w:w="1080" w:type="dxa"/>
            <w:vAlign w:val="center"/>
          </w:tcPr>
          <w:p w14:paraId="16E3E8CA" w14:textId="77777777" w:rsidR="00DF4478" w:rsidRPr="00A858C4" w:rsidRDefault="00DF4478" w:rsidP="00DF4478">
            <w:pPr>
              <w:jc w:val="center"/>
              <w:rPr>
                <w:noProof/>
                <w:sz w:val="18"/>
              </w:rPr>
            </w:pPr>
            <w:r w:rsidRPr="00A858C4">
              <w:rPr>
                <w:noProof/>
                <w:sz w:val="18"/>
              </w:rPr>
              <w:t>fra kandidatlande og potentielle kandidater</w:t>
            </w:r>
          </w:p>
        </w:tc>
        <w:tc>
          <w:tcPr>
            <w:tcW w:w="956" w:type="dxa"/>
            <w:vAlign w:val="center"/>
          </w:tcPr>
          <w:p w14:paraId="40665B76" w14:textId="77777777" w:rsidR="00DF4478" w:rsidRPr="00A858C4" w:rsidRDefault="00DF4478" w:rsidP="00DF4478">
            <w:pPr>
              <w:jc w:val="center"/>
              <w:rPr>
                <w:noProof/>
                <w:sz w:val="18"/>
              </w:rPr>
            </w:pPr>
            <w:r w:rsidRPr="00A858C4">
              <w:rPr>
                <w:noProof/>
                <w:sz w:val="18"/>
              </w:rPr>
              <w:t>fra andre tredjelande</w:t>
            </w:r>
          </w:p>
        </w:tc>
        <w:tc>
          <w:tcPr>
            <w:tcW w:w="1448" w:type="dxa"/>
            <w:vAlign w:val="center"/>
          </w:tcPr>
          <w:p w14:paraId="31CF8730" w14:textId="77777777" w:rsidR="00DF4478" w:rsidRPr="00A858C4" w:rsidRDefault="00DF4478" w:rsidP="00DF4478">
            <w:pPr>
              <w:jc w:val="center"/>
              <w:rPr>
                <w:noProof/>
              </w:rPr>
            </w:pPr>
            <w:r w:rsidRPr="00A858C4">
              <w:rPr>
                <w:noProof/>
                <w:sz w:val="18"/>
              </w:rPr>
              <w:t xml:space="preserve">andre formålsbestemte indtægter </w:t>
            </w:r>
          </w:p>
        </w:tc>
      </w:tr>
      <w:tr w:rsidR="00DF4478" w:rsidRPr="00A858C4" w14:paraId="66F0A764" w14:textId="77777777" w:rsidTr="005D1D40">
        <w:tc>
          <w:tcPr>
            <w:tcW w:w="1080" w:type="dxa"/>
            <w:vAlign w:val="center"/>
          </w:tcPr>
          <w:p w14:paraId="72398607" w14:textId="77777777" w:rsidR="00DF4478" w:rsidRPr="00A858C4" w:rsidRDefault="00DF4478" w:rsidP="00DF4478">
            <w:pPr>
              <w:jc w:val="center"/>
              <w:rPr>
                <w:noProof/>
                <w:color w:val="0000FF"/>
              </w:rPr>
            </w:pPr>
          </w:p>
        </w:tc>
        <w:tc>
          <w:tcPr>
            <w:tcW w:w="3960" w:type="dxa"/>
            <w:vAlign w:val="center"/>
          </w:tcPr>
          <w:p w14:paraId="23D7BA60" w14:textId="77777777" w:rsidR="00DF4478" w:rsidRPr="00A858C4" w:rsidRDefault="00DF4478" w:rsidP="00DF4478">
            <w:pPr>
              <w:spacing w:before="60"/>
              <w:rPr>
                <w:noProof/>
              </w:rPr>
            </w:pPr>
            <w:r w:rsidRPr="00A858C4">
              <w:rPr>
                <w:noProof/>
                <w:sz w:val="22"/>
              </w:rPr>
              <w:t>[XX.YY.YY.YY]</w:t>
            </w:r>
          </w:p>
          <w:p w14:paraId="2615AF3F" w14:textId="77777777" w:rsidR="00DF4478" w:rsidRPr="00A858C4" w:rsidRDefault="00DF4478" w:rsidP="00DF4478">
            <w:pPr>
              <w:spacing w:after="60"/>
              <w:rPr>
                <w:noProof/>
                <w:color w:val="0000FF"/>
              </w:rPr>
            </w:pPr>
          </w:p>
        </w:tc>
        <w:tc>
          <w:tcPr>
            <w:tcW w:w="1080" w:type="dxa"/>
            <w:vAlign w:val="center"/>
          </w:tcPr>
          <w:p w14:paraId="28F0CA79" w14:textId="77777777" w:rsidR="00DF4478" w:rsidRPr="00A858C4" w:rsidRDefault="00DF4478" w:rsidP="00DF4478">
            <w:pPr>
              <w:jc w:val="center"/>
              <w:rPr>
                <w:noProof/>
                <w:color w:val="0000FF"/>
              </w:rPr>
            </w:pPr>
          </w:p>
        </w:tc>
        <w:tc>
          <w:tcPr>
            <w:tcW w:w="956" w:type="dxa"/>
            <w:vAlign w:val="center"/>
          </w:tcPr>
          <w:p w14:paraId="38943B7B" w14:textId="77777777" w:rsidR="00DF4478" w:rsidRPr="00A858C4" w:rsidRDefault="00DF4478" w:rsidP="00DF4478">
            <w:pPr>
              <w:jc w:val="center"/>
              <w:rPr>
                <w:noProof/>
                <w:sz w:val="20"/>
                <w:szCs w:val="20"/>
              </w:rPr>
            </w:pPr>
            <w:r w:rsidRPr="00A858C4">
              <w:rPr>
                <w:noProof/>
                <w:sz w:val="20"/>
              </w:rPr>
              <w:t>JA/NEJ</w:t>
            </w:r>
          </w:p>
        </w:tc>
        <w:tc>
          <w:tcPr>
            <w:tcW w:w="1080" w:type="dxa"/>
            <w:vAlign w:val="center"/>
          </w:tcPr>
          <w:p w14:paraId="29BAA804" w14:textId="77777777" w:rsidR="00DF4478" w:rsidRPr="00A858C4" w:rsidRDefault="00DF4478" w:rsidP="00DF4478">
            <w:pPr>
              <w:jc w:val="center"/>
              <w:rPr>
                <w:noProof/>
                <w:color w:val="0000FF"/>
                <w:sz w:val="20"/>
                <w:szCs w:val="20"/>
              </w:rPr>
            </w:pPr>
            <w:r w:rsidRPr="00A858C4">
              <w:rPr>
                <w:noProof/>
                <w:sz w:val="20"/>
              </w:rPr>
              <w:t>JA/NEJ</w:t>
            </w:r>
          </w:p>
        </w:tc>
        <w:tc>
          <w:tcPr>
            <w:tcW w:w="956" w:type="dxa"/>
            <w:vAlign w:val="center"/>
          </w:tcPr>
          <w:p w14:paraId="78CC5C1E" w14:textId="77777777" w:rsidR="00DF4478" w:rsidRPr="00A858C4" w:rsidRDefault="00DF4478" w:rsidP="00DF4478">
            <w:pPr>
              <w:jc w:val="center"/>
              <w:rPr>
                <w:noProof/>
                <w:color w:val="0000FF"/>
                <w:sz w:val="20"/>
                <w:szCs w:val="20"/>
              </w:rPr>
            </w:pPr>
            <w:r w:rsidRPr="00A858C4">
              <w:rPr>
                <w:noProof/>
                <w:sz w:val="20"/>
              </w:rPr>
              <w:t>JA/NEJ</w:t>
            </w:r>
          </w:p>
        </w:tc>
        <w:tc>
          <w:tcPr>
            <w:tcW w:w="1448" w:type="dxa"/>
            <w:vAlign w:val="center"/>
          </w:tcPr>
          <w:p w14:paraId="52F6F3B7" w14:textId="77777777" w:rsidR="00DF4478" w:rsidRPr="00A858C4" w:rsidRDefault="00DF4478" w:rsidP="00DF4478">
            <w:pPr>
              <w:jc w:val="center"/>
              <w:rPr>
                <w:noProof/>
                <w:sz w:val="20"/>
                <w:szCs w:val="20"/>
              </w:rPr>
            </w:pPr>
            <w:r w:rsidRPr="00A858C4">
              <w:rPr>
                <w:noProof/>
                <w:sz w:val="20"/>
              </w:rPr>
              <w:t>JA/NEJ</w:t>
            </w:r>
          </w:p>
        </w:tc>
      </w:tr>
    </w:tbl>
    <w:p w14:paraId="3952A775" w14:textId="77777777" w:rsidR="00DF4478" w:rsidRPr="00A858C4" w:rsidRDefault="00DF4478" w:rsidP="00DF4478">
      <w:pPr>
        <w:rPr>
          <w:noProof/>
        </w:rPr>
        <w:sectPr w:rsidR="00DF4478" w:rsidRPr="00A858C4" w:rsidSect="007A795C">
          <w:pgSz w:w="11907" w:h="16840" w:code="1"/>
          <w:pgMar w:top="1134" w:right="1418" w:bottom="1134" w:left="1418" w:header="709" w:footer="709" w:gutter="0"/>
          <w:cols w:space="708"/>
          <w:docGrid w:linePitch="360"/>
        </w:sectPr>
      </w:pPr>
    </w:p>
    <w:p w14:paraId="32EEFE35" w14:textId="77777777" w:rsidR="00DF4478" w:rsidRPr="00A858C4" w:rsidRDefault="00DF4478" w:rsidP="00DF4478">
      <w:pPr>
        <w:keepNext/>
        <w:tabs>
          <w:tab w:val="left" w:pos="850"/>
        </w:tabs>
        <w:ind w:left="850" w:hanging="850"/>
        <w:outlineLvl w:val="1"/>
        <w:rPr>
          <w:b/>
          <w:bCs/>
          <w:noProof/>
          <w:szCs w:val="24"/>
        </w:rPr>
      </w:pPr>
      <w:bookmarkStart w:id="76" w:name="_Toc514938052"/>
      <w:bookmarkStart w:id="77" w:name="_Toc151133583"/>
      <w:r w:rsidRPr="00A858C4">
        <w:rPr>
          <w:b/>
          <w:noProof/>
        </w:rPr>
        <w:t>3.2.</w:t>
      </w:r>
      <w:r w:rsidRPr="00A858C4">
        <w:rPr>
          <w:b/>
          <w:noProof/>
        </w:rPr>
        <w:tab/>
        <w:t>Forslagets anslåede finansielle virkninger for bevillingerne</w:t>
      </w:r>
      <w:bookmarkEnd w:id="76"/>
      <w:bookmarkEnd w:id="77"/>
      <w:r w:rsidRPr="00A858C4">
        <w:rPr>
          <w:b/>
          <w:noProof/>
        </w:rPr>
        <w:t xml:space="preserve"> </w:t>
      </w:r>
    </w:p>
    <w:p w14:paraId="159B14C4" w14:textId="77777777" w:rsidR="00DF4478" w:rsidRPr="00A858C4" w:rsidRDefault="00DF4478" w:rsidP="00DF4478">
      <w:pPr>
        <w:keepNext/>
        <w:tabs>
          <w:tab w:val="left" w:pos="850"/>
        </w:tabs>
        <w:ind w:left="850" w:hanging="850"/>
        <w:outlineLvl w:val="2"/>
        <w:rPr>
          <w:i/>
          <w:noProof/>
        </w:rPr>
      </w:pPr>
      <w:bookmarkStart w:id="78" w:name="_Toc514938053"/>
      <w:bookmarkStart w:id="79" w:name="_Toc151133584"/>
      <w:r w:rsidRPr="00A858C4">
        <w:rPr>
          <w:i/>
          <w:noProof/>
        </w:rPr>
        <w:t>3.2.1.</w:t>
      </w:r>
      <w:r w:rsidRPr="00A858C4">
        <w:rPr>
          <w:i/>
          <w:noProof/>
        </w:rPr>
        <w:tab/>
        <w:t>Sammenfatning af de anslåede virkninger for aktionsbevillingerne</w:t>
      </w:r>
      <w:bookmarkEnd w:id="78"/>
      <w:bookmarkEnd w:id="79"/>
      <w:r w:rsidRPr="00A858C4">
        <w:rPr>
          <w:i/>
          <w:noProof/>
        </w:rPr>
        <w:t xml:space="preserve"> </w:t>
      </w:r>
    </w:p>
    <w:p w14:paraId="7978710D" w14:textId="77777777" w:rsidR="00DF4478" w:rsidRPr="00A858C4" w:rsidRDefault="00DF4478" w:rsidP="00DF4478">
      <w:pPr>
        <w:tabs>
          <w:tab w:val="num" w:pos="1134"/>
        </w:tabs>
        <w:ind w:left="1134" w:hanging="283"/>
        <w:rPr>
          <w:noProof/>
        </w:rPr>
      </w:pPr>
      <w:r w:rsidRPr="00A858C4">
        <w:rPr>
          <w:noProof/>
        </w:rPr>
        <w:t>×</w:t>
      </w:r>
      <w:r w:rsidRPr="00A858C4">
        <w:rPr>
          <w:noProof/>
        </w:rPr>
        <w:tab/>
        <w:t xml:space="preserve">Forslaget/initiativet medfører ikke anvendelse af aktionsbevillinger </w:t>
      </w:r>
    </w:p>
    <w:p w14:paraId="1C95F55D"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Forslaget/initiativet medfører anvendelse af aktionsbevillinger som anført herunder:</w:t>
      </w:r>
    </w:p>
    <w:p w14:paraId="3FF2AB28" w14:textId="77777777" w:rsidR="00DF4478" w:rsidRPr="00A858C4" w:rsidRDefault="00DF4478" w:rsidP="00DF4478">
      <w:pPr>
        <w:jc w:val="right"/>
        <w:rPr>
          <w:noProof/>
          <w:sz w:val="18"/>
          <w:szCs w:val="18"/>
        </w:rPr>
      </w:pPr>
      <w:r w:rsidRPr="00A858C4">
        <w:rPr>
          <w:noProof/>
          <w:sz w:val="18"/>
        </w:rPr>
        <w:t>i mio. EUR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F4478" w:rsidRPr="00A858C4" w14:paraId="4930C458" w14:textId="77777777" w:rsidTr="005D1D40">
        <w:trPr>
          <w:jc w:val="center"/>
        </w:trPr>
        <w:tc>
          <w:tcPr>
            <w:tcW w:w="4744" w:type="dxa"/>
            <w:shd w:val="thinDiagStripe" w:color="C0C0C0" w:fill="auto"/>
            <w:vAlign w:val="center"/>
          </w:tcPr>
          <w:p w14:paraId="5B9CE41D" w14:textId="77777777" w:rsidR="00DF4478" w:rsidRPr="00A858C4" w:rsidRDefault="00DF4478" w:rsidP="00DF4478">
            <w:pPr>
              <w:spacing w:before="60" w:after="60"/>
              <w:jc w:val="center"/>
              <w:rPr>
                <w:b/>
                <w:noProof/>
              </w:rPr>
            </w:pPr>
            <w:r w:rsidRPr="00A858C4">
              <w:rPr>
                <w:b/>
                <w:noProof/>
                <w:sz w:val="22"/>
              </w:rPr>
              <w:t xml:space="preserve">Udgiftsområde i den flerårige finansielle </w:t>
            </w:r>
            <w:r w:rsidRPr="00A858C4">
              <w:rPr>
                <w:noProof/>
                <w:sz w:val="22"/>
              </w:rPr>
              <w:br/>
            </w:r>
            <w:r w:rsidRPr="00A858C4">
              <w:rPr>
                <w:b/>
                <w:noProof/>
                <w:sz w:val="22"/>
              </w:rPr>
              <w:t xml:space="preserve">ramme </w:t>
            </w:r>
          </w:p>
        </w:tc>
        <w:tc>
          <w:tcPr>
            <w:tcW w:w="1080" w:type="dxa"/>
            <w:vAlign w:val="center"/>
          </w:tcPr>
          <w:p w14:paraId="2CE80A6C" w14:textId="77777777" w:rsidR="00DF4478" w:rsidRPr="00A858C4" w:rsidRDefault="00DF4478" w:rsidP="00DF4478">
            <w:pPr>
              <w:spacing w:before="60" w:after="60"/>
              <w:jc w:val="center"/>
              <w:rPr>
                <w:noProof/>
              </w:rPr>
            </w:pPr>
            <w:r w:rsidRPr="00A858C4">
              <w:rPr>
                <w:noProof/>
                <w:sz w:val="22"/>
              </w:rPr>
              <w:t>Nummer</w:t>
            </w:r>
          </w:p>
        </w:tc>
        <w:tc>
          <w:tcPr>
            <w:tcW w:w="7817" w:type="dxa"/>
            <w:vAlign w:val="center"/>
          </w:tcPr>
          <w:p w14:paraId="5CE49B90" w14:textId="77777777" w:rsidR="00DF4478" w:rsidRPr="00A858C4" w:rsidRDefault="00DF4478" w:rsidP="00DF4478">
            <w:pPr>
              <w:spacing w:before="60" w:after="60"/>
              <w:rPr>
                <w:noProof/>
              </w:rPr>
            </w:pPr>
          </w:p>
        </w:tc>
      </w:tr>
    </w:tbl>
    <w:p w14:paraId="6EE9466C" w14:textId="77777777" w:rsidR="00DF4478" w:rsidRPr="00A858C4" w:rsidRDefault="00DF4478" w:rsidP="00DF4478">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DF4478" w:rsidRPr="00A858C4" w14:paraId="30E2C1ED" w14:textId="77777777" w:rsidTr="005D1D40">
        <w:tc>
          <w:tcPr>
            <w:tcW w:w="3960" w:type="dxa"/>
            <w:vAlign w:val="center"/>
          </w:tcPr>
          <w:p w14:paraId="063F9101" w14:textId="77777777" w:rsidR="00DF4478" w:rsidRPr="00A858C4" w:rsidRDefault="00DF4478" w:rsidP="00DF4478">
            <w:pPr>
              <w:jc w:val="center"/>
              <w:rPr>
                <w:noProof/>
              </w:rPr>
            </w:pPr>
            <w:r w:rsidRPr="00A858C4">
              <w:rPr>
                <w:noProof/>
                <w:sz w:val="22"/>
              </w:rPr>
              <w:t>GD: &lt;…….&gt;</w:t>
            </w:r>
          </w:p>
        </w:tc>
        <w:tc>
          <w:tcPr>
            <w:tcW w:w="1560" w:type="dxa"/>
            <w:gridSpan w:val="2"/>
          </w:tcPr>
          <w:p w14:paraId="4FAA78E7" w14:textId="77777777" w:rsidR="00DF4478" w:rsidRPr="00A858C4" w:rsidRDefault="00DF4478" w:rsidP="00DF4478">
            <w:pPr>
              <w:rPr>
                <w:noProof/>
                <w:sz w:val="20"/>
              </w:rPr>
            </w:pPr>
          </w:p>
        </w:tc>
        <w:tc>
          <w:tcPr>
            <w:tcW w:w="534" w:type="dxa"/>
          </w:tcPr>
          <w:p w14:paraId="59ED0FD5" w14:textId="77777777" w:rsidR="00DF4478" w:rsidRPr="00A858C4" w:rsidRDefault="00DF4478" w:rsidP="00DF4478">
            <w:pPr>
              <w:jc w:val="center"/>
              <w:rPr>
                <w:noProof/>
                <w:sz w:val="20"/>
              </w:rPr>
            </w:pPr>
          </w:p>
        </w:tc>
        <w:tc>
          <w:tcPr>
            <w:tcW w:w="868" w:type="dxa"/>
            <w:vAlign w:val="center"/>
          </w:tcPr>
          <w:p w14:paraId="76853704"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w:t>
            </w:r>
            <w:r w:rsidRPr="00A858C4">
              <w:rPr>
                <w:noProof/>
                <w:color w:val="000000" w:themeColor="text1"/>
              </w:rPr>
              <w:t> </w:t>
            </w:r>
            <w:r w:rsidRPr="00A858C4">
              <w:rPr>
                <w:rStyle w:val="FootnoteReference"/>
                <w:noProof/>
              </w:rPr>
              <w:footnoteReference w:id="13"/>
            </w:r>
          </w:p>
        </w:tc>
        <w:tc>
          <w:tcPr>
            <w:tcW w:w="868" w:type="dxa"/>
            <w:vAlign w:val="center"/>
          </w:tcPr>
          <w:p w14:paraId="6F9C9015"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n+1</w:t>
            </w:r>
          </w:p>
        </w:tc>
        <w:tc>
          <w:tcPr>
            <w:tcW w:w="868" w:type="dxa"/>
            <w:vAlign w:val="center"/>
          </w:tcPr>
          <w:p w14:paraId="64506ABD"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n+2</w:t>
            </w:r>
          </w:p>
        </w:tc>
        <w:tc>
          <w:tcPr>
            <w:tcW w:w="868" w:type="dxa"/>
            <w:vAlign w:val="center"/>
          </w:tcPr>
          <w:p w14:paraId="7C1BD143"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n+3</w:t>
            </w:r>
          </w:p>
        </w:tc>
        <w:tc>
          <w:tcPr>
            <w:tcW w:w="2604" w:type="dxa"/>
            <w:gridSpan w:val="3"/>
            <w:vAlign w:val="center"/>
          </w:tcPr>
          <w:p w14:paraId="5237FA2A" w14:textId="77777777" w:rsidR="00DF4478" w:rsidRPr="00A858C4" w:rsidRDefault="00DF4478" w:rsidP="00DF4478">
            <w:pPr>
              <w:jc w:val="center"/>
              <w:rPr>
                <w:b/>
                <w:noProof/>
                <w:sz w:val="18"/>
              </w:rPr>
            </w:pPr>
            <w:r w:rsidRPr="00A858C4">
              <w:rPr>
                <w:noProof/>
                <w:sz w:val="18"/>
              </w:rPr>
              <w:t>Indsæt så mange år som nødvendigt for at vise virkningernes varighed (jf. punkt 1.6)</w:t>
            </w:r>
          </w:p>
        </w:tc>
        <w:tc>
          <w:tcPr>
            <w:tcW w:w="1777" w:type="dxa"/>
            <w:vAlign w:val="center"/>
          </w:tcPr>
          <w:p w14:paraId="4884FCCB" w14:textId="77777777" w:rsidR="00DF4478" w:rsidRPr="00A858C4" w:rsidRDefault="00DF4478" w:rsidP="00DF4478">
            <w:pPr>
              <w:jc w:val="center"/>
              <w:rPr>
                <w:b/>
                <w:noProof/>
                <w:sz w:val="20"/>
              </w:rPr>
            </w:pPr>
            <w:r w:rsidRPr="00A858C4">
              <w:rPr>
                <w:b/>
                <w:noProof/>
                <w:sz w:val="20"/>
              </w:rPr>
              <w:t>I ALT</w:t>
            </w:r>
          </w:p>
        </w:tc>
      </w:tr>
      <w:tr w:rsidR="00DF4478" w:rsidRPr="00A858C4" w14:paraId="691767F7" w14:textId="77777777" w:rsidTr="005D1D40">
        <w:trPr>
          <w:trHeight w:val="213"/>
        </w:trPr>
        <w:tc>
          <w:tcPr>
            <w:tcW w:w="6054" w:type="dxa"/>
            <w:gridSpan w:val="4"/>
            <w:vAlign w:val="center"/>
          </w:tcPr>
          <w:p w14:paraId="06367432" w14:textId="77777777" w:rsidR="00DF4478" w:rsidRPr="00A858C4" w:rsidRDefault="00DF4478" w:rsidP="00DF4478">
            <w:pPr>
              <w:spacing w:before="20" w:after="20"/>
              <w:rPr>
                <w:noProof/>
                <w:sz w:val="21"/>
              </w:rPr>
            </w:pPr>
            <w:r w:rsidRPr="00A858C4">
              <w:rPr>
                <w:noProof/>
                <w:sz w:val="21"/>
              </w:rPr>
              <w:sym w:font="Wingdings" w:char="F09F"/>
            </w:r>
            <w:r w:rsidRPr="00A858C4">
              <w:rPr>
                <w:noProof/>
                <w:sz w:val="21"/>
              </w:rPr>
              <w:t xml:space="preserve"> Aktionsbevillinger </w:t>
            </w:r>
          </w:p>
        </w:tc>
        <w:tc>
          <w:tcPr>
            <w:tcW w:w="868" w:type="dxa"/>
            <w:vAlign w:val="center"/>
          </w:tcPr>
          <w:p w14:paraId="7214667F" w14:textId="77777777" w:rsidR="00DF4478" w:rsidRPr="00A858C4" w:rsidRDefault="00DF4478" w:rsidP="00DF4478">
            <w:pPr>
              <w:rPr>
                <w:noProof/>
                <w:sz w:val="20"/>
              </w:rPr>
            </w:pPr>
          </w:p>
        </w:tc>
        <w:tc>
          <w:tcPr>
            <w:tcW w:w="868" w:type="dxa"/>
            <w:vAlign w:val="center"/>
          </w:tcPr>
          <w:p w14:paraId="13AD0928" w14:textId="77777777" w:rsidR="00DF4478" w:rsidRPr="00A858C4" w:rsidRDefault="00DF4478" w:rsidP="00DF4478">
            <w:pPr>
              <w:rPr>
                <w:noProof/>
                <w:sz w:val="20"/>
              </w:rPr>
            </w:pPr>
          </w:p>
        </w:tc>
        <w:tc>
          <w:tcPr>
            <w:tcW w:w="868" w:type="dxa"/>
            <w:vAlign w:val="center"/>
          </w:tcPr>
          <w:p w14:paraId="7044F01C" w14:textId="77777777" w:rsidR="00DF4478" w:rsidRPr="00A858C4" w:rsidRDefault="00DF4478" w:rsidP="00DF4478">
            <w:pPr>
              <w:rPr>
                <w:noProof/>
                <w:sz w:val="20"/>
              </w:rPr>
            </w:pPr>
          </w:p>
        </w:tc>
        <w:tc>
          <w:tcPr>
            <w:tcW w:w="868" w:type="dxa"/>
            <w:vAlign w:val="center"/>
          </w:tcPr>
          <w:p w14:paraId="1FBC654C" w14:textId="77777777" w:rsidR="00DF4478" w:rsidRPr="00A858C4" w:rsidRDefault="00DF4478" w:rsidP="00DF4478">
            <w:pPr>
              <w:rPr>
                <w:noProof/>
                <w:sz w:val="20"/>
              </w:rPr>
            </w:pPr>
          </w:p>
        </w:tc>
        <w:tc>
          <w:tcPr>
            <w:tcW w:w="868" w:type="dxa"/>
            <w:vAlign w:val="center"/>
          </w:tcPr>
          <w:p w14:paraId="1986E9A8" w14:textId="77777777" w:rsidR="00DF4478" w:rsidRPr="00A858C4" w:rsidRDefault="00DF4478" w:rsidP="00DF4478">
            <w:pPr>
              <w:rPr>
                <w:noProof/>
                <w:sz w:val="20"/>
              </w:rPr>
            </w:pPr>
          </w:p>
        </w:tc>
        <w:tc>
          <w:tcPr>
            <w:tcW w:w="868" w:type="dxa"/>
            <w:vAlign w:val="center"/>
          </w:tcPr>
          <w:p w14:paraId="67BE8BB9" w14:textId="77777777" w:rsidR="00DF4478" w:rsidRPr="00A858C4" w:rsidRDefault="00DF4478" w:rsidP="00DF4478">
            <w:pPr>
              <w:rPr>
                <w:noProof/>
                <w:sz w:val="20"/>
              </w:rPr>
            </w:pPr>
          </w:p>
        </w:tc>
        <w:tc>
          <w:tcPr>
            <w:tcW w:w="868" w:type="dxa"/>
            <w:vAlign w:val="center"/>
          </w:tcPr>
          <w:p w14:paraId="1403332B" w14:textId="77777777" w:rsidR="00DF4478" w:rsidRPr="00A858C4" w:rsidRDefault="00DF4478" w:rsidP="00DF4478">
            <w:pPr>
              <w:rPr>
                <w:b/>
                <w:noProof/>
                <w:sz w:val="20"/>
              </w:rPr>
            </w:pPr>
          </w:p>
        </w:tc>
        <w:tc>
          <w:tcPr>
            <w:tcW w:w="1777" w:type="dxa"/>
            <w:vAlign w:val="center"/>
          </w:tcPr>
          <w:p w14:paraId="59CEAEDE" w14:textId="77777777" w:rsidR="00DF4478" w:rsidRPr="00A858C4" w:rsidRDefault="00DF4478" w:rsidP="00DF4478">
            <w:pPr>
              <w:rPr>
                <w:b/>
                <w:noProof/>
                <w:sz w:val="20"/>
              </w:rPr>
            </w:pPr>
          </w:p>
        </w:tc>
      </w:tr>
      <w:tr w:rsidR="00DF4478" w:rsidRPr="00A858C4" w14:paraId="2EA61E9D" w14:textId="77777777" w:rsidTr="005D1D40">
        <w:trPr>
          <w:trHeight w:val="277"/>
        </w:trPr>
        <w:tc>
          <w:tcPr>
            <w:tcW w:w="3960" w:type="dxa"/>
            <w:vMerge w:val="restart"/>
            <w:vAlign w:val="center"/>
          </w:tcPr>
          <w:p w14:paraId="41FC6F75" w14:textId="77777777" w:rsidR="00DF4478" w:rsidRPr="00A858C4" w:rsidRDefault="00DF4478" w:rsidP="00DF4478">
            <w:pPr>
              <w:rPr>
                <w:noProof/>
              </w:rPr>
            </w:pPr>
            <w:r w:rsidRPr="00A858C4">
              <w:rPr>
                <w:noProof/>
                <w:sz w:val="20"/>
              </w:rPr>
              <w:t>Budgetpost</w:t>
            </w:r>
            <w:r w:rsidRPr="00A858C4">
              <w:rPr>
                <w:noProof/>
                <w:color w:val="000000" w:themeColor="text1"/>
              </w:rPr>
              <w:t> </w:t>
            </w:r>
            <w:r w:rsidRPr="00A858C4">
              <w:rPr>
                <w:rStyle w:val="FootnoteReference"/>
                <w:noProof/>
              </w:rPr>
              <w:footnoteReference w:id="14"/>
            </w:r>
          </w:p>
        </w:tc>
        <w:tc>
          <w:tcPr>
            <w:tcW w:w="1440" w:type="dxa"/>
            <w:vAlign w:val="center"/>
          </w:tcPr>
          <w:p w14:paraId="0C4CB798" w14:textId="77777777" w:rsidR="00DF4478" w:rsidRPr="00A858C4" w:rsidRDefault="00DF4478" w:rsidP="00DF4478">
            <w:pPr>
              <w:spacing w:before="20" w:after="20"/>
              <w:rPr>
                <w:noProof/>
                <w:sz w:val="18"/>
              </w:rPr>
            </w:pPr>
            <w:r w:rsidRPr="00A858C4">
              <w:rPr>
                <w:noProof/>
                <w:sz w:val="18"/>
              </w:rPr>
              <w:t>Forpligtelser</w:t>
            </w:r>
          </w:p>
        </w:tc>
        <w:tc>
          <w:tcPr>
            <w:tcW w:w="654" w:type="dxa"/>
            <w:gridSpan w:val="2"/>
            <w:vAlign w:val="center"/>
          </w:tcPr>
          <w:p w14:paraId="762BFEC2" w14:textId="77777777" w:rsidR="00DF4478" w:rsidRPr="00A858C4" w:rsidRDefault="00DF4478" w:rsidP="00DF4478">
            <w:pPr>
              <w:spacing w:before="20" w:after="20"/>
              <w:jc w:val="center"/>
              <w:rPr>
                <w:noProof/>
                <w:sz w:val="14"/>
              </w:rPr>
            </w:pPr>
            <w:r w:rsidRPr="00A858C4">
              <w:rPr>
                <w:noProof/>
                <w:sz w:val="14"/>
              </w:rPr>
              <w:t>(1a)</w:t>
            </w:r>
          </w:p>
        </w:tc>
        <w:tc>
          <w:tcPr>
            <w:tcW w:w="868" w:type="dxa"/>
            <w:vAlign w:val="center"/>
          </w:tcPr>
          <w:p w14:paraId="10D94FB1" w14:textId="77777777" w:rsidR="00DF4478" w:rsidRPr="00A858C4" w:rsidRDefault="00DF4478" w:rsidP="00DF4478">
            <w:pPr>
              <w:spacing w:before="20" w:after="20"/>
              <w:jc w:val="right"/>
              <w:rPr>
                <w:noProof/>
                <w:sz w:val="20"/>
              </w:rPr>
            </w:pPr>
          </w:p>
        </w:tc>
        <w:tc>
          <w:tcPr>
            <w:tcW w:w="868" w:type="dxa"/>
            <w:vAlign w:val="center"/>
          </w:tcPr>
          <w:p w14:paraId="7BD2EC79" w14:textId="77777777" w:rsidR="00DF4478" w:rsidRPr="00A858C4" w:rsidRDefault="00DF4478" w:rsidP="00DF4478">
            <w:pPr>
              <w:spacing w:before="20" w:after="20"/>
              <w:jc w:val="right"/>
              <w:rPr>
                <w:noProof/>
                <w:sz w:val="20"/>
              </w:rPr>
            </w:pPr>
          </w:p>
        </w:tc>
        <w:tc>
          <w:tcPr>
            <w:tcW w:w="868" w:type="dxa"/>
            <w:vAlign w:val="center"/>
          </w:tcPr>
          <w:p w14:paraId="65C6E07B" w14:textId="77777777" w:rsidR="00DF4478" w:rsidRPr="00A858C4" w:rsidRDefault="00DF4478" w:rsidP="00DF4478">
            <w:pPr>
              <w:spacing w:before="20" w:after="20"/>
              <w:jc w:val="right"/>
              <w:rPr>
                <w:noProof/>
                <w:sz w:val="20"/>
              </w:rPr>
            </w:pPr>
          </w:p>
        </w:tc>
        <w:tc>
          <w:tcPr>
            <w:tcW w:w="868" w:type="dxa"/>
            <w:vAlign w:val="center"/>
          </w:tcPr>
          <w:p w14:paraId="199EB8B6" w14:textId="77777777" w:rsidR="00DF4478" w:rsidRPr="00A858C4" w:rsidRDefault="00DF4478" w:rsidP="00DF4478">
            <w:pPr>
              <w:spacing w:before="20" w:after="20"/>
              <w:jc w:val="right"/>
              <w:rPr>
                <w:noProof/>
                <w:sz w:val="20"/>
              </w:rPr>
            </w:pPr>
          </w:p>
        </w:tc>
        <w:tc>
          <w:tcPr>
            <w:tcW w:w="868" w:type="dxa"/>
            <w:vAlign w:val="center"/>
          </w:tcPr>
          <w:p w14:paraId="7920D26A" w14:textId="77777777" w:rsidR="00DF4478" w:rsidRPr="00A858C4" w:rsidRDefault="00DF4478" w:rsidP="00DF4478">
            <w:pPr>
              <w:spacing w:before="20" w:after="20"/>
              <w:jc w:val="right"/>
              <w:rPr>
                <w:noProof/>
                <w:sz w:val="20"/>
              </w:rPr>
            </w:pPr>
          </w:p>
        </w:tc>
        <w:tc>
          <w:tcPr>
            <w:tcW w:w="868" w:type="dxa"/>
            <w:vAlign w:val="center"/>
          </w:tcPr>
          <w:p w14:paraId="7B352477" w14:textId="77777777" w:rsidR="00DF4478" w:rsidRPr="00A858C4" w:rsidRDefault="00DF4478" w:rsidP="00DF4478">
            <w:pPr>
              <w:spacing w:before="20" w:after="20"/>
              <w:jc w:val="right"/>
              <w:rPr>
                <w:noProof/>
                <w:sz w:val="20"/>
              </w:rPr>
            </w:pPr>
          </w:p>
        </w:tc>
        <w:tc>
          <w:tcPr>
            <w:tcW w:w="868" w:type="dxa"/>
            <w:vAlign w:val="center"/>
          </w:tcPr>
          <w:p w14:paraId="40C4E217" w14:textId="77777777" w:rsidR="00DF4478" w:rsidRPr="00A858C4" w:rsidRDefault="00DF4478" w:rsidP="00DF4478">
            <w:pPr>
              <w:spacing w:before="20" w:after="20"/>
              <w:jc w:val="right"/>
              <w:rPr>
                <w:b/>
                <w:noProof/>
                <w:sz w:val="20"/>
              </w:rPr>
            </w:pPr>
          </w:p>
        </w:tc>
        <w:tc>
          <w:tcPr>
            <w:tcW w:w="1777" w:type="dxa"/>
            <w:vAlign w:val="center"/>
          </w:tcPr>
          <w:p w14:paraId="5C2265BE" w14:textId="77777777" w:rsidR="00DF4478" w:rsidRPr="00A858C4" w:rsidRDefault="00DF4478" w:rsidP="00DF4478">
            <w:pPr>
              <w:spacing w:before="20" w:after="20"/>
              <w:jc w:val="right"/>
              <w:rPr>
                <w:b/>
                <w:noProof/>
                <w:sz w:val="20"/>
              </w:rPr>
            </w:pPr>
          </w:p>
        </w:tc>
      </w:tr>
      <w:tr w:rsidR="00DF4478" w:rsidRPr="00A858C4" w14:paraId="78045978" w14:textId="77777777" w:rsidTr="005D1D40">
        <w:tc>
          <w:tcPr>
            <w:tcW w:w="3960" w:type="dxa"/>
            <w:vMerge/>
          </w:tcPr>
          <w:p w14:paraId="35F138CA" w14:textId="77777777" w:rsidR="00DF4478" w:rsidRPr="00A858C4" w:rsidRDefault="00DF4478" w:rsidP="00DF4478">
            <w:pPr>
              <w:jc w:val="center"/>
              <w:rPr>
                <w:noProof/>
                <w:sz w:val="20"/>
              </w:rPr>
            </w:pPr>
          </w:p>
        </w:tc>
        <w:tc>
          <w:tcPr>
            <w:tcW w:w="1440" w:type="dxa"/>
            <w:vAlign w:val="center"/>
          </w:tcPr>
          <w:p w14:paraId="021C695D" w14:textId="77777777" w:rsidR="00DF4478" w:rsidRPr="00A858C4" w:rsidRDefault="00DF4478" w:rsidP="00DF4478">
            <w:pPr>
              <w:spacing w:before="20" w:after="20"/>
              <w:rPr>
                <w:noProof/>
                <w:sz w:val="18"/>
              </w:rPr>
            </w:pPr>
            <w:r w:rsidRPr="00A858C4">
              <w:rPr>
                <w:noProof/>
                <w:sz w:val="18"/>
              </w:rPr>
              <w:t>Betalinger</w:t>
            </w:r>
          </w:p>
        </w:tc>
        <w:tc>
          <w:tcPr>
            <w:tcW w:w="654" w:type="dxa"/>
            <w:gridSpan w:val="2"/>
            <w:vAlign w:val="center"/>
          </w:tcPr>
          <w:p w14:paraId="1702CF4F" w14:textId="77777777" w:rsidR="00DF4478" w:rsidRPr="00A858C4" w:rsidRDefault="00DF4478" w:rsidP="00DF4478">
            <w:pPr>
              <w:spacing w:before="20" w:after="20"/>
              <w:jc w:val="center"/>
              <w:rPr>
                <w:noProof/>
                <w:sz w:val="14"/>
              </w:rPr>
            </w:pPr>
            <w:r w:rsidRPr="00A858C4">
              <w:rPr>
                <w:noProof/>
                <w:sz w:val="14"/>
              </w:rPr>
              <w:t>(2a)</w:t>
            </w:r>
          </w:p>
        </w:tc>
        <w:tc>
          <w:tcPr>
            <w:tcW w:w="868" w:type="dxa"/>
            <w:vAlign w:val="center"/>
          </w:tcPr>
          <w:p w14:paraId="61D7B7DB" w14:textId="77777777" w:rsidR="00DF4478" w:rsidRPr="00A858C4" w:rsidRDefault="00DF4478" w:rsidP="00DF4478">
            <w:pPr>
              <w:spacing w:before="20" w:after="20"/>
              <w:jc w:val="right"/>
              <w:rPr>
                <w:noProof/>
                <w:sz w:val="20"/>
              </w:rPr>
            </w:pPr>
          </w:p>
        </w:tc>
        <w:tc>
          <w:tcPr>
            <w:tcW w:w="868" w:type="dxa"/>
            <w:vAlign w:val="center"/>
          </w:tcPr>
          <w:p w14:paraId="2BB53935" w14:textId="77777777" w:rsidR="00DF4478" w:rsidRPr="00A858C4" w:rsidRDefault="00DF4478" w:rsidP="00DF4478">
            <w:pPr>
              <w:spacing w:before="20" w:after="20"/>
              <w:jc w:val="right"/>
              <w:rPr>
                <w:noProof/>
                <w:sz w:val="20"/>
              </w:rPr>
            </w:pPr>
          </w:p>
        </w:tc>
        <w:tc>
          <w:tcPr>
            <w:tcW w:w="868" w:type="dxa"/>
            <w:vAlign w:val="center"/>
          </w:tcPr>
          <w:p w14:paraId="62606844" w14:textId="77777777" w:rsidR="00DF4478" w:rsidRPr="00A858C4" w:rsidRDefault="00DF4478" w:rsidP="00DF4478">
            <w:pPr>
              <w:spacing w:before="20" w:after="20"/>
              <w:jc w:val="right"/>
              <w:rPr>
                <w:noProof/>
                <w:sz w:val="20"/>
              </w:rPr>
            </w:pPr>
          </w:p>
        </w:tc>
        <w:tc>
          <w:tcPr>
            <w:tcW w:w="868" w:type="dxa"/>
            <w:vAlign w:val="center"/>
          </w:tcPr>
          <w:p w14:paraId="278CD385" w14:textId="77777777" w:rsidR="00DF4478" w:rsidRPr="00A858C4" w:rsidRDefault="00DF4478" w:rsidP="00DF4478">
            <w:pPr>
              <w:spacing w:before="20" w:after="20"/>
              <w:jc w:val="right"/>
              <w:rPr>
                <w:noProof/>
                <w:sz w:val="20"/>
              </w:rPr>
            </w:pPr>
          </w:p>
        </w:tc>
        <w:tc>
          <w:tcPr>
            <w:tcW w:w="868" w:type="dxa"/>
            <w:vAlign w:val="center"/>
          </w:tcPr>
          <w:p w14:paraId="609B4E7C" w14:textId="77777777" w:rsidR="00DF4478" w:rsidRPr="00A858C4" w:rsidRDefault="00DF4478" w:rsidP="00DF4478">
            <w:pPr>
              <w:spacing w:before="20" w:after="20"/>
              <w:jc w:val="right"/>
              <w:rPr>
                <w:noProof/>
                <w:sz w:val="20"/>
              </w:rPr>
            </w:pPr>
          </w:p>
        </w:tc>
        <w:tc>
          <w:tcPr>
            <w:tcW w:w="868" w:type="dxa"/>
            <w:vAlign w:val="center"/>
          </w:tcPr>
          <w:p w14:paraId="411EDB97" w14:textId="77777777" w:rsidR="00DF4478" w:rsidRPr="00A858C4" w:rsidRDefault="00DF4478" w:rsidP="00DF4478">
            <w:pPr>
              <w:spacing w:before="20" w:after="20"/>
              <w:jc w:val="right"/>
              <w:rPr>
                <w:noProof/>
                <w:sz w:val="20"/>
              </w:rPr>
            </w:pPr>
          </w:p>
        </w:tc>
        <w:tc>
          <w:tcPr>
            <w:tcW w:w="868" w:type="dxa"/>
            <w:vAlign w:val="center"/>
          </w:tcPr>
          <w:p w14:paraId="57DB02F3" w14:textId="77777777" w:rsidR="00DF4478" w:rsidRPr="00A858C4" w:rsidRDefault="00DF4478" w:rsidP="00DF4478">
            <w:pPr>
              <w:spacing w:before="20" w:after="20"/>
              <w:jc w:val="right"/>
              <w:rPr>
                <w:b/>
                <w:noProof/>
                <w:sz w:val="20"/>
              </w:rPr>
            </w:pPr>
          </w:p>
        </w:tc>
        <w:tc>
          <w:tcPr>
            <w:tcW w:w="1777" w:type="dxa"/>
            <w:vAlign w:val="center"/>
          </w:tcPr>
          <w:p w14:paraId="080D0EFB" w14:textId="77777777" w:rsidR="00DF4478" w:rsidRPr="00A858C4" w:rsidRDefault="00DF4478" w:rsidP="00DF4478">
            <w:pPr>
              <w:spacing w:before="20" w:after="20"/>
              <w:jc w:val="right"/>
              <w:rPr>
                <w:b/>
                <w:noProof/>
                <w:sz w:val="20"/>
              </w:rPr>
            </w:pPr>
          </w:p>
        </w:tc>
      </w:tr>
      <w:tr w:rsidR="00DF4478" w:rsidRPr="00A858C4" w14:paraId="41E6CC57" w14:textId="77777777" w:rsidTr="005D1D40">
        <w:tc>
          <w:tcPr>
            <w:tcW w:w="3960" w:type="dxa"/>
            <w:vMerge w:val="restart"/>
            <w:vAlign w:val="center"/>
          </w:tcPr>
          <w:p w14:paraId="59E949D4" w14:textId="77777777" w:rsidR="00DF4478" w:rsidRPr="00A858C4" w:rsidRDefault="00DF4478" w:rsidP="00DF4478">
            <w:pPr>
              <w:rPr>
                <w:noProof/>
              </w:rPr>
            </w:pPr>
            <w:r w:rsidRPr="00A858C4">
              <w:rPr>
                <w:noProof/>
                <w:sz w:val="20"/>
              </w:rPr>
              <w:t>Budgetpost</w:t>
            </w:r>
          </w:p>
        </w:tc>
        <w:tc>
          <w:tcPr>
            <w:tcW w:w="1440" w:type="dxa"/>
            <w:vAlign w:val="center"/>
          </w:tcPr>
          <w:p w14:paraId="65C21FF5" w14:textId="77777777" w:rsidR="00DF4478" w:rsidRPr="00A858C4" w:rsidRDefault="00DF4478" w:rsidP="00DF4478">
            <w:pPr>
              <w:spacing w:before="20" w:after="20"/>
              <w:rPr>
                <w:noProof/>
                <w:sz w:val="18"/>
              </w:rPr>
            </w:pPr>
            <w:r w:rsidRPr="00A858C4">
              <w:rPr>
                <w:noProof/>
                <w:sz w:val="18"/>
              </w:rPr>
              <w:t>Forpligtelser</w:t>
            </w:r>
          </w:p>
        </w:tc>
        <w:tc>
          <w:tcPr>
            <w:tcW w:w="654" w:type="dxa"/>
            <w:gridSpan w:val="2"/>
            <w:vAlign w:val="center"/>
          </w:tcPr>
          <w:p w14:paraId="6350E0F4" w14:textId="77777777" w:rsidR="00DF4478" w:rsidRPr="00A858C4" w:rsidRDefault="00DF4478" w:rsidP="00DF4478">
            <w:pPr>
              <w:spacing w:before="20" w:after="20"/>
              <w:jc w:val="center"/>
              <w:rPr>
                <w:noProof/>
                <w:sz w:val="14"/>
              </w:rPr>
            </w:pPr>
            <w:r w:rsidRPr="00A858C4">
              <w:rPr>
                <w:noProof/>
                <w:sz w:val="14"/>
              </w:rPr>
              <w:t>(1b)</w:t>
            </w:r>
          </w:p>
        </w:tc>
        <w:tc>
          <w:tcPr>
            <w:tcW w:w="868" w:type="dxa"/>
            <w:vAlign w:val="center"/>
          </w:tcPr>
          <w:p w14:paraId="30D2E083" w14:textId="77777777" w:rsidR="00DF4478" w:rsidRPr="00A858C4" w:rsidRDefault="00DF4478" w:rsidP="00DF4478">
            <w:pPr>
              <w:spacing w:before="20" w:after="20"/>
              <w:jc w:val="right"/>
              <w:rPr>
                <w:noProof/>
                <w:sz w:val="20"/>
              </w:rPr>
            </w:pPr>
          </w:p>
        </w:tc>
        <w:tc>
          <w:tcPr>
            <w:tcW w:w="868" w:type="dxa"/>
            <w:vAlign w:val="center"/>
          </w:tcPr>
          <w:p w14:paraId="24FBBC56" w14:textId="77777777" w:rsidR="00DF4478" w:rsidRPr="00A858C4" w:rsidRDefault="00DF4478" w:rsidP="00DF4478">
            <w:pPr>
              <w:spacing w:before="20" w:after="20"/>
              <w:jc w:val="right"/>
              <w:rPr>
                <w:noProof/>
                <w:sz w:val="20"/>
              </w:rPr>
            </w:pPr>
          </w:p>
        </w:tc>
        <w:tc>
          <w:tcPr>
            <w:tcW w:w="868" w:type="dxa"/>
            <w:vAlign w:val="center"/>
          </w:tcPr>
          <w:p w14:paraId="6874F24D" w14:textId="77777777" w:rsidR="00DF4478" w:rsidRPr="00A858C4" w:rsidRDefault="00DF4478" w:rsidP="00DF4478">
            <w:pPr>
              <w:spacing w:before="20" w:after="20"/>
              <w:jc w:val="right"/>
              <w:rPr>
                <w:noProof/>
                <w:sz w:val="20"/>
              </w:rPr>
            </w:pPr>
          </w:p>
        </w:tc>
        <w:tc>
          <w:tcPr>
            <w:tcW w:w="868" w:type="dxa"/>
            <w:vAlign w:val="center"/>
          </w:tcPr>
          <w:p w14:paraId="6980639D" w14:textId="77777777" w:rsidR="00DF4478" w:rsidRPr="00A858C4" w:rsidRDefault="00DF4478" w:rsidP="00DF4478">
            <w:pPr>
              <w:spacing w:before="20" w:after="20"/>
              <w:jc w:val="right"/>
              <w:rPr>
                <w:noProof/>
                <w:sz w:val="20"/>
              </w:rPr>
            </w:pPr>
          </w:p>
        </w:tc>
        <w:tc>
          <w:tcPr>
            <w:tcW w:w="868" w:type="dxa"/>
            <w:vAlign w:val="center"/>
          </w:tcPr>
          <w:p w14:paraId="7D7A7099" w14:textId="77777777" w:rsidR="00DF4478" w:rsidRPr="00A858C4" w:rsidRDefault="00DF4478" w:rsidP="00DF4478">
            <w:pPr>
              <w:spacing w:before="20" w:after="20"/>
              <w:jc w:val="right"/>
              <w:rPr>
                <w:noProof/>
                <w:sz w:val="20"/>
              </w:rPr>
            </w:pPr>
          </w:p>
        </w:tc>
        <w:tc>
          <w:tcPr>
            <w:tcW w:w="868" w:type="dxa"/>
            <w:vAlign w:val="center"/>
          </w:tcPr>
          <w:p w14:paraId="5D3E935E" w14:textId="77777777" w:rsidR="00DF4478" w:rsidRPr="00A858C4" w:rsidRDefault="00DF4478" w:rsidP="00DF4478">
            <w:pPr>
              <w:spacing w:before="20" w:after="20"/>
              <w:jc w:val="right"/>
              <w:rPr>
                <w:noProof/>
                <w:sz w:val="20"/>
              </w:rPr>
            </w:pPr>
          </w:p>
        </w:tc>
        <w:tc>
          <w:tcPr>
            <w:tcW w:w="868" w:type="dxa"/>
            <w:vAlign w:val="center"/>
          </w:tcPr>
          <w:p w14:paraId="44A86BAB" w14:textId="77777777" w:rsidR="00DF4478" w:rsidRPr="00A858C4" w:rsidRDefault="00DF4478" w:rsidP="00DF4478">
            <w:pPr>
              <w:spacing w:before="20" w:after="20"/>
              <w:jc w:val="right"/>
              <w:rPr>
                <w:b/>
                <w:noProof/>
                <w:sz w:val="20"/>
              </w:rPr>
            </w:pPr>
          </w:p>
        </w:tc>
        <w:tc>
          <w:tcPr>
            <w:tcW w:w="1777" w:type="dxa"/>
            <w:vAlign w:val="center"/>
          </w:tcPr>
          <w:p w14:paraId="0C3755E4" w14:textId="77777777" w:rsidR="00DF4478" w:rsidRPr="00A858C4" w:rsidRDefault="00DF4478" w:rsidP="00DF4478">
            <w:pPr>
              <w:spacing w:before="20" w:after="20"/>
              <w:jc w:val="right"/>
              <w:rPr>
                <w:b/>
                <w:noProof/>
                <w:sz w:val="20"/>
              </w:rPr>
            </w:pPr>
          </w:p>
        </w:tc>
      </w:tr>
      <w:tr w:rsidR="00DF4478" w:rsidRPr="00A858C4" w14:paraId="3A25DA86" w14:textId="77777777" w:rsidTr="005D1D40">
        <w:tc>
          <w:tcPr>
            <w:tcW w:w="3960" w:type="dxa"/>
            <w:vMerge/>
          </w:tcPr>
          <w:p w14:paraId="4E3A0E81" w14:textId="77777777" w:rsidR="00DF4478" w:rsidRPr="00A858C4" w:rsidRDefault="00DF4478" w:rsidP="00DF4478">
            <w:pPr>
              <w:jc w:val="center"/>
              <w:rPr>
                <w:noProof/>
                <w:sz w:val="20"/>
              </w:rPr>
            </w:pPr>
          </w:p>
        </w:tc>
        <w:tc>
          <w:tcPr>
            <w:tcW w:w="1440" w:type="dxa"/>
            <w:vAlign w:val="center"/>
          </w:tcPr>
          <w:p w14:paraId="244B5018" w14:textId="77777777" w:rsidR="00DF4478" w:rsidRPr="00A858C4" w:rsidRDefault="00DF4478" w:rsidP="00DF4478">
            <w:pPr>
              <w:spacing w:before="20" w:after="20"/>
              <w:rPr>
                <w:noProof/>
                <w:sz w:val="18"/>
              </w:rPr>
            </w:pPr>
            <w:r w:rsidRPr="00A858C4">
              <w:rPr>
                <w:noProof/>
                <w:sz w:val="18"/>
              </w:rPr>
              <w:t>Betalinger</w:t>
            </w:r>
          </w:p>
        </w:tc>
        <w:tc>
          <w:tcPr>
            <w:tcW w:w="654" w:type="dxa"/>
            <w:gridSpan w:val="2"/>
            <w:vAlign w:val="center"/>
          </w:tcPr>
          <w:p w14:paraId="784C6B67" w14:textId="77777777" w:rsidR="00DF4478" w:rsidRPr="00A858C4" w:rsidRDefault="00DF4478" w:rsidP="00DF4478">
            <w:pPr>
              <w:spacing w:before="20" w:after="20"/>
              <w:jc w:val="center"/>
              <w:rPr>
                <w:noProof/>
                <w:sz w:val="14"/>
              </w:rPr>
            </w:pPr>
            <w:r w:rsidRPr="00A858C4">
              <w:rPr>
                <w:noProof/>
                <w:sz w:val="14"/>
              </w:rPr>
              <w:t>(2b)</w:t>
            </w:r>
          </w:p>
        </w:tc>
        <w:tc>
          <w:tcPr>
            <w:tcW w:w="868" w:type="dxa"/>
            <w:vAlign w:val="center"/>
          </w:tcPr>
          <w:p w14:paraId="26C14196" w14:textId="77777777" w:rsidR="00DF4478" w:rsidRPr="00A858C4" w:rsidRDefault="00DF4478" w:rsidP="00DF4478">
            <w:pPr>
              <w:spacing w:before="20" w:after="20"/>
              <w:jc w:val="right"/>
              <w:rPr>
                <w:noProof/>
                <w:sz w:val="20"/>
              </w:rPr>
            </w:pPr>
          </w:p>
        </w:tc>
        <w:tc>
          <w:tcPr>
            <w:tcW w:w="868" w:type="dxa"/>
            <w:vAlign w:val="center"/>
          </w:tcPr>
          <w:p w14:paraId="5EFDD202" w14:textId="77777777" w:rsidR="00DF4478" w:rsidRPr="00A858C4" w:rsidRDefault="00DF4478" w:rsidP="00DF4478">
            <w:pPr>
              <w:spacing w:before="20" w:after="20"/>
              <w:jc w:val="right"/>
              <w:rPr>
                <w:noProof/>
                <w:sz w:val="20"/>
              </w:rPr>
            </w:pPr>
          </w:p>
        </w:tc>
        <w:tc>
          <w:tcPr>
            <w:tcW w:w="868" w:type="dxa"/>
            <w:vAlign w:val="center"/>
          </w:tcPr>
          <w:p w14:paraId="4A6E919C" w14:textId="77777777" w:rsidR="00DF4478" w:rsidRPr="00A858C4" w:rsidRDefault="00DF4478" w:rsidP="00DF4478">
            <w:pPr>
              <w:spacing w:before="20" w:after="20"/>
              <w:jc w:val="right"/>
              <w:rPr>
                <w:noProof/>
                <w:sz w:val="20"/>
              </w:rPr>
            </w:pPr>
          </w:p>
        </w:tc>
        <w:tc>
          <w:tcPr>
            <w:tcW w:w="868" w:type="dxa"/>
            <w:vAlign w:val="center"/>
          </w:tcPr>
          <w:p w14:paraId="0ED4E351" w14:textId="77777777" w:rsidR="00DF4478" w:rsidRPr="00A858C4" w:rsidRDefault="00DF4478" w:rsidP="00DF4478">
            <w:pPr>
              <w:spacing w:before="20" w:after="20"/>
              <w:jc w:val="right"/>
              <w:rPr>
                <w:noProof/>
                <w:sz w:val="20"/>
              </w:rPr>
            </w:pPr>
          </w:p>
        </w:tc>
        <w:tc>
          <w:tcPr>
            <w:tcW w:w="868" w:type="dxa"/>
            <w:vAlign w:val="center"/>
          </w:tcPr>
          <w:p w14:paraId="18216582" w14:textId="77777777" w:rsidR="00DF4478" w:rsidRPr="00A858C4" w:rsidRDefault="00DF4478" w:rsidP="00DF4478">
            <w:pPr>
              <w:spacing w:before="20" w:after="20"/>
              <w:jc w:val="right"/>
              <w:rPr>
                <w:noProof/>
                <w:sz w:val="20"/>
              </w:rPr>
            </w:pPr>
          </w:p>
        </w:tc>
        <w:tc>
          <w:tcPr>
            <w:tcW w:w="868" w:type="dxa"/>
            <w:vAlign w:val="center"/>
          </w:tcPr>
          <w:p w14:paraId="543FDFDA" w14:textId="77777777" w:rsidR="00DF4478" w:rsidRPr="00A858C4" w:rsidRDefault="00DF4478" w:rsidP="00DF4478">
            <w:pPr>
              <w:spacing w:before="20" w:after="20"/>
              <w:jc w:val="right"/>
              <w:rPr>
                <w:noProof/>
                <w:sz w:val="20"/>
              </w:rPr>
            </w:pPr>
          </w:p>
        </w:tc>
        <w:tc>
          <w:tcPr>
            <w:tcW w:w="868" w:type="dxa"/>
            <w:vAlign w:val="center"/>
          </w:tcPr>
          <w:p w14:paraId="317B8DCE" w14:textId="77777777" w:rsidR="00DF4478" w:rsidRPr="00A858C4" w:rsidRDefault="00DF4478" w:rsidP="00DF4478">
            <w:pPr>
              <w:spacing w:before="20" w:after="20"/>
              <w:jc w:val="right"/>
              <w:rPr>
                <w:b/>
                <w:noProof/>
                <w:sz w:val="20"/>
              </w:rPr>
            </w:pPr>
          </w:p>
        </w:tc>
        <w:tc>
          <w:tcPr>
            <w:tcW w:w="1777" w:type="dxa"/>
            <w:vAlign w:val="center"/>
          </w:tcPr>
          <w:p w14:paraId="6BFBE8FB" w14:textId="77777777" w:rsidR="00DF4478" w:rsidRPr="00A858C4" w:rsidRDefault="00DF4478" w:rsidP="00DF4478">
            <w:pPr>
              <w:spacing w:before="20" w:after="20"/>
              <w:jc w:val="right"/>
              <w:rPr>
                <w:b/>
                <w:noProof/>
                <w:sz w:val="20"/>
              </w:rPr>
            </w:pPr>
          </w:p>
        </w:tc>
      </w:tr>
      <w:tr w:rsidR="00DF4478" w:rsidRPr="00A858C4" w14:paraId="7E656689" w14:textId="77777777" w:rsidTr="005D1D40">
        <w:trPr>
          <w:trHeight w:val="231"/>
        </w:trPr>
        <w:tc>
          <w:tcPr>
            <w:tcW w:w="6054" w:type="dxa"/>
            <w:gridSpan w:val="4"/>
            <w:vAlign w:val="center"/>
          </w:tcPr>
          <w:p w14:paraId="593D0B8A" w14:textId="77777777" w:rsidR="00DF4478" w:rsidRPr="00A858C4" w:rsidRDefault="00DF4478" w:rsidP="00DF4478">
            <w:pPr>
              <w:spacing w:before="20" w:after="20"/>
              <w:rPr>
                <w:noProof/>
              </w:rPr>
            </w:pPr>
            <w:r w:rsidRPr="00A858C4">
              <w:rPr>
                <w:noProof/>
                <w:sz w:val="21"/>
              </w:rPr>
              <w:t>Administrationsbevillinger finansieret over bevillingsrammen for særprogrammer</w:t>
            </w:r>
            <w:r w:rsidRPr="00A858C4">
              <w:rPr>
                <w:noProof/>
                <w:color w:val="000000" w:themeColor="text1"/>
              </w:rPr>
              <w:t> </w:t>
            </w:r>
            <w:r w:rsidRPr="00A858C4">
              <w:rPr>
                <w:rStyle w:val="FootnoteReference"/>
                <w:noProof/>
              </w:rPr>
              <w:footnoteReference w:id="15"/>
            </w:r>
            <w:r w:rsidRPr="00A858C4">
              <w:rPr>
                <w:noProof/>
                <w:sz w:val="21"/>
              </w:rPr>
              <w:t xml:space="preserve"> </w:t>
            </w:r>
          </w:p>
          <w:p w14:paraId="15F08434" w14:textId="77777777" w:rsidR="00DF4478" w:rsidRPr="00A858C4" w:rsidRDefault="00DF4478" w:rsidP="00DF4478">
            <w:pPr>
              <w:spacing w:before="0" w:after="0"/>
              <w:rPr>
                <w:noProof/>
              </w:rPr>
            </w:pPr>
          </w:p>
        </w:tc>
        <w:tc>
          <w:tcPr>
            <w:tcW w:w="868" w:type="dxa"/>
            <w:vAlign w:val="center"/>
          </w:tcPr>
          <w:p w14:paraId="470C74EA" w14:textId="77777777" w:rsidR="00DF4478" w:rsidRPr="00A858C4" w:rsidRDefault="00DF4478" w:rsidP="00DF4478">
            <w:pPr>
              <w:rPr>
                <w:b/>
                <w:noProof/>
                <w:sz w:val="20"/>
              </w:rPr>
            </w:pPr>
          </w:p>
        </w:tc>
        <w:tc>
          <w:tcPr>
            <w:tcW w:w="868" w:type="dxa"/>
            <w:vAlign w:val="center"/>
          </w:tcPr>
          <w:p w14:paraId="43EE0D6C" w14:textId="77777777" w:rsidR="00DF4478" w:rsidRPr="00A858C4" w:rsidRDefault="00DF4478" w:rsidP="00DF4478">
            <w:pPr>
              <w:rPr>
                <w:b/>
                <w:noProof/>
                <w:sz w:val="20"/>
              </w:rPr>
            </w:pPr>
          </w:p>
        </w:tc>
        <w:tc>
          <w:tcPr>
            <w:tcW w:w="868" w:type="dxa"/>
            <w:vAlign w:val="center"/>
          </w:tcPr>
          <w:p w14:paraId="1E85CEF7" w14:textId="77777777" w:rsidR="00DF4478" w:rsidRPr="00A858C4" w:rsidRDefault="00DF4478" w:rsidP="00DF4478">
            <w:pPr>
              <w:rPr>
                <w:b/>
                <w:noProof/>
                <w:sz w:val="20"/>
              </w:rPr>
            </w:pPr>
          </w:p>
        </w:tc>
        <w:tc>
          <w:tcPr>
            <w:tcW w:w="868" w:type="dxa"/>
            <w:vAlign w:val="center"/>
          </w:tcPr>
          <w:p w14:paraId="0E618E55" w14:textId="77777777" w:rsidR="00DF4478" w:rsidRPr="00A858C4" w:rsidRDefault="00DF4478" w:rsidP="00DF4478">
            <w:pPr>
              <w:rPr>
                <w:b/>
                <w:noProof/>
                <w:sz w:val="20"/>
              </w:rPr>
            </w:pPr>
          </w:p>
        </w:tc>
        <w:tc>
          <w:tcPr>
            <w:tcW w:w="868" w:type="dxa"/>
            <w:vAlign w:val="center"/>
          </w:tcPr>
          <w:p w14:paraId="4F9E19FC" w14:textId="77777777" w:rsidR="00DF4478" w:rsidRPr="00A858C4" w:rsidRDefault="00DF4478" w:rsidP="00DF4478">
            <w:pPr>
              <w:rPr>
                <w:b/>
                <w:noProof/>
                <w:sz w:val="20"/>
              </w:rPr>
            </w:pPr>
          </w:p>
        </w:tc>
        <w:tc>
          <w:tcPr>
            <w:tcW w:w="868" w:type="dxa"/>
            <w:vAlign w:val="center"/>
          </w:tcPr>
          <w:p w14:paraId="7F57C0D8" w14:textId="77777777" w:rsidR="00DF4478" w:rsidRPr="00A858C4" w:rsidRDefault="00DF4478" w:rsidP="00DF4478">
            <w:pPr>
              <w:rPr>
                <w:b/>
                <w:noProof/>
                <w:sz w:val="20"/>
              </w:rPr>
            </w:pPr>
          </w:p>
        </w:tc>
        <w:tc>
          <w:tcPr>
            <w:tcW w:w="868" w:type="dxa"/>
            <w:vAlign w:val="center"/>
          </w:tcPr>
          <w:p w14:paraId="648E18AD" w14:textId="77777777" w:rsidR="00DF4478" w:rsidRPr="00A858C4" w:rsidRDefault="00DF4478" w:rsidP="00DF4478">
            <w:pPr>
              <w:rPr>
                <w:b/>
                <w:noProof/>
                <w:sz w:val="20"/>
              </w:rPr>
            </w:pPr>
          </w:p>
        </w:tc>
        <w:tc>
          <w:tcPr>
            <w:tcW w:w="1777" w:type="dxa"/>
            <w:vAlign w:val="center"/>
          </w:tcPr>
          <w:p w14:paraId="3A558894" w14:textId="77777777" w:rsidR="00DF4478" w:rsidRPr="00A858C4" w:rsidRDefault="00DF4478" w:rsidP="00DF4478">
            <w:pPr>
              <w:rPr>
                <w:b/>
                <w:noProof/>
                <w:sz w:val="20"/>
              </w:rPr>
            </w:pPr>
          </w:p>
        </w:tc>
      </w:tr>
      <w:tr w:rsidR="00DF4478" w:rsidRPr="00A858C4" w14:paraId="300F3333" w14:textId="77777777" w:rsidTr="005D1D40">
        <w:trPr>
          <w:trHeight w:val="319"/>
        </w:trPr>
        <w:tc>
          <w:tcPr>
            <w:tcW w:w="3960" w:type="dxa"/>
            <w:vAlign w:val="center"/>
          </w:tcPr>
          <w:p w14:paraId="131B8EA2" w14:textId="77777777" w:rsidR="00DF4478" w:rsidRPr="00A858C4" w:rsidRDefault="00DF4478" w:rsidP="00DF4478">
            <w:pPr>
              <w:spacing w:before="60" w:after="60"/>
              <w:rPr>
                <w:noProof/>
              </w:rPr>
            </w:pPr>
            <w:r w:rsidRPr="00A858C4">
              <w:rPr>
                <w:noProof/>
                <w:sz w:val="20"/>
              </w:rPr>
              <w:t>Budgetpost</w:t>
            </w:r>
          </w:p>
        </w:tc>
        <w:tc>
          <w:tcPr>
            <w:tcW w:w="1440" w:type="dxa"/>
            <w:vAlign w:val="center"/>
          </w:tcPr>
          <w:p w14:paraId="233B8FE1" w14:textId="77777777" w:rsidR="00DF4478" w:rsidRPr="00A858C4" w:rsidRDefault="00DF4478" w:rsidP="00DF4478">
            <w:pPr>
              <w:spacing w:before="40" w:after="40"/>
              <w:jc w:val="right"/>
              <w:rPr>
                <w:noProof/>
                <w:sz w:val="18"/>
              </w:rPr>
            </w:pPr>
          </w:p>
        </w:tc>
        <w:tc>
          <w:tcPr>
            <w:tcW w:w="654" w:type="dxa"/>
            <w:gridSpan w:val="2"/>
            <w:vAlign w:val="center"/>
          </w:tcPr>
          <w:p w14:paraId="3F0B78F7" w14:textId="77777777" w:rsidR="00DF4478" w:rsidRPr="00A858C4" w:rsidRDefault="00DF4478" w:rsidP="00DF4478">
            <w:pPr>
              <w:spacing w:before="40" w:after="40"/>
              <w:jc w:val="center"/>
              <w:rPr>
                <w:noProof/>
                <w:sz w:val="14"/>
              </w:rPr>
            </w:pPr>
            <w:r w:rsidRPr="00A858C4">
              <w:rPr>
                <w:noProof/>
                <w:sz w:val="14"/>
              </w:rPr>
              <w:t>(3)</w:t>
            </w:r>
          </w:p>
        </w:tc>
        <w:tc>
          <w:tcPr>
            <w:tcW w:w="868" w:type="dxa"/>
            <w:vAlign w:val="center"/>
          </w:tcPr>
          <w:p w14:paraId="362C677C" w14:textId="77777777" w:rsidR="00DF4478" w:rsidRPr="00A858C4" w:rsidRDefault="00DF4478" w:rsidP="00DF4478">
            <w:pPr>
              <w:spacing w:before="40" w:after="40"/>
              <w:jc w:val="right"/>
              <w:rPr>
                <w:b/>
                <w:noProof/>
                <w:sz w:val="20"/>
              </w:rPr>
            </w:pPr>
          </w:p>
        </w:tc>
        <w:tc>
          <w:tcPr>
            <w:tcW w:w="868" w:type="dxa"/>
            <w:vAlign w:val="center"/>
          </w:tcPr>
          <w:p w14:paraId="608ACC06" w14:textId="77777777" w:rsidR="00DF4478" w:rsidRPr="00A858C4" w:rsidRDefault="00DF4478" w:rsidP="00DF4478">
            <w:pPr>
              <w:spacing w:before="40" w:after="40"/>
              <w:jc w:val="right"/>
              <w:rPr>
                <w:b/>
                <w:noProof/>
                <w:sz w:val="20"/>
              </w:rPr>
            </w:pPr>
          </w:p>
        </w:tc>
        <w:tc>
          <w:tcPr>
            <w:tcW w:w="868" w:type="dxa"/>
            <w:vAlign w:val="center"/>
          </w:tcPr>
          <w:p w14:paraId="47C1E310" w14:textId="77777777" w:rsidR="00DF4478" w:rsidRPr="00A858C4" w:rsidRDefault="00DF4478" w:rsidP="00DF4478">
            <w:pPr>
              <w:spacing w:before="40" w:after="40"/>
              <w:jc w:val="right"/>
              <w:rPr>
                <w:b/>
                <w:noProof/>
                <w:sz w:val="20"/>
              </w:rPr>
            </w:pPr>
          </w:p>
        </w:tc>
        <w:tc>
          <w:tcPr>
            <w:tcW w:w="868" w:type="dxa"/>
            <w:vAlign w:val="center"/>
          </w:tcPr>
          <w:p w14:paraId="7430B154" w14:textId="77777777" w:rsidR="00DF4478" w:rsidRPr="00A858C4" w:rsidRDefault="00DF4478" w:rsidP="00DF4478">
            <w:pPr>
              <w:spacing w:before="40" w:after="40"/>
              <w:jc w:val="right"/>
              <w:rPr>
                <w:b/>
                <w:noProof/>
                <w:sz w:val="20"/>
              </w:rPr>
            </w:pPr>
          </w:p>
        </w:tc>
        <w:tc>
          <w:tcPr>
            <w:tcW w:w="868" w:type="dxa"/>
            <w:vAlign w:val="center"/>
          </w:tcPr>
          <w:p w14:paraId="0B0FDF87" w14:textId="77777777" w:rsidR="00DF4478" w:rsidRPr="00A858C4" w:rsidRDefault="00DF4478" w:rsidP="00DF4478">
            <w:pPr>
              <w:spacing w:before="40" w:after="40"/>
              <w:jc w:val="right"/>
              <w:rPr>
                <w:b/>
                <w:noProof/>
                <w:sz w:val="20"/>
              </w:rPr>
            </w:pPr>
          </w:p>
        </w:tc>
        <w:tc>
          <w:tcPr>
            <w:tcW w:w="868" w:type="dxa"/>
            <w:vAlign w:val="center"/>
          </w:tcPr>
          <w:p w14:paraId="7AFEE2D4" w14:textId="77777777" w:rsidR="00DF4478" w:rsidRPr="00A858C4" w:rsidRDefault="00DF4478" w:rsidP="00DF4478">
            <w:pPr>
              <w:spacing w:before="40" w:after="40"/>
              <w:jc w:val="right"/>
              <w:rPr>
                <w:b/>
                <w:noProof/>
                <w:sz w:val="20"/>
              </w:rPr>
            </w:pPr>
          </w:p>
        </w:tc>
        <w:tc>
          <w:tcPr>
            <w:tcW w:w="868" w:type="dxa"/>
            <w:vAlign w:val="center"/>
          </w:tcPr>
          <w:p w14:paraId="1F50E657" w14:textId="77777777" w:rsidR="00DF4478" w:rsidRPr="00A858C4" w:rsidRDefault="00DF4478" w:rsidP="00DF4478">
            <w:pPr>
              <w:spacing w:before="40" w:after="40"/>
              <w:jc w:val="right"/>
              <w:rPr>
                <w:b/>
                <w:noProof/>
                <w:sz w:val="20"/>
              </w:rPr>
            </w:pPr>
          </w:p>
        </w:tc>
        <w:tc>
          <w:tcPr>
            <w:tcW w:w="1777" w:type="dxa"/>
            <w:vAlign w:val="center"/>
          </w:tcPr>
          <w:p w14:paraId="7DA14CE0" w14:textId="77777777" w:rsidR="00DF4478" w:rsidRPr="00A858C4" w:rsidRDefault="00DF4478" w:rsidP="00DF4478">
            <w:pPr>
              <w:spacing w:before="40" w:after="40"/>
              <w:jc w:val="right"/>
              <w:rPr>
                <w:b/>
                <w:noProof/>
                <w:sz w:val="20"/>
              </w:rPr>
            </w:pPr>
          </w:p>
        </w:tc>
      </w:tr>
      <w:tr w:rsidR="00DF4478" w:rsidRPr="00A858C4" w14:paraId="1150655F" w14:textId="77777777" w:rsidTr="005D1D40">
        <w:tc>
          <w:tcPr>
            <w:tcW w:w="3960" w:type="dxa"/>
            <w:vMerge w:val="restart"/>
            <w:vAlign w:val="center"/>
          </w:tcPr>
          <w:p w14:paraId="522BEEE3" w14:textId="77777777" w:rsidR="00DF4478" w:rsidRPr="00A858C4" w:rsidRDefault="00DF4478" w:rsidP="00DF4478">
            <w:pPr>
              <w:jc w:val="center"/>
              <w:rPr>
                <w:b/>
                <w:noProof/>
              </w:rPr>
            </w:pPr>
            <w:r w:rsidRPr="00A858C4">
              <w:rPr>
                <w:b/>
                <w:noProof/>
                <w:sz w:val="22"/>
              </w:rPr>
              <w:t>Bevillinger I ALT</w:t>
            </w:r>
            <w:r w:rsidRPr="00A858C4">
              <w:rPr>
                <w:noProof/>
                <w:sz w:val="22"/>
              </w:rPr>
              <w:br/>
            </w:r>
            <w:r w:rsidRPr="00A858C4">
              <w:rPr>
                <w:b/>
                <w:noProof/>
                <w:sz w:val="22"/>
              </w:rPr>
              <w:t xml:space="preserve">til GD </w:t>
            </w:r>
            <w:r w:rsidRPr="00A858C4">
              <w:rPr>
                <w:noProof/>
                <w:sz w:val="22"/>
              </w:rPr>
              <w:t>&lt;…….&gt;</w:t>
            </w:r>
          </w:p>
        </w:tc>
        <w:tc>
          <w:tcPr>
            <w:tcW w:w="1440" w:type="dxa"/>
            <w:vAlign w:val="center"/>
          </w:tcPr>
          <w:p w14:paraId="7A785F9D" w14:textId="77777777" w:rsidR="00DF4478" w:rsidRPr="00A858C4" w:rsidRDefault="00DF4478" w:rsidP="00DF4478">
            <w:pPr>
              <w:rPr>
                <w:noProof/>
                <w:sz w:val="18"/>
              </w:rPr>
            </w:pPr>
            <w:r w:rsidRPr="00A858C4">
              <w:rPr>
                <w:noProof/>
                <w:sz w:val="18"/>
              </w:rPr>
              <w:t>Forpligtelser</w:t>
            </w:r>
          </w:p>
        </w:tc>
        <w:tc>
          <w:tcPr>
            <w:tcW w:w="654" w:type="dxa"/>
            <w:gridSpan w:val="2"/>
            <w:vAlign w:val="center"/>
          </w:tcPr>
          <w:p w14:paraId="76F9127A" w14:textId="77777777" w:rsidR="00DF4478" w:rsidRPr="00A858C4" w:rsidRDefault="00DF4478" w:rsidP="00DF4478">
            <w:pPr>
              <w:jc w:val="center"/>
              <w:rPr>
                <w:noProof/>
                <w:sz w:val="14"/>
              </w:rPr>
            </w:pPr>
            <w:r w:rsidRPr="00A858C4">
              <w:rPr>
                <w:noProof/>
                <w:sz w:val="14"/>
              </w:rPr>
              <w:t>=1a+1b +3</w:t>
            </w:r>
          </w:p>
        </w:tc>
        <w:tc>
          <w:tcPr>
            <w:tcW w:w="868" w:type="dxa"/>
            <w:vAlign w:val="center"/>
          </w:tcPr>
          <w:p w14:paraId="4C46C9AE" w14:textId="77777777" w:rsidR="00DF4478" w:rsidRPr="00A858C4" w:rsidRDefault="00DF4478" w:rsidP="00DF4478">
            <w:pPr>
              <w:spacing w:before="20" w:after="20"/>
              <w:jc w:val="right"/>
              <w:rPr>
                <w:noProof/>
                <w:sz w:val="20"/>
              </w:rPr>
            </w:pPr>
          </w:p>
        </w:tc>
        <w:tc>
          <w:tcPr>
            <w:tcW w:w="868" w:type="dxa"/>
            <w:vAlign w:val="center"/>
          </w:tcPr>
          <w:p w14:paraId="52B3FFB0" w14:textId="77777777" w:rsidR="00DF4478" w:rsidRPr="00A858C4" w:rsidRDefault="00DF4478" w:rsidP="00DF4478">
            <w:pPr>
              <w:spacing w:before="20" w:after="20"/>
              <w:jc w:val="right"/>
              <w:rPr>
                <w:noProof/>
                <w:sz w:val="20"/>
              </w:rPr>
            </w:pPr>
          </w:p>
        </w:tc>
        <w:tc>
          <w:tcPr>
            <w:tcW w:w="868" w:type="dxa"/>
            <w:vAlign w:val="center"/>
          </w:tcPr>
          <w:p w14:paraId="5E64D6DB" w14:textId="77777777" w:rsidR="00DF4478" w:rsidRPr="00A858C4" w:rsidRDefault="00DF4478" w:rsidP="00DF4478">
            <w:pPr>
              <w:spacing w:before="20" w:after="20"/>
              <w:jc w:val="right"/>
              <w:rPr>
                <w:noProof/>
                <w:sz w:val="20"/>
              </w:rPr>
            </w:pPr>
          </w:p>
        </w:tc>
        <w:tc>
          <w:tcPr>
            <w:tcW w:w="868" w:type="dxa"/>
            <w:vAlign w:val="center"/>
          </w:tcPr>
          <w:p w14:paraId="5D937A2E" w14:textId="77777777" w:rsidR="00DF4478" w:rsidRPr="00A858C4" w:rsidRDefault="00DF4478" w:rsidP="00DF4478">
            <w:pPr>
              <w:spacing w:before="20" w:after="20"/>
              <w:jc w:val="right"/>
              <w:rPr>
                <w:noProof/>
                <w:sz w:val="20"/>
              </w:rPr>
            </w:pPr>
          </w:p>
        </w:tc>
        <w:tc>
          <w:tcPr>
            <w:tcW w:w="868" w:type="dxa"/>
            <w:vAlign w:val="center"/>
          </w:tcPr>
          <w:p w14:paraId="7DC322C1" w14:textId="77777777" w:rsidR="00DF4478" w:rsidRPr="00A858C4" w:rsidRDefault="00DF4478" w:rsidP="00DF4478">
            <w:pPr>
              <w:spacing w:before="20" w:after="20"/>
              <w:jc w:val="right"/>
              <w:rPr>
                <w:noProof/>
                <w:sz w:val="20"/>
              </w:rPr>
            </w:pPr>
          </w:p>
        </w:tc>
        <w:tc>
          <w:tcPr>
            <w:tcW w:w="868" w:type="dxa"/>
            <w:vAlign w:val="center"/>
          </w:tcPr>
          <w:p w14:paraId="42194378" w14:textId="77777777" w:rsidR="00DF4478" w:rsidRPr="00A858C4" w:rsidRDefault="00DF4478" w:rsidP="00DF4478">
            <w:pPr>
              <w:spacing w:before="20" w:after="20"/>
              <w:jc w:val="right"/>
              <w:rPr>
                <w:noProof/>
                <w:sz w:val="20"/>
              </w:rPr>
            </w:pPr>
          </w:p>
        </w:tc>
        <w:tc>
          <w:tcPr>
            <w:tcW w:w="868" w:type="dxa"/>
            <w:vAlign w:val="center"/>
          </w:tcPr>
          <w:p w14:paraId="5E3E2816" w14:textId="77777777" w:rsidR="00DF4478" w:rsidRPr="00A858C4" w:rsidRDefault="00DF4478" w:rsidP="00DF4478">
            <w:pPr>
              <w:spacing w:before="20" w:after="20"/>
              <w:jc w:val="right"/>
              <w:rPr>
                <w:b/>
                <w:noProof/>
                <w:sz w:val="20"/>
              </w:rPr>
            </w:pPr>
          </w:p>
        </w:tc>
        <w:tc>
          <w:tcPr>
            <w:tcW w:w="1777" w:type="dxa"/>
            <w:vAlign w:val="center"/>
          </w:tcPr>
          <w:p w14:paraId="1194B780" w14:textId="77777777" w:rsidR="00DF4478" w:rsidRPr="00A858C4" w:rsidRDefault="00DF4478" w:rsidP="00DF4478">
            <w:pPr>
              <w:spacing w:before="20" w:after="20"/>
              <w:jc w:val="right"/>
              <w:rPr>
                <w:b/>
                <w:noProof/>
                <w:sz w:val="20"/>
              </w:rPr>
            </w:pPr>
          </w:p>
        </w:tc>
      </w:tr>
      <w:tr w:rsidR="00DF4478" w:rsidRPr="00A858C4" w14:paraId="741C8D7A" w14:textId="77777777" w:rsidTr="005D1D40">
        <w:tc>
          <w:tcPr>
            <w:tcW w:w="3960" w:type="dxa"/>
            <w:vMerge/>
          </w:tcPr>
          <w:p w14:paraId="544DA602" w14:textId="77777777" w:rsidR="00DF4478" w:rsidRPr="00A858C4" w:rsidRDefault="00DF4478" w:rsidP="00DF4478">
            <w:pPr>
              <w:rPr>
                <w:noProof/>
                <w:sz w:val="20"/>
              </w:rPr>
            </w:pPr>
          </w:p>
        </w:tc>
        <w:tc>
          <w:tcPr>
            <w:tcW w:w="1440" w:type="dxa"/>
            <w:vAlign w:val="center"/>
          </w:tcPr>
          <w:p w14:paraId="41E672EB" w14:textId="77777777" w:rsidR="00DF4478" w:rsidRPr="00A858C4" w:rsidRDefault="00DF4478" w:rsidP="00DF4478">
            <w:pPr>
              <w:rPr>
                <w:noProof/>
                <w:sz w:val="18"/>
              </w:rPr>
            </w:pPr>
            <w:r w:rsidRPr="00A858C4">
              <w:rPr>
                <w:noProof/>
                <w:sz w:val="18"/>
              </w:rPr>
              <w:t>Betalinger</w:t>
            </w:r>
          </w:p>
        </w:tc>
        <w:tc>
          <w:tcPr>
            <w:tcW w:w="654" w:type="dxa"/>
            <w:gridSpan w:val="2"/>
            <w:vAlign w:val="center"/>
          </w:tcPr>
          <w:p w14:paraId="40D37331" w14:textId="77777777" w:rsidR="00DF4478" w:rsidRPr="00A858C4" w:rsidRDefault="00DF4478" w:rsidP="00DF4478">
            <w:pPr>
              <w:jc w:val="center"/>
              <w:rPr>
                <w:noProof/>
                <w:sz w:val="14"/>
              </w:rPr>
            </w:pPr>
            <w:r w:rsidRPr="00A858C4">
              <w:rPr>
                <w:noProof/>
                <w:sz w:val="14"/>
              </w:rPr>
              <w:t>=2a + 2b</w:t>
            </w:r>
          </w:p>
          <w:p w14:paraId="0AF70621" w14:textId="77777777" w:rsidR="00DF4478" w:rsidRPr="00A858C4" w:rsidRDefault="00DF4478" w:rsidP="00DF4478">
            <w:pPr>
              <w:jc w:val="center"/>
              <w:rPr>
                <w:noProof/>
                <w:sz w:val="14"/>
              </w:rPr>
            </w:pPr>
            <w:r w:rsidRPr="00A858C4">
              <w:rPr>
                <w:noProof/>
                <w:sz w:val="14"/>
              </w:rPr>
              <w:t>+3</w:t>
            </w:r>
          </w:p>
        </w:tc>
        <w:tc>
          <w:tcPr>
            <w:tcW w:w="868" w:type="dxa"/>
            <w:vAlign w:val="center"/>
          </w:tcPr>
          <w:p w14:paraId="41B2E5F9" w14:textId="77777777" w:rsidR="00DF4478" w:rsidRPr="00A858C4" w:rsidRDefault="00DF4478" w:rsidP="00DF4478">
            <w:pPr>
              <w:spacing w:before="20" w:after="20"/>
              <w:jc w:val="right"/>
              <w:rPr>
                <w:noProof/>
                <w:sz w:val="20"/>
              </w:rPr>
            </w:pPr>
          </w:p>
        </w:tc>
        <w:tc>
          <w:tcPr>
            <w:tcW w:w="868" w:type="dxa"/>
            <w:vAlign w:val="center"/>
          </w:tcPr>
          <w:p w14:paraId="072D4DF6" w14:textId="77777777" w:rsidR="00DF4478" w:rsidRPr="00A858C4" w:rsidRDefault="00DF4478" w:rsidP="00DF4478">
            <w:pPr>
              <w:spacing w:before="20" w:after="20"/>
              <w:jc w:val="right"/>
              <w:rPr>
                <w:noProof/>
                <w:sz w:val="20"/>
              </w:rPr>
            </w:pPr>
          </w:p>
        </w:tc>
        <w:tc>
          <w:tcPr>
            <w:tcW w:w="868" w:type="dxa"/>
            <w:vAlign w:val="center"/>
          </w:tcPr>
          <w:p w14:paraId="70149B4C" w14:textId="77777777" w:rsidR="00DF4478" w:rsidRPr="00A858C4" w:rsidRDefault="00DF4478" w:rsidP="00DF4478">
            <w:pPr>
              <w:spacing w:before="20" w:after="20"/>
              <w:jc w:val="right"/>
              <w:rPr>
                <w:noProof/>
                <w:sz w:val="20"/>
              </w:rPr>
            </w:pPr>
          </w:p>
        </w:tc>
        <w:tc>
          <w:tcPr>
            <w:tcW w:w="868" w:type="dxa"/>
            <w:vAlign w:val="center"/>
          </w:tcPr>
          <w:p w14:paraId="6196B702" w14:textId="77777777" w:rsidR="00DF4478" w:rsidRPr="00A858C4" w:rsidRDefault="00DF4478" w:rsidP="00DF4478">
            <w:pPr>
              <w:spacing w:before="20" w:after="20"/>
              <w:jc w:val="right"/>
              <w:rPr>
                <w:noProof/>
                <w:sz w:val="20"/>
              </w:rPr>
            </w:pPr>
          </w:p>
        </w:tc>
        <w:tc>
          <w:tcPr>
            <w:tcW w:w="868" w:type="dxa"/>
            <w:vAlign w:val="center"/>
          </w:tcPr>
          <w:p w14:paraId="6DF7A011" w14:textId="77777777" w:rsidR="00DF4478" w:rsidRPr="00A858C4" w:rsidRDefault="00DF4478" w:rsidP="00DF4478">
            <w:pPr>
              <w:spacing w:before="20" w:after="20"/>
              <w:jc w:val="right"/>
              <w:rPr>
                <w:noProof/>
                <w:sz w:val="20"/>
              </w:rPr>
            </w:pPr>
          </w:p>
        </w:tc>
        <w:tc>
          <w:tcPr>
            <w:tcW w:w="868" w:type="dxa"/>
            <w:vAlign w:val="center"/>
          </w:tcPr>
          <w:p w14:paraId="4FC48BEF" w14:textId="77777777" w:rsidR="00DF4478" w:rsidRPr="00A858C4" w:rsidRDefault="00DF4478" w:rsidP="00DF4478">
            <w:pPr>
              <w:spacing w:before="20" w:after="20"/>
              <w:jc w:val="right"/>
              <w:rPr>
                <w:noProof/>
                <w:sz w:val="20"/>
              </w:rPr>
            </w:pPr>
          </w:p>
        </w:tc>
        <w:tc>
          <w:tcPr>
            <w:tcW w:w="868" w:type="dxa"/>
            <w:vAlign w:val="center"/>
          </w:tcPr>
          <w:p w14:paraId="42392F0F" w14:textId="77777777" w:rsidR="00DF4478" w:rsidRPr="00A858C4" w:rsidRDefault="00DF4478" w:rsidP="00DF4478">
            <w:pPr>
              <w:spacing w:before="20" w:after="20"/>
              <w:jc w:val="right"/>
              <w:rPr>
                <w:b/>
                <w:noProof/>
                <w:sz w:val="20"/>
              </w:rPr>
            </w:pPr>
          </w:p>
        </w:tc>
        <w:tc>
          <w:tcPr>
            <w:tcW w:w="1777" w:type="dxa"/>
            <w:vAlign w:val="center"/>
          </w:tcPr>
          <w:p w14:paraId="26CF271F" w14:textId="77777777" w:rsidR="00DF4478" w:rsidRPr="00A858C4" w:rsidRDefault="00DF4478" w:rsidP="00DF4478">
            <w:pPr>
              <w:spacing w:before="20" w:after="20"/>
              <w:jc w:val="right"/>
              <w:rPr>
                <w:b/>
                <w:noProof/>
                <w:sz w:val="20"/>
              </w:rPr>
            </w:pPr>
          </w:p>
        </w:tc>
      </w:tr>
    </w:tbl>
    <w:p w14:paraId="066C6A86" w14:textId="77777777" w:rsidR="00DF4478" w:rsidRPr="00A858C4" w:rsidRDefault="00DF4478" w:rsidP="00DF4478">
      <w:pPr>
        <w:rPr>
          <w:noProof/>
        </w:rPr>
      </w:pPr>
      <w:r w:rsidRPr="00A858C4">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DF4478" w:rsidRPr="00A858C4" w14:paraId="610EB8BC" w14:textId="77777777" w:rsidTr="005D1D40">
        <w:trPr>
          <w:trHeight w:val="277"/>
        </w:trPr>
        <w:tc>
          <w:tcPr>
            <w:tcW w:w="3960" w:type="dxa"/>
            <w:vMerge w:val="restart"/>
            <w:vAlign w:val="center"/>
          </w:tcPr>
          <w:p w14:paraId="083F4B0F" w14:textId="77777777" w:rsidR="00DF4478" w:rsidRPr="00A858C4" w:rsidRDefault="00DF4478" w:rsidP="00DF4478">
            <w:pPr>
              <w:spacing w:before="20" w:after="20"/>
              <w:rPr>
                <w:noProof/>
              </w:rPr>
            </w:pPr>
            <w:r w:rsidRPr="00A858C4">
              <w:rPr>
                <w:noProof/>
              </w:rPr>
              <w:br w:type="page"/>
            </w:r>
            <w:r w:rsidRPr="00A858C4">
              <w:rPr>
                <w:noProof/>
                <w:sz w:val="21"/>
              </w:rPr>
              <w:sym w:font="Wingdings" w:char="F09F"/>
            </w:r>
            <w:r w:rsidRPr="00A858C4">
              <w:rPr>
                <w:noProof/>
                <w:sz w:val="21"/>
              </w:rPr>
              <w:t xml:space="preserve"> Aktionsbevillinger I ALT </w:t>
            </w:r>
          </w:p>
        </w:tc>
        <w:tc>
          <w:tcPr>
            <w:tcW w:w="1440" w:type="dxa"/>
            <w:vAlign w:val="center"/>
          </w:tcPr>
          <w:p w14:paraId="7F2F30A6" w14:textId="77777777" w:rsidR="00DF4478" w:rsidRPr="00A858C4" w:rsidRDefault="00DF4478" w:rsidP="00DF4478">
            <w:pPr>
              <w:spacing w:beforeLines="20" w:before="48" w:afterLines="20" w:after="48"/>
              <w:rPr>
                <w:noProof/>
                <w:sz w:val="18"/>
              </w:rPr>
            </w:pPr>
            <w:r w:rsidRPr="00A858C4">
              <w:rPr>
                <w:noProof/>
                <w:sz w:val="18"/>
              </w:rPr>
              <w:t>Forpligtelser</w:t>
            </w:r>
          </w:p>
        </w:tc>
        <w:tc>
          <w:tcPr>
            <w:tcW w:w="654" w:type="dxa"/>
            <w:vAlign w:val="center"/>
          </w:tcPr>
          <w:p w14:paraId="506A44F8" w14:textId="77777777" w:rsidR="00DF4478" w:rsidRPr="00A858C4" w:rsidRDefault="00DF4478" w:rsidP="00DF4478">
            <w:pPr>
              <w:spacing w:beforeLines="20" w:before="48" w:afterLines="20" w:after="48"/>
              <w:jc w:val="center"/>
              <w:rPr>
                <w:noProof/>
                <w:sz w:val="14"/>
              </w:rPr>
            </w:pPr>
            <w:r w:rsidRPr="00A858C4">
              <w:rPr>
                <w:noProof/>
                <w:sz w:val="14"/>
              </w:rPr>
              <w:t>(4)</w:t>
            </w:r>
          </w:p>
        </w:tc>
        <w:tc>
          <w:tcPr>
            <w:tcW w:w="868" w:type="dxa"/>
            <w:vAlign w:val="center"/>
          </w:tcPr>
          <w:p w14:paraId="17E4B0E4" w14:textId="77777777" w:rsidR="00DF4478" w:rsidRPr="00A858C4" w:rsidRDefault="00DF4478" w:rsidP="00DF4478">
            <w:pPr>
              <w:spacing w:before="20" w:after="20"/>
              <w:jc w:val="right"/>
              <w:rPr>
                <w:noProof/>
                <w:sz w:val="20"/>
              </w:rPr>
            </w:pPr>
          </w:p>
        </w:tc>
        <w:tc>
          <w:tcPr>
            <w:tcW w:w="868" w:type="dxa"/>
            <w:vAlign w:val="center"/>
          </w:tcPr>
          <w:p w14:paraId="3B62E9A7" w14:textId="77777777" w:rsidR="00DF4478" w:rsidRPr="00A858C4" w:rsidRDefault="00DF4478" w:rsidP="00DF4478">
            <w:pPr>
              <w:spacing w:before="20" w:after="20"/>
              <w:jc w:val="right"/>
              <w:rPr>
                <w:noProof/>
                <w:sz w:val="20"/>
              </w:rPr>
            </w:pPr>
          </w:p>
        </w:tc>
        <w:tc>
          <w:tcPr>
            <w:tcW w:w="868" w:type="dxa"/>
            <w:vAlign w:val="center"/>
          </w:tcPr>
          <w:p w14:paraId="5CAA88CD" w14:textId="77777777" w:rsidR="00DF4478" w:rsidRPr="00A858C4" w:rsidRDefault="00DF4478" w:rsidP="00DF4478">
            <w:pPr>
              <w:spacing w:before="20" w:after="20"/>
              <w:jc w:val="right"/>
              <w:rPr>
                <w:noProof/>
                <w:sz w:val="20"/>
              </w:rPr>
            </w:pPr>
          </w:p>
        </w:tc>
        <w:tc>
          <w:tcPr>
            <w:tcW w:w="868" w:type="dxa"/>
            <w:vAlign w:val="center"/>
          </w:tcPr>
          <w:p w14:paraId="154F1836" w14:textId="77777777" w:rsidR="00DF4478" w:rsidRPr="00A858C4" w:rsidRDefault="00DF4478" w:rsidP="00DF4478">
            <w:pPr>
              <w:spacing w:before="20" w:after="20"/>
              <w:jc w:val="right"/>
              <w:rPr>
                <w:noProof/>
                <w:sz w:val="20"/>
              </w:rPr>
            </w:pPr>
          </w:p>
        </w:tc>
        <w:tc>
          <w:tcPr>
            <w:tcW w:w="868" w:type="dxa"/>
            <w:vAlign w:val="center"/>
          </w:tcPr>
          <w:p w14:paraId="16608D23" w14:textId="77777777" w:rsidR="00DF4478" w:rsidRPr="00A858C4" w:rsidRDefault="00DF4478" w:rsidP="00DF4478">
            <w:pPr>
              <w:spacing w:before="20" w:after="20"/>
              <w:jc w:val="right"/>
              <w:rPr>
                <w:noProof/>
                <w:sz w:val="20"/>
              </w:rPr>
            </w:pPr>
          </w:p>
        </w:tc>
        <w:tc>
          <w:tcPr>
            <w:tcW w:w="868" w:type="dxa"/>
            <w:vAlign w:val="center"/>
          </w:tcPr>
          <w:p w14:paraId="11133010" w14:textId="77777777" w:rsidR="00DF4478" w:rsidRPr="00A858C4" w:rsidRDefault="00DF4478" w:rsidP="00DF4478">
            <w:pPr>
              <w:spacing w:before="20" w:after="20"/>
              <w:jc w:val="right"/>
              <w:rPr>
                <w:noProof/>
                <w:sz w:val="20"/>
              </w:rPr>
            </w:pPr>
          </w:p>
        </w:tc>
        <w:tc>
          <w:tcPr>
            <w:tcW w:w="868" w:type="dxa"/>
            <w:vAlign w:val="center"/>
          </w:tcPr>
          <w:p w14:paraId="2827A011" w14:textId="77777777" w:rsidR="00DF4478" w:rsidRPr="00A858C4" w:rsidRDefault="00DF4478" w:rsidP="00DF4478">
            <w:pPr>
              <w:spacing w:before="20" w:after="20"/>
              <w:jc w:val="right"/>
              <w:rPr>
                <w:b/>
                <w:noProof/>
                <w:sz w:val="20"/>
              </w:rPr>
            </w:pPr>
          </w:p>
        </w:tc>
        <w:tc>
          <w:tcPr>
            <w:tcW w:w="1777" w:type="dxa"/>
            <w:vAlign w:val="center"/>
          </w:tcPr>
          <w:p w14:paraId="1334863E" w14:textId="77777777" w:rsidR="00DF4478" w:rsidRPr="00A858C4" w:rsidRDefault="00DF4478" w:rsidP="00DF4478">
            <w:pPr>
              <w:spacing w:before="20" w:after="20"/>
              <w:jc w:val="right"/>
              <w:rPr>
                <w:b/>
                <w:noProof/>
                <w:sz w:val="20"/>
              </w:rPr>
            </w:pPr>
          </w:p>
        </w:tc>
      </w:tr>
      <w:tr w:rsidR="00DF4478" w:rsidRPr="00A858C4" w14:paraId="6208B6D7" w14:textId="77777777" w:rsidTr="005D1D40">
        <w:tc>
          <w:tcPr>
            <w:tcW w:w="3960" w:type="dxa"/>
            <w:vMerge/>
          </w:tcPr>
          <w:p w14:paraId="0CD1F7B1" w14:textId="77777777" w:rsidR="00DF4478" w:rsidRPr="00A858C4" w:rsidRDefault="00DF4478" w:rsidP="00DF4478">
            <w:pPr>
              <w:jc w:val="center"/>
              <w:rPr>
                <w:noProof/>
                <w:sz w:val="20"/>
              </w:rPr>
            </w:pPr>
          </w:p>
        </w:tc>
        <w:tc>
          <w:tcPr>
            <w:tcW w:w="1440" w:type="dxa"/>
            <w:vAlign w:val="center"/>
          </w:tcPr>
          <w:p w14:paraId="6E17EA49" w14:textId="77777777" w:rsidR="00DF4478" w:rsidRPr="00A858C4" w:rsidRDefault="00DF4478" w:rsidP="00DF4478">
            <w:pPr>
              <w:spacing w:beforeLines="20" w:before="48" w:afterLines="20" w:after="48"/>
              <w:rPr>
                <w:noProof/>
                <w:sz w:val="18"/>
              </w:rPr>
            </w:pPr>
            <w:r w:rsidRPr="00A858C4">
              <w:rPr>
                <w:noProof/>
                <w:sz w:val="18"/>
              </w:rPr>
              <w:t>Betalinger</w:t>
            </w:r>
          </w:p>
        </w:tc>
        <w:tc>
          <w:tcPr>
            <w:tcW w:w="654" w:type="dxa"/>
            <w:vAlign w:val="center"/>
          </w:tcPr>
          <w:p w14:paraId="2683DA13" w14:textId="77777777" w:rsidR="00DF4478" w:rsidRPr="00A858C4" w:rsidRDefault="00DF4478" w:rsidP="00DF4478">
            <w:pPr>
              <w:spacing w:beforeLines="20" w:before="48" w:afterLines="20" w:after="48"/>
              <w:jc w:val="center"/>
              <w:rPr>
                <w:noProof/>
                <w:sz w:val="14"/>
              </w:rPr>
            </w:pPr>
            <w:r w:rsidRPr="00A858C4">
              <w:rPr>
                <w:noProof/>
                <w:sz w:val="14"/>
              </w:rPr>
              <w:t>(5)</w:t>
            </w:r>
          </w:p>
        </w:tc>
        <w:tc>
          <w:tcPr>
            <w:tcW w:w="868" w:type="dxa"/>
            <w:vAlign w:val="center"/>
          </w:tcPr>
          <w:p w14:paraId="2B51BF94" w14:textId="77777777" w:rsidR="00DF4478" w:rsidRPr="00A858C4" w:rsidRDefault="00DF4478" w:rsidP="00DF4478">
            <w:pPr>
              <w:spacing w:before="20" w:after="20"/>
              <w:jc w:val="right"/>
              <w:rPr>
                <w:noProof/>
                <w:sz w:val="20"/>
              </w:rPr>
            </w:pPr>
          </w:p>
        </w:tc>
        <w:tc>
          <w:tcPr>
            <w:tcW w:w="868" w:type="dxa"/>
            <w:vAlign w:val="center"/>
          </w:tcPr>
          <w:p w14:paraId="7A2F5ED6" w14:textId="77777777" w:rsidR="00DF4478" w:rsidRPr="00A858C4" w:rsidRDefault="00DF4478" w:rsidP="00DF4478">
            <w:pPr>
              <w:spacing w:before="20" w:after="20"/>
              <w:jc w:val="right"/>
              <w:rPr>
                <w:noProof/>
                <w:sz w:val="20"/>
              </w:rPr>
            </w:pPr>
          </w:p>
        </w:tc>
        <w:tc>
          <w:tcPr>
            <w:tcW w:w="868" w:type="dxa"/>
            <w:vAlign w:val="center"/>
          </w:tcPr>
          <w:p w14:paraId="0656424A" w14:textId="77777777" w:rsidR="00DF4478" w:rsidRPr="00A858C4" w:rsidRDefault="00DF4478" w:rsidP="00DF4478">
            <w:pPr>
              <w:spacing w:before="20" w:after="20"/>
              <w:jc w:val="right"/>
              <w:rPr>
                <w:noProof/>
                <w:sz w:val="20"/>
              </w:rPr>
            </w:pPr>
          </w:p>
        </w:tc>
        <w:tc>
          <w:tcPr>
            <w:tcW w:w="868" w:type="dxa"/>
            <w:vAlign w:val="center"/>
          </w:tcPr>
          <w:p w14:paraId="3639BED1" w14:textId="77777777" w:rsidR="00DF4478" w:rsidRPr="00A858C4" w:rsidRDefault="00DF4478" w:rsidP="00DF4478">
            <w:pPr>
              <w:spacing w:before="20" w:after="20"/>
              <w:jc w:val="right"/>
              <w:rPr>
                <w:noProof/>
                <w:sz w:val="20"/>
              </w:rPr>
            </w:pPr>
          </w:p>
        </w:tc>
        <w:tc>
          <w:tcPr>
            <w:tcW w:w="868" w:type="dxa"/>
            <w:vAlign w:val="center"/>
          </w:tcPr>
          <w:p w14:paraId="605A18AA" w14:textId="77777777" w:rsidR="00DF4478" w:rsidRPr="00A858C4" w:rsidRDefault="00DF4478" w:rsidP="00DF4478">
            <w:pPr>
              <w:spacing w:before="20" w:after="20"/>
              <w:jc w:val="right"/>
              <w:rPr>
                <w:noProof/>
                <w:sz w:val="20"/>
              </w:rPr>
            </w:pPr>
          </w:p>
        </w:tc>
        <w:tc>
          <w:tcPr>
            <w:tcW w:w="868" w:type="dxa"/>
            <w:vAlign w:val="center"/>
          </w:tcPr>
          <w:p w14:paraId="7B710932" w14:textId="77777777" w:rsidR="00DF4478" w:rsidRPr="00A858C4" w:rsidRDefault="00DF4478" w:rsidP="00DF4478">
            <w:pPr>
              <w:spacing w:before="20" w:after="20"/>
              <w:jc w:val="right"/>
              <w:rPr>
                <w:noProof/>
                <w:sz w:val="20"/>
              </w:rPr>
            </w:pPr>
          </w:p>
        </w:tc>
        <w:tc>
          <w:tcPr>
            <w:tcW w:w="868" w:type="dxa"/>
            <w:vAlign w:val="center"/>
          </w:tcPr>
          <w:p w14:paraId="3A7AC265" w14:textId="77777777" w:rsidR="00DF4478" w:rsidRPr="00A858C4" w:rsidRDefault="00DF4478" w:rsidP="00DF4478">
            <w:pPr>
              <w:spacing w:before="20" w:after="20"/>
              <w:jc w:val="right"/>
              <w:rPr>
                <w:b/>
                <w:noProof/>
                <w:sz w:val="20"/>
              </w:rPr>
            </w:pPr>
          </w:p>
        </w:tc>
        <w:tc>
          <w:tcPr>
            <w:tcW w:w="1777" w:type="dxa"/>
            <w:vAlign w:val="center"/>
          </w:tcPr>
          <w:p w14:paraId="128060A8" w14:textId="77777777" w:rsidR="00DF4478" w:rsidRPr="00A858C4" w:rsidRDefault="00DF4478" w:rsidP="00DF4478">
            <w:pPr>
              <w:spacing w:before="20" w:after="20"/>
              <w:jc w:val="right"/>
              <w:rPr>
                <w:b/>
                <w:noProof/>
                <w:sz w:val="20"/>
              </w:rPr>
            </w:pPr>
          </w:p>
        </w:tc>
      </w:tr>
      <w:tr w:rsidR="00DF4478" w:rsidRPr="00A858C4" w14:paraId="230A426B" w14:textId="77777777" w:rsidTr="005D1D40">
        <w:trPr>
          <w:trHeight w:val="533"/>
        </w:trPr>
        <w:tc>
          <w:tcPr>
            <w:tcW w:w="5400" w:type="dxa"/>
            <w:gridSpan w:val="2"/>
            <w:vAlign w:val="center"/>
          </w:tcPr>
          <w:p w14:paraId="035B3D96" w14:textId="77777777" w:rsidR="00DF4478" w:rsidRPr="00A858C4" w:rsidRDefault="00DF4478" w:rsidP="00DF4478">
            <w:pPr>
              <w:spacing w:beforeLines="20" w:before="48" w:afterLines="20" w:after="48"/>
              <w:rPr>
                <w:noProof/>
              </w:rPr>
            </w:pPr>
            <w:r w:rsidRPr="00A858C4">
              <w:rPr>
                <w:noProof/>
                <w:sz w:val="21"/>
              </w:rPr>
              <w:sym w:font="Wingdings" w:char="F09F"/>
            </w:r>
            <w:r w:rsidRPr="00A858C4">
              <w:rPr>
                <w:noProof/>
                <w:sz w:val="21"/>
              </w:rPr>
              <w:t xml:space="preserve">Administrationsbevillinger finansieret over bevillingsrammen for særprogrammer I ALT </w:t>
            </w:r>
          </w:p>
        </w:tc>
        <w:tc>
          <w:tcPr>
            <w:tcW w:w="654" w:type="dxa"/>
            <w:vAlign w:val="center"/>
          </w:tcPr>
          <w:p w14:paraId="5E56510C" w14:textId="77777777" w:rsidR="00DF4478" w:rsidRPr="00A858C4" w:rsidRDefault="00DF4478" w:rsidP="00DF4478">
            <w:pPr>
              <w:spacing w:beforeLines="20" w:before="48" w:afterLines="20" w:after="48"/>
              <w:jc w:val="center"/>
              <w:rPr>
                <w:noProof/>
                <w:sz w:val="14"/>
              </w:rPr>
            </w:pPr>
            <w:r w:rsidRPr="00A858C4">
              <w:rPr>
                <w:noProof/>
                <w:sz w:val="14"/>
              </w:rPr>
              <w:t>(6)</w:t>
            </w:r>
          </w:p>
        </w:tc>
        <w:tc>
          <w:tcPr>
            <w:tcW w:w="868" w:type="dxa"/>
            <w:vAlign w:val="center"/>
          </w:tcPr>
          <w:p w14:paraId="307023FC" w14:textId="77777777" w:rsidR="00DF4478" w:rsidRPr="00A858C4" w:rsidRDefault="00DF4478" w:rsidP="00DF4478">
            <w:pPr>
              <w:spacing w:before="20" w:after="20"/>
              <w:jc w:val="right"/>
              <w:rPr>
                <w:b/>
                <w:noProof/>
                <w:sz w:val="20"/>
              </w:rPr>
            </w:pPr>
          </w:p>
        </w:tc>
        <w:tc>
          <w:tcPr>
            <w:tcW w:w="868" w:type="dxa"/>
            <w:vAlign w:val="center"/>
          </w:tcPr>
          <w:p w14:paraId="5921403B" w14:textId="77777777" w:rsidR="00DF4478" w:rsidRPr="00A858C4" w:rsidRDefault="00DF4478" w:rsidP="00DF4478">
            <w:pPr>
              <w:spacing w:before="20" w:after="20"/>
              <w:jc w:val="right"/>
              <w:rPr>
                <w:b/>
                <w:noProof/>
                <w:sz w:val="20"/>
              </w:rPr>
            </w:pPr>
          </w:p>
        </w:tc>
        <w:tc>
          <w:tcPr>
            <w:tcW w:w="868" w:type="dxa"/>
            <w:vAlign w:val="center"/>
          </w:tcPr>
          <w:p w14:paraId="6BA9EE6C" w14:textId="77777777" w:rsidR="00DF4478" w:rsidRPr="00A858C4" w:rsidRDefault="00DF4478" w:rsidP="00DF4478">
            <w:pPr>
              <w:spacing w:before="20" w:after="20"/>
              <w:jc w:val="right"/>
              <w:rPr>
                <w:b/>
                <w:noProof/>
                <w:sz w:val="20"/>
              </w:rPr>
            </w:pPr>
          </w:p>
        </w:tc>
        <w:tc>
          <w:tcPr>
            <w:tcW w:w="868" w:type="dxa"/>
            <w:vAlign w:val="center"/>
          </w:tcPr>
          <w:p w14:paraId="712CA103" w14:textId="77777777" w:rsidR="00DF4478" w:rsidRPr="00A858C4" w:rsidRDefault="00DF4478" w:rsidP="00DF4478">
            <w:pPr>
              <w:spacing w:before="20" w:after="20"/>
              <w:jc w:val="right"/>
              <w:rPr>
                <w:b/>
                <w:noProof/>
                <w:sz w:val="20"/>
              </w:rPr>
            </w:pPr>
          </w:p>
        </w:tc>
        <w:tc>
          <w:tcPr>
            <w:tcW w:w="868" w:type="dxa"/>
            <w:vAlign w:val="center"/>
          </w:tcPr>
          <w:p w14:paraId="5829F2FD" w14:textId="77777777" w:rsidR="00DF4478" w:rsidRPr="00A858C4" w:rsidRDefault="00DF4478" w:rsidP="00DF4478">
            <w:pPr>
              <w:spacing w:before="20" w:after="20"/>
              <w:jc w:val="right"/>
              <w:rPr>
                <w:b/>
                <w:noProof/>
                <w:sz w:val="20"/>
              </w:rPr>
            </w:pPr>
          </w:p>
        </w:tc>
        <w:tc>
          <w:tcPr>
            <w:tcW w:w="868" w:type="dxa"/>
            <w:vAlign w:val="center"/>
          </w:tcPr>
          <w:p w14:paraId="5C5BBA56" w14:textId="77777777" w:rsidR="00DF4478" w:rsidRPr="00A858C4" w:rsidRDefault="00DF4478" w:rsidP="00DF4478">
            <w:pPr>
              <w:spacing w:before="20" w:after="20"/>
              <w:jc w:val="right"/>
              <w:rPr>
                <w:b/>
                <w:noProof/>
                <w:sz w:val="20"/>
              </w:rPr>
            </w:pPr>
          </w:p>
        </w:tc>
        <w:tc>
          <w:tcPr>
            <w:tcW w:w="868" w:type="dxa"/>
            <w:vAlign w:val="center"/>
          </w:tcPr>
          <w:p w14:paraId="46085AB2" w14:textId="77777777" w:rsidR="00DF4478" w:rsidRPr="00A858C4" w:rsidRDefault="00DF4478" w:rsidP="00DF4478">
            <w:pPr>
              <w:spacing w:before="20" w:after="20"/>
              <w:jc w:val="right"/>
              <w:rPr>
                <w:b/>
                <w:noProof/>
                <w:sz w:val="20"/>
              </w:rPr>
            </w:pPr>
          </w:p>
        </w:tc>
        <w:tc>
          <w:tcPr>
            <w:tcW w:w="1777" w:type="dxa"/>
            <w:vAlign w:val="center"/>
          </w:tcPr>
          <w:p w14:paraId="498C3641" w14:textId="77777777" w:rsidR="00DF4478" w:rsidRPr="00A858C4" w:rsidRDefault="00DF4478" w:rsidP="00DF4478">
            <w:pPr>
              <w:spacing w:before="20" w:after="20"/>
              <w:jc w:val="right"/>
              <w:rPr>
                <w:b/>
                <w:noProof/>
                <w:sz w:val="20"/>
              </w:rPr>
            </w:pPr>
          </w:p>
        </w:tc>
      </w:tr>
      <w:tr w:rsidR="00DF4478" w:rsidRPr="00A858C4" w14:paraId="065FCDC4" w14:textId="77777777" w:rsidTr="005D1D40">
        <w:tc>
          <w:tcPr>
            <w:tcW w:w="3960" w:type="dxa"/>
            <w:vMerge w:val="restart"/>
            <w:shd w:val="thinDiagStripe" w:color="C0C0C0" w:fill="auto"/>
            <w:vAlign w:val="center"/>
          </w:tcPr>
          <w:p w14:paraId="5BA2BE70" w14:textId="77777777" w:rsidR="00DF4478" w:rsidRPr="00A858C4" w:rsidRDefault="00DF4478" w:rsidP="00DF4478">
            <w:pPr>
              <w:jc w:val="center"/>
              <w:rPr>
                <w:b/>
                <w:noProof/>
              </w:rPr>
            </w:pPr>
            <w:r w:rsidRPr="00A858C4">
              <w:rPr>
                <w:b/>
                <w:noProof/>
                <w:sz w:val="22"/>
              </w:rPr>
              <w:t xml:space="preserve">Bevillinger I ALT </w:t>
            </w:r>
            <w:r w:rsidRPr="00A858C4">
              <w:rPr>
                <w:noProof/>
                <w:sz w:val="22"/>
              </w:rPr>
              <w:br/>
            </w:r>
            <w:r w:rsidRPr="00A858C4">
              <w:rPr>
                <w:b/>
                <w:noProof/>
                <w:sz w:val="22"/>
              </w:rPr>
              <w:t>under UDGIFTSOMRÅDE &lt;….&gt;</w:t>
            </w:r>
            <w:r w:rsidRPr="00A858C4">
              <w:rPr>
                <w:noProof/>
                <w:sz w:val="22"/>
              </w:rPr>
              <w:br/>
              <w:t>i den flerårige finansielle ramme</w:t>
            </w:r>
          </w:p>
        </w:tc>
        <w:tc>
          <w:tcPr>
            <w:tcW w:w="1440" w:type="dxa"/>
            <w:vAlign w:val="center"/>
          </w:tcPr>
          <w:p w14:paraId="0D70B80A" w14:textId="77777777" w:rsidR="00DF4478" w:rsidRPr="00A858C4" w:rsidRDefault="00DF4478" w:rsidP="00DF4478">
            <w:pPr>
              <w:rPr>
                <w:noProof/>
                <w:sz w:val="18"/>
              </w:rPr>
            </w:pPr>
            <w:r w:rsidRPr="00A858C4">
              <w:rPr>
                <w:noProof/>
                <w:sz w:val="18"/>
              </w:rPr>
              <w:t>Forpligtelser</w:t>
            </w:r>
          </w:p>
        </w:tc>
        <w:tc>
          <w:tcPr>
            <w:tcW w:w="654" w:type="dxa"/>
            <w:vAlign w:val="center"/>
          </w:tcPr>
          <w:p w14:paraId="385119F2" w14:textId="77777777" w:rsidR="00DF4478" w:rsidRPr="00A858C4" w:rsidRDefault="00DF4478" w:rsidP="00DF4478">
            <w:pPr>
              <w:jc w:val="center"/>
              <w:rPr>
                <w:noProof/>
                <w:sz w:val="14"/>
              </w:rPr>
            </w:pPr>
            <w:r w:rsidRPr="00A858C4">
              <w:rPr>
                <w:noProof/>
                <w:sz w:val="14"/>
              </w:rPr>
              <w:t>=4+6</w:t>
            </w:r>
          </w:p>
        </w:tc>
        <w:tc>
          <w:tcPr>
            <w:tcW w:w="868" w:type="dxa"/>
            <w:vAlign w:val="center"/>
          </w:tcPr>
          <w:p w14:paraId="1A5D293D" w14:textId="77777777" w:rsidR="00DF4478" w:rsidRPr="00A858C4" w:rsidRDefault="00DF4478" w:rsidP="00DF4478">
            <w:pPr>
              <w:spacing w:before="20" w:after="20"/>
              <w:jc w:val="right"/>
              <w:rPr>
                <w:noProof/>
                <w:sz w:val="20"/>
              </w:rPr>
            </w:pPr>
          </w:p>
        </w:tc>
        <w:tc>
          <w:tcPr>
            <w:tcW w:w="868" w:type="dxa"/>
            <w:vAlign w:val="center"/>
          </w:tcPr>
          <w:p w14:paraId="0303D837" w14:textId="77777777" w:rsidR="00DF4478" w:rsidRPr="00A858C4" w:rsidRDefault="00DF4478" w:rsidP="00DF4478">
            <w:pPr>
              <w:spacing w:before="20" w:after="20"/>
              <w:jc w:val="right"/>
              <w:rPr>
                <w:noProof/>
                <w:sz w:val="20"/>
              </w:rPr>
            </w:pPr>
          </w:p>
        </w:tc>
        <w:tc>
          <w:tcPr>
            <w:tcW w:w="868" w:type="dxa"/>
            <w:vAlign w:val="center"/>
          </w:tcPr>
          <w:p w14:paraId="458A5B4B" w14:textId="77777777" w:rsidR="00DF4478" w:rsidRPr="00A858C4" w:rsidRDefault="00DF4478" w:rsidP="00DF4478">
            <w:pPr>
              <w:spacing w:before="20" w:after="20"/>
              <w:jc w:val="right"/>
              <w:rPr>
                <w:noProof/>
                <w:sz w:val="20"/>
              </w:rPr>
            </w:pPr>
          </w:p>
        </w:tc>
        <w:tc>
          <w:tcPr>
            <w:tcW w:w="868" w:type="dxa"/>
            <w:vAlign w:val="center"/>
          </w:tcPr>
          <w:p w14:paraId="67DD379E" w14:textId="77777777" w:rsidR="00DF4478" w:rsidRPr="00A858C4" w:rsidRDefault="00DF4478" w:rsidP="00DF4478">
            <w:pPr>
              <w:spacing w:before="20" w:after="20"/>
              <w:jc w:val="right"/>
              <w:rPr>
                <w:noProof/>
                <w:sz w:val="20"/>
              </w:rPr>
            </w:pPr>
          </w:p>
        </w:tc>
        <w:tc>
          <w:tcPr>
            <w:tcW w:w="868" w:type="dxa"/>
            <w:vAlign w:val="center"/>
          </w:tcPr>
          <w:p w14:paraId="2CABA468" w14:textId="77777777" w:rsidR="00DF4478" w:rsidRPr="00A858C4" w:rsidRDefault="00DF4478" w:rsidP="00DF4478">
            <w:pPr>
              <w:spacing w:before="20" w:after="20"/>
              <w:jc w:val="right"/>
              <w:rPr>
                <w:noProof/>
                <w:sz w:val="20"/>
              </w:rPr>
            </w:pPr>
          </w:p>
        </w:tc>
        <w:tc>
          <w:tcPr>
            <w:tcW w:w="868" w:type="dxa"/>
            <w:vAlign w:val="center"/>
          </w:tcPr>
          <w:p w14:paraId="4FCEF4DC" w14:textId="77777777" w:rsidR="00DF4478" w:rsidRPr="00A858C4" w:rsidRDefault="00DF4478" w:rsidP="00DF4478">
            <w:pPr>
              <w:spacing w:before="20" w:after="20"/>
              <w:jc w:val="right"/>
              <w:rPr>
                <w:noProof/>
                <w:sz w:val="20"/>
              </w:rPr>
            </w:pPr>
          </w:p>
        </w:tc>
        <w:tc>
          <w:tcPr>
            <w:tcW w:w="868" w:type="dxa"/>
            <w:vAlign w:val="center"/>
          </w:tcPr>
          <w:p w14:paraId="519475E9" w14:textId="77777777" w:rsidR="00DF4478" w:rsidRPr="00A858C4" w:rsidRDefault="00DF4478" w:rsidP="00DF4478">
            <w:pPr>
              <w:spacing w:before="20" w:after="20"/>
              <w:jc w:val="right"/>
              <w:rPr>
                <w:b/>
                <w:noProof/>
                <w:sz w:val="20"/>
              </w:rPr>
            </w:pPr>
          </w:p>
        </w:tc>
        <w:tc>
          <w:tcPr>
            <w:tcW w:w="1777" w:type="dxa"/>
            <w:vAlign w:val="center"/>
          </w:tcPr>
          <w:p w14:paraId="477C4B41" w14:textId="77777777" w:rsidR="00DF4478" w:rsidRPr="00A858C4" w:rsidRDefault="00DF4478" w:rsidP="00DF4478">
            <w:pPr>
              <w:spacing w:before="20" w:after="20"/>
              <w:jc w:val="right"/>
              <w:rPr>
                <w:b/>
                <w:noProof/>
                <w:sz w:val="20"/>
              </w:rPr>
            </w:pPr>
          </w:p>
        </w:tc>
      </w:tr>
      <w:tr w:rsidR="00DF4478" w:rsidRPr="00A858C4" w14:paraId="4C47BE7F" w14:textId="77777777" w:rsidTr="005D1D40">
        <w:tc>
          <w:tcPr>
            <w:tcW w:w="3960" w:type="dxa"/>
            <w:vMerge/>
            <w:shd w:val="thinDiagStripe" w:color="C0C0C0" w:fill="auto"/>
          </w:tcPr>
          <w:p w14:paraId="246580D1" w14:textId="77777777" w:rsidR="00DF4478" w:rsidRPr="00A858C4" w:rsidRDefault="00DF4478" w:rsidP="00DF4478">
            <w:pPr>
              <w:rPr>
                <w:noProof/>
                <w:sz w:val="20"/>
              </w:rPr>
            </w:pPr>
          </w:p>
        </w:tc>
        <w:tc>
          <w:tcPr>
            <w:tcW w:w="1440" w:type="dxa"/>
            <w:vAlign w:val="center"/>
          </w:tcPr>
          <w:p w14:paraId="650B96A2" w14:textId="77777777" w:rsidR="00DF4478" w:rsidRPr="00A858C4" w:rsidRDefault="00DF4478" w:rsidP="00DF4478">
            <w:pPr>
              <w:rPr>
                <w:noProof/>
                <w:sz w:val="18"/>
              </w:rPr>
            </w:pPr>
            <w:r w:rsidRPr="00A858C4">
              <w:rPr>
                <w:noProof/>
                <w:sz w:val="18"/>
              </w:rPr>
              <w:t>Betalinger</w:t>
            </w:r>
          </w:p>
        </w:tc>
        <w:tc>
          <w:tcPr>
            <w:tcW w:w="654" w:type="dxa"/>
            <w:vAlign w:val="center"/>
          </w:tcPr>
          <w:p w14:paraId="089EB459" w14:textId="77777777" w:rsidR="00DF4478" w:rsidRPr="00A858C4" w:rsidRDefault="00DF4478" w:rsidP="00DF4478">
            <w:pPr>
              <w:jc w:val="center"/>
              <w:rPr>
                <w:noProof/>
                <w:sz w:val="14"/>
              </w:rPr>
            </w:pPr>
            <w:r w:rsidRPr="00A858C4">
              <w:rPr>
                <w:noProof/>
                <w:sz w:val="14"/>
              </w:rPr>
              <w:t>=5+6</w:t>
            </w:r>
          </w:p>
        </w:tc>
        <w:tc>
          <w:tcPr>
            <w:tcW w:w="868" w:type="dxa"/>
            <w:vAlign w:val="center"/>
          </w:tcPr>
          <w:p w14:paraId="4B797899" w14:textId="77777777" w:rsidR="00DF4478" w:rsidRPr="00A858C4" w:rsidRDefault="00DF4478" w:rsidP="00DF4478">
            <w:pPr>
              <w:spacing w:before="20" w:after="20"/>
              <w:jc w:val="right"/>
              <w:rPr>
                <w:noProof/>
                <w:sz w:val="20"/>
              </w:rPr>
            </w:pPr>
          </w:p>
        </w:tc>
        <w:tc>
          <w:tcPr>
            <w:tcW w:w="868" w:type="dxa"/>
            <w:vAlign w:val="center"/>
          </w:tcPr>
          <w:p w14:paraId="0E145D40" w14:textId="77777777" w:rsidR="00DF4478" w:rsidRPr="00A858C4" w:rsidRDefault="00DF4478" w:rsidP="00DF4478">
            <w:pPr>
              <w:spacing w:before="20" w:after="20"/>
              <w:jc w:val="right"/>
              <w:rPr>
                <w:noProof/>
                <w:sz w:val="20"/>
              </w:rPr>
            </w:pPr>
          </w:p>
        </w:tc>
        <w:tc>
          <w:tcPr>
            <w:tcW w:w="868" w:type="dxa"/>
            <w:vAlign w:val="center"/>
          </w:tcPr>
          <w:p w14:paraId="3E4A27A8" w14:textId="77777777" w:rsidR="00DF4478" w:rsidRPr="00A858C4" w:rsidRDefault="00DF4478" w:rsidP="00DF4478">
            <w:pPr>
              <w:spacing w:before="20" w:after="20"/>
              <w:jc w:val="right"/>
              <w:rPr>
                <w:noProof/>
                <w:sz w:val="20"/>
              </w:rPr>
            </w:pPr>
          </w:p>
        </w:tc>
        <w:tc>
          <w:tcPr>
            <w:tcW w:w="868" w:type="dxa"/>
            <w:vAlign w:val="center"/>
          </w:tcPr>
          <w:p w14:paraId="3DE035D8" w14:textId="77777777" w:rsidR="00DF4478" w:rsidRPr="00A858C4" w:rsidRDefault="00DF4478" w:rsidP="00DF4478">
            <w:pPr>
              <w:spacing w:before="20" w:after="20"/>
              <w:jc w:val="right"/>
              <w:rPr>
                <w:noProof/>
                <w:sz w:val="20"/>
              </w:rPr>
            </w:pPr>
          </w:p>
        </w:tc>
        <w:tc>
          <w:tcPr>
            <w:tcW w:w="868" w:type="dxa"/>
            <w:vAlign w:val="center"/>
          </w:tcPr>
          <w:p w14:paraId="5D7E62D4" w14:textId="77777777" w:rsidR="00DF4478" w:rsidRPr="00A858C4" w:rsidRDefault="00DF4478" w:rsidP="00DF4478">
            <w:pPr>
              <w:spacing w:before="20" w:after="20"/>
              <w:jc w:val="right"/>
              <w:rPr>
                <w:noProof/>
                <w:sz w:val="20"/>
              </w:rPr>
            </w:pPr>
          </w:p>
        </w:tc>
        <w:tc>
          <w:tcPr>
            <w:tcW w:w="868" w:type="dxa"/>
            <w:vAlign w:val="center"/>
          </w:tcPr>
          <w:p w14:paraId="54A2442B" w14:textId="77777777" w:rsidR="00DF4478" w:rsidRPr="00A858C4" w:rsidRDefault="00DF4478" w:rsidP="00DF4478">
            <w:pPr>
              <w:spacing w:before="20" w:after="20"/>
              <w:jc w:val="right"/>
              <w:rPr>
                <w:noProof/>
                <w:sz w:val="20"/>
              </w:rPr>
            </w:pPr>
          </w:p>
        </w:tc>
        <w:tc>
          <w:tcPr>
            <w:tcW w:w="868" w:type="dxa"/>
            <w:vAlign w:val="center"/>
          </w:tcPr>
          <w:p w14:paraId="701E07B3" w14:textId="77777777" w:rsidR="00DF4478" w:rsidRPr="00A858C4" w:rsidRDefault="00DF4478" w:rsidP="00DF4478">
            <w:pPr>
              <w:spacing w:before="20" w:after="20"/>
              <w:jc w:val="right"/>
              <w:rPr>
                <w:b/>
                <w:noProof/>
                <w:sz w:val="20"/>
              </w:rPr>
            </w:pPr>
          </w:p>
        </w:tc>
        <w:tc>
          <w:tcPr>
            <w:tcW w:w="1777" w:type="dxa"/>
            <w:vAlign w:val="center"/>
          </w:tcPr>
          <w:p w14:paraId="4B1A5550" w14:textId="77777777" w:rsidR="00DF4478" w:rsidRPr="00A858C4" w:rsidRDefault="00DF4478" w:rsidP="00DF4478">
            <w:pPr>
              <w:spacing w:before="20" w:after="20"/>
              <w:jc w:val="right"/>
              <w:rPr>
                <w:b/>
                <w:noProof/>
                <w:sz w:val="20"/>
              </w:rPr>
            </w:pPr>
          </w:p>
        </w:tc>
      </w:tr>
    </w:tbl>
    <w:p w14:paraId="7763DF35" w14:textId="77777777" w:rsidR="00DF4478" w:rsidRPr="00A858C4" w:rsidRDefault="00DF4478" w:rsidP="00DF4478">
      <w:pPr>
        <w:spacing w:after="40"/>
        <w:rPr>
          <w:b/>
          <w:noProof/>
          <w:sz w:val="22"/>
          <w:u w:val="single"/>
        </w:rPr>
      </w:pPr>
      <w:r w:rsidRPr="00A858C4">
        <w:rPr>
          <w:b/>
          <w:noProof/>
          <w:sz w:val="22"/>
          <w:u w:val="single"/>
        </w:rPr>
        <w:t>Hvis flere aktionsrelaterede udgiftsområder berøres af forslaget/initiativet, indsættes der et tilsvarende afsnit for hvert udgiftsområde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DF4478" w:rsidRPr="00A858C4" w14:paraId="026616F7" w14:textId="77777777" w:rsidTr="005D1D40">
        <w:trPr>
          <w:trHeight w:val="277"/>
        </w:trPr>
        <w:tc>
          <w:tcPr>
            <w:tcW w:w="3960" w:type="dxa"/>
            <w:vMerge w:val="restart"/>
            <w:tcBorders>
              <w:top w:val="single" w:sz="4" w:space="0" w:color="auto"/>
              <w:left w:val="single" w:sz="4" w:space="0" w:color="auto"/>
              <w:bottom w:val="single" w:sz="4" w:space="0" w:color="FF0000"/>
            </w:tcBorders>
            <w:vAlign w:val="center"/>
          </w:tcPr>
          <w:p w14:paraId="4D76E29F" w14:textId="77777777" w:rsidR="00DF4478" w:rsidRPr="00A858C4" w:rsidRDefault="00DF4478" w:rsidP="00DF4478">
            <w:pPr>
              <w:spacing w:before="20" w:after="20"/>
              <w:rPr>
                <w:noProof/>
              </w:rPr>
            </w:pPr>
            <w:r w:rsidRPr="00A858C4">
              <w:rPr>
                <w:noProof/>
                <w:sz w:val="21"/>
              </w:rPr>
              <w:sym w:font="Wingdings" w:char="F09F"/>
            </w:r>
            <w:r w:rsidRPr="00A858C4">
              <w:rPr>
                <w:noProof/>
                <w:sz w:val="21"/>
              </w:rPr>
              <w:t xml:space="preserve"> Aktionsbevillinger I ALT (alle aktionsrelaterede udgiftsområder)</w:t>
            </w:r>
          </w:p>
        </w:tc>
        <w:tc>
          <w:tcPr>
            <w:tcW w:w="1440" w:type="dxa"/>
            <w:tcBorders>
              <w:top w:val="single" w:sz="4" w:space="0" w:color="auto"/>
            </w:tcBorders>
            <w:vAlign w:val="center"/>
          </w:tcPr>
          <w:p w14:paraId="64E0DD07" w14:textId="77777777" w:rsidR="00DF4478" w:rsidRPr="00A858C4" w:rsidRDefault="00DF4478" w:rsidP="00DF4478">
            <w:pPr>
              <w:spacing w:beforeLines="20" w:before="48" w:afterLines="20" w:after="48"/>
              <w:rPr>
                <w:noProof/>
                <w:sz w:val="18"/>
              </w:rPr>
            </w:pPr>
            <w:r w:rsidRPr="00A858C4">
              <w:rPr>
                <w:noProof/>
                <w:sz w:val="18"/>
              </w:rPr>
              <w:t>Forpligtelser</w:t>
            </w:r>
          </w:p>
        </w:tc>
        <w:tc>
          <w:tcPr>
            <w:tcW w:w="654" w:type="dxa"/>
            <w:tcBorders>
              <w:top w:val="single" w:sz="4" w:space="0" w:color="auto"/>
            </w:tcBorders>
            <w:vAlign w:val="center"/>
          </w:tcPr>
          <w:p w14:paraId="218C4BA2" w14:textId="77777777" w:rsidR="00DF4478" w:rsidRPr="00A858C4" w:rsidRDefault="00DF4478" w:rsidP="00DF4478">
            <w:pPr>
              <w:spacing w:beforeLines="20" w:before="48" w:afterLines="20" w:after="48"/>
              <w:jc w:val="center"/>
              <w:rPr>
                <w:noProof/>
                <w:sz w:val="14"/>
              </w:rPr>
            </w:pPr>
            <w:r w:rsidRPr="00A858C4">
              <w:rPr>
                <w:noProof/>
                <w:sz w:val="14"/>
              </w:rPr>
              <w:t>(4)</w:t>
            </w:r>
          </w:p>
        </w:tc>
        <w:tc>
          <w:tcPr>
            <w:tcW w:w="868" w:type="dxa"/>
            <w:tcBorders>
              <w:top w:val="single" w:sz="4" w:space="0" w:color="auto"/>
            </w:tcBorders>
            <w:vAlign w:val="center"/>
          </w:tcPr>
          <w:p w14:paraId="1E3E4385" w14:textId="77777777" w:rsidR="00DF4478" w:rsidRPr="00A858C4" w:rsidRDefault="00DF4478" w:rsidP="00DF4478">
            <w:pPr>
              <w:spacing w:before="20" w:after="20"/>
              <w:jc w:val="right"/>
              <w:rPr>
                <w:noProof/>
                <w:sz w:val="20"/>
              </w:rPr>
            </w:pPr>
          </w:p>
        </w:tc>
        <w:tc>
          <w:tcPr>
            <w:tcW w:w="868" w:type="dxa"/>
            <w:tcBorders>
              <w:top w:val="single" w:sz="4" w:space="0" w:color="auto"/>
            </w:tcBorders>
            <w:vAlign w:val="center"/>
          </w:tcPr>
          <w:p w14:paraId="55B10B99" w14:textId="77777777" w:rsidR="00DF4478" w:rsidRPr="00A858C4" w:rsidRDefault="00DF4478" w:rsidP="00DF4478">
            <w:pPr>
              <w:spacing w:before="20" w:after="20"/>
              <w:jc w:val="right"/>
              <w:rPr>
                <w:noProof/>
                <w:sz w:val="20"/>
              </w:rPr>
            </w:pPr>
          </w:p>
        </w:tc>
        <w:tc>
          <w:tcPr>
            <w:tcW w:w="868" w:type="dxa"/>
            <w:tcBorders>
              <w:top w:val="single" w:sz="4" w:space="0" w:color="auto"/>
            </w:tcBorders>
            <w:vAlign w:val="center"/>
          </w:tcPr>
          <w:p w14:paraId="0416D4F6" w14:textId="77777777" w:rsidR="00DF4478" w:rsidRPr="00A858C4" w:rsidRDefault="00DF4478" w:rsidP="00DF4478">
            <w:pPr>
              <w:spacing w:before="20" w:after="20"/>
              <w:jc w:val="right"/>
              <w:rPr>
                <w:noProof/>
                <w:sz w:val="20"/>
              </w:rPr>
            </w:pPr>
          </w:p>
        </w:tc>
        <w:tc>
          <w:tcPr>
            <w:tcW w:w="868" w:type="dxa"/>
            <w:tcBorders>
              <w:top w:val="single" w:sz="4" w:space="0" w:color="auto"/>
            </w:tcBorders>
            <w:vAlign w:val="center"/>
          </w:tcPr>
          <w:p w14:paraId="7AF495D0" w14:textId="77777777" w:rsidR="00DF4478" w:rsidRPr="00A858C4" w:rsidRDefault="00DF4478" w:rsidP="00DF4478">
            <w:pPr>
              <w:spacing w:before="20" w:after="20"/>
              <w:jc w:val="right"/>
              <w:rPr>
                <w:noProof/>
                <w:sz w:val="20"/>
              </w:rPr>
            </w:pPr>
          </w:p>
        </w:tc>
        <w:tc>
          <w:tcPr>
            <w:tcW w:w="868" w:type="dxa"/>
            <w:tcBorders>
              <w:top w:val="single" w:sz="4" w:space="0" w:color="auto"/>
            </w:tcBorders>
            <w:vAlign w:val="center"/>
          </w:tcPr>
          <w:p w14:paraId="14245276" w14:textId="77777777" w:rsidR="00DF4478" w:rsidRPr="00A858C4" w:rsidRDefault="00DF4478" w:rsidP="00DF4478">
            <w:pPr>
              <w:spacing w:before="20" w:after="20"/>
              <w:jc w:val="right"/>
              <w:rPr>
                <w:noProof/>
                <w:sz w:val="20"/>
              </w:rPr>
            </w:pPr>
          </w:p>
        </w:tc>
        <w:tc>
          <w:tcPr>
            <w:tcW w:w="868" w:type="dxa"/>
            <w:tcBorders>
              <w:top w:val="single" w:sz="4" w:space="0" w:color="auto"/>
            </w:tcBorders>
            <w:vAlign w:val="center"/>
          </w:tcPr>
          <w:p w14:paraId="507C431F" w14:textId="77777777" w:rsidR="00DF4478" w:rsidRPr="00A858C4" w:rsidRDefault="00DF4478" w:rsidP="00DF4478">
            <w:pPr>
              <w:spacing w:before="20" w:after="20"/>
              <w:jc w:val="right"/>
              <w:rPr>
                <w:noProof/>
                <w:sz w:val="20"/>
              </w:rPr>
            </w:pPr>
          </w:p>
        </w:tc>
        <w:tc>
          <w:tcPr>
            <w:tcW w:w="868" w:type="dxa"/>
            <w:tcBorders>
              <w:top w:val="single" w:sz="4" w:space="0" w:color="auto"/>
            </w:tcBorders>
            <w:vAlign w:val="center"/>
          </w:tcPr>
          <w:p w14:paraId="4A27D653" w14:textId="77777777" w:rsidR="00DF4478" w:rsidRPr="00A858C4" w:rsidRDefault="00DF4478" w:rsidP="00DF4478">
            <w:pPr>
              <w:spacing w:before="20" w:after="20"/>
              <w:jc w:val="right"/>
              <w:rPr>
                <w:b/>
                <w:noProof/>
                <w:sz w:val="20"/>
              </w:rPr>
            </w:pPr>
          </w:p>
        </w:tc>
        <w:tc>
          <w:tcPr>
            <w:tcW w:w="1777" w:type="dxa"/>
            <w:tcBorders>
              <w:top w:val="single" w:sz="4" w:space="0" w:color="auto"/>
              <w:right w:val="single" w:sz="4" w:space="0" w:color="auto"/>
            </w:tcBorders>
            <w:vAlign w:val="center"/>
          </w:tcPr>
          <w:p w14:paraId="755614BA" w14:textId="77777777" w:rsidR="00DF4478" w:rsidRPr="00A858C4" w:rsidRDefault="00DF4478" w:rsidP="00DF4478">
            <w:pPr>
              <w:spacing w:before="20" w:after="20"/>
              <w:jc w:val="right"/>
              <w:rPr>
                <w:b/>
                <w:noProof/>
                <w:sz w:val="20"/>
              </w:rPr>
            </w:pPr>
          </w:p>
        </w:tc>
      </w:tr>
      <w:tr w:rsidR="00DF4478" w:rsidRPr="00A858C4" w14:paraId="4C98D7AE" w14:textId="77777777" w:rsidTr="005D1D40">
        <w:tc>
          <w:tcPr>
            <w:tcW w:w="3960" w:type="dxa"/>
            <w:vMerge/>
            <w:tcBorders>
              <w:top w:val="single" w:sz="4" w:space="0" w:color="FF0000"/>
              <w:left w:val="single" w:sz="4" w:space="0" w:color="auto"/>
              <w:bottom w:val="single" w:sz="4" w:space="0" w:color="FF0000"/>
            </w:tcBorders>
          </w:tcPr>
          <w:p w14:paraId="218BAAB8" w14:textId="77777777" w:rsidR="00DF4478" w:rsidRPr="00A858C4" w:rsidRDefault="00DF4478" w:rsidP="00DF4478">
            <w:pPr>
              <w:jc w:val="center"/>
              <w:rPr>
                <w:noProof/>
                <w:sz w:val="20"/>
              </w:rPr>
            </w:pPr>
          </w:p>
        </w:tc>
        <w:tc>
          <w:tcPr>
            <w:tcW w:w="1440" w:type="dxa"/>
            <w:vAlign w:val="center"/>
          </w:tcPr>
          <w:p w14:paraId="0621160A" w14:textId="77777777" w:rsidR="00DF4478" w:rsidRPr="00A858C4" w:rsidRDefault="00DF4478" w:rsidP="00DF4478">
            <w:pPr>
              <w:spacing w:beforeLines="20" w:before="48" w:afterLines="20" w:after="48"/>
              <w:rPr>
                <w:noProof/>
                <w:sz w:val="18"/>
              </w:rPr>
            </w:pPr>
            <w:r w:rsidRPr="00A858C4">
              <w:rPr>
                <w:noProof/>
                <w:sz w:val="18"/>
              </w:rPr>
              <w:t>Betalinger</w:t>
            </w:r>
          </w:p>
        </w:tc>
        <w:tc>
          <w:tcPr>
            <w:tcW w:w="654" w:type="dxa"/>
            <w:vAlign w:val="center"/>
          </w:tcPr>
          <w:p w14:paraId="3E5722CC" w14:textId="77777777" w:rsidR="00DF4478" w:rsidRPr="00A858C4" w:rsidRDefault="00DF4478" w:rsidP="00DF4478">
            <w:pPr>
              <w:spacing w:beforeLines="20" w:before="48" w:afterLines="20" w:after="48"/>
              <w:jc w:val="center"/>
              <w:rPr>
                <w:noProof/>
                <w:sz w:val="14"/>
              </w:rPr>
            </w:pPr>
            <w:r w:rsidRPr="00A858C4">
              <w:rPr>
                <w:noProof/>
                <w:sz w:val="14"/>
              </w:rPr>
              <w:t>(5)</w:t>
            </w:r>
          </w:p>
        </w:tc>
        <w:tc>
          <w:tcPr>
            <w:tcW w:w="868" w:type="dxa"/>
            <w:vAlign w:val="center"/>
          </w:tcPr>
          <w:p w14:paraId="2FDEC98C" w14:textId="77777777" w:rsidR="00DF4478" w:rsidRPr="00A858C4" w:rsidRDefault="00DF4478" w:rsidP="00DF4478">
            <w:pPr>
              <w:spacing w:before="20" w:after="20"/>
              <w:jc w:val="right"/>
              <w:rPr>
                <w:noProof/>
                <w:sz w:val="20"/>
              </w:rPr>
            </w:pPr>
          </w:p>
        </w:tc>
        <w:tc>
          <w:tcPr>
            <w:tcW w:w="868" w:type="dxa"/>
            <w:vAlign w:val="center"/>
          </w:tcPr>
          <w:p w14:paraId="10E6C6BF" w14:textId="77777777" w:rsidR="00DF4478" w:rsidRPr="00A858C4" w:rsidRDefault="00DF4478" w:rsidP="00DF4478">
            <w:pPr>
              <w:spacing w:before="20" w:after="20"/>
              <w:jc w:val="right"/>
              <w:rPr>
                <w:noProof/>
                <w:sz w:val="20"/>
              </w:rPr>
            </w:pPr>
          </w:p>
        </w:tc>
        <w:tc>
          <w:tcPr>
            <w:tcW w:w="868" w:type="dxa"/>
            <w:vAlign w:val="center"/>
          </w:tcPr>
          <w:p w14:paraId="00633A6C" w14:textId="77777777" w:rsidR="00DF4478" w:rsidRPr="00A858C4" w:rsidRDefault="00DF4478" w:rsidP="00DF4478">
            <w:pPr>
              <w:spacing w:before="20" w:after="20"/>
              <w:jc w:val="right"/>
              <w:rPr>
                <w:noProof/>
                <w:sz w:val="20"/>
              </w:rPr>
            </w:pPr>
          </w:p>
        </w:tc>
        <w:tc>
          <w:tcPr>
            <w:tcW w:w="868" w:type="dxa"/>
            <w:vAlign w:val="center"/>
          </w:tcPr>
          <w:p w14:paraId="79C4FB13" w14:textId="77777777" w:rsidR="00DF4478" w:rsidRPr="00A858C4" w:rsidRDefault="00DF4478" w:rsidP="00DF4478">
            <w:pPr>
              <w:spacing w:before="20" w:after="20"/>
              <w:jc w:val="right"/>
              <w:rPr>
                <w:noProof/>
                <w:sz w:val="20"/>
              </w:rPr>
            </w:pPr>
          </w:p>
        </w:tc>
        <w:tc>
          <w:tcPr>
            <w:tcW w:w="868" w:type="dxa"/>
            <w:vAlign w:val="center"/>
          </w:tcPr>
          <w:p w14:paraId="14E110CD" w14:textId="77777777" w:rsidR="00DF4478" w:rsidRPr="00A858C4" w:rsidRDefault="00DF4478" w:rsidP="00DF4478">
            <w:pPr>
              <w:spacing w:before="20" w:after="20"/>
              <w:jc w:val="right"/>
              <w:rPr>
                <w:noProof/>
                <w:sz w:val="20"/>
              </w:rPr>
            </w:pPr>
          </w:p>
        </w:tc>
        <w:tc>
          <w:tcPr>
            <w:tcW w:w="868" w:type="dxa"/>
            <w:vAlign w:val="center"/>
          </w:tcPr>
          <w:p w14:paraId="194E44F1" w14:textId="77777777" w:rsidR="00DF4478" w:rsidRPr="00A858C4" w:rsidRDefault="00DF4478" w:rsidP="00DF4478">
            <w:pPr>
              <w:spacing w:before="20" w:after="20"/>
              <w:jc w:val="right"/>
              <w:rPr>
                <w:noProof/>
                <w:sz w:val="20"/>
              </w:rPr>
            </w:pPr>
          </w:p>
        </w:tc>
        <w:tc>
          <w:tcPr>
            <w:tcW w:w="868" w:type="dxa"/>
            <w:vAlign w:val="center"/>
          </w:tcPr>
          <w:p w14:paraId="6AB79B6E" w14:textId="77777777" w:rsidR="00DF4478" w:rsidRPr="00A858C4" w:rsidRDefault="00DF4478" w:rsidP="00DF4478">
            <w:pPr>
              <w:spacing w:before="20" w:after="20"/>
              <w:jc w:val="right"/>
              <w:rPr>
                <w:b/>
                <w:noProof/>
                <w:sz w:val="20"/>
              </w:rPr>
            </w:pPr>
          </w:p>
        </w:tc>
        <w:tc>
          <w:tcPr>
            <w:tcW w:w="1777" w:type="dxa"/>
            <w:tcBorders>
              <w:right w:val="single" w:sz="4" w:space="0" w:color="auto"/>
            </w:tcBorders>
            <w:vAlign w:val="center"/>
          </w:tcPr>
          <w:p w14:paraId="20D2A88C" w14:textId="77777777" w:rsidR="00DF4478" w:rsidRPr="00A858C4" w:rsidRDefault="00DF4478" w:rsidP="00DF4478">
            <w:pPr>
              <w:spacing w:before="20" w:after="20"/>
              <w:jc w:val="right"/>
              <w:rPr>
                <w:b/>
                <w:noProof/>
                <w:sz w:val="20"/>
              </w:rPr>
            </w:pPr>
          </w:p>
        </w:tc>
      </w:tr>
      <w:tr w:rsidR="00DF4478" w:rsidRPr="00A858C4" w14:paraId="646EB969" w14:textId="77777777" w:rsidTr="005D1D40">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1E96F95E" w14:textId="77777777" w:rsidR="00DF4478" w:rsidRPr="00A858C4" w:rsidRDefault="00DF4478" w:rsidP="00DF4478">
            <w:pPr>
              <w:spacing w:beforeLines="20" w:before="48" w:afterLines="20" w:after="48"/>
              <w:rPr>
                <w:noProof/>
              </w:rPr>
            </w:pPr>
            <w:r w:rsidRPr="00A858C4">
              <w:rPr>
                <w:noProof/>
                <w:sz w:val="21"/>
              </w:rPr>
              <w:t xml:space="preserve"> Administrationsbevillinger finansieret over bevillingsrammen for særprogrammer I ALT (alle aktionsrelaterede udgiftsområder)</w:t>
            </w:r>
          </w:p>
        </w:tc>
        <w:tc>
          <w:tcPr>
            <w:tcW w:w="654" w:type="dxa"/>
            <w:vAlign w:val="center"/>
          </w:tcPr>
          <w:p w14:paraId="20E945BF" w14:textId="77777777" w:rsidR="00DF4478" w:rsidRPr="00A858C4" w:rsidRDefault="00DF4478" w:rsidP="00DF4478">
            <w:pPr>
              <w:rPr>
                <w:noProof/>
              </w:rPr>
            </w:pPr>
          </w:p>
          <w:p w14:paraId="30256583" w14:textId="77777777" w:rsidR="00DF4478" w:rsidRPr="00A858C4" w:rsidRDefault="00DF4478" w:rsidP="00DF4478">
            <w:pPr>
              <w:spacing w:beforeLines="20" w:before="48" w:afterLines="20" w:after="48"/>
              <w:jc w:val="center"/>
              <w:rPr>
                <w:noProof/>
                <w:sz w:val="14"/>
              </w:rPr>
            </w:pPr>
            <w:r w:rsidRPr="00A858C4">
              <w:rPr>
                <w:noProof/>
                <w:sz w:val="14"/>
              </w:rPr>
              <w:t>(6)</w:t>
            </w:r>
          </w:p>
        </w:tc>
        <w:tc>
          <w:tcPr>
            <w:tcW w:w="868" w:type="dxa"/>
            <w:vAlign w:val="center"/>
          </w:tcPr>
          <w:p w14:paraId="25B4241D" w14:textId="77777777" w:rsidR="00DF4478" w:rsidRPr="00A858C4" w:rsidRDefault="00DF4478" w:rsidP="00DF4478">
            <w:pPr>
              <w:spacing w:before="20" w:after="20"/>
              <w:jc w:val="right"/>
              <w:rPr>
                <w:b/>
                <w:noProof/>
                <w:sz w:val="20"/>
              </w:rPr>
            </w:pPr>
          </w:p>
        </w:tc>
        <w:tc>
          <w:tcPr>
            <w:tcW w:w="868" w:type="dxa"/>
            <w:vAlign w:val="center"/>
          </w:tcPr>
          <w:p w14:paraId="0ADA37FE" w14:textId="77777777" w:rsidR="00DF4478" w:rsidRPr="00A858C4" w:rsidRDefault="00DF4478" w:rsidP="00DF4478">
            <w:pPr>
              <w:spacing w:before="20" w:after="20"/>
              <w:jc w:val="right"/>
              <w:rPr>
                <w:b/>
                <w:noProof/>
                <w:sz w:val="20"/>
              </w:rPr>
            </w:pPr>
          </w:p>
        </w:tc>
        <w:tc>
          <w:tcPr>
            <w:tcW w:w="868" w:type="dxa"/>
            <w:vAlign w:val="center"/>
          </w:tcPr>
          <w:p w14:paraId="70A2BB60" w14:textId="77777777" w:rsidR="00DF4478" w:rsidRPr="00A858C4" w:rsidRDefault="00DF4478" w:rsidP="00DF4478">
            <w:pPr>
              <w:spacing w:before="20" w:after="20"/>
              <w:jc w:val="right"/>
              <w:rPr>
                <w:b/>
                <w:noProof/>
                <w:sz w:val="20"/>
              </w:rPr>
            </w:pPr>
          </w:p>
        </w:tc>
        <w:tc>
          <w:tcPr>
            <w:tcW w:w="868" w:type="dxa"/>
            <w:vAlign w:val="center"/>
          </w:tcPr>
          <w:p w14:paraId="2DFB433E" w14:textId="77777777" w:rsidR="00DF4478" w:rsidRPr="00A858C4" w:rsidRDefault="00DF4478" w:rsidP="00DF4478">
            <w:pPr>
              <w:spacing w:before="20" w:after="20"/>
              <w:jc w:val="right"/>
              <w:rPr>
                <w:b/>
                <w:noProof/>
                <w:sz w:val="20"/>
              </w:rPr>
            </w:pPr>
          </w:p>
        </w:tc>
        <w:tc>
          <w:tcPr>
            <w:tcW w:w="868" w:type="dxa"/>
            <w:vAlign w:val="center"/>
          </w:tcPr>
          <w:p w14:paraId="1B4F749F" w14:textId="77777777" w:rsidR="00DF4478" w:rsidRPr="00A858C4" w:rsidRDefault="00DF4478" w:rsidP="00DF4478">
            <w:pPr>
              <w:spacing w:before="20" w:after="20"/>
              <w:jc w:val="right"/>
              <w:rPr>
                <w:b/>
                <w:noProof/>
                <w:sz w:val="20"/>
              </w:rPr>
            </w:pPr>
          </w:p>
        </w:tc>
        <w:tc>
          <w:tcPr>
            <w:tcW w:w="868" w:type="dxa"/>
            <w:vAlign w:val="center"/>
          </w:tcPr>
          <w:p w14:paraId="5239BC18" w14:textId="77777777" w:rsidR="00DF4478" w:rsidRPr="00A858C4" w:rsidRDefault="00DF4478" w:rsidP="00DF4478">
            <w:pPr>
              <w:spacing w:before="20" w:after="20"/>
              <w:jc w:val="right"/>
              <w:rPr>
                <w:b/>
                <w:noProof/>
                <w:sz w:val="20"/>
              </w:rPr>
            </w:pPr>
          </w:p>
        </w:tc>
        <w:tc>
          <w:tcPr>
            <w:tcW w:w="868" w:type="dxa"/>
            <w:vAlign w:val="center"/>
          </w:tcPr>
          <w:p w14:paraId="0BF1D7BD" w14:textId="77777777" w:rsidR="00DF4478" w:rsidRPr="00A858C4" w:rsidRDefault="00DF4478" w:rsidP="00DF4478">
            <w:pPr>
              <w:spacing w:before="20" w:after="20"/>
              <w:jc w:val="right"/>
              <w:rPr>
                <w:b/>
                <w:noProof/>
                <w:sz w:val="20"/>
              </w:rPr>
            </w:pPr>
          </w:p>
        </w:tc>
        <w:tc>
          <w:tcPr>
            <w:tcW w:w="1777" w:type="dxa"/>
            <w:vAlign w:val="center"/>
          </w:tcPr>
          <w:p w14:paraId="57EE1A2B" w14:textId="77777777" w:rsidR="00DF4478" w:rsidRPr="00A858C4" w:rsidRDefault="00DF4478" w:rsidP="00DF4478">
            <w:pPr>
              <w:spacing w:before="20" w:after="20"/>
              <w:jc w:val="right"/>
              <w:rPr>
                <w:b/>
                <w:noProof/>
                <w:sz w:val="20"/>
              </w:rPr>
            </w:pPr>
          </w:p>
        </w:tc>
      </w:tr>
      <w:tr w:rsidR="00DF4478" w:rsidRPr="00A858C4" w14:paraId="346A1055" w14:textId="77777777" w:rsidTr="005D1D40">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06CBF087" w14:textId="77777777" w:rsidR="00DF4478" w:rsidRPr="00A858C4" w:rsidRDefault="00DF4478" w:rsidP="00DF4478">
            <w:pPr>
              <w:jc w:val="center"/>
              <w:rPr>
                <w:b/>
                <w:noProof/>
              </w:rPr>
            </w:pPr>
            <w:r w:rsidRPr="00A858C4">
              <w:rPr>
                <w:b/>
                <w:noProof/>
                <w:sz w:val="22"/>
              </w:rPr>
              <w:t xml:space="preserve">Bevillinger I ALT </w:t>
            </w:r>
            <w:r w:rsidRPr="00A858C4">
              <w:rPr>
                <w:noProof/>
                <w:sz w:val="22"/>
              </w:rPr>
              <w:br/>
            </w:r>
            <w:r w:rsidRPr="00A858C4">
              <w:rPr>
                <w:b/>
                <w:noProof/>
                <w:sz w:val="22"/>
              </w:rPr>
              <w:t>under UDGIFTSOMRÅDE 1-6</w:t>
            </w:r>
            <w:r w:rsidRPr="00A858C4">
              <w:rPr>
                <w:noProof/>
                <w:sz w:val="22"/>
              </w:rPr>
              <w:br/>
              <w:t>i den flerårige finansielle ramme</w:t>
            </w:r>
            <w:r w:rsidRPr="00A858C4">
              <w:rPr>
                <w:noProof/>
                <w:sz w:val="22"/>
              </w:rPr>
              <w:br/>
            </w:r>
            <w:r w:rsidRPr="00A858C4">
              <w:rPr>
                <w:noProof/>
                <w:sz w:val="20"/>
              </w:rPr>
              <w:t>(referencebeløb)</w:t>
            </w:r>
          </w:p>
        </w:tc>
        <w:tc>
          <w:tcPr>
            <w:tcW w:w="1440" w:type="dxa"/>
            <w:vAlign w:val="center"/>
          </w:tcPr>
          <w:p w14:paraId="58D7166D" w14:textId="77777777" w:rsidR="00DF4478" w:rsidRPr="00A858C4" w:rsidRDefault="00DF4478" w:rsidP="00DF4478">
            <w:pPr>
              <w:rPr>
                <w:noProof/>
                <w:sz w:val="18"/>
              </w:rPr>
            </w:pPr>
            <w:r w:rsidRPr="00A858C4">
              <w:rPr>
                <w:noProof/>
                <w:sz w:val="18"/>
              </w:rPr>
              <w:t>Forpligtelser</w:t>
            </w:r>
          </w:p>
        </w:tc>
        <w:tc>
          <w:tcPr>
            <w:tcW w:w="654" w:type="dxa"/>
            <w:vAlign w:val="center"/>
          </w:tcPr>
          <w:p w14:paraId="4E8433F4" w14:textId="77777777" w:rsidR="00DF4478" w:rsidRPr="00A858C4" w:rsidRDefault="00DF4478" w:rsidP="00DF4478">
            <w:pPr>
              <w:jc w:val="center"/>
              <w:rPr>
                <w:noProof/>
                <w:sz w:val="14"/>
              </w:rPr>
            </w:pPr>
            <w:r w:rsidRPr="00A858C4">
              <w:rPr>
                <w:noProof/>
                <w:sz w:val="14"/>
              </w:rPr>
              <w:t>=4+6</w:t>
            </w:r>
          </w:p>
        </w:tc>
        <w:tc>
          <w:tcPr>
            <w:tcW w:w="868" w:type="dxa"/>
            <w:vAlign w:val="center"/>
          </w:tcPr>
          <w:p w14:paraId="40CA081C" w14:textId="77777777" w:rsidR="00DF4478" w:rsidRPr="00A858C4" w:rsidRDefault="00DF4478" w:rsidP="00DF4478">
            <w:pPr>
              <w:spacing w:before="20" w:after="20"/>
              <w:jc w:val="right"/>
              <w:rPr>
                <w:noProof/>
                <w:sz w:val="20"/>
              </w:rPr>
            </w:pPr>
          </w:p>
        </w:tc>
        <w:tc>
          <w:tcPr>
            <w:tcW w:w="868" w:type="dxa"/>
            <w:vAlign w:val="center"/>
          </w:tcPr>
          <w:p w14:paraId="21A5E64D" w14:textId="77777777" w:rsidR="00DF4478" w:rsidRPr="00A858C4" w:rsidRDefault="00DF4478" w:rsidP="00DF4478">
            <w:pPr>
              <w:spacing w:before="20" w:after="20"/>
              <w:jc w:val="right"/>
              <w:rPr>
                <w:noProof/>
                <w:sz w:val="20"/>
              </w:rPr>
            </w:pPr>
          </w:p>
        </w:tc>
        <w:tc>
          <w:tcPr>
            <w:tcW w:w="868" w:type="dxa"/>
            <w:vAlign w:val="center"/>
          </w:tcPr>
          <w:p w14:paraId="7480E06D" w14:textId="77777777" w:rsidR="00DF4478" w:rsidRPr="00A858C4" w:rsidRDefault="00DF4478" w:rsidP="00DF4478">
            <w:pPr>
              <w:spacing w:before="20" w:after="20"/>
              <w:jc w:val="right"/>
              <w:rPr>
                <w:noProof/>
                <w:sz w:val="20"/>
              </w:rPr>
            </w:pPr>
          </w:p>
        </w:tc>
        <w:tc>
          <w:tcPr>
            <w:tcW w:w="868" w:type="dxa"/>
            <w:vAlign w:val="center"/>
          </w:tcPr>
          <w:p w14:paraId="0F2EA83E" w14:textId="77777777" w:rsidR="00DF4478" w:rsidRPr="00A858C4" w:rsidRDefault="00DF4478" w:rsidP="00DF4478">
            <w:pPr>
              <w:spacing w:before="20" w:after="20"/>
              <w:jc w:val="right"/>
              <w:rPr>
                <w:noProof/>
                <w:sz w:val="20"/>
              </w:rPr>
            </w:pPr>
          </w:p>
        </w:tc>
        <w:tc>
          <w:tcPr>
            <w:tcW w:w="868" w:type="dxa"/>
            <w:vAlign w:val="center"/>
          </w:tcPr>
          <w:p w14:paraId="0BF902B5" w14:textId="77777777" w:rsidR="00DF4478" w:rsidRPr="00A858C4" w:rsidRDefault="00DF4478" w:rsidP="00DF4478">
            <w:pPr>
              <w:spacing w:before="20" w:after="20"/>
              <w:jc w:val="right"/>
              <w:rPr>
                <w:noProof/>
                <w:sz w:val="20"/>
              </w:rPr>
            </w:pPr>
          </w:p>
        </w:tc>
        <w:tc>
          <w:tcPr>
            <w:tcW w:w="868" w:type="dxa"/>
            <w:vAlign w:val="center"/>
          </w:tcPr>
          <w:p w14:paraId="6AE9855C" w14:textId="77777777" w:rsidR="00DF4478" w:rsidRPr="00A858C4" w:rsidRDefault="00DF4478" w:rsidP="00DF4478">
            <w:pPr>
              <w:spacing w:before="20" w:after="20"/>
              <w:jc w:val="right"/>
              <w:rPr>
                <w:noProof/>
                <w:sz w:val="20"/>
              </w:rPr>
            </w:pPr>
          </w:p>
        </w:tc>
        <w:tc>
          <w:tcPr>
            <w:tcW w:w="868" w:type="dxa"/>
            <w:vAlign w:val="center"/>
          </w:tcPr>
          <w:p w14:paraId="1BAE0FB0" w14:textId="77777777" w:rsidR="00DF4478" w:rsidRPr="00A858C4" w:rsidRDefault="00DF4478" w:rsidP="00DF4478">
            <w:pPr>
              <w:spacing w:before="20" w:after="20"/>
              <w:jc w:val="right"/>
              <w:rPr>
                <w:b/>
                <w:noProof/>
                <w:sz w:val="20"/>
              </w:rPr>
            </w:pPr>
          </w:p>
        </w:tc>
        <w:tc>
          <w:tcPr>
            <w:tcW w:w="1777" w:type="dxa"/>
            <w:tcBorders>
              <w:right w:val="single" w:sz="4" w:space="0" w:color="auto"/>
            </w:tcBorders>
            <w:vAlign w:val="center"/>
          </w:tcPr>
          <w:p w14:paraId="7F9C90C0" w14:textId="77777777" w:rsidR="00DF4478" w:rsidRPr="00A858C4" w:rsidRDefault="00DF4478" w:rsidP="00DF4478">
            <w:pPr>
              <w:spacing w:before="20" w:after="20"/>
              <w:jc w:val="right"/>
              <w:rPr>
                <w:b/>
                <w:noProof/>
                <w:sz w:val="20"/>
              </w:rPr>
            </w:pPr>
          </w:p>
        </w:tc>
      </w:tr>
      <w:tr w:rsidR="00DF4478" w:rsidRPr="00A858C4" w14:paraId="323212B5" w14:textId="77777777" w:rsidTr="005D1D40">
        <w:tc>
          <w:tcPr>
            <w:tcW w:w="3960" w:type="dxa"/>
            <w:vMerge/>
            <w:tcBorders>
              <w:top w:val="single" w:sz="4" w:space="0" w:color="FF0000"/>
              <w:left w:val="single" w:sz="4" w:space="0" w:color="auto"/>
              <w:bottom w:val="single" w:sz="4" w:space="0" w:color="auto"/>
            </w:tcBorders>
            <w:shd w:val="thinDiagStripe" w:color="C0C0C0" w:fill="auto"/>
          </w:tcPr>
          <w:p w14:paraId="64016D03" w14:textId="77777777" w:rsidR="00DF4478" w:rsidRPr="00A858C4" w:rsidRDefault="00DF4478" w:rsidP="00DF4478">
            <w:pPr>
              <w:rPr>
                <w:noProof/>
                <w:sz w:val="20"/>
              </w:rPr>
            </w:pPr>
          </w:p>
        </w:tc>
        <w:tc>
          <w:tcPr>
            <w:tcW w:w="1440" w:type="dxa"/>
            <w:tcBorders>
              <w:bottom w:val="single" w:sz="4" w:space="0" w:color="auto"/>
            </w:tcBorders>
            <w:vAlign w:val="center"/>
          </w:tcPr>
          <w:p w14:paraId="25BFE7A7" w14:textId="77777777" w:rsidR="00DF4478" w:rsidRPr="00A858C4" w:rsidRDefault="00DF4478" w:rsidP="00DF4478">
            <w:pPr>
              <w:rPr>
                <w:noProof/>
                <w:sz w:val="18"/>
              </w:rPr>
            </w:pPr>
            <w:r w:rsidRPr="00A858C4">
              <w:rPr>
                <w:noProof/>
                <w:sz w:val="18"/>
              </w:rPr>
              <w:t>Betalinger</w:t>
            </w:r>
          </w:p>
        </w:tc>
        <w:tc>
          <w:tcPr>
            <w:tcW w:w="654" w:type="dxa"/>
            <w:tcBorders>
              <w:bottom w:val="single" w:sz="4" w:space="0" w:color="auto"/>
            </w:tcBorders>
            <w:vAlign w:val="center"/>
          </w:tcPr>
          <w:p w14:paraId="4E26CA28" w14:textId="77777777" w:rsidR="00DF4478" w:rsidRPr="00A858C4" w:rsidRDefault="00DF4478" w:rsidP="00DF4478">
            <w:pPr>
              <w:jc w:val="center"/>
              <w:rPr>
                <w:noProof/>
                <w:sz w:val="14"/>
              </w:rPr>
            </w:pPr>
            <w:r w:rsidRPr="00A858C4">
              <w:rPr>
                <w:noProof/>
                <w:sz w:val="14"/>
              </w:rPr>
              <w:t>=5+6</w:t>
            </w:r>
          </w:p>
        </w:tc>
        <w:tc>
          <w:tcPr>
            <w:tcW w:w="868" w:type="dxa"/>
            <w:tcBorders>
              <w:bottom w:val="single" w:sz="4" w:space="0" w:color="auto"/>
            </w:tcBorders>
            <w:vAlign w:val="center"/>
          </w:tcPr>
          <w:p w14:paraId="41264E3A" w14:textId="77777777" w:rsidR="00DF4478" w:rsidRPr="00A858C4" w:rsidRDefault="00DF4478" w:rsidP="00DF4478">
            <w:pPr>
              <w:spacing w:before="20" w:after="20"/>
              <w:jc w:val="right"/>
              <w:rPr>
                <w:noProof/>
                <w:sz w:val="20"/>
              </w:rPr>
            </w:pPr>
          </w:p>
        </w:tc>
        <w:tc>
          <w:tcPr>
            <w:tcW w:w="868" w:type="dxa"/>
            <w:tcBorders>
              <w:bottom w:val="single" w:sz="4" w:space="0" w:color="auto"/>
            </w:tcBorders>
            <w:vAlign w:val="center"/>
          </w:tcPr>
          <w:p w14:paraId="7593DDE9" w14:textId="77777777" w:rsidR="00DF4478" w:rsidRPr="00A858C4" w:rsidRDefault="00DF4478" w:rsidP="00DF4478">
            <w:pPr>
              <w:spacing w:before="20" w:after="20"/>
              <w:jc w:val="right"/>
              <w:rPr>
                <w:noProof/>
                <w:sz w:val="20"/>
              </w:rPr>
            </w:pPr>
          </w:p>
        </w:tc>
        <w:tc>
          <w:tcPr>
            <w:tcW w:w="868" w:type="dxa"/>
            <w:tcBorders>
              <w:bottom w:val="single" w:sz="4" w:space="0" w:color="auto"/>
            </w:tcBorders>
            <w:vAlign w:val="center"/>
          </w:tcPr>
          <w:p w14:paraId="44B5217D" w14:textId="77777777" w:rsidR="00DF4478" w:rsidRPr="00A858C4" w:rsidRDefault="00DF4478" w:rsidP="00DF4478">
            <w:pPr>
              <w:spacing w:before="20" w:after="20"/>
              <w:jc w:val="right"/>
              <w:rPr>
                <w:noProof/>
                <w:sz w:val="20"/>
              </w:rPr>
            </w:pPr>
          </w:p>
        </w:tc>
        <w:tc>
          <w:tcPr>
            <w:tcW w:w="868" w:type="dxa"/>
            <w:tcBorders>
              <w:bottom w:val="single" w:sz="4" w:space="0" w:color="auto"/>
            </w:tcBorders>
            <w:vAlign w:val="center"/>
          </w:tcPr>
          <w:p w14:paraId="73D29D56" w14:textId="77777777" w:rsidR="00DF4478" w:rsidRPr="00A858C4" w:rsidRDefault="00DF4478" w:rsidP="00DF4478">
            <w:pPr>
              <w:spacing w:before="20" w:after="20"/>
              <w:jc w:val="right"/>
              <w:rPr>
                <w:noProof/>
                <w:sz w:val="20"/>
              </w:rPr>
            </w:pPr>
          </w:p>
        </w:tc>
        <w:tc>
          <w:tcPr>
            <w:tcW w:w="868" w:type="dxa"/>
            <w:tcBorders>
              <w:bottom w:val="single" w:sz="4" w:space="0" w:color="auto"/>
            </w:tcBorders>
            <w:vAlign w:val="center"/>
          </w:tcPr>
          <w:p w14:paraId="71EADFC7" w14:textId="77777777" w:rsidR="00DF4478" w:rsidRPr="00A858C4" w:rsidRDefault="00DF4478" w:rsidP="00DF4478">
            <w:pPr>
              <w:spacing w:before="20" w:after="20"/>
              <w:jc w:val="right"/>
              <w:rPr>
                <w:noProof/>
                <w:sz w:val="20"/>
              </w:rPr>
            </w:pPr>
          </w:p>
        </w:tc>
        <w:tc>
          <w:tcPr>
            <w:tcW w:w="868" w:type="dxa"/>
            <w:tcBorders>
              <w:bottom w:val="single" w:sz="4" w:space="0" w:color="auto"/>
            </w:tcBorders>
            <w:vAlign w:val="center"/>
          </w:tcPr>
          <w:p w14:paraId="5A97D917" w14:textId="77777777" w:rsidR="00DF4478" w:rsidRPr="00A858C4" w:rsidRDefault="00DF4478" w:rsidP="00DF4478">
            <w:pPr>
              <w:spacing w:before="20" w:after="20"/>
              <w:jc w:val="right"/>
              <w:rPr>
                <w:noProof/>
                <w:sz w:val="20"/>
              </w:rPr>
            </w:pPr>
          </w:p>
        </w:tc>
        <w:tc>
          <w:tcPr>
            <w:tcW w:w="868" w:type="dxa"/>
            <w:tcBorders>
              <w:bottom w:val="single" w:sz="4" w:space="0" w:color="auto"/>
            </w:tcBorders>
            <w:vAlign w:val="center"/>
          </w:tcPr>
          <w:p w14:paraId="0E7034AE" w14:textId="77777777" w:rsidR="00DF4478" w:rsidRPr="00A858C4" w:rsidRDefault="00DF4478" w:rsidP="00DF4478">
            <w:pPr>
              <w:spacing w:before="20" w:after="20"/>
              <w:jc w:val="right"/>
              <w:rPr>
                <w:b/>
                <w:noProof/>
                <w:sz w:val="20"/>
              </w:rPr>
            </w:pPr>
          </w:p>
        </w:tc>
        <w:tc>
          <w:tcPr>
            <w:tcW w:w="1777" w:type="dxa"/>
            <w:tcBorders>
              <w:bottom w:val="single" w:sz="4" w:space="0" w:color="auto"/>
              <w:right w:val="single" w:sz="4" w:space="0" w:color="auto"/>
            </w:tcBorders>
            <w:vAlign w:val="center"/>
          </w:tcPr>
          <w:p w14:paraId="01A1AB37" w14:textId="77777777" w:rsidR="00DF4478" w:rsidRPr="00A858C4" w:rsidRDefault="00DF4478" w:rsidP="00DF4478">
            <w:pPr>
              <w:spacing w:before="20" w:after="20"/>
              <w:jc w:val="right"/>
              <w:rPr>
                <w:b/>
                <w:noProof/>
                <w:sz w:val="20"/>
              </w:rPr>
            </w:pPr>
          </w:p>
        </w:tc>
      </w:tr>
    </w:tbl>
    <w:p w14:paraId="4604664C" w14:textId="77777777" w:rsidR="00DF4478" w:rsidRPr="00A858C4" w:rsidRDefault="00DF4478" w:rsidP="00DF4478">
      <w:pPr>
        <w:rPr>
          <w:noProof/>
        </w:rPr>
      </w:pPr>
    </w:p>
    <w:p w14:paraId="31D54DF6" w14:textId="77777777" w:rsidR="00DF4478" w:rsidRPr="00A858C4" w:rsidRDefault="00DF4478" w:rsidP="00DF4478">
      <w:pPr>
        <w:spacing w:before="0" w:after="0"/>
        <w:jc w:val="left"/>
        <w:rPr>
          <w:noProof/>
        </w:rPr>
      </w:pPr>
      <w:r w:rsidRPr="00A858C4">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F4478" w:rsidRPr="00A858C4" w14:paraId="3064838C" w14:textId="77777777" w:rsidTr="005D1D40">
        <w:trPr>
          <w:jc w:val="center"/>
        </w:trPr>
        <w:tc>
          <w:tcPr>
            <w:tcW w:w="4744" w:type="dxa"/>
            <w:shd w:val="thinDiagStripe" w:color="C0C0C0" w:fill="auto"/>
            <w:vAlign w:val="center"/>
          </w:tcPr>
          <w:p w14:paraId="5F1C9827" w14:textId="77777777" w:rsidR="00DF4478" w:rsidRPr="00A858C4" w:rsidRDefault="00DF4478" w:rsidP="00DF4478">
            <w:pPr>
              <w:spacing w:before="60" w:after="60"/>
              <w:jc w:val="center"/>
              <w:rPr>
                <w:b/>
                <w:noProof/>
              </w:rPr>
            </w:pPr>
            <w:r w:rsidRPr="00A858C4">
              <w:rPr>
                <w:noProof/>
              </w:rPr>
              <w:br w:type="page"/>
            </w:r>
            <w:r w:rsidRPr="00A858C4">
              <w:rPr>
                <w:b/>
                <w:noProof/>
                <w:sz w:val="22"/>
              </w:rPr>
              <w:t xml:space="preserve">Udgiftsområde i den flerårige finansielle </w:t>
            </w:r>
            <w:r w:rsidRPr="00A858C4">
              <w:rPr>
                <w:noProof/>
                <w:sz w:val="22"/>
              </w:rPr>
              <w:br/>
            </w:r>
            <w:r w:rsidRPr="00A858C4">
              <w:rPr>
                <w:b/>
                <w:noProof/>
                <w:sz w:val="22"/>
              </w:rPr>
              <w:t xml:space="preserve">ramme </w:t>
            </w:r>
          </w:p>
        </w:tc>
        <w:tc>
          <w:tcPr>
            <w:tcW w:w="1080" w:type="dxa"/>
            <w:shd w:val="thinDiagStripe" w:color="C0C0C0" w:fill="auto"/>
            <w:vAlign w:val="center"/>
          </w:tcPr>
          <w:p w14:paraId="6705FC70" w14:textId="77777777" w:rsidR="00DF4478" w:rsidRPr="00A858C4" w:rsidRDefault="00DF4478" w:rsidP="00DF4478">
            <w:pPr>
              <w:spacing w:before="60" w:after="60"/>
              <w:jc w:val="center"/>
              <w:rPr>
                <w:noProof/>
              </w:rPr>
            </w:pPr>
            <w:r w:rsidRPr="00A858C4">
              <w:rPr>
                <w:b/>
                <w:noProof/>
                <w:sz w:val="22"/>
              </w:rPr>
              <w:t>7</w:t>
            </w:r>
          </w:p>
        </w:tc>
        <w:tc>
          <w:tcPr>
            <w:tcW w:w="7817" w:type="dxa"/>
            <w:vAlign w:val="center"/>
          </w:tcPr>
          <w:p w14:paraId="6BB24095" w14:textId="77777777" w:rsidR="00DF4478" w:rsidRPr="00A858C4" w:rsidRDefault="00DF4478" w:rsidP="00DF4478">
            <w:pPr>
              <w:spacing w:before="60" w:after="60"/>
              <w:rPr>
                <w:noProof/>
              </w:rPr>
            </w:pPr>
            <w:r w:rsidRPr="00A858C4">
              <w:rPr>
                <w:noProof/>
                <w:sz w:val="22"/>
              </w:rPr>
              <w:t>"Administrationsudgifter"</w:t>
            </w:r>
          </w:p>
        </w:tc>
      </w:tr>
    </w:tbl>
    <w:p w14:paraId="1B176F99" w14:textId="77777777" w:rsidR="00DF4478" w:rsidRPr="00A858C4" w:rsidRDefault="00DF4478" w:rsidP="00DF4478">
      <w:pPr>
        <w:jc w:val="right"/>
        <w:rPr>
          <w:noProof/>
          <w:sz w:val="20"/>
        </w:rPr>
      </w:pPr>
      <w:r w:rsidRPr="00A858C4">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DF4478" w:rsidRPr="00A858C4" w14:paraId="521E2BCB" w14:textId="77777777" w:rsidTr="005D1D40">
        <w:tc>
          <w:tcPr>
            <w:tcW w:w="3960" w:type="dxa"/>
            <w:tcBorders>
              <w:top w:val="nil"/>
              <w:left w:val="nil"/>
              <w:right w:val="nil"/>
            </w:tcBorders>
            <w:vAlign w:val="center"/>
          </w:tcPr>
          <w:p w14:paraId="6D20FCF9" w14:textId="77777777" w:rsidR="00DF4478" w:rsidRPr="00A858C4" w:rsidRDefault="00DF4478" w:rsidP="00DF4478">
            <w:pPr>
              <w:jc w:val="center"/>
              <w:rPr>
                <w:noProof/>
              </w:rPr>
            </w:pPr>
          </w:p>
        </w:tc>
        <w:tc>
          <w:tcPr>
            <w:tcW w:w="1560" w:type="dxa"/>
            <w:tcBorders>
              <w:top w:val="nil"/>
              <w:left w:val="nil"/>
              <w:right w:val="nil"/>
            </w:tcBorders>
          </w:tcPr>
          <w:p w14:paraId="2595C5BC" w14:textId="77777777" w:rsidR="00DF4478" w:rsidRPr="00A858C4" w:rsidRDefault="00DF4478" w:rsidP="00DF4478">
            <w:pPr>
              <w:rPr>
                <w:noProof/>
                <w:sz w:val="20"/>
              </w:rPr>
            </w:pPr>
          </w:p>
        </w:tc>
        <w:tc>
          <w:tcPr>
            <w:tcW w:w="534" w:type="dxa"/>
            <w:tcBorders>
              <w:top w:val="nil"/>
              <w:left w:val="nil"/>
            </w:tcBorders>
          </w:tcPr>
          <w:p w14:paraId="7DCF78B6" w14:textId="77777777" w:rsidR="00DF4478" w:rsidRPr="00A858C4" w:rsidRDefault="00DF4478" w:rsidP="00DF4478">
            <w:pPr>
              <w:jc w:val="center"/>
              <w:rPr>
                <w:noProof/>
                <w:sz w:val="20"/>
              </w:rPr>
            </w:pPr>
          </w:p>
        </w:tc>
        <w:tc>
          <w:tcPr>
            <w:tcW w:w="868" w:type="dxa"/>
            <w:vAlign w:val="center"/>
          </w:tcPr>
          <w:p w14:paraId="1B56DFE5"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2023</w:t>
            </w:r>
          </w:p>
        </w:tc>
        <w:tc>
          <w:tcPr>
            <w:tcW w:w="868" w:type="dxa"/>
            <w:vAlign w:val="center"/>
          </w:tcPr>
          <w:p w14:paraId="6ED81EBE"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2024</w:t>
            </w:r>
          </w:p>
        </w:tc>
        <w:tc>
          <w:tcPr>
            <w:tcW w:w="868" w:type="dxa"/>
            <w:vAlign w:val="center"/>
          </w:tcPr>
          <w:p w14:paraId="742054F5"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2025</w:t>
            </w:r>
          </w:p>
        </w:tc>
        <w:tc>
          <w:tcPr>
            <w:tcW w:w="868" w:type="dxa"/>
            <w:vAlign w:val="center"/>
          </w:tcPr>
          <w:p w14:paraId="1768379D"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2026</w:t>
            </w:r>
          </w:p>
        </w:tc>
        <w:tc>
          <w:tcPr>
            <w:tcW w:w="2604" w:type="dxa"/>
            <w:gridSpan w:val="3"/>
            <w:vAlign w:val="center"/>
          </w:tcPr>
          <w:p w14:paraId="142A3836" w14:textId="77777777" w:rsidR="00DF4478" w:rsidRPr="00A858C4" w:rsidRDefault="00DF4478" w:rsidP="00DF4478">
            <w:pPr>
              <w:jc w:val="center"/>
              <w:rPr>
                <w:b/>
                <w:noProof/>
                <w:sz w:val="18"/>
              </w:rPr>
            </w:pPr>
            <w:r w:rsidRPr="00A858C4">
              <w:rPr>
                <w:noProof/>
                <w:sz w:val="18"/>
              </w:rPr>
              <w:t xml:space="preserve">Indsæt så mange år som nødvendigt for at vise virkningernes varighed (jf. punkt 1.6) </w:t>
            </w:r>
          </w:p>
        </w:tc>
        <w:tc>
          <w:tcPr>
            <w:tcW w:w="1777" w:type="dxa"/>
            <w:vAlign w:val="center"/>
          </w:tcPr>
          <w:p w14:paraId="32BB2F9B" w14:textId="77777777" w:rsidR="00DF4478" w:rsidRPr="00A858C4" w:rsidRDefault="00DF4478" w:rsidP="00DF4478">
            <w:pPr>
              <w:jc w:val="center"/>
              <w:rPr>
                <w:b/>
                <w:noProof/>
                <w:sz w:val="20"/>
              </w:rPr>
            </w:pPr>
            <w:r w:rsidRPr="00A858C4">
              <w:rPr>
                <w:b/>
                <w:noProof/>
                <w:sz w:val="20"/>
              </w:rPr>
              <w:t>I ALT</w:t>
            </w:r>
          </w:p>
        </w:tc>
      </w:tr>
      <w:tr w:rsidR="00DF4478" w:rsidRPr="00A858C4" w14:paraId="3ACFFCEE" w14:textId="77777777" w:rsidTr="005D1D40">
        <w:trPr>
          <w:gridAfter w:val="10"/>
          <w:wAfter w:w="9947" w:type="dxa"/>
        </w:trPr>
        <w:tc>
          <w:tcPr>
            <w:tcW w:w="3960" w:type="dxa"/>
            <w:vAlign w:val="center"/>
          </w:tcPr>
          <w:p w14:paraId="6A82E675" w14:textId="747C7F8D" w:rsidR="00DF4478" w:rsidRPr="00A858C4" w:rsidRDefault="00DF4478" w:rsidP="00DF4478">
            <w:pPr>
              <w:spacing w:before="60" w:after="60"/>
              <w:jc w:val="center"/>
              <w:rPr>
                <w:noProof/>
              </w:rPr>
            </w:pPr>
            <w:r w:rsidRPr="00A858C4">
              <w:rPr>
                <w:noProof/>
                <w:sz w:val="22"/>
              </w:rPr>
              <w:t>GD: AGRI</w:t>
            </w:r>
          </w:p>
        </w:tc>
      </w:tr>
      <w:tr w:rsidR="00DF4478" w:rsidRPr="00A858C4" w14:paraId="3302CFF7" w14:textId="77777777" w:rsidTr="005D1D40">
        <w:trPr>
          <w:trHeight w:val="313"/>
        </w:trPr>
        <w:tc>
          <w:tcPr>
            <w:tcW w:w="6054" w:type="dxa"/>
            <w:gridSpan w:val="3"/>
            <w:vAlign w:val="center"/>
          </w:tcPr>
          <w:p w14:paraId="58271BEA" w14:textId="77777777" w:rsidR="00DF4478" w:rsidRPr="00A858C4" w:rsidRDefault="00DF4478" w:rsidP="00DF4478">
            <w:pPr>
              <w:spacing w:before="20" w:after="20"/>
              <w:rPr>
                <w:noProof/>
              </w:rPr>
            </w:pPr>
            <w:r w:rsidRPr="00A858C4">
              <w:rPr>
                <w:noProof/>
                <w:sz w:val="22"/>
              </w:rPr>
              <w:sym w:font="Wingdings" w:char="F09F"/>
            </w:r>
            <w:r w:rsidRPr="00A858C4">
              <w:rPr>
                <w:noProof/>
                <w:sz w:val="22"/>
              </w:rPr>
              <w:t xml:space="preserve"> Menneskelige ressourcer </w:t>
            </w:r>
          </w:p>
        </w:tc>
        <w:tc>
          <w:tcPr>
            <w:tcW w:w="868" w:type="dxa"/>
            <w:vAlign w:val="center"/>
          </w:tcPr>
          <w:p w14:paraId="6F66B799" w14:textId="77777777" w:rsidR="00DF4478" w:rsidRPr="00A858C4" w:rsidRDefault="00DF4478" w:rsidP="00DF4478">
            <w:pPr>
              <w:spacing w:before="20" w:after="20"/>
              <w:jc w:val="right"/>
              <w:rPr>
                <w:noProof/>
                <w:sz w:val="20"/>
              </w:rPr>
            </w:pPr>
          </w:p>
        </w:tc>
        <w:tc>
          <w:tcPr>
            <w:tcW w:w="868" w:type="dxa"/>
            <w:vAlign w:val="center"/>
          </w:tcPr>
          <w:p w14:paraId="529E4F62" w14:textId="77777777" w:rsidR="00DF4478" w:rsidRPr="00A858C4" w:rsidRDefault="00DF4478" w:rsidP="00DF4478">
            <w:pPr>
              <w:spacing w:before="20" w:after="20"/>
              <w:jc w:val="right"/>
              <w:rPr>
                <w:noProof/>
                <w:sz w:val="20"/>
              </w:rPr>
            </w:pPr>
          </w:p>
        </w:tc>
        <w:tc>
          <w:tcPr>
            <w:tcW w:w="868" w:type="dxa"/>
            <w:vAlign w:val="center"/>
          </w:tcPr>
          <w:p w14:paraId="1E584489" w14:textId="77777777" w:rsidR="00DF4478" w:rsidRPr="00A858C4" w:rsidRDefault="00DF4478" w:rsidP="00DF4478">
            <w:pPr>
              <w:spacing w:before="20" w:after="20"/>
              <w:jc w:val="right"/>
              <w:rPr>
                <w:noProof/>
                <w:sz w:val="20"/>
              </w:rPr>
            </w:pPr>
          </w:p>
        </w:tc>
        <w:tc>
          <w:tcPr>
            <w:tcW w:w="868" w:type="dxa"/>
            <w:vAlign w:val="center"/>
          </w:tcPr>
          <w:p w14:paraId="3B49FEC2" w14:textId="77777777" w:rsidR="00DF4478" w:rsidRPr="00A858C4" w:rsidRDefault="00DF4478" w:rsidP="00DF4478">
            <w:pPr>
              <w:spacing w:before="20" w:after="20"/>
              <w:jc w:val="right"/>
              <w:rPr>
                <w:noProof/>
                <w:sz w:val="20"/>
              </w:rPr>
            </w:pPr>
          </w:p>
        </w:tc>
        <w:tc>
          <w:tcPr>
            <w:tcW w:w="868" w:type="dxa"/>
            <w:vAlign w:val="center"/>
          </w:tcPr>
          <w:p w14:paraId="20BF1ACA" w14:textId="77777777" w:rsidR="00DF4478" w:rsidRPr="00A858C4" w:rsidRDefault="00DF4478" w:rsidP="00DF4478">
            <w:pPr>
              <w:spacing w:before="20" w:after="20"/>
              <w:jc w:val="right"/>
              <w:rPr>
                <w:noProof/>
                <w:sz w:val="20"/>
              </w:rPr>
            </w:pPr>
          </w:p>
        </w:tc>
        <w:tc>
          <w:tcPr>
            <w:tcW w:w="868" w:type="dxa"/>
            <w:vAlign w:val="center"/>
          </w:tcPr>
          <w:p w14:paraId="5E7387B4" w14:textId="77777777" w:rsidR="00DF4478" w:rsidRPr="00A858C4" w:rsidRDefault="00DF4478" w:rsidP="00DF4478">
            <w:pPr>
              <w:spacing w:before="20" w:after="20"/>
              <w:jc w:val="right"/>
              <w:rPr>
                <w:noProof/>
                <w:sz w:val="20"/>
              </w:rPr>
            </w:pPr>
          </w:p>
        </w:tc>
        <w:tc>
          <w:tcPr>
            <w:tcW w:w="868" w:type="dxa"/>
            <w:vAlign w:val="center"/>
          </w:tcPr>
          <w:p w14:paraId="1129F9CE" w14:textId="77777777" w:rsidR="00DF4478" w:rsidRPr="00A858C4" w:rsidRDefault="00DF4478" w:rsidP="00DF4478">
            <w:pPr>
              <w:spacing w:before="20" w:after="20"/>
              <w:jc w:val="right"/>
              <w:rPr>
                <w:b/>
                <w:noProof/>
                <w:sz w:val="20"/>
              </w:rPr>
            </w:pPr>
          </w:p>
        </w:tc>
        <w:tc>
          <w:tcPr>
            <w:tcW w:w="1777" w:type="dxa"/>
            <w:vAlign w:val="center"/>
          </w:tcPr>
          <w:p w14:paraId="12611F84" w14:textId="77777777" w:rsidR="00DF4478" w:rsidRPr="00A858C4" w:rsidRDefault="00DF4478" w:rsidP="00DF4478">
            <w:pPr>
              <w:spacing w:before="20" w:after="20"/>
              <w:jc w:val="right"/>
              <w:rPr>
                <w:b/>
                <w:noProof/>
                <w:sz w:val="20"/>
              </w:rPr>
            </w:pPr>
          </w:p>
        </w:tc>
      </w:tr>
      <w:tr w:rsidR="00DF4478" w:rsidRPr="00A858C4" w14:paraId="61EEABB3" w14:textId="77777777" w:rsidTr="005D1D40">
        <w:trPr>
          <w:trHeight w:val="351"/>
        </w:trPr>
        <w:tc>
          <w:tcPr>
            <w:tcW w:w="6054" w:type="dxa"/>
            <w:gridSpan w:val="3"/>
            <w:vAlign w:val="center"/>
          </w:tcPr>
          <w:p w14:paraId="0DF0F560" w14:textId="77777777" w:rsidR="00DF4478" w:rsidRPr="00A858C4" w:rsidRDefault="00DF4478" w:rsidP="00DF4478">
            <w:pPr>
              <w:spacing w:before="20" w:after="20"/>
              <w:rPr>
                <w:noProof/>
              </w:rPr>
            </w:pPr>
            <w:r w:rsidRPr="00A858C4">
              <w:rPr>
                <w:noProof/>
                <w:sz w:val="22"/>
              </w:rPr>
              <w:sym w:font="Wingdings" w:char="F09F"/>
            </w:r>
            <w:r w:rsidRPr="00A858C4">
              <w:rPr>
                <w:noProof/>
                <w:sz w:val="22"/>
              </w:rPr>
              <w:t xml:space="preserve"> Andre administrationsudgifter </w:t>
            </w:r>
          </w:p>
        </w:tc>
        <w:tc>
          <w:tcPr>
            <w:tcW w:w="868" w:type="dxa"/>
            <w:vAlign w:val="center"/>
          </w:tcPr>
          <w:p w14:paraId="700211A7" w14:textId="77777777" w:rsidR="00DF4478" w:rsidRPr="00A858C4" w:rsidRDefault="00DF4478" w:rsidP="00DF4478">
            <w:pPr>
              <w:spacing w:before="20" w:after="20"/>
              <w:jc w:val="right"/>
              <w:rPr>
                <w:b/>
                <w:noProof/>
                <w:sz w:val="20"/>
              </w:rPr>
            </w:pPr>
            <w:r w:rsidRPr="00A858C4">
              <w:rPr>
                <w:b/>
                <w:noProof/>
                <w:sz w:val="20"/>
              </w:rPr>
              <w:t>0,015</w:t>
            </w:r>
          </w:p>
        </w:tc>
        <w:tc>
          <w:tcPr>
            <w:tcW w:w="868" w:type="dxa"/>
            <w:vAlign w:val="center"/>
          </w:tcPr>
          <w:p w14:paraId="1A6C3333" w14:textId="77777777" w:rsidR="00DF4478" w:rsidRPr="00A858C4" w:rsidRDefault="00DF4478" w:rsidP="00DF4478">
            <w:pPr>
              <w:spacing w:before="20" w:after="20"/>
              <w:jc w:val="right"/>
              <w:rPr>
                <w:b/>
                <w:noProof/>
                <w:sz w:val="20"/>
              </w:rPr>
            </w:pPr>
            <w:r w:rsidRPr="00A858C4">
              <w:rPr>
                <w:b/>
                <w:noProof/>
                <w:sz w:val="20"/>
              </w:rPr>
              <w:t>0,015</w:t>
            </w:r>
          </w:p>
        </w:tc>
        <w:tc>
          <w:tcPr>
            <w:tcW w:w="868" w:type="dxa"/>
            <w:vAlign w:val="center"/>
          </w:tcPr>
          <w:p w14:paraId="43F4E4FF" w14:textId="77777777" w:rsidR="00DF4478" w:rsidRPr="00A858C4" w:rsidRDefault="00DF4478" w:rsidP="00DF4478">
            <w:pPr>
              <w:spacing w:before="20" w:after="20"/>
              <w:jc w:val="right"/>
              <w:rPr>
                <w:b/>
                <w:noProof/>
                <w:sz w:val="20"/>
              </w:rPr>
            </w:pPr>
            <w:r w:rsidRPr="00A858C4">
              <w:rPr>
                <w:b/>
                <w:noProof/>
                <w:sz w:val="20"/>
              </w:rPr>
              <w:t>0,015</w:t>
            </w:r>
          </w:p>
        </w:tc>
        <w:tc>
          <w:tcPr>
            <w:tcW w:w="868" w:type="dxa"/>
            <w:vAlign w:val="center"/>
          </w:tcPr>
          <w:p w14:paraId="2501F0B1" w14:textId="77777777" w:rsidR="00DF4478" w:rsidRPr="00A858C4" w:rsidRDefault="00DF4478" w:rsidP="00DF4478">
            <w:pPr>
              <w:spacing w:before="20" w:after="20"/>
              <w:jc w:val="right"/>
              <w:rPr>
                <w:b/>
                <w:noProof/>
                <w:sz w:val="20"/>
              </w:rPr>
            </w:pPr>
            <w:r w:rsidRPr="00A858C4">
              <w:rPr>
                <w:b/>
                <w:noProof/>
                <w:sz w:val="20"/>
              </w:rPr>
              <w:t>0,015</w:t>
            </w:r>
          </w:p>
        </w:tc>
        <w:tc>
          <w:tcPr>
            <w:tcW w:w="868" w:type="dxa"/>
            <w:vAlign w:val="center"/>
          </w:tcPr>
          <w:p w14:paraId="567B78E9" w14:textId="77777777" w:rsidR="00DF4478" w:rsidRPr="00A858C4" w:rsidRDefault="00DF4478" w:rsidP="00DF4478">
            <w:pPr>
              <w:spacing w:before="20" w:after="20"/>
              <w:jc w:val="right"/>
              <w:rPr>
                <w:b/>
                <w:noProof/>
                <w:sz w:val="20"/>
              </w:rPr>
            </w:pPr>
          </w:p>
        </w:tc>
        <w:tc>
          <w:tcPr>
            <w:tcW w:w="868" w:type="dxa"/>
            <w:vAlign w:val="center"/>
          </w:tcPr>
          <w:p w14:paraId="59DA6ED7" w14:textId="77777777" w:rsidR="00DF4478" w:rsidRPr="00A858C4" w:rsidRDefault="00DF4478" w:rsidP="00DF4478">
            <w:pPr>
              <w:spacing w:before="20" w:after="20"/>
              <w:jc w:val="right"/>
              <w:rPr>
                <w:b/>
                <w:noProof/>
                <w:sz w:val="20"/>
              </w:rPr>
            </w:pPr>
          </w:p>
        </w:tc>
        <w:tc>
          <w:tcPr>
            <w:tcW w:w="868" w:type="dxa"/>
            <w:vAlign w:val="center"/>
          </w:tcPr>
          <w:p w14:paraId="2BDB1309" w14:textId="77777777" w:rsidR="00DF4478" w:rsidRPr="00A858C4" w:rsidRDefault="00DF4478" w:rsidP="00DF4478">
            <w:pPr>
              <w:spacing w:before="20" w:after="20"/>
              <w:jc w:val="right"/>
              <w:rPr>
                <w:b/>
                <w:noProof/>
                <w:sz w:val="20"/>
              </w:rPr>
            </w:pPr>
          </w:p>
        </w:tc>
        <w:tc>
          <w:tcPr>
            <w:tcW w:w="1777" w:type="dxa"/>
            <w:vAlign w:val="center"/>
          </w:tcPr>
          <w:p w14:paraId="0E760D73" w14:textId="77777777" w:rsidR="00DF4478" w:rsidRPr="00A858C4" w:rsidRDefault="00DF4478" w:rsidP="00DF4478">
            <w:pPr>
              <w:spacing w:before="20" w:after="20"/>
              <w:jc w:val="right"/>
              <w:rPr>
                <w:b/>
                <w:noProof/>
                <w:sz w:val="20"/>
              </w:rPr>
            </w:pPr>
          </w:p>
        </w:tc>
      </w:tr>
      <w:tr w:rsidR="00DF4478" w:rsidRPr="00A858C4" w14:paraId="0C8CA4C0" w14:textId="77777777" w:rsidTr="005D1D40">
        <w:tc>
          <w:tcPr>
            <w:tcW w:w="3960" w:type="dxa"/>
            <w:vAlign w:val="center"/>
          </w:tcPr>
          <w:p w14:paraId="1C3DD157" w14:textId="4CF777C8" w:rsidR="00DF4478" w:rsidRPr="00A858C4" w:rsidRDefault="00DF4478" w:rsidP="00DF4478">
            <w:pPr>
              <w:jc w:val="center"/>
              <w:rPr>
                <w:b/>
                <w:noProof/>
              </w:rPr>
            </w:pPr>
            <w:r w:rsidRPr="00A858C4">
              <w:rPr>
                <w:b/>
                <w:noProof/>
                <w:sz w:val="22"/>
              </w:rPr>
              <w:t>I ALT GD AGRI</w:t>
            </w:r>
          </w:p>
        </w:tc>
        <w:tc>
          <w:tcPr>
            <w:tcW w:w="2094" w:type="dxa"/>
            <w:gridSpan w:val="2"/>
            <w:vAlign w:val="center"/>
          </w:tcPr>
          <w:p w14:paraId="0A94ABE2" w14:textId="77777777" w:rsidR="00DF4478" w:rsidRPr="00A858C4" w:rsidRDefault="00DF4478" w:rsidP="00DF4478">
            <w:pPr>
              <w:rPr>
                <w:noProof/>
                <w:sz w:val="14"/>
              </w:rPr>
            </w:pPr>
            <w:r w:rsidRPr="00A858C4">
              <w:rPr>
                <w:noProof/>
                <w:sz w:val="18"/>
              </w:rPr>
              <w:t xml:space="preserve">Bevillinger </w:t>
            </w:r>
          </w:p>
        </w:tc>
        <w:tc>
          <w:tcPr>
            <w:tcW w:w="868" w:type="dxa"/>
            <w:vAlign w:val="center"/>
          </w:tcPr>
          <w:p w14:paraId="0492B633" w14:textId="77777777" w:rsidR="00DF4478" w:rsidRPr="00A858C4" w:rsidRDefault="00DF4478" w:rsidP="00DF4478">
            <w:pPr>
              <w:spacing w:before="60" w:after="60"/>
              <w:jc w:val="right"/>
              <w:rPr>
                <w:noProof/>
                <w:sz w:val="20"/>
              </w:rPr>
            </w:pPr>
            <w:r w:rsidRPr="00A858C4">
              <w:rPr>
                <w:b/>
                <w:noProof/>
                <w:sz w:val="20"/>
              </w:rPr>
              <w:t>0,015</w:t>
            </w:r>
          </w:p>
        </w:tc>
        <w:tc>
          <w:tcPr>
            <w:tcW w:w="868" w:type="dxa"/>
            <w:vAlign w:val="center"/>
          </w:tcPr>
          <w:p w14:paraId="0B6485BE" w14:textId="77777777" w:rsidR="00DF4478" w:rsidRPr="00A858C4" w:rsidRDefault="00DF4478" w:rsidP="00DF4478">
            <w:pPr>
              <w:spacing w:before="20" w:after="20"/>
              <w:jc w:val="right"/>
              <w:rPr>
                <w:noProof/>
                <w:sz w:val="20"/>
              </w:rPr>
            </w:pPr>
            <w:r w:rsidRPr="00A858C4">
              <w:rPr>
                <w:b/>
                <w:noProof/>
                <w:sz w:val="20"/>
              </w:rPr>
              <w:t>0,015</w:t>
            </w:r>
          </w:p>
        </w:tc>
        <w:tc>
          <w:tcPr>
            <w:tcW w:w="868" w:type="dxa"/>
            <w:vAlign w:val="center"/>
          </w:tcPr>
          <w:p w14:paraId="2A6B7AE1" w14:textId="77777777" w:rsidR="00DF4478" w:rsidRPr="00A858C4" w:rsidRDefault="00DF4478" w:rsidP="00DF4478">
            <w:pPr>
              <w:spacing w:before="20" w:after="20"/>
              <w:jc w:val="right"/>
              <w:rPr>
                <w:noProof/>
                <w:sz w:val="20"/>
              </w:rPr>
            </w:pPr>
            <w:r w:rsidRPr="00A858C4">
              <w:rPr>
                <w:b/>
                <w:noProof/>
                <w:sz w:val="20"/>
              </w:rPr>
              <w:t>0,015</w:t>
            </w:r>
          </w:p>
        </w:tc>
        <w:tc>
          <w:tcPr>
            <w:tcW w:w="868" w:type="dxa"/>
            <w:vAlign w:val="center"/>
          </w:tcPr>
          <w:p w14:paraId="7855CDB2" w14:textId="77777777" w:rsidR="00DF4478" w:rsidRPr="00A858C4" w:rsidRDefault="00DF4478" w:rsidP="00DF4478">
            <w:pPr>
              <w:spacing w:before="20" w:after="20"/>
              <w:jc w:val="right"/>
              <w:rPr>
                <w:noProof/>
                <w:sz w:val="20"/>
              </w:rPr>
            </w:pPr>
            <w:r w:rsidRPr="00A858C4">
              <w:rPr>
                <w:b/>
                <w:noProof/>
                <w:sz w:val="20"/>
              </w:rPr>
              <w:t>0,015</w:t>
            </w:r>
          </w:p>
        </w:tc>
        <w:tc>
          <w:tcPr>
            <w:tcW w:w="868" w:type="dxa"/>
            <w:vAlign w:val="center"/>
          </w:tcPr>
          <w:p w14:paraId="0EC11C34" w14:textId="77777777" w:rsidR="00DF4478" w:rsidRPr="00A858C4" w:rsidRDefault="00DF4478" w:rsidP="00DF4478">
            <w:pPr>
              <w:spacing w:before="20" w:after="20"/>
              <w:jc w:val="right"/>
              <w:rPr>
                <w:noProof/>
                <w:sz w:val="20"/>
              </w:rPr>
            </w:pPr>
          </w:p>
        </w:tc>
        <w:tc>
          <w:tcPr>
            <w:tcW w:w="868" w:type="dxa"/>
            <w:vAlign w:val="center"/>
          </w:tcPr>
          <w:p w14:paraId="2163B828" w14:textId="77777777" w:rsidR="00DF4478" w:rsidRPr="00A858C4" w:rsidRDefault="00DF4478" w:rsidP="00DF4478">
            <w:pPr>
              <w:spacing w:before="20" w:after="20"/>
              <w:jc w:val="right"/>
              <w:rPr>
                <w:noProof/>
                <w:sz w:val="20"/>
              </w:rPr>
            </w:pPr>
          </w:p>
        </w:tc>
        <w:tc>
          <w:tcPr>
            <w:tcW w:w="868" w:type="dxa"/>
            <w:vAlign w:val="center"/>
          </w:tcPr>
          <w:p w14:paraId="099C9207" w14:textId="77777777" w:rsidR="00DF4478" w:rsidRPr="00A858C4" w:rsidRDefault="00DF4478" w:rsidP="00DF4478">
            <w:pPr>
              <w:spacing w:before="20" w:after="20"/>
              <w:jc w:val="right"/>
              <w:rPr>
                <w:b/>
                <w:noProof/>
                <w:sz w:val="20"/>
              </w:rPr>
            </w:pPr>
          </w:p>
        </w:tc>
        <w:tc>
          <w:tcPr>
            <w:tcW w:w="1777" w:type="dxa"/>
            <w:vAlign w:val="center"/>
          </w:tcPr>
          <w:p w14:paraId="569AD28F" w14:textId="77777777" w:rsidR="00DF4478" w:rsidRPr="00A858C4" w:rsidRDefault="00DF4478" w:rsidP="00DF4478">
            <w:pPr>
              <w:spacing w:before="20" w:after="20"/>
              <w:jc w:val="right"/>
              <w:rPr>
                <w:b/>
                <w:noProof/>
                <w:sz w:val="20"/>
              </w:rPr>
            </w:pPr>
          </w:p>
        </w:tc>
      </w:tr>
      <w:tr w:rsidR="00DF4478" w:rsidRPr="00A858C4" w14:paraId="2B21CCD1" w14:textId="77777777" w:rsidTr="005D1D40">
        <w:trPr>
          <w:gridAfter w:val="10"/>
          <w:wAfter w:w="9947" w:type="dxa"/>
        </w:trPr>
        <w:tc>
          <w:tcPr>
            <w:tcW w:w="3960" w:type="dxa"/>
            <w:vAlign w:val="center"/>
          </w:tcPr>
          <w:p w14:paraId="0A990357" w14:textId="4902CC88" w:rsidR="00DF4478" w:rsidRPr="00A858C4" w:rsidRDefault="00DF4478" w:rsidP="00DF4478">
            <w:pPr>
              <w:spacing w:before="60" w:after="60"/>
              <w:jc w:val="center"/>
              <w:rPr>
                <w:noProof/>
              </w:rPr>
            </w:pPr>
            <w:r w:rsidRPr="00A858C4">
              <w:rPr>
                <w:noProof/>
                <w:sz w:val="22"/>
              </w:rPr>
              <w:t>GD: ENV</w:t>
            </w:r>
          </w:p>
        </w:tc>
      </w:tr>
      <w:tr w:rsidR="00DF4478" w:rsidRPr="00A858C4" w14:paraId="45775439" w14:textId="77777777" w:rsidTr="005D1D40">
        <w:trPr>
          <w:trHeight w:val="313"/>
        </w:trPr>
        <w:tc>
          <w:tcPr>
            <w:tcW w:w="6054" w:type="dxa"/>
            <w:gridSpan w:val="3"/>
            <w:vAlign w:val="center"/>
          </w:tcPr>
          <w:p w14:paraId="4ABB27D8" w14:textId="77777777" w:rsidR="00DF4478" w:rsidRPr="00A858C4" w:rsidRDefault="00DF4478" w:rsidP="00DF4478">
            <w:pPr>
              <w:spacing w:before="20" w:after="20"/>
              <w:rPr>
                <w:noProof/>
              </w:rPr>
            </w:pPr>
            <w:r w:rsidRPr="00A858C4">
              <w:rPr>
                <w:noProof/>
                <w:sz w:val="22"/>
              </w:rPr>
              <w:sym w:font="Wingdings" w:char="F09F"/>
            </w:r>
            <w:r w:rsidRPr="00A858C4">
              <w:rPr>
                <w:noProof/>
                <w:sz w:val="22"/>
              </w:rPr>
              <w:t xml:space="preserve"> Menneskelige ressourcer </w:t>
            </w:r>
          </w:p>
        </w:tc>
        <w:tc>
          <w:tcPr>
            <w:tcW w:w="868" w:type="dxa"/>
            <w:vAlign w:val="center"/>
          </w:tcPr>
          <w:p w14:paraId="08F472F9" w14:textId="77777777" w:rsidR="00DF4478" w:rsidRPr="00A858C4" w:rsidRDefault="00DF4478" w:rsidP="00DF4478">
            <w:pPr>
              <w:spacing w:before="20" w:after="20"/>
              <w:jc w:val="right"/>
              <w:rPr>
                <w:noProof/>
                <w:sz w:val="20"/>
              </w:rPr>
            </w:pPr>
          </w:p>
        </w:tc>
        <w:tc>
          <w:tcPr>
            <w:tcW w:w="868" w:type="dxa"/>
            <w:vAlign w:val="center"/>
          </w:tcPr>
          <w:p w14:paraId="24EB6458" w14:textId="77777777" w:rsidR="00DF4478" w:rsidRPr="00A858C4" w:rsidRDefault="00DF4478" w:rsidP="00DF4478">
            <w:pPr>
              <w:spacing w:before="20" w:after="20"/>
              <w:jc w:val="right"/>
              <w:rPr>
                <w:noProof/>
                <w:sz w:val="20"/>
              </w:rPr>
            </w:pPr>
          </w:p>
        </w:tc>
        <w:tc>
          <w:tcPr>
            <w:tcW w:w="868" w:type="dxa"/>
            <w:vAlign w:val="center"/>
          </w:tcPr>
          <w:p w14:paraId="75754C0C" w14:textId="77777777" w:rsidR="00DF4478" w:rsidRPr="00A858C4" w:rsidRDefault="00DF4478" w:rsidP="00DF4478">
            <w:pPr>
              <w:spacing w:before="20" w:after="20"/>
              <w:jc w:val="right"/>
              <w:rPr>
                <w:noProof/>
                <w:sz w:val="20"/>
              </w:rPr>
            </w:pPr>
          </w:p>
        </w:tc>
        <w:tc>
          <w:tcPr>
            <w:tcW w:w="868" w:type="dxa"/>
            <w:vAlign w:val="center"/>
          </w:tcPr>
          <w:p w14:paraId="2FF35E86" w14:textId="77777777" w:rsidR="00DF4478" w:rsidRPr="00A858C4" w:rsidRDefault="00DF4478" w:rsidP="00DF4478">
            <w:pPr>
              <w:spacing w:before="20" w:after="20"/>
              <w:jc w:val="right"/>
              <w:rPr>
                <w:noProof/>
                <w:sz w:val="20"/>
              </w:rPr>
            </w:pPr>
          </w:p>
        </w:tc>
        <w:tc>
          <w:tcPr>
            <w:tcW w:w="868" w:type="dxa"/>
            <w:vAlign w:val="center"/>
          </w:tcPr>
          <w:p w14:paraId="267DFF64" w14:textId="77777777" w:rsidR="00DF4478" w:rsidRPr="00A858C4" w:rsidRDefault="00DF4478" w:rsidP="00DF4478">
            <w:pPr>
              <w:spacing w:before="20" w:after="20"/>
              <w:jc w:val="right"/>
              <w:rPr>
                <w:noProof/>
                <w:sz w:val="20"/>
              </w:rPr>
            </w:pPr>
          </w:p>
        </w:tc>
        <w:tc>
          <w:tcPr>
            <w:tcW w:w="868" w:type="dxa"/>
            <w:vAlign w:val="center"/>
          </w:tcPr>
          <w:p w14:paraId="4ABB6875" w14:textId="77777777" w:rsidR="00DF4478" w:rsidRPr="00A858C4" w:rsidRDefault="00DF4478" w:rsidP="00DF4478">
            <w:pPr>
              <w:spacing w:before="20" w:after="20"/>
              <w:jc w:val="right"/>
              <w:rPr>
                <w:noProof/>
                <w:sz w:val="20"/>
              </w:rPr>
            </w:pPr>
          </w:p>
        </w:tc>
        <w:tc>
          <w:tcPr>
            <w:tcW w:w="868" w:type="dxa"/>
            <w:vAlign w:val="center"/>
          </w:tcPr>
          <w:p w14:paraId="12A33523" w14:textId="77777777" w:rsidR="00DF4478" w:rsidRPr="00A858C4" w:rsidRDefault="00DF4478" w:rsidP="00DF4478">
            <w:pPr>
              <w:spacing w:before="20" w:after="20"/>
              <w:jc w:val="right"/>
              <w:rPr>
                <w:b/>
                <w:noProof/>
                <w:sz w:val="20"/>
              </w:rPr>
            </w:pPr>
          </w:p>
        </w:tc>
        <w:tc>
          <w:tcPr>
            <w:tcW w:w="1777" w:type="dxa"/>
            <w:vAlign w:val="center"/>
          </w:tcPr>
          <w:p w14:paraId="1A3A3105" w14:textId="77777777" w:rsidR="00DF4478" w:rsidRPr="00A858C4" w:rsidRDefault="00DF4478" w:rsidP="00DF4478">
            <w:pPr>
              <w:spacing w:before="20" w:after="20"/>
              <w:jc w:val="right"/>
              <w:rPr>
                <w:b/>
                <w:noProof/>
                <w:sz w:val="20"/>
              </w:rPr>
            </w:pPr>
          </w:p>
        </w:tc>
      </w:tr>
      <w:tr w:rsidR="00DF4478" w:rsidRPr="00A858C4" w14:paraId="14E18548" w14:textId="77777777" w:rsidTr="005D1D40">
        <w:trPr>
          <w:trHeight w:val="351"/>
        </w:trPr>
        <w:tc>
          <w:tcPr>
            <w:tcW w:w="6054" w:type="dxa"/>
            <w:gridSpan w:val="3"/>
            <w:vAlign w:val="center"/>
          </w:tcPr>
          <w:p w14:paraId="0DE6EC85" w14:textId="77777777" w:rsidR="00DF4478" w:rsidRPr="00A858C4" w:rsidRDefault="00DF4478" w:rsidP="00DF4478">
            <w:pPr>
              <w:spacing w:before="20" w:after="20"/>
              <w:rPr>
                <w:noProof/>
              </w:rPr>
            </w:pPr>
            <w:r w:rsidRPr="00A858C4">
              <w:rPr>
                <w:noProof/>
                <w:sz w:val="22"/>
              </w:rPr>
              <w:sym w:font="Wingdings" w:char="F09F"/>
            </w:r>
            <w:r w:rsidRPr="00A858C4">
              <w:rPr>
                <w:noProof/>
                <w:sz w:val="22"/>
              </w:rPr>
              <w:t xml:space="preserve"> Andre administrationsudgifter </w:t>
            </w:r>
          </w:p>
        </w:tc>
        <w:tc>
          <w:tcPr>
            <w:tcW w:w="868" w:type="dxa"/>
            <w:vAlign w:val="center"/>
          </w:tcPr>
          <w:p w14:paraId="6F0C6DAD" w14:textId="77777777" w:rsidR="00DF4478" w:rsidRPr="00A858C4" w:rsidRDefault="00DF4478" w:rsidP="00DF4478">
            <w:pPr>
              <w:spacing w:before="20" w:after="20"/>
              <w:jc w:val="right"/>
              <w:rPr>
                <w:b/>
                <w:noProof/>
                <w:sz w:val="20"/>
              </w:rPr>
            </w:pPr>
            <w:r w:rsidRPr="00A858C4">
              <w:rPr>
                <w:b/>
                <w:noProof/>
                <w:sz w:val="20"/>
              </w:rPr>
              <w:t>0,015</w:t>
            </w:r>
          </w:p>
        </w:tc>
        <w:tc>
          <w:tcPr>
            <w:tcW w:w="868" w:type="dxa"/>
            <w:vAlign w:val="center"/>
          </w:tcPr>
          <w:p w14:paraId="4AD86B00" w14:textId="77777777" w:rsidR="00DF4478" w:rsidRPr="00A858C4" w:rsidRDefault="00DF4478" w:rsidP="00DF4478">
            <w:pPr>
              <w:spacing w:before="20" w:after="20"/>
              <w:jc w:val="right"/>
              <w:rPr>
                <w:b/>
                <w:noProof/>
                <w:sz w:val="20"/>
              </w:rPr>
            </w:pPr>
            <w:r w:rsidRPr="00A858C4">
              <w:rPr>
                <w:b/>
                <w:noProof/>
                <w:sz w:val="20"/>
              </w:rPr>
              <w:t>0,015</w:t>
            </w:r>
          </w:p>
        </w:tc>
        <w:tc>
          <w:tcPr>
            <w:tcW w:w="868" w:type="dxa"/>
            <w:vAlign w:val="center"/>
          </w:tcPr>
          <w:p w14:paraId="6B8DC13B" w14:textId="77777777" w:rsidR="00DF4478" w:rsidRPr="00A858C4" w:rsidRDefault="00DF4478" w:rsidP="00DF4478">
            <w:pPr>
              <w:spacing w:before="20" w:after="20"/>
              <w:jc w:val="right"/>
              <w:rPr>
                <w:b/>
                <w:noProof/>
                <w:sz w:val="20"/>
              </w:rPr>
            </w:pPr>
            <w:r w:rsidRPr="00A858C4">
              <w:rPr>
                <w:b/>
                <w:noProof/>
                <w:sz w:val="20"/>
              </w:rPr>
              <w:t>0,015</w:t>
            </w:r>
          </w:p>
        </w:tc>
        <w:tc>
          <w:tcPr>
            <w:tcW w:w="868" w:type="dxa"/>
            <w:vAlign w:val="center"/>
          </w:tcPr>
          <w:p w14:paraId="383AD34B" w14:textId="77777777" w:rsidR="00DF4478" w:rsidRPr="00A858C4" w:rsidRDefault="00DF4478" w:rsidP="00DF4478">
            <w:pPr>
              <w:spacing w:before="20" w:after="20"/>
              <w:jc w:val="right"/>
              <w:rPr>
                <w:b/>
                <w:noProof/>
                <w:sz w:val="20"/>
              </w:rPr>
            </w:pPr>
            <w:r w:rsidRPr="00A858C4">
              <w:rPr>
                <w:b/>
                <w:noProof/>
                <w:sz w:val="20"/>
              </w:rPr>
              <w:t>0,015</w:t>
            </w:r>
          </w:p>
        </w:tc>
        <w:tc>
          <w:tcPr>
            <w:tcW w:w="868" w:type="dxa"/>
            <w:vAlign w:val="center"/>
          </w:tcPr>
          <w:p w14:paraId="43C8BC96" w14:textId="77777777" w:rsidR="00DF4478" w:rsidRPr="00A858C4" w:rsidRDefault="00DF4478" w:rsidP="00DF4478">
            <w:pPr>
              <w:spacing w:before="20" w:after="20"/>
              <w:jc w:val="right"/>
              <w:rPr>
                <w:b/>
                <w:noProof/>
                <w:sz w:val="20"/>
              </w:rPr>
            </w:pPr>
          </w:p>
        </w:tc>
        <w:tc>
          <w:tcPr>
            <w:tcW w:w="868" w:type="dxa"/>
            <w:vAlign w:val="center"/>
          </w:tcPr>
          <w:p w14:paraId="06F7A641" w14:textId="77777777" w:rsidR="00DF4478" w:rsidRPr="00A858C4" w:rsidRDefault="00DF4478" w:rsidP="00DF4478">
            <w:pPr>
              <w:spacing w:before="20" w:after="20"/>
              <w:jc w:val="right"/>
              <w:rPr>
                <w:b/>
                <w:noProof/>
                <w:sz w:val="20"/>
              </w:rPr>
            </w:pPr>
          </w:p>
        </w:tc>
        <w:tc>
          <w:tcPr>
            <w:tcW w:w="868" w:type="dxa"/>
            <w:vAlign w:val="center"/>
          </w:tcPr>
          <w:p w14:paraId="65B1C455" w14:textId="77777777" w:rsidR="00DF4478" w:rsidRPr="00A858C4" w:rsidRDefault="00DF4478" w:rsidP="00DF4478">
            <w:pPr>
              <w:spacing w:before="20" w:after="20"/>
              <w:jc w:val="right"/>
              <w:rPr>
                <w:b/>
                <w:noProof/>
                <w:sz w:val="20"/>
              </w:rPr>
            </w:pPr>
          </w:p>
        </w:tc>
        <w:tc>
          <w:tcPr>
            <w:tcW w:w="1777" w:type="dxa"/>
            <w:vAlign w:val="center"/>
          </w:tcPr>
          <w:p w14:paraId="6FC5DDF9" w14:textId="77777777" w:rsidR="00DF4478" w:rsidRPr="00A858C4" w:rsidRDefault="00DF4478" w:rsidP="00DF4478">
            <w:pPr>
              <w:spacing w:before="20" w:after="20"/>
              <w:jc w:val="right"/>
              <w:rPr>
                <w:b/>
                <w:noProof/>
                <w:sz w:val="20"/>
              </w:rPr>
            </w:pPr>
          </w:p>
        </w:tc>
      </w:tr>
      <w:tr w:rsidR="00DF4478" w:rsidRPr="00A858C4" w14:paraId="522DF67C" w14:textId="77777777" w:rsidTr="005D1D40">
        <w:tc>
          <w:tcPr>
            <w:tcW w:w="3960" w:type="dxa"/>
            <w:vAlign w:val="center"/>
          </w:tcPr>
          <w:p w14:paraId="2AC2DD52" w14:textId="5DC916EA" w:rsidR="00DF4478" w:rsidRPr="00A858C4" w:rsidRDefault="00DF4478" w:rsidP="00DF4478">
            <w:pPr>
              <w:jc w:val="center"/>
              <w:rPr>
                <w:b/>
                <w:noProof/>
              </w:rPr>
            </w:pPr>
            <w:r w:rsidRPr="00A858C4">
              <w:rPr>
                <w:b/>
                <w:noProof/>
                <w:sz w:val="22"/>
              </w:rPr>
              <w:t>I ALT DG ENV</w:t>
            </w:r>
          </w:p>
        </w:tc>
        <w:tc>
          <w:tcPr>
            <w:tcW w:w="2094" w:type="dxa"/>
            <w:gridSpan w:val="2"/>
            <w:vAlign w:val="center"/>
          </w:tcPr>
          <w:p w14:paraId="10B1552E" w14:textId="77777777" w:rsidR="00DF4478" w:rsidRPr="00A858C4" w:rsidRDefault="00DF4478" w:rsidP="00DF4478">
            <w:pPr>
              <w:rPr>
                <w:noProof/>
                <w:sz w:val="14"/>
              </w:rPr>
            </w:pPr>
            <w:r w:rsidRPr="00A858C4">
              <w:rPr>
                <w:noProof/>
                <w:sz w:val="18"/>
              </w:rPr>
              <w:t xml:space="preserve">Bevillinger </w:t>
            </w:r>
          </w:p>
        </w:tc>
        <w:tc>
          <w:tcPr>
            <w:tcW w:w="868" w:type="dxa"/>
            <w:vAlign w:val="center"/>
          </w:tcPr>
          <w:p w14:paraId="7E1D76A3" w14:textId="77777777" w:rsidR="00DF4478" w:rsidRPr="00A858C4" w:rsidRDefault="00DF4478" w:rsidP="00DF4478">
            <w:pPr>
              <w:spacing w:before="60" w:after="60"/>
              <w:jc w:val="right"/>
              <w:rPr>
                <w:noProof/>
                <w:sz w:val="20"/>
              </w:rPr>
            </w:pPr>
            <w:r w:rsidRPr="00A858C4">
              <w:rPr>
                <w:b/>
                <w:noProof/>
                <w:sz w:val="20"/>
              </w:rPr>
              <w:t>0,015</w:t>
            </w:r>
          </w:p>
        </w:tc>
        <w:tc>
          <w:tcPr>
            <w:tcW w:w="868" w:type="dxa"/>
            <w:vAlign w:val="center"/>
          </w:tcPr>
          <w:p w14:paraId="4B5D3C82" w14:textId="77777777" w:rsidR="00DF4478" w:rsidRPr="00A858C4" w:rsidRDefault="00DF4478" w:rsidP="00DF4478">
            <w:pPr>
              <w:spacing w:before="20" w:after="20"/>
              <w:jc w:val="right"/>
              <w:rPr>
                <w:noProof/>
                <w:sz w:val="20"/>
              </w:rPr>
            </w:pPr>
            <w:r w:rsidRPr="00A858C4">
              <w:rPr>
                <w:b/>
                <w:noProof/>
                <w:sz w:val="20"/>
              </w:rPr>
              <w:t>0,015</w:t>
            </w:r>
          </w:p>
        </w:tc>
        <w:tc>
          <w:tcPr>
            <w:tcW w:w="868" w:type="dxa"/>
            <w:vAlign w:val="center"/>
          </w:tcPr>
          <w:p w14:paraId="52E71347" w14:textId="77777777" w:rsidR="00DF4478" w:rsidRPr="00A858C4" w:rsidRDefault="00DF4478" w:rsidP="00DF4478">
            <w:pPr>
              <w:spacing w:before="20" w:after="20"/>
              <w:jc w:val="right"/>
              <w:rPr>
                <w:noProof/>
                <w:sz w:val="20"/>
              </w:rPr>
            </w:pPr>
            <w:r w:rsidRPr="00A858C4">
              <w:rPr>
                <w:b/>
                <w:noProof/>
                <w:sz w:val="20"/>
              </w:rPr>
              <w:t>0,015</w:t>
            </w:r>
          </w:p>
        </w:tc>
        <w:tc>
          <w:tcPr>
            <w:tcW w:w="868" w:type="dxa"/>
            <w:vAlign w:val="center"/>
          </w:tcPr>
          <w:p w14:paraId="05DB72A6" w14:textId="77777777" w:rsidR="00DF4478" w:rsidRPr="00A858C4" w:rsidRDefault="00DF4478" w:rsidP="00DF4478">
            <w:pPr>
              <w:spacing w:before="20" w:after="20"/>
              <w:jc w:val="right"/>
              <w:rPr>
                <w:noProof/>
                <w:sz w:val="20"/>
              </w:rPr>
            </w:pPr>
            <w:r w:rsidRPr="00A858C4">
              <w:rPr>
                <w:b/>
                <w:noProof/>
                <w:sz w:val="20"/>
              </w:rPr>
              <w:t>0,015</w:t>
            </w:r>
          </w:p>
        </w:tc>
        <w:tc>
          <w:tcPr>
            <w:tcW w:w="868" w:type="dxa"/>
            <w:vAlign w:val="center"/>
          </w:tcPr>
          <w:p w14:paraId="4EC9F457" w14:textId="77777777" w:rsidR="00DF4478" w:rsidRPr="00A858C4" w:rsidRDefault="00DF4478" w:rsidP="00DF4478">
            <w:pPr>
              <w:spacing w:before="20" w:after="20"/>
              <w:jc w:val="right"/>
              <w:rPr>
                <w:noProof/>
                <w:sz w:val="20"/>
              </w:rPr>
            </w:pPr>
          </w:p>
        </w:tc>
        <w:tc>
          <w:tcPr>
            <w:tcW w:w="868" w:type="dxa"/>
            <w:vAlign w:val="center"/>
          </w:tcPr>
          <w:p w14:paraId="34AF83A0" w14:textId="77777777" w:rsidR="00DF4478" w:rsidRPr="00A858C4" w:rsidRDefault="00DF4478" w:rsidP="00DF4478">
            <w:pPr>
              <w:spacing w:before="20" w:after="20"/>
              <w:jc w:val="right"/>
              <w:rPr>
                <w:noProof/>
                <w:sz w:val="20"/>
              </w:rPr>
            </w:pPr>
          </w:p>
        </w:tc>
        <w:tc>
          <w:tcPr>
            <w:tcW w:w="868" w:type="dxa"/>
            <w:vAlign w:val="center"/>
          </w:tcPr>
          <w:p w14:paraId="4C5958AE" w14:textId="77777777" w:rsidR="00DF4478" w:rsidRPr="00A858C4" w:rsidRDefault="00DF4478" w:rsidP="00DF4478">
            <w:pPr>
              <w:spacing w:before="20" w:after="20"/>
              <w:jc w:val="right"/>
              <w:rPr>
                <w:b/>
                <w:noProof/>
                <w:sz w:val="20"/>
              </w:rPr>
            </w:pPr>
          </w:p>
        </w:tc>
        <w:tc>
          <w:tcPr>
            <w:tcW w:w="1777" w:type="dxa"/>
            <w:vAlign w:val="center"/>
          </w:tcPr>
          <w:p w14:paraId="1AABF6F6" w14:textId="77777777" w:rsidR="00DF4478" w:rsidRPr="00A858C4" w:rsidRDefault="00DF4478" w:rsidP="00DF4478">
            <w:pPr>
              <w:spacing w:before="20" w:after="20"/>
              <w:jc w:val="right"/>
              <w:rPr>
                <w:b/>
                <w:noProof/>
                <w:sz w:val="20"/>
              </w:rPr>
            </w:pPr>
          </w:p>
        </w:tc>
      </w:tr>
    </w:tbl>
    <w:p w14:paraId="4855D8F3" w14:textId="77777777" w:rsidR="00CC2E8F" w:rsidRPr="00A858C4" w:rsidRDefault="00CC2E8F" w:rsidP="00DF4478">
      <w:pPr>
        <w:rPr>
          <w:noProof/>
        </w:rPr>
      </w:pPr>
    </w:p>
    <w:p w14:paraId="2070BD51" w14:textId="77777777" w:rsidR="00CC2E8F" w:rsidRPr="00A858C4" w:rsidRDefault="00CC2E8F" w:rsidP="00CC2E8F">
      <w:pPr>
        <w:rPr>
          <w:noProof/>
        </w:rPr>
      </w:pPr>
    </w:p>
    <w:p w14:paraId="201B9A81" w14:textId="77777777" w:rsidR="00DF4478" w:rsidRPr="00A858C4" w:rsidRDefault="00DF4478" w:rsidP="00CC2E8F">
      <w:pPr>
        <w:jc w:val="right"/>
        <w:rPr>
          <w:noProo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DF4478" w:rsidRPr="00A858C4" w14:paraId="3944A4A7" w14:textId="77777777" w:rsidTr="00CC2E8F">
        <w:tc>
          <w:tcPr>
            <w:tcW w:w="3960" w:type="dxa"/>
            <w:shd w:val="thinDiagStripe" w:color="C0C0C0" w:fill="auto"/>
            <w:vAlign w:val="center"/>
          </w:tcPr>
          <w:p w14:paraId="5E0304AD" w14:textId="77777777" w:rsidR="00DF4478" w:rsidRPr="00A858C4" w:rsidRDefault="00DF4478" w:rsidP="00CC2E8F">
            <w:pPr>
              <w:jc w:val="center"/>
              <w:rPr>
                <w:b/>
                <w:noProof/>
              </w:rPr>
            </w:pPr>
            <w:r w:rsidRPr="00A858C4">
              <w:rPr>
                <w:b/>
                <w:noProof/>
                <w:sz w:val="22"/>
              </w:rPr>
              <w:t>Bevillinger I ALT</w:t>
            </w:r>
            <w:r w:rsidRPr="00A858C4">
              <w:rPr>
                <w:noProof/>
                <w:sz w:val="22"/>
              </w:rPr>
              <w:br/>
            </w:r>
            <w:r w:rsidRPr="00A858C4">
              <w:rPr>
                <w:b/>
                <w:noProof/>
                <w:sz w:val="22"/>
              </w:rPr>
              <w:t>under UDGIFTSOMRÅDE 7</w:t>
            </w:r>
            <w:r w:rsidRPr="00A858C4">
              <w:rPr>
                <w:noProof/>
                <w:sz w:val="22"/>
              </w:rPr>
              <w:br/>
              <w:t>i den flerårige finansielle ramme</w:t>
            </w:r>
            <w:r w:rsidRPr="00A858C4">
              <w:rPr>
                <w:b/>
                <w:noProof/>
                <w:sz w:val="22"/>
              </w:rPr>
              <w:t xml:space="preserve"> </w:t>
            </w:r>
          </w:p>
        </w:tc>
        <w:tc>
          <w:tcPr>
            <w:tcW w:w="2094" w:type="dxa"/>
            <w:vAlign w:val="center"/>
          </w:tcPr>
          <w:p w14:paraId="34D75B6E" w14:textId="77777777" w:rsidR="00DF4478" w:rsidRPr="00A858C4" w:rsidRDefault="00DF4478" w:rsidP="00CC2E8F">
            <w:pPr>
              <w:spacing w:before="40" w:after="40"/>
              <w:rPr>
                <w:noProof/>
              </w:rPr>
            </w:pPr>
            <w:r w:rsidRPr="00A858C4">
              <w:rPr>
                <w:noProof/>
                <w:sz w:val="18"/>
              </w:rPr>
              <w:t>(Forpligtelser i alt = betalinger i alt)</w:t>
            </w:r>
          </w:p>
        </w:tc>
        <w:tc>
          <w:tcPr>
            <w:tcW w:w="868" w:type="dxa"/>
            <w:vAlign w:val="center"/>
          </w:tcPr>
          <w:p w14:paraId="44DB6B18" w14:textId="77777777" w:rsidR="00DF4478" w:rsidRPr="00A858C4" w:rsidRDefault="00DF4478" w:rsidP="00CC2E8F">
            <w:pPr>
              <w:spacing w:before="20" w:after="20"/>
              <w:jc w:val="right"/>
              <w:rPr>
                <w:noProof/>
                <w:sz w:val="20"/>
              </w:rPr>
            </w:pPr>
            <w:r w:rsidRPr="00A858C4">
              <w:rPr>
                <w:noProof/>
                <w:sz w:val="20"/>
              </w:rPr>
              <w:t>0,030</w:t>
            </w:r>
          </w:p>
        </w:tc>
        <w:tc>
          <w:tcPr>
            <w:tcW w:w="868" w:type="dxa"/>
            <w:vAlign w:val="center"/>
          </w:tcPr>
          <w:p w14:paraId="30A85348" w14:textId="77777777" w:rsidR="00DF4478" w:rsidRPr="00A858C4" w:rsidRDefault="00DF4478" w:rsidP="00CC2E8F">
            <w:pPr>
              <w:spacing w:before="20" w:after="20"/>
              <w:jc w:val="right"/>
              <w:rPr>
                <w:noProof/>
                <w:sz w:val="20"/>
              </w:rPr>
            </w:pPr>
            <w:r w:rsidRPr="00A858C4">
              <w:rPr>
                <w:noProof/>
                <w:sz w:val="20"/>
              </w:rPr>
              <w:t>0,030</w:t>
            </w:r>
          </w:p>
        </w:tc>
        <w:tc>
          <w:tcPr>
            <w:tcW w:w="868" w:type="dxa"/>
            <w:vAlign w:val="center"/>
          </w:tcPr>
          <w:p w14:paraId="448FC9A6" w14:textId="77777777" w:rsidR="00DF4478" w:rsidRPr="00A858C4" w:rsidRDefault="00DF4478" w:rsidP="00CC2E8F">
            <w:pPr>
              <w:spacing w:before="20" w:after="20"/>
              <w:jc w:val="right"/>
              <w:rPr>
                <w:noProof/>
                <w:sz w:val="20"/>
              </w:rPr>
            </w:pPr>
            <w:r w:rsidRPr="00A858C4">
              <w:rPr>
                <w:noProof/>
                <w:sz w:val="20"/>
              </w:rPr>
              <w:t>0,030</w:t>
            </w:r>
          </w:p>
        </w:tc>
        <w:tc>
          <w:tcPr>
            <w:tcW w:w="868" w:type="dxa"/>
            <w:vAlign w:val="center"/>
          </w:tcPr>
          <w:p w14:paraId="5B37ACA3" w14:textId="77777777" w:rsidR="00DF4478" w:rsidRPr="00A858C4" w:rsidRDefault="00DF4478" w:rsidP="00CC2E8F">
            <w:pPr>
              <w:spacing w:before="20" w:after="20"/>
              <w:jc w:val="right"/>
              <w:rPr>
                <w:noProof/>
                <w:sz w:val="20"/>
              </w:rPr>
            </w:pPr>
            <w:r w:rsidRPr="00A858C4">
              <w:rPr>
                <w:noProof/>
                <w:sz w:val="20"/>
              </w:rPr>
              <w:t>0,030</w:t>
            </w:r>
          </w:p>
        </w:tc>
        <w:tc>
          <w:tcPr>
            <w:tcW w:w="868" w:type="dxa"/>
            <w:vAlign w:val="center"/>
          </w:tcPr>
          <w:p w14:paraId="01E6C010" w14:textId="77777777" w:rsidR="00DF4478" w:rsidRPr="00A858C4" w:rsidRDefault="00DF4478" w:rsidP="00CC2E8F">
            <w:pPr>
              <w:spacing w:before="20" w:after="20"/>
              <w:jc w:val="right"/>
              <w:rPr>
                <w:noProof/>
                <w:sz w:val="20"/>
              </w:rPr>
            </w:pPr>
          </w:p>
        </w:tc>
        <w:tc>
          <w:tcPr>
            <w:tcW w:w="868" w:type="dxa"/>
            <w:vAlign w:val="center"/>
          </w:tcPr>
          <w:p w14:paraId="0C62C6EF" w14:textId="77777777" w:rsidR="00DF4478" w:rsidRPr="00A858C4" w:rsidRDefault="00DF4478" w:rsidP="00CC2E8F">
            <w:pPr>
              <w:spacing w:before="20" w:after="20"/>
              <w:jc w:val="right"/>
              <w:rPr>
                <w:noProof/>
                <w:sz w:val="20"/>
              </w:rPr>
            </w:pPr>
          </w:p>
        </w:tc>
        <w:tc>
          <w:tcPr>
            <w:tcW w:w="868" w:type="dxa"/>
            <w:vAlign w:val="center"/>
          </w:tcPr>
          <w:p w14:paraId="44767D3E" w14:textId="77777777" w:rsidR="00DF4478" w:rsidRPr="00A858C4" w:rsidRDefault="00DF4478" w:rsidP="00CC2E8F">
            <w:pPr>
              <w:spacing w:before="20" w:after="20"/>
              <w:jc w:val="right"/>
              <w:rPr>
                <w:b/>
                <w:noProof/>
                <w:sz w:val="20"/>
              </w:rPr>
            </w:pPr>
          </w:p>
        </w:tc>
        <w:tc>
          <w:tcPr>
            <w:tcW w:w="1777" w:type="dxa"/>
            <w:vAlign w:val="center"/>
          </w:tcPr>
          <w:p w14:paraId="10AF89C2" w14:textId="77777777" w:rsidR="00DF4478" w:rsidRPr="00A858C4" w:rsidRDefault="00DF4478" w:rsidP="00CC2E8F">
            <w:pPr>
              <w:spacing w:before="20" w:after="20"/>
              <w:jc w:val="right"/>
              <w:rPr>
                <w:b/>
                <w:noProof/>
                <w:sz w:val="20"/>
              </w:rPr>
            </w:pPr>
          </w:p>
        </w:tc>
      </w:tr>
    </w:tbl>
    <w:p w14:paraId="196D77F5" w14:textId="77777777" w:rsidR="00DF4478" w:rsidRPr="00A858C4" w:rsidRDefault="00CC2E8F" w:rsidP="00DF4478">
      <w:pPr>
        <w:jc w:val="right"/>
        <w:rPr>
          <w:noProof/>
          <w:sz w:val="20"/>
        </w:rPr>
      </w:pPr>
      <w:r w:rsidRPr="00A858C4">
        <w:rPr>
          <w:noProof/>
        </w:rPr>
        <w:br w:type="textWrapping" w:clear="all"/>
      </w:r>
      <w:r w:rsidRPr="00A858C4">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DF4478" w:rsidRPr="00A858C4" w14:paraId="59D5C8A4" w14:textId="77777777" w:rsidTr="005D1D40">
        <w:tc>
          <w:tcPr>
            <w:tcW w:w="3960" w:type="dxa"/>
            <w:tcBorders>
              <w:top w:val="nil"/>
              <w:left w:val="nil"/>
              <w:right w:val="nil"/>
            </w:tcBorders>
            <w:vAlign w:val="center"/>
          </w:tcPr>
          <w:p w14:paraId="179FAAF4" w14:textId="77777777" w:rsidR="00DF4478" w:rsidRPr="00A858C4" w:rsidRDefault="00DF4478" w:rsidP="00DF4478">
            <w:pPr>
              <w:jc w:val="center"/>
              <w:rPr>
                <w:noProof/>
              </w:rPr>
            </w:pPr>
          </w:p>
        </w:tc>
        <w:tc>
          <w:tcPr>
            <w:tcW w:w="1560" w:type="dxa"/>
            <w:tcBorders>
              <w:top w:val="nil"/>
              <w:left w:val="nil"/>
              <w:right w:val="nil"/>
            </w:tcBorders>
          </w:tcPr>
          <w:p w14:paraId="636E07EA" w14:textId="77777777" w:rsidR="00DF4478" w:rsidRPr="00A858C4" w:rsidRDefault="00DF4478" w:rsidP="00DF4478">
            <w:pPr>
              <w:rPr>
                <w:noProof/>
                <w:sz w:val="20"/>
              </w:rPr>
            </w:pPr>
          </w:p>
        </w:tc>
        <w:tc>
          <w:tcPr>
            <w:tcW w:w="534" w:type="dxa"/>
            <w:tcBorders>
              <w:top w:val="nil"/>
              <w:left w:val="nil"/>
            </w:tcBorders>
          </w:tcPr>
          <w:p w14:paraId="0F327B78" w14:textId="77777777" w:rsidR="00DF4478" w:rsidRPr="00A858C4" w:rsidRDefault="00DF4478" w:rsidP="00DF4478">
            <w:pPr>
              <w:jc w:val="center"/>
              <w:rPr>
                <w:noProof/>
                <w:sz w:val="20"/>
              </w:rPr>
            </w:pPr>
          </w:p>
        </w:tc>
        <w:tc>
          <w:tcPr>
            <w:tcW w:w="868" w:type="dxa"/>
            <w:vAlign w:val="center"/>
          </w:tcPr>
          <w:p w14:paraId="1EB76DCF"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w:t>
            </w:r>
            <w:r w:rsidRPr="00A858C4">
              <w:rPr>
                <w:noProof/>
                <w:color w:val="000000" w:themeColor="text1"/>
              </w:rPr>
              <w:t> </w:t>
            </w:r>
            <w:r w:rsidRPr="00A858C4">
              <w:rPr>
                <w:rStyle w:val="FootnoteReference"/>
                <w:noProof/>
              </w:rPr>
              <w:footnoteReference w:id="16"/>
            </w:r>
          </w:p>
        </w:tc>
        <w:tc>
          <w:tcPr>
            <w:tcW w:w="868" w:type="dxa"/>
            <w:vAlign w:val="center"/>
          </w:tcPr>
          <w:p w14:paraId="7DFC4F0D"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n+1</w:t>
            </w:r>
          </w:p>
        </w:tc>
        <w:tc>
          <w:tcPr>
            <w:tcW w:w="868" w:type="dxa"/>
            <w:vAlign w:val="center"/>
          </w:tcPr>
          <w:p w14:paraId="5371900C"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n+2</w:t>
            </w:r>
          </w:p>
        </w:tc>
        <w:tc>
          <w:tcPr>
            <w:tcW w:w="868" w:type="dxa"/>
            <w:vAlign w:val="center"/>
          </w:tcPr>
          <w:p w14:paraId="46AFEC9C"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n+3</w:t>
            </w:r>
          </w:p>
        </w:tc>
        <w:tc>
          <w:tcPr>
            <w:tcW w:w="2604" w:type="dxa"/>
            <w:gridSpan w:val="3"/>
            <w:vAlign w:val="center"/>
          </w:tcPr>
          <w:p w14:paraId="6614E4C0" w14:textId="77777777" w:rsidR="00DF4478" w:rsidRPr="00A858C4" w:rsidRDefault="00DF4478" w:rsidP="00DF4478">
            <w:pPr>
              <w:jc w:val="center"/>
              <w:rPr>
                <w:b/>
                <w:noProof/>
                <w:sz w:val="18"/>
              </w:rPr>
            </w:pPr>
            <w:r w:rsidRPr="00A858C4">
              <w:rPr>
                <w:noProof/>
                <w:sz w:val="18"/>
              </w:rPr>
              <w:t>Indsæt så mange år som nødvendigt for at vise virkningernes varighed (jf. punkt 1.6)</w:t>
            </w:r>
          </w:p>
        </w:tc>
        <w:tc>
          <w:tcPr>
            <w:tcW w:w="1777" w:type="dxa"/>
            <w:vAlign w:val="center"/>
          </w:tcPr>
          <w:p w14:paraId="4A988FE9" w14:textId="77777777" w:rsidR="00DF4478" w:rsidRPr="00A858C4" w:rsidRDefault="00DF4478" w:rsidP="00DF4478">
            <w:pPr>
              <w:jc w:val="center"/>
              <w:rPr>
                <w:b/>
                <w:noProof/>
                <w:sz w:val="20"/>
              </w:rPr>
            </w:pPr>
            <w:r w:rsidRPr="00A858C4">
              <w:rPr>
                <w:b/>
                <w:noProof/>
                <w:sz w:val="20"/>
              </w:rPr>
              <w:t>I ALT</w:t>
            </w:r>
          </w:p>
        </w:tc>
      </w:tr>
      <w:tr w:rsidR="00DF4478" w:rsidRPr="00A858C4" w14:paraId="1836694F" w14:textId="77777777" w:rsidTr="005D1D40">
        <w:tc>
          <w:tcPr>
            <w:tcW w:w="3960" w:type="dxa"/>
            <w:vMerge w:val="restart"/>
            <w:shd w:val="clear" w:color="auto" w:fill="C0C0C0"/>
            <w:vAlign w:val="center"/>
          </w:tcPr>
          <w:p w14:paraId="797F241A" w14:textId="77777777" w:rsidR="00DF4478" w:rsidRPr="00A858C4" w:rsidRDefault="00DF4478" w:rsidP="00DF4478">
            <w:pPr>
              <w:jc w:val="center"/>
              <w:rPr>
                <w:b/>
                <w:noProof/>
              </w:rPr>
            </w:pPr>
            <w:r w:rsidRPr="00A858C4">
              <w:rPr>
                <w:b/>
                <w:noProof/>
                <w:sz w:val="22"/>
              </w:rPr>
              <w:t xml:space="preserve">Bevillinger I ALT </w:t>
            </w:r>
            <w:r w:rsidRPr="00A858C4">
              <w:rPr>
                <w:noProof/>
                <w:sz w:val="22"/>
              </w:rPr>
              <w:br/>
            </w:r>
            <w:r w:rsidRPr="00A858C4">
              <w:rPr>
                <w:b/>
                <w:noProof/>
                <w:sz w:val="22"/>
              </w:rPr>
              <w:t>under UDGIFTSOMRÅDE 1-7</w:t>
            </w:r>
            <w:r w:rsidRPr="00A858C4">
              <w:rPr>
                <w:noProof/>
                <w:sz w:val="22"/>
              </w:rPr>
              <w:br/>
              <w:t>i den flerårige finansielle ramme</w:t>
            </w:r>
            <w:r w:rsidRPr="00A858C4">
              <w:rPr>
                <w:b/>
                <w:noProof/>
                <w:sz w:val="22"/>
              </w:rPr>
              <w:t xml:space="preserve"> </w:t>
            </w:r>
          </w:p>
        </w:tc>
        <w:tc>
          <w:tcPr>
            <w:tcW w:w="2094" w:type="dxa"/>
            <w:gridSpan w:val="2"/>
            <w:vAlign w:val="center"/>
          </w:tcPr>
          <w:p w14:paraId="1D98E233" w14:textId="77777777" w:rsidR="00DF4478" w:rsidRPr="00A858C4" w:rsidRDefault="00DF4478" w:rsidP="00DF4478">
            <w:pPr>
              <w:rPr>
                <w:noProof/>
                <w:sz w:val="14"/>
              </w:rPr>
            </w:pPr>
            <w:r w:rsidRPr="00A858C4">
              <w:rPr>
                <w:noProof/>
                <w:sz w:val="18"/>
              </w:rPr>
              <w:t>Forpligtelser</w:t>
            </w:r>
          </w:p>
        </w:tc>
        <w:tc>
          <w:tcPr>
            <w:tcW w:w="868" w:type="dxa"/>
            <w:vAlign w:val="center"/>
          </w:tcPr>
          <w:p w14:paraId="0D2A6F9C" w14:textId="77777777" w:rsidR="00DF4478" w:rsidRPr="00A858C4" w:rsidRDefault="00DF4478" w:rsidP="00DF4478">
            <w:pPr>
              <w:spacing w:before="60" w:after="60"/>
              <w:jc w:val="right"/>
              <w:rPr>
                <w:noProof/>
                <w:sz w:val="20"/>
              </w:rPr>
            </w:pPr>
            <w:r w:rsidRPr="00A858C4">
              <w:rPr>
                <w:noProof/>
                <w:sz w:val="20"/>
              </w:rPr>
              <w:t>0,030</w:t>
            </w:r>
          </w:p>
        </w:tc>
        <w:tc>
          <w:tcPr>
            <w:tcW w:w="868" w:type="dxa"/>
            <w:vAlign w:val="center"/>
          </w:tcPr>
          <w:p w14:paraId="3008662D" w14:textId="77777777" w:rsidR="00DF4478" w:rsidRPr="00A858C4" w:rsidRDefault="00DF4478" w:rsidP="00DF4478">
            <w:pPr>
              <w:spacing w:before="60" w:after="60"/>
              <w:jc w:val="right"/>
              <w:rPr>
                <w:noProof/>
                <w:sz w:val="20"/>
              </w:rPr>
            </w:pPr>
            <w:r w:rsidRPr="00A858C4">
              <w:rPr>
                <w:noProof/>
                <w:sz w:val="20"/>
              </w:rPr>
              <w:t>0,030</w:t>
            </w:r>
          </w:p>
        </w:tc>
        <w:tc>
          <w:tcPr>
            <w:tcW w:w="868" w:type="dxa"/>
            <w:vAlign w:val="center"/>
          </w:tcPr>
          <w:p w14:paraId="4D449028" w14:textId="77777777" w:rsidR="00DF4478" w:rsidRPr="00A858C4" w:rsidRDefault="00DF4478" w:rsidP="00DF4478">
            <w:pPr>
              <w:spacing w:before="60" w:after="60"/>
              <w:jc w:val="right"/>
              <w:rPr>
                <w:noProof/>
                <w:sz w:val="20"/>
              </w:rPr>
            </w:pPr>
            <w:r w:rsidRPr="00A858C4">
              <w:rPr>
                <w:noProof/>
                <w:sz w:val="20"/>
              </w:rPr>
              <w:t>0,030</w:t>
            </w:r>
          </w:p>
        </w:tc>
        <w:tc>
          <w:tcPr>
            <w:tcW w:w="868" w:type="dxa"/>
            <w:vAlign w:val="center"/>
          </w:tcPr>
          <w:p w14:paraId="5A5B3721" w14:textId="77777777" w:rsidR="00DF4478" w:rsidRPr="00A858C4" w:rsidRDefault="00DF4478" w:rsidP="00DF4478">
            <w:pPr>
              <w:spacing w:before="60" w:after="60"/>
              <w:jc w:val="right"/>
              <w:rPr>
                <w:noProof/>
                <w:sz w:val="20"/>
              </w:rPr>
            </w:pPr>
            <w:r w:rsidRPr="00A858C4">
              <w:rPr>
                <w:noProof/>
                <w:sz w:val="20"/>
              </w:rPr>
              <w:t>0,030</w:t>
            </w:r>
          </w:p>
        </w:tc>
        <w:tc>
          <w:tcPr>
            <w:tcW w:w="868" w:type="dxa"/>
            <w:vAlign w:val="center"/>
          </w:tcPr>
          <w:p w14:paraId="785EDCB4" w14:textId="77777777" w:rsidR="00DF4478" w:rsidRPr="00A858C4" w:rsidRDefault="00DF4478" w:rsidP="00DF4478">
            <w:pPr>
              <w:spacing w:before="60" w:after="60"/>
              <w:jc w:val="right"/>
              <w:rPr>
                <w:noProof/>
                <w:sz w:val="20"/>
              </w:rPr>
            </w:pPr>
          </w:p>
        </w:tc>
        <w:tc>
          <w:tcPr>
            <w:tcW w:w="868" w:type="dxa"/>
            <w:vAlign w:val="center"/>
          </w:tcPr>
          <w:p w14:paraId="6A45DEEC" w14:textId="77777777" w:rsidR="00DF4478" w:rsidRPr="00A858C4" w:rsidRDefault="00DF4478" w:rsidP="00DF4478">
            <w:pPr>
              <w:spacing w:before="60" w:after="60"/>
              <w:jc w:val="right"/>
              <w:rPr>
                <w:noProof/>
                <w:sz w:val="20"/>
              </w:rPr>
            </w:pPr>
          </w:p>
        </w:tc>
        <w:tc>
          <w:tcPr>
            <w:tcW w:w="868" w:type="dxa"/>
            <w:vAlign w:val="center"/>
          </w:tcPr>
          <w:p w14:paraId="1585F58E" w14:textId="77777777" w:rsidR="00DF4478" w:rsidRPr="00A858C4" w:rsidRDefault="00DF4478" w:rsidP="00DF4478">
            <w:pPr>
              <w:spacing w:before="60" w:after="60"/>
              <w:jc w:val="right"/>
              <w:rPr>
                <w:b/>
                <w:noProof/>
                <w:sz w:val="20"/>
              </w:rPr>
            </w:pPr>
          </w:p>
        </w:tc>
        <w:tc>
          <w:tcPr>
            <w:tcW w:w="1777" w:type="dxa"/>
            <w:vAlign w:val="center"/>
          </w:tcPr>
          <w:p w14:paraId="4F29F8B0" w14:textId="77777777" w:rsidR="00DF4478" w:rsidRPr="00A858C4" w:rsidRDefault="00DF4478" w:rsidP="00DF4478">
            <w:pPr>
              <w:spacing w:before="60" w:after="60"/>
              <w:jc w:val="right"/>
              <w:rPr>
                <w:b/>
                <w:noProof/>
                <w:sz w:val="20"/>
              </w:rPr>
            </w:pPr>
          </w:p>
        </w:tc>
      </w:tr>
      <w:tr w:rsidR="00DF4478" w:rsidRPr="00A858C4" w14:paraId="2555F151" w14:textId="77777777" w:rsidTr="005D1D40">
        <w:tc>
          <w:tcPr>
            <w:tcW w:w="3960" w:type="dxa"/>
            <w:vMerge/>
            <w:shd w:val="clear" w:color="auto" w:fill="C0C0C0"/>
          </w:tcPr>
          <w:p w14:paraId="7A72A85A" w14:textId="77777777" w:rsidR="00DF4478" w:rsidRPr="00A858C4" w:rsidRDefault="00DF4478" w:rsidP="00DF4478">
            <w:pPr>
              <w:rPr>
                <w:noProof/>
                <w:sz w:val="20"/>
              </w:rPr>
            </w:pPr>
          </w:p>
        </w:tc>
        <w:tc>
          <w:tcPr>
            <w:tcW w:w="2094" w:type="dxa"/>
            <w:gridSpan w:val="2"/>
            <w:vAlign w:val="center"/>
          </w:tcPr>
          <w:p w14:paraId="1BB18ECA" w14:textId="77777777" w:rsidR="00DF4478" w:rsidRPr="00A858C4" w:rsidRDefault="00DF4478" w:rsidP="00DF4478">
            <w:pPr>
              <w:rPr>
                <w:noProof/>
                <w:sz w:val="14"/>
              </w:rPr>
            </w:pPr>
            <w:r w:rsidRPr="00A858C4">
              <w:rPr>
                <w:noProof/>
                <w:sz w:val="18"/>
              </w:rPr>
              <w:t>Betalinger</w:t>
            </w:r>
          </w:p>
        </w:tc>
        <w:tc>
          <w:tcPr>
            <w:tcW w:w="868" w:type="dxa"/>
            <w:vAlign w:val="center"/>
          </w:tcPr>
          <w:p w14:paraId="05BFAC3C" w14:textId="77777777" w:rsidR="00DF4478" w:rsidRPr="00A858C4" w:rsidRDefault="00DF4478" w:rsidP="00DF4478">
            <w:pPr>
              <w:spacing w:before="60" w:after="60"/>
              <w:jc w:val="right"/>
              <w:rPr>
                <w:noProof/>
                <w:sz w:val="20"/>
              </w:rPr>
            </w:pPr>
            <w:r w:rsidRPr="00A858C4">
              <w:rPr>
                <w:noProof/>
                <w:sz w:val="20"/>
              </w:rPr>
              <w:t>0,030</w:t>
            </w:r>
          </w:p>
        </w:tc>
        <w:tc>
          <w:tcPr>
            <w:tcW w:w="868" w:type="dxa"/>
            <w:vAlign w:val="center"/>
          </w:tcPr>
          <w:p w14:paraId="253F2CE6" w14:textId="77777777" w:rsidR="00DF4478" w:rsidRPr="00A858C4" w:rsidRDefault="00DF4478" w:rsidP="00DF4478">
            <w:pPr>
              <w:spacing w:before="60" w:after="60"/>
              <w:jc w:val="right"/>
              <w:rPr>
                <w:noProof/>
                <w:sz w:val="20"/>
              </w:rPr>
            </w:pPr>
            <w:r w:rsidRPr="00A858C4">
              <w:rPr>
                <w:noProof/>
                <w:sz w:val="20"/>
              </w:rPr>
              <w:t>0,030</w:t>
            </w:r>
          </w:p>
        </w:tc>
        <w:tc>
          <w:tcPr>
            <w:tcW w:w="868" w:type="dxa"/>
            <w:vAlign w:val="center"/>
          </w:tcPr>
          <w:p w14:paraId="03AA48C1" w14:textId="77777777" w:rsidR="00DF4478" w:rsidRPr="00A858C4" w:rsidRDefault="00DF4478" w:rsidP="00DF4478">
            <w:pPr>
              <w:spacing w:before="60" w:after="60"/>
              <w:jc w:val="right"/>
              <w:rPr>
                <w:noProof/>
                <w:sz w:val="20"/>
              </w:rPr>
            </w:pPr>
            <w:r w:rsidRPr="00A858C4">
              <w:rPr>
                <w:noProof/>
                <w:sz w:val="20"/>
              </w:rPr>
              <w:t>0,030</w:t>
            </w:r>
          </w:p>
        </w:tc>
        <w:tc>
          <w:tcPr>
            <w:tcW w:w="868" w:type="dxa"/>
            <w:vAlign w:val="center"/>
          </w:tcPr>
          <w:p w14:paraId="36B5B562" w14:textId="77777777" w:rsidR="00DF4478" w:rsidRPr="00A858C4" w:rsidRDefault="00DF4478" w:rsidP="00DF4478">
            <w:pPr>
              <w:spacing w:before="60" w:after="60"/>
              <w:jc w:val="right"/>
              <w:rPr>
                <w:noProof/>
                <w:sz w:val="20"/>
              </w:rPr>
            </w:pPr>
            <w:r w:rsidRPr="00A858C4">
              <w:rPr>
                <w:noProof/>
                <w:sz w:val="20"/>
              </w:rPr>
              <w:t>0,030</w:t>
            </w:r>
          </w:p>
        </w:tc>
        <w:tc>
          <w:tcPr>
            <w:tcW w:w="868" w:type="dxa"/>
            <w:vAlign w:val="center"/>
          </w:tcPr>
          <w:p w14:paraId="73FC3CF3" w14:textId="77777777" w:rsidR="00DF4478" w:rsidRPr="00A858C4" w:rsidRDefault="00DF4478" w:rsidP="00DF4478">
            <w:pPr>
              <w:spacing w:before="60" w:after="60"/>
              <w:jc w:val="right"/>
              <w:rPr>
                <w:noProof/>
                <w:sz w:val="20"/>
              </w:rPr>
            </w:pPr>
          </w:p>
        </w:tc>
        <w:tc>
          <w:tcPr>
            <w:tcW w:w="868" w:type="dxa"/>
            <w:vAlign w:val="center"/>
          </w:tcPr>
          <w:p w14:paraId="2EBB3A01" w14:textId="77777777" w:rsidR="00DF4478" w:rsidRPr="00A858C4" w:rsidRDefault="00DF4478" w:rsidP="00DF4478">
            <w:pPr>
              <w:spacing w:before="60" w:after="60"/>
              <w:jc w:val="right"/>
              <w:rPr>
                <w:noProof/>
                <w:sz w:val="20"/>
              </w:rPr>
            </w:pPr>
          </w:p>
        </w:tc>
        <w:tc>
          <w:tcPr>
            <w:tcW w:w="868" w:type="dxa"/>
            <w:vAlign w:val="center"/>
          </w:tcPr>
          <w:p w14:paraId="5FACF86D" w14:textId="77777777" w:rsidR="00DF4478" w:rsidRPr="00A858C4" w:rsidRDefault="00DF4478" w:rsidP="00DF4478">
            <w:pPr>
              <w:spacing w:before="60" w:after="60"/>
              <w:jc w:val="right"/>
              <w:rPr>
                <w:b/>
                <w:noProof/>
                <w:sz w:val="20"/>
              </w:rPr>
            </w:pPr>
          </w:p>
        </w:tc>
        <w:tc>
          <w:tcPr>
            <w:tcW w:w="1777" w:type="dxa"/>
            <w:vAlign w:val="center"/>
          </w:tcPr>
          <w:p w14:paraId="09C3530E" w14:textId="77777777" w:rsidR="00DF4478" w:rsidRPr="00A858C4" w:rsidRDefault="00DF4478" w:rsidP="00DF4478">
            <w:pPr>
              <w:spacing w:before="60" w:after="60"/>
              <w:jc w:val="right"/>
              <w:rPr>
                <w:b/>
                <w:noProof/>
                <w:sz w:val="20"/>
              </w:rPr>
            </w:pPr>
          </w:p>
        </w:tc>
      </w:tr>
    </w:tbl>
    <w:p w14:paraId="6D1770DD" w14:textId="77777777" w:rsidR="00DF4478" w:rsidRPr="00A858C4" w:rsidRDefault="00DF4478" w:rsidP="00DF4478">
      <w:pPr>
        <w:rPr>
          <w:noProof/>
        </w:rPr>
      </w:pPr>
    </w:p>
    <w:p w14:paraId="3751B038" w14:textId="77777777" w:rsidR="00DF4478" w:rsidRPr="00A858C4" w:rsidRDefault="00DF4478" w:rsidP="00DF4478">
      <w:pPr>
        <w:keepNext/>
        <w:tabs>
          <w:tab w:val="left" w:pos="850"/>
        </w:tabs>
        <w:ind w:left="850" w:hanging="850"/>
        <w:outlineLvl w:val="2"/>
        <w:rPr>
          <w:bCs/>
          <w:i/>
          <w:noProof/>
          <w:szCs w:val="24"/>
        </w:rPr>
      </w:pPr>
      <w:bookmarkStart w:id="80" w:name="_Toc514938054"/>
      <w:bookmarkStart w:id="81" w:name="_Toc151133585"/>
      <w:r w:rsidRPr="00A858C4">
        <w:rPr>
          <w:i/>
          <w:noProof/>
        </w:rPr>
        <w:t>3.2.2.</w:t>
      </w:r>
      <w:r w:rsidRPr="00A858C4">
        <w:rPr>
          <w:i/>
          <w:noProof/>
        </w:rPr>
        <w:tab/>
        <w:t>Anslåede resultater finansieret med aktionsbevillinger</w:t>
      </w:r>
      <w:bookmarkEnd w:id="80"/>
      <w:r w:rsidRPr="00A858C4">
        <w:rPr>
          <w:i/>
          <w:noProof/>
        </w:rPr>
        <w:t xml:space="preserve"> – IKKE RELEVANT</w:t>
      </w:r>
      <w:bookmarkEnd w:id="81"/>
    </w:p>
    <w:p w14:paraId="53E21767" w14:textId="77777777" w:rsidR="00DF4478" w:rsidRPr="00A858C4" w:rsidRDefault="00DF4478" w:rsidP="00DF4478">
      <w:pPr>
        <w:jc w:val="right"/>
        <w:rPr>
          <w:noProof/>
          <w:sz w:val="20"/>
        </w:rPr>
      </w:pPr>
      <w:r w:rsidRPr="00A858C4">
        <w:rPr>
          <w:noProof/>
          <w:sz w:val="20"/>
        </w:rPr>
        <w:t>Forpligtelsesbevillinger i mio. EUR (tre decimaler)</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DF4478" w:rsidRPr="00A858C4" w14:paraId="0BCA99DD" w14:textId="77777777" w:rsidTr="005D1D40">
        <w:trPr>
          <w:jc w:val="center"/>
        </w:trPr>
        <w:tc>
          <w:tcPr>
            <w:tcW w:w="1423" w:type="dxa"/>
            <w:vMerge w:val="restart"/>
            <w:vAlign w:val="center"/>
          </w:tcPr>
          <w:p w14:paraId="23A8BA10" w14:textId="77777777" w:rsidR="00DF4478" w:rsidRPr="00A858C4" w:rsidRDefault="00DF4478" w:rsidP="00DF4478">
            <w:pPr>
              <w:ind w:right="-29"/>
              <w:jc w:val="center"/>
              <w:rPr>
                <w:b/>
                <w:noProof/>
                <w:sz w:val="18"/>
                <w:szCs w:val="18"/>
              </w:rPr>
            </w:pPr>
            <w:r w:rsidRPr="00A858C4">
              <w:rPr>
                <w:b/>
                <w:noProof/>
                <w:sz w:val="18"/>
              </w:rPr>
              <w:t xml:space="preserve">Angiv mål og resultater </w:t>
            </w:r>
          </w:p>
          <w:p w14:paraId="1AF6C404" w14:textId="77777777" w:rsidR="00DF4478" w:rsidRPr="00A858C4" w:rsidRDefault="00DF4478" w:rsidP="00DF4478">
            <w:pPr>
              <w:ind w:right="-29"/>
              <w:jc w:val="center"/>
              <w:rPr>
                <w:b/>
                <w:noProof/>
                <w:sz w:val="18"/>
                <w:szCs w:val="18"/>
              </w:rPr>
            </w:pPr>
          </w:p>
          <w:p w14:paraId="07CA9CE2" w14:textId="77777777" w:rsidR="00DF4478" w:rsidRPr="00A858C4" w:rsidRDefault="00DF4478" w:rsidP="00DF4478">
            <w:pPr>
              <w:ind w:right="-29"/>
              <w:jc w:val="center"/>
              <w:rPr>
                <w:noProof/>
                <w:sz w:val="18"/>
                <w:szCs w:val="18"/>
              </w:rPr>
            </w:pPr>
            <w:r w:rsidRPr="00A858C4">
              <w:rPr>
                <w:noProof/>
                <w:sz w:val="18"/>
              </w:rPr>
              <w:sym w:font="Wingdings" w:char="F0F2"/>
            </w:r>
          </w:p>
        </w:tc>
        <w:tc>
          <w:tcPr>
            <w:tcW w:w="720" w:type="dxa"/>
            <w:vAlign w:val="center"/>
          </w:tcPr>
          <w:p w14:paraId="02F12BE6" w14:textId="77777777" w:rsidR="00DF4478" w:rsidRPr="00A858C4" w:rsidRDefault="00DF4478" w:rsidP="00DF4478">
            <w:pPr>
              <w:ind w:right="-29"/>
              <w:jc w:val="center"/>
              <w:rPr>
                <w:noProof/>
                <w:sz w:val="18"/>
                <w:szCs w:val="18"/>
              </w:rPr>
            </w:pPr>
          </w:p>
        </w:tc>
        <w:tc>
          <w:tcPr>
            <w:tcW w:w="701" w:type="dxa"/>
            <w:vAlign w:val="center"/>
          </w:tcPr>
          <w:p w14:paraId="792DC6F5" w14:textId="77777777" w:rsidR="00DF4478" w:rsidRPr="00A858C4" w:rsidRDefault="00DF4478" w:rsidP="00DF4478">
            <w:pPr>
              <w:ind w:right="-29"/>
              <w:jc w:val="center"/>
              <w:rPr>
                <w:noProof/>
                <w:sz w:val="18"/>
                <w:szCs w:val="18"/>
              </w:rPr>
            </w:pPr>
          </w:p>
        </w:tc>
        <w:tc>
          <w:tcPr>
            <w:tcW w:w="1224" w:type="dxa"/>
            <w:gridSpan w:val="2"/>
            <w:tcBorders>
              <w:left w:val="nil"/>
            </w:tcBorders>
            <w:vAlign w:val="center"/>
          </w:tcPr>
          <w:p w14:paraId="6C368BE1" w14:textId="77777777" w:rsidR="00DF4478" w:rsidRPr="00A858C4" w:rsidRDefault="00DF4478" w:rsidP="00DF4478">
            <w:pPr>
              <w:ind w:right="-29"/>
              <w:jc w:val="center"/>
              <w:rPr>
                <w:noProof/>
                <w:sz w:val="18"/>
                <w:szCs w:val="18"/>
              </w:rPr>
            </w:pPr>
            <w:r w:rsidRPr="00A858C4">
              <w:rPr>
                <w:noProof/>
                <w:sz w:val="18"/>
              </w:rPr>
              <w:t>År</w:t>
            </w:r>
            <w:r w:rsidRPr="00A858C4">
              <w:rPr>
                <w:noProof/>
                <w:sz w:val="22"/>
              </w:rPr>
              <w:br/>
            </w:r>
            <w:r w:rsidRPr="00A858C4">
              <w:rPr>
                <w:b/>
                <w:noProof/>
                <w:sz w:val="18"/>
              </w:rPr>
              <w:t>n</w:t>
            </w:r>
          </w:p>
        </w:tc>
        <w:tc>
          <w:tcPr>
            <w:tcW w:w="1260" w:type="dxa"/>
            <w:gridSpan w:val="2"/>
            <w:vAlign w:val="center"/>
          </w:tcPr>
          <w:p w14:paraId="03A136A5" w14:textId="77777777" w:rsidR="00DF4478" w:rsidRPr="00A858C4" w:rsidRDefault="00DF4478" w:rsidP="00DF4478">
            <w:pPr>
              <w:ind w:right="-29"/>
              <w:jc w:val="center"/>
              <w:rPr>
                <w:noProof/>
                <w:sz w:val="18"/>
                <w:szCs w:val="18"/>
              </w:rPr>
            </w:pPr>
            <w:r w:rsidRPr="00A858C4">
              <w:rPr>
                <w:noProof/>
                <w:sz w:val="18"/>
              </w:rPr>
              <w:t>År</w:t>
            </w:r>
            <w:r w:rsidRPr="00A858C4">
              <w:rPr>
                <w:noProof/>
                <w:sz w:val="22"/>
              </w:rPr>
              <w:br/>
            </w:r>
            <w:r w:rsidRPr="00A858C4">
              <w:rPr>
                <w:b/>
                <w:noProof/>
                <w:sz w:val="18"/>
              </w:rPr>
              <w:t>n+1</w:t>
            </w:r>
          </w:p>
        </w:tc>
        <w:tc>
          <w:tcPr>
            <w:tcW w:w="1440" w:type="dxa"/>
            <w:gridSpan w:val="2"/>
            <w:vAlign w:val="center"/>
          </w:tcPr>
          <w:p w14:paraId="5ABA0DD0" w14:textId="77777777" w:rsidR="00DF4478" w:rsidRPr="00A858C4" w:rsidRDefault="00DF4478" w:rsidP="00DF4478">
            <w:pPr>
              <w:ind w:right="-29"/>
              <w:jc w:val="center"/>
              <w:rPr>
                <w:noProof/>
                <w:sz w:val="18"/>
                <w:szCs w:val="18"/>
              </w:rPr>
            </w:pPr>
            <w:r w:rsidRPr="00A858C4">
              <w:rPr>
                <w:noProof/>
                <w:sz w:val="18"/>
              </w:rPr>
              <w:t>År</w:t>
            </w:r>
            <w:r w:rsidRPr="00A858C4">
              <w:rPr>
                <w:noProof/>
                <w:sz w:val="22"/>
              </w:rPr>
              <w:br/>
            </w:r>
            <w:r w:rsidRPr="00A858C4">
              <w:rPr>
                <w:b/>
                <w:noProof/>
                <w:sz w:val="18"/>
              </w:rPr>
              <w:t>n+2</w:t>
            </w:r>
          </w:p>
        </w:tc>
        <w:tc>
          <w:tcPr>
            <w:tcW w:w="1620" w:type="dxa"/>
            <w:gridSpan w:val="3"/>
            <w:vAlign w:val="center"/>
          </w:tcPr>
          <w:p w14:paraId="2EB0D568" w14:textId="77777777" w:rsidR="00DF4478" w:rsidRPr="00A858C4" w:rsidRDefault="00DF4478" w:rsidP="00DF4478">
            <w:pPr>
              <w:ind w:right="-29"/>
              <w:jc w:val="center"/>
              <w:rPr>
                <w:noProof/>
                <w:sz w:val="18"/>
                <w:szCs w:val="18"/>
              </w:rPr>
            </w:pPr>
            <w:r w:rsidRPr="00A858C4">
              <w:rPr>
                <w:noProof/>
                <w:sz w:val="18"/>
              </w:rPr>
              <w:t>År</w:t>
            </w:r>
            <w:r w:rsidRPr="00A858C4">
              <w:rPr>
                <w:noProof/>
                <w:sz w:val="22"/>
              </w:rPr>
              <w:br/>
            </w:r>
            <w:r w:rsidRPr="00A858C4">
              <w:rPr>
                <w:b/>
                <w:noProof/>
                <w:sz w:val="18"/>
              </w:rPr>
              <w:t>n+3</w:t>
            </w:r>
          </w:p>
        </w:tc>
        <w:tc>
          <w:tcPr>
            <w:tcW w:w="3600" w:type="dxa"/>
            <w:gridSpan w:val="6"/>
            <w:vAlign w:val="center"/>
          </w:tcPr>
          <w:p w14:paraId="50F7BF63" w14:textId="77777777" w:rsidR="00DF4478" w:rsidRPr="00A858C4" w:rsidRDefault="00DF4478" w:rsidP="00DF4478">
            <w:pPr>
              <w:jc w:val="center"/>
              <w:rPr>
                <w:noProof/>
                <w:sz w:val="18"/>
                <w:szCs w:val="18"/>
              </w:rPr>
            </w:pPr>
            <w:r w:rsidRPr="00A858C4">
              <w:rPr>
                <w:noProof/>
                <w:sz w:val="18"/>
              </w:rPr>
              <w:t>Indsæt så mange år som nødvendigt for at vise virkningernes varighed (jf. punkt 1.6)</w:t>
            </w:r>
          </w:p>
        </w:tc>
        <w:tc>
          <w:tcPr>
            <w:tcW w:w="1620" w:type="dxa"/>
            <w:gridSpan w:val="2"/>
            <w:tcBorders>
              <w:left w:val="nil"/>
              <w:bottom w:val="nil"/>
            </w:tcBorders>
            <w:vAlign w:val="center"/>
          </w:tcPr>
          <w:p w14:paraId="4B76132E" w14:textId="77777777" w:rsidR="00DF4478" w:rsidRPr="00A858C4" w:rsidRDefault="00DF4478" w:rsidP="00DF4478">
            <w:pPr>
              <w:ind w:right="-29"/>
              <w:jc w:val="center"/>
              <w:rPr>
                <w:noProof/>
                <w:sz w:val="18"/>
                <w:szCs w:val="18"/>
              </w:rPr>
            </w:pPr>
            <w:r w:rsidRPr="00A858C4">
              <w:rPr>
                <w:b/>
                <w:noProof/>
                <w:sz w:val="18"/>
              </w:rPr>
              <w:t>I ALT</w:t>
            </w:r>
          </w:p>
        </w:tc>
      </w:tr>
      <w:tr w:rsidR="00DF4478" w:rsidRPr="00A858C4" w14:paraId="6F2EBFCB" w14:textId="77777777" w:rsidTr="005D1D40">
        <w:trPr>
          <w:jc w:val="center"/>
        </w:trPr>
        <w:tc>
          <w:tcPr>
            <w:tcW w:w="1423" w:type="dxa"/>
            <w:vMerge/>
            <w:vAlign w:val="center"/>
          </w:tcPr>
          <w:p w14:paraId="767D7811" w14:textId="77777777" w:rsidR="00DF4478" w:rsidRPr="00A858C4" w:rsidRDefault="00DF4478" w:rsidP="00DF4478">
            <w:pPr>
              <w:ind w:right="-29"/>
              <w:jc w:val="center"/>
              <w:rPr>
                <w:noProof/>
                <w:sz w:val="18"/>
                <w:szCs w:val="18"/>
              </w:rPr>
            </w:pPr>
          </w:p>
        </w:tc>
        <w:tc>
          <w:tcPr>
            <w:tcW w:w="12185" w:type="dxa"/>
            <w:gridSpan w:val="19"/>
            <w:vAlign w:val="center"/>
          </w:tcPr>
          <w:p w14:paraId="46741AA3" w14:textId="77777777" w:rsidR="00DF4478" w:rsidRPr="00A858C4" w:rsidRDefault="00DF4478" w:rsidP="00DF4478">
            <w:pPr>
              <w:spacing w:before="60" w:after="60"/>
              <w:ind w:right="-29"/>
              <w:jc w:val="center"/>
              <w:rPr>
                <w:noProof/>
                <w:sz w:val="18"/>
                <w:szCs w:val="18"/>
              </w:rPr>
            </w:pPr>
            <w:r w:rsidRPr="00A858C4">
              <w:rPr>
                <w:b/>
                <w:noProof/>
                <w:sz w:val="18"/>
              </w:rPr>
              <w:t>RESULTATER</w:t>
            </w:r>
          </w:p>
        </w:tc>
      </w:tr>
      <w:tr w:rsidR="00DF4478" w:rsidRPr="00A858C4" w14:paraId="78D0AEFC" w14:textId="77777777" w:rsidTr="005D1D40">
        <w:trPr>
          <w:cantSplit/>
          <w:trHeight w:val="1134"/>
          <w:jc w:val="center"/>
        </w:trPr>
        <w:tc>
          <w:tcPr>
            <w:tcW w:w="1423" w:type="dxa"/>
            <w:vMerge/>
            <w:vAlign w:val="center"/>
          </w:tcPr>
          <w:p w14:paraId="6F80D41E" w14:textId="77777777" w:rsidR="00DF4478" w:rsidRPr="00A858C4" w:rsidRDefault="00DF4478" w:rsidP="00DF4478">
            <w:pPr>
              <w:rPr>
                <w:noProof/>
                <w:sz w:val="18"/>
                <w:szCs w:val="18"/>
              </w:rPr>
            </w:pPr>
          </w:p>
        </w:tc>
        <w:tc>
          <w:tcPr>
            <w:tcW w:w="720" w:type="dxa"/>
            <w:vAlign w:val="center"/>
          </w:tcPr>
          <w:p w14:paraId="3C566907" w14:textId="77777777" w:rsidR="00DF4478" w:rsidRPr="00A858C4" w:rsidRDefault="00DF4478" w:rsidP="00DF4478">
            <w:pPr>
              <w:jc w:val="center"/>
              <w:rPr>
                <w:noProof/>
                <w:sz w:val="18"/>
                <w:szCs w:val="18"/>
              </w:rPr>
            </w:pPr>
            <w:r w:rsidRPr="00A858C4">
              <w:rPr>
                <w:noProof/>
                <w:sz w:val="18"/>
              </w:rPr>
              <w:t>Type</w:t>
            </w:r>
            <w:r w:rsidRPr="00A858C4">
              <w:rPr>
                <w:rStyle w:val="FootnoteReference"/>
                <w:noProof/>
              </w:rPr>
              <w:footnoteReference w:id="17"/>
            </w:r>
          </w:p>
          <w:p w14:paraId="5A07FB32" w14:textId="77777777" w:rsidR="00DF4478" w:rsidRPr="00A858C4" w:rsidRDefault="00DF4478" w:rsidP="00DF4478">
            <w:pPr>
              <w:spacing w:before="0" w:after="0"/>
              <w:jc w:val="center"/>
              <w:rPr>
                <w:noProof/>
                <w:sz w:val="18"/>
                <w:szCs w:val="18"/>
              </w:rPr>
            </w:pPr>
          </w:p>
        </w:tc>
        <w:tc>
          <w:tcPr>
            <w:tcW w:w="701" w:type="dxa"/>
            <w:vAlign w:val="center"/>
          </w:tcPr>
          <w:p w14:paraId="7F3C9C34" w14:textId="77777777" w:rsidR="00DF4478" w:rsidRPr="00A858C4" w:rsidRDefault="00DF4478" w:rsidP="00DF4478">
            <w:pPr>
              <w:jc w:val="center"/>
              <w:rPr>
                <w:noProof/>
                <w:sz w:val="18"/>
                <w:szCs w:val="18"/>
              </w:rPr>
            </w:pPr>
            <w:r w:rsidRPr="00A858C4">
              <w:rPr>
                <w:noProof/>
                <w:sz w:val="18"/>
              </w:rPr>
              <w:t>Gnsntl. omkostninger</w:t>
            </w:r>
          </w:p>
        </w:tc>
        <w:tc>
          <w:tcPr>
            <w:tcW w:w="504" w:type="dxa"/>
            <w:tcBorders>
              <w:left w:val="nil"/>
              <w:right w:val="dashSmallGap" w:sz="4" w:space="0" w:color="auto"/>
            </w:tcBorders>
            <w:shd w:val="pct10" w:color="auto" w:fill="auto"/>
            <w:textDirection w:val="btLr"/>
            <w:vAlign w:val="center"/>
          </w:tcPr>
          <w:p w14:paraId="53417E6F" w14:textId="77777777" w:rsidR="00DF4478" w:rsidRPr="00A858C4" w:rsidRDefault="00DF4478" w:rsidP="00DF4478">
            <w:pPr>
              <w:ind w:left="113" w:right="113"/>
              <w:jc w:val="center"/>
              <w:rPr>
                <w:noProof/>
                <w:sz w:val="18"/>
                <w:szCs w:val="18"/>
              </w:rPr>
            </w:pPr>
            <w:r w:rsidRPr="00A858C4">
              <w:rPr>
                <w:noProof/>
                <w:sz w:val="18"/>
              </w:rPr>
              <w:t>Antal</w:t>
            </w:r>
          </w:p>
        </w:tc>
        <w:tc>
          <w:tcPr>
            <w:tcW w:w="720" w:type="dxa"/>
            <w:tcBorders>
              <w:left w:val="dashSmallGap" w:sz="4" w:space="0" w:color="auto"/>
            </w:tcBorders>
            <w:shd w:val="pct10" w:color="auto" w:fill="auto"/>
            <w:vAlign w:val="center"/>
          </w:tcPr>
          <w:p w14:paraId="129C58CB" w14:textId="77777777" w:rsidR="00DF4478" w:rsidRPr="00A858C4" w:rsidRDefault="00DF4478" w:rsidP="00DF4478">
            <w:pPr>
              <w:jc w:val="center"/>
              <w:rPr>
                <w:noProof/>
                <w:sz w:val="18"/>
                <w:szCs w:val="18"/>
              </w:rPr>
            </w:pPr>
            <w:r w:rsidRPr="00A858C4">
              <w:rPr>
                <w:noProof/>
                <w:sz w:val="18"/>
              </w:rPr>
              <w:t>Omkostninger</w:t>
            </w:r>
          </w:p>
        </w:tc>
        <w:tc>
          <w:tcPr>
            <w:tcW w:w="540" w:type="dxa"/>
            <w:tcBorders>
              <w:right w:val="dashSmallGap" w:sz="4" w:space="0" w:color="auto"/>
            </w:tcBorders>
            <w:shd w:val="pct10" w:color="auto" w:fill="auto"/>
            <w:textDirection w:val="btLr"/>
            <w:vAlign w:val="center"/>
          </w:tcPr>
          <w:p w14:paraId="13072FE0" w14:textId="77777777" w:rsidR="00DF4478" w:rsidRPr="00A858C4" w:rsidRDefault="00DF4478" w:rsidP="00DF4478">
            <w:pPr>
              <w:ind w:left="113" w:right="113"/>
              <w:jc w:val="center"/>
              <w:rPr>
                <w:noProof/>
                <w:sz w:val="18"/>
                <w:szCs w:val="18"/>
              </w:rPr>
            </w:pPr>
            <w:r w:rsidRPr="00A858C4">
              <w:rPr>
                <w:noProof/>
                <w:sz w:val="18"/>
              </w:rPr>
              <w:t>Antal</w:t>
            </w:r>
          </w:p>
        </w:tc>
        <w:tc>
          <w:tcPr>
            <w:tcW w:w="720" w:type="dxa"/>
            <w:tcBorders>
              <w:left w:val="dashSmallGap" w:sz="4" w:space="0" w:color="auto"/>
            </w:tcBorders>
            <w:shd w:val="pct10" w:color="auto" w:fill="auto"/>
            <w:vAlign w:val="center"/>
          </w:tcPr>
          <w:p w14:paraId="15C46CD5" w14:textId="77777777" w:rsidR="00DF4478" w:rsidRPr="00A858C4" w:rsidRDefault="00DF4478" w:rsidP="00DF4478">
            <w:pPr>
              <w:jc w:val="center"/>
              <w:rPr>
                <w:noProof/>
                <w:sz w:val="18"/>
                <w:szCs w:val="18"/>
              </w:rPr>
            </w:pPr>
            <w:r w:rsidRPr="00A858C4">
              <w:rPr>
                <w:noProof/>
                <w:sz w:val="18"/>
              </w:rPr>
              <w:t>Omkostninger</w:t>
            </w:r>
          </w:p>
        </w:tc>
        <w:tc>
          <w:tcPr>
            <w:tcW w:w="720" w:type="dxa"/>
            <w:tcBorders>
              <w:right w:val="dashSmallGap" w:sz="4" w:space="0" w:color="auto"/>
            </w:tcBorders>
            <w:shd w:val="pct10" w:color="auto" w:fill="auto"/>
            <w:textDirection w:val="btLr"/>
            <w:vAlign w:val="center"/>
          </w:tcPr>
          <w:p w14:paraId="2B8FF3A8" w14:textId="77777777" w:rsidR="00DF4478" w:rsidRPr="00A858C4" w:rsidRDefault="00DF4478" w:rsidP="00DF4478">
            <w:pPr>
              <w:ind w:left="113" w:right="113"/>
              <w:jc w:val="center"/>
              <w:rPr>
                <w:noProof/>
                <w:sz w:val="18"/>
                <w:szCs w:val="18"/>
              </w:rPr>
            </w:pPr>
            <w:r w:rsidRPr="00A858C4">
              <w:rPr>
                <w:noProof/>
                <w:sz w:val="18"/>
              </w:rPr>
              <w:t>Antal</w:t>
            </w:r>
          </w:p>
        </w:tc>
        <w:tc>
          <w:tcPr>
            <w:tcW w:w="720" w:type="dxa"/>
            <w:tcBorders>
              <w:left w:val="dashSmallGap" w:sz="4" w:space="0" w:color="auto"/>
            </w:tcBorders>
            <w:shd w:val="pct10" w:color="auto" w:fill="auto"/>
            <w:vAlign w:val="center"/>
          </w:tcPr>
          <w:p w14:paraId="4C834A6C" w14:textId="77777777" w:rsidR="00DF4478" w:rsidRPr="00A858C4" w:rsidRDefault="00DF4478" w:rsidP="00DF4478">
            <w:pPr>
              <w:jc w:val="center"/>
              <w:rPr>
                <w:noProof/>
                <w:sz w:val="18"/>
                <w:szCs w:val="18"/>
              </w:rPr>
            </w:pPr>
            <w:r w:rsidRPr="00A858C4">
              <w:rPr>
                <w:noProof/>
                <w:sz w:val="18"/>
              </w:rPr>
              <w:t>Omkostninger</w:t>
            </w:r>
          </w:p>
        </w:tc>
        <w:tc>
          <w:tcPr>
            <w:tcW w:w="900" w:type="dxa"/>
            <w:tcBorders>
              <w:right w:val="dashSmallGap" w:sz="4" w:space="0" w:color="auto"/>
            </w:tcBorders>
            <w:shd w:val="pct10" w:color="auto" w:fill="auto"/>
            <w:textDirection w:val="btLr"/>
            <w:vAlign w:val="center"/>
          </w:tcPr>
          <w:p w14:paraId="63CAFBA1" w14:textId="77777777" w:rsidR="00DF4478" w:rsidRPr="00A858C4" w:rsidRDefault="00DF4478" w:rsidP="00DF4478">
            <w:pPr>
              <w:ind w:left="113" w:right="113"/>
              <w:jc w:val="center"/>
              <w:rPr>
                <w:noProof/>
                <w:sz w:val="18"/>
                <w:szCs w:val="18"/>
              </w:rPr>
            </w:pPr>
            <w:r w:rsidRPr="00A858C4">
              <w:rPr>
                <w:noProof/>
                <w:sz w:val="18"/>
              </w:rPr>
              <w:t>Antal</w:t>
            </w:r>
          </w:p>
        </w:tc>
        <w:tc>
          <w:tcPr>
            <w:tcW w:w="720" w:type="dxa"/>
            <w:gridSpan w:val="2"/>
            <w:tcBorders>
              <w:left w:val="dashSmallGap" w:sz="4" w:space="0" w:color="auto"/>
            </w:tcBorders>
            <w:shd w:val="pct10" w:color="auto" w:fill="auto"/>
            <w:vAlign w:val="center"/>
          </w:tcPr>
          <w:p w14:paraId="7D244CFD" w14:textId="77777777" w:rsidR="00DF4478" w:rsidRPr="00A858C4" w:rsidRDefault="00DF4478" w:rsidP="00DF4478">
            <w:pPr>
              <w:jc w:val="center"/>
              <w:rPr>
                <w:noProof/>
                <w:sz w:val="18"/>
                <w:szCs w:val="18"/>
              </w:rPr>
            </w:pPr>
            <w:r w:rsidRPr="00A858C4">
              <w:rPr>
                <w:noProof/>
                <w:sz w:val="18"/>
              </w:rPr>
              <w:t>Omkostninger</w:t>
            </w:r>
          </w:p>
        </w:tc>
        <w:tc>
          <w:tcPr>
            <w:tcW w:w="540" w:type="dxa"/>
            <w:tcBorders>
              <w:right w:val="dashSmallGap" w:sz="4" w:space="0" w:color="auto"/>
            </w:tcBorders>
            <w:shd w:val="pct10" w:color="auto" w:fill="auto"/>
            <w:textDirection w:val="btLr"/>
            <w:vAlign w:val="center"/>
          </w:tcPr>
          <w:p w14:paraId="74AA8FA0" w14:textId="77777777" w:rsidR="00DF4478" w:rsidRPr="00A858C4" w:rsidRDefault="00DF4478" w:rsidP="00DF4478">
            <w:pPr>
              <w:ind w:left="113" w:right="113"/>
              <w:jc w:val="center"/>
              <w:rPr>
                <w:noProof/>
                <w:sz w:val="18"/>
                <w:szCs w:val="18"/>
              </w:rPr>
            </w:pPr>
            <w:r w:rsidRPr="00A858C4">
              <w:rPr>
                <w:noProof/>
                <w:sz w:val="18"/>
              </w:rPr>
              <w:t>Antal</w:t>
            </w:r>
          </w:p>
        </w:tc>
        <w:tc>
          <w:tcPr>
            <w:tcW w:w="648" w:type="dxa"/>
            <w:tcBorders>
              <w:left w:val="dashSmallGap" w:sz="4" w:space="0" w:color="auto"/>
            </w:tcBorders>
            <w:shd w:val="pct10" w:color="auto" w:fill="auto"/>
            <w:vAlign w:val="center"/>
          </w:tcPr>
          <w:p w14:paraId="4E54E7EF" w14:textId="77777777" w:rsidR="00DF4478" w:rsidRPr="00A858C4" w:rsidRDefault="00DF4478" w:rsidP="00DF4478">
            <w:pPr>
              <w:jc w:val="center"/>
              <w:rPr>
                <w:noProof/>
                <w:sz w:val="18"/>
                <w:szCs w:val="18"/>
              </w:rPr>
            </w:pPr>
            <w:r w:rsidRPr="00A858C4">
              <w:rPr>
                <w:noProof/>
                <w:sz w:val="18"/>
              </w:rPr>
              <w:t>Omkostninger</w:t>
            </w:r>
          </w:p>
        </w:tc>
        <w:tc>
          <w:tcPr>
            <w:tcW w:w="432" w:type="dxa"/>
            <w:tcBorders>
              <w:right w:val="dashSmallGap" w:sz="4" w:space="0" w:color="auto"/>
            </w:tcBorders>
            <w:shd w:val="pct10" w:color="auto" w:fill="auto"/>
            <w:textDirection w:val="btLr"/>
            <w:vAlign w:val="center"/>
          </w:tcPr>
          <w:p w14:paraId="2A528A93" w14:textId="77777777" w:rsidR="00DF4478" w:rsidRPr="00A858C4" w:rsidRDefault="00DF4478" w:rsidP="00DF4478">
            <w:pPr>
              <w:ind w:left="113" w:right="113"/>
              <w:jc w:val="center"/>
              <w:rPr>
                <w:noProof/>
                <w:sz w:val="18"/>
                <w:szCs w:val="18"/>
              </w:rPr>
            </w:pPr>
            <w:r w:rsidRPr="00A858C4">
              <w:rPr>
                <w:noProof/>
                <w:sz w:val="18"/>
              </w:rPr>
              <w:t>Antal</w:t>
            </w:r>
          </w:p>
        </w:tc>
        <w:tc>
          <w:tcPr>
            <w:tcW w:w="720" w:type="dxa"/>
            <w:tcBorders>
              <w:left w:val="dashSmallGap" w:sz="4" w:space="0" w:color="auto"/>
            </w:tcBorders>
            <w:shd w:val="pct10" w:color="auto" w:fill="auto"/>
            <w:vAlign w:val="center"/>
          </w:tcPr>
          <w:p w14:paraId="3B9AFF92" w14:textId="77777777" w:rsidR="00DF4478" w:rsidRPr="00A858C4" w:rsidRDefault="00DF4478" w:rsidP="00DF4478">
            <w:pPr>
              <w:jc w:val="center"/>
              <w:rPr>
                <w:noProof/>
                <w:sz w:val="18"/>
                <w:szCs w:val="18"/>
              </w:rPr>
            </w:pPr>
            <w:r w:rsidRPr="00A858C4">
              <w:rPr>
                <w:noProof/>
                <w:sz w:val="18"/>
              </w:rPr>
              <w:t>Omkostninger</w:t>
            </w:r>
          </w:p>
        </w:tc>
        <w:tc>
          <w:tcPr>
            <w:tcW w:w="540" w:type="dxa"/>
            <w:tcBorders>
              <w:right w:val="dashSmallGap" w:sz="4" w:space="0" w:color="auto"/>
            </w:tcBorders>
            <w:shd w:val="pct10" w:color="auto" w:fill="auto"/>
            <w:textDirection w:val="btLr"/>
            <w:vAlign w:val="center"/>
          </w:tcPr>
          <w:p w14:paraId="444B5988" w14:textId="77777777" w:rsidR="00DF4478" w:rsidRPr="00A858C4" w:rsidRDefault="00DF4478" w:rsidP="00DF4478">
            <w:pPr>
              <w:ind w:left="113" w:right="113"/>
              <w:jc w:val="center"/>
              <w:rPr>
                <w:noProof/>
                <w:sz w:val="18"/>
                <w:szCs w:val="18"/>
              </w:rPr>
            </w:pPr>
            <w:r w:rsidRPr="00A858C4">
              <w:rPr>
                <w:noProof/>
                <w:sz w:val="18"/>
              </w:rPr>
              <w:t>Antal</w:t>
            </w:r>
          </w:p>
        </w:tc>
        <w:tc>
          <w:tcPr>
            <w:tcW w:w="720" w:type="dxa"/>
            <w:tcBorders>
              <w:left w:val="dashSmallGap" w:sz="4" w:space="0" w:color="auto"/>
            </w:tcBorders>
            <w:shd w:val="pct10" w:color="auto" w:fill="auto"/>
            <w:vAlign w:val="center"/>
          </w:tcPr>
          <w:p w14:paraId="19B699EA" w14:textId="77777777" w:rsidR="00DF4478" w:rsidRPr="00A858C4" w:rsidRDefault="00DF4478" w:rsidP="00DF4478">
            <w:pPr>
              <w:jc w:val="center"/>
              <w:rPr>
                <w:noProof/>
                <w:sz w:val="18"/>
                <w:szCs w:val="18"/>
              </w:rPr>
            </w:pPr>
            <w:r w:rsidRPr="00A858C4">
              <w:rPr>
                <w:noProof/>
                <w:sz w:val="18"/>
              </w:rPr>
              <w:t>Omkostninger</w:t>
            </w:r>
          </w:p>
        </w:tc>
        <w:tc>
          <w:tcPr>
            <w:tcW w:w="720" w:type="dxa"/>
            <w:tcBorders>
              <w:right w:val="dashSmallGap" w:sz="4" w:space="0" w:color="auto"/>
            </w:tcBorders>
            <w:shd w:val="pct10" w:color="auto" w:fill="auto"/>
            <w:vAlign w:val="center"/>
          </w:tcPr>
          <w:p w14:paraId="0D3B61E1" w14:textId="77777777" w:rsidR="00DF4478" w:rsidRPr="00A858C4" w:rsidRDefault="00DF4478" w:rsidP="00DF4478">
            <w:pPr>
              <w:jc w:val="center"/>
              <w:rPr>
                <w:noProof/>
                <w:sz w:val="18"/>
                <w:szCs w:val="18"/>
              </w:rPr>
            </w:pPr>
            <w:r w:rsidRPr="00A858C4">
              <w:rPr>
                <w:noProof/>
                <w:sz w:val="18"/>
              </w:rPr>
              <w:t>Antal resultater i alt</w:t>
            </w:r>
          </w:p>
        </w:tc>
        <w:tc>
          <w:tcPr>
            <w:tcW w:w="900" w:type="dxa"/>
            <w:tcBorders>
              <w:left w:val="dashSmallGap" w:sz="4" w:space="0" w:color="auto"/>
            </w:tcBorders>
            <w:shd w:val="pct10" w:color="auto" w:fill="auto"/>
            <w:vAlign w:val="center"/>
          </w:tcPr>
          <w:p w14:paraId="3A26AD3C" w14:textId="77777777" w:rsidR="00DF4478" w:rsidRPr="00A858C4" w:rsidRDefault="00DF4478" w:rsidP="00DF4478">
            <w:pPr>
              <w:jc w:val="center"/>
              <w:rPr>
                <w:noProof/>
                <w:sz w:val="18"/>
                <w:szCs w:val="18"/>
              </w:rPr>
            </w:pPr>
            <w:r w:rsidRPr="00A858C4">
              <w:rPr>
                <w:noProof/>
                <w:sz w:val="18"/>
              </w:rPr>
              <w:t>Omkostninger i alt</w:t>
            </w:r>
          </w:p>
        </w:tc>
      </w:tr>
      <w:tr w:rsidR="00DF4478" w:rsidRPr="00A858C4" w14:paraId="7FEBEFDF" w14:textId="77777777" w:rsidTr="005D1D40">
        <w:trPr>
          <w:jc w:val="center"/>
        </w:trPr>
        <w:tc>
          <w:tcPr>
            <w:tcW w:w="2844" w:type="dxa"/>
            <w:gridSpan w:val="3"/>
            <w:vAlign w:val="center"/>
          </w:tcPr>
          <w:p w14:paraId="78D5F1BB" w14:textId="77777777" w:rsidR="00DF4478" w:rsidRPr="00A858C4" w:rsidRDefault="00DF4478" w:rsidP="00DF4478">
            <w:pPr>
              <w:spacing w:before="60" w:after="60"/>
              <w:ind w:right="-29"/>
              <w:jc w:val="center"/>
              <w:rPr>
                <w:noProof/>
                <w:sz w:val="18"/>
                <w:szCs w:val="18"/>
              </w:rPr>
            </w:pPr>
            <w:r w:rsidRPr="00A858C4">
              <w:rPr>
                <w:noProof/>
                <w:sz w:val="18"/>
              </w:rPr>
              <w:t>SPECIFIKT MÅL NR. 1:</w:t>
            </w:r>
            <w:r w:rsidRPr="00A858C4">
              <w:rPr>
                <w:noProof/>
                <w:color w:val="000000" w:themeColor="text1"/>
              </w:rPr>
              <w:t xml:space="preserve"> </w:t>
            </w:r>
            <w:r w:rsidRPr="00A858C4">
              <w:rPr>
                <w:rStyle w:val="FootnoteReference"/>
                <w:noProof/>
              </w:rPr>
              <w:footnoteReference w:id="18"/>
            </w:r>
            <w:r w:rsidRPr="00A858C4">
              <w:rPr>
                <w:noProof/>
                <w:sz w:val="18"/>
              </w:rPr>
              <w:t>…</w:t>
            </w:r>
          </w:p>
        </w:tc>
        <w:tc>
          <w:tcPr>
            <w:tcW w:w="504" w:type="dxa"/>
            <w:tcBorders>
              <w:top w:val="nil"/>
              <w:left w:val="nil"/>
              <w:bottom w:val="nil"/>
              <w:right w:val="nil"/>
            </w:tcBorders>
          </w:tcPr>
          <w:p w14:paraId="42A77A43"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2E0A2266" w14:textId="77777777" w:rsidR="00DF4478" w:rsidRPr="00A858C4" w:rsidRDefault="00DF4478" w:rsidP="00DF4478">
            <w:pPr>
              <w:spacing w:before="60" w:after="60"/>
              <w:ind w:right="-29"/>
              <w:jc w:val="center"/>
              <w:rPr>
                <w:noProof/>
                <w:sz w:val="18"/>
                <w:szCs w:val="18"/>
              </w:rPr>
            </w:pPr>
          </w:p>
        </w:tc>
        <w:tc>
          <w:tcPr>
            <w:tcW w:w="540" w:type="dxa"/>
            <w:tcBorders>
              <w:top w:val="nil"/>
              <w:left w:val="nil"/>
              <w:bottom w:val="nil"/>
              <w:right w:val="nil"/>
            </w:tcBorders>
          </w:tcPr>
          <w:p w14:paraId="55D67686"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1F8DD9DC"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1FEB84F8"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2958F2D7" w14:textId="77777777" w:rsidR="00DF4478" w:rsidRPr="00A858C4" w:rsidRDefault="00DF4478" w:rsidP="00DF4478">
            <w:pPr>
              <w:spacing w:before="60" w:after="60"/>
              <w:ind w:right="-29"/>
              <w:jc w:val="center"/>
              <w:rPr>
                <w:noProof/>
                <w:sz w:val="18"/>
                <w:szCs w:val="18"/>
              </w:rPr>
            </w:pPr>
          </w:p>
        </w:tc>
        <w:tc>
          <w:tcPr>
            <w:tcW w:w="900" w:type="dxa"/>
            <w:tcBorders>
              <w:top w:val="nil"/>
              <w:left w:val="nil"/>
              <w:bottom w:val="nil"/>
              <w:right w:val="nil"/>
            </w:tcBorders>
          </w:tcPr>
          <w:p w14:paraId="5468E64A" w14:textId="77777777" w:rsidR="00DF4478" w:rsidRPr="00A858C4" w:rsidRDefault="00DF4478" w:rsidP="00DF4478">
            <w:pPr>
              <w:spacing w:before="60" w:after="60"/>
              <w:ind w:right="-29"/>
              <w:jc w:val="center"/>
              <w:rPr>
                <w:noProof/>
                <w:sz w:val="18"/>
                <w:szCs w:val="18"/>
              </w:rPr>
            </w:pPr>
          </w:p>
        </w:tc>
        <w:tc>
          <w:tcPr>
            <w:tcW w:w="720" w:type="dxa"/>
            <w:gridSpan w:val="2"/>
            <w:tcBorders>
              <w:top w:val="nil"/>
              <w:left w:val="nil"/>
              <w:bottom w:val="nil"/>
              <w:right w:val="nil"/>
            </w:tcBorders>
          </w:tcPr>
          <w:p w14:paraId="575789F6" w14:textId="77777777" w:rsidR="00DF4478" w:rsidRPr="00A858C4" w:rsidRDefault="00DF4478" w:rsidP="00DF4478">
            <w:pPr>
              <w:spacing w:before="60" w:after="60"/>
              <w:ind w:right="-29"/>
              <w:jc w:val="center"/>
              <w:rPr>
                <w:noProof/>
                <w:sz w:val="18"/>
                <w:szCs w:val="18"/>
              </w:rPr>
            </w:pPr>
          </w:p>
        </w:tc>
        <w:tc>
          <w:tcPr>
            <w:tcW w:w="540" w:type="dxa"/>
            <w:tcBorders>
              <w:top w:val="nil"/>
              <w:left w:val="nil"/>
              <w:bottom w:val="nil"/>
              <w:right w:val="nil"/>
            </w:tcBorders>
          </w:tcPr>
          <w:p w14:paraId="54547D7B" w14:textId="77777777" w:rsidR="00DF4478" w:rsidRPr="00A858C4" w:rsidRDefault="00DF4478" w:rsidP="00DF4478">
            <w:pPr>
              <w:spacing w:before="60" w:after="60"/>
              <w:ind w:right="-29"/>
              <w:jc w:val="center"/>
              <w:rPr>
                <w:noProof/>
                <w:sz w:val="18"/>
                <w:szCs w:val="18"/>
              </w:rPr>
            </w:pPr>
          </w:p>
        </w:tc>
        <w:tc>
          <w:tcPr>
            <w:tcW w:w="648" w:type="dxa"/>
            <w:tcBorders>
              <w:top w:val="nil"/>
              <w:left w:val="nil"/>
              <w:bottom w:val="nil"/>
              <w:right w:val="nil"/>
            </w:tcBorders>
          </w:tcPr>
          <w:p w14:paraId="485EACBA" w14:textId="77777777" w:rsidR="00DF4478" w:rsidRPr="00A858C4" w:rsidRDefault="00DF4478" w:rsidP="00DF4478">
            <w:pPr>
              <w:spacing w:before="60" w:after="60"/>
              <w:ind w:right="-29"/>
              <w:jc w:val="center"/>
              <w:rPr>
                <w:noProof/>
                <w:sz w:val="18"/>
                <w:szCs w:val="18"/>
              </w:rPr>
            </w:pPr>
          </w:p>
        </w:tc>
        <w:tc>
          <w:tcPr>
            <w:tcW w:w="432" w:type="dxa"/>
            <w:tcBorders>
              <w:top w:val="nil"/>
              <w:left w:val="nil"/>
              <w:bottom w:val="nil"/>
              <w:right w:val="nil"/>
            </w:tcBorders>
          </w:tcPr>
          <w:p w14:paraId="73153BA0"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109D6416" w14:textId="77777777" w:rsidR="00DF4478" w:rsidRPr="00A858C4" w:rsidRDefault="00DF4478" w:rsidP="00DF4478">
            <w:pPr>
              <w:spacing w:before="60" w:after="60"/>
              <w:ind w:right="-29"/>
              <w:jc w:val="center"/>
              <w:rPr>
                <w:noProof/>
                <w:sz w:val="18"/>
                <w:szCs w:val="18"/>
              </w:rPr>
            </w:pPr>
          </w:p>
        </w:tc>
        <w:tc>
          <w:tcPr>
            <w:tcW w:w="540" w:type="dxa"/>
            <w:tcBorders>
              <w:top w:val="nil"/>
              <w:left w:val="nil"/>
              <w:bottom w:val="nil"/>
              <w:right w:val="nil"/>
            </w:tcBorders>
          </w:tcPr>
          <w:p w14:paraId="01155652"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2A9D2F5A"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6B2E65F0" w14:textId="77777777" w:rsidR="00DF4478" w:rsidRPr="00A858C4" w:rsidRDefault="00DF4478" w:rsidP="00DF4478">
            <w:pPr>
              <w:spacing w:before="60" w:after="60"/>
              <w:ind w:right="-29"/>
              <w:jc w:val="center"/>
              <w:rPr>
                <w:noProof/>
                <w:sz w:val="18"/>
                <w:szCs w:val="18"/>
              </w:rPr>
            </w:pPr>
          </w:p>
        </w:tc>
        <w:tc>
          <w:tcPr>
            <w:tcW w:w="900" w:type="dxa"/>
            <w:tcBorders>
              <w:top w:val="nil"/>
              <w:left w:val="nil"/>
              <w:bottom w:val="nil"/>
              <w:right w:val="nil"/>
            </w:tcBorders>
          </w:tcPr>
          <w:p w14:paraId="6E099026" w14:textId="77777777" w:rsidR="00DF4478" w:rsidRPr="00A858C4" w:rsidRDefault="00DF4478" w:rsidP="00DF4478">
            <w:pPr>
              <w:spacing w:before="60" w:after="60"/>
              <w:ind w:right="-29"/>
              <w:jc w:val="center"/>
              <w:rPr>
                <w:noProof/>
                <w:sz w:val="18"/>
                <w:szCs w:val="18"/>
              </w:rPr>
            </w:pPr>
          </w:p>
        </w:tc>
      </w:tr>
      <w:tr w:rsidR="00DF4478" w:rsidRPr="00A858C4" w14:paraId="60815BBB" w14:textId="77777777" w:rsidTr="005D1D40">
        <w:trPr>
          <w:trHeight w:hRule="exact" w:val="369"/>
          <w:jc w:val="center"/>
        </w:trPr>
        <w:tc>
          <w:tcPr>
            <w:tcW w:w="1423" w:type="dxa"/>
          </w:tcPr>
          <w:p w14:paraId="195E37C6" w14:textId="77777777" w:rsidR="00DF4478" w:rsidRPr="00A858C4" w:rsidRDefault="00DF4478" w:rsidP="00DF4478">
            <w:pPr>
              <w:ind w:right="-29"/>
              <w:jc w:val="center"/>
              <w:rPr>
                <w:noProof/>
                <w:sz w:val="18"/>
                <w:szCs w:val="18"/>
              </w:rPr>
            </w:pPr>
            <w:r w:rsidRPr="00A858C4">
              <w:rPr>
                <w:noProof/>
                <w:sz w:val="18"/>
              </w:rPr>
              <w:t>- Resultat</w:t>
            </w:r>
          </w:p>
        </w:tc>
        <w:tc>
          <w:tcPr>
            <w:tcW w:w="720" w:type="dxa"/>
          </w:tcPr>
          <w:p w14:paraId="4E8E60D9" w14:textId="77777777" w:rsidR="00DF4478" w:rsidRPr="00A858C4" w:rsidRDefault="00DF4478" w:rsidP="00DF4478">
            <w:pPr>
              <w:ind w:right="-29"/>
              <w:jc w:val="center"/>
              <w:rPr>
                <w:noProof/>
                <w:sz w:val="18"/>
                <w:szCs w:val="18"/>
              </w:rPr>
            </w:pPr>
          </w:p>
        </w:tc>
        <w:tc>
          <w:tcPr>
            <w:tcW w:w="701" w:type="dxa"/>
          </w:tcPr>
          <w:p w14:paraId="47264E55" w14:textId="77777777" w:rsidR="00DF4478" w:rsidRPr="00A858C4" w:rsidRDefault="00DF4478" w:rsidP="00DF4478">
            <w:pPr>
              <w:ind w:right="-29"/>
              <w:jc w:val="center"/>
              <w:rPr>
                <w:noProof/>
                <w:sz w:val="18"/>
                <w:szCs w:val="18"/>
              </w:rPr>
            </w:pPr>
          </w:p>
        </w:tc>
        <w:tc>
          <w:tcPr>
            <w:tcW w:w="504" w:type="dxa"/>
            <w:tcBorders>
              <w:right w:val="dashSmallGap" w:sz="4" w:space="0" w:color="auto"/>
            </w:tcBorders>
          </w:tcPr>
          <w:p w14:paraId="2397E321"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14F13112" w14:textId="77777777" w:rsidR="00DF4478" w:rsidRPr="00A858C4" w:rsidRDefault="00DF4478" w:rsidP="00DF4478">
            <w:pPr>
              <w:ind w:right="-29"/>
              <w:jc w:val="center"/>
              <w:rPr>
                <w:noProof/>
                <w:sz w:val="18"/>
                <w:szCs w:val="18"/>
              </w:rPr>
            </w:pPr>
          </w:p>
        </w:tc>
        <w:tc>
          <w:tcPr>
            <w:tcW w:w="540" w:type="dxa"/>
            <w:tcBorders>
              <w:right w:val="dashSmallGap" w:sz="4" w:space="0" w:color="auto"/>
            </w:tcBorders>
          </w:tcPr>
          <w:p w14:paraId="03F44F57"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4E94813D" w14:textId="77777777" w:rsidR="00DF4478" w:rsidRPr="00A858C4" w:rsidRDefault="00DF4478" w:rsidP="00DF4478">
            <w:pPr>
              <w:ind w:right="-29"/>
              <w:jc w:val="center"/>
              <w:rPr>
                <w:noProof/>
                <w:sz w:val="18"/>
                <w:szCs w:val="18"/>
              </w:rPr>
            </w:pPr>
          </w:p>
        </w:tc>
        <w:tc>
          <w:tcPr>
            <w:tcW w:w="720" w:type="dxa"/>
            <w:tcBorders>
              <w:right w:val="dashSmallGap" w:sz="4" w:space="0" w:color="auto"/>
            </w:tcBorders>
          </w:tcPr>
          <w:p w14:paraId="322EE9B0"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4CC7C753" w14:textId="77777777" w:rsidR="00DF4478" w:rsidRPr="00A858C4" w:rsidRDefault="00DF4478" w:rsidP="00DF4478">
            <w:pPr>
              <w:ind w:right="-29"/>
              <w:jc w:val="center"/>
              <w:rPr>
                <w:noProof/>
                <w:sz w:val="18"/>
                <w:szCs w:val="18"/>
              </w:rPr>
            </w:pPr>
          </w:p>
        </w:tc>
        <w:tc>
          <w:tcPr>
            <w:tcW w:w="900" w:type="dxa"/>
            <w:tcBorders>
              <w:right w:val="dashSmallGap" w:sz="4" w:space="0" w:color="auto"/>
            </w:tcBorders>
          </w:tcPr>
          <w:p w14:paraId="27369272" w14:textId="77777777" w:rsidR="00DF4478" w:rsidRPr="00A858C4" w:rsidRDefault="00DF4478" w:rsidP="00DF4478">
            <w:pPr>
              <w:ind w:right="-29"/>
              <w:jc w:val="center"/>
              <w:rPr>
                <w:noProof/>
                <w:sz w:val="18"/>
                <w:szCs w:val="18"/>
              </w:rPr>
            </w:pPr>
          </w:p>
        </w:tc>
        <w:tc>
          <w:tcPr>
            <w:tcW w:w="720" w:type="dxa"/>
            <w:gridSpan w:val="2"/>
            <w:tcBorders>
              <w:left w:val="dashSmallGap" w:sz="4" w:space="0" w:color="auto"/>
            </w:tcBorders>
          </w:tcPr>
          <w:p w14:paraId="739CEA57" w14:textId="77777777" w:rsidR="00DF4478" w:rsidRPr="00A858C4" w:rsidRDefault="00DF4478" w:rsidP="00DF4478">
            <w:pPr>
              <w:ind w:right="-29"/>
              <w:jc w:val="center"/>
              <w:rPr>
                <w:noProof/>
                <w:sz w:val="18"/>
                <w:szCs w:val="18"/>
              </w:rPr>
            </w:pPr>
          </w:p>
        </w:tc>
        <w:tc>
          <w:tcPr>
            <w:tcW w:w="540" w:type="dxa"/>
            <w:tcBorders>
              <w:right w:val="dashSmallGap" w:sz="4" w:space="0" w:color="auto"/>
            </w:tcBorders>
          </w:tcPr>
          <w:p w14:paraId="65D6FE05" w14:textId="77777777" w:rsidR="00DF4478" w:rsidRPr="00A858C4" w:rsidRDefault="00DF4478" w:rsidP="00DF4478">
            <w:pPr>
              <w:ind w:right="-29"/>
              <w:jc w:val="center"/>
              <w:rPr>
                <w:noProof/>
                <w:sz w:val="18"/>
                <w:szCs w:val="18"/>
              </w:rPr>
            </w:pPr>
          </w:p>
        </w:tc>
        <w:tc>
          <w:tcPr>
            <w:tcW w:w="648" w:type="dxa"/>
            <w:tcBorders>
              <w:left w:val="dashSmallGap" w:sz="4" w:space="0" w:color="auto"/>
            </w:tcBorders>
          </w:tcPr>
          <w:p w14:paraId="03DBEDBF" w14:textId="77777777" w:rsidR="00DF4478" w:rsidRPr="00A858C4" w:rsidRDefault="00DF4478" w:rsidP="00DF4478">
            <w:pPr>
              <w:ind w:right="-29"/>
              <w:jc w:val="center"/>
              <w:rPr>
                <w:noProof/>
                <w:sz w:val="18"/>
                <w:szCs w:val="18"/>
              </w:rPr>
            </w:pPr>
          </w:p>
        </w:tc>
        <w:tc>
          <w:tcPr>
            <w:tcW w:w="432" w:type="dxa"/>
            <w:tcBorders>
              <w:right w:val="dashSmallGap" w:sz="4" w:space="0" w:color="auto"/>
            </w:tcBorders>
          </w:tcPr>
          <w:p w14:paraId="273C6964"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53A3F339" w14:textId="77777777" w:rsidR="00DF4478" w:rsidRPr="00A858C4" w:rsidRDefault="00DF4478" w:rsidP="00DF4478">
            <w:pPr>
              <w:ind w:right="-29"/>
              <w:jc w:val="center"/>
              <w:rPr>
                <w:noProof/>
                <w:sz w:val="18"/>
                <w:szCs w:val="18"/>
              </w:rPr>
            </w:pPr>
          </w:p>
        </w:tc>
        <w:tc>
          <w:tcPr>
            <w:tcW w:w="540" w:type="dxa"/>
            <w:tcBorders>
              <w:right w:val="dashSmallGap" w:sz="4" w:space="0" w:color="auto"/>
            </w:tcBorders>
          </w:tcPr>
          <w:p w14:paraId="53B6C000"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24F0A83A" w14:textId="77777777" w:rsidR="00DF4478" w:rsidRPr="00A858C4" w:rsidRDefault="00DF4478" w:rsidP="00DF4478">
            <w:pPr>
              <w:ind w:right="-29"/>
              <w:jc w:val="center"/>
              <w:rPr>
                <w:noProof/>
                <w:sz w:val="18"/>
                <w:szCs w:val="18"/>
              </w:rPr>
            </w:pPr>
          </w:p>
        </w:tc>
        <w:tc>
          <w:tcPr>
            <w:tcW w:w="720" w:type="dxa"/>
          </w:tcPr>
          <w:p w14:paraId="3F7285F2" w14:textId="77777777" w:rsidR="00DF4478" w:rsidRPr="00A858C4" w:rsidRDefault="00DF4478" w:rsidP="00DF4478">
            <w:pPr>
              <w:ind w:right="-29"/>
              <w:jc w:val="center"/>
              <w:rPr>
                <w:noProof/>
                <w:sz w:val="18"/>
                <w:szCs w:val="18"/>
              </w:rPr>
            </w:pPr>
          </w:p>
        </w:tc>
        <w:tc>
          <w:tcPr>
            <w:tcW w:w="900" w:type="dxa"/>
          </w:tcPr>
          <w:p w14:paraId="27897CB1" w14:textId="77777777" w:rsidR="00DF4478" w:rsidRPr="00A858C4" w:rsidRDefault="00DF4478" w:rsidP="00DF4478">
            <w:pPr>
              <w:ind w:right="-29"/>
              <w:jc w:val="center"/>
              <w:rPr>
                <w:noProof/>
                <w:sz w:val="18"/>
                <w:szCs w:val="18"/>
              </w:rPr>
            </w:pPr>
          </w:p>
        </w:tc>
      </w:tr>
      <w:tr w:rsidR="00DF4478" w:rsidRPr="00A858C4" w14:paraId="02B3F4EB" w14:textId="77777777" w:rsidTr="005D1D40">
        <w:trPr>
          <w:trHeight w:hRule="exact" w:val="369"/>
          <w:jc w:val="center"/>
        </w:trPr>
        <w:tc>
          <w:tcPr>
            <w:tcW w:w="1423" w:type="dxa"/>
          </w:tcPr>
          <w:p w14:paraId="5DA8EF12" w14:textId="77777777" w:rsidR="00DF4478" w:rsidRPr="00A858C4" w:rsidRDefault="00DF4478" w:rsidP="00DF4478">
            <w:pPr>
              <w:ind w:right="-29"/>
              <w:jc w:val="center"/>
              <w:rPr>
                <w:noProof/>
                <w:sz w:val="18"/>
                <w:szCs w:val="18"/>
              </w:rPr>
            </w:pPr>
            <w:r w:rsidRPr="00A858C4">
              <w:rPr>
                <w:noProof/>
                <w:sz w:val="18"/>
              </w:rPr>
              <w:t>- Resultat</w:t>
            </w:r>
          </w:p>
        </w:tc>
        <w:tc>
          <w:tcPr>
            <w:tcW w:w="720" w:type="dxa"/>
          </w:tcPr>
          <w:p w14:paraId="34E87316" w14:textId="77777777" w:rsidR="00DF4478" w:rsidRPr="00A858C4" w:rsidRDefault="00DF4478" w:rsidP="00DF4478">
            <w:pPr>
              <w:ind w:right="-29"/>
              <w:jc w:val="center"/>
              <w:rPr>
                <w:noProof/>
                <w:sz w:val="18"/>
                <w:szCs w:val="18"/>
              </w:rPr>
            </w:pPr>
          </w:p>
        </w:tc>
        <w:tc>
          <w:tcPr>
            <w:tcW w:w="701" w:type="dxa"/>
          </w:tcPr>
          <w:p w14:paraId="5493DBE6" w14:textId="77777777" w:rsidR="00DF4478" w:rsidRPr="00A858C4" w:rsidRDefault="00DF4478" w:rsidP="00DF4478">
            <w:pPr>
              <w:ind w:right="-29"/>
              <w:jc w:val="center"/>
              <w:rPr>
                <w:noProof/>
                <w:sz w:val="18"/>
                <w:szCs w:val="18"/>
              </w:rPr>
            </w:pPr>
          </w:p>
        </w:tc>
        <w:tc>
          <w:tcPr>
            <w:tcW w:w="504" w:type="dxa"/>
            <w:tcBorders>
              <w:right w:val="dashSmallGap" w:sz="4" w:space="0" w:color="auto"/>
            </w:tcBorders>
          </w:tcPr>
          <w:p w14:paraId="4767D647"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759445D2" w14:textId="77777777" w:rsidR="00DF4478" w:rsidRPr="00A858C4" w:rsidRDefault="00DF4478" w:rsidP="00DF4478">
            <w:pPr>
              <w:ind w:right="-29"/>
              <w:jc w:val="center"/>
              <w:rPr>
                <w:noProof/>
                <w:sz w:val="18"/>
                <w:szCs w:val="18"/>
              </w:rPr>
            </w:pPr>
          </w:p>
        </w:tc>
        <w:tc>
          <w:tcPr>
            <w:tcW w:w="540" w:type="dxa"/>
            <w:tcBorders>
              <w:right w:val="dashSmallGap" w:sz="4" w:space="0" w:color="auto"/>
            </w:tcBorders>
          </w:tcPr>
          <w:p w14:paraId="544775EF"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54843A59" w14:textId="77777777" w:rsidR="00DF4478" w:rsidRPr="00A858C4" w:rsidRDefault="00DF4478" w:rsidP="00DF4478">
            <w:pPr>
              <w:ind w:right="-29"/>
              <w:jc w:val="center"/>
              <w:rPr>
                <w:noProof/>
                <w:sz w:val="18"/>
                <w:szCs w:val="18"/>
              </w:rPr>
            </w:pPr>
          </w:p>
        </w:tc>
        <w:tc>
          <w:tcPr>
            <w:tcW w:w="720" w:type="dxa"/>
            <w:tcBorders>
              <w:right w:val="dashSmallGap" w:sz="4" w:space="0" w:color="auto"/>
            </w:tcBorders>
          </w:tcPr>
          <w:p w14:paraId="6FBF5114"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199669EC" w14:textId="77777777" w:rsidR="00DF4478" w:rsidRPr="00A858C4" w:rsidRDefault="00DF4478" w:rsidP="00DF4478">
            <w:pPr>
              <w:ind w:right="-29"/>
              <w:jc w:val="center"/>
              <w:rPr>
                <w:noProof/>
                <w:sz w:val="18"/>
                <w:szCs w:val="18"/>
              </w:rPr>
            </w:pPr>
          </w:p>
        </w:tc>
        <w:tc>
          <w:tcPr>
            <w:tcW w:w="900" w:type="dxa"/>
            <w:tcBorders>
              <w:right w:val="dashSmallGap" w:sz="4" w:space="0" w:color="auto"/>
            </w:tcBorders>
          </w:tcPr>
          <w:p w14:paraId="3A6A4DBD" w14:textId="77777777" w:rsidR="00DF4478" w:rsidRPr="00A858C4" w:rsidRDefault="00DF4478" w:rsidP="00DF4478">
            <w:pPr>
              <w:ind w:right="-29"/>
              <w:jc w:val="center"/>
              <w:rPr>
                <w:noProof/>
                <w:sz w:val="18"/>
                <w:szCs w:val="18"/>
              </w:rPr>
            </w:pPr>
          </w:p>
        </w:tc>
        <w:tc>
          <w:tcPr>
            <w:tcW w:w="720" w:type="dxa"/>
            <w:gridSpan w:val="2"/>
            <w:tcBorders>
              <w:left w:val="dashSmallGap" w:sz="4" w:space="0" w:color="auto"/>
            </w:tcBorders>
          </w:tcPr>
          <w:p w14:paraId="1B351EAF" w14:textId="77777777" w:rsidR="00DF4478" w:rsidRPr="00A858C4" w:rsidRDefault="00DF4478" w:rsidP="00DF4478">
            <w:pPr>
              <w:ind w:right="-29"/>
              <w:jc w:val="center"/>
              <w:rPr>
                <w:noProof/>
                <w:sz w:val="18"/>
                <w:szCs w:val="18"/>
              </w:rPr>
            </w:pPr>
          </w:p>
        </w:tc>
        <w:tc>
          <w:tcPr>
            <w:tcW w:w="540" w:type="dxa"/>
            <w:tcBorders>
              <w:right w:val="dashSmallGap" w:sz="4" w:space="0" w:color="auto"/>
            </w:tcBorders>
          </w:tcPr>
          <w:p w14:paraId="5FE6DCF0" w14:textId="77777777" w:rsidR="00DF4478" w:rsidRPr="00A858C4" w:rsidRDefault="00DF4478" w:rsidP="00DF4478">
            <w:pPr>
              <w:ind w:right="-29"/>
              <w:jc w:val="center"/>
              <w:rPr>
                <w:noProof/>
                <w:sz w:val="18"/>
                <w:szCs w:val="18"/>
              </w:rPr>
            </w:pPr>
          </w:p>
        </w:tc>
        <w:tc>
          <w:tcPr>
            <w:tcW w:w="648" w:type="dxa"/>
            <w:tcBorders>
              <w:left w:val="dashSmallGap" w:sz="4" w:space="0" w:color="auto"/>
            </w:tcBorders>
          </w:tcPr>
          <w:p w14:paraId="36B6DA53" w14:textId="77777777" w:rsidR="00DF4478" w:rsidRPr="00A858C4" w:rsidRDefault="00DF4478" w:rsidP="00DF4478">
            <w:pPr>
              <w:ind w:right="-29"/>
              <w:jc w:val="center"/>
              <w:rPr>
                <w:noProof/>
                <w:sz w:val="18"/>
                <w:szCs w:val="18"/>
              </w:rPr>
            </w:pPr>
          </w:p>
        </w:tc>
        <w:tc>
          <w:tcPr>
            <w:tcW w:w="432" w:type="dxa"/>
            <w:tcBorders>
              <w:right w:val="dashSmallGap" w:sz="4" w:space="0" w:color="auto"/>
            </w:tcBorders>
          </w:tcPr>
          <w:p w14:paraId="1FE274A7"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4DA1DD9E" w14:textId="77777777" w:rsidR="00DF4478" w:rsidRPr="00A858C4" w:rsidRDefault="00DF4478" w:rsidP="00DF4478">
            <w:pPr>
              <w:ind w:right="-29"/>
              <w:jc w:val="center"/>
              <w:rPr>
                <w:noProof/>
                <w:sz w:val="18"/>
                <w:szCs w:val="18"/>
              </w:rPr>
            </w:pPr>
          </w:p>
        </w:tc>
        <w:tc>
          <w:tcPr>
            <w:tcW w:w="540" w:type="dxa"/>
            <w:tcBorders>
              <w:right w:val="dashSmallGap" w:sz="4" w:space="0" w:color="auto"/>
            </w:tcBorders>
          </w:tcPr>
          <w:p w14:paraId="55BFE404" w14:textId="77777777" w:rsidR="00DF4478" w:rsidRPr="00A858C4" w:rsidRDefault="00DF4478" w:rsidP="00DF4478">
            <w:pPr>
              <w:ind w:right="-29"/>
              <w:jc w:val="center"/>
              <w:rPr>
                <w:noProof/>
                <w:sz w:val="18"/>
                <w:szCs w:val="18"/>
              </w:rPr>
            </w:pPr>
          </w:p>
        </w:tc>
        <w:tc>
          <w:tcPr>
            <w:tcW w:w="720" w:type="dxa"/>
            <w:tcBorders>
              <w:left w:val="dashSmallGap" w:sz="4" w:space="0" w:color="auto"/>
            </w:tcBorders>
          </w:tcPr>
          <w:p w14:paraId="3D9B63B1" w14:textId="77777777" w:rsidR="00DF4478" w:rsidRPr="00A858C4" w:rsidRDefault="00DF4478" w:rsidP="00DF4478">
            <w:pPr>
              <w:ind w:right="-29"/>
              <w:jc w:val="center"/>
              <w:rPr>
                <w:noProof/>
                <w:sz w:val="18"/>
                <w:szCs w:val="18"/>
              </w:rPr>
            </w:pPr>
          </w:p>
        </w:tc>
        <w:tc>
          <w:tcPr>
            <w:tcW w:w="720" w:type="dxa"/>
          </w:tcPr>
          <w:p w14:paraId="0D4C48E8" w14:textId="77777777" w:rsidR="00DF4478" w:rsidRPr="00A858C4" w:rsidRDefault="00DF4478" w:rsidP="00DF4478">
            <w:pPr>
              <w:ind w:right="-29"/>
              <w:jc w:val="center"/>
              <w:rPr>
                <w:noProof/>
                <w:sz w:val="18"/>
                <w:szCs w:val="18"/>
              </w:rPr>
            </w:pPr>
          </w:p>
        </w:tc>
        <w:tc>
          <w:tcPr>
            <w:tcW w:w="900" w:type="dxa"/>
          </w:tcPr>
          <w:p w14:paraId="4295AA52" w14:textId="77777777" w:rsidR="00DF4478" w:rsidRPr="00A858C4" w:rsidRDefault="00DF4478" w:rsidP="00DF4478">
            <w:pPr>
              <w:ind w:right="-29"/>
              <w:jc w:val="center"/>
              <w:rPr>
                <w:noProof/>
                <w:sz w:val="18"/>
                <w:szCs w:val="18"/>
              </w:rPr>
            </w:pPr>
          </w:p>
        </w:tc>
      </w:tr>
      <w:tr w:rsidR="00DF4478" w:rsidRPr="00A858C4" w14:paraId="37A99E81" w14:textId="77777777" w:rsidTr="005D1D40">
        <w:trPr>
          <w:trHeight w:hRule="exact" w:val="369"/>
          <w:jc w:val="center"/>
        </w:trPr>
        <w:tc>
          <w:tcPr>
            <w:tcW w:w="1423" w:type="dxa"/>
          </w:tcPr>
          <w:p w14:paraId="4CC788C7" w14:textId="77777777" w:rsidR="00DF4478" w:rsidRPr="00A858C4" w:rsidRDefault="00DF4478" w:rsidP="00DF4478">
            <w:pPr>
              <w:ind w:right="-29"/>
              <w:jc w:val="center"/>
              <w:rPr>
                <w:noProof/>
                <w:sz w:val="18"/>
                <w:szCs w:val="18"/>
              </w:rPr>
            </w:pPr>
            <w:r w:rsidRPr="00A858C4">
              <w:rPr>
                <w:noProof/>
                <w:sz w:val="18"/>
              </w:rPr>
              <w:t>- Resultat</w:t>
            </w:r>
          </w:p>
        </w:tc>
        <w:tc>
          <w:tcPr>
            <w:tcW w:w="720" w:type="dxa"/>
          </w:tcPr>
          <w:p w14:paraId="1DD716FC" w14:textId="77777777" w:rsidR="00DF4478" w:rsidRPr="00A858C4" w:rsidRDefault="00DF4478" w:rsidP="00DF4478">
            <w:pPr>
              <w:ind w:right="-29"/>
              <w:jc w:val="center"/>
              <w:rPr>
                <w:noProof/>
                <w:sz w:val="18"/>
                <w:szCs w:val="18"/>
              </w:rPr>
            </w:pPr>
          </w:p>
        </w:tc>
        <w:tc>
          <w:tcPr>
            <w:tcW w:w="701" w:type="dxa"/>
          </w:tcPr>
          <w:p w14:paraId="5F99801C" w14:textId="77777777" w:rsidR="00DF4478" w:rsidRPr="00A858C4" w:rsidRDefault="00DF4478" w:rsidP="00DF4478">
            <w:pPr>
              <w:ind w:right="-29"/>
              <w:jc w:val="center"/>
              <w:rPr>
                <w:noProof/>
                <w:sz w:val="18"/>
                <w:szCs w:val="18"/>
              </w:rPr>
            </w:pPr>
          </w:p>
        </w:tc>
        <w:tc>
          <w:tcPr>
            <w:tcW w:w="504" w:type="dxa"/>
          </w:tcPr>
          <w:p w14:paraId="1ED4A5B7" w14:textId="77777777" w:rsidR="00DF4478" w:rsidRPr="00A858C4" w:rsidRDefault="00DF4478" w:rsidP="00DF4478">
            <w:pPr>
              <w:ind w:right="-29"/>
              <w:jc w:val="center"/>
              <w:rPr>
                <w:noProof/>
                <w:sz w:val="18"/>
                <w:szCs w:val="18"/>
              </w:rPr>
            </w:pPr>
          </w:p>
        </w:tc>
        <w:tc>
          <w:tcPr>
            <w:tcW w:w="720" w:type="dxa"/>
          </w:tcPr>
          <w:p w14:paraId="5EE61467" w14:textId="77777777" w:rsidR="00DF4478" w:rsidRPr="00A858C4" w:rsidRDefault="00DF4478" w:rsidP="00DF4478">
            <w:pPr>
              <w:ind w:right="-29"/>
              <w:jc w:val="center"/>
              <w:rPr>
                <w:noProof/>
                <w:sz w:val="18"/>
                <w:szCs w:val="18"/>
              </w:rPr>
            </w:pPr>
          </w:p>
        </w:tc>
        <w:tc>
          <w:tcPr>
            <w:tcW w:w="540" w:type="dxa"/>
          </w:tcPr>
          <w:p w14:paraId="3BA992BA" w14:textId="77777777" w:rsidR="00DF4478" w:rsidRPr="00A858C4" w:rsidRDefault="00DF4478" w:rsidP="00DF4478">
            <w:pPr>
              <w:ind w:right="-29"/>
              <w:jc w:val="center"/>
              <w:rPr>
                <w:noProof/>
                <w:sz w:val="18"/>
                <w:szCs w:val="18"/>
              </w:rPr>
            </w:pPr>
          </w:p>
        </w:tc>
        <w:tc>
          <w:tcPr>
            <w:tcW w:w="720" w:type="dxa"/>
          </w:tcPr>
          <w:p w14:paraId="736EC534" w14:textId="77777777" w:rsidR="00DF4478" w:rsidRPr="00A858C4" w:rsidRDefault="00DF4478" w:rsidP="00DF4478">
            <w:pPr>
              <w:ind w:right="-29"/>
              <w:jc w:val="center"/>
              <w:rPr>
                <w:noProof/>
                <w:sz w:val="18"/>
                <w:szCs w:val="18"/>
              </w:rPr>
            </w:pPr>
          </w:p>
        </w:tc>
        <w:tc>
          <w:tcPr>
            <w:tcW w:w="720" w:type="dxa"/>
          </w:tcPr>
          <w:p w14:paraId="7B9061B6" w14:textId="77777777" w:rsidR="00DF4478" w:rsidRPr="00A858C4" w:rsidRDefault="00DF4478" w:rsidP="00DF4478">
            <w:pPr>
              <w:ind w:right="-29"/>
              <w:jc w:val="center"/>
              <w:rPr>
                <w:noProof/>
                <w:sz w:val="18"/>
                <w:szCs w:val="18"/>
              </w:rPr>
            </w:pPr>
          </w:p>
        </w:tc>
        <w:tc>
          <w:tcPr>
            <w:tcW w:w="720" w:type="dxa"/>
          </w:tcPr>
          <w:p w14:paraId="6D016CD7" w14:textId="77777777" w:rsidR="00DF4478" w:rsidRPr="00A858C4" w:rsidRDefault="00DF4478" w:rsidP="00DF4478">
            <w:pPr>
              <w:ind w:right="-29"/>
              <w:jc w:val="center"/>
              <w:rPr>
                <w:noProof/>
                <w:sz w:val="18"/>
                <w:szCs w:val="18"/>
              </w:rPr>
            </w:pPr>
          </w:p>
        </w:tc>
        <w:tc>
          <w:tcPr>
            <w:tcW w:w="900" w:type="dxa"/>
          </w:tcPr>
          <w:p w14:paraId="6AB95955" w14:textId="77777777" w:rsidR="00DF4478" w:rsidRPr="00A858C4" w:rsidRDefault="00DF4478" w:rsidP="00DF4478">
            <w:pPr>
              <w:ind w:right="-29"/>
              <w:jc w:val="center"/>
              <w:rPr>
                <w:noProof/>
                <w:sz w:val="18"/>
                <w:szCs w:val="18"/>
              </w:rPr>
            </w:pPr>
          </w:p>
        </w:tc>
        <w:tc>
          <w:tcPr>
            <w:tcW w:w="720" w:type="dxa"/>
            <w:gridSpan w:val="2"/>
          </w:tcPr>
          <w:p w14:paraId="63A4FB00" w14:textId="77777777" w:rsidR="00DF4478" w:rsidRPr="00A858C4" w:rsidRDefault="00DF4478" w:rsidP="00DF4478">
            <w:pPr>
              <w:ind w:right="-29"/>
              <w:jc w:val="center"/>
              <w:rPr>
                <w:noProof/>
                <w:sz w:val="18"/>
                <w:szCs w:val="18"/>
              </w:rPr>
            </w:pPr>
          </w:p>
        </w:tc>
        <w:tc>
          <w:tcPr>
            <w:tcW w:w="540" w:type="dxa"/>
          </w:tcPr>
          <w:p w14:paraId="4B3E2922" w14:textId="77777777" w:rsidR="00DF4478" w:rsidRPr="00A858C4" w:rsidRDefault="00DF4478" w:rsidP="00DF4478">
            <w:pPr>
              <w:ind w:right="-29"/>
              <w:jc w:val="center"/>
              <w:rPr>
                <w:noProof/>
                <w:sz w:val="18"/>
                <w:szCs w:val="18"/>
              </w:rPr>
            </w:pPr>
          </w:p>
        </w:tc>
        <w:tc>
          <w:tcPr>
            <w:tcW w:w="648" w:type="dxa"/>
          </w:tcPr>
          <w:p w14:paraId="2ABCDA0A" w14:textId="77777777" w:rsidR="00DF4478" w:rsidRPr="00A858C4" w:rsidRDefault="00DF4478" w:rsidP="00DF4478">
            <w:pPr>
              <w:ind w:right="-29"/>
              <w:jc w:val="center"/>
              <w:rPr>
                <w:noProof/>
                <w:sz w:val="18"/>
                <w:szCs w:val="18"/>
              </w:rPr>
            </w:pPr>
          </w:p>
        </w:tc>
        <w:tc>
          <w:tcPr>
            <w:tcW w:w="432" w:type="dxa"/>
          </w:tcPr>
          <w:p w14:paraId="2A057F8F" w14:textId="77777777" w:rsidR="00DF4478" w:rsidRPr="00A858C4" w:rsidRDefault="00DF4478" w:rsidP="00DF4478">
            <w:pPr>
              <w:ind w:right="-29"/>
              <w:jc w:val="center"/>
              <w:rPr>
                <w:noProof/>
                <w:sz w:val="18"/>
                <w:szCs w:val="18"/>
              </w:rPr>
            </w:pPr>
          </w:p>
        </w:tc>
        <w:tc>
          <w:tcPr>
            <w:tcW w:w="720" w:type="dxa"/>
          </w:tcPr>
          <w:p w14:paraId="2FFB6731" w14:textId="77777777" w:rsidR="00DF4478" w:rsidRPr="00A858C4" w:rsidRDefault="00DF4478" w:rsidP="00DF4478">
            <w:pPr>
              <w:ind w:right="-29"/>
              <w:jc w:val="center"/>
              <w:rPr>
                <w:noProof/>
                <w:sz w:val="18"/>
                <w:szCs w:val="18"/>
              </w:rPr>
            </w:pPr>
          </w:p>
        </w:tc>
        <w:tc>
          <w:tcPr>
            <w:tcW w:w="540" w:type="dxa"/>
          </w:tcPr>
          <w:p w14:paraId="5AB29F43" w14:textId="77777777" w:rsidR="00DF4478" w:rsidRPr="00A858C4" w:rsidRDefault="00DF4478" w:rsidP="00DF4478">
            <w:pPr>
              <w:ind w:right="-29"/>
              <w:jc w:val="center"/>
              <w:rPr>
                <w:noProof/>
                <w:sz w:val="18"/>
                <w:szCs w:val="18"/>
              </w:rPr>
            </w:pPr>
          </w:p>
        </w:tc>
        <w:tc>
          <w:tcPr>
            <w:tcW w:w="720" w:type="dxa"/>
          </w:tcPr>
          <w:p w14:paraId="1194ACBA" w14:textId="77777777" w:rsidR="00DF4478" w:rsidRPr="00A858C4" w:rsidRDefault="00DF4478" w:rsidP="00DF4478">
            <w:pPr>
              <w:ind w:right="-29"/>
              <w:jc w:val="center"/>
              <w:rPr>
                <w:noProof/>
                <w:sz w:val="18"/>
                <w:szCs w:val="18"/>
              </w:rPr>
            </w:pPr>
          </w:p>
        </w:tc>
        <w:tc>
          <w:tcPr>
            <w:tcW w:w="720" w:type="dxa"/>
          </w:tcPr>
          <w:p w14:paraId="0FB317D1" w14:textId="77777777" w:rsidR="00DF4478" w:rsidRPr="00A858C4" w:rsidRDefault="00DF4478" w:rsidP="00DF4478">
            <w:pPr>
              <w:ind w:right="-29"/>
              <w:jc w:val="center"/>
              <w:rPr>
                <w:noProof/>
                <w:sz w:val="18"/>
                <w:szCs w:val="18"/>
              </w:rPr>
            </w:pPr>
          </w:p>
        </w:tc>
        <w:tc>
          <w:tcPr>
            <w:tcW w:w="900" w:type="dxa"/>
          </w:tcPr>
          <w:p w14:paraId="64A561E6" w14:textId="77777777" w:rsidR="00DF4478" w:rsidRPr="00A858C4" w:rsidRDefault="00DF4478" w:rsidP="00DF4478">
            <w:pPr>
              <w:ind w:right="-29"/>
              <w:jc w:val="center"/>
              <w:rPr>
                <w:noProof/>
                <w:sz w:val="18"/>
                <w:szCs w:val="18"/>
              </w:rPr>
            </w:pPr>
          </w:p>
        </w:tc>
      </w:tr>
      <w:tr w:rsidR="00DF4478" w:rsidRPr="00A858C4" w14:paraId="384AC2AA" w14:textId="77777777" w:rsidTr="005D1D40">
        <w:trPr>
          <w:trHeight w:val="77"/>
          <w:jc w:val="center"/>
        </w:trPr>
        <w:tc>
          <w:tcPr>
            <w:tcW w:w="2844" w:type="dxa"/>
            <w:gridSpan w:val="3"/>
            <w:tcBorders>
              <w:bottom w:val="single" w:sz="12" w:space="0" w:color="auto"/>
            </w:tcBorders>
            <w:vAlign w:val="center"/>
          </w:tcPr>
          <w:p w14:paraId="01328E90" w14:textId="77777777" w:rsidR="00DF4478" w:rsidRPr="00A858C4" w:rsidRDefault="00DF4478" w:rsidP="00DF4478">
            <w:pPr>
              <w:ind w:right="-29"/>
              <w:jc w:val="center"/>
              <w:rPr>
                <w:noProof/>
                <w:sz w:val="18"/>
                <w:szCs w:val="18"/>
              </w:rPr>
            </w:pPr>
            <w:r w:rsidRPr="00A858C4">
              <w:rPr>
                <w:noProof/>
                <w:sz w:val="18"/>
              </w:rPr>
              <w:t>Subtotal for specifikt mål nr. 1</w:t>
            </w:r>
          </w:p>
        </w:tc>
        <w:tc>
          <w:tcPr>
            <w:tcW w:w="504" w:type="dxa"/>
            <w:tcBorders>
              <w:bottom w:val="single" w:sz="12" w:space="0" w:color="auto"/>
            </w:tcBorders>
          </w:tcPr>
          <w:p w14:paraId="0B93D9AC"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4212472B" w14:textId="77777777" w:rsidR="00DF4478" w:rsidRPr="00A858C4" w:rsidRDefault="00DF4478" w:rsidP="00DF4478">
            <w:pPr>
              <w:ind w:right="-29"/>
              <w:jc w:val="center"/>
              <w:rPr>
                <w:noProof/>
                <w:sz w:val="18"/>
                <w:szCs w:val="18"/>
              </w:rPr>
            </w:pPr>
          </w:p>
        </w:tc>
        <w:tc>
          <w:tcPr>
            <w:tcW w:w="540" w:type="dxa"/>
            <w:tcBorders>
              <w:bottom w:val="single" w:sz="12" w:space="0" w:color="auto"/>
            </w:tcBorders>
          </w:tcPr>
          <w:p w14:paraId="52411DFD"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27286182"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53316F99"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2A932357" w14:textId="77777777" w:rsidR="00DF4478" w:rsidRPr="00A858C4" w:rsidRDefault="00DF4478" w:rsidP="00DF4478">
            <w:pPr>
              <w:ind w:right="-29"/>
              <w:jc w:val="center"/>
              <w:rPr>
                <w:noProof/>
                <w:sz w:val="18"/>
                <w:szCs w:val="18"/>
              </w:rPr>
            </w:pPr>
          </w:p>
        </w:tc>
        <w:tc>
          <w:tcPr>
            <w:tcW w:w="900" w:type="dxa"/>
            <w:tcBorders>
              <w:bottom w:val="single" w:sz="12" w:space="0" w:color="auto"/>
            </w:tcBorders>
          </w:tcPr>
          <w:p w14:paraId="69BF8384" w14:textId="77777777" w:rsidR="00DF4478" w:rsidRPr="00A858C4" w:rsidRDefault="00DF4478" w:rsidP="00DF4478">
            <w:pPr>
              <w:ind w:right="-29"/>
              <w:jc w:val="center"/>
              <w:rPr>
                <w:noProof/>
                <w:sz w:val="18"/>
                <w:szCs w:val="18"/>
              </w:rPr>
            </w:pPr>
          </w:p>
        </w:tc>
        <w:tc>
          <w:tcPr>
            <w:tcW w:w="720" w:type="dxa"/>
            <w:gridSpan w:val="2"/>
            <w:tcBorders>
              <w:bottom w:val="single" w:sz="12" w:space="0" w:color="auto"/>
            </w:tcBorders>
          </w:tcPr>
          <w:p w14:paraId="732540A8" w14:textId="77777777" w:rsidR="00DF4478" w:rsidRPr="00A858C4" w:rsidRDefault="00DF4478" w:rsidP="00DF4478">
            <w:pPr>
              <w:ind w:right="-29"/>
              <w:jc w:val="center"/>
              <w:rPr>
                <w:noProof/>
                <w:sz w:val="18"/>
                <w:szCs w:val="18"/>
              </w:rPr>
            </w:pPr>
          </w:p>
        </w:tc>
        <w:tc>
          <w:tcPr>
            <w:tcW w:w="540" w:type="dxa"/>
            <w:tcBorders>
              <w:bottom w:val="single" w:sz="12" w:space="0" w:color="auto"/>
            </w:tcBorders>
          </w:tcPr>
          <w:p w14:paraId="772E67D6" w14:textId="77777777" w:rsidR="00DF4478" w:rsidRPr="00A858C4" w:rsidRDefault="00DF4478" w:rsidP="00DF4478">
            <w:pPr>
              <w:ind w:right="-29"/>
              <w:jc w:val="center"/>
              <w:rPr>
                <w:noProof/>
                <w:sz w:val="18"/>
                <w:szCs w:val="18"/>
              </w:rPr>
            </w:pPr>
          </w:p>
        </w:tc>
        <w:tc>
          <w:tcPr>
            <w:tcW w:w="648" w:type="dxa"/>
            <w:tcBorders>
              <w:bottom w:val="single" w:sz="12" w:space="0" w:color="auto"/>
            </w:tcBorders>
          </w:tcPr>
          <w:p w14:paraId="4A5271DB" w14:textId="77777777" w:rsidR="00DF4478" w:rsidRPr="00A858C4" w:rsidRDefault="00DF4478" w:rsidP="00DF4478">
            <w:pPr>
              <w:ind w:right="-29"/>
              <w:jc w:val="center"/>
              <w:rPr>
                <w:noProof/>
                <w:sz w:val="18"/>
                <w:szCs w:val="18"/>
              </w:rPr>
            </w:pPr>
          </w:p>
        </w:tc>
        <w:tc>
          <w:tcPr>
            <w:tcW w:w="432" w:type="dxa"/>
            <w:tcBorders>
              <w:bottom w:val="single" w:sz="12" w:space="0" w:color="auto"/>
            </w:tcBorders>
          </w:tcPr>
          <w:p w14:paraId="57E6B4CD"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48B2F8EF" w14:textId="77777777" w:rsidR="00DF4478" w:rsidRPr="00A858C4" w:rsidRDefault="00DF4478" w:rsidP="00DF4478">
            <w:pPr>
              <w:ind w:right="-29"/>
              <w:jc w:val="center"/>
              <w:rPr>
                <w:noProof/>
                <w:sz w:val="18"/>
                <w:szCs w:val="18"/>
              </w:rPr>
            </w:pPr>
          </w:p>
        </w:tc>
        <w:tc>
          <w:tcPr>
            <w:tcW w:w="540" w:type="dxa"/>
            <w:tcBorders>
              <w:bottom w:val="single" w:sz="12" w:space="0" w:color="auto"/>
            </w:tcBorders>
          </w:tcPr>
          <w:p w14:paraId="1504C836"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73817BDB"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49798242" w14:textId="77777777" w:rsidR="00DF4478" w:rsidRPr="00A858C4" w:rsidRDefault="00DF4478" w:rsidP="00DF4478">
            <w:pPr>
              <w:ind w:right="-29"/>
              <w:jc w:val="center"/>
              <w:rPr>
                <w:noProof/>
                <w:sz w:val="18"/>
                <w:szCs w:val="18"/>
              </w:rPr>
            </w:pPr>
          </w:p>
        </w:tc>
        <w:tc>
          <w:tcPr>
            <w:tcW w:w="900" w:type="dxa"/>
            <w:tcBorders>
              <w:bottom w:val="single" w:sz="12" w:space="0" w:color="auto"/>
            </w:tcBorders>
          </w:tcPr>
          <w:p w14:paraId="55870800" w14:textId="77777777" w:rsidR="00DF4478" w:rsidRPr="00A858C4" w:rsidRDefault="00DF4478" w:rsidP="00DF4478">
            <w:pPr>
              <w:ind w:right="-29"/>
              <w:jc w:val="center"/>
              <w:rPr>
                <w:noProof/>
                <w:sz w:val="18"/>
                <w:szCs w:val="18"/>
              </w:rPr>
            </w:pPr>
          </w:p>
        </w:tc>
      </w:tr>
      <w:tr w:rsidR="00DF4478" w:rsidRPr="00A858C4" w14:paraId="0D4C9688" w14:textId="77777777" w:rsidTr="005D1D40">
        <w:trPr>
          <w:jc w:val="center"/>
        </w:trPr>
        <w:tc>
          <w:tcPr>
            <w:tcW w:w="2844" w:type="dxa"/>
            <w:gridSpan w:val="3"/>
            <w:vAlign w:val="center"/>
          </w:tcPr>
          <w:p w14:paraId="271AC55B" w14:textId="77777777" w:rsidR="00DF4478" w:rsidRPr="00A858C4" w:rsidRDefault="00DF4478" w:rsidP="00DF4478">
            <w:pPr>
              <w:spacing w:before="60" w:after="60"/>
              <w:ind w:right="-29"/>
              <w:jc w:val="center"/>
              <w:rPr>
                <w:noProof/>
                <w:sz w:val="18"/>
                <w:szCs w:val="18"/>
              </w:rPr>
            </w:pPr>
            <w:r w:rsidRPr="00A858C4">
              <w:rPr>
                <w:noProof/>
                <w:sz w:val="18"/>
              </w:rPr>
              <w:t>SPECIFIKT MÅL NR. 2</w:t>
            </w:r>
          </w:p>
        </w:tc>
        <w:tc>
          <w:tcPr>
            <w:tcW w:w="504" w:type="dxa"/>
            <w:tcBorders>
              <w:top w:val="nil"/>
              <w:left w:val="nil"/>
              <w:bottom w:val="nil"/>
              <w:right w:val="nil"/>
            </w:tcBorders>
          </w:tcPr>
          <w:p w14:paraId="4912067B"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538F6F07" w14:textId="77777777" w:rsidR="00DF4478" w:rsidRPr="00A858C4" w:rsidRDefault="00DF4478" w:rsidP="00DF4478">
            <w:pPr>
              <w:spacing w:before="60" w:after="60"/>
              <w:ind w:right="-29"/>
              <w:jc w:val="center"/>
              <w:rPr>
                <w:noProof/>
                <w:sz w:val="18"/>
                <w:szCs w:val="18"/>
              </w:rPr>
            </w:pPr>
          </w:p>
        </w:tc>
        <w:tc>
          <w:tcPr>
            <w:tcW w:w="540" w:type="dxa"/>
            <w:tcBorders>
              <w:top w:val="nil"/>
              <w:left w:val="nil"/>
              <w:bottom w:val="nil"/>
              <w:right w:val="nil"/>
            </w:tcBorders>
          </w:tcPr>
          <w:p w14:paraId="40A35149"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54722D04"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3B35E7F1"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1E0FDB33" w14:textId="77777777" w:rsidR="00DF4478" w:rsidRPr="00A858C4" w:rsidRDefault="00DF4478" w:rsidP="00DF4478">
            <w:pPr>
              <w:spacing w:before="60" w:after="60"/>
              <w:ind w:right="-29"/>
              <w:jc w:val="center"/>
              <w:rPr>
                <w:noProof/>
                <w:sz w:val="18"/>
                <w:szCs w:val="18"/>
              </w:rPr>
            </w:pPr>
          </w:p>
        </w:tc>
        <w:tc>
          <w:tcPr>
            <w:tcW w:w="900" w:type="dxa"/>
            <w:tcBorders>
              <w:top w:val="nil"/>
              <w:left w:val="nil"/>
              <w:bottom w:val="nil"/>
              <w:right w:val="nil"/>
            </w:tcBorders>
          </w:tcPr>
          <w:p w14:paraId="6158F46A" w14:textId="77777777" w:rsidR="00DF4478" w:rsidRPr="00A858C4" w:rsidRDefault="00DF4478" w:rsidP="00DF4478">
            <w:pPr>
              <w:spacing w:before="60" w:after="60"/>
              <w:ind w:right="-29"/>
              <w:jc w:val="center"/>
              <w:rPr>
                <w:noProof/>
                <w:sz w:val="18"/>
                <w:szCs w:val="18"/>
              </w:rPr>
            </w:pPr>
          </w:p>
        </w:tc>
        <w:tc>
          <w:tcPr>
            <w:tcW w:w="720" w:type="dxa"/>
            <w:gridSpan w:val="2"/>
            <w:tcBorders>
              <w:top w:val="nil"/>
              <w:left w:val="nil"/>
              <w:bottom w:val="nil"/>
              <w:right w:val="nil"/>
            </w:tcBorders>
          </w:tcPr>
          <w:p w14:paraId="2CA56BE3" w14:textId="77777777" w:rsidR="00DF4478" w:rsidRPr="00A858C4" w:rsidRDefault="00DF4478" w:rsidP="00DF4478">
            <w:pPr>
              <w:spacing w:before="60" w:after="60"/>
              <w:ind w:right="-29"/>
              <w:jc w:val="center"/>
              <w:rPr>
                <w:noProof/>
                <w:sz w:val="18"/>
                <w:szCs w:val="18"/>
              </w:rPr>
            </w:pPr>
          </w:p>
        </w:tc>
        <w:tc>
          <w:tcPr>
            <w:tcW w:w="540" w:type="dxa"/>
            <w:tcBorders>
              <w:top w:val="nil"/>
              <w:left w:val="nil"/>
              <w:bottom w:val="nil"/>
              <w:right w:val="nil"/>
            </w:tcBorders>
          </w:tcPr>
          <w:p w14:paraId="6128B416" w14:textId="77777777" w:rsidR="00DF4478" w:rsidRPr="00A858C4" w:rsidRDefault="00DF4478" w:rsidP="00DF4478">
            <w:pPr>
              <w:spacing w:before="60" w:after="60"/>
              <w:ind w:right="-29"/>
              <w:jc w:val="center"/>
              <w:rPr>
                <w:noProof/>
                <w:sz w:val="18"/>
                <w:szCs w:val="18"/>
              </w:rPr>
            </w:pPr>
          </w:p>
        </w:tc>
        <w:tc>
          <w:tcPr>
            <w:tcW w:w="648" w:type="dxa"/>
            <w:tcBorders>
              <w:top w:val="nil"/>
              <w:left w:val="nil"/>
              <w:bottom w:val="nil"/>
              <w:right w:val="nil"/>
            </w:tcBorders>
          </w:tcPr>
          <w:p w14:paraId="71919AEA" w14:textId="77777777" w:rsidR="00DF4478" w:rsidRPr="00A858C4" w:rsidRDefault="00DF4478" w:rsidP="00DF4478">
            <w:pPr>
              <w:spacing w:before="60" w:after="60"/>
              <w:ind w:right="-29"/>
              <w:jc w:val="center"/>
              <w:rPr>
                <w:noProof/>
                <w:sz w:val="18"/>
                <w:szCs w:val="18"/>
              </w:rPr>
            </w:pPr>
          </w:p>
        </w:tc>
        <w:tc>
          <w:tcPr>
            <w:tcW w:w="432" w:type="dxa"/>
            <w:tcBorders>
              <w:top w:val="nil"/>
              <w:left w:val="nil"/>
              <w:bottom w:val="nil"/>
              <w:right w:val="nil"/>
            </w:tcBorders>
          </w:tcPr>
          <w:p w14:paraId="79F0E490"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297D5556" w14:textId="77777777" w:rsidR="00DF4478" w:rsidRPr="00A858C4" w:rsidRDefault="00DF4478" w:rsidP="00DF4478">
            <w:pPr>
              <w:spacing w:before="60" w:after="60"/>
              <w:ind w:right="-29"/>
              <w:jc w:val="center"/>
              <w:rPr>
                <w:noProof/>
                <w:sz w:val="18"/>
                <w:szCs w:val="18"/>
              </w:rPr>
            </w:pPr>
          </w:p>
        </w:tc>
        <w:tc>
          <w:tcPr>
            <w:tcW w:w="540" w:type="dxa"/>
            <w:tcBorders>
              <w:top w:val="nil"/>
              <w:left w:val="nil"/>
              <w:bottom w:val="nil"/>
              <w:right w:val="nil"/>
            </w:tcBorders>
          </w:tcPr>
          <w:p w14:paraId="483F82CF"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478A0C60" w14:textId="77777777" w:rsidR="00DF4478" w:rsidRPr="00A858C4" w:rsidRDefault="00DF4478" w:rsidP="00DF4478">
            <w:pPr>
              <w:spacing w:before="60" w:after="60"/>
              <w:ind w:right="-29"/>
              <w:jc w:val="center"/>
              <w:rPr>
                <w:noProof/>
                <w:sz w:val="18"/>
                <w:szCs w:val="18"/>
              </w:rPr>
            </w:pPr>
          </w:p>
        </w:tc>
        <w:tc>
          <w:tcPr>
            <w:tcW w:w="720" w:type="dxa"/>
            <w:tcBorders>
              <w:top w:val="nil"/>
              <w:left w:val="nil"/>
              <w:bottom w:val="nil"/>
              <w:right w:val="nil"/>
            </w:tcBorders>
          </w:tcPr>
          <w:p w14:paraId="16099C2A" w14:textId="77777777" w:rsidR="00DF4478" w:rsidRPr="00A858C4" w:rsidRDefault="00DF4478" w:rsidP="00DF4478">
            <w:pPr>
              <w:spacing w:before="60" w:after="60"/>
              <w:ind w:right="-29"/>
              <w:jc w:val="center"/>
              <w:rPr>
                <w:noProof/>
                <w:sz w:val="18"/>
                <w:szCs w:val="18"/>
              </w:rPr>
            </w:pPr>
          </w:p>
        </w:tc>
        <w:tc>
          <w:tcPr>
            <w:tcW w:w="900" w:type="dxa"/>
            <w:tcBorders>
              <w:top w:val="nil"/>
              <w:left w:val="nil"/>
              <w:bottom w:val="nil"/>
              <w:right w:val="nil"/>
            </w:tcBorders>
          </w:tcPr>
          <w:p w14:paraId="09B8B035" w14:textId="77777777" w:rsidR="00DF4478" w:rsidRPr="00A858C4" w:rsidRDefault="00DF4478" w:rsidP="00DF4478">
            <w:pPr>
              <w:spacing w:before="60" w:after="60"/>
              <w:ind w:right="-29"/>
              <w:jc w:val="center"/>
              <w:rPr>
                <w:noProof/>
                <w:sz w:val="18"/>
                <w:szCs w:val="18"/>
              </w:rPr>
            </w:pPr>
          </w:p>
        </w:tc>
      </w:tr>
      <w:tr w:rsidR="00DF4478" w:rsidRPr="00A858C4" w14:paraId="7E9FB471" w14:textId="77777777" w:rsidTr="005D1D40">
        <w:trPr>
          <w:trHeight w:hRule="exact" w:val="369"/>
          <w:jc w:val="center"/>
        </w:trPr>
        <w:tc>
          <w:tcPr>
            <w:tcW w:w="1423" w:type="dxa"/>
          </w:tcPr>
          <w:p w14:paraId="4E379880" w14:textId="77777777" w:rsidR="00DF4478" w:rsidRPr="00A858C4" w:rsidRDefault="00DF4478" w:rsidP="00DF4478">
            <w:pPr>
              <w:ind w:right="-29"/>
              <w:jc w:val="center"/>
              <w:rPr>
                <w:noProof/>
                <w:sz w:val="18"/>
                <w:szCs w:val="18"/>
              </w:rPr>
            </w:pPr>
            <w:r w:rsidRPr="00A858C4">
              <w:rPr>
                <w:noProof/>
                <w:sz w:val="18"/>
              </w:rPr>
              <w:t>- Resultat</w:t>
            </w:r>
          </w:p>
        </w:tc>
        <w:tc>
          <w:tcPr>
            <w:tcW w:w="720" w:type="dxa"/>
          </w:tcPr>
          <w:p w14:paraId="45E25013" w14:textId="77777777" w:rsidR="00DF4478" w:rsidRPr="00A858C4" w:rsidRDefault="00DF4478" w:rsidP="00DF4478">
            <w:pPr>
              <w:ind w:right="-29"/>
              <w:jc w:val="center"/>
              <w:rPr>
                <w:noProof/>
                <w:sz w:val="18"/>
                <w:szCs w:val="18"/>
              </w:rPr>
            </w:pPr>
          </w:p>
        </w:tc>
        <w:tc>
          <w:tcPr>
            <w:tcW w:w="701" w:type="dxa"/>
          </w:tcPr>
          <w:p w14:paraId="1626C01F" w14:textId="77777777" w:rsidR="00DF4478" w:rsidRPr="00A858C4" w:rsidRDefault="00DF4478" w:rsidP="00DF4478">
            <w:pPr>
              <w:ind w:right="-29"/>
              <w:jc w:val="center"/>
              <w:rPr>
                <w:noProof/>
                <w:sz w:val="18"/>
                <w:szCs w:val="18"/>
              </w:rPr>
            </w:pPr>
          </w:p>
        </w:tc>
        <w:tc>
          <w:tcPr>
            <w:tcW w:w="504" w:type="dxa"/>
          </w:tcPr>
          <w:p w14:paraId="67A52938" w14:textId="77777777" w:rsidR="00DF4478" w:rsidRPr="00A858C4" w:rsidRDefault="00DF4478" w:rsidP="00DF4478">
            <w:pPr>
              <w:ind w:right="-29"/>
              <w:jc w:val="center"/>
              <w:rPr>
                <w:noProof/>
                <w:sz w:val="18"/>
                <w:szCs w:val="18"/>
              </w:rPr>
            </w:pPr>
          </w:p>
        </w:tc>
        <w:tc>
          <w:tcPr>
            <w:tcW w:w="720" w:type="dxa"/>
          </w:tcPr>
          <w:p w14:paraId="462B3FE1" w14:textId="77777777" w:rsidR="00DF4478" w:rsidRPr="00A858C4" w:rsidRDefault="00DF4478" w:rsidP="00DF4478">
            <w:pPr>
              <w:ind w:right="-29"/>
              <w:jc w:val="center"/>
              <w:rPr>
                <w:noProof/>
                <w:sz w:val="18"/>
                <w:szCs w:val="18"/>
              </w:rPr>
            </w:pPr>
          </w:p>
        </w:tc>
        <w:tc>
          <w:tcPr>
            <w:tcW w:w="540" w:type="dxa"/>
          </w:tcPr>
          <w:p w14:paraId="043E8238" w14:textId="77777777" w:rsidR="00DF4478" w:rsidRPr="00A858C4" w:rsidRDefault="00DF4478" w:rsidP="00DF4478">
            <w:pPr>
              <w:ind w:right="-29"/>
              <w:jc w:val="center"/>
              <w:rPr>
                <w:noProof/>
                <w:sz w:val="18"/>
                <w:szCs w:val="18"/>
              </w:rPr>
            </w:pPr>
          </w:p>
        </w:tc>
        <w:tc>
          <w:tcPr>
            <w:tcW w:w="720" w:type="dxa"/>
          </w:tcPr>
          <w:p w14:paraId="6D164BE6" w14:textId="77777777" w:rsidR="00DF4478" w:rsidRPr="00A858C4" w:rsidRDefault="00DF4478" w:rsidP="00DF4478">
            <w:pPr>
              <w:ind w:right="-29"/>
              <w:jc w:val="center"/>
              <w:rPr>
                <w:noProof/>
                <w:sz w:val="18"/>
                <w:szCs w:val="18"/>
              </w:rPr>
            </w:pPr>
          </w:p>
        </w:tc>
        <w:tc>
          <w:tcPr>
            <w:tcW w:w="720" w:type="dxa"/>
          </w:tcPr>
          <w:p w14:paraId="0B6AA12E" w14:textId="77777777" w:rsidR="00DF4478" w:rsidRPr="00A858C4" w:rsidRDefault="00DF4478" w:rsidP="00DF4478">
            <w:pPr>
              <w:ind w:right="-29"/>
              <w:jc w:val="center"/>
              <w:rPr>
                <w:noProof/>
                <w:sz w:val="18"/>
                <w:szCs w:val="18"/>
              </w:rPr>
            </w:pPr>
          </w:p>
        </w:tc>
        <w:tc>
          <w:tcPr>
            <w:tcW w:w="720" w:type="dxa"/>
          </w:tcPr>
          <w:p w14:paraId="14B62779" w14:textId="77777777" w:rsidR="00DF4478" w:rsidRPr="00A858C4" w:rsidRDefault="00DF4478" w:rsidP="00DF4478">
            <w:pPr>
              <w:ind w:right="-29"/>
              <w:jc w:val="center"/>
              <w:rPr>
                <w:noProof/>
                <w:sz w:val="18"/>
                <w:szCs w:val="18"/>
              </w:rPr>
            </w:pPr>
          </w:p>
        </w:tc>
        <w:tc>
          <w:tcPr>
            <w:tcW w:w="900" w:type="dxa"/>
          </w:tcPr>
          <w:p w14:paraId="2B15048E" w14:textId="77777777" w:rsidR="00DF4478" w:rsidRPr="00A858C4" w:rsidRDefault="00DF4478" w:rsidP="00DF4478">
            <w:pPr>
              <w:ind w:right="-29"/>
              <w:jc w:val="center"/>
              <w:rPr>
                <w:noProof/>
                <w:sz w:val="18"/>
                <w:szCs w:val="18"/>
              </w:rPr>
            </w:pPr>
          </w:p>
        </w:tc>
        <w:tc>
          <w:tcPr>
            <w:tcW w:w="720" w:type="dxa"/>
            <w:gridSpan w:val="2"/>
          </w:tcPr>
          <w:p w14:paraId="605C8CE2" w14:textId="77777777" w:rsidR="00DF4478" w:rsidRPr="00A858C4" w:rsidRDefault="00DF4478" w:rsidP="00DF4478">
            <w:pPr>
              <w:ind w:right="-29"/>
              <w:jc w:val="center"/>
              <w:rPr>
                <w:noProof/>
                <w:sz w:val="18"/>
                <w:szCs w:val="18"/>
              </w:rPr>
            </w:pPr>
          </w:p>
        </w:tc>
        <w:tc>
          <w:tcPr>
            <w:tcW w:w="540" w:type="dxa"/>
          </w:tcPr>
          <w:p w14:paraId="59959703" w14:textId="77777777" w:rsidR="00DF4478" w:rsidRPr="00A858C4" w:rsidRDefault="00DF4478" w:rsidP="00DF4478">
            <w:pPr>
              <w:ind w:right="-29"/>
              <w:jc w:val="center"/>
              <w:rPr>
                <w:noProof/>
                <w:sz w:val="18"/>
                <w:szCs w:val="18"/>
              </w:rPr>
            </w:pPr>
          </w:p>
        </w:tc>
        <w:tc>
          <w:tcPr>
            <w:tcW w:w="648" w:type="dxa"/>
          </w:tcPr>
          <w:p w14:paraId="5ACF30EB" w14:textId="77777777" w:rsidR="00DF4478" w:rsidRPr="00A858C4" w:rsidRDefault="00DF4478" w:rsidP="00DF4478">
            <w:pPr>
              <w:ind w:right="-29"/>
              <w:jc w:val="center"/>
              <w:rPr>
                <w:noProof/>
                <w:sz w:val="18"/>
                <w:szCs w:val="18"/>
              </w:rPr>
            </w:pPr>
          </w:p>
        </w:tc>
        <w:tc>
          <w:tcPr>
            <w:tcW w:w="432" w:type="dxa"/>
          </w:tcPr>
          <w:p w14:paraId="5994979D" w14:textId="77777777" w:rsidR="00DF4478" w:rsidRPr="00A858C4" w:rsidRDefault="00DF4478" w:rsidP="00DF4478">
            <w:pPr>
              <w:ind w:right="-29"/>
              <w:jc w:val="center"/>
              <w:rPr>
                <w:noProof/>
                <w:sz w:val="18"/>
                <w:szCs w:val="18"/>
              </w:rPr>
            </w:pPr>
          </w:p>
        </w:tc>
        <w:tc>
          <w:tcPr>
            <w:tcW w:w="720" w:type="dxa"/>
          </w:tcPr>
          <w:p w14:paraId="34893F9F" w14:textId="77777777" w:rsidR="00DF4478" w:rsidRPr="00A858C4" w:rsidRDefault="00DF4478" w:rsidP="00DF4478">
            <w:pPr>
              <w:ind w:right="-29"/>
              <w:jc w:val="center"/>
              <w:rPr>
                <w:noProof/>
                <w:sz w:val="18"/>
                <w:szCs w:val="18"/>
              </w:rPr>
            </w:pPr>
          </w:p>
        </w:tc>
        <w:tc>
          <w:tcPr>
            <w:tcW w:w="540" w:type="dxa"/>
          </w:tcPr>
          <w:p w14:paraId="105A8B95" w14:textId="77777777" w:rsidR="00DF4478" w:rsidRPr="00A858C4" w:rsidRDefault="00DF4478" w:rsidP="00DF4478">
            <w:pPr>
              <w:ind w:right="-29"/>
              <w:jc w:val="center"/>
              <w:rPr>
                <w:noProof/>
                <w:sz w:val="18"/>
                <w:szCs w:val="18"/>
              </w:rPr>
            </w:pPr>
          </w:p>
        </w:tc>
        <w:tc>
          <w:tcPr>
            <w:tcW w:w="720" w:type="dxa"/>
          </w:tcPr>
          <w:p w14:paraId="7CA99E47" w14:textId="77777777" w:rsidR="00DF4478" w:rsidRPr="00A858C4" w:rsidRDefault="00DF4478" w:rsidP="00DF4478">
            <w:pPr>
              <w:ind w:right="-29"/>
              <w:jc w:val="center"/>
              <w:rPr>
                <w:noProof/>
                <w:sz w:val="18"/>
                <w:szCs w:val="18"/>
              </w:rPr>
            </w:pPr>
          </w:p>
        </w:tc>
        <w:tc>
          <w:tcPr>
            <w:tcW w:w="720" w:type="dxa"/>
          </w:tcPr>
          <w:p w14:paraId="122A111E" w14:textId="77777777" w:rsidR="00DF4478" w:rsidRPr="00A858C4" w:rsidRDefault="00DF4478" w:rsidP="00DF4478">
            <w:pPr>
              <w:ind w:right="-29"/>
              <w:jc w:val="center"/>
              <w:rPr>
                <w:noProof/>
                <w:sz w:val="18"/>
                <w:szCs w:val="18"/>
              </w:rPr>
            </w:pPr>
          </w:p>
        </w:tc>
        <w:tc>
          <w:tcPr>
            <w:tcW w:w="900" w:type="dxa"/>
          </w:tcPr>
          <w:p w14:paraId="72DF612B" w14:textId="77777777" w:rsidR="00DF4478" w:rsidRPr="00A858C4" w:rsidRDefault="00DF4478" w:rsidP="00DF4478">
            <w:pPr>
              <w:ind w:right="-29"/>
              <w:jc w:val="center"/>
              <w:rPr>
                <w:noProof/>
                <w:sz w:val="18"/>
                <w:szCs w:val="18"/>
              </w:rPr>
            </w:pPr>
          </w:p>
        </w:tc>
      </w:tr>
      <w:tr w:rsidR="00DF4478" w:rsidRPr="00A858C4" w14:paraId="102C77E4" w14:textId="77777777" w:rsidTr="005D1D40">
        <w:trPr>
          <w:jc w:val="center"/>
        </w:trPr>
        <w:tc>
          <w:tcPr>
            <w:tcW w:w="2844" w:type="dxa"/>
            <w:gridSpan w:val="3"/>
            <w:tcBorders>
              <w:bottom w:val="single" w:sz="12" w:space="0" w:color="auto"/>
            </w:tcBorders>
            <w:vAlign w:val="center"/>
          </w:tcPr>
          <w:p w14:paraId="4FDA3CC6" w14:textId="77777777" w:rsidR="00DF4478" w:rsidRPr="00A858C4" w:rsidRDefault="00DF4478" w:rsidP="00DF4478">
            <w:pPr>
              <w:jc w:val="center"/>
              <w:rPr>
                <w:noProof/>
                <w:sz w:val="18"/>
                <w:szCs w:val="18"/>
              </w:rPr>
            </w:pPr>
            <w:r w:rsidRPr="00A858C4">
              <w:rPr>
                <w:noProof/>
                <w:sz w:val="18"/>
              </w:rPr>
              <w:t>Subtotal for specifikt mål nr. 2</w:t>
            </w:r>
          </w:p>
        </w:tc>
        <w:tc>
          <w:tcPr>
            <w:tcW w:w="504" w:type="dxa"/>
            <w:tcBorders>
              <w:bottom w:val="single" w:sz="12" w:space="0" w:color="auto"/>
            </w:tcBorders>
          </w:tcPr>
          <w:p w14:paraId="025A5D29"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5FB4B094" w14:textId="77777777" w:rsidR="00DF4478" w:rsidRPr="00A858C4" w:rsidRDefault="00DF4478" w:rsidP="00DF4478">
            <w:pPr>
              <w:ind w:right="-29"/>
              <w:jc w:val="center"/>
              <w:rPr>
                <w:noProof/>
                <w:sz w:val="18"/>
                <w:szCs w:val="18"/>
              </w:rPr>
            </w:pPr>
          </w:p>
        </w:tc>
        <w:tc>
          <w:tcPr>
            <w:tcW w:w="540" w:type="dxa"/>
            <w:tcBorders>
              <w:bottom w:val="single" w:sz="12" w:space="0" w:color="auto"/>
            </w:tcBorders>
          </w:tcPr>
          <w:p w14:paraId="31E710EF"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08817246"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6909ABE9"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33150A99" w14:textId="77777777" w:rsidR="00DF4478" w:rsidRPr="00A858C4" w:rsidRDefault="00DF4478" w:rsidP="00DF4478">
            <w:pPr>
              <w:ind w:right="-29"/>
              <w:jc w:val="center"/>
              <w:rPr>
                <w:noProof/>
                <w:sz w:val="18"/>
                <w:szCs w:val="18"/>
              </w:rPr>
            </w:pPr>
          </w:p>
        </w:tc>
        <w:tc>
          <w:tcPr>
            <w:tcW w:w="951" w:type="dxa"/>
            <w:gridSpan w:val="2"/>
            <w:tcBorders>
              <w:bottom w:val="single" w:sz="12" w:space="0" w:color="auto"/>
            </w:tcBorders>
          </w:tcPr>
          <w:p w14:paraId="49445A36" w14:textId="77777777" w:rsidR="00DF4478" w:rsidRPr="00A858C4" w:rsidRDefault="00DF4478" w:rsidP="00DF4478">
            <w:pPr>
              <w:ind w:right="-29"/>
              <w:jc w:val="center"/>
              <w:rPr>
                <w:noProof/>
                <w:sz w:val="18"/>
                <w:szCs w:val="18"/>
              </w:rPr>
            </w:pPr>
          </w:p>
        </w:tc>
        <w:tc>
          <w:tcPr>
            <w:tcW w:w="669" w:type="dxa"/>
            <w:tcBorders>
              <w:bottom w:val="single" w:sz="12" w:space="0" w:color="auto"/>
            </w:tcBorders>
          </w:tcPr>
          <w:p w14:paraId="5E45A028" w14:textId="77777777" w:rsidR="00DF4478" w:rsidRPr="00A858C4" w:rsidRDefault="00DF4478" w:rsidP="00DF4478">
            <w:pPr>
              <w:ind w:right="-29"/>
              <w:jc w:val="center"/>
              <w:rPr>
                <w:noProof/>
                <w:sz w:val="18"/>
                <w:szCs w:val="18"/>
              </w:rPr>
            </w:pPr>
          </w:p>
        </w:tc>
        <w:tc>
          <w:tcPr>
            <w:tcW w:w="540" w:type="dxa"/>
            <w:tcBorders>
              <w:bottom w:val="single" w:sz="12" w:space="0" w:color="auto"/>
            </w:tcBorders>
          </w:tcPr>
          <w:p w14:paraId="301E16DE" w14:textId="77777777" w:rsidR="00DF4478" w:rsidRPr="00A858C4" w:rsidRDefault="00DF4478" w:rsidP="00DF4478">
            <w:pPr>
              <w:ind w:right="-29"/>
              <w:jc w:val="center"/>
              <w:rPr>
                <w:noProof/>
                <w:sz w:val="18"/>
                <w:szCs w:val="18"/>
              </w:rPr>
            </w:pPr>
          </w:p>
        </w:tc>
        <w:tc>
          <w:tcPr>
            <w:tcW w:w="648" w:type="dxa"/>
            <w:tcBorders>
              <w:bottom w:val="single" w:sz="12" w:space="0" w:color="auto"/>
            </w:tcBorders>
          </w:tcPr>
          <w:p w14:paraId="0D60118D" w14:textId="77777777" w:rsidR="00DF4478" w:rsidRPr="00A858C4" w:rsidRDefault="00DF4478" w:rsidP="00DF4478">
            <w:pPr>
              <w:ind w:right="-29"/>
              <w:jc w:val="center"/>
              <w:rPr>
                <w:noProof/>
                <w:sz w:val="18"/>
                <w:szCs w:val="18"/>
              </w:rPr>
            </w:pPr>
          </w:p>
        </w:tc>
        <w:tc>
          <w:tcPr>
            <w:tcW w:w="432" w:type="dxa"/>
            <w:tcBorders>
              <w:bottom w:val="single" w:sz="12" w:space="0" w:color="auto"/>
            </w:tcBorders>
          </w:tcPr>
          <w:p w14:paraId="398E0BF7"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196DCFFC" w14:textId="77777777" w:rsidR="00DF4478" w:rsidRPr="00A858C4" w:rsidRDefault="00DF4478" w:rsidP="00DF4478">
            <w:pPr>
              <w:ind w:right="-29"/>
              <w:jc w:val="center"/>
              <w:rPr>
                <w:noProof/>
                <w:sz w:val="18"/>
                <w:szCs w:val="18"/>
              </w:rPr>
            </w:pPr>
          </w:p>
        </w:tc>
        <w:tc>
          <w:tcPr>
            <w:tcW w:w="540" w:type="dxa"/>
            <w:tcBorders>
              <w:bottom w:val="single" w:sz="12" w:space="0" w:color="auto"/>
            </w:tcBorders>
          </w:tcPr>
          <w:p w14:paraId="24D0B471"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75A707DF" w14:textId="77777777" w:rsidR="00DF4478" w:rsidRPr="00A858C4" w:rsidRDefault="00DF4478" w:rsidP="00DF4478">
            <w:pPr>
              <w:ind w:right="-29"/>
              <w:jc w:val="center"/>
              <w:rPr>
                <w:noProof/>
                <w:sz w:val="18"/>
                <w:szCs w:val="18"/>
              </w:rPr>
            </w:pPr>
          </w:p>
        </w:tc>
        <w:tc>
          <w:tcPr>
            <w:tcW w:w="720" w:type="dxa"/>
            <w:tcBorders>
              <w:bottom w:val="single" w:sz="12" w:space="0" w:color="auto"/>
            </w:tcBorders>
          </w:tcPr>
          <w:p w14:paraId="23E5F864" w14:textId="77777777" w:rsidR="00DF4478" w:rsidRPr="00A858C4" w:rsidRDefault="00DF4478" w:rsidP="00DF4478">
            <w:pPr>
              <w:ind w:right="-29"/>
              <w:jc w:val="center"/>
              <w:rPr>
                <w:noProof/>
                <w:sz w:val="18"/>
                <w:szCs w:val="18"/>
              </w:rPr>
            </w:pPr>
          </w:p>
        </w:tc>
        <w:tc>
          <w:tcPr>
            <w:tcW w:w="900" w:type="dxa"/>
            <w:tcBorders>
              <w:bottom w:val="single" w:sz="12" w:space="0" w:color="auto"/>
            </w:tcBorders>
          </w:tcPr>
          <w:p w14:paraId="4876C9E7" w14:textId="77777777" w:rsidR="00DF4478" w:rsidRPr="00A858C4" w:rsidRDefault="00DF4478" w:rsidP="00DF4478">
            <w:pPr>
              <w:ind w:right="-29"/>
              <w:jc w:val="center"/>
              <w:rPr>
                <w:noProof/>
                <w:sz w:val="18"/>
                <w:szCs w:val="18"/>
              </w:rPr>
            </w:pPr>
          </w:p>
        </w:tc>
      </w:tr>
      <w:tr w:rsidR="00DF4478" w:rsidRPr="00A858C4" w14:paraId="5C3F9B01" w14:textId="77777777" w:rsidTr="005D1D40">
        <w:trPr>
          <w:jc w:val="center"/>
        </w:trPr>
        <w:tc>
          <w:tcPr>
            <w:tcW w:w="2844" w:type="dxa"/>
            <w:gridSpan w:val="3"/>
            <w:tcBorders>
              <w:top w:val="single" w:sz="12" w:space="0" w:color="auto"/>
              <w:left w:val="single" w:sz="12" w:space="0" w:color="auto"/>
              <w:bottom w:val="single" w:sz="12" w:space="0" w:color="auto"/>
            </w:tcBorders>
            <w:vAlign w:val="center"/>
          </w:tcPr>
          <w:p w14:paraId="1500188F" w14:textId="77777777" w:rsidR="00DF4478" w:rsidRPr="00A858C4" w:rsidRDefault="00DF4478" w:rsidP="00DF4478">
            <w:pPr>
              <w:ind w:right="-29"/>
              <w:jc w:val="center"/>
              <w:rPr>
                <w:noProof/>
                <w:sz w:val="18"/>
                <w:szCs w:val="18"/>
              </w:rPr>
            </w:pPr>
            <w:r w:rsidRPr="00A858C4">
              <w:rPr>
                <w:b/>
                <w:noProof/>
                <w:sz w:val="18"/>
              </w:rPr>
              <w:t>I ALT</w:t>
            </w:r>
          </w:p>
        </w:tc>
        <w:tc>
          <w:tcPr>
            <w:tcW w:w="504" w:type="dxa"/>
            <w:tcBorders>
              <w:top w:val="single" w:sz="12" w:space="0" w:color="auto"/>
              <w:bottom w:val="single" w:sz="12" w:space="0" w:color="auto"/>
            </w:tcBorders>
          </w:tcPr>
          <w:p w14:paraId="3FBAD84D" w14:textId="77777777" w:rsidR="00DF4478" w:rsidRPr="00A858C4" w:rsidRDefault="00DF4478" w:rsidP="00DF4478">
            <w:pPr>
              <w:spacing w:before="180" w:after="180"/>
              <w:ind w:right="-29"/>
              <w:jc w:val="center"/>
              <w:rPr>
                <w:noProof/>
                <w:sz w:val="18"/>
                <w:szCs w:val="18"/>
              </w:rPr>
            </w:pPr>
          </w:p>
        </w:tc>
        <w:tc>
          <w:tcPr>
            <w:tcW w:w="720" w:type="dxa"/>
            <w:tcBorders>
              <w:top w:val="single" w:sz="12" w:space="0" w:color="auto"/>
              <w:bottom w:val="single" w:sz="12" w:space="0" w:color="auto"/>
            </w:tcBorders>
          </w:tcPr>
          <w:p w14:paraId="7E08DE35" w14:textId="77777777" w:rsidR="00DF4478" w:rsidRPr="00A858C4" w:rsidRDefault="00DF4478" w:rsidP="00DF4478">
            <w:pPr>
              <w:spacing w:before="180" w:after="180"/>
              <w:ind w:right="-29"/>
              <w:jc w:val="center"/>
              <w:rPr>
                <w:noProof/>
                <w:sz w:val="18"/>
                <w:szCs w:val="18"/>
              </w:rPr>
            </w:pPr>
          </w:p>
        </w:tc>
        <w:tc>
          <w:tcPr>
            <w:tcW w:w="540" w:type="dxa"/>
            <w:tcBorders>
              <w:top w:val="single" w:sz="12" w:space="0" w:color="auto"/>
              <w:bottom w:val="single" w:sz="12" w:space="0" w:color="auto"/>
            </w:tcBorders>
          </w:tcPr>
          <w:p w14:paraId="35418819" w14:textId="77777777" w:rsidR="00DF4478" w:rsidRPr="00A858C4" w:rsidRDefault="00DF4478" w:rsidP="00DF4478">
            <w:pPr>
              <w:spacing w:before="180" w:after="180"/>
              <w:ind w:right="-29"/>
              <w:jc w:val="center"/>
              <w:rPr>
                <w:noProof/>
                <w:sz w:val="18"/>
                <w:szCs w:val="18"/>
              </w:rPr>
            </w:pPr>
          </w:p>
        </w:tc>
        <w:tc>
          <w:tcPr>
            <w:tcW w:w="720" w:type="dxa"/>
            <w:tcBorders>
              <w:top w:val="single" w:sz="12" w:space="0" w:color="auto"/>
              <w:bottom w:val="single" w:sz="12" w:space="0" w:color="auto"/>
            </w:tcBorders>
          </w:tcPr>
          <w:p w14:paraId="2E0EEFD7" w14:textId="77777777" w:rsidR="00DF4478" w:rsidRPr="00A858C4" w:rsidRDefault="00DF4478" w:rsidP="00DF4478">
            <w:pPr>
              <w:spacing w:before="180" w:after="180"/>
              <w:ind w:right="-29"/>
              <w:jc w:val="center"/>
              <w:rPr>
                <w:noProof/>
                <w:sz w:val="18"/>
                <w:szCs w:val="18"/>
              </w:rPr>
            </w:pPr>
          </w:p>
        </w:tc>
        <w:tc>
          <w:tcPr>
            <w:tcW w:w="720" w:type="dxa"/>
            <w:tcBorders>
              <w:top w:val="single" w:sz="12" w:space="0" w:color="auto"/>
              <w:bottom w:val="single" w:sz="12" w:space="0" w:color="auto"/>
            </w:tcBorders>
          </w:tcPr>
          <w:p w14:paraId="0E13CCE5" w14:textId="77777777" w:rsidR="00DF4478" w:rsidRPr="00A858C4" w:rsidRDefault="00DF4478" w:rsidP="00DF4478">
            <w:pPr>
              <w:spacing w:before="180" w:after="180"/>
              <w:ind w:right="-29"/>
              <w:jc w:val="center"/>
              <w:rPr>
                <w:noProof/>
                <w:sz w:val="18"/>
                <w:szCs w:val="18"/>
              </w:rPr>
            </w:pPr>
          </w:p>
        </w:tc>
        <w:tc>
          <w:tcPr>
            <w:tcW w:w="720" w:type="dxa"/>
            <w:tcBorders>
              <w:top w:val="single" w:sz="12" w:space="0" w:color="auto"/>
              <w:bottom w:val="single" w:sz="12" w:space="0" w:color="auto"/>
            </w:tcBorders>
          </w:tcPr>
          <w:p w14:paraId="28A8331A" w14:textId="77777777" w:rsidR="00DF4478" w:rsidRPr="00A858C4" w:rsidRDefault="00DF4478" w:rsidP="00DF4478">
            <w:pPr>
              <w:spacing w:before="180" w:after="180"/>
              <w:ind w:right="-29"/>
              <w:jc w:val="center"/>
              <w:rPr>
                <w:noProof/>
                <w:sz w:val="18"/>
                <w:szCs w:val="18"/>
              </w:rPr>
            </w:pPr>
          </w:p>
        </w:tc>
        <w:tc>
          <w:tcPr>
            <w:tcW w:w="900" w:type="dxa"/>
            <w:tcBorders>
              <w:top w:val="single" w:sz="12" w:space="0" w:color="auto"/>
              <w:bottom w:val="single" w:sz="12" w:space="0" w:color="auto"/>
            </w:tcBorders>
          </w:tcPr>
          <w:p w14:paraId="57BD31FA" w14:textId="77777777" w:rsidR="00DF4478" w:rsidRPr="00A858C4" w:rsidRDefault="00DF4478" w:rsidP="00DF4478">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1033333E" w14:textId="77777777" w:rsidR="00DF4478" w:rsidRPr="00A858C4" w:rsidRDefault="00DF4478" w:rsidP="00DF4478">
            <w:pPr>
              <w:spacing w:before="180" w:after="180"/>
              <w:ind w:right="-29"/>
              <w:jc w:val="center"/>
              <w:rPr>
                <w:noProof/>
                <w:sz w:val="18"/>
                <w:szCs w:val="18"/>
              </w:rPr>
            </w:pPr>
          </w:p>
        </w:tc>
        <w:tc>
          <w:tcPr>
            <w:tcW w:w="540" w:type="dxa"/>
            <w:tcBorders>
              <w:top w:val="single" w:sz="12" w:space="0" w:color="auto"/>
              <w:bottom w:val="single" w:sz="12" w:space="0" w:color="auto"/>
            </w:tcBorders>
          </w:tcPr>
          <w:p w14:paraId="174188D3" w14:textId="77777777" w:rsidR="00DF4478" w:rsidRPr="00A858C4" w:rsidRDefault="00DF4478" w:rsidP="00DF4478">
            <w:pPr>
              <w:spacing w:before="180" w:after="180"/>
              <w:ind w:right="-29"/>
              <w:jc w:val="center"/>
              <w:rPr>
                <w:noProof/>
                <w:sz w:val="18"/>
                <w:szCs w:val="18"/>
              </w:rPr>
            </w:pPr>
          </w:p>
        </w:tc>
        <w:tc>
          <w:tcPr>
            <w:tcW w:w="648" w:type="dxa"/>
            <w:tcBorders>
              <w:top w:val="single" w:sz="12" w:space="0" w:color="auto"/>
              <w:bottom w:val="single" w:sz="12" w:space="0" w:color="auto"/>
            </w:tcBorders>
          </w:tcPr>
          <w:p w14:paraId="482ABC13" w14:textId="77777777" w:rsidR="00DF4478" w:rsidRPr="00A858C4" w:rsidRDefault="00DF4478" w:rsidP="00DF4478">
            <w:pPr>
              <w:spacing w:before="180" w:after="180"/>
              <w:ind w:right="-29"/>
              <w:jc w:val="center"/>
              <w:rPr>
                <w:noProof/>
                <w:sz w:val="18"/>
                <w:szCs w:val="18"/>
              </w:rPr>
            </w:pPr>
          </w:p>
        </w:tc>
        <w:tc>
          <w:tcPr>
            <w:tcW w:w="432" w:type="dxa"/>
            <w:tcBorders>
              <w:top w:val="single" w:sz="12" w:space="0" w:color="auto"/>
              <w:bottom w:val="single" w:sz="12" w:space="0" w:color="auto"/>
            </w:tcBorders>
          </w:tcPr>
          <w:p w14:paraId="2A7E124D" w14:textId="77777777" w:rsidR="00DF4478" w:rsidRPr="00A858C4" w:rsidRDefault="00DF4478" w:rsidP="00DF4478">
            <w:pPr>
              <w:spacing w:before="180" w:after="180"/>
              <w:ind w:right="-29"/>
              <w:jc w:val="center"/>
              <w:rPr>
                <w:noProof/>
                <w:sz w:val="18"/>
                <w:szCs w:val="18"/>
              </w:rPr>
            </w:pPr>
          </w:p>
        </w:tc>
        <w:tc>
          <w:tcPr>
            <w:tcW w:w="720" w:type="dxa"/>
            <w:tcBorders>
              <w:top w:val="single" w:sz="12" w:space="0" w:color="auto"/>
              <w:bottom w:val="single" w:sz="12" w:space="0" w:color="auto"/>
            </w:tcBorders>
          </w:tcPr>
          <w:p w14:paraId="4190CEF1" w14:textId="77777777" w:rsidR="00DF4478" w:rsidRPr="00A858C4" w:rsidRDefault="00DF4478" w:rsidP="00DF4478">
            <w:pPr>
              <w:spacing w:before="180" w:after="180"/>
              <w:ind w:right="-29"/>
              <w:jc w:val="center"/>
              <w:rPr>
                <w:noProof/>
                <w:sz w:val="18"/>
                <w:szCs w:val="18"/>
              </w:rPr>
            </w:pPr>
          </w:p>
        </w:tc>
        <w:tc>
          <w:tcPr>
            <w:tcW w:w="540" w:type="dxa"/>
            <w:tcBorders>
              <w:top w:val="single" w:sz="12" w:space="0" w:color="auto"/>
              <w:bottom w:val="single" w:sz="12" w:space="0" w:color="auto"/>
            </w:tcBorders>
          </w:tcPr>
          <w:p w14:paraId="6B5FCB84" w14:textId="77777777" w:rsidR="00DF4478" w:rsidRPr="00A858C4" w:rsidRDefault="00DF4478" w:rsidP="00DF4478">
            <w:pPr>
              <w:spacing w:before="180" w:after="180"/>
              <w:ind w:right="-29"/>
              <w:jc w:val="center"/>
              <w:rPr>
                <w:noProof/>
                <w:sz w:val="18"/>
                <w:szCs w:val="18"/>
              </w:rPr>
            </w:pPr>
          </w:p>
        </w:tc>
        <w:tc>
          <w:tcPr>
            <w:tcW w:w="720" w:type="dxa"/>
            <w:tcBorders>
              <w:top w:val="single" w:sz="12" w:space="0" w:color="auto"/>
              <w:bottom w:val="single" w:sz="12" w:space="0" w:color="auto"/>
            </w:tcBorders>
          </w:tcPr>
          <w:p w14:paraId="550F6A3B" w14:textId="77777777" w:rsidR="00DF4478" w:rsidRPr="00A858C4" w:rsidRDefault="00DF4478" w:rsidP="00DF4478">
            <w:pPr>
              <w:spacing w:before="180" w:after="180"/>
              <w:ind w:right="-29"/>
              <w:jc w:val="center"/>
              <w:rPr>
                <w:noProof/>
                <w:sz w:val="18"/>
                <w:szCs w:val="18"/>
              </w:rPr>
            </w:pPr>
          </w:p>
        </w:tc>
        <w:tc>
          <w:tcPr>
            <w:tcW w:w="720" w:type="dxa"/>
            <w:tcBorders>
              <w:top w:val="single" w:sz="12" w:space="0" w:color="auto"/>
              <w:bottom w:val="single" w:sz="12" w:space="0" w:color="auto"/>
            </w:tcBorders>
          </w:tcPr>
          <w:p w14:paraId="4B6B4D33" w14:textId="77777777" w:rsidR="00DF4478" w:rsidRPr="00A858C4" w:rsidRDefault="00DF4478" w:rsidP="00DF4478">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6E7D695A" w14:textId="77777777" w:rsidR="00DF4478" w:rsidRPr="00A858C4" w:rsidRDefault="00DF4478" w:rsidP="00DF4478">
            <w:pPr>
              <w:spacing w:before="180" w:after="180"/>
              <w:ind w:right="-29"/>
              <w:jc w:val="center"/>
              <w:rPr>
                <w:noProof/>
                <w:sz w:val="18"/>
                <w:szCs w:val="18"/>
              </w:rPr>
            </w:pPr>
          </w:p>
        </w:tc>
      </w:tr>
    </w:tbl>
    <w:p w14:paraId="0F2A5234" w14:textId="77777777" w:rsidR="00DF4478" w:rsidRPr="00A858C4" w:rsidRDefault="00DF4478" w:rsidP="00DF4478">
      <w:pPr>
        <w:rPr>
          <w:noProof/>
        </w:rPr>
        <w:sectPr w:rsidR="00DF4478" w:rsidRPr="00A858C4" w:rsidSect="007A795C">
          <w:headerReference w:type="default" r:id="rId15"/>
          <w:footerReference w:type="default" r:id="rId16"/>
          <w:headerReference w:type="first" r:id="rId17"/>
          <w:footerReference w:type="first" r:id="rId18"/>
          <w:pgSz w:w="16840" w:h="11907" w:orient="landscape" w:code="9"/>
          <w:pgMar w:top="1134" w:right="1418" w:bottom="567" w:left="1418" w:header="709" w:footer="709" w:gutter="0"/>
          <w:cols w:space="708"/>
          <w:docGrid w:linePitch="360"/>
        </w:sectPr>
      </w:pPr>
    </w:p>
    <w:p w14:paraId="65A04A63" w14:textId="77777777" w:rsidR="00DF4478" w:rsidRPr="00A858C4" w:rsidRDefault="00DF4478" w:rsidP="00DF4478">
      <w:pPr>
        <w:keepNext/>
        <w:tabs>
          <w:tab w:val="left" w:pos="850"/>
        </w:tabs>
        <w:ind w:left="850" w:hanging="850"/>
        <w:outlineLvl w:val="2"/>
        <w:rPr>
          <w:bCs/>
          <w:i/>
          <w:noProof/>
          <w:szCs w:val="24"/>
        </w:rPr>
      </w:pPr>
      <w:bookmarkStart w:id="82" w:name="_Toc514938055"/>
      <w:bookmarkStart w:id="83" w:name="_Toc151133586"/>
      <w:r w:rsidRPr="00A858C4">
        <w:rPr>
          <w:i/>
          <w:noProof/>
        </w:rPr>
        <w:t>3.2.3.</w:t>
      </w:r>
      <w:r w:rsidRPr="00A858C4">
        <w:rPr>
          <w:i/>
          <w:noProof/>
        </w:rPr>
        <w:tab/>
        <w:t>Sammenfatning af de anslåede virkninger for administrationsbevillingerne</w:t>
      </w:r>
      <w:bookmarkEnd w:id="82"/>
      <w:bookmarkEnd w:id="83"/>
      <w:r w:rsidRPr="00A858C4">
        <w:rPr>
          <w:i/>
          <w:noProof/>
        </w:rPr>
        <w:t xml:space="preserve"> </w:t>
      </w:r>
    </w:p>
    <w:p w14:paraId="5152AC54"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 xml:space="preserve">Forslaget/initiativet medfører ikke anvendelse af administrationsbevillinger </w:t>
      </w:r>
    </w:p>
    <w:p w14:paraId="6BA9EFB9" w14:textId="77777777" w:rsidR="00DF4478" w:rsidRPr="00A858C4" w:rsidRDefault="00DF4478" w:rsidP="00DF4478">
      <w:pPr>
        <w:tabs>
          <w:tab w:val="num" w:pos="1134"/>
        </w:tabs>
        <w:ind w:left="1134" w:hanging="283"/>
        <w:rPr>
          <w:noProof/>
        </w:rPr>
      </w:pPr>
      <w:r w:rsidRPr="00A858C4">
        <w:rPr>
          <w:noProof/>
        </w:rPr>
        <w:t>×</w:t>
      </w:r>
      <w:r w:rsidRPr="00A858C4">
        <w:rPr>
          <w:noProof/>
        </w:rPr>
        <w:tab/>
        <w:t>Forslaget/initiativet medfører anvendelse af administrationsbevillinger som anført herunder:</w:t>
      </w:r>
    </w:p>
    <w:p w14:paraId="715E8AE8" w14:textId="77777777" w:rsidR="00DF4478" w:rsidRPr="00A858C4" w:rsidRDefault="00DF4478" w:rsidP="00DF4478">
      <w:pPr>
        <w:jc w:val="right"/>
        <w:rPr>
          <w:noProof/>
          <w:sz w:val="20"/>
        </w:rPr>
      </w:pPr>
      <w:r w:rsidRPr="00A858C4">
        <w:rPr>
          <w:noProof/>
          <w:sz w:val="20"/>
        </w:rPr>
        <w:t>i mio. EUR (tre decimaler)</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DF4478" w:rsidRPr="00A858C4" w14:paraId="675D2394" w14:textId="77777777" w:rsidTr="005D1D40">
        <w:trPr>
          <w:trHeight w:val="585"/>
        </w:trPr>
        <w:tc>
          <w:tcPr>
            <w:tcW w:w="1980" w:type="dxa"/>
          </w:tcPr>
          <w:p w14:paraId="5303EC7A" w14:textId="77777777" w:rsidR="00DF4478" w:rsidRPr="00A858C4" w:rsidRDefault="00DF4478" w:rsidP="00DF4478">
            <w:pPr>
              <w:spacing w:before="60" w:after="60" w:line="200" w:lineRule="exact"/>
              <w:rPr>
                <w:noProof/>
                <w:sz w:val="16"/>
                <w:szCs w:val="16"/>
              </w:rPr>
            </w:pPr>
          </w:p>
        </w:tc>
        <w:tc>
          <w:tcPr>
            <w:tcW w:w="1080" w:type="dxa"/>
            <w:vAlign w:val="center"/>
          </w:tcPr>
          <w:p w14:paraId="5893EA72" w14:textId="77777777" w:rsidR="00DF4478" w:rsidRPr="00A858C4" w:rsidRDefault="00DF4478" w:rsidP="00DF4478">
            <w:pPr>
              <w:spacing w:before="60" w:after="60" w:line="200" w:lineRule="exact"/>
              <w:jc w:val="center"/>
              <w:rPr>
                <w:noProof/>
                <w:sz w:val="16"/>
                <w:szCs w:val="16"/>
              </w:rPr>
            </w:pPr>
            <w:r w:rsidRPr="00A858C4">
              <w:rPr>
                <w:noProof/>
                <w:sz w:val="16"/>
              </w:rPr>
              <w:t>År</w:t>
            </w:r>
            <w:r w:rsidRPr="00A858C4">
              <w:rPr>
                <w:noProof/>
                <w:sz w:val="22"/>
              </w:rPr>
              <w:br/>
            </w:r>
            <w:r w:rsidRPr="00A858C4">
              <w:rPr>
                <w:b/>
                <w:noProof/>
                <w:sz w:val="16"/>
              </w:rPr>
              <w:t>2023</w:t>
            </w:r>
          </w:p>
        </w:tc>
        <w:tc>
          <w:tcPr>
            <w:tcW w:w="1080" w:type="dxa"/>
            <w:vAlign w:val="center"/>
          </w:tcPr>
          <w:p w14:paraId="3D96075B" w14:textId="77777777" w:rsidR="00DF4478" w:rsidRPr="00A858C4" w:rsidRDefault="00DF4478" w:rsidP="00DF4478">
            <w:pPr>
              <w:spacing w:before="60" w:after="60" w:line="200" w:lineRule="exact"/>
              <w:jc w:val="center"/>
              <w:rPr>
                <w:noProof/>
                <w:sz w:val="16"/>
                <w:szCs w:val="16"/>
              </w:rPr>
            </w:pPr>
            <w:r w:rsidRPr="00A858C4">
              <w:rPr>
                <w:noProof/>
                <w:sz w:val="16"/>
              </w:rPr>
              <w:t>År</w:t>
            </w:r>
            <w:r w:rsidRPr="00A858C4">
              <w:rPr>
                <w:noProof/>
                <w:sz w:val="22"/>
              </w:rPr>
              <w:br/>
            </w:r>
            <w:r w:rsidRPr="00A858C4">
              <w:rPr>
                <w:b/>
                <w:noProof/>
                <w:sz w:val="16"/>
              </w:rPr>
              <w:t>2024</w:t>
            </w:r>
          </w:p>
        </w:tc>
        <w:tc>
          <w:tcPr>
            <w:tcW w:w="1080" w:type="dxa"/>
            <w:vAlign w:val="center"/>
          </w:tcPr>
          <w:p w14:paraId="3FA51622" w14:textId="77777777" w:rsidR="00DF4478" w:rsidRPr="00A858C4" w:rsidRDefault="00DF4478" w:rsidP="00DF4478">
            <w:pPr>
              <w:spacing w:before="60" w:after="60" w:line="200" w:lineRule="exact"/>
              <w:jc w:val="center"/>
              <w:rPr>
                <w:noProof/>
                <w:sz w:val="16"/>
                <w:szCs w:val="16"/>
              </w:rPr>
            </w:pPr>
            <w:r w:rsidRPr="00A858C4">
              <w:rPr>
                <w:noProof/>
                <w:sz w:val="16"/>
              </w:rPr>
              <w:t>År</w:t>
            </w:r>
            <w:r w:rsidRPr="00A858C4">
              <w:rPr>
                <w:noProof/>
                <w:sz w:val="22"/>
              </w:rPr>
              <w:br/>
            </w:r>
            <w:r w:rsidRPr="00A858C4">
              <w:rPr>
                <w:b/>
                <w:noProof/>
                <w:sz w:val="16"/>
              </w:rPr>
              <w:t>2025</w:t>
            </w:r>
          </w:p>
        </w:tc>
        <w:tc>
          <w:tcPr>
            <w:tcW w:w="1080" w:type="dxa"/>
            <w:vAlign w:val="center"/>
          </w:tcPr>
          <w:p w14:paraId="3B4EFBA8" w14:textId="77777777" w:rsidR="00DF4478" w:rsidRPr="00A858C4" w:rsidRDefault="00DF4478" w:rsidP="00DF4478">
            <w:pPr>
              <w:spacing w:before="60" w:after="60" w:line="200" w:lineRule="exact"/>
              <w:jc w:val="center"/>
              <w:rPr>
                <w:noProof/>
                <w:sz w:val="16"/>
                <w:szCs w:val="16"/>
              </w:rPr>
            </w:pPr>
            <w:r w:rsidRPr="00A858C4">
              <w:rPr>
                <w:noProof/>
                <w:sz w:val="16"/>
              </w:rPr>
              <w:t>År</w:t>
            </w:r>
            <w:r w:rsidRPr="00A858C4">
              <w:rPr>
                <w:noProof/>
                <w:sz w:val="22"/>
              </w:rPr>
              <w:br/>
            </w:r>
            <w:r w:rsidRPr="00A858C4">
              <w:rPr>
                <w:b/>
                <w:noProof/>
                <w:sz w:val="16"/>
              </w:rPr>
              <w:t>2026</w:t>
            </w:r>
          </w:p>
        </w:tc>
        <w:tc>
          <w:tcPr>
            <w:tcW w:w="3240" w:type="dxa"/>
            <w:vAlign w:val="center"/>
          </w:tcPr>
          <w:p w14:paraId="601925AF" w14:textId="77777777" w:rsidR="00DF4478" w:rsidRPr="00A858C4" w:rsidRDefault="00DF4478" w:rsidP="00DF4478">
            <w:pPr>
              <w:spacing w:line="200" w:lineRule="exact"/>
              <w:jc w:val="center"/>
              <w:rPr>
                <w:b/>
                <w:noProof/>
                <w:sz w:val="16"/>
                <w:szCs w:val="16"/>
              </w:rPr>
            </w:pPr>
            <w:r w:rsidRPr="00A858C4">
              <w:rPr>
                <w:noProof/>
                <w:sz w:val="16"/>
              </w:rPr>
              <w:t>Indsæt så mange år som nødvendigt for at vise virkningernes varighed (jf. punkt 1.6)</w:t>
            </w:r>
          </w:p>
        </w:tc>
        <w:tc>
          <w:tcPr>
            <w:tcW w:w="1080" w:type="dxa"/>
            <w:vAlign w:val="center"/>
          </w:tcPr>
          <w:p w14:paraId="3FC7999E" w14:textId="77777777" w:rsidR="00DF4478" w:rsidRPr="00A858C4" w:rsidRDefault="00DF4478" w:rsidP="00DF4478">
            <w:pPr>
              <w:spacing w:before="60" w:after="60" w:line="200" w:lineRule="exact"/>
              <w:jc w:val="center"/>
              <w:rPr>
                <w:b/>
                <w:noProof/>
                <w:sz w:val="16"/>
                <w:szCs w:val="16"/>
              </w:rPr>
            </w:pPr>
            <w:r w:rsidRPr="00A858C4">
              <w:rPr>
                <w:b/>
                <w:noProof/>
                <w:sz w:val="16"/>
              </w:rPr>
              <w:t>I ALT</w:t>
            </w:r>
          </w:p>
        </w:tc>
      </w:tr>
    </w:tbl>
    <w:p w14:paraId="7B2AD528" w14:textId="77777777" w:rsidR="00DF4478" w:rsidRPr="00A858C4" w:rsidRDefault="00DF4478" w:rsidP="00DF4478">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DF4478" w:rsidRPr="00A858C4" w14:paraId="1306A65F" w14:textId="77777777" w:rsidTr="005D1D40">
        <w:trPr>
          <w:trHeight w:val="585"/>
        </w:trPr>
        <w:tc>
          <w:tcPr>
            <w:tcW w:w="1980" w:type="dxa"/>
            <w:shd w:val="clear" w:color="auto" w:fill="CCCCCC"/>
            <w:vAlign w:val="center"/>
          </w:tcPr>
          <w:p w14:paraId="35404B0E" w14:textId="77777777" w:rsidR="00DF4478" w:rsidRPr="00A858C4" w:rsidRDefault="00DF4478" w:rsidP="00DF4478">
            <w:pPr>
              <w:spacing w:before="60" w:after="60" w:line="200" w:lineRule="exact"/>
              <w:jc w:val="center"/>
              <w:rPr>
                <w:b/>
                <w:noProof/>
                <w:sz w:val="16"/>
                <w:szCs w:val="16"/>
              </w:rPr>
            </w:pPr>
            <w:r w:rsidRPr="00A858C4">
              <w:rPr>
                <w:b/>
                <w:noProof/>
                <w:sz w:val="16"/>
              </w:rPr>
              <w:t>UDGIFTSOMRÅDE 7</w:t>
            </w:r>
            <w:r w:rsidRPr="00A858C4">
              <w:rPr>
                <w:noProof/>
                <w:sz w:val="22"/>
              </w:rPr>
              <w:br/>
            </w:r>
            <w:r w:rsidRPr="00A858C4">
              <w:rPr>
                <w:b/>
                <w:noProof/>
                <w:sz w:val="16"/>
              </w:rPr>
              <w:t>i den flerårige finansielle ramme</w:t>
            </w:r>
          </w:p>
        </w:tc>
        <w:tc>
          <w:tcPr>
            <w:tcW w:w="1080" w:type="dxa"/>
            <w:vAlign w:val="center"/>
          </w:tcPr>
          <w:p w14:paraId="7E8C24BC"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616A3987"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432DEC59"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53D0F948"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12F82F07"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5630DA49"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2B330BF2" w14:textId="77777777" w:rsidR="00DF4478" w:rsidRPr="00A858C4" w:rsidRDefault="00DF4478" w:rsidP="00DF4478">
            <w:pPr>
              <w:spacing w:before="60" w:after="60" w:line="200" w:lineRule="exact"/>
              <w:jc w:val="right"/>
              <w:rPr>
                <w:b/>
                <w:noProof/>
                <w:sz w:val="16"/>
                <w:szCs w:val="16"/>
              </w:rPr>
            </w:pPr>
          </w:p>
        </w:tc>
        <w:tc>
          <w:tcPr>
            <w:tcW w:w="1080" w:type="dxa"/>
            <w:vAlign w:val="center"/>
          </w:tcPr>
          <w:p w14:paraId="605E0C31" w14:textId="77777777" w:rsidR="00DF4478" w:rsidRPr="00A858C4" w:rsidRDefault="00DF4478" w:rsidP="00DF4478">
            <w:pPr>
              <w:spacing w:before="60" w:after="60" w:line="200" w:lineRule="exact"/>
              <w:jc w:val="right"/>
              <w:rPr>
                <w:b/>
                <w:noProof/>
                <w:sz w:val="16"/>
                <w:szCs w:val="16"/>
              </w:rPr>
            </w:pPr>
          </w:p>
        </w:tc>
      </w:tr>
      <w:tr w:rsidR="00DF4478" w:rsidRPr="00A858C4" w14:paraId="7CD9DD6F" w14:textId="77777777" w:rsidTr="005D1D40">
        <w:trPr>
          <w:trHeight w:val="585"/>
        </w:trPr>
        <w:tc>
          <w:tcPr>
            <w:tcW w:w="1980" w:type="dxa"/>
            <w:vAlign w:val="center"/>
          </w:tcPr>
          <w:p w14:paraId="01293394" w14:textId="77777777" w:rsidR="00DF4478" w:rsidRPr="00A858C4" w:rsidRDefault="00DF4478" w:rsidP="00DF4478">
            <w:pPr>
              <w:spacing w:before="60" w:after="60" w:line="200" w:lineRule="exact"/>
              <w:ind w:left="72"/>
              <w:jc w:val="left"/>
              <w:rPr>
                <w:noProof/>
                <w:sz w:val="16"/>
                <w:szCs w:val="16"/>
              </w:rPr>
            </w:pPr>
            <w:r w:rsidRPr="00A858C4">
              <w:rPr>
                <w:noProof/>
                <w:sz w:val="16"/>
              </w:rPr>
              <w:t xml:space="preserve">Menneskelige ressourcer </w:t>
            </w:r>
          </w:p>
        </w:tc>
        <w:tc>
          <w:tcPr>
            <w:tcW w:w="1080" w:type="dxa"/>
            <w:vAlign w:val="center"/>
          </w:tcPr>
          <w:p w14:paraId="24AC568F"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028182B9"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3D8098DC"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0975011D"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68B8656A"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05176FF9"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6F2F5C7A" w14:textId="77777777" w:rsidR="00DF4478" w:rsidRPr="00A858C4" w:rsidRDefault="00DF4478" w:rsidP="00DF4478">
            <w:pPr>
              <w:spacing w:before="60" w:after="60" w:line="200" w:lineRule="exact"/>
              <w:jc w:val="right"/>
              <w:rPr>
                <w:b/>
                <w:noProof/>
                <w:sz w:val="16"/>
                <w:szCs w:val="16"/>
              </w:rPr>
            </w:pPr>
          </w:p>
        </w:tc>
        <w:tc>
          <w:tcPr>
            <w:tcW w:w="1080" w:type="dxa"/>
            <w:vAlign w:val="center"/>
          </w:tcPr>
          <w:p w14:paraId="06FB96EE" w14:textId="77777777" w:rsidR="00DF4478" w:rsidRPr="00A858C4" w:rsidRDefault="00DF4478" w:rsidP="00DF4478">
            <w:pPr>
              <w:spacing w:before="60" w:after="60" w:line="200" w:lineRule="exact"/>
              <w:jc w:val="right"/>
              <w:rPr>
                <w:b/>
                <w:noProof/>
                <w:sz w:val="16"/>
                <w:szCs w:val="16"/>
              </w:rPr>
            </w:pPr>
          </w:p>
        </w:tc>
      </w:tr>
      <w:tr w:rsidR="00DF4478" w:rsidRPr="00A858C4" w14:paraId="45000FFE" w14:textId="77777777" w:rsidTr="005D1D40">
        <w:trPr>
          <w:trHeight w:val="585"/>
        </w:trPr>
        <w:tc>
          <w:tcPr>
            <w:tcW w:w="1980" w:type="dxa"/>
            <w:vAlign w:val="center"/>
          </w:tcPr>
          <w:p w14:paraId="4D10D546" w14:textId="77777777" w:rsidR="00DF4478" w:rsidRPr="00A858C4" w:rsidRDefault="00DF4478" w:rsidP="00DF4478">
            <w:pPr>
              <w:spacing w:before="60" w:after="60" w:line="200" w:lineRule="exact"/>
              <w:ind w:left="72"/>
              <w:jc w:val="left"/>
              <w:rPr>
                <w:noProof/>
                <w:sz w:val="16"/>
                <w:szCs w:val="16"/>
              </w:rPr>
            </w:pPr>
            <w:r w:rsidRPr="00A858C4">
              <w:rPr>
                <w:noProof/>
                <w:sz w:val="16"/>
              </w:rPr>
              <w:t xml:space="preserve">Andre administrationsudgifter </w:t>
            </w:r>
          </w:p>
        </w:tc>
        <w:tc>
          <w:tcPr>
            <w:tcW w:w="1080" w:type="dxa"/>
            <w:vAlign w:val="center"/>
          </w:tcPr>
          <w:p w14:paraId="19D2B247" w14:textId="77777777" w:rsidR="00DF4478" w:rsidRPr="00A858C4" w:rsidRDefault="00DF4478" w:rsidP="00DF4478">
            <w:pPr>
              <w:spacing w:before="60" w:after="60" w:line="200" w:lineRule="exact"/>
              <w:jc w:val="right"/>
              <w:rPr>
                <w:noProof/>
                <w:sz w:val="16"/>
                <w:szCs w:val="16"/>
              </w:rPr>
            </w:pPr>
            <w:r w:rsidRPr="00A858C4">
              <w:rPr>
                <w:noProof/>
                <w:sz w:val="16"/>
              </w:rPr>
              <w:t>0,030</w:t>
            </w:r>
          </w:p>
        </w:tc>
        <w:tc>
          <w:tcPr>
            <w:tcW w:w="1080" w:type="dxa"/>
            <w:vAlign w:val="center"/>
          </w:tcPr>
          <w:p w14:paraId="430E0B16" w14:textId="77777777" w:rsidR="00DF4478" w:rsidRPr="00A858C4" w:rsidRDefault="00DF4478" w:rsidP="00DF4478">
            <w:pPr>
              <w:spacing w:before="60" w:after="60" w:line="200" w:lineRule="exact"/>
              <w:jc w:val="right"/>
              <w:rPr>
                <w:noProof/>
                <w:sz w:val="16"/>
                <w:szCs w:val="16"/>
              </w:rPr>
            </w:pPr>
            <w:r w:rsidRPr="00A858C4">
              <w:rPr>
                <w:noProof/>
                <w:sz w:val="16"/>
              </w:rPr>
              <w:t>0,030</w:t>
            </w:r>
          </w:p>
        </w:tc>
        <w:tc>
          <w:tcPr>
            <w:tcW w:w="1080" w:type="dxa"/>
            <w:vAlign w:val="center"/>
          </w:tcPr>
          <w:p w14:paraId="0CCC14CD" w14:textId="77777777" w:rsidR="00DF4478" w:rsidRPr="00A858C4" w:rsidRDefault="00DF4478" w:rsidP="00DF4478">
            <w:pPr>
              <w:spacing w:before="60" w:after="60" w:line="200" w:lineRule="exact"/>
              <w:jc w:val="right"/>
              <w:rPr>
                <w:noProof/>
                <w:sz w:val="16"/>
                <w:szCs w:val="16"/>
              </w:rPr>
            </w:pPr>
            <w:r w:rsidRPr="00A858C4">
              <w:rPr>
                <w:noProof/>
                <w:sz w:val="16"/>
              </w:rPr>
              <w:t>0,030</w:t>
            </w:r>
          </w:p>
        </w:tc>
        <w:tc>
          <w:tcPr>
            <w:tcW w:w="1080" w:type="dxa"/>
            <w:vAlign w:val="center"/>
          </w:tcPr>
          <w:p w14:paraId="0C46ACBB" w14:textId="77777777" w:rsidR="00DF4478" w:rsidRPr="00A858C4" w:rsidRDefault="00DF4478" w:rsidP="00DF4478">
            <w:pPr>
              <w:spacing w:before="60" w:after="60" w:line="200" w:lineRule="exact"/>
              <w:jc w:val="right"/>
              <w:rPr>
                <w:noProof/>
                <w:sz w:val="16"/>
                <w:szCs w:val="16"/>
              </w:rPr>
            </w:pPr>
            <w:r w:rsidRPr="00A858C4">
              <w:rPr>
                <w:noProof/>
                <w:sz w:val="16"/>
              </w:rPr>
              <w:t>0,030</w:t>
            </w:r>
          </w:p>
        </w:tc>
        <w:tc>
          <w:tcPr>
            <w:tcW w:w="1080" w:type="dxa"/>
            <w:vAlign w:val="center"/>
          </w:tcPr>
          <w:p w14:paraId="0E5D3483"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28B4505F"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287C0AA1" w14:textId="77777777" w:rsidR="00DF4478" w:rsidRPr="00A858C4" w:rsidRDefault="00DF4478" w:rsidP="00DF4478">
            <w:pPr>
              <w:spacing w:before="60" w:after="60" w:line="200" w:lineRule="exact"/>
              <w:jc w:val="right"/>
              <w:rPr>
                <w:b/>
                <w:noProof/>
                <w:sz w:val="16"/>
                <w:szCs w:val="16"/>
              </w:rPr>
            </w:pPr>
          </w:p>
        </w:tc>
        <w:tc>
          <w:tcPr>
            <w:tcW w:w="1080" w:type="dxa"/>
            <w:vAlign w:val="center"/>
          </w:tcPr>
          <w:p w14:paraId="39B08C38" w14:textId="77777777" w:rsidR="00DF4478" w:rsidRPr="00A858C4" w:rsidRDefault="00DF4478" w:rsidP="00DF4478">
            <w:pPr>
              <w:spacing w:before="60" w:after="60" w:line="200" w:lineRule="exact"/>
              <w:jc w:val="right"/>
              <w:rPr>
                <w:b/>
                <w:noProof/>
                <w:sz w:val="16"/>
                <w:szCs w:val="16"/>
              </w:rPr>
            </w:pPr>
          </w:p>
        </w:tc>
      </w:tr>
      <w:tr w:rsidR="00DF4478" w:rsidRPr="00A858C4" w14:paraId="14295C48" w14:textId="77777777" w:rsidTr="005D1D40">
        <w:trPr>
          <w:trHeight w:val="585"/>
        </w:trPr>
        <w:tc>
          <w:tcPr>
            <w:tcW w:w="1980" w:type="dxa"/>
            <w:shd w:val="clear" w:color="auto" w:fill="CCCCCC"/>
            <w:vAlign w:val="center"/>
          </w:tcPr>
          <w:p w14:paraId="2E726056" w14:textId="77777777" w:rsidR="00DF4478" w:rsidRPr="00A858C4" w:rsidRDefault="00DF4478" w:rsidP="00DF4478">
            <w:pPr>
              <w:spacing w:before="60" w:after="60" w:line="200" w:lineRule="exact"/>
              <w:jc w:val="center"/>
              <w:rPr>
                <w:b/>
                <w:noProof/>
                <w:sz w:val="16"/>
                <w:szCs w:val="16"/>
              </w:rPr>
            </w:pPr>
            <w:r w:rsidRPr="00A858C4">
              <w:rPr>
                <w:b/>
                <w:noProof/>
                <w:sz w:val="16"/>
              </w:rPr>
              <w:t>Subtotal UDGIFTSOMRÅDE 7</w:t>
            </w:r>
            <w:r w:rsidRPr="00A858C4">
              <w:rPr>
                <w:noProof/>
                <w:sz w:val="22"/>
              </w:rPr>
              <w:br/>
            </w:r>
            <w:r w:rsidRPr="00A858C4">
              <w:rPr>
                <w:b/>
                <w:noProof/>
                <w:sz w:val="16"/>
              </w:rPr>
              <w:t xml:space="preserve">i den flerårige finansielle ramme </w:t>
            </w:r>
          </w:p>
        </w:tc>
        <w:tc>
          <w:tcPr>
            <w:tcW w:w="1080" w:type="dxa"/>
            <w:vAlign w:val="center"/>
          </w:tcPr>
          <w:p w14:paraId="74E68DA5" w14:textId="77777777" w:rsidR="00DF4478" w:rsidRPr="00A858C4" w:rsidRDefault="00DF4478" w:rsidP="00DF4478">
            <w:pPr>
              <w:spacing w:before="60" w:after="60" w:line="200" w:lineRule="exact"/>
              <w:jc w:val="right"/>
              <w:rPr>
                <w:noProof/>
                <w:sz w:val="16"/>
                <w:szCs w:val="16"/>
              </w:rPr>
            </w:pPr>
            <w:r w:rsidRPr="00A858C4">
              <w:rPr>
                <w:noProof/>
                <w:sz w:val="16"/>
              </w:rPr>
              <w:t>0,030</w:t>
            </w:r>
          </w:p>
        </w:tc>
        <w:tc>
          <w:tcPr>
            <w:tcW w:w="1080" w:type="dxa"/>
            <w:vAlign w:val="center"/>
          </w:tcPr>
          <w:p w14:paraId="4BD4DAF1" w14:textId="77777777" w:rsidR="00DF4478" w:rsidRPr="00A858C4" w:rsidRDefault="00DF4478" w:rsidP="00DF4478">
            <w:pPr>
              <w:spacing w:before="60" w:after="60" w:line="200" w:lineRule="exact"/>
              <w:jc w:val="right"/>
              <w:rPr>
                <w:noProof/>
                <w:sz w:val="16"/>
                <w:szCs w:val="16"/>
              </w:rPr>
            </w:pPr>
            <w:r w:rsidRPr="00A858C4">
              <w:rPr>
                <w:noProof/>
                <w:sz w:val="16"/>
              </w:rPr>
              <w:t>0,030</w:t>
            </w:r>
          </w:p>
        </w:tc>
        <w:tc>
          <w:tcPr>
            <w:tcW w:w="1080" w:type="dxa"/>
            <w:vAlign w:val="center"/>
          </w:tcPr>
          <w:p w14:paraId="3FE02DE3" w14:textId="77777777" w:rsidR="00DF4478" w:rsidRPr="00A858C4" w:rsidRDefault="00DF4478" w:rsidP="00DF4478">
            <w:pPr>
              <w:spacing w:before="60" w:after="60" w:line="200" w:lineRule="exact"/>
              <w:jc w:val="right"/>
              <w:rPr>
                <w:noProof/>
                <w:sz w:val="16"/>
                <w:szCs w:val="16"/>
              </w:rPr>
            </w:pPr>
            <w:r w:rsidRPr="00A858C4">
              <w:rPr>
                <w:noProof/>
                <w:sz w:val="16"/>
              </w:rPr>
              <w:t>0,030</w:t>
            </w:r>
          </w:p>
        </w:tc>
        <w:tc>
          <w:tcPr>
            <w:tcW w:w="1080" w:type="dxa"/>
            <w:vAlign w:val="center"/>
          </w:tcPr>
          <w:p w14:paraId="164D2B3E" w14:textId="77777777" w:rsidR="00DF4478" w:rsidRPr="00A858C4" w:rsidRDefault="00DF4478" w:rsidP="00DF4478">
            <w:pPr>
              <w:spacing w:before="60" w:after="60" w:line="200" w:lineRule="exact"/>
              <w:jc w:val="right"/>
              <w:rPr>
                <w:noProof/>
                <w:sz w:val="16"/>
                <w:szCs w:val="16"/>
              </w:rPr>
            </w:pPr>
            <w:r w:rsidRPr="00A858C4">
              <w:rPr>
                <w:noProof/>
                <w:sz w:val="16"/>
              </w:rPr>
              <w:t>0,030</w:t>
            </w:r>
          </w:p>
        </w:tc>
        <w:tc>
          <w:tcPr>
            <w:tcW w:w="1080" w:type="dxa"/>
            <w:vAlign w:val="center"/>
          </w:tcPr>
          <w:p w14:paraId="2980B1D5"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4932F6B8"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432FCF7A" w14:textId="77777777" w:rsidR="00DF4478" w:rsidRPr="00A858C4" w:rsidRDefault="00DF4478" w:rsidP="00DF4478">
            <w:pPr>
              <w:spacing w:before="60" w:after="60" w:line="200" w:lineRule="exact"/>
              <w:jc w:val="right"/>
              <w:rPr>
                <w:b/>
                <w:noProof/>
                <w:sz w:val="16"/>
                <w:szCs w:val="16"/>
              </w:rPr>
            </w:pPr>
          </w:p>
        </w:tc>
        <w:tc>
          <w:tcPr>
            <w:tcW w:w="1080" w:type="dxa"/>
            <w:vAlign w:val="center"/>
          </w:tcPr>
          <w:p w14:paraId="1C3764F9" w14:textId="77777777" w:rsidR="00DF4478" w:rsidRPr="00A858C4" w:rsidRDefault="00DF4478" w:rsidP="00DF4478">
            <w:pPr>
              <w:spacing w:before="60" w:after="60" w:line="200" w:lineRule="exact"/>
              <w:jc w:val="right"/>
              <w:rPr>
                <w:b/>
                <w:noProof/>
                <w:sz w:val="16"/>
                <w:szCs w:val="16"/>
              </w:rPr>
            </w:pPr>
          </w:p>
        </w:tc>
      </w:tr>
    </w:tbl>
    <w:p w14:paraId="11C5F600" w14:textId="77777777" w:rsidR="00DF4478" w:rsidRPr="00A858C4" w:rsidRDefault="00DF4478" w:rsidP="00DF4478">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DF4478" w:rsidRPr="00A858C4" w14:paraId="380E9FA2" w14:textId="77777777" w:rsidTr="005D1D40">
        <w:trPr>
          <w:trHeight w:val="585"/>
        </w:trPr>
        <w:tc>
          <w:tcPr>
            <w:tcW w:w="1980" w:type="dxa"/>
            <w:shd w:val="clear" w:color="auto" w:fill="CCCCCC"/>
            <w:vAlign w:val="center"/>
          </w:tcPr>
          <w:p w14:paraId="727B082F" w14:textId="77777777" w:rsidR="00DF4478" w:rsidRPr="00A858C4" w:rsidRDefault="00DF4478" w:rsidP="00DF4478">
            <w:pPr>
              <w:spacing w:before="60" w:after="60" w:line="200" w:lineRule="exact"/>
              <w:jc w:val="center"/>
              <w:rPr>
                <w:noProof/>
                <w:sz w:val="16"/>
                <w:szCs w:val="16"/>
              </w:rPr>
            </w:pPr>
            <w:r w:rsidRPr="00A858C4">
              <w:rPr>
                <w:b/>
                <w:noProof/>
                <w:sz w:val="16"/>
              </w:rPr>
              <w:t>Uden for UDGIFTSOMRÅDE 7</w:t>
            </w:r>
            <w:r w:rsidRPr="00A858C4">
              <w:rPr>
                <w:noProof/>
                <w:color w:val="000000" w:themeColor="text1"/>
              </w:rPr>
              <w:t xml:space="preserve"> </w:t>
            </w:r>
            <w:r w:rsidRPr="00A858C4">
              <w:rPr>
                <w:rStyle w:val="FootnoteReference"/>
                <w:noProof/>
              </w:rPr>
              <w:footnoteReference w:id="19"/>
            </w:r>
            <w:r w:rsidRPr="00A858C4">
              <w:rPr>
                <w:noProof/>
                <w:sz w:val="22"/>
              </w:rPr>
              <w:br/>
            </w:r>
            <w:r w:rsidRPr="00A858C4">
              <w:rPr>
                <w:b/>
                <w:noProof/>
                <w:sz w:val="16"/>
              </w:rPr>
              <w:t xml:space="preserve">i den flerårige finansielle ramme </w:t>
            </w:r>
          </w:p>
          <w:p w14:paraId="74F5D707" w14:textId="77777777" w:rsidR="00DF4478" w:rsidRPr="00A858C4" w:rsidRDefault="00DF4478" w:rsidP="00DF4478">
            <w:pPr>
              <w:spacing w:before="0" w:after="0" w:line="200" w:lineRule="exact"/>
              <w:jc w:val="center"/>
              <w:rPr>
                <w:b/>
                <w:noProof/>
                <w:sz w:val="16"/>
                <w:szCs w:val="16"/>
              </w:rPr>
            </w:pPr>
          </w:p>
        </w:tc>
        <w:tc>
          <w:tcPr>
            <w:tcW w:w="1080" w:type="dxa"/>
            <w:vAlign w:val="center"/>
          </w:tcPr>
          <w:p w14:paraId="16470D60"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3ED8C9A8"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1DBD0B33"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78635CD8"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16EDC8F3"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3B42DD22"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0F2A2670" w14:textId="77777777" w:rsidR="00DF4478" w:rsidRPr="00A858C4" w:rsidRDefault="00DF4478" w:rsidP="00DF4478">
            <w:pPr>
              <w:spacing w:before="60" w:after="60" w:line="200" w:lineRule="exact"/>
              <w:jc w:val="right"/>
              <w:rPr>
                <w:b/>
                <w:noProof/>
                <w:sz w:val="16"/>
                <w:szCs w:val="16"/>
              </w:rPr>
            </w:pPr>
          </w:p>
        </w:tc>
        <w:tc>
          <w:tcPr>
            <w:tcW w:w="1080" w:type="dxa"/>
            <w:vAlign w:val="center"/>
          </w:tcPr>
          <w:p w14:paraId="5F115C4B" w14:textId="77777777" w:rsidR="00DF4478" w:rsidRPr="00A858C4" w:rsidRDefault="00DF4478" w:rsidP="00DF4478">
            <w:pPr>
              <w:spacing w:before="60" w:after="60" w:line="200" w:lineRule="exact"/>
              <w:jc w:val="right"/>
              <w:rPr>
                <w:b/>
                <w:noProof/>
                <w:sz w:val="16"/>
                <w:szCs w:val="16"/>
              </w:rPr>
            </w:pPr>
          </w:p>
        </w:tc>
      </w:tr>
      <w:tr w:rsidR="00DF4478" w:rsidRPr="00A858C4" w14:paraId="07806847" w14:textId="77777777" w:rsidTr="005D1D40">
        <w:trPr>
          <w:trHeight w:val="585"/>
        </w:trPr>
        <w:tc>
          <w:tcPr>
            <w:tcW w:w="1980" w:type="dxa"/>
            <w:vAlign w:val="center"/>
          </w:tcPr>
          <w:p w14:paraId="240EE365" w14:textId="77777777" w:rsidR="00DF4478" w:rsidRPr="00A858C4" w:rsidRDefault="00DF4478" w:rsidP="00DF4478">
            <w:pPr>
              <w:spacing w:before="60" w:after="60" w:line="200" w:lineRule="exact"/>
              <w:ind w:left="72"/>
              <w:jc w:val="left"/>
              <w:rPr>
                <w:noProof/>
                <w:sz w:val="16"/>
                <w:szCs w:val="16"/>
              </w:rPr>
            </w:pPr>
            <w:r w:rsidRPr="00A858C4">
              <w:rPr>
                <w:noProof/>
                <w:sz w:val="16"/>
              </w:rPr>
              <w:t xml:space="preserve">Menneskelige ressourcer </w:t>
            </w:r>
          </w:p>
        </w:tc>
        <w:tc>
          <w:tcPr>
            <w:tcW w:w="1080" w:type="dxa"/>
            <w:vAlign w:val="center"/>
          </w:tcPr>
          <w:p w14:paraId="6A364F7D"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40945849"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160BB540"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5A350BB9"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400FB03E"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34E913EA"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6CADC63B" w14:textId="77777777" w:rsidR="00DF4478" w:rsidRPr="00A858C4" w:rsidRDefault="00DF4478" w:rsidP="00DF4478">
            <w:pPr>
              <w:spacing w:before="60" w:after="60" w:line="200" w:lineRule="exact"/>
              <w:jc w:val="right"/>
              <w:rPr>
                <w:b/>
                <w:noProof/>
                <w:sz w:val="16"/>
                <w:szCs w:val="16"/>
              </w:rPr>
            </w:pPr>
          </w:p>
        </w:tc>
        <w:tc>
          <w:tcPr>
            <w:tcW w:w="1080" w:type="dxa"/>
            <w:vAlign w:val="center"/>
          </w:tcPr>
          <w:p w14:paraId="619AB78C" w14:textId="77777777" w:rsidR="00DF4478" w:rsidRPr="00A858C4" w:rsidRDefault="00DF4478" w:rsidP="00DF4478">
            <w:pPr>
              <w:spacing w:before="60" w:after="60" w:line="200" w:lineRule="exact"/>
              <w:jc w:val="right"/>
              <w:rPr>
                <w:b/>
                <w:noProof/>
                <w:sz w:val="16"/>
                <w:szCs w:val="16"/>
              </w:rPr>
            </w:pPr>
          </w:p>
        </w:tc>
      </w:tr>
      <w:tr w:rsidR="00DF4478" w:rsidRPr="00A858C4" w14:paraId="4D8AED36" w14:textId="77777777" w:rsidTr="005D1D40">
        <w:trPr>
          <w:trHeight w:val="585"/>
        </w:trPr>
        <w:tc>
          <w:tcPr>
            <w:tcW w:w="1980" w:type="dxa"/>
            <w:vAlign w:val="center"/>
          </w:tcPr>
          <w:p w14:paraId="642D2D47" w14:textId="77777777" w:rsidR="00DF4478" w:rsidRPr="00A858C4" w:rsidRDefault="00DF4478" w:rsidP="00DF4478">
            <w:pPr>
              <w:spacing w:before="60" w:after="60" w:line="200" w:lineRule="exact"/>
              <w:ind w:left="72"/>
              <w:jc w:val="left"/>
              <w:rPr>
                <w:noProof/>
                <w:sz w:val="16"/>
                <w:szCs w:val="16"/>
              </w:rPr>
            </w:pPr>
            <w:r w:rsidRPr="00A858C4">
              <w:rPr>
                <w:noProof/>
                <w:sz w:val="16"/>
              </w:rPr>
              <w:t xml:space="preserve">Andre </w:t>
            </w:r>
            <w:r w:rsidRPr="00A858C4">
              <w:rPr>
                <w:noProof/>
                <w:sz w:val="22"/>
              </w:rPr>
              <w:br/>
            </w:r>
            <w:r w:rsidRPr="00A858C4">
              <w:rPr>
                <w:noProof/>
                <w:sz w:val="16"/>
              </w:rPr>
              <w:t>administrationsomkostninger</w:t>
            </w:r>
          </w:p>
        </w:tc>
        <w:tc>
          <w:tcPr>
            <w:tcW w:w="1080" w:type="dxa"/>
            <w:vAlign w:val="center"/>
          </w:tcPr>
          <w:p w14:paraId="342EF38E"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0842649B"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761A55DD"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6B5CEB08"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66B17389"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40AA42AF"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5ECD0D56" w14:textId="77777777" w:rsidR="00DF4478" w:rsidRPr="00A858C4" w:rsidRDefault="00DF4478" w:rsidP="00DF4478">
            <w:pPr>
              <w:spacing w:before="60" w:after="60" w:line="200" w:lineRule="exact"/>
              <w:jc w:val="right"/>
              <w:rPr>
                <w:b/>
                <w:noProof/>
                <w:sz w:val="16"/>
                <w:szCs w:val="16"/>
              </w:rPr>
            </w:pPr>
          </w:p>
        </w:tc>
        <w:tc>
          <w:tcPr>
            <w:tcW w:w="1080" w:type="dxa"/>
            <w:vAlign w:val="center"/>
          </w:tcPr>
          <w:p w14:paraId="7B858D4E" w14:textId="77777777" w:rsidR="00DF4478" w:rsidRPr="00A858C4" w:rsidRDefault="00DF4478" w:rsidP="00DF4478">
            <w:pPr>
              <w:spacing w:before="60" w:after="60" w:line="200" w:lineRule="exact"/>
              <w:jc w:val="right"/>
              <w:rPr>
                <w:b/>
                <w:noProof/>
                <w:sz w:val="16"/>
                <w:szCs w:val="16"/>
              </w:rPr>
            </w:pPr>
          </w:p>
        </w:tc>
      </w:tr>
      <w:tr w:rsidR="00DF4478" w:rsidRPr="00A858C4" w14:paraId="3A3CC6E4" w14:textId="77777777" w:rsidTr="005D1D40">
        <w:trPr>
          <w:trHeight w:val="585"/>
        </w:trPr>
        <w:tc>
          <w:tcPr>
            <w:tcW w:w="1980" w:type="dxa"/>
            <w:shd w:val="clear" w:color="auto" w:fill="CCCCCC"/>
            <w:vAlign w:val="center"/>
          </w:tcPr>
          <w:p w14:paraId="65BAFE77" w14:textId="77777777" w:rsidR="00DF4478" w:rsidRPr="00A858C4" w:rsidRDefault="00DF4478" w:rsidP="00DF4478">
            <w:pPr>
              <w:spacing w:before="60" w:after="60" w:line="200" w:lineRule="exact"/>
              <w:jc w:val="center"/>
              <w:rPr>
                <w:b/>
                <w:noProof/>
                <w:sz w:val="16"/>
                <w:szCs w:val="16"/>
              </w:rPr>
            </w:pPr>
            <w:r w:rsidRPr="00A858C4">
              <w:rPr>
                <w:b/>
                <w:noProof/>
                <w:sz w:val="16"/>
              </w:rPr>
              <w:t xml:space="preserve">Subtotal </w:t>
            </w:r>
            <w:r w:rsidRPr="00A858C4">
              <w:rPr>
                <w:noProof/>
                <w:sz w:val="22"/>
              </w:rPr>
              <w:br/>
            </w:r>
            <w:r w:rsidRPr="00A858C4">
              <w:rPr>
                <w:b/>
                <w:noProof/>
                <w:sz w:val="16"/>
              </w:rPr>
              <w:t>uden for UDGIFTSOMRÅDE 7</w:t>
            </w:r>
            <w:r w:rsidRPr="00A858C4">
              <w:rPr>
                <w:noProof/>
                <w:sz w:val="22"/>
              </w:rPr>
              <w:br/>
            </w:r>
            <w:r w:rsidRPr="00A858C4">
              <w:rPr>
                <w:b/>
                <w:noProof/>
                <w:sz w:val="16"/>
              </w:rPr>
              <w:t xml:space="preserve">i den flerårige finansielle ramme </w:t>
            </w:r>
          </w:p>
        </w:tc>
        <w:tc>
          <w:tcPr>
            <w:tcW w:w="1080" w:type="dxa"/>
            <w:vAlign w:val="center"/>
          </w:tcPr>
          <w:p w14:paraId="51C110DE"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76B0F53A"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7DBCB770"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4BD6502D"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77CEBE5D"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5169E4D4" w14:textId="77777777" w:rsidR="00DF4478" w:rsidRPr="00A858C4" w:rsidRDefault="00DF4478" w:rsidP="00DF4478">
            <w:pPr>
              <w:spacing w:before="60" w:after="60" w:line="200" w:lineRule="exact"/>
              <w:jc w:val="right"/>
              <w:rPr>
                <w:noProof/>
                <w:sz w:val="16"/>
                <w:szCs w:val="16"/>
              </w:rPr>
            </w:pPr>
          </w:p>
        </w:tc>
        <w:tc>
          <w:tcPr>
            <w:tcW w:w="1080" w:type="dxa"/>
            <w:vAlign w:val="center"/>
          </w:tcPr>
          <w:p w14:paraId="667C7A58" w14:textId="77777777" w:rsidR="00DF4478" w:rsidRPr="00A858C4" w:rsidRDefault="00DF4478" w:rsidP="00DF4478">
            <w:pPr>
              <w:spacing w:before="60" w:after="60" w:line="200" w:lineRule="exact"/>
              <w:jc w:val="right"/>
              <w:rPr>
                <w:b/>
                <w:noProof/>
                <w:sz w:val="16"/>
                <w:szCs w:val="16"/>
              </w:rPr>
            </w:pPr>
          </w:p>
        </w:tc>
        <w:tc>
          <w:tcPr>
            <w:tcW w:w="1080" w:type="dxa"/>
            <w:vAlign w:val="center"/>
          </w:tcPr>
          <w:p w14:paraId="506E804C" w14:textId="77777777" w:rsidR="00DF4478" w:rsidRPr="00A858C4" w:rsidRDefault="00DF4478" w:rsidP="00DF4478">
            <w:pPr>
              <w:spacing w:before="60" w:after="60" w:line="200" w:lineRule="exact"/>
              <w:jc w:val="right"/>
              <w:rPr>
                <w:b/>
                <w:noProof/>
                <w:sz w:val="16"/>
                <w:szCs w:val="16"/>
              </w:rPr>
            </w:pPr>
          </w:p>
        </w:tc>
      </w:tr>
    </w:tbl>
    <w:p w14:paraId="48A6E627" w14:textId="77777777" w:rsidR="00DF4478" w:rsidRPr="00A858C4" w:rsidRDefault="00DF4478" w:rsidP="00DF4478">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DF4478" w:rsidRPr="00A858C4" w14:paraId="44ABBF19" w14:textId="77777777" w:rsidTr="005D1D4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45D85164" w14:textId="77777777" w:rsidR="00DF4478" w:rsidRPr="00A858C4" w:rsidRDefault="00DF4478" w:rsidP="00DF4478">
            <w:pPr>
              <w:spacing w:before="60" w:after="60" w:line="200" w:lineRule="exact"/>
              <w:jc w:val="center"/>
              <w:rPr>
                <w:noProof/>
                <w:sz w:val="16"/>
                <w:szCs w:val="16"/>
              </w:rPr>
            </w:pPr>
            <w:r w:rsidRPr="00A858C4">
              <w:rPr>
                <w:b/>
                <w:noProof/>
                <w:sz w:val="16"/>
              </w:rPr>
              <w:t>I ALT</w:t>
            </w:r>
          </w:p>
        </w:tc>
        <w:tc>
          <w:tcPr>
            <w:tcW w:w="1080" w:type="dxa"/>
            <w:tcBorders>
              <w:top w:val="single" w:sz="12" w:space="0" w:color="auto"/>
              <w:left w:val="single" w:sz="2" w:space="0" w:color="auto"/>
              <w:bottom w:val="single" w:sz="12" w:space="0" w:color="auto"/>
              <w:right w:val="single" w:sz="2" w:space="0" w:color="auto"/>
            </w:tcBorders>
            <w:vAlign w:val="center"/>
          </w:tcPr>
          <w:p w14:paraId="16B74066" w14:textId="77777777" w:rsidR="00DF4478" w:rsidRPr="00A858C4" w:rsidRDefault="00DF4478" w:rsidP="00DF4478">
            <w:pPr>
              <w:spacing w:before="60" w:after="60" w:line="200" w:lineRule="exact"/>
              <w:jc w:val="right"/>
              <w:rPr>
                <w:b/>
                <w:bCs/>
                <w:noProof/>
                <w:sz w:val="16"/>
                <w:szCs w:val="16"/>
              </w:rPr>
            </w:pPr>
            <w:r w:rsidRPr="00A858C4">
              <w:rPr>
                <w:b/>
                <w:noProof/>
                <w:sz w:val="16"/>
              </w:rPr>
              <w:t>0,030</w:t>
            </w:r>
          </w:p>
        </w:tc>
        <w:tc>
          <w:tcPr>
            <w:tcW w:w="1080" w:type="dxa"/>
            <w:tcBorders>
              <w:top w:val="single" w:sz="12" w:space="0" w:color="auto"/>
              <w:left w:val="single" w:sz="2" w:space="0" w:color="auto"/>
              <w:bottom w:val="single" w:sz="12" w:space="0" w:color="auto"/>
              <w:right w:val="single" w:sz="2" w:space="0" w:color="auto"/>
            </w:tcBorders>
            <w:vAlign w:val="center"/>
          </w:tcPr>
          <w:p w14:paraId="0F2E3F15" w14:textId="77777777" w:rsidR="00DF4478" w:rsidRPr="00A858C4" w:rsidRDefault="00DF4478" w:rsidP="00DF4478">
            <w:pPr>
              <w:spacing w:before="60" w:after="60" w:line="200" w:lineRule="exact"/>
              <w:jc w:val="right"/>
              <w:rPr>
                <w:b/>
                <w:bCs/>
                <w:noProof/>
                <w:sz w:val="16"/>
                <w:szCs w:val="16"/>
              </w:rPr>
            </w:pPr>
            <w:r w:rsidRPr="00A858C4">
              <w:rPr>
                <w:b/>
                <w:noProof/>
                <w:sz w:val="16"/>
              </w:rPr>
              <w:t>0,030</w:t>
            </w:r>
          </w:p>
        </w:tc>
        <w:tc>
          <w:tcPr>
            <w:tcW w:w="1080" w:type="dxa"/>
            <w:tcBorders>
              <w:top w:val="single" w:sz="12" w:space="0" w:color="auto"/>
              <w:left w:val="single" w:sz="2" w:space="0" w:color="auto"/>
              <w:bottom w:val="single" w:sz="12" w:space="0" w:color="auto"/>
              <w:right w:val="single" w:sz="2" w:space="0" w:color="auto"/>
            </w:tcBorders>
            <w:vAlign w:val="center"/>
          </w:tcPr>
          <w:p w14:paraId="7C36BAAD" w14:textId="77777777" w:rsidR="00DF4478" w:rsidRPr="00A858C4" w:rsidRDefault="00DF4478" w:rsidP="00DF4478">
            <w:pPr>
              <w:spacing w:before="60" w:after="60" w:line="200" w:lineRule="exact"/>
              <w:jc w:val="right"/>
              <w:rPr>
                <w:b/>
                <w:bCs/>
                <w:noProof/>
                <w:sz w:val="16"/>
                <w:szCs w:val="16"/>
              </w:rPr>
            </w:pPr>
            <w:r w:rsidRPr="00A858C4">
              <w:rPr>
                <w:b/>
                <w:noProof/>
                <w:sz w:val="16"/>
              </w:rPr>
              <w:t>0,030</w:t>
            </w:r>
          </w:p>
        </w:tc>
        <w:tc>
          <w:tcPr>
            <w:tcW w:w="1080" w:type="dxa"/>
            <w:tcBorders>
              <w:top w:val="single" w:sz="12" w:space="0" w:color="auto"/>
              <w:left w:val="single" w:sz="2" w:space="0" w:color="auto"/>
              <w:bottom w:val="single" w:sz="12" w:space="0" w:color="auto"/>
              <w:right w:val="single" w:sz="2" w:space="0" w:color="auto"/>
            </w:tcBorders>
            <w:vAlign w:val="center"/>
          </w:tcPr>
          <w:p w14:paraId="5AA48BF0" w14:textId="77777777" w:rsidR="00DF4478" w:rsidRPr="00A858C4" w:rsidRDefault="00DF4478" w:rsidP="00DF4478">
            <w:pPr>
              <w:spacing w:before="60" w:after="60" w:line="200" w:lineRule="exact"/>
              <w:jc w:val="right"/>
              <w:rPr>
                <w:b/>
                <w:bCs/>
                <w:noProof/>
                <w:sz w:val="16"/>
                <w:szCs w:val="16"/>
              </w:rPr>
            </w:pPr>
            <w:r w:rsidRPr="00A858C4">
              <w:rPr>
                <w:b/>
                <w:noProof/>
                <w:sz w:val="16"/>
              </w:rPr>
              <w:t>0,030</w:t>
            </w:r>
          </w:p>
        </w:tc>
        <w:tc>
          <w:tcPr>
            <w:tcW w:w="1080" w:type="dxa"/>
            <w:tcBorders>
              <w:top w:val="single" w:sz="12" w:space="0" w:color="auto"/>
              <w:left w:val="single" w:sz="2" w:space="0" w:color="auto"/>
              <w:bottom w:val="single" w:sz="12" w:space="0" w:color="auto"/>
              <w:right w:val="single" w:sz="2" w:space="0" w:color="auto"/>
            </w:tcBorders>
            <w:vAlign w:val="center"/>
          </w:tcPr>
          <w:p w14:paraId="75995139" w14:textId="77777777" w:rsidR="00DF4478" w:rsidRPr="00A858C4" w:rsidRDefault="00DF4478" w:rsidP="00DF447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5CDEC26" w14:textId="77777777" w:rsidR="00DF4478" w:rsidRPr="00A858C4" w:rsidRDefault="00DF4478" w:rsidP="00DF447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7E92BC6" w14:textId="77777777" w:rsidR="00DF4478" w:rsidRPr="00A858C4" w:rsidRDefault="00DF4478" w:rsidP="00DF447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674106B8" w14:textId="77777777" w:rsidR="00DF4478" w:rsidRPr="00A858C4" w:rsidRDefault="00DF4478" w:rsidP="00DF4478">
            <w:pPr>
              <w:spacing w:before="60" w:after="60" w:line="200" w:lineRule="exact"/>
              <w:jc w:val="right"/>
              <w:rPr>
                <w:b/>
                <w:noProof/>
                <w:sz w:val="16"/>
                <w:szCs w:val="16"/>
              </w:rPr>
            </w:pPr>
          </w:p>
        </w:tc>
      </w:tr>
    </w:tbl>
    <w:p w14:paraId="0BCEFE66" w14:textId="77777777" w:rsidR="00DF4478" w:rsidRPr="00A858C4" w:rsidRDefault="00DF4478" w:rsidP="00DF4478">
      <w:pPr>
        <w:rPr>
          <w:noProof/>
          <w:sz w:val="18"/>
        </w:rPr>
      </w:pPr>
      <w:r w:rsidRPr="00A858C4">
        <w:rPr>
          <w:noProof/>
          <w:sz w:val="18"/>
        </w:rPr>
        <w:t>Bevillingerne til menneskelige ressourcer og andre administrationsudgifter vil blive dækket ved hjælp af de bevillinger, som generaldirektoratet allerede har afsat til forvaltning af foranstaltningen, og/eller ved intern omfordeling i generaldirektoratet, eventuelt suppleret med yderligere bevillinger, som tildeles det ansvarlige generaldirektorat i forbindelse med den årlige tildelingsprocedure under hensyntagen til de budgetmæssige begrænsninger.</w:t>
      </w:r>
    </w:p>
    <w:p w14:paraId="1F023A24" w14:textId="77777777" w:rsidR="00DF4478" w:rsidRPr="00A858C4" w:rsidRDefault="00DF4478" w:rsidP="00DF4478">
      <w:pPr>
        <w:rPr>
          <w:noProof/>
          <w:sz w:val="18"/>
        </w:rPr>
        <w:sectPr w:rsidR="00DF4478" w:rsidRPr="00A858C4" w:rsidSect="007A795C">
          <w:headerReference w:type="default" r:id="rId19"/>
          <w:footerReference w:type="default" r:id="rId20"/>
          <w:headerReference w:type="first" r:id="rId21"/>
          <w:footerReference w:type="first" r:id="rId22"/>
          <w:pgSz w:w="11907" w:h="16840"/>
          <w:pgMar w:top="1134" w:right="1418" w:bottom="1134" w:left="1418" w:header="709" w:footer="709" w:gutter="0"/>
          <w:cols w:space="708"/>
          <w:docGrid w:linePitch="360"/>
        </w:sectPr>
      </w:pPr>
    </w:p>
    <w:p w14:paraId="337D3B90" w14:textId="77777777" w:rsidR="00DF4478" w:rsidRPr="00A858C4" w:rsidRDefault="00DF4478" w:rsidP="00DF4478">
      <w:pPr>
        <w:keepNext/>
        <w:tabs>
          <w:tab w:val="left" w:pos="850"/>
        </w:tabs>
        <w:ind w:left="850" w:hanging="850"/>
        <w:outlineLvl w:val="3"/>
        <w:rPr>
          <w:bCs/>
          <w:noProof/>
          <w:szCs w:val="24"/>
        </w:rPr>
      </w:pPr>
      <w:r w:rsidRPr="00A858C4">
        <w:rPr>
          <w:noProof/>
        </w:rPr>
        <w:t>3.2.3.1.</w:t>
      </w:r>
      <w:r w:rsidRPr="00A858C4">
        <w:rPr>
          <w:noProof/>
        </w:rPr>
        <w:tab/>
        <w:t xml:space="preserve">Anslået behov for menneskelige ressourcer </w:t>
      </w:r>
    </w:p>
    <w:p w14:paraId="6662DDE6" w14:textId="77777777" w:rsidR="00DF4478" w:rsidRPr="00A858C4" w:rsidRDefault="00DF4478" w:rsidP="00DF4478">
      <w:pPr>
        <w:tabs>
          <w:tab w:val="num" w:pos="1134"/>
        </w:tabs>
        <w:ind w:left="1134" w:hanging="283"/>
        <w:rPr>
          <w:noProof/>
        </w:rPr>
      </w:pPr>
      <w:r w:rsidRPr="00A858C4">
        <w:rPr>
          <w:noProof/>
        </w:rPr>
        <w:t>×</w:t>
      </w:r>
      <w:r w:rsidRPr="00A858C4">
        <w:rPr>
          <w:noProof/>
        </w:rPr>
        <w:tab/>
        <w:t xml:space="preserve">Forslaget/initiativet medfører ikke anvendelse af menneskelige ressourcer </w:t>
      </w:r>
    </w:p>
    <w:p w14:paraId="79E7B18B"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Forslaget/initiativet medfører anvendelse af menneskelige ressourcer som anført herunder:</w:t>
      </w:r>
    </w:p>
    <w:p w14:paraId="48931E67" w14:textId="77777777" w:rsidR="00DF4478" w:rsidRPr="00A858C4" w:rsidRDefault="00DF4478" w:rsidP="00DF4478">
      <w:pPr>
        <w:spacing w:after="60"/>
        <w:jc w:val="right"/>
        <w:rPr>
          <w:i/>
          <w:noProof/>
          <w:sz w:val="20"/>
        </w:rPr>
      </w:pPr>
      <w:r w:rsidRPr="00A858C4">
        <w:rPr>
          <w:i/>
          <w:noProof/>
          <w:sz w:val="20"/>
        </w:rPr>
        <w:t>Overslag angives i årsværk</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DF4478" w:rsidRPr="00A858C4" w14:paraId="4E4B35A0" w14:textId="77777777" w:rsidTr="005D1D40">
        <w:trPr>
          <w:gridBefore w:val="1"/>
          <w:wBefore w:w="15" w:type="dxa"/>
          <w:trHeight w:val="289"/>
          <w:jc w:val="center"/>
        </w:trPr>
        <w:tc>
          <w:tcPr>
            <w:tcW w:w="4754" w:type="dxa"/>
            <w:gridSpan w:val="2"/>
            <w:shd w:val="clear" w:color="auto" w:fill="auto"/>
          </w:tcPr>
          <w:p w14:paraId="4F022777" w14:textId="77777777" w:rsidR="00DF4478" w:rsidRPr="00A858C4" w:rsidRDefault="00DF4478" w:rsidP="00DF4478">
            <w:pPr>
              <w:spacing w:before="40" w:after="40"/>
              <w:jc w:val="center"/>
              <w:rPr>
                <w:i/>
                <w:noProof/>
                <w:sz w:val="16"/>
                <w:szCs w:val="16"/>
              </w:rPr>
            </w:pPr>
          </w:p>
        </w:tc>
        <w:tc>
          <w:tcPr>
            <w:tcW w:w="731" w:type="dxa"/>
            <w:shd w:val="clear" w:color="auto" w:fill="auto"/>
            <w:vAlign w:val="center"/>
          </w:tcPr>
          <w:p w14:paraId="20B0D61A" w14:textId="77777777" w:rsidR="00DF4478" w:rsidRPr="00A858C4" w:rsidRDefault="00DF4478" w:rsidP="00DF4478">
            <w:pPr>
              <w:spacing w:before="20" w:after="20"/>
              <w:jc w:val="center"/>
              <w:rPr>
                <w:noProof/>
                <w:sz w:val="16"/>
                <w:szCs w:val="16"/>
              </w:rPr>
            </w:pPr>
            <w:r w:rsidRPr="00A858C4">
              <w:rPr>
                <w:noProof/>
                <w:sz w:val="16"/>
              </w:rPr>
              <w:t>År</w:t>
            </w:r>
            <w:r w:rsidRPr="00A858C4">
              <w:rPr>
                <w:noProof/>
                <w:sz w:val="22"/>
              </w:rPr>
              <w:br/>
            </w:r>
            <w:r w:rsidRPr="00A858C4">
              <w:rPr>
                <w:b/>
                <w:noProof/>
                <w:sz w:val="16"/>
              </w:rPr>
              <w:t>n</w:t>
            </w:r>
          </w:p>
        </w:tc>
        <w:tc>
          <w:tcPr>
            <w:tcW w:w="731" w:type="dxa"/>
            <w:shd w:val="clear" w:color="auto" w:fill="auto"/>
            <w:vAlign w:val="center"/>
          </w:tcPr>
          <w:p w14:paraId="3B125D11" w14:textId="77777777" w:rsidR="00DF4478" w:rsidRPr="00A858C4" w:rsidRDefault="00DF4478" w:rsidP="00DF4478">
            <w:pPr>
              <w:spacing w:before="20" w:after="20"/>
              <w:jc w:val="center"/>
              <w:rPr>
                <w:noProof/>
                <w:sz w:val="16"/>
                <w:szCs w:val="16"/>
              </w:rPr>
            </w:pPr>
            <w:r w:rsidRPr="00A858C4">
              <w:rPr>
                <w:noProof/>
                <w:sz w:val="16"/>
              </w:rPr>
              <w:t>År</w:t>
            </w:r>
            <w:r w:rsidRPr="00A858C4">
              <w:rPr>
                <w:noProof/>
                <w:sz w:val="22"/>
              </w:rPr>
              <w:br/>
            </w:r>
            <w:r w:rsidRPr="00A858C4">
              <w:rPr>
                <w:b/>
                <w:noProof/>
                <w:sz w:val="16"/>
              </w:rPr>
              <w:t>n+1</w:t>
            </w:r>
          </w:p>
        </w:tc>
        <w:tc>
          <w:tcPr>
            <w:tcW w:w="731" w:type="dxa"/>
            <w:shd w:val="clear" w:color="auto" w:fill="auto"/>
            <w:vAlign w:val="center"/>
          </w:tcPr>
          <w:p w14:paraId="4A8922CD" w14:textId="77777777" w:rsidR="00DF4478" w:rsidRPr="00A858C4" w:rsidRDefault="00DF4478" w:rsidP="00DF4478">
            <w:pPr>
              <w:spacing w:before="20" w:after="20"/>
              <w:jc w:val="center"/>
              <w:rPr>
                <w:noProof/>
                <w:sz w:val="16"/>
                <w:szCs w:val="16"/>
              </w:rPr>
            </w:pPr>
            <w:r w:rsidRPr="00A858C4">
              <w:rPr>
                <w:noProof/>
                <w:sz w:val="16"/>
              </w:rPr>
              <w:t xml:space="preserve">År </w:t>
            </w:r>
            <w:r w:rsidRPr="00A858C4">
              <w:rPr>
                <w:b/>
                <w:noProof/>
                <w:sz w:val="16"/>
              </w:rPr>
              <w:t>n+2</w:t>
            </w:r>
          </w:p>
        </w:tc>
        <w:tc>
          <w:tcPr>
            <w:tcW w:w="731" w:type="dxa"/>
            <w:shd w:val="clear" w:color="auto" w:fill="auto"/>
            <w:vAlign w:val="center"/>
          </w:tcPr>
          <w:p w14:paraId="0A08F335" w14:textId="77777777" w:rsidR="00DF4478" w:rsidRPr="00A858C4" w:rsidRDefault="00DF4478" w:rsidP="00DF4478">
            <w:pPr>
              <w:spacing w:before="20" w:after="20"/>
              <w:jc w:val="center"/>
              <w:rPr>
                <w:noProof/>
                <w:sz w:val="16"/>
                <w:szCs w:val="16"/>
              </w:rPr>
            </w:pPr>
            <w:r w:rsidRPr="00A858C4">
              <w:rPr>
                <w:noProof/>
                <w:sz w:val="16"/>
              </w:rPr>
              <w:t xml:space="preserve">År </w:t>
            </w:r>
            <w:r w:rsidRPr="00A858C4">
              <w:rPr>
                <w:b/>
                <w:noProof/>
                <w:sz w:val="16"/>
              </w:rPr>
              <w:t>n+3</w:t>
            </w:r>
          </w:p>
        </w:tc>
        <w:tc>
          <w:tcPr>
            <w:tcW w:w="2193" w:type="dxa"/>
            <w:gridSpan w:val="3"/>
            <w:shd w:val="clear" w:color="auto" w:fill="auto"/>
            <w:vAlign w:val="center"/>
          </w:tcPr>
          <w:p w14:paraId="1466FED7" w14:textId="77777777" w:rsidR="00DF4478" w:rsidRPr="00A858C4" w:rsidRDefault="00DF4478" w:rsidP="00DF4478">
            <w:pPr>
              <w:jc w:val="center"/>
              <w:rPr>
                <w:b/>
                <w:noProof/>
                <w:sz w:val="16"/>
                <w:szCs w:val="16"/>
              </w:rPr>
            </w:pPr>
            <w:r w:rsidRPr="00A858C4">
              <w:rPr>
                <w:noProof/>
                <w:sz w:val="16"/>
              </w:rPr>
              <w:t>Indsæt så mange år som nødvendigt for at vise virkningernes varighed (jf. punkt 1.6)</w:t>
            </w:r>
          </w:p>
        </w:tc>
      </w:tr>
      <w:tr w:rsidR="00DF4478" w:rsidRPr="00A858C4" w14:paraId="7C7ED1F4" w14:textId="77777777" w:rsidTr="005D1D40">
        <w:trPr>
          <w:gridBefore w:val="1"/>
          <w:wBefore w:w="15" w:type="dxa"/>
          <w:trHeight w:val="289"/>
          <w:jc w:val="center"/>
        </w:trPr>
        <w:tc>
          <w:tcPr>
            <w:tcW w:w="9871" w:type="dxa"/>
            <w:gridSpan w:val="9"/>
            <w:shd w:val="clear" w:color="auto" w:fill="auto"/>
          </w:tcPr>
          <w:p w14:paraId="36552BD1" w14:textId="77777777" w:rsidR="00DF4478" w:rsidRPr="00A858C4" w:rsidRDefault="00DF4478" w:rsidP="00DF4478">
            <w:pPr>
              <w:jc w:val="left"/>
              <w:rPr>
                <w:noProof/>
                <w:sz w:val="16"/>
                <w:szCs w:val="16"/>
              </w:rPr>
            </w:pPr>
            <w:r w:rsidRPr="00A858C4">
              <w:rPr>
                <w:b/>
                <w:noProof/>
                <w:sz w:val="16"/>
              </w:rPr>
              <w:sym w:font="Wingdings" w:char="F09F"/>
            </w:r>
            <w:r w:rsidRPr="00A858C4">
              <w:rPr>
                <w:b/>
                <w:noProof/>
                <w:sz w:val="16"/>
              </w:rPr>
              <w:t>Stillinger i stillingsfortegnelsen (tjenestemænd og midlertidigt ansatte)</w:t>
            </w:r>
          </w:p>
        </w:tc>
      </w:tr>
      <w:tr w:rsidR="00DF4478" w:rsidRPr="00A858C4" w14:paraId="24AA27C2" w14:textId="77777777" w:rsidTr="005D1D40">
        <w:trPr>
          <w:gridBefore w:val="1"/>
          <w:wBefore w:w="15" w:type="dxa"/>
          <w:trHeight w:val="289"/>
          <w:jc w:val="center"/>
        </w:trPr>
        <w:tc>
          <w:tcPr>
            <w:tcW w:w="4754" w:type="dxa"/>
            <w:gridSpan w:val="2"/>
            <w:shd w:val="clear" w:color="auto" w:fill="auto"/>
            <w:vAlign w:val="center"/>
          </w:tcPr>
          <w:p w14:paraId="28498676" w14:textId="77777777" w:rsidR="00DF4478" w:rsidRPr="00A858C4" w:rsidRDefault="00DF4478" w:rsidP="00DF4478">
            <w:pPr>
              <w:spacing w:beforeLines="20" w:before="48" w:afterLines="20" w:after="48"/>
              <w:ind w:left="134"/>
              <w:jc w:val="left"/>
              <w:rPr>
                <w:b/>
                <w:noProof/>
                <w:sz w:val="16"/>
                <w:szCs w:val="16"/>
              </w:rPr>
            </w:pPr>
            <w:r w:rsidRPr="00A858C4">
              <w:rPr>
                <w:noProof/>
                <w:sz w:val="16"/>
              </w:rPr>
              <w:t>20 01 02 01</w:t>
            </w:r>
            <w:r w:rsidRPr="00A858C4">
              <w:rPr>
                <w:rFonts w:ascii="Arial Narrow" w:hAnsi="Arial Narrow"/>
                <w:noProof/>
                <w:color w:val="000000"/>
                <w:sz w:val="20"/>
              </w:rPr>
              <w:t xml:space="preserve"> </w:t>
            </w:r>
            <w:r w:rsidRPr="00A858C4">
              <w:rPr>
                <w:noProof/>
                <w:sz w:val="16"/>
              </w:rPr>
              <w:t>(i hovedsædet og i Kommissionens repræsentationskontorer)</w:t>
            </w:r>
          </w:p>
        </w:tc>
        <w:tc>
          <w:tcPr>
            <w:tcW w:w="731" w:type="dxa"/>
            <w:shd w:val="clear" w:color="auto" w:fill="auto"/>
            <w:vAlign w:val="center"/>
          </w:tcPr>
          <w:p w14:paraId="27B82A6B"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5F4024A2"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3ACA4BEB"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DCF53E1"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5D1D2F4"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2D96A9FE"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8043677" w14:textId="77777777" w:rsidR="00DF4478" w:rsidRPr="00A858C4" w:rsidRDefault="00DF4478" w:rsidP="00DF4478">
            <w:pPr>
              <w:spacing w:beforeLines="20" w:before="48" w:afterLines="20" w:after="48"/>
              <w:jc w:val="center"/>
              <w:rPr>
                <w:noProof/>
                <w:sz w:val="16"/>
                <w:szCs w:val="16"/>
              </w:rPr>
            </w:pPr>
          </w:p>
        </w:tc>
      </w:tr>
      <w:tr w:rsidR="00DF4478" w:rsidRPr="00A858C4" w14:paraId="7F014B99" w14:textId="77777777" w:rsidTr="005D1D40">
        <w:trPr>
          <w:gridBefore w:val="1"/>
          <w:wBefore w:w="15" w:type="dxa"/>
          <w:trHeight w:val="289"/>
          <w:jc w:val="center"/>
        </w:trPr>
        <w:tc>
          <w:tcPr>
            <w:tcW w:w="4754" w:type="dxa"/>
            <w:gridSpan w:val="2"/>
            <w:shd w:val="clear" w:color="auto" w:fill="auto"/>
            <w:vAlign w:val="center"/>
          </w:tcPr>
          <w:p w14:paraId="2EC3FD9E" w14:textId="77777777" w:rsidR="00DF4478" w:rsidRPr="00A858C4" w:rsidRDefault="00DF4478" w:rsidP="00DF4478">
            <w:pPr>
              <w:spacing w:beforeLines="20" w:before="48" w:afterLines="20" w:after="48"/>
              <w:ind w:left="134"/>
              <w:jc w:val="left"/>
              <w:rPr>
                <w:noProof/>
                <w:sz w:val="16"/>
              </w:rPr>
            </w:pPr>
            <w:r w:rsidRPr="00A858C4">
              <w:rPr>
                <w:noProof/>
                <w:sz w:val="16"/>
              </w:rPr>
              <w:t>20 01 02 03 (i delegationerne)</w:t>
            </w:r>
          </w:p>
        </w:tc>
        <w:tc>
          <w:tcPr>
            <w:tcW w:w="731" w:type="dxa"/>
            <w:shd w:val="clear" w:color="auto" w:fill="auto"/>
            <w:vAlign w:val="center"/>
          </w:tcPr>
          <w:p w14:paraId="2FE55C75"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D18C7FA"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ABC82A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CEC5F42"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30F6216"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5032AA40"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42BA454C" w14:textId="77777777" w:rsidR="00DF4478" w:rsidRPr="00A858C4" w:rsidRDefault="00DF4478" w:rsidP="00DF4478">
            <w:pPr>
              <w:spacing w:beforeLines="20" w:before="48" w:afterLines="20" w:after="48"/>
              <w:jc w:val="center"/>
              <w:rPr>
                <w:noProof/>
                <w:sz w:val="16"/>
                <w:szCs w:val="16"/>
              </w:rPr>
            </w:pPr>
          </w:p>
        </w:tc>
      </w:tr>
      <w:tr w:rsidR="00DF4478" w:rsidRPr="00A858C4" w14:paraId="396193D3" w14:textId="77777777" w:rsidTr="005D1D40">
        <w:trPr>
          <w:gridBefore w:val="1"/>
          <w:wBefore w:w="15" w:type="dxa"/>
          <w:trHeight w:val="289"/>
          <w:jc w:val="center"/>
        </w:trPr>
        <w:tc>
          <w:tcPr>
            <w:tcW w:w="4754" w:type="dxa"/>
            <w:gridSpan w:val="2"/>
            <w:shd w:val="clear" w:color="auto" w:fill="auto"/>
            <w:vAlign w:val="center"/>
          </w:tcPr>
          <w:p w14:paraId="6FBE285C" w14:textId="77777777" w:rsidR="00DF4478" w:rsidRPr="00A858C4" w:rsidRDefault="00DF4478" w:rsidP="00DF4478">
            <w:pPr>
              <w:spacing w:beforeLines="20" w:before="48" w:afterLines="20" w:after="48"/>
              <w:ind w:left="134"/>
              <w:jc w:val="left"/>
              <w:rPr>
                <w:noProof/>
                <w:sz w:val="16"/>
                <w:szCs w:val="16"/>
              </w:rPr>
            </w:pPr>
            <w:r w:rsidRPr="00A858C4">
              <w:rPr>
                <w:noProof/>
                <w:sz w:val="16"/>
              </w:rPr>
              <w:t>01 01 01 01 (indirekte forskning)</w:t>
            </w:r>
          </w:p>
        </w:tc>
        <w:tc>
          <w:tcPr>
            <w:tcW w:w="731" w:type="dxa"/>
            <w:shd w:val="clear" w:color="auto" w:fill="auto"/>
            <w:vAlign w:val="center"/>
          </w:tcPr>
          <w:p w14:paraId="6D1F5452"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65F2B437"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2AF8878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B7364CA"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34EE55B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365A9656"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4C4620B5" w14:textId="77777777" w:rsidR="00DF4478" w:rsidRPr="00A858C4" w:rsidRDefault="00DF4478" w:rsidP="00DF4478">
            <w:pPr>
              <w:spacing w:beforeLines="20" w:before="48" w:afterLines="20" w:after="48"/>
              <w:jc w:val="center"/>
              <w:rPr>
                <w:noProof/>
                <w:sz w:val="16"/>
                <w:szCs w:val="16"/>
              </w:rPr>
            </w:pPr>
          </w:p>
        </w:tc>
      </w:tr>
      <w:tr w:rsidR="00DF4478" w:rsidRPr="00A858C4" w14:paraId="10F7D1F9" w14:textId="77777777" w:rsidTr="005D1D40">
        <w:trPr>
          <w:gridBefore w:val="1"/>
          <w:wBefore w:w="15" w:type="dxa"/>
          <w:trHeight w:val="289"/>
          <w:jc w:val="center"/>
        </w:trPr>
        <w:tc>
          <w:tcPr>
            <w:tcW w:w="4754" w:type="dxa"/>
            <w:gridSpan w:val="2"/>
            <w:shd w:val="clear" w:color="auto" w:fill="auto"/>
            <w:vAlign w:val="center"/>
          </w:tcPr>
          <w:p w14:paraId="6F70D7D9" w14:textId="77777777" w:rsidR="00DF4478" w:rsidRPr="00A858C4" w:rsidRDefault="00DF4478" w:rsidP="00DF4478">
            <w:pPr>
              <w:spacing w:beforeLines="20" w:before="48" w:afterLines="20" w:after="48"/>
              <w:ind w:left="134"/>
              <w:jc w:val="left"/>
              <w:rPr>
                <w:noProof/>
                <w:sz w:val="16"/>
                <w:szCs w:val="16"/>
              </w:rPr>
            </w:pPr>
            <w:r w:rsidRPr="00A858C4">
              <w:rPr>
                <w:noProof/>
                <w:sz w:val="16"/>
              </w:rPr>
              <w:t xml:space="preserve"> 01 01 01 11 (direkte forskning)</w:t>
            </w:r>
          </w:p>
        </w:tc>
        <w:tc>
          <w:tcPr>
            <w:tcW w:w="731" w:type="dxa"/>
            <w:shd w:val="clear" w:color="auto" w:fill="auto"/>
            <w:vAlign w:val="center"/>
          </w:tcPr>
          <w:p w14:paraId="571583A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6F67DBF4"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E6E1460"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6010A71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9E67C02"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A305F7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4CCA8908" w14:textId="77777777" w:rsidR="00DF4478" w:rsidRPr="00A858C4" w:rsidRDefault="00DF4478" w:rsidP="00DF4478">
            <w:pPr>
              <w:spacing w:beforeLines="20" w:before="48" w:afterLines="20" w:after="48"/>
              <w:jc w:val="center"/>
              <w:rPr>
                <w:noProof/>
                <w:sz w:val="16"/>
                <w:szCs w:val="16"/>
              </w:rPr>
            </w:pPr>
          </w:p>
        </w:tc>
      </w:tr>
      <w:tr w:rsidR="00DF4478" w:rsidRPr="00A858C4" w14:paraId="60B18C5D" w14:textId="77777777" w:rsidTr="005D1D40">
        <w:trPr>
          <w:gridBefore w:val="1"/>
          <w:wBefore w:w="15" w:type="dxa"/>
          <w:trHeight w:val="289"/>
          <w:jc w:val="center"/>
        </w:trPr>
        <w:tc>
          <w:tcPr>
            <w:tcW w:w="4754" w:type="dxa"/>
            <w:gridSpan w:val="2"/>
            <w:shd w:val="clear" w:color="auto" w:fill="auto"/>
            <w:vAlign w:val="center"/>
          </w:tcPr>
          <w:p w14:paraId="0E3EFDAD" w14:textId="77777777" w:rsidR="00DF4478" w:rsidRPr="00A858C4" w:rsidRDefault="00DF4478" w:rsidP="00DF4478">
            <w:pPr>
              <w:spacing w:beforeLines="20" w:before="48" w:afterLines="20" w:after="48"/>
              <w:ind w:left="134"/>
              <w:jc w:val="left"/>
              <w:rPr>
                <w:noProof/>
                <w:sz w:val="16"/>
              </w:rPr>
            </w:pPr>
            <w:r w:rsidRPr="00A858C4">
              <w:rPr>
                <w:noProof/>
                <w:sz w:val="16"/>
              </w:rPr>
              <w:t>Andre budgetposter (angiv nærmere)</w:t>
            </w:r>
          </w:p>
        </w:tc>
        <w:tc>
          <w:tcPr>
            <w:tcW w:w="731" w:type="dxa"/>
            <w:shd w:val="clear" w:color="auto" w:fill="auto"/>
            <w:vAlign w:val="center"/>
          </w:tcPr>
          <w:p w14:paraId="21967C8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25337CF1"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434CEABD"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8D62F8C"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4BEAF45C"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FAD59D9"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85C86F1" w14:textId="77777777" w:rsidR="00DF4478" w:rsidRPr="00A858C4" w:rsidRDefault="00DF4478" w:rsidP="00DF4478">
            <w:pPr>
              <w:spacing w:beforeLines="20" w:before="48" w:afterLines="20" w:after="48"/>
              <w:jc w:val="center"/>
              <w:rPr>
                <w:noProof/>
                <w:sz w:val="16"/>
                <w:szCs w:val="16"/>
              </w:rPr>
            </w:pPr>
          </w:p>
        </w:tc>
      </w:tr>
      <w:tr w:rsidR="00DF4478" w:rsidRPr="00A858C4" w14:paraId="36B6F2D5" w14:textId="77777777" w:rsidTr="005D1D40">
        <w:trPr>
          <w:trHeight w:val="248"/>
          <w:jc w:val="center"/>
        </w:trPr>
        <w:tc>
          <w:tcPr>
            <w:tcW w:w="9886" w:type="dxa"/>
            <w:gridSpan w:val="10"/>
            <w:shd w:val="clear" w:color="auto" w:fill="auto"/>
            <w:vAlign w:val="center"/>
          </w:tcPr>
          <w:p w14:paraId="1662AA33" w14:textId="77777777" w:rsidR="00DF4478" w:rsidRPr="00A858C4" w:rsidRDefault="00DF4478" w:rsidP="00DF4478">
            <w:pPr>
              <w:spacing w:before="60" w:after="60"/>
              <w:jc w:val="left"/>
              <w:rPr>
                <w:b/>
                <w:noProof/>
                <w:sz w:val="16"/>
                <w:szCs w:val="16"/>
              </w:rPr>
            </w:pPr>
            <w:r w:rsidRPr="00A858C4">
              <w:rPr>
                <w:b/>
                <w:noProof/>
                <w:sz w:val="16"/>
              </w:rPr>
              <w:sym w:font="Wingdings" w:char="F09F"/>
            </w:r>
            <w:r w:rsidRPr="00A858C4">
              <w:rPr>
                <w:b/>
                <w:noProof/>
                <w:sz w:val="16"/>
              </w:rPr>
              <w:t xml:space="preserve"> Eksternt personale (i årsværk)</w:t>
            </w:r>
            <w:r w:rsidRPr="00A858C4">
              <w:rPr>
                <w:noProof/>
                <w:color w:val="000000" w:themeColor="text1"/>
              </w:rPr>
              <w:t xml:space="preserve">  </w:t>
            </w:r>
            <w:r w:rsidRPr="00A858C4">
              <w:rPr>
                <w:rStyle w:val="FootnoteReference"/>
                <w:noProof/>
              </w:rPr>
              <w:footnoteReference w:id="20"/>
            </w:r>
          </w:p>
          <w:p w14:paraId="622814E8" w14:textId="77777777" w:rsidR="00DF4478" w:rsidRPr="00A858C4" w:rsidRDefault="00DF4478" w:rsidP="00DF4478">
            <w:pPr>
              <w:spacing w:before="0" w:after="0"/>
              <w:jc w:val="left"/>
              <w:rPr>
                <w:noProof/>
                <w:sz w:val="16"/>
                <w:szCs w:val="16"/>
              </w:rPr>
            </w:pPr>
          </w:p>
        </w:tc>
      </w:tr>
      <w:tr w:rsidR="00DF4478" w:rsidRPr="00A858C4" w14:paraId="5787D1D9" w14:textId="77777777" w:rsidTr="005D1D40">
        <w:trPr>
          <w:gridBefore w:val="1"/>
          <w:wBefore w:w="15" w:type="dxa"/>
          <w:trHeight w:val="289"/>
          <w:jc w:val="center"/>
        </w:trPr>
        <w:tc>
          <w:tcPr>
            <w:tcW w:w="4754" w:type="dxa"/>
            <w:gridSpan w:val="2"/>
            <w:shd w:val="clear" w:color="auto" w:fill="auto"/>
            <w:vAlign w:val="center"/>
          </w:tcPr>
          <w:p w14:paraId="238E9419" w14:textId="77777777" w:rsidR="00DF4478" w:rsidRPr="00A858C4" w:rsidRDefault="00DF4478" w:rsidP="00DF4478">
            <w:pPr>
              <w:spacing w:beforeLines="20" w:before="48" w:afterLines="20" w:after="48"/>
              <w:ind w:left="136"/>
              <w:jc w:val="left"/>
              <w:rPr>
                <w:b/>
                <w:noProof/>
                <w:sz w:val="16"/>
                <w:szCs w:val="16"/>
              </w:rPr>
            </w:pPr>
            <w:r w:rsidRPr="00A858C4">
              <w:rPr>
                <w:noProof/>
                <w:sz w:val="16"/>
              </w:rPr>
              <w:t>20 02 01</w:t>
            </w:r>
            <w:r w:rsidRPr="00A858C4">
              <w:rPr>
                <w:rFonts w:ascii="Arial Narrow" w:hAnsi="Arial Narrow"/>
                <w:noProof/>
                <w:color w:val="000000"/>
                <w:sz w:val="20"/>
              </w:rPr>
              <w:t xml:space="preserve"> </w:t>
            </w:r>
            <w:r w:rsidRPr="00A858C4">
              <w:rPr>
                <w:noProof/>
                <w:sz w:val="16"/>
              </w:rPr>
              <w:t>(KA, UNE, V under den samlede bevillingsramme)</w:t>
            </w:r>
          </w:p>
        </w:tc>
        <w:tc>
          <w:tcPr>
            <w:tcW w:w="731" w:type="dxa"/>
            <w:shd w:val="clear" w:color="auto" w:fill="auto"/>
            <w:vAlign w:val="center"/>
          </w:tcPr>
          <w:p w14:paraId="2FD437D5"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B6EBB6B"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6218FE4A"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3E057FD"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09C6F76"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C6CC0BC"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432AAEFC" w14:textId="77777777" w:rsidR="00DF4478" w:rsidRPr="00A858C4" w:rsidRDefault="00DF4478" w:rsidP="00DF4478">
            <w:pPr>
              <w:spacing w:beforeLines="20" w:before="48" w:afterLines="20" w:after="48"/>
              <w:jc w:val="center"/>
              <w:rPr>
                <w:noProof/>
                <w:sz w:val="16"/>
                <w:szCs w:val="16"/>
              </w:rPr>
            </w:pPr>
          </w:p>
        </w:tc>
      </w:tr>
      <w:tr w:rsidR="00DF4478" w:rsidRPr="00A858C4" w14:paraId="2888E73F" w14:textId="77777777" w:rsidTr="005D1D40">
        <w:trPr>
          <w:gridBefore w:val="1"/>
          <w:wBefore w:w="15" w:type="dxa"/>
          <w:trHeight w:val="289"/>
          <w:jc w:val="center"/>
        </w:trPr>
        <w:tc>
          <w:tcPr>
            <w:tcW w:w="4754" w:type="dxa"/>
            <w:gridSpan w:val="2"/>
            <w:shd w:val="clear" w:color="auto" w:fill="auto"/>
            <w:vAlign w:val="center"/>
          </w:tcPr>
          <w:p w14:paraId="108A6154" w14:textId="77777777" w:rsidR="00DF4478" w:rsidRPr="00A858C4" w:rsidRDefault="00DF4478" w:rsidP="00DF4478">
            <w:pPr>
              <w:spacing w:beforeLines="20" w:before="48" w:afterLines="20" w:after="48"/>
              <w:ind w:left="136"/>
              <w:jc w:val="left"/>
              <w:rPr>
                <w:noProof/>
                <w:sz w:val="16"/>
              </w:rPr>
            </w:pPr>
            <w:r w:rsidRPr="00A858C4">
              <w:rPr>
                <w:noProof/>
                <w:sz w:val="16"/>
              </w:rPr>
              <w:t>20 02 03 (KA, LA, UNE, V og JMD i delegationerne)</w:t>
            </w:r>
          </w:p>
        </w:tc>
        <w:tc>
          <w:tcPr>
            <w:tcW w:w="731" w:type="dxa"/>
            <w:shd w:val="clear" w:color="auto" w:fill="auto"/>
            <w:vAlign w:val="center"/>
          </w:tcPr>
          <w:p w14:paraId="27C491C8"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3B197D5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5BE9A08F"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2CC16BC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34FDB34"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99918AD"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154AD4C" w14:textId="77777777" w:rsidR="00DF4478" w:rsidRPr="00A858C4" w:rsidRDefault="00DF4478" w:rsidP="00DF4478">
            <w:pPr>
              <w:spacing w:beforeLines="20" w:before="48" w:afterLines="20" w:after="48"/>
              <w:jc w:val="center"/>
              <w:rPr>
                <w:noProof/>
                <w:sz w:val="16"/>
                <w:szCs w:val="16"/>
              </w:rPr>
            </w:pPr>
          </w:p>
        </w:tc>
      </w:tr>
      <w:tr w:rsidR="00DF4478" w:rsidRPr="00A858C4" w14:paraId="02786223" w14:textId="77777777" w:rsidTr="005D1D40">
        <w:trPr>
          <w:gridBefore w:val="1"/>
          <w:wBefore w:w="15" w:type="dxa"/>
          <w:trHeight w:val="289"/>
          <w:jc w:val="center"/>
        </w:trPr>
        <w:tc>
          <w:tcPr>
            <w:tcW w:w="2376" w:type="dxa"/>
            <w:vMerge w:val="restart"/>
            <w:shd w:val="clear" w:color="auto" w:fill="auto"/>
            <w:vAlign w:val="center"/>
          </w:tcPr>
          <w:p w14:paraId="271C1CED" w14:textId="77777777" w:rsidR="00DF4478" w:rsidRPr="00A858C4" w:rsidRDefault="00DF4478" w:rsidP="00DF4478">
            <w:pPr>
              <w:spacing w:beforeLines="20" w:before="48" w:afterLines="20" w:after="48"/>
              <w:ind w:left="136"/>
              <w:jc w:val="left"/>
              <w:rPr>
                <w:b/>
                <w:noProof/>
                <w:sz w:val="16"/>
                <w:szCs w:val="16"/>
              </w:rPr>
            </w:pPr>
            <w:r w:rsidRPr="00A858C4">
              <w:rPr>
                <w:b/>
                <w:noProof/>
                <w:sz w:val="16"/>
              </w:rPr>
              <w:t>XX</w:t>
            </w:r>
            <w:r w:rsidRPr="00A858C4">
              <w:rPr>
                <w:noProof/>
                <w:sz w:val="16"/>
              </w:rPr>
              <w:t xml:space="preserve"> 01 xx </w:t>
            </w:r>
            <w:r w:rsidRPr="00A858C4">
              <w:rPr>
                <w:b/>
                <w:noProof/>
                <w:sz w:val="16"/>
              </w:rPr>
              <w:t>yy zz</w:t>
            </w:r>
            <w:r w:rsidRPr="00A858C4">
              <w:rPr>
                <w:noProof/>
                <w:color w:val="000000" w:themeColor="text1"/>
              </w:rPr>
              <w:t> </w:t>
            </w:r>
            <w:r w:rsidRPr="00A858C4">
              <w:rPr>
                <w:rStyle w:val="FootnoteReference"/>
                <w:noProof/>
              </w:rPr>
              <w:footnoteReference w:id="21"/>
            </w:r>
          </w:p>
          <w:p w14:paraId="7C8E888C" w14:textId="77777777" w:rsidR="00DF4478" w:rsidRPr="00A858C4" w:rsidRDefault="00DF4478" w:rsidP="00DF4478">
            <w:pPr>
              <w:spacing w:beforeLines="20" w:before="48" w:afterLines="20" w:after="48"/>
              <w:ind w:left="136"/>
              <w:jc w:val="left"/>
              <w:rPr>
                <w:b/>
                <w:noProof/>
                <w:sz w:val="16"/>
                <w:szCs w:val="16"/>
              </w:rPr>
            </w:pPr>
          </w:p>
        </w:tc>
        <w:tc>
          <w:tcPr>
            <w:tcW w:w="2378" w:type="dxa"/>
            <w:shd w:val="clear" w:color="auto" w:fill="auto"/>
            <w:vAlign w:val="center"/>
          </w:tcPr>
          <w:p w14:paraId="03196042" w14:textId="77777777" w:rsidR="00DF4478" w:rsidRPr="00A858C4" w:rsidRDefault="00DF4478" w:rsidP="00DF4478">
            <w:pPr>
              <w:spacing w:beforeLines="20" w:before="48" w:afterLines="20" w:after="48"/>
              <w:ind w:left="136"/>
              <w:jc w:val="left"/>
              <w:rPr>
                <w:b/>
                <w:noProof/>
                <w:sz w:val="16"/>
                <w:szCs w:val="16"/>
              </w:rPr>
            </w:pPr>
            <w:r w:rsidRPr="00A858C4">
              <w:rPr>
                <w:noProof/>
                <w:sz w:val="16"/>
              </w:rPr>
              <w:t>- i hovedsædet</w:t>
            </w:r>
          </w:p>
          <w:p w14:paraId="7F8E635E" w14:textId="77777777" w:rsidR="00DF4478" w:rsidRPr="00A858C4" w:rsidRDefault="00DF4478" w:rsidP="00DF4478">
            <w:pPr>
              <w:spacing w:beforeLines="20" w:before="48" w:afterLines="20" w:after="48"/>
              <w:ind w:left="136"/>
              <w:jc w:val="left"/>
              <w:rPr>
                <w:b/>
                <w:noProof/>
                <w:sz w:val="16"/>
                <w:szCs w:val="16"/>
              </w:rPr>
            </w:pPr>
          </w:p>
        </w:tc>
        <w:tc>
          <w:tcPr>
            <w:tcW w:w="731" w:type="dxa"/>
            <w:shd w:val="clear" w:color="auto" w:fill="auto"/>
            <w:vAlign w:val="center"/>
          </w:tcPr>
          <w:p w14:paraId="1487117A" w14:textId="77777777" w:rsidR="00DF4478" w:rsidRPr="00A858C4" w:rsidRDefault="00DF4478" w:rsidP="00DF4478">
            <w:pPr>
              <w:spacing w:beforeLines="20" w:before="48" w:afterLines="20" w:after="48"/>
              <w:rPr>
                <w:noProof/>
                <w:sz w:val="16"/>
                <w:szCs w:val="16"/>
              </w:rPr>
            </w:pPr>
          </w:p>
        </w:tc>
        <w:tc>
          <w:tcPr>
            <w:tcW w:w="731" w:type="dxa"/>
            <w:shd w:val="clear" w:color="auto" w:fill="auto"/>
            <w:vAlign w:val="center"/>
          </w:tcPr>
          <w:p w14:paraId="1CB63756"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57592B2"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5A896FD5"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65942EEB"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0D8E6D6"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C1C3DB7" w14:textId="77777777" w:rsidR="00DF4478" w:rsidRPr="00A858C4" w:rsidRDefault="00DF4478" w:rsidP="00DF4478">
            <w:pPr>
              <w:spacing w:beforeLines="20" w:before="48" w:afterLines="20" w:after="48"/>
              <w:jc w:val="center"/>
              <w:rPr>
                <w:noProof/>
                <w:sz w:val="16"/>
                <w:szCs w:val="16"/>
              </w:rPr>
            </w:pPr>
          </w:p>
        </w:tc>
      </w:tr>
      <w:tr w:rsidR="00DF4478" w:rsidRPr="00A858C4" w14:paraId="0A52E919" w14:textId="77777777" w:rsidTr="005D1D40">
        <w:trPr>
          <w:gridBefore w:val="1"/>
          <w:wBefore w:w="15" w:type="dxa"/>
          <w:trHeight w:val="289"/>
          <w:jc w:val="center"/>
        </w:trPr>
        <w:tc>
          <w:tcPr>
            <w:tcW w:w="2376" w:type="dxa"/>
            <w:vMerge/>
            <w:shd w:val="clear" w:color="auto" w:fill="auto"/>
            <w:vAlign w:val="center"/>
          </w:tcPr>
          <w:p w14:paraId="5F5990B9" w14:textId="77777777" w:rsidR="00DF4478" w:rsidRPr="00A858C4" w:rsidRDefault="00DF4478" w:rsidP="00DF4478">
            <w:pPr>
              <w:spacing w:beforeLines="20" w:before="48" w:afterLines="20" w:after="48"/>
              <w:ind w:left="136"/>
              <w:jc w:val="left"/>
              <w:rPr>
                <w:b/>
                <w:noProof/>
                <w:sz w:val="16"/>
                <w:szCs w:val="16"/>
              </w:rPr>
            </w:pPr>
          </w:p>
        </w:tc>
        <w:tc>
          <w:tcPr>
            <w:tcW w:w="2378" w:type="dxa"/>
            <w:shd w:val="clear" w:color="auto" w:fill="auto"/>
            <w:vAlign w:val="center"/>
          </w:tcPr>
          <w:p w14:paraId="0A11EDA8" w14:textId="77777777" w:rsidR="00DF4478" w:rsidRPr="00A858C4" w:rsidRDefault="00DF4478" w:rsidP="00DF4478">
            <w:pPr>
              <w:spacing w:beforeLines="20" w:before="48" w:afterLines="20" w:after="48"/>
              <w:ind w:left="136"/>
              <w:jc w:val="left"/>
              <w:rPr>
                <w:b/>
                <w:noProof/>
                <w:sz w:val="16"/>
                <w:szCs w:val="16"/>
              </w:rPr>
            </w:pPr>
            <w:r w:rsidRPr="00A858C4">
              <w:rPr>
                <w:noProof/>
                <w:sz w:val="16"/>
              </w:rPr>
              <w:t xml:space="preserve">- i delegationerne </w:t>
            </w:r>
          </w:p>
        </w:tc>
        <w:tc>
          <w:tcPr>
            <w:tcW w:w="731" w:type="dxa"/>
            <w:shd w:val="clear" w:color="auto" w:fill="auto"/>
            <w:vAlign w:val="center"/>
          </w:tcPr>
          <w:p w14:paraId="6CD6E9B2" w14:textId="77777777" w:rsidR="00DF4478" w:rsidRPr="00A858C4" w:rsidRDefault="00DF4478" w:rsidP="00DF4478">
            <w:pPr>
              <w:spacing w:beforeLines="20" w:before="48" w:afterLines="20" w:after="48"/>
              <w:rPr>
                <w:noProof/>
                <w:sz w:val="16"/>
                <w:szCs w:val="16"/>
              </w:rPr>
            </w:pPr>
          </w:p>
        </w:tc>
        <w:tc>
          <w:tcPr>
            <w:tcW w:w="731" w:type="dxa"/>
            <w:shd w:val="clear" w:color="auto" w:fill="auto"/>
            <w:vAlign w:val="center"/>
          </w:tcPr>
          <w:p w14:paraId="0BD03D31"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4EC82717"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6F907039"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32E36DE"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6EFB955F"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449E5C97" w14:textId="77777777" w:rsidR="00DF4478" w:rsidRPr="00A858C4" w:rsidRDefault="00DF4478" w:rsidP="00DF4478">
            <w:pPr>
              <w:spacing w:beforeLines="20" w:before="48" w:afterLines="20" w:after="48"/>
              <w:jc w:val="center"/>
              <w:rPr>
                <w:noProof/>
                <w:sz w:val="16"/>
                <w:szCs w:val="16"/>
              </w:rPr>
            </w:pPr>
          </w:p>
        </w:tc>
      </w:tr>
      <w:tr w:rsidR="00DF4478" w:rsidRPr="00A858C4" w14:paraId="7E3238CD" w14:textId="77777777" w:rsidTr="005D1D40">
        <w:trPr>
          <w:gridBefore w:val="1"/>
          <w:wBefore w:w="15" w:type="dxa"/>
          <w:trHeight w:val="289"/>
          <w:jc w:val="center"/>
        </w:trPr>
        <w:tc>
          <w:tcPr>
            <w:tcW w:w="4754" w:type="dxa"/>
            <w:gridSpan w:val="2"/>
            <w:shd w:val="clear" w:color="auto" w:fill="auto"/>
            <w:vAlign w:val="center"/>
          </w:tcPr>
          <w:p w14:paraId="29C50833" w14:textId="77777777" w:rsidR="00DF4478" w:rsidRPr="00A858C4" w:rsidRDefault="00DF4478" w:rsidP="00DF4478">
            <w:pPr>
              <w:spacing w:beforeLines="20" w:before="48" w:afterLines="20" w:after="48"/>
              <w:ind w:left="136"/>
              <w:jc w:val="left"/>
              <w:rPr>
                <w:noProof/>
                <w:sz w:val="16"/>
                <w:szCs w:val="16"/>
              </w:rPr>
            </w:pPr>
            <w:r w:rsidRPr="00A858C4">
              <w:rPr>
                <w:noProof/>
                <w:sz w:val="16"/>
              </w:rPr>
              <w:t>01 01 01 02</w:t>
            </w:r>
            <w:r w:rsidRPr="00A858C4">
              <w:rPr>
                <w:rFonts w:ascii="Arial Narrow" w:hAnsi="Arial Narrow"/>
                <w:noProof/>
                <w:color w:val="000000"/>
                <w:sz w:val="20"/>
              </w:rPr>
              <w:t xml:space="preserve"> </w:t>
            </w:r>
            <w:r w:rsidRPr="00A858C4">
              <w:rPr>
                <w:noProof/>
                <w:sz w:val="16"/>
              </w:rPr>
              <w:t>(KA, UNE, V – indirekte forskning)</w:t>
            </w:r>
          </w:p>
        </w:tc>
        <w:tc>
          <w:tcPr>
            <w:tcW w:w="731" w:type="dxa"/>
            <w:shd w:val="clear" w:color="auto" w:fill="auto"/>
            <w:vAlign w:val="center"/>
          </w:tcPr>
          <w:p w14:paraId="06D8552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3446D391"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C2F2FD4"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594A9CCC"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E6E349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4E3A58D"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2C52C3E7" w14:textId="77777777" w:rsidR="00DF4478" w:rsidRPr="00A858C4" w:rsidRDefault="00DF4478" w:rsidP="00DF4478">
            <w:pPr>
              <w:spacing w:beforeLines="20" w:before="48" w:afterLines="20" w:after="48"/>
              <w:jc w:val="center"/>
              <w:rPr>
                <w:noProof/>
                <w:sz w:val="16"/>
                <w:szCs w:val="16"/>
              </w:rPr>
            </w:pPr>
          </w:p>
        </w:tc>
      </w:tr>
      <w:tr w:rsidR="00DF4478" w:rsidRPr="00A858C4" w14:paraId="11C69F09" w14:textId="77777777" w:rsidTr="005D1D40">
        <w:trPr>
          <w:gridBefore w:val="1"/>
          <w:wBefore w:w="15" w:type="dxa"/>
          <w:trHeight w:val="289"/>
          <w:jc w:val="center"/>
        </w:trPr>
        <w:tc>
          <w:tcPr>
            <w:tcW w:w="4754" w:type="dxa"/>
            <w:gridSpan w:val="2"/>
            <w:shd w:val="clear" w:color="auto" w:fill="auto"/>
            <w:vAlign w:val="center"/>
          </w:tcPr>
          <w:p w14:paraId="67BA000A" w14:textId="77777777" w:rsidR="00DF4478" w:rsidRPr="00A858C4" w:rsidRDefault="00DF4478" w:rsidP="00DF4478">
            <w:pPr>
              <w:spacing w:beforeLines="20" w:before="48" w:afterLines="20" w:after="48"/>
              <w:ind w:left="136"/>
              <w:jc w:val="left"/>
              <w:rPr>
                <w:noProof/>
                <w:color w:val="FF0000"/>
                <w:sz w:val="16"/>
                <w:szCs w:val="16"/>
              </w:rPr>
            </w:pPr>
            <w:r w:rsidRPr="00A858C4">
              <w:rPr>
                <w:noProof/>
                <w:sz w:val="16"/>
              </w:rPr>
              <w:t xml:space="preserve"> 01 01 01 12 (KA, UNE, V – direkte forskning)</w:t>
            </w:r>
          </w:p>
        </w:tc>
        <w:tc>
          <w:tcPr>
            <w:tcW w:w="731" w:type="dxa"/>
            <w:shd w:val="clear" w:color="auto" w:fill="auto"/>
            <w:vAlign w:val="center"/>
          </w:tcPr>
          <w:p w14:paraId="65A06B4E"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564169D9"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268693DC"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3E3133A"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965434F"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CD3D9C3"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3655B9D3" w14:textId="77777777" w:rsidR="00DF4478" w:rsidRPr="00A858C4" w:rsidRDefault="00DF4478" w:rsidP="00DF4478">
            <w:pPr>
              <w:spacing w:beforeLines="20" w:before="48" w:afterLines="20" w:after="48"/>
              <w:jc w:val="center"/>
              <w:rPr>
                <w:noProof/>
                <w:sz w:val="16"/>
                <w:szCs w:val="16"/>
              </w:rPr>
            </w:pPr>
          </w:p>
        </w:tc>
      </w:tr>
      <w:tr w:rsidR="00DF4478" w:rsidRPr="00A858C4" w14:paraId="6B58B398" w14:textId="77777777" w:rsidTr="005D1D40">
        <w:trPr>
          <w:gridBefore w:val="1"/>
          <w:wBefore w:w="15" w:type="dxa"/>
          <w:trHeight w:val="289"/>
          <w:jc w:val="center"/>
        </w:trPr>
        <w:tc>
          <w:tcPr>
            <w:tcW w:w="4754" w:type="dxa"/>
            <w:gridSpan w:val="2"/>
            <w:shd w:val="clear" w:color="auto" w:fill="auto"/>
            <w:vAlign w:val="center"/>
          </w:tcPr>
          <w:p w14:paraId="0BCFC569" w14:textId="77777777" w:rsidR="00DF4478" w:rsidRPr="00A858C4" w:rsidRDefault="00DF4478" w:rsidP="00DF4478">
            <w:pPr>
              <w:spacing w:beforeLines="20" w:before="48" w:afterLines="20" w:after="48"/>
              <w:ind w:left="136"/>
              <w:jc w:val="left"/>
              <w:rPr>
                <w:noProof/>
                <w:sz w:val="16"/>
              </w:rPr>
            </w:pPr>
            <w:r w:rsidRPr="00A858C4">
              <w:rPr>
                <w:noProof/>
                <w:sz w:val="16"/>
              </w:rPr>
              <w:t>Andre budgetposter (angiv nærmere)</w:t>
            </w:r>
          </w:p>
        </w:tc>
        <w:tc>
          <w:tcPr>
            <w:tcW w:w="731" w:type="dxa"/>
            <w:shd w:val="clear" w:color="auto" w:fill="auto"/>
            <w:vAlign w:val="center"/>
          </w:tcPr>
          <w:p w14:paraId="3CD4F5E8"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50EA97ED"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52D34659"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0E3EA9B7"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15017BBE"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4F4EC94" w14:textId="77777777" w:rsidR="00DF4478" w:rsidRPr="00A858C4" w:rsidRDefault="00DF4478" w:rsidP="00DF4478">
            <w:pPr>
              <w:spacing w:beforeLines="20" w:before="48" w:afterLines="20" w:after="48"/>
              <w:jc w:val="center"/>
              <w:rPr>
                <w:noProof/>
                <w:sz w:val="16"/>
                <w:szCs w:val="16"/>
              </w:rPr>
            </w:pPr>
          </w:p>
        </w:tc>
        <w:tc>
          <w:tcPr>
            <w:tcW w:w="731" w:type="dxa"/>
            <w:shd w:val="clear" w:color="auto" w:fill="auto"/>
            <w:vAlign w:val="center"/>
          </w:tcPr>
          <w:p w14:paraId="7324F1AF" w14:textId="77777777" w:rsidR="00DF4478" w:rsidRPr="00A858C4" w:rsidRDefault="00DF4478" w:rsidP="00DF4478">
            <w:pPr>
              <w:spacing w:beforeLines="20" w:before="48" w:afterLines="20" w:after="48"/>
              <w:jc w:val="center"/>
              <w:rPr>
                <w:noProof/>
                <w:sz w:val="16"/>
                <w:szCs w:val="16"/>
              </w:rPr>
            </w:pPr>
          </w:p>
        </w:tc>
      </w:tr>
      <w:tr w:rsidR="00DF4478" w:rsidRPr="00A858C4" w14:paraId="44EAA4DC" w14:textId="77777777" w:rsidTr="005D1D40">
        <w:trPr>
          <w:gridBefore w:val="1"/>
          <w:wBefore w:w="15" w:type="dxa"/>
          <w:trHeight w:val="289"/>
          <w:jc w:val="center"/>
        </w:trPr>
        <w:tc>
          <w:tcPr>
            <w:tcW w:w="4754" w:type="dxa"/>
            <w:gridSpan w:val="2"/>
            <w:tcBorders>
              <w:top w:val="double" w:sz="4" w:space="0" w:color="auto"/>
            </w:tcBorders>
            <w:shd w:val="clear" w:color="auto" w:fill="auto"/>
            <w:vAlign w:val="center"/>
          </w:tcPr>
          <w:p w14:paraId="44EEB326" w14:textId="77777777" w:rsidR="00DF4478" w:rsidRPr="00A858C4" w:rsidRDefault="00DF4478" w:rsidP="00DF4478">
            <w:pPr>
              <w:spacing w:beforeLines="20" w:before="48" w:afterLines="20" w:after="48"/>
              <w:ind w:left="136"/>
              <w:jc w:val="left"/>
              <w:rPr>
                <w:noProof/>
                <w:sz w:val="16"/>
                <w:szCs w:val="16"/>
              </w:rPr>
            </w:pPr>
            <w:r w:rsidRPr="00A858C4">
              <w:rPr>
                <w:b/>
                <w:noProof/>
                <w:sz w:val="16"/>
              </w:rPr>
              <w:t>I ALT</w:t>
            </w:r>
          </w:p>
        </w:tc>
        <w:tc>
          <w:tcPr>
            <w:tcW w:w="731" w:type="dxa"/>
            <w:tcBorders>
              <w:top w:val="double" w:sz="4" w:space="0" w:color="auto"/>
            </w:tcBorders>
            <w:shd w:val="clear" w:color="auto" w:fill="auto"/>
            <w:vAlign w:val="center"/>
          </w:tcPr>
          <w:p w14:paraId="145B860F" w14:textId="77777777" w:rsidR="00DF4478" w:rsidRPr="00A858C4" w:rsidRDefault="00DF4478" w:rsidP="00DF447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632AB58" w14:textId="77777777" w:rsidR="00DF4478" w:rsidRPr="00A858C4" w:rsidRDefault="00DF4478" w:rsidP="00DF447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0E403CB" w14:textId="77777777" w:rsidR="00DF4478" w:rsidRPr="00A858C4" w:rsidRDefault="00DF4478" w:rsidP="00DF447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6725EC2" w14:textId="77777777" w:rsidR="00DF4478" w:rsidRPr="00A858C4" w:rsidRDefault="00DF4478" w:rsidP="00DF447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CAA146A" w14:textId="77777777" w:rsidR="00DF4478" w:rsidRPr="00A858C4" w:rsidRDefault="00DF4478" w:rsidP="00DF447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3DDFB7B" w14:textId="77777777" w:rsidR="00DF4478" w:rsidRPr="00A858C4" w:rsidRDefault="00DF4478" w:rsidP="00DF447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6055068" w14:textId="77777777" w:rsidR="00DF4478" w:rsidRPr="00A858C4" w:rsidRDefault="00DF4478" w:rsidP="00DF4478">
            <w:pPr>
              <w:spacing w:beforeLines="20" w:before="48" w:afterLines="20" w:after="48"/>
              <w:jc w:val="center"/>
              <w:rPr>
                <w:b/>
                <w:noProof/>
                <w:sz w:val="16"/>
                <w:szCs w:val="16"/>
              </w:rPr>
            </w:pPr>
          </w:p>
        </w:tc>
      </w:tr>
    </w:tbl>
    <w:p w14:paraId="78C36828" w14:textId="77777777" w:rsidR="00DF4478" w:rsidRPr="00A858C4" w:rsidRDefault="00DF4478" w:rsidP="00DF4478">
      <w:pPr>
        <w:spacing w:before="60" w:after="60"/>
        <w:ind w:left="851"/>
        <w:rPr>
          <w:noProof/>
          <w:sz w:val="18"/>
          <w:szCs w:val="18"/>
        </w:rPr>
      </w:pPr>
      <w:r w:rsidRPr="00A858C4">
        <w:rPr>
          <w:b/>
          <w:noProof/>
          <w:sz w:val="18"/>
        </w:rPr>
        <w:t>XX</w:t>
      </w:r>
      <w:r w:rsidRPr="00A858C4">
        <w:rPr>
          <w:noProof/>
          <w:sz w:val="18"/>
        </w:rPr>
        <w:t xml:space="preserve"> angiver det berørte politikområde eller budgetafsnit.</w:t>
      </w:r>
    </w:p>
    <w:p w14:paraId="7B7FB75F" w14:textId="77777777" w:rsidR="00DF4478" w:rsidRPr="00A858C4" w:rsidRDefault="00DF4478" w:rsidP="00DF4478">
      <w:pPr>
        <w:ind w:left="850"/>
        <w:rPr>
          <w:noProof/>
          <w:sz w:val="18"/>
          <w:szCs w:val="18"/>
        </w:rPr>
      </w:pPr>
      <w:r w:rsidRPr="00A858C4">
        <w:rPr>
          <w:noProof/>
          <w:sz w:val="18"/>
        </w:rPr>
        <w:t>Personalebehovet vil blive dækket ved hjælp af det personale, som generaldirektoratet allerede har afsat til forvaltning af foranstaltningen, og/eller ved interne rokader i generaldirektoratet, eventuelt suppleret med yderligere bevillinger, som tildeles det ansvarlige generaldirektorat i forbindelse med den årlige tildelingsprocedure under hensyntagen til de budgetmæssige begrænsninger.</w:t>
      </w:r>
    </w:p>
    <w:p w14:paraId="6DAAA6A1" w14:textId="77777777" w:rsidR="00DF4478" w:rsidRPr="00A858C4" w:rsidRDefault="00DF4478" w:rsidP="00DF4478">
      <w:pPr>
        <w:rPr>
          <w:noProof/>
          <w:sz w:val="20"/>
        </w:rPr>
      </w:pPr>
      <w:r w:rsidRPr="00A858C4">
        <w:rPr>
          <w:noProof/>
          <w:sz w:val="20"/>
        </w:rPr>
        <w:t>Opgavebeskrivelse: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F4478" w:rsidRPr="00A858C4" w14:paraId="5830A5B4" w14:textId="77777777" w:rsidTr="005D1D40">
        <w:tc>
          <w:tcPr>
            <w:tcW w:w="3240" w:type="dxa"/>
          </w:tcPr>
          <w:p w14:paraId="46C756B7" w14:textId="77777777" w:rsidR="00DF4478" w:rsidRPr="00A858C4" w:rsidRDefault="00DF4478" w:rsidP="00DF4478">
            <w:pPr>
              <w:rPr>
                <w:noProof/>
                <w:sz w:val="20"/>
              </w:rPr>
            </w:pPr>
            <w:r w:rsidRPr="00A858C4">
              <w:rPr>
                <w:noProof/>
                <w:sz w:val="20"/>
              </w:rPr>
              <w:t>Tjenestemænd og midlertidigt ansatte</w:t>
            </w:r>
          </w:p>
        </w:tc>
        <w:tc>
          <w:tcPr>
            <w:tcW w:w="7200" w:type="dxa"/>
          </w:tcPr>
          <w:p w14:paraId="6856776E" w14:textId="77777777" w:rsidR="00DF4478" w:rsidRPr="00A858C4" w:rsidRDefault="00DF4478" w:rsidP="00DF4478">
            <w:pPr>
              <w:rPr>
                <w:noProof/>
                <w:sz w:val="20"/>
              </w:rPr>
            </w:pPr>
          </w:p>
        </w:tc>
      </w:tr>
      <w:tr w:rsidR="00DF4478" w:rsidRPr="00A858C4" w14:paraId="0D62A02E" w14:textId="77777777" w:rsidTr="005D1D40">
        <w:tc>
          <w:tcPr>
            <w:tcW w:w="3240" w:type="dxa"/>
          </w:tcPr>
          <w:p w14:paraId="5D51D610" w14:textId="77777777" w:rsidR="00DF4478" w:rsidRPr="00A858C4" w:rsidRDefault="00DF4478" w:rsidP="00DF4478">
            <w:pPr>
              <w:spacing w:before="60" w:after="60"/>
              <w:rPr>
                <w:noProof/>
                <w:sz w:val="20"/>
              </w:rPr>
            </w:pPr>
            <w:r w:rsidRPr="00A858C4">
              <w:rPr>
                <w:noProof/>
                <w:sz w:val="20"/>
              </w:rPr>
              <w:t>Eksternt personale</w:t>
            </w:r>
          </w:p>
        </w:tc>
        <w:tc>
          <w:tcPr>
            <w:tcW w:w="7200" w:type="dxa"/>
          </w:tcPr>
          <w:p w14:paraId="278DFE54" w14:textId="77777777" w:rsidR="00DF4478" w:rsidRPr="00A858C4" w:rsidRDefault="00DF4478" w:rsidP="00DF4478">
            <w:pPr>
              <w:rPr>
                <w:noProof/>
                <w:sz w:val="20"/>
              </w:rPr>
            </w:pPr>
          </w:p>
        </w:tc>
      </w:tr>
    </w:tbl>
    <w:p w14:paraId="1BA7B903" w14:textId="77777777" w:rsidR="00DF4478" w:rsidRPr="00A858C4" w:rsidRDefault="00DF4478" w:rsidP="00DF4478">
      <w:pPr>
        <w:rPr>
          <w:noProof/>
        </w:rPr>
        <w:sectPr w:rsidR="00DF4478" w:rsidRPr="00A858C4" w:rsidSect="007A795C">
          <w:pgSz w:w="11907" w:h="16840"/>
          <w:pgMar w:top="1134" w:right="1418" w:bottom="1134" w:left="1418" w:header="709" w:footer="709" w:gutter="0"/>
          <w:cols w:space="708"/>
          <w:docGrid w:linePitch="360"/>
        </w:sectPr>
      </w:pPr>
    </w:p>
    <w:p w14:paraId="0C7179B1" w14:textId="77777777" w:rsidR="00DF4478" w:rsidRPr="00A858C4" w:rsidRDefault="00DF4478" w:rsidP="00DF4478">
      <w:pPr>
        <w:keepNext/>
        <w:tabs>
          <w:tab w:val="left" w:pos="850"/>
        </w:tabs>
        <w:ind w:left="850" w:hanging="850"/>
        <w:outlineLvl w:val="2"/>
        <w:rPr>
          <w:i/>
          <w:noProof/>
        </w:rPr>
      </w:pPr>
      <w:bookmarkStart w:id="84" w:name="_Toc514938056"/>
      <w:bookmarkStart w:id="85" w:name="_Toc151133587"/>
      <w:r w:rsidRPr="00A858C4">
        <w:rPr>
          <w:i/>
          <w:noProof/>
        </w:rPr>
        <w:t>3.2.4.</w:t>
      </w:r>
      <w:r w:rsidRPr="00A858C4">
        <w:rPr>
          <w:i/>
          <w:noProof/>
        </w:rPr>
        <w:tab/>
        <w:t>Forenelighed med indeværende flerårige finansielle ramme</w:t>
      </w:r>
      <w:bookmarkEnd w:id="84"/>
      <w:bookmarkEnd w:id="85"/>
      <w:r w:rsidRPr="00A858C4">
        <w:rPr>
          <w:i/>
          <w:noProof/>
        </w:rPr>
        <w:t xml:space="preserve"> </w:t>
      </w:r>
    </w:p>
    <w:p w14:paraId="7856275B" w14:textId="77777777" w:rsidR="00DF4478" w:rsidRPr="00A858C4" w:rsidRDefault="00DF4478" w:rsidP="00DF4478">
      <w:pPr>
        <w:ind w:left="850"/>
        <w:rPr>
          <w:noProof/>
        </w:rPr>
      </w:pPr>
      <w:r w:rsidRPr="00A858C4">
        <w:rPr>
          <w:noProof/>
        </w:rPr>
        <w:t>Forslaget/initiativet:</w:t>
      </w:r>
    </w:p>
    <w:p w14:paraId="1C30C6C5" w14:textId="77777777" w:rsidR="00DF4478" w:rsidRPr="00A858C4" w:rsidRDefault="00DF4478" w:rsidP="00DF4478">
      <w:pPr>
        <w:tabs>
          <w:tab w:val="num" w:pos="1134"/>
        </w:tabs>
        <w:ind w:left="1134" w:hanging="283"/>
        <w:rPr>
          <w:noProof/>
        </w:rPr>
      </w:pPr>
      <w:r w:rsidRPr="00A858C4">
        <w:rPr>
          <w:noProof/>
        </w:rPr>
        <w:t>×</w:t>
      </w:r>
      <w:r w:rsidRPr="00A858C4">
        <w:rPr>
          <w:noProof/>
        </w:rPr>
        <w:tab/>
        <w:t>kan finansieres fuldt ud gennem omfordeling inden for det relevante udgiftsområde i den flerårige finansielle ramme (FFR)</w:t>
      </w:r>
    </w:p>
    <w:p w14:paraId="16463F06"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sz w:val="20"/>
        </w:rPr>
      </w:pPr>
      <w:r w:rsidRPr="00A858C4">
        <w:rPr>
          <w:noProof/>
          <w:sz w:val="20"/>
        </w:rPr>
        <w:t>Skal finansieres fra det samlede rammebeløb for GD AGRI og GD ENV på lige fod.</w:t>
      </w:r>
    </w:p>
    <w:p w14:paraId="1FEC7949"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kræver anvendelse af den uudnyttede margen under det relevante udgiftsområde i FFR og/eller anvendelse af særlige instrumenter som fastlagt i FFR-forordningen</w:t>
      </w:r>
    </w:p>
    <w:p w14:paraId="4DF5B086"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sz w:val="20"/>
        </w:rPr>
      </w:pPr>
      <w:r w:rsidRPr="00A858C4">
        <w:rPr>
          <w:noProof/>
          <w:sz w:val="20"/>
        </w:rPr>
        <w:t>Gør rede for behovet med angivelse af de berørte udgiftsområder og budgetposter, de beløb, der er tale om, og de instrumenter, der foreslås anvendt.</w:t>
      </w:r>
    </w:p>
    <w:p w14:paraId="6581D7B3"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kræver en revision af FFR</w:t>
      </w:r>
    </w:p>
    <w:p w14:paraId="413CD1C2"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sz w:val="20"/>
        </w:rPr>
      </w:pPr>
      <w:r w:rsidRPr="00A858C4">
        <w:rPr>
          <w:noProof/>
          <w:sz w:val="20"/>
        </w:rPr>
        <w:t>Gør rede for behovet med angivelse af de berørte udgiftsområder og budgetposter og de beløb, der er tale om.</w:t>
      </w:r>
    </w:p>
    <w:p w14:paraId="5547D040" w14:textId="77777777" w:rsidR="00DF4478" w:rsidRPr="00A858C4" w:rsidRDefault="00DF4478" w:rsidP="00DF4478">
      <w:pPr>
        <w:keepNext/>
        <w:tabs>
          <w:tab w:val="left" w:pos="850"/>
        </w:tabs>
        <w:ind w:left="850" w:hanging="850"/>
        <w:outlineLvl w:val="2"/>
        <w:rPr>
          <w:bCs/>
          <w:i/>
          <w:noProof/>
          <w:szCs w:val="24"/>
        </w:rPr>
      </w:pPr>
      <w:bookmarkStart w:id="86" w:name="_Toc514938058"/>
      <w:bookmarkStart w:id="87" w:name="_Toc151133588"/>
      <w:r w:rsidRPr="00A858C4">
        <w:rPr>
          <w:i/>
          <w:noProof/>
        </w:rPr>
        <w:t>3.2.5.</w:t>
      </w:r>
      <w:r w:rsidRPr="00A858C4">
        <w:rPr>
          <w:i/>
          <w:noProof/>
        </w:rPr>
        <w:tab/>
        <w:t>Bidrag fra tredjemand</w:t>
      </w:r>
      <w:bookmarkEnd w:id="86"/>
      <w:bookmarkEnd w:id="87"/>
      <w:r w:rsidRPr="00A858C4">
        <w:rPr>
          <w:i/>
          <w:noProof/>
        </w:rPr>
        <w:t xml:space="preserve"> </w:t>
      </w:r>
    </w:p>
    <w:p w14:paraId="3F0CF9BF" w14:textId="77777777" w:rsidR="00DF4478" w:rsidRPr="00A858C4" w:rsidRDefault="00DF4478" w:rsidP="00DF4478">
      <w:pPr>
        <w:ind w:left="850"/>
        <w:rPr>
          <w:noProof/>
        </w:rPr>
      </w:pPr>
      <w:r w:rsidRPr="00A858C4">
        <w:rPr>
          <w:noProof/>
        </w:rPr>
        <w:t>Forslaget/initiativet:</w:t>
      </w:r>
    </w:p>
    <w:p w14:paraId="6FD5EDB3" w14:textId="77777777" w:rsidR="00DF4478" w:rsidRPr="00A858C4" w:rsidRDefault="00DF4478" w:rsidP="00DF4478">
      <w:pPr>
        <w:tabs>
          <w:tab w:val="num" w:pos="1134"/>
        </w:tabs>
        <w:ind w:left="1134" w:hanging="283"/>
        <w:rPr>
          <w:noProof/>
        </w:rPr>
      </w:pPr>
      <w:r w:rsidRPr="00A858C4">
        <w:rPr>
          <w:noProof/>
        </w:rPr>
        <w:t>×</w:t>
      </w:r>
      <w:r w:rsidRPr="00A858C4">
        <w:rPr>
          <w:noProof/>
        </w:rPr>
        <w:tab/>
        <w:t>indeholder ikke bestemmelser om samfinansiering med tredjemand</w:t>
      </w:r>
    </w:p>
    <w:p w14:paraId="7D0CD9A5"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indeholder bestemmelser om samfinansiering med tredjemand, jf. følgende overslag:</w:t>
      </w:r>
    </w:p>
    <w:p w14:paraId="71068540" w14:textId="77777777" w:rsidR="00DF4478" w:rsidRPr="00A858C4" w:rsidRDefault="00DF4478" w:rsidP="00DF4478">
      <w:pPr>
        <w:jc w:val="right"/>
        <w:rPr>
          <w:noProof/>
          <w:sz w:val="20"/>
        </w:rPr>
      </w:pPr>
      <w:r w:rsidRPr="00A858C4">
        <w:rPr>
          <w:noProof/>
          <w:sz w:val="20"/>
        </w:rPr>
        <w:t>Bevillinger i mio. EUR (tre decimaler)</w:t>
      </w:r>
    </w:p>
    <w:tbl>
      <w:tblPr>
        <w:tblW w:w="10246"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DF4478" w:rsidRPr="00A858C4" w14:paraId="03181AED" w14:textId="77777777" w:rsidTr="00A071E1">
        <w:trPr>
          <w:cantSplit/>
        </w:trPr>
        <w:tc>
          <w:tcPr>
            <w:tcW w:w="2340" w:type="dxa"/>
          </w:tcPr>
          <w:p w14:paraId="2232E143" w14:textId="77777777" w:rsidR="00DF4478" w:rsidRPr="00A858C4" w:rsidRDefault="00DF4478" w:rsidP="00DF4478">
            <w:pPr>
              <w:spacing w:before="60" w:after="60"/>
              <w:rPr>
                <w:noProof/>
                <w:sz w:val="20"/>
              </w:rPr>
            </w:pPr>
          </w:p>
        </w:tc>
        <w:tc>
          <w:tcPr>
            <w:tcW w:w="964" w:type="dxa"/>
            <w:vAlign w:val="center"/>
          </w:tcPr>
          <w:p w14:paraId="14F8884E"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w:t>
            </w:r>
            <w:r w:rsidRPr="00A858C4">
              <w:rPr>
                <w:noProof/>
                <w:color w:val="000000" w:themeColor="text1"/>
              </w:rPr>
              <w:t> </w:t>
            </w:r>
            <w:r w:rsidRPr="00A858C4">
              <w:rPr>
                <w:rStyle w:val="FootnoteReference"/>
                <w:noProof/>
              </w:rPr>
              <w:footnoteReference w:id="22"/>
            </w:r>
          </w:p>
        </w:tc>
        <w:tc>
          <w:tcPr>
            <w:tcW w:w="964" w:type="dxa"/>
            <w:vAlign w:val="center"/>
          </w:tcPr>
          <w:p w14:paraId="1D91DE52"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n+1</w:t>
            </w:r>
          </w:p>
        </w:tc>
        <w:tc>
          <w:tcPr>
            <w:tcW w:w="964" w:type="dxa"/>
            <w:vAlign w:val="center"/>
          </w:tcPr>
          <w:p w14:paraId="000ABC4C"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n+2</w:t>
            </w:r>
          </w:p>
        </w:tc>
        <w:tc>
          <w:tcPr>
            <w:tcW w:w="964" w:type="dxa"/>
            <w:vAlign w:val="center"/>
          </w:tcPr>
          <w:p w14:paraId="36E64E2E" w14:textId="77777777" w:rsidR="00DF4478" w:rsidRPr="00A858C4" w:rsidRDefault="00DF4478" w:rsidP="00DF4478">
            <w:pPr>
              <w:jc w:val="center"/>
              <w:rPr>
                <w:noProof/>
                <w:sz w:val="20"/>
              </w:rPr>
            </w:pPr>
            <w:r w:rsidRPr="00A858C4">
              <w:rPr>
                <w:noProof/>
                <w:sz w:val="20"/>
              </w:rPr>
              <w:t>År</w:t>
            </w:r>
            <w:r w:rsidRPr="00A858C4">
              <w:rPr>
                <w:noProof/>
                <w:sz w:val="22"/>
              </w:rPr>
              <w:br/>
            </w:r>
            <w:r w:rsidRPr="00A858C4">
              <w:rPr>
                <w:b/>
                <w:noProof/>
                <w:sz w:val="20"/>
              </w:rPr>
              <w:t>n+3</w:t>
            </w:r>
          </w:p>
        </w:tc>
        <w:tc>
          <w:tcPr>
            <w:tcW w:w="2892" w:type="dxa"/>
            <w:gridSpan w:val="3"/>
            <w:vAlign w:val="center"/>
          </w:tcPr>
          <w:p w14:paraId="3C5218BF" w14:textId="77777777" w:rsidR="00DF4478" w:rsidRPr="00A858C4" w:rsidRDefault="00DF4478" w:rsidP="00DF4478">
            <w:pPr>
              <w:jc w:val="center"/>
              <w:rPr>
                <w:b/>
                <w:noProof/>
                <w:sz w:val="20"/>
              </w:rPr>
            </w:pPr>
            <w:r w:rsidRPr="00A858C4">
              <w:rPr>
                <w:noProof/>
                <w:sz w:val="20"/>
              </w:rPr>
              <w:t>Indsæt så mange år som nødvendigt for at vise virkningernes varighed (jf. punkt 1.6)</w:t>
            </w:r>
          </w:p>
        </w:tc>
        <w:tc>
          <w:tcPr>
            <w:tcW w:w="1158" w:type="dxa"/>
            <w:vAlign w:val="center"/>
          </w:tcPr>
          <w:p w14:paraId="348C3D4A" w14:textId="77777777" w:rsidR="00DF4478" w:rsidRPr="00A858C4" w:rsidRDefault="00DF4478" w:rsidP="00DF4478">
            <w:pPr>
              <w:spacing w:before="60" w:after="60"/>
              <w:jc w:val="center"/>
              <w:rPr>
                <w:noProof/>
                <w:sz w:val="20"/>
              </w:rPr>
            </w:pPr>
            <w:r w:rsidRPr="00A858C4">
              <w:rPr>
                <w:noProof/>
                <w:sz w:val="20"/>
              </w:rPr>
              <w:t>I alt</w:t>
            </w:r>
          </w:p>
        </w:tc>
      </w:tr>
      <w:tr w:rsidR="00DF4478" w:rsidRPr="00A858C4" w14:paraId="6C10CC18" w14:textId="77777777" w:rsidTr="00A071E1">
        <w:trPr>
          <w:cantSplit/>
        </w:trPr>
        <w:tc>
          <w:tcPr>
            <w:tcW w:w="2340" w:type="dxa"/>
          </w:tcPr>
          <w:p w14:paraId="4ECD9DCF" w14:textId="77777777" w:rsidR="00DF4478" w:rsidRPr="00A858C4" w:rsidRDefault="00DF4478" w:rsidP="00DF4478">
            <w:pPr>
              <w:rPr>
                <w:noProof/>
              </w:rPr>
            </w:pPr>
            <w:r w:rsidRPr="00A858C4">
              <w:rPr>
                <w:noProof/>
                <w:sz w:val="20"/>
              </w:rPr>
              <w:t>Angiv det organ, der deltager i samfinansieringen</w:t>
            </w:r>
            <w:r w:rsidRPr="00A858C4">
              <w:rPr>
                <w:i/>
                <w:noProof/>
                <w:sz w:val="20"/>
              </w:rPr>
              <w:t xml:space="preserve"> </w:t>
            </w:r>
          </w:p>
        </w:tc>
        <w:tc>
          <w:tcPr>
            <w:tcW w:w="964" w:type="dxa"/>
            <w:vAlign w:val="center"/>
          </w:tcPr>
          <w:p w14:paraId="412BF262" w14:textId="77777777" w:rsidR="00DF4478" w:rsidRPr="00A858C4" w:rsidRDefault="00DF4478" w:rsidP="00DF4478">
            <w:pPr>
              <w:spacing w:before="60" w:after="60"/>
              <w:jc w:val="center"/>
              <w:rPr>
                <w:noProof/>
                <w:sz w:val="20"/>
              </w:rPr>
            </w:pPr>
          </w:p>
        </w:tc>
        <w:tc>
          <w:tcPr>
            <w:tcW w:w="964" w:type="dxa"/>
            <w:vAlign w:val="center"/>
          </w:tcPr>
          <w:p w14:paraId="4DFE5E76" w14:textId="77777777" w:rsidR="00DF4478" w:rsidRPr="00A858C4" w:rsidRDefault="00DF4478" w:rsidP="00DF4478">
            <w:pPr>
              <w:spacing w:before="60" w:after="60"/>
              <w:jc w:val="center"/>
              <w:rPr>
                <w:noProof/>
                <w:sz w:val="20"/>
              </w:rPr>
            </w:pPr>
          </w:p>
        </w:tc>
        <w:tc>
          <w:tcPr>
            <w:tcW w:w="964" w:type="dxa"/>
            <w:vAlign w:val="center"/>
          </w:tcPr>
          <w:p w14:paraId="327AABEF" w14:textId="77777777" w:rsidR="00DF4478" w:rsidRPr="00A858C4" w:rsidRDefault="00DF4478" w:rsidP="00DF4478">
            <w:pPr>
              <w:spacing w:before="60" w:after="60"/>
              <w:jc w:val="center"/>
              <w:rPr>
                <w:noProof/>
                <w:sz w:val="20"/>
              </w:rPr>
            </w:pPr>
          </w:p>
        </w:tc>
        <w:tc>
          <w:tcPr>
            <w:tcW w:w="964" w:type="dxa"/>
            <w:vAlign w:val="center"/>
          </w:tcPr>
          <w:p w14:paraId="2722CC36" w14:textId="77777777" w:rsidR="00DF4478" w:rsidRPr="00A858C4" w:rsidRDefault="00DF4478" w:rsidP="00DF4478">
            <w:pPr>
              <w:spacing w:before="60" w:after="60"/>
              <w:jc w:val="center"/>
              <w:rPr>
                <w:noProof/>
                <w:sz w:val="20"/>
              </w:rPr>
            </w:pPr>
          </w:p>
        </w:tc>
        <w:tc>
          <w:tcPr>
            <w:tcW w:w="964" w:type="dxa"/>
            <w:vAlign w:val="center"/>
          </w:tcPr>
          <w:p w14:paraId="7D010C07" w14:textId="77777777" w:rsidR="00DF4478" w:rsidRPr="00A858C4" w:rsidRDefault="00DF4478" w:rsidP="00DF4478">
            <w:pPr>
              <w:spacing w:before="60" w:after="60"/>
              <w:jc w:val="center"/>
              <w:rPr>
                <w:noProof/>
                <w:sz w:val="20"/>
              </w:rPr>
            </w:pPr>
          </w:p>
        </w:tc>
        <w:tc>
          <w:tcPr>
            <w:tcW w:w="964" w:type="dxa"/>
            <w:vAlign w:val="center"/>
          </w:tcPr>
          <w:p w14:paraId="2C3775A2" w14:textId="77777777" w:rsidR="00DF4478" w:rsidRPr="00A858C4" w:rsidRDefault="00DF4478" w:rsidP="00DF4478">
            <w:pPr>
              <w:spacing w:before="60" w:after="60"/>
              <w:jc w:val="center"/>
              <w:rPr>
                <w:noProof/>
                <w:sz w:val="20"/>
              </w:rPr>
            </w:pPr>
          </w:p>
        </w:tc>
        <w:tc>
          <w:tcPr>
            <w:tcW w:w="964" w:type="dxa"/>
            <w:vAlign w:val="center"/>
          </w:tcPr>
          <w:p w14:paraId="66A8A2E3" w14:textId="77777777" w:rsidR="00DF4478" w:rsidRPr="00A858C4" w:rsidRDefault="00DF4478" w:rsidP="00DF4478">
            <w:pPr>
              <w:spacing w:before="60" w:after="60"/>
              <w:jc w:val="center"/>
              <w:rPr>
                <w:noProof/>
                <w:sz w:val="20"/>
              </w:rPr>
            </w:pPr>
          </w:p>
        </w:tc>
        <w:tc>
          <w:tcPr>
            <w:tcW w:w="1158" w:type="dxa"/>
            <w:vAlign w:val="center"/>
          </w:tcPr>
          <w:p w14:paraId="6E7DD2E7" w14:textId="77777777" w:rsidR="00DF4478" w:rsidRPr="00A858C4" w:rsidRDefault="00DF4478" w:rsidP="00DF4478">
            <w:pPr>
              <w:spacing w:before="60" w:after="60"/>
              <w:jc w:val="center"/>
              <w:rPr>
                <w:noProof/>
                <w:sz w:val="20"/>
              </w:rPr>
            </w:pPr>
          </w:p>
        </w:tc>
      </w:tr>
      <w:tr w:rsidR="00DF4478" w:rsidRPr="00A858C4" w14:paraId="2E849687" w14:textId="77777777" w:rsidTr="00A071E1">
        <w:trPr>
          <w:cantSplit/>
        </w:trPr>
        <w:tc>
          <w:tcPr>
            <w:tcW w:w="2340" w:type="dxa"/>
          </w:tcPr>
          <w:p w14:paraId="5B72AF60" w14:textId="77777777" w:rsidR="00DF4478" w:rsidRPr="00A858C4" w:rsidRDefault="00DF4478" w:rsidP="00DF4478">
            <w:pPr>
              <w:spacing w:before="60" w:after="60"/>
              <w:jc w:val="left"/>
              <w:rPr>
                <w:noProof/>
                <w:sz w:val="20"/>
              </w:rPr>
            </w:pPr>
            <w:r w:rsidRPr="00A858C4">
              <w:rPr>
                <w:noProof/>
                <w:sz w:val="20"/>
              </w:rPr>
              <w:t xml:space="preserve">Samfinansierede bevillinger I ALT </w:t>
            </w:r>
          </w:p>
        </w:tc>
        <w:tc>
          <w:tcPr>
            <w:tcW w:w="964" w:type="dxa"/>
            <w:vAlign w:val="center"/>
          </w:tcPr>
          <w:p w14:paraId="59BEDD0D" w14:textId="77777777" w:rsidR="00DF4478" w:rsidRPr="00A858C4" w:rsidRDefault="00DF4478" w:rsidP="00DF4478">
            <w:pPr>
              <w:spacing w:before="60" w:after="60"/>
              <w:jc w:val="center"/>
              <w:rPr>
                <w:noProof/>
                <w:sz w:val="20"/>
              </w:rPr>
            </w:pPr>
          </w:p>
        </w:tc>
        <w:tc>
          <w:tcPr>
            <w:tcW w:w="964" w:type="dxa"/>
            <w:vAlign w:val="center"/>
          </w:tcPr>
          <w:p w14:paraId="0A331A23" w14:textId="77777777" w:rsidR="00DF4478" w:rsidRPr="00A858C4" w:rsidRDefault="00DF4478" w:rsidP="00DF4478">
            <w:pPr>
              <w:spacing w:before="60" w:after="60"/>
              <w:jc w:val="center"/>
              <w:rPr>
                <w:noProof/>
                <w:sz w:val="20"/>
              </w:rPr>
            </w:pPr>
          </w:p>
        </w:tc>
        <w:tc>
          <w:tcPr>
            <w:tcW w:w="964" w:type="dxa"/>
            <w:vAlign w:val="center"/>
          </w:tcPr>
          <w:p w14:paraId="657E5F18" w14:textId="77777777" w:rsidR="00DF4478" w:rsidRPr="00A858C4" w:rsidRDefault="00DF4478" w:rsidP="00DF4478">
            <w:pPr>
              <w:spacing w:before="60" w:after="60"/>
              <w:jc w:val="center"/>
              <w:rPr>
                <w:noProof/>
                <w:sz w:val="20"/>
              </w:rPr>
            </w:pPr>
          </w:p>
        </w:tc>
        <w:tc>
          <w:tcPr>
            <w:tcW w:w="964" w:type="dxa"/>
            <w:vAlign w:val="center"/>
          </w:tcPr>
          <w:p w14:paraId="3C130644" w14:textId="77777777" w:rsidR="00DF4478" w:rsidRPr="00A858C4" w:rsidRDefault="00DF4478" w:rsidP="00DF4478">
            <w:pPr>
              <w:spacing w:before="60" w:after="60"/>
              <w:jc w:val="center"/>
              <w:rPr>
                <w:noProof/>
                <w:sz w:val="20"/>
              </w:rPr>
            </w:pPr>
          </w:p>
        </w:tc>
        <w:tc>
          <w:tcPr>
            <w:tcW w:w="964" w:type="dxa"/>
            <w:vAlign w:val="center"/>
          </w:tcPr>
          <w:p w14:paraId="40E443C8" w14:textId="77777777" w:rsidR="00DF4478" w:rsidRPr="00A858C4" w:rsidRDefault="00DF4478" w:rsidP="00DF4478">
            <w:pPr>
              <w:spacing w:before="60" w:after="60"/>
              <w:jc w:val="center"/>
              <w:rPr>
                <w:noProof/>
                <w:sz w:val="20"/>
              </w:rPr>
            </w:pPr>
          </w:p>
        </w:tc>
        <w:tc>
          <w:tcPr>
            <w:tcW w:w="964" w:type="dxa"/>
            <w:vAlign w:val="center"/>
          </w:tcPr>
          <w:p w14:paraId="10092AC6" w14:textId="77777777" w:rsidR="00DF4478" w:rsidRPr="00A858C4" w:rsidRDefault="00DF4478" w:rsidP="00DF4478">
            <w:pPr>
              <w:spacing w:before="60" w:after="60"/>
              <w:jc w:val="center"/>
              <w:rPr>
                <w:noProof/>
                <w:sz w:val="20"/>
              </w:rPr>
            </w:pPr>
          </w:p>
        </w:tc>
        <w:tc>
          <w:tcPr>
            <w:tcW w:w="964" w:type="dxa"/>
            <w:vAlign w:val="center"/>
          </w:tcPr>
          <w:p w14:paraId="4ABA9C9C" w14:textId="77777777" w:rsidR="00DF4478" w:rsidRPr="00A858C4" w:rsidRDefault="00DF4478" w:rsidP="00DF4478">
            <w:pPr>
              <w:spacing w:before="60" w:after="60"/>
              <w:jc w:val="center"/>
              <w:rPr>
                <w:noProof/>
                <w:sz w:val="20"/>
              </w:rPr>
            </w:pPr>
          </w:p>
        </w:tc>
        <w:tc>
          <w:tcPr>
            <w:tcW w:w="1158" w:type="dxa"/>
            <w:vAlign w:val="center"/>
          </w:tcPr>
          <w:p w14:paraId="7416ECBA" w14:textId="77777777" w:rsidR="00DF4478" w:rsidRPr="00A858C4" w:rsidRDefault="00DF4478" w:rsidP="00DF4478">
            <w:pPr>
              <w:spacing w:before="60" w:after="60"/>
              <w:jc w:val="center"/>
              <w:rPr>
                <w:noProof/>
                <w:sz w:val="20"/>
              </w:rPr>
            </w:pPr>
          </w:p>
        </w:tc>
      </w:tr>
    </w:tbl>
    <w:p w14:paraId="2F8F95BB" w14:textId="77777777" w:rsidR="00DF4478" w:rsidRPr="00A858C4" w:rsidRDefault="00DF4478" w:rsidP="00DF4478">
      <w:pPr>
        <w:rPr>
          <w:noProof/>
        </w:rPr>
      </w:pPr>
      <w:r w:rsidRPr="00A858C4">
        <w:rPr>
          <w:noProof/>
        </w:rPr>
        <w:br/>
      </w:r>
    </w:p>
    <w:p w14:paraId="326FF4DC" w14:textId="77777777" w:rsidR="00DF4478" w:rsidRPr="00A858C4" w:rsidRDefault="00DF4478" w:rsidP="00DF4478">
      <w:pPr>
        <w:keepNext/>
        <w:tabs>
          <w:tab w:val="left" w:pos="850"/>
        </w:tabs>
        <w:ind w:left="850" w:hanging="850"/>
        <w:outlineLvl w:val="1"/>
        <w:rPr>
          <w:b/>
          <w:bCs/>
          <w:noProof/>
          <w:szCs w:val="24"/>
        </w:rPr>
      </w:pPr>
      <w:r w:rsidRPr="00A858C4">
        <w:rPr>
          <w:noProof/>
        </w:rPr>
        <w:br w:type="page"/>
      </w:r>
      <w:bookmarkStart w:id="88" w:name="_Toc514938059"/>
      <w:bookmarkStart w:id="89" w:name="_Toc151133589"/>
      <w:r w:rsidRPr="00A858C4">
        <w:rPr>
          <w:b/>
          <w:noProof/>
        </w:rPr>
        <w:t>3.3.</w:t>
      </w:r>
      <w:r w:rsidRPr="00A858C4">
        <w:rPr>
          <w:b/>
          <w:noProof/>
        </w:rPr>
        <w:tab/>
        <w:t>Anslåede virkninger for indtægterne</w:t>
      </w:r>
      <w:bookmarkEnd w:id="88"/>
      <w:bookmarkEnd w:id="89"/>
      <w:r w:rsidRPr="00A858C4">
        <w:rPr>
          <w:b/>
          <w:noProof/>
        </w:rPr>
        <w:t xml:space="preserve"> </w:t>
      </w:r>
    </w:p>
    <w:p w14:paraId="0C11722B" w14:textId="77777777" w:rsidR="00DF4478" w:rsidRPr="00A858C4" w:rsidRDefault="00DF4478" w:rsidP="00DF4478">
      <w:pPr>
        <w:tabs>
          <w:tab w:val="num" w:pos="1134"/>
        </w:tabs>
        <w:ind w:left="1134" w:hanging="283"/>
        <w:rPr>
          <w:noProof/>
        </w:rPr>
      </w:pPr>
      <w:r w:rsidRPr="00A858C4">
        <w:rPr>
          <w:noProof/>
        </w:rPr>
        <w:t>×</w:t>
      </w:r>
      <w:r w:rsidRPr="00A858C4">
        <w:rPr>
          <w:noProof/>
        </w:rPr>
        <w:tab/>
        <w:t>Forslaget/initiativet har ingen finansielle virkninger for indtægterne</w:t>
      </w:r>
    </w:p>
    <w:p w14:paraId="145591B9" w14:textId="77777777" w:rsidR="00DF4478" w:rsidRPr="00A858C4" w:rsidRDefault="00DF4478" w:rsidP="00DF4478">
      <w:pPr>
        <w:tabs>
          <w:tab w:val="num" w:pos="1134"/>
        </w:tabs>
        <w:ind w:left="1134" w:hanging="283"/>
        <w:rPr>
          <w:noProof/>
        </w:rPr>
      </w:pPr>
      <w:r w:rsidRPr="00A858C4">
        <w:rPr>
          <w:noProof/>
        </w:rPr>
        <w:sym w:font="Wingdings" w:char="F0A8"/>
      </w:r>
      <w:r w:rsidRPr="00A858C4">
        <w:rPr>
          <w:noProof/>
        </w:rPr>
        <w:tab/>
        <w:t>Forslaget/initiativet har følgende finansielle virkninger:</w:t>
      </w:r>
    </w:p>
    <w:p w14:paraId="31C41F3B" w14:textId="77777777" w:rsidR="00DF4478" w:rsidRPr="00A858C4" w:rsidRDefault="00DF4478" w:rsidP="00DF4478">
      <w:pPr>
        <w:numPr>
          <w:ilvl w:val="2"/>
          <w:numId w:val="0"/>
        </w:numPr>
        <w:tabs>
          <w:tab w:val="num" w:pos="1843"/>
        </w:tabs>
        <w:ind w:left="2126" w:hanging="709"/>
        <w:rPr>
          <w:noProof/>
        </w:rPr>
      </w:pPr>
      <w:r w:rsidRPr="00A858C4">
        <w:rPr>
          <w:noProof/>
        </w:rPr>
        <w:sym w:font="Wingdings" w:char="F0A8"/>
      </w:r>
      <w:r w:rsidRPr="00A858C4">
        <w:rPr>
          <w:noProof/>
        </w:rPr>
        <w:tab/>
        <w:t xml:space="preserve">for egne indtægter </w:t>
      </w:r>
    </w:p>
    <w:p w14:paraId="4BEED6AD" w14:textId="77777777" w:rsidR="00DF4478" w:rsidRPr="00A858C4" w:rsidRDefault="00DF4478" w:rsidP="00DF4478">
      <w:pPr>
        <w:numPr>
          <w:ilvl w:val="2"/>
          <w:numId w:val="0"/>
        </w:numPr>
        <w:tabs>
          <w:tab w:val="num" w:pos="1843"/>
        </w:tabs>
        <w:ind w:left="2126" w:hanging="709"/>
        <w:rPr>
          <w:noProof/>
        </w:rPr>
      </w:pPr>
      <w:r w:rsidRPr="00A858C4">
        <w:rPr>
          <w:noProof/>
        </w:rPr>
        <w:sym w:font="Wingdings" w:char="F0A8"/>
      </w:r>
      <w:r w:rsidRPr="00A858C4">
        <w:rPr>
          <w:noProof/>
        </w:rPr>
        <w:tab/>
        <w:t>for andre indtægter</w:t>
      </w:r>
    </w:p>
    <w:p w14:paraId="24AE8630" w14:textId="77777777" w:rsidR="00DF4478" w:rsidRPr="00A858C4" w:rsidRDefault="00DF4478" w:rsidP="00DF4478">
      <w:pPr>
        <w:numPr>
          <w:ilvl w:val="2"/>
          <w:numId w:val="0"/>
        </w:numPr>
        <w:tabs>
          <w:tab w:val="num" w:pos="2126"/>
        </w:tabs>
        <w:ind w:left="2126" w:hanging="709"/>
        <w:rPr>
          <w:noProof/>
        </w:rPr>
      </w:pPr>
      <w:r w:rsidRPr="00A858C4">
        <w:rPr>
          <w:noProof/>
        </w:rPr>
        <w:t xml:space="preserve">Angiv, om indtægterne er formålsbestemte </w:t>
      </w:r>
      <w:r w:rsidRPr="00A858C4">
        <w:rPr>
          <w:noProof/>
        </w:rPr>
        <w:sym w:font="Wingdings" w:char="F0A8"/>
      </w:r>
      <w:r w:rsidRPr="00A858C4">
        <w:rPr>
          <w:noProof/>
        </w:rPr>
        <w:tab/>
      </w:r>
    </w:p>
    <w:p w14:paraId="565EA306" w14:textId="77777777" w:rsidR="00DF4478" w:rsidRPr="00A858C4" w:rsidRDefault="00DF4478" w:rsidP="00DF4478">
      <w:pPr>
        <w:ind w:left="4320"/>
        <w:rPr>
          <w:i/>
          <w:noProof/>
          <w:sz w:val="20"/>
        </w:rPr>
      </w:pPr>
      <w:r w:rsidRPr="00A858C4">
        <w:rPr>
          <w:noProof/>
        </w:rPr>
        <w:t xml:space="preserve">     i mio. EUR (tre decimaler)</w:t>
      </w:r>
    </w:p>
    <w:tbl>
      <w:tblPr>
        <w:tblW w:w="106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DF4478" w:rsidRPr="00A858C4" w14:paraId="03FB4613" w14:textId="77777777" w:rsidTr="00A071E1">
        <w:trPr>
          <w:trHeight w:val="388"/>
        </w:trPr>
        <w:tc>
          <w:tcPr>
            <w:tcW w:w="2144" w:type="dxa"/>
            <w:vMerge w:val="restart"/>
            <w:vAlign w:val="center"/>
          </w:tcPr>
          <w:p w14:paraId="07A0F0E1" w14:textId="77777777" w:rsidR="00DF4478" w:rsidRPr="00A858C4" w:rsidRDefault="00DF4478" w:rsidP="00DF4478">
            <w:pPr>
              <w:spacing w:before="40" w:after="40"/>
              <w:rPr>
                <w:noProof/>
                <w:sz w:val="18"/>
              </w:rPr>
            </w:pPr>
            <w:r w:rsidRPr="00A858C4">
              <w:rPr>
                <w:noProof/>
                <w:sz w:val="18"/>
              </w:rPr>
              <w:t>Indtægtspost på budgettet</w:t>
            </w:r>
          </w:p>
        </w:tc>
        <w:tc>
          <w:tcPr>
            <w:tcW w:w="1325" w:type="dxa"/>
            <w:vMerge w:val="restart"/>
            <w:vAlign w:val="center"/>
          </w:tcPr>
          <w:p w14:paraId="44459718" w14:textId="77777777" w:rsidR="00DF4478" w:rsidRPr="00A858C4" w:rsidRDefault="00DF4478" w:rsidP="00DF4478">
            <w:pPr>
              <w:jc w:val="center"/>
              <w:rPr>
                <w:noProof/>
                <w:sz w:val="18"/>
              </w:rPr>
            </w:pPr>
            <w:r w:rsidRPr="00A858C4">
              <w:rPr>
                <w:noProof/>
                <w:sz w:val="18"/>
              </w:rPr>
              <w:t>Bevillinger til rådighed i indeværende regnskabsår</w:t>
            </w:r>
          </w:p>
        </w:tc>
        <w:tc>
          <w:tcPr>
            <w:tcW w:w="7151" w:type="dxa"/>
            <w:gridSpan w:val="7"/>
            <w:vAlign w:val="center"/>
          </w:tcPr>
          <w:p w14:paraId="3CC245C4" w14:textId="77777777" w:rsidR="00DF4478" w:rsidRPr="00A858C4" w:rsidRDefault="00DF4478" w:rsidP="00DF4478">
            <w:pPr>
              <w:jc w:val="center"/>
              <w:rPr>
                <w:noProof/>
                <w:sz w:val="18"/>
              </w:rPr>
            </w:pPr>
            <w:r w:rsidRPr="00A858C4">
              <w:rPr>
                <w:noProof/>
                <w:sz w:val="18"/>
              </w:rPr>
              <w:t>Forslagets/initiativets virkninger</w:t>
            </w:r>
            <w:r w:rsidRPr="00A858C4">
              <w:rPr>
                <w:noProof/>
                <w:color w:val="000000" w:themeColor="text1"/>
              </w:rPr>
              <w:t> </w:t>
            </w:r>
            <w:r w:rsidRPr="00A858C4">
              <w:rPr>
                <w:rStyle w:val="FootnoteReference"/>
                <w:noProof/>
              </w:rPr>
              <w:footnoteReference w:id="23"/>
            </w:r>
          </w:p>
        </w:tc>
      </w:tr>
      <w:tr w:rsidR="00DF4478" w:rsidRPr="00A858C4" w14:paraId="6B6B73F2" w14:textId="77777777" w:rsidTr="00A071E1">
        <w:trPr>
          <w:trHeight w:val="388"/>
        </w:trPr>
        <w:tc>
          <w:tcPr>
            <w:tcW w:w="2144" w:type="dxa"/>
            <w:vMerge/>
          </w:tcPr>
          <w:p w14:paraId="59BC0085" w14:textId="77777777" w:rsidR="00DF4478" w:rsidRPr="00A858C4" w:rsidRDefault="00DF4478" w:rsidP="00DF4478">
            <w:pPr>
              <w:spacing w:before="40" w:after="40"/>
              <w:rPr>
                <w:noProof/>
                <w:sz w:val="18"/>
              </w:rPr>
            </w:pPr>
          </w:p>
        </w:tc>
        <w:tc>
          <w:tcPr>
            <w:tcW w:w="1325" w:type="dxa"/>
            <w:vMerge/>
          </w:tcPr>
          <w:p w14:paraId="1C6CE24F" w14:textId="77777777" w:rsidR="00DF4478" w:rsidRPr="00A858C4" w:rsidRDefault="00DF4478" w:rsidP="00DF4478">
            <w:pPr>
              <w:spacing w:beforeLines="40" w:before="96" w:afterLines="40" w:after="96"/>
              <w:rPr>
                <w:i/>
                <w:noProof/>
                <w:sz w:val="18"/>
              </w:rPr>
            </w:pPr>
          </w:p>
        </w:tc>
        <w:tc>
          <w:tcPr>
            <w:tcW w:w="1031" w:type="dxa"/>
            <w:vAlign w:val="center"/>
          </w:tcPr>
          <w:p w14:paraId="1832AB12" w14:textId="77777777" w:rsidR="00DF4478" w:rsidRPr="00A858C4" w:rsidRDefault="00DF4478" w:rsidP="00DF4478">
            <w:pPr>
              <w:jc w:val="center"/>
              <w:rPr>
                <w:noProof/>
                <w:sz w:val="18"/>
              </w:rPr>
            </w:pPr>
            <w:r w:rsidRPr="00A858C4">
              <w:rPr>
                <w:noProof/>
                <w:sz w:val="18"/>
              </w:rPr>
              <w:t>År</w:t>
            </w:r>
            <w:r w:rsidRPr="00A858C4">
              <w:rPr>
                <w:noProof/>
                <w:sz w:val="22"/>
              </w:rPr>
              <w:br/>
            </w:r>
            <w:r w:rsidRPr="00A858C4">
              <w:rPr>
                <w:b/>
                <w:noProof/>
                <w:sz w:val="18"/>
              </w:rPr>
              <w:t>n</w:t>
            </w:r>
          </w:p>
        </w:tc>
        <w:tc>
          <w:tcPr>
            <w:tcW w:w="900" w:type="dxa"/>
            <w:vAlign w:val="center"/>
          </w:tcPr>
          <w:p w14:paraId="6AD9981F" w14:textId="77777777" w:rsidR="00DF4478" w:rsidRPr="00A858C4" w:rsidRDefault="00DF4478" w:rsidP="00DF4478">
            <w:pPr>
              <w:jc w:val="center"/>
              <w:rPr>
                <w:noProof/>
                <w:sz w:val="18"/>
              </w:rPr>
            </w:pPr>
            <w:r w:rsidRPr="00A858C4">
              <w:rPr>
                <w:noProof/>
                <w:sz w:val="18"/>
              </w:rPr>
              <w:t>År</w:t>
            </w:r>
            <w:r w:rsidRPr="00A858C4">
              <w:rPr>
                <w:noProof/>
                <w:sz w:val="22"/>
              </w:rPr>
              <w:br/>
            </w:r>
            <w:r w:rsidRPr="00A858C4">
              <w:rPr>
                <w:b/>
                <w:noProof/>
                <w:sz w:val="18"/>
              </w:rPr>
              <w:t>n+1</w:t>
            </w:r>
          </w:p>
        </w:tc>
        <w:tc>
          <w:tcPr>
            <w:tcW w:w="900" w:type="dxa"/>
            <w:vAlign w:val="center"/>
          </w:tcPr>
          <w:p w14:paraId="38ADBB26" w14:textId="77777777" w:rsidR="00DF4478" w:rsidRPr="00A858C4" w:rsidRDefault="00DF4478" w:rsidP="00DF4478">
            <w:pPr>
              <w:jc w:val="center"/>
              <w:rPr>
                <w:noProof/>
                <w:sz w:val="18"/>
              </w:rPr>
            </w:pPr>
            <w:r w:rsidRPr="00A858C4">
              <w:rPr>
                <w:noProof/>
                <w:sz w:val="18"/>
              </w:rPr>
              <w:t>År</w:t>
            </w:r>
            <w:r w:rsidRPr="00A858C4">
              <w:rPr>
                <w:noProof/>
                <w:sz w:val="22"/>
              </w:rPr>
              <w:br/>
            </w:r>
            <w:r w:rsidRPr="00A858C4">
              <w:rPr>
                <w:b/>
                <w:noProof/>
                <w:sz w:val="18"/>
              </w:rPr>
              <w:t>n+2</w:t>
            </w:r>
          </w:p>
        </w:tc>
        <w:tc>
          <w:tcPr>
            <w:tcW w:w="1080" w:type="dxa"/>
            <w:vAlign w:val="center"/>
          </w:tcPr>
          <w:p w14:paraId="7BF16B35" w14:textId="77777777" w:rsidR="00DF4478" w:rsidRPr="00A858C4" w:rsidRDefault="00DF4478" w:rsidP="00DF4478">
            <w:pPr>
              <w:jc w:val="center"/>
              <w:rPr>
                <w:noProof/>
                <w:sz w:val="18"/>
              </w:rPr>
            </w:pPr>
            <w:r w:rsidRPr="00A858C4">
              <w:rPr>
                <w:noProof/>
                <w:sz w:val="18"/>
              </w:rPr>
              <w:t>År</w:t>
            </w:r>
            <w:r w:rsidRPr="00A858C4">
              <w:rPr>
                <w:noProof/>
                <w:sz w:val="22"/>
              </w:rPr>
              <w:br/>
            </w:r>
            <w:r w:rsidRPr="00A858C4">
              <w:rPr>
                <w:b/>
                <w:noProof/>
                <w:sz w:val="18"/>
              </w:rPr>
              <w:t>n+3</w:t>
            </w:r>
          </w:p>
        </w:tc>
        <w:tc>
          <w:tcPr>
            <w:tcW w:w="3240" w:type="dxa"/>
            <w:gridSpan w:val="3"/>
            <w:vAlign w:val="center"/>
          </w:tcPr>
          <w:p w14:paraId="77AAB840" w14:textId="77777777" w:rsidR="00DF4478" w:rsidRPr="00A858C4" w:rsidRDefault="00DF4478" w:rsidP="00DF4478">
            <w:pPr>
              <w:jc w:val="center"/>
              <w:rPr>
                <w:b/>
                <w:noProof/>
                <w:sz w:val="18"/>
              </w:rPr>
            </w:pPr>
            <w:r w:rsidRPr="00A858C4">
              <w:rPr>
                <w:noProof/>
                <w:sz w:val="18"/>
              </w:rPr>
              <w:t>Indsæt så mange år som nødvendigt for at vise virkningernes varighed (jf. punkt 1.6)</w:t>
            </w:r>
          </w:p>
        </w:tc>
      </w:tr>
      <w:tr w:rsidR="00DF4478" w:rsidRPr="00A858C4" w14:paraId="5D364605" w14:textId="77777777" w:rsidTr="00A071E1">
        <w:trPr>
          <w:trHeight w:val="388"/>
        </w:trPr>
        <w:tc>
          <w:tcPr>
            <w:tcW w:w="2144" w:type="dxa"/>
            <w:vAlign w:val="center"/>
          </w:tcPr>
          <w:p w14:paraId="144BFF21" w14:textId="77777777" w:rsidR="00DF4478" w:rsidRPr="00A858C4" w:rsidRDefault="00DF4478" w:rsidP="00DF4478">
            <w:pPr>
              <w:spacing w:before="40" w:after="40"/>
              <w:rPr>
                <w:noProof/>
                <w:sz w:val="18"/>
              </w:rPr>
            </w:pPr>
            <w:r w:rsidRPr="00A858C4">
              <w:rPr>
                <w:noProof/>
                <w:sz w:val="18"/>
              </w:rPr>
              <w:t>Artikel …</w:t>
            </w:r>
          </w:p>
        </w:tc>
        <w:tc>
          <w:tcPr>
            <w:tcW w:w="1325" w:type="dxa"/>
          </w:tcPr>
          <w:p w14:paraId="42876456" w14:textId="77777777" w:rsidR="00DF4478" w:rsidRPr="00A858C4" w:rsidRDefault="00DF4478" w:rsidP="00DF4478">
            <w:pPr>
              <w:spacing w:beforeLines="40" w:before="96" w:afterLines="40" w:after="96"/>
              <w:jc w:val="center"/>
              <w:rPr>
                <w:i/>
                <w:noProof/>
                <w:sz w:val="18"/>
              </w:rPr>
            </w:pPr>
          </w:p>
        </w:tc>
        <w:tc>
          <w:tcPr>
            <w:tcW w:w="1031" w:type="dxa"/>
          </w:tcPr>
          <w:p w14:paraId="5F211ECB" w14:textId="77777777" w:rsidR="00DF4478" w:rsidRPr="00A858C4" w:rsidRDefault="00DF4478" w:rsidP="00DF4478">
            <w:pPr>
              <w:spacing w:beforeLines="40" w:before="96" w:afterLines="40" w:after="96"/>
              <w:jc w:val="center"/>
              <w:rPr>
                <w:noProof/>
                <w:sz w:val="18"/>
              </w:rPr>
            </w:pPr>
          </w:p>
        </w:tc>
        <w:tc>
          <w:tcPr>
            <w:tcW w:w="900" w:type="dxa"/>
          </w:tcPr>
          <w:p w14:paraId="14A72CA3" w14:textId="77777777" w:rsidR="00DF4478" w:rsidRPr="00A858C4" w:rsidRDefault="00DF4478" w:rsidP="00DF4478">
            <w:pPr>
              <w:spacing w:beforeLines="40" w:before="96" w:afterLines="40" w:after="96"/>
              <w:jc w:val="center"/>
              <w:rPr>
                <w:noProof/>
                <w:sz w:val="18"/>
              </w:rPr>
            </w:pPr>
          </w:p>
        </w:tc>
        <w:tc>
          <w:tcPr>
            <w:tcW w:w="900" w:type="dxa"/>
          </w:tcPr>
          <w:p w14:paraId="6C68295A" w14:textId="77777777" w:rsidR="00DF4478" w:rsidRPr="00A858C4" w:rsidRDefault="00DF4478" w:rsidP="00DF4478">
            <w:pPr>
              <w:spacing w:beforeLines="40" w:before="96" w:afterLines="40" w:after="96"/>
              <w:jc w:val="center"/>
              <w:rPr>
                <w:noProof/>
                <w:sz w:val="18"/>
              </w:rPr>
            </w:pPr>
          </w:p>
        </w:tc>
        <w:tc>
          <w:tcPr>
            <w:tcW w:w="1080" w:type="dxa"/>
          </w:tcPr>
          <w:p w14:paraId="73074E1D" w14:textId="77777777" w:rsidR="00DF4478" w:rsidRPr="00A858C4" w:rsidRDefault="00DF4478" w:rsidP="00DF4478">
            <w:pPr>
              <w:spacing w:beforeLines="40" w:before="96" w:afterLines="40" w:after="96"/>
              <w:jc w:val="center"/>
              <w:rPr>
                <w:noProof/>
                <w:sz w:val="18"/>
              </w:rPr>
            </w:pPr>
          </w:p>
        </w:tc>
        <w:tc>
          <w:tcPr>
            <w:tcW w:w="1080" w:type="dxa"/>
          </w:tcPr>
          <w:p w14:paraId="7A4CA871" w14:textId="77777777" w:rsidR="00DF4478" w:rsidRPr="00A858C4" w:rsidRDefault="00DF4478" w:rsidP="00DF4478">
            <w:pPr>
              <w:spacing w:beforeLines="40" w:before="96" w:afterLines="40" w:after="96"/>
              <w:jc w:val="center"/>
              <w:rPr>
                <w:noProof/>
                <w:sz w:val="18"/>
              </w:rPr>
            </w:pPr>
          </w:p>
        </w:tc>
        <w:tc>
          <w:tcPr>
            <w:tcW w:w="1080" w:type="dxa"/>
          </w:tcPr>
          <w:p w14:paraId="69E6E545" w14:textId="77777777" w:rsidR="00DF4478" w:rsidRPr="00A858C4" w:rsidRDefault="00DF4478" w:rsidP="00DF4478">
            <w:pPr>
              <w:spacing w:beforeLines="40" w:before="96" w:afterLines="40" w:after="96"/>
              <w:jc w:val="center"/>
              <w:rPr>
                <w:noProof/>
                <w:sz w:val="18"/>
              </w:rPr>
            </w:pPr>
          </w:p>
        </w:tc>
        <w:tc>
          <w:tcPr>
            <w:tcW w:w="1080" w:type="dxa"/>
          </w:tcPr>
          <w:p w14:paraId="59F66966" w14:textId="77777777" w:rsidR="00DF4478" w:rsidRPr="00A858C4" w:rsidRDefault="00DF4478" w:rsidP="00DF4478">
            <w:pPr>
              <w:spacing w:beforeLines="40" w:before="96" w:afterLines="40" w:after="96"/>
              <w:jc w:val="center"/>
              <w:rPr>
                <w:noProof/>
                <w:sz w:val="18"/>
              </w:rPr>
            </w:pPr>
          </w:p>
        </w:tc>
      </w:tr>
    </w:tbl>
    <w:p w14:paraId="0629111A" w14:textId="77777777" w:rsidR="00DF4478" w:rsidRPr="00A858C4" w:rsidRDefault="00DF4478" w:rsidP="00DF4478">
      <w:pPr>
        <w:ind w:left="850"/>
        <w:rPr>
          <w:noProof/>
          <w:sz w:val="20"/>
        </w:rPr>
      </w:pPr>
      <w:r w:rsidRPr="00A858C4">
        <w:rPr>
          <w:noProof/>
          <w:sz w:val="20"/>
        </w:rPr>
        <w:t>For indtægter, der er formålsbestemte, angives det, hvilke af budgettets udgiftsposter der berøres.</w:t>
      </w:r>
    </w:p>
    <w:p w14:paraId="7081B968"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3BB2B601" w14:textId="77777777" w:rsidR="00DF4478" w:rsidRPr="00A858C4" w:rsidRDefault="00DF4478" w:rsidP="00DF4478">
      <w:pPr>
        <w:ind w:left="850"/>
        <w:rPr>
          <w:noProof/>
          <w:sz w:val="20"/>
        </w:rPr>
      </w:pPr>
      <w:r w:rsidRPr="00A858C4">
        <w:rPr>
          <w:noProof/>
          <w:sz w:val="20"/>
        </w:rPr>
        <w:t>Andre bemærkninger (f.eks. om hvilken metode, der er benyttet til at beregne virkningerne for indtægterne).</w:t>
      </w:r>
    </w:p>
    <w:p w14:paraId="51FD1B81" w14:textId="77777777" w:rsidR="00DF4478" w:rsidRPr="00A858C4" w:rsidRDefault="00DF4478" w:rsidP="00DF4478">
      <w:pPr>
        <w:pBdr>
          <w:top w:val="single" w:sz="4" w:space="1" w:color="auto"/>
          <w:left w:val="single" w:sz="4" w:space="4" w:color="auto"/>
          <w:bottom w:val="single" w:sz="4" w:space="1" w:color="auto"/>
          <w:right w:val="single" w:sz="4" w:space="4" w:color="auto"/>
        </w:pBdr>
        <w:ind w:left="850"/>
        <w:rPr>
          <w:noProof/>
        </w:rPr>
      </w:pPr>
    </w:p>
    <w:p w14:paraId="76150737" w14:textId="77777777" w:rsidR="00DF4478" w:rsidRPr="00A858C4" w:rsidRDefault="00DF4478" w:rsidP="00DF4478">
      <w:pPr>
        <w:rPr>
          <w:noProof/>
        </w:rPr>
      </w:pPr>
    </w:p>
    <w:p w14:paraId="1FC2C3A4" w14:textId="77777777" w:rsidR="008D7A36" w:rsidRPr="00A858C4" w:rsidRDefault="008D7A36" w:rsidP="00177D3F">
      <w:pPr>
        <w:rPr>
          <w:noProof/>
        </w:rPr>
      </w:pPr>
    </w:p>
    <w:p w14:paraId="0DD82B65" w14:textId="77777777" w:rsidR="00DF4478" w:rsidRPr="00A858C4" w:rsidRDefault="00DF4478">
      <w:pPr>
        <w:spacing w:before="0" w:after="200" w:line="276" w:lineRule="auto"/>
        <w:jc w:val="left"/>
        <w:rPr>
          <w:iCs/>
          <w:noProof/>
        </w:rPr>
      </w:pPr>
    </w:p>
    <w:sectPr w:rsidR="00DF4478" w:rsidRPr="00A858C4" w:rsidSect="007A795C">
      <w:headerReference w:type="default" r:id="rId23"/>
      <w:footerReference w:type="default" r:id="rId24"/>
      <w:headerReference w:type="first" r:id="rId25"/>
      <w:footerReference w:type="first" r:id="rId26"/>
      <w:pgSz w:w="12240" w:h="15840" w:code="1"/>
      <w:pgMar w:top="902" w:right="1134" w:bottom="1247" w:left="902"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7720F" w14:textId="77777777" w:rsidR="000D4CDB" w:rsidRDefault="000D4CDB" w:rsidP="008D7A36">
      <w:pPr>
        <w:spacing w:before="0" w:after="0"/>
      </w:pPr>
      <w:r>
        <w:separator/>
      </w:r>
    </w:p>
  </w:endnote>
  <w:endnote w:type="continuationSeparator" w:id="0">
    <w:p w14:paraId="556B1AF9" w14:textId="77777777" w:rsidR="000D4CDB" w:rsidRDefault="000D4CDB" w:rsidP="008D7A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54FF" w14:textId="69099983" w:rsidR="00835E4E" w:rsidRPr="007A795C" w:rsidRDefault="007A795C" w:rsidP="007A795C">
    <w:pPr>
      <w:pStyle w:val="Footer"/>
      <w:rPr>
        <w:rFonts w:ascii="Arial" w:hAnsi="Arial" w:cs="Arial"/>
        <w:b/>
        <w:sz w:val="48"/>
      </w:rPr>
    </w:pPr>
    <w:r w:rsidRPr="007A795C">
      <w:rPr>
        <w:rFonts w:ascii="Arial" w:hAnsi="Arial" w:cs="Arial"/>
        <w:b/>
        <w:sz w:val="48"/>
      </w:rPr>
      <w:t>DA</w:t>
    </w:r>
    <w:r w:rsidRPr="007A795C">
      <w:rPr>
        <w:rFonts w:ascii="Arial" w:hAnsi="Arial" w:cs="Arial"/>
        <w:b/>
        <w:sz w:val="48"/>
      </w:rPr>
      <w:tab/>
    </w:r>
    <w:r w:rsidRPr="007A795C">
      <w:rPr>
        <w:rFonts w:ascii="Arial" w:hAnsi="Arial" w:cs="Arial"/>
        <w:b/>
        <w:sz w:val="48"/>
      </w:rPr>
      <w:tab/>
    </w:r>
    <w:r w:rsidRPr="007A795C">
      <w:tab/>
    </w:r>
    <w:r w:rsidRPr="007A795C">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DCAD" w14:textId="1AD54524" w:rsidR="007A795C" w:rsidRPr="007A795C" w:rsidRDefault="007A795C" w:rsidP="007A795C">
    <w:pPr>
      <w:pStyle w:val="Footer"/>
      <w:rPr>
        <w:rFonts w:ascii="Arial" w:hAnsi="Arial" w:cs="Arial"/>
        <w:b/>
        <w:sz w:val="48"/>
      </w:rPr>
    </w:pPr>
    <w:r w:rsidRPr="007A795C">
      <w:rPr>
        <w:rFonts w:ascii="Arial" w:hAnsi="Arial" w:cs="Arial"/>
        <w:b/>
        <w:sz w:val="48"/>
      </w:rPr>
      <w:t>DA</w:t>
    </w:r>
    <w:r w:rsidRPr="007A795C">
      <w:rPr>
        <w:rFonts w:ascii="Arial" w:hAnsi="Arial" w:cs="Arial"/>
        <w:b/>
        <w:sz w:val="48"/>
      </w:rPr>
      <w:tab/>
    </w:r>
    <w:r>
      <w:fldChar w:fldCharType="begin"/>
    </w:r>
    <w:r>
      <w:instrText xml:space="preserve"> PAGE  \* MERGEFORMAT </w:instrText>
    </w:r>
    <w:r>
      <w:fldChar w:fldCharType="separate"/>
    </w:r>
    <w:r w:rsidR="008A697A">
      <w:rPr>
        <w:noProof/>
      </w:rPr>
      <w:t>6</w:t>
    </w:r>
    <w:r>
      <w:fldChar w:fldCharType="end"/>
    </w:r>
    <w:r>
      <w:tab/>
    </w:r>
    <w:r w:rsidRPr="007A795C">
      <w:tab/>
    </w:r>
    <w:r w:rsidRPr="007A795C">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ADD2" w14:textId="77777777" w:rsidR="007A795C" w:rsidRPr="007A795C" w:rsidRDefault="007A795C" w:rsidP="007A79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94C93" w14:textId="48B0B0B1" w:rsidR="007A795C" w:rsidRPr="007A795C" w:rsidRDefault="007A795C" w:rsidP="007A795C">
    <w:pPr>
      <w:pStyle w:val="FooterLandscape"/>
      <w:rPr>
        <w:rFonts w:ascii="Arial" w:hAnsi="Arial" w:cs="Arial"/>
        <w:b/>
        <w:sz w:val="48"/>
      </w:rPr>
    </w:pPr>
    <w:r w:rsidRPr="007A795C">
      <w:rPr>
        <w:rFonts w:ascii="Arial" w:hAnsi="Arial" w:cs="Arial"/>
        <w:b/>
        <w:sz w:val="48"/>
      </w:rPr>
      <w:t>DA</w:t>
    </w:r>
    <w:r w:rsidRPr="007A795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A795C">
      <w:tab/>
    </w:r>
    <w:r w:rsidRPr="007A795C">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BC0B" w14:textId="77777777" w:rsidR="007A795C" w:rsidRPr="007A795C" w:rsidRDefault="007A795C" w:rsidP="007A795C">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8B03" w14:textId="25FCC9D0" w:rsidR="007A795C" w:rsidRPr="007A795C" w:rsidRDefault="007A795C" w:rsidP="007A795C">
    <w:pPr>
      <w:pStyle w:val="Footer"/>
      <w:rPr>
        <w:rFonts w:ascii="Arial" w:hAnsi="Arial" w:cs="Arial"/>
        <w:b/>
        <w:sz w:val="48"/>
      </w:rPr>
    </w:pPr>
    <w:r w:rsidRPr="007A795C">
      <w:rPr>
        <w:rFonts w:ascii="Arial" w:hAnsi="Arial" w:cs="Arial"/>
        <w:b/>
        <w:sz w:val="48"/>
      </w:rPr>
      <w:t>DA</w:t>
    </w:r>
    <w:r w:rsidRPr="007A795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A795C">
      <w:tab/>
    </w:r>
    <w:r w:rsidRPr="007A795C">
      <w:rPr>
        <w:rFonts w:ascii="Arial" w:hAnsi="Arial" w:cs="Arial"/>
        <w:b/>
        <w:sz w:val="48"/>
      </w:rPr>
      <w:t>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7080D" w14:textId="77777777" w:rsidR="007A795C" w:rsidRPr="007A795C" w:rsidRDefault="007A795C" w:rsidP="007A79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EBE1C" w14:textId="3AE3BB4D" w:rsidR="007A795C" w:rsidRPr="007A795C" w:rsidRDefault="007A795C" w:rsidP="007A795C">
    <w:pPr>
      <w:pStyle w:val="Footer"/>
      <w:rPr>
        <w:rFonts w:ascii="Arial" w:hAnsi="Arial" w:cs="Arial"/>
        <w:b/>
        <w:sz w:val="48"/>
      </w:rPr>
    </w:pPr>
    <w:r w:rsidRPr="007A795C">
      <w:rPr>
        <w:rFonts w:ascii="Arial" w:hAnsi="Arial" w:cs="Arial"/>
        <w:b/>
        <w:sz w:val="48"/>
      </w:rPr>
      <w:t>DA</w:t>
    </w:r>
    <w:r w:rsidRPr="007A795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A795C">
      <w:tab/>
    </w:r>
    <w:r w:rsidRPr="007A795C">
      <w:rPr>
        <w:rFonts w:ascii="Arial" w:hAnsi="Arial" w:cs="Arial"/>
        <w:b/>
        <w:sz w:val="48"/>
      </w:rPr>
      <w:t>DA</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F97F" w14:textId="77777777" w:rsidR="007A795C" w:rsidRPr="007A795C" w:rsidRDefault="007A795C" w:rsidP="007A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FB22C" w14:textId="77777777" w:rsidR="000D4CDB" w:rsidRDefault="000D4CDB" w:rsidP="008D7A36">
      <w:pPr>
        <w:spacing w:before="0" w:after="0"/>
      </w:pPr>
      <w:r>
        <w:separator/>
      </w:r>
    </w:p>
  </w:footnote>
  <w:footnote w:type="continuationSeparator" w:id="0">
    <w:p w14:paraId="260D9A6E" w14:textId="77777777" w:rsidR="000D4CDB" w:rsidRDefault="000D4CDB" w:rsidP="008D7A36">
      <w:pPr>
        <w:spacing w:before="0" w:after="0"/>
      </w:pPr>
      <w:r>
        <w:continuationSeparator/>
      </w:r>
    </w:p>
  </w:footnote>
  <w:footnote w:id="1">
    <w:p w14:paraId="02B75773" w14:textId="77777777" w:rsidR="00C64793" w:rsidRPr="00A858C4" w:rsidRDefault="00C64793" w:rsidP="00C46656">
      <w:pPr>
        <w:pStyle w:val="FootnoteText"/>
      </w:pPr>
      <w:r>
        <w:rPr>
          <w:rStyle w:val="FootnoteReference"/>
        </w:rPr>
        <w:footnoteRef/>
      </w:r>
      <w:r w:rsidRPr="00A858C4">
        <w:rPr>
          <w:color w:val="000000" w:themeColor="text1"/>
        </w:rPr>
        <w:tab/>
      </w:r>
      <w:r w:rsidRPr="00A858C4">
        <w:t>Rådets beslutning 89/367/EØF af 29. maj 1989 om nedsættelse af en stående skovbrugskomité (EFT L 165 af 15.6.1989, s. 14).</w:t>
      </w:r>
    </w:p>
  </w:footnote>
  <w:footnote w:id="2">
    <w:p w14:paraId="4EA29378" w14:textId="7C6C5DDA" w:rsidR="00C64793" w:rsidRPr="00255ED0" w:rsidRDefault="00C64793" w:rsidP="007425E8">
      <w:pPr>
        <w:pStyle w:val="FootnoteText"/>
        <w:rPr>
          <w:lang w:val="en-US"/>
        </w:rPr>
      </w:pPr>
      <w:r>
        <w:rPr>
          <w:rStyle w:val="FootnoteReference"/>
        </w:rPr>
        <w:footnoteRef/>
      </w:r>
      <w:r w:rsidRPr="00255ED0">
        <w:rPr>
          <w:color w:val="000000" w:themeColor="text1"/>
          <w:lang w:val="en-US"/>
        </w:rPr>
        <w:tab/>
        <w:t xml:space="preserve">COM(2021) 572 final. Side 23, </w:t>
      </w:r>
      <w:hyperlink r:id="rId1" w:history="1">
        <w:r w:rsidRPr="00255ED0">
          <w:rPr>
            <w:rStyle w:val="Hyperlink"/>
            <w:lang w:val="en-US"/>
          </w:rPr>
          <w:t>https://eur-lex.europa.eu/legal-content/DA/TXT/?uri=CELEX:52021DC0572</w:t>
        </w:r>
      </w:hyperlink>
      <w:r w:rsidR="00A858C4" w:rsidRPr="00255ED0">
        <w:rPr>
          <w:rStyle w:val="Hyperlink"/>
          <w:u w:val="none"/>
          <w:lang w:val="en-US"/>
        </w:rPr>
        <w:t>.</w:t>
      </w:r>
    </w:p>
  </w:footnote>
  <w:footnote w:id="3">
    <w:p w14:paraId="4E004161" w14:textId="77777777" w:rsidR="00C64793" w:rsidRPr="00A858C4" w:rsidRDefault="00C64793" w:rsidP="00A42069">
      <w:pPr>
        <w:pStyle w:val="FootnoteText"/>
      </w:pPr>
      <w:r>
        <w:rPr>
          <w:rStyle w:val="FootnoteReference"/>
        </w:rPr>
        <w:footnoteRef/>
      </w:r>
      <w:r w:rsidRPr="00A858C4">
        <w:rPr>
          <w:color w:val="000000" w:themeColor="text1"/>
        </w:rPr>
        <w:tab/>
        <w:t>[…]</w:t>
      </w:r>
    </w:p>
  </w:footnote>
  <w:footnote w:id="4">
    <w:p w14:paraId="7AD90E76" w14:textId="77777777" w:rsidR="00C64793" w:rsidRPr="00A858C4" w:rsidRDefault="00C64793" w:rsidP="004913E3">
      <w:pPr>
        <w:pStyle w:val="FootnoteText"/>
        <w:ind w:left="0" w:firstLine="0"/>
      </w:pPr>
      <w:r>
        <w:rPr>
          <w:rStyle w:val="FootnoteReference"/>
        </w:rPr>
        <w:footnoteRef/>
      </w:r>
      <w:r w:rsidRPr="00A858C4">
        <w:rPr>
          <w:color w:val="000000" w:themeColor="text1"/>
        </w:rPr>
        <w:tab/>
        <w:t>[…]</w:t>
      </w:r>
    </w:p>
  </w:footnote>
  <w:footnote w:id="5">
    <w:p w14:paraId="740CB81B" w14:textId="77777777" w:rsidR="00C64793" w:rsidRPr="00A858C4" w:rsidRDefault="00C64793">
      <w:pPr>
        <w:pStyle w:val="FootnoteText"/>
      </w:pPr>
      <w:r>
        <w:rPr>
          <w:rStyle w:val="FootnoteReference"/>
        </w:rPr>
        <w:footnoteRef/>
      </w:r>
      <w:r w:rsidRPr="00A858C4">
        <w:rPr>
          <w:color w:val="000000" w:themeColor="text1"/>
        </w:rPr>
        <w:tab/>
      </w:r>
      <w:r w:rsidRPr="00A858C4">
        <w:t>Rådets beslutning 89/367/EØF af 29. maj 1989 om nedsættelse af en stående skovbrugskomité (EFT L 165 af 15.6.1989, s. 14).</w:t>
      </w:r>
    </w:p>
  </w:footnote>
  <w:footnote w:id="6">
    <w:p w14:paraId="26FFCBBC" w14:textId="77777777" w:rsidR="00C64793" w:rsidRPr="00A858C4" w:rsidRDefault="00C64793">
      <w:pPr>
        <w:pStyle w:val="FootnoteText"/>
      </w:pPr>
      <w:r>
        <w:rPr>
          <w:rStyle w:val="FootnoteReference"/>
        </w:rPr>
        <w:footnoteRef/>
      </w:r>
      <w:r w:rsidRPr="00A858C4">
        <w:rPr>
          <w:color w:val="000000" w:themeColor="text1"/>
        </w:rPr>
        <w:tab/>
      </w:r>
      <w:r w:rsidRPr="00A858C4">
        <w:t>COM(2019) 640 final.</w:t>
      </w:r>
    </w:p>
  </w:footnote>
  <w:footnote w:id="7">
    <w:p w14:paraId="3E37C2BD" w14:textId="77777777" w:rsidR="00C64793" w:rsidRPr="00A858C4" w:rsidRDefault="00C64793">
      <w:pPr>
        <w:pStyle w:val="FootnoteText"/>
      </w:pPr>
      <w:r>
        <w:rPr>
          <w:rStyle w:val="FootnoteReference"/>
        </w:rPr>
        <w:footnoteRef/>
      </w:r>
      <w:r w:rsidRPr="00A858C4">
        <w:rPr>
          <w:color w:val="000000" w:themeColor="text1"/>
        </w:rPr>
        <w:tab/>
      </w:r>
      <w:r w:rsidRPr="00A858C4">
        <w:t>COM(2021) 527 final.</w:t>
      </w:r>
    </w:p>
  </w:footnote>
  <w:footnote w:id="8">
    <w:p w14:paraId="7C36A586"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t>Jf. finansforordningens artikel 58, stk. 2, litra a) hhv. b).</w:t>
      </w:r>
    </w:p>
  </w:footnote>
  <w:footnote w:id="9">
    <w:p w14:paraId="5778EFDA" w14:textId="77777777" w:rsidR="00C64793" w:rsidRPr="00A858C4" w:rsidRDefault="00C64793" w:rsidP="00DF4478">
      <w:pPr>
        <w:pStyle w:val="FootnoteText"/>
        <w:jc w:val="left"/>
        <w:rPr>
          <w:szCs w:val="24"/>
        </w:rPr>
      </w:pPr>
      <w:r>
        <w:rPr>
          <w:rStyle w:val="FootnoteReference"/>
        </w:rPr>
        <w:footnoteRef/>
      </w:r>
      <w:r w:rsidRPr="00A858C4">
        <w:rPr>
          <w:color w:val="000000" w:themeColor="text1"/>
        </w:rPr>
        <w:tab/>
      </w:r>
      <w:r w:rsidRPr="00A858C4">
        <w:t xml:space="preserve">Forklaringer vedrørende budgetgennemførelsesmetoder og henvisninger til finansforordningen findes på webstedet BUDGpedia: </w:t>
      </w:r>
      <w:hyperlink r:id="rId2" w:history="1">
        <w:r w:rsidRPr="00A858C4">
          <w:rPr>
            <w:rStyle w:val="Hyperlink"/>
          </w:rPr>
          <w:t>https://myintracomm.ec.europa.eu/corp/budget/financial-rules/budget-implementation/Pages/implementation-methods.aspx</w:t>
        </w:r>
      </w:hyperlink>
      <w:r w:rsidRPr="00A858C4">
        <w:t>.</w:t>
      </w:r>
    </w:p>
  </w:footnote>
  <w:footnote w:id="10">
    <w:p w14:paraId="559666DF"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t>OB = opdelte bevillinger/IOB = ikke-opdelte bevillinger.</w:t>
      </w:r>
    </w:p>
  </w:footnote>
  <w:footnote w:id="11">
    <w:p w14:paraId="05F54957"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t xml:space="preserve">EFTA-lande: Den Europæiske Frihandelssammenslutning. </w:t>
      </w:r>
    </w:p>
  </w:footnote>
  <w:footnote w:id="12">
    <w:p w14:paraId="2E0B374B"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t>Kandidatlande og, hvis det er relevant, potentielle kandidater på Vestbalkan.</w:t>
      </w:r>
    </w:p>
  </w:footnote>
  <w:footnote w:id="13">
    <w:p w14:paraId="7F5503EC" w14:textId="77777777" w:rsidR="00C64793" w:rsidRPr="00A858C4" w:rsidRDefault="00C64793" w:rsidP="00DF4478">
      <w:pPr>
        <w:pStyle w:val="FootnoteText"/>
        <w:rPr>
          <w:sz w:val="18"/>
          <w:szCs w:val="18"/>
        </w:rPr>
      </w:pPr>
      <w:r>
        <w:rPr>
          <w:rStyle w:val="FootnoteReference"/>
        </w:rPr>
        <w:footnoteRef/>
      </w:r>
      <w:r w:rsidRPr="00A858C4">
        <w:rPr>
          <w:color w:val="000000" w:themeColor="text1"/>
        </w:rPr>
        <w:tab/>
      </w:r>
      <w:r w:rsidRPr="00A858C4">
        <w:rPr>
          <w:sz w:val="18"/>
        </w:rPr>
        <w:t>År n er det år, hvor gennemførelsen af forslaget/initiativet påbegyndes. Erstat "n" med det forventede første gennemførelsesår (f.eks.: 2021). Dette gælder også for de efterfølgende år.</w:t>
      </w:r>
    </w:p>
  </w:footnote>
  <w:footnote w:id="14">
    <w:p w14:paraId="7B84601A" w14:textId="77777777" w:rsidR="00C64793" w:rsidRPr="00A858C4" w:rsidRDefault="00C64793" w:rsidP="00DF4478">
      <w:pPr>
        <w:pStyle w:val="FootnoteText"/>
        <w:rPr>
          <w:sz w:val="18"/>
          <w:szCs w:val="18"/>
        </w:rPr>
      </w:pPr>
      <w:r>
        <w:rPr>
          <w:rStyle w:val="FootnoteReference"/>
        </w:rPr>
        <w:footnoteRef/>
      </w:r>
      <w:r w:rsidRPr="00A858C4">
        <w:rPr>
          <w:color w:val="000000" w:themeColor="text1"/>
        </w:rPr>
        <w:tab/>
      </w:r>
      <w:r w:rsidRPr="00A858C4">
        <w:rPr>
          <w:sz w:val="18"/>
        </w:rPr>
        <w:t>Ifølge den officielle budgetkontoplan.</w:t>
      </w:r>
    </w:p>
  </w:footnote>
  <w:footnote w:id="15">
    <w:p w14:paraId="2067D0E4"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rPr>
          <w:sz w:val="18"/>
        </w:rPr>
        <w:t>Teknisk og/eller administrativ bistand og udgifter til støtte for gennemførelsen af EU's programmer og/eller foranstaltninger (tidligere BA-poster), indirekte forskning, direkte forskning.</w:t>
      </w:r>
    </w:p>
  </w:footnote>
  <w:footnote w:id="16">
    <w:p w14:paraId="49C56FA7"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rPr>
          <w:sz w:val="18"/>
        </w:rPr>
        <w:t>År n er det år, hvor gennemførelsen af forslaget/initiativet påbegyndes. Erstat "n" med det forventede første gennemførelsesår (f.eks.: 2021). Dette gælder også for de efterfølgende år.</w:t>
      </w:r>
    </w:p>
  </w:footnote>
  <w:footnote w:id="17">
    <w:p w14:paraId="365935AE"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t>Resultater er de produkter og tjenesteydelser, der skal leveres (f.eks.: antal finansierede studenterudvekslinger, antal km bygget vej osv.).</w:t>
      </w:r>
    </w:p>
  </w:footnote>
  <w:footnote w:id="18">
    <w:p w14:paraId="176D3027"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t xml:space="preserve">Som beskrevet i punkt 1.4.2. "Specifikt/specifikke mål". </w:t>
      </w:r>
    </w:p>
  </w:footnote>
  <w:footnote w:id="19">
    <w:p w14:paraId="52DCF6C6"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rPr>
          <w:sz w:val="18"/>
        </w:rPr>
        <w:t>Teknisk og/eller administrativ bistand og udgifter til støtte for gennemførelsen af EU's programmer og/eller foranstaltninger (tidligere BA-poster), indirekte forskning, direkte forskning.</w:t>
      </w:r>
    </w:p>
  </w:footnote>
  <w:footnote w:id="20">
    <w:p w14:paraId="01F3E306"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t xml:space="preserve">KA: kontraktansatte, LA: lokalt ansatte, UNE: udstationerede nationale eksperter, V: vikarer, JMD: juniormedarbejdere i delegationerne. </w:t>
      </w:r>
    </w:p>
  </w:footnote>
  <w:footnote w:id="21">
    <w:p w14:paraId="04590F89" w14:textId="77777777" w:rsidR="00C64793" w:rsidRPr="00A858C4" w:rsidRDefault="00C64793" w:rsidP="00DF4478">
      <w:pPr>
        <w:pStyle w:val="FootnoteText"/>
        <w:rPr>
          <w:szCs w:val="24"/>
        </w:rPr>
      </w:pPr>
      <w:r>
        <w:rPr>
          <w:rStyle w:val="FootnoteReference"/>
        </w:rPr>
        <w:footnoteRef/>
      </w:r>
      <w:r w:rsidRPr="00A858C4">
        <w:rPr>
          <w:color w:val="000000" w:themeColor="text1"/>
        </w:rPr>
        <w:tab/>
      </w:r>
      <w:r w:rsidRPr="00A858C4">
        <w:t>Delloft for eksternt personale under aktionsbevillingerne (tidligere BA-poster).</w:t>
      </w:r>
    </w:p>
  </w:footnote>
  <w:footnote w:id="22">
    <w:p w14:paraId="67B5B0A5" w14:textId="50BC0D88" w:rsidR="00C64793" w:rsidRPr="00A858C4" w:rsidRDefault="00C64793" w:rsidP="00A071E1">
      <w:pPr>
        <w:pStyle w:val="FootnoteText"/>
        <w:ind w:firstLine="0"/>
      </w:pPr>
      <w:r>
        <w:rPr>
          <w:rStyle w:val="FootnoteReference"/>
        </w:rPr>
        <w:footnoteRef/>
      </w:r>
      <w:r w:rsidRPr="00A858C4">
        <w:rPr>
          <w:color w:val="000000" w:themeColor="text1"/>
        </w:rPr>
        <w:tab/>
      </w:r>
      <w:r w:rsidRPr="00A858C4">
        <w:t>År n er det år, hvor gennemførelsen af forslaget/initiativet påbegyndes. Erstat "n" med det forventede første gennemførelsesår (f.eks.: 2021). Dette gælder også for de efterfølgende år.</w:t>
      </w:r>
    </w:p>
  </w:footnote>
  <w:footnote w:id="23">
    <w:p w14:paraId="40468B6A" w14:textId="4EE82C33" w:rsidR="00C64793" w:rsidRPr="00A858C4" w:rsidRDefault="00C64793" w:rsidP="00A071E1">
      <w:pPr>
        <w:pStyle w:val="FootnoteText"/>
        <w:ind w:firstLine="0"/>
        <w:rPr>
          <w:szCs w:val="24"/>
        </w:rPr>
      </w:pPr>
      <w:r>
        <w:rPr>
          <w:rStyle w:val="FootnoteReference"/>
        </w:rPr>
        <w:footnoteRef/>
      </w:r>
      <w:r w:rsidRPr="00A858C4">
        <w:rPr>
          <w:color w:val="000000" w:themeColor="text1"/>
        </w:rPr>
        <w:tab/>
      </w:r>
      <w:r w:rsidRPr="00A858C4">
        <w:t>Med hensyn til EU's traditionelle egne indtægter (told og sukkerafgifter) opgives beløbene netto, dvs. bruttobeløb, hvorfra der er trukket opkrævningsomkostninger på 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2001" w14:textId="77777777" w:rsidR="007A795C" w:rsidRPr="007A795C" w:rsidRDefault="007A795C" w:rsidP="007A795C">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7573" w14:textId="77777777" w:rsidR="007A795C" w:rsidRPr="007A795C" w:rsidRDefault="007A795C" w:rsidP="007A795C">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E4DD" w14:textId="77777777" w:rsidR="007A795C" w:rsidRPr="007A795C" w:rsidRDefault="007A795C" w:rsidP="007A79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1E98" w14:textId="77777777" w:rsidR="007A795C" w:rsidRPr="007A795C" w:rsidRDefault="007A795C" w:rsidP="007A79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769B" w14:textId="77777777" w:rsidR="007A795C" w:rsidRPr="007A795C" w:rsidRDefault="007A795C" w:rsidP="007A79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24B2" w14:textId="77777777" w:rsidR="007A795C" w:rsidRPr="007A795C" w:rsidRDefault="007A795C" w:rsidP="007A7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14AD79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234FC9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094A97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6A84EB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09CBA8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0CE86F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DB0D12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1F06166"/>
    <w:multiLevelType w:val="multilevel"/>
    <w:tmpl w:val="C08066D2"/>
    <w:name w:val="0,3405529"/>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7"/>
  </w:num>
  <w:num w:numId="6">
    <w:abstractNumId w:val="12"/>
  </w:num>
  <w:num w:numId="7">
    <w:abstractNumId w:val="18"/>
  </w:num>
  <w:num w:numId="8">
    <w:abstractNumId w:val="17"/>
  </w:num>
  <w:num w:numId="9">
    <w:abstractNumId w:val="25"/>
  </w:num>
  <w:num w:numId="10">
    <w:abstractNumId w:val="2"/>
  </w:num>
  <w:num w:numId="11">
    <w:abstractNumId w:val="1"/>
  </w:num>
  <w:num w:numId="12">
    <w:abstractNumId w:val="0"/>
  </w:num>
  <w:num w:numId="13">
    <w:abstractNumId w:val="26"/>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num>
  <w:num w:numId="17">
    <w:abstractNumId w:val="24"/>
  </w:num>
  <w:num w:numId="18">
    <w:abstractNumId w:val="11"/>
  </w:num>
  <w:num w:numId="19">
    <w:abstractNumId w:val="14"/>
  </w:num>
  <w:num w:numId="20">
    <w:abstractNumId w:val="15"/>
  </w:num>
  <w:num w:numId="21">
    <w:abstractNumId w:val="9"/>
  </w:num>
  <w:num w:numId="22">
    <w:abstractNumId w:val="23"/>
  </w:num>
  <w:num w:numId="23">
    <w:abstractNumId w:val="8"/>
  </w:num>
  <w:num w:numId="24">
    <w:abstractNumId w:val="16"/>
  </w:num>
  <w:num w:numId="25">
    <w:abstractNumId w:val="20"/>
  </w:num>
  <w:num w:numId="26">
    <w:abstractNumId w:val="21"/>
  </w:num>
  <w:num w:numId="27">
    <w:abstractNumId w:val="10"/>
  </w:num>
  <w:num w:numId="28">
    <w:abstractNumId w:val="19"/>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11-21 18:52:1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A5647E1-B972-42FF-8ACD-94FD88429519"/>
    <w:docVar w:name="LW_COVERPAGE_TYPE" w:val="1"/>
    <w:docVar w:name="LW_CROSSREFERENCE" w:val="&lt;UNUSED&gt;"/>
    <w:docVar w:name="LW_DocType" w:val="COM"/>
    <w:docVar w:name="LW_EMISSION" w:val="22.11.2023"/>
    <w:docVar w:name="LW_EMISSION_ISODATE" w:val="2023-11-22"/>
    <w:docVar w:name="LW_EMISSION_LOCATION" w:val="BRX"/>
    <w:docVar w:name="LW_EMISSION_PREFIX" w:val="Bruxelles, den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410"/>
    <w:docVar w:name="LW_REF.II.NEW.CP_YEAR" w:val="2023"/>
    <w:docVar w:name="LW_REF.INST.NEW" w:val="COM"/>
    <w:docVar w:name="LW_REF.INST.NEW_ADOPTED" w:val="final"/>
    <w:docVar w:name="LW_REF.INST.NEW_TEXT" w:val="(2023) 72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ændring af Rådets beslutning 89/367/EØF om nedsættelse af en stående skovbrugskomité"/>
    <w:docVar w:name="LW_TYPE.DOC.CP" w:val="EUROPA-PARLAMENTETS OG RÅDETS AFGØRELSE"/>
    <w:docVar w:name="LwApiVersions" w:val="LW4CoDe 1.23.2.0; LW 8.0, Build 20211117"/>
  </w:docVars>
  <w:rsids>
    <w:rsidRoot w:val="008D7A36"/>
    <w:rsid w:val="000105FE"/>
    <w:rsid w:val="00021146"/>
    <w:rsid w:val="00025819"/>
    <w:rsid w:val="0003385E"/>
    <w:rsid w:val="00034507"/>
    <w:rsid w:val="00036C9B"/>
    <w:rsid w:val="00043FA1"/>
    <w:rsid w:val="00045C54"/>
    <w:rsid w:val="00046CD5"/>
    <w:rsid w:val="000470EB"/>
    <w:rsid w:val="00047D31"/>
    <w:rsid w:val="00063865"/>
    <w:rsid w:val="00080E94"/>
    <w:rsid w:val="00083152"/>
    <w:rsid w:val="00083650"/>
    <w:rsid w:val="00091C34"/>
    <w:rsid w:val="000922DD"/>
    <w:rsid w:val="000A47C1"/>
    <w:rsid w:val="000A5C59"/>
    <w:rsid w:val="000A6FB4"/>
    <w:rsid w:val="000B1CB3"/>
    <w:rsid w:val="000B7A7D"/>
    <w:rsid w:val="000C199E"/>
    <w:rsid w:val="000C74AA"/>
    <w:rsid w:val="000D3429"/>
    <w:rsid w:val="000D4CDB"/>
    <w:rsid w:val="000E7933"/>
    <w:rsid w:val="00101457"/>
    <w:rsid w:val="001120D8"/>
    <w:rsid w:val="001212C1"/>
    <w:rsid w:val="00124453"/>
    <w:rsid w:val="001310BD"/>
    <w:rsid w:val="00140CF4"/>
    <w:rsid w:val="00140DC2"/>
    <w:rsid w:val="001514D7"/>
    <w:rsid w:val="00152894"/>
    <w:rsid w:val="00153259"/>
    <w:rsid w:val="001539E1"/>
    <w:rsid w:val="001654C2"/>
    <w:rsid w:val="00170261"/>
    <w:rsid w:val="00170F4A"/>
    <w:rsid w:val="00173B9F"/>
    <w:rsid w:val="00173BEB"/>
    <w:rsid w:val="001757E1"/>
    <w:rsid w:val="00177D3F"/>
    <w:rsid w:val="00182C9C"/>
    <w:rsid w:val="00186B72"/>
    <w:rsid w:val="0019346C"/>
    <w:rsid w:val="00197BF3"/>
    <w:rsid w:val="001A1C39"/>
    <w:rsid w:val="001A244C"/>
    <w:rsid w:val="001A4A8D"/>
    <w:rsid w:val="001A641C"/>
    <w:rsid w:val="001B050B"/>
    <w:rsid w:val="001B2372"/>
    <w:rsid w:val="001B63E1"/>
    <w:rsid w:val="001C5768"/>
    <w:rsid w:val="001D29B9"/>
    <w:rsid w:val="001E1169"/>
    <w:rsid w:val="001E203D"/>
    <w:rsid w:val="001E219A"/>
    <w:rsid w:val="001E31A8"/>
    <w:rsid w:val="001E398C"/>
    <w:rsid w:val="001E3E89"/>
    <w:rsid w:val="0020142C"/>
    <w:rsid w:val="00204230"/>
    <w:rsid w:val="002053FA"/>
    <w:rsid w:val="0020567D"/>
    <w:rsid w:val="002076AA"/>
    <w:rsid w:val="00212C4E"/>
    <w:rsid w:val="002158FC"/>
    <w:rsid w:val="0021728E"/>
    <w:rsid w:val="00236352"/>
    <w:rsid w:val="00236A7A"/>
    <w:rsid w:val="0024347E"/>
    <w:rsid w:val="00255ED0"/>
    <w:rsid w:val="0026182E"/>
    <w:rsid w:val="0026214D"/>
    <w:rsid w:val="002638AA"/>
    <w:rsid w:val="00270CB0"/>
    <w:rsid w:val="002721FB"/>
    <w:rsid w:val="00275547"/>
    <w:rsid w:val="00275F81"/>
    <w:rsid w:val="00280D63"/>
    <w:rsid w:val="00281184"/>
    <w:rsid w:val="00283DB7"/>
    <w:rsid w:val="002879BA"/>
    <w:rsid w:val="002A073B"/>
    <w:rsid w:val="002A3061"/>
    <w:rsid w:val="002A44BA"/>
    <w:rsid w:val="002A6B2D"/>
    <w:rsid w:val="002C302A"/>
    <w:rsid w:val="002C4283"/>
    <w:rsid w:val="002C49F2"/>
    <w:rsid w:val="002C53C5"/>
    <w:rsid w:val="002C670E"/>
    <w:rsid w:val="002D2C4F"/>
    <w:rsid w:val="002D5EB9"/>
    <w:rsid w:val="002E0C0E"/>
    <w:rsid w:val="002E132C"/>
    <w:rsid w:val="002E3B57"/>
    <w:rsid w:val="002E7E3B"/>
    <w:rsid w:val="00306E75"/>
    <w:rsid w:val="00314C7F"/>
    <w:rsid w:val="0031571C"/>
    <w:rsid w:val="003213E3"/>
    <w:rsid w:val="00326979"/>
    <w:rsid w:val="00327767"/>
    <w:rsid w:val="00327C47"/>
    <w:rsid w:val="00343CC3"/>
    <w:rsid w:val="00344F4D"/>
    <w:rsid w:val="00353D24"/>
    <w:rsid w:val="00356550"/>
    <w:rsid w:val="00365427"/>
    <w:rsid w:val="00372C55"/>
    <w:rsid w:val="003748D3"/>
    <w:rsid w:val="00376CB5"/>
    <w:rsid w:val="00396ACD"/>
    <w:rsid w:val="003A03C0"/>
    <w:rsid w:val="003A6E3A"/>
    <w:rsid w:val="003B049C"/>
    <w:rsid w:val="003B1451"/>
    <w:rsid w:val="003B481B"/>
    <w:rsid w:val="003C51FC"/>
    <w:rsid w:val="003D193E"/>
    <w:rsid w:val="003D1A00"/>
    <w:rsid w:val="003E6DC3"/>
    <w:rsid w:val="003F27FD"/>
    <w:rsid w:val="003F69DD"/>
    <w:rsid w:val="003F745C"/>
    <w:rsid w:val="004010A1"/>
    <w:rsid w:val="00404B20"/>
    <w:rsid w:val="0041712C"/>
    <w:rsid w:val="004240D9"/>
    <w:rsid w:val="0042655F"/>
    <w:rsid w:val="004268FB"/>
    <w:rsid w:val="00430373"/>
    <w:rsid w:val="00435256"/>
    <w:rsid w:val="00436542"/>
    <w:rsid w:val="00437AA5"/>
    <w:rsid w:val="00441BE0"/>
    <w:rsid w:val="00442BCD"/>
    <w:rsid w:val="00443E40"/>
    <w:rsid w:val="004546BB"/>
    <w:rsid w:val="00457CA7"/>
    <w:rsid w:val="00470C07"/>
    <w:rsid w:val="0047113E"/>
    <w:rsid w:val="00471D1E"/>
    <w:rsid w:val="00471E3F"/>
    <w:rsid w:val="004813A4"/>
    <w:rsid w:val="00483F22"/>
    <w:rsid w:val="00484AE7"/>
    <w:rsid w:val="00485598"/>
    <w:rsid w:val="00487873"/>
    <w:rsid w:val="004913E3"/>
    <w:rsid w:val="00492396"/>
    <w:rsid w:val="00495015"/>
    <w:rsid w:val="004A0768"/>
    <w:rsid w:val="004A68C1"/>
    <w:rsid w:val="004C1F8C"/>
    <w:rsid w:val="004D0DD4"/>
    <w:rsid w:val="004D173C"/>
    <w:rsid w:val="004D269B"/>
    <w:rsid w:val="004D362A"/>
    <w:rsid w:val="004D610C"/>
    <w:rsid w:val="004D7932"/>
    <w:rsid w:val="004E19F9"/>
    <w:rsid w:val="004E219D"/>
    <w:rsid w:val="004E57AD"/>
    <w:rsid w:val="00500311"/>
    <w:rsid w:val="0050568C"/>
    <w:rsid w:val="00505B2C"/>
    <w:rsid w:val="00505ED2"/>
    <w:rsid w:val="00511CC6"/>
    <w:rsid w:val="005136FC"/>
    <w:rsid w:val="005158AE"/>
    <w:rsid w:val="00517205"/>
    <w:rsid w:val="00523F5C"/>
    <w:rsid w:val="00526F59"/>
    <w:rsid w:val="005369B5"/>
    <w:rsid w:val="00541383"/>
    <w:rsid w:val="00542487"/>
    <w:rsid w:val="0054692D"/>
    <w:rsid w:val="00553841"/>
    <w:rsid w:val="00556580"/>
    <w:rsid w:val="00561116"/>
    <w:rsid w:val="00562E88"/>
    <w:rsid w:val="005643A4"/>
    <w:rsid w:val="00570BE7"/>
    <w:rsid w:val="00577323"/>
    <w:rsid w:val="00577616"/>
    <w:rsid w:val="00582810"/>
    <w:rsid w:val="00595540"/>
    <w:rsid w:val="00596B3B"/>
    <w:rsid w:val="005A3385"/>
    <w:rsid w:val="005A3465"/>
    <w:rsid w:val="005B0A2F"/>
    <w:rsid w:val="005B18BB"/>
    <w:rsid w:val="005B59C0"/>
    <w:rsid w:val="005B5CE7"/>
    <w:rsid w:val="005B5FA6"/>
    <w:rsid w:val="005B64D0"/>
    <w:rsid w:val="005B7127"/>
    <w:rsid w:val="005C32F7"/>
    <w:rsid w:val="005C6150"/>
    <w:rsid w:val="005D1D40"/>
    <w:rsid w:val="005D2985"/>
    <w:rsid w:val="005E2811"/>
    <w:rsid w:val="005E57B4"/>
    <w:rsid w:val="005F08EA"/>
    <w:rsid w:val="0061532F"/>
    <w:rsid w:val="0061638D"/>
    <w:rsid w:val="006210AB"/>
    <w:rsid w:val="006217C4"/>
    <w:rsid w:val="006256B0"/>
    <w:rsid w:val="00632B27"/>
    <w:rsid w:val="00633716"/>
    <w:rsid w:val="0063386B"/>
    <w:rsid w:val="0063602E"/>
    <w:rsid w:val="006378B7"/>
    <w:rsid w:val="00637FD6"/>
    <w:rsid w:val="00653247"/>
    <w:rsid w:val="00656EEB"/>
    <w:rsid w:val="00661A71"/>
    <w:rsid w:val="006652BA"/>
    <w:rsid w:val="006654AB"/>
    <w:rsid w:val="006749E6"/>
    <w:rsid w:val="00676B2A"/>
    <w:rsid w:val="0067765B"/>
    <w:rsid w:val="00681322"/>
    <w:rsid w:val="00683C48"/>
    <w:rsid w:val="00693EC7"/>
    <w:rsid w:val="00694DB2"/>
    <w:rsid w:val="0069529A"/>
    <w:rsid w:val="00695AA2"/>
    <w:rsid w:val="006A3F36"/>
    <w:rsid w:val="006A4808"/>
    <w:rsid w:val="006B0C62"/>
    <w:rsid w:val="006B70DD"/>
    <w:rsid w:val="006C1589"/>
    <w:rsid w:val="006C33B9"/>
    <w:rsid w:val="006C4B13"/>
    <w:rsid w:val="006C6F6D"/>
    <w:rsid w:val="006D76E1"/>
    <w:rsid w:val="006E0306"/>
    <w:rsid w:val="006E13EE"/>
    <w:rsid w:val="006E4A7C"/>
    <w:rsid w:val="006E6C11"/>
    <w:rsid w:val="006F2831"/>
    <w:rsid w:val="006F59D7"/>
    <w:rsid w:val="006F7EFE"/>
    <w:rsid w:val="007015D7"/>
    <w:rsid w:val="00713FD4"/>
    <w:rsid w:val="007160BF"/>
    <w:rsid w:val="007219DC"/>
    <w:rsid w:val="007271AD"/>
    <w:rsid w:val="00730A02"/>
    <w:rsid w:val="0073178E"/>
    <w:rsid w:val="00733A13"/>
    <w:rsid w:val="00736AD3"/>
    <w:rsid w:val="007400A1"/>
    <w:rsid w:val="007425E8"/>
    <w:rsid w:val="00743695"/>
    <w:rsid w:val="00745B67"/>
    <w:rsid w:val="00752F3E"/>
    <w:rsid w:val="007536AA"/>
    <w:rsid w:val="00762DE7"/>
    <w:rsid w:val="00763351"/>
    <w:rsid w:val="00766B84"/>
    <w:rsid w:val="00772E06"/>
    <w:rsid w:val="00773854"/>
    <w:rsid w:val="00773AA6"/>
    <w:rsid w:val="00775F6F"/>
    <w:rsid w:val="0078490E"/>
    <w:rsid w:val="00785E22"/>
    <w:rsid w:val="007A1201"/>
    <w:rsid w:val="007A3D5D"/>
    <w:rsid w:val="007A4C99"/>
    <w:rsid w:val="007A795C"/>
    <w:rsid w:val="007B57D2"/>
    <w:rsid w:val="007B5981"/>
    <w:rsid w:val="007B5FA9"/>
    <w:rsid w:val="007B738D"/>
    <w:rsid w:val="007D0861"/>
    <w:rsid w:val="007E010B"/>
    <w:rsid w:val="007E083A"/>
    <w:rsid w:val="007E1C36"/>
    <w:rsid w:val="007E66A3"/>
    <w:rsid w:val="00802FC2"/>
    <w:rsid w:val="00806382"/>
    <w:rsid w:val="00816477"/>
    <w:rsid w:val="008168C9"/>
    <w:rsid w:val="008174C3"/>
    <w:rsid w:val="00824554"/>
    <w:rsid w:val="00831061"/>
    <w:rsid w:val="00832881"/>
    <w:rsid w:val="00833A1C"/>
    <w:rsid w:val="00833CCD"/>
    <w:rsid w:val="00835D0C"/>
    <w:rsid w:val="00835E4E"/>
    <w:rsid w:val="008364EA"/>
    <w:rsid w:val="0084496A"/>
    <w:rsid w:val="00845967"/>
    <w:rsid w:val="0085390B"/>
    <w:rsid w:val="00853EB8"/>
    <w:rsid w:val="00856A6F"/>
    <w:rsid w:val="00865429"/>
    <w:rsid w:val="00866D26"/>
    <w:rsid w:val="00872DE0"/>
    <w:rsid w:val="00880ABF"/>
    <w:rsid w:val="00893860"/>
    <w:rsid w:val="008941C8"/>
    <w:rsid w:val="008A2576"/>
    <w:rsid w:val="008A670A"/>
    <w:rsid w:val="008A68F5"/>
    <w:rsid w:val="008A697A"/>
    <w:rsid w:val="008B72F2"/>
    <w:rsid w:val="008C1343"/>
    <w:rsid w:val="008C18BF"/>
    <w:rsid w:val="008C4DD1"/>
    <w:rsid w:val="008C755D"/>
    <w:rsid w:val="008D0874"/>
    <w:rsid w:val="008D7A36"/>
    <w:rsid w:val="008E2694"/>
    <w:rsid w:val="008E77DD"/>
    <w:rsid w:val="008F3A8C"/>
    <w:rsid w:val="008F47B1"/>
    <w:rsid w:val="008F6FFF"/>
    <w:rsid w:val="00903517"/>
    <w:rsid w:val="009039B8"/>
    <w:rsid w:val="00911779"/>
    <w:rsid w:val="009141D2"/>
    <w:rsid w:val="00921772"/>
    <w:rsid w:val="0092394A"/>
    <w:rsid w:val="00924368"/>
    <w:rsid w:val="00924EDF"/>
    <w:rsid w:val="009365B5"/>
    <w:rsid w:val="00940731"/>
    <w:rsid w:val="00951197"/>
    <w:rsid w:val="00955454"/>
    <w:rsid w:val="00960D69"/>
    <w:rsid w:val="00961B9C"/>
    <w:rsid w:val="009653FA"/>
    <w:rsid w:val="009702CB"/>
    <w:rsid w:val="00974EB3"/>
    <w:rsid w:val="0097529B"/>
    <w:rsid w:val="00986A5C"/>
    <w:rsid w:val="009957C5"/>
    <w:rsid w:val="00997D92"/>
    <w:rsid w:val="009A256B"/>
    <w:rsid w:val="009B20F7"/>
    <w:rsid w:val="009B5069"/>
    <w:rsid w:val="009B5E0A"/>
    <w:rsid w:val="009C34D6"/>
    <w:rsid w:val="009D1064"/>
    <w:rsid w:val="009D3ACC"/>
    <w:rsid w:val="009E211C"/>
    <w:rsid w:val="009E7788"/>
    <w:rsid w:val="009F4584"/>
    <w:rsid w:val="00A04749"/>
    <w:rsid w:val="00A071E1"/>
    <w:rsid w:val="00A12CA2"/>
    <w:rsid w:val="00A23333"/>
    <w:rsid w:val="00A303D6"/>
    <w:rsid w:val="00A309F1"/>
    <w:rsid w:val="00A36C59"/>
    <w:rsid w:val="00A4199A"/>
    <w:rsid w:val="00A42069"/>
    <w:rsid w:val="00A4234B"/>
    <w:rsid w:val="00A438B4"/>
    <w:rsid w:val="00A451D2"/>
    <w:rsid w:val="00A53674"/>
    <w:rsid w:val="00A536BF"/>
    <w:rsid w:val="00A53A80"/>
    <w:rsid w:val="00A565C7"/>
    <w:rsid w:val="00A635BF"/>
    <w:rsid w:val="00A6519B"/>
    <w:rsid w:val="00A7678D"/>
    <w:rsid w:val="00A858C4"/>
    <w:rsid w:val="00A9318F"/>
    <w:rsid w:val="00AB5681"/>
    <w:rsid w:val="00AB5DF4"/>
    <w:rsid w:val="00AC12A8"/>
    <w:rsid w:val="00AC1F70"/>
    <w:rsid w:val="00AC2418"/>
    <w:rsid w:val="00AC2C5C"/>
    <w:rsid w:val="00AD0BF1"/>
    <w:rsid w:val="00AD510D"/>
    <w:rsid w:val="00AE4C99"/>
    <w:rsid w:val="00B10465"/>
    <w:rsid w:val="00B12921"/>
    <w:rsid w:val="00B13747"/>
    <w:rsid w:val="00B2185D"/>
    <w:rsid w:val="00B226B3"/>
    <w:rsid w:val="00B327D8"/>
    <w:rsid w:val="00B34E59"/>
    <w:rsid w:val="00B3551F"/>
    <w:rsid w:val="00B359CE"/>
    <w:rsid w:val="00B4433E"/>
    <w:rsid w:val="00B44BB6"/>
    <w:rsid w:val="00B45272"/>
    <w:rsid w:val="00B50D36"/>
    <w:rsid w:val="00B50EF4"/>
    <w:rsid w:val="00B548D8"/>
    <w:rsid w:val="00B652BC"/>
    <w:rsid w:val="00B674E3"/>
    <w:rsid w:val="00B70C34"/>
    <w:rsid w:val="00B722B8"/>
    <w:rsid w:val="00B72E7F"/>
    <w:rsid w:val="00B76E78"/>
    <w:rsid w:val="00B868AD"/>
    <w:rsid w:val="00B87B48"/>
    <w:rsid w:val="00B95529"/>
    <w:rsid w:val="00BA1346"/>
    <w:rsid w:val="00BA45B9"/>
    <w:rsid w:val="00BA704B"/>
    <w:rsid w:val="00BB349B"/>
    <w:rsid w:val="00BB430B"/>
    <w:rsid w:val="00BD1B46"/>
    <w:rsid w:val="00BD3848"/>
    <w:rsid w:val="00BD4B24"/>
    <w:rsid w:val="00BD6CF7"/>
    <w:rsid w:val="00BE0E1F"/>
    <w:rsid w:val="00BE1BA5"/>
    <w:rsid w:val="00BE6052"/>
    <w:rsid w:val="00BE6C1A"/>
    <w:rsid w:val="00BE7616"/>
    <w:rsid w:val="00BF46D4"/>
    <w:rsid w:val="00BF741E"/>
    <w:rsid w:val="00C02B33"/>
    <w:rsid w:val="00C05046"/>
    <w:rsid w:val="00C056BE"/>
    <w:rsid w:val="00C16E0F"/>
    <w:rsid w:val="00C17EFA"/>
    <w:rsid w:val="00C20EBB"/>
    <w:rsid w:val="00C36958"/>
    <w:rsid w:val="00C36B89"/>
    <w:rsid w:val="00C3731F"/>
    <w:rsid w:val="00C412EE"/>
    <w:rsid w:val="00C46656"/>
    <w:rsid w:val="00C5776E"/>
    <w:rsid w:val="00C61F1F"/>
    <w:rsid w:val="00C64793"/>
    <w:rsid w:val="00C64F98"/>
    <w:rsid w:val="00C67F97"/>
    <w:rsid w:val="00C744AC"/>
    <w:rsid w:val="00C77A03"/>
    <w:rsid w:val="00C77AAD"/>
    <w:rsid w:val="00C83339"/>
    <w:rsid w:val="00C87CAC"/>
    <w:rsid w:val="00C93BCA"/>
    <w:rsid w:val="00C93C47"/>
    <w:rsid w:val="00C97412"/>
    <w:rsid w:val="00CA4E99"/>
    <w:rsid w:val="00CC2E8F"/>
    <w:rsid w:val="00CC3B0A"/>
    <w:rsid w:val="00CE025B"/>
    <w:rsid w:val="00CE4DD1"/>
    <w:rsid w:val="00CF04BA"/>
    <w:rsid w:val="00CF0634"/>
    <w:rsid w:val="00D0367A"/>
    <w:rsid w:val="00D107A8"/>
    <w:rsid w:val="00D120E4"/>
    <w:rsid w:val="00D127E2"/>
    <w:rsid w:val="00D30B39"/>
    <w:rsid w:val="00D31D70"/>
    <w:rsid w:val="00D439F5"/>
    <w:rsid w:val="00D44904"/>
    <w:rsid w:val="00D5526B"/>
    <w:rsid w:val="00D67B9F"/>
    <w:rsid w:val="00D83F6F"/>
    <w:rsid w:val="00D90B9F"/>
    <w:rsid w:val="00DA71A0"/>
    <w:rsid w:val="00DB1A42"/>
    <w:rsid w:val="00DB207B"/>
    <w:rsid w:val="00DB4B20"/>
    <w:rsid w:val="00DC06D6"/>
    <w:rsid w:val="00DC14B6"/>
    <w:rsid w:val="00DC3F72"/>
    <w:rsid w:val="00DC63E1"/>
    <w:rsid w:val="00DD3C2C"/>
    <w:rsid w:val="00DE1797"/>
    <w:rsid w:val="00DE2BD2"/>
    <w:rsid w:val="00DE33FF"/>
    <w:rsid w:val="00DE69C8"/>
    <w:rsid w:val="00DF4478"/>
    <w:rsid w:val="00DF694E"/>
    <w:rsid w:val="00E032EA"/>
    <w:rsid w:val="00E06C42"/>
    <w:rsid w:val="00E06DFB"/>
    <w:rsid w:val="00E07235"/>
    <w:rsid w:val="00E1671E"/>
    <w:rsid w:val="00E3251F"/>
    <w:rsid w:val="00E33C9F"/>
    <w:rsid w:val="00E42FE4"/>
    <w:rsid w:val="00E615B0"/>
    <w:rsid w:val="00E65DAA"/>
    <w:rsid w:val="00E676E2"/>
    <w:rsid w:val="00E83595"/>
    <w:rsid w:val="00E84CD1"/>
    <w:rsid w:val="00E93F79"/>
    <w:rsid w:val="00E95E5B"/>
    <w:rsid w:val="00E9681D"/>
    <w:rsid w:val="00E979AB"/>
    <w:rsid w:val="00EA2CD5"/>
    <w:rsid w:val="00EA52A9"/>
    <w:rsid w:val="00EB676D"/>
    <w:rsid w:val="00EC05AD"/>
    <w:rsid w:val="00EC1771"/>
    <w:rsid w:val="00EC1C29"/>
    <w:rsid w:val="00EC39BC"/>
    <w:rsid w:val="00EE05D7"/>
    <w:rsid w:val="00EE140B"/>
    <w:rsid w:val="00EE3D94"/>
    <w:rsid w:val="00EE7E4B"/>
    <w:rsid w:val="00EF0849"/>
    <w:rsid w:val="00EF6F5F"/>
    <w:rsid w:val="00EF79CE"/>
    <w:rsid w:val="00EF7FBD"/>
    <w:rsid w:val="00F009D6"/>
    <w:rsid w:val="00F03BCB"/>
    <w:rsid w:val="00F1243E"/>
    <w:rsid w:val="00F15E19"/>
    <w:rsid w:val="00F1706B"/>
    <w:rsid w:val="00F17943"/>
    <w:rsid w:val="00F26D03"/>
    <w:rsid w:val="00F31408"/>
    <w:rsid w:val="00F37A64"/>
    <w:rsid w:val="00F50488"/>
    <w:rsid w:val="00F50B53"/>
    <w:rsid w:val="00F51D65"/>
    <w:rsid w:val="00F53D44"/>
    <w:rsid w:val="00F60F86"/>
    <w:rsid w:val="00F73489"/>
    <w:rsid w:val="00F76349"/>
    <w:rsid w:val="00F9009C"/>
    <w:rsid w:val="00F90D95"/>
    <w:rsid w:val="00F962FC"/>
    <w:rsid w:val="00F975D3"/>
    <w:rsid w:val="00FA4361"/>
    <w:rsid w:val="00FB0791"/>
    <w:rsid w:val="00FB3F7A"/>
    <w:rsid w:val="00FB5E79"/>
    <w:rsid w:val="00FB7EC6"/>
    <w:rsid w:val="00FC1E8F"/>
    <w:rsid w:val="00FC2396"/>
    <w:rsid w:val="00FC23A6"/>
    <w:rsid w:val="00FC4F16"/>
    <w:rsid w:val="00FC7831"/>
    <w:rsid w:val="00FD153E"/>
    <w:rsid w:val="00FD7245"/>
    <w:rsid w:val="00FE5CE6"/>
    <w:rsid w:val="00FF0459"/>
    <w:rsid w:val="00FF1158"/>
    <w:rsid w:val="00FF31F5"/>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FE1189"/>
  <w15:docId w15:val="{C885E481-7C23-4D12-BF1C-6E74EB71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A36"/>
    <w:rPr>
      <w:color w:val="0000FF" w:themeColor="hyperlink"/>
      <w:u w:val="single"/>
    </w:rPr>
  </w:style>
  <w:style w:type="character" w:styleId="CommentReference">
    <w:name w:val="annotation reference"/>
    <w:uiPriority w:val="99"/>
    <w:rsid w:val="003F69DD"/>
    <w:rPr>
      <w:rFonts w:cs="Times New Roman"/>
      <w:sz w:val="16"/>
      <w:szCs w:val="16"/>
    </w:rPr>
  </w:style>
  <w:style w:type="paragraph" w:styleId="CommentText">
    <w:name w:val="annotation text"/>
    <w:basedOn w:val="Normal"/>
    <w:link w:val="CommentTextChar"/>
    <w:uiPriority w:val="99"/>
    <w:rsid w:val="003F69DD"/>
    <w:rPr>
      <w:rFonts w:eastAsia="Times New Roman"/>
      <w:sz w:val="20"/>
      <w:szCs w:val="20"/>
      <w:lang w:eastAsia="de-DE"/>
    </w:rPr>
  </w:style>
  <w:style w:type="character" w:customStyle="1" w:styleId="CommentTextChar">
    <w:name w:val="Comment Text Char"/>
    <w:basedOn w:val="DefaultParagraphFont"/>
    <w:link w:val="CommentText"/>
    <w:uiPriority w:val="99"/>
    <w:rsid w:val="003F69DD"/>
    <w:rPr>
      <w:rFonts w:ascii="Times New Roman" w:eastAsia="Times New Roman" w:hAnsi="Times New Roman" w:cs="Times New Roman"/>
      <w:sz w:val="20"/>
      <w:szCs w:val="20"/>
      <w:lang w:val="da-DK" w:eastAsia="de-DE"/>
    </w:rPr>
  </w:style>
  <w:style w:type="paragraph" w:styleId="BalloonText">
    <w:name w:val="Balloon Text"/>
    <w:basedOn w:val="Normal"/>
    <w:link w:val="BalloonTextChar"/>
    <w:unhideWhenUsed/>
    <w:rsid w:val="003F69DD"/>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3F69DD"/>
    <w:rPr>
      <w:rFonts w:ascii="Segoe UI" w:hAnsi="Segoe UI" w:cs="Segoe UI"/>
      <w:sz w:val="18"/>
      <w:szCs w:val="18"/>
      <w:lang w:val="da-DK"/>
    </w:rPr>
  </w:style>
  <w:style w:type="paragraph" w:styleId="CommentSubject">
    <w:name w:val="annotation subject"/>
    <w:basedOn w:val="CommentText"/>
    <w:next w:val="CommentText"/>
    <w:link w:val="CommentSubjectChar"/>
    <w:unhideWhenUsed/>
    <w:rsid w:val="0061532F"/>
    <w:rPr>
      <w:rFonts w:eastAsiaTheme="minorHAnsi"/>
      <w:b/>
      <w:bCs/>
      <w:lang w:eastAsia="en-US"/>
    </w:rPr>
  </w:style>
  <w:style w:type="character" w:customStyle="1" w:styleId="CommentSubjectChar">
    <w:name w:val="Comment Subject Char"/>
    <w:basedOn w:val="CommentTextChar"/>
    <w:link w:val="CommentSubject"/>
    <w:rsid w:val="0061532F"/>
    <w:rPr>
      <w:rFonts w:ascii="Times New Roman" w:eastAsia="Times New Roman" w:hAnsi="Times New Roman" w:cs="Times New Roman"/>
      <w:b/>
      <w:bCs/>
      <w:sz w:val="20"/>
      <w:szCs w:val="20"/>
      <w:lang w:val="da-DK" w:eastAsia="de-DE"/>
    </w:rPr>
  </w:style>
  <w:style w:type="paragraph" w:styleId="ListBullet">
    <w:name w:val="List Bullet"/>
    <w:basedOn w:val="Normal"/>
    <w:uiPriority w:val="99"/>
    <w:unhideWhenUsed/>
    <w:rsid w:val="009141D2"/>
    <w:pPr>
      <w:numPr>
        <w:numId w:val="1"/>
      </w:numPr>
      <w:contextualSpacing/>
    </w:pPr>
  </w:style>
  <w:style w:type="paragraph" w:styleId="ListBullet2">
    <w:name w:val="List Bullet 2"/>
    <w:basedOn w:val="Normal"/>
    <w:uiPriority w:val="99"/>
    <w:unhideWhenUsed/>
    <w:rsid w:val="009141D2"/>
    <w:pPr>
      <w:numPr>
        <w:numId w:val="2"/>
      </w:numPr>
      <w:contextualSpacing/>
    </w:pPr>
  </w:style>
  <w:style w:type="paragraph" w:styleId="ListBullet3">
    <w:name w:val="List Bullet 3"/>
    <w:basedOn w:val="Normal"/>
    <w:uiPriority w:val="99"/>
    <w:unhideWhenUsed/>
    <w:rsid w:val="009141D2"/>
    <w:pPr>
      <w:numPr>
        <w:numId w:val="3"/>
      </w:numPr>
      <w:contextualSpacing/>
    </w:pPr>
  </w:style>
  <w:style w:type="paragraph" w:styleId="ListBullet4">
    <w:name w:val="List Bullet 4"/>
    <w:basedOn w:val="Normal"/>
    <w:uiPriority w:val="99"/>
    <w:unhideWhenUsed/>
    <w:rsid w:val="009141D2"/>
    <w:pPr>
      <w:numPr>
        <w:numId w:val="4"/>
      </w:numPr>
      <w:contextualSpacing/>
    </w:pPr>
  </w:style>
  <w:style w:type="paragraph" w:styleId="Revision">
    <w:name w:val="Revision"/>
    <w:hidden/>
    <w:uiPriority w:val="99"/>
    <w:semiHidden/>
    <w:rsid w:val="006E13EE"/>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24EDF"/>
    <w:pPr>
      <w:ind w:left="720"/>
      <w:contextualSpacing/>
    </w:pPr>
  </w:style>
  <w:style w:type="character" w:customStyle="1" w:styleId="super">
    <w:name w:val="super"/>
    <w:basedOn w:val="DefaultParagraphFont"/>
    <w:rsid w:val="00A451D2"/>
  </w:style>
  <w:style w:type="paragraph" w:customStyle="1" w:styleId="Default">
    <w:name w:val="Default"/>
    <w:rsid w:val="002879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CoverPage">
    <w:name w:val="Footer Cover Page"/>
    <w:basedOn w:val="Normal"/>
    <w:link w:val="FooterCoverPageChar"/>
    <w:rsid w:val="00DF4478"/>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DF4478"/>
    <w:rPr>
      <w:rFonts w:ascii="Times New Roman" w:hAnsi="Times New Roman" w:cs="Times New Roman"/>
      <w:sz w:val="24"/>
      <w:lang w:val="da-DK"/>
    </w:rPr>
  </w:style>
  <w:style w:type="character" w:customStyle="1" w:styleId="FooterSensitivityChar">
    <w:name w:val="Footer Sensitivity Char"/>
    <w:basedOn w:val="DefaultParagraphFont"/>
    <w:rsid w:val="00DF4478"/>
    <w:rPr>
      <w:rFonts w:ascii="Times New Roman" w:hAnsi="Times New Roman" w:cs="Times New Roman"/>
      <w:b/>
      <w:sz w:val="32"/>
      <w:lang w:val="da-DK"/>
    </w:rPr>
  </w:style>
  <w:style w:type="paragraph" w:customStyle="1" w:styleId="HeaderCoverPage">
    <w:name w:val="Header Cover Page"/>
    <w:basedOn w:val="Normal"/>
    <w:link w:val="HeaderCoverPageChar"/>
    <w:rsid w:val="00DF4478"/>
    <w:pPr>
      <w:tabs>
        <w:tab w:val="center" w:pos="4535"/>
        <w:tab w:val="right" w:pos="9071"/>
      </w:tabs>
      <w:spacing w:before="0"/>
    </w:pPr>
  </w:style>
  <w:style w:type="character" w:customStyle="1" w:styleId="HeaderCoverPageChar">
    <w:name w:val="Header Cover Page Char"/>
    <w:basedOn w:val="DefaultParagraphFont"/>
    <w:link w:val="HeaderCoverPage"/>
    <w:rsid w:val="00DF4478"/>
    <w:rPr>
      <w:rFonts w:ascii="Times New Roman" w:hAnsi="Times New Roman" w:cs="Times New Roman"/>
      <w:sz w:val="24"/>
      <w:lang w:val="da-DK"/>
    </w:rPr>
  </w:style>
  <w:style w:type="character" w:customStyle="1" w:styleId="HeaderSensitivityChar">
    <w:name w:val="Header Sensitivity Char"/>
    <w:basedOn w:val="DefaultParagraphFont"/>
    <w:rsid w:val="00DF4478"/>
    <w:rPr>
      <w:rFonts w:ascii="Times New Roman" w:hAnsi="Times New Roman" w:cs="Times New Roman"/>
      <w:b/>
      <w:sz w:val="32"/>
      <w:lang w:val="da-DK"/>
    </w:rPr>
  </w:style>
  <w:style w:type="character" w:customStyle="1" w:styleId="HeaderSensitivityRightChar">
    <w:name w:val="Header Sensitivity Right Char"/>
    <w:basedOn w:val="DefaultParagraphFont"/>
    <w:rsid w:val="00DF4478"/>
    <w:rPr>
      <w:rFonts w:ascii="Times New Roman" w:hAnsi="Times New Roman" w:cs="Times New Roman"/>
      <w:sz w:val="28"/>
      <w:lang w:val="da-DK"/>
    </w:rPr>
  </w:style>
  <w:style w:type="paragraph" w:styleId="ListNumber">
    <w:name w:val="List Number"/>
    <w:basedOn w:val="Normal"/>
    <w:uiPriority w:val="99"/>
    <w:rsid w:val="00DF4478"/>
    <w:pPr>
      <w:numPr>
        <w:numId w:val="9"/>
      </w:numPr>
    </w:pPr>
    <w:rPr>
      <w:lang w:eastAsia="en-GB"/>
    </w:rPr>
  </w:style>
  <w:style w:type="paragraph" w:customStyle="1" w:styleId="ListBullet1">
    <w:name w:val="List Bullet 1"/>
    <w:basedOn w:val="Normal"/>
    <w:rsid w:val="00DF4478"/>
    <w:pPr>
      <w:numPr>
        <w:numId w:val="5"/>
      </w:numPr>
    </w:pPr>
    <w:rPr>
      <w:lang w:eastAsia="en-GB"/>
    </w:rPr>
  </w:style>
  <w:style w:type="paragraph" w:customStyle="1" w:styleId="ListDash">
    <w:name w:val="List Dash"/>
    <w:basedOn w:val="Normal"/>
    <w:rsid w:val="00DF4478"/>
    <w:pPr>
      <w:numPr>
        <w:numId w:val="6"/>
      </w:numPr>
    </w:pPr>
    <w:rPr>
      <w:lang w:eastAsia="en-GB"/>
    </w:rPr>
  </w:style>
  <w:style w:type="paragraph" w:customStyle="1" w:styleId="ListDash1">
    <w:name w:val="List Dash 1"/>
    <w:basedOn w:val="Normal"/>
    <w:rsid w:val="00DF4478"/>
    <w:pPr>
      <w:numPr>
        <w:numId w:val="7"/>
      </w:numPr>
    </w:pPr>
    <w:rPr>
      <w:lang w:eastAsia="en-GB"/>
    </w:rPr>
  </w:style>
  <w:style w:type="paragraph" w:customStyle="1" w:styleId="ListDash2">
    <w:name w:val="List Dash 2"/>
    <w:basedOn w:val="Normal"/>
    <w:rsid w:val="00DF4478"/>
    <w:pPr>
      <w:numPr>
        <w:numId w:val="8"/>
      </w:numPr>
    </w:pPr>
    <w:rPr>
      <w:lang w:eastAsia="en-GB"/>
    </w:rPr>
  </w:style>
  <w:style w:type="paragraph" w:customStyle="1" w:styleId="ListNumberLevel2">
    <w:name w:val="List Number (Level 2)"/>
    <w:basedOn w:val="Normal"/>
    <w:rsid w:val="00DF4478"/>
    <w:pPr>
      <w:numPr>
        <w:ilvl w:val="1"/>
        <w:numId w:val="9"/>
      </w:numPr>
    </w:pPr>
    <w:rPr>
      <w:lang w:eastAsia="en-GB"/>
    </w:rPr>
  </w:style>
  <w:style w:type="paragraph" w:customStyle="1" w:styleId="ListNumberLevel3">
    <w:name w:val="List Number (Level 3)"/>
    <w:basedOn w:val="Normal"/>
    <w:rsid w:val="00DF4478"/>
    <w:pPr>
      <w:numPr>
        <w:ilvl w:val="2"/>
        <w:numId w:val="9"/>
      </w:numPr>
    </w:pPr>
    <w:rPr>
      <w:lang w:eastAsia="en-GB"/>
    </w:rPr>
  </w:style>
  <w:style w:type="paragraph" w:customStyle="1" w:styleId="ListNumberLevel4">
    <w:name w:val="List Number (Level 4)"/>
    <w:basedOn w:val="Normal"/>
    <w:rsid w:val="00DF4478"/>
    <w:pPr>
      <w:numPr>
        <w:ilvl w:val="3"/>
        <w:numId w:val="9"/>
      </w:numPr>
    </w:pPr>
    <w:rPr>
      <w:lang w:eastAsia="en-GB"/>
    </w:rPr>
  </w:style>
  <w:style w:type="paragraph" w:styleId="Caption">
    <w:name w:val="caption"/>
    <w:basedOn w:val="Normal"/>
    <w:next w:val="Normal"/>
    <w:qFormat/>
    <w:rsid w:val="00DF4478"/>
    <w:rPr>
      <w:b/>
      <w:bCs/>
      <w:sz w:val="20"/>
      <w:lang w:eastAsia="en-GB"/>
    </w:rPr>
  </w:style>
  <w:style w:type="paragraph" w:styleId="TableofFigures">
    <w:name w:val="table of figures"/>
    <w:basedOn w:val="Normal"/>
    <w:next w:val="Normal"/>
    <w:uiPriority w:val="99"/>
    <w:rsid w:val="00DF4478"/>
    <w:rPr>
      <w:lang w:eastAsia="en-GB"/>
    </w:rPr>
  </w:style>
  <w:style w:type="paragraph" w:styleId="ListNumber2">
    <w:name w:val="List Number 2"/>
    <w:basedOn w:val="Normal"/>
    <w:uiPriority w:val="99"/>
    <w:rsid w:val="00DF4478"/>
    <w:pPr>
      <w:numPr>
        <w:numId w:val="10"/>
      </w:numPr>
      <w:contextualSpacing/>
    </w:pPr>
    <w:rPr>
      <w:lang w:eastAsia="en-GB"/>
    </w:rPr>
  </w:style>
  <w:style w:type="paragraph" w:styleId="ListNumber3">
    <w:name w:val="List Number 3"/>
    <w:basedOn w:val="Normal"/>
    <w:uiPriority w:val="99"/>
    <w:rsid w:val="00DF4478"/>
    <w:pPr>
      <w:numPr>
        <w:numId w:val="11"/>
      </w:numPr>
      <w:contextualSpacing/>
    </w:pPr>
    <w:rPr>
      <w:lang w:eastAsia="en-GB"/>
    </w:rPr>
  </w:style>
  <w:style w:type="paragraph" w:styleId="ListNumber4">
    <w:name w:val="List Number 4"/>
    <w:basedOn w:val="Normal"/>
    <w:uiPriority w:val="99"/>
    <w:rsid w:val="00DF4478"/>
    <w:pPr>
      <w:numPr>
        <w:numId w:val="12"/>
      </w:numPr>
      <w:contextualSpacing/>
    </w:pPr>
    <w:rPr>
      <w:lang w:eastAsia="en-GB"/>
    </w:rPr>
  </w:style>
  <w:style w:type="paragraph" w:customStyle="1" w:styleId="Sous-titreobjet">
    <w:name w:val="Sous-titre objet"/>
    <w:basedOn w:val="Normal"/>
    <w:rsid w:val="00DF4478"/>
    <w:pPr>
      <w:spacing w:before="0" w:after="0"/>
      <w:jc w:val="center"/>
    </w:pPr>
    <w:rPr>
      <w:b/>
      <w:lang w:eastAsia="en-GB"/>
    </w:rPr>
  </w:style>
  <w:style w:type="paragraph" w:customStyle="1" w:styleId="Sous-titreobjetPagedecouverture">
    <w:name w:val="Sous-titre objet (Page de couverture)"/>
    <w:basedOn w:val="Sous-titreobjet"/>
    <w:rsid w:val="00DF4478"/>
  </w:style>
  <w:style w:type="character" w:styleId="FollowedHyperlink">
    <w:name w:val="FollowedHyperlink"/>
    <w:uiPriority w:val="99"/>
    <w:rsid w:val="00DF4478"/>
    <w:rPr>
      <w:color w:val="800080"/>
      <w:u w:val="single"/>
    </w:rPr>
  </w:style>
  <w:style w:type="character" w:customStyle="1" w:styleId="TOCHeadingChar">
    <w:name w:val="TOC Heading Char"/>
    <w:basedOn w:val="DefaultParagraphFont"/>
    <w:uiPriority w:val="39"/>
    <w:rsid w:val="00DF4478"/>
    <w:rPr>
      <w:rFonts w:ascii="Times New Roman" w:hAnsi="Times New Roman" w:cs="Times New Roman"/>
      <w:b/>
      <w:sz w:val="28"/>
      <w:lang w:val="da-DK"/>
    </w:rPr>
  </w:style>
  <w:style w:type="numbering" w:customStyle="1" w:styleId="NoList1">
    <w:name w:val="No List1"/>
    <w:next w:val="NoList"/>
    <w:uiPriority w:val="99"/>
    <w:semiHidden/>
    <w:unhideWhenUsed/>
    <w:rsid w:val="00553841"/>
  </w:style>
  <w:style w:type="paragraph" w:customStyle="1" w:styleId="Heading11">
    <w:name w:val="Heading 11"/>
    <w:basedOn w:val="Normal"/>
    <w:next w:val="Text1"/>
    <w:uiPriority w:val="9"/>
    <w:qFormat/>
    <w:rsid w:val="00553841"/>
    <w:pPr>
      <w:keepNext/>
      <w:tabs>
        <w:tab w:val="num" w:pos="850"/>
      </w:tabs>
      <w:spacing w:before="360"/>
      <w:ind w:left="850" w:hanging="850"/>
      <w:outlineLvl w:val="0"/>
    </w:pPr>
    <w:rPr>
      <w:rFonts w:eastAsia="Times New Roman"/>
      <w:b/>
      <w:bCs/>
      <w:smallCaps/>
      <w:szCs w:val="28"/>
    </w:rPr>
  </w:style>
  <w:style w:type="paragraph" w:customStyle="1" w:styleId="Heading21">
    <w:name w:val="Heading 21"/>
    <w:basedOn w:val="Normal"/>
    <w:next w:val="Text1"/>
    <w:uiPriority w:val="9"/>
    <w:semiHidden/>
    <w:unhideWhenUsed/>
    <w:qFormat/>
    <w:rsid w:val="00553841"/>
    <w:pPr>
      <w:keepNext/>
      <w:tabs>
        <w:tab w:val="num" w:pos="850"/>
      </w:tabs>
      <w:ind w:left="850" w:hanging="850"/>
      <w:outlineLvl w:val="1"/>
    </w:pPr>
    <w:rPr>
      <w:rFonts w:eastAsia="Times New Roman"/>
      <w:b/>
      <w:bCs/>
      <w:szCs w:val="26"/>
    </w:rPr>
  </w:style>
  <w:style w:type="paragraph" w:customStyle="1" w:styleId="Heading31">
    <w:name w:val="Heading 31"/>
    <w:basedOn w:val="Normal"/>
    <w:next w:val="Text1"/>
    <w:uiPriority w:val="9"/>
    <w:semiHidden/>
    <w:unhideWhenUsed/>
    <w:qFormat/>
    <w:rsid w:val="00553841"/>
    <w:pPr>
      <w:keepNext/>
      <w:tabs>
        <w:tab w:val="num" w:pos="850"/>
      </w:tabs>
      <w:ind w:left="850" w:hanging="850"/>
      <w:outlineLvl w:val="2"/>
    </w:pPr>
    <w:rPr>
      <w:rFonts w:eastAsia="Times New Roman"/>
      <w:bCs/>
      <w:i/>
    </w:rPr>
  </w:style>
  <w:style w:type="paragraph" w:customStyle="1" w:styleId="Heading41">
    <w:name w:val="Heading 41"/>
    <w:basedOn w:val="Normal"/>
    <w:next w:val="Text1"/>
    <w:uiPriority w:val="9"/>
    <w:semiHidden/>
    <w:unhideWhenUsed/>
    <w:qFormat/>
    <w:rsid w:val="00553841"/>
    <w:pPr>
      <w:keepNext/>
      <w:tabs>
        <w:tab w:val="num" w:pos="850"/>
      </w:tabs>
      <w:ind w:left="850" w:hanging="850"/>
      <w:outlineLvl w:val="3"/>
    </w:pPr>
    <w:rPr>
      <w:rFonts w:eastAsia="Times New Roman"/>
      <w:bCs/>
      <w:iCs/>
    </w:rPr>
  </w:style>
  <w:style w:type="paragraph" w:customStyle="1" w:styleId="Heading51">
    <w:name w:val="Heading 51"/>
    <w:basedOn w:val="Normal"/>
    <w:next w:val="Text2"/>
    <w:uiPriority w:val="9"/>
    <w:semiHidden/>
    <w:unhideWhenUsed/>
    <w:qFormat/>
    <w:rsid w:val="00553841"/>
    <w:pPr>
      <w:keepNext/>
      <w:tabs>
        <w:tab w:val="num" w:pos="1417"/>
      </w:tabs>
      <w:ind w:left="1417" w:hanging="1417"/>
      <w:outlineLvl w:val="4"/>
    </w:pPr>
    <w:rPr>
      <w:rFonts w:eastAsia="Times New Roman"/>
    </w:rPr>
  </w:style>
  <w:style w:type="paragraph" w:customStyle="1" w:styleId="Heading61">
    <w:name w:val="Heading 61"/>
    <w:basedOn w:val="Normal"/>
    <w:next w:val="Text2"/>
    <w:uiPriority w:val="9"/>
    <w:semiHidden/>
    <w:unhideWhenUsed/>
    <w:qFormat/>
    <w:rsid w:val="00553841"/>
    <w:pPr>
      <w:keepNext/>
      <w:tabs>
        <w:tab w:val="num" w:pos="1417"/>
      </w:tabs>
      <w:ind w:left="1417" w:hanging="1417"/>
      <w:outlineLvl w:val="5"/>
    </w:pPr>
    <w:rPr>
      <w:rFonts w:eastAsia="Times New Roman"/>
      <w:iCs/>
    </w:rPr>
  </w:style>
  <w:style w:type="paragraph" w:customStyle="1" w:styleId="Heading71">
    <w:name w:val="Heading 71"/>
    <w:basedOn w:val="Normal"/>
    <w:next w:val="Text2"/>
    <w:uiPriority w:val="9"/>
    <w:semiHidden/>
    <w:unhideWhenUsed/>
    <w:qFormat/>
    <w:rsid w:val="00553841"/>
    <w:pPr>
      <w:keepNext/>
      <w:tabs>
        <w:tab w:val="num" w:pos="1417"/>
      </w:tabs>
      <w:ind w:left="1417" w:hanging="1417"/>
      <w:outlineLvl w:val="6"/>
    </w:pPr>
    <w:rPr>
      <w:rFonts w:eastAsia="Times New Roman"/>
      <w:iCs/>
    </w:rPr>
  </w:style>
  <w:style w:type="numbering" w:customStyle="1" w:styleId="NoList11">
    <w:name w:val="No List11"/>
    <w:next w:val="NoList"/>
    <w:uiPriority w:val="99"/>
    <w:semiHidden/>
    <w:unhideWhenUsed/>
    <w:rsid w:val="00553841"/>
  </w:style>
  <w:style w:type="table" w:styleId="TableGrid">
    <w:name w:val="Table Grid"/>
    <w:basedOn w:val="TableNormal"/>
    <w:rsid w:val="0055384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53841"/>
    <w:rPr>
      <w:rFonts w:cs="Times New Roman"/>
      <w:lang w:val="da-DK" w:eastAsia="en-GB"/>
    </w:rPr>
  </w:style>
  <w:style w:type="character" w:customStyle="1" w:styleId="tw4winMark">
    <w:name w:val="tw4winMark"/>
    <w:rsid w:val="00553841"/>
    <w:rPr>
      <w:rFonts w:ascii="Times New Roman" w:hAnsi="Times New Roman"/>
      <w:vanish/>
      <w:color w:val="800080"/>
      <w:sz w:val="24"/>
      <w:vertAlign w:val="subscript"/>
      <w:lang w:val="da-DK" w:eastAsia="en-GB"/>
    </w:rPr>
  </w:style>
  <w:style w:type="character" w:customStyle="1" w:styleId="tw4winError">
    <w:name w:val="tw4winError"/>
    <w:rsid w:val="00553841"/>
    <w:rPr>
      <w:color w:val="00FF00"/>
      <w:sz w:val="40"/>
      <w:lang w:val="da-DK" w:eastAsia="en-GB"/>
    </w:rPr>
  </w:style>
  <w:style w:type="character" w:customStyle="1" w:styleId="tw4winTerm">
    <w:name w:val="tw4winTerm"/>
    <w:rsid w:val="00553841"/>
    <w:rPr>
      <w:color w:val="0000FF"/>
      <w:lang w:val="da-DK" w:eastAsia="en-GB"/>
    </w:rPr>
  </w:style>
  <w:style w:type="character" w:customStyle="1" w:styleId="tw4winPopup">
    <w:name w:val="tw4winPopup"/>
    <w:rsid w:val="00553841"/>
    <w:rPr>
      <w:noProof/>
      <w:color w:val="008000"/>
      <w:lang w:val="da-DK" w:eastAsia="en-GB"/>
    </w:rPr>
  </w:style>
  <w:style w:type="character" w:customStyle="1" w:styleId="tw4winJump">
    <w:name w:val="tw4winJump"/>
    <w:rsid w:val="00553841"/>
    <w:rPr>
      <w:noProof/>
      <w:color w:val="008080"/>
      <w:lang w:val="da-DK" w:eastAsia="en-GB"/>
    </w:rPr>
  </w:style>
  <w:style w:type="character" w:customStyle="1" w:styleId="tw4winExternal">
    <w:name w:val="tw4winExternal"/>
    <w:rsid w:val="00553841"/>
    <w:rPr>
      <w:noProof/>
      <w:color w:val="808080"/>
      <w:lang w:val="da-DK" w:eastAsia="en-GB"/>
    </w:rPr>
  </w:style>
  <w:style w:type="character" w:customStyle="1" w:styleId="tw4winInternal">
    <w:name w:val="tw4winInternal"/>
    <w:rsid w:val="00553841"/>
    <w:rPr>
      <w:noProof/>
      <w:color w:val="FF0000"/>
      <w:lang w:val="da-DK" w:eastAsia="en-GB"/>
    </w:rPr>
  </w:style>
  <w:style w:type="character" w:customStyle="1" w:styleId="DONOTTRANSLATE">
    <w:name w:val="DO_NOT_TRANSLATE"/>
    <w:rsid w:val="00553841"/>
    <w:rPr>
      <w:noProof/>
      <w:color w:val="800000"/>
      <w:lang w:val="da-DK" w:eastAsia="en-GB"/>
    </w:rPr>
  </w:style>
  <w:style w:type="character" w:customStyle="1" w:styleId="FollowedHyperlink1">
    <w:name w:val="FollowedHyperlink1"/>
    <w:basedOn w:val="DefaultParagraphFont"/>
    <w:uiPriority w:val="99"/>
    <w:semiHidden/>
    <w:unhideWhenUsed/>
    <w:rsid w:val="00553841"/>
    <w:rPr>
      <w:color w:val="800080"/>
      <w:u w:val="single"/>
    </w:rPr>
  </w:style>
  <w:style w:type="paragraph" w:customStyle="1" w:styleId="Caption1">
    <w:name w:val="Caption1"/>
    <w:basedOn w:val="Normal"/>
    <w:next w:val="Normal"/>
    <w:uiPriority w:val="35"/>
    <w:semiHidden/>
    <w:unhideWhenUsed/>
    <w:qFormat/>
    <w:rsid w:val="00553841"/>
    <w:pPr>
      <w:spacing w:before="0" w:after="200"/>
    </w:pPr>
    <w:rPr>
      <w:i/>
      <w:iCs/>
      <w:color w:val="1F497D"/>
      <w:sz w:val="18"/>
      <w:szCs w:val="18"/>
    </w:rPr>
  </w:style>
  <w:style w:type="character" w:customStyle="1" w:styleId="Heading1Char1">
    <w:name w:val="Heading 1 Char1"/>
    <w:basedOn w:val="DefaultParagraphFont"/>
    <w:uiPriority w:val="9"/>
    <w:rsid w:val="00553841"/>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553841"/>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553841"/>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553841"/>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553841"/>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553841"/>
    <w:rPr>
      <w:rFonts w:ascii="Calibri Light" w:eastAsia="Times New Roman" w:hAnsi="Calibri Light" w:cs="Times New Roman"/>
      <w:color w:val="1F4D78"/>
    </w:rPr>
  </w:style>
  <w:style w:type="character" w:customStyle="1" w:styleId="Heading7Char1">
    <w:name w:val="Heading 7 Char1"/>
    <w:basedOn w:val="DefaultParagraphFont"/>
    <w:uiPriority w:val="9"/>
    <w:semiHidden/>
    <w:rsid w:val="00553841"/>
    <w:rPr>
      <w:rFonts w:ascii="Calibri Light" w:eastAsia="Times New Roman" w:hAnsi="Calibri Light" w:cs="Times New Roman"/>
      <w:i/>
      <w:iCs/>
      <w:color w:val="1F4D78"/>
    </w:rPr>
  </w:style>
  <w:style w:type="character" w:customStyle="1" w:styleId="UnresolvedMention1">
    <w:name w:val="Unresolved Mention1"/>
    <w:basedOn w:val="DefaultParagraphFont"/>
    <w:uiPriority w:val="99"/>
    <w:semiHidden/>
    <w:unhideWhenUsed/>
    <w:rsid w:val="00C056BE"/>
    <w:rPr>
      <w:color w:val="605E5C"/>
      <w:shd w:val="clear" w:color="auto" w:fill="E1DFDD"/>
    </w:rPr>
  </w:style>
  <w:style w:type="character" w:customStyle="1" w:styleId="InstructionRed">
    <w:name w:val="InstructionRed"/>
    <w:uiPriority w:val="1"/>
    <w:rsid w:val="00AC12A8"/>
    <w:rPr>
      <w:i/>
      <w:color w:val="CB3535"/>
    </w:rPr>
  </w:style>
  <w:style w:type="paragraph" w:styleId="Header">
    <w:name w:val="header"/>
    <w:basedOn w:val="Normal"/>
    <w:link w:val="HeaderChar"/>
    <w:uiPriority w:val="99"/>
    <w:unhideWhenUsed/>
    <w:rsid w:val="007A795C"/>
    <w:pPr>
      <w:tabs>
        <w:tab w:val="center" w:pos="4535"/>
        <w:tab w:val="right" w:pos="9071"/>
      </w:tabs>
      <w:spacing w:before="0"/>
    </w:pPr>
  </w:style>
  <w:style w:type="character" w:customStyle="1" w:styleId="HeaderChar">
    <w:name w:val="Header Char"/>
    <w:basedOn w:val="DefaultParagraphFont"/>
    <w:link w:val="Header"/>
    <w:uiPriority w:val="99"/>
    <w:rsid w:val="007A795C"/>
    <w:rPr>
      <w:rFonts w:ascii="Times New Roman" w:hAnsi="Times New Roman" w:cs="Times New Roman"/>
      <w:sz w:val="24"/>
      <w:lang w:val="da-DK"/>
    </w:rPr>
  </w:style>
  <w:style w:type="paragraph" w:styleId="Footer">
    <w:name w:val="footer"/>
    <w:basedOn w:val="Normal"/>
    <w:link w:val="FooterChar"/>
    <w:uiPriority w:val="99"/>
    <w:unhideWhenUsed/>
    <w:rsid w:val="007A795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A795C"/>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A795C"/>
    <w:pPr>
      <w:tabs>
        <w:tab w:val="center" w:pos="7285"/>
        <w:tab w:val="right" w:pos="14003"/>
      </w:tabs>
      <w:spacing w:before="0"/>
    </w:pPr>
  </w:style>
  <w:style w:type="paragraph" w:customStyle="1" w:styleId="FooterLandscape">
    <w:name w:val="FooterLandscape"/>
    <w:basedOn w:val="Normal"/>
    <w:rsid w:val="007A795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A795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A795C"/>
    <w:pPr>
      <w:spacing w:before="0"/>
      <w:jc w:val="right"/>
    </w:pPr>
    <w:rPr>
      <w:sz w:val="28"/>
    </w:rPr>
  </w:style>
  <w:style w:type="paragraph" w:customStyle="1" w:styleId="FooterSensitivity">
    <w:name w:val="Footer Sensitivity"/>
    <w:basedOn w:val="Normal"/>
    <w:rsid w:val="007A795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Tiret5">
    <w:name w:val="Tiret 5"/>
    <w:basedOn w:val="Point5"/>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NumPar5">
    <w:name w:val="NumPar 5"/>
    <w:basedOn w:val="Normal"/>
    <w:next w:val="Text2"/>
    <w:pPr>
      <w:numPr>
        <w:ilvl w:val="4"/>
        <w:numId w:val="21"/>
      </w:numPr>
    </w:pPr>
  </w:style>
  <w:style w:type="paragraph" w:customStyle="1" w:styleId="NumPar6">
    <w:name w:val="NumPar 6"/>
    <w:basedOn w:val="Normal"/>
    <w:next w:val="Text2"/>
    <w:pPr>
      <w:numPr>
        <w:ilvl w:val="5"/>
        <w:numId w:val="21"/>
      </w:numPr>
    </w:pPr>
  </w:style>
  <w:style w:type="paragraph" w:customStyle="1" w:styleId="NumPar7">
    <w:name w:val="NumPar 7"/>
    <w:basedOn w:val="Normal"/>
    <w:next w:val="Text2"/>
    <w:pPr>
      <w:numPr>
        <w:ilvl w:val="6"/>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D5526B"/>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7057">
      <w:bodyDiv w:val="1"/>
      <w:marLeft w:val="0"/>
      <w:marRight w:val="0"/>
      <w:marTop w:val="0"/>
      <w:marBottom w:val="0"/>
      <w:divBdr>
        <w:top w:val="none" w:sz="0" w:space="0" w:color="auto"/>
        <w:left w:val="none" w:sz="0" w:space="0" w:color="auto"/>
        <w:bottom w:val="none" w:sz="0" w:space="0" w:color="auto"/>
        <w:right w:val="none" w:sz="0" w:space="0" w:color="auto"/>
      </w:divBdr>
    </w:div>
    <w:div w:id="13567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r-lex.europa.eu/legal-content/DA/TXT/?uri=CELEX:52021DC05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fdbef3ee50b1532340ce198a39db8051">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9995e571ff646e7c305483716c723bce"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78F1ECA-D7D3-4022-80C4-FB8F8EF5BA0E}">
  <ds:schemaRefs>
    <ds:schemaRef ds:uri="http://schemas.microsoft.com/sharepoint/v3/contenttype/forms"/>
  </ds:schemaRefs>
</ds:datastoreItem>
</file>

<file path=customXml/itemProps2.xml><?xml version="1.0" encoding="utf-8"?>
<ds:datastoreItem xmlns:ds="http://schemas.openxmlformats.org/officeDocument/2006/customXml" ds:itemID="{6E94142D-5F9A-4AE1-AC5A-5B440BB0070F}">
  <ds:schemaRefs>
    <ds:schemaRef ds:uri="http://schemas.microsoft.com/office/2006/metadata/properties"/>
    <ds:schemaRef ds:uri="http://schemas.microsoft.com/office/infopath/2007/PartnerControls"/>
    <ds:schemaRef ds:uri="39d607b5-3019-4139-86e9-2e131faaffa8"/>
    <ds:schemaRef ds:uri="http://schemas.microsoft.com/sharepoint/v3/fields"/>
  </ds:schemaRefs>
</ds:datastoreItem>
</file>

<file path=customXml/itemProps3.xml><?xml version="1.0" encoding="utf-8"?>
<ds:datastoreItem xmlns:ds="http://schemas.openxmlformats.org/officeDocument/2006/customXml" ds:itemID="{9D8655B9-A11C-4308-9ABE-521EA9C3F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8642D-D8A4-42BE-9BD9-A813BCF5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24</Pages>
  <Words>4658</Words>
  <Characters>30138</Characters>
  <Application>Microsoft Office Word</Application>
  <DocSecurity>0</DocSecurity>
  <Lines>1674</Lines>
  <Paragraphs>599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39</cp:revision>
  <cp:lastPrinted>2022-09-13T08:34:00Z</cp:lastPrinted>
  <dcterms:created xsi:type="dcterms:W3CDTF">2023-11-17T16:04:00Z</dcterms:created>
  <dcterms:modified xsi:type="dcterms:W3CDTF">2023-11-21T17:52:00Z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MSIP_Label_6bd9ddd1-4d20-43f6-abfa-fc3c07406f94_Enabled">
    <vt:lpwstr>true</vt:lpwstr>
  </property>
  <property fmtid="{D5CDD505-2E9C-101B-9397-08002B2CF9AE}" pid="11" name="MSIP_Label_6bd9ddd1-4d20-43f6-abfa-fc3c07406f94_SetDate">
    <vt:lpwstr>2022-08-04T13:10:26Z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b0dc20ad-e91a-470c-8124-87e575293019</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y name="OP_sanitized" fmtid="{D5CDD505-2E9C-101B-9397-08002B2CF9AE}" pid="19">
    <vt:lpwstr>True</vt:lpwstr>
  </property>
</Properties>
</file>