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BFDAB" w14:textId="35373A80" w:rsidR="00C81935" w:rsidRPr="003F5961" w:rsidRDefault="009075E5" w:rsidP="009075E5">
      <w:pPr>
        <w:pStyle w:val="Pagedecouverture"/>
        <w:rPr>
          <w:noProof/>
        </w:rPr>
      </w:pPr>
      <w:r>
        <w:rPr>
          <w:noProof/>
        </w:rPr>
        <w:pict w14:anchorId="35060C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13F86AEB-0EB9-4A14-B688-46AEAB554C02" style="width:455.25pt;height:414pt">
            <v:imagedata r:id="rId7" o:title=""/>
          </v:shape>
        </w:pict>
      </w:r>
    </w:p>
    <w:p w14:paraId="0C9F5181" w14:textId="77777777" w:rsidR="00C81935" w:rsidRPr="003F5961" w:rsidRDefault="00C81935" w:rsidP="00C81935">
      <w:pPr>
        <w:rPr>
          <w:noProof/>
        </w:rPr>
        <w:sectPr w:rsidR="00C81935" w:rsidRPr="003F5961" w:rsidSect="009075E5">
          <w:footerReference w:type="default" r:id="rId8"/>
          <w:pgSz w:w="11907" w:h="16839"/>
          <w:pgMar w:top="1134" w:right="1417" w:bottom="1134" w:left="1417" w:header="709" w:footer="709" w:gutter="0"/>
          <w:pgNumType w:start="0"/>
          <w:cols w:space="720"/>
          <w:docGrid w:linePitch="360"/>
        </w:sectPr>
      </w:pPr>
    </w:p>
    <w:p w14:paraId="5706872C" w14:textId="77777777" w:rsidR="00C81935" w:rsidRPr="003F5961" w:rsidRDefault="00C81935" w:rsidP="00BB6B30">
      <w:pPr>
        <w:pStyle w:val="Exposdesmotifstitre"/>
        <w:rPr>
          <w:noProof/>
        </w:rPr>
      </w:pPr>
      <w:bookmarkStart w:id="0" w:name="_GoBack"/>
      <w:bookmarkEnd w:id="0"/>
      <w:r w:rsidRPr="003F5961">
        <w:rPr>
          <w:noProof/>
        </w:rPr>
        <w:lastRenderedPageBreak/>
        <w:t>BEGRUNDELSE</w:t>
      </w:r>
    </w:p>
    <w:p w14:paraId="307C7D80" w14:textId="77777777" w:rsidR="00C81935" w:rsidRPr="003F5961" w:rsidRDefault="00C81935" w:rsidP="00BB6B30">
      <w:pPr>
        <w:pStyle w:val="ManualHeading1"/>
        <w:rPr>
          <w:noProof/>
        </w:rPr>
      </w:pPr>
      <w:r w:rsidRPr="003F5961">
        <w:rPr>
          <w:noProof/>
        </w:rPr>
        <w:t>1.</w:t>
      </w:r>
      <w:r w:rsidRPr="003F5961">
        <w:rPr>
          <w:noProof/>
        </w:rPr>
        <w:tab/>
        <w:t>BAGGRUND FOR FORSLAGET</w:t>
      </w:r>
    </w:p>
    <w:p w14:paraId="32E75B29" w14:textId="77777777" w:rsidR="00C81935" w:rsidRPr="003F5961" w:rsidRDefault="00C81935" w:rsidP="00044058">
      <w:pPr>
        <w:pStyle w:val="ManualHeading2"/>
        <w:rPr>
          <w:rFonts w:eastAsia="Arial Unicode MS"/>
          <w:noProof/>
        </w:rPr>
      </w:pPr>
      <w:r w:rsidRPr="003F5961">
        <w:rPr>
          <w:noProof/>
          <w:color w:val="000000"/>
          <w:u w:color="000000"/>
          <w:bdr w:val="nil"/>
        </w:rPr>
        <w:t>•</w:t>
      </w:r>
      <w:r w:rsidRPr="003F5961">
        <w:rPr>
          <w:noProof/>
        </w:rPr>
        <w:tab/>
        <w:t>Forslagets begrundelse og formål</w:t>
      </w:r>
    </w:p>
    <w:p w14:paraId="70A10E8E" w14:textId="77777777" w:rsidR="00C81935" w:rsidRPr="003F5961" w:rsidRDefault="00C81935" w:rsidP="00C81935">
      <w:pPr>
        <w:rPr>
          <w:noProof/>
        </w:rPr>
      </w:pPr>
      <w:r w:rsidRPr="003F5961">
        <w:rPr>
          <w:noProof/>
        </w:rPr>
        <w:t xml:space="preserve">I sin meddelelse "EU's konkurrenceevne på lang sigt efter 2030" understregede Kommissionen betydningen af en lovramme, der sikrer, at målene nås med færrest mulige omkostninger. Den har derfor forpligtet sig til at sætte skub i bestræbelserne på at rationalisere og forenkle rapporteringskravene med det formål at reducere disse byrder med 25 % uden at undergrave de dermed forbundne politiske målsætninger. </w:t>
      </w:r>
    </w:p>
    <w:p w14:paraId="6DB8558B" w14:textId="77777777" w:rsidR="00C81935" w:rsidRPr="003F5961" w:rsidRDefault="00C81935" w:rsidP="00C81935">
      <w:pPr>
        <w:rPr>
          <w:noProof/>
        </w:rPr>
      </w:pPr>
      <w:r w:rsidRPr="003F5961">
        <w:rPr>
          <w:noProof/>
        </w:rPr>
        <w:t xml:space="preserve">Rapporteringskrav spiller en central rolle med hensyn til at sikre både en korrekt håndhævelse og grundig overvågning af lovgivningen. De omkostninger, der er forbundet hermed, opvejes i vid udstrækning af de fordele, disse krav medfører, navnlig med hensyn til at overvåge vigtige politiske foranstaltninger og sikre, at de overholdes. Rapporteringskrav kan imidlertid også pålægge interessenterne uforholdsmæssigt store byrder, navnlig når det gælder SMV'er og mikrovirksomheder. Virksomhederne bør derfor have tilstrækkelig tid til at forberede sig på eventuelle nye rapporteringskrav. Kumuleringen af rapporteringskrav over tid kan føre til overflødige, overlappende eller forældede forpligtelser, ineffektiv rapporteringshyppighed, ineffektive frister eller utilstrækkelige indsamlingsmetoder. </w:t>
      </w:r>
    </w:p>
    <w:p w14:paraId="53B6AE5B" w14:textId="77777777" w:rsidR="00C81935" w:rsidRPr="003F5961" w:rsidRDefault="00C81935" w:rsidP="00C81935">
      <w:pPr>
        <w:rPr>
          <w:noProof/>
        </w:rPr>
      </w:pPr>
      <w:r w:rsidRPr="003F5961">
        <w:rPr>
          <w:noProof/>
        </w:rPr>
        <w:t xml:space="preserve">Kommissionen ser det derfor som en prioritet at strømline rapporteringsforpligtelserne og reducere den administrative byrde. I den forbindelse vil forslaget rationalisere rapporteringsforpligtelserne ved at udsætte fristen for at vedtage standarder for bæredygtighedsrapportering for visse sektorer og for visse tredjelandsvirksomheder. </w:t>
      </w:r>
    </w:p>
    <w:p w14:paraId="224BB273" w14:textId="77777777" w:rsidR="00C81935" w:rsidRPr="003F5961" w:rsidRDefault="00C81935" w:rsidP="00C81935">
      <w:pPr>
        <w:rPr>
          <w:noProof/>
        </w:rPr>
      </w:pPr>
      <w:r w:rsidRPr="003F5961">
        <w:rPr>
          <w:noProof/>
        </w:rPr>
        <w:t>I henhold til regnskabsdirektivet (2013/34/EU)</w:t>
      </w:r>
      <w:r w:rsidRPr="003F5961">
        <w:rPr>
          <w:rStyle w:val="FootnoteReference"/>
          <w:noProof/>
        </w:rPr>
        <w:footnoteReference w:id="1"/>
      </w:r>
      <w:r w:rsidRPr="003F5961">
        <w:rPr>
          <w:noProof/>
        </w:rPr>
        <w:t xml:space="preserve"> som ændret ved direktivet om virksomheders bæredygtighedsrapportering (CSRD – 2022/2464)</w:t>
      </w:r>
      <w:r w:rsidRPr="003F5961">
        <w:rPr>
          <w:rStyle w:val="FootnoteReference"/>
          <w:noProof/>
        </w:rPr>
        <w:footnoteReference w:id="2"/>
      </w:r>
      <w:r w:rsidRPr="003F5961">
        <w:rPr>
          <w:noProof/>
        </w:rPr>
        <w:t xml:space="preserve"> </w:t>
      </w:r>
      <w:bookmarkStart w:id="1" w:name="_Hlk143687585"/>
      <w:r w:rsidRPr="003F5961">
        <w:rPr>
          <w:noProof/>
        </w:rPr>
        <w:t>skal store virksomheder og børsnoterede små og mellemstore virksomheder (SMV'er) samt moderselskaber i store koncerner i et særligt afsnit i deres ledelsesberetning medtage de oplysninger, der er nødvendige for at forstå virksomhedens indvirkning på bæredygtighedsspørgsmål, og de oplysninger, der er nødvendige for at forstå, hvordan bæredygtighedsspørgsmål påvirker virksomhedens udvikling, resultat og situation</w:t>
      </w:r>
      <w:r w:rsidRPr="003F5961">
        <w:rPr>
          <w:rStyle w:val="FootnoteReference"/>
          <w:noProof/>
        </w:rPr>
        <w:footnoteReference w:id="3"/>
      </w:r>
      <w:r w:rsidRPr="003F5961">
        <w:rPr>
          <w:noProof/>
        </w:rPr>
        <w:t>.</w:t>
      </w:r>
    </w:p>
    <w:p w14:paraId="4D09B401" w14:textId="77777777" w:rsidR="00C81935" w:rsidRPr="003F5961" w:rsidRDefault="00C81935" w:rsidP="00C81935">
      <w:pPr>
        <w:pBdr>
          <w:top w:val="nil"/>
          <w:left w:val="nil"/>
          <w:bottom w:val="nil"/>
          <w:right w:val="nil"/>
          <w:between w:val="nil"/>
          <w:bar w:val="nil"/>
        </w:pBdr>
        <w:spacing w:before="0" w:after="240"/>
        <w:rPr>
          <w:noProof/>
        </w:rPr>
      </w:pPr>
      <w:r w:rsidRPr="003F5961">
        <w:rPr>
          <w:noProof/>
        </w:rPr>
        <w:t>Disse bæredygtighedsoplysninger skal indberettes i overensstemmelse med de europæiske standarder for bæredygtighedsrapportering (ESRS), som skal vedtages af Kommissionen ved hjælp af delegerede retsakter under hensyntagen til EFRAG's tekniske rådgivning</w:t>
      </w:r>
      <w:r w:rsidRPr="003F5961">
        <w:rPr>
          <w:rStyle w:val="FootnoteReference"/>
          <w:noProof/>
        </w:rPr>
        <w:footnoteReference w:id="4"/>
      </w:r>
      <w:r w:rsidRPr="003F5961">
        <w:rPr>
          <w:noProof/>
        </w:rPr>
        <w:t>.</w:t>
      </w:r>
      <w:bookmarkEnd w:id="1"/>
      <w:r w:rsidRPr="003F5961">
        <w:rPr>
          <w:noProof/>
        </w:rPr>
        <w:t xml:space="preserve"> Disse ESRS skal angive indholdet og, hvor det er relevant, den struktur, der skal anvendes til at præsentere disse oplysninger</w:t>
      </w:r>
      <w:r w:rsidRPr="003F5961">
        <w:rPr>
          <w:rStyle w:val="FootnoteReference"/>
          <w:noProof/>
        </w:rPr>
        <w:footnoteReference w:id="5"/>
      </w:r>
      <w:r w:rsidRPr="003F5961">
        <w:rPr>
          <w:noProof/>
        </w:rPr>
        <w:t xml:space="preserve">. </w:t>
      </w:r>
    </w:p>
    <w:p w14:paraId="084B561F" w14:textId="77777777" w:rsidR="00C81935" w:rsidRPr="003F5961" w:rsidRDefault="00C81935" w:rsidP="00C81935">
      <w:pPr>
        <w:pBdr>
          <w:top w:val="nil"/>
          <w:left w:val="nil"/>
          <w:bottom w:val="nil"/>
          <w:right w:val="nil"/>
          <w:between w:val="nil"/>
          <w:bar w:val="nil"/>
        </w:pBdr>
        <w:spacing w:before="0" w:after="240"/>
        <w:rPr>
          <w:noProof/>
        </w:rPr>
      </w:pPr>
      <w:bookmarkStart w:id="2" w:name="_Hlk143696700"/>
      <w:r w:rsidRPr="003F5961">
        <w:rPr>
          <w:noProof/>
        </w:rPr>
        <w:t>Et første sæt ESRS blev vedtaget af Kommissionen den 31. juli 2023 og er nu til kontrol hos Europa-Parlamentet og Rådet. ESRS i dette første sæt er sektoragnostiske, hvilket betyder, at de gælder for alle virksomheder, der er omfattet af CSRD, uanset hvilken eller hvilke sektorer virksomheden opererer i.</w:t>
      </w:r>
    </w:p>
    <w:p w14:paraId="4D3388E0" w14:textId="77777777" w:rsidR="00C81935" w:rsidRPr="003F5961" w:rsidRDefault="00C81935" w:rsidP="00C81935">
      <w:pPr>
        <w:pBdr>
          <w:top w:val="nil"/>
          <w:left w:val="nil"/>
          <w:bottom w:val="nil"/>
          <w:right w:val="nil"/>
          <w:between w:val="nil"/>
          <w:bar w:val="nil"/>
        </w:pBdr>
        <w:spacing w:before="0" w:after="240"/>
        <w:rPr>
          <w:rFonts w:eastAsia="Arial Unicode MS"/>
          <w:noProof/>
        </w:rPr>
      </w:pPr>
      <w:bookmarkStart w:id="3" w:name="_Hlk143694084"/>
      <w:bookmarkEnd w:id="2"/>
      <w:r w:rsidRPr="003F5961">
        <w:rPr>
          <w:noProof/>
        </w:rPr>
        <w:t xml:space="preserve">I regnskabsdirektivets artikel 29b, stk. 1, tredje afsnit, fastsættes datoen for vedtagelse af de sektorspecifikke ESRS til senest den 30. juni 2024. Disse ESRS skal præcisere de oplysninger, som virksomhederne bør rapportere om bæredygtighedsspørgsmål og rapporteringsområder, der er specifikke for den sektor, som en virksomhed opererer i. </w:t>
      </w:r>
    </w:p>
    <w:p w14:paraId="4D16DA42" w14:textId="77777777" w:rsidR="00C81935" w:rsidRPr="003F5961" w:rsidRDefault="00C81935" w:rsidP="00C81935">
      <w:pPr>
        <w:pBdr>
          <w:top w:val="nil"/>
          <w:left w:val="nil"/>
          <w:bottom w:val="nil"/>
          <w:right w:val="nil"/>
          <w:between w:val="nil"/>
          <w:bar w:val="nil"/>
        </w:pBdr>
        <w:spacing w:before="0" w:after="240"/>
        <w:rPr>
          <w:rFonts w:eastAsia="Times New Roman"/>
          <w:noProof/>
          <w:szCs w:val="20"/>
        </w:rPr>
      </w:pPr>
      <w:bookmarkStart w:id="4" w:name="_Hlk143694138"/>
      <w:bookmarkEnd w:id="3"/>
      <w:r w:rsidRPr="003F5961">
        <w:rPr>
          <w:noProof/>
        </w:rPr>
        <w:t xml:space="preserve">Kommissionen fremsætter konkrete forslag med henblik på at mindske rapporteringsbyrden for deltagerne på det finansielle marked. Et af dem er at foreslå en 2-årig udsættelse af datoen for vedtagelse af de sektorspecifikke ESRS, som for øjeblikket kræves i 2024. Dette imødekommer også et ønske fra erhvervslivet. </w:t>
      </w:r>
    </w:p>
    <w:p w14:paraId="00BFEA80" w14:textId="77777777" w:rsidR="00C81935" w:rsidRPr="003F5961" w:rsidRDefault="00C81935" w:rsidP="00C81935">
      <w:pPr>
        <w:pBdr>
          <w:top w:val="nil"/>
          <w:left w:val="nil"/>
          <w:bottom w:val="nil"/>
          <w:right w:val="nil"/>
          <w:between w:val="nil"/>
          <w:bar w:val="nil"/>
        </w:pBdr>
        <w:spacing w:before="0" w:after="240"/>
        <w:rPr>
          <w:rFonts w:eastAsia="Arial Unicode MS"/>
          <w:noProof/>
        </w:rPr>
      </w:pPr>
      <w:r w:rsidRPr="003F5961">
        <w:rPr>
          <w:noProof/>
        </w:rPr>
        <w:t xml:space="preserve">Udsættelse af vedtagelsesdatoen med 2 år er relevant for virksomheder, der er omfattet af CSRD, herunder børsnoterede SMV'er, der skal foretage bæredygtighedsrapportering. Dette vil gøre det muligt for disse virksomheder at fokusere på gennemførelsen af det første sæt ESRS, der blev vedtaget den 31. juli 2023, sikre, at EFRAG har tid til at udvikle sektorspecifikke ESRS, der er effektive, og begrænse rapporteringskravene til det nødvendige minimum.  </w:t>
      </w:r>
    </w:p>
    <w:p w14:paraId="5D93DFC7" w14:textId="77777777" w:rsidR="00C81935" w:rsidRPr="003F5961" w:rsidRDefault="00C81935" w:rsidP="00C81935">
      <w:pPr>
        <w:pBdr>
          <w:top w:val="nil"/>
          <w:left w:val="nil"/>
          <w:bottom w:val="nil"/>
          <w:right w:val="nil"/>
          <w:between w:val="nil"/>
          <w:bar w:val="nil"/>
        </w:pBdr>
        <w:spacing w:before="0" w:after="240"/>
        <w:rPr>
          <w:rFonts w:eastAsia="Arial Unicode MS"/>
          <w:noProof/>
        </w:rPr>
      </w:pPr>
      <w:r w:rsidRPr="003F5961">
        <w:rPr>
          <w:noProof/>
        </w:rPr>
        <w:t xml:space="preserve">Desuden fastsætter artikel 40b i regnskabsdirektivet datoen for vedtagelsen af ESRS, der skal anvendes af visse tredjelandsvirksomheder med aktiviteter i Unionen, til senest den 30. juni 2024. I betragtning af at rapporteringskravene for disse tredjelandsvirksomheder først finder anvendelse fra regnskabsåret 2028, og i betragtning af den 2-årige udsættelse af fristen for vedtagelse af de sektorspecifikke ESRS bør fristen for vedtagelse af disse standarder også udsættes med 2 år. Dette vil gøre det muligt at afsætte flere ressourcer til udvikling af effektive og forholdsmæssige sektorspecifikke ESRS, samtidig med at der gives tilstrækkelig tid til, at disse tredjelandsvirksomheder kan forberede sig forud for regnskabsåret 2028. </w:t>
      </w:r>
      <w:bookmarkStart w:id="5" w:name="_Hlk143685892"/>
    </w:p>
    <w:bookmarkEnd w:id="4"/>
    <w:bookmarkEnd w:id="5"/>
    <w:p w14:paraId="0CFCC6BD" w14:textId="77777777" w:rsidR="00C81935" w:rsidRPr="003F5961" w:rsidRDefault="00C81935" w:rsidP="00044058">
      <w:pPr>
        <w:pStyle w:val="ManualHeading2"/>
        <w:rPr>
          <w:rFonts w:eastAsia="Arial Unicode MS"/>
          <w:noProof/>
          <w:color w:val="000000"/>
          <w:u w:color="000000"/>
          <w:bdr w:val="nil"/>
        </w:rPr>
      </w:pPr>
      <w:r w:rsidRPr="003F5961">
        <w:rPr>
          <w:noProof/>
          <w:color w:val="000000"/>
          <w:u w:color="000000"/>
          <w:bdr w:val="nil"/>
        </w:rPr>
        <w:t>•</w:t>
      </w:r>
      <w:r w:rsidRPr="003F5961">
        <w:rPr>
          <w:noProof/>
        </w:rPr>
        <w:tab/>
        <w:t>Sammenhæng med de gældende regler på samme område</w:t>
      </w:r>
    </w:p>
    <w:p w14:paraId="5860FFC0" w14:textId="77777777" w:rsidR="00C81935" w:rsidRPr="003F5961" w:rsidRDefault="00C81935" w:rsidP="00C81935">
      <w:pPr>
        <w:pBdr>
          <w:top w:val="nil"/>
          <w:left w:val="nil"/>
          <w:bottom w:val="nil"/>
          <w:right w:val="nil"/>
          <w:between w:val="nil"/>
          <w:bar w:val="nil"/>
        </w:pBdr>
        <w:spacing w:before="0" w:after="240"/>
        <w:rPr>
          <w:rFonts w:eastAsia="Times New Roman"/>
          <w:noProof/>
          <w:szCs w:val="20"/>
        </w:rPr>
      </w:pPr>
      <w:r w:rsidRPr="003F5961">
        <w:rPr>
          <w:noProof/>
        </w:rPr>
        <w:t>Forslaget er en del af en første pakke af foranstaltninger, der skal rationalisere rapporteringskravene. Dette er et skridt i en proces, hvor der ses nærmere på de gældende rapporteringskrav for at vurdere, om de fortsat er relevante, og gøre dem mere effektive. Den rationalisering, der indføres med denne foranstaltning, vil ikke have en negativ indvirkning på opfyldelsen af målene inden for bæredygtighedsrapportering. Forslaget er også i overensstemmelse med hjælpepakken for SMV'er</w:t>
      </w:r>
      <w:r w:rsidRPr="003F5961">
        <w:rPr>
          <w:rStyle w:val="FootnoteReference"/>
          <w:noProof/>
        </w:rPr>
        <w:footnoteReference w:id="6"/>
      </w:r>
      <w:r w:rsidRPr="003F5961">
        <w:rPr>
          <w:noProof/>
        </w:rPr>
        <w:t xml:space="preserve">. </w:t>
      </w:r>
    </w:p>
    <w:p w14:paraId="1C404058" w14:textId="77777777" w:rsidR="00C81935" w:rsidRPr="003F5961" w:rsidRDefault="00C81935" w:rsidP="00A4693B">
      <w:pPr>
        <w:pStyle w:val="ManualHeading2"/>
        <w:rPr>
          <w:rFonts w:eastAsia="Arial Unicode MS"/>
          <w:noProof/>
        </w:rPr>
      </w:pPr>
      <w:r w:rsidRPr="003F5961">
        <w:rPr>
          <w:noProof/>
          <w:color w:val="000000"/>
          <w:u w:color="000000"/>
          <w:bdr w:val="nil"/>
        </w:rPr>
        <w:t>•</w:t>
      </w:r>
      <w:r w:rsidRPr="003F5961">
        <w:rPr>
          <w:noProof/>
        </w:rPr>
        <w:tab/>
        <w:t>Sammenhæng med Unionens politik på andre områder</w:t>
      </w:r>
    </w:p>
    <w:p w14:paraId="67F13068" w14:textId="77777777" w:rsidR="00C81935" w:rsidRPr="003F5961" w:rsidRDefault="00C81935" w:rsidP="00C81935">
      <w:pPr>
        <w:pBdr>
          <w:top w:val="nil"/>
          <w:left w:val="nil"/>
          <w:bottom w:val="nil"/>
          <w:right w:val="nil"/>
          <w:between w:val="nil"/>
          <w:bar w:val="nil"/>
        </w:pBdr>
        <w:spacing w:before="0" w:after="240"/>
        <w:rPr>
          <w:rFonts w:eastAsia="Arial Unicode MS"/>
          <w:noProof/>
        </w:rPr>
      </w:pPr>
      <w:r w:rsidRPr="003F5961">
        <w:rPr>
          <w:noProof/>
        </w:rPr>
        <w:t>Ikke relevant</w:t>
      </w:r>
    </w:p>
    <w:p w14:paraId="2ADAE7B7" w14:textId="77777777" w:rsidR="00C81935" w:rsidRPr="003F5961" w:rsidRDefault="00C81935" w:rsidP="00550536">
      <w:pPr>
        <w:pStyle w:val="ManualHeading1"/>
        <w:rPr>
          <w:noProof/>
        </w:rPr>
      </w:pPr>
      <w:r w:rsidRPr="003F5961">
        <w:rPr>
          <w:noProof/>
        </w:rPr>
        <w:t>2.</w:t>
      </w:r>
      <w:r w:rsidRPr="003F5961">
        <w:rPr>
          <w:noProof/>
        </w:rPr>
        <w:tab/>
        <w:t>RETSGRUNDLAG, NÆRHEDSPRINCIPPET OG PROPORTIONALITETSPRINCIPPET</w:t>
      </w:r>
    </w:p>
    <w:p w14:paraId="2AF81A78"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Retsgrundlag</w:t>
      </w:r>
    </w:p>
    <w:p w14:paraId="0B1C2FE9"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Artikel 50 i TEUF er det passende retsgrundlag for dette initiativ, da der er tale om ændring af et eksisterende direktiv, som er baseret på samme artikel.</w:t>
      </w:r>
    </w:p>
    <w:p w14:paraId="5366A79B"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 xml:space="preserve">Nærhedsprincippet </w:t>
      </w:r>
    </w:p>
    <w:p w14:paraId="2438B45C" w14:textId="77777777" w:rsidR="002D51A5" w:rsidRPr="003F5961" w:rsidRDefault="002D51A5" w:rsidP="002D51A5">
      <w:pPr>
        <w:pBdr>
          <w:top w:val="nil"/>
          <w:left w:val="nil"/>
          <w:bottom w:val="nil"/>
          <w:right w:val="nil"/>
          <w:between w:val="nil"/>
          <w:bar w:val="nil"/>
        </w:pBdr>
        <w:spacing w:before="0" w:after="240"/>
        <w:rPr>
          <w:rFonts w:eastAsia="Arial Unicode MS"/>
          <w:noProof/>
        </w:rPr>
      </w:pPr>
      <w:r w:rsidRPr="003F5961">
        <w:rPr>
          <w:noProof/>
        </w:rPr>
        <w:t xml:space="preserve">Fristerne for at vedtage standarderne for bæredygtighedsrapportering skal overholdes af Kommissionen. En udsættelse af disse frister kan kun ske ved hjælp af en retsakt vedtaget af de to lovgivere. Der er ikke behov for tiltag på nationalt plan i denne henseende. </w:t>
      </w:r>
    </w:p>
    <w:p w14:paraId="2E6BF91A"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Proportionalitetsprincippet</w:t>
      </w:r>
    </w:p>
    <w:p w14:paraId="7F401F73" w14:textId="77777777" w:rsidR="002D51A5" w:rsidRPr="003F5961" w:rsidRDefault="002D51A5" w:rsidP="002D51A5">
      <w:pPr>
        <w:pBdr>
          <w:top w:val="nil"/>
          <w:left w:val="nil"/>
          <w:bottom w:val="nil"/>
          <w:right w:val="nil"/>
          <w:between w:val="nil"/>
          <w:bar w:val="nil"/>
        </w:pBdr>
        <w:spacing w:before="0" w:after="240"/>
        <w:rPr>
          <w:rFonts w:eastAsia="Arial Unicode MS"/>
          <w:noProof/>
        </w:rPr>
      </w:pPr>
      <w:r w:rsidRPr="003F5961">
        <w:rPr>
          <w:noProof/>
        </w:rPr>
        <w:t xml:space="preserve">Det primære formål med dette initiativ er at gøre det muligt for virksomheder at fokusere på gennemførelsen af det første sæt ESRS, der blev vedtaget den 31. juli 2023, sikre, at EFRAG har tid til at udvikle sektorspecifikke ESRS, der er effektive, og begrænse rapporteringskravene til det nødvendige minimum. En udsættelse af fristerne for Kommissionens vedtagelse af standarderne for bæredygtighedsrapportering for visse sektorer – samt for visse virksomheder i tredjelande – vil nå dette mål, samtidig med at virksomhederne får tilstrækkelig tid til at forberede sig på disse yderligere rapporteringskrav. </w:t>
      </w:r>
    </w:p>
    <w:p w14:paraId="5A038A25"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Valg af retsakt</w:t>
      </w:r>
    </w:p>
    <w:p w14:paraId="54D78196" w14:textId="77777777" w:rsidR="002D51A5" w:rsidRPr="003F5961" w:rsidRDefault="002D51A5" w:rsidP="002D51A5">
      <w:pPr>
        <w:pBdr>
          <w:top w:val="nil"/>
          <w:left w:val="nil"/>
          <w:bottom w:val="nil"/>
          <w:right w:val="nil"/>
          <w:between w:val="nil"/>
          <w:bar w:val="nil"/>
        </w:pBdr>
        <w:spacing w:before="0" w:after="240"/>
        <w:rPr>
          <w:rFonts w:eastAsia="Arial Unicode MS"/>
          <w:noProof/>
        </w:rPr>
      </w:pPr>
      <w:r w:rsidRPr="003F5961">
        <w:rPr>
          <w:noProof/>
        </w:rPr>
        <w:t xml:space="preserve">Eftersom ændringerne kun vedrører udsættelse af fristerne for Kommissionens vedtagelse af delegerede retsakter og derfor ikke kræver gennemførelse i medlemsstaterne, anses en afgørelse fra Europa-Parlamentet og Rådet vedtaget i overensstemmelse med proceduren i artikel 50, stk. 1, i TEUF for at være det mest hensigtsmæssige retlige instrument. Dette instrument handler faktisk om den overordnede retlige sammenhæng, inden for hvilken medlemsstaterne skal tilnærme deres lovgivning gennem direktivet, således som det kræves i artikel 50 i TEUF. </w:t>
      </w:r>
    </w:p>
    <w:p w14:paraId="6A9330A8" w14:textId="77777777" w:rsidR="00C81935" w:rsidRPr="003F5961" w:rsidRDefault="00C81935" w:rsidP="00550536">
      <w:pPr>
        <w:pStyle w:val="ManualHeading1"/>
        <w:rPr>
          <w:noProof/>
        </w:rPr>
      </w:pPr>
      <w:r w:rsidRPr="003F5961">
        <w:rPr>
          <w:noProof/>
        </w:rPr>
        <w:t>3.</w:t>
      </w:r>
      <w:r w:rsidRPr="003F5961">
        <w:rPr>
          <w:noProof/>
        </w:rPr>
        <w:tab/>
        <w:t>RESULTATER AF EFTERFØLGENDE EVALUERINGER, HØRINGER AF INTERESSENTER OG KONSEKVENSANALYSER</w:t>
      </w:r>
    </w:p>
    <w:p w14:paraId="2BBE7CB7"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Efterfølgende evalueringer/kvalitetskontrol af gældende lovgivning</w:t>
      </w:r>
    </w:p>
    <w:p w14:paraId="45C35099"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70F7C86F"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Høringer af interessenter</w:t>
      </w:r>
    </w:p>
    <w:p w14:paraId="6CD135C5"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3108B2B0"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Indhentning og brug af ekspertbistand</w:t>
      </w:r>
    </w:p>
    <w:p w14:paraId="35BBE7F9"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04BF13BA"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Konsekvensanalyse</w:t>
      </w:r>
    </w:p>
    <w:p w14:paraId="31647900"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7682B1D7"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Målrettet regulering og forenkling</w:t>
      </w:r>
    </w:p>
    <w:p w14:paraId="0EED71D4"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46349B12"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Grundlæggende rettigheder</w:t>
      </w:r>
    </w:p>
    <w:p w14:paraId="6B2DDF32"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59D88350" w14:textId="77777777" w:rsidR="00C81935" w:rsidRPr="003F5961" w:rsidRDefault="00C81935" w:rsidP="00550536">
      <w:pPr>
        <w:pStyle w:val="ManualHeading1"/>
        <w:rPr>
          <w:noProof/>
        </w:rPr>
      </w:pPr>
      <w:r w:rsidRPr="003F5961">
        <w:rPr>
          <w:noProof/>
        </w:rPr>
        <w:t>4.</w:t>
      </w:r>
      <w:r w:rsidRPr="003F5961">
        <w:rPr>
          <w:noProof/>
        </w:rPr>
        <w:tab/>
        <w:t>VIRKNINGER FOR BUDGETTET</w:t>
      </w:r>
    </w:p>
    <w:p w14:paraId="62328188" w14:textId="77777777" w:rsidR="002D51A5" w:rsidRPr="003F5961" w:rsidRDefault="002D51A5" w:rsidP="002D51A5">
      <w:pPr>
        <w:pBdr>
          <w:top w:val="nil"/>
          <w:left w:val="nil"/>
          <w:bottom w:val="nil"/>
          <w:right w:val="nil"/>
          <w:between w:val="nil"/>
          <w:bar w:val="nil"/>
        </w:pBdr>
        <w:spacing w:before="0" w:after="240"/>
        <w:rPr>
          <w:rFonts w:eastAsia="Arial Unicode MS"/>
          <w:noProof/>
        </w:rPr>
      </w:pPr>
      <w:r w:rsidRPr="003F5961">
        <w:rPr>
          <w:noProof/>
        </w:rPr>
        <w:t xml:space="preserve">Dette initiativ har ingen virkninger for budgettet. </w:t>
      </w:r>
    </w:p>
    <w:p w14:paraId="46A026B5" w14:textId="77777777" w:rsidR="00C81935" w:rsidRPr="003F5961" w:rsidRDefault="00C81935" w:rsidP="00550536">
      <w:pPr>
        <w:pStyle w:val="ManualHeading1"/>
        <w:rPr>
          <w:noProof/>
        </w:rPr>
      </w:pPr>
      <w:r w:rsidRPr="003F5961">
        <w:rPr>
          <w:noProof/>
        </w:rPr>
        <w:t>5.</w:t>
      </w:r>
      <w:r w:rsidRPr="003F5961">
        <w:rPr>
          <w:noProof/>
        </w:rPr>
        <w:tab/>
        <w:t>ANDRE FORHOLD</w:t>
      </w:r>
    </w:p>
    <w:p w14:paraId="08F9C19A"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Planer for gennemførelsen og foranstaltninger til overvågning, evaluering og rapportering</w:t>
      </w:r>
    </w:p>
    <w:p w14:paraId="7084EE3C" w14:textId="77777777" w:rsidR="002D51A5" w:rsidRPr="003F5961" w:rsidRDefault="002D51A5" w:rsidP="002D51A5">
      <w:pPr>
        <w:pBdr>
          <w:top w:val="nil"/>
          <w:left w:val="nil"/>
          <w:bottom w:val="nil"/>
          <w:right w:val="nil"/>
          <w:between w:val="nil"/>
          <w:bar w:val="nil"/>
        </w:pBdr>
        <w:spacing w:before="0" w:after="240"/>
        <w:rPr>
          <w:noProof/>
        </w:rPr>
      </w:pPr>
      <w:r w:rsidRPr="003F5961">
        <w:rPr>
          <w:noProof/>
        </w:rPr>
        <w:t>Ikke relevant</w:t>
      </w:r>
    </w:p>
    <w:p w14:paraId="36B463F7"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 xml:space="preserve">Forklarende dokumenter </w:t>
      </w:r>
    </w:p>
    <w:p w14:paraId="416BD16C" w14:textId="77777777" w:rsidR="002D51A5" w:rsidRPr="003F5961" w:rsidRDefault="002D51A5" w:rsidP="002D51A5">
      <w:pPr>
        <w:pBdr>
          <w:top w:val="nil"/>
          <w:left w:val="nil"/>
          <w:bottom w:val="nil"/>
          <w:right w:val="nil"/>
          <w:between w:val="nil"/>
          <w:bar w:val="nil"/>
        </w:pBdr>
        <w:spacing w:before="0" w:after="240"/>
        <w:rPr>
          <w:rFonts w:eastAsia="Arial Unicode MS"/>
          <w:noProof/>
        </w:rPr>
      </w:pPr>
      <w:r w:rsidRPr="003F5961">
        <w:rPr>
          <w:noProof/>
        </w:rPr>
        <w:t xml:space="preserve">Der er ikke behov for gennemførelse i national ret fra medlemsstaternes side, da dette initiativ udsætter visse frister for Kommissionens vedtagelse af delegerede retsakter med 2 år. </w:t>
      </w:r>
    </w:p>
    <w:p w14:paraId="604DFC24" w14:textId="77777777" w:rsidR="00C81935" w:rsidRPr="003F5961" w:rsidRDefault="00C81935" w:rsidP="00A4693B">
      <w:pPr>
        <w:pStyle w:val="ManualHeading2"/>
        <w:rPr>
          <w:rFonts w:eastAsia="Arial Unicode MS"/>
          <w:noProof/>
          <w:u w:color="000000"/>
          <w:bdr w:val="nil"/>
        </w:rPr>
      </w:pPr>
      <w:r w:rsidRPr="003F5961">
        <w:rPr>
          <w:noProof/>
          <w:u w:color="000000"/>
          <w:bdr w:val="nil"/>
        </w:rPr>
        <w:t>•</w:t>
      </w:r>
      <w:r w:rsidRPr="003F5961">
        <w:rPr>
          <w:noProof/>
        </w:rPr>
        <w:tab/>
      </w:r>
      <w:r w:rsidRPr="003F5961">
        <w:rPr>
          <w:noProof/>
          <w:u w:color="000000"/>
          <w:bdr w:val="nil"/>
        </w:rPr>
        <w:t>Nærmere redegørelse for de enkelte bestemmelser i forslaget</w:t>
      </w:r>
    </w:p>
    <w:p w14:paraId="2ACEDE1A" w14:textId="77777777" w:rsidR="002D51A5" w:rsidRPr="003F5961" w:rsidRDefault="002D51A5" w:rsidP="002D51A5">
      <w:pPr>
        <w:rPr>
          <w:noProof/>
        </w:rPr>
      </w:pPr>
      <w:r w:rsidRPr="003F5961">
        <w:rPr>
          <w:noProof/>
        </w:rPr>
        <w:t>I direktiv 2013/34/EU foretages følgende ændringer:</w:t>
      </w:r>
    </w:p>
    <w:p w14:paraId="5D2B49EF" w14:textId="5B448E01" w:rsidR="002D51A5" w:rsidRPr="003F5961" w:rsidRDefault="00DB3490" w:rsidP="00DB3490">
      <w:pPr>
        <w:pStyle w:val="Point0"/>
        <w:rPr>
          <w:noProof/>
        </w:rPr>
      </w:pPr>
      <w:r>
        <w:rPr>
          <w:noProof/>
        </w:rPr>
        <w:t>1)</w:t>
      </w:r>
      <w:r w:rsidRPr="00DB3490">
        <w:rPr>
          <w:noProof/>
        </w:rPr>
        <w:tab/>
      </w:r>
      <w:r w:rsidR="002D51A5" w:rsidRPr="003F5961">
        <w:rPr>
          <w:noProof/>
        </w:rPr>
        <w:t>Fristen for Kommissionens vedtagelse af sektorspecifikke ESRS ved hjælp af delegerede retsakter i henhold til artikel 29b, stk. 1, tredje afsnit, fastsættes til den 30. juni 2026 (i stedet for til den 30. juni 2024).</w:t>
      </w:r>
    </w:p>
    <w:p w14:paraId="60C04265" w14:textId="177977E8" w:rsidR="002D51A5" w:rsidRPr="003F5961" w:rsidRDefault="00DB3490" w:rsidP="00DB3490">
      <w:pPr>
        <w:pStyle w:val="Point0"/>
        <w:rPr>
          <w:noProof/>
        </w:rPr>
      </w:pPr>
      <w:r>
        <w:rPr>
          <w:noProof/>
        </w:rPr>
        <w:t>2)</w:t>
      </w:r>
      <w:r w:rsidRPr="00DB3490">
        <w:rPr>
          <w:noProof/>
        </w:rPr>
        <w:tab/>
      </w:r>
      <w:r w:rsidR="002D51A5" w:rsidRPr="003F5961">
        <w:rPr>
          <w:noProof/>
        </w:rPr>
        <w:t xml:space="preserve">Fristen for Kommissionens vedtagelse af ESRS for tredjelandsvirksomheder, der opfylder visse tærskelkrav, ved hjælp af delegerede retsakter i henhold til artikel 40b fastsættes til den 30. juni 2026 (i stedet for til den 30. juni 2024). </w:t>
      </w:r>
    </w:p>
    <w:p w14:paraId="4ABFFE19" w14:textId="77777777" w:rsidR="00C81935" w:rsidRPr="003F5961" w:rsidRDefault="00C81935" w:rsidP="00A9097A">
      <w:pPr>
        <w:rPr>
          <w:noProof/>
        </w:rPr>
        <w:sectPr w:rsidR="00C81935" w:rsidRPr="003F5961" w:rsidSect="009075E5">
          <w:footerReference w:type="default" r:id="rId9"/>
          <w:footerReference w:type="first" r:id="rId10"/>
          <w:pgSz w:w="11907" w:h="16839"/>
          <w:pgMar w:top="1134" w:right="1417" w:bottom="1134" w:left="1417" w:header="709" w:footer="709" w:gutter="0"/>
          <w:cols w:space="708"/>
          <w:docGrid w:linePitch="360"/>
        </w:sectPr>
      </w:pPr>
    </w:p>
    <w:p w14:paraId="436A82EA" w14:textId="66171186" w:rsidR="0079544A" w:rsidRDefault="0079544A" w:rsidP="0079544A">
      <w:pPr>
        <w:pStyle w:val="Rfrenceinterinstitutionnelle"/>
        <w:rPr>
          <w:noProof/>
        </w:rPr>
      </w:pPr>
      <w:r w:rsidRPr="0079544A">
        <w:t>2023/0368 (COD)</w:t>
      </w:r>
    </w:p>
    <w:p w14:paraId="4283E404" w14:textId="74B79F63" w:rsidR="00C81935" w:rsidRPr="003F5961" w:rsidRDefault="003F5961" w:rsidP="003F5961">
      <w:pPr>
        <w:pStyle w:val="Statut"/>
        <w:rPr>
          <w:noProof/>
        </w:rPr>
      </w:pPr>
      <w:r w:rsidRPr="003F5961">
        <w:rPr>
          <w:noProof/>
        </w:rPr>
        <w:t>Forslag til</w:t>
      </w:r>
    </w:p>
    <w:p w14:paraId="58CF4C9C" w14:textId="15E1C540" w:rsidR="00C81935" w:rsidRPr="003F5961" w:rsidRDefault="003F5961" w:rsidP="003F5961">
      <w:pPr>
        <w:pStyle w:val="Typedudocument"/>
        <w:rPr>
          <w:noProof/>
        </w:rPr>
      </w:pPr>
      <w:r w:rsidRPr="003F5961">
        <w:rPr>
          <w:noProof/>
        </w:rPr>
        <w:t>EUROPA-PARLAMENTETS OG RÅDETS AFGØRELSE</w:t>
      </w:r>
    </w:p>
    <w:p w14:paraId="23BAF0BD" w14:textId="19FAB459" w:rsidR="00C81935" w:rsidRPr="003F5961" w:rsidRDefault="003F5961" w:rsidP="003F5961">
      <w:pPr>
        <w:pStyle w:val="Titreobjet"/>
        <w:rPr>
          <w:noProof/>
        </w:rPr>
      </w:pPr>
      <w:r w:rsidRPr="003F5961">
        <w:rPr>
          <w:noProof/>
        </w:rPr>
        <w:t>om ændring af direktiv 2013/34/EU for så vidt angår fristerne for vedtagelse af standarder for bæredygtighedsrapportering for visse sektorer og for visse tredjelandsvirksomheder</w:t>
      </w:r>
    </w:p>
    <w:p w14:paraId="55B243FF" w14:textId="1A4DA8E4" w:rsidR="00C81935" w:rsidRPr="003F5961" w:rsidRDefault="003F5961" w:rsidP="003F5961">
      <w:pPr>
        <w:pStyle w:val="IntrtEEE"/>
        <w:rPr>
          <w:noProof/>
        </w:rPr>
      </w:pPr>
      <w:r w:rsidRPr="003F5961">
        <w:rPr>
          <w:noProof/>
        </w:rPr>
        <w:t>(EØS-relevant tekst)</w:t>
      </w:r>
    </w:p>
    <w:p w14:paraId="32E77676" w14:textId="77777777" w:rsidR="00C81935" w:rsidRPr="003F5961" w:rsidRDefault="00C81935" w:rsidP="003F4C80">
      <w:pPr>
        <w:pStyle w:val="Institutionquiagit"/>
        <w:rPr>
          <w:noProof/>
        </w:rPr>
      </w:pPr>
      <w:r w:rsidRPr="003F5961">
        <w:rPr>
          <w:noProof/>
        </w:rPr>
        <w:t>EUROPA-PARLAMENTET OG RÅDET FOR DEN EUROPÆISKE UNION HAR —</w:t>
      </w:r>
    </w:p>
    <w:p w14:paraId="74B86B20" w14:textId="77777777" w:rsidR="00C81935" w:rsidRPr="003F5961" w:rsidRDefault="00C81935" w:rsidP="003F4C80">
      <w:pPr>
        <w:rPr>
          <w:noProof/>
        </w:rPr>
      </w:pPr>
      <w:r w:rsidRPr="003F5961">
        <w:rPr>
          <w:noProof/>
        </w:rPr>
        <w:t>under henvisning til traktaten om Den Europæiske Unions funktionsmåde, særlig artikel 50, stk. 1,</w:t>
      </w:r>
    </w:p>
    <w:p w14:paraId="61F297CB" w14:textId="77777777" w:rsidR="00C81935" w:rsidRPr="003F5961" w:rsidRDefault="00C81935" w:rsidP="003F4C80">
      <w:pPr>
        <w:rPr>
          <w:noProof/>
        </w:rPr>
      </w:pPr>
      <w:r w:rsidRPr="003F5961">
        <w:rPr>
          <w:noProof/>
        </w:rPr>
        <w:t>under henvisning til forslag fra Europa-Kommissionen,</w:t>
      </w:r>
    </w:p>
    <w:p w14:paraId="32B6399D" w14:textId="77777777" w:rsidR="00C81935" w:rsidRPr="003F5961" w:rsidRDefault="00C81935" w:rsidP="003F4C80">
      <w:pPr>
        <w:rPr>
          <w:noProof/>
        </w:rPr>
      </w:pPr>
      <w:r w:rsidRPr="003F5961">
        <w:rPr>
          <w:noProof/>
        </w:rPr>
        <w:t>efter fremsendelse af udkast til lovgivningsmæssig retsakt til de nationale parlamenter,</w:t>
      </w:r>
    </w:p>
    <w:p w14:paraId="13CD00F9" w14:textId="77777777" w:rsidR="002D51A5" w:rsidRPr="003F5961" w:rsidRDefault="002D51A5" w:rsidP="002D51A5">
      <w:pPr>
        <w:rPr>
          <w:noProof/>
          <w:color w:val="008000"/>
        </w:rPr>
      </w:pPr>
      <w:r w:rsidRPr="003F5961">
        <w:rPr>
          <w:noProof/>
        </w:rPr>
        <w:t>under henvisning til udtalelse fra Det Europæiske Økonomiske og Sociale Udvalg</w:t>
      </w:r>
      <w:r w:rsidRPr="003F5961">
        <w:rPr>
          <w:rStyle w:val="FootnoteReference"/>
          <w:noProof/>
        </w:rPr>
        <w:footnoteReference w:id="7"/>
      </w:r>
      <w:r w:rsidRPr="003F5961">
        <w:rPr>
          <w:noProof/>
        </w:rPr>
        <w:t xml:space="preserve">, </w:t>
      </w:r>
    </w:p>
    <w:p w14:paraId="3AAB0821" w14:textId="77777777" w:rsidR="00C81935" w:rsidRPr="003F5961" w:rsidRDefault="00C81935" w:rsidP="003F4C80">
      <w:pPr>
        <w:rPr>
          <w:noProof/>
        </w:rPr>
      </w:pPr>
      <w:r w:rsidRPr="003F5961">
        <w:rPr>
          <w:noProof/>
        </w:rPr>
        <w:t>efter den almindelige lovgivningsprocedure, og</w:t>
      </w:r>
    </w:p>
    <w:p w14:paraId="4E63B241" w14:textId="77777777" w:rsidR="00C81935" w:rsidRPr="003F5961" w:rsidRDefault="00C81935" w:rsidP="003F4C80">
      <w:pPr>
        <w:rPr>
          <w:noProof/>
        </w:rPr>
      </w:pPr>
      <w:r w:rsidRPr="003F5961">
        <w:rPr>
          <w:noProof/>
        </w:rPr>
        <w:t>ud fra følgende betragtninger:</w:t>
      </w:r>
    </w:p>
    <w:p w14:paraId="61BA4067" w14:textId="77E8514A" w:rsidR="002D51A5" w:rsidRPr="003F5961" w:rsidRDefault="00A01E5F" w:rsidP="00A01E5F">
      <w:pPr>
        <w:pStyle w:val="ManualConsidrant"/>
        <w:rPr>
          <w:noProof/>
        </w:rPr>
      </w:pPr>
      <w:r w:rsidRPr="00A01E5F">
        <w:t>(1)</w:t>
      </w:r>
      <w:r w:rsidRPr="00A01E5F">
        <w:tab/>
      </w:r>
      <w:r w:rsidR="002D51A5" w:rsidRPr="003F5961">
        <w:rPr>
          <w:noProof/>
        </w:rPr>
        <w:t xml:space="preserve">Krav vedrørende bæredygtighedsrapportering spiller en central rolle med hensyn til at sikre markedsgennemsigtighed og sikre, at virksomhederne kan drages til ansvar for deres indvirkning på mennesker og miljøet. Det er imidlertid vigtigt at strømline disse krav for at sikre, at de opfylder det formål, de var beregnet til, og for at begrænse den administrative byrde. </w:t>
      </w:r>
    </w:p>
    <w:p w14:paraId="414592A0" w14:textId="2B1FA421" w:rsidR="002D51A5" w:rsidRPr="003F5961" w:rsidRDefault="00A01E5F" w:rsidP="00A01E5F">
      <w:pPr>
        <w:pStyle w:val="ManualConsidrant"/>
        <w:rPr>
          <w:noProof/>
        </w:rPr>
      </w:pPr>
      <w:r w:rsidRPr="00A01E5F">
        <w:t>(2)</w:t>
      </w:r>
      <w:r w:rsidRPr="00A01E5F">
        <w:tab/>
      </w:r>
      <w:r w:rsidR="002D51A5" w:rsidRPr="003F5961">
        <w:rPr>
          <w:noProof/>
        </w:rPr>
        <w:t>I henhold til artikel 29b, stk. 1, tredje afsnit, i Europa-Parlamentets og Rådets direktiv 2013/34/EU</w:t>
      </w:r>
      <w:r w:rsidR="002D51A5" w:rsidRPr="003F5961">
        <w:rPr>
          <w:rStyle w:val="FootnoteReference"/>
          <w:noProof/>
        </w:rPr>
        <w:footnoteReference w:id="8"/>
      </w:r>
      <w:r w:rsidR="002D51A5" w:rsidRPr="003F5961">
        <w:rPr>
          <w:noProof/>
        </w:rPr>
        <w:t xml:space="preserve"> skal Kommissionen senest den 30. juni 2024 fastsætte standarder for bæredygtighedsrapportering ved hjælp af delegerede retsakter, der præciserer de oplysninger, som virksomhederne skal indberette vedrørende de bæredygtighedsspørgsmål og rapporteringsområder, der er specifikke for den sektor, som en virksomhed opererer i, ud over de oplysninger, som virksomhederne allerede skal give i henhold til Kommissionens delegerede forordning (EU) XX/XXX</w:t>
      </w:r>
      <w:r w:rsidR="002D51A5" w:rsidRPr="003F5961">
        <w:rPr>
          <w:rStyle w:val="FootnoteReference"/>
          <w:noProof/>
        </w:rPr>
        <w:footnoteReference w:id="9"/>
      </w:r>
      <w:r w:rsidR="002D51A5" w:rsidRPr="003F5961">
        <w:rPr>
          <w:noProof/>
        </w:rPr>
        <w:t xml:space="preserve">. </w:t>
      </w:r>
    </w:p>
    <w:p w14:paraId="2516CA7C" w14:textId="36BA7B79" w:rsidR="002D51A5" w:rsidRPr="003F5961" w:rsidRDefault="00A01E5F" w:rsidP="00A01E5F">
      <w:pPr>
        <w:pStyle w:val="ManualConsidrant"/>
        <w:rPr>
          <w:noProof/>
        </w:rPr>
      </w:pPr>
      <w:r w:rsidRPr="00A01E5F">
        <w:t>(3)</w:t>
      </w:r>
      <w:r w:rsidRPr="00A01E5F">
        <w:tab/>
      </w:r>
      <w:r w:rsidR="002D51A5" w:rsidRPr="003F5961">
        <w:rPr>
          <w:noProof/>
        </w:rPr>
        <w:t>For at mindske virksomhedernes rapporteringsbyrde, jf. Kommissionens meddelelse "EU's konkurrenceevne på lang sigt efter 2030"</w:t>
      </w:r>
      <w:r w:rsidR="002D51A5" w:rsidRPr="003F5961">
        <w:rPr>
          <w:rStyle w:val="FootnoteReference"/>
          <w:noProof/>
        </w:rPr>
        <w:footnoteReference w:id="10"/>
      </w:r>
      <w:r w:rsidR="002D51A5" w:rsidRPr="003F5961">
        <w:rPr>
          <w:noProof/>
        </w:rPr>
        <w:t>, bør virksomhederne have mulighed for først at fokusere på gennemførelsen af de krav vedrørende bæredygtighedsrapportering, der er fastsat i delegeret forordning (EU) XX/XXX. Derfor bør fristen for at vedtage de delegerede retsakter, der indeholder de supplerende krav til bæredygtighedsrapportering, der er omhandlet i artikel 29b, stk. 1, tredje afsnit, i direktiv 2013/34/EU, udskydes med 2 år.</w:t>
      </w:r>
    </w:p>
    <w:p w14:paraId="7662C006" w14:textId="365D5CB6" w:rsidR="002D51A5" w:rsidRPr="003F5961" w:rsidRDefault="00A01E5F" w:rsidP="00A01E5F">
      <w:pPr>
        <w:pStyle w:val="ManualConsidrant"/>
        <w:rPr>
          <w:noProof/>
        </w:rPr>
      </w:pPr>
      <w:r w:rsidRPr="00A01E5F">
        <w:t>(4)</w:t>
      </w:r>
      <w:r w:rsidRPr="00A01E5F">
        <w:tab/>
      </w:r>
      <w:r w:rsidR="002D51A5" w:rsidRPr="003F5961">
        <w:rPr>
          <w:noProof/>
        </w:rPr>
        <w:t>I henhold til artikel 40b i direktiv 2013/34/EU skal Kommissionen også senest den 30. juni 2024 vedtage en delegeret retsakt med henblik på at fastsætte standarder vedrørende bæredygtighedsrapportering, der skal anvendes til offentliggørelse af bæredygtighedsoplysninger vedrørende tredjelandsvirksomheder med en nettoomsætning på over 150 mio. EUR og enten med datterselskaber i Unionen, som er store virksomheder eller små og mellemstore virksomheder med værdipapirer, der er optaget til handel på Unionens regulerede markeder, eller med filialer i Unionen med en nettoomsætning på over 40 mio. EUR.</w:t>
      </w:r>
    </w:p>
    <w:p w14:paraId="456DA33C" w14:textId="728368EE" w:rsidR="002D51A5" w:rsidRPr="003F5961" w:rsidRDefault="00A01E5F" w:rsidP="00A01E5F">
      <w:pPr>
        <w:pStyle w:val="ManualConsidrant"/>
        <w:rPr>
          <w:noProof/>
        </w:rPr>
      </w:pPr>
      <w:r w:rsidRPr="00A01E5F">
        <w:t>(5)</w:t>
      </w:r>
      <w:r w:rsidRPr="00A01E5F">
        <w:tab/>
      </w:r>
      <w:r w:rsidR="002D51A5" w:rsidRPr="003F5961">
        <w:rPr>
          <w:noProof/>
        </w:rPr>
        <w:t xml:space="preserve">Rapporteringskravene for visse tredjelandsvirksomheder </w:t>
      </w:r>
      <w:bookmarkStart w:id="6" w:name="_Hlk144979228"/>
      <w:r w:rsidR="002D51A5" w:rsidRPr="003F5961">
        <w:rPr>
          <w:noProof/>
        </w:rPr>
        <w:t>finder</w:t>
      </w:r>
      <w:bookmarkEnd w:id="6"/>
      <w:r w:rsidR="002D51A5" w:rsidRPr="003F5961">
        <w:rPr>
          <w:noProof/>
        </w:rPr>
        <w:t xml:space="preserve"> først anvendelse fra regnskabsåret 2028. Eftersom fristen for vedtagelse af de delegerede retsakter, der indeholder de supplerende forpligtelser til bæredygtighedsrapportering, der er omhandlet i artikel 29b, stk. 1, tredje afsnit, i direktiv 2013/34/EU, vil blive udsat med 2 år, bør fristen for vedtagelse af standarderne for bæredygtighedsrapportering for visse tredjelandsvirksomheders standarder også udsættes med 2 år.  </w:t>
      </w:r>
    </w:p>
    <w:p w14:paraId="1A1C14C8" w14:textId="53F17E34" w:rsidR="002D51A5" w:rsidRPr="003F5961" w:rsidRDefault="00A01E5F" w:rsidP="00A01E5F">
      <w:pPr>
        <w:pStyle w:val="ManualConsidrant"/>
        <w:rPr>
          <w:noProof/>
        </w:rPr>
      </w:pPr>
      <w:r w:rsidRPr="00A01E5F">
        <w:t>(6)</w:t>
      </w:r>
      <w:r w:rsidRPr="00A01E5F">
        <w:tab/>
      </w:r>
      <w:r w:rsidR="002D51A5" w:rsidRPr="003F5961">
        <w:rPr>
          <w:noProof/>
        </w:rPr>
        <w:t>Direktiv 2013/34/EU bør derfor ændres —</w:t>
      </w:r>
    </w:p>
    <w:p w14:paraId="42560A48" w14:textId="77777777" w:rsidR="00C81935" w:rsidRPr="003F5961" w:rsidRDefault="00C81935" w:rsidP="003F4C80">
      <w:pPr>
        <w:pStyle w:val="Formuledadoption"/>
        <w:rPr>
          <w:noProof/>
        </w:rPr>
      </w:pPr>
      <w:r w:rsidRPr="003F5961">
        <w:rPr>
          <w:noProof/>
        </w:rPr>
        <w:t xml:space="preserve">VEDTAGET DENNE AFGØRELSE: </w:t>
      </w:r>
    </w:p>
    <w:p w14:paraId="79D54CE3" w14:textId="77777777" w:rsidR="00C81935" w:rsidRPr="003F5961" w:rsidRDefault="00C81935" w:rsidP="003F4C80">
      <w:pPr>
        <w:pStyle w:val="Titrearticle"/>
        <w:rPr>
          <w:noProof/>
        </w:rPr>
      </w:pPr>
      <w:r w:rsidRPr="003F5961">
        <w:rPr>
          <w:noProof/>
        </w:rPr>
        <w:t>Artikel 1</w:t>
      </w:r>
    </w:p>
    <w:p w14:paraId="06F38D6A" w14:textId="77777777" w:rsidR="002D51A5" w:rsidRPr="003F5961" w:rsidRDefault="002D51A5" w:rsidP="002D51A5">
      <w:pPr>
        <w:pStyle w:val="Titrearticle"/>
        <w:rPr>
          <w:b/>
          <w:bCs/>
          <w:i w:val="0"/>
          <w:iCs/>
          <w:noProof/>
        </w:rPr>
      </w:pPr>
      <w:r w:rsidRPr="003F5961">
        <w:rPr>
          <w:b/>
          <w:i w:val="0"/>
          <w:noProof/>
        </w:rPr>
        <w:t>Ændringer af direktiv 2013/34/EU</w:t>
      </w:r>
    </w:p>
    <w:p w14:paraId="4884D32E" w14:textId="77777777" w:rsidR="002D51A5" w:rsidRPr="003F5961" w:rsidRDefault="002D51A5" w:rsidP="002D51A5">
      <w:pPr>
        <w:rPr>
          <w:noProof/>
        </w:rPr>
      </w:pPr>
      <w:r w:rsidRPr="003F5961">
        <w:rPr>
          <w:noProof/>
        </w:rPr>
        <w:t>I direktiv 2013/34/EU foretages følgende ændringer:</w:t>
      </w:r>
    </w:p>
    <w:p w14:paraId="2AA663FA" w14:textId="46A8F713" w:rsidR="002D51A5" w:rsidRPr="003F5961" w:rsidRDefault="00DB3490" w:rsidP="00DB3490">
      <w:pPr>
        <w:pStyle w:val="Point0"/>
        <w:rPr>
          <w:noProof/>
        </w:rPr>
      </w:pPr>
      <w:r>
        <w:rPr>
          <w:noProof/>
        </w:rPr>
        <w:t>1)</w:t>
      </w:r>
      <w:r w:rsidRPr="00DB3490">
        <w:rPr>
          <w:noProof/>
        </w:rPr>
        <w:tab/>
      </w:r>
      <w:r w:rsidR="002D51A5" w:rsidRPr="003F5961">
        <w:rPr>
          <w:noProof/>
        </w:rPr>
        <w:t>I artikel 29b, stk. 1, tredje afsnit, indledningen, ændres "30. juni 2024" til "30. juni 2026".</w:t>
      </w:r>
    </w:p>
    <w:p w14:paraId="4C56469C" w14:textId="45315080" w:rsidR="002D51A5" w:rsidRPr="003F5961" w:rsidRDefault="00DB3490" w:rsidP="00DB3490">
      <w:pPr>
        <w:pStyle w:val="Point0"/>
        <w:rPr>
          <w:noProof/>
        </w:rPr>
      </w:pPr>
      <w:r>
        <w:rPr>
          <w:noProof/>
        </w:rPr>
        <w:t>2)</w:t>
      </w:r>
      <w:r w:rsidRPr="00DB3490">
        <w:rPr>
          <w:noProof/>
        </w:rPr>
        <w:tab/>
      </w:r>
      <w:r w:rsidR="002D51A5" w:rsidRPr="003F5961">
        <w:rPr>
          <w:noProof/>
        </w:rPr>
        <w:t>I artikel 40b ændres "30. juni 2024" til "30. juni 2026".</w:t>
      </w:r>
    </w:p>
    <w:p w14:paraId="24DFB1E1" w14:textId="77777777" w:rsidR="00C81935" w:rsidRPr="003F5961" w:rsidRDefault="00C81935" w:rsidP="003F4C80">
      <w:pPr>
        <w:pStyle w:val="Titrearticle"/>
        <w:rPr>
          <w:noProof/>
        </w:rPr>
      </w:pPr>
      <w:r w:rsidRPr="003F5961">
        <w:rPr>
          <w:noProof/>
        </w:rPr>
        <w:t>Artikel 2</w:t>
      </w:r>
    </w:p>
    <w:p w14:paraId="34B7CB19" w14:textId="77777777" w:rsidR="002D51A5" w:rsidRPr="003F5961" w:rsidRDefault="002D51A5" w:rsidP="002D51A5">
      <w:pPr>
        <w:pStyle w:val="Titrearticle"/>
        <w:rPr>
          <w:b/>
          <w:bCs/>
          <w:i w:val="0"/>
          <w:iCs/>
          <w:noProof/>
        </w:rPr>
      </w:pPr>
      <w:r w:rsidRPr="003F5961">
        <w:rPr>
          <w:b/>
          <w:i w:val="0"/>
          <w:noProof/>
        </w:rPr>
        <w:t>Ikrafttræden</w:t>
      </w:r>
    </w:p>
    <w:p w14:paraId="09F74711" w14:textId="77777777" w:rsidR="002D51A5" w:rsidRPr="003F5961" w:rsidRDefault="002D51A5" w:rsidP="002D51A5">
      <w:pPr>
        <w:rPr>
          <w:noProof/>
        </w:rPr>
      </w:pPr>
      <w:r w:rsidRPr="003F5961">
        <w:rPr>
          <w:noProof/>
        </w:rPr>
        <w:t xml:space="preserve">Denne afgørelse træder i kraft på tyvendedagen efter offentliggørelsen i </w:t>
      </w:r>
      <w:r w:rsidRPr="003F5961">
        <w:rPr>
          <w:i/>
          <w:noProof/>
        </w:rPr>
        <w:t>Den Europæiske Unions Tidende</w:t>
      </w:r>
      <w:r w:rsidRPr="003F5961">
        <w:rPr>
          <w:noProof/>
        </w:rPr>
        <w:t xml:space="preserve">. </w:t>
      </w:r>
    </w:p>
    <w:p w14:paraId="6E6E0781" w14:textId="77777777" w:rsidR="005F015B" w:rsidRPr="003F5961" w:rsidRDefault="005F015B" w:rsidP="002D51A5">
      <w:pPr>
        <w:rPr>
          <w:noProof/>
        </w:rPr>
      </w:pPr>
    </w:p>
    <w:p w14:paraId="0E22BFC6" w14:textId="006144B8" w:rsidR="00C81935" w:rsidRPr="003F5961" w:rsidRDefault="0045210C" w:rsidP="00F0477D">
      <w:pPr>
        <w:pStyle w:val="Fait"/>
        <w:rPr>
          <w:noProof/>
        </w:rPr>
      </w:pPr>
      <w:r w:rsidRPr="0045210C">
        <w:t xml:space="preserve">Udfærdiget i Bruxelles, den </w:t>
      </w:r>
      <w:r w:rsidRPr="0045210C">
        <w:rPr>
          <w:rStyle w:val="Marker"/>
        </w:rPr>
        <w:t>[…]</w:t>
      </w:r>
      <w:r w:rsidRPr="0045210C">
        <w:t>.</w:t>
      </w:r>
    </w:p>
    <w:p w14:paraId="6623D596" w14:textId="77777777" w:rsidR="00C81935" w:rsidRPr="003F5961" w:rsidRDefault="00C81935" w:rsidP="00F0477D">
      <w:pPr>
        <w:pStyle w:val="Institutionquisigne"/>
        <w:rPr>
          <w:noProof/>
        </w:rPr>
      </w:pPr>
      <w:r w:rsidRPr="003F5961">
        <w:rPr>
          <w:noProof/>
        </w:rPr>
        <w:t>På Europa-Parlamentets vegne</w:t>
      </w:r>
      <w:r w:rsidRPr="003F5961">
        <w:rPr>
          <w:noProof/>
        </w:rPr>
        <w:tab/>
        <w:t>På Rådets vegne</w:t>
      </w:r>
    </w:p>
    <w:p w14:paraId="07C5C059" w14:textId="77777777" w:rsidR="00C81935" w:rsidRPr="003F5961" w:rsidRDefault="00C81935" w:rsidP="00C81935">
      <w:pPr>
        <w:pStyle w:val="Personnequisigne"/>
        <w:rPr>
          <w:noProof/>
        </w:rPr>
      </w:pPr>
      <w:r w:rsidRPr="003F5961">
        <w:rPr>
          <w:noProof/>
        </w:rPr>
        <w:t>Formand</w:t>
      </w:r>
      <w:r w:rsidRPr="003F5961">
        <w:rPr>
          <w:noProof/>
        </w:rPr>
        <w:tab/>
        <w:t>Formand</w:t>
      </w:r>
    </w:p>
    <w:sectPr w:rsidR="00C81935" w:rsidRPr="003F5961" w:rsidSect="009075E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FAA5D" w14:textId="77777777" w:rsidR="00C81935" w:rsidRDefault="00C81935" w:rsidP="00C81935">
      <w:pPr>
        <w:spacing w:before="0" w:after="0"/>
      </w:pPr>
      <w:r>
        <w:separator/>
      </w:r>
    </w:p>
  </w:endnote>
  <w:endnote w:type="continuationSeparator" w:id="0">
    <w:p w14:paraId="4D68EC6C" w14:textId="77777777" w:rsidR="00C81935" w:rsidRDefault="00C81935" w:rsidP="00C819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8D633" w14:textId="7FEC9DA2" w:rsidR="00C81935" w:rsidRPr="009075E5" w:rsidRDefault="009075E5" w:rsidP="009075E5">
    <w:pPr>
      <w:pStyle w:val="Footer"/>
      <w:rPr>
        <w:rFonts w:ascii="Arial" w:hAnsi="Arial" w:cs="Arial"/>
        <w:b/>
        <w:sz w:val="48"/>
      </w:rPr>
    </w:pPr>
    <w:r w:rsidRPr="009075E5">
      <w:rPr>
        <w:rFonts w:ascii="Arial" w:hAnsi="Arial" w:cs="Arial"/>
        <w:b/>
        <w:sz w:val="48"/>
      </w:rPr>
      <w:t>DA</w:t>
    </w:r>
    <w:r w:rsidRPr="009075E5">
      <w:rPr>
        <w:rFonts w:ascii="Arial" w:hAnsi="Arial" w:cs="Arial"/>
        <w:b/>
        <w:sz w:val="48"/>
      </w:rPr>
      <w:tab/>
    </w:r>
    <w:r w:rsidRPr="009075E5">
      <w:rPr>
        <w:rFonts w:ascii="Arial" w:hAnsi="Arial" w:cs="Arial"/>
        <w:b/>
        <w:sz w:val="48"/>
      </w:rPr>
      <w:tab/>
    </w:r>
    <w:r w:rsidRPr="009075E5">
      <w:tab/>
    </w:r>
    <w:r w:rsidRPr="009075E5">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73140" w14:textId="0184F345" w:rsidR="009075E5" w:rsidRPr="009075E5" w:rsidRDefault="009075E5" w:rsidP="009075E5">
    <w:pPr>
      <w:pStyle w:val="Footer"/>
      <w:rPr>
        <w:rFonts w:ascii="Arial" w:hAnsi="Arial" w:cs="Arial"/>
        <w:b/>
        <w:sz w:val="48"/>
      </w:rPr>
    </w:pPr>
    <w:r w:rsidRPr="009075E5">
      <w:rPr>
        <w:rFonts w:ascii="Arial" w:hAnsi="Arial" w:cs="Arial"/>
        <w:b/>
        <w:sz w:val="48"/>
      </w:rPr>
      <w:t>DA</w:t>
    </w:r>
    <w:r w:rsidRPr="009075E5">
      <w:rPr>
        <w:rFonts w:ascii="Arial" w:hAnsi="Arial" w:cs="Arial"/>
        <w:b/>
        <w:sz w:val="48"/>
      </w:rPr>
      <w:tab/>
    </w:r>
    <w:r>
      <w:fldChar w:fldCharType="begin"/>
    </w:r>
    <w:r>
      <w:instrText xml:space="preserve"> PAGE  \* MERGEFORMAT </w:instrText>
    </w:r>
    <w:r>
      <w:fldChar w:fldCharType="separate"/>
    </w:r>
    <w:r w:rsidR="00F0477D">
      <w:rPr>
        <w:noProof/>
      </w:rPr>
      <w:t>6</w:t>
    </w:r>
    <w:r>
      <w:fldChar w:fldCharType="end"/>
    </w:r>
    <w:r>
      <w:tab/>
    </w:r>
    <w:r w:rsidRPr="009075E5">
      <w:tab/>
    </w:r>
    <w:r w:rsidRPr="009075E5">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AEE77" w14:textId="77777777" w:rsidR="009075E5" w:rsidRPr="009075E5" w:rsidRDefault="009075E5" w:rsidP="00907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55925" w14:textId="77777777" w:rsidR="00C81935" w:rsidRDefault="00C81935" w:rsidP="00C81935">
      <w:pPr>
        <w:spacing w:before="0" w:after="0"/>
      </w:pPr>
      <w:r>
        <w:separator/>
      </w:r>
    </w:p>
  </w:footnote>
  <w:footnote w:type="continuationSeparator" w:id="0">
    <w:p w14:paraId="54CD2696" w14:textId="77777777" w:rsidR="00C81935" w:rsidRDefault="00C81935" w:rsidP="00C81935">
      <w:pPr>
        <w:spacing w:before="0" w:after="0"/>
      </w:pPr>
      <w:r>
        <w:continuationSeparator/>
      </w:r>
    </w:p>
  </w:footnote>
  <w:footnote w:id="1">
    <w:p w14:paraId="6B534174" w14:textId="77777777" w:rsidR="00C81935" w:rsidRPr="003F5961" w:rsidRDefault="00C81935" w:rsidP="00C81935">
      <w:pPr>
        <w:pStyle w:val="FootnoteText"/>
        <w:ind w:left="567" w:hanging="425"/>
      </w:pPr>
      <w:r>
        <w:rPr>
          <w:rStyle w:val="FootnoteReference"/>
        </w:rPr>
        <w:footnoteRef/>
      </w:r>
      <w:r w:rsidRPr="003F5961">
        <w:tab/>
        <w:t>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w:t>
      </w:r>
    </w:p>
  </w:footnote>
  <w:footnote w:id="2">
    <w:p w14:paraId="7402E677" w14:textId="77777777" w:rsidR="00C81935" w:rsidRPr="003F5961" w:rsidRDefault="00C81935" w:rsidP="00C81935">
      <w:pPr>
        <w:pStyle w:val="FootnoteText"/>
        <w:ind w:left="567" w:hanging="425"/>
      </w:pPr>
      <w:r>
        <w:rPr>
          <w:rStyle w:val="FootnoteReference"/>
        </w:rPr>
        <w:footnoteRef/>
      </w:r>
      <w:r w:rsidRPr="003F5961">
        <w:tab/>
        <w:t>Europa-Parlamentets og Rådets direktiv (EU) 2022/2464 af 14. december 2022 om ændring af forordning (EU) nr. 537/2014, direktiv 2004/109/EF, direktiv 2006/43/EF og direktiv 2013/34/EU for så vidt angår virksomheders bæredygtighedsrapportering (EUT L 322 af 16.12.2022, s. 15).</w:t>
      </w:r>
    </w:p>
  </w:footnote>
  <w:footnote w:id="3">
    <w:p w14:paraId="2E504FA7" w14:textId="77777777" w:rsidR="00C81935" w:rsidRPr="003F5961" w:rsidRDefault="00C81935" w:rsidP="00C81935">
      <w:pPr>
        <w:pStyle w:val="FootnoteText"/>
        <w:ind w:left="567" w:hanging="425"/>
      </w:pPr>
      <w:r>
        <w:rPr>
          <w:rStyle w:val="FootnoteReference"/>
        </w:rPr>
        <w:footnoteRef/>
      </w:r>
      <w:r w:rsidRPr="003F5961">
        <w:tab/>
        <w:t xml:space="preserve">Kravene til bæredygtighedsrapportering for store virksomheder og børsnoterede SMV'er er fastsat i artikel 19a og 29a i regnskabsdirektivet og finder anvendelse fra regnskabsåret 2024 afhængigt af virksomhedskategorien. I henhold til regnskabsdirektivets artikel 40a skal vissetredjelandsvirksomheder, der driver virksomhed på Unionens område, offentliggøre visse bæredygtighedsoplysninger fra regnskabsåret 2028.   </w:t>
      </w:r>
    </w:p>
  </w:footnote>
  <w:footnote w:id="4">
    <w:p w14:paraId="5A0C8D36" w14:textId="77777777" w:rsidR="00C81935" w:rsidRPr="003F5961" w:rsidRDefault="00C81935" w:rsidP="00C81935">
      <w:pPr>
        <w:pStyle w:val="FootnoteText"/>
        <w:ind w:left="567" w:hanging="425"/>
      </w:pPr>
      <w:r>
        <w:rPr>
          <w:rStyle w:val="FootnoteReference"/>
        </w:rPr>
        <w:footnoteRef/>
      </w:r>
      <w:r w:rsidRPr="003F5961">
        <w:tab/>
        <w:t xml:space="preserve">Artikel 49, stk. 3b, i regnskabsdirektivet. EFRAG blev tidligere kaldt European Financial Reporting Advisory Group. I 2022 ændrede den sit navn til blot EFRAG. </w:t>
      </w:r>
    </w:p>
  </w:footnote>
  <w:footnote w:id="5">
    <w:p w14:paraId="2E923EC3" w14:textId="77777777" w:rsidR="00C81935" w:rsidRPr="003F5961" w:rsidRDefault="00C81935" w:rsidP="00C81935">
      <w:pPr>
        <w:pStyle w:val="FootnoteText"/>
        <w:ind w:left="567" w:hanging="425"/>
      </w:pPr>
      <w:r>
        <w:rPr>
          <w:rStyle w:val="FootnoteReference"/>
        </w:rPr>
        <w:footnoteRef/>
      </w:r>
      <w:r w:rsidRPr="003F5961">
        <w:tab/>
        <w:t xml:space="preserve">Ved artikel 29b, stk. 1, i regnskabsdirektivet bemyndiges Kommissionen til via delegerede retsakter at vedtage ESRS, der skal anvendes af store virksomheder og børsnoterede SMV'er, mens artikel 40b giver Kommissionen beføjelse til at vedtage ESRS for visse tredjelandsvirksomheders bæredygtighedsrapport. </w:t>
      </w:r>
    </w:p>
  </w:footnote>
  <w:footnote w:id="6">
    <w:p w14:paraId="3B7E9921" w14:textId="77777777" w:rsidR="00C81935" w:rsidRPr="00DB3490" w:rsidRDefault="00C81935" w:rsidP="00C81935">
      <w:pPr>
        <w:pStyle w:val="FootnoteText"/>
        <w:rPr>
          <w:lang w:val="en-IE"/>
        </w:rPr>
      </w:pPr>
      <w:r>
        <w:rPr>
          <w:rStyle w:val="FootnoteReference"/>
        </w:rPr>
        <w:footnoteRef/>
      </w:r>
      <w:r w:rsidRPr="00DB3490">
        <w:rPr>
          <w:lang w:val="en-IE"/>
        </w:rPr>
        <w:tab/>
        <w:t>COM(2023) 535 final.</w:t>
      </w:r>
    </w:p>
  </w:footnote>
  <w:footnote w:id="7">
    <w:p w14:paraId="02C55C1C" w14:textId="77777777" w:rsidR="002D51A5" w:rsidRPr="00DB3490" w:rsidRDefault="002D51A5" w:rsidP="002D51A5">
      <w:pPr>
        <w:pStyle w:val="FootnoteText"/>
        <w:rPr>
          <w:lang w:val="en-IE"/>
        </w:rPr>
      </w:pPr>
      <w:r>
        <w:rPr>
          <w:rStyle w:val="FootnoteReference"/>
        </w:rPr>
        <w:footnoteRef/>
      </w:r>
      <w:r w:rsidRPr="00DB3490">
        <w:rPr>
          <w:lang w:val="en-IE"/>
        </w:rPr>
        <w:tab/>
        <w:t>EUT C […] af […], s. […].</w:t>
      </w:r>
    </w:p>
  </w:footnote>
  <w:footnote w:id="8">
    <w:p w14:paraId="686B5ED5" w14:textId="77777777" w:rsidR="002D51A5" w:rsidRPr="003F5961" w:rsidRDefault="002D51A5" w:rsidP="002D51A5">
      <w:pPr>
        <w:pStyle w:val="FootnoteText"/>
      </w:pPr>
      <w:r>
        <w:rPr>
          <w:rStyle w:val="FootnoteReference"/>
        </w:rPr>
        <w:footnoteRef/>
      </w:r>
      <w:r w:rsidRPr="003F5961">
        <w:tab/>
        <w:t>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w:t>
      </w:r>
    </w:p>
  </w:footnote>
  <w:footnote w:id="9">
    <w:p w14:paraId="7A220837" w14:textId="77777777" w:rsidR="002D51A5" w:rsidRPr="003F5961" w:rsidRDefault="002D51A5" w:rsidP="002D51A5">
      <w:pPr>
        <w:pStyle w:val="FootnoteText"/>
        <w:rPr>
          <w:i/>
          <w:iCs/>
        </w:rPr>
      </w:pPr>
      <w:r>
        <w:rPr>
          <w:rStyle w:val="FootnoteReference"/>
        </w:rPr>
        <w:footnoteRef/>
      </w:r>
      <w:r w:rsidRPr="003F5961">
        <w:tab/>
        <w:t>[</w:t>
      </w:r>
      <w:r w:rsidRPr="003F5961">
        <w:rPr>
          <w:i/>
        </w:rPr>
        <w:t>Publikationskontoret: Indsæt venligst den fulde henvisning til nævnte delegerede retsakt, når den er offentliggjort: KOMMISSIONENS DELEGEREDE FORORDNING (EU).../... af 31.7.2023 om supplerende regler til Europa-Parlamentets og Rådets direktiv 2013/34/EU for så vidt angår standarder for bæredygtighedsrapportering (C(2023) 5303 final)</w:t>
      </w:r>
      <w:r w:rsidRPr="003F5961">
        <w:t>].</w:t>
      </w:r>
    </w:p>
  </w:footnote>
  <w:footnote w:id="10">
    <w:p w14:paraId="06A219F9" w14:textId="77777777" w:rsidR="002D51A5" w:rsidRPr="00E744A8" w:rsidRDefault="002D51A5" w:rsidP="002D51A5">
      <w:pPr>
        <w:pStyle w:val="FootnoteText"/>
      </w:pPr>
      <w:r>
        <w:rPr>
          <w:rStyle w:val="FootnoteReference"/>
        </w:rPr>
        <w:footnoteRef/>
      </w:r>
      <w:r>
        <w:tab/>
        <w:t>COM(2023) 168.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8DE332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A5290B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8C493F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FA4F5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 w:numId="6">
    <w:abstractNumId w:val="0"/>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12 18:45: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3F86AEB-0EB9-4A14-B688-46AEAB554C02"/>
    <w:docVar w:name="LW_COVERPAGE_TYPE" w:val="1"/>
    <w:docVar w:name="LW_CROSSREFERENCE" w:val="&lt;UNUSED&gt;"/>
    <w:docVar w:name="LW_DocType" w:val="COM"/>
    <w:docVar w:name="LW_EMISSION" w:val="17.10.2023"/>
    <w:docVar w:name="LW_EMISSION_ISODATE" w:val="2023-10-17"/>
    <w:docVar w:name="LW_EMISSION_LOCATION" w:val="BRX"/>
    <w:docVar w:name="LW_EMISSION_PREFIX" w:val="Bruxelles, den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EØS-relevant teks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368"/>
    <w:docVar w:name="LW_REF.II.NEW.CP_YEAR" w:val="2023"/>
    <w:docVar w:name="LW_REF.INST.NEW" w:val="COM"/>
    <w:docVar w:name="LW_REF.INST.NEW_ADOPTED" w:val="final"/>
    <w:docVar w:name="LW_REF.INST.NEW_TEXT" w:val="(2023) 5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ændring af direktiv 2013/34/EU for så vidt angår fristerne for vedtagelse af standarder for bæredygtighedsrapportering for visse sektorer og for visse tredjelandsvirksomheder"/>
    <w:docVar w:name="LW_TYPE.DOC.CP" w:val="EUROPA-PARLAMENTETS OG RÅDETS AFGØRELSE"/>
    <w:docVar w:name="LwApiVersions" w:val="LW4CoDe 1.23.2.0; LW 8.0, Build 20211117"/>
  </w:docVars>
  <w:rsids>
    <w:rsidRoot w:val="00C81935"/>
    <w:rsid w:val="000013DA"/>
    <w:rsid w:val="00026AF2"/>
    <w:rsid w:val="0006773C"/>
    <w:rsid w:val="001065F5"/>
    <w:rsid w:val="001238EF"/>
    <w:rsid w:val="00197613"/>
    <w:rsid w:val="00233DC7"/>
    <w:rsid w:val="00247779"/>
    <w:rsid w:val="00285BEE"/>
    <w:rsid w:val="0029533F"/>
    <w:rsid w:val="002B30AF"/>
    <w:rsid w:val="002D51A5"/>
    <w:rsid w:val="0033344A"/>
    <w:rsid w:val="00372A45"/>
    <w:rsid w:val="003F5961"/>
    <w:rsid w:val="0042648E"/>
    <w:rsid w:val="0045210C"/>
    <w:rsid w:val="004936D2"/>
    <w:rsid w:val="004D4D0E"/>
    <w:rsid w:val="0055072B"/>
    <w:rsid w:val="005B1EB6"/>
    <w:rsid w:val="005F015B"/>
    <w:rsid w:val="0061489C"/>
    <w:rsid w:val="0063102D"/>
    <w:rsid w:val="00725B87"/>
    <w:rsid w:val="00773331"/>
    <w:rsid w:val="007932EF"/>
    <w:rsid w:val="0079544A"/>
    <w:rsid w:val="007E05B0"/>
    <w:rsid w:val="00874D22"/>
    <w:rsid w:val="008A2914"/>
    <w:rsid w:val="008E4D8E"/>
    <w:rsid w:val="009075E5"/>
    <w:rsid w:val="009D590E"/>
    <w:rsid w:val="00A01E5F"/>
    <w:rsid w:val="00A4330F"/>
    <w:rsid w:val="00A539F0"/>
    <w:rsid w:val="00A61935"/>
    <w:rsid w:val="00B671DF"/>
    <w:rsid w:val="00C12301"/>
    <w:rsid w:val="00C60C0F"/>
    <w:rsid w:val="00C81935"/>
    <w:rsid w:val="00D20381"/>
    <w:rsid w:val="00DB3490"/>
    <w:rsid w:val="00E22F76"/>
    <w:rsid w:val="00EF1DC5"/>
    <w:rsid w:val="00F0477D"/>
    <w:rsid w:val="00FC38F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F5C18A3"/>
  <w15:docId w15:val="{20DB9949-1385-425D-8986-BCB8FAD1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26AF2"/>
    <w:pPr>
      <w:numPr>
        <w:numId w:val="3"/>
      </w:numPr>
      <w:contextualSpacing/>
    </w:pPr>
  </w:style>
  <w:style w:type="paragraph" w:styleId="ListBullet2">
    <w:name w:val="List Bullet 2"/>
    <w:basedOn w:val="Normal"/>
    <w:uiPriority w:val="99"/>
    <w:semiHidden/>
    <w:unhideWhenUsed/>
    <w:rsid w:val="00026AF2"/>
    <w:pPr>
      <w:numPr>
        <w:numId w:val="4"/>
      </w:numPr>
      <w:contextualSpacing/>
    </w:pPr>
  </w:style>
  <w:style w:type="paragraph" w:styleId="ListBullet3">
    <w:name w:val="List Bullet 3"/>
    <w:basedOn w:val="Normal"/>
    <w:uiPriority w:val="99"/>
    <w:semiHidden/>
    <w:unhideWhenUsed/>
    <w:rsid w:val="00026AF2"/>
    <w:pPr>
      <w:numPr>
        <w:numId w:val="5"/>
      </w:numPr>
      <w:contextualSpacing/>
    </w:pPr>
  </w:style>
  <w:style w:type="paragraph" w:styleId="ListBullet4">
    <w:name w:val="List Bullet 4"/>
    <w:basedOn w:val="Normal"/>
    <w:uiPriority w:val="99"/>
    <w:semiHidden/>
    <w:unhideWhenUsed/>
    <w:rsid w:val="00026AF2"/>
    <w:pPr>
      <w:numPr>
        <w:numId w:val="6"/>
      </w:numPr>
      <w:contextualSpacing/>
    </w:pPr>
  </w:style>
  <w:style w:type="character" w:styleId="Hyperlink">
    <w:name w:val="Hyperlink"/>
    <w:basedOn w:val="DefaultParagraphFont"/>
    <w:uiPriority w:val="99"/>
    <w:semiHidden/>
    <w:unhideWhenUsed/>
    <w:rsid w:val="00725B87"/>
    <w:rPr>
      <w:color w:val="0000FF" w:themeColor="hyperlink"/>
      <w:u w:val="single"/>
    </w:rPr>
  </w:style>
  <w:style w:type="character" w:styleId="CommentReference">
    <w:name w:val="annotation reference"/>
    <w:basedOn w:val="DefaultParagraphFont"/>
    <w:uiPriority w:val="99"/>
    <w:semiHidden/>
    <w:unhideWhenUsed/>
    <w:rsid w:val="00725B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a-DK"/>
    </w:rPr>
  </w:style>
  <w:style w:type="paragraph" w:styleId="Header">
    <w:name w:val="header"/>
    <w:basedOn w:val="Normal"/>
    <w:link w:val="HeaderChar"/>
    <w:uiPriority w:val="99"/>
    <w:unhideWhenUsed/>
    <w:rsid w:val="009075E5"/>
    <w:pPr>
      <w:tabs>
        <w:tab w:val="center" w:pos="4535"/>
        <w:tab w:val="right" w:pos="9071"/>
      </w:tabs>
      <w:spacing w:before="0"/>
    </w:pPr>
  </w:style>
  <w:style w:type="character" w:customStyle="1" w:styleId="HeaderChar">
    <w:name w:val="Header Char"/>
    <w:basedOn w:val="DefaultParagraphFont"/>
    <w:link w:val="Header"/>
    <w:uiPriority w:val="99"/>
    <w:rsid w:val="009075E5"/>
    <w:rPr>
      <w:rFonts w:ascii="Times New Roman" w:hAnsi="Times New Roman" w:cs="Times New Roman"/>
      <w:sz w:val="24"/>
      <w:lang w:val="da-DK"/>
    </w:rPr>
  </w:style>
  <w:style w:type="paragraph" w:styleId="Footer">
    <w:name w:val="footer"/>
    <w:basedOn w:val="Normal"/>
    <w:link w:val="FooterChar"/>
    <w:uiPriority w:val="99"/>
    <w:unhideWhenUsed/>
    <w:rsid w:val="009075E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075E5"/>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9075E5"/>
    <w:pPr>
      <w:tabs>
        <w:tab w:val="center" w:pos="7285"/>
        <w:tab w:val="right" w:pos="14003"/>
      </w:tabs>
      <w:spacing w:before="0"/>
    </w:pPr>
  </w:style>
  <w:style w:type="paragraph" w:customStyle="1" w:styleId="FooterLandscape">
    <w:name w:val="FooterLandscape"/>
    <w:basedOn w:val="Normal"/>
    <w:rsid w:val="009075E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75E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75E5"/>
    <w:pPr>
      <w:spacing w:before="0"/>
      <w:jc w:val="right"/>
    </w:pPr>
    <w:rPr>
      <w:sz w:val="28"/>
    </w:rPr>
  </w:style>
  <w:style w:type="paragraph" w:customStyle="1" w:styleId="FooterSensitivity">
    <w:name w:val="Footer Sensitivity"/>
    <w:basedOn w:val="Normal"/>
    <w:rsid w:val="009075E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06773C"/>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22</TotalTime>
  <Pages>7</Pages>
  <Words>1680</Words>
  <Characters>10601</Characters>
  <Application>Microsoft Office Word</Application>
  <DocSecurity>0</DocSecurity>
  <Lines>192</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50</cp:revision>
  <dcterms:created xsi:type="dcterms:W3CDTF">2023-10-11T07:11:00Z</dcterms:created>
  <dcterms:modified xsi:type="dcterms:W3CDTF">2023-10-12T16:45:00Z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2023-10-11T07:11:44Z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10ef7133-3304-49f3-b180-6227784bd0c3</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SJ-026</vt:lpwstr>
  </property>
  <property fmtid="{D5CDD505-2E9C-101B-9397-08002B2CF9AE}" pid="17" name="DQCStatus">
    <vt:lpwstr>Green (DQC version 03)</vt:lpwstr>
  </property>
  <property name="OP_sanitized" fmtid="{D5CDD505-2E9C-101B-9397-08002B2CF9AE}" pid="18">
    <vt:lpwstr>True</vt:lpwstr>
  </property>
</Properties>
</file>