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C9846" w14:textId="04CEE3C1" w:rsidR="00985C4E" w:rsidRPr="00411685" w:rsidRDefault="00CD4B62" w:rsidP="00CD4B62">
      <w:pPr>
        <w:pStyle w:val="Pagedecouverture"/>
        <w:rPr>
          <w:noProof/>
        </w:rPr>
      </w:pPr>
      <w:r>
        <w:rPr>
          <w:noProof/>
        </w:rPr>
        <w:pict w14:anchorId="25944F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24CC34DF-1950-4104-81A8-C566F60C948C" style="width:455.25pt;height:369.75pt">
            <v:imagedata r:id="rId11" o:title=""/>
          </v:shape>
        </w:pict>
      </w:r>
    </w:p>
    <w:p w14:paraId="4CDC9847" w14:textId="77777777" w:rsidR="00985C4E" w:rsidRPr="00411685" w:rsidRDefault="00985C4E" w:rsidP="00985C4E">
      <w:pPr>
        <w:rPr>
          <w:noProof/>
        </w:rPr>
        <w:sectPr w:rsidR="00985C4E" w:rsidRPr="00411685" w:rsidSect="00CD4B62">
          <w:footerReference w:type="default" r:id="rId12"/>
          <w:pgSz w:w="11907" w:h="16839"/>
          <w:pgMar w:top="1134" w:right="1417" w:bottom="1134" w:left="1417" w:header="709" w:footer="709" w:gutter="0"/>
          <w:pgNumType w:start="0"/>
          <w:cols w:space="720"/>
          <w:docGrid w:linePitch="360"/>
        </w:sectPr>
      </w:pPr>
    </w:p>
    <w:p w14:paraId="4CDC9848" w14:textId="77777777" w:rsidR="00985C4E" w:rsidRPr="00411685" w:rsidRDefault="00985C4E" w:rsidP="00E15077">
      <w:pPr>
        <w:pStyle w:val="Exposdesmotifstitre"/>
        <w:rPr>
          <w:noProof/>
        </w:rPr>
      </w:pPr>
      <w:bookmarkStart w:id="0" w:name="_GoBack"/>
      <w:bookmarkEnd w:id="0"/>
      <w:r w:rsidRPr="00411685">
        <w:rPr>
          <w:noProof/>
        </w:rPr>
        <w:lastRenderedPageBreak/>
        <w:t>BEGRUNDELSE</w:t>
      </w:r>
    </w:p>
    <w:p w14:paraId="4CDC9849" w14:textId="77777777" w:rsidR="00F52EAE" w:rsidRPr="00411685" w:rsidRDefault="00F52EAE" w:rsidP="00F52EAE">
      <w:pPr>
        <w:widowControl w:val="0"/>
        <w:shd w:val="clear" w:color="auto" w:fill="FFFFFF"/>
        <w:autoSpaceDE w:val="0"/>
        <w:autoSpaceDN w:val="0"/>
        <w:adjustRightInd w:val="0"/>
        <w:spacing w:before="230" w:after="0" w:line="269" w:lineRule="exact"/>
        <w:rPr>
          <w:rFonts w:eastAsia="Calibri"/>
          <w:noProof/>
        </w:rPr>
      </w:pPr>
      <w:r w:rsidRPr="00411685">
        <w:rPr>
          <w:noProof/>
        </w:rPr>
        <w:t>I henhold til artikel 395, stk. 1, i Rådets direktiv 2006/112/EF af 28. november 2006 om det fælles merværdiafgiftssystem</w:t>
      </w:r>
      <w:r w:rsidRPr="00411685">
        <w:rPr>
          <w:rStyle w:val="FootnoteReference"/>
          <w:noProof/>
        </w:rPr>
        <w:footnoteReference w:id="2"/>
      </w:r>
      <w:r w:rsidRPr="00411685">
        <w:rPr>
          <w:noProof/>
        </w:rPr>
        <w:t xml:space="preserve"> ("momsdirektivet") kan Rådet med enstemmighed på forslag af Kommissionen give en medlemsstat tilladelse til at indføre særlige foranstaltninger, der fraviger bestemmelserne i nævnte direktiv, for at forenkle afgiftsopkrævningen eller for at forhindre visse former for momsunddragelse eller momsundgåelse.</w:t>
      </w:r>
    </w:p>
    <w:p w14:paraId="4CDC984A" w14:textId="77777777" w:rsidR="00F52EAE" w:rsidRPr="00411685" w:rsidRDefault="00F52EAE" w:rsidP="00F52EAE">
      <w:pPr>
        <w:widowControl w:val="0"/>
        <w:shd w:val="clear" w:color="auto" w:fill="FFFFFF"/>
        <w:autoSpaceDE w:val="0"/>
        <w:autoSpaceDN w:val="0"/>
        <w:adjustRightInd w:val="0"/>
        <w:spacing w:before="230" w:after="0" w:line="269" w:lineRule="exact"/>
        <w:rPr>
          <w:rFonts w:eastAsia="Calibri"/>
          <w:noProof/>
        </w:rPr>
      </w:pPr>
      <w:r w:rsidRPr="00411685">
        <w:rPr>
          <w:noProof/>
        </w:rPr>
        <w:t>Ved Rådets gennemførelsesafgørelse 2020/647 af 11. maj 2020</w:t>
      </w:r>
      <w:r w:rsidRPr="00411685">
        <w:rPr>
          <w:rStyle w:val="FootnoteReference"/>
          <w:rFonts w:eastAsia="Calibri"/>
          <w:noProof/>
        </w:rPr>
        <w:footnoteReference w:id="3"/>
      </w:r>
      <w:r w:rsidRPr="00411685">
        <w:rPr>
          <w:noProof/>
        </w:rPr>
        <w:t xml:space="preserve"> fik Italien tilladelse til at anvende en særlig foranstaltning, der fraviger momsdirektivets artikel 285, til at indrømme momsfritagelse til afgiftspligtige personer, hvis årlige omsætning ikke overstiger 65 000 EUR, frem til den 31. december 2024.</w:t>
      </w:r>
    </w:p>
    <w:p w14:paraId="4CDC984B" w14:textId="67113013" w:rsidR="00F52EAE" w:rsidRPr="00411685" w:rsidRDefault="00F52EAE" w:rsidP="00F52EAE">
      <w:pPr>
        <w:widowControl w:val="0"/>
        <w:shd w:val="clear" w:color="auto" w:fill="FFFFFF"/>
        <w:autoSpaceDE w:val="0"/>
        <w:autoSpaceDN w:val="0"/>
        <w:adjustRightInd w:val="0"/>
        <w:spacing w:before="230" w:after="0" w:line="269" w:lineRule="exact"/>
        <w:rPr>
          <w:rFonts w:eastAsia="Calibri"/>
          <w:strike/>
          <w:noProof/>
        </w:rPr>
      </w:pPr>
      <w:r w:rsidRPr="00411685">
        <w:rPr>
          <w:noProof/>
        </w:rPr>
        <w:t xml:space="preserve">Ved brev registreret i Kommissionen den 29. november 2022 anmodede Italien om tilladelse til at forhøje tærsklen for ovennævnte eksisterende foranstaltning fra 65 000 EUR til 85 000 EUR fra den 1. januar 2023 til den 31. december 2024. </w:t>
      </w:r>
    </w:p>
    <w:p w14:paraId="4CDC984C" w14:textId="77777777" w:rsidR="00F52EAE" w:rsidRPr="00411685" w:rsidRDefault="00F52EAE" w:rsidP="00F52EAE">
      <w:pPr>
        <w:widowControl w:val="0"/>
        <w:shd w:val="clear" w:color="auto" w:fill="FFFFFF"/>
        <w:autoSpaceDE w:val="0"/>
        <w:autoSpaceDN w:val="0"/>
        <w:adjustRightInd w:val="0"/>
        <w:spacing w:before="230" w:after="0" w:line="269" w:lineRule="exact"/>
        <w:rPr>
          <w:rFonts w:eastAsia="Calibri"/>
          <w:noProof/>
        </w:rPr>
      </w:pPr>
      <w:r w:rsidRPr="00411685">
        <w:rPr>
          <w:noProof/>
        </w:rPr>
        <w:t>I overensstemmelse med momsdirektivets artikel 395, stk. 2, underrettede Kommissionen ved brev af 8. december 2022 de øvrige medlemsstater om Italiens anmodning. Kommissionen underrettede ved brev af 9. december 2022 Italien om, at den rådede over alle de oplysninger, som den fandt nødvendige for at kunne vurdere anmodningen.</w:t>
      </w:r>
    </w:p>
    <w:p w14:paraId="4CDC984D" w14:textId="77777777" w:rsidR="00985C4E" w:rsidRPr="00411685" w:rsidRDefault="00985C4E" w:rsidP="00F52EAE">
      <w:pPr>
        <w:pStyle w:val="ManualHeading1"/>
        <w:rPr>
          <w:noProof/>
        </w:rPr>
      </w:pPr>
      <w:r w:rsidRPr="00411685">
        <w:rPr>
          <w:noProof/>
        </w:rPr>
        <w:t>1.</w:t>
      </w:r>
      <w:r w:rsidRPr="00411685">
        <w:rPr>
          <w:noProof/>
        </w:rPr>
        <w:tab/>
        <w:t>BAGGRUND FOR FORSLAGET</w:t>
      </w:r>
    </w:p>
    <w:p w14:paraId="4CDC984E" w14:textId="77777777" w:rsidR="00985C4E" w:rsidRPr="00411685" w:rsidRDefault="00985C4E" w:rsidP="00E15077">
      <w:pPr>
        <w:pStyle w:val="ManualHeading2"/>
        <w:rPr>
          <w:rFonts w:eastAsia="Arial Unicode MS"/>
          <w:noProof/>
        </w:rPr>
      </w:pPr>
      <w:r w:rsidRPr="00411685">
        <w:rPr>
          <w:noProof/>
          <w:color w:val="000000"/>
          <w:u w:color="000000"/>
          <w:bdr w:val="nil"/>
        </w:rPr>
        <w:t>•</w:t>
      </w:r>
      <w:r w:rsidRPr="00411685">
        <w:rPr>
          <w:noProof/>
        </w:rPr>
        <w:tab/>
        <w:t>Forslagets begrundelse og formål</w:t>
      </w:r>
    </w:p>
    <w:p w14:paraId="4CDC984F" w14:textId="77777777" w:rsidR="00F52EAE" w:rsidRPr="00411685" w:rsidRDefault="00F52EAE" w:rsidP="00F52EAE">
      <w:pPr>
        <w:rPr>
          <w:rFonts w:eastAsia="Calibri"/>
          <w:noProof/>
        </w:rPr>
      </w:pPr>
      <w:r w:rsidRPr="00411685">
        <w:rPr>
          <w:noProof/>
        </w:rPr>
        <w:t xml:space="preserve">Det følger af momsdirektivets afsnit XII, kapitel 1, at medlemsstaterne har mulighed for at anvende en særordning for små virksomheder, herunder mulighed for at indrømme momsfritagelse for afgiftspligtige personer med en årlig omsætning under et vist beløb. Afgiftspligtige personer, der er omfattet af denne fritagelse, skal ikke opkræve moms på deres leveringer og kan følgelig heller ikke fradrage indgående moms. </w:t>
      </w:r>
    </w:p>
    <w:p w14:paraId="4CDC9850" w14:textId="77777777" w:rsidR="00F52EAE" w:rsidRPr="00411685" w:rsidRDefault="00F52EAE" w:rsidP="00F52EAE">
      <w:pPr>
        <w:rPr>
          <w:rFonts w:eastAsia="Calibri"/>
          <w:noProof/>
        </w:rPr>
      </w:pPr>
      <w:r w:rsidRPr="00411685">
        <w:rPr>
          <w:noProof/>
        </w:rPr>
        <w:t>Muligheden for at anvende særlige momsregler, herunder fritagelser eller gradvis nedsættelse af afgiften for små virksomheder, blev indført ved artikel 14 i Rådets direktiv 67/228/EØF</w:t>
      </w:r>
      <w:r w:rsidRPr="00411685">
        <w:rPr>
          <w:rStyle w:val="FootnoteReference"/>
          <w:noProof/>
        </w:rPr>
        <w:footnoteReference w:id="4"/>
      </w:r>
      <w:r w:rsidRPr="00411685">
        <w:rPr>
          <w:noProof/>
        </w:rPr>
        <w:t>. De medlemsstater, som ikke havde benyttet den i denne bestemmelse anførte mulighed, kunne efterfølgende, i henhold til artikel 24, stk. 2, litra b), i direktiv 77/388/EØF</w:t>
      </w:r>
      <w:r w:rsidRPr="00411685">
        <w:rPr>
          <w:rStyle w:val="FootnoteReference"/>
          <w:noProof/>
        </w:rPr>
        <w:footnoteReference w:id="5"/>
      </w:r>
      <w:r w:rsidRPr="00411685">
        <w:rPr>
          <w:noProof/>
        </w:rPr>
        <w:t xml:space="preserve">, som nu er indarbejdet som momsdirektivets artikel 285, stk. 1, kun momsfritage afgiftspligtige personer, hvis årlige omsætning ikke oversteg 5 000 EUR eller modværdien heraf i national valuta. </w:t>
      </w:r>
    </w:p>
    <w:p w14:paraId="4CDC9851" w14:textId="77777777" w:rsidR="00F52EAE" w:rsidRPr="00411685" w:rsidRDefault="00F52EAE" w:rsidP="00F52EAE">
      <w:pPr>
        <w:rPr>
          <w:rFonts w:eastAsia="Calibri"/>
          <w:noProof/>
        </w:rPr>
      </w:pPr>
      <w:r w:rsidRPr="00411685">
        <w:rPr>
          <w:noProof/>
        </w:rPr>
        <w:t xml:space="preserve">Italien har aldrig benyttet muligheden i artikel 14 i Rådets direktiv 67/228/EØF. I 2007 anmodede Italien om tilladelse til at fravige artikel 285, stk. 1, ved at momsfritage afgiftspligtige personer med en årlig omsætning på højst 30 000 EUR. Baggrunden for anmodningen var den økonomiske struktur i Italien med mange mikrovirksomheder med et </w:t>
      </w:r>
      <w:r w:rsidRPr="00411685">
        <w:rPr>
          <w:noProof/>
        </w:rPr>
        <w:lastRenderedPageBreak/>
        <w:t>meget lille antal ansatte og Italiens ønske om at forenkle små virksomheders momsforpligtelser og lette momsopkrævningen for den nationale skatteforvaltning. Der blev ved Rådets beslutning 2008/737/EF</w:t>
      </w:r>
      <w:r w:rsidRPr="00411685">
        <w:rPr>
          <w:rStyle w:val="FootnoteReference"/>
          <w:noProof/>
        </w:rPr>
        <w:footnoteReference w:id="6"/>
      </w:r>
      <w:r w:rsidRPr="00411685">
        <w:rPr>
          <w:noProof/>
        </w:rPr>
        <w:t xml:space="preserve"> givet tilladelse til at anvende fravigelsesforanstaltningen indtil den 31. december 2010. Foranstaltningen var af frivillig karakter og gav små virksomheder mulighed for at anvende de normale momsordninger.</w:t>
      </w:r>
    </w:p>
    <w:p w14:paraId="4CDC9852" w14:textId="77777777" w:rsidR="00A36181" w:rsidRPr="00411685" w:rsidRDefault="00A36181" w:rsidP="00A36181">
      <w:pPr>
        <w:pBdr>
          <w:top w:val="nil"/>
          <w:left w:val="nil"/>
          <w:bottom w:val="nil"/>
          <w:right w:val="nil"/>
          <w:between w:val="nil"/>
          <w:bar w:val="nil"/>
        </w:pBdr>
        <w:spacing w:after="240"/>
        <w:rPr>
          <w:rFonts w:eastAsia="Calibri"/>
          <w:noProof/>
        </w:rPr>
      </w:pPr>
      <w:r w:rsidRPr="00411685">
        <w:rPr>
          <w:noProof/>
        </w:rPr>
        <w:t>Italien fik efterfølgende tilladelse til at forlænge udløbsdatoen for fravigelsesforanstaltningen indtil den 31. december 2013 ved Rådets gennemførelsesafgørelse 2010/688/EU</w:t>
      </w:r>
      <w:r w:rsidRPr="00411685">
        <w:rPr>
          <w:rStyle w:val="FootnoteReference"/>
          <w:noProof/>
        </w:rPr>
        <w:footnoteReference w:id="7"/>
      </w:r>
      <w:r w:rsidRPr="00411685">
        <w:rPr>
          <w:noProof/>
        </w:rPr>
        <w:t>, derefter indtil den 31. december 2016 ved Rådets gennemførelsesafgørelse 2013/678/EU</w:t>
      </w:r>
      <w:r w:rsidRPr="00411685">
        <w:rPr>
          <w:rStyle w:val="FootnoteReference"/>
          <w:noProof/>
        </w:rPr>
        <w:footnoteReference w:id="8"/>
      </w:r>
      <w:r w:rsidRPr="00411685">
        <w:rPr>
          <w:noProof/>
        </w:rPr>
        <w:t>, hvorved den maksimale tærskel for fritagelsen blev hævet fra 30 000 EUR til 65 000 EUR, og efterfølgende indtil den 31. december 2019 ved Rådets gennemførelsesafgørelse (EU) 2016/1988</w:t>
      </w:r>
      <w:r w:rsidRPr="00411685">
        <w:rPr>
          <w:rStyle w:val="FootnoteReference"/>
          <w:noProof/>
        </w:rPr>
        <w:footnoteReference w:id="9"/>
      </w:r>
      <w:r w:rsidRPr="00411685">
        <w:rPr>
          <w:noProof/>
        </w:rPr>
        <w:t>. Endelig fik Italien ved Rådets gennemførelsesafgørelse (EU) 2020/647 tilladelse til fortsat at anvende fravigelsesforanstaltningen indtil den 31. december 2024.</w:t>
      </w:r>
    </w:p>
    <w:p w14:paraId="4CDC9853" w14:textId="77777777" w:rsidR="00892621" w:rsidRPr="00411685" w:rsidRDefault="00892621" w:rsidP="00892621">
      <w:pPr>
        <w:pBdr>
          <w:top w:val="nil"/>
          <w:left w:val="nil"/>
          <w:bottom w:val="nil"/>
          <w:right w:val="nil"/>
          <w:between w:val="nil"/>
          <w:bar w:val="nil"/>
        </w:pBdr>
        <w:spacing w:after="240"/>
        <w:rPr>
          <w:rFonts w:eastAsia="Calibri"/>
          <w:noProof/>
        </w:rPr>
      </w:pPr>
      <w:r w:rsidRPr="00411685">
        <w:rPr>
          <w:noProof/>
        </w:rPr>
        <w:t xml:space="preserve">Den højere tærskel, som Italien har anmodet om, kan betragtes som en foranstaltning, der yderligere vil reducere den administrative byrde og overholdelsesomkostningerne for de virksomheder, der er berettiget til fritagelse, navnlig for mikrovirksomheder, ved at fritage dem for de forpligtelser, der følger af den normale momsordning, såsom at føre momsregnskaber eller indsende momsangivelser. </w:t>
      </w:r>
    </w:p>
    <w:p w14:paraId="4CDC9854" w14:textId="77777777" w:rsidR="00201182" w:rsidRPr="00411685" w:rsidRDefault="00892621" w:rsidP="00892621">
      <w:pPr>
        <w:pBdr>
          <w:top w:val="nil"/>
          <w:left w:val="nil"/>
          <w:bottom w:val="nil"/>
          <w:right w:val="nil"/>
          <w:between w:val="nil"/>
          <w:bar w:val="nil"/>
        </w:pBdr>
        <w:spacing w:after="240"/>
        <w:rPr>
          <w:rFonts w:eastAsia="Calibri"/>
          <w:noProof/>
        </w:rPr>
      </w:pPr>
      <w:r w:rsidRPr="00411685">
        <w:rPr>
          <w:noProof/>
        </w:rPr>
        <w:t>Anvendelsen af den særlige foranstaltning vil give Italien mulighed for at målrette sine kontrolaktiviteter mod større afgiftspligtige personer og afsætte flere ressourcer til bekæmpelse af momssvig og forbedring af håndhævelsen af det nuværende momssystem. Italien anfører endvidere, at den særlige foranstaltning udgør et væsentligt incitament til opstart og konsolidering af virksomhedernes økonomiske aktivitet.</w:t>
      </w:r>
    </w:p>
    <w:p w14:paraId="4CDC9855" w14:textId="77777777" w:rsidR="00892621" w:rsidRPr="00411685" w:rsidRDefault="00892621" w:rsidP="00892621">
      <w:pPr>
        <w:pBdr>
          <w:top w:val="nil"/>
          <w:left w:val="nil"/>
          <w:bottom w:val="nil"/>
          <w:right w:val="nil"/>
          <w:between w:val="nil"/>
          <w:bar w:val="nil"/>
        </w:pBdr>
        <w:spacing w:after="240"/>
        <w:rPr>
          <w:rFonts w:eastAsia="Calibri"/>
          <w:noProof/>
        </w:rPr>
      </w:pPr>
      <w:r w:rsidRPr="00411685">
        <w:rPr>
          <w:noProof/>
        </w:rPr>
        <w:t xml:space="preserve">Den særlige foranstaltning forenkler små erhvervsdrivendes forpligtelser og er i overensstemmelse med Den Europæiske Unions målsætninger for små virksomheder. jf. Kommissionens meddelelse "Tænk småt først" En "Small Business Act" for Europa. </w:t>
      </w:r>
    </w:p>
    <w:p w14:paraId="4CDC9856" w14:textId="77777777" w:rsidR="00892621" w:rsidRPr="00411685" w:rsidRDefault="00892621" w:rsidP="00892621">
      <w:pPr>
        <w:pBdr>
          <w:top w:val="nil"/>
          <w:left w:val="nil"/>
          <w:bottom w:val="nil"/>
          <w:right w:val="nil"/>
          <w:between w:val="nil"/>
          <w:bar w:val="nil"/>
        </w:pBdr>
        <w:spacing w:after="240"/>
        <w:rPr>
          <w:rFonts w:eastAsia="Calibri"/>
          <w:noProof/>
        </w:rPr>
      </w:pPr>
      <w:r w:rsidRPr="00411685">
        <w:rPr>
          <w:noProof/>
        </w:rPr>
        <w:t>Den særlige foranstaltning er frivillig for afgiftspligtige personer. Små virksomheder, hvis omsætning ikke overstiger tærsklen, vil derfor stadig have mulighed for og ret til at anvende den almindelige momsordning.</w:t>
      </w:r>
    </w:p>
    <w:p w14:paraId="4CDC9857" w14:textId="20086369" w:rsidR="00892621" w:rsidRPr="00411685" w:rsidRDefault="004C5BC9" w:rsidP="00892621">
      <w:pPr>
        <w:pBdr>
          <w:top w:val="nil"/>
          <w:left w:val="nil"/>
          <w:bottom w:val="nil"/>
          <w:right w:val="nil"/>
          <w:between w:val="nil"/>
          <w:bar w:val="nil"/>
        </w:pBdr>
        <w:spacing w:after="240"/>
        <w:rPr>
          <w:rFonts w:eastAsia="Calibri"/>
          <w:noProof/>
        </w:rPr>
      </w:pPr>
      <w:r w:rsidRPr="00411685">
        <w:rPr>
          <w:noProof/>
        </w:rPr>
        <w:t xml:space="preserve">Italien har meddelt, at antallet af eksisterende virksomheder i Italien ifølge de erklæringer, der blev indsendt i 2020 for regnskabsåret 2019, er 5 580 863. Italien anførte, at kun 63 441 ud af 229 563 afgiftspligtige personer med en årlig omsætning på mellem 65 001 EUR og 85 000 EUR ville kunne benytte sig af ordningen på grundlag af de gældende retlige betingelser. </w:t>
      </w:r>
      <w:r w:rsidRPr="00411685">
        <w:rPr>
          <w:noProof/>
        </w:rPr>
        <w:lastRenderedPageBreak/>
        <w:t>Foranstaltningen vil derfor have betydning for lidt over 1,1 % af det samlede antal virksomheder.</w:t>
      </w:r>
    </w:p>
    <w:p w14:paraId="4CDC9858" w14:textId="77777777" w:rsidR="00892621" w:rsidRPr="00411685" w:rsidRDefault="00892621" w:rsidP="00892621">
      <w:pPr>
        <w:pBdr>
          <w:top w:val="nil"/>
          <w:left w:val="nil"/>
          <w:bottom w:val="nil"/>
          <w:right w:val="nil"/>
          <w:between w:val="nil"/>
          <w:bar w:val="nil"/>
        </w:pBdr>
        <w:spacing w:after="240"/>
        <w:rPr>
          <w:rFonts w:eastAsia="Calibri"/>
          <w:noProof/>
        </w:rPr>
      </w:pPr>
      <w:r w:rsidRPr="00411685">
        <w:rPr>
          <w:noProof/>
        </w:rPr>
        <w:t>Ifølge skøn forelagt af Italien vil indførelsen af den særlige foranstaltning føre til et fald i de opkrævede momsindtægter på cirka 0,06 % og derfor kun have en ubetydelig indvirkning på de samlede momsindtægter, der opkræves ved det endelige forbrug.</w:t>
      </w:r>
    </w:p>
    <w:p w14:paraId="4CDC9859" w14:textId="77777777" w:rsidR="00F52EAE" w:rsidRPr="00411685" w:rsidRDefault="00AF6F21" w:rsidP="0079760B">
      <w:pPr>
        <w:pBdr>
          <w:top w:val="nil"/>
          <w:left w:val="nil"/>
          <w:bottom w:val="nil"/>
          <w:right w:val="nil"/>
          <w:between w:val="nil"/>
          <w:bar w:val="nil"/>
        </w:pBdr>
        <w:spacing w:after="240"/>
        <w:rPr>
          <w:noProof/>
        </w:rPr>
      </w:pPr>
      <w:r w:rsidRPr="00411685">
        <w:rPr>
          <w:noProof/>
        </w:rPr>
        <w:t>I lyset af ovenstående bør Italien gives tilladelse til at anvende den særlige foranstaltning indtil den 31. december 2024.</w:t>
      </w:r>
    </w:p>
    <w:p w14:paraId="4CDC985B" w14:textId="77777777" w:rsidR="00985C4E" w:rsidRPr="00411685" w:rsidRDefault="00985C4E" w:rsidP="00E15077">
      <w:pPr>
        <w:pStyle w:val="ManualHeading2"/>
        <w:rPr>
          <w:rFonts w:eastAsia="Arial Unicode MS"/>
          <w:noProof/>
          <w:color w:val="000000"/>
          <w:u w:color="000000"/>
          <w:bdr w:val="nil"/>
        </w:rPr>
      </w:pPr>
      <w:r w:rsidRPr="00411685">
        <w:rPr>
          <w:noProof/>
          <w:color w:val="000000"/>
          <w:u w:color="000000"/>
          <w:bdr w:val="nil"/>
        </w:rPr>
        <w:t>•</w:t>
      </w:r>
      <w:r w:rsidRPr="00411685">
        <w:rPr>
          <w:noProof/>
        </w:rPr>
        <w:tab/>
        <w:t>Sammenhæng med de gældende regler på samme område</w:t>
      </w:r>
    </w:p>
    <w:p w14:paraId="4CDC985C" w14:textId="77777777" w:rsidR="00174512" w:rsidRPr="00411685" w:rsidRDefault="00174512" w:rsidP="00174512">
      <w:pPr>
        <w:pBdr>
          <w:top w:val="nil"/>
          <w:left w:val="nil"/>
          <w:bottom w:val="nil"/>
          <w:right w:val="nil"/>
          <w:between w:val="nil"/>
          <w:bar w:val="nil"/>
        </w:pBdr>
        <w:spacing w:after="240"/>
        <w:rPr>
          <w:rFonts w:eastAsia="Calibri"/>
          <w:noProof/>
          <w:color w:val="000000"/>
          <w:szCs w:val="24"/>
        </w:rPr>
      </w:pPr>
      <w:r w:rsidRPr="00411685">
        <w:rPr>
          <w:noProof/>
          <w:color w:val="000000"/>
        </w:rPr>
        <w:t>Fravigelsesforanstaltningen er i overensstemmelse med tankegangen bag direktiv (EU) 2020/285</w:t>
      </w:r>
      <w:r w:rsidRPr="00411685">
        <w:rPr>
          <w:rStyle w:val="FootnoteReference"/>
          <w:rFonts w:eastAsia="Calibri"/>
          <w:noProof/>
          <w:color w:val="000000"/>
          <w:szCs w:val="24"/>
        </w:rPr>
        <w:footnoteReference w:id="10"/>
      </w:r>
      <w:r w:rsidRPr="00411685">
        <w:rPr>
          <w:noProof/>
          <w:color w:val="000000"/>
        </w:rPr>
        <w:t xml:space="preserve"> om ændring af momsdirektivets artikel 281-294 for så vidt angår særordningen for små virksomheder på baggrund af handlingsplanen for moms</w:t>
      </w:r>
      <w:r w:rsidRPr="00411685">
        <w:rPr>
          <w:rStyle w:val="FootnoteReference"/>
          <w:noProof/>
        </w:rPr>
        <w:footnoteReference w:id="11"/>
      </w:r>
      <w:r w:rsidRPr="00411685">
        <w:rPr>
          <w:noProof/>
          <w:color w:val="000000"/>
        </w:rPr>
        <w:t xml:space="preserve"> og sigter mod at skabe en moderne, forenklet ordning for disse virksomheder. Den skal navnlig mindske omkostningerne til overholdelse af momsreglerne og forvridningen af konkurrencen både nationalt og på EU-plan, nedbringe de negative virkninger af tærsklen og lette virksomhedernes regeloverholdelse samt skatteforvaltningens kontrol.</w:t>
      </w:r>
    </w:p>
    <w:p w14:paraId="4CDC985D" w14:textId="77777777" w:rsidR="00174512" w:rsidRPr="00411685" w:rsidRDefault="00174512" w:rsidP="00174512">
      <w:pPr>
        <w:pBdr>
          <w:top w:val="nil"/>
          <w:left w:val="nil"/>
          <w:bottom w:val="nil"/>
          <w:right w:val="nil"/>
          <w:between w:val="nil"/>
          <w:bar w:val="nil"/>
        </w:pBdr>
        <w:spacing w:after="240"/>
        <w:rPr>
          <w:rFonts w:eastAsia="Calibri"/>
          <w:noProof/>
        </w:rPr>
      </w:pPr>
      <w:r w:rsidRPr="00411685">
        <w:rPr>
          <w:noProof/>
        </w:rPr>
        <w:t>Desuden er tærsklen på 85 000 EUR i overensstemmelse med direktiv (EU) 2020/285, idet direktivet giver medlemsstaterne mulighed for at fastsætte tærsklen for momsfritagelse til højst 85 000 EUR i årlig omsætning (eller et tilsvarende beløb i national valuta).</w:t>
      </w:r>
    </w:p>
    <w:p w14:paraId="4CDC985E" w14:textId="77777777" w:rsidR="00174512" w:rsidRPr="00411685" w:rsidRDefault="00174512" w:rsidP="00174512">
      <w:pPr>
        <w:pBdr>
          <w:top w:val="nil"/>
          <w:left w:val="nil"/>
          <w:bottom w:val="nil"/>
          <w:right w:val="nil"/>
          <w:between w:val="nil"/>
          <w:bar w:val="nil"/>
        </w:pBdr>
        <w:spacing w:after="240"/>
        <w:rPr>
          <w:rFonts w:eastAsia="Arial Unicode MS"/>
          <w:noProof/>
          <w:szCs w:val="24"/>
        </w:rPr>
      </w:pPr>
      <w:r w:rsidRPr="00411685">
        <w:rPr>
          <w:noProof/>
          <w:color w:val="000000"/>
        </w:rPr>
        <w:t>Lignende fravigelser, der indebærer momsfritagelse af afgiftspligtige personer, hvis årlige omsætning ligger under en vis tærskel som fastsat i momsdirektivets artikel 285 og 287, er blevet godkendt for andre medlemsstater. Nederlandene</w:t>
      </w:r>
      <w:r w:rsidRPr="00411685">
        <w:rPr>
          <w:rStyle w:val="FootnoteReference"/>
          <w:noProof/>
        </w:rPr>
        <w:footnoteReference w:id="12"/>
      </w:r>
      <w:r w:rsidRPr="00411685">
        <w:rPr>
          <w:noProof/>
          <w:color w:val="000000"/>
        </w:rPr>
        <w:t xml:space="preserve"> og Belgien</w:t>
      </w:r>
      <w:r w:rsidRPr="00411685">
        <w:rPr>
          <w:rStyle w:val="FootnoteReference"/>
          <w:rFonts w:eastAsia="Calibri"/>
          <w:noProof/>
          <w:color w:val="000000"/>
          <w:szCs w:val="24"/>
        </w:rPr>
        <w:footnoteReference w:id="13"/>
      </w:r>
      <w:r w:rsidRPr="00411685">
        <w:rPr>
          <w:noProof/>
          <w:color w:val="000000"/>
        </w:rPr>
        <w:t xml:space="preserve"> har fået tilladelse til at anvende en tærskel på 25 000 EUR, Luxembourg</w:t>
      </w:r>
      <w:r w:rsidRPr="00411685">
        <w:rPr>
          <w:rStyle w:val="FootnoteReference"/>
          <w:rFonts w:eastAsia="Calibri"/>
          <w:noProof/>
          <w:color w:val="000000"/>
          <w:szCs w:val="24"/>
        </w:rPr>
        <w:footnoteReference w:id="14"/>
      </w:r>
      <w:r w:rsidRPr="00411685">
        <w:rPr>
          <w:noProof/>
          <w:color w:val="000000"/>
        </w:rPr>
        <w:t xml:space="preserve"> en tærskel på 35 000 EUR,</w:t>
      </w:r>
      <w:r w:rsidRPr="00411685">
        <w:rPr>
          <w:noProof/>
        </w:rPr>
        <w:t xml:space="preserve"> Polen</w:t>
      </w:r>
      <w:r w:rsidRPr="00411685">
        <w:rPr>
          <w:rStyle w:val="FootnoteReference"/>
          <w:rFonts w:eastAsia="Arial Unicode MS"/>
          <w:noProof/>
          <w:szCs w:val="24"/>
        </w:rPr>
        <w:footnoteReference w:id="15"/>
      </w:r>
      <w:r w:rsidRPr="00411685">
        <w:rPr>
          <w:noProof/>
        </w:rPr>
        <w:t>, Letland</w:t>
      </w:r>
      <w:r w:rsidRPr="00411685">
        <w:rPr>
          <w:rStyle w:val="FootnoteReference"/>
          <w:rFonts w:eastAsia="Arial Unicode MS"/>
          <w:noProof/>
          <w:szCs w:val="24"/>
        </w:rPr>
        <w:footnoteReference w:id="16"/>
      </w:r>
      <w:r w:rsidRPr="00411685">
        <w:rPr>
          <w:noProof/>
        </w:rPr>
        <w:t xml:space="preserve"> og Estland</w:t>
      </w:r>
      <w:r w:rsidRPr="00411685">
        <w:rPr>
          <w:rStyle w:val="FootnoteReference"/>
          <w:rFonts w:eastAsia="Arial Unicode MS"/>
          <w:noProof/>
          <w:szCs w:val="24"/>
        </w:rPr>
        <w:footnoteReference w:id="17"/>
      </w:r>
      <w:r w:rsidRPr="00411685">
        <w:rPr>
          <w:noProof/>
        </w:rPr>
        <w:t xml:space="preserve"> en tærskel på 40 000 EUR, Ungarn</w:t>
      </w:r>
      <w:r w:rsidRPr="00411685">
        <w:rPr>
          <w:rStyle w:val="FootnoteReference"/>
          <w:rFonts w:eastAsia="Arial Unicode MS"/>
          <w:noProof/>
          <w:szCs w:val="24"/>
        </w:rPr>
        <w:footnoteReference w:id="18"/>
      </w:r>
      <w:r w:rsidRPr="00411685">
        <w:rPr>
          <w:noProof/>
        </w:rPr>
        <w:t xml:space="preserve"> en tærskel på 48 000 EUR, </w:t>
      </w:r>
      <w:r w:rsidRPr="00411685">
        <w:rPr>
          <w:noProof/>
        </w:rPr>
        <w:lastRenderedPageBreak/>
        <w:t>Litauen</w:t>
      </w:r>
      <w:r w:rsidRPr="00411685">
        <w:rPr>
          <w:rStyle w:val="FootnoteReference"/>
          <w:rFonts w:eastAsia="Arial Unicode MS"/>
          <w:noProof/>
          <w:szCs w:val="24"/>
        </w:rPr>
        <w:footnoteReference w:id="19"/>
      </w:r>
      <w:r w:rsidRPr="00411685">
        <w:rPr>
          <w:noProof/>
        </w:rPr>
        <w:t xml:space="preserve"> en tærskel på 55 000 EUR, Kroatien</w:t>
      </w:r>
      <w:r w:rsidRPr="00411685">
        <w:rPr>
          <w:rStyle w:val="FootnoteReference"/>
          <w:rFonts w:eastAsia="Arial Unicode MS"/>
          <w:noProof/>
          <w:szCs w:val="24"/>
        </w:rPr>
        <w:footnoteReference w:id="20"/>
      </w:r>
      <w:r w:rsidRPr="00411685">
        <w:rPr>
          <w:noProof/>
        </w:rPr>
        <w:t xml:space="preserve"> en tærskel på 45 000 EUR, Malta</w:t>
      </w:r>
      <w:r w:rsidRPr="00411685">
        <w:rPr>
          <w:rStyle w:val="FootnoteReference"/>
          <w:rFonts w:eastAsia="Arial Unicode MS"/>
          <w:noProof/>
          <w:szCs w:val="24"/>
        </w:rPr>
        <w:footnoteReference w:id="21"/>
      </w:r>
      <w:r w:rsidRPr="00411685">
        <w:rPr>
          <w:noProof/>
        </w:rPr>
        <w:t xml:space="preserve"> en tærskel på 30 000 EUR, Slovenien</w:t>
      </w:r>
      <w:r w:rsidRPr="00411685">
        <w:rPr>
          <w:rStyle w:val="FootnoteReference"/>
          <w:rFonts w:eastAsia="Arial Unicode MS"/>
          <w:noProof/>
          <w:szCs w:val="24"/>
        </w:rPr>
        <w:footnoteReference w:id="22"/>
      </w:r>
      <w:r w:rsidRPr="00411685">
        <w:rPr>
          <w:noProof/>
        </w:rPr>
        <w:t xml:space="preserve"> en tærskel på 50 000 EUR, Tjekkiet</w:t>
      </w:r>
      <w:r w:rsidRPr="00411685">
        <w:rPr>
          <w:rStyle w:val="FootnoteReference"/>
          <w:rFonts w:eastAsia="Arial Unicode MS"/>
          <w:noProof/>
          <w:szCs w:val="24"/>
        </w:rPr>
        <w:footnoteReference w:id="23"/>
      </w:r>
      <w:r w:rsidRPr="00411685">
        <w:rPr>
          <w:noProof/>
        </w:rPr>
        <w:t xml:space="preserve"> en tærskel på 85 000 EUR og Rumænien</w:t>
      </w:r>
      <w:r w:rsidRPr="00411685">
        <w:rPr>
          <w:rStyle w:val="FootnoteReference"/>
          <w:rFonts w:eastAsia="Arial Unicode MS"/>
          <w:noProof/>
          <w:szCs w:val="24"/>
        </w:rPr>
        <w:footnoteReference w:id="24"/>
      </w:r>
      <w:r w:rsidRPr="00411685">
        <w:rPr>
          <w:noProof/>
        </w:rPr>
        <w:t xml:space="preserve"> en tærskel på 88 500 EUR.</w:t>
      </w:r>
    </w:p>
    <w:p w14:paraId="4CDC985F" w14:textId="77777777" w:rsidR="00174512" w:rsidRPr="00411685" w:rsidRDefault="00CF15C1" w:rsidP="00174512">
      <w:pPr>
        <w:autoSpaceDE w:val="0"/>
        <w:autoSpaceDN w:val="0"/>
        <w:adjustRightInd w:val="0"/>
        <w:spacing w:after="0"/>
        <w:rPr>
          <w:rFonts w:eastAsia="Calibri"/>
          <w:noProof/>
          <w:color w:val="000000"/>
          <w:szCs w:val="24"/>
        </w:rPr>
      </w:pPr>
      <w:r w:rsidRPr="00411685">
        <w:rPr>
          <w:noProof/>
        </w:rPr>
        <w:t>Fravigelser af momsdirektivets regler bør altid være begrænset i tid, således at deres virkninger kan vurderes. En fortsat anvendelse af udløbsdatoen for den særlige foranstaltning frem til den 31. december 2024, således som Italien har anmodet om, er desuden i overensstemmelse med kravene i direktiv (EU) 2020/285.</w:t>
      </w:r>
      <w:r w:rsidRPr="00411685">
        <w:rPr>
          <w:noProof/>
          <w:color w:val="000000"/>
        </w:rPr>
        <w:t xml:space="preserve"> I henhold til direktivet skal medlemsstaterne anvende de nationale bestemmelser, som de skal vedtage for at efterkomme direktivet, fra den 1. januar 2025. </w:t>
      </w:r>
    </w:p>
    <w:p w14:paraId="4CDC9860" w14:textId="77777777" w:rsidR="00174512" w:rsidRPr="00411685" w:rsidRDefault="00174512" w:rsidP="00166D69">
      <w:pPr>
        <w:pBdr>
          <w:top w:val="nil"/>
          <w:left w:val="nil"/>
          <w:bottom w:val="nil"/>
          <w:right w:val="nil"/>
          <w:between w:val="nil"/>
          <w:bar w:val="nil"/>
        </w:pBdr>
        <w:spacing w:after="240"/>
        <w:rPr>
          <w:rFonts w:eastAsia="Calibri"/>
          <w:noProof/>
        </w:rPr>
      </w:pPr>
      <w:r w:rsidRPr="00411685">
        <w:rPr>
          <w:noProof/>
        </w:rPr>
        <w:t>Den foreslåede foranstaltning er derfor i overensstemmelse med bestemmelserne i momsdirektivet.</w:t>
      </w:r>
    </w:p>
    <w:p w14:paraId="4CDC9862" w14:textId="77777777" w:rsidR="00985C4E" w:rsidRPr="00411685" w:rsidRDefault="00985C4E" w:rsidP="00E15077">
      <w:pPr>
        <w:pStyle w:val="ManualHeading2"/>
        <w:rPr>
          <w:rFonts w:eastAsia="Arial Unicode MS"/>
          <w:noProof/>
        </w:rPr>
      </w:pPr>
      <w:r w:rsidRPr="00411685">
        <w:rPr>
          <w:noProof/>
          <w:color w:val="000000"/>
          <w:u w:color="000000"/>
          <w:bdr w:val="nil"/>
        </w:rPr>
        <w:t>•</w:t>
      </w:r>
      <w:r w:rsidRPr="00411685">
        <w:rPr>
          <w:noProof/>
        </w:rPr>
        <w:tab/>
        <w:t>Sammenhæng med Unionens politik på andre områder</w:t>
      </w:r>
    </w:p>
    <w:p w14:paraId="4CDC9863" w14:textId="77777777" w:rsidR="00166D69" w:rsidRPr="00411685" w:rsidRDefault="00166D69" w:rsidP="00166D69">
      <w:pPr>
        <w:pBdr>
          <w:top w:val="nil"/>
          <w:left w:val="nil"/>
          <w:bottom w:val="nil"/>
          <w:right w:val="nil"/>
          <w:between w:val="nil"/>
          <w:bar w:val="nil"/>
        </w:pBdr>
        <w:spacing w:after="240"/>
        <w:rPr>
          <w:rFonts w:eastAsia="Arial Unicode MS"/>
          <w:noProof/>
          <w:szCs w:val="24"/>
        </w:rPr>
      </w:pPr>
      <w:r w:rsidRPr="00411685">
        <w:rPr>
          <w:noProof/>
        </w:rPr>
        <w:t>Kommissionen har konsekvent understreget behovet for enklere regler for små virksomheder. I den forbindelse vedtog Kommissionen i marts 2020 en SMV-strategi for et bæredygtigt og digitalt Europa</w:t>
      </w:r>
      <w:r w:rsidRPr="00411685">
        <w:rPr>
          <w:rStyle w:val="FootnoteReference"/>
          <w:rFonts w:eastAsia="Arial Unicode MS"/>
          <w:noProof/>
          <w:szCs w:val="24"/>
        </w:rPr>
        <w:footnoteReference w:id="25"/>
      </w:r>
      <w:r w:rsidRPr="00411685">
        <w:rPr>
          <w:noProof/>
        </w:rPr>
        <w:t xml:space="preserve">, hvori den forpligter sig til fortsat at arbejde på at mindske byrden for SMV'er. Målet om at mindske regelbyrden for SMV'er er en af grundpillerne i denne strategi. Denne særlige foranstaltning er i overensstemmelse med disse mål, for så vidt som den angår </w:t>
      </w:r>
      <w:r w:rsidRPr="00411685">
        <w:rPr>
          <w:noProof/>
        </w:rPr>
        <w:lastRenderedPageBreak/>
        <w:t>de finanspolitiske regler. Den er også i overensstemmelse med handlingsplanen fra 2020 for en retfærdig og enkel beskatning til støtte for genopretningsstrategien</w:t>
      </w:r>
      <w:r w:rsidRPr="00411685">
        <w:rPr>
          <w:rStyle w:val="FootnoteReference"/>
          <w:rFonts w:eastAsia="Arial Unicode MS"/>
          <w:noProof/>
          <w:szCs w:val="24"/>
        </w:rPr>
        <w:footnoteReference w:id="26"/>
      </w:r>
      <w:r w:rsidRPr="00411685">
        <w:rPr>
          <w:noProof/>
        </w:rPr>
        <w:t>, hvori det anerkendes, at omkostningerne til overholdelse af skattereglerne fortsat er høje i EU, og at overholdelsesomkostningerne typisk er betydeligt højere for små virksomheder end for store virksomheder.</w:t>
      </w:r>
    </w:p>
    <w:p w14:paraId="4CDC9865" w14:textId="77777777" w:rsidR="00985C4E" w:rsidRPr="00411685" w:rsidRDefault="00985C4E" w:rsidP="00E15077">
      <w:pPr>
        <w:pStyle w:val="ManualHeading1"/>
        <w:rPr>
          <w:noProof/>
        </w:rPr>
      </w:pPr>
      <w:r w:rsidRPr="00411685">
        <w:rPr>
          <w:noProof/>
        </w:rPr>
        <w:t>2.</w:t>
      </w:r>
      <w:r w:rsidRPr="00411685">
        <w:rPr>
          <w:noProof/>
        </w:rPr>
        <w:tab/>
        <w:t>RETSGRUNDLAG, NÆRHEDSPRINCIPPET OG PROPORTIONALITETSPRINCIPPET</w:t>
      </w:r>
    </w:p>
    <w:p w14:paraId="4CDC9866"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Retsgrundlag</w:t>
      </w:r>
    </w:p>
    <w:p w14:paraId="4CDC9867" w14:textId="77777777" w:rsidR="00166D69" w:rsidRPr="00411685" w:rsidRDefault="00166D69" w:rsidP="00166D69">
      <w:pPr>
        <w:pBdr>
          <w:top w:val="nil"/>
          <w:left w:val="nil"/>
          <w:bottom w:val="nil"/>
          <w:right w:val="nil"/>
          <w:between w:val="nil"/>
          <w:bar w:val="nil"/>
        </w:pBdr>
        <w:spacing w:after="240"/>
        <w:rPr>
          <w:rFonts w:eastAsia="Calibri"/>
          <w:noProof/>
        </w:rPr>
      </w:pPr>
      <w:r w:rsidRPr="00411685">
        <w:rPr>
          <w:noProof/>
        </w:rPr>
        <w:t>Momsdirektivets artikel 395.</w:t>
      </w:r>
    </w:p>
    <w:p w14:paraId="4CDC9868"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 xml:space="preserve">Nærhedsprincippet (for områder, der ikke er omfattet af enekompetence) </w:t>
      </w:r>
    </w:p>
    <w:p w14:paraId="4CDC9869" w14:textId="77777777" w:rsidR="00166D69" w:rsidRPr="00411685" w:rsidRDefault="00166D69" w:rsidP="00166D69">
      <w:pPr>
        <w:pBdr>
          <w:top w:val="nil"/>
          <w:left w:val="nil"/>
          <w:bottom w:val="nil"/>
          <w:right w:val="nil"/>
          <w:between w:val="nil"/>
          <w:bar w:val="nil"/>
        </w:pBdr>
        <w:spacing w:after="240"/>
        <w:rPr>
          <w:noProof/>
        </w:rPr>
      </w:pPr>
      <w:r w:rsidRPr="00411685">
        <w:rPr>
          <w:noProof/>
        </w:rPr>
        <w:t>I betragtning af den bestemmelse i momsdirektivet, som forslaget bygger på, hører det under Den Europæiske Unions enekompetence. Nærhedsprincippet finder derfor ikke anvendelse.</w:t>
      </w:r>
    </w:p>
    <w:p w14:paraId="4CDC986B"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Proportionalitetsprincippet</w:t>
      </w:r>
    </w:p>
    <w:p w14:paraId="4CDC986C" w14:textId="77777777" w:rsidR="00166D69" w:rsidRPr="00411685" w:rsidRDefault="00166D69" w:rsidP="00166D69">
      <w:pPr>
        <w:pBdr>
          <w:top w:val="nil"/>
          <w:left w:val="nil"/>
          <w:bottom w:val="nil"/>
          <w:right w:val="nil"/>
          <w:between w:val="nil"/>
          <w:bar w:val="nil"/>
        </w:pBdr>
        <w:spacing w:after="240"/>
        <w:rPr>
          <w:rFonts w:eastAsia="Calibri"/>
          <w:noProof/>
        </w:rPr>
      </w:pPr>
      <w:r w:rsidRPr="00411685">
        <w:rPr>
          <w:noProof/>
        </w:rPr>
        <w:t>Afgørelsen vedrører en tilladelse til en medlemsstat på dennes egen anmodning og udgør ikke en forpligtelse.</w:t>
      </w:r>
    </w:p>
    <w:p w14:paraId="4CDC986D" w14:textId="77777777" w:rsidR="00166D69" w:rsidRPr="00411685" w:rsidRDefault="00166D69" w:rsidP="00166D69">
      <w:pPr>
        <w:pBdr>
          <w:top w:val="nil"/>
          <w:left w:val="nil"/>
          <w:bottom w:val="nil"/>
          <w:right w:val="nil"/>
          <w:between w:val="nil"/>
          <w:bar w:val="nil"/>
        </w:pBdr>
        <w:spacing w:after="240"/>
        <w:rPr>
          <w:rFonts w:eastAsia="Calibri"/>
          <w:noProof/>
        </w:rPr>
      </w:pPr>
      <w:r w:rsidRPr="00411685">
        <w:rPr>
          <w:noProof/>
        </w:rPr>
        <w:t>På grund af fravigelsens begrænsede anvendelsesområde står den særlige foranstaltning i rimeligt forhold til det tilstræbte mål, nemlig at forenkle momsopkrævningen for små afgiftspligtige personer og skatteforvaltningen.</w:t>
      </w:r>
    </w:p>
    <w:p w14:paraId="4CDC986E"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Valg af retsakt</w:t>
      </w:r>
    </w:p>
    <w:p w14:paraId="4CDC986F" w14:textId="77777777" w:rsidR="00166D69" w:rsidRPr="00411685" w:rsidRDefault="00166D69" w:rsidP="00166D69">
      <w:pPr>
        <w:pBdr>
          <w:top w:val="nil"/>
          <w:left w:val="nil"/>
          <w:bottom w:val="nil"/>
          <w:right w:val="nil"/>
          <w:between w:val="nil"/>
          <w:bar w:val="nil"/>
        </w:pBdr>
        <w:spacing w:after="240"/>
        <w:rPr>
          <w:rFonts w:eastAsia="Calibri"/>
          <w:noProof/>
        </w:rPr>
      </w:pPr>
      <w:r w:rsidRPr="00411685">
        <w:rPr>
          <w:noProof/>
        </w:rPr>
        <w:t>Den foreslåede retsakt er en gennemførelsesafgørelse vedtaget af Rådet.</w:t>
      </w:r>
    </w:p>
    <w:p w14:paraId="4CDC9870" w14:textId="77777777" w:rsidR="00166D69" w:rsidRPr="00411685" w:rsidRDefault="00166D69" w:rsidP="00166D69">
      <w:pPr>
        <w:pBdr>
          <w:top w:val="nil"/>
          <w:left w:val="nil"/>
          <w:bottom w:val="nil"/>
          <w:right w:val="nil"/>
          <w:between w:val="nil"/>
          <w:bar w:val="nil"/>
        </w:pBdr>
        <w:spacing w:after="240"/>
        <w:rPr>
          <w:rFonts w:eastAsia="Calibri"/>
          <w:noProof/>
        </w:rPr>
      </w:pPr>
      <w:r w:rsidRPr="00411685">
        <w:rPr>
          <w:noProof/>
        </w:rPr>
        <w:t>I henhold til momsdirektivets artikel 395 er en fravigelse af de fælles momsregler kun mulig, hvis Rådet med enstemmighed på forslag af Kommissionen giver tilladelse til det. En gennemførelsesafgørelse vedtaget af Rådet er det bedst egnede reguleringsmiddel, da den kan rettes til individuelle medlemsstater.</w:t>
      </w:r>
    </w:p>
    <w:p w14:paraId="4CDC9872" w14:textId="77777777" w:rsidR="00166D69" w:rsidRPr="00411685" w:rsidRDefault="00985C4E" w:rsidP="00390230">
      <w:pPr>
        <w:pStyle w:val="ManualHeading1"/>
        <w:rPr>
          <w:noProof/>
        </w:rPr>
      </w:pPr>
      <w:r w:rsidRPr="00411685">
        <w:rPr>
          <w:noProof/>
        </w:rPr>
        <w:t>3.</w:t>
      </w:r>
      <w:r w:rsidRPr="00411685">
        <w:rPr>
          <w:noProof/>
        </w:rPr>
        <w:tab/>
        <w:t>RESULTATER AF EFTERFØLGENDE EVALUERINGER, HØRINGER AF INTERESSENTER OG KONSEKVENSANALYSER</w:t>
      </w:r>
    </w:p>
    <w:p w14:paraId="4CDC9873"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Høringer af interessenter</w:t>
      </w:r>
    </w:p>
    <w:p w14:paraId="4CDC9874" w14:textId="77777777" w:rsidR="00390230" w:rsidRPr="00411685" w:rsidRDefault="00390230" w:rsidP="00390230">
      <w:pPr>
        <w:pBdr>
          <w:top w:val="nil"/>
          <w:left w:val="nil"/>
          <w:bottom w:val="nil"/>
          <w:right w:val="nil"/>
          <w:between w:val="nil"/>
          <w:bar w:val="nil"/>
        </w:pBdr>
        <w:spacing w:after="240"/>
        <w:rPr>
          <w:rFonts w:eastAsia="Calibri"/>
          <w:noProof/>
        </w:rPr>
      </w:pPr>
      <w:r w:rsidRPr="00411685">
        <w:rPr>
          <w:noProof/>
        </w:rPr>
        <w:t>Der er ikke gennemført nogen høring af interessenter. Nærværende forslag er baseret på en anmodning fra Italien og vedrører kun denne medlemsstat.</w:t>
      </w:r>
    </w:p>
    <w:p w14:paraId="4CDC9875"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Konsekvensanalyse</w:t>
      </w:r>
    </w:p>
    <w:p w14:paraId="4CDC9876" w14:textId="77777777" w:rsidR="00390230" w:rsidRPr="00411685" w:rsidRDefault="00390230" w:rsidP="00390230">
      <w:pPr>
        <w:rPr>
          <w:rFonts w:eastAsia="Calibri"/>
          <w:noProof/>
          <w:szCs w:val="24"/>
        </w:rPr>
      </w:pPr>
      <w:r w:rsidRPr="00411685">
        <w:rPr>
          <w:noProof/>
        </w:rPr>
        <w:t xml:space="preserve">Formålet med forslaget til Rådets gennemførelsesafgørelse er at øge den nuværende tærskel for fritagelse fra 65 000 EUR til 85 000 EUR. Denne forhøjelse af tærsklen er en forenklingsforanstaltning, som fjerner mange af momsforpligtelserne for virksomheder med en årlig omsætning på højst 85 000 EUR. Den vil derfor få en gunstig indvirkning, hvad angår lempelsen af virksomhedernes og skattemyndighedernes administrative byrde, uden at det får </w:t>
      </w:r>
      <w:r w:rsidRPr="00411685">
        <w:rPr>
          <w:noProof/>
        </w:rPr>
        <w:lastRenderedPageBreak/>
        <w:t>større konsekvenser for de samlede momsindtægter. Da fravigelsen har begrænset rækkevidde og varighed, vil foranstaltningens indvirkning under alle omstændigheder være begrænset.</w:t>
      </w:r>
    </w:p>
    <w:p w14:paraId="4CDC9877" w14:textId="77777777" w:rsidR="00390230" w:rsidRPr="00411685" w:rsidRDefault="00390230" w:rsidP="00390230">
      <w:pPr>
        <w:rPr>
          <w:rFonts w:eastAsia="Calibri"/>
          <w:noProof/>
          <w:szCs w:val="24"/>
        </w:rPr>
      </w:pPr>
      <w:r w:rsidRPr="00411685">
        <w:rPr>
          <w:noProof/>
        </w:rPr>
        <w:t>På grundlag af tal fra 2020 vil forhøjelsen af tærsklen til 85 000 EUR være til gavn for ca. 63 441 yderligere virksomheder med et deraf følgende fald i momsindtægterne på cirka 0,06 %.</w:t>
      </w:r>
    </w:p>
    <w:p w14:paraId="4CDC9878" w14:textId="77777777" w:rsidR="00390230" w:rsidRPr="00411685" w:rsidRDefault="00390230" w:rsidP="00390230">
      <w:pPr>
        <w:rPr>
          <w:rFonts w:eastAsia="Calibri"/>
          <w:noProof/>
          <w:szCs w:val="24"/>
        </w:rPr>
      </w:pPr>
      <w:r w:rsidRPr="00411685">
        <w:rPr>
          <w:noProof/>
        </w:rPr>
        <w:t>Fravigelsesforanstaltningen vil være frivillig for afgiftspligtige personer. Afgiftspligtige personer vil kunne vælge den almindelige momsordning i henhold til artikel 290 i direktiv 2006/112/EF. Den budgetmæssige virkning i form af færre momsindtægter for 2023 og fremefter anslås af Italien til ca. 80,8 mio. EUR (0,06 % af de samlede indtægter fra moms), hvilket kan anses for at være ubetydeligt.</w:t>
      </w:r>
    </w:p>
    <w:p w14:paraId="4CDC987A" w14:textId="77777777" w:rsidR="00985C4E" w:rsidRPr="00411685" w:rsidRDefault="00985C4E" w:rsidP="00E15077">
      <w:pPr>
        <w:pStyle w:val="ManualHeading2"/>
        <w:rPr>
          <w:rFonts w:eastAsia="Arial Unicode MS"/>
          <w:noProof/>
          <w:u w:color="000000"/>
          <w:bdr w:val="nil"/>
        </w:rPr>
      </w:pPr>
      <w:r w:rsidRPr="00411685">
        <w:rPr>
          <w:noProof/>
          <w:u w:color="000000"/>
          <w:bdr w:val="nil"/>
        </w:rPr>
        <w:t>•</w:t>
      </w:r>
      <w:r w:rsidRPr="00411685">
        <w:rPr>
          <w:noProof/>
        </w:rPr>
        <w:tab/>
      </w:r>
      <w:r w:rsidRPr="00411685">
        <w:rPr>
          <w:noProof/>
          <w:u w:color="000000"/>
          <w:bdr w:val="nil"/>
        </w:rPr>
        <w:t>Grundlæggende rettigheder</w:t>
      </w:r>
    </w:p>
    <w:p w14:paraId="4CDC987B" w14:textId="77777777" w:rsidR="005166A3" w:rsidRPr="00411685" w:rsidRDefault="005166A3" w:rsidP="005166A3">
      <w:pPr>
        <w:pBdr>
          <w:top w:val="nil"/>
          <w:left w:val="nil"/>
          <w:bottom w:val="nil"/>
          <w:right w:val="nil"/>
          <w:between w:val="nil"/>
          <w:bar w:val="nil"/>
        </w:pBdr>
        <w:spacing w:after="240"/>
        <w:rPr>
          <w:rFonts w:eastAsia="Calibri"/>
          <w:noProof/>
        </w:rPr>
      </w:pPr>
      <w:r w:rsidRPr="00411685">
        <w:rPr>
          <w:noProof/>
        </w:rPr>
        <w:t>Forslaget har ingen konsekvenser for beskyttelsen af de grundlæggende rettigheder.</w:t>
      </w:r>
    </w:p>
    <w:p w14:paraId="4CDC987C" w14:textId="77777777" w:rsidR="00985C4E" w:rsidRPr="00411685" w:rsidRDefault="00985C4E" w:rsidP="00E15077">
      <w:pPr>
        <w:pStyle w:val="ManualHeading1"/>
        <w:rPr>
          <w:noProof/>
        </w:rPr>
      </w:pPr>
      <w:r w:rsidRPr="00411685">
        <w:rPr>
          <w:noProof/>
        </w:rPr>
        <w:t>4.</w:t>
      </w:r>
      <w:r w:rsidRPr="00411685">
        <w:rPr>
          <w:noProof/>
        </w:rPr>
        <w:tab/>
        <w:t>VIRKNINGER FOR BUDGETTET</w:t>
      </w:r>
    </w:p>
    <w:p w14:paraId="4CDC987D" w14:textId="77777777" w:rsidR="00BA2A9A" w:rsidRPr="00411685" w:rsidRDefault="00BA2A9A" w:rsidP="00E15077">
      <w:pPr>
        <w:pBdr>
          <w:top w:val="nil"/>
          <w:left w:val="nil"/>
          <w:bottom w:val="nil"/>
          <w:right w:val="nil"/>
          <w:between w:val="nil"/>
          <w:bar w:val="nil"/>
        </w:pBdr>
        <w:spacing w:before="0" w:after="240"/>
        <w:rPr>
          <w:rFonts w:eastAsia="Arial Unicode MS"/>
          <w:noProof/>
        </w:rPr>
      </w:pPr>
      <w:r w:rsidRPr="00411685">
        <w:rPr>
          <w:noProof/>
        </w:rPr>
        <w:t>Efter ikrafttrædelsen af Rådets forordning (EU, Euratom) 2021/769 af 30. april 2021 om ændring af forordning (EØF, Euratom) nr. 1553/89 om den endelige ordning for ensartet opkrævning af egne indtægter hidrørende fra merværdiafgiften</w:t>
      </w:r>
      <w:r w:rsidRPr="00411685">
        <w:rPr>
          <w:rStyle w:val="FootnoteReference"/>
          <w:noProof/>
        </w:rPr>
        <w:footnoteReference w:id="27"/>
      </w:r>
      <w:r w:rsidRPr="00411685">
        <w:rPr>
          <w:noProof/>
        </w:rPr>
        <w:t xml:space="preserve"> vil Italien ikke foretage nogen kompensationsberegning fra oversigten over momsbaserede egne indtægter for regnskabsåret 2021 og fremefter.</w:t>
      </w:r>
    </w:p>
    <w:p w14:paraId="4CDC987E" w14:textId="77777777" w:rsidR="00985C4E" w:rsidRPr="00411685" w:rsidRDefault="00985C4E" w:rsidP="00E15077">
      <w:pPr>
        <w:rPr>
          <w:noProof/>
        </w:rPr>
        <w:sectPr w:rsidR="00985C4E" w:rsidRPr="00411685" w:rsidSect="00CD4B62">
          <w:footerReference w:type="default" r:id="rId13"/>
          <w:footerReference w:type="first" r:id="rId14"/>
          <w:pgSz w:w="11907" w:h="16839"/>
          <w:pgMar w:top="1134" w:right="1417" w:bottom="1134" w:left="1417" w:header="709" w:footer="709" w:gutter="0"/>
          <w:cols w:space="708"/>
          <w:docGrid w:linePitch="360"/>
        </w:sectPr>
      </w:pPr>
    </w:p>
    <w:p w14:paraId="772B0BDE" w14:textId="3AFF9ED7" w:rsidR="002F65A8" w:rsidRDefault="002F65A8" w:rsidP="002F65A8">
      <w:pPr>
        <w:pStyle w:val="Rfrenceinterinstitutionnelle"/>
        <w:rPr>
          <w:noProof/>
        </w:rPr>
      </w:pPr>
      <w:r w:rsidRPr="002F65A8">
        <w:lastRenderedPageBreak/>
        <w:t>2023/0040 (NLE)</w:t>
      </w:r>
    </w:p>
    <w:p w14:paraId="4CDC987F" w14:textId="03413215" w:rsidR="00985C4E" w:rsidRPr="00411685" w:rsidRDefault="00AF6D29" w:rsidP="00AF6D29">
      <w:pPr>
        <w:pStyle w:val="Statut"/>
        <w:rPr>
          <w:noProof/>
        </w:rPr>
      </w:pPr>
      <w:r w:rsidRPr="00AF6D29">
        <w:rPr>
          <w:noProof/>
        </w:rPr>
        <w:t>Forslag til</w:t>
      </w:r>
    </w:p>
    <w:p w14:paraId="4CDC9880" w14:textId="43ED51C5" w:rsidR="00985C4E" w:rsidRPr="00411685" w:rsidRDefault="00AF6D29" w:rsidP="00AF6D29">
      <w:pPr>
        <w:pStyle w:val="Typedudocument"/>
        <w:rPr>
          <w:noProof/>
        </w:rPr>
      </w:pPr>
      <w:r w:rsidRPr="00AF6D29">
        <w:rPr>
          <w:noProof/>
        </w:rPr>
        <w:t>RÅDETS GENNEMFØRELSESAFGØRELSE</w:t>
      </w:r>
    </w:p>
    <w:p w14:paraId="4CDC9881" w14:textId="60A80312" w:rsidR="00985C4E" w:rsidRPr="00411685" w:rsidRDefault="00AF6D29" w:rsidP="00AF6D29">
      <w:pPr>
        <w:pStyle w:val="Titreobjet"/>
        <w:rPr>
          <w:noProof/>
        </w:rPr>
      </w:pPr>
      <w:r w:rsidRPr="00AF6D29">
        <w:rPr>
          <w:noProof/>
        </w:rPr>
        <w:t>om at give Den Italienske Republik tilladelse til at anvende en særlig foranstaltning, der fraviger artikel 285 i direktiv 2006/112/EF om det fælles merværdiafgiftssystem og om ophævelse af gennemførelsesafgørelse (EU) 2020/647</w:t>
      </w:r>
    </w:p>
    <w:p w14:paraId="4CDC9882" w14:textId="77777777" w:rsidR="00985C4E" w:rsidRPr="00411685" w:rsidRDefault="00985C4E" w:rsidP="00E15077">
      <w:pPr>
        <w:pStyle w:val="Institutionquiagit"/>
        <w:rPr>
          <w:noProof/>
        </w:rPr>
      </w:pPr>
      <w:r w:rsidRPr="00411685">
        <w:rPr>
          <w:noProof/>
        </w:rPr>
        <w:t>RÅDET FOR DEN EUROPÆISKE UNION HAR —</w:t>
      </w:r>
    </w:p>
    <w:p w14:paraId="4CDC9883" w14:textId="77777777" w:rsidR="00985C4E" w:rsidRPr="00411685" w:rsidRDefault="00985C4E" w:rsidP="00E15077">
      <w:pPr>
        <w:rPr>
          <w:noProof/>
        </w:rPr>
      </w:pPr>
      <w:r w:rsidRPr="00411685">
        <w:rPr>
          <w:noProof/>
        </w:rPr>
        <w:t xml:space="preserve">under henvisning til traktaten om Den Europæiske Unions funktionsmåde, </w:t>
      </w:r>
    </w:p>
    <w:p w14:paraId="4CDC9884" w14:textId="6BDD9453" w:rsidR="00472712" w:rsidRPr="00411685" w:rsidRDefault="00472712" w:rsidP="00472712">
      <w:pPr>
        <w:rPr>
          <w:rFonts w:eastAsia="Calibri"/>
          <w:noProof/>
        </w:rPr>
      </w:pPr>
      <w:r w:rsidRPr="00411685">
        <w:rPr>
          <w:noProof/>
        </w:rPr>
        <w:t>under henvisning til Rådets direktiv 2006/112/EF af 28. november 2006 om det fælles merværdiafgiftssystem</w:t>
      </w:r>
      <w:r w:rsidRPr="00411685">
        <w:rPr>
          <w:rStyle w:val="FootnoteReference"/>
          <w:noProof/>
        </w:rPr>
        <w:footnoteReference w:id="28"/>
      </w:r>
      <w:r w:rsidRPr="00411685">
        <w:rPr>
          <w:noProof/>
        </w:rPr>
        <w:t>, særlig artikel 395, stk. 1, første afsnit,</w:t>
      </w:r>
    </w:p>
    <w:p w14:paraId="4CDC9885" w14:textId="77777777" w:rsidR="00985C4E" w:rsidRPr="00411685" w:rsidRDefault="00985C4E" w:rsidP="00E15077">
      <w:pPr>
        <w:rPr>
          <w:noProof/>
        </w:rPr>
      </w:pPr>
      <w:r w:rsidRPr="00411685">
        <w:rPr>
          <w:noProof/>
        </w:rPr>
        <w:t>under henvisning til forslag fra Europa-Kommissionen, og</w:t>
      </w:r>
    </w:p>
    <w:p w14:paraId="4CDC9886" w14:textId="77777777" w:rsidR="00985C4E" w:rsidRPr="00411685" w:rsidRDefault="00985C4E" w:rsidP="00E15077">
      <w:pPr>
        <w:rPr>
          <w:noProof/>
        </w:rPr>
      </w:pPr>
      <w:r w:rsidRPr="00411685">
        <w:rPr>
          <w:noProof/>
        </w:rPr>
        <w:t>ud fra følgende betragtninger:</w:t>
      </w:r>
    </w:p>
    <w:p w14:paraId="4CDC9888" w14:textId="14A4CC6F" w:rsidR="00472712" w:rsidRPr="00411685" w:rsidRDefault="00EB777A" w:rsidP="00EB777A">
      <w:pPr>
        <w:pStyle w:val="ManualConsidrant"/>
        <w:rPr>
          <w:noProof/>
        </w:rPr>
      </w:pPr>
      <w:r w:rsidRPr="00EB777A">
        <w:t>(1)</w:t>
      </w:r>
      <w:r w:rsidRPr="00EB777A">
        <w:tab/>
      </w:r>
      <w:r w:rsidR="00472712" w:rsidRPr="00411685">
        <w:rPr>
          <w:noProof/>
        </w:rPr>
        <w:t>Ved Rådets gennemførelsesafgørelse 2020/647/EU</w:t>
      </w:r>
      <w:r w:rsidR="00472712" w:rsidRPr="00411685">
        <w:rPr>
          <w:rStyle w:val="FootnoteReference"/>
          <w:rFonts w:eastAsia="Calibri"/>
          <w:noProof/>
        </w:rPr>
        <w:footnoteReference w:id="29"/>
      </w:r>
      <w:r w:rsidR="00472712" w:rsidRPr="00411685">
        <w:rPr>
          <w:noProof/>
        </w:rPr>
        <w:t xml:space="preserve"> fik Italien tilladelse til at anvende en særlig foranstaltning, der fraviger artikel 285 i direktiv 2006/112/EF, til at indrømme momsfritagelse til afgiftspligtige personer, hvis årlige omsætning ikke overstiger 65 000 EUR, frem til den 31. december 2024.</w:t>
      </w:r>
    </w:p>
    <w:p w14:paraId="4CDC9889" w14:textId="758F4707" w:rsidR="00472712" w:rsidRPr="00411685" w:rsidRDefault="00EB777A" w:rsidP="00EB777A">
      <w:pPr>
        <w:pStyle w:val="ManualConsidrant"/>
        <w:rPr>
          <w:rFonts w:eastAsia="Calibri"/>
          <w:noProof/>
        </w:rPr>
      </w:pPr>
      <w:r w:rsidRPr="00EB777A">
        <w:t>(2)</w:t>
      </w:r>
      <w:r w:rsidRPr="00EB777A">
        <w:tab/>
      </w:r>
      <w:r w:rsidR="00472712" w:rsidRPr="00411685">
        <w:rPr>
          <w:noProof/>
        </w:rPr>
        <w:t xml:space="preserve">Ved brev registreret i Kommissionen den 29. november 2022 anmodede Italien om tilladelse til indtil den 31. december 2024 at anvende en foranstaltning, der fraviger artikel 285 i direktiv 2006/112/EF, for at momsfritage afgiftspligtige personer, hvis årsomsætning ikke overstiger 85 000 EUR ("den særlige foranstaltning"). </w:t>
      </w:r>
    </w:p>
    <w:p w14:paraId="4CDC988A" w14:textId="4D4545B0" w:rsidR="00472712" w:rsidRPr="00411685" w:rsidRDefault="00EB777A" w:rsidP="00EB777A">
      <w:pPr>
        <w:pStyle w:val="ManualConsidrant"/>
        <w:rPr>
          <w:noProof/>
        </w:rPr>
      </w:pPr>
      <w:r w:rsidRPr="00EB777A">
        <w:t>(3)</w:t>
      </w:r>
      <w:r w:rsidRPr="00EB777A">
        <w:tab/>
      </w:r>
      <w:r w:rsidR="00191DDF" w:rsidRPr="00411685">
        <w:rPr>
          <w:noProof/>
        </w:rPr>
        <w:t xml:space="preserve">Ved brev af 8. december 2022 fremsendte Kommissionen Italiens anmodning til de øvrige medlemsstater i henhold til artikel 395, stk. 2, andet afsnit, i direktiv 2006/112/EF. Kommissionen underrettede ved brev af 9. december 2022 Italien om, at den rådede over alle de oplysninger, som den fandt nødvendige for at kunne vurdere anmodningen. </w:t>
      </w:r>
    </w:p>
    <w:p w14:paraId="4CDC988B" w14:textId="047D12C2" w:rsidR="00472712" w:rsidRPr="00411685" w:rsidRDefault="00EB777A" w:rsidP="00EB777A">
      <w:pPr>
        <w:pStyle w:val="ManualConsidrant"/>
        <w:rPr>
          <w:noProof/>
        </w:rPr>
      </w:pPr>
      <w:r w:rsidRPr="00EB777A">
        <w:t>(4)</w:t>
      </w:r>
      <w:r w:rsidRPr="00EB777A">
        <w:tab/>
      </w:r>
      <w:r w:rsidR="00472712" w:rsidRPr="00411685">
        <w:rPr>
          <w:noProof/>
        </w:rPr>
        <w:t>Den særlige foranstaltning er i overensstemmelse med direktiv 2006/112/EF, som ændret ved Rådets direktiv (EU) 2020/285</w:t>
      </w:r>
      <w:r w:rsidR="00472712" w:rsidRPr="00411685">
        <w:rPr>
          <w:rStyle w:val="FootnoteReference"/>
          <w:noProof/>
        </w:rPr>
        <w:footnoteReference w:id="30"/>
      </w:r>
      <w:r w:rsidR="00472712" w:rsidRPr="00411685">
        <w:rPr>
          <w:noProof/>
        </w:rPr>
        <w:t>, som tager sigte på at mindske små virksomheders omkostninger i forbindelse med overholdelse af momsreglerne og forhindre konkurrenceforvridninger på det indre marked.</w:t>
      </w:r>
    </w:p>
    <w:p w14:paraId="4CDC988C" w14:textId="549C1FCE" w:rsidR="00472712" w:rsidRPr="00411685" w:rsidRDefault="00EB777A" w:rsidP="00EB777A">
      <w:pPr>
        <w:pStyle w:val="ManualConsidrant"/>
        <w:rPr>
          <w:noProof/>
        </w:rPr>
      </w:pPr>
      <w:r w:rsidRPr="00EB777A">
        <w:t>(5)</w:t>
      </w:r>
      <w:r w:rsidRPr="00EB777A">
        <w:tab/>
      </w:r>
      <w:r w:rsidR="00472712" w:rsidRPr="00411685">
        <w:rPr>
          <w:noProof/>
        </w:rPr>
        <w:t xml:space="preserve">Den særlige foranstaltning forbliver frivillig for afgiftspligtige personer, som stadig kan vælge den almindelige momsordning i henhold til artikel 290 i direktiv 2006/112/EF. </w:t>
      </w:r>
    </w:p>
    <w:p w14:paraId="4CDC988D" w14:textId="7CC2B4B9" w:rsidR="00472712" w:rsidRPr="00411685" w:rsidRDefault="00EB777A" w:rsidP="00EB777A">
      <w:pPr>
        <w:pStyle w:val="ManualConsidrant"/>
        <w:rPr>
          <w:noProof/>
        </w:rPr>
      </w:pPr>
      <w:r w:rsidRPr="00EB777A">
        <w:lastRenderedPageBreak/>
        <w:t>(6)</w:t>
      </w:r>
      <w:r w:rsidRPr="00EB777A">
        <w:tab/>
      </w:r>
      <w:r w:rsidR="00472712" w:rsidRPr="00411685">
        <w:rPr>
          <w:noProof/>
        </w:rPr>
        <w:t>Ifølge de af Italien indgivne oplysninger vil den særlige foranstaltning have en ubetydelig indvirkning på Italiens samlede indtægter fra moms, der opkræves ved det endelige forbrug.</w:t>
      </w:r>
    </w:p>
    <w:p w14:paraId="4CDC988E" w14:textId="599D25DF" w:rsidR="00472712" w:rsidRPr="00411685" w:rsidRDefault="00EB777A" w:rsidP="00EB777A">
      <w:pPr>
        <w:pStyle w:val="ManualConsidrant"/>
        <w:rPr>
          <w:noProof/>
        </w:rPr>
      </w:pPr>
      <w:r w:rsidRPr="00EB777A">
        <w:t>(7)</w:t>
      </w:r>
      <w:r w:rsidRPr="00EB777A">
        <w:tab/>
      </w:r>
      <w:r w:rsidR="00472712" w:rsidRPr="00411685">
        <w:rPr>
          <w:noProof/>
        </w:rPr>
        <w:t>Efter ikrafttrædelsen af Rådets forordning (EU, Euratom) 2021/769</w:t>
      </w:r>
      <w:r w:rsidR="00472712" w:rsidRPr="00411685">
        <w:rPr>
          <w:rStyle w:val="FootnoteReference"/>
          <w:noProof/>
        </w:rPr>
        <w:footnoteReference w:id="31"/>
      </w:r>
      <w:r w:rsidR="00472712" w:rsidRPr="00411685">
        <w:rPr>
          <w:noProof/>
        </w:rPr>
        <w:t xml:space="preserve"> skal Italien ikke foretage nogen kompensationsberegning for så vidt angår oversigten over momsbaserede egne indtægter for regnskabsåret 2021 og fremefter.</w:t>
      </w:r>
    </w:p>
    <w:p w14:paraId="4CDC988F" w14:textId="462A2368" w:rsidR="00472712" w:rsidRPr="00411685" w:rsidRDefault="00EB777A" w:rsidP="00EB777A">
      <w:pPr>
        <w:pStyle w:val="ManualConsidrant"/>
        <w:rPr>
          <w:noProof/>
        </w:rPr>
      </w:pPr>
      <w:r w:rsidRPr="00EB777A">
        <w:t>(8)</w:t>
      </w:r>
      <w:r w:rsidRPr="00EB777A">
        <w:tab/>
      </w:r>
      <w:r w:rsidR="00472712" w:rsidRPr="00411685">
        <w:rPr>
          <w:noProof/>
        </w:rPr>
        <w:t>I betragtning af den særlige foranstaltnings forventede positive virkning med hensyn til at mindske den administrative byrde og overholdelsesomkostningerne for små virksomheder og skattemyndighederne, og eftersom der ikke vil være nogen indvirkning af betydning på de samlede momsindtægter, bør Italien gives tilladelse til at anvende den særlige foranstaltning.</w:t>
      </w:r>
    </w:p>
    <w:p w14:paraId="4CDC9890" w14:textId="5032C130" w:rsidR="00472712" w:rsidRPr="00411685" w:rsidRDefault="00EB777A" w:rsidP="00EB777A">
      <w:pPr>
        <w:pStyle w:val="ManualConsidrant"/>
        <w:rPr>
          <w:noProof/>
        </w:rPr>
      </w:pPr>
      <w:r w:rsidRPr="00EB777A">
        <w:t>(9)</w:t>
      </w:r>
      <w:r w:rsidRPr="00EB777A">
        <w:tab/>
      </w:r>
      <w:r w:rsidR="001A39F8" w:rsidRPr="00411685">
        <w:rPr>
          <w:noProof/>
        </w:rPr>
        <w:t>Tilladelsen til at anvende den særlige foranstaltning bør være tidsbegrænset. Tidsbegrænsningen bør være tilstrækkelig til, at tærsklens effektivitet og hensigtsmæssighed kan vurderes af Kommissionen. Endvidere skal medlemsstaterne i henhold til artikel 3, stk. 1, i direktiv (EU) 2020/285 senest den 31. december 2024 vedtage og offentliggøre de love og administrative bestemmelser, der er nødvendige for at efterkomme direktivets artikel 1, nr. 12), og de skal anvende disse love og bestemmelser fra den 1. januar 2025. Italien bør derfor gives tilladelse til at anvende den særlige foranstaltning indtil den 31. december 2024.</w:t>
      </w:r>
    </w:p>
    <w:p w14:paraId="4CDC9891" w14:textId="516CA640" w:rsidR="00233C52" w:rsidRPr="00411685" w:rsidRDefault="00EB777A" w:rsidP="00EB777A">
      <w:pPr>
        <w:pStyle w:val="ManualConsidrant"/>
        <w:rPr>
          <w:noProof/>
        </w:rPr>
      </w:pPr>
      <w:r w:rsidRPr="00EB777A">
        <w:t>(10)</w:t>
      </w:r>
      <w:r w:rsidRPr="00EB777A">
        <w:tab/>
      </w:r>
      <w:r w:rsidR="00233C52" w:rsidRPr="00411685">
        <w:rPr>
          <w:noProof/>
        </w:rPr>
        <w:t>Gennemførelsesafgørelse (EU) 2020/647 bør derfor ophæves —</w:t>
      </w:r>
    </w:p>
    <w:p w14:paraId="4CDC9893" w14:textId="77777777" w:rsidR="00985C4E" w:rsidRPr="00411685" w:rsidRDefault="00985C4E" w:rsidP="00E15077">
      <w:pPr>
        <w:pStyle w:val="Formuledadoption"/>
        <w:rPr>
          <w:noProof/>
        </w:rPr>
      </w:pPr>
      <w:r w:rsidRPr="00411685">
        <w:rPr>
          <w:noProof/>
        </w:rPr>
        <w:t xml:space="preserve">VEDTAGET DENNE AFGØRELSE: </w:t>
      </w:r>
    </w:p>
    <w:p w14:paraId="4CDC9894" w14:textId="77777777" w:rsidR="00985C4E" w:rsidRPr="00411685" w:rsidRDefault="00985C4E" w:rsidP="00E15077">
      <w:pPr>
        <w:pStyle w:val="Titrearticle"/>
        <w:rPr>
          <w:noProof/>
        </w:rPr>
      </w:pPr>
      <w:r w:rsidRPr="00411685">
        <w:rPr>
          <w:noProof/>
        </w:rPr>
        <w:t>Artikel 1</w:t>
      </w:r>
    </w:p>
    <w:p w14:paraId="4CDC9895" w14:textId="77777777" w:rsidR="00985C4E" w:rsidRPr="00411685" w:rsidRDefault="00472712" w:rsidP="00E15077">
      <w:pPr>
        <w:rPr>
          <w:rFonts w:eastAsia="Calibri"/>
          <w:noProof/>
        </w:rPr>
      </w:pPr>
      <w:r w:rsidRPr="00411685">
        <w:rPr>
          <w:noProof/>
        </w:rPr>
        <w:t>Som en fravigelse af artikel 285 i direktiv 2006/112/EF gives Italien tilladelse til at momsfritage afgiftspligtige personer med en årlig omsætning på højst 85 000 EUR.</w:t>
      </w:r>
    </w:p>
    <w:p w14:paraId="4CDC9896" w14:textId="77777777" w:rsidR="00985C4E" w:rsidRPr="00411685" w:rsidRDefault="00985C4E" w:rsidP="00E15077">
      <w:pPr>
        <w:pStyle w:val="Titrearticle"/>
        <w:rPr>
          <w:noProof/>
        </w:rPr>
      </w:pPr>
      <w:r w:rsidRPr="00411685">
        <w:rPr>
          <w:noProof/>
        </w:rPr>
        <w:t>Artikel 2</w:t>
      </w:r>
    </w:p>
    <w:p w14:paraId="4CDC9897" w14:textId="2157C52A" w:rsidR="00233C52" w:rsidRPr="00411685" w:rsidRDefault="00233C52" w:rsidP="00F326BC">
      <w:pPr>
        <w:rPr>
          <w:rFonts w:eastAsia="Calibri"/>
          <w:noProof/>
        </w:rPr>
      </w:pPr>
      <w:r w:rsidRPr="00411685">
        <w:rPr>
          <w:noProof/>
        </w:rPr>
        <w:t>Gennemførelsesafgørelse (EU) 2020/647 ophæves.</w:t>
      </w:r>
    </w:p>
    <w:p w14:paraId="4CDC9898" w14:textId="77777777" w:rsidR="00472712" w:rsidRPr="00411685" w:rsidRDefault="00472712" w:rsidP="00C45A4A">
      <w:pPr>
        <w:pStyle w:val="Titrearticle"/>
        <w:rPr>
          <w:noProof/>
        </w:rPr>
      </w:pPr>
      <w:r w:rsidRPr="00411685">
        <w:rPr>
          <w:noProof/>
        </w:rPr>
        <w:t>Artikel 3</w:t>
      </w:r>
    </w:p>
    <w:p w14:paraId="4CDC9899" w14:textId="1C73753D" w:rsidR="00233C52" w:rsidRPr="00411685" w:rsidRDefault="00233C52" w:rsidP="00233C52">
      <w:pPr>
        <w:rPr>
          <w:rFonts w:eastAsia="Calibri"/>
          <w:noProof/>
        </w:rPr>
      </w:pPr>
      <w:r w:rsidRPr="00411685">
        <w:rPr>
          <w:noProof/>
        </w:rPr>
        <w:t xml:space="preserve">Denne afgørelse får virkning på dagen for meddelelsen. </w:t>
      </w:r>
    </w:p>
    <w:p w14:paraId="4CDC989A" w14:textId="29FF926C" w:rsidR="00233C52" w:rsidRPr="00411685" w:rsidRDefault="00CC6CE7" w:rsidP="00233C52">
      <w:pPr>
        <w:rPr>
          <w:rFonts w:eastAsia="Calibri"/>
          <w:noProof/>
        </w:rPr>
      </w:pPr>
      <w:r w:rsidRPr="00411685">
        <w:rPr>
          <w:noProof/>
        </w:rPr>
        <w:t>Den finder anvendelse indtil den 31. december 2024.</w:t>
      </w:r>
    </w:p>
    <w:p w14:paraId="4CDC989B" w14:textId="77777777" w:rsidR="00233C52" w:rsidRPr="00411685" w:rsidRDefault="00233C52" w:rsidP="007264CF">
      <w:pPr>
        <w:pStyle w:val="Titrearticle"/>
        <w:rPr>
          <w:noProof/>
        </w:rPr>
      </w:pPr>
      <w:r w:rsidRPr="00411685">
        <w:rPr>
          <w:noProof/>
        </w:rPr>
        <w:lastRenderedPageBreak/>
        <w:t>Artikel 4</w:t>
      </w:r>
    </w:p>
    <w:p w14:paraId="4CDC989C" w14:textId="77777777" w:rsidR="00472712" w:rsidRPr="00411685" w:rsidRDefault="00472712" w:rsidP="00472712">
      <w:pPr>
        <w:keepNext/>
        <w:keepLines/>
        <w:rPr>
          <w:rFonts w:eastAsia="Calibri"/>
          <w:noProof/>
          <w:color w:val="000000"/>
        </w:rPr>
      </w:pPr>
      <w:r w:rsidRPr="00411685">
        <w:rPr>
          <w:noProof/>
          <w:color w:val="000000"/>
        </w:rPr>
        <w:t>Denne afgørelse er rettet til Den Italienske Republik.</w:t>
      </w:r>
    </w:p>
    <w:p w14:paraId="4CDC989E" w14:textId="3DF01418" w:rsidR="00985C4E" w:rsidRPr="00411685" w:rsidRDefault="00475C17" w:rsidP="007264CF">
      <w:pPr>
        <w:pStyle w:val="Fait"/>
        <w:rPr>
          <w:noProof/>
        </w:rPr>
      </w:pPr>
      <w:r w:rsidRPr="00475C17">
        <w:t xml:space="preserve">Udfærdiget i Bruxelles, den </w:t>
      </w:r>
      <w:r w:rsidRPr="00475C17">
        <w:rPr>
          <w:rStyle w:val="Marker"/>
        </w:rPr>
        <w:t>[…]</w:t>
      </w:r>
      <w:r w:rsidRPr="00475C17">
        <w:t>.</w:t>
      </w:r>
    </w:p>
    <w:p w14:paraId="4CDC989F" w14:textId="77777777" w:rsidR="00985C4E" w:rsidRPr="00411685" w:rsidRDefault="00985C4E" w:rsidP="007264CF">
      <w:pPr>
        <w:pStyle w:val="Institutionquisigne"/>
        <w:rPr>
          <w:noProof/>
        </w:rPr>
      </w:pPr>
      <w:r w:rsidRPr="00411685">
        <w:rPr>
          <w:noProof/>
        </w:rPr>
        <w:tab/>
        <w:t>På Rådets vegne</w:t>
      </w:r>
    </w:p>
    <w:p w14:paraId="4CDC98A0" w14:textId="77777777" w:rsidR="00985C4E" w:rsidRPr="00411685" w:rsidRDefault="00985C4E" w:rsidP="00985C4E">
      <w:pPr>
        <w:pStyle w:val="Personnequisigne"/>
        <w:rPr>
          <w:noProof/>
        </w:rPr>
      </w:pPr>
      <w:r w:rsidRPr="00411685">
        <w:rPr>
          <w:noProof/>
        </w:rPr>
        <w:tab/>
        <w:t>Formand</w:t>
      </w:r>
    </w:p>
    <w:sectPr w:rsidR="00985C4E" w:rsidRPr="00411685" w:rsidSect="00CD4B62">
      <w:footnotePr>
        <w:numRestart w:val="eachSect"/>
      </w:footnotePr>
      <w:pgSz w:w="11907" w:h="16839"/>
      <w:pgMar w:top="1134" w:right="1417" w:bottom="1134"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906E1" w16cex:dateUtc="2023-01-11T0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6BAAF7" w16cid:durableId="27681F40"/>
  <w16cid:commentId w16cid:paraId="162F0F7C" w16cid:durableId="27681F41"/>
  <w16cid:commentId w16cid:paraId="20E7A514" w16cid:durableId="276906E1"/>
  <w16cid:commentId w16cid:paraId="0036C6EE" w16cid:durableId="27681F42"/>
  <w16cid:commentId w16cid:paraId="1D2DE456" w16cid:durableId="27681F43"/>
  <w16cid:commentId w16cid:paraId="114A2EBF" w16cid:durableId="27681F4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5F4C2" w14:textId="77777777" w:rsidR="00C00A3E" w:rsidRDefault="00C00A3E" w:rsidP="00985C4E">
      <w:pPr>
        <w:spacing w:before="0" w:after="0"/>
      </w:pPr>
      <w:r>
        <w:separator/>
      </w:r>
    </w:p>
  </w:endnote>
  <w:endnote w:type="continuationSeparator" w:id="0">
    <w:p w14:paraId="05BABF69" w14:textId="77777777" w:rsidR="00C00A3E" w:rsidRDefault="00C00A3E" w:rsidP="00985C4E">
      <w:pPr>
        <w:spacing w:before="0" w:after="0"/>
      </w:pPr>
      <w:r>
        <w:continuationSeparator/>
      </w:r>
    </w:p>
  </w:endnote>
  <w:endnote w:type="continuationNotice" w:id="1">
    <w:p w14:paraId="0E171E1B" w14:textId="77777777" w:rsidR="00C00A3E" w:rsidRDefault="00C00A3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4D699" w14:textId="2F2EEC99" w:rsidR="00AF6D29" w:rsidRPr="00CD4B62" w:rsidRDefault="00CD4B62" w:rsidP="00CD4B62">
    <w:pPr>
      <w:pStyle w:val="Footer"/>
      <w:rPr>
        <w:rFonts w:ascii="Arial" w:hAnsi="Arial" w:cs="Arial"/>
        <w:b/>
        <w:sz w:val="48"/>
      </w:rPr>
    </w:pPr>
    <w:r w:rsidRPr="00CD4B62">
      <w:rPr>
        <w:rFonts w:ascii="Arial" w:hAnsi="Arial" w:cs="Arial"/>
        <w:b/>
        <w:sz w:val="48"/>
      </w:rPr>
      <w:t>DA</w:t>
    </w:r>
    <w:r w:rsidRPr="00CD4B62">
      <w:rPr>
        <w:rFonts w:ascii="Arial" w:hAnsi="Arial" w:cs="Arial"/>
        <w:b/>
        <w:sz w:val="48"/>
      </w:rPr>
      <w:tab/>
    </w:r>
    <w:r w:rsidRPr="00CD4B62">
      <w:rPr>
        <w:rFonts w:ascii="Arial" w:hAnsi="Arial" w:cs="Arial"/>
        <w:b/>
        <w:sz w:val="48"/>
      </w:rPr>
      <w:tab/>
    </w:r>
    <w:r w:rsidRPr="00CD4B62">
      <w:tab/>
    </w:r>
    <w:r w:rsidRPr="00CD4B62">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373CD" w14:textId="2561D71A" w:rsidR="00CD4B62" w:rsidRPr="00CD4B62" w:rsidRDefault="00CD4B62" w:rsidP="00CD4B62">
    <w:pPr>
      <w:pStyle w:val="Footer"/>
      <w:rPr>
        <w:rFonts w:ascii="Arial" w:hAnsi="Arial" w:cs="Arial"/>
        <w:b/>
        <w:sz w:val="48"/>
      </w:rPr>
    </w:pPr>
    <w:r w:rsidRPr="00CD4B62">
      <w:rPr>
        <w:rFonts w:ascii="Arial" w:hAnsi="Arial" w:cs="Arial"/>
        <w:b/>
        <w:sz w:val="48"/>
      </w:rPr>
      <w:t>DA</w:t>
    </w:r>
    <w:r w:rsidRPr="00CD4B62">
      <w:rPr>
        <w:rFonts w:ascii="Arial" w:hAnsi="Arial" w:cs="Arial"/>
        <w:b/>
        <w:sz w:val="48"/>
      </w:rPr>
      <w:tab/>
    </w:r>
    <w:r>
      <w:fldChar w:fldCharType="begin"/>
    </w:r>
    <w:r>
      <w:instrText xml:space="preserve"> PAGE  \* MERGEFORMAT </w:instrText>
    </w:r>
    <w:r>
      <w:fldChar w:fldCharType="separate"/>
    </w:r>
    <w:r w:rsidR="007264CF">
      <w:rPr>
        <w:noProof/>
      </w:rPr>
      <w:t>9</w:t>
    </w:r>
    <w:r>
      <w:fldChar w:fldCharType="end"/>
    </w:r>
    <w:r>
      <w:tab/>
    </w:r>
    <w:r w:rsidRPr="00CD4B62">
      <w:tab/>
    </w:r>
    <w:r w:rsidRPr="00CD4B62">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195D5" w14:textId="77777777" w:rsidR="00CD4B62" w:rsidRPr="00CD4B62" w:rsidRDefault="00CD4B62" w:rsidP="00CD4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89A76" w14:textId="77777777" w:rsidR="00C00A3E" w:rsidRDefault="00C00A3E" w:rsidP="00985C4E">
      <w:pPr>
        <w:spacing w:before="0" w:after="0"/>
      </w:pPr>
      <w:r>
        <w:separator/>
      </w:r>
    </w:p>
  </w:footnote>
  <w:footnote w:type="continuationSeparator" w:id="0">
    <w:p w14:paraId="3E3C83AF" w14:textId="77777777" w:rsidR="00C00A3E" w:rsidRDefault="00C00A3E" w:rsidP="00985C4E">
      <w:pPr>
        <w:spacing w:before="0" w:after="0"/>
      </w:pPr>
      <w:r>
        <w:continuationSeparator/>
      </w:r>
    </w:p>
  </w:footnote>
  <w:footnote w:type="continuationNotice" w:id="1">
    <w:p w14:paraId="0D8568BC" w14:textId="77777777" w:rsidR="00C00A3E" w:rsidRDefault="00C00A3E">
      <w:pPr>
        <w:spacing w:before="0" w:after="0"/>
      </w:pPr>
    </w:p>
  </w:footnote>
  <w:footnote w:id="2">
    <w:p w14:paraId="4CDC98AE" w14:textId="77777777" w:rsidR="00C00A3E" w:rsidRPr="00411685" w:rsidRDefault="00C00A3E" w:rsidP="00F52EAE">
      <w:pPr>
        <w:pStyle w:val="FootnoteText"/>
      </w:pPr>
      <w:r>
        <w:rPr>
          <w:rStyle w:val="FootnoteReference"/>
        </w:rPr>
        <w:footnoteRef/>
      </w:r>
      <w:r w:rsidRPr="00411685">
        <w:tab/>
        <w:t>EUT L 347 af 11.12.2006, s. 1.</w:t>
      </w:r>
    </w:p>
  </w:footnote>
  <w:footnote w:id="3">
    <w:p w14:paraId="4CDC98AF" w14:textId="77777777" w:rsidR="00C00A3E" w:rsidRPr="00411685" w:rsidRDefault="00C00A3E" w:rsidP="00F52EAE">
      <w:pPr>
        <w:pStyle w:val="FootnoteText"/>
      </w:pPr>
      <w:r>
        <w:rPr>
          <w:rStyle w:val="FootnoteReference"/>
        </w:rPr>
        <w:footnoteRef/>
      </w:r>
      <w:r w:rsidRPr="00411685">
        <w:tab/>
        <w:t>Rådets gennemførelsesafgørelse (EU) 2020/647 af 11. maj 2020 om tilladelse til Den Italienske Republik til at anvende en særlig foranstaltning, der fraviger artikel 285 i direktiv 2006/112/EF om det fælles merværdiafgiftssystem (EUT L 151 af 14.5.2020, s. 7).</w:t>
      </w:r>
    </w:p>
  </w:footnote>
  <w:footnote w:id="4">
    <w:p w14:paraId="4CDC98B0" w14:textId="77777777" w:rsidR="00C00A3E" w:rsidRPr="00411685" w:rsidRDefault="00C00A3E" w:rsidP="00F52EAE">
      <w:pPr>
        <w:pStyle w:val="FootnoteText"/>
      </w:pPr>
      <w:r>
        <w:rPr>
          <w:rStyle w:val="FootnoteReference"/>
        </w:rPr>
        <w:footnoteRef/>
      </w:r>
      <w:r w:rsidRPr="00411685">
        <w:tab/>
        <w:t>Rådets andet direktiv 67/228/EØF af 11. april 1967 om harmonisering af medlemsstaternes lovgivning om omsætningsafgifter — Det fælles merværdiafgiftssystems struktur og de nærmere regler for dets anvendelse (EFT 71 af 14.4.1967, s. 1303).</w:t>
      </w:r>
    </w:p>
  </w:footnote>
  <w:footnote w:id="5">
    <w:p w14:paraId="4CDC98B1" w14:textId="77777777" w:rsidR="00C00A3E" w:rsidRPr="00411685" w:rsidRDefault="00C00A3E" w:rsidP="00F52EAE">
      <w:pPr>
        <w:pStyle w:val="FootnoteText"/>
        <w:rPr>
          <w:i/>
        </w:rPr>
      </w:pPr>
      <w:r>
        <w:rPr>
          <w:rStyle w:val="FootnoteReference"/>
        </w:rPr>
        <w:footnoteRef/>
      </w:r>
      <w:r w:rsidRPr="00411685">
        <w:tab/>
        <w:t>Rådets sjette direktiv 77/388/EØF af 17. maj 1977 om harmonisering af medlemsstaternes lovgivning om omsætningsafgifter — Det fælles merværdiafgiftssystem: ensartet beregningsgrundlag (EFT L 145 af 13.6.1977, s. 1).</w:t>
      </w:r>
    </w:p>
  </w:footnote>
  <w:footnote w:id="6">
    <w:p w14:paraId="4CDC98B2" w14:textId="77777777" w:rsidR="00C00A3E" w:rsidRPr="00411685" w:rsidRDefault="00C00A3E" w:rsidP="00F52EAE">
      <w:pPr>
        <w:pStyle w:val="FootnoteText"/>
      </w:pPr>
      <w:r>
        <w:rPr>
          <w:rStyle w:val="FootnoteReference"/>
        </w:rPr>
        <w:footnoteRef/>
      </w:r>
      <w:r w:rsidRPr="00411685">
        <w:tab/>
        <w:t>Rådets beslutning 2008/737/EF af 15. september 2008 om bemyndigelse af Den Italienske Republik til at anvende en foranstaltning, der fraviger bestemmelserne i artikel 285 i direktiv 2006/112/EF om det fælles merværdiafgiftssystem (EUT L 249 af 18.9.2008, s. 13).</w:t>
      </w:r>
    </w:p>
  </w:footnote>
  <w:footnote w:id="7">
    <w:p w14:paraId="4CDC98B3" w14:textId="77777777" w:rsidR="00C00A3E" w:rsidRPr="00411685" w:rsidRDefault="00C00A3E" w:rsidP="00A36181">
      <w:pPr>
        <w:pStyle w:val="FootnoteText"/>
      </w:pPr>
      <w:r>
        <w:rPr>
          <w:rStyle w:val="FootnoteReference"/>
        </w:rPr>
        <w:footnoteRef/>
      </w:r>
      <w:r w:rsidRPr="00411685">
        <w:tab/>
        <w:t>Rådets gennemførelsesafgørelse 2010/688/EU af 15. oktober 2010 om tilladelse til Den Italienske Republik til fortsat at anvende en særlig foranstaltning, der fraviger artikel 285 i direktiv 2006/112/EF om det fælles merværdiafgiftssystem (EUT L 294 af 12.11.2010, s. 12).</w:t>
      </w:r>
    </w:p>
  </w:footnote>
  <w:footnote w:id="8">
    <w:p w14:paraId="4CDC98B4" w14:textId="77777777" w:rsidR="00C00A3E" w:rsidRPr="00411685" w:rsidRDefault="00C00A3E" w:rsidP="00A36181">
      <w:pPr>
        <w:pStyle w:val="FootnoteText"/>
      </w:pPr>
      <w:r>
        <w:rPr>
          <w:rStyle w:val="FootnoteReference"/>
        </w:rPr>
        <w:footnoteRef/>
      </w:r>
      <w:r w:rsidRPr="00411685">
        <w:tab/>
        <w:t>Rådets gennemførelsesafgørelse 2013/678/EU af 15. november 2013 om tilladelse til Den Italienske Republik til fortsat at anvende en særlig foranstaltning, der fraviger artikel 285 i direktiv 2006/112/EF om det fælles merværdiafgiftssystem (EUT L 316 af 27.11.2013, s. 35).</w:t>
      </w:r>
    </w:p>
  </w:footnote>
  <w:footnote w:id="9">
    <w:p w14:paraId="4CDC98B5" w14:textId="77777777" w:rsidR="00C00A3E" w:rsidRPr="00411685" w:rsidRDefault="00C00A3E" w:rsidP="00A36181">
      <w:pPr>
        <w:pStyle w:val="FootnoteText"/>
      </w:pPr>
      <w:r>
        <w:rPr>
          <w:rStyle w:val="FootnoteReference"/>
        </w:rPr>
        <w:footnoteRef/>
      </w:r>
      <w:r w:rsidRPr="00411685">
        <w:tab/>
        <w:t>Rådets gennemførelsesafgørelse (EU) 2016/1988 af 8. november 2016 om ændring af gennemførelsesafgørelse 2013/678/EU om tilladelse til Den Italienske Republik til fortsat at anvende en særlig foranstaltning, der fraviger artikel 285 i direktiv 2006/112/EF om det fælles merværdiafgiftssystem (EUT L 306 af 15.11.2016, s. 11).</w:t>
      </w:r>
    </w:p>
  </w:footnote>
  <w:footnote w:id="10">
    <w:p w14:paraId="4CDC98B6" w14:textId="77777777" w:rsidR="00C00A3E" w:rsidRPr="00411685" w:rsidRDefault="00C00A3E">
      <w:pPr>
        <w:pStyle w:val="FootnoteText"/>
      </w:pPr>
      <w:r>
        <w:rPr>
          <w:rStyle w:val="FootnoteReference"/>
        </w:rPr>
        <w:footnoteRef/>
      </w:r>
      <w:r w:rsidRPr="00411685">
        <w:tab/>
        <w:t>Rådets direktiv (EU) 2020/285 af 18. februar 2020 om ændring af direktiv 2006/112/EF om det fælles merværdiafgiftssystem for så vidt angår særordningen for små virksomheder og forordning (EU) nr. 904/2010 for så vidt angår administrativt samarbejde og udveksling af oplysninger med henblik på at overvåge, om særordningen for små virksomheder anvendes korrekt (EUT L 62 af 2.3.2020, s. 13).</w:t>
      </w:r>
    </w:p>
  </w:footnote>
  <w:footnote w:id="11">
    <w:p w14:paraId="4CDC98B7" w14:textId="77777777" w:rsidR="00C00A3E" w:rsidRPr="00411685" w:rsidRDefault="00C00A3E" w:rsidP="00174512">
      <w:pPr>
        <w:pStyle w:val="FootnoteText"/>
      </w:pPr>
      <w:r>
        <w:rPr>
          <w:rStyle w:val="FootnoteReference"/>
        </w:rPr>
        <w:footnoteRef/>
      </w:r>
      <w:r w:rsidRPr="00411685">
        <w:tab/>
        <w:t>Meddelelse fra Kommissionen til Europa-Parlamentet, Rådet og Det Europæiske Økonomiske og Sociale Udvalg om en handlingsplan for moms – Mod et fælles europæisk momsområde – De svære valg (COM(2016) 148 final).</w:t>
      </w:r>
    </w:p>
  </w:footnote>
  <w:footnote w:id="12">
    <w:p w14:paraId="4CDC98B8" w14:textId="77777777" w:rsidR="00C00A3E" w:rsidRPr="00411685" w:rsidRDefault="00C00A3E" w:rsidP="00174512">
      <w:pPr>
        <w:pStyle w:val="FootnoteText"/>
      </w:pPr>
      <w:r>
        <w:rPr>
          <w:rStyle w:val="FootnoteReference"/>
        </w:rPr>
        <w:footnoteRef/>
      </w:r>
      <w:r w:rsidRPr="00411685">
        <w:tab/>
        <w:t>Rådets gennemførelsesafgørelse (EU) 2018/1904 af 4. december 2018 om at give Nederlandene tilladelse til at indføre en særlig foranstaltning, der fraviger artikel 285 i direktiv 2006/112/EF om det fælles merværdiafgiftssystem (EUT L 310 af 6.12.2018, s. 25).</w:t>
      </w:r>
    </w:p>
  </w:footnote>
  <w:footnote w:id="13">
    <w:p w14:paraId="4CDC98B9" w14:textId="77777777" w:rsidR="00C00A3E" w:rsidRPr="00411685" w:rsidRDefault="00C00A3E" w:rsidP="00174512">
      <w:pPr>
        <w:pStyle w:val="FootnoteText"/>
      </w:pPr>
      <w:r>
        <w:rPr>
          <w:rStyle w:val="FootnoteReference"/>
        </w:rPr>
        <w:footnoteRef/>
      </w:r>
      <w:r w:rsidRPr="00411685">
        <w:tab/>
        <w:t>Rådets gennemførelsesafgørelse (EU) 2022/88 af 18. januar 2022 om ændring af gennemførelsesafgørelse 2013/53/EU for så vidt angår tilladelse til Kongeriget Belgien til i en yderligere periode at anvende den særlige foranstaltning, der fraviger artikel 285 i direktiv 2006/112/EF om det fælles merværdiafgiftssystem (EUT L 14 af 21.1.2022, s. 23).</w:t>
      </w:r>
    </w:p>
  </w:footnote>
  <w:footnote w:id="14">
    <w:p w14:paraId="4CDC98BA" w14:textId="77777777" w:rsidR="00C00A3E" w:rsidRPr="00411685" w:rsidRDefault="00C00A3E" w:rsidP="00174512">
      <w:pPr>
        <w:pStyle w:val="FootnoteText"/>
      </w:pPr>
      <w:r>
        <w:rPr>
          <w:rStyle w:val="FootnoteReference"/>
        </w:rPr>
        <w:footnoteRef/>
      </w:r>
      <w:r w:rsidRPr="00411685">
        <w:tab/>
        <w:t>Rådets gennemførelsesafgørelse (EU) 2019/2210 af 19. december 2019 om ændring af gennemførelsesafgørelse 2013/677/EU om bemyndigelse af Luxembourg til at indføre en særlig foranstaltning, der fraviger artikel 285 i direktiv 2006/112/EF om det fælles merværdiafgiftssystem (EUT L 332 af 23.12.2019, s. 155).</w:t>
      </w:r>
    </w:p>
  </w:footnote>
  <w:footnote w:id="15">
    <w:p w14:paraId="4CDC98BB" w14:textId="7B9D8E4F" w:rsidR="00C00A3E" w:rsidRPr="00411685" w:rsidRDefault="00C00A3E" w:rsidP="00174512">
      <w:pPr>
        <w:pStyle w:val="FootnoteText"/>
      </w:pPr>
      <w:r>
        <w:rPr>
          <w:rStyle w:val="FootnoteReference"/>
        </w:rPr>
        <w:footnoteRef/>
      </w:r>
      <w:r w:rsidRPr="00411685">
        <w:tab/>
        <w:t>Rådets gennemførelsesafgørelse (EU) 2021/1780 af 5. oktober 2021 om ændring af afgørelse 2009/790/EF om bemyndigelse af Republikken Polen til at anvende en foranstaltning, der fraviger artikel 287 i direktiv 2006/112/EF om det fælles merværdiafgiftssystem (EUT L 360 af 11.10.2021, s. 122).</w:t>
      </w:r>
    </w:p>
  </w:footnote>
  <w:footnote w:id="16">
    <w:p w14:paraId="4CDC98BC" w14:textId="77777777" w:rsidR="00C00A3E" w:rsidRPr="00411685" w:rsidRDefault="00C00A3E" w:rsidP="00174512">
      <w:pPr>
        <w:pStyle w:val="FootnoteText"/>
      </w:pPr>
      <w:r>
        <w:rPr>
          <w:rStyle w:val="FootnoteReference"/>
        </w:rPr>
        <w:footnoteRef/>
      </w:r>
      <w:r w:rsidRPr="00411685">
        <w:tab/>
        <w:t>Rådets gennemførelsesafgørelse (EU) 2020/1261 af 4. september 2020 om ændring af gennemførelsesafgørelse (EU) 2017/2408 om at give tilladelse til Republikken Letland til at anvende en særlig foranstaltning, der fraviger artikel 287 i direktiv 2006/112/EF om det fælles merværdiafgiftssystem (EUT L 296 af 10.9.2020, s. 4).</w:t>
      </w:r>
    </w:p>
  </w:footnote>
  <w:footnote w:id="17">
    <w:p w14:paraId="4CDC98BD" w14:textId="77777777" w:rsidR="00C00A3E" w:rsidRPr="00411685" w:rsidRDefault="00C00A3E" w:rsidP="00174512">
      <w:pPr>
        <w:pStyle w:val="FootnoteText"/>
      </w:pPr>
      <w:r>
        <w:rPr>
          <w:rStyle w:val="FootnoteReference"/>
        </w:rPr>
        <w:footnoteRef/>
      </w:r>
      <w:r w:rsidRPr="00411685">
        <w:tab/>
        <w:t>Rådets gennemførelsesafgørelse (EU) 2021/358 af 22. februar 2021 om ændring af gennemførelsesafgørelse (EU) 2017/563 om at give Republikken Estland tilladelse til at anvende en særlig foranstaltning, der fraviger artikel 287 i direktiv 2006/112/EF om det fælles merværdiafgiftssystem (EUT L 69 af 26.2.2021, s. 4).</w:t>
      </w:r>
      <w:r w:rsidRPr="00411685">
        <w:tab/>
      </w:r>
    </w:p>
  </w:footnote>
  <w:footnote w:id="18">
    <w:p w14:paraId="4CDC98BE" w14:textId="77777777" w:rsidR="00C00A3E" w:rsidRPr="00411685" w:rsidRDefault="00C00A3E" w:rsidP="00174512">
      <w:pPr>
        <w:pStyle w:val="FootnoteText"/>
      </w:pPr>
      <w:r>
        <w:rPr>
          <w:rStyle w:val="FootnoteReference"/>
        </w:rPr>
        <w:footnoteRef/>
      </w:r>
      <w:r w:rsidRPr="00411685">
        <w:tab/>
        <w:t>Rådets gennemførelsesafgørelse (EU) 2022/73 af 18. januar 2022 om ændring af gennemførelsesafgørelse (EU) 2018/1490 for så vidt angår tilladelse til Ungarn til i en yderligere periode at anvende den særlige foranstaltning, der fraviger artikel 287 i direktiv 2006/112/EF om det fælles merværdiafgiftssystem (EUT L 12 af 19.1.2022, s. 148).</w:t>
      </w:r>
    </w:p>
  </w:footnote>
  <w:footnote w:id="19">
    <w:p w14:paraId="4CDC98BF" w14:textId="77777777" w:rsidR="00C00A3E" w:rsidRPr="00411685" w:rsidRDefault="00C00A3E" w:rsidP="00174512">
      <w:pPr>
        <w:pStyle w:val="FootnoteText"/>
      </w:pPr>
      <w:r>
        <w:rPr>
          <w:rStyle w:val="FootnoteReference"/>
        </w:rPr>
        <w:footnoteRef/>
      </w:r>
      <w:r w:rsidRPr="00411685">
        <w:tab/>
        <w:t>Rådets gennemførelsesafgørelse (EU) 2021/86 af 22. januar 2021 om bemyndigelse af Republikken Litauen til at anvende en særlig foranstaltning, der fraviger artikel 287 i direktiv 2006/112/EF om det fælles merværdiafgiftssystem (EUT L 30 af 28.1.2021, s. 2).</w:t>
      </w:r>
    </w:p>
  </w:footnote>
  <w:footnote w:id="20">
    <w:p w14:paraId="4CDC98C0" w14:textId="77777777" w:rsidR="00C00A3E" w:rsidRPr="00411685" w:rsidRDefault="00C00A3E" w:rsidP="00174512">
      <w:pPr>
        <w:pStyle w:val="FootnoteText"/>
      </w:pPr>
      <w:r>
        <w:rPr>
          <w:rStyle w:val="FootnoteReference"/>
        </w:rPr>
        <w:footnoteRef/>
      </w:r>
      <w:r w:rsidRPr="00411685">
        <w:tab/>
        <w:t>Rådets gennemførelsesafgørelse (EU) 2020/1661 af 3. november 2020 om ændring af gennemførelsesafgørelse (EU) 2017/1768 om bemyndigelse af Republikken Kroatien til at indføre en særlig foranstaltning, der fraviger artikel 287 i direktiv 2006/112/EF om det fælles merværdiafgiftssystem (EUT L 374 af 10.11.2020, s. 4).</w:t>
      </w:r>
    </w:p>
  </w:footnote>
  <w:footnote w:id="21">
    <w:p w14:paraId="4CDC98C1" w14:textId="77777777" w:rsidR="00C00A3E" w:rsidRPr="00411685" w:rsidRDefault="00C00A3E" w:rsidP="00174512">
      <w:pPr>
        <w:pStyle w:val="FootnoteText"/>
      </w:pPr>
      <w:r>
        <w:rPr>
          <w:rStyle w:val="FootnoteReference"/>
        </w:rPr>
        <w:footnoteRef/>
      </w:r>
      <w:r w:rsidRPr="00411685">
        <w:tab/>
        <w:t>Rådets gennemførelsesafgørelse (EU) 2021/753 af 6. maj 2021 om tilladelse til Malta til at anvende en særlig foranstaltning, der fraviger artikel 287 i direktiv 2006/112/EF om det fælles merværdiafgiftssystem, og om ophævelse af gennemførelsesafgørelse (EU) 2018/279 (EUT L 163 af 10.5.2021, s. 1).</w:t>
      </w:r>
    </w:p>
  </w:footnote>
  <w:footnote w:id="22">
    <w:p w14:paraId="4CDC98C2" w14:textId="77777777" w:rsidR="00C00A3E" w:rsidRPr="00411685" w:rsidRDefault="00C00A3E" w:rsidP="00174512">
      <w:pPr>
        <w:pStyle w:val="FootnoteText"/>
      </w:pPr>
      <w:r>
        <w:rPr>
          <w:rStyle w:val="FootnoteReference"/>
        </w:rPr>
        <w:footnoteRef/>
      </w:r>
      <w:r w:rsidRPr="00411685">
        <w:tab/>
        <w:t>Rådets gennemførelsesafgørelse (EU) 2022/464 af 21. marts 2022 om ændring af gennemførelsesafgørelse 2013/54/EU for så vidt angår tilladelse til Republikken Slovenien til fortsat at anvende den særlige foranstaltning, der fraviger artikel 287 i direktiv 2006/112/EF om det fælles merværdiafgiftssystem (EUT L 94 af 23.3.2022, s. 4).</w:t>
      </w:r>
      <w:r w:rsidRPr="00411685">
        <w:tab/>
      </w:r>
    </w:p>
  </w:footnote>
  <w:footnote w:id="23">
    <w:p w14:paraId="4CDC98C3" w14:textId="77777777" w:rsidR="00C00A3E" w:rsidRPr="00411685" w:rsidRDefault="00C00A3E" w:rsidP="00174512">
      <w:pPr>
        <w:pStyle w:val="FootnoteText"/>
      </w:pPr>
      <w:r>
        <w:rPr>
          <w:rStyle w:val="FootnoteReference"/>
        </w:rPr>
        <w:footnoteRef/>
      </w:r>
      <w:r w:rsidRPr="00411685">
        <w:tab/>
        <w:t>Rådets gennemførelsesafgørelse (EU) 2022/865 af 24. maj 2022 om at give Den Tjekkiske Republik tilladelse til at indføre en særlig foranstaltning, der fraviger artikel 287 i direktiv 2006/112/EF om det fælles merværdiafgiftssystem (EUT L 151 af 2.6.2022, s. 66).</w:t>
      </w:r>
    </w:p>
  </w:footnote>
  <w:footnote w:id="24">
    <w:p w14:paraId="4CDC98C4" w14:textId="77777777" w:rsidR="00C00A3E" w:rsidRPr="00411685" w:rsidRDefault="00C00A3E" w:rsidP="00174512">
      <w:pPr>
        <w:pStyle w:val="FootnoteText"/>
      </w:pPr>
      <w:r>
        <w:rPr>
          <w:rStyle w:val="FootnoteReference"/>
        </w:rPr>
        <w:footnoteRef/>
      </w:r>
      <w:r w:rsidRPr="00411685">
        <w:tab/>
        <w:t>Rådets gennemførelsesafgørelse (EU) 2020/1260 af 4. september 2020 om ændring af gennemførelsesafgørelse (EU) 2017/1855 om bemyndigelse af Rumænien til at anvende en særlig foranstaltning, der fraviger artikel 287 i direktiv 2006/112/EF om det fælles merværdiafgiftssystem (EUT L 296 af 10.9.2020, s. 1).</w:t>
      </w:r>
    </w:p>
  </w:footnote>
  <w:footnote w:id="25">
    <w:p w14:paraId="4CDC98C5" w14:textId="77777777" w:rsidR="00C00A3E" w:rsidRPr="00411685" w:rsidRDefault="00C00A3E" w:rsidP="00166D69">
      <w:pPr>
        <w:pStyle w:val="FootnoteText"/>
      </w:pPr>
      <w:r>
        <w:rPr>
          <w:rStyle w:val="FootnoteReference"/>
        </w:rPr>
        <w:footnoteRef/>
      </w:r>
      <w:r w:rsidRPr="00411685">
        <w:tab/>
        <w:t>Meddelelse fra Kommissionen til Europa-Parlamentet, Rådet, Det Europæiske Økonomiske og Sociale Udvalg og Regionsudvalget — En SMV-strategi for et bæredygtigt og digitalt Europa (COM(2020) 103 final).</w:t>
      </w:r>
      <w:r w:rsidRPr="00411685">
        <w:tab/>
      </w:r>
    </w:p>
  </w:footnote>
  <w:footnote w:id="26">
    <w:p w14:paraId="4CDC98C6" w14:textId="77777777" w:rsidR="00C00A3E" w:rsidRPr="00411685" w:rsidRDefault="00C00A3E" w:rsidP="00166D69">
      <w:pPr>
        <w:pStyle w:val="FootnoteText"/>
      </w:pPr>
      <w:r>
        <w:rPr>
          <w:rStyle w:val="FootnoteReference"/>
        </w:rPr>
        <w:footnoteRef/>
      </w:r>
      <w:r w:rsidRPr="00411685">
        <w:tab/>
        <w:t>Meddelelse fra Kommissionen til Europa-Parlamentet og Rådet — En handlingsplan for en retfærdig og enkel beskatning til støtte for genopretningsstrategien (COM(2020) 312 final).</w:t>
      </w:r>
      <w:r w:rsidRPr="00411685">
        <w:tab/>
      </w:r>
    </w:p>
  </w:footnote>
  <w:footnote w:id="27">
    <w:p w14:paraId="4CDC98C7" w14:textId="77777777" w:rsidR="00C00A3E" w:rsidRPr="00411685" w:rsidRDefault="00C00A3E" w:rsidP="00BA2A9A">
      <w:pPr>
        <w:pStyle w:val="FootnoteText"/>
      </w:pPr>
      <w:r>
        <w:rPr>
          <w:rStyle w:val="FootnoteReference"/>
        </w:rPr>
        <w:footnoteRef/>
      </w:r>
      <w:r w:rsidRPr="00411685">
        <w:tab/>
        <w:t>Rådets forordning (EU, Euratom) 2021/769 af 30. april 2021 om ændring af forordning (EØF, Euratom) nr. 1553/89 om den endelige ordning for ensartet opkrævning af egne indtægter hidrørende fra merværdiafgiften (EUT L 165 af 11.5.2021, s. 9).</w:t>
      </w:r>
      <w:r w:rsidRPr="00411685">
        <w:tab/>
      </w:r>
    </w:p>
  </w:footnote>
  <w:footnote w:id="28">
    <w:p w14:paraId="4CDC98C8" w14:textId="77777777" w:rsidR="00C00A3E" w:rsidRPr="00411685" w:rsidRDefault="00C00A3E" w:rsidP="00472712">
      <w:pPr>
        <w:pStyle w:val="FootnoteText"/>
      </w:pPr>
      <w:r>
        <w:rPr>
          <w:rStyle w:val="FootnoteReference"/>
        </w:rPr>
        <w:footnoteRef/>
      </w:r>
      <w:r w:rsidRPr="00411685">
        <w:tab/>
        <w:t>EUT L 347 af 11.12.2006, s. 1.</w:t>
      </w:r>
    </w:p>
  </w:footnote>
  <w:footnote w:id="29">
    <w:p w14:paraId="4CDC98CA" w14:textId="77777777" w:rsidR="00C00A3E" w:rsidRPr="00411685" w:rsidRDefault="00C00A3E" w:rsidP="002276A2">
      <w:pPr>
        <w:pStyle w:val="FootnoteText"/>
      </w:pPr>
      <w:r>
        <w:rPr>
          <w:rStyle w:val="FootnoteReference"/>
        </w:rPr>
        <w:footnoteRef/>
      </w:r>
      <w:r w:rsidRPr="00411685">
        <w:tab/>
        <w:t>Rådets gennemførelsesafgørelse (EU) 2020/647 af 11. maj 2020 om tilladelse til Den Italienske Republik til at anvende en særlig foranstaltning, der fraviger artikel 285 i direktiv 2006/112/EF om det fælles merværdiafgiftssystem (EUT L 151 af 14.5.2020, s. 7).</w:t>
      </w:r>
    </w:p>
  </w:footnote>
  <w:footnote w:id="30">
    <w:p w14:paraId="5AE2311A" w14:textId="5BACA800" w:rsidR="00C00A3E" w:rsidRPr="00411685" w:rsidRDefault="00C00A3E">
      <w:pPr>
        <w:pStyle w:val="FootnoteText"/>
      </w:pPr>
      <w:r>
        <w:rPr>
          <w:rStyle w:val="FootnoteReference"/>
        </w:rPr>
        <w:footnoteRef/>
      </w:r>
      <w:r w:rsidRPr="00411685">
        <w:tab/>
        <w:t>Rådets direktiv (EU) 2020/285 af 18. februar 2020 om ændring af direktiv 2006/112/EF om det fælles merværdiafgiftssystem for så vidt angår særordningen for små virksomheder og forordning (EU) nr. 904/2010 for så vidt angår administrativt samarbejde og udveksling af oplysninger med henblik på at overvåge, om særordningen for små virksomheder anvendes korrekt (EUT L 62 af 2.3.2020, s. 13).</w:t>
      </w:r>
    </w:p>
  </w:footnote>
  <w:footnote w:id="31">
    <w:p w14:paraId="4CDC98CB" w14:textId="77777777" w:rsidR="00C00A3E" w:rsidRPr="00411685" w:rsidRDefault="00C00A3E" w:rsidP="00472712">
      <w:pPr>
        <w:pStyle w:val="FootnoteText"/>
      </w:pPr>
      <w:r>
        <w:rPr>
          <w:rStyle w:val="FootnoteReference"/>
        </w:rPr>
        <w:footnoteRef/>
      </w:r>
      <w:r w:rsidRPr="00411685">
        <w:tab/>
        <w:t>Rådets forordning (EU, Euratom) 2021/769 af 30. april 2021 om ændring af forordning (EØF, Euratom) nr. 1553/89 om den endelige ordning for ensartet opkrævning af egne indtægter hidrørende fra merværdiafgiften (EUT L 165 af 11.5.2021, s.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45633F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B6254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5A4ABE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4CE7C5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301C0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CB2017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C1EBBE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2-13 09:38: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4CC34DF-1950-4104-81A8-C566F60C948C"/>
    <w:docVar w:name="LW_COVERPAGE_TYPE" w:val="1"/>
    <w:docVar w:name="LW_CROSSREFERENCE" w:val="&lt;UNUSED&gt;"/>
    <w:docVar w:name="LW_DocType" w:val="COM"/>
    <w:docVar w:name="LW_EMISSION" w:val="20.2.2023"/>
    <w:docVar w:name="LW_EMISSION_ISODATE" w:val="2023-02-20"/>
    <w:docVar w:name="LW_EMISSION_LOCATION" w:val="BRX"/>
    <w:docVar w:name="LW_EMISSION_PREFIX" w:val="Bruxelles, den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NLE"/>
    <w:docVar w:name="LW_REF.II.NEW.CP_NUMBER" w:val="0040"/>
    <w:docVar w:name="LW_REF.II.NEW.CP_YEAR" w:val="2023"/>
    <w:docVar w:name="LW_REF.INST.NEW" w:val="COM"/>
    <w:docVar w:name="LW_REF.INST.NEW_ADOPTED" w:val="final"/>
    <w:docVar w:name="LW_REF.INST.NEW_TEXT" w:val="(2023) 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at give Den Italienske Republik tilladelse til at anvende en særlig foranstaltning, der fraviger artikel 285 i direktiv 2006/112/EF om det fælles merværdiafgiftssystem og om ophævelse af gennemførelsesafgørelse (EU) 2020/647"/>
    <w:docVar w:name="LW_TYPE.DOC.CP" w:val="RÅDETS GENNEMFØRELSESAFGØRELSE"/>
    <w:docVar w:name="LwApiVersions" w:val="LW4CoDe 1.23.2.0; LW 8.0, Build 20211117"/>
  </w:docVars>
  <w:rsids>
    <w:rsidRoot w:val="00985C4E"/>
    <w:rsid w:val="00001D51"/>
    <w:rsid w:val="00004F82"/>
    <w:rsid w:val="00005A20"/>
    <w:rsid w:val="00014B39"/>
    <w:rsid w:val="00025748"/>
    <w:rsid w:val="00027A9F"/>
    <w:rsid w:val="0003117F"/>
    <w:rsid w:val="000B4665"/>
    <w:rsid w:val="000E20F3"/>
    <w:rsid w:val="000E5BCF"/>
    <w:rsid w:val="000F36F6"/>
    <w:rsid w:val="001065F5"/>
    <w:rsid w:val="001147B4"/>
    <w:rsid w:val="001238EF"/>
    <w:rsid w:val="0013759B"/>
    <w:rsid w:val="00166D69"/>
    <w:rsid w:val="00174512"/>
    <w:rsid w:val="00174620"/>
    <w:rsid w:val="00191DDF"/>
    <w:rsid w:val="001921CC"/>
    <w:rsid w:val="00196A8C"/>
    <w:rsid w:val="00197613"/>
    <w:rsid w:val="001A39F8"/>
    <w:rsid w:val="001C0D5D"/>
    <w:rsid w:val="001E2108"/>
    <w:rsid w:val="00201182"/>
    <w:rsid w:val="002276A2"/>
    <w:rsid w:val="00233C52"/>
    <w:rsid w:val="00233DC7"/>
    <w:rsid w:val="00245866"/>
    <w:rsid w:val="00247779"/>
    <w:rsid w:val="00285BEE"/>
    <w:rsid w:val="0029533F"/>
    <w:rsid w:val="002958F9"/>
    <w:rsid w:val="00295AF1"/>
    <w:rsid w:val="002A5D9D"/>
    <w:rsid w:val="002B00AD"/>
    <w:rsid w:val="002B30AF"/>
    <w:rsid w:val="002D38A0"/>
    <w:rsid w:val="002D4BA0"/>
    <w:rsid w:val="002F65A8"/>
    <w:rsid w:val="00324D2B"/>
    <w:rsid w:val="00332CEF"/>
    <w:rsid w:val="0033344A"/>
    <w:rsid w:val="003477A5"/>
    <w:rsid w:val="00370AD1"/>
    <w:rsid w:val="00390230"/>
    <w:rsid w:val="003B045F"/>
    <w:rsid w:val="003D68D5"/>
    <w:rsid w:val="003E1C73"/>
    <w:rsid w:val="00411685"/>
    <w:rsid w:val="0042648E"/>
    <w:rsid w:val="00427776"/>
    <w:rsid w:val="00445C1D"/>
    <w:rsid w:val="00445F0E"/>
    <w:rsid w:val="00471CED"/>
    <w:rsid w:val="00472712"/>
    <w:rsid w:val="00475C17"/>
    <w:rsid w:val="00487E7E"/>
    <w:rsid w:val="004936D2"/>
    <w:rsid w:val="004C00C1"/>
    <w:rsid w:val="004C5A2C"/>
    <w:rsid w:val="004C5BC9"/>
    <w:rsid w:val="004D0DDA"/>
    <w:rsid w:val="0050156F"/>
    <w:rsid w:val="005166A3"/>
    <w:rsid w:val="00524A06"/>
    <w:rsid w:val="00532F30"/>
    <w:rsid w:val="00545F5A"/>
    <w:rsid w:val="0055201F"/>
    <w:rsid w:val="005572C9"/>
    <w:rsid w:val="005726DD"/>
    <w:rsid w:val="005755F9"/>
    <w:rsid w:val="005902AF"/>
    <w:rsid w:val="005904FF"/>
    <w:rsid w:val="005A48A9"/>
    <w:rsid w:val="005A599F"/>
    <w:rsid w:val="005B1EB6"/>
    <w:rsid w:val="005C4211"/>
    <w:rsid w:val="005C44E9"/>
    <w:rsid w:val="006049EB"/>
    <w:rsid w:val="006349D2"/>
    <w:rsid w:val="00645F0F"/>
    <w:rsid w:val="00666B02"/>
    <w:rsid w:val="00670CF0"/>
    <w:rsid w:val="00675BE9"/>
    <w:rsid w:val="006814BB"/>
    <w:rsid w:val="006D46D3"/>
    <w:rsid w:val="00725D7D"/>
    <w:rsid w:val="007264CF"/>
    <w:rsid w:val="00773331"/>
    <w:rsid w:val="00774555"/>
    <w:rsid w:val="007932EF"/>
    <w:rsid w:val="007944C1"/>
    <w:rsid w:val="0079760B"/>
    <w:rsid w:val="007E05B0"/>
    <w:rsid w:val="00803D23"/>
    <w:rsid w:val="00820BBC"/>
    <w:rsid w:val="00820F56"/>
    <w:rsid w:val="00821C9D"/>
    <w:rsid w:val="008276F6"/>
    <w:rsid w:val="0083737A"/>
    <w:rsid w:val="00874D22"/>
    <w:rsid w:val="00892621"/>
    <w:rsid w:val="008928A6"/>
    <w:rsid w:val="008A2914"/>
    <w:rsid w:val="008B34D0"/>
    <w:rsid w:val="008E15C8"/>
    <w:rsid w:val="008E4849"/>
    <w:rsid w:val="008E4D8E"/>
    <w:rsid w:val="008F2CD3"/>
    <w:rsid w:val="008F5D09"/>
    <w:rsid w:val="0091140C"/>
    <w:rsid w:val="009532C0"/>
    <w:rsid w:val="009547DE"/>
    <w:rsid w:val="00985C4E"/>
    <w:rsid w:val="00995635"/>
    <w:rsid w:val="009A712D"/>
    <w:rsid w:val="009B7DCA"/>
    <w:rsid w:val="009C4634"/>
    <w:rsid w:val="009E19B7"/>
    <w:rsid w:val="009F24D3"/>
    <w:rsid w:val="009F6CFE"/>
    <w:rsid w:val="00A00016"/>
    <w:rsid w:val="00A05CB2"/>
    <w:rsid w:val="00A36181"/>
    <w:rsid w:val="00A50BEF"/>
    <w:rsid w:val="00A75A85"/>
    <w:rsid w:val="00A96F0E"/>
    <w:rsid w:val="00AC1221"/>
    <w:rsid w:val="00AC135C"/>
    <w:rsid w:val="00AE1140"/>
    <w:rsid w:val="00AF6D29"/>
    <w:rsid w:val="00AF6F21"/>
    <w:rsid w:val="00B01368"/>
    <w:rsid w:val="00B07972"/>
    <w:rsid w:val="00B24B44"/>
    <w:rsid w:val="00B8357C"/>
    <w:rsid w:val="00B95E7B"/>
    <w:rsid w:val="00B96923"/>
    <w:rsid w:val="00BA2A9A"/>
    <w:rsid w:val="00BE070E"/>
    <w:rsid w:val="00BF674D"/>
    <w:rsid w:val="00C00A3E"/>
    <w:rsid w:val="00C07BFD"/>
    <w:rsid w:val="00C12301"/>
    <w:rsid w:val="00C45A4A"/>
    <w:rsid w:val="00C81ED1"/>
    <w:rsid w:val="00C820E0"/>
    <w:rsid w:val="00C900BE"/>
    <w:rsid w:val="00CB59DB"/>
    <w:rsid w:val="00CC6CE7"/>
    <w:rsid w:val="00CD4B62"/>
    <w:rsid w:val="00CF15C1"/>
    <w:rsid w:val="00CF191B"/>
    <w:rsid w:val="00CF4D9A"/>
    <w:rsid w:val="00D05799"/>
    <w:rsid w:val="00D20381"/>
    <w:rsid w:val="00D446DC"/>
    <w:rsid w:val="00D9299B"/>
    <w:rsid w:val="00DF7960"/>
    <w:rsid w:val="00E15077"/>
    <w:rsid w:val="00E20ACF"/>
    <w:rsid w:val="00E2133C"/>
    <w:rsid w:val="00E30320"/>
    <w:rsid w:val="00E30D72"/>
    <w:rsid w:val="00E44674"/>
    <w:rsid w:val="00E612EC"/>
    <w:rsid w:val="00EA262D"/>
    <w:rsid w:val="00EB4262"/>
    <w:rsid w:val="00EB777A"/>
    <w:rsid w:val="00EC4EAC"/>
    <w:rsid w:val="00ED29D1"/>
    <w:rsid w:val="00ED4DD0"/>
    <w:rsid w:val="00F14CF1"/>
    <w:rsid w:val="00F17C2C"/>
    <w:rsid w:val="00F326BC"/>
    <w:rsid w:val="00F44F71"/>
    <w:rsid w:val="00F52EAE"/>
    <w:rsid w:val="00F84A40"/>
    <w:rsid w:val="00F871E3"/>
    <w:rsid w:val="00F95335"/>
    <w:rsid w:val="00FB4D42"/>
    <w:rsid w:val="00FC38F8"/>
    <w:rsid w:val="00FD1D71"/>
    <w:rsid w:val="00FF6F6D"/>
    <w:rsid w:val="00FF7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CDC9846"/>
  <w15:docId w15:val="{945CBC02-0F39-4544-B8BD-5A46BB91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985C4E"/>
    <w:pPr>
      <w:numPr>
        <w:numId w:val="1"/>
      </w:numPr>
    </w:pPr>
    <w:rPr>
      <w:rFonts w:eastAsia="Times New Roman"/>
      <w:lang w:eastAsia="en-GB"/>
    </w:rPr>
  </w:style>
  <w:style w:type="paragraph" w:styleId="ListBullet2">
    <w:name w:val="List Bullet 2"/>
    <w:basedOn w:val="Normal"/>
    <w:uiPriority w:val="99"/>
    <w:semiHidden/>
    <w:unhideWhenUsed/>
    <w:rsid w:val="00F52EAE"/>
    <w:pPr>
      <w:numPr>
        <w:numId w:val="2"/>
      </w:numPr>
      <w:contextualSpacing/>
    </w:pPr>
  </w:style>
  <w:style w:type="paragraph" w:styleId="ListBullet3">
    <w:name w:val="List Bullet 3"/>
    <w:basedOn w:val="Normal"/>
    <w:uiPriority w:val="99"/>
    <w:semiHidden/>
    <w:unhideWhenUsed/>
    <w:rsid w:val="00F52EAE"/>
    <w:pPr>
      <w:numPr>
        <w:numId w:val="3"/>
      </w:numPr>
      <w:contextualSpacing/>
    </w:pPr>
  </w:style>
  <w:style w:type="paragraph" w:styleId="ListBullet4">
    <w:name w:val="List Bullet 4"/>
    <w:basedOn w:val="Normal"/>
    <w:uiPriority w:val="99"/>
    <w:semiHidden/>
    <w:unhideWhenUsed/>
    <w:rsid w:val="00F52EAE"/>
    <w:pPr>
      <w:numPr>
        <w:numId w:val="4"/>
      </w:numPr>
      <w:contextualSpacing/>
    </w:pPr>
  </w:style>
  <w:style w:type="character" w:styleId="CommentReference">
    <w:name w:val="annotation reference"/>
    <w:basedOn w:val="DefaultParagraphFont"/>
    <w:uiPriority w:val="99"/>
    <w:semiHidden/>
    <w:unhideWhenUsed/>
    <w:rsid w:val="003E1C73"/>
    <w:rPr>
      <w:sz w:val="16"/>
      <w:szCs w:val="16"/>
    </w:rPr>
  </w:style>
  <w:style w:type="paragraph" w:styleId="CommentText">
    <w:name w:val="annotation text"/>
    <w:basedOn w:val="Normal"/>
    <w:link w:val="CommentTextChar"/>
    <w:uiPriority w:val="99"/>
    <w:semiHidden/>
    <w:unhideWhenUsed/>
    <w:rsid w:val="003E1C73"/>
    <w:rPr>
      <w:sz w:val="20"/>
      <w:szCs w:val="20"/>
    </w:rPr>
  </w:style>
  <w:style w:type="character" w:customStyle="1" w:styleId="CommentTextChar">
    <w:name w:val="Comment Text Char"/>
    <w:basedOn w:val="DefaultParagraphFont"/>
    <w:link w:val="CommentText"/>
    <w:uiPriority w:val="99"/>
    <w:semiHidden/>
    <w:rsid w:val="003E1C73"/>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sid w:val="003E1C73"/>
    <w:rPr>
      <w:b/>
      <w:bCs/>
    </w:rPr>
  </w:style>
  <w:style w:type="character" w:customStyle="1" w:styleId="CommentSubjectChar">
    <w:name w:val="Comment Subject Char"/>
    <w:basedOn w:val="CommentTextChar"/>
    <w:link w:val="CommentSubject"/>
    <w:uiPriority w:val="99"/>
    <w:semiHidden/>
    <w:rsid w:val="003E1C73"/>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rsid w:val="003E1C7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C73"/>
    <w:rPr>
      <w:rFonts w:ascii="Segoe UI" w:hAnsi="Segoe UI" w:cs="Segoe UI"/>
      <w:sz w:val="18"/>
      <w:szCs w:val="18"/>
      <w:lang w:val="da-DK"/>
    </w:rPr>
  </w:style>
  <w:style w:type="paragraph" w:styleId="Revision">
    <w:name w:val="Revision"/>
    <w:hidden/>
    <w:uiPriority w:val="99"/>
    <w:semiHidden/>
    <w:rsid w:val="005C4211"/>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5C44E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5C44E9"/>
    <w:pPr>
      <w:spacing w:after="0"/>
    </w:pPr>
  </w:style>
  <w:style w:type="paragraph" w:styleId="ListNumber">
    <w:name w:val="List Number"/>
    <w:basedOn w:val="Normal"/>
    <w:uiPriority w:val="99"/>
    <w:semiHidden/>
    <w:unhideWhenUsed/>
    <w:rsid w:val="005C44E9"/>
    <w:pPr>
      <w:numPr>
        <w:numId w:val="5"/>
      </w:numPr>
      <w:contextualSpacing/>
    </w:pPr>
  </w:style>
  <w:style w:type="paragraph" w:styleId="ListNumber2">
    <w:name w:val="List Number 2"/>
    <w:basedOn w:val="Normal"/>
    <w:uiPriority w:val="99"/>
    <w:semiHidden/>
    <w:unhideWhenUsed/>
    <w:rsid w:val="005C44E9"/>
    <w:pPr>
      <w:numPr>
        <w:numId w:val="6"/>
      </w:numPr>
      <w:contextualSpacing/>
    </w:pPr>
  </w:style>
  <w:style w:type="paragraph" w:styleId="ListNumber3">
    <w:name w:val="List Number 3"/>
    <w:basedOn w:val="Normal"/>
    <w:uiPriority w:val="99"/>
    <w:semiHidden/>
    <w:unhideWhenUsed/>
    <w:rsid w:val="005C44E9"/>
    <w:pPr>
      <w:numPr>
        <w:numId w:val="7"/>
      </w:numPr>
      <w:contextualSpacing/>
    </w:pPr>
  </w:style>
  <w:style w:type="paragraph" w:styleId="ListNumber4">
    <w:name w:val="List Number 4"/>
    <w:basedOn w:val="Normal"/>
    <w:uiPriority w:val="99"/>
    <w:semiHidden/>
    <w:unhideWhenUsed/>
    <w:rsid w:val="005C44E9"/>
    <w:pPr>
      <w:numPr>
        <w:numId w:val="8"/>
      </w:numPr>
      <w:contextualSpacing/>
    </w:pPr>
  </w:style>
  <w:style w:type="character" w:styleId="Hyperlink">
    <w:name w:val="Hyperlink"/>
    <w:basedOn w:val="DefaultParagraphFont"/>
    <w:uiPriority w:val="99"/>
    <w:unhideWhenUsed/>
    <w:rsid w:val="00B24B44"/>
    <w:rPr>
      <w:color w:val="0000FF" w:themeColor="hyperlink"/>
      <w:u w:val="single"/>
    </w:rPr>
  </w:style>
  <w:style w:type="paragraph" w:styleId="Header">
    <w:name w:val="header"/>
    <w:basedOn w:val="Normal"/>
    <w:link w:val="HeaderChar"/>
    <w:uiPriority w:val="99"/>
    <w:unhideWhenUsed/>
    <w:rsid w:val="00CD4B62"/>
    <w:pPr>
      <w:tabs>
        <w:tab w:val="center" w:pos="4535"/>
        <w:tab w:val="right" w:pos="9071"/>
      </w:tabs>
      <w:spacing w:before="0"/>
    </w:pPr>
  </w:style>
  <w:style w:type="character" w:customStyle="1" w:styleId="HeaderChar">
    <w:name w:val="Header Char"/>
    <w:basedOn w:val="DefaultParagraphFont"/>
    <w:link w:val="Header"/>
    <w:uiPriority w:val="99"/>
    <w:rsid w:val="00CD4B62"/>
    <w:rPr>
      <w:rFonts w:ascii="Times New Roman" w:hAnsi="Times New Roman" w:cs="Times New Roman"/>
      <w:sz w:val="24"/>
      <w:lang w:val="da-DK"/>
    </w:rPr>
  </w:style>
  <w:style w:type="paragraph" w:styleId="Footer">
    <w:name w:val="footer"/>
    <w:basedOn w:val="Normal"/>
    <w:link w:val="FooterChar"/>
    <w:uiPriority w:val="99"/>
    <w:unhideWhenUsed/>
    <w:rsid w:val="00CD4B6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D4B62"/>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CD4B62"/>
    <w:pPr>
      <w:tabs>
        <w:tab w:val="center" w:pos="7285"/>
        <w:tab w:val="right" w:pos="14003"/>
      </w:tabs>
      <w:spacing w:before="0"/>
    </w:pPr>
  </w:style>
  <w:style w:type="paragraph" w:customStyle="1" w:styleId="FooterLandscape">
    <w:name w:val="FooterLandscape"/>
    <w:basedOn w:val="Normal"/>
    <w:rsid w:val="00CD4B6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D4B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D4B62"/>
    <w:pPr>
      <w:spacing w:before="0"/>
      <w:jc w:val="right"/>
    </w:pPr>
    <w:rPr>
      <w:sz w:val="28"/>
    </w:rPr>
  </w:style>
  <w:style w:type="paragraph" w:customStyle="1" w:styleId="FooterSensitivity">
    <w:name w:val="Footer Sensitivity"/>
    <w:basedOn w:val="Normal"/>
    <w:rsid w:val="00CD4B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295AF1"/>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33285A78CCB54F4DA2ECE5FA2B2AF218" ma:contentTypeVersion="2" ma:contentTypeDescription="Create a new document in this library." ma:contentTypeScope="" ma:versionID="fdbef3ee50b1532340ce198a39db8051">
  <xsd:schema xmlns:xsd="http://www.w3.org/2001/XMLSchema" xmlns:xs="http://www.w3.org/2001/XMLSchema" xmlns:p="http://schemas.microsoft.com/office/2006/metadata/properties" xmlns:ns2="http://schemas.microsoft.com/sharepoint/v3/fields" xmlns:ns3="39d607b5-3019-4139-86e9-2e131faaffa8" xmlns:ns4="379e0a09-5deb-44c7-a703-b352a170740d" targetNamespace="http://schemas.microsoft.com/office/2006/metadata/properties" ma:root="true" ma:fieldsID="9995e571ff646e7c305483716c723bce" ns2:_="" ns3:_="" ns4:_="">
    <xsd:import namespace="http://schemas.microsoft.com/sharepoint/v3/fields"/>
    <xsd:import namespace="39d607b5-3019-4139-86e9-2e131faaffa8"/>
    <xsd:import namespace="379e0a09-5deb-44c7-a703-b352a170740d"/>
    <xsd:element name="properties">
      <xsd:complexType>
        <xsd:sequence>
          <xsd:element name="documentManagement">
            <xsd:complexType>
              <xsd:all>
                <xsd:element ref="ns3:EC_Collab_Reference" minOccurs="0"/>
                <xsd:element ref="ns2:_Status" minOccurs="0"/>
                <xsd:element ref="ns3:EC_Collab_DocumentLanguage"/>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9d607b5-3019-4139-86e9-2e131faaff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379e0a09-5deb-44c7-a703-b352a17074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39d607b5-3019-4139-86e9-2e131faaffa8">EN</EC_Collab_DocumentLanguage>
    <_Status xmlns="http://schemas.microsoft.com/sharepoint/v3/fields">Not Started</_Status>
    <EC_Collab_Reference xmlns="39d607b5-3019-4139-86e9-2e131faaffa8">-</EC_Collab_Referenc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FF6DC-74EE-4D2A-A931-6566A989F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9d607b5-3019-4139-86e9-2e131faaffa8"/>
    <ds:schemaRef ds:uri="379e0a09-5deb-44c7-a703-b352a1707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4CA17-1763-47FF-97CE-A1ECDD219517}">
  <ds:schemaRef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schemas.microsoft.com/sharepoint/v3/fields"/>
    <ds:schemaRef ds:uri="379e0a09-5deb-44c7-a703-b352a170740d"/>
    <ds:schemaRef ds:uri="39d607b5-3019-4139-86e9-2e131faaffa8"/>
    <ds:schemaRef ds:uri="http://purl.org/dc/dcmitype/"/>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E59433CF-F9B5-4510-969B-26265918AE64}">
  <ds:schemaRefs>
    <ds:schemaRef ds:uri="http://schemas.microsoft.com/sharepoint/v3/contenttype/forms"/>
  </ds:schemaRefs>
</ds:datastoreItem>
</file>

<file path=customXml/itemProps4.xml><?xml version="1.0" encoding="utf-8"?>
<ds:datastoreItem xmlns:ds="http://schemas.openxmlformats.org/officeDocument/2006/customXml" ds:itemID="{F9F58E02-6E56-4CF0-8362-D22A4A44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10</Pages>
  <Words>2262</Words>
  <Characters>13756</Characters>
  <Application>Microsoft Office Word</Application>
  <DocSecurity>0</DocSecurity>
  <Lines>229</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
  <cp:revision>63</cp:revision>
  <dcterms:created xsi:type="dcterms:W3CDTF">2023-01-20T13:07:00Z</dcterms:created>
  <dcterms:modified xsi:type="dcterms:W3CDTF">2023-02-13T08:38:00Z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20230124</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2022-12-19T11:37:50Z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abf0e66e-67ca-42b4-8168-5ff157be71c3</vt:lpwstr>
  </property>
  <property fmtid="{D5CDD505-2E9C-101B-9397-08002B2CF9AE}" pid="16" name="MSIP_Label_6bd9ddd1-4d20-43f6-abfa-fc3c07406f94_ContentBits">
    <vt:lpwstr>0</vt:lpwstr>
  </property>
  <property fmtid="{D5CDD505-2E9C-101B-9397-08002B2CF9AE}" pid="17" name="ContentTypeId">
    <vt:lpwstr>0x010100258AA79CEB83498886A3A086811232500033285A78CCB54F4DA2ECE5FA2B2AF218</vt:lpwstr>
  </property>
  <property fmtid="{D5CDD505-2E9C-101B-9397-08002B2CF9AE}" pid="18" name="_CopySource">
    <vt:lpwstr>9738796-PIV Final Draft Council Implementing Decision.docx</vt:lpwstr>
  </property>
  <property fmtid="{D5CDD505-2E9C-101B-9397-08002B2CF9AE}" pid="19" name="DQCStatus">
    <vt:lpwstr>Green (DQC version 03)</vt:lpwstr>
  </property>
  <property name="OP_sanitized" fmtid="{D5CDD505-2E9C-101B-9397-08002B2CF9AE}" pid="20">
    <vt:lpwstr>True</vt:lpwstr>
  </property>
</Properties>
</file>