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intelligence2.xml" ContentType="application/vnd.ms-office.intelligence2+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73010" w14:textId="649B7A61" w:rsidR="006C0CE7" w:rsidRPr="002E44D1" w:rsidRDefault="00614D6E" w:rsidP="00614D6E">
      <w:pPr>
        <w:pStyle w:val="Pagedecouverture"/>
        <w:rPr>
          <w:noProof/>
        </w:rPr>
      </w:pPr>
      <w:bookmarkStart w:id="0" w:name="LW_BM_COVERPAGE"/>
      <w:r>
        <w:rPr>
          <w:noProof/>
        </w:rPr>
        <w:pict w14:anchorId="108D4C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D0AB3C2A-FCFD-4417-8341-92892525B314" style="width:455.25pt;height:378.75pt">
            <v:imagedata r:id="rId11" o:title=""/>
          </v:shape>
        </w:pict>
      </w:r>
    </w:p>
    <w:bookmarkEnd w:id="0"/>
    <w:p w14:paraId="4E07E4F0" w14:textId="77777777" w:rsidR="00B454A5" w:rsidRPr="002E44D1" w:rsidRDefault="00B454A5" w:rsidP="00B454A5">
      <w:pPr>
        <w:rPr>
          <w:noProof/>
        </w:rPr>
        <w:sectPr w:rsidR="00B454A5" w:rsidRPr="002E44D1" w:rsidSect="00614D6E">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20A222D6" w14:textId="191C3969" w:rsidR="00F82D4E" w:rsidRPr="002E44D1" w:rsidRDefault="1CBBE0D0" w:rsidP="00372A2C">
      <w:pPr>
        <w:pStyle w:val="Heading1"/>
        <w:jc w:val="both"/>
        <w:rPr>
          <w:rFonts w:ascii="Times New Roman" w:hAnsi="Times New Roman" w:cs="Times New Roman"/>
          <w:noProof/>
          <w:sz w:val="32"/>
          <w:szCs w:val="32"/>
        </w:rPr>
      </w:pPr>
      <w:bookmarkStart w:id="1" w:name="_GoBack"/>
      <w:bookmarkEnd w:id="1"/>
      <w:r w:rsidRPr="002E44D1">
        <w:rPr>
          <w:rFonts w:ascii="Times New Roman" w:hAnsi="Times New Roman"/>
          <w:noProof/>
          <w:sz w:val="32"/>
        </w:rPr>
        <w:lastRenderedPageBreak/>
        <w:t>EMISSIONSTENDENSER,</w:t>
      </w:r>
      <w:r w:rsidR="00372A2C">
        <w:rPr>
          <w:rFonts w:ascii="Times New Roman" w:hAnsi="Times New Roman"/>
          <w:noProof/>
          <w:sz w:val="32"/>
        </w:rPr>
        <w:t> </w:t>
      </w:r>
      <w:r w:rsidRPr="002E44D1">
        <w:rPr>
          <w:rFonts w:ascii="Times New Roman" w:hAnsi="Times New Roman"/>
          <w:noProof/>
          <w:sz w:val="32"/>
        </w:rPr>
        <w:t xml:space="preserve">-POLITIKKER OG </w:t>
      </w:r>
      <w:r w:rsidR="00695543" w:rsidRPr="002E44D1">
        <w:rPr>
          <w:rFonts w:ascii="Times New Roman" w:hAnsi="Times New Roman"/>
          <w:noProof/>
          <w:sz w:val="32"/>
        </w:rPr>
        <w:noBreakHyphen/>
      </w:r>
      <w:r w:rsidRPr="002E44D1">
        <w:rPr>
          <w:rFonts w:ascii="Times New Roman" w:hAnsi="Times New Roman"/>
          <w:noProof/>
          <w:sz w:val="32"/>
        </w:rPr>
        <w:t>RESULTATER</w:t>
      </w:r>
    </w:p>
    <w:p w14:paraId="44B9A6A2" w14:textId="77777777" w:rsidR="00F82D4E" w:rsidRPr="002E44D1" w:rsidRDefault="00F82D4E" w:rsidP="00F82D4E">
      <w:pPr>
        <w:jc w:val="both"/>
        <w:rPr>
          <w:rStyle w:val="SubtleEmphasis"/>
          <w:rFonts w:ascii="Times New Roman" w:hAnsi="Times New Roman" w:cs="Times New Roman"/>
          <w:noProof/>
        </w:rPr>
      </w:pPr>
    </w:p>
    <w:p w14:paraId="5784C731" w14:textId="51C93B54" w:rsidR="00F82D4E" w:rsidRPr="002E44D1" w:rsidRDefault="7CC8E104" w:rsidP="00B454A5">
      <w:pPr>
        <w:pStyle w:val="Heading2"/>
        <w:rPr>
          <w:rFonts w:ascii="Times New Roman" w:hAnsi="Times New Roman" w:cs="Times New Roman"/>
          <w:noProof/>
        </w:rPr>
      </w:pPr>
      <w:r w:rsidRPr="002E44D1">
        <w:rPr>
          <w:rFonts w:ascii="Times New Roman" w:hAnsi="Times New Roman"/>
          <w:noProof/>
        </w:rPr>
        <w:t xml:space="preserve">Drivhusgasemissioner og EU's internationale forpligtelser </w:t>
      </w:r>
    </w:p>
    <w:p w14:paraId="22488C6E" w14:textId="623CA3E4" w:rsidR="00ED56A2" w:rsidRPr="002E44D1" w:rsidRDefault="00ED56A2" w:rsidP="00ED56A2">
      <w:pPr>
        <w:jc w:val="both"/>
        <w:rPr>
          <w:rFonts w:ascii="Times New Roman" w:hAnsi="Times New Roman" w:cs="Times New Roman"/>
          <w:noProof/>
        </w:rPr>
      </w:pPr>
      <w:r w:rsidRPr="002E44D1">
        <w:rPr>
          <w:rFonts w:ascii="Times New Roman" w:hAnsi="Times New Roman"/>
          <w:noProof/>
        </w:rPr>
        <w:t>De seneste rapporter fra Det Mellemstatslige Panel om Klimaændringer (IPCC) bekræfter</w:t>
      </w:r>
      <w:r w:rsidRPr="002E44D1">
        <w:rPr>
          <w:rFonts w:ascii="Times New Roman" w:hAnsi="Times New Roman" w:cs="Times New Roman"/>
          <w:noProof/>
          <w:color w:val="000000" w:themeColor="text1"/>
          <w:vertAlign w:val="superscript"/>
          <w:lang w:eastAsia="en-GB"/>
        </w:rPr>
        <w:footnoteReference w:id="2"/>
      </w:r>
      <w:r w:rsidRPr="002E44D1">
        <w:rPr>
          <w:rFonts w:ascii="Times New Roman" w:hAnsi="Times New Roman"/>
          <w:noProof/>
        </w:rPr>
        <w:t>, at der skal træffes forandringsfremmende globale foranstaltninger, hvis vi skal nå målene i Parisaftalen, herunder begrænse den globale opvarmning til et godt stykke under 2 °C og fortsætte bestræbelserne på at begrænse den til 1,5 °C. De globale drivhusgasemissioner skal toppe i perioden 2020-25 og derefter falde med ca. 43 % under 2019-niveauet senest i 2030, hvis stigningen i den globale gennemsnitstemperatur skal holdes på 1,5 °C ved udgangen af dette århundrede. Med den nuværende politik</w:t>
      </w:r>
      <w:r w:rsidRPr="002E44D1">
        <w:rPr>
          <w:rStyle w:val="FootnoteReference"/>
          <w:rFonts w:ascii="Times New Roman" w:hAnsi="Times New Roman" w:cs="Times New Roman"/>
          <w:noProof/>
        </w:rPr>
        <w:footnoteReference w:id="3"/>
      </w:r>
      <w:r w:rsidRPr="002E44D1">
        <w:rPr>
          <w:rFonts w:ascii="Times New Roman" w:hAnsi="Times New Roman"/>
          <w:noProof/>
        </w:rPr>
        <w:t xml:space="preserve"> er verden ikke på vej til at opfylde det temperaturmål, der er fastsat i Parisaftalen. Hvis landene kan opfylde alle de nye tilsagn, som de afgav inden COP26 i Glasgow, vil det forbedre udsigterne, men stadig være utilstrækkeligt</w:t>
      </w:r>
      <w:r w:rsidRPr="002E44D1">
        <w:rPr>
          <w:rStyle w:val="FootnoteReference"/>
          <w:rFonts w:ascii="Times New Roman" w:hAnsi="Times New Roman" w:cs="Times New Roman"/>
          <w:noProof/>
        </w:rPr>
        <w:footnoteReference w:id="4"/>
      </w:r>
      <w:r w:rsidRPr="002E44D1">
        <w:rPr>
          <w:noProof/>
        </w:rPr>
        <w:t>.</w:t>
      </w:r>
      <w:r w:rsidRPr="002E44D1">
        <w:rPr>
          <w:rFonts w:ascii="Times New Roman" w:hAnsi="Times New Roman"/>
          <w:noProof/>
        </w:rPr>
        <w:t xml:space="preserve"> </w:t>
      </w:r>
    </w:p>
    <w:p w14:paraId="21922809" w14:textId="18C52113" w:rsidR="00237485" w:rsidRPr="002E44D1" w:rsidRDefault="00730A8F" w:rsidP="00171F98">
      <w:pPr>
        <w:jc w:val="both"/>
        <w:rPr>
          <w:rFonts w:ascii="Times New Roman" w:hAnsi="Times New Roman" w:cs="Times New Roman"/>
          <w:noProof/>
        </w:rPr>
      </w:pPr>
      <w:r w:rsidRPr="002E44D1">
        <w:rPr>
          <w:rFonts w:ascii="Times New Roman" w:hAnsi="Times New Roman"/>
          <w:noProof/>
        </w:rPr>
        <w:t>I 2021 steg de globale emissioner til niveauet før pandemien. Foreløbige data fra JRC</w:t>
      </w:r>
      <w:r w:rsidRPr="002E44D1">
        <w:rPr>
          <w:rStyle w:val="FootnoteReference"/>
          <w:rFonts w:ascii="Times New Roman" w:hAnsi="Times New Roman" w:cs="Times New Roman"/>
          <w:noProof/>
        </w:rPr>
        <w:footnoteReference w:id="5"/>
      </w:r>
      <w:r w:rsidRPr="002E44D1">
        <w:rPr>
          <w:rFonts w:ascii="Times New Roman" w:hAnsi="Times New Roman"/>
          <w:noProof/>
        </w:rPr>
        <w:t xml:space="preserve"> viser, at de globale drivhusgasemissioner i 2021 steg med 4,2 % til 52,9 mia. ton CO</w:t>
      </w:r>
      <w:r w:rsidRPr="002E44D1">
        <w:rPr>
          <w:rFonts w:ascii="Times New Roman" w:hAnsi="Times New Roman"/>
          <w:noProof/>
          <w:vertAlign w:val="subscript"/>
        </w:rPr>
        <w:t>2</w:t>
      </w:r>
      <w:r w:rsidRPr="002E44D1">
        <w:rPr>
          <w:rFonts w:ascii="Times New Roman" w:hAnsi="Times New Roman"/>
          <w:noProof/>
        </w:rPr>
        <w:t>-ækvivalenter (CO</w:t>
      </w:r>
      <w:r w:rsidRPr="002E44D1">
        <w:rPr>
          <w:rFonts w:ascii="Times New Roman" w:hAnsi="Times New Roman"/>
          <w:noProof/>
          <w:vertAlign w:val="subscript"/>
        </w:rPr>
        <w:t>2</w:t>
      </w:r>
      <w:r w:rsidRPr="002E44D1">
        <w:rPr>
          <w:rFonts w:ascii="Times New Roman" w:hAnsi="Times New Roman"/>
          <w:noProof/>
        </w:rPr>
        <w:t>-ækv.), hvilket er lidt over 2019-emissionerne, efterhånden som den globale økonomi kom på fode igen efter pandemien. Emissionerne fra energisektoren og anden industriel forbrænding steg over niveauet før pandemien (henholdsvis + 1,3 % og + 2,1 % i forhold til 2019), også på grund af en stigning i anvendelsen af kul</w:t>
      </w:r>
      <w:r w:rsidRPr="002E44D1">
        <w:rPr>
          <w:rStyle w:val="FootnoteReference"/>
          <w:rFonts w:ascii="Times New Roman" w:hAnsi="Times New Roman" w:cs="Times New Roman"/>
          <w:noProof/>
        </w:rPr>
        <w:footnoteReference w:id="6"/>
      </w:r>
      <w:r w:rsidRPr="002E44D1">
        <w:rPr>
          <w:rFonts w:ascii="Times New Roman" w:hAnsi="Times New Roman"/>
          <w:noProof/>
        </w:rPr>
        <w:t xml:space="preserve">, mens emissionerne fra transport og bygninger forblev på et lavere niveau (henholdsvis – 5,2 % og – 3,7 %). Sidste år var der yderligere ødelæggende konsekvenser af klimaforandringerne, hvilket forstærkede advarslerne fra forskerne. </w:t>
      </w:r>
    </w:p>
    <w:p w14:paraId="41FCAB4F" w14:textId="59EC5D10" w:rsidR="00ED56A2" w:rsidRPr="002E44D1" w:rsidRDefault="00ED56A2" w:rsidP="00ED56A2">
      <w:pPr>
        <w:jc w:val="both"/>
        <w:rPr>
          <w:rFonts w:ascii="Times New Roman" w:hAnsi="Times New Roman" w:cs="Times New Roman"/>
          <w:noProof/>
        </w:rPr>
      </w:pPr>
      <w:r w:rsidRPr="002E44D1">
        <w:rPr>
          <w:rFonts w:ascii="Times New Roman" w:hAnsi="Times New Roman"/>
          <w:noProof/>
        </w:rPr>
        <w:t>Hvis den globale opvarmning skal begrænses, skal alle lande og alle sektorer gøre en hidtil uset indsats. Hvis vi skal opnå nettonulemissioner inden 2050</w:t>
      </w:r>
      <w:r w:rsidRPr="002E44D1">
        <w:rPr>
          <w:rStyle w:val="FootnoteReference"/>
          <w:rFonts w:ascii="Times New Roman" w:hAnsi="Times New Roman" w:cs="Times New Roman"/>
          <w:noProof/>
        </w:rPr>
        <w:footnoteReference w:id="7"/>
      </w:r>
      <w:r w:rsidRPr="002E44D1">
        <w:rPr>
          <w:rFonts w:ascii="Times New Roman" w:hAnsi="Times New Roman"/>
          <w:noProof/>
        </w:rPr>
        <w:t xml:space="preserve">, er vi nødt til at reducere drivhusgasemissionerne på en hurtig, indgående og vedvarende måde og samtidig styrke planetens evne til at absorbere kulstof gennem naturbaserede løsninger og teknologier til fjernelse af kulstof. IPCC's konklusioner forstærker EU's vilje til at blive klimaneutral senest i 2050 og også klimarobust, hvilket nu er centrale mål i den europæiske klimalov.  </w:t>
      </w:r>
    </w:p>
    <w:p w14:paraId="1127741D" w14:textId="05FCBD8E" w:rsidR="00F82D4E" w:rsidRPr="002E44D1" w:rsidRDefault="7CC8E104" w:rsidP="00F82D4E">
      <w:pPr>
        <w:jc w:val="both"/>
        <w:rPr>
          <w:rFonts w:ascii="Times New Roman" w:hAnsi="Times New Roman" w:cs="Times New Roman"/>
          <w:noProof/>
        </w:rPr>
      </w:pPr>
      <w:r w:rsidRPr="002E44D1">
        <w:rPr>
          <w:rFonts w:ascii="Times New Roman" w:hAnsi="Times New Roman"/>
          <w:noProof/>
        </w:rPr>
        <w:t>I henhold til UNFCCC forpligtede EU og dens medlemsstater sig til et fælles mål for hele økonomien om inden 2020 at reducere drivhusgasemissionerne med 20 % i forhold til 1990-niveauet ("Cancúntilsagnet"). Som anført i EU's drivhusgasopgørelse for 2022</w:t>
      </w:r>
      <w:r w:rsidRPr="002E44D1">
        <w:rPr>
          <w:rStyle w:val="FootnoteReference"/>
          <w:rFonts w:ascii="Times New Roman" w:hAnsi="Times New Roman" w:cs="Times New Roman"/>
          <w:noProof/>
          <w:lang w:eastAsia="en-GB"/>
        </w:rPr>
        <w:footnoteReference w:id="8"/>
      </w:r>
      <w:r w:rsidRPr="002E44D1">
        <w:rPr>
          <w:rFonts w:ascii="Times New Roman" w:hAnsi="Times New Roman"/>
          <w:noProof/>
        </w:rPr>
        <w:t xml:space="preserve"> har EU i væsentlig grad overgået dette mål, så medlemsstaterne og Det Forenede Kongerige også har opfyldt deres emissionsreduktionsforpligtelser i henhold til konventionen</w:t>
      </w:r>
      <w:r w:rsidRPr="002E44D1">
        <w:rPr>
          <w:rStyle w:val="FootnoteReference"/>
          <w:rFonts w:ascii="Times New Roman" w:hAnsi="Times New Roman" w:cs="Times New Roman"/>
          <w:noProof/>
          <w:lang w:eastAsia="en-GB"/>
        </w:rPr>
        <w:footnoteReference w:id="9"/>
      </w:r>
      <w:r w:rsidRPr="002E44D1">
        <w:rPr>
          <w:noProof/>
        </w:rPr>
        <w:t>.</w:t>
      </w:r>
      <w:r w:rsidRPr="002E44D1">
        <w:rPr>
          <w:rStyle w:val="FootnoteReference"/>
          <w:rFonts w:ascii="Times New Roman" w:hAnsi="Times New Roman"/>
          <w:noProof/>
        </w:rPr>
        <w:t xml:space="preserve"> </w:t>
      </w:r>
      <w:r w:rsidRPr="002E44D1">
        <w:rPr>
          <w:rFonts w:ascii="Times New Roman" w:hAnsi="Times New Roman"/>
          <w:noProof/>
        </w:rPr>
        <w:t>De samlede drivhusgasemissioner, eksklusiv arealanvendelse, ændringer i arealanvendelse og skovbrug (LULUCF) og inklusiv international luftfart, faldt med 34 % i EU-27 + Det Forenede Kongerige i forhold til 1990 (eller 32 % uden Det Forenede Kongerige). Dette er en reduktion på 1,94 mia. ton CO</w:t>
      </w:r>
      <w:r w:rsidRPr="002E44D1">
        <w:rPr>
          <w:rFonts w:ascii="Times New Roman" w:hAnsi="Times New Roman"/>
          <w:noProof/>
          <w:vertAlign w:val="subscript"/>
        </w:rPr>
        <w:t>2</w:t>
      </w:r>
      <w:r w:rsidRPr="002E44D1">
        <w:rPr>
          <w:rFonts w:ascii="Times New Roman" w:hAnsi="Times New Roman"/>
          <w:noProof/>
        </w:rPr>
        <w:t>-ækvivalenter frem til 2020 (eller 1,55 GtCO</w:t>
      </w:r>
      <w:r w:rsidRPr="002E44D1">
        <w:rPr>
          <w:rFonts w:ascii="Times New Roman" w:hAnsi="Times New Roman"/>
          <w:noProof/>
          <w:vertAlign w:val="subscript"/>
        </w:rPr>
        <w:t>2</w:t>
      </w:r>
      <w:r w:rsidRPr="002E44D1">
        <w:rPr>
          <w:rFonts w:ascii="Times New Roman" w:hAnsi="Times New Roman"/>
          <w:noProof/>
        </w:rPr>
        <w:t>-ækvivalenter uden Det Forenede Kongerige)</w:t>
      </w:r>
      <w:r w:rsidRPr="002E44D1">
        <w:rPr>
          <w:rStyle w:val="FootnoteReference"/>
          <w:rFonts w:ascii="Times New Roman" w:hAnsi="Times New Roman" w:cs="Times New Roman"/>
          <w:noProof/>
          <w:lang w:eastAsia="en-GB"/>
        </w:rPr>
        <w:footnoteReference w:id="10"/>
      </w:r>
      <w:r w:rsidRPr="002E44D1">
        <w:rPr>
          <w:noProof/>
        </w:rPr>
        <w:t>.</w:t>
      </w:r>
      <w:r w:rsidRPr="002E44D1">
        <w:rPr>
          <w:rFonts w:ascii="Times New Roman" w:hAnsi="Times New Roman"/>
          <w:noProof/>
        </w:rPr>
        <w:t xml:space="preserve"> EU og dets medlemsstater nåede i fællesskab deres mål ved at gennemføre EU's klima- og energipakke for 2020.  </w:t>
      </w:r>
    </w:p>
    <w:p w14:paraId="319E497D" w14:textId="517F7B91" w:rsidR="00F82D4E" w:rsidRPr="002E44D1" w:rsidRDefault="1CBBE0D0" w:rsidP="09370AC4">
      <w:pPr>
        <w:jc w:val="both"/>
        <w:rPr>
          <w:rFonts w:ascii="Times New Roman" w:hAnsi="Times New Roman" w:cs="Times New Roman"/>
          <w:noProof/>
        </w:rPr>
      </w:pPr>
      <w:r w:rsidRPr="002E44D1">
        <w:rPr>
          <w:rFonts w:ascii="Times New Roman" w:hAnsi="Times New Roman"/>
          <w:noProof/>
        </w:rPr>
        <w:t>Foreløbige data viser imidlertid, at EU's interne drivhusgasemissioner, undtagen international luftfart, steg med 4,8 % i 2021 fra deres usædvanligt lave pandeminiveau i 2020, om end de forblev under 2019-niveauet (dvs. – 4,0 %)</w:t>
      </w:r>
      <w:r w:rsidRPr="002E44D1">
        <w:rPr>
          <w:rStyle w:val="FootnoteReference"/>
          <w:rFonts w:ascii="Times New Roman" w:hAnsi="Times New Roman" w:cs="Times New Roman"/>
          <w:noProof/>
        </w:rPr>
        <w:footnoteReference w:id="11"/>
      </w:r>
      <w:r w:rsidRPr="002E44D1">
        <w:rPr>
          <w:noProof/>
        </w:rPr>
        <w:t>.</w:t>
      </w:r>
      <w:r w:rsidRPr="002E44D1">
        <w:rPr>
          <w:rFonts w:ascii="Times New Roman" w:hAnsi="Times New Roman"/>
          <w:noProof/>
        </w:rPr>
        <w:t xml:space="preserve"> Emissionerne fra stationære anlæg, der er omfattet af EU's emissionshandelssystem (ETS), steg med 6,6 %, og emissioner uden for ETS steg med 3,5 % som følge af genopretningen efter pandemien. </w:t>
      </w:r>
      <w:r w:rsidRPr="002E44D1">
        <w:rPr>
          <w:rFonts w:ascii="Times New Roman" w:hAnsi="Times New Roman"/>
          <w:noProof/>
          <w:sz w:val="20"/>
        </w:rPr>
        <w:t>For alle de vigtigste sektorer og gasser, undtagen bygninger, forventes emissionerne at blive liggende under niveauet før pandemien og dermed fortsætte de sidste 30 års generelt nedadgående tendens (figur 1</w:t>
      </w:r>
      <w:r w:rsidRPr="002E44D1">
        <w:rPr>
          <w:rFonts w:ascii="Times New Roman" w:hAnsi="Times New Roman"/>
          <w:noProof/>
        </w:rPr>
        <w:t>). De foreløbige 2021-data for emissionsoptag fra LULUCF viser imidlertid ikke, at den seneste betænkelige faldende tendens er vendt. Den hidtil usete stigning i gaspriserne fra anden halvdel af 2021 havde en klar indvirkning på emissionerne fra elproduktion som følge af et midlertidigt skift fra gas til kulbrændsel (tekstboks 1).</w:t>
      </w:r>
    </w:p>
    <w:p w14:paraId="05266617" w14:textId="77777777" w:rsidR="00372A2C" w:rsidRDefault="00372A2C">
      <w:pPr>
        <w:rPr>
          <w:rFonts w:ascii="Times New Roman" w:eastAsiaTheme="minorEastAsia" w:hAnsi="Times New Roman"/>
          <w:b/>
          <w:bCs/>
          <w:noProof/>
          <w:color w:val="1F497D" w:themeColor="text2"/>
          <w:sz w:val="20"/>
          <w:szCs w:val="20"/>
        </w:rPr>
      </w:pPr>
      <w:r>
        <w:rPr>
          <w:noProof/>
        </w:rPr>
        <w:br w:type="page"/>
      </w:r>
    </w:p>
    <w:p w14:paraId="207608CB" w14:textId="4E67F4C7" w:rsidR="00F82D4E" w:rsidRPr="002E44D1" w:rsidRDefault="3140586D" w:rsidP="00977DB6">
      <w:pPr>
        <w:pStyle w:val="Caption"/>
        <w:rPr>
          <w:noProof/>
        </w:rPr>
      </w:pPr>
      <w:r w:rsidRPr="002E44D1">
        <w:rPr>
          <w:noProof/>
        </w:rPr>
        <w:t xml:space="preserve">Figur </w:t>
      </w:r>
      <w:r w:rsidRPr="002E44D1">
        <w:rPr>
          <w:noProof/>
        </w:rPr>
        <w:fldChar w:fldCharType="begin"/>
      </w:r>
      <w:r w:rsidRPr="002E44D1">
        <w:rPr>
          <w:noProof/>
        </w:rPr>
        <w:instrText>SEQ Figure \* ARABIC</w:instrText>
      </w:r>
      <w:r w:rsidRPr="002E44D1">
        <w:rPr>
          <w:noProof/>
        </w:rPr>
        <w:fldChar w:fldCharType="separate"/>
      </w:r>
      <w:r w:rsidRPr="002E44D1">
        <w:rPr>
          <w:noProof/>
        </w:rPr>
        <w:t>1</w:t>
      </w:r>
      <w:r w:rsidRPr="002E44D1">
        <w:rPr>
          <w:noProof/>
        </w:rPr>
        <w:fldChar w:fldCharType="end"/>
      </w:r>
      <w:r w:rsidRPr="002E44D1">
        <w:rPr>
          <w:noProof/>
        </w:rPr>
        <w:t>: EU-27's nationale drivhusgasemissioner efter sektor (2019-2021)</w:t>
      </w:r>
      <w:r w:rsidRPr="002E44D1">
        <w:rPr>
          <w:rStyle w:val="FootnoteReference"/>
          <w:noProof/>
        </w:rPr>
        <w:footnoteReference w:id="12"/>
      </w:r>
      <w:r w:rsidRPr="002E44D1">
        <w:rPr>
          <w:noProof/>
        </w:rPr>
        <w:t xml:space="preserve"> </w:t>
      </w:r>
    </w:p>
    <w:p w14:paraId="6B3C190D" w14:textId="1AB24FB6" w:rsidR="00F82D4E" w:rsidRPr="002E44D1" w:rsidRDefault="006E7C80" w:rsidP="00F82D4E">
      <w:pPr>
        <w:ind w:left="360"/>
        <w:jc w:val="center"/>
        <w:rPr>
          <w:rFonts w:ascii="Times New Roman" w:hAnsi="Times New Roman" w:cs="Times New Roman"/>
          <w:noProof/>
        </w:rPr>
      </w:pPr>
      <w:r w:rsidRPr="002E44D1">
        <w:rPr>
          <w:noProof/>
          <w:lang w:val="en-GB" w:eastAsia="en-GB"/>
        </w:rPr>
        <w:drawing>
          <wp:inline distT="0" distB="0" distL="0" distR="0" wp14:anchorId="45A8C70B" wp14:editId="76E8C73C">
            <wp:extent cx="5356860" cy="33299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56860" cy="3329940"/>
                    </a:xfrm>
                    <a:prstGeom prst="rect">
                      <a:avLst/>
                    </a:prstGeom>
                    <a:noFill/>
                    <a:ln>
                      <a:noFill/>
                    </a:ln>
                  </pic:spPr>
                </pic:pic>
              </a:graphicData>
            </a:graphic>
          </wp:inline>
        </w:drawing>
      </w:r>
      <w:r w:rsidR="00F16C9D" w:rsidRPr="002E44D1">
        <w:rPr>
          <w:rFonts w:ascii="Times New Roman" w:hAnsi="Times New Roman"/>
          <w:noProof/>
        </w:rPr>
        <w:t xml:space="preserve"> </w:t>
      </w:r>
    </w:p>
    <w:p w14:paraId="7B9A0899" w14:textId="32F5A603" w:rsidR="00F82D4E" w:rsidRPr="002E44D1" w:rsidRDefault="00237313" w:rsidP="00F82D4E">
      <w:pPr>
        <w:jc w:val="both"/>
        <w:rPr>
          <w:rFonts w:ascii="Times New Roman" w:hAnsi="Times New Roman" w:cs="Times New Roman"/>
          <w:noProof/>
        </w:rPr>
      </w:pPr>
      <w:r w:rsidRPr="002E44D1">
        <w:rPr>
          <w:rFonts w:ascii="Times New Roman" w:hAnsi="Times New Roman"/>
          <w:noProof/>
        </w:rPr>
        <w:t>Økonomiens drivhusgasintensitet — forholdet mellem emissioner og BNP — faldt med 6,1 gCO</w:t>
      </w:r>
      <w:r w:rsidRPr="002E44D1">
        <w:rPr>
          <w:rFonts w:ascii="Times New Roman" w:hAnsi="Times New Roman"/>
          <w:noProof/>
          <w:vertAlign w:val="subscript"/>
        </w:rPr>
        <w:t>2</w:t>
      </w:r>
      <w:r w:rsidRPr="002E44D1">
        <w:rPr>
          <w:rFonts w:ascii="Times New Roman" w:hAnsi="Times New Roman"/>
          <w:noProof/>
        </w:rPr>
        <w:t>-ækvivalenter/EUR i forhold til 2020. EU's nationale nettoemissioner i 2021, herunder LULUCF, var alt i alt 30 % lavere end 1990-niveauet, hvilket stort set var i overensstemmelse med ønsket om at nå EU's reduktionsmål på 55 % senest i 2030. Reduktionstempoet skal dog øges betydeligt (figur 2).</w:t>
      </w:r>
      <w:r w:rsidRPr="002E44D1">
        <w:rPr>
          <w:noProof/>
        </w:rPr>
        <w:t xml:space="preserve"> </w:t>
      </w:r>
      <w:r w:rsidRPr="002E44D1">
        <w:rPr>
          <w:rFonts w:ascii="Times New Roman" w:hAnsi="Times New Roman"/>
          <w:noProof/>
        </w:rPr>
        <w:t>I 2021 fremlagde Kommissionen en pakke forslag for at tilpasse politikkerne, så de kan opfylde EU's ajourførte klimamål.</w:t>
      </w:r>
    </w:p>
    <w:p w14:paraId="5F9D8454" w14:textId="77777777" w:rsidR="00372A2C" w:rsidRDefault="00372A2C">
      <w:pPr>
        <w:rPr>
          <w:rFonts w:ascii="Times New Roman" w:eastAsiaTheme="minorEastAsia" w:hAnsi="Times New Roman"/>
          <w:b/>
          <w:bCs/>
          <w:noProof/>
          <w:color w:val="1F497D" w:themeColor="text2"/>
          <w:sz w:val="20"/>
          <w:szCs w:val="20"/>
        </w:rPr>
      </w:pPr>
      <w:r>
        <w:rPr>
          <w:noProof/>
        </w:rPr>
        <w:br w:type="page"/>
      </w:r>
    </w:p>
    <w:p w14:paraId="04EB780D" w14:textId="73BE1E4E" w:rsidR="00F82D4E" w:rsidRPr="002E44D1" w:rsidRDefault="1CBBE0D0" w:rsidP="00884F35">
      <w:pPr>
        <w:pStyle w:val="Caption"/>
        <w:rPr>
          <w:noProof/>
        </w:rPr>
      </w:pPr>
      <w:r w:rsidRPr="002E44D1">
        <w:rPr>
          <w:noProof/>
        </w:rPr>
        <w:t xml:space="preserve">Figur </w:t>
      </w:r>
      <w:r w:rsidRPr="002E44D1">
        <w:rPr>
          <w:noProof/>
        </w:rPr>
        <w:fldChar w:fldCharType="begin"/>
      </w:r>
      <w:r w:rsidRPr="002E44D1">
        <w:rPr>
          <w:noProof/>
        </w:rPr>
        <w:instrText>SEQ Figure \* ARABIC</w:instrText>
      </w:r>
      <w:r w:rsidRPr="002E44D1">
        <w:rPr>
          <w:noProof/>
        </w:rPr>
        <w:fldChar w:fldCharType="separate"/>
      </w:r>
      <w:r w:rsidRPr="002E44D1">
        <w:rPr>
          <w:noProof/>
        </w:rPr>
        <w:t>2</w:t>
      </w:r>
      <w:r w:rsidRPr="002E44D1">
        <w:rPr>
          <w:noProof/>
        </w:rPr>
        <w:fldChar w:fldCharType="end"/>
      </w:r>
      <w:r w:rsidRPr="002E44D1">
        <w:rPr>
          <w:noProof/>
        </w:rPr>
        <w:t>: EU-27's nationale nettodrivhusgasemissioner (herunder LULUCF)</w:t>
      </w:r>
      <w:r w:rsidRPr="002E44D1">
        <w:rPr>
          <w:noProof/>
          <w:vertAlign w:val="superscript"/>
        </w:rPr>
        <w:footnoteReference w:id="13"/>
      </w:r>
      <w:r w:rsidRPr="002E44D1">
        <w:rPr>
          <w:noProof/>
        </w:rPr>
        <w:t xml:space="preserve"> </w:t>
      </w:r>
    </w:p>
    <w:p w14:paraId="58693CEC" w14:textId="0B536666" w:rsidR="00F82D4E" w:rsidRPr="002E44D1" w:rsidRDefault="001C0E8C" w:rsidP="00764747">
      <w:pPr>
        <w:pStyle w:val="ListParagraph"/>
        <w:rPr>
          <w:rFonts w:ascii="Times New Roman" w:hAnsi="Times New Roman" w:cs="Times New Roman"/>
          <w:noProof/>
          <w:color w:val="4F81BD" w:themeColor="accent1"/>
        </w:rPr>
      </w:pPr>
      <w:r w:rsidRPr="002E44D1">
        <w:rPr>
          <w:noProof/>
          <w:lang w:val="en-GB" w:eastAsia="en-GB"/>
        </w:rPr>
        <w:drawing>
          <wp:inline distT="0" distB="0" distL="0" distR="0" wp14:anchorId="198C09DC" wp14:editId="2C62F63E">
            <wp:extent cx="4400550" cy="30194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00550" cy="3019425"/>
                    </a:xfrm>
                    <a:prstGeom prst="rect">
                      <a:avLst/>
                    </a:prstGeom>
                  </pic:spPr>
                </pic:pic>
              </a:graphicData>
            </a:graphic>
          </wp:inline>
        </w:drawing>
      </w:r>
    </w:p>
    <w:p w14:paraId="58531E66" w14:textId="77777777" w:rsidR="00F82D4E" w:rsidRPr="002E44D1" w:rsidRDefault="00F82D4E" w:rsidP="00F82D4E">
      <w:pPr>
        <w:pStyle w:val="ListParagraph"/>
        <w:jc w:val="both"/>
        <w:rPr>
          <w:rFonts w:ascii="Times New Roman" w:hAnsi="Times New Roman" w:cs="Times New Roman"/>
          <w:noProof/>
          <w:lang w:eastAsia="en-GB"/>
        </w:rPr>
      </w:pPr>
    </w:p>
    <w:p w14:paraId="5D784E0F" w14:textId="0EFCAF02" w:rsidR="00F82D4E" w:rsidRPr="002E44D1" w:rsidRDefault="1CBBE0D0" w:rsidP="00F82D4E">
      <w:pPr>
        <w:jc w:val="both"/>
        <w:rPr>
          <w:rFonts w:ascii="Times New Roman" w:hAnsi="Times New Roman" w:cs="Times New Roman"/>
          <w:noProof/>
        </w:rPr>
      </w:pPr>
      <w:r w:rsidRPr="002E44D1">
        <w:rPr>
          <w:rFonts w:ascii="Times New Roman" w:hAnsi="Times New Roman"/>
          <w:noProof/>
        </w:rPr>
        <w:t>I EU genererede verificerede emissioner fra luftfartøjsoperatører i 2021 26,87 mio. ton CO</w:t>
      </w:r>
      <w:r w:rsidRPr="002E44D1">
        <w:rPr>
          <w:rFonts w:ascii="Times New Roman" w:hAnsi="Times New Roman"/>
          <w:noProof/>
          <w:vertAlign w:val="subscript"/>
        </w:rPr>
        <w:t>2</w:t>
      </w:r>
      <w:r w:rsidRPr="002E44D1">
        <w:rPr>
          <w:rFonts w:ascii="Times New Roman" w:hAnsi="Times New Roman"/>
          <w:noProof/>
        </w:rPr>
        <w:t>, hvilket er 8,7 % over de 24,71 mio. ton, der blev indberettet i 2020, men stadig 61 % lavere end de 68,2 mio. ton CO</w:t>
      </w:r>
      <w:r w:rsidRPr="002E44D1">
        <w:rPr>
          <w:rFonts w:ascii="Times New Roman" w:hAnsi="Times New Roman"/>
          <w:noProof/>
          <w:vertAlign w:val="subscript"/>
        </w:rPr>
        <w:t>2</w:t>
      </w:r>
      <w:r w:rsidRPr="002E44D1">
        <w:rPr>
          <w:rFonts w:ascii="Times New Roman" w:hAnsi="Times New Roman"/>
          <w:noProof/>
        </w:rPr>
        <w:t xml:space="preserve"> i 2019, før pandemien. Siden 2021 har EU ETS ikke længere inddraget flyvninger fra Det Forenede Kongerige. ETS-emissionerne fra luftfarten uden disse flyvninger steg med ca. 30 % i forhold til 2020 og faldt med 50 % i forhold til 2019.</w:t>
      </w:r>
      <w:r w:rsidRPr="002E44D1">
        <w:rPr>
          <w:rFonts w:ascii="Times New Roman" w:hAnsi="Times New Roman" w:cs="Times New Roman"/>
          <w:noProof/>
          <w:vertAlign w:val="superscript"/>
        </w:rPr>
        <w:footnoteReference w:id="14"/>
      </w:r>
    </w:p>
    <w:p w14:paraId="18C1C89A" w14:textId="0ED2A470" w:rsidR="00F82D4E" w:rsidRPr="002E44D1" w:rsidRDefault="00E06507" w:rsidP="00EA165F">
      <w:pPr>
        <w:pStyle w:val="CommentText"/>
        <w:spacing w:after="200"/>
        <w:jc w:val="both"/>
        <w:rPr>
          <w:rFonts w:ascii="Times New Roman" w:hAnsi="Times New Roman" w:cs="Times New Roman"/>
          <w:i/>
          <w:iCs/>
          <w:noProof/>
          <w:color w:val="7030A0"/>
          <w:sz w:val="22"/>
          <w:szCs w:val="22"/>
        </w:rPr>
      </w:pPr>
      <w:r w:rsidRPr="002E44D1">
        <w:rPr>
          <w:rFonts w:ascii="Times New Roman" w:hAnsi="Times New Roman"/>
          <w:noProof/>
          <w:sz w:val="22"/>
        </w:rPr>
        <w:t>Søtransport er en betydelig CO</w:t>
      </w:r>
      <w:r w:rsidRPr="002E44D1">
        <w:rPr>
          <w:rFonts w:ascii="Times New Roman" w:hAnsi="Times New Roman"/>
          <w:noProof/>
          <w:sz w:val="22"/>
          <w:vertAlign w:val="subscript"/>
        </w:rPr>
        <w:t>2</w:t>
      </w:r>
      <w:r w:rsidRPr="002E44D1">
        <w:rPr>
          <w:rFonts w:ascii="Times New Roman" w:hAnsi="Times New Roman"/>
          <w:noProof/>
          <w:sz w:val="22"/>
        </w:rPr>
        <w:t>-udleder og genererer omkring 3-4 % af EU's samlede CO</w:t>
      </w:r>
      <w:r w:rsidRPr="002E44D1">
        <w:rPr>
          <w:rFonts w:ascii="Times New Roman" w:hAnsi="Times New Roman"/>
          <w:noProof/>
          <w:sz w:val="22"/>
          <w:vertAlign w:val="subscript"/>
        </w:rPr>
        <w:t>2</w:t>
      </w:r>
      <w:r w:rsidRPr="002E44D1">
        <w:rPr>
          <w:rFonts w:ascii="Times New Roman" w:hAnsi="Times New Roman"/>
          <w:noProof/>
          <w:sz w:val="22"/>
        </w:rPr>
        <w:t>-emissioner. I 2021 rapporterede rederierne et fald i emissioner fra transportaktiviteter relateret til EU siden årene før pandemien som følge af Det Forenede Kongeriges udtræden af EU.</w:t>
      </w:r>
    </w:p>
    <w:tbl>
      <w:tblPr>
        <w:tblStyle w:val="TableGrid"/>
        <w:tblW w:w="0" w:type="auto"/>
        <w:tblInd w:w="108" w:type="dxa"/>
        <w:tblLook w:val="04A0" w:firstRow="1" w:lastRow="0" w:firstColumn="1" w:lastColumn="0" w:noHBand="0" w:noVBand="1"/>
      </w:tblPr>
      <w:tblGrid>
        <w:gridCol w:w="9072"/>
      </w:tblGrid>
      <w:tr w:rsidR="00F82D4E" w:rsidRPr="002E44D1" w14:paraId="242A27A4" w14:textId="77777777" w:rsidTr="00AF4477">
        <w:tc>
          <w:tcPr>
            <w:tcW w:w="9072" w:type="dxa"/>
            <w:shd w:val="clear" w:color="auto" w:fill="DDD9C3" w:themeFill="background2" w:themeFillShade="E6"/>
          </w:tcPr>
          <w:p w14:paraId="5D3988E5" w14:textId="77777777" w:rsidR="00F82D4E" w:rsidRPr="002E44D1" w:rsidRDefault="1CBBE0D0" w:rsidP="00B454A5">
            <w:pPr>
              <w:spacing w:after="120"/>
              <w:jc w:val="center"/>
              <w:textAlignment w:val="center"/>
              <w:rPr>
                <w:rFonts w:ascii="Times New Roman" w:eastAsia="Times New Roman" w:hAnsi="Times New Roman" w:cs="Times New Roman"/>
                <w:b/>
                <w:bCs/>
                <w:noProof/>
              </w:rPr>
            </w:pPr>
            <w:r w:rsidRPr="002E44D1">
              <w:rPr>
                <w:rFonts w:ascii="Times New Roman" w:hAnsi="Times New Roman"/>
                <w:b/>
                <w:noProof/>
              </w:rPr>
              <w:t>Tekstboks 1: Virkningen af den kraftige stigning i gaspriserne i 2021 på drivhusgasemissionerne</w:t>
            </w:r>
          </w:p>
          <w:p w14:paraId="0345A7F0" w14:textId="1FEAB685" w:rsidR="00F82D4E" w:rsidRPr="002E44D1" w:rsidRDefault="1CBBE0D0" w:rsidP="00B454A5">
            <w:pPr>
              <w:spacing w:after="120"/>
              <w:jc w:val="both"/>
              <w:textAlignment w:val="center"/>
              <w:rPr>
                <w:rFonts w:ascii="Times New Roman" w:eastAsia="Times New Roman" w:hAnsi="Times New Roman" w:cs="Times New Roman"/>
                <w:noProof/>
                <w:sz w:val="20"/>
                <w:szCs w:val="20"/>
              </w:rPr>
            </w:pPr>
            <w:r w:rsidRPr="002E44D1">
              <w:rPr>
                <w:rFonts w:ascii="Times New Roman" w:hAnsi="Times New Roman"/>
                <w:noProof/>
                <w:sz w:val="20"/>
              </w:rPr>
              <w:t>I 2021 nåede de gennemsnitlige engrospriser på gas et rekordhøjt niveau på 49 EUR/MWh (megawatt pr. time) med et dagligt toppunkt på op til 183 EUR/MWh. Til sammenligning svingede gaspriserne mellem 15 og 25 EUR/MWh mellem 2010 og 2019 og steg hurtigt til et tilsvarende niveau fra et historisk lavpunkt på 3-4 EUR/MWh i maj 2020. Prisstigningen var forårsaget af flere samtidige begivenheder, herunder koldt vejr i begyndelsen af året, et EU-lager under sæsongennemsnittet, lavere vindstyrke og færre soltimer i sommerperioden samt stigende geopolitiske spændinger ved EU's grænser. Den høje gaspris resulterede i en betydelig omstilling fra gas til kul og brunkul i EU's elsystem, hvor der skete en stigning i driftstiden på kul- og brunkulskraftværker på bekostning af gasfyrede anlæg. I forhold til 2020 steg produktionen af kul og brunkul med + 68 TWh, dvs. mere end halvdelen af den samlede produktionsstigning (+ 118 TWh),</w:t>
            </w:r>
            <w:r w:rsidRPr="002E44D1">
              <w:rPr>
                <w:rFonts w:ascii="Times New Roman" w:hAnsi="Times New Roman"/>
                <w:noProof/>
                <w:sz w:val="20"/>
                <w:vertAlign w:val="superscript"/>
              </w:rPr>
              <w:t>(a)</w:t>
            </w:r>
            <w:r w:rsidRPr="002E44D1">
              <w:rPr>
                <w:rFonts w:ascii="Times New Roman" w:hAnsi="Times New Roman"/>
                <w:noProof/>
                <w:sz w:val="20"/>
              </w:rPr>
              <w:t xml:space="preserve"> mens gasproduktionen faldt (– 16 TWh). Resten af den supplerende produktionsstigning blev genereret af vedvarende energikilder og kernekraft (+ 65 TWh) på trods af en lavere produktion af onshore-vindkraft. </w:t>
            </w:r>
          </w:p>
          <w:p w14:paraId="4EB74DA7" w14:textId="1E282BC0" w:rsidR="00F82D4E" w:rsidRPr="002E44D1" w:rsidRDefault="000A5C11" w:rsidP="00FF2A9D">
            <w:pPr>
              <w:spacing w:after="120"/>
              <w:jc w:val="both"/>
              <w:textAlignment w:val="center"/>
              <w:rPr>
                <w:rFonts w:ascii="Times New Roman" w:eastAsia="Times New Roman" w:hAnsi="Times New Roman" w:cs="Times New Roman"/>
                <w:noProof/>
              </w:rPr>
            </w:pPr>
            <w:r w:rsidRPr="002E44D1">
              <w:rPr>
                <w:rFonts w:ascii="Times New Roman" w:hAnsi="Times New Roman"/>
                <w:noProof/>
                <w:sz w:val="20"/>
              </w:rPr>
              <w:t>Skiftet fra gas til kul og gas til brunkul gav anledning til, at CO</w:t>
            </w:r>
            <w:r w:rsidRPr="002E44D1">
              <w:rPr>
                <w:rFonts w:ascii="Times New Roman" w:hAnsi="Times New Roman"/>
                <w:noProof/>
                <w:sz w:val="20"/>
                <w:vertAlign w:val="subscript"/>
              </w:rPr>
              <w:t>2</w:t>
            </w:r>
            <w:r w:rsidRPr="002E44D1">
              <w:rPr>
                <w:rFonts w:ascii="Times New Roman" w:hAnsi="Times New Roman"/>
                <w:noProof/>
                <w:sz w:val="20"/>
              </w:rPr>
              <w:t>-emissionerne fra elsystemet steg til over 2020-niveauet i 2021 (+ 8,3 %). CO</w:t>
            </w:r>
            <w:r w:rsidRPr="002E44D1">
              <w:rPr>
                <w:rFonts w:ascii="Times New Roman" w:hAnsi="Times New Roman"/>
                <w:noProof/>
                <w:sz w:val="20"/>
                <w:vertAlign w:val="subscript"/>
              </w:rPr>
              <w:t>2</w:t>
            </w:r>
            <w:r w:rsidRPr="002E44D1">
              <w:rPr>
                <w:rFonts w:ascii="Times New Roman" w:hAnsi="Times New Roman"/>
                <w:noProof/>
                <w:sz w:val="20"/>
              </w:rPr>
              <w:t>-emissionerne i sektoren var ikke desto mindre stadig 7,3 % lavere i 2021 end i 2019</w:t>
            </w:r>
            <w:r w:rsidRPr="002E44D1">
              <w:rPr>
                <w:rFonts w:ascii="Times New Roman" w:hAnsi="Times New Roman"/>
                <w:noProof/>
                <w:sz w:val="20"/>
                <w:vertAlign w:val="superscript"/>
              </w:rPr>
              <w:t>(b)</w:t>
            </w:r>
            <w:r w:rsidRPr="002E44D1">
              <w:rPr>
                <w:rFonts w:ascii="Times New Roman" w:hAnsi="Times New Roman"/>
                <w:noProof/>
                <w:sz w:val="20"/>
              </w:rPr>
              <w:t xml:space="preserve"> (figur 3) efter den langsigtede gradvise dekarbonisering af EU's elsystem.</w:t>
            </w:r>
            <w:r w:rsidRPr="002E44D1">
              <w:rPr>
                <w:rFonts w:ascii="Times New Roman" w:hAnsi="Times New Roman"/>
                <w:noProof/>
                <w:sz w:val="20"/>
                <w:vertAlign w:val="superscript"/>
              </w:rPr>
              <w:t>(c)</w:t>
            </w:r>
            <w:r w:rsidRPr="002E44D1">
              <w:rPr>
                <w:rFonts w:ascii="Times New Roman" w:hAnsi="Times New Roman"/>
                <w:noProof/>
              </w:rPr>
              <w:t xml:space="preserve"> </w:t>
            </w:r>
          </w:p>
          <w:p w14:paraId="692ADA54" w14:textId="094810F2" w:rsidR="00F82D4E" w:rsidRPr="002E44D1" w:rsidRDefault="1CBBE0D0" w:rsidP="00315694">
            <w:pPr>
              <w:pStyle w:val="Caption"/>
              <w:rPr>
                <w:rFonts w:eastAsia="Times New Roman" w:cs="Times New Roman"/>
                <w:noProof/>
              </w:rPr>
            </w:pPr>
            <w:r w:rsidRPr="002E44D1">
              <w:rPr>
                <w:noProof/>
              </w:rPr>
              <w:t xml:space="preserve">Figur </w:t>
            </w:r>
            <w:r w:rsidRPr="002E44D1">
              <w:rPr>
                <w:rFonts w:cs="Times New Roman"/>
                <w:noProof/>
              </w:rPr>
              <w:fldChar w:fldCharType="begin"/>
            </w:r>
            <w:r w:rsidRPr="002E44D1">
              <w:rPr>
                <w:rFonts w:cs="Times New Roman"/>
                <w:noProof/>
              </w:rPr>
              <w:instrText xml:space="preserve"> SEQ Figure \* ARABIC </w:instrText>
            </w:r>
            <w:r w:rsidRPr="002E44D1">
              <w:rPr>
                <w:rFonts w:cs="Times New Roman"/>
                <w:noProof/>
              </w:rPr>
              <w:fldChar w:fldCharType="separate"/>
            </w:r>
            <w:r w:rsidRPr="002E44D1">
              <w:rPr>
                <w:rFonts w:cs="Times New Roman"/>
                <w:noProof/>
              </w:rPr>
              <w:t>3</w:t>
            </w:r>
            <w:r w:rsidRPr="002E44D1">
              <w:rPr>
                <w:rFonts w:cs="Times New Roman"/>
                <w:noProof/>
              </w:rPr>
              <w:fldChar w:fldCharType="end"/>
            </w:r>
            <w:r w:rsidRPr="002E44D1">
              <w:rPr>
                <w:noProof/>
              </w:rPr>
              <w:t xml:space="preserve"> — Elproduktion fra kul, brunkul og gas samt CO</w:t>
            </w:r>
            <w:r w:rsidRPr="002E44D1">
              <w:rPr>
                <w:noProof/>
                <w:vertAlign w:val="subscript"/>
              </w:rPr>
              <w:t>2</w:t>
            </w:r>
            <w:r w:rsidRPr="002E44D1">
              <w:rPr>
                <w:noProof/>
              </w:rPr>
              <w:t>-emissioner fra elsystemet, 2019-2021</w:t>
            </w:r>
            <w:r w:rsidRPr="002E44D1">
              <w:rPr>
                <w:noProof/>
                <w:vertAlign w:val="superscript"/>
              </w:rPr>
              <w:t>(d)</w:t>
            </w:r>
            <w:r w:rsidRPr="002E44D1">
              <w:rPr>
                <w:noProof/>
              </w:rPr>
              <w:t>.</w:t>
            </w:r>
          </w:p>
          <w:p w14:paraId="2C06C07A" w14:textId="0C54B10C" w:rsidR="00F82D4E" w:rsidRPr="002E44D1" w:rsidRDefault="000E021F" w:rsidP="00315694">
            <w:pPr>
              <w:ind w:left="360"/>
              <w:jc w:val="center"/>
              <w:textAlignment w:val="center"/>
              <w:rPr>
                <w:rFonts w:ascii="Times New Roman" w:eastAsia="Times New Roman" w:hAnsi="Times New Roman" w:cs="Times New Roman"/>
                <w:noProof/>
              </w:rPr>
            </w:pPr>
            <w:r w:rsidRPr="002E44D1">
              <w:rPr>
                <w:noProof/>
                <w:lang w:val="en-GB" w:eastAsia="en-GB"/>
              </w:rPr>
              <w:drawing>
                <wp:inline distT="0" distB="0" distL="0" distR="0" wp14:anchorId="2818C771" wp14:editId="04ACDE77">
                  <wp:extent cx="4031218" cy="2828925"/>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032912" cy="2830114"/>
                          </a:xfrm>
                          <a:prstGeom prst="rect">
                            <a:avLst/>
                          </a:prstGeom>
                        </pic:spPr>
                      </pic:pic>
                    </a:graphicData>
                  </a:graphic>
                </wp:inline>
              </w:drawing>
            </w:r>
          </w:p>
          <w:p w14:paraId="605E7D5E" w14:textId="77777777" w:rsidR="00F82D4E" w:rsidRPr="002E44D1" w:rsidRDefault="00F82D4E" w:rsidP="00B454A5">
            <w:pPr>
              <w:keepNext/>
              <w:ind w:left="360"/>
              <w:jc w:val="both"/>
              <w:textAlignment w:val="center"/>
              <w:rPr>
                <w:rFonts w:ascii="Times New Roman" w:hAnsi="Times New Roman" w:cs="Times New Roman"/>
                <w:noProof/>
              </w:rPr>
            </w:pPr>
          </w:p>
          <w:p w14:paraId="23FC70E4" w14:textId="1CDC44EA" w:rsidR="00F82D4E" w:rsidRPr="002E44D1" w:rsidRDefault="1CBBE0D0" w:rsidP="00B454A5">
            <w:pPr>
              <w:spacing w:after="120"/>
              <w:jc w:val="both"/>
              <w:textAlignment w:val="center"/>
              <w:rPr>
                <w:rFonts w:ascii="Times New Roman" w:eastAsia="Times New Roman" w:hAnsi="Times New Roman" w:cs="Times New Roman"/>
                <w:noProof/>
                <w:sz w:val="20"/>
                <w:szCs w:val="20"/>
              </w:rPr>
            </w:pPr>
            <w:r w:rsidRPr="002E44D1">
              <w:rPr>
                <w:rFonts w:ascii="Times New Roman" w:hAnsi="Times New Roman"/>
                <w:noProof/>
                <w:sz w:val="20"/>
              </w:rPr>
              <w:t xml:space="preserve">I 2022 var der fortsat unormalt høje gaspriser. Ruslands invasion af Ukraine bidrog til en meget stor prisusikkerhed. Markedet forventes ikke i skrivende stund at vende tilbage til tidligere prisniveauer på kort sigt.  </w:t>
            </w:r>
          </w:p>
          <w:p w14:paraId="3A2FEB0F" w14:textId="09F11B7D" w:rsidR="00F82D4E" w:rsidRPr="002E44D1" w:rsidRDefault="634145F9" w:rsidP="00B454A5">
            <w:pPr>
              <w:spacing w:after="120"/>
              <w:jc w:val="both"/>
              <w:textAlignment w:val="center"/>
              <w:rPr>
                <w:rFonts w:ascii="Times New Roman" w:eastAsia="Times New Roman" w:hAnsi="Times New Roman" w:cs="Times New Roman"/>
                <w:noProof/>
                <w:sz w:val="20"/>
                <w:szCs w:val="20"/>
              </w:rPr>
            </w:pPr>
            <w:r w:rsidRPr="002E44D1">
              <w:rPr>
                <w:rFonts w:ascii="Times New Roman" w:hAnsi="Times New Roman"/>
                <w:noProof/>
                <w:sz w:val="20"/>
              </w:rPr>
              <w:t>"Fit for 55"-pakken har sammen med REPowerEU</w:t>
            </w:r>
            <w:r w:rsidRPr="002E44D1">
              <w:rPr>
                <w:rFonts w:ascii="Times New Roman" w:hAnsi="Times New Roman"/>
                <w:noProof/>
                <w:sz w:val="20"/>
                <w:vertAlign w:val="superscript"/>
              </w:rPr>
              <w:t>(e)</w:t>
            </w:r>
            <w:r w:rsidRPr="002E44D1">
              <w:rPr>
                <w:rFonts w:ascii="Times New Roman" w:hAnsi="Times New Roman"/>
                <w:noProof/>
                <w:sz w:val="20"/>
              </w:rPr>
              <w:t>-planen til formål at mindske EU's afhængighed af import af fossile brændstoffer og nå klimamålet for 2030 ved at fremskynde udbredelsen af vedvarende energi, diversificere forsyningerne og øge energieffektiviteten betydeligt. Investeringer beregnet på at diversificere forsyningerne bør forhindre strandede aktiver i fremtiden.</w:t>
            </w:r>
          </w:p>
          <w:p w14:paraId="569371B2" w14:textId="656E3ED4" w:rsidR="00EA3BF3" w:rsidRPr="002E44D1" w:rsidRDefault="36CC872A" w:rsidP="00EA3BF3">
            <w:pPr>
              <w:pStyle w:val="ListParagraph"/>
              <w:numPr>
                <w:ilvl w:val="0"/>
                <w:numId w:val="5"/>
              </w:numPr>
              <w:spacing w:after="120"/>
              <w:ind w:left="174" w:hanging="174"/>
              <w:jc w:val="both"/>
              <w:textAlignment w:val="center"/>
              <w:rPr>
                <w:rFonts w:ascii="Times New Roman" w:eastAsia="Times New Roman" w:hAnsi="Times New Roman" w:cs="Times New Roman"/>
                <w:noProof/>
                <w:sz w:val="16"/>
                <w:szCs w:val="16"/>
              </w:rPr>
            </w:pPr>
            <w:r w:rsidRPr="002E44D1">
              <w:rPr>
                <w:rFonts w:ascii="Times New Roman" w:hAnsi="Times New Roman"/>
                <w:noProof/>
                <w:sz w:val="16"/>
              </w:rPr>
              <w:t>Europa-Kommissionen, Quarterly report on electricity market, Volume 14 (for fjerde kvartal af 2021). Figur 18.</w:t>
            </w:r>
          </w:p>
          <w:p w14:paraId="2C824EB5" w14:textId="6F35693F" w:rsidR="00EA3BF3" w:rsidRPr="002E44D1" w:rsidRDefault="00614D6E" w:rsidP="00EA3BF3">
            <w:pPr>
              <w:pStyle w:val="ListParagraph"/>
              <w:numPr>
                <w:ilvl w:val="0"/>
                <w:numId w:val="5"/>
              </w:numPr>
              <w:spacing w:after="120"/>
              <w:ind w:left="174" w:hanging="174"/>
              <w:jc w:val="both"/>
              <w:textAlignment w:val="center"/>
              <w:rPr>
                <w:rFonts w:ascii="Times New Roman" w:eastAsia="Times New Roman" w:hAnsi="Times New Roman" w:cs="Times New Roman"/>
                <w:noProof/>
                <w:sz w:val="16"/>
                <w:szCs w:val="16"/>
              </w:rPr>
            </w:pPr>
            <w:hyperlink r:id="rId21">
              <w:r w:rsidR="0060288F" w:rsidRPr="002E44D1">
                <w:rPr>
                  <w:rStyle w:val="Hyperlink"/>
                  <w:rFonts w:ascii="Times New Roman" w:hAnsi="Times New Roman"/>
                  <w:noProof/>
                  <w:sz w:val="16"/>
                </w:rPr>
                <w:t>https://ec.europa.eu/clima/news-your-voice/news/emissions-trading-greenhouse-gas-emissions-73-2021-compared-2020-2022-04-25_en</w:t>
              </w:r>
            </w:hyperlink>
            <w:r w:rsidR="0060288F" w:rsidRPr="002E44D1">
              <w:rPr>
                <w:noProof/>
              </w:rPr>
              <w:t>.</w:t>
            </w:r>
          </w:p>
          <w:p w14:paraId="7C5A0363" w14:textId="0EB08ED8" w:rsidR="00EA3BF3" w:rsidRPr="002E44D1" w:rsidRDefault="00222F73" w:rsidP="00EA3BF3">
            <w:pPr>
              <w:pStyle w:val="ListParagraph"/>
              <w:numPr>
                <w:ilvl w:val="0"/>
                <w:numId w:val="5"/>
              </w:numPr>
              <w:spacing w:after="120"/>
              <w:ind w:left="174" w:hanging="174"/>
              <w:jc w:val="both"/>
              <w:textAlignment w:val="center"/>
              <w:rPr>
                <w:rFonts w:ascii="Times New Roman" w:eastAsia="Times New Roman" w:hAnsi="Times New Roman" w:cs="Times New Roman"/>
                <w:noProof/>
                <w:sz w:val="16"/>
                <w:szCs w:val="16"/>
              </w:rPr>
            </w:pPr>
            <w:r w:rsidRPr="002E44D1">
              <w:rPr>
                <w:rFonts w:ascii="Times New Roman" w:hAnsi="Times New Roman"/>
                <w:noProof/>
                <w:sz w:val="16"/>
              </w:rPr>
              <w:t xml:space="preserve">Emissionstendenser i EU-27 for IPCC-sektoren 1.A.1.a — Offentlig el- og varmeproduktion i EEA's dataoversigt for drivhusgasser </w:t>
            </w:r>
            <w:hyperlink r:id="rId22" w:history="1">
              <w:r w:rsidRPr="002E44D1">
                <w:rPr>
                  <w:rStyle w:val="Hyperlink"/>
                  <w:rFonts w:ascii="Times New Roman" w:hAnsi="Times New Roman"/>
                  <w:noProof/>
                  <w:sz w:val="16"/>
                </w:rPr>
                <w:t>https://www.eea.europa.eu/data-and-maps/data/data-viewers/greenhouse-gases-viewer</w:t>
              </w:r>
            </w:hyperlink>
            <w:r w:rsidRPr="002E44D1">
              <w:rPr>
                <w:rFonts w:ascii="Times New Roman" w:hAnsi="Times New Roman"/>
                <w:noProof/>
                <w:sz w:val="16"/>
              </w:rPr>
              <w:t xml:space="preserve">.  </w:t>
            </w:r>
          </w:p>
          <w:p w14:paraId="7C2B1E92" w14:textId="2E7D5CEB" w:rsidR="00EA3BF3" w:rsidRPr="002E44D1" w:rsidRDefault="36CC872A" w:rsidP="00EA3BF3">
            <w:pPr>
              <w:pStyle w:val="ListParagraph"/>
              <w:numPr>
                <w:ilvl w:val="0"/>
                <w:numId w:val="5"/>
              </w:numPr>
              <w:spacing w:after="120"/>
              <w:ind w:left="174" w:hanging="174"/>
              <w:jc w:val="both"/>
              <w:textAlignment w:val="center"/>
              <w:rPr>
                <w:rFonts w:ascii="Times New Roman" w:hAnsi="Times New Roman" w:cs="Times New Roman"/>
                <w:noProof/>
                <w:sz w:val="16"/>
                <w:szCs w:val="16"/>
              </w:rPr>
            </w:pPr>
            <w:r w:rsidRPr="002E44D1">
              <w:rPr>
                <w:rFonts w:ascii="Times New Roman" w:hAnsi="Times New Roman"/>
                <w:noProof/>
                <w:sz w:val="16"/>
              </w:rPr>
              <w:t>For 2019-2020 svarer CO</w:t>
            </w:r>
            <w:r w:rsidRPr="002E44D1">
              <w:rPr>
                <w:rFonts w:ascii="Times New Roman" w:hAnsi="Times New Roman"/>
                <w:noProof/>
                <w:sz w:val="16"/>
                <w:vertAlign w:val="subscript"/>
              </w:rPr>
              <w:t>2</w:t>
            </w:r>
            <w:r w:rsidRPr="002E44D1">
              <w:rPr>
                <w:rFonts w:ascii="Times New Roman" w:hAnsi="Times New Roman"/>
                <w:noProof/>
                <w:sz w:val="16"/>
              </w:rPr>
              <w:t>-emissionsværdierne til IPCC-sektor 1.A.1.a. Værdien for 2021 er ekstrapoleret under antagelse af, at den udviser den samme udvikling som emissionerne i Den Europæiske Unions transaktionsjournal for de tilsvarende sektorer.</w:t>
            </w:r>
          </w:p>
          <w:p w14:paraId="2683AA54" w14:textId="375DAF75" w:rsidR="00EA3BF3" w:rsidRPr="002E44D1" w:rsidRDefault="36CC872A" w:rsidP="00EA3BF3">
            <w:pPr>
              <w:pStyle w:val="ListParagraph"/>
              <w:numPr>
                <w:ilvl w:val="0"/>
                <w:numId w:val="5"/>
              </w:numPr>
              <w:spacing w:after="120"/>
              <w:ind w:left="174" w:hanging="174"/>
              <w:jc w:val="both"/>
              <w:textAlignment w:val="center"/>
              <w:rPr>
                <w:rFonts w:ascii="Times New Roman" w:eastAsia="Times New Roman" w:hAnsi="Times New Roman" w:cs="Times New Roman"/>
                <w:b/>
                <w:bCs/>
                <w:noProof/>
              </w:rPr>
            </w:pPr>
            <w:r w:rsidRPr="002E44D1">
              <w:rPr>
                <w:rFonts w:ascii="Times New Roman" w:hAnsi="Times New Roman"/>
                <w:noProof/>
                <w:sz w:val="16"/>
              </w:rPr>
              <w:t>COM(2022) 230 final.</w:t>
            </w:r>
          </w:p>
        </w:tc>
      </w:tr>
    </w:tbl>
    <w:p w14:paraId="003F913A" w14:textId="77777777" w:rsidR="00F82D4E" w:rsidRPr="002E44D1" w:rsidRDefault="00F82D4E" w:rsidP="00F82D4E">
      <w:pPr>
        <w:spacing w:after="0" w:line="240" w:lineRule="auto"/>
        <w:ind w:left="360"/>
        <w:jc w:val="both"/>
        <w:textAlignment w:val="center"/>
        <w:rPr>
          <w:rFonts w:ascii="Times New Roman" w:eastAsia="Times New Roman" w:hAnsi="Times New Roman" w:cs="Times New Roman"/>
          <w:b/>
          <w:bCs/>
          <w:noProof/>
          <w:lang w:eastAsia="en-IE"/>
        </w:rPr>
      </w:pPr>
    </w:p>
    <w:p w14:paraId="6FB78261" w14:textId="620D5BCC" w:rsidR="00F82D4E" w:rsidRPr="002E44D1" w:rsidRDefault="009D6147" w:rsidP="00F82D4E">
      <w:pPr>
        <w:pStyle w:val="Heading2"/>
        <w:rPr>
          <w:rFonts w:ascii="Times New Roman" w:hAnsi="Times New Roman" w:cs="Times New Roman"/>
          <w:noProof/>
        </w:rPr>
      </w:pPr>
      <w:r w:rsidRPr="002E44D1">
        <w:rPr>
          <w:rFonts w:ascii="Times New Roman" w:hAnsi="Times New Roman"/>
          <w:noProof/>
        </w:rPr>
        <w:t>Fremskridt med klimaindsatsen i EU</w:t>
      </w:r>
    </w:p>
    <w:p w14:paraId="6E11C89C" w14:textId="6E6CEBB2" w:rsidR="00F82D4E" w:rsidRPr="002E44D1" w:rsidRDefault="1CBBE0D0" w:rsidP="00F82D4E">
      <w:pPr>
        <w:jc w:val="both"/>
        <w:rPr>
          <w:rFonts w:ascii="Times New Roman" w:hAnsi="Times New Roman" w:cs="Times New Roman"/>
          <w:noProof/>
        </w:rPr>
      </w:pPr>
      <w:r w:rsidRPr="002E44D1">
        <w:rPr>
          <w:rFonts w:ascii="Times New Roman" w:hAnsi="Times New Roman"/>
          <w:noProof/>
        </w:rPr>
        <w:t xml:space="preserve">EU har gjort betydelige fremskridt inden for rammerne af </w:t>
      </w:r>
      <w:r w:rsidRPr="002E44D1">
        <w:rPr>
          <w:rFonts w:ascii="Times New Roman" w:hAnsi="Times New Roman"/>
          <w:b/>
          <w:noProof/>
        </w:rPr>
        <w:t>den europæiske grønne pagt</w:t>
      </w:r>
      <w:r w:rsidRPr="002E44D1">
        <w:rPr>
          <w:rFonts w:ascii="Times New Roman" w:hAnsi="Times New Roman"/>
          <w:noProof/>
        </w:rPr>
        <w:t xml:space="preserve">, der er planen for en grøn og inklusiv omstilling. </w:t>
      </w:r>
    </w:p>
    <w:p w14:paraId="374D8CB1" w14:textId="1B77A5FC" w:rsidR="00D53854" w:rsidRPr="002E44D1" w:rsidRDefault="1CBBE0D0" w:rsidP="00F82D4E">
      <w:pPr>
        <w:jc w:val="both"/>
        <w:rPr>
          <w:rFonts w:ascii="Times New Roman" w:hAnsi="Times New Roman" w:cs="Times New Roman"/>
          <w:noProof/>
        </w:rPr>
      </w:pPr>
      <w:r w:rsidRPr="002E44D1">
        <w:rPr>
          <w:rFonts w:ascii="Times New Roman" w:hAnsi="Times New Roman"/>
          <w:b/>
          <w:noProof/>
        </w:rPr>
        <w:t>Den europæiske klimalov</w:t>
      </w:r>
      <w:r w:rsidRPr="002E44D1">
        <w:rPr>
          <w:rStyle w:val="FootnoteReference"/>
          <w:rFonts w:ascii="Times New Roman" w:hAnsi="Times New Roman" w:cs="Times New Roman"/>
          <w:noProof/>
          <w:lang w:eastAsia="en-GB"/>
        </w:rPr>
        <w:footnoteReference w:id="15"/>
      </w:r>
      <w:r w:rsidRPr="002E44D1">
        <w:rPr>
          <w:rFonts w:ascii="Times New Roman" w:hAnsi="Times New Roman"/>
          <w:noProof/>
        </w:rPr>
        <w:t xml:space="preserve">, der har været i kraft siden juli 2021, fastsætter EU's mål om at blive klimaneutral senest i 2050 og reducere drivhusgasemissionerne med mindst 55 % senest i 2030 i forhold til 1990. Det er, hvad EU og dets medlemsstater har forpligtet sig til under Parisaftalen. </w:t>
      </w:r>
    </w:p>
    <w:p w14:paraId="1E5AF821" w14:textId="419C1BD6" w:rsidR="00F82D4E" w:rsidRPr="002E44D1" w:rsidRDefault="00597167" w:rsidP="00F82D4E">
      <w:pPr>
        <w:jc w:val="both"/>
        <w:rPr>
          <w:rFonts w:ascii="Times New Roman" w:hAnsi="Times New Roman" w:cs="Times New Roman"/>
          <w:noProof/>
        </w:rPr>
      </w:pPr>
      <w:r w:rsidRPr="002E44D1">
        <w:rPr>
          <w:rFonts w:ascii="Times New Roman" w:hAnsi="Times New Roman"/>
          <w:noProof/>
        </w:rPr>
        <w:t xml:space="preserve">I 2021 foreslog Kommissionen en </w:t>
      </w:r>
      <w:r w:rsidRPr="002E44D1">
        <w:rPr>
          <w:rFonts w:ascii="Times New Roman" w:hAnsi="Times New Roman"/>
          <w:b/>
          <w:noProof/>
        </w:rPr>
        <w:t>lovpakke om klima og energi</w:t>
      </w:r>
      <w:r w:rsidRPr="002E44D1">
        <w:rPr>
          <w:rFonts w:ascii="Times New Roman" w:hAnsi="Times New Roman"/>
          <w:noProof/>
        </w:rPr>
        <w:t xml:space="preserve"> for at sikre, at EU har en solid politisk ramme for at kunne nå EU's højere klimamål for 2030. Forslagene forhandles i øjeblikket af Europa-Parlamentet og Rådet. I år er der gjort fremskridt med andre bestemmelser i den europæiske klimalov. Det europæiske videnskabelige rådgivende organ om klimaændringer blev i 2022 udpeget til at yde uafhængig videnskabelig rådgivning om EU's foranstaltninger og klimamål. Kommissionen vedtog </w:t>
      </w:r>
      <w:r w:rsidRPr="002E44D1">
        <w:rPr>
          <w:rFonts w:ascii="Times New Roman" w:hAnsi="Times New Roman"/>
          <w:b/>
          <w:noProof/>
        </w:rPr>
        <w:t>retningslinjer for klimasikring</w:t>
      </w:r>
      <w:r w:rsidRPr="002E44D1">
        <w:rPr>
          <w:rStyle w:val="FootnoteReference"/>
          <w:rFonts w:ascii="Times New Roman" w:hAnsi="Times New Roman" w:cs="Times New Roman"/>
          <w:noProof/>
          <w:lang w:eastAsia="en-GB"/>
        </w:rPr>
        <w:footnoteReference w:id="16"/>
      </w:r>
      <w:r w:rsidRPr="002E44D1">
        <w:rPr>
          <w:rFonts w:ascii="Times New Roman" w:hAnsi="Times New Roman"/>
          <w:noProof/>
        </w:rPr>
        <w:t xml:space="preserve"> og ajourførte sine </w:t>
      </w:r>
      <w:r w:rsidRPr="002E44D1">
        <w:rPr>
          <w:rFonts w:ascii="Times New Roman" w:hAnsi="Times New Roman"/>
          <w:b/>
          <w:noProof/>
        </w:rPr>
        <w:t>instrumenter til bedre regulering</w:t>
      </w:r>
      <w:r w:rsidRPr="002E44D1">
        <w:rPr>
          <w:rStyle w:val="FootnoteReference"/>
          <w:rFonts w:ascii="Times New Roman" w:hAnsi="Times New Roman" w:cs="Times New Roman"/>
          <w:noProof/>
          <w:lang w:eastAsia="en-GB"/>
        </w:rPr>
        <w:footnoteReference w:id="17"/>
      </w:r>
      <w:r w:rsidRPr="002E44D1">
        <w:rPr>
          <w:rFonts w:ascii="Times New Roman" w:hAnsi="Times New Roman"/>
          <w:noProof/>
        </w:rPr>
        <w:t xml:space="preserve"> for at sikre, at den følger samme tilgang, når den vurderer, om udkastet til foranstaltninger er i overensstemmelse med målet om klimaneutralitet og fremskridt med hensyn til tilpasning som fastsat i klimaloven. </w:t>
      </w:r>
    </w:p>
    <w:p w14:paraId="44F0123F" w14:textId="203850BD" w:rsidR="00E16DBB" w:rsidRPr="002E44D1" w:rsidRDefault="00E16DBB" w:rsidP="00F82D4E">
      <w:pPr>
        <w:jc w:val="both"/>
        <w:rPr>
          <w:rFonts w:ascii="Times New Roman" w:hAnsi="Times New Roman" w:cs="Times New Roman"/>
          <w:noProof/>
        </w:rPr>
      </w:pPr>
      <w:r w:rsidRPr="002E44D1">
        <w:rPr>
          <w:rFonts w:ascii="Times New Roman" w:hAnsi="Times New Roman"/>
          <w:noProof/>
        </w:rPr>
        <w:t xml:space="preserve">Omstillingen til klimaneutralitet og modstandsdygtighed over for klimaændringer kræver betydelige investeringer. </w:t>
      </w:r>
    </w:p>
    <w:p w14:paraId="22EDD2AC" w14:textId="52789393" w:rsidR="00F82D4E" w:rsidRPr="002E44D1" w:rsidRDefault="00263A8C" w:rsidP="00F82D4E">
      <w:pPr>
        <w:jc w:val="both"/>
        <w:rPr>
          <w:rFonts w:ascii="Times New Roman" w:hAnsi="Times New Roman" w:cs="Times New Roman"/>
          <w:noProof/>
        </w:rPr>
      </w:pPr>
      <w:r w:rsidRPr="002E44D1">
        <w:rPr>
          <w:rFonts w:ascii="Times New Roman" w:hAnsi="Times New Roman"/>
          <w:noProof/>
        </w:rPr>
        <w:t xml:space="preserve">I 2021 indsendte medlemsstaterne deres </w:t>
      </w:r>
      <w:r w:rsidRPr="002E44D1">
        <w:rPr>
          <w:rFonts w:ascii="Times New Roman" w:hAnsi="Times New Roman"/>
          <w:b/>
          <w:noProof/>
        </w:rPr>
        <w:t>genopretnings- og resiliensplaner</w:t>
      </w:r>
      <w:r w:rsidRPr="002E44D1">
        <w:rPr>
          <w:rFonts w:ascii="Times New Roman" w:hAnsi="Times New Roman"/>
          <w:noProof/>
        </w:rPr>
        <w:t xml:space="preserve"> for at genopbygge deres økonomier efter pandemien. For de 26 genopretnings- og resiliensplaner, der blev vedtaget medio september 2022, er 40 % af de samlede planlagte udgifter øremærket til klimainvesteringer, hvilket ligger over den forpligtelse på 37 %, der er fastsat i forordningen om genopretnings- og resiliensfaciliteten (se kapitel 6)</w:t>
      </w:r>
      <w:r w:rsidRPr="002E44D1">
        <w:rPr>
          <w:rStyle w:val="FootnoteReference"/>
          <w:rFonts w:ascii="Times New Roman" w:hAnsi="Times New Roman" w:cs="Times New Roman"/>
          <w:noProof/>
          <w:lang w:eastAsia="en-GB"/>
        </w:rPr>
        <w:footnoteReference w:id="18"/>
      </w:r>
      <w:r w:rsidRPr="002E44D1">
        <w:rPr>
          <w:noProof/>
        </w:rPr>
        <w:t>.</w:t>
      </w:r>
      <w:r w:rsidRPr="002E44D1">
        <w:rPr>
          <w:rFonts w:ascii="Times New Roman" w:hAnsi="Times New Roman"/>
          <w:noProof/>
        </w:rPr>
        <w:t xml:space="preserve"> </w:t>
      </w:r>
    </w:p>
    <w:p w14:paraId="18B7CB4E" w14:textId="7AA52FDF" w:rsidR="00F82D4E" w:rsidRPr="002E44D1" w:rsidRDefault="1CBBE0D0" w:rsidP="09370AC4">
      <w:pPr>
        <w:jc w:val="both"/>
        <w:rPr>
          <w:rFonts w:ascii="Times New Roman" w:eastAsia="Calibri" w:hAnsi="Times New Roman" w:cs="Times New Roman"/>
          <w:noProof/>
          <w:color w:val="000000" w:themeColor="text1"/>
        </w:rPr>
      </w:pPr>
      <w:r w:rsidRPr="002E44D1">
        <w:rPr>
          <w:rFonts w:ascii="Times New Roman" w:hAnsi="Times New Roman"/>
          <w:noProof/>
          <w:color w:val="000000" w:themeColor="text1"/>
        </w:rPr>
        <w:t xml:space="preserve">I maj 2022 foreslog Kommissionen </w:t>
      </w:r>
      <w:r w:rsidRPr="002E44D1">
        <w:rPr>
          <w:rFonts w:ascii="Times New Roman" w:hAnsi="Times New Roman"/>
          <w:b/>
          <w:noProof/>
          <w:color w:val="000000" w:themeColor="text1"/>
        </w:rPr>
        <w:t>REPowerEU-planen</w:t>
      </w:r>
      <w:r w:rsidRPr="002E44D1">
        <w:rPr>
          <w:rStyle w:val="FootnoteReference"/>
          <w:rFonts w:ascii="Times New Roman" w:eastAsia="Calibri" w:hAnsi="Times New Roman" w:cs="Times New Roman"/>
          <w:b/>
          <w:bCs/>
          <w:noProof/>
          <w:color w:val="000000" w:themeColor="text1"/>
        </w:rPr>
        <w:footnoteReference w:id="19"/>
      </w:r>
      <w:r w:rsidRPr="002E44D1">
        <w:rPr>
          <w:rFonts w:ascii="Times New Roman" w:hAnsi="Times New Roman"/>
          <w:noProof/>
          <w:color w:val="000000" w:themeColor="text1"/>
        </w:rPr>
        <w:t xml:space="preserve"> som reaktion på de forstyrrelser på energimarkedet, som Ruslands invasion af Ukraine har forårsaget. I planen anslås det, at der er behov for yderligere investeringer på 210 mia. EUR i energieffektivitet, energiinfrastruktur og vedvarende energi, hvis EU skal reducere sit forbrug af fossile brændstoffer og reducere den russiske gasimport med to tredjedele frem til 2027. Kommissionen foreslår foranstaltninger til at nedbringe emissioner og energiomkostninger for forbrugerne og industrien, herunder at øge energieffektivitetsmålet for 2030 til 13 % og øge andelen af vedvarende energikilder i EU's energiforbrug fra 22,1 % i 2020 til 45 % i 2030, hvilket ligger over målet på 40 % i "Fit for 55"-forslaget.</w:t>
      </w:r>
      <w:r w:rsidRPr="002E44D1">
        <w:rPr>
          <w:rFonts w:ascii="Times New Roman" w:eastAsia="Calibri" w:hAnsi="Times New Roman" w:cs="Times New Roman"/>
          <w:noProof/>
          <w:color w:val="000000" w:themeColor="text1"/>
          <w:vertAlign w:val="superscript"/>
        </w:rPr>
        <w:footnoteReference w:id="20"/>
      </w:r>
      <w:r w:rsidRPr="002E44D1">
        <w:rPr>
          <w:rFonts w:ascii="Times New Roman" w:hAnsi="Times New Roman"/>
          <w:noProof/>
          <w:color w:val="000000" w:themeColor="text1"/>
        </w:rPr>
        <w:t xml:space="preserve"> EU kan spare næsten 100 mia. EUR om året på import af fossile brændstoffer fra Rusland.</w:t>
      </w:r>
    </w:p>
    <w:p w14:paraId="2348904F" w14:textId="79E22EF8" w:rsidR="00F82D4E" w:rsidRPr="002E44D1" w:rsidRDefault="00B61FDB" w:rsidP="00F82D4E">
      <w:pPr>
        <w:jc w:val="both"/>
        <w:rPr>
          <w:rFonts w:ascii="Times New Roman" w:eastAsia="Calibri" w:hAnsi="Times New Roman" w:cs="Times New Roman"/>
          <w:noProof/>
          <w:color w:val="000000" w:themeColor="text1"/>
        </w:rPr>
      </w:pPr>
      <w:r w:rsidRPr="002E44D1">
        <w:rPr>
          <w:rFonts w:ascii="Times New Roman" w:hAnsi="Times New Roman"/>
          <w:noProof/>
          <w:color w:val="000000" w:themeColor="text1"/>
        </w:rPr>
        <w:t>De resterende 225 mia. EUR i genopretnings- og resiliensfaciliteten vil være til rådighed for tiltag under REPowerEU. I planen foreslås der yderligere 20 mia. EUR i tilskud fra salget af kvoter fra EU ETS' markedsstabilitetsreserve for at øge finansieringen under genopretnings- og resiliensfaciliteten. Medlemsstaterne kan også omdirigere visse EU-midler til REPowerEU-målene. Der tilføres flere penge til klimaprojekter end nogensinde før. Mindst 30 % af EU-budgettet for 2021-2027 — den største andel nogensinde — og af NextGenerationEU afsættes til klimaindsatsen (en stigning fra 20 % i 2014-2020) (se kapitel 6).</w:t>
      </w:r>
    </w:p>
    <w:p w14:paraId="0D321F5A" w14:textId="64AD9E94" w:rsidR="00295E2A" w:rsidRPr="002E44D1" w:rsidRDefault="00295E2A" w:rsidP="00F82D4E">
      <w:pPr>
        <w:jc w:val="both"/>
        <w:rPr>
          <w:rFonts w:ascii="Times New Roman" w:eastAsia="Calibri" w:hAnsi="Times New Roman" w:cs="Times New Roman"/>
          <w:noProof/>
          <w:color w:val="000000" w:themeColor="text1"/>
        </w:rPr>
      </w:pPr>
      <w:r w:rsidRPr="002E44D1">
        <w:rPr>
          <w:rFonts w:ascii="Times New Roman" w:hAnsi="Times New Roman"/>
          <w:noProof/>
          <w:color w:val="000000" w:themeColor="text1"/>
        </w:rPr>
        <w:t>I juli vedtog Kommissionen meddelelsen "Spar på gassen til en sikker vinter"</w:t>
      </w:r>
      <w:r w:rsidRPr="002E44D1">
        <w:rPr>
          <w:rStyle w:val="FootnoteReference"/>
          <w:rFonts w:ascii="Times New Roman" w:eastAsia="Calibri" w:hAnsi="Times New Roman" w:cs="Times New Roman"/>
          <w:noProof/>
          <w:color w:val="000000" w:themeColor="text1"/>
        </w:rPr>
        <w:footnoteReference w:id="21"/>
      </w:r>
      <w:r w:rsidRPr="002E44D1">
        <w:rPr>
          <w:rFonts w:ascii="Times New Roman" w:hAnsi="Times New Roman"/>
          <w:noProof/>
          <w:color w:val="000000" w:themeColor="text1"/>
        </w:rPr>
        <w:t>, herunder en plan for reduktion af efterspørgslen efter gas og et forslag til forordning om koordinerede foranstaltninger til reduktion af efterspørgslen efter gas</w:t>
      </w:r>
      <w:r w:rsidRPr="002E44D1">
        <w:rPr>
          <w:rStyle w:val="FootnoteReference"/>
          <w:rFonts w:ascii="Times New Roman" w:eastAsia="Calibri" w:hAnsi="Times New Roman" w:cs="Times New Roman"/>
          <w:noProof/>
          <w:color w:val="000000" w:themeColor="text1"/>
        </w:rPr>
        <w:footnoteReference w:id="22"/>
      </w:r>
      <w:r w:rsidRPr="002E44D1">
        <w:rPr>
          <w:noProof/>
        </w:rPr>
        <w:t>.</w:t>
      </w:r>
      <w:r w:rsidRPr="002E44D1">
        <w:rPr>
          <w:rFonts w:ascii="Times New Roman" w:hAnsi="Times New Roman"/>
          <w:noProof/>
          <w:color w:val="000000" w:themeColor="text1"/>
        </w:rPr>
        <w:t xml:space="preserve"> Medlemsstaterne træffer foranstaltninger for at reducere deres energiforbrug. </w:t>
      </w:r>
    </w:p>
    <w:p w14:paraId="1A3306DE" w14:textId="2166D628" w:rsidR="000D34AA" w:rsidRPr="002E44D1" w:rsidRDefault="002176A7" w:rsidP="00F82D4E">
      <w:pPr>
        <w:jc w:val="both"/>
        <w:rPr>
          <w:rFonts w:ascii="Times New Roman" w:eastAsia="Calibri" w:hAnsi="Times New Roman" w:cs="Times New Roman"/>
          <w:noProof/>
          <w:color w:val="000000" w:themeColor="text1"/>
        </w:rPr>
      </w:pPr>
      <w:r w:rsidRPr="002E44D1">
        <w:rPr>
          <w:rFonts w:ascii="Times New Roman" w:hAnsi="Times New Roman"/>
          <w:noProof/>
          <w:color w:val="000000" w:themeColor="text1"/>
        </w:rPr>
        <w:t xml:space="preserve">Inden for rammerne af strategien for bæredygtig og intelligent mobilitet foreslog Kommissionen i år </w:t>
      </w:r>
      <w:r w:rsidRPr="002E44D1">
        <w:rPr>
          <w:rFonts w:ascii="Times New Roman" w:hAnsi="Times New Roman"/>
          <w:b/>
          <w:noProof/>
          <w:color w:val="000000" w:themeColor="text1"/>
        </w:rPr>
        <w:t>en ny EU-ramme for mobilitet i byer</w:t>
      </w:r>
      <w:r w:rsidRPr="002E44D1">
        <w:rPr>
          <w:rFonts w:ascii="Times New Roman" w:hAnsi="Times New Roman"/>
          <w:noProof/>
          <w:color w:val="000000" w:themeColor="text1"/>
        </w:rPr>
        <w:t xml:space="preserve"> og en handlingsplan for at øge jernbanetrafikken over lange afstande og på tværs af grænserne for at gøre jernbanetransport mere attraktiv for passagerer. </w:t>
      </w:r>
    </w:p>
    <w:p w14:paraId="109E1169" w14:textId="39DF1F52" w:rsidR="000B4188" w:rsidRPr="002E44D1" w:rsidRDefault="00E10498" w:rsidP="000B4188">
      <w:pPr>
        <w:pStyle w:val="Heading2"/>
        <w:rPr>
          <w:rFonts w:ascii="Times New Roman" w:hAnsi="Times New Roman" w:cs="Times New Roman"/>
          <w:noProof/>
        </w:rPr>
      </w:pPr>
      <w:r w:rsidRPr="002E44D1">
        <w:rPr>
          <w:rFonts w:ascii="Times New Roman" w:hAnsi="Times New Roman"/>
          <w:noProof/>
        </w:rPr>
        <w:t>Investering i innovation</w:t>
      </w:r>
    </w:p>
    <w:p w14:paraId="50E40F26" w14:textId="385C1A55" w:rsidR="000B4188" w:rsidRPr="002E44D1" w:rsidRDefault="00180CD5" w:rsidP="000B4188">
      <w:pPr>
        <w:jc w:val="both"/>
        <w:rPr>
          <w:rFonts w:ascii="Times New Roman" w:eastAsia="Calibri" w:hAnsi="Times New Roman" w:cs="Times New Roman"/>
          <w:noProof/>
          <w:color w:val="000000" w:themeColor="text1"/>
        </w:rPr>
      </w:pPr>
      <w:r w:rsidRPr="002E44D1">
        <w:rPr>
          <w:rFonts w:ascii="Times New Roman" w:hAnsi="Times New Roman"/>
          <w:b/>
          <w:noProof/>
          <w:color w:val="000000" w:themeColor="text1"/>
        </w:rPr>
        <w:t>ETS-innovationsfonden</w:t>
      </w:r>
      <w:r w:rsidRPr="002E44D1">
        <w:rPr>
          <w:rFonts w:ascii="Times New Roman" w:hAnsi="Times New Roman"/>
          <w:noProof/>
          <w:color w:val="000000" w:themeColor="text1"/>
        </w:rPr>
        <w:t xml:space="preserve"> yder fortsat støtte til EU's industri til udvikling af banebrydende teknologier og til opskalering af innovation inden for vedvarende brint og andre rene teknologiske løsninger. De disponible midler er siden den første runde steget med mere end 50 %, hvilket er et stort bidrag til dekarboniseringen af industrien i EU, der supplerer instrumenter som Horisont Europa (se kapitel 6).</w:t>
      </w:r>
    </w:p>
    <w:p w14:paraId="2624BF7B" w14:textId="48FAA095" w:rsidR="00C677EF" w:rsidRPr="002E44D1" w:rsidRDefault="00C677EF" w:rsidP="00C677EF">
      <w:pPr>
        <w:pStyle w:val="Heading2"/>
        <w:rPr>
          <w:rFonts w:ascii="Times New Roman" w:hAnsi="Times New Roman" w:cs="Times New Roman"/>
          <w:noProof/>
        </w:rPr>
      </w:pPr>
      <w:r w:rsidRPr="002E44D1">
        <w:rPr>
          <w:rFonts w:ascii="Times New Roman" w:hAnsi="Times New Roman"/>
          <w:noProof/>
        </w:rPr>
        <w:t>Mobilisering af mere privat kapital inden for grøn finansiering</w:t>
      </w:r>
    </w:p>
    <w:p w14:paraId="46497306" w14:textId="5FF8F6AF" w:rsidR="002C5446" w:rsidRPr="002E44D1" w:rsidRDefault="003D1A1C" w:rsidP="00EB474A">
      <w:pPr>
        <w:jc w:val="both"/>
        <w:rPr>
          <w:rFonts w:ascii="Times New Roman" w:eastAsia="Calibri" w:hAnsi="Times New Roman" w:cs="Times New Roman"/>
          <w:noProof/>
          <w:color w:val="000000" w:themeColor="text1"/>
        </w:rPr>
      </w:pPr>
      <w:r w:rsidRPr="002E44D1">
        <w:rPr>
          <w:rFonts w:ascii="Times New Roman" w:hAnsi="Times New Roman"/>
          <w:noProof/>
          <w:color w:val="000000" w:themeColor="text1"/>
        </w:rPr>
        <w:t>Kommissionen arbejder på at tilpasse reglerne på kapitalmarkedet til klimamålene, herunder at gennemføre den fornyede strategi for bæredygtig finansiering</w:t>
      </w:r>
      <w:r w:rsidRPr="002E44D1">
        <w:rPr>
          <w:rFonts w:ascii="Times New Roman" w:eastAsia="Calibri" w:hAnsi="Times New Roman" w:cs="Times New Roman"/>
          <w:noProof/>
          <w:color w:val="000000" w:themeColor="text1"/>
          <w:vertAlign w:val="superscript"/>
        </w:rPr>
        <w:footnoteReference w:id="23"/>
      </w:r>
      <w:r w:rsidRPr="002E44D1">
        <w:rPr>
          <w:rFonts w:ascii="Times New Roman" w:hAnsi="Times New Roman"/>
          <w:noProof/>
          <w:color w:val="000000" w:themeColor="text1"/>
        </w:rPr>
        <w:t>. Kommissionen har foreslået et direktiv om virksomheders bæredygtighedsrapportering</w:t>
      </w:r>
      <w:r w:rsidRPr="002E44D1">
        <w:rPr>
          <w:rFonts w:ascii="Times New Roman" w:eastAsia="Calibri" w:hAnsi="Times New Roman" w:cs="Times New Roman"/>
          <w:noProof/>
          <w:color w:val="000000" w:themeColor="text1"/>
          <w:vertAlign w:val="superscript"/>
        </w:rPr>
        <w:footnoteReference w:id="24"/>
      </w:r>
      <w:r w:rsidRPr="002E44D1">
        <w:rPr>
          <w:rFonts w:ascii="Times New Roman" w:hAnsi="Times New Roman"/>
          <w:noProof/>
          <w:color w:val="000000" w:themeColor="text1"/>
        </w:rPr>
        <w:t xml:space="preserve"> for sammenlignelige klimarelaterede oplysninger, et direktiv om virksomhedernes due diligence i forbindelse med bæredygtighed</w:t>
      </w:r>
      <w:r w:rsidRPr="002E44D1">
        <w:rPr>
          <w:rFonts w:ascii="Times New Roman" w:eastAsia="Calibri" w:hAnsi="Times New Roman" w:cs="Times New Roman"/>
          <w:noProof/>
          <w:color w:val="000000" w:themeColor="text1"/>
          <w:vertAlign w:val="superscript"/>
        </w:rPr>
        <w:footnoteReference w:id="25"/>
      </w:r>
      <w:r w:rsidRPr="002E44D1">
        <w:rPr>
          <w:rFonts w:ascii="Times New Roman" w:hAnsi="Times New Roman"/>
          <w:noProof/>
          <w:color w:val="000000" w:themeColor="text1"/>
        </w:rPr>
        <w:t xml:space="preserve"> og målrettede ændringer af EU's bank-</w:t>
      </w:r>
      <w:r w:rsidRPr="002E44D1">
        <w:rPr>
          <w:rFonts w:ascii="Times New Roman" w:eastAsia="Calibri" w:hAnsi="Times New Roman" w:cs="Times New Roman"/>
          <w:noProof/>
          <w:color w:val="000000" w:themeColor="text1"/>
          <w:vertAlign w:val="superscript"/>
        </w:rPr>
        <w:footnoteReference w:id="26"/>
      </w:r>
      <w:r w:rsidRPr="002E44D1">
        <w:rPr>
          <w:rFonts w:ascii="Times New Roman" w:hAnsi="Times New Roman"/>
          <w:noProof/>
          <w:color w:val="000000" w:themeColor="text1"/>
        </w:rPr>
        <w:t xml:space="preserve"> og forsikringsregler</w:t>
      </w:r>
      <w:r w:rsidRPr="002E44D1">
        <w:rPr>
          <w:rFonts w:ascii="Times New Roman" w:eastAsia="Calibri" w:hAnsi="Times New Roman" w:cs="Times New Roman"/>
          <w:noProof/>
          <w:color w:val="000000" w:themeColor="text1"/>
          <w:vertAlign w:val="superscript"/>
        </w:rPr>
        <w:footnoteReference w:id="27"/>
      </w:r>
      <w:r w:rsidRPr="002E44D1">
        <w:rPr>
          <w:rFonts w:ascii="Times New Roman" w:hAnsi="Times New Roman"/>
          <w:noProof/>
          <w:color w:val="000000" w:themeColor="text1"/>
        </w:rPr>
        <w:t xml:space="preserve"> for at sikre, at de indbygger klimarisici i deres forvaltning og aktiviteter. </w:t>
      </w:r>
    </w:p>
    <w:p w14:paraId="465E4298" w14:textId="2A8C8226" w:rsidR="007A3314" w:rsidRPr="002E44D1" w:rsidRDefault="00EB474A" w:rsidP="00F82D4E">
      <w:pPr>
        <w:jc w:val="both"/>
        <w:rPr>
          <w:rFonts w:ascii="Times New Roman" w:eastAsia="Calibri" w:hAnsi="Times New Roman" w:cs="Times New Roman"/>
          <w:noProof/>
          <w:color w:val="000000" w:themeColor="text1"/>
        </w:rPr>
      </w:pPr>
      <w:r w:rsidRPr="002E44D1">
        <w:rPr>
          <w:rFonts w:ascii="Times New Roman" w:hAnsi="Times New Roman"/>
          <w:noProof/>
          <w:color w:val="000000" w:themeColor="text1"/>
        </w:rPr>
        <w:t>Kommissionen har foreslået en særlig behandling af visse energiaktiviteter i henhold til klassificeringsforordningen.</w:t>
      </w:r>
      <w:r w:rsidRPr="002E44D1">
        <w:rPr>
          <w:rFonts w:ascii="Times New Roman" w:eastAsia="Calibri" w:hAnsi="Times New Roman" w:cs="Times New Roman"/>
          <w:noProof/>
          <w:color w:val="000000" w:themeColor="text1"/>
          <w:vertAlign w:val="superscript"/>
        </w:rPr>
        <w:footnoteReference w:id="28"/>
      </w:r>
      <w:r w:rsidRPr="002E44D1">
        <w:rPr>
          <w:rFonts w:ascii="Times New Roman" w:hAnsi="Times New Roman"/>
          <w:noProof/>
          <w:color w:val="000000" w:themeColor="text1"/>
        </w:rPr>
        <w:t xml:space="preserve"> Den har indsamlet dokumentation til eventuelle lovgivningsforslag om kreditvurderinger og om miljømæssige, sociale og ledelsesmæssige vurderinger</w:t>
      </w:r>
      <w:r w:rsidRPr="002E44D1">
        <w:rPr>
          <w:rFonts w:ascii="Times New Roman" w:eastAsia="Calibri" w:hAnsi="Times New Roman" w:cs="Times New Roman"/>
          <w:noProof/>
          <w:color w:val="000000" w:themeColor="text1"/>
          <w:vertAlign w:val="superscript"/>
        </w:rPr>
        <w:footnoteReference w:id="29"/>
      </w:r>
      <w:r w:rsidRPr="002E44D1">
        <w:rPr>
          <w:rFonts w:ascii="Times New Roman" w:hAnsi="Times New Roman"/>
          <w:noProof/>
          <w:color w:val="000000" w:themeColor="text1"/>
        </w:rPr>
        <w:t xml:space="preserve"> samt om revisionen af den makroprudentielle ramme.</w:t>
      </w:r>
      <w:r w:rsidRPr="002E44D1">
        <w:rPr>
          <w:rFonts w:ascii="Times New Roman" w:eastAsia="Calibri" w:hAnsi="Times New Roman" w:cs="Times New Roman"/>
          <w:noProof/>
          <w:color w:val="000000" w:themeColor="text1"/>
          <w:vertAlign w:val="superscript"/>
        </w:rPr>
        <w:footnoteReference w:id="30"/>
      </w:r>
      <w:r w:rsidRPr="002E44D1">
        <w:rPr>
          <w:rFonts w:ascii="Times New Roman" w:hAnsi="Times New Roman"/>
          <w:noProof/>
          <w:color w:val="000000" w:themeColor="text1"/>
        </w:rPr>
        <w:t xml:space="preserve"> </w:t>
      </w:r>
    </w:p>
    <w:p w14:paraId="1285378A" w14:textId="77777777" w:rsidR="007A7A16" w:rsidRPr="002E44D1" w:rsidRDefault="007A7A16" w:rsidP="00372A2C">
      <w:pPr>
        <w:pStyle w:val="Heading2"/>
        <w:jc w:val="both"/>
        <w:rPr>
          <w:rFonts w:ascii="Times New Roman" w:hAnsi="Times New Roman" w:cs="Times New Roman"/>
          <w:noProof/>
        </w:rPr>
      </w:pPr>
      <w:r w:rsidRPr="002E44D1">
        <w:rPr>
          <w:rFonts w:ascii="Times New Roman" w:hAnsi="Times New Roman"/>
          <w:noProof/>
        </w:rPr>
        <w:t xml:space="preserve">Styrkelse af social retfærdighed og økonomisk modstandsdygtighed </w:t>
      </w:r>
    </w:p>
    <w:p w14:paraId="1BB05AD0" w14:textId="06F4A66F" w:rsidR="007A7A16" w:rsidRPr="002E44D1" w:rsidRDefault="008A37FE" w:rsidP="007A7A16">
      <w:pPr>
        <w:jc w:val="both"/>
        <w:rPr>
          <w:rFonts w:ascii="Times New Roman" w:eastAsia="Calibri" w:hAnsi="Times New Roman" w:cs="Times New Roman"/>
          <w:noProof/>
          <w:color w:val="000000" w:themeColor="text1"/>
        </w:rPr>
      </w:pPr>
      <w:r w:rsidRPr="002E44D1">
        <w:rPr>
          <w:rFonts w:ascii="Times New Roman" w:hAnsi="Times New Roman"/>
          <w:noProof/>
          <w:color w:val="000000" w:themeColor="text1"/>
        </w:rPr>
        <w:t xml:space="preserve">Den grønne omstilling skal for at blive en succes være retfærdig og inklusiv i overensstemmelse med den europæiske søjle for sociale rettigheder og støtte dem, der står over for den største udfordring. Den geopolitiske situation og udviklingen i energipriserne understreger behovet for at fremskynde omstillingen og samtidig opbygge social og økonomisk modstandsdygtighed. </w:t>
      </w:r>
    </w:p>
    <w:p w14:paraId="7E6565C7" w14:textId="30B72474" w:rsidR="007A7A16" w:rsidRPr="002E44D1" w:rsidRDefault="008A37FE" w:rsidP="007A7A16">
      <w:pPr>
        <w:jc w:val="both"/>
        <w:rPr>
          <w:rFonts w:ascii="Times New Roman" w:hAnsi="Times New Roman" w:cs="Times New Roman"/>
          <w:noProof/>
        </w:rPr>
      </w:pPr>
      <w:r w:rsidRPr="002E44D1">
        <w:rPr>
          <w:rFonts w:ascii="Times New Roman" w:hAnsi="Times New Roman"/>
          <w:noProof/>
        </w:rPr>
        <w:t xml:space="preserve">I juni 2022 blev der vedtaget en henstilling fra Rådet om at </w:t>
      </w:r>
      <w:r w:rsidRPr="002E44D1">
        <w:rPr>
          <w:rFonts w:ascii="Times New Roman" w:hAnsi="Times New Roman"/>
          <w:b/>
          <w:noProof/>
        </w:rPr>
        <w:t>sikre en retfærdig omstilling til klimaneutralitet</w:t>
      </w:r>
      <w:r w:rsidRPr="002E44D1">
        <w:rPr>
          <w:rStyle w:val="FootnoteReference"/>
          <w:rFonts w:ascii="Times New Roman" w:hAnsi="Times New Roman" w:cs="Times New Roman"/>
          <w:noProof/>
          <w:lang w:eastAsia="en-GB"/>
        </w:rPr>
        <w:footnoteReference w:id="31"/>
      </w:r>
      <w:r w:rsidRPr="002E44D1">
        <w:rPr>
          <w:rFonts w:ascii="Times New Roman" w:hAnsi="Times New Roman"/>
          <w:noProof/>
        </w:rPr>
        <w:t xml:space="preserve"> for at vejlede medlemsstaterne om, hvordan de udformer og gennemfører politiske pakker om beskæftigelse, færdigheder samt sociale og fordelingsmæssige aspekter af omstillingen</w:t>
      </w:r>
      <w:r w:rsidRPr="002E44D1">
        <w:rPr>
          <w:rStyle w:val="FootnoteReference"/>
          <w:rFonts w:ascii="Times New Roman" w:eastAsia="Calibri" w:hAnsi="Times New Roman" w:cs="Times New Roman"/>
          <w:noProof/>
          <w:color w:val="000000" w:themeColor="text1"/>
        </w:rPr>
        <w:footnoteReference w:id="32"/>
      </w:r>
      <w:r w:rsidRPr="002E44D1">
        <w:rPr>
          <w:noProof/>
        </w:rPr>
        <w:t>.</w:t>
      </w:r>
      <w:r w:rsidRPr="002E44D1">
        <w:rPr>
          <w:rFonts w:ascii="Times New Roman" w:hAnsi="Times New Roman"/>
          <w:noProof/>
          <w:color w:val="000000" w:themeColor="text1"/>
        </w:rPr>
        <w:t xml:space="preserve"> På grund af de stigende energipriser er medlemsstaterne i færd med at indføre foranstaltninger, der skal give personer med lave indkomster adgang til energi og transport. En række EU-finansieringsinstrumenter yder støtte til en retfærdig og social omstilling (kapitel 6)</w:t>
      </w:r>
      <w:r w:rsidRPr="002E44D1">
        <w:rPr>
          <w:rStyle w:val="FootnoteReference"/>
          <w:rFonts w:ascii="Times New Roman" w:eastAsia="Calibri" w:hAnsi="Times New Roman" w:cs="Times New Roman"/>
          <w:noProof/>
          <w:color w:val="000000" w:themeColor="text1"/>
        </w:rPr>
        <w:footnoteReference w:id="33"/>
      </w:r>
      <w:r w:rsidRPr="002E44D1">
        <w:rPr>
          <w:noProof/>
        </w:rPr>
        <w:t>.</w:t>
      </w:r>
    </w:p>
    <w:p w14:paraId="59F2F75A" w14:textId="08A6A6B5" w:rsidR="00F82D4E" w:rsidRPr="002E44D1" w:rsidRDefault="00830AF6" w:rsidP="00B05FA4">
      <w:pPr>
        <w:pStyle w:val="Heading2"/>
        <w:rPr>
          <w:rFonts w:ascii="Times New Roman" w:hAnsi="Times New Roman" w:cs="Times New Roman"/>
          <w:noProof/>
        </w:rPr>
      </w:pPr>
      <w:r w:rsidRPr="002E44D1">
        <w:rPr>
          <w:rFonts w:ascii="Times New Roman" w:hAnsi="Times New Roman"/>
          <w:noProof/>
        </w:rPr>
        <w:t xml:space="preserve">Inddragelse af mennesker  </w:t>
      </w:r>
    </w:p>
    <w:p w14:paraId="7377253A" w14:textId="2E7BB454" w:rsidR="00B5411B" w:rsidRPr="002E44D1" w:rsidRDefault="00B5411B" w:rsidP="00B5411B">
      <w:pPr>
        <w:jc w:val="both"/>
        <w:rPr>
          <w:rFonts w:ascii="Times New Roman" w:hAnsi="Times New Roman" w:cs="Times New Roman"/>
          <w:noProof/>
        </w:rPr>
      </w:pPr>
      <w:r w:rsidRPr="002E44D1">
        <w:rPr>
          <w:rFonts w:ascii="Times New Roman" w:hAnsi="Times New Roman"/>
          <w:noProof/>
        </w:rPr>
        <w:t xml:space="preserve">Omstillingen til et klimaneutralt samfund handler om mennesker: hvordan vi producerer, forbruger og bevæger os rundt, opvarmer og afkøler vores hjem, arbejder og lever sammen. Aktiv offentlig deltagelse er altafgørende. </w:t>
      </w:r>
      <w:r w:rsidRPr="002E44D1">
        <w:rPr>
          <w:rFonts w:ascii="Times New Roman" w:hAnsi="Times New Roman"/>
          <w:b/>
          <w:noProof/>
        </w:rPr>
        <w:t>Den europæiske klimapagt</w:t>
      </w:r>
      <w:r w:rsidRPr="002E44D1">
        <w:rPr>
          <w:rStyle w:val="FootnoteReference"/>
          <w:rFonts w:ascii="Times New Roman" w:hAnsi="Times New Roman" w:cs="Times New Roman"/>
          <w:noProof/>
        </w:rPr>
        <w:footnoteReference w:id="34"/>
      </w:r>
      <w:r w:rsidRPr="002E44D1">
        <w:rPr>
          <w:rFonts w:ascii="Times New Roman" w:hAnsi="Times New Roman"/>
          <w:noProof/>
        </w:rPr>
        <w:t xml:space="preserve"> giver alle en stemme og en platform til at udforme nye klimaforanstaltninger, udbygge aktiviteter, dele information og viden, iværksætte og forbinde græsrodsaktiviteter og fremvise løsninger. </w:t>
      </w:r>
    </w:p>
    <w:p w14:paraId="7085AE4F" w14:textId="641026FC" w:rsidR="00F82D4E" w:rsidRPr="002E44D1" w:rsidRDefault="00830AF6" w:rsidP="00F82D4E">
      <w:pPr>
        <w:jc w:val="both"/>
        <w:rPr>
          <w:rFonts w:ascii="Times New Roman" w:hAnsi="Times New Roman" w:cs="Times New Roman"/>
          <w:noProof/>
        </w:rPr>
      </w:pPr>
      <w:r w:rsidRPr="002E44D1">
        <w:rPr>
          <w:rFonts w:ascii="Times New Roman" w:hAnsi="Times New Roman"/>
          <w:noProof/>
        </w:rPr>
        <w:t>Pilotfasen gik ud på at omsætte klimavidenskab og -politik til vores dagligdag. Klimapagtambassadørerne udgør nu næsten 1 000 personer fra alle samfundslag, lige fra spejdere til borgmestre, som er aktive i lokalsamfund og samarbejdsnetværk og udveksler viden på tværs af Europa. Pagten har skabt et system, som varetager enkeltpersoners og organisationers forpligtelser. Individuelle tilsagn, der er indsamlet i samarbejde med Count Us In</w:t>
      </w:r>
      <w:r w:rsidRPr="002E44D1">
        <w:rPr>
          <w:rStyle w:val="FootnoteReference"/>
          <w:rFonts w:ascii="Times New Roman" w:hAnsi="Times New Roman" w:cs="Times New Roman"/>
          <w:noProof/>
          <w:lang w:eastAsia="en-GB"/>
        </w:rPr>
        <w:footnoteReference w:id="35"/>
      </w:r>
      <w:r w:rsidRPr="002E44D1">
        <w:rPr>
          <w:rFonts w:ascii="Times New Roman" w:hAnsi="Times New Roman"/>
          <w:noProof/>
        </w:rPr>
        <w:t>, har indtil videre medført, at næsten 54 000 europæere har taget mere end 3 mio. CO</w:t>
      </w:r>
      <w:r w:rsidRPr="002E44D1">
        <w:rPr>
          <w:rFonts w:ascii="Times New Roman" w:hAnsi="Times New Roman"/>
          <w:noProof/>
          <w:vertAlign w:val="subscript"/>
        </w:rPr>
        <w:t>2</w:t>
      </w:r>
      <w:r w:rsidRPr="002E44D1">
        <w:rPr>
          <w:rFonts w:ascii="Times New Roman" w:hAnsi="Times New Roman"/>
          <w:noProof/>
        </w:rPr>
        <w:t>-reducerende "skridt". Over 300 organisationer (herunder Europa-Kommissionen) eller grupper har givet tilsagn (i alt 1 800) om at være på vejen mod klimaneutralitet. Pagten inspirerer andre til at skride til handling ved at fremvise initiativer.</w:t>
      </w:r>
      <w:r w:rsidRPr="002E44D1">
        <w:rPr>
          <w:rStyle w:val="Hyperlink"/>
          <w:rFonts w:ascii="Times New Roman" w:hAnsi="Times New Roman"/>
          <w:noProof/>
          <w:sz w:val="18"/>
        </w:rPr>
        <w:t xml:space="preserve"> </w:t>
      </w:r>
    </w:p>
    <w:p w14:paraId="04C927EB" w14:textId="7EA68A7D" w:rsidR="00547BCF" w:rsidRPr="002E44D1" w:rsidRDefault="008A37FE" w:rsidP="00547BCF">
      <w:pPr>
        <w:pStyle w:val="Heading2"/>
        <w:rPr>
          <w:rFonts w:ascii="Times New Roman" w:hAnsi="Times New Roman" w:cs="Times New Roman"/>
          <w:noProof/>
          <w:sz w:val="24"/>
          <w:szCs w:val="24"/>
        </w:rPr>
      </w:pPr>
      <w:r w:rsidRPr="002E44D1">
        <w:rPr>
          <w:rFonts w:ascii="Times New Roman" w:hAnsi="Times New Roman"/>
          <w:noProof/>
          <w:sz w:val="24"/>
        </w:rPr>
        <w:t xml:space="preserve">Mobilisering af byer </w:t>
      </w:r>
    </w:p>
    <w:p w14:paraId="537D0CAD" w14:textId="1F12EF77" w:rsidR="00F82D4E" w:rsidRPr="002E44D1" w:rsidRDefault="00547BCF" w:rsidP="00E03302">
      <w:pPr>
        <w:jc w:val="both"/>
        <w:rPr>
          <w:rFonts w:ascii="Times New Roman" w:hAnsi="Times New Roman" w:cs="Times New Roman"/>
          <w:noProof/>
        </w:rPr>
      </w:pPr>
      <w:r w:rsidRPr="002E44D1">
        <w:rPr>
          <w:rFonts w:ascii="Times New Roman" w:hAnsi="Times New Roman"/>
          <w:noProof/>
          <w:color w:val="000000" w:themeColor="text1"/>
        </w:rPr>
        <w:t>Missionen om klimaneutrale og intelligente byer har udvalgt 100 forskellige byer rundt omkring i Europa til at blive klimaneutrale inden 2030 på en socialt inklusiv måde. Byerne får skræddersyet støtte fra NetZeroCities</w:t>
      </w:r>
      <w:r w:rsidRPr="002E44D1">
        <w:rPr>
          <w:rFonts w:ascii="Times New Roman" w:eastAsia="Calibri" w:hAnsi="Times New Roman" w:cs="Times New Roman"/>
          <w:noProof/>
          <w:color w:val="000000" w:themeColor="text1"/>
          <w:vertAlign w:val="superscript"/>
        </w:rPr>
        <w:footnoteReference w:id="36"/>
      </w:r>
      <w:r w:rsidRPr="002E44D1">
        <w:rPr>
          <w:rFonts w:ascii="Times New Roman" w:hAnsi="Times New Roman"/>
          <w:noProof/>
          <w:color w:val="000000" w:themeColor="text1"/>
        </w:rPr>
        <w:t xml:space="preserve">-platformen og er med til at skabe "klimabykontrakter" med handlingsplaner og investeringsstrategier. </w:t>
      </w:r>
    </w:p>
    <w:p w14:paraId="6ED4A781" w14:textId="6E1CF169" w:rsidR="00FF2A9D" w:rsidRPr="002E44D1" w:rsidRDefault="76AD47CE" w:rsidP="00FF2A9D">
      <w:pPr>
        <w:pStyle w:val="Heading1"/>
        <w:rPr>
          <w:rFonts w:ascii="Times New Roman" w:hAnsi="Times New Roman" w:cs="Times New Roman"/>
          <w:noProof/>
          <w:sz w:val="32"/>
          <w:szCs w:val="32"/>
        </w:rPr>
      </w:pPr>
      <w:r w:rsidRPr="002E44D1">
        <w:rPr>
          <w:rFonts w:ascii="Times New Roman" w:hAnsi="Times New Roman"/>
          <w:noProof/>
          <w:sz w:val="32"/>
        </w:rPr>
        <w:t>EU'S EMISSIONSHANDELSSYSTEM</w:t>
      </w:r>
    </w:p>
    <w:p w14:paraId="78FBA545" w14:textId="7380EA71" w:rsidR="00A72B2D" w:rsidRPr="002E44D1" w:rsidRDefault="60C90B05" w:rsidP="09370AC4">
      <w:pPr>
        <w:jc w:val="both"/>
        <w:rPr>
          <w:rFonts w:ascii="Times New Roman" w:hAnsi="Times New Roman" w:cs="Times New Roman"/>
          <w:noProof/>
        </w:rPr>
      </w:pPr>
      <w:r w:rsidRPr="002E44D1">
        <w:rPr>
          <w:rFonts w:ascii="Times New Roman" w:hAnsi="Times New Roman"/>
          <w:noProof/>
        </w:rPr>
        <w:t>I 2021 havde EU ETS nedbragt emissionerne fra stationære anlæg med 34,6 %</w:t>
      </w:r>
      <w:r w:rsidRPr="002E44D1">
        <w:rPr>
          <w:rStyle w:val="FootnoteReference"/>
          <w:rFonts w:ascii="Times New Roman" w:hAnsi="Times New Roman" w:cs="Times New Roman"/>
          <w:noProof/>
        </w:rPr>
        <w:footnoteReference w:id="37"/>
      </w:r>
      <w:r w:rsidRPr="002E44D1">
        <w:rPr>
          <w:rFonts w:ascii="Times New Roman" w:hAnsi="Times New Roman"/>
          <w:noProof/>
        </w:rPr>
        <w:t xml:space="preserve"> i forhold til 2005-niveauet. Sideløbende hermed har medlemsstaterne siden 2013 tilvejebragt over 100 mia. EUR i auktionsindtægter, som står til rådighed til en yderligere klimaindsats og energiomstilling. </w:t>
      </w:r>
    </w:p>
    <w:p w14:paraId="4F2AD1F3" w14:textId="5E70AE10" w:rsidR="00A72B2D" w:rsidRPr="002E44D1" w:rsidRDefault="00CF4C9A" w:rsidP="00FF2A9D">
      <w:pPr>
        <w:jc w:val="both"/>
        <w:rPr>
          <w:rFonts w:ascii="Times New Roman" w:hAnsi="Times New Roman" w:cs="Times New Roman"/>
          <w:noProof/>
        </w:rPr>
      </w:pPr>
      <w:r w:rsidRPr="002E44D1">
        <w:rPr>
          <w:rFonts w:ascii="Times New Roman" w:hAnsi="Times New Roman"/>
          <w:noProof/>
        </w:rPr>
        <w:t>I 2021 steg EU ETS-emissionerne en smule i forhold til 2020, hvilket både afspejler den økonomiske genopretning efter covid-19 og den voksende energikrise. Om end emissionerne i 2021 fortsatte med at falde i forhold til emissionerne i 2019 før pandemien, er der behov for en større indsats i ETS-sektorerne for at opfylde klimamålet for 2030. Dette er formålet med den pakke, som Kommissionen foreslog i 2021 med henblik på gennemførelsen af den europæiske grønne pagt, som Europa-Parlamentet og Rådet i øjeblikket forhandler om. Den går blandt andet ud på at reformere ETS, styrke loftet og udvide systemet til at omfatte emissioner fra søfart og et parallelt system, der dækker bygninger og vejtransport.</w:t>
      </w:r>
    </w:p>
    <w:p w14:paraId="34F87032" w14:textId="0E028980" w:rsidR="00FF2A9D" w:rsidRPr="002E44D1" w:rsidRDefault="60C90B05" w:rsidP="00FF2A9D">
      <w:pPr>
        <w:pStyle w:val="Heading2"/>
        <w:rPr>
          <w:rFonts w:ascii="Times New Roman" w:hAnsi="Times New Roman" w:cs="Times New Roman"/>
          <w:noProof/>
        </w:rPr>
      </w:pPr>
      <w:r w:rsidRPr="002E44D1">
        <w:rPr>
          <w:rFonts w:ascii="Times New Roman" w:hAnsi="Times New Roman"/>
          <w:noProof/>
        </w:rPr>
        <w:t>Emissionstendenser</w:t>
      </w:r>
    </w:p>
    <w:p w14:paraId="07E3D24B" w14:textId="33AEEC4F" w:rsidR="007E6A28" w:rsidRPr="002E44D1" w:rsidRDefault="60C90B05" w:rsidP="00A72B2D">
      <w:pPr>
        <w:jc w:val="both"/>
        <w:rPr>
          <w:rFonts w:ascii="Times New Roman" w:hAnsi="Times New Roman" w:cs="Times New Roman"/>
          <w:noProof/>
        </w:rPr>
      </w:pPr>
      <w:r w:rsidRPr="002E44D1">
        <w:rPr>
          <w:rFonts w:ascii="Times New Roman" w:hAnsi="Times New Roman"/>
          <w:noProof/>
        </w:rPr>
        <w:t>I 2021 genererede stationære anlæg 1 335 mio. ton CO</w:t>
      </w:r>
      <w:r w:rsidRPr="002E44D1">
        <w:rPr>
          <w:rFonts w:ascii="Times New Roman" w:hAnsi="Times New Roman"/>
          <w:noProof/>
          <w:vertAlign w:val="subscript"/>
        </w:rPr>
        <w:t>2</w:t>
      </w:r>
      <w:r w:rsidRPr="002E44D1">
        <w:rPr>
          <w:rFonts w:ascii="Times New Roman" w:hAnsi="Times New Roman"/>
          <w:noProof/>
        </w:rPr>
        <w:t>-ækvivalenter. Det er 6,6 % højere end emissionerne i 2020, men stadig 5,6 % lavere end i 2019</w:t>
      </w:r>
      <w:r w:rsidRPr="002E44D1">
        <w:rPr>
          <w:rStyle w:val="FootnoteReference"/>
          <w:rFonts w:ascii="Times New Roman" w:hAnsi="Times New Roman" w:cs="Times New Roman"/>
          <w:noProof/>
        </w:rPr>
        <w:footnoteReference w:id="38"/>
      </w:r>
      <w:r w:rsidRPr="002E44D1">
        <w:rPr>
          <w:noProof/>
        </w:rPr>
        <w:t>.</w:t>
      </w:r>
      <w:r w:rsidRPr="002E44D1">
        <w:rPr>
          <w:rFonts w:ascii="Times New Roman" w:hAnsi="Times New Roman"/>
          <w:noProof/>
        </w:rPr>
        <w:t xml:space="preserve"> Energisektoren oplevede en stigning på 8,4 % i 2021, hovedsagelig som følge af et skift fra brug af naturgas tilbage til kul som følge af stigningen i gaspriserne og den øgede efterspørgsel efter elektricitet for at sætte gang i den økonomiske genopretning efter pandemien. De samlede emissioner fra elsektoren var dog i 2021 stadig 8,1 % under 2019-niveauet, og efterspørgslen efter elektricitet var stort set den samme i de to år. </w:t>
      </w:r>
    </w:p>
    <w:p w14:paraId="66880628" w14:textId="03EC605B" w:rsidR="00A72B2D" w:rsidRPr="002E44D1" w:rsidRDefault="00671D9B" w:rsidP="00A72B2D">
      <w:pPr>
        <w:jc w:val="both"/>
        <w:rPr>
          <w:rFonts w:ascii="Times New Roman" w:hAnsi="Times New Roman" w:cs="Times New Roman"/>
          <w:noProof/>
        </w:rPr>
      </w:pPr>
      <w:r w:rsidRPr="002E44D1">
        <w:rPr>
          <w:rFonts w:ascii="Times New Roman" w:hAnsi="Times New Roman"/>
          <w:noProof/>
        </w:rPr>
        <w:t>Emissionerne fra industrien under ETS var også højere i 2021 (med 4,6 %) end i 2020, men 2,6 % lavere end i 2019. Der blev konstateret store stigninger i de fleste sektorer, herunder jern og stål og kemikalier. Efter et fald på mere end 60 % i 2020 steg emissionerne fra luftfarten i EU ETS med 30 % i 2021, men de forblev 50 % lavere end i 2019.</w:t>
      </w:r>
      <w:r w:rsidRPr="002E44D1">
        <w:rPr>
          <w:rFonts w:ascii="Times New Roman" w:hAnsi="Times New Roman" w:cs="Times New Roman"/>
          <w:noProof/>
          <w:vertAlign w:val="superscript"/>
        </w:rPr>
        <w:footnoteReference w:id="39"/>
      </w:r>
    </w:p>
    <w:p w14:paraId="76525F87" w14:textId="31AC7F99" w:rsidR="00FF2A9D" w:rsidRPr="002E44D1" w:rsidRDefault="60C90B05" w:rsidP="0056254F">
      <w:pPr>
        <w:pStyle w:val="Caption"/>
        <w:rPr>
          <w:rFonts w:cs="Times New Roman"/>
          <w:noProof/>
        </w:rPr>
      </w:pPr>
      <w:r w:rsidRPr="002E44D1">
        <w:rPr>
          <w:noProof/>
        </w:rPr>
        <w:t xml:space="preserve">Figur </w:t>
      </w:r>
      <w:r w:rsidRPr="002E44D1">
        <w:rPr>
          <w:noProof/>
        </w:rPr>
        <w:fldChar w:fldCharType="begin"/>
      </w:r>
      <w:r w:rsidRPr="002E44D1">
        <w:rPr>
          <w:noProof/>
        </w:rPr>
        <w:instrText>SEQ Figure \* ARABIC</w:instrText>
      </w:r>
      <w:r w:rsidRPr="002E44D1">
        <w:rPr>
          <w:noProof/>
        </w:rPr>
        <w:fldChar w:fldCharType="separate"/>
      </w:r>
      <w:r w:rsidRPr="002E44D1">
        <w:rPr>
          <w:noProof/>
        </w:rPr>
        <w:t>4</w:t>
      </w:r>
      <w:r w:rsidRPr="002E44D1">
        <w:rPr>
          <w:noProof/>
        </w:rPr>
        <w:fldChar w:fldCharType="end"/>
      </w:r>
      <w:r w:rsidRPr="002E44D1">
        <w:rPr>
          <w:noProof/>
          <w:sz w:val="24"/>
        </w:rPr>
        <w:t xml:space="preserve">: </w:t>
      </w:r>
      <w:r w:rsidRPr="002E44D1">
        <w:rPr>
          <w:noProof/>
        </w:rPr>
        <w:t xml:space="preserve">Verificerede ETS-emissioner 2005-2021, medlemsstaternes fremskrivninger med eksisterende foranstaltninger 2021-2030, ETS-lofter i fase 2, 3 og 4 og akkumuleret overskud af ETS-kvoter 2008-2021, herunder Det Forenede Kongerige (Nordirland), Norge og Island (PS: juster for loft, fase 4) </w:t>
      </w:r>
    </w:p>
    <w:p w14:paraId="610B68FC" w14:textId="3D977B28" w:rsidR="004D66C0" w:rsidRPr="002E44D1" w:rsidRDefault="00A3045E" w:rsidP="004D66C0">
      <w:pPr>
        <w:rPr>
          <w:noProof/>
        </w:rPr>
      </w:pPr>
      <w:r w:rsidRPr="002E44D1">
        <w:rPr>
          <w:noProof/>
          <w:lang w:val="en-GB" w:eastAsia="en-GB"/>
        </w:rPr>
        <w:drawing>
          <wp:inline distT="0" distB="0" distL="0" distR="0" wp14:anchorId="775C7F0D" wp14:editId="4D00A488">
            <wp:extent cx="5949696" cy="152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64423" cy="1527772"/>
                    </a:xfrm>
                    <a:prstGeom prst="rect">
                      <a:avLst/>
                    </a:prstGeom>
                  </pic:spPr>
                </pic:pic>
              </a:graphicData>
            </a:graphic>
          </wp:inline>
        </w:drawing>
      </w:r>
    </w:p>
    <w:p w14:paraId="09B976DA" w14:textId="3D81D6C2" w:rsidR="0056254F" w:rsidRPr="002E44D1" w:rsidRDefault="24ED1319" w:rsidP="0056254F">
      <w:pPr>
        <w:pStyle w:val="Heading2"/>
        <w:rPr>
          <w:rFonts w:ascii="Times New Roman" w:hAnsi="Times New Roman" w:cs="Times New Roman"/>
          <w:noProof/>
        </w:rPr>
      </w:pPr>
      <w:r w:rsidRPr="002E44D1">
        <w:rPr>
          <w:rFonts w:ascii="Times New Roman" w:hAnsi="Times New Roman"/>
          <w:noProof/>
        </w:rPr>
        <w:t>Ressourcer genereret af ETS</w:t>
      </w:r>
    </w:p>
    <w:p w14:paraId="404540B3" w14:textId="25247BC9" w:rsidR="007F635A" w:rsidRPr="002E44D1" w:rsidRDefault="24ED1319" w:rsidP="0056254F">
      <w:pPr>
        <w:jc w:val="both"/>
        <w:rPr>
          <w:rFonts w:ascii="Times New Roman" w:hAnsi="Times New Roman" w:cs="Times New Roman"/>
          <w:noProof/>
        </w:rPr>
      </w:pPr>
      <w:r w:rsidRPr="002E44D1">
        <w:rPr>
          <w:rFonts w:ascii="Times New Roman" w:hAnsi="Times New Roman"/>
          <w:noProof/>
        </w:rPr>
        <w:t>EU ETS gennemfører princippet om, at forureneren betaler, men genererer også betydelige ressourcer til klimaindsatsen (se kapitel 6).</w:t>
      </w:r>
    </w:p>
    <w:p w14:paraId="5FD3284D" w14:textId="77777777" w:rsidR="00372A2C" w:rsidRDefault="00372A2C">
      <w:pPr>
        <w:rPr>
          <w:rFonts w:ascii="Times New Roman" w:eastAsiaTheme="minorEastAsia" w:hAnsi="Times New Roman"/>
          <w:b/>
          <w:bCs/>
          <w:noProof/>
          <w:color w:val="1F497D" w:themeColor="text2"/>
          <w:sz w:val="20"/>
          <w:szCs w:val="20"/>
        </w:rPr>
      </w:pPr>
      <w:r>
        <w:rPr>
          <w:noProof/>
        </w:rPr>
        <w:br w:type="page"/>
      </w:r>
    </w:p>
    <w:p w14:paraId="1CAC4D72" w14:textId="5B22C457" w:rsidR="007F635A" w:rsidRPr="002E44D1" w:rsidRDefault="007F635A" w:rsidP="007F635A">
      <w:pPr>
        <w:pStyle w:val="Caption"/>
        <w:rPr>
          <w:rFonts w:cs="Times New Roman"/>
          <w:noProof/>
        </w:rPr>
      </w:pPr>
      <w:r w:rsidRPr="002E44D1">
        <w:rPr>
          <w:noProof/>
        </w:rPr>
        <w:t xml:space="preserve">Figur </w:t>
      </w:r>
      <w:r w:rsidRPr="002E44D1">
        <w:rPr>
          <w:noProof/>
        </w:rPr>
        <w:fldChar w:fldCharType="begin"/>
      </w:r>
      <w:r w:rsidRPr="002E44D1">
        <w:rPr>
          <w:noProof/>
        </w:rPr>
        <w:instrText>SEQ Figure \* ARABIC</w:instrText>
      </w:r>
      <w:r w:rsidRPr="002E44D1">
        <w:rPr>
          <w:noProof/>
        </w:rPr>
        <w:fldChar w:fldCharType="separate"/>
      </w:r>
      <w:r w:rsidRPr="002E44D1">
        <w:rPr>
          <w:noProof/>
        </w:rPr>
        <w:t>5</w:t>
      </w:r>
      <w:r w:rsidRPr="002E44D1">
        <w:rPr>
          <w:noProof/>
        </w:rPr>
        <w:fldChar w:fldCharType="end"/>
      </w:r>
      <w:r w:rsidRPr="002E44D1">
        <w:rPr>
          <w:noProof/>
          <w:sz w:val="24"/>
        </w:rPr>
        <w:t xml:space="preserve">: </w:t>
      </w:r>
      <w:r w:rsidRPr="002E44D1">
        <w:rPr>
          <w:noProof/>
        </w:rPr>
        <w:t xml:space="preserve">Auktionsindtægter og indberettet anvendelse, 2013-2021 (mia. EUR), EU-27 </w:t>
      </w:r>
    </w:p>
    <w:p w14:paraId="598C1CD1" w14:textId="3A9F29EB" w:rsidR="001502F7" w:rsidRPr="002E44D1" w:rsidRDefault="00A3045E" w:rsidP="007B5562">
      <w:pPr>
        <w:jc w:val="center"/>
        <w:rPr>
          <w:rFonts w:ascii="Times New Roman" w:hAnsi="Times New Roman" w:cs="Times New Roman"/>
          <w:noProof/>
        </w:rPr>
      </w:pPr>
      <w:r w:rsidRPr="002E44D1">
        <w:rPr>
          <w:noProof/>
          <w:lang w:val="en-GB" w:eastAsia="en-GB"/>
        </w:rPr>
        <w:drawing>
          <wp:inline distT="0" distB="0" distL="0" distR="0" wp14:anchorId="0717EA73" wp14:editId="700FF5D9">
            <wp:extent cx="5760720" cy="27609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60720" cy="2760980"/>
                    </a:xfrm>
                    <a:prstGeom prst="rect">
                      <a:avLst/>
                    </a:prstGeom>
                  </pic:spPr>
                </pic:pic>
              </a:graphicData>
            </a:graphic>
          </wp:inline>
        </w:drawing>
      </w:r>
    </w:p>
    <w:p w14:paraId="129B5A10" w14:textId="30E1A484" w:rsidR="007F635A" w:rsidRPr="002E44D1" w:rsidRDefault="00E94578" w:rsidP="0056254F">
      <w:pPr>
        <w:jc w:val="both"/>
        <w:rPr>
          <w:rFonts w:ascii="Times New Roman" w:hAnsi="Times New Roman" w:cs="Times New Roman"/>
          <w:noProof/>
        </w:rPr>
      </w:pPr>
      <w:r w:rsidRPr="002E44D1">
        <w:rPr>
          <w:rFonts w:ascii="Times New Roman" w:hAnsi="Times New Roman"/>
          <w:noProof/>
        </w:rPr>
        <w:t>Da kulstofprisen steg i løbet af 2021, var auktionsindtægterne fra ETS i alt ca. 31 mia. EUR</w:t>
      </w:r>
      <w:r w:rsidRPr="002E44D1">
        <w:rPr>
          <w:rStyle w:val="FootnoteReference"/>
          <w:rFonts w:ascii="Times New Roman" w:hAnsi="Times New Roman" w:cs="Times New Roman"/>
          <w:noProof/>
        </w:rPr>
        <w:footnoteReference w:id="40"/>
      </w:r>
      <w:r w:rsidRPr="002E44D1">
        <w:rPr>
          <w:noProof/>
        </w:rPr>
        <w:t>.</w:t>
      </w:r>
      <w:r w:rsidRPr="002E44D1">
        <w:rPr>
          <w:rFonts w:ascii="Times New Roman" w:hAnsi="Times New Roman"/>
          <w:noProof/>
        </w:rPr>
        <w:t xml:space="preserve"> Det betyder, at indtægterne næsten fordobledes i forhold til de 16,5 mia. EUR, der blev rejst i 2020. Af disse 31 mia. EUR gik 25 mia. EUR direkte til de 27 medlemsstater. </w:t>
      </w:r>
      <w:r w:rsidRPr="002E44D1">
        <w:rPr>
          <w:rStyle w:val="normaltextrun"/>
          <w:rFonts w:ascii="Times New Roman" w:hAnsi="Times New Roman"/>
          <w:noProof/>
        </w:rPr>
        <w:t>I 2021 rapporterede de, at gennemsnitligt 76 % af indtægterne blev brugt til klima- og energiformål</w:t>
      </w:r>
      <w:r w:rsidRPr="002E44D1">
        <w:rPr>
          <w:rStyle w:val="FootnoteReference"/>
          <w:rFonts w:ascii="Times New Roman" w:hAnsi="Times New Roman" w:cs="Times New Roman"/>
          <w:noProof/>
        </w:rPr>
        <w:footnoteReference w:id="41"/>
      </w:r>
      <w:r w:rsidRPr="002E44D1">
        <w:rPr>
          <w:rStyle w:val="normaltextrun"/>
          <w:rFonts w:ascii="Times New Roman" w:hAnsi="Times New Roman"/>
          <w:noProof/>
        </w:rPr>
        <w:t xml:space="preserve">, hvilket svarer til et gennemsnit på 75 % i perioden 2013-2020 </w:t>
      </w:r>
      <w:r w:rsidRPr="002E44D1">
        <w:rPr>
          <w:rFonts w:ascii="Times New Roman" w:hAnsi="Times New Roman"/>
          <w:noProof/>
        </w:rPr>
        <w:t>(</w:t>
      </w:r>
      <w:r w:rsidR="001D41A3" w:rsidRPr="002E44D1">
        <w:rPr>
          <w:rFonts w:ascii="Times New Roman" w:hAnsi="Times New Roman"/>
          <w:noProof/>
        </w:rPr>
        <w:t>f</w:t>
      </w:r>
      <w:r w:rsidRPr="002E44D1">
        <w:rPr>
          <w:rFonts w:ascii="Times New Roman" w:hAnsi="Times New Roman"/>
          <w:noProof/>
        </w:rPr>
        <w:t>igur 5)</w:t>
      </w:r>
      <w:r w:rsidRPr="002E44D1">
        <w:rPr>
          <w:rStyle w:val="normaltextrun"/>
          <w:rFonts w:ascii="Times New Roman" w:hAnsi="Times New Roman"/>
          <w:noProof/>
        </w:rPr>
        <w:t xml:space="preserve">. Ca. 24 % af medlemsstaternes indtægter er øremærket til specifikke klima- og energiforanstaltninger, 25 % gik til øremærkede miljøfonde, og 51 % gik til de nationale budgetter. </w:t>
      </w:r>
    </w:p>
    <w:p w14:paraId="527BF50F" w14:textId="47DB63D7" w:rsidR="0056254F" w:rsidRPr="002E44D1" w:rsidRDefault="00245C88" w:rsidP="0056254F">
      <w:pPr>
        <w:jc w:val="both"/>
        <w:rPr>
          <w:rFonts w:ascii="Times New Roman" w:hAnsi="Times New Roman" w:cs="Times New Roman"/>
          <w:noProof/>
        </w:rPr>
      </w:pPr>
      <w:r w:rsidRPr="002E44D1">
        <w:rPr>
          <w:rFonts w:ascii="Times New Roman" w:hAnsi="Times New Roman"/>
          <w:noProof/>
        </w:rPr>
        <w:t xml:space="preserve">I 2021 brugte flere medlemsstater også deres auktionsindtægter til at afbøde de sociale konsekvenser af energipriskrisen. </w:t>
      </w:r>
    </w:p>
    <w:p w14:paraId="2B7B21E1" w14:textId="19B334A6" w:rsidR="00273987" w:rsidRPr="002E44D1" w:rsidRDefault="50D729C9" w:rsidP="00B454A5">
      <w:pPr>
        <w:pStyle w:val="Heading2"/>
        <w:jc w:val="both"/>
        <w:rPr>
          <w:rFonts w:ascii="Times New Roman" w:hAnsi="Times New Roman" w:cs="Times New Roman"/>
          <w:noProof/>
        </w:rPr>
      </w:pPr>
      <w:r w:rsidRPr="002E44D1">
        <w:rPr>
          <w:rFonts w:ascii="Times New Roman" w:hAnsi="Times New Roman"/>
          <w:noProof/>
        </w:rPr>
        <w:t>Aktioner inden for luftfart og søtransport</w:t>
      </w:r>
    </w:p>
    <w:p w14:paraId="2DCF715B" w14:textId="46921CA7" w:rsidR="00273987" w:rsidRPr="002E44D1" w:rsidRDefault="50D729C9" w:rsidP="00273987">
      <w:pPr>
        <w:jc w:val="both"/>
        <w:rPr>
          <w:rFonts w:ascii="Times New Roman" w:hAnsi="Times New Roman" w:cs="Times New Roman"/>
          <w:noProof/>
        </w:rPr>
      </w:pPr>
      <w:r w:rsidRPr="002E44D1">
        <w:rPr>
          <w:rFonts w:ascii="Times New Roman" w:hAnsi="Times New Roman"/>
          <w:noProof/>
        </w:rPr>
        <w:t xml:space="preserve">Emissioner fra luftfart uden for Europa fra indgående flyvninger til Det Europæiske Økonomiske Samarbejdsområde og flyvninger, der afgår til lande uden for EØS, med undtagelse af flyvninger, der afgår til Det Forenede Kongerige og Schweiz, er i øjeblikket ikke prissat under EU ETS i henhold til EU ETS-direktivets "stop the clock"-bestemmelse". </w:t>
      </w:r>
    </w:p>
    <w:p w14:paraId="6EEB6E9F" w14:textId="48464E3C" w:rsidR="00273987" w:rsidRPr="002E44D1" w:rsidRDefault="00310750" w:rsidP="00273987">
      <w:pPr>
        <w:jc w:val="both"/>
        <w:rPr>
          <w:rFonts w:ascii="Times New Roman" w:hAnsi="Times New Roman" w:cs="Times New Roman"/>
          <w:noProof/>
        </w:rPr>
      </w:pPr>
      <w:r w:rsidRPr="002E44D1">
        <w:rPr>
          <w:rFonts w:ascii="Times New Roman" w:hAnsi="Times New Roman"/>
          <w:noProof/>
        </w:rPr>
        <w:t>Kommissionens forslag om at udvide EU ETS til at omfatte emissioner fra søtransport er nu til forhandling i Europa-Parlamentet og Rådet. Forslaget bygger på forordningen om overvågning, rapportering og verifikation</w:t>
      </w:r>
      <w:r w:rsidRPr="002E44D1">
        <w:rPr>
          <w:rStyle w:val="FootnoteReference"/>
          <w:rFonts w:ascii="Times New Roman" w:hAnsi="Times New Roman" w:cs="Times New Roman"/>
          <w:noProof/>
        </w:rPr>
        <w:footnoteReference w:id="42"/>
      </w:r>
      <w:r w:rsidRPr="002E44D1">
        <w:rPr>
          <w:rFonts w:ascii="Times New Roman" w:hAnsi="Times New Roman"/>
          <w:noProof/>
        </w:rPr>
        <w:t>, som sporer CO</w:t>
      </w:r>
      <w:r w:rsidRPr="002E44D1">
        <w:rPr>
          <w:rFonts w:ascii="Times New Roman" w:hAnsi="Times New Roman"/>
          <w:noProof/>
          <w:vertAlign w:val="subscript"/>
        </w:rPr>
        <w:t>2</w:t>
      </w:r>
      <w:r w:rsidRPr="002E44D1">
        <w:rPr>
          <w:rFonts w:ascii="Times New Roman" w:hAnsi="Times New Roman"/>
          <w:noProof/>
        </w:rPr>
        <w:t xml:space="preserve">-emissioner fra store skibe, der har anløbet EU-havne siden 2018.  EU støtter fortsat udviklingen af ambitiøse foranstaltninger under Den Internationale Søfartsorganisations strategi for reduktion af drivhusgasemissioner, f.eks. standarder for potentiel brændstofintensitet og markedsbaserede foranstaltninger. </w:t>
      </w:r>
    </w:p>
    <w:p w14:paraId="61077354" w14:textId="13B072D8" w:rsidR="0056254F" w:rsidRPr="002E44D1" w:rsidRDefault="005F4542" w:rsidP="0056254F">
      <w:pPr>
        <w:pStyle w:val="Heading2"/>
        <w:rPr>
          <w:rFonts w:ascii="Times New Roman" w:hAnsi="Times New Roman" w:cs="Times New Roman"/>
          <w:noProof/>
        </w:rPr>
      </w:pPr>
      <w:r w:rsidRPr="002E44D1">
        <w:rPr>
          <w:rFonts w:ascii="Times New Roman" w:hAnsi="Times New Roman"/>
          <w:noProof/>
        </w:rPr>
        <w:t>EU's CO</w:t>
      </w:r>
      <w:r w:rsidRPr="002E44D1">
        <w:rPr>
          <w:rFonts w:ascii="Times New Roman" w:hAnsi="Times New Roman"/>
          <w:noProof/>
          <w:vertAlign w:val="subscript"/>
        </w:rPr>
        <w:t>2</w:t>
      </w:r>
      <w:r w:rsidRPr="002E44D1">
        <w:rPr>
          <w:rFonts w:ascii="Times New Roman" w:hAnsi="Times New Roman"/>
          <w:noProof/>
        </w:rPr>
        <w:t xml:space="preserve">-marked </w:t>
      </w:r>
    </w:p>
    <w:p w14:paraId="641D961B" w14:textId="2FBB38E8" w:rsidR="0056254F" w:rsidRPr="002E44D1" w:rsidRDefault="004B074C" w:rsidP="00CC5080">
      <w:pPr>
        <w:jc w:val="both"/>
        <w:rPr>
          <w:rFonts w:ascii="Times New Roman" w:hAnsi="Times New Roman" w:cs="Times New Roman"/>
          <w:noProof/>
          <w:sz w:val="24"/>
          <w:szCs w:val="24"/>
        </w:rPr>
      </w:pPr>
      <w:r w:rsidRPr="002E44D1">
        <w:rPr>
          <w:rFonts w:ascii="Times New Roman" w:hAnsi="Times New Roman"/>
          <w:noProof/>
        </w:rPr>
        <w:t>EU's kulstofpris har vist en konstant stigende tendens siden 2018. I 2021 fortsatte den med at stige på grund af høje gaspriser og markedsforventninger til de øgede klimaambitioner for 2030 samt relaterede politiske reformer. Den højere kulstofpris bidrog til højere engrospriser på elektricitet, men i langt mindre omfang end stigningen i gaspriserne. I Kommissionens meddelelse om energipriser fra oktober 2021 anslås det, at de stigende gasprisers indvirkning på elprisen er ni gange større end effekten af kulstofprisstigningen</w:t>
      </w:r>
      <w:r w:rsidRPr="002E44D1">
        <w:rPr>
          <w:rStyle w:val="FootnoteReference"/>
          <w:rFonts w:ascii="Times New Roman" w:hAnsi="Times New Roman" w:cs="Times New Roman"/>
          <w:noProof/>
        </w:rPr>
        <w:footnoteReference w:id="43"/>
      </w:r>
      <w:r w:rsidRPr="002E44D1">
        <w:rPr>
          <w:noProof/>
        </w:rPr>
        <w:t>.</w:t>
      </w:r>
      <w:r w:rsidRPr="002E44D1">
        <w:rPr>
          <w:rFonts w:ascii="Times New Roman" w:hAnsi="Times New Roman"/>
          <w:noProof/>
        </w:rPr>
        <w:t xml:space="preserve"> Gaspriserne er siden da fortsat steget kraftigt, mens ETS-priserne er forblevet inden for et tilsvarende interval. En rapport fra Den Europæiske Værdipapir- og Markedstilsynsmyndighed, der blev afsluttet i marts 2022, udelukkede, at spekulation havde bidraget til stigningen i kulstofpriserne</w:t>
      </w:r>
      <w:r w:rsidRPr="002E44D1">
        <w:rPr>
          <w:rStyle w:val="FootnoteReference"/>
          <w:rFonts w:ascii="Times New Roman" w:hAnsi="Times New Roman" w:cs="Times New Roman"/>
          <w:noProof/>
        </w:rPr>
        <w:footnoteReference w:id="44"/>
      </w:r>
      <w:r w:rsidRPr="002E44D1">
        <w:rPr>
          <w:rFonts w:ascii="Times New Roman" w:hAnsi="Times New Roman"/>
          <w:noProof/>
        </w:rPr>
        <w:t xml:space="preserve"> (se rapporten om CO</w:t>
      </w:r>
      <w:r w:rsidRPr="002E44D1">
        <w:rPr>
          <w:rFonts w:ascii="Times New Roman" w:hAnsi="Times New Roman"/>
          <w:noProof/>
          <w:vertAlign w:val="subscript"/>
        </w:rPr>
        <w:t>2</w:t>
      </w:r>
      <w:r w:rsidRPr="002E44D1">
        <w:rPr>
          <w:rFonts w:ascii="Times New Roman" w:hAnsi="Times New Roman"/>
          <w:noProof/>
        </w:rPr>
        <w:t>-markedet)</w:t>
      </w:r>
      <w:r w:rsidRPr="002E44D1">
        <w:rPr>
          <w:noProof/>
        </w:rPr>
        <w:t>.</w:t>
      </w:r>
      <w:r w:rsidRPr="002E44D1">
        <w:rPr>
          <w:rStyle w:val="FootnoteReference"/>
          <w:rFonts w:ascii="Times New Roman" w:hAnsi="Times New Roman" w:cs="Times New Roman"/>
          <w:noProof/>
        </w:rPr>
        <w:footnoteReference w:id="45"/>
      </w:r>
    </w:p>
    <w:p w14:paraId="3350EFE3" w14:textId="720B03B3" w:rsidR="00715B28" w:rsidRPr="002E44D1" w:rsidRDefault="3DD665B6" w:rsidP="00E35C7E">
      <w:pPr>
        <w:pStyle w:val="Heading1"/>
        <w:ind w:left="284" w:right="425"/>
        <w:jc w:val="both"/>
        <w:rPr>
          <w:rFonts w:ascii="Times New Roman" w:hAnsi="Times New Roman" w:cs="Times New Roman"/>
          <w:noProof/>
        </w:rPr>
      </w:pPr>
      <w:r w:rsidRPr="002E44D1">
        <w:rPr>
          <w:rFonts w:ascii="Times New Roman" w:hAnsi="Times New Roman"/>
          <w:noProof/>
          <w:sz w:val="32"/>
        </w:rPr>
        <w:t xml:space="preserve">INDSATSFORDELINGSEMISSIONER </w:t>
      </w:r>
    </w:p>
    <w:p w14:paraId="056622DD" w14:textId="705251C3" w:rsidR="0018473E" w:rsidRPr="002E44D1" w:rsidRDefault="3DD665B6" w:rsidP="00606A36">
      <w:pPr>
        <w:spacing w:line="257" w:lineRule="auto"/>
        <w:jc w:val="both"/>
        <w:rPr>
          <w:rFonts w:ascii="Times New Roman" w:hAnsi="Times New Roman" w:cs="Times New Roman"/>
          <w:noProof/>
        </w:rPr>
      </w:pPr>
      <w:r w:rsidRPr="002E44D1">
        <w:rPr>
          <w:rFonts w:ascii="Times New Roman" w:hAnsi="Times New Roman"/>
          <w:noProof/>
        </w:rPr>
        <w:t>EU's emissioner i indsatsfordelingssektorerne har siden 2013 ligget under den årlige grænse, som det fremgår figur 6. Emissionerne i EU-27, der er omfattet af beslutningen om indsatsfordeling</w:t>
      </w:r>
      <w:r w:rsidRPr="002E44D1">
        <w:rPr>
          <w:rStyle w:val="FootnoteReference"/>
          <w:rFonts w:ascii="Times New Roman" w:eastAsia="Calibri" w:hAnsi="Times New Roman" w:cs="Times New Roman"/>
          <w:noProof/>
        </w:rPr>
        <w:footnoteReference w:id="46"/>
      </w:r>
      <w:r w:rsidRPr="002E44D1">
        <w:rPr>
          <w:rFonts w:ascii="Times New Roman" w:hAnsi="Times New Roman"/>
          <w:noProof/>
        </w:rPr>
        <w:t>, var 16,3 % lavere i 2020 end i 2005. EU har overgået sit 2020-mål med seks procentpoint.  Efter det markante fald i emissionerne i 2020 som følge af pandemien steg emissionerne i de sektorer, der er omfattet af beslutningen om indsatsfordeling, igen i 2021. Regnes der ud fra tilnærmede data, var indsatsfordelingen i 2021 3,5 % højere end i 2020. Stigningen var mest udtalt for transport (med en stigning i emissionerne på mere end 7 % i forhold til 2020) efterfulgt af emissioner fra bygninger (stigning på 3,1 %). Landbrugssektoren blev udsat for et lille fald i emissionerne i 2021 i forhold til 2020 på over 0,3 %, men generelt har faldet været lille i forhold til 2005 (ca. 2 %).</w:t>
      </w:r>
    </w:p>
    <w:p w14:paraId="4F934DB2" w14:textId="77777777" w:rsidR="00372A2C" w:rsidRDefault="00372A2C">
      <w:pPr>
        <w:rPr>
          <w:rFonts w:ascii="Times New Roman" w:eastAsiaTheme="minorEastAsia" w:hAnsi="Times New Roman"/>
          <w:b/>
          <w:bCs/>
          <w:noProof/>
          <w:color w:val="1F497D" w:themeColor="text2"/>
          <w:sz w:val="20"/>
          <w:szCs w:val="20"/>
        </w:rPr>
      </w:pPr>
      <w:r>
        <w:rPr>
          <w:noProof/>
        </w:rPr>
        <w:br w:type="page"/>
      </w:r>
    </w:p>
    <w:p w14:paraId="66AFDFD5" w14:textId="69ADE767" w:rsidR="0018473E" w:rsidRPr="002E44D1" w:rsidRDefault="0018473E" w:rsidP="0018473E">
      <w:pPr>
        <w:pStyle w:val="Caption"/>
        <w:rPr>
          <w:noProof/>
        </w:rPr>
      </w:pPr>
      <w:r w:rsidRPr="002E44D1">
        <w:rPr>
          <w:noProof/>
        </w:rPr>
        <w:t xml:space="preserve">Figur </w:t>
      </w:r>
      <w:r w:rsidRPr="002E44D1">
        <w:rPr>
          <w:noProof/>
        </w:rPr>
        <w:fldChar w:fldCharType="begin"/>
      </w:r>
      <w:r w:rsidRPr="002E44D1">
        <w:rPr>
          <w:noProof/>
        </w:rPr>
        <w:instrText>SEQ Figure \* ARABIC</w:instrText>
      </w:r>
      <w:r w:rsidRPr="002E44D1">
        <w:rPr>
          <w:noProof/>
        </w:rPr>
        <w:fldChar w:fldCharType="separate"/>
      </w:r>
      <w:r w:rsidRPr="002E44D1">
        <w:rPr>
          <w:noProof/>
        </w:rPr>
        <w:t>6</w:t>
      </w:r>
      <w:r w:rsidRPr="002E44D1">
        <w:rPr>
          <w:noProof/>
        </w:rPr>
        <w:fldChar w:fldCharType="end"/>
      </w:r>
      <w:r w:rsidRPr="002E44D1">
        <w:rPr>
          <w:noProof/>
        </w:rPr>
        <w:t>: Emissioner i sektorer, der er omfattet af lovgivningen om indsatsfordeling 2005-2030 og årlige emissionstildelinger (AEA'er), EU-27 (mio. ton CO</w:t>
      </w:r>
      <w:r w:rsidRPr="002E44D1">
        <w:rPr>
          <w:noProof/>
          <w:vertAlign w:val="subscript"/>
        </w:rPr>
        <w:t>2</w:t>
      </w:r>
      <w:r w:rsidRPr="002E44D1">
        <w:rPr>
          <w:noProof/>
        </w:rPr>
        <w:t>-ækvivalenter) (se nærmere herom i arbejdsdokumentet).</w:t>
      </w:r>
      <w:r w:rsidRPr="002E44D1">
        <w:rPr>
          <w:noProof/>
          <w:vertAlign w:val="superscript"/>
        </w:rPr>
        <w:footnoteReference w:id="47"/>
      </w:r>
      <w:r w:rsidRPr="002E44D1">
        <w:rPr>
          <w:noProof/>
          <w:vertAlign w:val="superscript"/>
        </w:rPr>
        <w:t xml:space="preserve"> </w:t>
      </w:r>
    </w:p>
    <w:p w14:paraId="3E34D55D" w14:textId="61B90241" w:rsidR="0085235D" w:rsidRPr="002E44D1" w:rsidRDefault="00684C36" w:rsidP="00CD6CF6">
      <w:pPr>
        <w:pStyle w:val="Heading2"/>
        <w:ind w:left="0" w:firstLine="0"/>
        <w:jc w:val="center"/>
        <w:rPr>
          <w:rFonts w:ascii="Times New Roman" w:hAnsi="Times New Roman" w:cs="Times New Roman"/>
          <w:noProof/>
        </w:rPr>
      </w:pPr>
      <w:r w:rsidRPr="002E44D1">
        <w:rPr>
          <w:noProof/>
          <w:lang w:val="en-GB" w:eastAsia="en-GB"/>
        </w:rPr>
        <w:drawing>
          <wp:inline distT="0" distB="0" distL="0" distR="0" wp14:anchorId="1198561A" wp14:editId="29E8A348">
            <wp:extent cx="5760720" cy="425577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60720" cy="4255770"/>
                    </a:xfrm>
                    <a:prstGeom prst="rect">
                      <a:avLst/>
                    </a:prstGeom>
                    <a:noFill/>
                    <a:ln>
                      <a:noFill/>
                    </a:ln>
                  </pic:spPr>
                </pic:pic>
              </a:graphicData>
            </a:graphic>
          </wp:inline>
        </w:drawing>
      </w:r>
    </w:p>
    <w:p w14:paraId="50C477FD" w14:textId="18476E1B" w:rsidR="00715B28" w:rsidRPr="002E44D1" w:rsidRDefault="00750790">
      <w:pPr>
        <w:pStyle w:val="Heading2"/>
        <w:rPr>
          <w:rFonts w:ascii="Times New Roman" w:hAnsi="Times New Roman" w:cs="Times New Roman"/>
          <w:noProof/>
        </w:rPr>
      </w:pPr>
      <w:r w:rsidRPr="002E44D1">
        <w:rPr>
          <w:rFonts w:ascii="Times New Roman" w:hAnsi="Times New Roman"/>
          <w:noProof/>
        </w:rPr>
        <w:t xml:space="preserve">Resultater af beslutningen om indsatsfordeling 2013-2020 </w:t>
      </w:r>
    </w:p>
    <w:p w14:paraId="1C3C0100" w14:textId="77777777" w:rsidR="00715B28" w:rsidRPr="002E44D1" w:rsidRDefault="00715B28" w:rsidP="09370AC4">
      <w:pPr>
        <w:pStyle w:val="CommentText"/>
        <w:ind w:left="360" w:firstLine="207"/>
        <w:jc w:val="both"/>
        <w:rPr>
          <w:rFonts w:ascii="Times New Roman" w:hAnsi="Times New Roman" w:cs="Times New Roman"/>
          <w:b/>
          <w:bCs/>
          <w:i/>
          <w:iCs/>
          <w:noProof/>
          <w:color w:val="7030A0"/>
          <w:sz w:val="18"/>
          <w:szCs w:val="18"/>
        </w:rPr>
      </w:pPr>
    </w:p>
    <w:p w14:paraId="44FF198B" w14:textId="22D2FFCE" w:rsidR="00715B28" w:rsidRPr="002E44D1" w:rsidRDefault="3DD665B6" w:rsidP="00715B28">
      <w:pPr>
        <w:spacing w:line="257" w:lineRule="auto"/>
        <w:jc w:val="both"/>
        <w:rPr>
          <w:rFonts w:ascii="Times New Roman" w:hAnsi="Times New Roman" w:cs="Times New Roman"/>
          <w:noProof/>
        </w:rPr>
      </w:pPr>
      <w:r w:rsidRPr="002E44D1">
        <w:rPr>
          <w:rFonts w:ascii="Times New Roman" w:hAnsi="Times New Roman"/>
          <w:b/>
          <w:noProof/>
        </w:rPr>
        <w:t xml:space="preserve">Alle medlemsstater opfyldte deres indsatsfordelingsforpligtelser i alle årene mellem 2013 og 2019. </w:t>
      </w:r>
      <w:r w:rsidRPr="002E44D1">
        <w:rPr>
          <w:rFonts w:ascii="Times New Roman" w:hAnsi="Times New Roman"/>
          <w:noProof/>
        </w:rPr>
        <w:t xml:space="preserve">Malta overskred sine årlige emissionstildelinger (AEA'er) hvert år, men dækkede underskuddet ved at købe AEA'er fra Bulgarien. I 2019 overskred Østrig, Belgien, Cypern, Estland, Finland og Luxembourg også deres AEA'er, men brugte samtidig overskud fra tidligere år til at dække underskuddet. Tyskland og Irland havde ikke sparet nok overskud op til at dække deres underskud. Tyskland fremførte AEA'er fra 2020 for at opfylde sin forpligtelse for 2019, mens Irland anvendte internationale kreditter fra mekanismen for bæredygtig udvikling til at opfylde sine forpligtelser. Alle medlemsstater undtagen Ungarn, Sverige og Det Forenede Kongerige opsparede overskydende AEA'er til eventuel anvendelse i 2020.  </w:t>
      </w:r>
    </w:p>
    <w:p w14:paraId="0983BA59" w14:textId="234F857C" w:rsidR="00715B28" w:rsidRPr="002E44D1" w:rsidRDefault="3DD665B6" w:rsidP="09370AC4">
      <w:pPr>
        <w:spacing w:line="257" w:lineRule="auto"/>
        <w:jc w:val="both"/>
        <w:rPr>
          <w:rFonts w:ascii="Times New Roman" w:eastAsia="Calibri" w:hAnsi="Times New Roman" w:cs="Times New Roman"/>
          <w:noProof/>
        </w:rPr>
      </w:pPr>
      <w:r w:rsidRPr="002E44D1">
        <w:rPr>
          <w:rFonts w:ascii="Times New Roman" w:hAnsi="Times New Roman"/>
          <w:b/>
          <w:noProof/>
        </w:rPr>
        <w:t>Overholdelsescyklussen for 2020</w:t>
      </w:r>
      <w:r w:rsidRPr="002E44D1">
        <w:rPr>
          <w:rFonts w:ascii="Times New Roman" w:hAnsi="Times New Roman"/>
          <w:noProof/>
        </w:rPr>
        <w:t>, som er det sidste år i henhold til beslutningen om indsatsfordeling, er i gang. På grundlag af revisionen af den årlige opgørelse i henhold til beslutningen om indsatsfordeling oversteg emissionerne i fire medlemsstater deres AEA'er (figur 7). Cyperns emissioner oversteg landets AEA'er med 7 %. Cypern har et tilstrækkeligt overskud af AEA'er fra tidligere år til at opfylde kravene i 2020. Da Tyskland overførte en del af sine AEA'er for 2020 med henblik på overholdelse i 2019, overstiger dets emissioner i 2020 de resterende AEA'er for 2020 med 3 %. Maltas og Irlands emissioner oversteg deres AEA'er med henholdsvis 12 % og 19 %, og de to lande vil sammen med Tyskland være nødt til at købe AEA'er fra andre medlemsstater og/eller anvende internationale kreditter for at kunne opfylde kravene i 2020, da de ikke har tilstrækkelige opsparede AEA-overskud.</w:t>
      </w:r>
    </w:p>
    <w:p w14:paraId="36D5B26B" w14:textId="5BDCA81B" w:rsidR="00790B4E" w:rsidRPr="002E44D1" w:rsidRDefault="6E99F469" w:rsidP="00790B4E">
      <w:pPr>
        <w:pStyle w:val="Caption"/>
        <w:rPr>
          <w:rFonts w:eastAsia="Calibri" w:cs="Times New Roman"/>
          <w:i/>
          <w:iCs/>
          <w:noProof/>
        </w:rPr>
      </w:pPr>
      <w:r w:rsidRPr="002E44D1">
        <w:rPr>
          <w:noProof/>
        </w:rPr>
        <w:t xml:space="preserve">Figur </w:t>
      </w:r>
      <w:r w:rsidRPr="002E44D1">
        <w:rPr>
          <w:noProof/>
        </w:rPr>
        <w:fldChar w:fldCharType="begin"/>
      </w:r>
      <w:r w:rsidRPr="002E44D1">
        <w:rPr>
          <w:noProof/>
        </w:rPr>
        <w:instrText>SEQ Figure \* ARABIC</w:instrText>
      </w:r>
      <w:r w:rsidRPr="002E44D1">
        <w:rPr>
          <w:noProof/>
        </w:rPr>
        <w:fldChar w:fldCharType="separate"/>
      </w:r>
      <w:r w:rsidRPr="002E44D1">
        <w:rPr>
          <w:noProof/>
        </w:rPr>
        <w:t>7</w:t>
      </w:r>
      <w:r w:rsidRPr="002E44D1">
        <w:rPr>
          <w:noProof/>
        </w:rPr>
        <w:fldChar w:fldCharType="end"/>
      </w:r>
      <w:r w:rsidRPr="002E44D1">
        <w:rPr>
          <w:noProof/>
        </w:rPr>
        <w:t>: Forskel mellem medlemsstaternes 2020-mål i henhold til beslutningen om indsatsfordeling og emissionerne i indsatsfordelingssektorerne i 2020 (i procent af emissionerne i 2005).</w:t>
      </w:r>
      <w:r w:rsidRPr="002E44D1">
        <w:rPr>
          <w:noProof/>
          <w:vertAlign w:val="superscript"/>
        </w:rPr>
        <w:footnoteReference w:id="48"/>
      </w:r>
      <w:r w:rsidRPr="002E44D1">
        <w:rPr>
          <w:noProof/>
        </w:rPr>
        <w:t xml:space="preserve"> </w:t>
      </w:r>
    </w:p>
    <w:p w14:paraId="4FA7C684" w14:textId="56EDB002" w:rsidR="00715B28" w:rsidRPr="002E44D1" w:rsidRDefault="006908FD" w:rsidP="00511498">
      <w:pPr>
        <w:pStyle w:val="Caption"/>
        <w:jc w:val="center"/>
        <w:rPr>
          <w:rFonts w:cs="Times New Roman"/>
          <w:i/>
          <w:iCs/>
          <w:noProof/>
          <w:color w:val="7030A0"/>
        </w:rPr>
      </w:pPr>
      <w:r w:rsidRPr="002E44D1">
        <w:rPr>
          <w:noProof/>
          <w:lang w:val="en-GB" w:eastAsia="en-GB"/>
        </w:rPr>
        <w:drawing>
          <wp:inline distT="0" distB="0" distL="0" distR="0" wp14:anchorId="77862ACB" wp14:editId="3A9B09E7">
            <wp:extent cx="5244662" cy="408149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271147" cy="4102102"/>
                    </a:xfrm>
                    <a:prstGeom prst="rect">
                      <a:avLst/>
                    </a:prstGeom>
                  </pic:spPr>
                </pic:pic>
              </a:graphicData>
            </a:graphic>
          </wp:inline>
        </w:drawing>
      </w:r>
      <w:r w:rsidR="002B3E0F" w:rsidRPr="002E44D1">
        <w:rPr>
          <w:noProof/>
        </w:rPr>
        <w:t xml:space="preserve"> </w:t>
      </w:r>
      <w:r w:rsidR="002B3E0F" w:rsidRPr="002E44D1">
        <w:rPr>
          <w:noProof/>
        </w:rPr>
        <w:br/>
      </w:r>
    </w:p>
    <w:p w14:paraId="7277A3F2" w14:textId="79EDFDE4" w:rsidR="00715B28" w:rsidRPr="002E44D1" w:rsidRDefault="0018473E" w:rsidP="00715B28">
      <w:pPr>
        <w:pStyle w:val="Heading2"/>
        <w:rPr>
          <w:rFonts w:ascii="Times New Roman" w:hAnsi="Times New Roman" w:cs="Times New Roman"/>
          <w:noProof/>
        </w:rPr>
      </w:pPr>
      <w:r w:rsidRPr="002E44D1">
        <w:rPr>
          <w:rFonts w:ascii="Times New Roman" w:hAnsi="Times New Roman"/>
          <w:noProof/>
        </w:rPr>
        <w:t xml:space="preserve">Fremskridt med 2030-målene i henhold til forordningen om indsatsfordeling  </w:t>
      </w:r>
    </w:p>
    <w:p w14:paraId="72D96DA0" w14:textId="77777777" w:rsidR="00715B28" w:rsidRPr="002E44D1" w:rsidRDefault="00715B28" w:rsidP="09370AC4">
      <w:pPr>
        <w:pStyle w:val="CommentText"/>
        <w:ind w:left="567"/>
        <w:jc w:val="both"/>
        <w:rPr>
          <w:rFonts w:ascii="Times New Roman" w:hAnsi="Times New Roman" w:cs="Times New Roman"/>
          <w:b/>
          <w:bCs/>
          <w:i/>
          <w:iCs/>
          <w:noProof/>
          <w:color w:val="7030A0"/>
          <w:sz w:val="18"/>
          <w:szCs w:val="18"/>
        </w:rPr>
      </w:pPr>
    </w:p>
    <w:p w14:paraId="5DA57F19" w14:textId="7F054E72" w:rsidR="00AD2638" w:rsidRPr="002E44D1" w:rsidRDefault="00AD2638" w:rsidP="00AD2638">
      <w:pPr>
        <w:spacing w:line="257" w:lineRule="auto"/>
        <w:jc w:val="both"/>
        <w:rPr>
          <w:rFonts w:ascii="Times New Roman" w:hAnsi="Times New Roman" w:cs="Times New Roman"/>
          <w:noProof/>
        </w:rPr>
      </w:pPr>
      <w:r w:rsidRPr="002E44D1">
        <w:rPr>
          <w:rFonts w:ascii="Times New Roman" w:hAnsi="Times New Roman"/>
          <w:noProof/>
        </w:rPr>
        <w:t>Fra 2021 fastsætter forordning om indsatsfordeling</w:t>
      </w:r>
      <w:r w:rsidRPr="002E44D1">
        <w:rPr>
          <w:rStyle w:val="FootnoteReference"/>
          <w:rFonts w:ascii="Times New Roman" w:eastAsia="Calibri" w:hAnsi="Times New Roman" w:cs="Times New Roman"/>
          <w:noProof/>
        </w:rPr>
        <w:footnoteReference w:id="49"/>
      </w:r>
      <w:r w:rsidRPr="002E44D1">
        <w:rPr>
          <w:rFonts w:ascii="Times New Roman" w:hAnsi="Times New Roman"/>
          <w:noProof/>
        </w:rPr>
        <w:t xml:space="preserve"> nationale emissionsmål for 2030 og AEA'er for hvert år i perioden 2021-2030, herunder for Island og Norge</w:t>
      </w:r>
      <w:r w:rsidRPr="002E44D1">
        <w:rPr>
          <w:rStyle w:val="FootnoteReference"/>
          <w:rFonts w:ascii="Times New Roman" w:eastAsia="Calibri" w:hAnsi="Times New Roman" w:cs="Times New Roman"/>
          <w:noProof/>
        </w:rPr>
        <w:footnoteReference w:id="50"/>
      </w:r>
      <w:r w:rsidRPr="002E44D1">
        <w:rPr>
          <w:noProof/>
        </w:rPr>
        <w:t>.</w:t>
      </w:r>
      <w:r w:rsidRPr="002E44D1">
        <w:rPr>
          <w:rFonts w:ascii="Times New Roman" w:hAnsi="Times New Roman"/>
          <w:noProof/>
        </w:rPr>
        <w:t xml:space="preserve"> </w:t>
      </w:r>
    </w:p>
    <w:p w14:paraId="3D88BF16" w14:textId="494C1C1C" w:rsidR="00327906" w:rsidRPr="002E44D1" w:rsidRDefault="0018473E" w:rsidP="00715B28">
      <w:pPr>
        <w:spacing w:line="257" w:lineRule="auto"/>
        <w:jc w:val="both"/>
        <w:rPr>
          <w:rFonts w:ascii="Times New Roman" w:eastAsia="Calibri" w:hAnsi="Times New Roman" w:cs="Times New Roman"/>
          <w:noProof/>
        </w:rPr>
      </w:pPr>
      <w:r w:rsidRPr="002E44D1">
        <w:rPr>
          <w:rFonts w:ascii="Times New Roman" w:hAnsi="Times New Roman"/>
          <w:noProof/>
        </w:rPr>
        <w:t>Medlemsstaterne planlægger og gennemfører politikker og foranstaltninger for at nå deres nuværende 2030-mål for indsatsfordeling i henhold til forordningen om indsatsfordeling. De nuværende nationale politikker vil for EU-27 som helhed reducere emissionerne med 22 % inden 2030 i forhold til 2005 (figur 8), hvilket ligger et godt stykke under det nuværende mål om en samlet emissionsreduktion på 29 %. Hvis medlemsstaterne gennemfører alle de supplerende politikker, de har rapporteret om, vil EU kun lige opfylde reduktionsmålet på 29 % under den eksisterende forordning om indsatsfordeling. Kommissionen har foreslået at ændre forordningen om indsatsfordeling for at opfylde det højere ambitionsniveau for 2030 om at reducere de nationale drivhusgasemissioner med mindst 55 % med en foreslået forhøjelse af 2030-målet for indsatsfordelingssektorerne til en emissionsreduktion på 40 % i forhold til 2005. Europa-Parlamentet og Rådet forhandler herom.</w:t>
      </w:r>
    </w:p>
    <w:p w14:paraId="1A4F96ED" w14:textId="1A626875" w:rsidR="00715B28" w:rsidRPr="002E44D1" w:rsidRDefault="3DD665B6" w:rsidP="00715B28">
      <w:pPr>
        <w:spacing w:line="257" w:lineRule="auto"/>
        <w:jc w:val="both"/>
        <w:rPr>
          <w:rFonts w:ascii="Times New Roman" w:hAnsi="Times New Roman" w:cs="Times New Roman"/>
          <w:noProof/>
        </w:rPr>
      </w:pPr>
      <w:r w:rsidRPr="002E44D1">
        <w:rPr>
          <w:rFonts w:ascii="Times New Roman" w:hAnsi="Times New Roman"/>
          <w:noProof/>
        </w:rPr>
        <w:t>Dette fremhæver det stærke og presserende behov for, at medlemsstaterne planlægger og gennemfører yderligere klimatiltag i indsatsfordelingssektorer i deres ajourførte integrerede nationale energi- og klimaplaner. Da medlemsstaterne skal forelægge udkast til ajourførte planer senest den 30. juni 2023</w:t>
      </w:r>
      <w:r w:rsidRPr="002E44D1">
        <w:rPr>
          <w:rStyle w:val="FootnoteReference"/>
          <w:rFonts w:ascii="Times New Roman" w:eastAsia="Calibri" w:hAnsi="Times New Roman" w:cs="Times New Roman"/>
          <w:noProof/>
        </w:rPr>
        <w:footnoteReference w:id="51"/>
      </w:r>
      <w:r w:rsidRPr="002E44D1">
        <w:rPr>
          <w:rFonts w:ascii="Times New Roman" w:hAnsi="Times New Roman"/>
          <w:noProof/>
        </w:rPr>
        <w:t xml:space="preserve">, er Kommissionen i færd med at udarbejde retningslinjer for at bistå dem med forberedelserne. </w:t>
      </w:r>
    </w:p>
    <w:p w14:paraId="7AF6F872" w14:textId="53E9B8DE" w:rsidR="00715B28" w:rsidRPr="002E44D1" w:rsidRDefault="3DD665B6" w:rsidP="09370AC4">
      <w:pPr>
        <w:spacing w:line="257" w:lineRule="auto"/>
        <w:jc w:val="both"/>
        <w:rPr>
          <w:rFonts w:ascii="Times New Roman" w:eastAsia="Calibri" w:hAnsi="Times New Roman" w:cs="Times New Roman"/>
          <w:noProof/>
        </w:rPr>
      </w:pPr>
      <w:r w:rsidRPr="002E44D1">
        <w:rPr>
          <w:rFonts w:ascii="Times New Roman" w:hAnsi="Times New Roman"/>
          <w:noProof/>
        </w:rPr>
        <w:t xml:space="preserve">Tilnærmede opgørelsesdata for 2021 viser, at fire medlemsstater forventes at overskride deres nuværende AEA'er for det pågældende år, nemlig 1 procentpoint for Tjekkiet, 2 procentpoint for Italien, 5 procentpoint for Irland og 14 procentpoint for Cypern. Da 2021 er det første år under forordningen om indsatsfordeling, vil eventuelle resterende overskud under beslutningen om indsatsfordeling ikke blive fremført. Medlemsstaterne vil dog have andre fleksible muligheder i henhold til forordningen om indsatsfordeling. </w:t>
      </w:r>
    </w:p>
    <w:p w14:paraId="6FA63003" w14:textId="56186822" w:rsidR="00715B28" w:rsidRPr="002E44D1" w:rsidRDefault="6E99F469" w:rsidP="09370AC4">
      <w:pPr>
        <w:pStyle w:val="Caption"/>
        <w:rPr>
          <w:noProof/>
        </w:rPr>
      </w:pPr>
      <w:r w:rsidRPr="002E44D1">
        <w:rPr>
          <w:noProof/>
        </w:rPr>
        <w:t xml:space="preserve">Figur </w:t>
      </w:r>
      <w:r w:rsidRPr="002E44D1">
        <w:rPr>
          <w:noProof/>
        </w:rPr>
        <w:fldChar w:fldCharType="begin"/>
      </w:r>
      <w:r w:rsidRPr="002E44D1">
        <w:rPr>
          <w:noProof/>
        </w:rPr>
        <w:instrText>SEQ Figure \* ARABIC</w:instrText>
      </w:r>
      <w:r w:rsidRPr="002E44D1">
        <w:rPr>
          <w:noProof/>
        </w:rPr>
        <w:fldChar w:fldCharType="separate"/>
      </w:r>
      <w:r w:rsidRPr="002E44D1">
        <w:rPr>
          <w:noProof/>
        </w:rPr>
        <w:t>8</w:t>
      </w:r>
      <w:r w:rsidRPr="002E44D1">
        <w:rPr>
          <w:noProof/>
        </w:rPr>
        <w:fldChar w:fldCharType="end"/>
      </w:r>
      <w:r w:rsidRPr="002E44D1">
        <w:rPr>
          <w:noProof/>
        </w:rPr>
        <w:t>: Forskelle mellem 2030-målene i henhold til forordningen om indsatsfordeling og de forventede emissioner</w:t>
      </w:r>
      <w:r w:rsidRPr="002E44D1">
        <w:rPr>
          <w:noProof/>
          <w:vertAlign w:val="superscript"/>
        </w:rPr>
        <w:footnoteReference w:id="52"/>
      </w:r>
      <w:r w:rsidRPr="002E44D1">
        <w:rPr>
          <w:noProof/>
        </w:rPr>
        <w:t xml:space="preserve"> med eksisterende foranstaltninger og yderligere foranstaltninger i procent af emissionerne i 2005 for EU-27, Island og Norge. Positive værdier angiver, at målene forventes at blive overgået. Negative værdier viser, at de ikke vil blive opfyldt.</w:t>
      </w:r>
    </w:p>
    <w:p w14:paraId="6E086751" w14:textId="57CAE46C" w:rsidR="0085235D" w:rsidRPr="002E44D1" w:rsidRDefault="00602DB7" w:rsidP="00CC5080">
      <w:pPr>
        <w:jc w:val="center"/>
        <w:rPr>
          <w:noProof/>
        </w:rPr>
      </w:pPr>
      <w:r w:rsidRPr="002E44D1">
        <w:rPr>
          <w:noProof/>
          <w:lang w:val="en-GB" w:eastAsia="en-GB"/>
        </w:rPr>
        <w:drawing>
          <wp:inline distT="0" distB="0" distL="0" distR="0" wp14:anchorId="7328BA7B" wp14:editId="3D5B171A">
            <wp:extent cx="4440622" cy="6290982"/>
            <wp:effectExtent l="0" t="0" r="17145" b="14605"/>
            <wp:docPr id="3" name="Chart 3">
              <a:extLst xmlns:a="http://schemas.openxmlformats.org/drawingml/2006/main">
                <a:ext uri="{FF2B5EF4-FFF2-40B4-BE49-F238E27FC236}">
                  <a16:creationId xmlns:a16="http://schemas.microsoft.com/office/drawing/2014/main" id="{A07BB75F-30F1-46E2-9A08-BA4B8861D4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58CD401" w14:textId="51FEF4C6" w:rsidR="00715B28" w:rsidRPr="002E44D1" w:rsidRDefault="3DD665B6" w:rsidP="00715B28">
      <w:pPr>
        <w:pStyle w:val="Heading2"/>
        <w:rPr>
          <w:rFonts w:ascii="Times New Roman" w:hAnsi="Times New Roman" w:cs="Times New Roman"/>
          <w:noProof/>
        </w:rPr>
      </w:pPr>
      <w:r w:rsidRPr="002E44D1">
        <w:rPr>
          <w:rFonts w:ascii="Times New Roman" w:hAnsi="Times New Roman"/>
          <w:noProof/>
        </w:rPr>
        <w:t xml:space="preserve">Politikker i nøglesektorer </w:t>
      </w:r>
    </w:p>
    <w:p w14:paraId="52C98527" w14:textId="77777777" w:rsidR="00B16C46" w:rsidRPr="002E44D1" w:rsidRDefault="00B16C46" w:rsidP="00B16C46">
      <w:pPr>
        <w:pStyle w:val="CommentText"/>
        <w:ind w:left="567"/>
        <w:jc w:val="both"/>
        <w:rPr>
          <w:rFonts w:ascii="Times New Roman" w:hAnsi="Times New Roman" w:cs="Times New Roman"/>
          <w:b/>
          <w:bCs/>
          <w:i/>
          <w:iCs/>
          <w:noProof/>
          <w:color w:val="7030A0"/>
          <w:sz w:val="18"/>
          <w:szCs w:val="18"/>
        </w:rPr>
      </w:pPr>
    </w:p>
    <w:p w14:paraId="08DD7A6E" w14:textId="53EA0C5E" w:rsidR="00CE5EBD" w:rsidRPr="002E44D1" w:rsidRDefault="00CE5EBD" w:rsidP="00020AF4">
      <w:pPr>
        <w:jc w:val="both"/>
        <w:rPr>
          <w:rFonts w:ascii="Times New Roman" w:hAnsi="Times New Roman" w:cs="Times New Roman"/>
          <w:b/>
          <w:bCs/>
          <w:noProof/>
          <w:color w:val="000000" w:themeColor="text1"/>
        </w:rPr>
      </w:pPr>
      <w:r w:rsidRPr="002E44D1">
        <w:rPr>
          <w:rFonts w:ascii="Times New Roman" w:hAnsi="Times New Roman"/>
          <w:noProof/>
          <w:color w:val="000000" w:themeColor="text1"/>
        </w:rPr>
        <w:t xml:space="preserve">— Transport </w:t>
      </w:r>
    </w:p>
    <w:p w14:paraId="6F8FCF48" w14:textId="1C181E5F" w:rsidR="00020AF4" w:rsidRPr="002E44D1" w:rsidRDefault="00020AF4" w:rsidP="00020AF4">
      <w:pPr>
        <w:jc w:val="both"/>
        <w:rPr>
          <w:rFonts w:ascii="Times New Roman" w:hAnsi="Times New Roman" w:cs="Times New Roman"/>
          <w:noProof/>
          <w:color w:val="000000" w:themeColor="text1"/>
        </w:rPr>
      </w:pPr>
      <w:r w:rsidRPr="002E44D1">
        <w:rPr>
          <w:rFonts w:ascii="Times New Roman" w:hAnsi="Times New Roman"/>
          <w:noProof/>
          <w:color w:val="000000" w:themeColor="text1"/>
        </w:rPr>
        <w:t>CO</w:t>
      </w:r>
      <w:r w:rsidRPr="002E44D1">
        <w:rPr>
          <w:rFonts w:ascii="Times New Roman" w:hAnsi="Times New Roman"/>
          <w:noProof/>
          <w:color w:val="000000" w:themeColor="text1"/>
          <w:vertAlign w:val="subscript"/>
        </w:rPr>
        <w:t>2</w:t>
      </w:r>
      <w:r w:rsidRPr="002E44D1">
        <w:rPr>
          <w:rFonts w:ascii="Times New Roman" w:hAnsi="Times New Roman"/>
          <w:noProof/>
          <w:color w:val="000000" w:themeColor="text1"/>
        </w:rPr>
        <w:t>-emissionsstandarder for nye biler og varevogne og for tunge køretøjer er afgørende drivkræfter for reduktion af vejtransportemissioner. De gennemsnitlige emissioner fra nye biler faldt fra 130,3 g CO</w:t>
      </w:r>
      <w:r w:rsidRPr="002E44D1">
        <w:rPr>
          <w:rFonts w:ascii="Times New Roman" w:hAnsi="Times New Roman"/>
          <w:noProof/>
          <w:color w:val="000000" w:themeColor="text1"/>
          <w:vertAlign w:val="subscript"/>
        </w:rPr>
        <w:t>2</w:t>
      </w:r>
      <w:r w:rsidRPr="002E44D1">
        <w:rPr>
          <w:rFonts w:ascii="Times New Roman" w:hAnsi="Times New Roman"/>
          <w:noProof/>
          <w:color w:val="000000" w:themeColor="text1"/>
        </w:rPr>
        <w:t>/km WLTP</w:t>
      </w:r>
      <w:r w:rsidRPr="002E44D1">
        <w:rPr>
          <w:rFonts w:ascii="Times New Roman" w:hAnsi="Times New Roman" w:cs="Times New Roman"/>
          <w:noProof/>
          <w:vertAlign w:val="superscript"/>
        </w:rPr>
        <w:footnoteReference w:id="53"/>
      </w:r>
      <w:r w:rsidRPr="002E44D1">
        <w:rPr>
          <w:rFonts w:ascii="Times New Roman" w:hAnsi="Times New Roman"/>
          <w:noProof/>
          <w:color w:val="000000" w:themeColor="text1"/>
        </w:rPr>
        <w:t xml:space="preserve"> (dvs. 107,5 g CO</w:t>
      </w:r>
      <w:r w:rsidRPr="002E44D1">
        <w:rPr>
          <w:rFonts w:ascii="Times New Roman" w:hAnsi="Times New Roman"/>
          <w:noProof/>
          <w:color w:val="000000" w:themeColor="text1"/>
          <w:vertAlign w:val="subscript"/>
        </w:rPr>
        <w:t>2</w:t>
      </w:r>
      <w:r w:rsidRPr="002E44D1">
        <w:rPr>
          <w:rFonts w:ascii="Times New Roman" w:hAnsi="Times New Roman"/>
          <w:noProof/>
          <w:color w:val="000000" w:themeColor="text1"/>
        </w:rPr>
        <w:t>/km NEDC</w:t>
      </w:r>
      <w:r w:rsidRPr="002E44D1">
        <w:rPr>
          <w:rFonts w:ascii="Times New Roman" w:hAnsi="Times New Roman" w:cs="Times New Roman"/>
          <w:noProof/>
          <w:vertAlign w:val="superscript"/>
        </w:rPr>
        <w:footnoteReference w:id="54"/>
      </w:r>
      <w:r w:rsidRPr="002E44D1">
        <w:rPr>
          <w:rFonts w:ascii="Times New Roman" w:hAnsi="Times New Roman"/>
          <w:noProof/>
          <w:color w:val="000000" w:themeColor="text1"/>
        </w:rPr>
        <w:t>) i 2020 til 114,7 g CO</w:t>
      </w:r>
      <w:r w:rsidRPr="002E44D1">
        <w:rPr>
          <w:rFonts w:ascii="Times New Roman" w:hAnsi="Times New Roman"/>
          <w:noProof/>
          <w:color w:val="000000" w:themeColor="text1"/>
          <w:vertAlign w:val="subscript"/>
        </w:rPr>
        <w:t>2</w:t>
      </w:r>
      <w:r w:rsidRPr="002E44D1">
        <w:rPr>
          <w:rFonts w:ascii="Times New Roman" w:hAnsi="Times New Roman"/>
          <w:noProof/>
          <w:color w:val="000000" w:themeColor="text1"/>
        </w:rPr>
        <w:t>/km i 2021 i henhold til foreløbige overvågningsdata for 2021</w:t>
      </w:r>
      <w:r w:rsidRPr="002E44D1">
        <w:rPr>
          <w:rStyle w:val="FootnoteReference"/>
          <w:rFonts w:ascii="Times New Roman" w:hAnsi="Times New Roman" w:cs="Times New Roman"/>
          <w:noProof/>
          <w:color w:val="000000" w:themeColor="text1"/>
        </w:rPr>
        <w:footnoteReference w:id="55"/>
      </w:r>
      <w:r w:rsidRPr="002E44D1">
        <w:rPr>
          <w:noProof/>
        </w:rPr>
        <w:t>.</w:t>
      </w:r>
      <w:r w:rsidRPr="002E44D1">
        <w:rPr>
          <w:rFonts w:ascii="Times New Roman" w:hAnsi="Times New Roman"/>
          <w:noProof/>
          <w:color w:val="000000" w:themeColor="text1"/>
        </w:rPr>
        <w:t xml:space="preserve"> Dette fortsætter den kraftige nedadgående tendens siden 2019 i CO</w:t>
      </w:r>
      <w:r w:rsidRPr="002E44D1">
        <w:rPr>
          <w:rFonts w:ascii="Times New Roman" w:hAnsi="Times New Roman"/>
          <w:noProof/>
          <w:color w:val="000000" w:themeColor="text1"/>
          <w:vertAlign w:val="subscript"/>
        </w:rPr>
        <w:t>2</w:t>
      </w:r>
      <w:r w:rsidRPr="002E44D1">
        <w:rPr>
          <w:rFonts w:ascii="Times New Roman" w:hAnsi="Times New Roman"/>
          <w:noProof/>
          <w:color w:val="000000" w:themeColor="text1"/>
        </w:rPr>
        <w:t>-emissioner fra nye biler, der registreres i EU, takket være strengere CO</w:t>
      </w:r>
      <w:r w:rsidRPr="002E44D1">
        <w:rPr>
          <w:rFonts w:ascii="Times New Roman" w:hAnsi="Times New Roman"/>
          <w:noProof/>
          <w:color w:val="000000" w:themeColor="text1"/>
          <w:vertAlign w:val="subscript"/>
        </w:rPr>
        <w:t>2</w:t>
      </w:r>
      <w:r w:rsidRPr="002E44D1">
        <w:rPr>
          <w:rFonts w:ascii="Times New Roman" w:hAnsi="Times New Roman"/>
          <w:noProof/>
          <w:color w:val="000000" w:themeColor="text1"/>
        </w:rPr>
        <w:t xml:space="preserve">-mål for hele EU, som har været gældende siden 2020. Andelen af batteridrevne elbiler er desuden steget markant. I 2021 var 10 % af de nyregistrerede biler i EU batteridrevne (en stigning fra 2 % i 2019 og 6 % i 2020). </w:t>
      </w:r>
      <w:r w:rsidRPr="002E44D1">
        <w:rPr>
          <w:rFonts w:ascii="Times New Roman" w:hAnsi="Times New Roman"/>
          <w:noProof/>
        </w:rPr>
        <w:t>Foreløbige data viser, at de gennemsnitlige emissioner for varevogne i 2021 også er faldet til 193,8 g CO</w:t>
      </w:r>
      <w:r w:rsidRPr="002E44D1">
        <w:rPr>
          <w:rFonts w:ascii="Times New Roman" w:hAnsi="Times New Roman"/>
          <w:noProof/>
          <w:vertAlign w:val="subscript"/>
        </w:rPr>
        <w:t>2</w:t>
      </w:r>
      <w:r w:rsidRPr="002E44D1">
        <w:rPr>
          <w:rFonts w:ascii="Times New Roman" w:hAnsi="Times New Roman"/>
          <w:noProof/>
        </w:rPr>
        <w:t>/km WLTP fra 200,3 g CO</w:t>
      </w:r>
      <w:r w:rsidRPr="002E44D1">
        <w:rPr>
          <w:rFonts w:ascii="Times New Roman" w:hAnsi="Times New Roman"/>
          <w:noProof/>
          <w:vertAlign w:val="subscript"/>
        </w:rPr>
        <w:t>2</w:t>
      </w:r>
      <w:r w:rsidRPr="002E44D1">
        <w:rPr>
          <w:rFonts w:ascii="Times New Roman" w:hAnsi="Times New Roman"/>
          <w:noProof/>
        </w:rPr>
        <w:t>/km WLTP (dvs. 155,0 g CO</w:t>
      </w:r>
      <w:r w:rsidRPr="002E44D1">
        <w:rPr>
          <w:rFonts w:ascii="Times New Roman" w:hAnsi="Times New Roman"/>
          <w:noProof/>
          <w:vertAlign w:val="subscript"/>
        </w:rPr>
        <w:t>2</w:t>
      </w:r>
      <w:r w:rsidRPr="002E44D1">
        <w:rPr>
          <w:rFonts w:ascii="Times New Roman" w:hAnsi="Times New Roman"/>
          <w:noProof/>
        </w:rPr>
        <w:t>/km NEDC) i 2020, blandt andet takket være de strengere mål, der gælder fra 2020 (figur 9).</w:t>
      </w:r>
    </w:p>
    <w:p w14:paraId="6957B142" w14:textId="169F7DE4" w:rsidR="001160D3" w:rsidRPr="002E44D1" w:rsidRDefault="001160D3" w:rsidP="001160D3">
      <w:pPr>
        <w:jc w:val="both"/>
        <w:rPr>
          <w:rFonts w:ascii="Times New Roman" w:eastAsiaTheme="minorEastAsia" w:hAnsi="Times New Roman"/>
          <w:b/>
          <w:bCs/>
          <w:noProof/>
          <w:color w:val="1F497D" w:themeColor="text2"/>
          <w:sz w:val="20"/>
          <w:szCs w:val="20"/>
        </w:rPr>
      </w:pPr>
      <w:r w:rsidRPr="002E44D1">
        <w:rPr>
          <w:rFonts w:ascii="Times New Roman" w:hAnsi="Times New Roman"/>
          <w:b/>
          <w:noProof/>
          <w:color w:val="1F497D" w:themeColor="text2"/>
          <w:sz w:val="20"/>
        </w:rPr>
        <w:t xml:space="preserve">Figur </w:t>
      </w:r>
      <w:r w:rsidRPr="002E44D1">
        <w:rPr>
          <w:rFonts w:ascii="Times New Roman" w:eastAsiaTheme="minorEastAsia" w:hAnsi="Times New Roman"/>
          <w:b/>
          <w:noProof/>
          <w:color w:val="1F497D" w:themeColor="text2"/>
          <w:sz w:val="20"/>
        </w:rPr>
        <w:fldChar w:fldCharType="begin"/>
      </w:r>
      <w:r w:rsidRPr="002E44D1">
        <w:rPr>
          <w:rFonts w:ascii="Times New Roman" w:eastAsiaTheme="minorEastAsia" w:hAnsi="Times New Roman"/>
          <w:b/>
          <w:noProof/>
          <w:color w:val="1F497D" w:themeColor="text2"/>
          <w:sz w:val="20"/>
        </w:rPr>
        <w:instrText>SEQ Figure \* ARABIC</w:instrText>
      </w:r>
      <w:r w:rsidRPr="002E44D1">
        <w:rPr>
          <w:rFonts w:ascii="Times New Roman" w:eastAsiaTheme="minorEastAsia" w:hAnsi="Times New Roman"/>
          <w:b/>
          <w:noProof/>
          <w:color w:val="1F497D" w:themeColor="text2"/>
          <w:sz w:val="20"/>
        </w:rPr>
        <w:fldChar w:fldCharType="separate"/>
      </w:r>
      <w:r w:rsidRPr="002E44D1">
        <w:rPr>
          <w:rFonts w:ascii="Times New Roman" w:eastAsiaTheme="minorEastAsia" w:hAnsi="Times New Roman"/>
          <w:b/>
          <w:noProof/>
          <w:color w:val="1F497D" w:themeColor="text2"/>
          <w:sz w:val="20"/>
        </w:rPr>
        <w:t>9</w:t>
      </w:r>
      <w:r w:rsidRPr="002E44D1">
        <w:rPr>
          <w:rFonts w:ascii="Times New Roman" w:eastAsiaTheme="minorEastAsia" w:hAnsi="Times New Roman"/>
          <w:b/>
          <w:noProof/>
          <w:color w:val="1F497D" w:themeColor="text2"/>
          <w:sz w:val="20"/>
        </w:rPr>
        <w:fldChar w:fldCharType="end"/>
      </w:r>
      <w:r w:rsidRPr="002E44D1">
        <w:rPr>
          <w:rFonts w:ascii="Times New Roman" w:hAnsi="Times New Roman"/>
          <w:b/>
          <w:noProof/>
          <w:color w:val="1F497D" w:themeColor="text2"/>
          <w:sz w:val="20"/>
        </w:rPr>
        <w:t>: CO</w:t>
      </w:r>
      <w:r w:rsidRPr="002E44D1">
        <w:rPr>
          <w:rFonts w:ascii="Times New Roman" w:hAnsi="Times New Roman"/>
          <w:b/>
          <w:noProof/>
          <w:color w:val="1F497D" w:themeColor="text2"/>
          <w:sz w:val="20"/>
          <w:vertAlign w:val="subscript"/>
        </w:rPr>
        <w:t>2</w:t>
      </w:r>
      <w:r w:rsidRPr="002E44D1">
        <w:rPr>
          <w:rFonts w:ascii="Times New Roman" w:hAnsi="Times New Roman"/>
          <w:b/>
          <w:noProof/>
          <w:color w:val="1F497D" w:themeColor="text2"/>
          <w:sz w:val="20"/>
        </w:rPr>
        <w:t>-emissioner og EU-flådedækkende mål, biler og varevogne</w:t>
      </w:r>
    </w:p>
    <w:p w14:paraId="2F097C37" w14:textId="59AA4335" w:rsidR="00EF3E57" w:rsidRPr="002E44D1" w:rsidRDefault="00A3045E" w:rsidP="003F6135">
      <w:pPr>
        <w:jc w:val="center"/>
        <w:rPr>
          <w:rFonts w:ascii="Times New Roman" w:hAnsi="Times New Roman" w:cs="Times New Roman"/>
          <w:noProof/>
          <w:color w:val="000000" w:themeColor="text1"/>
        </w:rPr>
      </w:pPr>
      <w:r w:rsidRPr="002E44D1">
        <w:rPr>
          <w:noProof/>
          <w:lang w:val="en-GB" w:eastAsia="en-GB"/>
        </w:rPr>
        <w:drawing>
          <wp:inline distT="0" distB="0" distL="0" distR="0" wp14:anchorId="07D25FE9" wp14:editId="5C14489D">
            <wp:extent cx="4704654" cy="3163614"/>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738111" cy="3186112"/>
                    </a:xfrm>
                    <a:prstGeom prst="rect">
                      <a:avLst/>
                    </a:prstGeom>
                  </pic:spPr>
                </pic:pic>
              </a:graphicData>
            </a:graphic>
          </wp:inline>
        </w:drawing>
      </w:r>
      <w:r w:rsidRPr="002E44D1">
        <w:rPr>
          <w:noProof/>
          <w:lang w:val="en-GB" w:eastAsia="en-GB"/>
        </w:rPr>
        <w:drawing>
          <wp:inline distT="0" distB="0" distL="0" distR="0" wp14:anchorId="73E1259D" wp14:editId="5DA74955">
            <wp:extent cx="4719144" cy="3059225"/>
            <wp:effectExtent l="0" t="0" r="571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729925" cy="3066214"/>
                    </a:xfrm>
                    <a:prstGeom prst="rect">
                      <a:avLst/>
                    </a:prstGeom>
                  </pic:spPr>
                </pic:pic>
              </a:graphicData>
            </a:graphic>
          </wp:inline>
        </w:drawing>
      </w:r>
    </w:p>
    <w:p w14:paraId="78DAED3E" w14:textId="5C4DD785" w:rsidR="003F6135" w:rsidRPr="002E44D1" w:rsidRDefault="003F6135" w:rsidP="003F6135">
      <w:pPr>
        <w:jc w:val="center"/>
        <w:rPr>
          <w:rFonts w:ascii="Times New Roman" w:hAnsi="Times New Roman" w:cs="Times New Roman"/>
          <w:noProof/>
          <w:color w:val="000000" w:themeColor="text1"/>
        </w:rPr>
      </w:pPr>
    </w:p>
    <w:p w14:paraId="3BC7C498" w14:textId="7EE24D90" w:rsidR="00715B28" w:rsidRPr="002E44D1" w:rsidRDefault="3DD665B6" w:rsidP="00715B28">
      <w:pPr>
        <w:jc w:val="both"/>
        <w:rPr>
          <w:rFonts w:ascii="Times New Roman" w:hAnsi="Times New Roman" w:cs="Times New Roman"/>
          <w:noProof/>
        </w:rPr>
      </w:pPr>
      <w:r w:rsidRPr="002E44D1">
        <w:rPr>
          <w:rFonts w:ascii="Times New Roman" w:hAnsi="Times New Roman"/>
          <w:noProof/>
        </w:rPr>
        <w:t>Tunge køretøjer såsom lastbiler, tunge varevogne og busser tegner sig for ca. 30 % af alle CO</w:t>
      </w:r>
      <w:r w:rsidRPr="002E44D1">
        <w:rPr>
          <w:rFonts w:ascii="Times New Roman" w:hAnsi="Times New Roman"/>
          <w:noProof/>
          <w:vertAlign w:val="subscript"/>
        </w:rPr>
        <w:t>2</w:t>
      </w:r>
      <w:r w:rsidRPr="002E44D1">
        <w:rPr>
          <w:rFonts w:ascii="Times New Roman" w:hAnsi="Times New Roman"/>
          <w:noProof/>
        </w:rPr>
        <w:t>-emissioner fra vejtransport. I henhold til den eksisterende lovgivning skal gennemsnitlige CO</w:t>
      </w:r>
      <w:r w:rsidRPr="002E44D1">
        <w:rPr>
          <w:rFonts w:ascii="Times New Roman" w:hAnsi="Times New Roman"/>
          <w:noProof/>
          <w:vertAlign w:val="subscript"/>
        </w:rPr>
        <w:t>2</w:t>
      </w:r>
      <w:r w:rsidRPr="002E44D1">
        <w:rPr>
          <w:rFonts w:ascii="Times New Roman" w:hAnsi="Times New Roman"/>
          <w:noProof/>
        </w:rPr>
        <w:t xml:space="preserve">-emissioner fra en fabrikants flåde af nye tunge lastbiler reduceres med 15 % senest i 2025 og 30 % senest i 2030 i forhold til 2019. Et lovgivningsforslag fra Kommissionen, som skal forelægges ved udgangen af 2022, forventes at stramme de eksisterende standarder og udvide anvendelsesområdet til de fleste resterende grupper af tunge køretøjer. </w:t>
      </w:r>
    </w:p>
    <w:p w14:paraId="25DF4EB8" w14:textId="36D24B4F" w:rsidR="004C5B31" w:rsidRPr="002E44D1" w:rsidRDefault="003C0472" w:rsidP="00715B28">
      <w:pPr>
        <w:jc w:val="both"/>
        <w:rPr>
          <w:rFonts w:ascii="Times New Roman" w:hAnsi="Times New Roman" w:cs="Times New Roman"/>
          <w:noProof/>
          <w:color w:val="000000" w:themeColor="text1"/>
        </w:rPr>
      </w:pPr>
      <w:r w:rsidRPr="002E44D1">
        <w:rPr>
          <w:rFonts w:ascii="Times New Roman" w:hAnsi="Times New Roman"/>
          <w:b/>
          <w:noProof/>
          <w:color w:val="000000" w:themeColor="text1"/>
        </w:rPr>
        <w:t>Direktivet om brændstofkvalitet</w:t>
      </w:r>
      <w:r w:rsidRPr="002E44D1">
        <w:rPr>
          <w:rFonts w:ascii="Times New Roman" w:hAnsi="Times New Roman"/>
          <w:noProof/>
          <w:color w:val="000000" w:themeColor="text1"/>
        </w:rPr>
        <w:t xml:space="preserve"> reducerede også transportemissionerne. I henhold til direktivet skal intensiteten af brændstoffers vugge-til-grav-emission af drivhusgasser reduceres med 6 % inden 2020 i forhold til 2010-niveauet. Den gennemsnitlige drivhusgasintensitet for de brændstoffer, der blev leveret i 2020, var 5,5 % lavere end i 2010. De fremskridt, som EU's brændstofleverandører har opnået, varierer meget fra medlemsstat til medlemsstat (figur 10).</w:t>
      </w:r>
    </w:p>
    <w:p w14:paraId="0D164E0C" w14:textId="0CA74F8F" w:rsidR="00715B28" w:rsidRPr="002E44D1" w:rsidRDefault="6E99F469" w:rsidP="09370AC4">
      <w:pPr>
        <w:pStyle w:val="Caption"/>
        <w:rPr>
          <w:noProof/>
        </w:rPr>
      </w:pPr>
      <w:r w:rsidRPr="002E44D1">
        <w:rPr>
          <w:noProof/>
        </w:rPr>
        <w:t xml:space="preserve">Figur </w:t>
      </w:r>
      <w:r w:rsidRPr="002E44D1">
        <w:rPr>
          <w:noProof/>
        </w:rPr>
        <w:fldChar w:fldCharType="begin"/>
      </w:r>
      <w:r w:rsidRPr="002E44D1">
        <w:rPr>
          <w:noProof/>
        </w:rPr>
        <w:instrText>SEQ Figure \* ARABIC</w:instrText>
      </w:r>
      <w:r w:rsidRPr="002E44D1">
        <w:rPr>
          <w:noProof/>
        </w:rPr>
        <w:fldChar w:fldCharType="separate"/>
      </w:r>
      <w:r w:rsidRPr="002E44D1">
        <w:rPr>
          <w:noProof/>
        </w:rPr>
        <w:t>10</w:t>
      </w:r>
      <w:r w:rsidRPr="002E44D1">
        <w:rPr>
          <w:noProof/>
        </w:rPr>
        <w:fldChar w:fldCharType="end"/>
      </w:r>
      <w:r w:rsidRPr="002E44D1">
        <w:rPr>
          <w:noProof/>
        </w:rPr>
        <w:t>:</w:t>
      </w:r>
      <w:r w:rsidRPr="002E44D1">
        <w:rPr>
          <w:noProof/>
          <w:color w:val="000000" w:themeColor="text1"/>
        </w:rPr>
        <w:t xml:space="preserve"> </w:t>
      </w:r>
      <w:r w:rsidRPr="002E44D1">
        <w:rPr>
          <w:noProof/>
        </w:rPr>
        <w:t xml:space="preserve">Reduktion af drivhusgasintensiteten af brændstoffer, som EU's brændstofleverandører har opnået i EU-27, 2010-2019 og 2010-2020 (kilde: EEA) </w:t>
      </w:r>
    </w:p>
    <w:p w14:paraId="4BE958B9" w14:textId="705886FB" w:rsidR="009C750F" w:rsidRPr="002E44D1" w:rsidRDefault="005616B0" w:rsidP="007529C8">
      <w:pPr>
        <w:jc w:val="center"/>
        <w:rPr>
          <w:noProof/>
        </w:rPr>
      </w:pPr>
      <w:r w:rsidRPr="002E44D1">
        <w:rPr>
          <w:noProof/>
          <w:lang w:val="en-GB" w:eastAsia="en-GB"/>
        </w:rPr>
        <w:drawing>
          <wp:inline distT="0" distB="0" distL="0" distR="0" wp14:anchorId="0F3F2C25" wp14:editId="2ACF7F0F">
            <wp:extent cx="5760720" cy="43656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60720" cy="4365625"/>
                    </a:xfrm>
                    <a:prstGeom prst="rect">
                      <a:avLst/>
                    </a:prstGeom>
                  </pic:spPr>
                </pic:pic>
              </a:graphicData>
            </a:graphic>
          </wp:inline>
        </w:drawing>
      </w:r>
    </w:p>
    <w:p w14:paraId="04CEF6A7" w14:textId="77777777" w:rsidR="00715B28" w:rsidRPr="002E44D1" w:rsidRDefault="1D0260B1" w:rsidP="00715B28">
      <w:pPr>
        <w:pStyle w:val="ListParagraph"/>
        <w:numPr>
          <w:ilvl w:val="0"/>
          <w:numId w:val="7"/>
        </w:numPr>
        <w:jc w:val="both"/>
        <w:rPr>
          <w:rFonts w:ascii="Times New Roman" w:hAnsi="Times New Roman" w:cs="Times New Roman"/>
          <w:noProof/>
        </w:rPr>
      </w:pPr>
      <w:r w:rsidRPr="002E44D1">
        <w:rPr>
          <w:rFonts w:ascii="Times New Roman" w:hAnsi="Times New Roman"/>
          <w:noProof/>
        </w:rPr>
        <w:t>F-gasser</w:t>
      </w:r>
    </w:p>
    <w:p w14:paraId="2E466C31" w14:textId="637AA3F4" w:rsidR="00715B28" w:rsidRPr="002E44D1" w:rsidRDefault="3DD665B6" w:rsidP="00715B28">
      <w:pPr>
        <w:jc w:val="both"/>
        <w:rPr>
          <w:rFonts w:ascii="Times New Roman" w:hAnsi="Times New Roman" w:cs="Times New Roman"/>
          <w:noProof/>
        </w:rPr>
      </w:pPr>
      <w:r w:rsidRPr="002E44D1">
        <w:rPr>
          <w:rFonts w:ascii="Times New Roman" w:hAnsi="Times New Roman"/>
          <w:noProof/>
        </w:rPr>
        <w:t>Fluorholdige gasser ("F-gasser") har en global opvarmningseffekt, der er op til 25 000 gange større end CO</w:t>
      </w:r>
      <w:r w:rsidRPr="002E44D1">
        <w:rPr>
          <w:rFonts w:ascii="Times New Roman" w:hAnsi="Times New Roman"/>
          <w:noProof/>
          <w:vertAlign w:val="subscript"/>
        </w:rPr>
        <w:t>2</w:t>
      </w:r>
      <w:r w:rsidRPr="002E44D1">
        <w:rPr>
          <w:rFonts w:ascii="Times New Roman" w:hAnsi="Times New Roman"/>
          <w:noProof/>
        </w:rPr>
        <w:t>. Efter 2014 blev en tiårig tendens til stigende emissioner af F-gasser vendt som følge af den nuværende forordning om fluorholdige drivhusgasser (forordning (EU) nr. 517/2014). Emissionerne i EU-27 faldt med 20 % fra 2014 til 2020, og forsyningen af kulbrintegasser (HFC-gasser) til markedet faldt med 47 % i CO</w:t>
      </w:r>
      <w:r w:rsidRPr="002E44D1">
        <w:rPr>
          <w:rFonts w:ascii="Times New Roman" w:hAnsi="Times New Roman"/>
          <w:noProof/>
          <w:vertAlign w:val="subscript"/>
        </w:rPr>
        <w:t>2</w:t>
      </w:r>
      <w:r w:rsidRPr="002E44D1">
        <w:rPr>
          <w:rFonts w:ascii="Times New Roman" w:hAnsi="Times New Roman"/>
          <w:noProof/>
        </w:rPr>
        <w:t xml:space="preserve">-ækvivalenter mellem 2015 og 2019, navnlig fordi der skiftedes over til mere klimavenlige alternativer inden for køling. I april 2022 foreslog Kommissionen en ny forordning om F-gasser for at opnå yderligere emissionsbesparelser inden 2050. </w:t>
      </w:r>
    </w:p>
    <w:p w14:paraId="5EB15D61" w14:textId="1ED5FC8F" w:rsidR="00715B28" w:rsidRPr="002E44D1" w:rsidRDefault="00313A70" w:rsidP="00715B28">
      <w:pPr>
        <w:pStyle w:val="ListParagraph"/>
        <w:numPr>
          <w:ilvl w:val="0"/>
          <w:numId w:val="7"/>
        </w:numPr>
        <w:jc w:val="both"/>
        <w:rPr>
          <w:rFonts w:ascii="Times New Roman" w:hAnsi="Times New Roman" w:cs="Times New Roman"/>
          <w:noProof/>
        </w:rPr>
      </w:pPr>
      <w:r w:rsidRPr="002E44D1">
        <w:rPr>
          <w:rFonts w:ascii="Times New Roman" w:hAnsi="Times New Roman"/>
          <w:noProof/>
        </w:rPr>
        <w:t>OZONLAGSNEDBRYDENDE STOFFER</w:t>
      </w:r>
    </w:p>
    <w:p w14:paraId="09F1CAE1" w14:textId="0580ADFD" w:rsidR="00EC3C80" w:rsidRPr="002E44D1" w:rsidRDefault="1D0260B1" w:rsidP="002D09E3">
      <w:pPr>
        <w:jc w:val="both"/>
        <w:rPr>
          <w:rFonts w:ascii="Times New Roman" w:hAnsi="Times New Roman" w:cs="Times New Roman"/>
          <w:noProof/>
        </w:rPr>
      </w:pPr>
      <w:r w:rsidRPr="002E44D1">
        <w:rPr>
          <w:rFonts w:ascii="Times New Roman" w:hAnsi="Times New Roman"/>
          <w:noProof/>
        </w:rPr>
        <w:t>Ozonlagsnedbrydende stoffer er også meget stærke drivhusgasser. Deres anvendelse og produktion i EU er faldet med 99 % i de seneste årtier som led i den globale indsats for at beskytte ozonlaget i henhold til Montreal-protokollen. De største resterende EU-kilder til ozonlagsnedbrydende stoffer er bygningsisoleringsskum, som er over 20 år gammelt, og som udledes, når bygninger renoveres eller nedrives. Et nyt forslag til forordning om ozonlagsnedbrydende stoffer, som Kommissionen vedtog i april 2022, har til formål at undgå emissioner ved at kræve, at disse forurenende stoffer indsamles og destrueres eller genbruges.</w:t>
      </w:r>
    </w:p>
    <w:p w14:paraId="0968BEEC" w14:textId="306B117A" w:rsidR="00EC3C80" w:rsidRPr="002E44D1" w:rsidRDefault="1FF452F4" w:rsidP="00AA4657">
      <w:pPr>
        <w:pStyle w:val="Heading1"/>
        <w:rPr>
          <w:noProof/>
        </w:rPr>
      </w:pPr>
      <w:r w:rsidRPr="00CC5080">
        <w:rPr>
          <w:rFonts w:ascii="Times New Roman" w:hAnsi="Times New Roman"/>
          <w:noProof/>
          <w:sz w:val="32"/>
        </w:rPr>
        <w:t xml:space="preserve">AREALANVENDELSE, ÆNDRINGER I AREALANVENDELSE OG SKOVBRUG </w:t>
      </w:r>
    </w:p>
    <w:p w14:paraId="2BDC6CF7" w14:textId="0765A70B" w:rsidR="00287406" w:rsidRPr="002E44D1" w:rsidRDefault="00404FB9" w:rsidP="09370AC4">
      <w:pPr>
        <w:jc w:val="both"/>
        <w:rPr>
          <w:rFonts w:ascii="Times New Roman" w:hAnsi="Times New Roman" w:cs="Times New Roman"/>
          <w:noProof/>
        </w:rPr>
      </w:pPr>
      <w:r w:rsidRPr="002E44D1">
        <w:rPr>
          <w:rFonts w:ascii="Times New Roman" w:hAnsi="Times New Roman"/>
          <w:noProof/>
        </w:rPr>
        <w:t>Arealanvendelse, ændringer i arealanvendelse og skovbrug (LULUCF) vil komme til at spille en afgørende rolle med hensyn til at nå EU's mål om klimaneutralitet, da jord både kan frigive drivhusgasemissioner til atmosfæren og fjerne CO</w:t>
      </w:r>
      <w:r w:rsidRPr="002E44D1">
        <w:rPr>
          <w:rFonts w:ascii="Times New Roman" w:hAnsi="Times New Roman"/>
          <w:noProof/>
          <w:vertAlign w:val="subscript"/>
        </w:rPr>
        <w:t>2</w:t>
      </w:r>
      <w:r w:rsidRPr="002E44D1">
        <w:rPr>
          <w:rFonts w:ascii="Times New Roman" w:hAnsi="Times New Roman"/>
          <w:noProof/>
        </w:rPr>
        <w:t xml:space="preserve"> fra den, afhængig af arealanvendelsen. I EU udleder LULUCF mindre drivhusgasser i atmosfæren end den CO</w:t>
      </w:r>
      <w:r w:rsidRPr="002E44D1">
        <w:rPr>
          <w:rFonts w:ascii="Times New Roman" w:hAnsi="Times New Roman"/>
          <w:noProof/>
          <w:vertAlign w:val="subscript"/>
        </w:rPr>
        <w:t>2</w:t>
      </w:r>
      <w:r w:rsidRPr="002E44D1">
        <w:rPr>
          <w:rFonts w:ascii="Times New Roman" w:hAnsi="Times New Roman"/>
          <w:noProof/>
        </w:rPr>
        <w:t>, det fjerner gennem biogene processer, men der er i de seneste år sket en nedgang i dette naturlige kulstofdræn. For perioden 2013-2020 forpligtede medlemsstaterne sig til at tage højde for yderligere foranstaltninger i LULUCF i de rapporterede drivhusgasemissioner og kulstoffjernelser for at vurdere målet i henhold til Kyotoprotokollen</w:t>
      </w:r>
      <w:r w:rsidRPr="002E44D1">
        <w:rPr>
          <w:rStyle w:val="FootnoteReference"/>
          <w:rFonts w:ascii="Times New Roman" w:hAnsi="Times New Roman" w:cs="Times New Roman"/>
          <w:noProof/>
          <w:spacing w:val="-6"/>
        </w:rPr>
        <w:footnoteReference w:id="56"/>
      </w:r>
      <w:r w:rsidRPr="002E44D1">
        <w:rPr>
          <w:noProof/>
        </w:rPr>
        <w:t>.</w:t>
      </w:r>
      <w:r w:rsidRPr="002E44D1">
        <w:rPr>
          <w:rFonts w:ascii="Times New Roman" w:hAnsi="Times New Roman"/>
          <w:noProof/>
        </w:rPr>
        <w:t xml:space="preserve"> </w:t>
      </w:r>
    </w:p>
    <w:p w14:paraId="56673B61" w14:textId="560BE971" w:rsidR="005B60C5" w:rsidRPr="002E44D1" w:rsidRDefault="149774D1" w:rsidP="09370AC4">
      <w:pPr>
        <w:pStyle w:val="Caption"/>
        <w:rPr>
          <w:rStyle w:val="FootnoteReference"/>
          <w:noProof/>
        </w:rPr>
      </w:pPr>
      <w:r w:rsidRPr="002E44D1">
        <w:rPr>
          <w:noProof/>
        </w:rPr>
        <w:t xml:space="preserve">Figur </w:t>
      </w:r>
      <w:r w:rsidRPr="002E44D1">
        <w:rPr>
          <w:noProof/>
        </w:rPr>
        <w:fldChar w:fldCharType="begin"/>
      </w:r>
      <w:r w:rsidRPr="002E44D1">
        <w:rPr>
          <w:noProof/>
        </w:rPr>
        <w:instrText>SEQ Figure \* ARABIC</w:instrText>
      </w:r>
      <w:r w:rsidRPr="002E44D1">
        <w:rPr>
          <w:noProof/>
        </w:rPr>
        <w:fldChar w:fldCharType="separate"/>
      </w:r>
      <w:r w:rsidRPr="002E44D1">
        <w:rPr>
          <w:noProof/>
        </w:rPr>
        <w:t>11</w:t>
      </w:r>
      <w:r w:rsidRPr="002E44D1">
        <w:rPr>
          <w:noProof/>
        </w:rPr>
        <w:fldChar w:fldCharType="end"/>
      </w:r>
      <w:r w:rsidRPr="002E44D1">
        <w:rPr>
          <w:noProof/>
        </w:rPr>
        <w:t>: Indberettede (R) og foreløbige bogførte (A) emissioner og optag i henhold til Kyotoprotokollen, anden forpligtelsesperiode, EU-27</w:t>
      </w:r>
      <w:r w:rsidRPr="002E44D1">
        <w:rPr>
          <w:rStyle w:val="FootnoteReference"/>
          <w:noProof/>
        </w:rPr>
        <w:t xml:space="preserve"> </w:t>
      </w:r>
      <w:r w:rsidRPr="002E44D1">
        <w:rPr>
          <w:rStyle w:val="FootnoteReference"/>
          <w:noProof/>
        </w:rPr>
        <w:footnoteReference w:id="57"/>
      </w:r>
    </w:p>
    <w:p w14:paraId="18F8B441" w14:textId="24A8DA3A" w:rsidR="00EC3C80" w:rsidRPr="002E44D1" w:rsidRDefault="00EC3C80" w:rsidP="005B60C5">
      <w:pPr>
        <w:pStyle w:val="Figures"/>
        <w:jc w:val="center"/>
        <w:rPr>
          <w:noProof/>
        </w:rPr>
      </w:pPr>
      <w:r w:rsidRPr="002E44D1">
        <w:rPr>
          <w:noProof/>
        </w:rPr>
        <w:t xml:space="preserve"> </w:t>
      </w:r>
      <w:r w:rsidRPr="002E44D1">
        <w:rPr>
          <w:noProof/>
        </w:rPr>
        <w:br/>
      </w:r>
      <w:r w:rsidR="005616B0" w:rsidRPr="002E44D1">
        <w:rPr>
          <w:noProof/>
          <w:lang w:val="en-GB"/>
        </w:rPr>
        <w:drawing>
          <wp:inline distT="0" distB="0" distL="0" distR="0" wp14:anchorId="7CC89CB0" wp14:editId="0BAE8741">
            <wp:extent cx="5760720" cy="26701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60720" cy="2670175"/>
                    </a:xfrm>
                    <a:prstGeom prst="rect">
                      <a:avLst/>
                    </a:prstGeom>
                  </pic:spPr>
                </pic:pic>
              </a:graphicData>
            </a:graphic>
          </wp:inline>
        </w:drawing>
      </w:r>
    </w:p>
    <w:p w14:paraId="11BA482C" w14:textId="5F0E6ECB" w:rsidR="00FF221C" w:rsidRPr="002E44D1" w:rsidRDefault="00CD6CF6" w:rsidP="28E07212">
      <w:pPr>
        <w:jc w:val="both"/>
        <w:rPr>
          <w:rFonts w:ascii="Times New Roman" w:hAnsi="Times New Roman" w:cs="Times New Roman"/>
          <w:noProof/>
        </w:rPr>
      </w:pPr>
      <w:r w:rsidRPr="002E44D1">
        <w:rPr>
          <w:rFonts w:ascii="Times New Roman" w:hAnsi="Times New Roman"/>
          <w:noProof/>
        </w:rPr>
        <w:t>Figur 11 viser et faldende dræn af "rapporterede" emissioner og optag pr. aktivitet for EU i Kyotoprotokollens anden forpligtelsesperiode (2013-2020). Det gennemsnitlige nettooptag var 320,2 mio. ton CO</w:t>
      </w:r>
      <w:r w:rsidRPr="002E44D1">
        <w:rPr>
          <w:rFonts w:ascii="Times New Roman" w:hAnsi="Times New Roman"/>
          <w:noProof/>
          <w:vertAlign w:val="subscript"/>
        </w:rPr>
        <w:t>2</w:t>
      </w:r>
      <w:r w:rsidRPr="002E44D1">
        <w:rPr>
          <w:rFonts w:ascii="Times New Roman" w:hAnsi="Times New Roman"/>
          <w:noProof/>
        </w:rPr>
        <w:t>-ækvivalenter i perioden. På baggrund af Kyoto-protokollens regnskabsregler gav den "bogførte" balance et gennemsnitligt kulstofdræn (eller en gennemsnitlig kulstofkredit) på 84,3 mio. ton CO</w:t>
      </w:r>
      <w:r w:rsidRPr="002E44D1">
        <w:rPr>
          <w:rFonts w:ascii="Times New Roman" w:hAnsi="Times New Roman"/>
          <w:noProof/>
          <w:vertAlign w:val="subscript"/>
        </w:rPr>
        <w:t>2</w:t>
      </w:r>
      <w:r w:rsidRPr="002E44D1">
        <w:rPr>
          <w:rFonts w:ascii="Times New Roman" w:hAnsi="Times New Roman"/>
          <w:noProof/>
        </w:rPr>
        <w:t>-ækvivalenter, idet nettokreditterne faldt fra – 123,2 i 2013 til – 58,4 mio. ton CO</w:t>
      </w:r>
      <w:r w:rsidRPr="002E44D1">
        <w:rPr>
          <w:rFonts w:ascii="Times New Roman" w:hAnsi="Times New Roman"/>
          <w:noProof/>
          <w:vertAlign w:val="subscript"/>
        </w:rPr>
        <w:t>2</w:t>
      </w:r>
      <w:r w:rsidRPr="002E44D1">
        <w:rPr>
          <w:rFonts w:ascii="Times New Roman" w:hAnsi="Times New Roman"/>
          <w:noProof/>
        </w:rPr>
        <w:t>-ækvivalenter i 2020.</w:t>
      </w:r>
      <w:r w:rsidRPr="002E44D1">
        <w:rPr>
          <w:rFonts w:ascii="Times New Roman" w:hAnsi="Times New Roman" w:cs="Times New Roman"/>
          <w:noProof/>
          <w:vertAlign w:val="superscript"/>
        </w:rPr>
        <w:footnoteReference w:id="58"/>
      </w:r>
      <w:r w:rsidRPr="002E44D1">
        <w:rPr>
          <w:rFonts w:ascii="Times New Roman" w:hAnsi="Times New Roman"/>
          <w:noProof/>
        </w:rPr>
        <w:t xml:space="preserve"> Dette omfatter både "valgte" og "obligatoriske" aktiviteter (skovrejsning/genplantning af skov, skovrydning og skovforvaltning).</w:t>
      </w:r>
      <w:r w:rsidRPr="002E44D1">
        <w:rPr>
          <w:rFonts w:ascii="Times New Roman" w:hAnsi="Times New Roman" w:cs="Times New Roman"/>
          <w:noProof/>
          <w:vertAlign w:val="superscript"/>
        </w:rPr>
        <w:footnoteReference w:id="59"/>
      </w:r>
      <w:r w:rsidRPr="002E44D1">
        <w:rPr>
          <w:rFonts w:ascii="Times New Roman" w:hAnsi="Times New Roman"/>
          <w:noProof/>
        </w:rPr>
        <w:t xml:space="preserve"> </w:t>
      </w:r>
    </w:p>
    <w:p w14:paraId="2654E7EC" w14:textId="30BAEC82" w:rsidR="00FF221C" w:rsidRPr="002E44D1" w:rsidRDefault="00FF221C" w:rsidP="28E07212">
      <w:pPr>
        <w:jc w:val="both"/>
        <w:rPr>
          <w:rFonts w:ascii="Times New Roman" w:hAnsi="Times New Roman" w:cs="Times New Roman"/>
          <w:noProof/>
        </w:rPr>
      </w:pPr>
      <w:r w:rsidRPr="002E44D1">
        <w:rPr>
          <w:rFonts w:ascii="Times New Roman" w:hAnsi="Times New Roman"/>
          <w:noProof/>
        </w:rPr>
        <w:t>Den vigtigste årsag til det faldende dræn er faldet i indberettede nettooptag og skovforvaltningens nettotilgodehavender i perioden 2013-2020</w:t>
      </w:r>
      <w:r w:rsidRPr="002E44D1">
        <w:rPr>
          <w:noProof/>
        </w:rPr>
        <w:t>.</w:t>
      </w:r>
      <w:r w:rsidRPr="002E44D1">
        <w:rPr>
          <w:rStyle w:val="FootnoteReference"/>
          <w:rFonts w:ascii="Times New Roman" w:hAnsi="Times New Roman" w:cs="Times New Roman"/>
          <w:noProof/>
        </w:rPr>
        <w:footnoteReference w:id="60"/>
      </w:r>
      <w:r w:rsidRPr="002E44D1">
        <w:rPr>
          <w:rFonts w:ascii="Times New Roman" w:hAnsi="Times New Roman"/>
          <w:noProof/>
        </w:rPr>
        <w:t xml:space="preserve"> Faldet i kulstoffjernelse skyldes en blanding af faktorer, herunder større efterspørgsel efter træ (f.eks. 2018 i Finland), en stigende andel af høstmodne skove (Estland, Letland), og en stigning i naturlige forstyrrelser såsom insektangreb (Tjekkiet siden 2015), storme (2019 i Polen), tørke og skovbrande (f.eks. 2017 i Italien og Portugal).  Ifølge foreløbige skøn har Belgien, Bulgarien, Tjekkiet, Frankrig, Kroatien, Cypern, Slovenien og Finland gennemsnitlige LULUCF-nettodebiteringer i henhold til regnskabsreglerne for Kyotoprotokollens anden forpligtelsesperiode.</w:t>
      </w:r>
      <w:r w:rsidRPr="002E44D1">
        <w:rPr>
          <w:rFonts w:ascii="Times New Roman" w:hAnsi="Times New Roman" w:cs="Times New Roman"/>
          <w:noProof/>
          <w:vertAlign w:val="superscript"/>
        </w:rPr>
        <w:footnoteReference w:id="61"/>
      </w:r>
    </w:p>
    <w:p w14:paraId="76A74D89" w14:textId="015D41ED" w:rsidR="00EC3C80" w:rsidRPr="002E44D1" w:rsidRDefault="0D6DE0AF" w:rsidP="001749FD">
      <w:pPr>
        <w:jc w:val="both"/>
        <w:rPr>
          <w:rFonts w:ascii="Times New Roman" w:hAnsi="Times New Roman" w:cs="Times New Roman"/>
          <w:noProof/>
        </w:rPr>
      </w:pPr>
      <w:r w:rsidRPr="002E44D1">
        <w:rPr>
          <w:rFonts w:ascii="Times New Roman" w:hAnsi="Times New Roman"/>
          <w:noProof/>
        </w:rPr>
        <w:t>I henhold til den nuværende LULUCF-forordning</w:t>
      </w:r>
      <w:r w:rsidRPr="002E44D1">
        <w:rPr>
          <w:rFonts w:ascii="Times New Roman" w:hAnsi="Times New Roman"/>
          <w:noProof/>
          <w:vertAlign w:val="superscript"/>
        </w:rPr>
        <w:footnoteReference w:id="62"/>
      </w:r>
      <w:r w:rsidRPr="002E44D1">
        <w:rPr>
          <w:rFonts w:ascii="Times New Roman" w:hAnsi="Times New Roman"/>
          <w:noProof/>
        </w:rPr>
        <w:t xml:space="preserve"> og afledte ret</w:t>
      </w:r>
      <w:r w:rsidRPr="002E44D1">
        <w:rPr>
          <w:rFonts w:ascii="Times New Roman" w:hAnsi="Times New Roman" w:cs="Times New Roman"/>
          <w:noProof/>
          <w:vertAlign w:val="superscript"/>
        </w:rPr>
        <w:footnoteReference w:id="63"/>
      </w:r>
      <w:r w:rsidRPr="002E44D1">
        <w:rPr>
          <w:rFonts w:ascii="Times New Roman" w:hAnsi="Times New Roman"/>
          <w:noProof/>
        </w:rPr>
        <w:t xml:space="preserve"> skal de enkelte medlemsstater fra 2021 kompensere for deres drivhusgasemissioner fra sektoren med i det mindste en tilsvarende mængde CO</w:t>
      </w:r>
      <w:r w:rsidRPr="002E44D1">
        <w:rPr>
          <w:rFonts w:ascii="Times New Roman" w:hAnsi="Times New Roman"/>
          <w:noProof/>
          <w:vertAlign w:val="subscript"/>
        </w:rPr>
        <w:t>2</w:t>
      </w:r>
      <w:r w:rsidRPr="002E44D1">
        <w:rPr>
          <w:rFonts w:ascii="Times New Roman" w:hAnsi="Times New Roman"/>
          <w:noProof/>
        </w:rPr>
        <w:t xml:space="preserve">, der fjernes fra atmosfæren i henhold til den såkaldte "no-debit rule". </w:t>
      </w:r>
    </w:p>
    <w:p w14:paraId="6568CBB7" w14:textId="4FF2B126" w:rsidR="005B60C5" w:rsidRPr="002E44D1" w:rsidRDefault="00570BAF" w:rsidP="001749FD">
      <w:pPr>
        <w:jc w:val="both"/>
        <w:rPr>
          <w:rFonts w:ascii="Times New Roman" w:hAnsi="Times New Roman" w:cs="Times New Roman"/>
          <w:noProof/>
        </w:rPr>
      </w:pPr>
      <w:r w:rsidRPr="002E44D1">
        <w:rPr>
          <w:rFonts w:ascii="Times New Roman" w:hAnsi="Times New Roman"/>
          <w:noProof/>
        </w:rPr>
        <w:t>For første gang under Fit for 55-pakken foreslog Kommissionen et EU-mål for nettooptag på 310 mio. ton CO</w:t>
      </w:r>
      <w:r w:rsidRPr="002E44D1">
        <w:rPr>
          <w:rFonts w:ascii="Times New Roman" w:hAnsi="Times New Roman"/>
          <w:noProof/>
          <w:vertAlign w:val="subscript"/>
        </w:rPr>
        <w:t>2</w:t>
      </w:r>
      <w:r w:rsidRPr="002E44D1">
        <w:rPr>
          <w:rFonts w:ascii="Times New Roman" w:hAnsi="Times New Roman"/>
          <w:noProof/>
        </w:rPr>
        <w:t>-ækvivalenter i 2030 for LULUCF-sektoren. Dette EU-dækkende mål skal opnås ved hjælp af bindende nationale mål. På længere sigt har Kommissionen foreslået at fokusere på arealsektoren ved at kombinere emissioner fra landbrug (hovedsagelig husdyr og gødning) med nettooptag fra LULUCF. Målet er at opnå klimaneutralitet i arealsektoren senest i 2035 og derefter at have negative nettoemissioner.</w:t>
      </w:r>
    </w:p>
    <w:p w14:paraId="28006567" w14:textId="1AFC0E8C" w:rsidR="00372A2C" w:rsidRDefault="00C509CC" w:rsidP="00CC5080">
      <w:pPr>
        <w:jc w:val="both"/>
        <w:rPr>
          <w:rFonts w:ascii="Times New Roman" w:hAnsi="Times New Roman"/>
          <w:noProof/>
        </w:rPr>
      </w:pPr>
      <w:r w:rsidRPr="002E44D1">
        <w:rPr>
          <w:rFonts w:ascii="Times New Roman" w:hAnsi="Times New Roman"/>
          <w:noProof/>
        </w:rPr>
        <w:t>Kommissionens meddelelse om bæredygtige kulstofkredsløb</w:t>
      </w:r>
      <w:r w:rsidRPr="002E44D1">
        <w:rPr>
          <w:rFonts w:ascii="Times New Roman" w:hAnsi="Times New Roman" w:cs="Times New Roman"/>
          <w:noProof/>
          <w:vertAlign w:val="superscript"/>
        </w:rPr>
        <w:footnoteReference w:id="64"/>
      </w:r>
      <w:r w:rsidRPr="002E44D1">
        <w:rPr>
          <w:rFonts w:ascii="Times New Roman" w:hAnsi="Times New Roman"/>
          <w:noProof/>
        </w:rPr>
        <w:t xml:space="preserve"> fra december 2021 fastsætter mål og handlingsplaner for at opnå kulstoffjernelse ved hjælp af naturbaserede løsninger</w:t>
      </w:r>
      <w:r w:rsidRPr="002E44D1">
        <w:rPr>
          <w:rFonts w:ascii="Times New Roman" w:hAnsi="Times New Roman" w:cs="Times New Roman"/>
          <w:noProof/>
          <w:vertAlign w:val="superscript"/>
        </w:rPr>
        <w:footnoteReference w:id="65"/>
      </w:r>
      <w:r w:rsidRPr="002E44D1">
        <w:rPr>
          <w:rFonts w:ascii="Times New Roman" w:hAnsi="Times New Roman"/>
          <w:noProof/>
        </w:rPr>
        <w:t xml:space="preserve"> og industrielle teknologier.  Kommissionen er i færd med at udvikle en lovgivningsmæssig ramme for EU-certificering af kulstoffjernelse for at belønne arealforvaltere for kulstofbinding under fuld overholdelse af økologiske principper ("kulstofbindende dyrkning"). Kommissionen vil også hjælpe med at skabe et indre EU-marked for opsamling, anvendelse, lagring og transport af CO</w:t>
      </w:r>
      <w:r w:rsidRPr="002E44D1">
        <w:rPr>
          <w:rFonts w:ascii="Times New Roman" w:hAnsi="Times New Roman"/>
          <w:noProof/>
          <w:vertAlign w:val="subscript"/>
        </w:rPr>
        <w:t>2</w:t>
      </w:r>
      <w:r w:rsidRPr="002E44D1">
        <w:rPr>
          <w:rFonts w:ascii="Times New Roman" w:hAnsi="Times New Roman"/>
          <w:noProof/>
        </w:rPr>
        <w:t xml:space="preserve"> ved hjælp af innovative teknologier som f.eks. jordobservation (Copernicus-programmet).</w:t>
      </w:r>
      <w:r w:rsidRPr="002E44D1">
        <w:rPr>
          <w:rFonts w:ascii="Times New Roman" w:hAnsi="Times New Roman" w:cs="Times New Roman"/>
          <w:noProof/>
          <w:vertAlign w:val="superscript"/>
        </w:rPr>
        <w:footnoteReference w:id="66"/>
      </w:r>
      <w:r w:rsidRPr="002E44D1">
        <w:rPr>
          <w:rFonts w:ascii="Times New Roman" w:hAnsi="Times New Roman"/>
          <w:noProof/>
        </w:rPr>
        <w:t xml:space="preserve"> </w:t>
      </w:r>
    </w:p>
    <w:p w14:paraId="52C6E381" w14:textId="77777777" w:rsidR="00372A2C" w:rsidRDefault="00372A2C">
      <w:pPr>
        <w:rPr>
          <w:rFonts w:ascii="Times New Roman" w:hAnsi="Times New Roman"/>
          <w:noProof/>
        </w:rPr>
      </w:pPr>
      <w:r>
        <w:rPr>
          <w:rFonts w:ascii="Times New Roman" w:hAnsi="Times New Roman"/>
          <w:noProof/>
        </w:rPr>
        <w:br w:type="page"/>
      </w:r>
    </w:p>
    <w:p w14:paraId="4D97727F" w14:textId="77777777" w:rsidR="00020BFC" w:rsidRPr="002E44D1" w:rsidRDefault="5F3096ED" w:rsidP="00020BFC">
      <w:pPr>
        <w:pStyle w:val="Heading1"/>
        <w:rPr>
          <w:rFonts w:ascii="Times New Roman" w:hAnsi="Times New Roman" w:cs="Times New Roman"/>
          <w:noProof/>
          <w:sz w:val="32"/>
          <w:szCs w:val="32"/>
        </w:rPr>
      </w:pPr>
      <w:r w:rsidRPr="002E44D1">
        <w:rPr>
          <w:rFonts w:ascii="Times New Roman" w:hAnsi="Times New Roman"/>
          <w:noProof/>
          <w:sz w:val="32"/>
        </w:rPr>
        <w:t>TILPASNING TIL KLIMAÆNDRINGER</w:t>
      </w:r>
    </w:p>
    <w:p w14:paraId="4C99DAE8" w14:textId="69892163" w:rsidR="00020BFC" w:rsidRPr="002E44D1" w:rsidRDefault="00705037" w:rsidP="09370AC4">
      <w:pPr>
        <w:jc w:val="both"/>
        <w:rPr>
          <w:rFonts w:ascii="Times New Roman" w:hAnsi="Times New Roman" w:cs="Times New Roman"/>
          <w:noProof/>
        </w:rPr>
      </w:pPr>
      <w:r w:rsidRPr="002E44D1">
        <w:rPr>
          <w:rFonts w:ascii="Times New Roman" w:hAnsi="Times New Roman"/>
          <w:noProof/>
        </w:rPr>
        <w:t xml:space="preserve">Gennemførelsen af EU's 2021-strategi for tilpasning til klimaændringer er et flerårigt projekt, der har givet væsentlige resultater i år. </w:t>
      </w:r>
    </w:p>
    <w:p w14:paraId="456FC901" w14:textId="72108C21" w:rsidR="00020BFC" w:rsidRPr="002E44D1" w:rsidRDefault="5F3096ED" w:rsidP="00020BFC">
      <w:pPr>
        <w:jc w:val="both"/>
        <w:rPr>
          <w:rFonts w:ascii="Times New Roman" w:hAnsi="Times New Roman" w:cs="Times New Roman"/>
          <w:noProof/>
        </w:rPr>
      </w:pPr>
      <w:r w:rsidRPr="002E44D1">
        <w:rPr>
          <w:rFonts w:ascii="Times New Roman" w:hAnsi="Times New Roman"/>
          <w:noProof/>
        </w:rPr>
        <w:t xml:space="preserve">Kommissionen offentliggjorde </w:t>
      </w:r>
      <w:r w:rsidRPr="002E44D1">
        <w:rPr>
          <w:rFonts w:ascii="Times New Roman" w:hAnsi="Times New Roman"/>
          <w:b/>
          <w:noProof/>
        </w:rPr>
        <w:t>teknisk vejledning om klimasikring af infrastruktur</w:t>
      </w:r>
      <w:r w:rsidRPr="002E44D1">
        <w:rPr>
          <w:rFonts w:ascii="Times New Roman" w:hAnsi="Times New Roman"/>
          <w:noProof/>
        </w:rPr>
        <w:t xml:space="preserve"> for 2021-2027, som krævet i henhold til den europæiske klimalov</w:t>
      </w:r>
      <w:r w:rsidRPr="002E44D1">
        <w:rPr>
          <w:rStyle w:val="FootnoteReference"/>
          <w:rFonts w:ascii="Times New Roman" w:hAnsi="Times New Roman" w:cs="Times New Roman"/>
          <w:noProof/>
        </w:rPr>
        <w:footnoteReference w:id="67"/>
      </w:r>
      <w:r w:rsidRPr="002E44D1">
        <w:rPr>
          <w:noProof/>
        </w:rPr>
        <w:t>.</w:t>
      </w:r>
      <w:r w:rsidRPr="002E44D1">
        <w:rPr>
          <w:rFonts w:ascii="Times New Roman" w:hAnsi="Times New Roman"/>
          <w:noProof/>
        </w:rPr>
        <w:t xml:space="preserve"> Denne vejledning gør det muligt for investorer at træffe informerede beslutninger om projekter, der er forenelige med Parisaftalen og EU's klimamål.</w:t>
      </w:r>
    </w:p>
    <w:p w14:paraId="6C7EF338" w14:textId="589091CB" w:rsidR="00020BFC" w:rsidRPr="002E44D1" w:rsidRDefault="5F3096ED" w:rsidP="00020BFC">
      <w:pPr>
        <w:jc w:val="both"/>
        <w:rPr>
          <w:rFonts w:ascii="Times New Roman" w:hAnsi="Times New Roman" w:cs="Times New Roman"/>
          <w:noProof/>
        </w:rPr>
      </w:pPr>
      <w:r w:rsidRPr="002E44D1">
        <w:rPr>
          <w:rFonts w:ascii="Times New Roman" w:hAnsi="Times New Roman"/>
          <w:b/>
          <w:noProof/>
        </w:rPr>
        <w:t>Det Europæiske Klima- og Sundhedsobservatorium</w:t>
      </w:r>
      <w:r w:rsidRPr="002E44D1">
        <w:rPr>
          <w:rFonts w:ascii="Times New Roman" w:hAnsi="Times New Roman"/>
          <w:noProof/>
        </w:rPr>
        <w:t>, som Kommissionen og EEA lancerede i marts 2021, spiller allerede en central rolle</w:t>
      </w:r>
      <w:r w:rsidRPr="002E44D1">
        <w:rPr>
          <w:rStyle w:val="FootnoteReference"/>
          <w:rFonts w:ascii="Times New Roman" w:eastAsia="Calibri" w:hAnsi="Times New Roman" w:cs="Times New Roman"/>
          <w:noProof/>
        </w:rPr>
        <w:footnoteReference w:id="68"/>
      </w:r>
      <w:r w:rsidRPr="002E44D1">
        <w:rPr>
          <w:rFonts w:ascii="Times New Roman" w:hAnsi="Times New Roman"/>
          <w:noProof/>
        </w:rPr>
        <w:t xml:space="preserve">, idet det lukker en betydelig videnskløft og hjælper med at overvinde barrierer, der forhindrer os i at tackle hurtigt voksende og negative sundhedsvirkninger af klimaændringer. Observatoriet stiller oplysninger og værktøjer til rådighed til at vurdere klimaændringer og sundhed. Det leverer også effektive løsninger og interventioner til at integrere og forbedre klimatilpasningsstrategier i nationale og subnationale sundhedspolitikker. De nye </w:t>
      </w:r>
      <w:r w:rsidRPr="002E44D1">
        <w:rPr>
          <w:rFonts w:ascii="Times New Roman" w:hAnsi="Times New Roman"/>
          <w:b/>
          <w:noProof/>
        </w:rPr>
        <w:t>bæredygtige finansierings- og skovstrategier</w:t>
      </w:r>
      <w:r w:rsidRPr="002E44D1">
        <w:rPr>
          <w:rFonts w:ascii="Times New Roman" w:hAnsi="Times New Roman"/>
          <w:noProof/>
        </w:rPr>
        <w:t xml:space="preserve"> udfylder klimabeskyttelseskløften og styrker skovenes modstandsdygtighed. EU's første meddelelse om klimatilpasning blev forelagt UNFCCC i oktober 2021</w:t>
      </w:r>
      <w:r w:rsidRPr="002E44D1">
        <w:rPr>
          <w:rStyle w:val="FootnoteReference"/>
          <w:rFonts w:ascii="Times New Roman" w:hAnsi="Times New Roman" w:cs="Times New Roman"/>
          <w:noProof/>
        </w:rPr>
        <w:footnoteReference w:id="69"/>
      </w:r>
      <w:r w:rsidRPr="002E44D1">
        <w:rPr>
          <w:noProof/>
        </w:rPr>
        <w:t>.</w:t>
      </w:r>
    </w:p>
    <w:p w14:paraId="5D458C99" w14:textId="331CDF59" w:rsidR="00020BFC" w:rsidRPr="002E44D1" w:rsidRDefault="5F3096ED" w:rsidP="00020BFC">
      <w:pPr>
        <w:jc w:val="both"/>
        <w:rPr>
          <w:rFonts w:ascii="Times New Roman" w:hAnsi="Times New Roman" w:cs="Times New Roman"/>
          <w:noProof/>
        </w:rPr>
      </w:pPr>
      <w:r w:rsidRPr="002E44D1">
        <w:rPr>
          <w:rFonts w:ascii="Times New Roman" w:hAnsi="Times New Roman"/>
          <w:b/>
          <w:noProof/>
        </w:rPr>
        <w:t>Missionen vedrørende tilpasning til klimaændringer</w:t>
      </w:r>
      <w:r w:rsidRPr="002E44D1">
        <w:rPr>
          <w:rFonts w:ascii="Times New Roman" w:hAnsi="Times New Roman"/>
          <w:noProof/>
        </w:rPr>
        <w:t xml:space="preserve"> har gjort store fremskridt med hensyn til at fremme en trinvis ændring i tilpasningsindsatsen på subnationalt plan. Den hjælper mindst 150 EU-regioner og -samfund med at fremskynde deres omstilling med henblik på at opnå modstandsdygtighed over for klimaændringer senest i 2030. 118 regioner og lokale myndigheder fra 18 medlemsstater har undertegnet opgavebeskrivelsen for at tilslutte sig et praksisfællesskab, og der er fra missionens side udsendt 12 indkaldelser af forslag til finansiering på i alt 240 mio. EUR. </w:t>
      </w:r>
    </w:p>
    <w:p w14:paraId="323EDD7C" w14:textId="58E8D474" w:rsidR="00372A2C" w:rsidRDefault="00371942" w:rsidP="00733E8C">
      <w:pPr>
        <w:jc w:val="both"/>
        <w:rPr>
          <w:rFonts w:ascii="Times New Roman" w:hAnsi="Times New Roman"/>
          <w:noProof/>
        </w:rPr>
      </w:pPr>
      <w:r w:rsidRPr="002E44D1">
        <w:rPr>
          <w:rFonts w:ascii="Times New Roman" w:hAnsi="Times New Roman"/>
          <w:noProof/>
        </w:rPr>
        <w:t xml:space="preserve">EEA planlægger at udarbejde en fuld </w:t>
      </w:r>
      <w:r w:rsidRPr="002E44D1">
        <w:rPr>
          <w:rFonts w:ascii="Times New Roman" w:hAnsi="Times New Roman"/>
          <w:b/>
          <w:noProof/>
        </w:rPr>
        <w:t>rapport om status for de nationale tilpasningsforanstaltninger</w:t>
      </w:r>
      <w:r w:rsidRPr="002E44D1">
        <w:rPr>
          <w:rFonts w:ascii="Times New Roman" w:hAnsi="Times New Roman"/>
          <w:noProof/>
        </w:rPr>
        <w:t xml:space="preserve"> i slutningen af 2022. Rapporten vil være baseret på indberetninger fra de nationale myndigheder i marts 2021 i henhold til forordningen om forvaltning af energiunionen</w:t>
      </w:r>
      <w:r w:rsidRPr="002E44D1">
        <w:rPr>
          <w:rStyle w:val="FootnoteReference"/>
          <w:rFonts w:ascii="Times New Roman" w:hAnsi="Times New Roman" w:cs="Times New Roman"/>
          <w:noProof/>
        </w:rPr>
        <w:footnoteReference w:id="70"/>
      </w:r>
      <w:r w:rsidRPr="002E44D1">
        <w:rPr>
          <w:rFonts w:ascii="Times New Roman" w:hAnsi="Times New Roman"/>
          <w:noProof/>
        </w:rPr>
        <w:t xml:space="preserve"> og andre kilder. </w:t>
      </w:r>
    </w:p>
    <w:p w14:paraId="772B3BC8" w14:textId="77777777" w:rsidR="00372A2C" w:rsidRDefault="00372A2C">
      <w:pPr>
        <w:rPr>
          <w:rFonts w:ascii="Times New Roman" w:hAnsi="Times New Roman"/>
          <w:noProof/>
        </w:rPr>
      </w:pPr>
      <w:r>
        <w:rPr>
          <w:rFonts w:ascii="Times New Roman" w:hAnsi="Times New Roman"/>
          <w:noProof/>
        </w:rPr>
        <w:br w:type="page"/>
      </w:r>
    </w:p>
    <w:p w14:paraId="00C40D72" w14:textId="77777777" w:rsidR="00020BFC" w:rsidRPr="002E44D1" w:rsidRDefault="5F3096ED" w:rsidP="00020BFC">
      <w:pPr>
        <w:pStyle w:val="Heading1"/>
        <w:rPr>
          <w:rFonts w:ascii="Times New Roman" w:hAnsi="Times New Roman" w:cs="Times New Roman"/>
          <w:noProof/>
          <w:sz w:val="32"/>
          <w:szCs w:val="32"/>
        </w:rPr>
      </w:pPr>
      <w:r w:rsidRPr="002E44D1">
        <w:rPr>
          <w:rFonts w:ascii="Times New Roman" w:hAnsi="Times New Roman"/>
          <w:noProof/>
          <w:sz w:val="32"/>
        </w:rPr>
        <w:t>FINANSIERING AF KLIMAINDSATS</w:t>
      </w:r>
    </w:p>
    <w:p w14:paraId="0AC70723" w14:textId="01F92006" w:rsidR="00B616DC" w:rsidRPr="002E44D1" w:rsidRDefault="00B616DC" w:rsidP="00B616DC">
      <w:pPr>
        <w:jc w:val="both"/>
        <w:rPr>
          <w:rFonts w:ascii="Times New Roman" w:hAnsi="Times New Roman" w:cs="Times New Roman"/>
          <w:noProof/>
        </w:rPr>
      </w:pPr>
      <w:r w:rsidRPr="002E44D1">
        <w:rPr>
          <w:rFonts w:ascii="Times New Roman" w:hAnsi="Times New Roman"/>
          <w:noProof/>
        </w:rPr>
        <w:t>Omstillingen til klimaneutralitet og modstandsdygtighed over for klimaændringer kræver betydelige investeringer. På EU-plan er der adgang til finansiering fra forskellige kilder.</w:t>
      </w:r>
    </w:p>
    <w:p w14:paraId="0293861E" w14:textId="0DF8544F" w:rsidR="007B0153" w:rsidRPr="002E44D1" w:rsidRDefault="007B0153" w:rsidP="007B0153">
      <w:pPr>
        <w:pStyle w:val="Heading2"/>
        <w:spacing w:after="120"/>
        <w:ind w:left="578" w:hanging="578"/>
        <w:rPr>
          <w:rFonts w:ascii="Times New Roman" w:hAnsi="Times New Roman" w:cs="Times New Roman"/>
          <w:noProof/>
        </w:rPr>
      </w:pPr>
      <w:r w:rsidRPr="002E44D1">
        <w:rPr>
          <w:rFonts w:ascii="Times New Roman" w:hAnsi="Times New Roman"/>
          <w:noProof/>
        </w:rPr>
        <w:t>Finansiering fra EU's emissionshandelssystem</w:t>
      </w:r>
    </w:p>
    <w:p w14:paraId="607C2E6B" w14:textId="5FDF95C5" w:rsidR="007B0153" w:rsidRPr="002E44D1" w:rsidRDefault="007B0153" w:rsidP="007B0153">
      <w:pPr>
        <w:jc w:val="both"/>
        <w:rPr>
          <w:rFonts w:ascii="Times New Roman" w:hAnsi="Times New Roman" w:cs="Times New Roman"/>
          <w:noProof/>
        </w:rPr>
      </w:pPr>
      <w:r w:rsidRPr="002E44D1">
        <w:rPr>
          <w:rFonts w:ascii="Times New Roman" w:hAnsi="Times New Roman"/>
          <w:b/>
          <w:noProof/>
        </w:rPr>
        <w:t>Innovationsfonden</w:t>
      </w:r>
      <w:r w:rsidRPr="002E44D1">
        <w:rPr>
          <w:rFonts w:ascii="Times New Roman" w:hAnsi="Times New Roman"/>
          <w:noProof/>
        </w:rPr>
        <w:t xml:space="preserve"> er et af verdens største offentlige finansieringsprogrammer til udbredelse af innovative lavemissionsteknologier. Den finansieres ved at bortauktionere 450 mio. kvoter fra EU ETS i løbet af dette årti, hvilket svarer til ca. 38 mia. EUR</w:t>
      </w:r>
      <w:r w:rsidRPr="002E44D1">
        <w:rPr>
          <w:rStyle w:val="FootnoteReference"/>
          <w:rFonts w:ascii="Times New Roman" w:hAnsi="Times New Roman" w:cs="Times New Roman"/>
          <w:noProof/>
        </w:rPr>
        <w:footnoteReference w:id="71"/>
      </w:r>
      <w:r w:rsidRPr="002E44D1">
        <w:rPr>
          <w:noProof/>
        </w:rPr>
        <w:t>.</w:t>
      </w:r>
      <w:r w:rsidRPr="002E44D1">
        <w:rPr>
          <w:rFonts w:ascii="Times New Roman" w:hAnsi="Times New Roman"/>
          <w:noProof/>
        </w:rPr>
        <w:t xml:space="preserve"> Siden starten i 2020 er der investeret ca. 3 mia. EUR i 54 projekter. I 2021 blev der gennemført to indkaldelser af projekter: én for store investeringer</w:t>
      </w:r>
      <w:r w:rsidRPr="002E44D1">
        <w:rPr>
          <w:rStyle w:val="FootnoteReference"/>
          <w:rFonts w:ascii="Times New Roman" w:hAnsi="Times New Roman" w:cs="Times New Roman"/>
          <w:noProof/>
        </w:rPr>
        <w:footnoteReference w:id="72"/>
      </w:r>
      <w:r w:rsidRPr="002E44D1">
        <w:rPr>
          <w:rFonts w:ascii="Times New Roman" w:hAnsi="Times New Roman"/>
          <w:noProof/>
        </w:rPr>
        <w:t xml:space="preserve"> på 1,146 mia. EUR og én for mindre investeringer</w:t>
      </w:r>
      <w:r w:rsidRPr="002E44D1">
        <w:rPr>
          <w:rStyle w:val="FootnoteReference"/>
          <w:rFonts w:ascii="Times New Roman" w:hAnsi="Times New Roman" w:cs="Times New Roman"/>
          <w:noProof/>
        </w:rPr>
        <w:footnoteReference w:id="73"/>
      </w:r>
      <w:r w:rsidRPr="002E44D1">
        <w:rPr>
          <w:rFonts w:ascii="Times New Roman" w:hAnsi="Times New Roman"/>
          <w:noProof/>
        </w:rPr>
        <w:t xml:space="preserve"> på 109 mio. EUR. </w:t>
      </w:r>
    </w:p>
    <w:p w14:paraId="170DAE38" w14:textId="29476306" w:rsidR="007B0153" w:rsidRPr="002E44D1" w:rsidRDefault="007B0153" w:rsidP="007B0153">
      <w:pPr>
        <w:jc w:val="both"/>
        <w:rPr>
          <w:rFonts w:ascii="Times New Roman" w:hAnsi="Times New Roman" w:cs="Times New Roman"/>
          <w:noProof/>
        </w:rPr>
      </w:pPr>
      <w:r w:rsidRPr="002E44D1">
        <w:rPr>
          <w:rFonts w:ascii="Times New Roman" w:hAnsi="Times New Roman"/>
          <w:noProof/>
        </w:rPr>
        <w:t>I forbindelse med den første indkaldelse for store projekter blev der tildelt syv tilskud med vindende bud i ETS-sektorer, herunder kemikalier, stål, cement, raffinaderier samt el og varme. I forbindelse med den første indkaldelse for mindre projekter blev der tildelt tilskud til 32 projekter inden for en bredere vifte af ETS-sektorer, herunder grøn brint, energilagring, glas, varme og CO</w:t>
      </w:r>
      <w:r w:rsidRPr="002E44D1">
        <w:rPr>
          <w:rFonts w:ascii="Times New Roman" w:hAnsi="Times New Roman"/>
          <w:noProof/>
          <w:vertAlign w:val="subscript"/>
        </w:rPr>
        <w:t>2</w:t>
      </w:r>
      <w:r w:rsidRPr="002E44D1">
        <w:rPr>
          <w:rFonts w:ascii="Times New Roman" w:hAnsi="Times New Roman"/>
          <w:noProof/>
        </w:rPr>
        <w:t xml:space="preserve">-opsamling. </w:t>
      </w:r>
    </w:p>
    <w:p w14:paraId="02E14AAD" w14:textId="20A3E711" w:rsidR="007B0153" w:rsidRPr="002E44D1" w:rsidRDefault="007B0153" w:rsidP="007B0153">
      <w:pPr>
        <w:jc w:val="both"/>
        <w:rPr>
          <w:rFonts w:ascii="Times New Roman" w:hAnsi="Times New Roman" w:cs="Times New Roman"/>
          <w:noProof/>
        </w:rPr>
      </w:pPr>
      <w:r w:rsidRPr="002E44D1">
        <w:rPr>
          <w:rFonts w:ascii="Times New Roman" w:hAnsi="Times New Roman"/>
          <w:noProof/>
        </w:rPr>
        <w:t>I juli 2022 blev 17 projekter forhåndsudvalgt under den anden storstilede indkaldelse af projekter knyttet til cement, brint, kemikalier og andre projekter til et samlet beløb på 1,8 mia. EUR i Bulgarien, Finland, Frankrig, Tyskland, Island, Nederlandene, Norge, Polen og Sverige. Disse projekter har til formål at spare op til 136 mio. ton CO</w:t>
      </w:r>
      <w:r w:rsidRPr="002E44D1">
        <w:rPr>
          <w:rFonts w:ascii="Times New Roman" w:hAnsi="Times New Roman"/>
          <w:noProof/>
          <w:vertAlign w:val="subscript"/>
        </w:rPr>
        <w:t>2</w:t>
      </w:r>
      <w:r w:rsidRPr="002E44D1">
        <w:rPr>
          <w:rFonts w:ascii="Times New Roman" w:hAnsi="Times New Roman"/>
          <w:noProof/>
        </w:rPr>
        <w:t xml:space="preserve">-ækvivalenter i de første 10 driftsår. </w:t>
      </w:r>
    </w:p>
    <w:p w14:paraId="17FA8865" w14:textId="71010B65" w:rsidR="007B0153" w:rsidRPr="002E44D1" w:rsidRDefault="007B0153" w:rsidP="007B0153">
      <w:pPr>
        <w:jc w:val="both"/>
        <w:rPr>
          <w:rFonts w:ascii="Times New Roman" w:hAnsi="Times New Roman" w:cs="Times New Roman"/>
          <w:noProof/>
        </w:rPr>
      </w:pPr>
      <w:r w:rsidRPr="002E44D1">
        <w:rPr>
          <w:rFonts w:ascii="Times New Roman" w:hAnsi="Times New Roman"/>
          <w:noProof/>
        </w:rPr>
        <w:t xml:space="preserve">Den næste storstilede indkaldelse, der skal iværksættes i efteråret 2022, har et hidtil uset budget på 3 mia. EUR og omfatter sektioner til projekter, der skal gennemføre REPowerEU-planen om brint og elektrificering, fremstilling af ren teknologi og pilotprojekter.  </w:t>
      </w:r>
    </w:p>
    <w:p w14:paraId="2B89DC66" w14:textId="4E6C76ED" w:rsidR="007B0153" w:rsidRPr="002E44D1" w:rsidRDefault="007B0153" w:rsidP="007B0153">
      <w:pPr>
        <w:jc w:val="both"/>
        <w:rPr>
          <w:rFonts w:ascii="Times New Roman" w:hAnsi="Times New Roman" w:cs="Times New Roman"/>
          <w:b/>
          <w:bCs/>
          <w:noProof/>
        </w:rPr>
      </w:pPr>
      <w:r w:rsidRPr="002E44D1">
        <w:rPr>
          <w:rFonts w:ascii="Times New Roman" w:hAnsi="Times New Roman"/>
          <w:b/>
          <w:noProof/>
        </w:rPr>
        <w:t>Moderniseringsfonden</w:t>
      </w:r>
      <w:r w:rsidRPr="002E44D1">
        <w:rPr>
          <w:rFonts w:ascii="Times New Roman" w:hAnsi="Times New Roman"/>
          <w:noProof/>
        </w:rPr>
        <w:t>, også fra EU ETS, støtter lavindkomstmedlemsstater, som har brug for at modernisere deres energisystemer og forbedre energieffektiviteten. Frem til 2030 vil over 640 mio. kvoter (svarende til ca. 51 mia. EUR)</w:t>
      </w:r>
      <w:r w:rsidRPr="002E44D1">
        <w:rPr>
          <w:rStyle w:val="FootnoteReference"/>
          <w:rFonts w:ascii="Times New Roman" w:hAnsi="Times New Roman" w:cs="Times New Roman"/>
          <w:noProof/>
        </w:rPr>
        <w:footnoteReference w:id="74"/>
      </w:r>
      <w:r w:rsidRPr="002E44D1">
        <w:rPr>
          <w:rFonts w:ascii="Times New Roman" w:hAnsi="Times New Roman"/>
          <w:noProof/>
        </w:rPr>
        <w:t xml:space="preserve"> blive bortauktioneret for at støtte disse medlemsstater. Der er siden 2021 blevet overført 3,3 mia. EUR til Kroatien, Tjekkiet, Estland, Ungarn, Litauen, Polen, Rumænien og Slovakiet til finansiering af 71 investeringer i omstilling på områder som solceller og elnet til opladning af elbiler.</w:t>
      </w:r>
      <w:r w:rsidRPr="002E44D1">
        <w:rPr>
          <w:noProof/>
        </w:rPr>
        <w:t xml:space="preserve"> </w:t>
      </w:r>
    </w:p>
    <w:p w14:paraId="3A5F3EAF" w14:textId="3CF78619" w:rsidR="00ED4729" w:rsidRPr="002E44D1" w:rsidRDefault="5F3096ED" w:rsidP="009B36DA">
      <w:pPr>
        <w:pStyle w:val="Heading2"/>
        <w:spacing w:after="120"/>
        <w:ind w:left="578" w:hanging="578"/>
        <w:rPr>
          <w:rFonts w:ascii="Times New Roman" w:hAnsi="Times New Roman" w:cs="Times New Roman"/>
          <w:noProof/>
          <w:sz w:val="24"/>
          <w:szCs w:val="24"/>
        </w:rPr>
      </w:pPr>
      <w:r w:rsidRPr="002E44D1">
        <w:rPr>
          <w:rFonts w:ascii="Times New Roman" w:hAnsi="Times New Roman"/>
          <w:noProof/>
        </w:rPr>
        <w:t xml:space="preserve">Integration af klimapolitikker i EU-budgettet  </w:t>
      </w:r>
      <w:r w:rsidRPr="002E44D1">
        <w:rPr>
          <w:rFonts w:ascii="Times New Roman" w:hAnsi="Times New Roman"/>
          <w:noProof/>
          <w:sz w:val="24"/>
        </w:rPr>
        <w:t xml:space="preserve"> </w:t>
      </w:r>
    </w:p>
    <w:p w14:paraId="12C63D72" w14:textId="319A4892" w:rsidR="005A2DAA" w:rsidRPr="002E44D1" w:rsidRDefault="008369CE" w:rsidP="008F12D3">
      <w:pPr>
        <w:jc w:val="both"/>
        <w:rPr>
          <w:rFonts w:ascii="Times New Roman" w:hAnsi="Times New Roman" w:cs="Times New Roman"/>
          <w:noProof/>
        </w:rPr>
      </w:pPr>
      <w:r w:rsidRPr="002E44D1">
        <w:rPr>
          <w:rFonts w:ascii="Times New Roman" w:hAnsi="Times New Roman"/>
          <w:noProof/>
        </w:rPr>
        <w:t>På EU-plan vil investeringer i omstillingen komme fra to hovedkilder: EU's "flerårige finansielle ramme" på 1,2 bio. EUR for 2021-2027 og NextGenerationEU på 806,9 mia. EUR til støtte for EU's genopretning. Mindst 30 % af kombinationen af disse to kilder (potentielt over 670 mia. EUR i løbende priser) vil blive brugt til bekæmpelse af klimaændringer.</w:t>
      </w:r>
      <w:r w:rsidRPr="002E44D1">
        <w:rPr>
          <w:rFonts w:ascii="Times New Roman" w:hAnsi="Times New Roman" w:cs="Times New Roman"/>
          <w:noProof/>
          <w:vertAlign w:val="superscript"/>
        </w:rPr>
        <w:footnoteReference w:id="75"/>
      </w:r>
    </w:p>
    <w:p w14:paraId="496262E3" w14:textId="5372D663" w:rsidR="00020BFC" w:rsidRPr="002E44D1" w:rsidRDefault="00907BD9" w:rsidP="00020BFC">
      <w:pPr>
        <w:jc w:val="both"/>
        <w:rPr>
          <w:rFonts w:ascii="Times New Roman" w:hAnsi="Times New Roman" w:cs="Times New Roman"/>
          <w:noProof/>
        </w:rPr>
      </w:pPr>
      <w:r w:rsidRPr="002E44D1">
        <w:rPr>
          <w:rFonts w:ascii="Times New Roman" w:hAnsi="Times New Roman"/>
          <w:noProof/>
        </w:rPr>
        <w:t xml:space="preserve">Udgiftsprogrammer under EU's budget for 2021-2027 har også klimaudgiftsmål på mindst 30 %. Disse omfatter Den Europæiske Fond for Regionaludvikling (EFRU) (30 %), Horisont Europa (35 %), Samhørighedsfonden (37 %), Connecting Europe-faciliteten (60 %) og LIFE (61 %). </w:t>
      </w:r>
    </w:p>
    <w:p w14:paraId="4E34A099" w14:textId="120EA740" w:rsidR="00ED4729" w:rsidRPr="002E44D1" w:rsidRDefault="5F3096ED" w:rsidP="009B36DA">
      <w:pPr>
        <w:pStyle w:val="Heading2"/>
        <w:rPr>
          <w:rFonts w:ascii="Times New Roman" w:hAnsi="Times New Roman" w:cs="Times New Roman"/>
          <w:noProof/>
        </w:rPr>
      </w:pPr>
      <w:r w:rsidRPr="002E44D1">
        <w:rPr>
          <w:rFonts w:ascii="Times New Roman" w:hAnsi="Times New Roman"/>
          <w:noProof/>
        </w:rPr>
        <w:t>Programmer og -fonde</w:t>
      </w:r>
    </w:p>
    <w:p w14:paraId="6132B69F" w14:textId="7C2BB9AA" w:rsidR="008F12D3" w:rsidRPr="002E44D1" w:rsidRDefault="008F12D3" w:rsidP="008F12D3">
      <w:pPr>
        <w:jc w:val="both"/>
        <w:rPr>
          <w:rFonts w:ascii="Times New Roman" w:hAnsi="Times New Roman" w:cs="Times New Roman"/>
          <w:noProof/>
        </w:rPr>
      </w:pPr>
      <w:r w:rsidRPr="002E44D1">
        <w:rPr>
          <w:rFonts w:ascii="Times New Roman" w:hAnsi="Times New Roman"/>
          <w:noProof/>
        </w:rPr>
        <w:t xml:space="preserve">EU's </w:t>
      </w:r>
      <w:r w:rsidRPr="002E44D1">
        <w:rPr>
          <w:rFonts w:ascii="Times New Roman" w:hAnsi="Times New Roman"/>
          <w:b/>
          <w:noProof/>
        </w:rPr>
        <w:t>genopretnings- og resiliensfacilitet</w:t>
      </w:r>
      <w:r w:rsidRPr="002E44D1">
        <w:rPr>
          <w:rFonts w:ascii="Times New Roman" w:hAnsi="Times New Roman"/>
          <w:noProof/>
        </w:rPr>
        <w:t xml:space="preserve"> — kernen i </w:t>
      </w:r>
      <w:r w:rsidRPr="002E44D1">
        <w:rPr>
          <w:rFonts w:ascii="Times New Roman" w:hAnsi="Times New Roman"/>
          <w:i/>
          <w:noProof/>
        </w:rPr>
        <w:t>NextGenerationEU</w:t>
      </w:r>
      <w:r w:rsidRPr="002E44D1">
        <w:rPr>
          <w:rFonts w:ascii="Times New Roman" w:hAnsi="Times New Roman"/>
          <w:noProof/>
        </w:rPr>
        <w:t xml:space="preserve"> med en værdi på op til 723,8 mia. EUR — giver medlemsstaterne mulighed for at øge klimainvesteringerne betydeligt. Medlemsstaterne skal for at være berettiget til facilitetens tilskud (338 mia. EUR) og lån (385,8 mia. EUR) udarbejde genopretnings- og resiliensplaner, der beskriver investeringer og politiske reformer, som skaber merværdi for EU som følge af den grønne omstilling. Hver af de nationale planer skal afsætte mindst 37 % af de planlagte udgifter til klimaindsatsen, og hver foranstaltning skal overholde princippet om ikke at gøre væsentlig skade. </w:t>
      </w:r>
    </w:p>
    <w:p w14:paraId="7194DDCE" w14:textId="5A972FB5" w:rsidR="008F12D3" w:rsidRPr="002E44D1" w:rsidRDefault="008F12D3" w:rsidP="008F12D3">
      <w:pPr>
        <w:jc w:val="both"/>
        <w:rPr>
          <w:rFonts w:ascii="Times New Roman" w:hAnsi="Times New Roman" w:cs="Times New Roman"/>
          <w:noProof/>
        </w:rPr>
      </w:pPr>
      <w:r w:rsidRPr="002E44D1">
        <w:rPr>
          <w:rFonts w:ascii="Times New Roman" w:hAnsi="Times New Roman"/>
          <w:noProof/>
        </w:rPr>
        <w:t>Alle 26 planer, der blev vedtaget medio september, overstiger benchmarket på 37 %. 40 % af deres samlede finansielle midler er afsat til klimamål, selv om nogle medlemsstater har brugt mere end halvdelen af deres tildeling til at finansiere klimapolitikken. Ca. 44 % af de midler, der er afsat til klima, forventes at gå til vedvarende energi og energieffektivitet og 34 % til bæredygtig mobilitet</w:t>
      </w:r>
      <w:r w:rsidRPr="002E44D1">
        <w:rPr>
          <w:rStyle w:val="FootnoteReference"/>
          <w:rFonts w:ascii="Times New Roman" w:hAnsi="Times New Roman" w:cs="Times New Roman"/>
          <w:noProof/>
        </w:rPr>
        <w:footnoteReference w:id="76"/>
      </w:r>
      <w:r w:rsidRPr="002E44D1">
        <w:rPr>
          <w:noProof/>
        </w:rPr>
        <w:t>.</w:t>
      </w:r>
      <w:r w:rsidRPr="002E44D1">
        <w:rPr>
          <w:rFonts w:ascii="Times New Roman" w:hAnsi="Times New Roman"/>
          <w:noProof/>
        </w:rPr>
        <w:t xml:space="preserve"> Medlemsstaterne vil have mulighed for at ajourføre deres planer og øge støtten til energieffektivitet og vedvarende energi på betingelse af, at </w:t>
      </w:r>
      <w:r w:rsidRPr="002E44D1">
        <w:rPr>
          <w:rFonts w:ascii="Times New Roman" w:hAnsi="Times New Roman"/>
          <w:b/>
          <w:i/>
          <w:noProof/>
        </w:rPr>
        <w:t>REPowerEU</w:t>
      </w:r>
      <w:r w:rsidRPr="002E44D1">
        <w:rPr>
          <w:rFonts w:ascii="Times New Roman" w:hAnsi="Times New Roman"/>
          <w:noProof/>
        </w:rPr>
        <w:t>-forslagene fra maj 2022, der er beregnet på at imødegå de energimæssige konsekvenser af Ruslands invasion af Ukraine, vedtages.</w:t>
      </w:r>
    </w:p>
    <w:p w14:paraId="6159E8C4" w14:textId="31ED6F72" w:rsidR="00010FF0" w:rsidRPr="002E44D1" w:rsidRDefault="00010FF0" w:rsidP="00010FF0">
      <w:pPr>
        <w:jc w:val="both"/>
        <w:rPr>
          <w:rFonts w:ascii="Times New Roman" w:hAnsi="Times New Roman" w:cs="Times New Roman"/>
          <w:noProof/>
        </w:rPr>
      </w:pPr>
      <w:r w:rsidRPr="002E44D1">
        <w:rPr>
          <w:rFonts w:ascii="Times New Roman" w:hAnsi="Times New Roman"/>
          <w:noProof/>
        </w:rPr>
        <w:t xml:space="preserve">Mindst 30 % af </w:t>
      </w:r>
      <w:r w:rsidRPr="002E44D1">
        <w:rPr>
          <w:rFonts w:ascii="Times New Roman" w:hAnsi="Times New Roman"/>
          <w:b/>
          <w:noProof/>
        </w:rPr>
        <w:t>InvestEU</w:t>
      </w:r>
      <w:r w:rsidRPr="002E44D1">
        <w:rPr>
          <w:rFonts w:ascii="Times New Roman" w:hAnsi="Times New Roman"/>
          <w:noProof/>
        </w:rPr>
        <w:t>-programmets målbudget på 372 mia. EUR i yderligere investeringer i perioden 2021-27 vil blive afsat til klimamål. 60 % af midlerne skal bruges på klima og miljø under politikområdet bæredygtig infrastruktur</w:t>
      </w:r>
      <w:r w:rsidRPr="002E44D1">
        <w:rPr>
          <w:rStyle w:val="FootnoteReference"/>
          <w:rFonts w:ascii="Times New Roman" w:hAnsi="Times New Roman" w:cs="Times New Roman"/>
          <w:noProof/>
        </w:rPr>
        <w:footnoteReference w:id="77"/>
      </w:r>
      <w:r w:rsidRPr="002E44D1">
        <w:rPr>
          <w:noProof/>
        </w:rPr>
        <w:t>.</w:t>
      </w:r>
      <w:r w:rsidRPr="002E44D1">
        <w:rPr>
          <w:rFonts w:ascii="Times New Roman" w:hAnsi="Times New Roman"/>
          <w:noProof/>
        </w:rPr>
        <w:t xml:space="preserve"> EIB, EIF og andre partnerbanker, der deltager i gennemførelsen, vil anvende InvestEU-garantier til investeringer i den private sektor i overensstemmelse med klima- og miljøsporingen og den bæredygtighedsvejledning, som Kommissionen har udarbejdet.</w:t>
      </w:r>
    </w:p>
    <w:p w14:paraId="2397B43B" w14:textId="7E66E924" w:rsidR="00A70715" w:rsidRPr="002E44D1" w:rsidRDefault="00A70715" w:rsidP="00237485">
      <w:pPr>
        <w:jc w:val="both"/>
        <w:rPr>
          <w:rFonts w:ascii="Times New Roman" w:hAnsi="Times New Roman" w:cs="Times New Roman"/>
          <w:noProof/>
        </w:rPr>
      </w:pPr>
      <w:r w:rsidRPr="002E44D1">
        <w:rPr>
          <w:rFonts w:ascii="Times New Roman" w:hAnsi="Times New Roman"/>
          <w:noProof/>
        </w:rPr>
        <w:t xml:space="preserve">Den grønne omstilling opnås gennem forskning og innovation ved at teste og demonstrere løsninger, udvikle banebrydende innovationer og viden til politikker på grundlag af den seneste videnskabelige dokumentation. Mindst 35 % af </w:t>
      </w:r>
      <w:r w:rsidRPr="002E44D1">
        <w:rPr>
          <w:rFonts w:ascii="Times New Roman" w:hAnsi="Times New Roman"/>
          <w:b/>
          <w:noProof/>
        </w:rPr>
        <w:t>Horisont Europa-programmets</w:t>
      </w:r>
      <w:r w:rsidRPr="002E44D1">
        <w:rPr>
          <w:rFonts w:ascii="Times New Roman" w:hAnsi="Times New Roman"/>
          <w:noProof/>
        </w:rPr>
        <w:t xml:space="preserve"> budget på 95,5 mia. EUR vil blive afsat til forskning og innovation til støtte for en retfærdig omstilling, der sætter borgerne i stand til at deltage aktivt i den grønne omstilling. Nye partnerskaber er i færd med at udvikle og opskalere de teknologier, der er nødvendige for klimaneutralitet. Horisont Europa investerede næsten 4,2 mia. EUR i klimaindsatsen inden udgangen af 2021</w:t>
      </w:r>
      <w:r w:rsidRPr="002E44D1">
        <w:rPr>
          <w:rStyle w:val="FootnoteReference"/>
          <w:rFonts w:ascii="Times New Roman" w:hAnsi="Times New Roman" w:cs="Times New Roman"/>
          <w:noProof/>
        </w:rPr>
        <w:footnoteReference w:id="78"/>
      </w:r>
      <w:r w:rsidRPr="002E44D1">
        <w:rPr>
          <w:noProof/>
        </w:rPr>
        <w:t>.</w:t>
      </w:r>
    </w:p>
    <w:p w14:paraId="16CAC054" w14:textId="63DB3744" w:rsidR="00546930" w:rsidRPr="002E44D1" w:rsidRDefault="00E81880" w:rsidP="00020BFC">
      <w:pPr>
        <w:jc w:val="both"/>
        <w:rPr>
          <w:rFonts w:ascii="Times New Roman" w:hAnsi="Times New Roman" w:cs="Times New Roman"/>
          <w:noProof/>
        </w:rPr>
      </w:pPr>
      <w:r w:rsidRPr="002E44D1">
        <w:rPr>
          <w:rFonts w:ascii="Times New Roman" w:hAnsi="Times New Roman"/>
          <w:b/>
          <w:noProof/>
        </w:rPr>
        <w:t>Den Europæiske Fond for Regionaludvikling og Samhørighedsfonden</w:t>
      </w:r>
      <w:r w:rsidRPr="002E44D1">
        <w:rPr>
          <w:rStyle w:val="FootnoteReference"/>
          <w:rFonts w:ascii="Times New Roman" w:hAnsi="Times New Roman" w:cs="Times New Roman"/>
          <w:noProof/>
        </w:rPr>
        <w:footnoteReference w:id="79"/>
      </w:r>
      <w:r w:rsidRPr="002E44D1">
        <w:rPr>
          <w:rFonts w:ascii="Times New Roman" w:hAnsi="Times New Roman"/>
          <w:noProof/>
        </w:rPr>
        <w:t xml:space="preserve"> støtter medlemsstaterne i at fremme økonomisk, social og territorial samhørighed, samtidig med, at den arbejder for omstillingen til klimaneutralitet og andre EU-prioriteter. Medlemsstaterne har hver især udarbejdet en partnerskabsaftale, der skitserer en investeringsstrategi for deres samhørighedspolitiske finansiering for 2021-2027. Midlerne vil udgøre mindst 78 mia. EUR i investeringer i klimaindsatsen i perioden 2021-2027 (30 % af den samlede budgettildeling fra EFRU og 37 % fra Samhørighedsfonden). Foreløbige data fra programudkast og vedtagne programmer tyder på, at de midler, der er afsat til klimaformål, vil overstige målet.</w:t>
      </w:r>
    </w:p>
    <w:p w14:paraId="41DE18E0" w14:textId="306EDB8E" w:rsidR="009A42B8" w:rsidRPr="002E44D1" w:rsidRDefault="009A42B8" w:rsidP="009A42B8">
      <w:pPr>
        <w:pStyle w:val="Caption"/>
        <w:rPr>
          <w:rStyle w:val="FootnoteReference"/>
          <w:noProof/>
        </w:rPr>
      </w:pPr>
      <w:r w:rsidRPr="002E44D1">
        <w:rPr>
          <w:noProof/>
        </w:rPr>
        <w:t xml:space="preserve">Figur </w:t>
      </w:r>
      <w:r w:rsidRPr="002E44D1">
        <w:rPr>
          <w:noProof/>
        </w:rPr>
        <w:fldChar w:fldCharType="begin"/>
      </w:r>
      <w:r w:rsidRPr="002E44D1">
        <w:rPr>
          <w:noProof/>
        </w:rPr>
        <w:instrText>SEQ Figure \* ARABIC</w:instrText>
      </w:r>
      <w:r w:rsidRPr="002E44D1">
        <w:rPr>
          <w:noProof/>
        </w:rPr>
        <w:fldChar w:fldCharType="separate"/>
      </w:r>
      <w:r w:rsidRPr="002E44D1">
        <w:rPr>
          <w:noProof/>
        </w:rPr>
        <w:t>12</w:t>
      </w:r>
      <w:r w:rsidRPr="002E44D1">
        <w:rPr>
          <w:noProof/>
        </w:rPr>
        <w:fldChar w:fldCharType="end"/>
      </w:r>
      <w:r w:rsidRPr="002E44D1">
        <w:rPr>
          <w:noProof/>
        </w:rPr>
        <w:t>: Fordeling af klimamidler fra fondene under samhørighedspolitikken på de enkelte tematiske områder (foreløbige data)</w:t>
      </w:r>
    </w:p>
    <w:p w14:paraId="385071EA" w14:textId="3E4B8583" w:rsidR="009A42B8" w:rsidRPr="002E44D1" w:rsidRDefault="006630E7" w:rsidP="00020BFC">
      <w:pPr>
        <w:jc w:val="both"/>
        <w:rPr>
          <w:rFonts w:ascii="Times New Roman" w:hAnsi="Times New Roman" w:cs="Times New Roman"/>
          <w:b/>
          <w:bCs/>
          <w:noProof/>
        </w:rPr>
      </w:pPr>
      <w:r w:rsidRPr="002E44D1">
        <w:rPr>
          <w:noProof/>
          <w:lang w:val="en-GB" w:eastAsia="en-GB"/>
        </w:rPr>
        <w:drawing>
          <wp:inline distT="0" distB="0" distL="0" distR="0" wp14:anchorId="724DDB43" wp14:editId="743F09B6">
            <wp:extent cx="5760720" cy="24441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60720" cy="2444115"/>
                    </a:xfrm>
                    <a:prstGeom prst="rect">
                      <a:avLst/>
                    </a:prstGeom>
                  </pic:spPr>
                </pic:pic>
              </a:graphicData>
            </a:graphic>
          </wp:inline>
        </w:drawing>
      </w:r>
    </w:p>
    <w:p w14:paraId="5A2EF60D" w14:textId="65000F78" w:rsidR="00020BFC" w:rsidRPr="002E44D1" w:rsidRDefault="00674BFC" w:rsidP="00020BFC">
      <w:pPr>
        <w:jc w:val="both"/>
        <w:rPr>
          <w:rFonts w:ascii="Times New Roman" w:hAnsi="Times New Roman" w:cs="Times New Roman"/>
          <w:noProof/>
        </w:rPr>
      </w:pPr>
      <w:r w:rsidRPr="002E44D1">
        <w:rPr>
          <w:rFonts w:ascii="Times New Roman" w:hAnsi="Times New Roman"/>
          <w:b/>
          <w:noProof/>
        </w:rPr>
        <w:t>Fonden for Retfærdig Omstilling</w:t>
      </w:r>
      <w:r w:rsidRPr="002E44D1">
        <w:rPr>
          <w:rFonts w:ascii="Times New Roman" w:hAnsi="Times New Roman"/>
          <w:noProof/>
        </w:rPr>
        <w:t xml:space="preserve"> har et EU-bidrag på 19,2 mia. EUR til investeringer i perioden 2021-2027 i de regioner i hele Europa, som vil blive hårdest ramt af omstillingen til klimaneutralitet med hensyn til indvirkning på deres økonomiske struktur og sociale virkninger. Efter fondens oprettelse er medlemsstaterne nu ved at udarbejde territoriale planer for retfærdig omstilling, som skal vedtages af Kommissionen som led i samhørighedspolitikkens programmer.</w:t>
      </w:r>
      <w:r w:rsidRPr="002E44D1">
        <w:rPr>
          <w:noProof/>
        </w:rPr>
        <w:t xml:space="preserve"> </w:t>
      </w:r>
      <w:r w:rsidRPr="002E44D1">
        <w:rPr>
          <w:rFonts w:ascii="Times New Roman" w:hAnsi="Times New Roman"/>
          <w:noProof/>
        </w:rPr>
        <w:t xml:space="preserve">Planerne for Grækenland, Cypern, Østrig, Nordrhein-Westfalen og Sverige er blevet godkendt. </w:t>
      </w:r>
    </w:p>
    <w:p w14:paraId="6589EB12" w14:textId="17DB6CDF" w:rsidR="00A70715" w:rsidRPr="002E44D1" w:rsidRDefault="00A70715" w:rsidP="00B53537">
      <w:pPr>
        <w:spacing w:after="240"/>
        <w:jc w:val="both"/>
        <w:rPr>
          <w:rFonts w:ascii="Times New Roman" w:hAnsi="Times New Roman" w:cs="Times New Roman"/>
          <w:noProof/>
        </w:rPr>
      </w:pPr>
      <w:r w:rsidRPr="002E44D1">
        <w:rPr>
          <w:rFonts w:ascii="Times New Roman" w:hAnsi="Times New Roman"/>
          <w:b/>
          <w:noProof/>
        </w:rPr>
        <w:t>Den Europæiske Socialfond, ESF+</w:t>
      </w:r>
      <w:r w:rsidRPr="002E44D1">
        <w:rPr>
          <w:rFonts w:ascii="Times New Roman" w:hAnsi="Times New Roman"/>
          <w:noProof/>
        </w:rPr>
        <w:t>, støtter beskæftigelse og investeringer i menneskelig kapital.</w:t>
      </w:r>
      <w:r w:rsidRPr="002E44D1">
        <w:rPr>
          <w:noProof/>
        </w:rPr>
        <w:t xml:space="preserve"> </w:t>
      </w:r>
      <w:r w:rsidRPr="002E44D1">
        <w:rPr>
          <w:rFonts w:ascii="Times New Roman" w:hAnsi="Times New Roman"/>
          <w:noProof/>
        </w:rPr>
        <w:t>Medio september var ca. en tredjedel af ESF+-programmerne vedtaget for perioden 2021-2027. Forhandlingerne er stadig i gang. Alle ESF+-programmer forventes vedtaget inden årets udgang. For at støtte oprettelsen af grønne job og tilpasningen af færdigheder og kvalifikationer til omstillingen til en klimaneutral økonomi planlægger medlemsstaterne at udvikle nye typer uddannelser, læseplaner, lærlingeuddannelser og forretningsmodeller såsom socialt iværksætteri.</w:t>
      </w:r>
    </w:p>
    <w:p w14:paraId="4FAE7BD5" w14:textId="67519501" w:rsidR="00020BFC" w:rsidRPr="002E44D1" w:rsidRDefault="005A156E" w:rsidP="00020BFC">
      <w:pPr>
        <w:spacing w:after="240"/>
        <w:jc w:val="both"/>
        <w:rPr>
          <w:rStyle w:val="normaltextrun"/>
          <w:rFonts w:ascii="Times New Roman" w:hAnsi="Times New Roman" w:cs="Times New Roman"/>
          <w:noProof/>
        </w:rPr>
      </w:pPr>
      <w:r w:rsidRPr="002E44D1">
        <w:rPr>
          <w:rFonts w:ascii="Times New Roman" w:hAnsi="Times New Roman"/>
          <w:b/>
          <w:noProof/>
        </w:rPr>
        <w:t>Instrumentet for teknisk støtte</w:t>
      </w:r>
      <w:r w:rsidRPr="002E44D1">
        <w:rPr>
          <w:rFonts w:ascii="Times New Roman" w:hAnsi="Times New Roman"/>
          <w:noProof/>
        </w:rPr>
        <w:t xml:space="preserve"> fortsatte den skræddersyede tekniske støtte til medlemsstaterne med henblik på at udforme og gennemføre reformer af prioriteterne i den europæiske grønne pagt. 17 medlemsstater</w:t>
      </w:r>
      <w:r w:rsidRPr="002E44D1">
        <w:rPr>
          <w:rStyle w:val="FootnoteReference"/>
          <w:rFonts w:ascii="Times New Roman" w:hAnsi="Times New Roman" w:cs="Times New Roman"/>
          <w:noProof/>
        </w:rPr>
        <w:footnoteReference w:id="80"/>
      </w:r>
      <w:r w:rsidRPr="002E44D1">
        <w:rPr>
          <w:rFonts w:ascii="Times New Roman" w:hAnsi="Times New Roman"/>
          <w:noProof/>
        </w:rPr>
        <w:t xml:space="preserve"> modtog støtte via den yderligere specifikke REPowerEU-indkaldelse til at identificere passende </w:t>
      </w:r>
      <w:r w:rsidRPr="002E44D1">
        <w:rPr>
          <w:rStyle w:val="normaltextrun"/>
          <w:rFonts w:ascii="Times New Roman" w:hAnsi="Times New Roman"/>
          <w:noProof/>
        </w:rPr>
        <w:t>reformer og investeringer</w:t>
      </w:r>
      <w:r w:rsidRPr="002E44D1">
        <w:rPr>
          <w:rFonts w:ascii="Times New Roman" w:hAnsi="Times New Roman"/>
          <w:noProof/>
        </w:rPr>
        <w:t xml:space="preserve"> med henblik på at </w:t>
      </w:r>
      <w:r w:rsidRPr="002E44D1">
        <w:rPr>
          <w:rStyle w:val="normaltextrun"/>
          <w:rFonts w:ascii="Times New Roman" w:hAnsi="Times New Roman"/>
          <w:noProof/>
        </w:rPr>
        <w:t>udfase afhængigheden af russiske fossile brændstoffer.</w:t>
      </w:r>
    </w:p>
    <w:p w14:paraId="4919BBBE" w14:textId="6B38A1FD" w:rsidR="0026010A" w:rsidRPr="002E44D1" w:rsidRDefault="00301341" w:rsidP="00733E8C">
      <w:pPr>
        <w:jc w:val="both"/>
        <w:rPr>
          <w:rFonts w:ascii="Times New Roman" w:hAnsi="Times New Roman" w:cs="Times New Roman"/>
          <w:noProof/>
        </w:rPr>
      </w:pPr>
      <w:r w:rsidRPr="002E44D1">
        <w:rPr>
          <w:rFonts w:ascii="Times New Roman" w:hAnsi="Times New Roman"/>
          <w:b/>
          <w:noProof/>
        </w:rPr>
        <w:t>LIFE-programmet</w:t>
      </w:r>
      <w:r w:rsidRPr="002E44D1">
        <w:rPr>
          <w:rFonts w:ascii="Times New Roman" w:hAnsi="Times New Roman"/>
          <w:noProof/>
        </w:rPr>
        <w:t xml:space="preserve"> er EU's finansieringsinstrument til miljø- og klimaforanstaltninger. I 2021 blev der tildelt mere end 290 mio. EUR til 132 projekter, herunder projekter på områder som klimaneutralt landbrug, genopretning af tørvemoser, varmegenvinding inden for jern- og stålproduktion og klimatilpasning af skove og infrastrukturer. </w:t>
      </w:r>
      <w:r w:rsidRPr="002E44D1">
        <w:rPr>
          <w:rStyle w:val="normaltextrun"/>
          <w:rFonts w:ascii="Times New Roman" w:hAnsi="Times New Roman"/>
          <w:noProof/>
        </w:rPr>
        <w:t>Der vil være ca. 755 mio. EUR til klima- og miljøprojekter i 2022, herunder til omstilling til ren energi. I juni tilsluttede Ukraine sig LIFE-programmet, hvor det kan få støtte til at hjælpe med at genoprette miljøet efter de ødelæggelser, som den russiske invasion har forårsaget.</w:t>
      </w:r>
    </w:p>
    <w:p w14:paraId="0A332A06" w14:textId="77777777" w:rsidR="00834BA2" w:rsidRPr="002E44D1" w:rsidRDefault="00834BA2" w:rsidP="00834BA2">
      <w:pPr>
        <w:pStyle w:val="Heading1"/>
        <w:rPr>
          <w:rFonts w:ascii="Times New Roman" w:hAnsi="Times New Roman" w:cs="Times New Roman"/>
          <w:noProof/>
          <w:sz w:val="32"/>
          <w:szCs w:val="32"/>
        </w:rPr>
      </w:pPr>
      <w:r w:rsidRPr="002E44D1">
        <w:rPr>
          <w:rFonts w:ascii="Times New Roman" w:hAnsi="Times New Roman"/>
          <w:noProof/>
          <w:sz w:val="32"/>
        </w:rPr>
        <w:t>DEN INTERNATIONALE KLIMAINDSATS</w:t>
      </w:r>
    </w:p>
    <w:p w14:paraId="5F83C174" w14:textId="649FB9BF" w:rsidR="00834BA2" w:rsidRPr="002E44D1" w:rsidRDefault="003368A1" w:rsidP="00C817C8">
      <w:pPr>
        <w:jc w:val="both"/>
        <w:rPr>
          <w:rFonts w:ascii="Times New Roman" w:hAnsi="Times New Roman" w:cs="Times New Roman"/>
          <w:noProof/>
        </w:rPr>
      </w:pPr>
      <w:r w:rsidRPr="002E44D1">
        <w:rPr>
          <w:rFonts w:ascii="Times New Roman" w:hAnsi="Times New Roman"/>
          <w:noProof/>
        </w:rPr>
        <w:t xml:space="preserve">I forbindelse med, at vi afsluttede Parisaftalens første femårige cyklus, har der i det forløbne år været intense og produktive internationale udvekslinger, navnlig på ministermøderne om klimaindsatsen, som EU, Kina og Canada har indkaldt til, klimadialogen i Petersberg, G20-topmødet i Rom og FN's klimakonference i Glasgow (COP26). </w:t>
      </w:r>
    </w:p>
    <w:p w14:paraId="5CA16677" w14:textId="6812D6F6" w:rsidR="00834BA2" w:rsidRPr="002E44D1" w:rsidRDefault="00834BA2" w:rsidP="00C817C8">
      <w:pPr>
        <w:jc w:val="both"/>
        <w:rPr>
          <w:rFonts w:ascii="Times New Roman" w:hAnsi="Times New Roman" w:cs="Times New Roman"/>
          <w:noProof/>
        </w:rPr>
      </w:pPr>
      <w:r w:rsidRPr="002E44D1">
        <w:rPr>
          <w:rFonts w:ascii="Times New Roman" w:hAnsi="Times New Roman"/>
          <w:noProof/>
        </w:rPr>
        <w:t xml:space="preserve">Næsten alle store økonomier har fulgt EU's eksempel og forpligtet sig til at opnå nettonulemission af drivhusgasser inden eller omkring midten af århundredet. Mange har øget deres emissionsmål for 2030 (nationalt bestemte bidrag) betydeligt, hvilket viser, at Parisaftalen fungerer, og at EU inspirerer andre til at fremskynde indsatsen. Verden er dog i henhold til de nuværende nationale politikker og foranstaltninger langt fra på vej til at nå Parisaftalens temperaturmål. Hvis landene opfylder alle deres nye tilsagn, kan verden undgå nogle alvorlige klimapåvirkninger, men opvarmningen vil stadig overstige 1,5 °C ved udgangen af dette århundrede. </w:t>
      </w:r>
    </w:p>
    <w:p w14:paraId="36E4CF94" w14:textId="6E391A83" w:rsidR="00834BA2" w:rsidRPr="002E44D1" w:rsidRDefault="00834BA2" w:rsidP="00C817C8">
      <w:pPr>
        <w:jc w:val="both"/>
        <w:rPr>
          <w:rFonts w:ascii="Times New Roman" w:hAnsi="Times New Roman" w:cs="Times New Roman"/>
          <w:noProof/>
        </w:rPr>
      </w:pPr>
      <w:r w:rsidRPr="002E44D1">
        <w:rPr>
          <w:rFonts w:ascii="Times New Roman" w:hAnsi="Times New Roman"/>
          <w:noProof/>
        </w:rPr>
        <w:t xml:space="preserve">EU og dets medlemsstater bidrager fortsat til at øge bevidstheden om mulighederne i den grønne omstilling og konsekvenserne af en forsinket indsats. EU tilskynder internationale partnere til og bistår dem med at levere mere robuste og vedvarende svar på den fælles trussel fra klimaændringer. </w:t>
      </w:r>
    </w:p>
    <w:p w14:paraId="75D9A657" w14:textId="77777777" w:rsidR="00450CF1" w:rsidRPr="002E44D1" w:rsidRDefault="00834BA2" w:rsidP="00C817C8">
      <w:pPr>
        <w:jc w:val="both"/>
        <w:rPr>
          <w:rFonts w:ascii="Times New Roman" w:hAnsi="Times New Roman" w:cs="Times New Roman"/>
          <w:noProof/>
        </w:rPr>
      </w:pPr>
      <w:r w:rsidRPr="002E44D1">
        <w:rPr>
          <w:rFonts w:ascii="Times New Roman" w:hAnsi="Times New Roman"/>
          <w:noProof/>
        </w:rPr>
        <w:t>EU og dets medlemsstater er verdens største yder af offentlig klimafinansiering med 23,4 mia. EUR i 2020 til at reducere emissionerne og opbygge modstandsdygtighed over for virkningerne af klimaændringer i udviklingslandene, herunder 5,2 mia. EUR, som der er indgået forpligtelser for på EU-plan (EU-budgettet, Den Europæiske Udviklingsfond og Den Europæiske Investeringsbank). Offentlig finansiering og lovgivningsmæssige reformer bidrager til at mobilisere kapital og øge de private investeringer, der er nødvendige for at gøre den omstilling, som EU's rammeprogrammer for forskning og innovation foretager, til et vigtigt bidrag til globale klimavurderinger og -tiltag, idet EU er blandt de største bidragydere til det evidensgrundlag, der underbygger rapporter fra Det Mellemstatslige Panel om Klimaændringer</w:t>
      </w:r>
      <w:r w:rsidRPr="002E44D1">
        <w:rPr>
          <w:noProof/>
        </w:rPr>
        <w:t>.</w:t>
      </w:r>
      <w:r w:rsidRPr="002E44D1">
        <w:rPr>
          <w:rStyle w:val="FootnoteReference"/>
          <w:rFonts w:ascii="Times New Roman" w:hAnsi="Times New Roman" w:cs="Times New Roman"/>
          <w:noProof/>
        </w:rPr>
        <w:footnoteReference w:id="81"/>
      </w:r>
    </w:p>
    <w:p w14:paraId="5DBA7065" w14:textId="52613275" w:rsidR="00B51C24" w:rsidRPr="002E44D1" w:rsidRDefault="0055387F" w:rsidP="00C817C8">
      <w:pPr>
        <w:jc w:val="both"/>
        <w:rPr>
          <w:rFonts w:ascii="Times New Roman" w:hAnsi="Times New Roman" w:cs="Times New Roman"/>
          <w:noProof/>
        </w:rPr>
      </w:pPr>
      <w:r w:rsidRPr="002E44D1">
        <w:rPr>
          <w:rFonts w:ascii="Times New Roman" w:hAnsi="Times New Roman"/>
          <w:noProof/>
        </w:rPr>
        <w:t>Nye initiativer inden for det seneste år, som EU står i spidsen for, omfatter Just Energy Transition Partnership på 8,5 mia. USD mellem Sydafrika og en gruppe donorer, Global Methane Pledge, der blev iværksat af formand Ursula von der Leyen og præsident Biden, og indtil videre har fået deltagelse af over 100 lande, en grøn alliance mellem EU og Japan og G20-ledernes beslutning om at sætte en stopper for international offentlig finansiering af kulfyrede kraftværker.</w:t>
      </w:r>
    </w:p>
    <w:sectPr w:rsidR="00B51C24" w:rsidRPr="002E44D1" w:rsidSect="00B454A5">
      <w:headerReference w:type="even" r:id="rId33"/>
      <w:headerReference w:type="default" r:id="rId34"/>
      <w:footerReference w:type="even" r:id="rId35"/>
      <w:footerReference w:type="default" r:id="rId36"/>
      <w:headerReference w:type="first" r:id="rId37"/>
      <w:footerReference w:type="first" r:id="rId38"/>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64F1B" w14:textId="77777777" w:rsidR="00090CA7" w:rsidRDefault="00090CA7" w:rsidP="007731A3">
      <w:pPr>
        <w:spacing w:after="0" w:line="240" w:lineRule="auto"/>
      </w:pPr>
      <w:r>
        <w:separator/>
      </w:r>
    </w:p>
  </w:endnote>
  <w:endnote w:type="continuationSeparator" w:id="0">
    <w:p w14:paraId="6D83A9B7" w14:textId="77777777" w:rsidR="00090CA7" w:rsidRDefault="00090CA7" w:rsidP="007731A3">
      <w:pPr>
        <w:spacing w:after="0" w:line="240" w:lineRule="auto"/>
      </w:pPr>
      <w:r>
        <w:continuationSeparator/>
      </w:r>
    </w:p>
  </w:endnote>
  <w:endnote w:type="continuationNotice" w:id="1">
    <w:p w14:paraId="3EB58753" w14:textId="77777777" w:rsidR="00090CA7" w:rsidRDefault="00090C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venir Boo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32ADF" w14:textId="77777777" w:rsidR="00614D6E" w:rsidRPr="00614D6E" w:rsidRDefault="00614D6E" w:rsidP="00614D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45E48" w14:textId="14FAD3B3" w:rsidR="00695543" w:rsidRPr="00614D6E" w:rsidRDefault="00614D6E" w:rsidP="00614D6E">
    <w:pPr>
      <w:pStyle w:val="FooterCoverPage"/>
      <w:rPr>
        <w:rFonts w:ascii="Arial" w:hAnsi="Arial" w:cs="Arial"/>
        <w:b/>
        <w:sz w:val="48"/>
      </w:rPr>
    </w:pPr>
    <w:r w:rsidRPr="00614D6E">
      <w:rPr>
        <w:rFonts w:ascii="Arial" w:hAnsi="Arial" w:cs="Arial"/>
        <w:b/>
        <w:sz w:val="48"/>
      </w:rPr>
      <w:t>DA</w:t>
    </w:r>
    <w:r w:rsidRPr="00614D6E">
      <w:rPr>
        <w:rFonts w:ascii="Arial" w:hAnsi="Arial" w:cs="Arial"/>
        <w:b/>
        <w:sz w:val="48"/>
      </w:rPr>
      <w:tab/>
    </w:r>
    <w:r w:rsidRPr="00614D6E">
      <w:rPr>
        <w:rFonts w:ascii="Arial" w:hAnsi="Arial" w:cs="Arial"/>
        <w:b/>
        <w:sz w:val="48"/>
      </w:rPr>
      <w:tab/>
    </w:r>
    <w:r w:rsidRPr="00614D6E">
      <w:tab/>
    </w:r>
    <w:r w:rsidRPr="00614D6E">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28987" w14:textId="77777777" w:rsidR="00614D6E" w:rsidRPr="00614D6E" w:rsidRDefault="00614D6E" w:rsidP="00614D6E">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27521" w14:textId="77777777" w:rsidR="00B454A5" w:rsidRDefault="00B454A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421195"/>
      <w:docPartObj>
        <w:docPartGallery w:val="Page Numbers (Bottom of Page)"/>
        <w:docPartUnique/>
      </w:docPartObj>
    </w:sdtPr>
    <w:sdtEndPr>
      <w:rPr>
        <w:rFonts w:ascii="Times New Roman" w:hAnsi="Times New Roman" w:cs="Times New Roman"/>
        <w:noProof/>
      </w:rPr>
    </w:sdtEndPr>
    <w:sdtContent>
      <w:p w14:paraId="444A1220" w14:textId="4E22E641" w:rsidR="00B454A5" w:rsidRPr="00B87EB3" w:rsidRDefault="00B454A5">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614D6E">
          <w:rPr>
            <w:rFonts w:ascii="Times New Roman" w:hAnsi="Times New Roman" w:cs="Times New Roman"/>
            <w:noProof/>
          </w:rPr>
          <w:t>1</w:t>
        </w:r>
        <w:r>
          <w:rPr>
            <w:rFonts w:ascii="Times New Roman" w:hAnsi="Times New Roman" w:cs="Times New Roman"/>
          </w:rPr>
          <w:fldChar w:fldCharType="end"/>
        </w:r>
      </w:p>
    </w:sdtContent>
  </w:sdt>
  <w:p w14:paraId="68A61F47" w14:textId="77777777" w:rsidR="00B454A5" w:rsidRDefault="00B454A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6B25B" w14:textId="77777777" w:rsidR="00B454A5" w:rsidRDefault="00B45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FFD90" w14:textId="77777777" w:rsidR="00090CA7" w:rsidRDefault="00090CA7" w:rsidP="007731A3">
      <w:pPr>
        <w:spacing w:after="0" w:line="240" w:lineRule="auto"/>
      </w:pPr>
      <w:r>
        <w:separator/>
      </w:r>
    </w:p>
  </w:footnote>
  <w:footnote w:type="continuationSeparator" w:id="0">
    <w:p w14:paraId="58562499" w14:textId="77777777" w:rsidR="00090CA7" w:rsidRDefault="00090CA7" w:rsidP="007731A3">
      <w:pPr>
        <w:spacing w:after="0" w:line="240" w:lineRule="auto"/>
      </w:pPr>
      <w:r>
        <w:continuationSeparator/>
      </w:r>
    </w:p>
  </w:footnote>
  <w:footnote w:type="continuationNotice" w:id="1">
    <w:p w14:paraId="168EF367" w14:textId="77777777" w:rsidR="00090CA7" w:rsidRDefault="00090CA7">
      <w:pPr>
        <w:spacing w:after="0" w:line="240" w:lineRule="auto"/>
      </w:pPr>
    </w:p>
  </w:footnote>
  <w:footnote w:id="2">
    <w:p w14:paraId="54400F42" w14:textId="14A38BF1" w:rsidR="00ED56A2" w:rsidRPr="000D572E" w:rsidRDefault="00ED56A2" w:rsidP="00CC5080">
      <w:pPr>
        <w:pStyle w:val="FootnoteText1"/>
        <w:ind w:left="567" w:hanging="567"/>
        <w:rPr>
          <w:rFonts w:cs="Times New Roman"/>
        </w:rPr>
      </w:pPr>
      <w:r>
        <w:rPr>
          <w:rStyle w:val="FootnoteReference"/>
          <w:rFonts w:cs="Times New Roman"/>
        </w:rPr>
        <w:footnoteRef/>
      </w:r>
      <w:r w:rsidR="00CC5080">
        <w:tab/>
      </w:r>
      <w:r>
        <w:t>I 2021 og 2022 offentliggjorde IPCC en række rapporter, der var udarbejdet af tre arbejdsgrupper, til sin sjette vurderingsrapport, "The Physical Science Basis" (</w:t>
      </w:r>
      <w:hyperlink w:anchor="SPM">
        <w:r>
          <w:rPr>
            <w:rStyle w:val="Hyperlink"/>
            <w:color w:val="auto"/>
            <w:u w:val="none"/>
          </w:rPr>
          <w:t>Working Group I</w:t>
        </w:r>
      </w:hyperlink>
      <w:r>
        <w:t>) i august 2021, rapporten "Impacts, Adaptation and Vulnerability" (</w:t>
      </w:r>
      <w:hyperlink r:id="rId1">
        <w:r>
          <w:rPr>
            <w:rStyle w:val="Hyperlink"/>
            <w:color w:val="auto"/>
            <w:u w:val="none"/>
          </w:rPr>
          <w:t>Working Group II</w:t>
        </w:r>
      </w:hyperlink>
      <w:r>
        <w:t>) i februar 2022 og rapporten "Mitigation of Climate Change" (</w:t>
      </w:r>
      <w:hyperlink r:id="rId2">
        <w:r>
          <w:rPr>
            <w:rStyle w:val="Hyperlink"/>
            <w:color w:val="auto"/>
            <w:u w:val="none"/>
          </w:rPr>
          <w:t>Working Group III</w:t>
        </w:r>
      </w:hyperlink>
      <w:r>
        <w:rPr>
          <w:rStyle w:val="Hyperlink"/>
          <w:color w:val="auto"/>
          <w:u w:val="none"/>
        </w:rPr>
        <w:t>)</w:t>
      </w:r>
      <w:r>
        <w:t xml:space="preserve"> i april 2022.</w:t>
      </w:r>
    </w:p>
  </w:footnote>
  <w:footnote w:id="3">
    <w:p w14:paraId="7526503B" w14:textId="4B79BAF9" w:rsidR="00ED56A2" w:rsidRPr="00324107" w:rsidRDefault="00ED56A2" w:rsidP="00CC5080">
      <w:pPr>
        <w:pStyle w:val="FootnoteText1"/>
        <w:ind w:left="567" w:hanging="567"/>
      </w:pPr>
      <w:r>
        <w:rPr>
          <w:rStyle w:val="FootnoteReference"/>
        </w:rPr>
        <w:footnoteRef/>
      </w:r>
      <w:r w:rsidR="00CC5080">
        <w:tab/>
      </w:r>
      <w:r>
        <w:t>IPCC's Working Group III: Modvirkning af klimaændringer (2022) med henblik på at gøre en modvirkningsindsats i overensstemmelse med de nationale politikker, der var gennemført inden udgangen af 2020.</w:t>
      </w:r>
    </w:p>
  </w:footnote>
  <w:footnote w:id="4">
    <w:p w14:paraId="59E0EF21" w14:textId="19E2D6F0" w:rsidR="00ED56A2" w:rsidRPr="00355EAB" w:rsidRDefault="00ED56A2" w:rsidP="00CC5080">
      <w:pPr>
        <w:pStyle w:val="FootnoteText1"/>
        <w:ind w:left="567" w:hanging="567"/>
      </w:pPr>
      <w:r>
        <w:rPr>
          <w:rStyle w:val="FootnoteReference"/>
        </w:rPr>
        <w:footnoteRef/>
      </w:r>
      <w:r w:rsidR="00CC5080">
        <w:tab/>
      </w:r>
      <w:r>
        <w:t xml:space="preserve">De seneste videnskabelige analyser antyder, at temperaturerne vil stige hurtigere i de europæiske landområder i hele dette århundrede end det globale gennemsnit (EEA: </w:t>
      </w:r>
      <w:hyperlink r:id="rId3" w:anchor=":~:text=Global%20mean%20near%2Dsurface%20temperature,depending%20on%20the%20dataset%20used" w:history="1">
        <w:r>
          <w:rPr>
            <w:rStyle w:val="Hyperlink"/>
          </w:rPr>
          <w:t>Global and European temperatures)</w:t>
        </w:r>
      </w:hyperlink>
      <w:r>
        <w:t xml:space="preserve"> </w:t>
      </w:r>
    </w:p>
  </w:footnote>
  <w:footnote w:id="5">
    <w:p w14:paraId="34BD1B06" w14:textId="545273EE" w:rsidR="000D476F" w:rsidRPr="001A169B" w:rsidRDefault="00B454A5" w:rsidP="00CC5080">
      <w:pPr>
        <w:pStyle w:val="FootnoteText1"/>
        <w:ind w:left="567" w:hanging="567"/>
      </w:pPr>
      <w:r>
        <w:rPr>
          <w:rStyle w:val="FootnoteReference"/>
        </w:rPr>
        <w:footnoteRef/>
      </w:r>
      <w:r w:rsidR="00CC5080">
        <w:tab/>
      </w:r>
      <w:hyperlink r:id="rId4" w:history="1">
        <w:r>
          <w:rPr>
            <w:rStyle w:val="Hyperlink"/>
          </w:rPr>
          <w:t>https://edgar.jrc.ec.europa.eu/dataset_ghg70</w:t>
        </w:r>
      </w:hyperlink>
      <w:r>
        <w:t>.</w:t>
      </w:r>
    </w:p>
  </w:footnote>
  <w:footnote w:id="6">
    <w:p w14:paraId="379871E1" w14:textId="141AEA67" w:rsidR="00B454A5" w:rsidRPr="00D075CF" w:rsidRDefault="00B454A5" w:rsidP="00CC5080">
      <w:pPr>
        <w:pStyle w:val="FootnoteText1"/>
        <w:ind w:left="567" w:hanging="567"/>
      </w:pPr>
      <w:r>
        <w:rPr>
          <w:rStyle w:val="FootnoteReference"/>
        </w:rPr>
        <w:footnoteRef/>
      </w:r>
      <w:r w:rsidR="00CC5080">
        <w:tab/>
      </w:r>
      <w:hyperlink r:id="rId5" w:history="1">
        <w:r>
          <w:rPr>
            <w:rStyle w:val="Hyperlink"/>
          </w:rPr>
          <w:t>https://www.iea.org/news/global-co2-emissions-rebounded-to-their-highest-level-in-history-in-2021</w:t>
        </w:r>
      </w:hyperlink>
      <w:r>
        <w:t>.</w:t>
      </w:r>
    </w:p>
  </w:footnote>
  <w:footnote w:id="7">
    <w:p w14:paraId="1544D709" w14:textId="59DA9595" w:rsidR="00ED56A2" w:rsidRPr="00C512CF" w:rsidRDefault="00ED56A2" w:rsidP="00CC5080">
      <w:pPr>
        <w:pStyle w:val="FootnoteText1"/>
        <w:ind w:left="567" w:hanging="567"/>
      </w:pPr>
      <w:r>
        <w:rPr>
          <w:rStyle w:val="FootnoteReference"/>
        </w:rPr>
        <w:footnoteRef/>
      </w:r>
      <w:r w:rsidR="00CC5080">
        <w:tab/>
      </w:r>
      <w:r>
        <w:t>Nettonulemissioner betyder, at der opnås en balance mellem menneskeskabte emissioner fra kilder til drivhusgasser og optag gennem dræn, så alle resterende drivhusgasemissioner, der overføres til atmosfæren, opvejes af menneskeskabte optag fra atmosfæren, hvilket giver anledning til nulemission.</w:t>
      </w:r>
    </w:p>
  </w:footnote>
  <w:footnote w:id="8">
    <w:p w14:paraId="37ACCD61" w14:textId="044E1A4A" w:rsidR="00B454A5" w:rsidRPr="000D572E" w:rsidRDefault="00B454A5" w:rsidP="00CC5080">
      <w:pPr>
        <w:pStyle w:val="FootnoteText"/>
        <w:ind w:left="567" w:hanging="567"/>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sidR="00CC5080">
        <w:tab/>
      </w:r>
      <w:hyperlink r:id="rId6" w:history="1">
        <w:r>
          <w:rPr>
            <w:rStyle w:val="Hyperlink"/>
            <w:rFonts w:ascii="Times New Roman" w:hAnsi="Times New Roman"/>
            <w:sz w:val="18"/>
          </w:rPr>
          <w:t>https://unfccc.int/sites/default/files/resource/European%20Union-BR4_C_2019_8832_and_SWD_2019_432_2.pdf</w:t>
        </w:r>
      </w:hyperlink>
      <w:r>
        <w:t>.</w:t>
      </w:r>
      <w:r>
        <w:rPr>
          <w:rFonts w:ascii="Times New Roman" w:hAnsi="Times New Roman"/>
          <w:sz w:val="18"/>
        </w:rPr>
        <w:t xml:space="preserve"> </w:t>
      </w:r>
    </w:p>
  </w:footnote>
  <w:footnote w:id="9">
    <w:p w14:paraId="4AE25ABF" w14:textId="2A9E661E" w:rsidR="00B454A5" w:rsidRPr="000D572E" w:rsidRDefault="00B454A5" w:rsidP="00CC5080">
      <w:pPr>
        <w:pStyle w:val="FootnoteText"/>
        <w:ind w:left="567" w:hanging="567"/>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sidR="00CC5080">
        <w:rPr>
          <w:rFonts w:ascii="Times New Roman" w:hAnsi="Times New Roman"/>
          <w:sz w:val="18"/>
        </w:rPr>
        <w:tab/>
      </w:r>
      <w:r>
        <w:rPr>
          <w:rFonts w:ascii="Times New Roman" w:hAnsi="Times New Roman"/>
          <w:sz w:val="18"/>
        </w:rPr>
        <w:t>Det Forenede Kongerige indgik i det fælles EU 2020-mål sammen med de 27 EU-medlemsstater.</w:t>
      </w:r>
    </w:p>
  </w:footnote>
  <w:footnote w:id="10">
    <w:p w14:paraId="43F9B3C0" w14:textId="0F12ECB6" w:rsidR="00B454A5" w:rsidRPr="00AF6E04" w:rsidRDefault="00B454A5" w:rsidP="00CC5080">
      <w:pPr>
        <w:pStyle w:val="FootnoteText1"/>
        <w:ind w:left="567" w:hanging="567"/>
      </w:pPr>
      <w:r>
        <w:rPr>
          <w:rStyle w:val="FootnoteReference"/>
        </w:rPr>
        <w:footnoteRef/>
      </w:r>
      <w:r w:rsidR="00CC5080">
        <w:tab/>
      </w:r>
      <w:r>
        <w:t xml:space="preserve">Drivhusgasemissioner og -optag for 1990-2020 er baseret på de CRF-tabeller, som EU-medlemsstaterne skulle indsende til UNFCCC senest den 27. maj 2022 i deres opgørelser i henhold til forordning (EU) nr. 525/2013. Tallene kan ændre sig som følge af fornyede indberetninger som følge af senere revisioner. </w:t>
      </w:r>
    </w:p>
  </w:footnote>
  <w:footnote w:id="11">
    <w:p w14:paraId="4D70BC45" w14:textId="6D01B105" w:rsidR="00B454A5" w:rsidRPr="00176093" w:rsidRDefault="00B454A5" w:rsidP="00CC5080">
      <w:pPr>
        <w:pStyle w:val="FootnoteText1"/>
        <w:ind w:left="567" w:hanging="567"/>
      </w:pPr>
      <w:r>
        <w:rPr>
          <w:rStyle w:val="FootnoteReference"/>
        </w:rPr>
        <w:footnoteRef/>
      </w:r>
      <w:r w:rsidR="00CC5080">
        <w:tab/>
      </w:r>
      <w:r>
        <w:t>Tallene for drivhusgasemissioner for 2021 er baseret på tilnærmede drivhusgasopgørelser indsendt i henhold til forordning (EU) 2018/1999.</w:t>
      </w:r>
    </w:p>
  </w:footnote>
  <w:footnote w:id="12">
    <w:p w14:paraId="68C02D52" w14:textId="6F3F25BE" w:rsidR="00B454A5" w:rsidRPr="00A13615" w:rsidRDefault="00B454A5" w:rsidP="00CC5080">
      <w:pPr>
        <w:pStyle w:val="FootnoteText1"/>
        <w:ind w:left="567" w:hanging="567"/>
      </w:pPr>
      <w:r>
        <w:rPr>
          <w:rStyle w:val="FootnoteReference"/>
        </w:rPr>
        <w:footnoteRef/>
      </w:r>
      <w:r w:rsidR="00CC5080">
        <w:tab/>
      </w:r>
      <w:r>
        <w:t xml:space="preserve">Det Europæiske Miljøagentur (EEA): Drivhusgasopgørelse for 2022 og tilnærmet EU-drivhusgasopgørelse for 2021 på grundlag af medlemsstaternes indberetninger. Noter: 1) Energisektoren henviser til el- og varmeproduktion og olieraffinering. 2) Industrien omfatter brændselsforbrænding inden for fremstillings- og bygge- og anlægsvirksomhed og emissioner i industriprocesser og produktanvendelse. 3) Bygninger omfatter emissioner fra energiforbrug i beboelsesejendomme og bygninger i tertiærsektoren og energiforbrug i landbrugs- og fiskerisektoren. </w:t>
      </w:r>
    </w:p>
  </w:footnote>
  <w:footnote w:id="13">
    <w:p w14:paraId="2F979E1F" w14:textId="7B698880" w:rsidR="00B454A5" w:rsidRPr="002D3C73" w:rsidRDefault="00B454A5" w:rsidP="00CC5080">
      <w:pPr>
        <w:pStyle w:val="FootnoteText"/>
        <w:ind w:left="567" w:hanging="567"/>
        <w:jc w:val="both"/>
      </w:pPr>
      <w:r>
        <w:rPr>
          <w:rStyle w:val="FootnoteReference"/>
        </w:rPr>
        <w:footnoteRef/>
      </w:r>
      <w:r w:rsidR="00CC5080">
        <w:rPr>
          <w:rFonts w:ascii="Times New Roman" w:hAnsi="Times New Roman"/>
          <w:sz w:val="18"/>
        </w:rPr>
        <w:tab/>
      </w:r>
      <w:r>
        <w:rPr>
          <w:rFonts w:ascii="Times New Roman" w:hAnsi="Times New Roman"/>
          <w:sz w:val="18"/>
        </w:rPr>
        <w:t xml:space="preserve">Baseret på drivhusgasopgørelsen for 2022 og en tilnærmet EU-drivhusgasopgørelse for 2021 på grundlag af medlemsstaternes indsendelser, internationale bunkers ikke medregnet. Det lineære forløb mod kulstofneutralitet senest i 2050 er i overensstemmelse med EU's mål om en emissionsreduktion på – 55 % inden 2030. </w:t>
      </w:r>
    </w:p>
  </w:footnote>
  <w:footnote w:id="14">
    <w:p w14:paraId="16838ED2" w14:textId="068C0B79" w:rsidR="00B454A5" w:rsidRDefault="00B454A5" w:rsidP="00CC5080">
      <w:pPr>
        <w:pStyle w:val="FootnoteText1"/>
        <w:ind w:left="567" w:hanging="567"/>
      </w:pPr>
      <w:r>
        <w:rPr>
          <w:vertAlign w:val="superscript"/>
        </w:rPr>
        <w:footnoteRef/>
      </w:r>
      <w:r w:rsidR="00CC5080">
        <w:tab/>
      </w:r>
      <w:r>
        <w:t>To tredjedele af klimapåvirkningen fra luftfarten er ikke-CO</w:t>
      </w:r>
      <w:r>
        <w:rPr>
          <w:vertAlign w:val="subscript"/>
        </w:rPr>
        <w:t>2</w:t>
      </w:r>
      <w:r>
        <w:t xml:space="preserve">-emissioner. Europa-Parlamentet og Rådet begyndte at overveje disse i "Fit for 55"-drøftelserne for at overvåge og afbøde disse kortlivede forurenende stoffer. </w:t>
      </w:r>
    </w:p>
  </w:footnote>
  <w:footnote w:id="15">
    <w:p w14:paraId="29D72001" w14:textId="42FBC12B" w:rsidR="00B454A5" w:rsidRPr="00CC7893" w:rsidRDefault="00B454A5" w:rsidP="00CC5080">
      <w:pPr>
        <w:pStyle w:val="FootnoteText"/>
        <w:ind w:left="567" w:hanging="567"/>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sidR="00CC5080">
        <w:rPr>
          <w:rFonts w:ascii="Times New Roman" w:hAnsi="Times New Roman"/>
          <w:sz w:val="18"/>
        </w:rPr>
        <w:tab/>
      </w:r>
      <w:r>
        <w:rPr>
          <w:rFonts w:ascii="Times New Roman" w:hAnsi="Times New Roman"/>
          <w:sz w:val="18"/>
        </w:rPr>
        <w:t>Forordning (EU) 2021/1119 ("Den europæiske klimalov" (EUT L 243 af 9.7.2021, s. 1).</w:t>
      </w:r>
    </w:p>
  </w:footnote>
  <w:footnote w:id="16">
    <w:p w14:paraId="3CF37D23" w14:textId="287FA458" w:rsidR="00B454A5" w:rsidRPr="00CC7893" w:rsidRDefault="00B454A5" w:rsidP="00CC5080">
      <w:pPr>
        <w:pStyle w:val="FootnoteText"/>
        <w:ind w:left="567" w:hanging="567"/>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sidR="00CC5080">
        <w:rPr>
          <w:rFonts w:ascii="Times New Roman" w:hAnsi="Times New Roman"/>
          <w:sz w:val="18"/>
        </w:rPr>
        <w:tab/>
      </w:r>
      <w:r>
        <w:rPr>
          <w:rFonts w:ascii="Times New Roman" w:hAnsi="Times New Roman"/>
          <w:sz w:val="18"/>
        </w:rPr>
        <w:t xml:space="preserve">Meddelelse fra Kommissionen om teknisk vejledning om klimasikring af infrastruktur i perioden 2021-2027 (2021/C 373/01, EUT C 373 af 16.9.2021, s. 1) om gennemførelse af artikel 5, stk. 5, i den europæiske klimalov.  </w:t>
      </w:r>
    </w:p>
  </w:footnote>
  <w:footnote w:id="17">
    <w:p w14:paraId="64147916" w14:textId="5484BCC9" w:rsidR="00B454A5" w:rsidRPr="00CC7893" w:rsidRDefault="00B454A5" w:rsidP="00CC5080">
      <w:pPr>
        <w:pStyle w:val="FootnoteText1"/>
        <w:ind w:left="567" w:hanging="567"/>
      </w:pPr>
      <w:r>
        <w:rPr>
          <w:rStyle w:val="FootnoteReference"/>
          <w:rFonts w:cs="Times New Roman"/>
        </w:rPr>
        <w:footnoteRef/>
      </w:r>
      <w:r w:rsidR="00CC5080">
        <w:tab/>
      </w:r>
      <w:r>
        <w:t>Meddelelse fra Kommissionen — Bedre regulering: Sammen om bedre lovgivning, retningslinjer for bedre regulering og værktøjskasse til bedre regulering af november 2021.</w:t>
      </w:r>
    </w:p>
  </w:footnote>
  <w:footnote w:id="18">
    <w:p w14:paraId="007624E0" w14:textId="55108F53" w:rsidR="00B454A5" w:rsidRPr="00CC7893" w:rsidRDefault="00B454A5" w:rsidP="00CC5080">
      <w:pPr>
        <w:pStyle w:val="FootnoteText1"/>
        <w:ind w:left="567" w:hanging="567"/>
      </w:pPr>
      <w:r>
        <w:rPr>
          <w:rStyle w:val="FootnoteReference"/>
          <w:rFonts w:cs="Times New Roman"/>
        </w:rPr>
        <w:footnoteRef/>
      </w:r>
      <w:r w:rsidR="00CC5080">
        <w:rPr>
          <w:rStyle w:val="footnotetextChar0"/>
        </w:rPr>
        <w:tab/>
      </w:r>
      <w:r>
        <w:rPr>
          <w:rStyle w:val="footnotetextChar0"/>
        </w:rPr>
        <w:t>I overensstemmelse med betingelserne i bilagene til Rådets gennemførelsesafgørelser om godkendelse af nationale genopretnings- og resiliensplaner.</w:t>
      </w:r>
      <w:r>
        <w:t xml:space="preserve"> </w:t>
      </w:r>
    </w:p>
  </w:footnote>
  <w:footnote w:id="19">
    <w:p w14:paraId="425B8229" w14:textId="34742427" w:rsidR="00A840B6" w:rsidRPr="001D41A3" w:rsidRDefault="00A840B6" w:rsidP="00CC5080">
      <w:pPr>
        <w:pStyle w:val="FootnoteText1"/>
        <w:ind w:left="567" w:hanging="567"/>
        <w:rPr>
          <w:lang w:val="en-US"/>
        </w:rPr>
      </w:pPr>
      <w:r>
        <w:rPr>
          <w:vertAlign w:val="superscript"/>
        </w:rPr>
        <w:footnoteRef/>
      </w:r>
      <w:r w:rsidR="00CC5080">
        <w:rPr>
          <w:lang w:val="en-US"/>
        </w:rPr>
        <w:tab/>
      </w:r>
      <w:r w:rsidRPr="001D41A3">
        <w:rPr>
          <w:lang w:val="en-US"/>
        </w:rPr>
        <w:t>COM(2022) 230 final</w:t>
      </w:r>
      <w:r w:rsidRPr="001D41A3">
        <w:rPr>
          <w:rFonts w:ascii="Segoe UI" w:hAnsi="Segoe UI"/>
          <w:color w:val="333333"/>
          <w:sz w:val="21"/>
          <w:shd w:val="clear" w:color="auto" w:fill="FFFFFF"/>
          <w:lang w:val="en-US"/>
        </w:rPr>
        <w:t xml:space="preserve">, </w:t>
      </w:r>
      <w:r w:rsidRPr="001D41A3">
        <w:rPr>
          <w:lang w:val="en-US"/>
        </w:rPr>
        <w:t>COM(2022) 240 final.</w:t>
      </w:r>
    </w:p>
  </w:footnote>
  <w:footnote w:id="20">
    <w:p w14:paraId="1F32AD2A" w14:textId="5CA13331" w:rsidR="00B454A5" w:rsidRPr="001D41A3" w:rsidRDefault="00B454A5" w:rsidP="00CC5080">
      <w:pPr>
        <w:pStyle w:val="FootnoteText1"/>
        <w:ind w:left="567" w:hanging="567"/>
        <w:rPr>
          <w:lang w:val="en-US"/>
        </w:rPr>
      </w:pPr>
      <w:r>
        <w:rPr>
          <w:vertAlign w:val="superscript"/>
        </w:rPr>
        <w:footnoteRef/>
      </w:r>
      <w:r w:rsidR="00CC5080">
        <w:rPr>
          <w:lang w:val="en-US"/>
        </w:rPr>
        <w:tab/>
      </w:r>
      <w:r w:rsidRPr="001D41A3">
        <w:rPr>
          <w:lang w:val="en-US"/>
        </w:rPr>
        <w:t>Direktiv 2009/28/EF.</w:t>
      </w:r>
    </w:p>
  </w:footnote>
  <w:footnote w:id="21">
    <w:p w14:paraId="5B3B7BCE" w14:textId="1C1085C5" w:rsidR="00295E2A" w:rsidRPr="001D41A3" w:rsidRDefault="00295E2A" w:rsidP="00CC5080">
      <w:pPr>
        <w:pStyle w:val="FootnoteText1"/>
        <w:ind w:left="567" w:hanging="567"/>
        <w:rPr>
          <w:lang w:val="en-US"/>
        </w:rPr>
      </w:pPr>
      <w:r>
        <w:rPr>
          <w:rStyle w:val="FootnoteReference"/>
        </w:rPr>
        <w:footnoteRef/>
      </w:r>
      <w:r w:rsidR="00CC5080">
        <w:rPr>
          <w:lang w:val="en-US"/>
        </w:rPr>
        <w:tab/>
      </w:r>
      <w:r w:rsidRPr="001D41A3">
        <w:rPr>
          <w:lang w:val="en-US"/>
        </w:rPr>
        <w:t>COM(2022) 360 final.</w:t>
      </w:r>
    </w:p>
  </w:footnote>
  <w:footnote w:id="22">
    <w:p w14:paraId="3FA95BE8" w14:textId="58C34198" w:rsidR="00295E2A" w:rsidRPr="001D41A3" w:rsidRDefault="00295E2A" w:rsidP="00CC5080">
      <w:pPr>
        <w:pStyle w:val="FootnoteText1"/>
        <w:ind w:left="567" w:hanging="567"/>
        <w:rPr>
          <w:lang w:val="en-US"/>
        </w:rPr>
      </w:pPr>
      <w:r>
        <w:rPr>
          <w:rStyle w:val="FootnoteReference"/>
        </w:rPr>
        <w:footnoteRef/>
      </w:r>
      <w:r w:rsidR="00CC5080">
        <w:rPr>
          <w:lang w:val="en-US"/>
        </w:rPr>
        <w:tab/>
      </w:r>
      <w:r w:rsidRPr="001D41A3">
        <w:rPr>
          <w:lang w:val="en-US"/>
        </w:rPr>
        <w:t>COM(2022) 361 final.</w:t>
      </w:r>
    </w:p>
  </w:footnote>
  <w:footnote w:id="23">
    <w:p w14:paraId="2435429D" w14:textId="0384A4A6" w:rsidR="00B454A5" w:rsidRPr="001D41A3" w:rsidRDefault="00B454A5" w:rsidP="00CC5080">
      <w:pPr>
        <w:pStyle w:val="FootnoteText"/>
        <w:ind w:left="567" w:hanging="567"/>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sidR="00CC5080">
        <w:rPr>
          <w:rFonts w:ascii="Times New Roman" w:hAnsi="Times New Roman"/>
          <w:sz w:val="18"/>
          <w:lang w:val="en-US"/>
        </w:rPr>
        <w:tab/>
      </w:r>
      <w:r w:rsidRPr="001D41A3">
        <w:rPr>
          <w:rFonts w:ascii="Times New Roman" w:hAnsi="Times New Roman"/>
          <w:sz w:val="18"/>
          <w:lang w:val="en-US"/>
        </w:rPr>
        <w:t>SWD (2021) 180 final.</w:t>
      </w:r>
    </w:p>
  </w:footnote>
  <w:footnote w:id="24">
    <w:p w14:paraId="2A49528F" w14:textId="57036029" w:rsidR="00B454A5" w:rsidRPr="001D41A3" w:rsidRDefault="00B454A5" w:rsidP="00CC5080">
      <w:pPr>
        <w:pStyle w:val="FootnoteText1"/>
        <w:ind w:left="567" w:hanging="567"/>
        <w:rPr>
          <w:lang w:val="en-US"/>
        </w:rPr>
      </w:pPr>
      <w:r>
        <w:rPr>
          <w:rStyle w:val="FootnoteReference"/>
        </w:rPr>
        <w:footnoteRef/>
      </w:r>
      <w:r w:rsidR="00CC5080" w:rsidRPr="00CC5080">
        <w:rPr>
          <w:lang w:val="en-US"/>
        </w:rPr>
        <w:tab/>
      </w:r>
      <w:hyperlink r:id="rId7" w:anchor="csrd" w:history="1">
        <w:r w:rsidRPr="001D41A3">
          <w:rPr>
            <w:rStyle w:val="Hyperlink"/>
            <w:lang w:val="en-US"/>
          </w:rPr>
          <w:t>https://ec.europa.eu/info/publications/210421-sustainable-finance-communication_en#csrd</w:t>
        </w:r>
      </w:hyperlink>
      <w:r w:rsidRPr="001D41A3">
        <w:rPr>
          <w:lang w:val="en-US"/>
        </w:rPr>
        <w:t xml:space="preserve">. </w:t>
      </w:r>
    </w:p>
  </w:footnote>
  <w:footnote w:id="25">
    <w:p w14:paraId="59F10367" w14:textId="01271232" w:rsidR="00B454A5" w:rsidRPr="001D41A3" w:rsidRDefault="00B454A5" w:rsidP="00CC5080">
      <w:pPr>
        <w:pStyle w:val="FootnoteText1"/>
        <w:ind w:left="567" w:hanging="567"/>
        <w:rPr>
          <w:lang w:val="en-US"/>
        </w:rPr>
      </w:pPr>
      <w:r>
        <w:rPr>
          <w:rStyle w:val="FootnoteReference"/>
        </w:rPr>
        <w:footnoteRef/>
      </w:r>
      <w:r w:rsidR="00CC5080" w:rsidRPr="00CC5080">
        <w:rPr>
          <w:lang w:val="en-US"/>
        </w:rPr>
        <w:tab/>
      </w:r>
      <w:hyperlink r:id="rId8" w:history="1">
        <w:r w:rsidRPr="001D41A3">
          <w:rPr>
            <w:rStyle w:val="Hyperlink"/>
            <w:lang w:val="en-US"/>
          </w:rPr>
          <w:t>https://eur-lex.europa.eu/legal-content/DA/TXT/?uri=CELEX%3A52022PC0071</w:t>
        </w:r>
      </w:hyperlink>
      <w:r w:rsidRPr="001D41A3">
        <w:rPr>
          <w:lang w:val="en-US"/>
        </w:rPr>
        <w:t xml:space="preserve">. </w:t>
      </w:r>
    </w:p>
  </w:footnote>
  <w:footnote w:id="26">
    <w:p w14:paraId="0E1C5CE3" w14:textId="77B3FD32" w:rsidR="00B454A5" w:rsidRPr="001D41A3" w:rsidRDefault="00B454A5" w:rsidP="00CC5080">
      <w:pPr>
        <w:pStyle w:val="FootnoteText1"/>
        <w:ind w:left="567" w:hanging="567"/>
        <w:rPr>
          <w:lang w:val="en-US"/>
        </w:rPr>
      </w:pPr>
      <w:r>
        <w:rPr>
          <w:rStyle w:val="FootnoteReference"/>
        </w:rPr>
        <w:footnoteRef/>
      </w:r>
      <w:r w:rsidR="00CC5080" w:rsidRPr="00CC5080">
        <w:rPr>
          <w:lang w:val="en-US"/>
        </w:rPr>
        <w:tab/>
      </w:r>
      <w:hyperlink r:id="rId9" w:history="1">
        <w:r w:rsidRPr="001D41A3">
          <w:rPr>
            <w:rStyle w:val="Hyperlink"/>
            <w:lang w:val="en-US"/>
          </w:rPr>
          <w:t>https://ec.europa.eu/info/publications/211027-banking-package_en</w:t>
        </w:r>
      </w:hyperlink>
      <w:r w:rsidRPr="001D41A3">
        <w:rPr>
          <w:lang w:val="en-US"/>
        </w:rPr>
        <w:t xml:space="preserve">. </w:t>
      </w:r>
    </w:p>
  </w:footnote>
  <w:footnote w:id="27">
    <w:p w14:paraId="71243B77" w14:textId="4A301E21" w:rsidR="00B454A5" w:rsidRPr="001D41A3" w:rsidRDefault="00B454A5" w:rsidP="00CC5080">
      <w:pPr>
        <w:pStyle w:val="FootnoteText1"/>
        <w:ind w:left="567" w:hanging="567"/>
        <w:rPr>
          <w:lang w:val="en-US"/>
        </w:rPr>
      </w:pPr>
      <w:r>
        <w:rPr>
          <w:rStyle w:val="FootnoteReference"/>
        </w:rPr>
        <w:footnoteRef/>
      </w:r>
      <w:r w:rsidR="00CC5080" w:rsidRPr="00CC5080">
        <w:rPr>
          <w:lang w:val="en-US"/>
        </w:rPr>
        <w:tab/>
      </w:r>
      <w:hyperlink r:id="rId10" w:history="1">
        <w:r w:rsidRPr="001D41A3">
          <w:rPr>
            <w:rStyle w:val="Hyperlink"/>
            <w:lang w:val="en-US"/>
          </w:rPr>
          <w:t>https://ec.europa.eu/info/publications/210922-solvency-2-communication_en</w:t>
        </w:r>
      </w:hyperlink>
      <w:r w:rsidRPr="001D41A3">
        <w:rPr>
          <w:lang w:val="en-US"/>
        </w:rPr>
        <w:t xml:space="preserve">. </w:t>
      </w:r>
    </w:p>
  </w:footnote>
  <w:footnote w:id="28">
    <w:p w14:paraId="160A3D9E" w14:textId="147C2465" w:rsidR="00B454A5" w:rsidRPr="00547BCF" w:rsidRDefault="00B454A5" w:rsidP="00CC5080">
      <w:pPr>
        <w:pStyle w:val="FootnoteText1"/>
        <w:ind w:left="567" w:hanging="567"/>
        <w:rPr>
          <w:rFonts w:cs="Times New Roman"/>
        </w:rPr>
      </w:pPr>
      <w:r>
        <w:rPr>
          <w:rStyle w:val="FootnoteReference"/>
          <w:rFonts w:cs="Times New Roman"/>
        </w:rPr>
        <w:footnoteRef/>
      </w:r>
      <w:r w:rsidR="00CC5080">
        <w:tab/>
      </w:r>
      <w:r>
        <w:t xml:space="preserve">Forordning (EU) 2020/852 og delegeret forordning (EU) 2022/1214. </w:t>
      </w:r>
    </w:p>
  </w:footnote>
  <w:footnote w:id="29">
    <w:p w14:paraId="2CE7556A" w14:textId="3D157C04" w:rsidR="004929D5" w:rsidRPr="004929D5" w:rsidRDefault="00B454A5" w:rsidP="00CC5080">
      <w:pPr>
        <w:pStyle w:val="FootnoteText1"/>
        <w:ind w:left="567" w:hanging="567"/>
      </w:pPr>
      <w:r>
        <w:rPr>
          <w:rStyle w:val="FootnoteReference"/>
        </w:rPr>
        <w:footnoteRef/>
      </w:r>
      <w:r w:rsidR="00CC5080">
        <w:tab/>
      </w:r>
      <w:hyperlink r:id="rId11" w:history="1">
        <w:r>
          <w:rPr>
            <w:rStyle w:val="Hyperlink"/>
          </w:rPr>
          <w:t>https://ec.europa.eu/info/consultations/finance-2022-esg-ratings_en</w:t>
        </w:r>
      </w:hyperlink>
      <w:r>
        <w:t>.</w:t>
      </w:r>
    </w:p>
  </w:footnote>
  <w:footnote w:id="30">
    <w:p w14:paraId="3F3396FA" w14:textId="6EAAAE21" w:rsidR="00B454A5" w:rsidRPr="0083124D" w:rsidRDefault="00B454A5" w:rsidP="00CC5080">
      <w:pPr>
        <w:pStyle w:val="FootnoteText1"/>
        <w:ind w:left="567" w:hanging="567"/>
      </w:pPr>
      <w:r>
        <w:rPr>
          <w:rStyle w:val="FootnoteReference"/>
        </w:rPr>
        <w:footnoteRef/>
      </w:r>
      <w:r w:rsidR="00CC5080">
        <w:tab/>
      </w:r>
      <w:hyperlink r:id="rId12" w:history="1">
        <w:r>
          <w:rPr>
            <w:rStyle w:val="Hyperlink"/>
          </w:rPr>
          <w:t>https://ec.europa.eu/info/law/better-regulation/have-your-say/initiatives/13188-EU-banking-sector-review-of-macroprudential-rules-to-limit-systemic-risk_da</w:t>
        </w:r>
      </w:hyperlink>
      <w:r>
        <w:t>.</w:t>
      </w:r>
    </w:p>
  </w:footnote>
  <w:footnote w:id="31">
    <w:p w14:paraId="4815FBBF" w14:textId="119280A8" w:rsidR="007A7A16" w:rsidRDefault="007A7A16" w:rsidP="00CC5080">
      <w:pPr>
        <w:pStyle w:val="FootnoteText"/>
        <w:ind w:left="567" w:hanging="567"/>
      </w:pPr>
      <w:r>
        <w:rPr>
          <w:rStyle w:val="FootnoteReference"/>
        </w:rPr>
        <w:footnoteRef/>
      </w:r>
      <w:r w:rsidR="00CC5080">
        <w:rPr>
          <w:rFonts w:ascii="Times New Roman" w:hAnsi="Times New Roman"/>
          <w:sz w:val="18"/>
        </w:rPr>
        <w:tab/>
      </w:r>
      <w:r>
        <w:rPr>
          <w:rFonts w:ascii="Times New Roman" w:hAnsi="Times New Roman"/>
          <w:sz w:val="18"/>
        </w:rPr>
        <w:t>Rådets henstilling 2022/C 243/04.</w:t>
      </w:r>
    </w:p>
  </w:footnote>
  <w:footnote w:id="32">
    <w:p w14:paraId="0E67AFA6" w14:textId="153C19D0" w:rsidR="007A7A16" w:rsidRDefault="007A7A16" w:rsidP="00CC5080">
      <w:pPr>
        <w:pStyle w:val="FootnoteText"/>
        <w:ind w:left="567" w:hanging="567"/>
      </w:pPr>
      <w:r>
        <w:rPr>
          <w:rStyle w:val="FootnoteReference"/>
        </w:rPr>
        <w:footnoteRef/>
      </w:r>
      <w:r w:rsidR="00CC5080">
        <w:rPr>
          <w:rFonts w:ascii="Times New Roman" w:hAnsi="Times New Roman"/>
          <w:sz w:val="18"/>
        </w:rPr>
        <w:tab/>
      </w:r>
      <w:r>
        <w:rPr>
          <w:rFonts w:ascii="Times New Roman" w:hAnsi="Times New Roman"/>
          <w:sz w:val="18"/>
        </w:rPr>
        <w:t xml:space="preserve">Gennemførelsen vil blive overvåget gennem de nationale energi- og klimaplaner. </w:t>
      </w:r>
    </w:p>
  </w:footnote>
  <w:footnote w:id="33">
    <w:p w14:paraId="29F50546" w14:textId="067C7F3C" w:rsidR="00723D78" w:rsidRPr="001D41A3" w:rsidRDefault="00723D78" w:rsidP="00CC5080">
      <w:pPr>
        <w:pStyle w:val="FootnoteText"/>
        <w:ind w:left="567" w:hanging="567"/>
        <w:rPr>
          <w:lang w:val="en-US"/>
        </w:rPr>
      </w:pPr>
      <w:r>
        <w:rPr>
          <w:rStyle w:val="FootnoteReference"/>
        </w:rPr>
        <w:footnoteRef/>
      </w:r>
      <w:r w:rsidR="00CC5080">
        <w:rPr>
          <w:rFonts w:ascii="Times New Roman" w:hAnsi="Times New Roman"/>
          <w:sz w:val="18"/>
          <w:lang w:val="en-US"/>
        </w:rPr>
        <w:tab/>
      </w:r>
      <w:r w:rsidRPr="001D41A3">
        <w:rPr>
          <w:rFonts w:ascii="Times New Roman" w:hAnsi="Times New Roman"/>
          <w:sz w:val="18"/>
          <w:lang w:val="en-US"/>
        </w:rPr>
        <w:t>COM(2021) 801 final.</w:t>
      </w:r>
    </w:p>
  </w:footnote>
  <w:footnote w:id="34">
    <w:p w14:paraId="6360D1A8" w14:textId="60183B47" w:rsidR="00B454A5" w:rsidRPr="001D41A3" w:rsidRDefault="00B454A5" w:rsidP="00CC5080">
      <w:pPr>
        <w:pStyle w:val="FootnoteText1"/>
        <w:ind w:left="567" w:hanging="567"/>
        <w:rPr>
          <w:lang w:val="en-US"/>
        </w:rPr>
      </w:pPr>
      <w:r>
        <w:rPr>
          <w:rStyle w:val="FootnoteReference"/>
        </w:rPr>
        <w:footnoteRef/>
      </w:r>
      <w:r w:rsidR="00CC5080" w:rsidRPr="00CC5080">
        <w:rPr>
          <w:lang w:val="en-GB"/>
        </w:rPr>
        <w:tab/>
      </w:r>
      <w:hyperlink r:id="rId13" w:history="1">
        <w:r w:rsidRPr="001D41A3">
          <w:rPr>
            <w:rStyle w:val="Hyperlink"/>
            <w:lang w:val="en-US"/>
          </w:rPr>
          <w:t>https://europa.eu/climate-pact/index_da</w:t>
        </w:r>
      </w:hyperlink>
      <w:r w:rsidRPr="001D41A3">
        <w:rPr>
          <w:lang w:val="en-US"/>
        </w:rPr>
        <w:t xml:space="preserve">. </w:t>
      </w:r>
    </w:p>
  </w:footnote>
  <w:footnote w:id="35">
    <w:p w14:paraId="145800B0" w14:textId="69764A30" w:rsidR="00B454A5" w:rsidRPr="001D41A3" w:rsidRDefault="00B454A5" w:rsidP="00CC5080">
      <w:pPr>
        <w:pStyle w:val="FootnoteText1"/>
        <w:ind w:left="567" w:hanging="567"/>
        <w:rPr>
          <w:lang w:val="en-US"/>
        </w:rPr>
      </w:pPr>
      <w:r>
        <w:rPr>
          <w:rStyle w:val="FootnoteReference"/>
        </w:rPr>
        <w:footnoteRef/>
      </w:r>
      <w:r w:rsidR="00CC5080" w:rsidRPr="00CC5080">
        <w:rPr>
          <w:lang w:val="en-US"/>
        </w:rPr>
        <w:tab/>
      </w:r>
      <w:hyperlink r:id="rId14" w:history="1">
        <w:r w:rsidRPr="001D41A3">
          <w:rPr>
            <w:rStyle w:val="Hyperlink"/>
            <w:lang w:val="en-US"/>
          </w:rPr>
          <w:t>https://europa.eu/climate-pact/pledges/individual-pledging_da</w:t>
        </w:r>
      </w:hyperlink>
      <w:r w:rsidRPr="001D41A3">
        <w:rPr>
          <w:lang w:val="en-US"/>
        </w:rPr>
        <w:t xml:space="preserve">. </w:t>
      </w:r>
    </w:p>
  </w:footnote>
  <w:footnote w:id="36">
    <w:p w14:paraId="5D623AB8" w14:textId="7D9074E2" w:rsidR="00547BCF" w:rsidRPr="003C0C2B" w:rsidRDefault="00547BCF" w:rsidP="00CC5080">
      <w:pPr>
        <w:pStyle w:val="FootnoteText1"/>
        <w:ind w:left="567" w:hanging="567"/>
      </w:pPr>
      <w:r>
        <w:rPr>
          <w:rStyle w:val="FootnoteReference"/>
        </w:rPr>
        <w:footnoteRef/>
      </w:r>
      <w:r w:rsidR="00CC5080">
        <w:tab/>
      </w:r>
      <w:r>
        <w:t>https://netzerocities.eu/</w:t>
      </w:r>
    </w:p>
  </w:footnote>
  <w:footnote w:id="37">
    <w:p w14:paraId="20148269" w14:textId="0F4B813B" w:rsidR="00B454A5" w:rsidRPr="00F26D4C" w:rsidRDefault="00B454A5" w:rsidP="00CC5080">
      <w:pPr>
        <w:pStyle w:val="FootnoteText1"/>
        <w:ind w:left="567" w:hanging="567"/>
      </w:pPr>
      <w:r>
        <w:rPr>
          <w:rStyle w:val="FootnoteReference"/>
        </w:rPr>
        <w:footnoteRef/>
      </w:r>
      <w:r w:rsidR="00CC5080">
        <w:tab/>
      </w:r>
      <w:r>
        <w:t xml:space="preserve">Ajourføring, der afspejler Det Forenede Kongeriges udtræden af EU og ETS. </w:t>
      </w:r>
    </w:p>
  </w:footnote>
  <w:footnote w:id="38">
    <w:p w14:paraId="378FAA3A" w14:textId="0402872E" w:rsidR="00B454A5" w:rsidRPr="0087720C" w:rsidRDefault="00B454A5" w:rsidP="00CC5080">
      <w:pPr>
        <w:pStyle w:val="FootnoteText1"/>
        <w:ind w:left="567" w:hanging="567"/>
      </w:pPr>
      <w:r>
        <w:rPr>
          <w:rStyle w:val="FootnoteReference"/>
        </w:rPr>
        <w:footnoteRef/>
      </w:r>
      <w:r w:rsidR="00CC5080">
        <w:tab/>
      </w:r>
      <w:r>
        <w:t>Fra 2021 indgår Det Forenede Kongerige ikke længere i EU ETS. Sammenligningen med 2020 justeres i overensstemmelse hermed.</w:t>
      </w:r>
    </w:p>
  </w:footnote>
  <w:footnote w:id="39">
    <w:p w14:paraId="58BB8CE6" w14:textId="634159D0" w:rsidR="00B454A5" w:rsidRPr="00086B4E" w:rsidRDefault="00B454A5" w:rsidP="00CC5080">
      <w:pPr>
        <w:pStyle w:val="FootnoteText1"/>
        <w:ind w:left="567" w:hanging="567"/>
      </w:pPr>
      <w:r>
        <w:rPr>
          <w:vertAlign w:val="superscript"/>
        </w:rPr>
        <w:footnoteRef/>
      </w:r>
      <w:r w:rsidR="00CC5080">
        <w:tab/>
      </w:r>
      <w:r>
        <w:t>Sammenligning med justerede verificerede emissioner for 2020 og 2019, herunder kun udgående flyvninger til Det Forenede Kongerige og 0,3 mio. ton CO</w:t>
      </w:r>
      <w:r>
        <w:rPr>
          <w:vertAlign w:val="subscript"/>
        </w:rPr>
        <w:t>2</w:t>
      </w:r>
      <w:r>
        <w:t xml:space="preserve">-ækvivalenter under det schweiziske emissionshandelssystem. </w:t>
      </w:r>
    </w:p>
  </w:footnote>
  <w:footnote w:id="40">
    <w:p w14:paraId="47DE7927" w14:textId="774E36B9" w:rsidR="00B454A5" w:rsidRPr="007F635A" w:rsidRDefault="00B454A5" w:rsidP="00CC5080">
      <w:pPr>
        <w:pStyle w:val="FootnoteText1"/>
        <w:ind w:left="567" w:hanging="567"/>
      </w:pPr>
      <w:r>
        <w:rPr>
          <w:rStyle w:val="FootnoteReference"/>
        </w:rPr>
        <w:footnoteRef/>
      </w:r>
      <w:r w:rsidR="00CC5080">
        <w:tab/>
      </w:r>
      <w:r>
        <w:t xml:space="preserve">EU-27 + EØS-landene. </w:t>
      </w:r>
    </w:p>
  </w:footnote>
  <w:footnote w:id="41">
    <w:p w14:paraId="5554991D" w14:textId="6D2703E3" w:rsidR="007F635A" w:rsidRPr="00470577" w:rsidRDefault="007F635A" w:rsidP="00CC5080">
      <w:pPr>
        <w:pStyle w:val="FootnoteText1"/>
        <w:ind w:left="567" w:hanging="567"/>
      </w:pPr>
      <w:r>
        <w:rPr>
          <w:rStyle w:val="FootnoteReference"/>
        </w:rPr>
        <w:footnoteRef/>
      </w:r>
      <w:r w:rsidR="00CC5080">
        <w:tab/>
      </w:r>
      <w:r>
        <w:t xml:space="preserve">De resterende 24 % anvendes ikke nødvendigvis til andre formål. En del anvendes i de senere år eller går til et generelt budget, der anvendes til flere formål, herunder klimaændringer og energi. </w:t>
      </w:r>
    </w:p>
  </w:footnote>
  <w:footnote w:id="42">
    <w:p w14:paraId="3C77B7AF" w14:textId="32E09511" w:rsidR="002E2192" w:rsidRPr="00F7342E" w:rsidRDefault="002E2192" w:rsidP="00CC5080">
      <w:pPr>
        <w:pStyle w:val="FootnoteText1"/>
        <w:ind w:left="567" w:hanging="567"/>
      </w:pPr>
      <w:r>
        <w:rPr>
          <w:rStyle w:val="FootnoteReference"/>
        </w:rPr>
        <w:footnoteRef/>
      </w:r>
      <w:r w:rsidR="00CC5080">
        <w:tab/>
      </w:r>
      <w:r>
        <w:t>Forordning (EU) 2015/757.</w:t>
      </w:r>
    </w:p>
  </w:footnote>
  <w:footnote w:id="43">
    <w:p w14:paraId="5D26646E" w14:textId="7DB02FF1" w:rsidR="00610987" w:rsidRPr="00610987" w:rsidRDefault="00610987" w:rsidP="00CC5080">
      <w:pPr>
        <w:pStyle w:val="FootnoteText1"/>
        <w:ind w:left="567" w:hanging="567"/>
      </w:pPr>
      <w:r>
        <w:rPr>
          <w:rStyle w:val="FootnoteReference"/>
        </w:rPr>
        <w:footnoteRef/>
      </w:r>
      <w:r w:rsidR="00CC5080">
        <w:tab/>
      </w:r>
      <w:r>
        <w:t>COM(2021) 660 final.</w:t>
      </w:r>
    </w:p>
  </w:footnote>
  <w:footnote w:id="44">
    <w:p w14:paraId="05119B43" w14:textId="5D3260B3" w:rsidR="00610987" w:rsidRPr="00610987" w:rsidRDefault="00610987" w:rsidP="00CC5080">
      <w:pPr>
        <w:pStyle w:val="FootnoteText1"/>
        <w:ind w:left="567" w:hanging="567"/>
      </w:pPr>
      <w:r>
        <w:rPr>
          <w:rStyle w:val="FootnoteReference"/>
        </w:rPr>
        <w:footnoteRef/>
      </w:r>
      <w:r w:rsidR="00CC5080">
        <w:tab/>
      </w:r>
      <w:r>
        <w:t>https://www.esma.europa.eu/press-news/esma-news/esma-publishes-its-final-report-eu-carbon-market</w:t>
      </w:r>
    </w:p>
  </w:footnote>
  <w:footnote w:id="45">
    <w:p w14:paraId="3A291508" w14:textId="10854EFB" w:rsidR="00610987" w:rsidRPr="00946C84" w:rsidRDefault="00610987" w:rsidP="00CC5080">
      <w:pPr>
        <w:pStyle w:val="FootnoteText1"/>
        <w:ind w:left="567" w:hanging="567"/>
      </w:pPr>
      <w:r>
        <w:rPr>
          <w:rStyle w:val="FootnoteReference"/>
        </w:rPr>
        <w:footnoteRef/>
      </w:r>
      <w:r w:rsidR="00CC5080">
        <w:tab/>
      </w:r>
      <w:r>
        <w:t>COM(2022) 516.</w:t>
      </w:r>
    </w:p>
  </w:footnote>
  <w:footnote w:id="46">
    <w:p w14:paraId="5BBF15C9" w14:textId="3D78F68D" w:rsidR="00363119" w:rsidRPr="00250D9B" w:rsidRDefault="00363119" w:rsidP="00CC5080">
      <w:pPr>
        <w:pStyle w:val="FootnoteText"/>
        <w:ind w:left="567" w:hanging="567"/>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sidR="00CC5080">
        <w:rPr>
          <w:rFonts w:ascii="Times New Roman" w:hAnsi="Times New Roman"/>
          <w:sz w:val="18"/>
        </w:rPr>
        <w:tab/>
      </w:r>
      <w:r>
        <w:rPr>
          <w:rFonts w:ascii="Times New Roman" w:hAnsi="Times New Roman"/>
          <w:sz w:val="18"/>
        </w:rPr>
        <w:t>Europa-Parlamentets og Rådets beslutning nr. 406/2009/EF.</w:t>
      </w:r>
    </w:p>
  </w:footnote>
  <w:footnote w:id="47">
    <w:p w14:paraId="042AED89" w14:textId="7EA5B752" w:rsidR="0018473E" w:rsidRPr="00715B28" w:rsidRDefault="0018473E" w:rsidP="00CC5080">
      <w:pPr>
        <w:pStyle w:val="FootnoteText"/>
        <w:ind w:left="567" w:hanging="567"/>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sidR="00CC5080">
        <w:rPr>
          <w:rFonts w:ascii="Times New Roman" w:hAnsi="Times New Roman"/>
          <w:sz w:val="18"/>
        </w:rPr>
        <w:tab/>
      </w:r>
      <w:r>
        <w:rPr>
          <w:rFonts w:ascii="Times New Roman" w:hAnsi="Times New Roman"/>
          <w:sz w:val="18"/>
        </w:rPr>
        <w:t>Fra fremskrivninger, som medlemsstaterne har indberettet i henhold til forordning (EU) 2018/1999, og som EEA har indsamlet og kontrolleret. Tallene omfatter kun EU-27.</w:t>
      </w:r>
    </w:p>
  </w:footnote>
  <w:footnote w:id="48">
    <w:p w14:paraId="5395EA97" w14:textId="0EC4E74D" w:rsidR="00B454A5" w:rsidRPr="00715B28" w:rsidRDefault="00B454A5" w:rsidP="00CC5080">
      <w:pPr>
        <w:pStyle w:val="FootnoteText"/>
        <w:ind w:left="567" w:hanging="567"/>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sidR="00CC5080">
        <w:rPr>
          <w:rFonts w:ascii="Times New Roman" w:hAnsi="Times New Roman"/>
          <w:sz w:val="18"/>
        </w:rPr>
        <w:tab/>
      </w:r>
      <w:r>
        <w:rPr>
          <w:rFonts w:ascii="Times New Roman" w:hAnsi="Times New Roman"/>
          <w:sz w:val="18"/>
        </w:rPr>
        <w:t>På grundlag af fremskrivninger, som medlemsstaterne har indberettet i henhold til forordning (EU) 2018/1999, og som EEA har indsamlet og kontrolleret. Indtil 2020 omfatter tallene kun EU-27, og fra 2021 omfatter de også Island og Norge.</w:t>
      </w:r>
    </w:p>
  </w:footnote>
  <w:footnote w:id="49">
    <w:p w14:paraId="3109BD92" w14:textId="533A17DC" w:rsidR="00B454A5" w:rsidRPr="00715B28" w:rsidRDefault="00B454A5" w:rsidP="00CC5080">
      <w:pPr>
        <w:pStyle w:val="FootnoteText"/>
        <w:ind w:left="567" w:hanging="567"/>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sidR="00CC5080">
        <w:rPr>
          <w:rFonts w:ascii="Times New Roman" w:hAnsi="Times New Roman"/>
          <w:sz w:val="18"/>
        </w:rPr>
        <w:tab/>
      </w:r>
      <w:r>
        <w:rPr>
          <w:rFonts w:ascii="Times New Roman" w:hAnsi="Times New Roman"/>
          <w:sz w:val="18"/>
        </w:rPr>
        <w:t>Forordning (EU) 2018/842.</w:t>
      </w:r>
    </w:p>
  </w:footnote>
  <w:footnote w:id="50">
    <w:p w14:paraId="11776AE1" w14:textId="3E1F7458" w:rsidR="0018473E" w:rsidRPr="00327AD9" w:rsidRDefault="0018473E" w:rsidP="00CC5080">
      <w:pPr>
        <w:pStyle w:val="FootnoteText1"/>
        <w:ind w:left="567" w:hanging="567"/>
      </w:pPr>
      <w:r>
        <w:rPr>
          <w:rStyle w:val="FootnoteReference"/>
        </w:rPr>
        <w:footnoteRef/>
      </w:r>
      <w:r w:rsidR="00CC5080">
        <w:tab/>
      </w:r>
      <w:r>
        <w:t>Forordningen om indsatsfordeling giver ikke længere medlemsstaterne mulighed for at anvende internationale kreditter til at nå deres mål, men de kan udligne en del af deres drivhusgasemissioner i indsatsfordelingssektorer med nettooptag i LULUCF-sektoren og, for nogle medlemsstaters vedkommende, ved at annullere kvoter i det eksisterende EU ETS.</w:t>
      </w:r>
    </w:p>
  </w:footnote>
  <w:footnote w:id="51">
    <w:p w14:paraId="39557CC5" w14:textId="7B891DBD" w:rsidR="00B454A5" w:rsidRPr="00715B28" w:rsidRDefault="00B454A5" w:rsidP="00CC5080">
      <w:pPr>
        <w:pStyle w:val="FootnoteText"/>
        <w:ind w:left="567" w:hanging="567"/>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sidR="00CC5080">
        <w:rPr>
          <w:rFonts w:ascii="Times New Roman" w:hAnsi="Times New Roman"/>
          <w:sz w:val="18"/>
        </w:rPr>
        <w:tab/>
      </w:r>
      <w:r>
        <w:rPr>
          <w:rFonts w:ascii="Times New Roman" w:hAnsi="Times New Roman"/>
          <w:sz w:val="18"/>
        </w:rPr>
        <w:t>Artikel 14 i forordning (EU) 2018/1999.</w:t>
      </w:r>
    </w:p>
  </w:footnote>
  <w:footnote w:id="52">
    <w:p w14:paraId="1FA06A35" w14:textId="4EBB13CA" w:rsidR="00B454A5" w:rsidRPr="00884F35" w:rsidRDefault="00B454A5" w:rsidP="00CC5080">
      <w:pPr>
        <w:pStyle w:val="FootnoteText"/>
        <w:ind w:left="567" w:hanging="567"/>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sidR="00CC5080">
        <w:rPr>
          <w:rFonts w:ascii="Times New Roman" w:hAnsi="Times New Roman"/>
          <w:sz w:val="18"/>
        </w:rPr>
        <w:tab/>
      </w:r>
      <w:r>
        <w:rPr>
          <w:rFonts w:ascii="Times New Roman" w:hAnsi="Times New Roman"/>
          <w:sz w:val="18"/>
        </w:rPr>
        <w:t>Medlemsstaterne indsendte deres emissionsfremskrivninger frem til marts 2021. Danmark, Irland, Letland og Island indsendte ajourførte rapporter i 2022, fordi der var foretaget væsentlige ændringer. EEA har udfyldt manglende "fremskrivninger med yderligere foranstaltninger" med "fremskrivninger med eksisterende foranstaltninger". De oprindelige data har forskellige parametre, som en konvertering tilnærmelsesvis korrigerer. Forskellene vises kun til illustration her. Yderligere oplysninger findes i bilaget.</w:t>
      </w:r>
    </w:p>
  </w:footnote>
  <w:footnote w:id="53">
    <w:p w14:paraId="7B100320" w14:textId="4C865A29" w:rsidR="00B454A5" w:rsidRDefault="00B454A5" w:rsidP="00CC5080">
      <w:pPr>
        <w:pStyle w:val="FootnoteText1"/>
        <w:ind w:left="567" w:hanging="567"/>
        <w:rPr>
          <w:rFonts w:eastAsia="Calibri"/>
        </w:rPr>
      </w:pPr>
      <w:r>
        <w:rPr>
          <w:rStyle w:val="FootnoteReference"/>
          <w:sz w:val="20"/>
          <w:szCs w:val="20"/>
        </w:rPr>
        <w:footnoteRef/>
      </w:r>
      <w:r w:rsidR="00CC5080">
        <w:tab/>
      </w:r>
      <w:r>
        <w:t>Globalt harmoniseret prøvningsprocedure for lette køretøjer.</w:t>
      </w:r>
    </w:p>
  </w:footnote>
  <w:footnote w:id="54">
    <w:p w14:paraId="42413FC4" w14:textId="6D15A7A8" w:rsidR="00B454A5" w:rsidRDefault="00B454A5" w:rsidP="00CC5080">
      <w:pPr>
        <w:pStyle w:val="FootnoteText1"/>
        <w:ind w:left="567" w:hanging="567"/>
      </w:pPr>
      <w:r>
        <w:rPr>
          <w:rStyle w:val="FootnoteReference"/>
          <w:sz w:val="20"/>
          <w:szCs w:val="20"/>
        </w:rPr>
        <w:footnoteRef/>
      </w:r>
      <w:r w:rsidR="00CC5080">
        <w:tab/>
      </w:r>
      <w:r>
        <w:t>Ny europæisk prøvningsprocedure for kørecyklus.</w:t>
      </w:r>
    </w:p>
  </w:footnote>
  <w:footnote w:id="55">
    <w:p w14:paraId="19F96C83" w14:textId="2E6FA95A" w:rsidR="00B454A5" w:rsidRPr="00CE5EBD" w:rsidRDefault="00B454A5" w:rsidP="00CC5080">
      <w:pPr>
        <w:pStyle w:val="FootnoteText1"/>
        <w:ind w:left="567" w:hanging="567"/>
      </w:pPr>
      <w:r>
        <w:rPr>
          <w:rStyle w:val="FootnoteReference"/>
        </w:rPr>
        <w:footnoteRef/>
      </w:r>
      <w:r w:rsidR="00CC5080">
        <w:tab/>
      </w:r>
      <w:r>
        <w:t>Overvågning af CO</w:t>
      </w:r>
      <w:r>
        <w:rPr>
          <w:vertAlign w:val="subscript"/>
        </w:rPr>
        <w:t>2</w:t>
      </w:r>
      <w:r>
        <w:t>-emissioner fra personbiler og varevogne — forordning (EU) 2019/631, Offentliggjort af EEA.</w:t>
      </w:r>
    </w:p>
  </w:footnote>
  <w:footnote w:id="56">
    <w:p w14:paraId="72181A3C" w14:textId="15596E1E" w:rsidR="00B454A5" w:rsidRPr="005B60C5" w:rsidRDefault="00B454A5" w:rsidP="00CC5080">
      <w:pPr>
        <w:pStyle w:val="FootnoteText"/>
        <w:ind w:left="567" w:hanging="567"/>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sidR="00CC5080">
        <w:rPr>
          <w:rFonts w:ascii="Times New Roman" w:hAnsi="Times New Roman"/>
          <w:sz w:val="18"/>
        </w:rPr>
        <w:tab/>
      </w:r>
      <w:r>
        <w:rPr>
          <w:rFonts w:ascii="Times New Roman" w:hAnsi="Times New Roman"/>
          <w:sz w:val="18"/>
        </w:rPr>
        <w:t xml:space="preserve">Det, der er afgørende for at nå Kyoto-målene, er ikke de absolutte mængder optag eller emissioner, men ændringerne i optag og emissioner i forhold til et benchmark og et bestemt referenceår som fastsat i regnskabsreglerne. </w:t>
      </w:r>
    </w:p>
  </w:footnote>
  <w:footnote w:id="57">
    <w:p w14:paraId="21B375C5" w14:textId="7F63C39B" w:rsidR="00B454A5" w:rsidRPr="005B60C5" w:rsidRDefault="00B454A5" w:rsidP="00CC5080">
      <w:pPr>
        <w:pStyle w:val="FootnoteText"/>
        <w:ind w:left="567" w:hanging="567"/>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sidR="00CC5080">
        <w:rPr>
          <w:rFonts w:ascii="Times New Roman" w:hAnsi="Times New Roman"/>
          <w:sz w:val="18"/>
        </w:rPr>
        <w:tab/>
      </w:r>
      <w:r>
        <w:rPr>
          <w:rFonts w:ascii="Times New Roman" w:hAnsi="Times New Roman"/>
          <w:sz w:val="18"/>
        </w:rPr>
        <w:t>Indberettede emissioner og optag fra LULUCF i henhold til Kyotoprotokollen er baseret på specifikke aktiviteter og er ikke de samme som landbaserede emissioner og optag fra LULUCF under UNFCCC-konventionens opgørelse.</w:t>
      </w:r>
    </w:p>
  </w:footnote>
  <w:footnote w:id="58">
    <w:p w14:paraId="7CB9D7B6" w14:textId="173C4D4B" w:rsidR="00B454A5" w:rsidRPr="005B60C5" w:rsidRDefault="00B454A5" w:rsidP="00CC5080">
      <w:pPr>
        <w:pStyle w:val="FootnoteText"/>
        <w:ind w:left="567" w:hanging="567"/>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sidR="00CC5080">
        <w:rPr>
          <w:rFonts w:ascii="Times New Roman" w:hAnsi="Times New Roman"/>
          <w:sz w:val="18"/>
        </w:rPr>
        <w:tab/>
      </w:r>
      <w:r>
        <w:rPr>
          <w:rFonts w:ascii="Times New Roman" w:hAnsi="Times New Roman"/>
          <w:sz w:val="18"/>
        </w:rPr>
        <w:t>Der konstateres tilsvarende mønstre for regnskabsføring og rapportering i tidsserierne for rapporterede emissioner og optag for EU, idet forskellene skyldes den måde, regnskabsreglerne anvendes på.</w:t>
      </w:r>
    </w:p>
  </w:footnote>
  <w:footnote w:id="59">
    <w:p w14:paraId="00955676" w14:textId="4B882ECB" w:rsidR="00B454A5" w:rsidRPr="00C175B2" w:rsidRDefault="00B454A5" w:rsidP="00CC5080">
      <w:pPr>
        <w:pStyle w:val="FootnoteText"/>
        <w:ind w:left="567" w:hanging="567"/>
        <w:jc w:val="both"/>
        <w:rPr>
          <w:sz w:val="18"/>
          <w:szCs w:val="18"/>
        </w:rPr>
      </w:pPr>
      <w:r>
        <w:rPr>
          <w:rStyle w:val="FootnoteReference"/>
          <w:rFonts w:ascii="Times New Roman" w:hAnsi="Times New Roman" w:cs="Times New Roman"/>
          <w:sz w:val="18"/>
          <w:szCs w:val="18"/>
        </w:rPr>
        <w:footnoteRef/>
      </w:r>
      <w:r w:rsidR="00CC5080">
        <w:rPr>
          <w:rFonts w:ascii="Times New Roman" w:hAnsi="Times New Roman"/>
          <w:sz w:val="18"/>
        </w:rPr>
        <w:tab/>
      </w:r>
      <w:r>
        <w:rPr>
          <w:rFonts w:ascii="Times New Roman" w:hAnsi="Times New Roman"/>
          <w:sz w:val="18"/>
        </w:rPr>
        <w:t>DK, DE, IE, ES, IT og PT valgte at medtage forvaltning af dyrkede arealer. DE, DK, IE, IT og PT valgte også at medtage forvaltning af græsningsarealer, og RO medtog fornyelse af vegetation.</w:t>
      </w:r>
    </w:p>
  </w:footnote>
  <w:footnote w:id="60">
    <w:p w14:paraId="1029AD81" w14:textId="1EA67EAD" w:rsidR="00FF221C" w:rsidRPr="00CD055C" w:rsidRDefault="00FF221C" w:rsidP="00CC5080">
      <w:pPr>
        <w:pStyle w:val="FootnoteText1"/>
        <w:ind w:left="567" w:hanging="567"/>
      </w:pPr>
    </w:p>
  </w:footnote>
  <w:footnote w:id="61">
    <w:p w14:paraId="368293DE" w14:textId="7CB6C49B" w:rsidR="004C1C65" w:rsidRPr="001D41A3" w:rsidRDefault="004C1C65" w:rsidP="00CC5080">
      <w:pPr>
        <w:pStyle w:val="FootnoteText"/>
        <w:ind w:left="567" w:hanging="567"/>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sidR="00CC5080">
        <w:rPr>
          <w:rFonts w:ascii="Times New Roman" w:hAnsi="Times New Roman"/>
          <w:sz w:val="18"/>
          <w:lang w:val="en-US"/>
        </w:rPr>
        <w:tab/>
      </w:r>
      <w:r w:rsidRPr="001D41A3">
        <w:rPr>
          <w:rFonts w:ascii="Times New Roman" w:hAnsi="Times New Roman"/>
          <w:sz w:val="18"/>
          <w:lang w:val="en-US"/>
        </w:rPr>
        <w:t xml:space="preserve">Grassi, G., et al., Brief on the role of the forest-based bioeconomy in mitigating climate change through carbon storage and material substitution, Sanchez Lopez, J., Jasinevičius, G. and Avraamides, M. editor(s), Europa-Kommissionen, 2021, </w:t>
      </w:r>
      <w:hyperlink r:id="rId15" w:history="1">
        <w:r w:rsidRPr="001D41A3">
          <w:rPr>
            <w:rFonts w:ascii="Times New Roman" w:hAnsi="Times New Roman"/>
            <w:sz w:val="18"/>
            <w:lang w:val="en-US"/>
          </w:rPr>
          <w:t>JRC124374</w:t>
        </w:r>
      </w:hyperlink>
      <w:r w:rsidRPr="001D41A3">
        <w:rPr>
          <w:rFonts w:ascii="Times New Roman" w:hAnsi="Times New Roman"/>
          <w:sz w:val="18"/>
          <w:lang w:val="en-US"/>
        </w:rPr>
        <w:t>.</w:t>
      </w:r>
    </w:p>
  </w:footnote>
  <w:footnote w:id="62">
    <w:p w14:paraId="7EEA10A0" w14:textId="3CD1D15A" w:rsidR="00B454A5" w:rsidRPr="005B60C5" w:rsidRDefault="00B454A5" w:rsidP="00CC5080">
      <w:pPr>
        <w:pStyle w:val="FootnoteText"/>
        <w:ind w:left="567" w:hanging="567"/>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sidR="00CC5080">
        <w:rPr>
          <w:rFonts w:ascii="Times New Roman" w:hAnsi="Times New Roman"/>
          <w:sz w:val="18"/>
        </w:rPr>
        <w:tab/>
      </w:r>
      <w:r>
        <w:rPr>
          <w:rFonts w:ascii="Times New Roman" w:hAnsi="Times New Roman"/>
          <w:sz w:val="18"/>
        </w:rPr>
        <w:t>Forordning (EU) 2018/841.</w:t>
      </w:r>
    </w:p>
  </w:footnote>
  <w:footnote w:id="63">
    <w:p w14:paraId="570A17F8" w14:textId="6CB174A0" w:rsidR="00B454A5" w:rsidRPr="005B60C5" w:rsidRDefault="00B454A5" w:rsidP="00CC5080">
      <w:pPr>
        <w:pStyle w:val="FootnoteText"/>
        <w:ind w:left="567" w:hanging="567"/>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sidR="00CC5080">
        <w:rPr>
          <w:rFonts w:ascii="Times New Roman" w:hAnsi="Times New Roman"/>
          <w:sz w:val="18"/>
        </w:rPr>
        <w:tab/>
      </w:r>
      <w:r>
        <w:rPr>
          <w:rFonts w:ascii="Times New Roman" w:hAnsi="Times New Roman"/>
          <w:sz w:val="18"/>
        </w:rPr>
        <w:t>Delegeret forordning (EU) 2021/268 og SWD/2020/0236 final.</w:t>
      </w:r>
    </w:p>
  </w:footnote>
  <w:footnote w:id="64">
    <w:p w14:paraId="3946745D" w14:textId="10AC0E13" w:rsidR="00B454A5" w:rsidRPr="001D41A3" w:rsidRDefault="00B454A5" w:rsidP="00CC5080">
      <w:pPr>
        <w:pStyle w:val="FootnoteText1"/>
        <w:ind w:left="567" w:hanging="567"/>
        <w:rPr>
          <w:lang w:val="en-US"/>
        </w:rPr>
      </w:pPr>
      <w:r>
        <w:rPr>
          <w:rStyle w:val="FootnoteReference"/>
          <w:rFonts w:cs="Times New Roman"/>
        </w:rPr>
        <w:footnoteRef/>
      </w:r>
      <w:r w:rsidR="00CC5080">
        <w:rPr>
          <w:lang w:val="en-US"/>
        </w:rPr>
        <w:tab/>
      </w:r>
      <w:r w:rsidRPr="001D41A3">
        <w:rPr>
          <w:lang w:val="en-US"/>
        </w:rPr>
        <w:t>COM(2021) 800 final.</w:t>
      </w:r>
    </w:p>
  </w:footnote>
  <w:footnote w:id="65">
    <w:p w14:paraId="21A32EA6" w14:textId="6A53F327" w:rsidR="0048724B" w:rsidRPr="001D41A3" w:rsidRDefault="00B454A5" w:rsidP="00CC5080">
      <w:pPr>
        <w:pStyle w:val="FootnoteText1"/>
        <w:ind w:left="567" w:hanging="567"/>
        <w:rPr>
          <w:lang w:val="en-US"/>
        </w:rPr>
      </w:pPr>
      <w:r>
        <w:rPr>
          <w:rStyle w:val="FootnoteReference"/>
          <w:rFonts w:cs="Times New Roman"/>
        </w:rPr>
        <w:footnoteRef/>
      </w:r>
      <w:r w:rsidR="00CC5080" w:rsidRPr="00CC5080">
        <w:rPr>
          <w:lang w:val="en-GB"/>
        </w:rPr>
        <w:tab/>
      </w:r>
      <w:hyperlink r:id="rId16" w:history="1">
        <w:r w:rsidRPr="001D41A3">
          <w:rPr>
            <w:rStyle w:val="Hyperlink"/>
            <w:lang w:val="en-US"/>
          </w:rPr>
          <w:t>https://research-and-innovation.ec.europa.eu/research-area/environment/nature-based-solutions_en</w:t>
        </w:r>
      </w:hyperlink>
      <w:r w:rsidR="00733E8C" w:rsidRPr="00733E8C">
        <w:rPr>
          <w:rStyle w:val="Hyperlink"/>
          <w:u w:val="none"/>
          <w:lang w:val="en-US"/>
        </w:rPr>
        <w:t>.</w:t>
      </w:r>
    </w:p>
  </w:footnote>
  <w:footnote w:id="66">
    <w:p w14:paraId="10F66843" w14:textId="177C5906" w:rsidR="00B454A5" w:rsidRPr="00715747" w:rsidRDefault="00B454A5" w:rsidP="00CC5080">
      <w:pPr>
        <w:pStyle w:val="FootnoteText"/>
        <w:ind w:left="567" w:hanging="567"/>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sidR="00CC5080">
        <w:tab/>
      </w:r>
      <w:hyperlink r:id="rId17" w:history="1">
        <w:r>
          <w:rPr>
            <w:rStyle w:val="Hyperlink"/>
            <w:rFonts w:ascii="Times New Roman" w:hAnsi="Times New Roman"/>
            <w:sz w:val="18"/>
          </w:rPr>
          <w:t>EU-regler om certificering af kulstoffjernelse (europa.eu)</w:t>
        </w:r>
      </w:hyperlink>
      <w:r>
        <w:rPr>
          <w:rStyle w:val="Hyperlink"/>
          <w:rFonts w:ascii="Times New Roman" w:hAnsi="Times New Roman"/>
          <w:sz w:val="18"/>
        </w:rPr>
        <w:t>.</w:t>
      </w:r>
    </w:p>
  </w:footnote>
  <w:footnote w:id="67">
    <w:p w14:paraId="35C7A31D" w14:textId="7E2587A2" w:rsidR="00712A3D" w:rsidRPr="00712A3D" w:rsidRDefault="00712A3D" w:rsidP="00CC5080">
      <w:pPr>
        <w:pStyle w:val="FootnoteText1"/>
        <w:ind w:left="567" w:hanging="567"/>
      </w:pPr>
      <w:r>
        <w:rPr>
          <w:rStyle w:val="FootnoteReference"/>
        </w:rPr>
        <w:footnoteRef/>
      </w:r>
      <w:r w:rsidR="00733E8C">
        <w:tab/>
      </w:r>
      <w:hyperlink r:id="rId18" w:history="1">
        <w:r>
          <w:rPr>
            <w:rStyle w:val="Hyperlink"/>
          </w:rPr>
          <w:t>https://op.europa.eu/en/publication-detail/-/publication/23a24b21-16d0-11ec-b4fe-01aa75ed71a1/language-en</w:t>
        </w:r>
      </w:hyperlink>
      <w:r w:rsidR="00733E8C">
        <w:rPr>
          <w:rStyle w:val="Hyperlink"/>
        </w:rPr>
        <w:t>.</w:t>
      </w:r>
    </w:p>
  </w:footnote>
  <w:footnote w:id="68">
    <w:p w14:paraId="170F5946" w14:textId="10390631" w:rsidR="00522E68" w:rsidRPr="00522E68" w:rsidRDefault="00522E68" w:rsidP="00CC5080">
      <w:pPr>
        <w:pStyle w:val="FootnoteText1"/>
        <w:ind w:left="567" w:hanging="567"/>
      </w:pPr>
      <w:r>
        <w:rPr>
          <w:rStyle w:val="FootnoteReference"/>
        </w:rPr>
        <w:footnoteRef/>
      </w:r>
      <w:r w:rsidR="00733E8C">
        <w:tab/>
      </w:r>
      <w:hyperlink r:id="rId19" w:history="1">
        <w:r>
          <w:rPr>
            <w:rStyle w:val="Hyperlink"/>
          </w:rPr>
          <w:t>https://climate-adapt.eea.europa.eu/observatory</w:t>
        </w:r>
      </w:hyperlink>
      <w:r w:rsidR="00733E8C">
        <w:rPr>
          <w:rStyle w:val="Hyperlink"/>
        </w:rPr>
        <w:t>.</w:t>
      </w:r>
    </w:p>
  </w:footnote>
  <w:footnote w:id="69">
    <w:p w14:paraId="07A14129" w14:textId="2DFE6E61" w:rsidR="00712A3D" w:rsidRPr="004C1C65" w:rsidRDefault="00712A3D" w:rsidP="00CC5080">
      <w:pPr>
        <w:pStyle w:val="FootnoteText1"/>
        <w:ind w:left="567" w:hanging="567"/>
      </w:pPr>
      <w:r>
        <w:rPr>
          <w:rStyle w:val="FootnoteReference"/>
        </w:rPr>
        <w:footnoteRef/>
      </w:r>
      <w:r w:rsidR="00733E8C">
        <w:tab/>
      </w:r>
      <w:r>
        <w:t>COM(2021) 572 final.</w:t>
      </w:r>
    </w:p>
  </w:footnote>
  <w:footnote w:id="70">
    <w:p w14:paraId="10815FBD" w14:textId="5C5FDEFD" w:rsidR="00B454A5" w:rsidRPr="00DE6CA6" w:rsidRDefault="00B454A5" w:rsidP="00CC5080">
      <w:pPr>
        <w:pStyle w:val="FootnoteText1"/>
        <w:ind w:left="567" w:hanging="567"/>
      </w:pPr>
      <w:r>
        <w:rPr>
          <w:rStyle w:val="FootnoteReference"/>
        </w:rPr>
        <w:footnoteRef/>
      </w:r>
      <w:r w:rsidR="00733E8C">
        <w:tab/>
      </w:r>
      <w:r>
        <w:t>Artikel 19 i forordning (EU) 2018/1999.</w:t>
      </w:r>
    </w:p>
  </w:footnote>
  <w:footnote w:id="71">
    <w:p w14:paraId="15184DCB" w14:textId="2B9F0CAD" w:rsidR="007B0153" w:rsidRPr="00B34E8C" w:rsidRDefault="007B0153" w:rsidP="00CC5080">
      <w:pPr>
        <w:pStyle w:val="FootnoteText1"/>
        <w:ind w:left="567" w:hanging="567"/>
      </w:pPr>
      <w:r>
        <w:rPr>
          <w:rStyle w:val="FootnoteReference"/>
        </w:rPr>
        <w:footnoteRef/>
      </w:r>
      <w:r w:rsidR="00733E8C">
        <w:tab/>
      </w:r>
      <w:r>
        <w:t xml:space="preserve">Skøn baseret på aktuelle ETS-priser. </w:t>
      </w:r>
    </w:p>
  </w:footnote>
  <w:footnote w:id="72">
    <w:p w14:paraId="606D1CF1" w14:textId="7DB977F0" w:rsidR="007B0153" w:rsidRPr="00B34E8C" w:rsidRDefault="007B0153" w:rsidP="00CC5080">
      <w:pPr>
        <w:pStyle w:val="FootnoteText1"/>
        <w:ind w:left="567" w:hanging="567"/>
      </w:pPr>
      <w:r>
        <w:rPr>
          <w:rStyle w:val="FootnoteReference"/>
          <w:rFonts w:cs="Times New Roman"/>
        </w:rPr>
        <w:footnoteRef/>
      </w:r>
      <w:r w:rsidR="00733E8C">
        <w:tab/>
      </w:r>
      <w:r>
        <w:t>Store projekter har samlede kapitaludgifter på over 7,5 mio. EUR.</w:t>
      </w:r>
    </w:p>
  </w:footnote>
  <w:footnote w:id="73">
    <w:p w14:paraId="54FC433C" w14:textId="18739343" w:rsidR="007B0153" w:rsidRPr="00B34E8C" w:rsidRDefault="007B0153" w:rsidP="00CC5080">
      <w:pPr>
        <w:pStyle w:val="FootnoteText1"/>
        <w:ind w:left="567" w:hanging="567"/>
      </w:pPr>
      <w:r>
        <w:rPr>
          <w:rStyle w:val="FootnoteReference"/>
          <w:rFonts w:cs="Times New Roman"/>
        </w:rPr>
        <w:footnoteRef/>
      </w:r>
      <w:r w:rsidR="00733E8C">
        <w:tab/>
      </w:r>
      <w:r>
        <w:t>Mindre projekter har samlede kapitaludgifter på højst 7,5 mio. EUR.</w:t>
      </w:r>
    </w:p>
  </w:footnote>
  <w:footnote w:id="74">
    <w:p w14:paraId="246EF5EC" w14:textId="649D2643" w:rsidR="007B0153" w:rsidRPr="00B34E8C" w:rsidRDefault="007B0153" w:rsidP="00CC5080">
      <w:pPr>
        <w:pStyle w:val="FootnoteText1"/>
        <w:ind w:left="567" w:hanging="567"/>
      </w:pPr>
      <w:r>
        <w:rPr>
          <w:rStyle w:val="FootnoteReference"/>
        </w:rPr>
        <w:footnoteRef/>
      </w:r>
      <w:r w:rsidR="00733E8C">
        <w:tab/>
      </w:r>
      <w:r>
        <w:t>Skøn baseret på aktuelle ETS-priser.</w:t>
      </w:r>
    </w:p>
  </w:footnote>
  <w:footnote w:id="75">
    <w:p w14:paraId="266A1D07" w14:textId="60685B3D" w:rsidR="00ED4729" w:rsidRDefault="00ED4729" w:rsidP="00CC5080">
      <w:pPr>
        <w:pStyle w:val="FootnoteText1"/>
        <w:ind w:left="567" w:hanging="567"/>
        <w:rPr>
          <w:rFonts w:asciiTheme="minorHAnsi" w:hAnsiTheme="minorHAnsi"/>
          <w:sz w:val="20"/>
          <w:szCs w:val="20"/>
        </w:rPr>
      </w:pPr>
      <w:r>
        <w:rPr>
          <w:rStyle w:val="FootnoteReference"/>
        </w:rPr>
        <w:footnoteRef/>
      </w:r>
      <w:r w:rsidR="00733E8C">
        <w:tab/>
      </w:r>
      <w:r>
        <w:t>I budgetforslaget for 2023 anslås det, at 557 mia. EUR eller 31,5 % af EU's budget for NGEU vil bidrage til klimamålene. De afspejler de lån, der i øjeblikket anmodes om i genopretnings- og resiliensfaciliteten, idet Innovationsfonden og Moderniseringsfonden ikke medregnes.</w:t>
      </w:r>
    </w:p>
  </w:footnote>
  <w:footnote w:id="76">
    <w:p w14:paraId="768686D3" w14:textId="67C4F312" w:rsidR="008F12D3" w:rsidRPr="001D41A3" w:rsidRDefault="008F12D3" w:rsidP="00CC5080">
      <w:pPr>
        <w:pStyle w:val="FootnoteText1"/>
        <w:ind w:left="567" w:hanging="567"/>
        <w:rPr>
          <w:lang w:val="en-US"/>
        </w:rPr>
      </w:pPr>
      <w:r>
        <w:rPr>
          <w:rStyle w:val="FootnoteReference"/>
        </w:rPr>
        <w:footnoteRef/>
      </w:r>
      <w:r w:rsidR="00733E8C">
        <w:rPr>
          <w:lang w:val="en-US"/>
        </w:rPr>
        <w:tab/>
      </w:r>
      <w:r w:rsidRPr="001D41A3">
        <w:rPr>
          <w:lang w:val="en-US"/>
        </w:rPr>
        <w:t xml:space="preserve">Kilde: Recovery and Resilience Scoreboard, </w:t>
      </w:r>
      <w:hyperlink r:id="rId20" w:history="1">
        <w:r w:rsidRPr="001D41A3">
          <w:rPr>
            <w:rStyle w:val="Hyperlink"/>
            <w:lang w:val="en-US"/>
          </w:rPr>
          <w:t>Green transition pillar.</w:t>
        </w:r>
      </w:hyperlink>
    </w:p>
  </w:footnote>
  <w:footnote w:id="77">
    <w:p w14:paraId="1A557344" w14:textId="445E9C39" w:rsidR="00B63FF1" w:rsidRPr="001D41A3" w:rsidRDefault="00B63FF1" w:rsidP="00CC5080">
      <w:pPr>
        <w:pStyle w:val="FootnoteText1"/>
        <w:ind w:left="567" w:hanging="567"/>
        <w:rPr>
          <w:lang w:val="en-US"/>
        </w:rPr>
      </w:pPr>
      <w:r>
        <w:rPr>
          <w:rStyle w:val="FootnoteReference"/>
        </w:rPr>
        <w:footnoteRef/>
      </w:r>
      <w:r w:rsidR="00733E8C" w:rsidRPr="00733E8C">
        <w:rPr>
          <w:lang w:val="en-US"/>
        </w:rPr>
        <w:tab/>
      </w:r>
      <w:hyperlink r:id="rId21" w:history="1">
        <w:r w:rsidRPr="001D41A3">
          <w:rPr>
            <w:rStyle w:val="Hyperlink"/>
            <w:lang w:val="en-US"/>
          </w:rPr>
          <w:t>https://investeu.europa.eu/what-investeu-programme_en</w:t>
        </w:r>
      </w:hyperlink>
      <w:r w:rsidR="00733E8C">
        <w:rPr>
          <w:rStyle w:val="Hyperlink"/>
          <w:lang w:val="en-US"/>
        </w:rPr>
        <w:t>.</w:t>
      </w:r>
    </w:p>
  </w:footnote>
  <w:footnote w:id="78">
    <w:p w14:paraId="3418B8E1" w14:textId="45CA3FBA" w:rsidR="003E284B" w:rsidRPr="00CC5080" w:rsidRDefault="003E284B" w:rsidP="00CC5080">
      <w:pPr>
        <w:pStyle w:val="FootnoteText1"/>
        <w:ind w:left="567" w:hanging="567"/>
        <w:rPr>
          <w:lang w:val="en-US"/>
        </w:rPr>
      </w:pPr>
      <w:r>
        <w:rPr>
          <w:rStyle w:val="FootnoteReference"/>
        </w:rPr>
        <w:footnoteRef/>
      </w:r>
      <w:r w:rsidR="00733E8C">
        <w:rPr>
          <w:lang w:val="en-US"/>
        </w:rPr>
        <w:tab/>
      </w:r>
      <w:r w:rsidRPr="00CC5080">
        <w:rPr>
          <w:lang w:val="en-US"/>
        </w:rPr>
        <w:t>Foreløbige tal.</w:t>
      </w:r>
    </w:p>
  </w:footnote>
  <w:footnote w:id="79">
    <w:p w14:paraId="5AF03EF2" w14:textId="6886F8B6" w:rsidR="00E81880" w:rsidRPr="00CC5080" w:rsidRDefault="00E81880" w:rsidP="00CC5080">
      <w:pPr>
        <w:pStyle w:val="FootnoteText"/>
        <w:ind w:left="567" w:hanging="567"/>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sidR="00733E8C" w:rsidRPr="00733E8C">
        <w:rPr>
          <w:lang w:val="en-US"/>
        </w:rPr>
        <w:tab/>
      </w:r>
      <w:hyperlink r:id="rId22" w:history="1">
        <w:r w:rsidRPr="00CC5080">
          <w:rPr>
            <w:rStyle w:val="Hyperlink"/>
            <w:rFonts w:ascii="Times New Roman" w:hAnsi="Times New Roman"/>
            <w:sz w:val="18"/>
            <w:lang w:val="en-US"/>
          </w:rPr>
          <w:t>Cohesion Policy 2021-2027 — Regional Policy — Europa-Kommissionen (europa.eu)</w:t>
        </w:r>
      </w:hyperlink>
      <w:r w:rsidRPr="00CC5080">
        <w:rPr>
          <w:lang w:val="en-US"/>
        </w:rPr>
        <w:t>.</w:t>
      </w:r>
    </w:p>
  </w:footnote>
  <w:footnote w:id="80">
    <w:p w14:paraId="419F0710" w14:textId="16344EF9" w:rsidR="00B86E38" w:rsidRPr="001D41A3" w:rsidRDefault="00B86E38" w:rsidP="00CC5080">
      <w:pPr>
        <w:spacing w:after="0"/>
        <w:ind w:left="567" w:hanging="567"/>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sidR="00733E8C">
        <w:rPr>
          <w:rStyle w:val="normaltextrun"/>
          <w:rFonts w:ascii="Times New Roman" w:hAnsi="Times New Roman"/>
          <w:sz w:val="18"/>
          <w:lang w:val="en-US"/>
        </w:rPr>
        <w:tab/>
      </w:r>
      <w:r w:rsidRPr="001D41A3">
        <w:rPr>
          <w:rStyle w:val="normaltextrun"/>
          <w:rFonts w:ascii="Times New Roman" w:hAnsi="Times New Roman"/>
          <w:sz w:val="18"/>
          <w:lang w:val="en-US"/>
        </w:rPr>
        <w:t>BE, CZ, EE, IE, EL, ES, FI, HR, IT, CY, HU, PL, PT, SI og SK.</w:t>
      </w:r>
    </w:p>
  </w:footnote>
  <w:footnote w:id="81">
    <w:p w14:paraId="27D19E83" w14:textId="557F770F" w:rsidR="00A26FDF" w:rsidRDefault="00A26FDF" w:rsidP="00CC5080">
      <w:pPr>
        <w:pStyle w:val="FootnoteText1"/>
        <w:ind w:left="567" w:hanging="567"/>
      </w:pPr>
      <w:r>
        <w:rPr>
          <w:rStyle w:val="FootnoteReference"/>
          <w:rFonts w:cs="Times New Roman"/>
        </w:rPr>
        <w:footnoteRef/>
      </w:r>
      <w:r w:rsidR="00733E8C">
        <w:tab/>
      </w:r>
      <w:r>
        <w:t>Information om den globale klimaindsats: Bidrag fra rammeprogrammerne (RP7 og Horisont 2020) til videnbasen i nylige IPCC-rapporter på grundlag af offentligt tilgængelige data.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536C7" w14:textId="77777777" w:rsidR="00614D6E" w:rsidRPr="00614D6E" w:rsidRDefault="00614D6E" w:rsidP="00614D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82F93" w14:textId="77777777" w:rsidR="00614D6E" w:rsidRPr="00614D6E" w:rsidRDefault="00614D6E" w:rsidP="00614D6E">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88632" w14:textId="77777777" w:rsidR="00614D6E" w:rsidRPr="00614D6E" w:rsidRDefault="00614D6E" w:rsidP="00614D6E">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F5D9C" w14:textId="77777777" w:rsidR="00B454A5" w:rsidRDefault="00B454A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249B4" w14:textId="77777777" w:rsidR="00B454A5" w:rsidRDefault="00B454A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DF1D8" w14:textId="77777777" w:rsidR="00B454A5" w:rsidRDefault="00B454A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K4EW4XzL" int2:invalidationBookmarkName="" int2:hashCode="0lXQ0GySJQ8tJA" int2:id="dL8aMkLG">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56D7"/>
    <w:multiLevelType w:val="hybridMultilevel"/>
    <w:tmpl w:val="9EC688B0"/>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1" w15:restartNumberingAfterBreak="0">
    <w:nsid w:val="135554F4"/>
    <w:multiLevelType w:val="hybridMultilevel"/>
    <w:tmpl w:val="114A836E"/>
    <w:lvl w:ilvl="0" w:tplc="9AE0E9DA">
      <w:numFmt w:val="bullet"/>
      <w:lvlText w:val="-"/>
      <w:lvlJc w:val="left"/>
      <w:pPr>
        <w:ind w:left="644" w:hanging="360"/>
      </w:pPr>
      <w:rPr>
        <w:rFonts w:ascii="Calibri" w:eastAsiaTheme="minorEastAsia" w:hAnsi="Calibri" w:cs="Calibri" w:hint="default"/>
        <w:color w:val="auto"/>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AAD02E5"/>
    <w:multiLevelType w:val="hybridMultilevel"/>
    <w:tmpl w:val="0614A6CC"/>
    <w:lvl w:ilvl="0" w:tplc="D2DE4560">
      <w:start w:val="2100"/>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CF50FCC"/>
    <w:multiLevelType w:val="hybridMultilevel"/>
    <w:tmpl w:val="8A989030"/>
    <w:lvl w:ilvl="0" w:tplc="FFFFFFFF">
      <w:numFmt w:val="bullet"/>
      <w:lvlText w:val="-"/>
      <w:lvlJc w:val="left"/>
      <w:pPr>
        <w:ind w:left="502" w:hanging="360"/>
      </w:pPr>
      <w:rPr>
        <w:rFonts w:ascii="Times New Roman" w:eastAsiaTheme="minorHAnsi" w:hAnsi="Times New Roman" w:cs="Times New Roman" w:hint="default"/>
      </w:rPr>
    </w:lvl>
    <w:lvl w:ilvl="1" w:tplc="118808EE">
      <w:start w:val="1"/>
      <w:numFmt w:val="bullet"/>
      <w:lvlText w:val="–"/>
      <w:lvlJc w:val="left"/>
      <w:pPr>
        <w:ind w:left="1222" w:hanging="360"/>
      </w:pPr>
      <w:rPr>
        <w:rFonts w:ascii="Calibri" w:hAnsi="Calibri"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5" w15:restartNumberingAfterBreak="0">
    <w:nsid w:val="1F3437F5"/>
    <w:multiLevelType w:val="hybridMultilevel"/>
    <w:tmpl w:val="BEE2751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293869FD"/>
    <w:multiLevelType w:val="hybridMultilevel"/>
    <w:tmpl w:val="96049FEE"/>
    <w:lvl w:ilvl="0" w:tplc="10EA47B0">
      <w:start w:val="1"/>
      <w:numFmt w:val="bullet"/>
      <w:lvlText w:val=""/>
      <w:lvlJc w:val="left"/>
      <w:pPr>
        <w:ind w:left="720" w:hanging="360"/>
      </w:pPr>
      <w:rPr>
        <w:rFonts w:ascii="Symbol" w:hAnsi="Symbol" w:hint="default"/>
      </w:rPr>
    </w:lvl>
    <w:lvl w:ilvl="1" w:tplc="C1F8E256">
      <w:start w:val="1"/>
      <w:numFmt w:val="bullet"/>
      <w:lvlText w:val="o"/>
      <w:lvlJc w:val="left"/>
      <w:pPr>
        <w:ind w:left="1440" w:hanging="360"/>
      </w:pPr>
      <w:rPr>
        <w:rFonts w:ascii="Courier New" w:hAnsi="Courier New" w:hint="default"/>
      </w:rPr>
    </w:lvl>
    <w:lvl w:ilvl="2" w:tplc="8C9EF896">
      <w:start w:val="1"/>
      <w:numFmt w:val="bullet"/>
      <w:lvlText w:val=""/>
      <w:lvlJc w:val="left"/>
      <w:pPr>
        <w:ind w:left="2160" w:hanging="360"/>
      </w:pPr>
      <w:rPr>
        <w:rFonts w:ascii="Wingdings" w:hAnsi="Wingdings" w:hint="default"/>
      </w:rPr>
    </w:lvl>
    <w:lvl w:ilvl="3" w:tplc="327E8598">
      <w:start w:val="1"/>
      <w:numFmt w:val="bullet"/>
      <w:lvlText w:val=""/>
      <w:lvlJc w:val="left"/>
      <w:pPr>
        <w:ind w:left="2880" w:hanging="360"/>
      </w:pPr>
      <w:rPr>
        <w:rFonts w:ascii="Symbol" w:hAnsi="Symbol" w:hint="default"/>
      </w:rPr>
    </w:lvl>
    <w:lvl w:ilvl="4" w:tplc="B5C4BE82">
      <w:start w:val="1"/>
      <w:numFmt w:val="bullet"/>
      <w:lvlText w:val="o"/>
      <w:lvlJc w:val="left"/>
      <w:pPr>
        <w:ind w:left="3600" w:hanging="360"/>
      </w:pPr>
      <w:rPr>
        <w:rFonts w:ascii="Courier New" w:hAnsi="Courier New" w:hint="default"/>
      </w:rPr>
    </w:lvl>
    <w:lvl w:ilvl="5" w:tplc="03424A56">
      <w:start w:val="1"/>
      <w:numFmt w:val="bullet"/>
      <w:lvlText w:val=""/>
      <w:lvlJc w:val="left"/>
      <w:pPr>
        <w:ind w:left="4320" w:hanging="360"/>
      </w:pPr>
      <w:rPr>
        <w:rFonts w:ascii="Wingdings" w:hAnsi="Wingdings" w:hint="default"/>
      </w:rPr>
    </w:lvl>
    <w:lvl w:ilvl="6" w:tplc="1F7E66E6">
      <w:start w:val="1"/>
      <w:numFmt w:val="bullet"/>
      <w:lvlText w:val=""/>
      <w:lvlJc w:val="left"/>
      <w:pPr>
        <w:ind w:left="5040" w:hanging="360"/>
      </w:pPr>
      <w:rPr>
        <w:rFonts w:ascii="Symbol" w:hAnsi="Symbol" w:hint="default"/>
      </w:rPr>
    </w:lvl>
    <w:lvl w:ilvl="7" w:tplc="21D67090">
      <w:start w:val="1"/>
      <w:numFmt w:val="bullet"/>
      <w:lvlText w:val="o"/>
      <w:lvlJc w:val="left"/>
      <w:pPr>
        <w:ind w:left="5760" w:hanging="360"/>
      </w:pPr>
      <w:rPr>
        <w:rFonts w:ascii="Courier New" w:hAnsi="Courier New" w:hint="default"/>
      </w:rPr>
    </w:lvl>
    <w:lvl w:ilvl="8" w:tplc="DC264B58">
      <w:start w:val="1"/>
      <w:numFmt w:val="bullet"/>
      <w:lvlText w:val=""/>
      <w:lvlJc w:val="left"/>
      <w:pPr>
        <w:ind w:left="6480" w:hanging="360"/>
      </w:pPr>
      <w:rPr>
        <w:rFonts w:ascii="Wingdings" w:hAnsi="Wingdings" w:hint="default"/>
      </w:rPr>
    </w:lvl>
  </w:abstractNum>
  <w:abstractNum w:abstractNumId="7" w15:restartNumberingAfterBreak="0">
    <w:nsid w:val="3BB83E53"/>
    <w:multiLevelType w:val="hybridMultilevel"/>
    <w:tmpl w:val="703C1A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DEC3EE9"/>
    <w:multiLevelType w:val="hybridMultilevel"/>
    <w:tmpl w:val="43C076D2"/>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5440A29"/>
    <w:multiLevelType w:val="hybridMultilevel"/>
    <w:tmpl w:val="2B920E5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4E93BB7"/>
    <w:multiLevelType w:val="hybridMultilevel"/>
    <w:tmpl w:val="48A433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8016EBE"/>
    <w:multiLevelType w:val="hybridMultilevel"/>
    <w:tmpl w:val="7668F5C8"/>
    <w:lvl w:ilvl="0" w:tplc="FFFFFFFF">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B87FF91"/>
    <w:multiLevelType w:val="hybridMultilevel"/>
    <w:tmpl w:val="AFDC3B26"/>
    <w:lvl w:ilvl="0" w:tplc="A2263EAA">
      <w:start w:val="1"/>
      <w:numFmt w:val="bullet"/>
      <w:lvlText w:val=""/>
      <w:lvlJc w:val="left"/>
      <w:pPr>
        <w:ind w:left="360" w:hanging="360"/>
      </w:pPr>
      <w:rPr>
        <w:rFonts w:ascii="Symbol" w:hAnsi="Symbol" w:hint="default"/>
      </w:rPr>
    </w:lvl>
    <w:lvl w:ilvl="1" w:tplc="78A25D2E">
      <w:start w:val="1"/>
      <w:numFmt w:val="bullet"/>
      <w:lvlText w:val="o"/>
      <w:lvlJc w:val="left"/>
      <w:pPr>
        <w:ind w:left="1080" w:hanging="360"/>
      </w:pPr>
      <w:rPr>
        <w:rFonts w:ascii="Courier New" w:hAnsi="Courier New" w:hint="default"/>
      </w:rPr>
    </w:lvl>
    <w:lvl w:ilvl="2" w:tplc="1FBCC702">
      <w:start w:val="1"/>
      <w:numFmt w:val="bullet"/>
      <w:lvlText w:val=""/>
      <w:lvlJc w:val="left"/>
      <w:pPr>
        <w:ind w:left="1800" w:hanging="360"/>
      </w:pPr>
      <w:rPr>
        <w:rFonts w:ascii="Wingdings" w:hAnsi="Wingdings" w:hint="default"/>
      </w:rPr>
    </w:lvl>
    <w:lvl w:ilvl="3" w:tplc="220A21E2">
      <w:start w:val="1"/>
      <w:numFmt w:val="bullet"/>
      <w:lvlText w:val=""/>
      <w:lvlJc w:val="left"/>
      <w:pPr>
        <w:ind w:left="2520" w:hanging="360"/>
      </w:pPr>
      <w:rPr>
        <w:rFonts w:ascii="Symbol" w:hAnsi="Symbol" w:hint="default"/>
      </w:rPr>
    </w:lvl>
    <w:lvl w:ilvl="4" w:tplc="63C02DD4">
      <w:start w:val="1"/>
      <w:numFmt w:val="bullet"/>
      <w:lvlText w:val="o"/>
      <w:lvlJc w:val="left"/>
      <w:pPr>
        <w:ind w:left="3240" w:hanging="360"/>
      </w:pPr>
      <w:rPr>
        <w:rFonts w:ascii="Courier New" w:hAnsi="Courier New" w:hint="default"/>
      </w:rPr>
    </w:lvl>
    <w:lvl w:ilvl="5" w:tplc="7DE43422">
      <w:start w:val="1"/>
      <w:numFmt w:val="bullet"/>
      <w:lvlText w:val=""/>
      <w:lvlJc w:val="left"/>
      <w:pPr>
        <w:ind w:left="3960" w:hanging="360"/>
      </w:pPr>
      <w:rPr>
        <w:rFonts w:ascii="Wingdings" w:hAnsi="Wingdings" w:hint="default"/>
      </w:rPr>
    </w:lvl>
    <w:lvl w:ilvl="6" w:tplc="8EA4C7E8">
      <w:start w:val="1"/>
      <w:numFmt w:val="bullet"/>
      <w:lvlText w:val=""/>
      <w:lvlJc w:val="left"/>
      <w:pPr>
        <w:ind w:left="4680" w:hanging="360"/>
      </w:pPr>
      <w:rPr>
        <w:rFonts w:ascii="Symbol" w:hAnsi="Symbol" w:hint="default"/>
      </w:rPr>
    </w:lvl>
    <w:lvl w:ilvl="7" w:tplc="9D7C1776">
      <w:start w:val="1"/>
      <w:numFmt w:val="bullet"/>
      <w:lvlText w:val="o"/>
      <w:lvlJc w:val="left"/>
      <w:pPr>
        <w:ind w:left="5400" w:hanging="360"/>
      </w:pPr>
      <w:rPr>
        <w:rFonts w:ascii="Courier New" w:hAnsi="Courier New" w:hint="default"/>
      </w:rPr>
    </w:lvl>
    <w:lvl w:ilvl="8" w:tplc="60868734">
      <w:start w:val="1"/>
      <w:numFmt w:val="bullet"/>
      <w:lvlText w:val=""/>
      <w:lvlJc w:val="left"/>
      <w:pPr>
        <w:ind w:left="6120" w:hanging="360"/>
      </w:pPr>
      <w:rPr>
        <w:rFonts w:ascii="Wingdings" w:hAnsi="Wingdings" w:hint="default"/>
      </w:rPr>
    </w:lvl>
  </w:abstractNum>
  <w:abstractNum w:abstractNumId="13" w15:restartNumberingAfterBreak="0">
    <w:nsid w:val="72F9004D"/>
    <w:multiLevelType w:val="hybridMultilevel"/>
    <w:tmpl w:val="61CC4298"/>
    <w:lvl w:ilvl="0" w:tplc="2D80DE96">
      <w:start w:val="1"/>
      <w:numFmt w:val="bullet"/>
      <w:lvlText w:val="-"/>
      <w:lvlJc w:val="left"/>
      <w:pPr>
        <w:ind w:left="720" w:hanging="360"/>
      </w:pPr>
      <w:rPr>
        <w:rFonts w:ascii="Calibri" w:hAnsi="Calibri" w:hint="default"/>
      </w:rPr>
    </w:lvl>
    <w:lvl w:ilvl="1" w:tplc="BDA4C0BC">
      <w:start w:val="1"/>
      <w:numFmt w:val="bullet"/>
      <w:lvlText w:val="o"/>
      <w:lvlJc w:val="left"/>
      <w:pPr>
        <w:ind w:left="1440" w:hanging="360"/>
      </w:pPr>
      <w:rPr>
        <w:rFonts w:ascii="Courier New" w:hAnsi="Courier New" w:hint="default"/>
      </w:rPr>
    </w:lvl>
    <w:lvl w:ilvl="2" w:tplc="6D804AA2">
      <w:start w:val="1"/>
      <w:numFmt w:val="bullet"/>
      <w:lvlText w:val=""/>
      <w:lvlJc w:val="left"/>
      <w:pPr>
        <w:ind w:left="2160" w:hanging="360"/>
      </w:pPr>
      <w:rPr>
        <w:rFonts w:ascii="Wingdings" w:hAnsi="Wingdings" w:hint="default"/>
      </w:rPr>
    </w:lvl>
    <w:lvl w:ilvl="3" w:tplc="AC966A2A">
      <w:start w:val="1"/>
      <w:numFmt w:val="bullet"/>
      <w:lvlText w:val=""/>
      <w:lvlJc w:val="left"/>
      <w:pPr>
        <w:ind w:left="2880" w:hanging="360"/>
      </w:pPr>
      <w:rPr>
        <w:rFonts w:ascii="Symbol" w:hAnsi="Symbol" w:hint="default"/>
      </w:rPr>
    </w:lvl>
    <w:lvl w:ilvl="4" w:tplc="476EA460">
      <w:start w:val="1"/>
      <w:numFmt w:val="bullet"/>
      <w:lvlText w:val="o"/>
      <w:lvlJc w:val="left"/>
      <w:pPr>
        <w:ind w:left="3600" w:hanging="360"/>
      </w:pPr>
      <w:rPr>
        <w:rFonts w:ascii="Courier New" w:hAnsi="Courier New" w:hint="default"/>
      </w:rPr>
    </w:lvl>
    <w:lvl w:ilvl="5" w:tplc="66FE9586">
      <w:start w:val="1"/>
      <w:numFmt w:val="bullet"/>
      <w:lvlText w:val=""/>
      <w:lvlJc w:val="left"/>
      <w:pPr>
        <w:ind w:left="4320" w:hanging="360"/>
      </w:pPr>
      <w:rPr>
        <w:rFonts w:ascii="Wingdings" w:hAnsi="Wingdings" w:hint="default"/>
      </w:rPr>
    </w:lvl>
    <w:lvl w:ilvl="6" w:tplc="CE0E64A4">
      <w:start w:val="1"/>
      <w:numFmt w:val="bullet"/>
      <w:lvlText w:val=""/>
      <w:lvlJc w:val="left"/>
      <w:pPr>
        <w:ind w:left="5040" w:hanging="360"/>
      </w:pPr>
      <w:rPr>
        <w:rFonts w:ascii="Symbol" w:hAnsi="Symbol" w:hint="default"/>
      </w:rPr>
    </w:lvl>
    <w:lvl w:ilvl="7" w:tplc="6B922262">
      <w:start w:val="1"/>
      <w:numFmt w:val="bullet"/>
      <w:lvlText w:val="o"/>
      <w:lvlJc w:val="left"/>
      <w:pPr>
        <w:ind w:left="5760" w:hanging="360"/>
      </w:pPr>
      <w:rPr>
        <w:rFonts w:ascii="Courier New" w:hAnsi="Courier New" w:hint="default"/>
      </w:rPr>
    </w:lvl>
    <w:lvl w:ilvl="8" w:tplc="5832E5D4">
      <w:start w:val="1"/>
      <w:numFmt w:val="bullet"/>
      <w:lvlText w:val=""/>
      <w:lvlJc w:val="left"/>
      <w:pPr>
        <w:ind w:left="6480" w:hanging="360"/>
      </w:pPr>
      <w:rPr>
        <w:rFonts w:ascii="Wingdings" w:hAnsi="Wingdings" w:hint="default"/>
      </w:rPr>
    </w:lvl>
  </w:abstractNum>
  <w:abstractNum w:abstractNumId="14" w15:restartNumberingAfterBreak="0">
    <w:nsid w:val="74C6EA80"/>
    <w:multiLevelType w:val="hybridMultilevel"/>
    <w:tmpl w:val="DD302C10"/>
    <w:lvl w:ilvl="0" w:tplc="DE120750">
      <w:start w:val="1"/>
      <w:numFmt w:val="bullet"/>
      <w:lvlText w:val=""/>
      <w:lvlJc w:val="left"/>
      <w:pPr>
        <w:ind w:left="360" w:hanging="360"/>
      </w:pPr>
      <w:rPr>
        <w:rFonts w:ascii="Symbol" w:hAnsi="Symbol" w:hint="default"/>
      </w:rPr>
    </w:lvl>
    <w:lvl w:ilvl="1" w:tplc="CE4CB4D8">
      <w:start w:val="1"/>
      <w:numFmt w:val="bullet"/>
      <w:lvlText w:val="o"/>
      <w:lvlJc w:val="left"/>
      <w:pPr>
        <w:ind w:left="1440" w:hanging="360"/>
      </w:pPr>
      <w:rPr>
        <w:rFonts w:ascii="Courier New" w:hAnsi="Courier New" w:hint="default"/>
      </w:rPr>
    </w:lvl>
    <w:lvl w:ilvl="2" w:tplc="623AD010">
      <w:start w:val="1"/>
      <w:numFmt w:val="bullet"/>
      <w:lvlText w:val=""/>
      <w:lvlJc w:val="left"/>
      <w:pPr>
        <w:ind w:left="2160" w:hanging="360"/>
      </w:pPr>
      <w:rPr>
        <w:rFonts w:ascii="Wingdings" w:hAnsi="Wingdings" w:hint="default"/>
      </w:rPr>
    </w:lvl>
    <w:lvl w:ilvl="3" w:tplc="B06E0DEE">
      <w:start w:val="1"/>
      <w:numFmt w:val="bullet"/>
      <w:lvlText w:val=""/>
      <w:lvlJc w:val="left"/>
      <w:pPr>
        <w:ind w:left="2880" w:hanging="360"/>
      </w:pPr>
      <w:rPr>
        <w:rFonts w:ascii="Symbol" w:hAnsi="Symbol" w:hint="default"/>
      </w:rPr>
    </w:lvl>
    <w:lvl w:ilvl="4" w:tplc="DB0E26DA">
      <w:start w:val="1"/>
      <w:numFmt w:val="bullet"/>
      <w:lvlText w:val="o"/>
      <w:lvlJc w:val="left"/>
      <w:pPr>
        <w:ind w:left="3600" w:hanging="360"/>
      </w:pPr>
      <w:rPr>
        <w:rFonts w:ascii="Courier New" w:hAnsi="Courier New" w:hint="default"/>
      </w:rPr>
    </w:lvl>
    <w:lvl w:ilvl="5" w:tplc="E5B85C3A">
      <w:start w:val="1"/>
      <w:numFmt w:val="bullet"/>
      <w:lvlText w:val=""/>
      <w:lvlJc w:val="left"/>
      <w:pPr>
        <w:ind w:left="4320" w:hanging="360"/>
      </w:pPr>
      <w:rPr>
        <w:rFonts w:ascii="Wingdings" w:hAnsi="Wingdings" w:hint="default"/>
      </w:rPr>
    </w:lvl>
    <w:lvl w:ilvl="6" w:tplc="82A09C14">
      <w:start w:val="1"/>
      <w:numFmt w:val="bullet"/>
      <w:lvlText w:val=""/>
      <w:lvlJc w:val="left"/>
      <w:pPr>
        <w:ind w:left="5040" w:hanging="360"/>
      </w:pPr>
      <w:rPr>
        <w:rFonts w:ascii="Symbol" w:hAnsi="Symbol" w:hint="default"/>
      </w:rPr>
    </w:lvl>
    <w:lvl w:ilvl="7" w:tplc="1E6C6172">
      <w:start w:val="1"/>
      <w:numFmt w:val="bullet"/>
      <w:lvlText w:val="o"/>
      <w:lvlJc w:val="left"/>
      <w:pPr>
        <w:ind w:left="5760" w:hanging="360"/>
      </w:pPr>
      <w:rPr>
        <w:rFonts w:ascii="Courier New" w:hAnsi="Courier New" w:hint="default"/>
      </w:rPr>
    </w:lvl>
    <w:lvl w:ilvl="8" w:tplc="E57EAEDE">
      <w:start w:val="1"/>
      <w:numFmt w:val="bullet"/>
      <w:lvlText w:val=""/>
      <w:lvlJc w:val="left"/>
      <w:pPr>
        <w:ind w:left="6480" w:hanging="360"/>
      </w:pPr>
      <w:rPr>
        <w:rFonts w:ascii="Wingdings" w:hAnsi="Wingdings" w:hint="default"/>
      </w:rPr>
    </w:lvl>
  </w:abstractNum>
  <w:abstractNum w:abstractNumId="15" w15:restartNumberingAfterBreak="0">
    <w:nsid w:val="7BB524E7"/>
    <w:multiLevelType w:val="hybridMultilevel"/>
    <w:tmpl w:val="CFC2D72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6" w15:restartNumberingAfterBreak="0">
    <w:nsid w:val="7CE82306"/>
    <w:multiLevelType w:val="hybridMultilevel"/>
    <w:tmpl w:val="A41AFE7E"/>
    <w:lvl w:ilvl="0" w:tplc="B76896C0">
      <w:start w:val="1"/>
      <w:numFmt w:val="lowerLetter"/>
      <w:lvlText w:val="(%1)"/>
      <w:lvlJc w:val="left"/>
      <w:pPr>
        <w:ind w:left="360" w:hanging="360"/>
      </w:pPr>
      <w:rPr>
        <w:rFonts w:hint="default"/>
        <w:b w:val="0"/>
        <w:bCs w:val="0"/>
        <w:sz w:val="16"/>
        <w:szCs w:val="16"/>
        <w:vertAlign w:val="superscrip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7FD31406"/>
    <w:multiLevelType w:val="hybridMultilevel"/>
    <w:tmpl w:val="A622F2A2"/>
    <w:lvl w:ilvl="0" w:tplc="348E7ED8">
      <w:start w:val="6"/>
      <w:numFmt w:val="bullet"/>
      <w:lvlText w:val="-"/>
      <w:lvlJc w:val="left"/>
      <w:pPr>
        <w:ind w:left="1080" w:hanging="360"/>
      </w:pPr>
      <w:rPr>
        <w:rFonts w:ascii="Calibri" w:eastAsiaTheme="minorEastAsia"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13"/>
  </w:num>
  <w:num w:numId="2">
    <w:abstractNumId w:val="8"/>
  </w:num>
  <w:num w:numId="3">
    <w:abstractNumId w:val="2"/>
  </w:num>
  <w:num w:numId="4">
    <w:abstractNumId w:val="10"/>
  </w:num>
  <w:num w:numId="5">
    <w:abstractNumId w:val="16"/>
  </w:num>
  <w:num w:numId="6">
    <w:abstractNumId w:val="6"/>
  </w:num>
  <w:num w:numId="7">
    <w:abstractNumId w:val="17"/>
  </w:num>
  <w:num w:numId="8">
    <w:abstractNumId w:val="2"/>
  </w:num>
  <w:num w:numId="9">
    <w:abstractNumId w:val="14"/>
  </w:num>
  <w:num w:numId="10">
    <w:abstractNumId w:val="2"/>
  </w:num>
  <w:num w:numId="11">
    <w:abstractNumId w:val="5"/>
  </w:num>
  <w:num w:numId="12">
    <w:abstractNumId w:val="12"/>
  </w:num>
  <w:num w:numId="13">
    <w:abstractNumId w:val="2"/>
  </w:num>
  <w:num w:numId="14">
    <w:abstractNumId w:val="4"/>
  </w:num>
  <w:num w:numId="15">
    <w:abstractNumId w:val="7"/>
  </w:num>
  <w:num w:numId="16">
    <w:abstractNumId w:val="2"/>
  </w:num>
  <w:num w:numId="17">
    <w:abstractNumId w:val="2"/>
  </w:num>
  <w:num w:numId="18">
    <w:abstractNumId w:val="2"/>
  </w:num>
  <w:num w:numId="19">
    <w:abstractNumId w:val="2"/>
  </w:num>
  <w:num w:numId="20">
    <w:abstractNumId w:val="2"/>
  </w:num>
  <w:num w:numId="21">
    <w:abstractNumId w:val="1"/>
  </w:num>
  <w:num w:numId="22">
    <w:abstractNumId w:val="2"/>
  </w:num>
  <w:num w:numId="23">
    <w:abstractNumId w:val="15"/>
  </w:num>
  <w:num w:numId="24">
    <w:abstractNumId w:val="11"/>
  </w:num>
  <w:num w:numId="25">
    <w:abstractNumId w:val="3"/>
  </w:num>
  <w:num w:numId="26">
    <w:abstractNumId w:val="9"/>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283"/>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0AB3C2A-FCFD-4417-8341-92892525B314"/>
    <w:docVar w:name="LW_COVERPAGE_TYPE" w:val="1"/>
    <w:docVar w:name="LW_CROSSREFERENCE" w:val="{SWD(2022) 343 final}"/>
    <w:docVar w:name="LW_DocType" w:val="NORMAL"/>
    <w:docVar w:name="LW_EMISSION" w:val="26.10.2022"/>
    <w:docVar w:name="LW_EMISSION_ISODATE" w:val="2022-10-26"/>
    <w:docVar w:name="LW_EMISSION_LOCATION" w:val="BRX"/>
    <w:docVar w:name="LW_EMISSION_PREFIX" w:val="Bruxelles, den "/>
    <w:docVar w:name="LW_EMISSION_SUFFIX" w:val=" "/>
    <w:docVar w:name="LW_ID_DOCTYPE_NONLW" w:val="CP-008"/>
    <w:docVar w:name="LW_LANGUE" w:val="DA"/>
    <w:docVar w:name="LW_LEVEL_OF_SENSITIVITY" w:val="Standard treatmen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22) 51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Highlight=7,Bold&gt;Fremskyndelse af overgangen til klimaneutralitet for Europas sikkerhed og velstand&lt;/FMT&gt;_x000d__x000d__x000d__x000d__x000d__x000d__x000d__x000d__x000d__x000b__x000d__x000d__x000d__x000d__x000d__x000d__x000d__x000d__x000d__x000d__x000d__x000b__x000d__x000d__x000d__x000d__x000d__x000d__x000d__x000d__x000d__x000d__x000d__x000b__x000d__x000d__x000d__x000d__x000d__x000d__x000d__x000d__x000d__x000d__x000d__x000b__x000d_EU-statusrapport om klimaindsatsen 2022"/>
    <w:docVar w:name="LW_TYPE.DOC.CP" w:val="RAPPORT FRA KOMMISSIONEN TIL EUROPA-PARLAMENTET, RÅDET, DET EUROPÆISKE ØKONOMISKE OG SOCIALE UDVALG OG REGIONSUDVALGET"/>
    <w:docVar w:name="LwApiVersions" w:val="LW4CoDe 1.23.2.0; LW 8.0, Build 20211117"/>
  </w:docVars>
  <w:rsids>
    <w:rsidRoot w:val="007731A3"/>
    <w:rsid w:val="000009B0"/>
    <w:rsid w:val="00000CC8"/>
    <w:rsid w:val="0000177E"/>
    <w:rsid w:val="00003647"/>
    <w:rsid w:val="00005293"/>
    <w:rsid w:val="00005AB9"/>
    <w:rsid w:val="000064F1"/>
    <w:rsid w:val="0000685C"/>
    <w:rsid w:val="00006D7C"/>
    <w:rsid w:val="00007A50"/>
    <w:rsid w:val="00010067"/>
    <w:rsid w:val="000108A4"/>
    <w:rsid w:val="00010AC9"/>
    <w:rsid w:val="00010FF0"/>
    <w:rsid w:val="00011369"/>
    <w:rsid w:val="000120B0"/>
    <w:rsid w:val="00014C46"/>
    <w:rsid w:val="00014DAF"/>
    <w:rsid w:val="0001521F"/>
    <w:rsid w:val="00015AC0"/>
    <w:rsid w:val="000206B4"/>
    <w:rsid w:val="00020AF4"/>
    <w:rsid w:val="00020BFC"/>
    <w:rsid w:val="00020D4A"/>
    <w:rsid w:val="00021158"/>
    <w:rsid w:val="0002496A"/>
    <w:rsid w:val="00024ACD"/>
    <w:rsid w:val="00024FD3"/>
    <w:rsid w:val="000260DC"/>
    <w:rsid w:val="0002664E"/>
    <w:rsid w:val="00026788"/>
    <w:rsid w:val="00027B74"/>
    <w:rsid w:val="00027DD9"/>
    <w:rsid w:val="00036AA6"/>
    <w:rsid w:val="000379CA"/>
    <w:rsid w:val="00037E21"/>
    <w:rsid w:val="00041AF6"/>
    <w:rsid w:val="000420BC"/>
    <w:rsid w:val="00043800"/>
    <w:rsid w:val="000439C0"/>
    <w:rsid w:val="00043D2D"/>
    <w:rsid w:val="00044072"/>
    <w:rsid w:val="00044940"/>
    <w:rsid w:val="00046B81"/>
    <w:rsid w:val="00047CD1"/>
    <w:rsid w:val="0005069F"/>
    <w:rsid w:val="00051E4A"/>
    <w:rsid w:val="00051F3F"/>
    <w:rsid w:val="00053F59"/>
    <w:rsid w:val="00054141"/>
    <w:rsid w:val="00056575"/>
    <w:rsid w:val="000568A7"/>
    <w:rsid w:val="00056BF8"/>
    <w:rsid w:val="00062A2D"/>
    <w:rsid w:val="00062BD4"/>
    <w:rsid w:val="00063CEF"/>
    <w:rsid w:val="00063F14"/>
    <w:rsid w:val="00064200"/>
    <w:rsid w:val="0006596A"/>
    <w:rsid w:val="00066A31"/>
    <w:rsid w:val="00066B19"/>
    <w:rsid w:val="00067151"/>
    <w:rsid w:val="00067492"/>
    <w:rsid w:val="00067AFA"/>
    <w:rsid w:val="000701F1"/>
    <w:rsid w:val="00070605"/>
    <w:rsid w:val="00071C4B"/>
    <w:rsid w:val="0007237E"/>
    <w:rsid w:val="00072966"/>
    <w:rsid w:val="00073FEC"/>
    <w:rsid w:val="00074C0D"/>
    <w:rsid w:val="00074F4D"/>
    <w:rsid w:val="000754B7"/>
    <w:rsid w:val="00075A69"/>
    <w:rsid w:val="00075ACF"/>
    <w:rsid w:val="00075CFE"/>
    <w:rsid w:val="00077D2B"/>
    <w:rsid w:val="00080068"/>
    <w:rsid w:val="000804B2"/>
    <w:rsid w:val="0008134E"/>
    <w:rsid w:val="00081802"/>
    <w:rsid w:val="00081DF9"/>
    <w:rsid w:val="00082826"/>
    <w:rsid w:val="00083329"/>
    <w:rsid w:val="00083C6A"/>
    <w:rsid w:val="00083DFC"/>
    <w:rsid w:val="00085880"/>
    <w:rsid w:val="00085C1E"/>
    <w:rsid w:val="00086B4E"/>
    <w:rsid w:val="00090267"/>
    <w:rsid w:val="00090CA7"/>
    <w:rsid w:val="000917C9"/>
    <w:rsid w:val="00092F11"/>
    <w:rsid w:val="00092F17"/>
    <w:rsid w:val="000944CC"/>
    <w:rsid w:val="00095356"/>
    <w:rsid w:val="000A2752"/>
    <w:rsid w:val="000A2D25"/>
    <w:rsid w:val="000A2D57"/>
    <w:rsid w:val="000A3AEA"/>
    <w:rsid w:val="000A4205"/>
    <w:rsid w:val="000A489E"/>
    <w:rsid w:val="000A4F0E"/>
    <w:rsid w:val="000A4F90"/>
    <w:rsid w:val="000A53B4"/>
    <w:rsid w:val="000A5C11"/>
    <w:rsid w:val="000A5C1F"/>
    <w:rsid w:val="000A64BD"/>
    <w:rsid w:val="000B00C8"/>
    <w:rsid w:val="000B0402"/>
    <w:rsid w:val="000B18F0"/>
    <w:rsid w:val="000B2DC6"/>
    <w:rsid w:val="000B334F"/>
    <w:rsid w:val="000B33F6"/>
    <w:rsid w:val="000B4188"/>
    <w:rsid w:val="000B4BC8"/>
    <w:rsid w:val="000B56D9"/>
    <w:rsid w:val="000B5C91"/>
    <w:rsid w:val="000B676F"/>
    <w:rsid w:val="000B73E0"/>
    <w:rsid w:val="000B74F0"/>
    <w:rsid w:val="000B7715"/>
    <w:rsid w:val="000C0616"/>
    <w:rsid w:val="000C06D6"/>
    <w:rsid w:val="000C27B8"/>
    <w:rsid w:val="000C3212"/>
    <w:rsid w:val="000C516B"/>
    <w:rsid w:val="000D0796"/>
    <w:rsid w:val="000D1C64"/>
    <w:rsid w:val="000D26FD"/>
    <w:rsid w:val="000D34AA"/>
    <w:rsid w:val="000D3937"/>
    <w:rsid w:val="000D3CCA"/>
    <w:rsid w:val="000D3D23"/>
    <w:rsid w:val="000D3E28"/>
    <w:rsid w:val="000D476F"/>
    <w:rsid w:val="000D50EA"/>
    <w:rsid w:val="000D5239"/>
    <w:rsid w:val="000D572E"/>
    <w:rsid w:val="000D5BFA"/>
    <w:rsid w:val="000D5C34"/>
    <w:rsid w:val="000D740B"/>
    <w:rsid w:val="000D77B6"/>
    <w:rsid w:val="000D7F57"/>
    <w:rsid w:val="000E021F"/>
    <w:rsid w:val="000E178F"/>
    <w:rsid w:val="000E183E"/>
    <w:rsid w:val="000E1921"/>
    <w:rsid w:val="000E24D2"/>
    <w:rsid w:val="000E24F6"/>
    <w:rsid w:val="000E444B"/>
    <w:rsid w:val="000E4CB5"/>
    <w:rsid w:val="000E4EA1"/>
    <w:rsid w:val="000E5D5A"/>
    <w:rsid w:val="000E7031"/>
    <w:rsid w:val="000E71A8"/>
    <w:rsid w:val="000E71C4"/>
    <w:rsid w:val="000F07B7"/>
    <w:rsid w:val="000F187E"/>
    <w:rsid w:val="000F3D12"/>
    <w:rsid w:val="000F6500"/>
    <w:rsid w:val="000F7A88"/>
    <w:rsid w:val="001012EB"/>
    <w:rsid w:val="001026C8"/>
    <w:rsid w:val="00102A28"/>
    <w:rsid w:val="00102C99"/>
    <w:rsid w:val="0010384C"/>
    <w:rsid w:val="00103B2B"/>
    <w:rsid w:val="00103BD8"/>
    <w:rsid w:val="0010501B"/>
    <w:rsid w:val="00107602"/>
    <w:rsid w:val="00113E8F"/>
    <w:rsid w:val="00114A72"/>
    <w:rsid w:val="00115B66"/>
    <w:rsid w:val="001160D3"/>
    <w:rsid w:val="00120861"/>
    <w:rsid w:val="0012356D"/>
    <w:rsid w:val="00124F3A"/>
    <w:rsid w:val="00127AD1"/>
    <w:rsid w:val="001308F7"/>
    <w:rsid w:val="00130C70"/>
    <w:rsid w:val="001316E1"/>
    <w:rsid w:val="00132BDE"/>
    <w:rsid w:val="00134679"/>
    <w:rsid w:val="00135894"/>
    <w:rsid w:val="00135ECD"/>
    <w:rsid w:val="001372C6"/>
    <w:rsid w:val="00141A6D"/>
    <w:rsid w:val="00142E1D"/>
    <w:rsid w:val="00142F5F"/>
    <w:rsid w:val="0014356D"/>
    <w:rsid w:val="0014507C"/>
    <w:rsid w:val="00145924"/>
    <w:rsid w:val="00146173"/>
    <w:rsid w:val="00147F43"/>
    <w:rsid w:val="001502F7"/>
    <w:rsid w:val="001506A9"/>
    <w:rsid w:val="0015225D"/>
    <w:rsid w:val="00152B4A"/>
    <w:rsid w:val="00154955"/>
    <w:rsid w:val="00156B0E"/>
    <w:rsid w:val="0015781F"/>
    <w:rsid w:val="001601AB"/>
    <w:rsid w:val="00160314"/>
    <w:rsid w:val="00160BF4"/>
    <w:rsid w:val="00162479"/>
    <w:rsid w:val="00163E57"/>
    <w:rsid w:val="00164B63"/>
    <w:rsid w:val="00165361"/>
    <w:rsid w:val="00165BAB"/>
    <w:rsid w:val="00166974"/>
    <w:rsid w:val="00166BDC"/>
    <w:rsid w:val="00167EE7"/>
    <w:rsid w:val="0017026E"/>
    <w:rsid w:val="00171766"/>
    <w:rsid w:val="00171F98"/>
    <w:rsid w:val="00173C4B"/>
    <w:rsid w:val="001748B4"/>
    <w:rsid w:val="001749FD"/>
    <w:rsid w:val="00174E7E"/>
    <w:rsid w:val="00174EF2"/>
    <w:rsid w:val="001750CE"/>
    <w:rsid w:val="00175139"/>
    <w:rsid w:val="00175FE9"/>
    <w:rsid w:val="00176093"/>
    <w:rsid w:val="00176BEE"/>
    <w:rsid w:val="00177CAE"/>
    <w:rsid w:val="00180CD5"/>
    <w:rsid w:val="001811E0"/>
    <w:rsid w:val="001812D6"/>
    <w:rsid w:val="001832A8"/>
    <w:rsid w:val="001832E6"/>
    <w:rsid w:val="00183453"/>
    <w:rsid w:val="001839E7"/>
    <w:rsid w:val="0018473E"/>
    <w:rsid w:val="00184DC0"/>
    <w:rsid w:val="00185056"/>
    <w:rsid w:val="001860B3"/>
    <w:rsid w:val="00186502"/>
    <w:rsid w:val="00190395"/>
    <w:rsid w:val="00190925"/>
    <w:rsid w:val="00191B4C"/>
    <w:rsid w:val="001921E0"/>
    <w:rsid w:val="0019257E"/>
    <w:rsid w:val="0019297E"/>
    <w:rsid w:val="00192B72"/>
    <w:rsid w:val="0019301F"/>
    <w:rsid w:val="0019420C"/>
    <w:rsid w:val="00195A27"/>
    <w:rsid w:val="00195A37"/>
    <w:rsid w:val="0019687B"/>
    <w:rsid w:val="00197B62"/>
    <w:rsid w:val="001A169B"/>
    <w:rsid w:val="001A2020"/>
    <w:rsid w:val="001A2EE1"/>
    <w:rsid w:val="001A336D"/>
    <w:rsid w:val="001A64BF"/>
    <w:rsid w:val="001B0A82"/>
    <w:rsid w:val="001B2497"/>
    <w:rsid w:val="001B3466"/>
    <w:rsid w:val="001B41DB"/>
    <w:rsid w:val="001B4914"/>
    <w:rsid w:val="001B639D"/>
    <w:rsid w:val="001B661B"/>
    <w:rsid w:val="001B7174"/>
    <w:rsid w:val="001B7A9A"/>
    <w:rsid w:val="001C0709"/>
    <w:rsid w:val="001C0E8C"/>
    <w:rsid w:val="001C1C5A"/>
    <w:rsid w:val="001C2A2D"/>
    <w:rsid w:val="001C3521"/>
    <w:rsid w:val="001C4184"/>
    <w:rsid w:val="001C4D3E"/>
    <w:rsid w:val="001C6975"/>
    <w:rsid w:val="001D1DC2"/>
    <w:rsid w:val="001D211A"/>
    <w:rsid w:val="001D41A3"/>
    <w:rsid w:val="001D6816"/>
    <w:rsid w:val="001D78B3"/>
    <w:rsid w:val="001D7D5D"/>
    <w:rsid w:val="001D7F60"/>
    <w:rsid w:val="001E1EDD"/>
    <w:rsid w:val="001E20BA"/>
    <w:rsid w:val="001E2E18"/>
    <w:rsid w:val="001E4F57"/>
    <w:rsid w:val="001E524B"/>
    <w:rsid w:val="001E5FF4"/>
    <w:rsid w:val="001F0F94"/>
    <w:rsid w:val="001F136D"/>
    <w:rsid w:val="001F18DE"/>
    <w:rsid w:val="001F22A3"/>
    <w:rsid w:val="001F27B4"/>
    <w:rsid w:val="001F349A"/>
    <w:rsid w:val="001F48CF"/>
    <w:rsid w:val="001F4D94"/>
    <w:rsid w:val="001F65D9"/>
    <w:rsid w:val="001F6C72"/>
    <w:rsid w:val="001F7D93"/>
    <w:rsid w:val="00200977"/>
    <w:rsid w:val="002014E7"/>
    <w:rsid w:val="00201F50"/>
    <w:rsid w:val="002039D5"/>
    <w:rsid w:val="00203CD1"/>
    <w:rsid w:val="002069EC"/>
    <w:rsid w:val="002075F6"/>
    <w:rsid w:val="00210621"/>
    <w:rsid w:val="00211570"/>
    <w:rsid w:val="00211872"/>
    <w:rsid w:val="002127CC"/>
    <w:rsid w:val="00214475"/>
    <w:rsid w:val="002149B6"/>
    <w:rsid w:val="0021728F"/>
    <w:rsid w:val="002176A7"/>
    <w:rsid w:val="0022274B"/>
    <w:rsid w:val="00222F73"/>
    <w:rsid w:val="00225568"/>
    <w:rsid w:val="002259A0"/>
    <w:rsid w:val="00225B0D"/>
    <w:rsid w:val="00226CC5"/>
    <w:rsid w:val="00227CA0"/>
    <w:rsid w:val="00230535"/>
    <w:rsid w:val="00231FB4"/>
    <w:rsid w:val="00233268"/>
    <w:rsid w:val="002354E7"/>
    <w:rsid w:val="00235B2B"/>
    <w:rsid w:val="00235EEF"/>
    <w:rsid w:val="00237313"/>
    <w:rsid w:val="00237485"/>
    <w:rsid w:val="00240CAA"/>
    <w:rsid w:val="00241053"/>
    <w:rsid w:val="00242489"/>
    <w:rsid w:val="00243AD1"/>
    <w:rsid w:val="00243F1B"/>
    <w:rsid w:val="00243FAA"/>
    <w:rsid w:val="00245C88"/>
    <w:rsid w:val="00245CB8"/>
    <w:rsid w:val="00245FA4"/>
    <w:rsid w:val="00247154"/>
    <w:rsid w:val="002471FC"/>
    <w:rsid w:val="00247AC1"/>
    <w:rsid w:val="00250D9B"/>
    <w:rsid w:val="00251067"/>
    <w:rsid w:val="002513FD"/>
    <w:rsid w:val="00253DC3"/>
    <w:rsid w:val="00256B74"/>
    <w:rsid w:val="00257308"/>
    <w:rsid w:val="0026010A"/>
    <w:rsid w:val="00260AA3"/>
    <w:rsid w:val="00260C7E"/>
    <w:rsid w:val="00261B03"/>
    <w:rsid w:val="00262440"/>
    <w:rsid w:val="002626D5"/>
    <w:rsid w:val="0026280A"/>
    <w:rsid w:val="00262FE8"/>
    <w:rsid w:val="00263A8C"/>
    <w:rsid w:val="002644AB"/>
    <w:rsid w:val="002651D6"/>
    <w:rsid w:val="00265469"/>
    <w:rsid w:val="00265A74"/>
    <w:rsid w:val="00267ADA"/>
    <w:rsid w:val="00267B3E"/>
    <w:rsid w:val="00271194"/>
    <w:rsid w:val="00273298"/>
    <w:rsid w:val="0027335B"/>
    <w:rsid w:val="00273987"/>
    <w:rsid w:val="00273E01"/>
    <w:rsid w:val="0027466C"/>
    <w:rsid w:val="002749EE"/>
    <w:rsid w:val="00275928"/>
    <w:rsid w:val="00276078"/>
    <w:rsid w:val="0027716A"/>
    <w:rsid w:val="00277B2C"/>
    <w:rsid w:val="00280753"/>
    <w:rsid w:val="002808D1"/>
    <w:rsid w:val="00280D8B"/>
    <w:rsid w:val="002810B4"/>
    <w:rsid w:val="00281E75"/>
    <w:rsid w:val="00282ADC"/>
    <w:rsid w:val="00282C79"/>
    <w:rsid w:val="00282FDC"/>
    <w:rsid w:val="00283149"/>
    <w:rsid w:val="00283871"/>
    <w:rsid w:val="00283BE4"/>
    <w:rsid w:val="00284D3D"/>
    <w:rsid w:val="0028576B"/>
    <w:rsid w:val="00287406"/>
    <w:rsid w:val="00290AA6"/>
    <w:rsid w:val="00292070"/>
    <w:rsid w:val="00292176"/>
    <w:rsid w:val="00293094"/>
    <w:rsid w:val="00293143"/>
    <w:rsid w:val="00293D3C"/>
    <w:rsid w:val="00295E2A"/>
    <w:rsid w:val="00296153"/>
    <w:rsid w:val="002971A1"/>
    <w:rsid w:val="002A240F"/>
    <w:rsid w:val="002A28CC"/>
    <w:rsid w:val="002A2C54"/>
    <w:rsid w:val="002A3022"/>
    <w:rsid w:val="002A4119"/>
    <w:rsid w:val="002A6C9E"/>
    <w:rsid w:val="002A781F"/>
    <w:rsid w:val="002A7D2B"/>
    <w:rsid w:val="002B00FE"/>
    <w:rsid w:val="002B0445"/>
    <w:rsid w:val="002B06B7"/>
    <w:rsid w:val="002B0E6E"/>
    <w:rsid w:val="002B2851"/>
    <w:rsid w:val="002B3E0F"/>
    <w:rsid w:val="002B421C"/>
    <w:rsid w:val="002B4E7C"/>
    <w:rsid w:val="002B5203"/>
    <w:rsid w:val="002B5720"/>
    <w:rsid w:val="002B6AD6"/>
    <w:rsid w:val="002C0E49"/>
    <w:rsid w:val="002C34E0"/>
    <w:rsid w:val="002C3D57"/>
    <w:rsid w:val="002C5446"/>
    <w:rsid w:val="002D09E3"/>
    <w:rsid w:val="002D0B2F"/>
    <w:rsid w:val="002D29F5"/>
    <w:rsid w:val="002D338C"/>
    <w:rsid w:val="002D3519"/>
    <w:rsid w:val="002D38B5"/>
    <w:rsid w:val="002D4ABC"/>
    <w:rsid w:val="002D7CAF"/>
    <w:rsid w:val="002E0547"/>
    <w:rsid w:val="002E0AF6"/>
    <w:rsid w:val="002E2192"/>
    <w:rsid w:val="002E28E5"/>
    <w:rsid w:val="002E349F"/>
    <w:rsid w:val="002E3CC6"/>
    <w:rsid w:val="002E44D1"/>
    <w:rsid w:val="002E4AFE"/>
    <w:rsid w:val="002E4E3A"/>
    <w:rsid w:val="002E4FDF"/>
    <w:rsid w:val="002E567B"/>
    <w:rsid w:val="002E6795"/>
    <w:rsid w:val="002E6E70"/>
    <w:rsid w:val="002E7192"/>
    <w:rsid w:val="002E7202"/>
    <w:rsid w:val="002E7632"/>
    <w:rsid w:val="002F204D"/>
    <w:rsid w:val="002F3EBE"/>
    <w:rsid w:val="002F6235"/>
    <w:rsid w:val="002F6F52"/>
    <w:rsid w:val="002F7AD4"/>
    <w:rsid w:val="002F7FB0"/>
    <w:rsid w:val="0030031A"/>
    <w:rsid w:val="00301341"/>
    <w:rsid w:val="00301DB8"/>
    <w:rsid w:val="00304C7C"/>
    <w:rsid w:val="00305847"/>
    <w:rsid w:val="00305DD2"/>
    <w:rsid w:val="0030AF84"/>
    <w:rsid w:val="00310750"/>
    <w:rsid w:val="00310BF5"/>
    <w:rsid w:val="00310C2F"/>
    <w:rsid w:val="00312E66"/>
    <w:rsid w:val="00313A70"/>
    <w:rsid w:val="00313C65"/>
    <w:rsid w:val="003146CC"/>
    <w:rsid w:val="00314B17"/>
    <w:rsid w:val="00314F6C"/>
    <w:rsid w:val="00315694"/>
    <w:rsid w:val="003167BD"/>
    <w:rsid w:val="00316F4A"/>
    <w:rsid w:val="00317398"/>
    <w:rsid w:val="00317577"/>
    <w:rsid w:val="00317CF7"/>
    <w:rsid w:val="0032019F"/>
    <w:rsid w:val="00320AF3"/>
    <w:rsid w:val="00320E83"/>
    <w:rsid w:val="00321D42"/>
    <w:rsid w:val="0032320A"/>
    <w:rsid w:val="00323363"/>
    <w:rsid w:val="003235A2"/>
    <w:rsid w:val="00324107"/>
    <w:rsid w:val="003256C7"/>
    <w:rsid w:val="00325C88"/>
    <w:rsid w:val="0032692A"/>
    <w:rsid w:val="00326D13"/>
    <w:rsid w:val="00327672"/>
    <w:rsid w:val="003277D1"/>
    <w:rsid w:val="00327906"/>
    <w:rsid w:val="003310A9"/>
    <w:rsid w:val="003324C3"/>
    <w:rsid w:val="00332DA8"/>
    <w:rsid w:val="003349BE"/>
    <w:rsid w:val="003363B5"/>
    <w:rsid w:val="0033676B"/>
    <w:rsid w:val="003368A1"/>
    <w:rsid w:val="00336B34"/>
    <w:rsid w:val="00336DBB"/>
    <w:rsid w:val="00340F1D"/>
    <w:rsid w:val="00343BB2"/>
    <w:rsid w:val="00344439"/>
    <w:rsid w:val="00344C61"/>
    <w:rsid w:val="00346122"/>
    <w:rsid w:val="00346E13"/>
    <w:rsid w:val="00347DCD"/>
    <w:rsid w:val="00351388"/>
    <w:rsid w:val="00351A09"/>
    <w:rsid w:val="003536DC"/>
    <w:rsid w:val="00354FF7"/>
    <w:rsid w:val="00355A1B"/>
    <w:rsid w:val="00355EAB"/>
    <w:rsid w:val="00356112"/>
    <w:rsid w:val="0036038C"/>
    <w:rsid w:val="00360A93"/>
    <w:rsid w:val="00361392"/>
    <w:rsid w:val="00361A26"/>
    <w:rsid w:val="00363119"/>
    <w:rsid w:val="00365C82"/>
    <w:rsid w:val="00365D4A"/>
    <w:rsid w:val="00367011"/>
    <w:rsid w:val="00367F1F"/>
    <w:rsid w:val="003702FA"/>
    <w:rsid w:val="00370F87"/>
    <w:rsid w:val="00371942"/>
    <w:rsid w:val="003722BD"/>
    <w:rsid w:val="00372A2C"/>
    <w:rsid w:val="00373649"/>
    <w:rsid w:val="0037456C"/>
    <w:rsid w:val="003807F1"/>
    <w:rsid w:val="003827BF"/>
    <w:rsid w:val="003829D1"/>
    <w:rsid w:val="0038306D"/>
    <w:rsid w:val="0038495C"/>
    <w:rsid w:val="00386626"/>
    <w:rsid w:val="00386CB9"/>
    <w:rsid w:val="00386F16"/>
    <w:rsid w:val="0038765E"/>
    <w:rsid w:val="00387DFB"/>
    <w:rsid w:val="0039031A"/>
    <w:rsid w:val="003905A3"/>
    <w:rsid w:val="00392226"/>
    <w:rsid w:val="00392FD1"/>
    <w:rsid w:val="0039320D"/>
    <w:rsid w:val="00393258"/>
    <w:rsid w:val="003932C2"/>
    <w:rsid w:val="00393309"/>
    <w:rsid w:val="00393789"/>
    <w:rsid w:val="00394589"/>
    <w:rsid w:val="00394D29"/>
    <w:rsid w:val="00395C95"/>
    <w:rsid w:val="003A0EEC"/>
    <w:rsid w:val="003A2121"/>
    <w:rsid w:val="003A25DC"/>
    <w:rsid w:val="003A3E58"/>
    <w:rsid w:val="003A4D8C"/>
    <w:rsid w:val="003A50EA"/>
    <w:rsid w:val="003A649C"/>
    <w:rsid w:val="003B0540"/>
    <w:rsid w:val="003B1A3A"/>
    <w:rsid w:val="003B1D00"/>
    <w:rsid w:val="003B1D1A"/>
    <w:rsid w:val="003B2352"/>
    <w:rsid w:val="003B2E43"/>
    <w:rsid w:val="003B2E6B"/>
    <w:rsid w:val="003B3954"/>
    <w:rsid w:val="003B3BE1"/>
    <w:rsid w:val="003B3DD6"/>
    <w:rsid w:val="003B4F1C"/>
    <w:rsid w:val="003B613B"/>
    <w:rsid w:val="003B71A4"/>
    <w:rsid w:val="003B7584"/>
    <w:rsid w:val="003B7610"/>
    <w:rsid w:val="003B77A5"/>
    <w:rsid w:val="003B7F29"/>
    <w:rsid w:val="003C0472"/>
    <w:rsid w:val="003C0C00"/>
    <w:rsid w:val="003C114B"/>
    <w:rsid w:val="003C1D00"/>
    <w:rsid w:val="003C1EEB"/>
    <w:rsid w:val="003C320B"/>
    <w:rsid w:val="003C3DE9"/>
    <w:rsid w:val="003C5309"/>
    <w:rsid w:val="003C60C0"/>
    <w:rsid w:val="003C703B"/>
    <w:rsid w:val="003C7899"/>
    <w:rsid w:val="003C7C51"/>
    <w:rsid w:val="003D0402"/>
    <w:rsid w:val="003D0BC5"/>
    <w:rsid w:val="003D1A1C"/>
    <w:rsid w:val="003D2AC5"/>
    <w:rsid w:val="003D2B9C"/>
    <w:rsid w:val="003D380D"/>
    <w:rsid w:val="003D45B4"/>
    <w:rsid w:val="003D49FE"/>
    <w:rsid w:val="003D53A3"/>
    <w:rsid w:val="003D5C22"/>
    <w:rsid w:val="003D764C"/>
    <w:rsid w:val="003E193C"/>
    <w:rsid w:val="003E1957"/>
    <w:rsid w:val="003E1FDF"/>
    <w:rsid w:val="003E284B"/>
    <w:rsid w:val="003E3860"/>
    <w:rsid w:val="003E41E1"/>
    <w:rsid w:val="003E437B"/>
    <w:rsid w:val="003E5949"/>
    <w:rsid w:val="003E6DBE"/>
    <w:rsid w:val="003E7123"/>
    <w:rsid w:val="003F06D2"/>
    <w:rsid w:val="003F14DB"/>
    <w:rsid w:val="003F1C26"/>
    <w:rsid w:val="003F1CFE"/>
    <w:rsid w:val="003F1E17"/>
    <w:rsid w:val="003F25AA"/>
    <w:rsid w:val="003F3486"/>
    <w:rsid w:val="003F38F3"/>
    <w:rsid w:val="003F6135"/>
    <w:rsid w:val="003F6862"/>
    <w:rsid w:val="00400746"/>
    <w:rsid w:val="0040132F"/>
    <w:rsid w:val="00403384"/>
    <w:rsid w:val="00404FB9"/>
    <w:rsid w:val="004060FC"/>
    <w:rsid w:val="00407535"/>
    <w:rsid w:val="00407B78"/>
    <w:rsid w:val="00410EAD"/>
    <w:rsid w:val="004129DF"/>
    <w:rsid w:val="00413F46"/>
    <w:rsid w:val="00414855"/>
    <w:rsid w:val="00414EC9"/>
    <w:rsid w:val="0041605A"/>
    <w:rsid w:val="0042079E"/>
    <w:rsid w:val="00421C01"/>
    <w:rsid w:val="00423623"/>
    <w:rsid w:val="00423793"/>
    <w:rsid w:val="0042489B"/>
    <w:rsid w:val="00426571"/>
    <w:rsid w:val="004278D9"/>
    <w:rsid w:val="00430605"/>
    <w:rsid w:val="00430AF3"/>
    <w:rsid w:val="0043103A"/>
    <w:rsid w:val="004310ED"/>
    <w:rsid w:val="00432242"/>
    <w:rsid w:val="00433061"/>
    <w:rsid w:val="0043339A"/>
    <w:rsid w:val="00434127"/>
    <w:rsid w:val="00434D04"/>
    <w:rsid w:val="00435B0E"/>
    <w:rsid w:val="00435E33"/>
    <w:rsid w:val="00437698"/>
    <w:rsid w:val="00437CF3"/>
    <w:rsid w:val="00441172"/>
    <w:rsid w:val="0044121C"/>
    <w:rsid w:val="004420E8"/>
    <w:rsid w:val="004435A5"/>
    <w:rsid w:val="00443C21"/>
    <w:rsid w:val="00444E49"/>
    <w:rsid w:val="00447D77"/>
    <w:rsid w:val="00450CF1"/>
    <w:rsid w:val="00451641"/>
    <w:rsid w:val="004534DD"/>
    <w:rsid w:val="00453720"/>
    <w:rsid w:val="0045632C"/>
    <w:rsid w:val="00456694"/>
    <w:rsid w:val="0045765F"/>
    <w:rsid w:val="004579DE"/>
    <w:rsid w:val="0046031D"/>
    <w:rsid w:val="004604C9"/>
    <w:rsid w:val="00463507"/>
    <w:rsid w:val="00464924"/>
    <w:rsid w:val="00464C7F"/>
    <w:rsid w:val="0046508F"/>
    <w:rsid w:val="00466A7A"/>
    <w:rsid w:val="00471ABF"/>
    <w:rsid w:val="00471C47"/>
    <w:rsid w:val="004723B7"/>
    <w:rsid w:val="00472830"/>
    <w:rsid w:val="00474B9E"/>
    <w:rsid w:val="00476472"/>
    <w:rsid w:val="004766F8"/>
    <w:rsid w:val="00480088"/>
    <w:rsid w:val="004803BB"/>
    <w:rsid w:val="004807DB"/>
    <w:rsid w:val="004815D3"/>
    <w:rsid w:val="00483B89"/>
    <w:rsid w:val="00485180"/>
    <w:rsid w:val="0048520B"/>
    <w:rsid w:val="00486AAF"/>
    <w:rsid w:val="0048724B"/>
    <w:rsid w:val="00490FA3"/>
    <w:rsid w:val="00491070"/>
    <w:rsid w:val="00491706"/>
    <w:rsid w:val="004929D5"/>
    <w:rsid w:val="00492FF2"/>
    <w:rsid w:val="00494E6C"/>
    <w:rsid w:val="004959A9"/>
    <w:rsid w:val="00495E13"/>
    <w:rsid w:val="004A0B2E"/>
    <w:rsid w:val="004A3FAC"/>
    <w:rsid w:val="004A41C3"/>
    <w:rsid w:val="004A6A99"/>
    <w:rsid w:val="004B0712"/>
    <w:rsid w:val="004B074C"/>
    <w:rsid w:val="004B1805"/>
    <w:rsid w:val="004B337A"/>
    <w:rsid w:val="004B40BF"/>
    <w:rsid w:val="004B6C86"/>
    <w:rsid w:val="004B78F4"/>
    <w:rsid w:val="004C002C"/>
    <w:rsid w:val="004C0EDF"/>
    <w:rsid w:val="004C1475"/>
    <w:rsid w:val="004C1795"/>
    <w:rsid w:val="004C1C65"/>
    <w:rsid w:val="004C2776"/>
    <w:rsid w:val="004C30C4"/>
    <w:rsid w:val="004C3EBA"/>
    <w:rsid w:val="004C4F0F"/>
    <w:rsid w:val="004C560C"/>
    <w:rsid w:val="004C5743"/>
    <w:rsid w:val="004C5B31"/>
    <w:rsid w:val="004C7040"/>
    <w:rsid w:val="004C70DC"/>
    <w:rsid w:val="004D0C6C"/>
    <w:rsid w:val="004D0D4A"/>
    <w:rsid w:val="004D2AEE"/>
    <w:rsid w:val="004D304E"/>
    <w:rsid w:val="004D340A"/>
    <w:rsid w:val="004D4C5E"/>
    <w:rsid w:val="004D61A0"/>
    <w:rsid w:val="004D6643"/>
    <w:rsid w:val="004D66C0"/>
    <w:rsid w:val="004D6A9E"/>
    <w:rsid w:val="004D6E76"/>
    <w:rsid w:val="004D7F21"/>
    <w:rsid w:val="004E0BD7"/>
    <w:rsid w:val="004E2059"/>
    <w:rsid w:val="004E2FDB"/>
    <w:rsid w:val="004E3891"/>
    <w:rsid w:val="004E3B57"/>
    <w:rsid w:val="004E4532"/>
    <w:rsid w:val="004E5338"/>
    <w:rsid w:val="004E612F"/>
    <w:rsid w:val="004E6C95"/>
    <w:rsid w:val="004F0B2B"/>
    <w:rsid w:val="004F0E0A"/>
    <w:rsid w:val="004F1448"/>
    <w:rsid w:val="004F1689"/>
    <w:rsid w:val="004F360E"/>
    <w:rsid w:val="004F3A9A"/>
    <w:rsid w:val="004F5300"/>
    <w:rsid w:val="004F5BCD"/>
    <w:rsid w:val="004F6529"/>
    <w:rsid w:val="004F6EE2"/>
    <w:rsid w:val="005003C4"/>
    <w:rsid w:val="00500D6A"/>
    <w:rsid w:val="00502951"/>
    <w:rsid w:val="00506372"/>
    <w:rsid w:val="00506AF5"/>
    <w:rsid w:val="005070F1"/>
    <w:rsid w:val="005071C7"/>
    <w:rsid w:val="0050731A"/>
    <w:rsid w:val="00511498"/>
    <w:rsid w:val="00511B23"/>
    <w:rsid w:val="00511BD2"/>
    <w:rsid w:val="00511F9B"/>
    <w:rsid w:val="005163BB"/>
    <w:rsid w:val="0051651B"/>
    <w:rsid w:val="00516974"/>
    <w:rsid w:val="0051757C"/>
    <w:rsid w:val="00520793"/>
    <w:rsid w:val="00520827"/>
    <w:rsid w:val="00522116"/>
    <w:rsid w:val="00522522"/>
    <w:rsid w:val="00522BCD"/>
    <w:rsid w:val="00522E68"/>
    <w:rsid w:val="0052305E"/>
    <w:rsid w:val="00523AC5"/>
    <w:rsid w:val="005245D5"/>
    <w:rsid w:val="00524F13"/>
    <w:rsid w:val="00525A54"/>
    <w:rsid w:val="00525EB9"/>
    <w:rsid w:val="005264A3"/>
    <w:rsid w:val="0052660C"/>
    <w:rsid w:val="0052664F"/>
    <w:rsid w:val="00526756"/>
    <w:rsid w:val="00526BE6"/>
    <w:rsid w:val="00526EB6"/>
    <w:rsid w:val="005272F3"/>
    <w:rsid w:val="005276DC"/>
    <w:rsid w:val="00530CC1"/>
    <w:rsid w:val="00531755"/>
    <w:rsid w:val="00531F22"/>
    <w:rsid w:val="0053470B"/>
    <w:rsid w:val="005367F0"/>
    <w:rsid w:val="00536A91"/>
    <w:rsid w:val="00540D9D"/>
    <w:rsid w:val="00544731"/>
    <w:rsid w:val="00545A8A"/>
    <w:rsid w:val="00546348"/>
    <w:rsid w:val="00546930"/>
    <w:rsid w:val="00546E7E"/>
    <w:rsid w:val="00547BCF"/>
    <w:rsid w:val="00550270"/>
    <w:rsid w:val="0055387F"/>
    <w:rsid w:val="00557153"/>
    <w:rsid w:val="005606CD"/>
    <w:rsid w:val="00561688"/>
    <w:rsid w:val="005616B0"/>
    <w:rsid w:val="00561820"/>
    <w:rsid w:val="00561DD3"/>
    <w:rsid w:val="00562104"/>
    <w:rsid w:val="00562230"/>
    <w:rsid w:val="0056254F"/>
    <w:rsid w:val="00562BF0"/>
    <w:rsid w:val="0056349F"/>
    <w:rsid w:val="005636B0"/>
    <w:rsid w:val="00564177"/>
    <w:rsid w:val="00564F8D"/>
    <w:rsid w:val="00566D39"/>
    <w:rsid w:val="00567EC9"/>
    <w:rsid w:val="0057010B"/>
    <w:rsid w:val="00570B73"/>
    <w:rsid w:val="00570BAF"/>
    <w:rsid w:val="00571760"/>
    <w:rsid w:val="00571929"/>
    <w:rsid w:val="005743E7"/>
    <w:rsid w:val="005746F4"/>
    <w:rsid w:val="005757CA"/>
    <w:rsid w:val="0057593F"/>
    <w:rsid w:val="00576F00"/>
    <w:rsid w:val="005774E9"/>
    <w:rsid w:val="005806A0"/>
    <w:rsid w:val="00580B57"/>
    <w:rsid w:val="00581AB5"/>
    <w:rsid w:val="005828B8"/>
    <w:rsid w:val="0058301E"/>
    <w:rsid w:val="00583110"/>
    <w:rsid w:val="0058333B"/>
    <w:rsid w:val="00585222"/>
    <w:rsid w:val="00585FE7"/>
    <w:rsid w:val="00590874"/>
    <w:rsid w:val="005924A7"/>
    <w:rsid w:val="00592E5A"/>
    <w:rsid w:val="00594A2D"/>
    <w:rsid w:val="005956CC"/>
    <w:rsid w:val="00595FCD"/>
    <w:rsid w:val="00596C1E"/>
    <w:rsid w:val="00596DA8"/>
    <w:rsid w:val="00597167"/>
    <w:rsid w:val="0059785C"/>
    <w:rsid w:val="005A06B8"/>
    <w:rsid w:val="005A0EB2"/>
    <w:rsid w:val="005A156E"/>
    <w:rsid w:val="005A2D50"/>
    <w:rsid w:val="005A2DAA"/>
    <w:rsid w:val="005A5956"/>
    <w:rsid w:val="005A5B48"/>
    <w:rsid w:val="005A5BDB"/>
    <w:rsid w:val="005A6505"/>
    <w:rsid w:val="005A6FEB"/>
    <w:rsid w:val="005B004A"/>
    <w:rsid w:val="005B0138"/>
    <w:rsid w:val="005B0718"/>
    <w:rsid w:val="005B1825"/>
    <w:rsid w:val="005B1A75"/>
    <w:rsid w:val="005B28D9"/>
    <w:rsid w:val="005B3651"/>
    <w:rsid w:val="005B43D3"/>
    <w:rsid w:val="005B488D"/>
    <w:rsid w:val="005B4A33"/>
    <w:rsid w:val="005B504C"/>
    <w:rsid w:val="005B5E00"/>
    <w:rsid w:val="005B60C5"/>
    <w:rsid w:val="005B6454"/>
    <w:rsid w:val="005B792F"/>
    <w:rsid w:val="005C0BF7"/>
    <w:rsid w:val="005C1C1D"/>
    <w:rsid w:val="005C272F"/>
    <w:rsid w:val="005C4E14"/>
    <w:rsid w:val="005C4E3D"/>
    <w:rsid w:val="005C4FEA"/>
    <w:rsid w:val="005C557F"/>
    <w:rsid w:val="005C7658"/>
    <w:rsid w:val="005D0B01"/>
    <w:rsid w:val="005D0E48"/>
    <w:rsid w:val="005D22FC"/>
    <w:rsid w:val="005D2AA5"/>
    <w:rsid w:val="005D2E6A"/>
    <w:rsid w:val="005D31A2"/>
    <w:rsid w:val="005D3504"/>
    <w:rsid w:val="005D6DD0"/>
    <w:rsid w:val="005E1536"/>
    <w:rsid w:val="005E20B2"/>
    <w:rsid w:val="005E22B9"/>
    <w:rsid w:val="005E230D"/>
    <w:rsid w:val="005E255D"/>
    <w:rsid w:val="005E2F1D"/>
    <w:rsid w:val="005E373A"/>
    <w:rsid w:val="005E3C2E"/>
    <w:rsid w:val="005E4A9A"/>
    <w:rsid w:val="005E7198"/>
    <w:rsid w:val="005E76B3"/>
    <w:rsid w:val="005F0384"/>
    <w:rsid w:val="005F0FE2"/>
    <w:rsid w:val="005F250B"/>
    <w:rsid w:val="005F38FC"/>
    <w:rsid w:val="005F3DEB"/>
    <w:rsid w:val="005F43D0"/>
    <w:rsid w:val="005F4542"/>
    <w:rsid w:val="005F53CB"/>
    <w:rsid w:val="005F6480"/>
    <w:rsid w:val="005F6BD3"/>
    <w:rsid w:val="005F7127"/>
    <w:rsid w:val="005F75BA"/>
    <w:rsid w:val="0060288F"/>
    <w:rsid w:val="00602DB7"/>
    <w:rsid w:val="00603698"/>
    <w:rsid w:val="00603765"/>
    <w:rsid w:val="006037F6"/>
    <w:rsid w:val="00606819"/>
    <w:rsid w:val="00606A36"/>
    <w:rsid w:val="00607F55"/>
    <w:rsid w:val="00610987"/>
    <w:rsid w:val="00612A53"/>
    <w:rsid w:val="00614804"/>
    <w:rsid w:val="00614AB4"/>
    <w:rsid w:val="00614D6E"/>
    <w:rsid w:val="00620F85"/>
    <w:rsid w:val="00621510"/>
    <w:rsid w:val="006215F6"/>
    <w:rsid w:val="0062284F"/>
    <w:rsid w:val="00622AA4"/>
    <w:rsid w:val="00627096"/>
    <w:rsid w:val="00627FFA"/>
    <w:rsid w:val="00631DD7"/>
    <w:rsid w:val="0063201A"/>
    <w:rsid w:val="006326C6"/>
    <w:rsid w:val="00633CF6"/>
    <w:rsid w:val="00633E11"/>
    <w:rsid w:val="0063463B"/>
    <w:rsid w:val="00634729"/>
    <w:rsid w:val="00641D8E"/>
    <w:rsid w:val="0064290C"/>
    <w:rsid w:val="00643A99"/>
    <w:rsid w:val="00645219"/>
    <w:rsid w:val="00645BB8"/>
    <w:rsid w:val="00645C0A"/>
    <w:rsid w:val="00646312"/>
    <w:rsid w:val="00650016"/>
    <w:rsid w:val="006529E5"/>
    <w:rsid w:val="00653BE7"/>
    <w:rsid w:val="00654FEB"/>
    <w:rsid w:val="006573D9"/>
    <w:rsid w:val="00657E78"/>
    <w:rsid w:val="00657FC4"/>
    <w:rsid w:val="006604BC"/>
    <w:rsid w:val="006608C5"/>
    <w:rsid w:val="00660964"/>
    <w:rsid w:val="00660AC4"/>
    <w:rsid w:val="006613ED"/>
    <w:rsid w:val="0066217C"/>
    <w:rsid w:val="00662ADD"/>
    <w:rsid w:val="006630E7"/>
    <w:rsid w:val="0066370C"/>
    <w:rsid w:val="00667A86"/>
    <w:rsid w:val="00670555"/>
    <w:rsid w:val="006710DC"/>
    <w:rsid w:val="00671A65"/>
    <w:rsid w:val="00671AB2"/>
    <w:rsid w:val="00671D9B"/>
    <w:rsid w:val="00672805"/>
    <w:rsid w:val="00673A27"/>
    <w:rsid w:val="0067436B"/>
    <w:rsid w:val="00674BFC"/>
    <w:rsid w:val="0067548B"/>
    <w:rsid w:val="006758C4"/>
    <w:rsid w:val="0067772F"/>
    <w:rsid w:val="006802FD"/>
    <w:rsid w:val="00681CA7"/>
    <w:rsid w:val="0068306F"/>
    <w:rsid w:val="00683FC8"/>
    <w:rsid w:val="00684C36"/>
    <w:rsid w:val="00685A63"/>
    <w:rsid w:val="006861F4"/>
    <w:rsid w:val="0068744F"/>
    <w:rsid w:val="0068765E"/>
    <w:rsid w:val="006908FD"/>
    <w:rsid w:val="00690AF2"/>
    <w:rsid w:val="00690B81"/>
    <w:rsid w:val="0069148B"/>
    <w:rsid w:val="00691CDE"/>
    <w:rsid w:val="0069244B"/>
    <w:rsid w:val="00693D13"/>
    <w:rsid w:val="0069462A"/>
    <w:rsid w:val="00694802"/>
    <w:rsid w:val="00695543"/>
    <w:rsid w:val="00695618"/>
    <w:rsid w:val="00696CB8"/>
    <w:rsid w:val="006A0114"/>
    <w:rsid w:val="006A04A3"/>
    <w:rsid w:val="006A157A"/>
    <w:rsid w:val="006A160F"/>
    <w:rsid w:val="006A1882"/>
    <w:rsid w:val="006A4A10"/>
    <w:rsid w:val="006A4DE9"/>
    <w:rsid w:val="006A62E1"/>
    <w:rsid w:val="006A6339"/>
    <w:rsid w:val="006A7079"/>
    <w:rsid w:val="006A78E3"/>
    <w:rsid w:val="006B0282"/>
    <w:rsid w:val="006B0AD9"/>
    <w:rsid w:val="006B0CE5"/>
    <w:rsid w:val="006B1662"/>
    <w:rsid w:val="006B379E"/>
    <w:rsid w:val="006B4682"/>
    <w:rsid w:val="006B480B"/>
    <w:rsid w:val="006B4BAF"/>
    <w:rsid w:val="006B55AF"/>
    <w:rsid w:val="006B59D9"/>
    <w:rsid w:val="006B68C1"/>
    <w:rsid w:val="006C0476"/>
    <w:rsid w:val="006C0CE7"/>
    <w:rsid w:val="006C1284"/>
    <w:rsid w:val="006C175D"/>
    <w:rsid w:val="006C626C"/>
    <w:rsid w:val="006C6ABD"/>
    <w:rsid w:val="006C6BD4"/>
    <w:rsid w:val="006D175D"/>
    <w:rsid w:val="006D2630"/>
    <w:rsid w:val="006D29C2"/>
    <w:rsid w:val="006D2B85"/>
    <w:rsid w:val="006D3012"/>
    <w:rsid w:val="006D331C"/>
    <w:rsid w:val="006D360C"/>
    <w:rsid w:val="006D3EE9"/>
    <w:rsid w:val="006D4A41"/>
    <w:rsid w:val="006D5B85"/>
    <w:rsid w:val="006D5D20"/>
    <w:rsid w:val="006D5E1D"/>
    <w:rsid w:val="006D5E94"/>
    <w:rsid w:val="006D624E"/>
    <w:rsid w:val="006D68A1"/>
    <w:rsid w:val="006D6ED5"/>
    <w:rsid w:val="006D7209"/>
    <w:rsid w:val="006E0BB7"/>
    <w:rsid w:val="006E2C1D"/>
    <w:rsid w:val="006E3E03"/>
    <w:rsid w:val="006E45E7"/>
    <w:rsid w:val="006E5E9C"/>
    <w:rsid w:val="006E62C9"/>
    <w:rsid w:val="006E6CCF"/>
    <w:rsid w:val="006E734F"/>
    <w:rsid w:val="006E742B"/>
    <w:rsid w:val="006E7C80"/>
    <w:rsid w:val="006F0995"/>
    <w:rsid w:val="006F2693"/>
    <w:rsid w:val="006F31B7"/>
    <w:rsid w:val="006F31C3"/>
    <w:rsid w:val="006F38FD"/>
    <w:rsid w:val="006F3F9F"/>
    <w:rsid w:val="006F60A4"/>
    <w:rsid w:val="006F6CE4"/>
    <w:rsid w:val="006F707E"/>
    <w:rsid w:val="006F7FEB"/>
    <w:rsid w:val="0070047A"/>
    <w:rsid w:val="00702952"/>
    <w:rsid w:val="00702F9C"/>
    <w:rsid w:val="0070312F"/>
    <w:rsid w:val="00703864"/>
    <w:rsid w:val="00703B53"/>
    <w:rsid w:val="00704425"/>
    <w:rsid w:val="00704509"/>
    <w:rsid w:val="00704D76"/>
    <w:rsid w:val="00705037"/>
    <w:rsid w:val="00706A05"/>
    <w:rsid w:val="00706E2E"/>
    <w:rsid w:val="0071023E"/>
    <w:rsid w:val="00710E05"/>
    <w:rsid w:val="00711F0B"/>
    <w:rsid w:val="00712A3D"/>
    <w:rsid w:val="0071344F"/>
    <w:rsid w:val="007136C9"/>
    <w:rsid w:val="00713975"/>
    <w:rsid w:val="00713DA1"/>
    <w:rsid w:val="007141A3"/>
    <w:rsid w:val="00714229"/>
    <w:rsid w:val="00715747"/>
    <w:rsid w:val="00715B28"/>
    <w:rsid w:val="007164D4"/>
    <w:rsid w:val="00716791"/>
    <w:rsid w:val="00721206"/>
    <w:rsid w:val="00721A45"/>
    <w:rsid w:val="00722966"/>
    <w:rsid w:val="00722C87"/>
    <w:rsid w:val="0072305A"/>
    <w:rsid w:val="00723D78"/>
    <w:rsid w:val="00726EE7"/>
    <w:rsid w:val="00727BFE"/>
    <w:rsid w:val="00727D8B"/>
    <w:rsid w:val="0073044F"/>
    <w:rsid w:val="00730A8F"/>
    <w:rsid w:val="00732983"/>
    <w:rsid w:val="00732B04"/>
    <w:rsid w:val="00732CE3"/>
    <w:rsid w:val="00732D13"/>
    <w:rsid w:val="00733172"/>
    <w:rsid w:val="007339BF"/>
    <w:rsid w:val="00733E8C"/>
    <w:rsid w:val="00734F97"/>
    <w:rsid w:val="007354B8"/>
    <w:rsid w:val="007425CD"/>
    <w:rsid w:val="00746E98"/>
    <w:rsid w:val="007474A6"/>
    <w:rsid w:val="00747624"/>
    <w:rsid w:val="00747939"/>
    <w:rsid w:val="00750193"/>
    <w:rsid w:val="00750790"/>
    <w:rsid w:val="007510DE"/>
    <w:rsid w:val="007519E2"/>
    <w:rsid w:val="00752522"/>
    <w:rsid w:val="00752843"/>
    <w:rsid w:val="007529C8"/>
    <w:rsid w:val="00752FEB"/>
    <w:rsid w:val="007530A1"/>
    <w:rsid w:val="00753E0B"/>
    <w:rsid w:val="007543E9"/>
    <w:rsid w:val="007558C4"/>
    <w:rsid w:val="00756CA8"/>
    <w:rsid w:val="00756FF4"/>
    <w:rsid w:val="00760371"/>
    <w:rsid w:val="00761EDB"/>
    <w:rsid w:val="0076213D"/>
    <w:rsid w:val="00764747"/>
    <w:rsid w:val="007647BB"/>
    <w:rsid w:val="00766982"/>
    <w:rsid w:val="00766F35"/>
    <w:rsid w:val="00771107"/>
    <w:rsid w:val="00771B9B"/>
    <w:rsid w:val="00772B79"/>
    <w:rsid w:val="00772EEE"/>
    <w:rsid w:val="007731A3"/>
    <w:rsid w:val="007737A9"/>
    <w:rsid w:val="00774774"/>
    <w:rsid w:val="00775590"/>
    <w:rsid w:val="00775BB9"/>
    <w:rsid w:val="00776730"/>
    <w:rsid w:val="0077781C"/>
    <w:rsid w:val="00780276"/>
    <w:rsid w:val="007805A3"/>
    <w:rsid w:val="007812FB"/>
    <w:rsid w:val="00782056"/>
    <w:rsid w:val="00784448"/>
    <w:rsid w:val="00785ABF"/>
    <w:rsid w:val="00786B87"/>
    <w:rsid w:val="00786E00"/>
    <w:rsid w:val="00786F12"/>
    <w:rsid w:val="00790933"/>
    <w:rsid w:val="00790B3D"/>
    <w:rsid w:val="00790B4E"/>
    <w:rsid w:val="0079256C"/>
    <w:rsid w:val="00792DDA"/>
    <w:rsid w:val="007960DE"/>
    <w:rsid w:val="007A19A7"/>
    <w:rsid w:val="007A3314"/>
    <w:rsid w:val="007A544C"/>
    <w:rsid w:val="007A6CA4"/>
    <w:rsid w:val="007A765E"/>
    <w:rsid w:val="007A7A16"/>
    <w:rsid w:val="007B0153"/>
    <w:rsid w:val="007B11EB"/>
    <w:rsid w:val="007B14E7"/>
    <w:rsid w:val="007B1DBD"/>
    <w:rsid w:val="007B1F93"/>
    <w:rsid w:val="007B217A"/>
    <w:rsid w:val="007B23AE"/>
    <w:rsid w:val="007B2787"/>
    <w:rsid w:val="007B4699"/>
    <w:rsid w:val="007B50C6"/>
    <w:rsid w:val="007B5379"/>
    <w:rsid w:val="007B5562"/>
    <w:rsid w:val="007B56BA"/>
    <w:rsid w:val="007B5C8F"/>
    <w:rsid w:val="007B668E"/>
    <w:rsid w:val="007B6AC1"/>
    <w:rsid w:val="007C029B"/>
    <w:rsid w:val="007C08D0"/>
    <w:rsid w:val="007C1EC7"/>
    <w:rsid w:val="007C4783"/>
    <w:rsid w:val="007C7ECC"/>
    <w:rsid w:val="007D1C91"/>
    <w:rsid w:val="007D2054"/>
    <w:rsid w:val="007D25C8"/>
    <w:rsid w:val="007D3AA4"/>
    <w:rsid w:val="007D5048"/>
    <w:rsid w:val="007D60B0"/>
    <w:rsid w:val="007D755B"/>
    <w:rsid w:val="007E1671"/>
    <w:rsid w:val="007E3D60"/>
    <w:rsid w:val="007E6A28"/>
    <w:rsid w:val="007E72F8"/>
    <w:rsid w:val="007E77BC"/>
    <w:rsid w:val="007E7EAA"/>
    <w:rsid w:val="007F169C"/>
    <w:rsid w:val="007F2619"/>
    <w:rsid w:val="007F3F36"/>
    <w:rsid w:val="007F4D65"/>
    <w:rsid w:val="007F6122"/>
    <w:rsid w:val="007F635A"/>
    <w:rsid w:val="00800171"/>
    <w:rsid w:val="00801A8A"/>
    <w:rsid w:val="00801CD4"/>
    <w:rsid w:val="00802B43"/>
    <w:rsid w:val="00802D3E"/>
    <w:rsid w:val="00803C98"/>
    <w:rsid w:val="00804ED7"/>
    <w:rsid w:val="008064AC"/>
    <w:rsid w:val="00806DA7"/>
    <w:rsid w:val="0081057D"/>
    <w:rsid w:val="00813CFD"/>
    <w:rsid w:val="00815BB8"/>
    <w:rsid w:val="00816352"/>
    <w:rsid w:val="008174C7"/>
    <w:rsid w:val="00817B75"/>
    <w:rsid w:val="00820233"/>
    <w:rsid w:val="00820E25"/>
    <w:rsid w:val="0082397A"/>
    <w:rsid w:val="00823E4A"/>
    <w:rsid w:val="00824AA1"/>
    <w:rsid w:val="008252F5"/>
    <w:rsid w:val="008255A2"/>
    <w:rsid w:val="00825B1B"/>
    <w:rsid w:val="00825C15"/>
    <w:rsid w:val="008262B4"/>
    <w:rsid w:val="00826550"/>
    <w:rsid w:val="00827051"/>
    <w:rsid w:val="008278D8"/>
    <w:rsid w:val="00827DAD"/>
    <w:rsid w:val="00830368"/>
    <w:rsid w:val="008307B4"/>
    <w:rsid w:val="00830AF6"/>
    <w:rsid w:val="0083124D"/>
    <w:rsid w:val="00832877"/>
    <w:rsid w:val="00832DAA"/>
    <w:rsid w:val="00834BA2"/>
    <w:rsid w:val="00835F6B"/>
    <w:rsid w:val="00836129"/>
    <w:rsid w:val="008369CE"/>
    <w:rsid w:val="0083769F"/>
    <w:rsid w:val="008409B8"/>
    <w:rsid w:val="0084338F"/>
    <w:rsid w:val="00845E4D"/>
    <w:rsid w:val="008472CC"/>
    <w:rsid w:val="00851E3E"/>
    <w:rsid w:val="0085235D"/>
    <w:rsid w:val="00852836"/>
    <w:rsid w:val="00853130"/>
    <w:rsid w:val="00854896"/>
    <w:rsid w:val="00856883"/>
    <w:rsid w:val="008574E0"/>
    <w:rsid w:val="00861B93"/>
    <w:rsid w:val="00863EB5"/>
    <w:rsid w:val="00863EEC"/>
    <w:rsid w:val="008647FE"/>
    <w:rsid w:val="00864AE6"/>
    <w:rsid w:val="00865F9B"/>
    <w:rsid w:val="00866470"/>
    <w:rsid w:val="00867258"/>
    <w:rsid w:val="00873D7F"/>
    <w:rsid w:val="0087441F"/>
    <w:rsid w:val="00874EA2"/>
    <w:rsid w:val="0087720C"/>
    <w:rsid w:val="00881B1C"/>
    <w:rsid w:val="00883DE2"/>
    <w:rsid w:val="008843C8"/>
    <w:rsid w:val="00884F35"/>
    <w:rsid w:val="008853CD"/>
    <w:rsid w:val="00885F6B"/>
    <w:rsid w:val="0088651F"/>
    <w:rsid w:val="00886698"/>
    <w:rsid w:val="00886CD7"/>
    <w:rsid w:val="0088743F"/>
    <w:rsid w:val="00887663"/>
    <w:rsid w:val="008908C0"/>
    <w:rsid w:val="00890B56"/>
    <w:rsid w:val="0089141C"/>
    <w:rsid w:val="00891714"/>
    <w:rsid w:val="0089211B"/>
    <w:rsid w:val="00892876"/>
    <w:rsid w:val="0089320C"/>
    <w:rsid w:val="00896884"/>
    <w:rsid w:val="00896FAC"/>
    <w:rsid w:val="008977EE"/>
    <w:rsid w:val="008A0C86"/>
    <w:rsid w:val="008A1B4E"/>
    <w:rsid w:val="008A2376"/>
    <w:rsid w:val="008A2BA6"/>
    <w:rsid w:val="008A37FE"/>
    <w:rsid w:val="008A4050"/>
    <w:rsid w:val="008A405B"/>
    <w:rsid w:val="008A415A"/>
    <w:rsid w:val="008A618F"/>
    <w:rsid w:val="008A6D5F"/>
    <w:rsid w:val="008A7081"/>
    <w:rsid w:val="008A732F"/>
    <w:rsid w:val="008B05A3"/>
    <w:rsid w:val="008B0ED4"/>
    <w:rsid w:val="008B0F27"/>
    <w:rsid w:val="008B10FE"/>
    <w:rsid w:val="008B1D16"/>
    <w:rsid w:val="008B2226"/>
    <w:rsid w:val="008B242E"/>
    <w:rsid w:val="008B40E0"/>
    <w:rsid w:val="008B6039"/>
    <w:rsid w:val="008B624E"/>
    <w:rsid w:val="008B6F8E"/>
    <w:rsid w:val="008C06F7"/>
    <w:rsid w:val="008C081E"/>
    <w:rsid w:val="008C12B1"/>
    <w:rsid w:val="008C19D1"/>
    <w:rsid w:val="008C1DBF"/>
    <w:rsid w:val="008C3E65"/>
    <w:rsid w:val="008C6C38"/>
    <w:rsid w:val="008D002B"/>
    <w:rsid w:val="008D0B72"/>
    <w:rsid w:val="008D1EEF"/>
    <w:rsid w:val="008D21B4"/>
    <w:rsid w:val="008D2475"/>
    <w:rsid w:val="008D3032"/>
    <w:rsid w:val="008D4F5F"/>
    <w:rsid w:val="008E1337"/>
    <w:rsid w:val="008E14B4"/>
    <w:rsid w:val="008E17E2"/>
    <w:rsid w:val="008E1F99"/>
    <w:rsid w:val="008E51E3"/>
    <w:rsid w:val="008E77B8"/>
    <w:rsid w:val="008E7818"/>
    <w:rsid w:val="008F0999"/>
    <w:rsid w:val="008F0D31"/>
    <w:rsid w:val="008F125B"/>
    <w:rsid w:val="008F12D3"/>
    <w:rsid w:val="008F149D"/>
    <w:rsid w:val="008F1EA9"/>
    <w:rsid w:val="008F2148"/>
    <w:rsid w:val="008F284F"/>
    <w:rsid w:val="008F319F"/>
    <w:rsid w:val="008F48FC"/>
    <w:rsid w:val="008F6783"/>
    <w:rsid w:val="008F7CDA"/>
    <w:rsid w:val="008F7DB8"/>
    <w:rsid w:val="00900AA4"/>
    <w:rsid w:val="0090185F"/>
    <w:rsid w:val="009028C9"/>
    <w:rsid w:val="0090295C"/>
    <w:rsid w:val="0090394B"/>
    <w:rsid w:val="009078C0"/>
    <w:rsid w:val="00907AF9"/>
    <w:rsid w:val="00907BD9"/>
    <w:rsid w:val="009100DB"/>
    <w:rsid w:val="009149AA"/>
    <w:rsid w:val="00914AC9"/>
    <w:rsid w:val="00915E1C"/>
    <w:rsid w:val="00915EB6"/>
    <w:rsid w:val="009164FA"/>
    <w:rsid w:val="00920872"/>
    <w:rsid w:val="00920B52"/>
    <w:rsid w:val="00921847"/>
    <w:rsid w:val="009219D6"/>
    <w:rsid w:val="00925187"/>
    <w:rsid w:val="009272ED"/>
    <w:rsid w:val="00927D1D"/>
    <w:rsid w:val="00930295"/>
    <w:rsid w:val="00932463"/>
    <w:rsid w:val="0093273A"/>
    <w:rsid w:val="00932E88"/>
    <w:rsid w:val="00935954"/>
    <w:rsid w:val="00936697"/>
    <w:rsid w:val="009369D9"/>
    <w:rsid w:val="00936FA9"/>
    <w:rsid w:val="0093735F"/>
    <w:rsid w:val="0093780B"/>
    <w:rsid w:val="00940911"/>
    <w:rsid w:val="00941919"/>
    <w:rsid w:val="00942B05"/>
    <w:rsid w:val="0094442A"/>
    <w:rsid w:val="009448F4"/>
    <w:rsid w:val="00944989"/>
    <w:rsid w:val="00945D4C"/>
    <w:rsid w:val="00946C84"/>
    <w:rsid w:val="0094785F"/>
    <w:rsid w:val="00947B2D"/>
    <w:rsid w:val="00950023"/>
    <w:rsid w:val="009517BF"/>
    <w:rsid w:val="00952933"/>
    <w:rsid w:val="00953CE5"/>
    <w:rsid w:val="00954213"/>
    <w:rsid w:val="009553B8"/>
    <w:rsid w:val="0095581E"/>
    <w:rsid w:val="0095594D"/>
    <w:rsid w:val="009559E6"/>
    <w:rsid w:val="009566E1"/>
    <w:rsid w:val="009577E4"/>
    <w:rsid w:val="009601E3"/>
    <w:rsid w:val="00960387"/>
    <w:rsid w:val="00961914"/>
    <w:rsid w:val="009625E9"/>
    <w:rsid w:val="009633B8"/>
    <w:rsid w:val="009639DB"/>
    <w:rsid w:val="00963F9F"/>
    <w:rsid w:val="00966194"/>
    <w:rsid w:val="00970C95"/>
    <w:rsid w:val="009713BA"/>
    <w:rsid w:val="00971B54"/>
    <w:rsid w:val="00972ECC"/>
    <w:rsid w:val="009736D1"/>
    <w:rsid w:val="009751C0"/>
    <w:rsid w:val="00975EF9"/>
    <w:rsid w:val="00977DB6"/>
    <w:rsid w:val="0098045E"/>
    <w:rsid w:val="009806E5"/>
    <w:rsid w:val="00981147"/>
    <w:rsid w:val="00983F88"/>
    <w:rsid w:val="00985F1C"/>
    <w:rsid w:val="009864D6"/>
    <w:rsid w:val="009878D1"/>
    <w:rsid w:val="00991094"/>
    <w:rsid w:val="009913A8"/>
    <w:rsid w:val="009921E2"/>
    <w:rsid w:val="00992903"/>
    <w:rsid w:val="00992FA5"/>
    <w:rsid w:val="00996FA4"/>
    <w:rsid w:val="00997B41"/>
    <w:rsid w:val="00997F28"/>
    <w:rsid w:val="009A02ED"/>
    <w:rsid w:val="009A0888"/>
    <w:rsid w:val="009A1171"/>
    <w:rsid w:val="009A1FDC"/>
    <w:rsid w:val="009A25E6"/>
    <w:rsid w:val="009A3FB6"/>
    <w:rsid w:val="009A415D"/>
    <w:rsid w:val="009A41A6"/>
    <w:rsid w:val="009A4279"/>
    <w:rsid w:val="009A42B8"/>
    <w:rsid w:val="009A46D4"/>
    <w:rsid w:val="009A7A4F"/>
    <w:rsid w:val="009B0759"/>
    <w:rsid w:val="009B11AC"/>
    <w:rsid w:val="009B1454"/>
    <w:rsid w:val="009B30C4"/>
    <w:rsid w:val="009B342C"/>
    <w:rsid w:val="009B36DA"/>
    <w:rsid w:val="009B50FC"/>
    <w:rsid w:val="009B5C9D"/>
    <w:rsid w:val="009B60F4"/>
    <w:rsid w:val="009B6735"/>
    <w:rsid w:val="009B68A0"/>
    <w:rsid w:val="009B723B"/>
    <w:rsid w:val="009B75D5"/>
    <w:rsid w:val="009C0769"/>
    <w:rsid w:val="009C294F"/>
    <w:rsid w:val="009C399D"/>
    <w:rsid w:val="009C4171"/>
    <w:rsid w:val="009C4471"/>
    <w:rsid w:val="009C4EA7"/>
    <w:rsid w:val="009C55BF"/>
    <w:rsid w:val="009C66B0"/>
    <w:rsid w:val="009C6890"/>
    <w:rsid w:val="009C750F"/>
    <w:rsid w:val="009D099B"/>
    <w:rsid w:val="009D127A"/>
    <w:rsid w:val="009D15C1"/>
    <w:rsid w:val="009D1934"/>
    <w:rsid w:val="009D2D45"/>
    <w:rsid w:val="009D2F5F"/>
    <w:rsid w:val="009D3C21"/>
    <w:rsid w:val="009D4181"/>
    <w:rsid w:val="009D44EC"/>
    <w:rsid w:val="009D4667"/>
    <w:rsid w:val="009D5AFB"/>
    <w:rsid w:val="009D6147"/>
    <w:rsid w:val="009D616A"/>
    <w:rsid w:val="009D65CB"/>
    <w:rsid w:val="009D7C99"/>
    <w:rsid w:val="009E1564"/>
    <w:rsid w:val="009E396C"/>
    <w:rsid w:val="009E5D9B"/>
    <w:rsid w:val="009E63C2"/>
    <w:rsid w:val="009E69D4"/>
    <w:rsid w:val="009E744A"/>
    <w:rsid w:val="009F0061"/>
    <w:rsid w:val="009F0B20"/>
    <w:rsid w:val="009F1B08"/>
    <w:rsid w:val="009F213D"/>
    <w:rsid w:val="009F32A9"/>
    <w:rsid w:val="009F5B95"/>
    <w:rsid w:val="009F5F81"/>
    <w:rsid w:val="009F66A6"/>
    <w:rsid w:val="00A003BD"/>
    <w:rsid w:val="00A00724"/>
    <w:rsid w:val="00A0093D"/>
    <w:rsid w:val="00A01036"/>
    <w:rsid w:val="00A0349C"/>
    <w:rsid w:val="00A03842"/>
    <w:rsid w:val="00A04836"/>
    <w:rsid w:val="00A04FB8"/>
    <w:rsid w:val="00A0589C"/>
    <w:rsid w:val="00A06676"/>
    <w:rsid w:val="00A079E2"/>
    <w:rsid w:val="00A07ECE"/>
    <w:rsid w:val="00A100BF"/>
    <w:rsid w:val="00A103F2"/>
    <w:rsid w:val="00A117BB"/>
    <w:rsid w:val="00A126CF"/>
    <w:rsid w:val="00A12A5C"/>
    <w:rsid w:val="00A12B5C"/>
    <w:rsid w:val="00A1532C"/>
    <w:rsid w:val="00A15514"/>
    <w:rsid w:val="00A16DF1"/>
    <w:rsid w:val="00A17814"/>
    <w:rsid w:val="00A17DB8"/>
    <w:rsid w:val="00A20505"/>
    <w:rsid w:val="00A209EB"/>
    <w:rsid w:val="00A20E02"/>
    <w:rsid w:val="00A212B2"/>
    <w:rsid w:val="00A21371"/>
    <w:rsid w:val="00A2231A"/>
    <w:rsid w:val="00A22B60"/>
    <w:rsid w:val="00A22F61"/>
    <w:rsid w:val="00A2334E"/>
    <w:rsid w:val="00A23984"/>
    <w:rsid w:val="00A24053"/>
    <w:rsid w:val="00A2608E"/>
    <w:rsid w:val="00A26235"/>
    <w:rsid w:val="00A26264"/>
    <w:rsid w:val="00A2633F"/>
    <w:rsid w:val="00A26FDF"/>
    <w:rsid w:val="00A27278"/>
    <w:rsid w:val="00A272B8"/>
    <w:rsid w:val="00A276E4"/>
    <w:rsid w:val="00A3045E"/>
    <w:rsid w:val="00A307AF"/>
    <w:rsid w:val="00A30B5E"/>
    <w:rsid w:val="00A3288B"/>
    <w:rsid w:val="00A32E69"/>
    <w:rsid w:val="00A3379D"/>
    <w:rsid w:val="00A33C53"/>
    <w:rsid w:val="00A33FBE"/>
    <w:rsid w:val="00A34037"/>
    <w:rsid w:val="00A341FC"/>
    <w:rsid w:val="00A34B43"/>
    <w:rsid w:val="00A35EC7"/>
    <w:rsid w:val="00A36405"/>
    <w:rsid w:val="00A401FB"/>
    <w:rsid w:val="00A40A56"/>
    <w:rsid w:val="00A40B12"/>
    <w:rsid w:val="00A420DB"/>
    <w:rsid w:val="00A444B3"/>
    <w:rsid w:val="00A44681"/>
    <w:rsid w:val="00A45664"/>
    <w:rsid w:val="00A46AEB"/>
    <w:rsid w:val="00A46E9F"/>
    <w:rsid w:val="00A47118"/>
    <w:rsid w:val="00A53075"/>
    <w:rsid w:val="00A53608"/>
    <w:rsid w:val="00A54865"/>
    <w:rsid w:val="00A553C8"/>
    <w:rsid w:val="00A56EAF"/>
    <w:rsid w:val="00A61F56"/>
    <w:rsid w:val="00A626EB"/>
    <w:rsid w:val="00A62E36"/>
    <w:rsid w:val="00A64722"/>
    <w:rsid w:val="00A64D4B"/>
    <w:rsid w:val="00A6545B"/>
    <w:rsid w:val="00A65A7B"/>
    <w:rsid w:val="00A666B3"/>
    <w:rsid w:val="00A666EA"/>
    <w:rsid w:val="00A70715"/>
    <w:rsid w:val="00A70EE6"/>
    <w:rsid w:val="00A72684"/>
    <w:rsid w:val="00A72B2D"/>
    <w:rsid w:val="00A737CC"/>
    <w:rsid w:val="00A73D22"/>
    <w:rsid w:val="00A74E03"/>
    <w:rsid w:val="00A75D2A"/>
    <w:rsid w:val="00A75F45"/>
    <w:rsid w:val="00A767AF"/>
    <w:rsid w:val="00A76926"/>
    <w:rsid w:val="00A800EB"/>
    <w:rsid w:val="00A80579"/>
    <w:rsid w:val="00A81B95"/>
    <w:rsid w:val="00A82D47"/>
    <w:rsid w:val="00A840B6"/>
    <w:rsid w:val="00A84D68"/>
    <w:rsid w:val="00A85FEE"/>
    <w:rsid w:val="00A86FC4"/>
    <w:rsid w:val="00A90444"/>
    <w:rsid w:val="00A919AD"/>
    <w:rsid w:val="00A91A77"/>
    <w:rsid w:val="00A91AEB"/>
    <w:rsid w:val="00A92962"/>
    <w:rsid w:val="00A93175"/>
    <w:rsid w:val="00A948FE"/>
    <w:rsid w:val="00A94EEA"/>
    <w:rsid w:val="00A97FCF"/>
    <w:rsid w:val="00AA03E2"/>
    <w:rsid w:val="00AA1DBF"/>
    <w:rsid w:val="00AA2283"/>
    <w:rsid w:val="00AA320D"/>
    <w:rsid w:val="00AA41E4"/>
    <w:rsid w:val="00AA4BA2"/>
    <w:rsid w:val="00AA676D"/>
    <w:rsid w:val="00AA7163"/>
    <w:rsid w:val="00AB014B"/>
    <w:rsid w:val="00AB1DFC"/>
    <w:rsid w:val="00AB38E9"/>
    <w:rsid w:val="00AB3A78"/>
    <w:rsid w:val="00AB41E9"/>
    <w:rsid w:val="00AB54DF"/>
    <w:rsid w:val="00AB59FC"/>
    <w:rsid w:val="00AB657B"/>
    <w:rsid w:val="00AB6845"/>
    <w:rsid w:val="00AB6AF6"/>
    <w:rsid w:val="00AC15CB"/>
    <w:rsid w:val="00AC2323"/>
    <w:rsid w:val="00AC2516"/>
    <w:rsid w:val="00AC2566"/>
    <w:rsid w:val="00AC2B30"/>
    <w:rsid w:val="00AC3493"/>
    <w:rsid w:val="00AC5EBF"/>
    <w:rsid w:val="00AC7D97"/>
    <w:rsid w:val="00AC7FCD"/>
    <w:rsid w:val="00AD0073"/>
    <w:rsid w:val="00AD11A1"/>
    <w:rsid w:val="00AD140E"/>
    <w:rsid w:val="00AD1C64"/>
    <w:rsid w:val="00AD2144"/>
    <w:rsid w:val="00AD2638"/>
    <w:rsid w:val="00AD3CE9"/>
    <w:rsid w:val="00AD3DC4"/>
    <w:rsid w:val="00AD4025"/>
    <w:rsid w:val="00AD55BF"/>
    <w:rsid w:val="00AD55D9"/>
    <w:rsid w:val="00AD55EB"/>
    <w:rsid w:val="00AD5C6A"/>
    <w:rsid w:val="00AD69DD"/>
    <w:rsid w:val="00AD6A3B"/>
    <w:rsid w:val="00AD75F9"/>
    <w:rsid w:val="00AE098F"/>
    <w:rsid w:val="00AE0E95"/>
    <w:rsid w:val="00AE1796"/>
    <w:rsid w:val="00AE19DD"/>
    <w:rsid w:val="00AE46A1"/>
    <w:rsid w:val="00AE572F"/>
    <w:rsid w:val="00AE782A"/>
    <w:rsid w:val="00AF0999"/>
    <w:rsid w:val="00AF0EB7"/>
    <w:rsid w:val="00AF0F4E"/>
    <w:rsid w:val="00AF0FBA"/>
    <w:rsid w:val="00AF13D9"/>
    <w:rsid w:val="00AF3257"/>
    <w:rsid w:val="00AF32D1"/>
    <w:rsid w:val="00AF4477"/>
    <w:rsid w:val="00AF5456"/>
    <w:rsid w:val="00AF573F"/>
    <w:rsid w:val="00AF5809"/>
    <w:rsid w:val="00AF5FAD"/>
    <w:rsid w:val="00AF66C7"/>
    <w:rsid w:val="00AF6E04"/>
    <w:rsid w:val="00B035E7"/>
    <w:rsid w:val="00B04EAC"/>
    <w:rsid w:val="00B05379"/>
    <w:rsid w:val="00B05FA4"/>
    <w:rsid w:val="00B06CAE"/>
    <w:rsid w:val="00B06CE3"/>
    <w:rsid w:val="00B07821"/>
    <w:rsid w:val="00B111F2"/>
    <w:rsid w:val="00B12FAF"/>
    <w:rsid w:val="00B13BE1"/>
    <w:rsid w:val="00B13F86"/>
    <w:rsid w:val="00B1452B"/>
    <w:rsid w:val="00B16600"/>
    <w:rsid w:val="00B16C46"/>
    <w:rsid w:val="00B1704E"/>
    <w:rsid w:val="00B203B4"/>
    <w:rsid w:val="00B22A34"/>
    <w:rsid w:val="00B233C6"/>
    <w:rsid w:val="00B241C4"/>
    <w:rsid w:val="00B244D8"/>
    <w:rsid w:val="00B25CD5"/>
    <w:rsid w:val="00B26236"/>
    <w:rsid w:val="00B26AD6"/>
    <w:rsid w:val="00B27A39"/>
    <w:rsid w:val="00B31F8E"/>
    <w:rsid w:val="00B32075"/>
    <w:rsid w:val="00B32316"/>
    <w:rsid w:val="00B3249F"/>
    <w:rsid w:val="00B328CE"/>
    <w:rsid w:val="00B32981"/>
    <w:rsid w:val="00B3373F"/>
    <w:rsid w:val="00B34754"/>
    <w:rsid w:val="00B34E8C"/>
    <w:rsid w:val="00B3619E"/>
    <w:rsid w:val="00B365D8"/>
    <w:rsid w:val="00B40B84"/>
    <w:rsid w:val="00B41C1E"/>
    <w:rsid w:val="00B42A36"/>
    <w:rsid w:val="00B4387D"/>
    <w:rsid w:val="00B44076"/>
    <w:rsid w:val="00B44AB9"/>
    <w:rsid w:val="00B454A5"/>
    <w:rsid w:val="00B45628"/>
    <w:rsid w:val="00B46D2A"/>
    <w:rsid w:val="00B51C24"/>
    <w:rsid w:val="00B5240F"/>
    <w:rsid w:val="00B527BD"/>
    <w:rsid w:val="00B527DA"/>
    <w:rsid w:val="00B52A7F"/>
    <w:rsid w:val="00B52FCB"/>
    <w:rsid w:val="00B5300F"/>
    <w:rsid w:val="00B53537"/>
    <w:rsid w:val="00B53AE7"/>
    <w:rsid w:val="00B5411B"/>
    <w:rsid w:val="00B54829"/>
    <w:rsid w:val="00B569D6"/>
    <w:rsid w:val="00B57849"/>
    <w:rsid w:val="00B601FF"/>
    <w:rsid w:val="00B616DC"/>
    <w:rsid w:val="00B61FDB"/>
    <w:rsid w:val="00B6269F"/>
    <w:rsid w:val="00B639FC"/>
    <w:rsid w:val="00B63FF1"/>
    <w:rsid w:val="00B6407B"/>
    <w:rsid w:val="00B652C0"/>
    <w:rsid w:val="00B65AD4"/>
    <w:rsid w:val="00B65E8E"/>
    <w:rsid w:val="00B660E9"/>
    <w:rsid w:val="00B667F5"/>
    <w:rsid w:val="00B670D9"/>
    <w:rsid w:val="00B703DA"/>
    <w:rsid w:val="00B724A2"/>
    <w:rsid w:val="00B72A9C"/>
    <w:rsid w:val="00B73253"/>
    <w:rsid w:val="00B74807"/>
    <w:rsid w:val="00B74B24"/>
    <w:rsid w:val="00B75BC9"/>
    <w:rsid w:val="00B7669A"/>
    <w:rsid w:val="00B77E60"/>
    <w:rsid w:val="00B77F70"/>
    <w:rsid w:val="00B80174"/>
    <w:rsid w:val="00B80768"/>
    <w:rsid w:val="00B81E37"/>
    <w:rsid w:val="00B825AE"/>
    <w:rsid w:val="00B83CAC"/>
    <w:rsid w:val="00B8451E"/>
    <w:rsid w:val="00B84797"/>
    <w:rsid w:val="00B84C62"/>
    <w:rsid w:val="00B86012"/>
    <w:rsid w:val="00B86E38"/>
    <w:rsid w:val="00B87EB3"/>
    <w:rsid w:val="00B90719"/>
    <w:rsid w:val="00B9206B"/>
    <w:rsid w:val="00B924FD"/>
    <w:rsid w:val="00B935C9"/>
    <w:rsid w:val="00B93751"/>
    <w:rsid w:val="00B93E16"/>
    <w:rsid w:val="00B95788"/>
    <w:rsid w:val="00B96129"/>
    <w:rsid w:val="00B9616E"/>
    <w:rsid w:val="00B97400"/>
    <w:rsid w:val="00BA003B"/>
    <w:rsid w:val="00BA0C65"/>
    <w:rsid w:val="00BA2210"/>
    <w:rsid w:val="00BA279E"/>
    <w:rsid w:val="00BA3239"/>
    <w:rsid w:val="00BA563B"/>
    <w:rsid w:val="00BA7551"/>
    <w:rsid w:val="00BA777C"/>
    <w:rsid w:val="00BB0074"/>
    <w:rsid w:val="00BB0A21"/>
    <w:rsid w:val="00BB1131"/>
    <w:rsid w:val="00BB35A2"/>
    <w:rsid w:val="00BB4029"/>
    <w:rsid w:val="00BB582D"/>
    <w:rsid w:val="00BB5902"/>
    <w:rsid w:val="00BC1A41"/>
    <w:rsid w:val="00BC35A8"/>
    <w:rsid w:val="00BC40E8"/>
    <w:rsid w:val="00BC457D"/>
    <w:rsid w:val="00BC4AC8"/>
    <w:rsid w:val="00BC5040"/>
    <w:rsid w:val="00BC50AD"/>
    <w:rsid w:val="00BC6CE1"/>
    <w:rsid w:val="00BC788F"/>
    <w:rsid w:val="00BC797C"/>
    <w:rsid w:val="00BD0E70"/>
    <w:rsid w:val="00BD10F4"/>
    <w:rsid w:val="00BD19CA"/>
    <w:rsid w:val="00BD2012"/>
    <w:rsid w:val="00BD2432"/>
    <w:rsid w:val="00BD338A"/>
    <w:rsid w:val="00BD580E"/>
    <w:rsid w:val="00BE025B"/>
    <w:rsid w:val="00BE05AB"/>
    <w:rsid w:val="00BE17EA"/>
    <w:rsid w:val="00BE26B8"/>
    <w:rsid w:val="00BE6839"/>
    <w:rsid w:val="00BE7552"/>
    <w:rsid w:val="00BE7AF2"/>
    <w:rsid w:val="00BE7E39"/>
    <w:rsid w:val="00BF075D"/>
    <w:rsid w:val="00BF106A"/>
    <w:rsid w:val="00BF123D"/>
    <w:rsid w:val="00BF1A2F"/>
    <w:rsid w:val="00BF1A8C"/>
    <w:rsid w:val="00BF2DCB"/>
    <w:rsid w:val="00BF30AC"/>
    <w:rsid w:val="00BF33D2"/>
    <w:rsid w:val="00BF409B"/>
    <w:rsid w:val="00BF53C7"/>
    <w:rsid w:val="00BF6297"/>
    <w:rsid w:val="00BF7AE0"/>
    <w:rsid w:val="00C01053"/>
    <w:rsid w:val="00C021C9"/>
    <w:rsid w:val="00C0248A"/>
    <w:rsid w:val="00C02503"/>
    <w:rsid w:val="00C02B4D"/>
    <w:rsid w:val="00C04CC9"/>
    <w:rsid w:val="00C07730"/>
    <w:rsid w:val="00C07AE5"/>
    <w:rsid w:val="00C10389"/>
    <w:rsid w:val="00C10CBA"/>
    <w:rsid w:val="00C12752"/>
    <w:rsid w:val="00C13C6B"/>
    <w:rsid w:val="00C13E31"/>
    <w:rsid w:val="00C14047"/>
    <w:rsid w:val="00C14F3A"/>
    <w:rsid w:val="00C1599D"/>
    <w:rsid w:val="00C16D3C"/>
    <w:rsid w:val="00C1779F"/>
    <w:rsid w:val="00C20B56"/>
    <w:rsid w:val="00C215A1"/>
    <w:rsid w:val="00C24524"/>
    <w:rsid w:val="00C24778"/>
    <w:rsid w:val="00C276BD"/>
    <w:rsid w:val="00C27B22"/>
    <w:rsid w:val="00C27B2F"/>
    <w:rsid w:val="00C31CFB"/>
    <w:rsid w:val="00C322B8"/>
    <w:rsid w:val="00C32D69"/>
    <w:rsid w:val="00C332D0"/>
    <w:rsid w:val="00C347D3"/>
    <w:rsid w:val="00C34F03"/>
    <w:rsid w:val="00C351E8"/>
    <w:rsid w:val="00C40953"/>
    <w:rsid w:val="00C40DF3"/>
    <w:rsid w:val="00C41E94"/>
    <w:rsid w:val="00C42E88"/>
    <w:rsid w:val="00C4339C"/>
    <w:rsid w:val="00C43657"/>
    <w:rsid w:val="00C448A5"/>
    <w:rsid w:val="00C47214"/>
    <w:rsid w:val="00C4739B"/>
    <w:rsid w:val="00C509CC"/>
    <w:rsid w:val="00C52626"/>
    <w:rsid w:val="00C5325B"/>
    <w:rsid w:val="00C55CB1"/>
    <w:rsid w:val="00C560E4"/>
    <w:rsid w:val="00C567F9"/>
    <w:rsid w:val="00C56AF3"/>
    <w:rsid w:val="00C57808"/>
    <w:rsid w:val="00C57D3C"/>
    <w:rsid w:val="00C612EF"/>
    <w:rsid w:val="00C61495"/>
    <w:rsid w:val="00C61869"/>
    <w:rsid w:val="00C619C1"/>
    <w:rsid w:val="00C6239F"/>
    <w:rsid w:val="00C63386"/>
    <w:rsid w:val="00C64471"/>
    <w:rsid w:val="00C653C7"/>
    <w:rsid w:val="00C65CBD"/>
    <w:rsid w:val="00C66330"/>
    <w:rsid w:val="00C6687F"/>
    <w:rsid w:val="00C677EF"/>
    <w:rsid w:val="00C67DF5"/>
    <w:rsid w:val="00C70B53"/>
    <w:rsid w:val="00C70E2B"/>
    <w:rsid w:val="00C72617"/>
    <w:rsid w:val="00C728BA"/>
    <w:rsid w:val="00C7422B"/>
    <w:rsid w:val="00C74E74"/>
    <w:rsid w:val="00C761E4"/>
    <w:rsid w:val="00C7697E"/>
    <w:rsid w:val="00C77406"/>
    <w:rsid w:val="00C80054"/>
    <w:rsid w:val="00C80666"/>
    <w:rsid w:val="00C80BE4"/>
    <w:rsid w:val="00C812BA"/>
    <w:rsid w:val="00C817C8"/>
    <w:rsid w:val="00C828A5"/>
    <w:rsid w:val="00C82EA5"/>
    <w:rsid w:val="00C84BFA"/>
    <w:rsid w:val="00C85847"/>
    <w:rsid w:val="00C866BE"/>
    <w:rsid w:val="00C86DB6"/>
    <w:rsid w:val="00C8709B"/>
    <w:rsid w:val="00C872F2"/>
    <w:rsid w:val="00C91FE0"/>
    <w:rsid w:val="00C968D2"/>
    <w:rsid w:val="00CA1608"/>
    <w:rsid w:val="00CA17BD"/>
    <w:rsid w:val="00CA21FD"/>
    <w:rsid w:val="00CA2E81"/>
    <w:rsid w:val="00CA3BC2"/>
    <w:rsid w:val="00CA5B2D"/>
    <w:rsid w:val="00CA6107"/>
    <w:rsid w:val="00CA6F48"/>
    <w:rsid w:val="00CA7405"/>
    <w:rsid w:val="00CA769F"/>
    <w:rsid w:val="00CA7CC5"/>
    <w:rsid w:val="00CA7EA5"/>
    <w:rsid w:val="00CB0328"/>
    <w:rsid w:val="00CB0783"/>
    <w:rsid w:val="00CB18B7"/>
    <w:rsid w:val="00CB2261"/>
    <w:rsid w:val="00CB2C93"/>
    <w:rsid w:val="00CB2E13"/>
    <w:rsid w:val="00CB3C2E"/>
    <w:rsid w:val="00CB3EAE"/>
    <w:rsid w:val="00CB4838"/>
    <w:rsid w:val="00CB572B"/>
    <w:rsid w:val="00CB7A7A"/>
    <w:rsid w:val="00CB7BF2"/>
    <w:rsid w:val="00CC07FD"/>
    <w:rsid w:val="00CC0F15"/>
    <w:rsid w:val="00CC1219"/>
    <w:rsid w:val="00CC17AA"/>
    <w:rsid w:val="00CC21E4"/>
    <w:rsid w:val="00CC2D00"/>
    <w:rsid w:val="00CC413E"/>
    <w:rsid w:val="00CC5080"/>
    <w:rsid w:val="00CC5362"/>
    <w:rsid w:val="00CC56E2"/>
    <w:rsid w:val="00CC578A"/>
    <w:rsid w:val="00CC7893"/>
    <w:rsid w:val="00CC793A"/>
    <w:rsid w:val="00CD00C7"/>
    <w:rsid w:val="00CD0E35"/>
    <w:rsid w:val="00CD1294"/>
    <w:rsid w:val="00CD177B"/>
    <w:rsid w:val="00CD2062"/>
    <w:rsid w:val="00CD2C35"/>
    <w:rsid w:val="00CD3981"/>
    <w:rsid w:val="00CD40EA"/>
    <w:rsid w:val="00CD4BD6"/>
    <w:rsid w:val="00CD5346"/>
    <w:rsid w:val="00CD625C"/>
    <w:rsid w:val="00CD6CF6"/>
    <w:rsid w:val="00CD75D0"/>
    <w:rsid w:val="00CD77C2"/>
    <w:rsid w:val="00CD7A4C"/>
    <w:rsid w:val="00CE1713"/>
    <w:rsid w:val="00CE282A"/>
    <w:rsid w:val="00CE2F39"/>
    <w:rsid w:val="00CE3B5E"/>
    <w:rsid w:val="00CE3B75"/>
    <w:rsid w:val="00CE56B5"/>
    <w:rsid w:val="00CE5EBD"/>
    <w:rsid w:val="00CE6AE8"/>
    <w:rsid w:val="00CE7957"/>
    <w:rsid w:val="00CE7B37"/>
    <w:rsid w:val="00CE7C45"/>
    <w:rsid w:val="00CE7F07"/>
    <w:rsid w:val="00CE7FDE"/>
    <w:rsid w:val="00CF11A0"/>
    <w:rsid w:val="00CF1B48"/>
    <w:rsid w:val="00CF1DDA"/>
    <w:rsid w:val="00CF4C9A"/>
    <w:rsid w:val="00CF5FEA"/>
    <w:rsid w:val="00CF68C6"/>
    <w:rsid w:val="00CF7A6C"/>
    <w:rsid w:val="00D00899"/>
    <w:rsid w:val="00D0169E"/>
    <w:rsid w:val="00D02401"/>
    <w:rsid w:val="00D02511"/>
    <w:rsid w:val="00D02E20"/>
    <w:rsid w:val="00D03225"/>
    <w:rsid w:val="00D040B7"/>
    <w:rsid w:val="00D0483B"/>
    <w:rsid w:val="00D04DA9"/>
    <w:rsid w:val="00D05713"/>
    <w:rsid w:val="00D059D5"/>
    <w:rsid w:val="00D073CB"/>
    <w:rsid w:val="00D075CF"/>
    <w:rsid w:val="00D07778"/>
    <w:rsid w:val="00D1013A"/>
    <w:rsid w:val="00D126F9"/>
    <w:rsid w:val="00D12D32"/>
    <w:rsid w:val="00D14247"/>
    <w:rsid w:val="00D1535F"/>
    <w:rsid w:val="00D162AC"/>
    <w:rsid w:val="00D1683E"/>
    <w:rsid w:val="00D1697B"/>
    <w:rsid w:val="00D17B3C"/>
    <w:rsid w:val="00D2138B"/>
    <w:rsid w:val="00D21B88"/>
    <w:rsid w:val="00D21F22"/>
    <w:rsid w:val="00D228E6"/>
    <w:rsid w:val="00D22A11"/>
    <w:rsid w:val="00D24B06"/>
    <w:rsid w:val="00D25599"/>
    <w:rsid w:val="00D26E08"/>
    <w:rsid w:val="00D27C79"/>
    <w:rsid w:val="00D3045D"/>
    <w:rsid w:val="00D30AA4"/>
    <w:rsid w:val="00D30EAE"/>
    <w:rsid w:val="00D310F3"/>
    <w:rsid w:val="00D31B73"/>
    <w:rsid w:val="00D3346E"/>
    <w:rsid w:val="00D3539C"/>
    <w:rsid w:val="00D36752"/>
    <w:rsid w:val="00D36BF6"/>
    <w:rsid w:val="00D37732"/>
    <w:rsid w:val="00D40EF9"/>
    <w:rsid w:val="00D417A7"/>
    <w:rsid w:val="00D41B55"/>
    <w:rsid w:val="00D43195"/>
    <w:rsid w:val="00D43954"/>
    <w:rsid w:val="00D43AB9"/>
    <w:rsid w:val="00D44917"/>
    <w:rsid w:val="00D45BBA"/>
    <w:rsid w:val="00D45C0F"/>
    <w:rsid w:val="00D53854"/>
    <w:rsid w:val="00D545B8"/>
    <w:rsid w:val="00D54ECD"/>
    <w:rsid w:val="00D5675D"/>
    <w:rsid w:val="00D56D8F"/>
    <w:rsid w:val="00D57120"/>
    <w:rsid w:val="00D57EDB"/>
    <w:rsid w:val="00D634E7"/>
    <w:rsid w:val="00D64688"/>
    <w:rsid w:val="00D706A7"/>
    <w:rsid w:val="00D716F7"/>
    <w:rsid w:val="00D733A4"/>
    <w:rsid w:val="00D735C1"/>
    <w:rsid w:val="00D74AE0"/>
    <w:rsid w:val="00D75172"/>
    <w:rsid w:val="00D75A79"/>
    <w:rsid w:val="00D75E75"/>
    <w:rsid w:val="00D761D1"/>
    <w:rsid w:val="00D76874"/>
    <w:rsid w:val="00D77D02"/>
    <w:rsid w:val="00D81745"/>
    <w:rsid w:val="00D833E2"/>
    <w:rsid w:val="00D836C5"/>
    <w:rsid w:val="00D8386D"/>
    <w:rsid w:val="00D843FB"/>
    <w:rsid w:val="00D857F8"/>
    <w:rsid w:val="00D86581"/>
    <w:rsid w:val="00D86B5E"/>
    <w:rsid w:val="00D908EE"/>
    <w:rsid w:val="00D91D28"/>
    <w:rsid w:val="00D921D7"/>
    <w:rsid w:val="00D94176"/>
    <w:rsid w:val="00D950AB"/>
    <w:rsid w:val="00D95EDA"/>
    <w:rsid w:val="00D97324"/>
    <w:rsid w:val="00D97551"/>
    <w:rsid w:val="00DA08A9"/>
    <w:rsid w:val="00DA1207"/>
    <w:rsid w:val="00DA1B71"/>
    <w:rsid w:val="00DA2D69"/>
    <w:rsid w:val="00DA3348"/>
    <w:rsid w:val="00DA35CC"/>
    <w:rsid w:val="00DA3A06"/>
    <w:rsid w:val="00DA41EC"/>
    <w:rsid w:val="00DA5BE0"/>
    <w:rsid w:val="00DA5DC5"/>
    <w:rsid w:val="00DA5E68"/>
    <w:rsid w:val="00DA6332"/>
    <w:rsid w:val="00DA64FC"/>
    <w:rsid w:val="00DA6C63"/>
    <w:rsid w:val="00DB1636"/>
    <w:rsid w:val="00DB2105"/>
    <w:rsid w:val="00DB4CDC"/>
    <w:rsid w:val="00DB50E5"/>
    <w:rsid w:val="00DB525D"/>
    <w:rsid w:val="00DB56C3"/>
    <w:rsid w:val="00DC1EBF"/>
    <w:rsid w:val="00DC2355"/>
    <w:rsid w:val="00DC2852"/>
    <w:rsid w:val="00DC344A"/>
    <w:rsid w:val="00DC360B"/>
    <w:rsid w:val="00DC57AA"/>
    <w:rsid w:val="00DC59B2"/>
    <w:rsid w:val="00DC7BC2"/>
    <w:rsid w:val="00DC7FEA"/>
    <w:rsid w:val="00DD0AD9"/>
    <w:rsid w:val="00DD0BD8"/>
    <w:rsid w:val="00DD1081"/>
    <w:rsid w:val="00DD2162"/>
    <w:rsid w:val="00DD2583"/>
    <w:rsid w:val="00DD31E0"/>
    <w:rsid w:val="00DD59F7"/>
    <w:rsid w:val="00DD5DBA"/>
    <w:rsid w:val="00DD6FAB"/>
    <w:rsid w:val="00DE1963"/>
    <w:rsid w:val="00DE2252"/>
    <w:rsid w:val="00DE398D"/>
    <w:rsid w:val="00DE3B9A"/>
    <w:rsid w:val="00DE53F8"/>
    <w:rsid w:val="00DE5A80"/>
    <w:rsid w:val="00DE5B94"/>
    <w:rsid w:val="00DE6CA6"/>
    <w:rsid w:val="00DE71F5"/>
    <w:rsid w:val="00DE7823"/>
    <w:rsid w:val="00DE793B"/>
    <w:rsid w:val="00DF0C42"/>
    <w:rsid w:val="00DF0E94"/>
    <w:rsid w:val="00DF11AC"/>
    <w:rsid w:val="00DF1306"/>
    <w:rsid w:val="00DF34A2"/>
    <w:rsid w:val="00DF3E6A"/>
    <w:rsid w:val="00DF4443"/>
    <w:rsid w:val="00DF6DD9"/>
    <w:rsid w:val="00DF72F5"/>
    <w:rsid w:val="00E004E0"/>
    <w:rsid w:val="00E0149C"/>
    <w:rsid w:val="00E02E76"/>
    <w:rsid w:val="00E03302"/>
    <w:rsid w:val="00E034DC"/>
    <w:rsid w:val="00E05536"/>
    <w:rsid w:val="00E06327"/>
    <w:rsid w:val="00E06507"/>
    <w:rsid w:val="00E06B27"/>
    <w:rsid w:val="00E06DA8"/>
    <w:rsid w:val="00E07FDA"/>
    <w:rsid w:val="00E10498"/>
    <w:rsid w:val="00E11EA6"/>
    <w:rsid w:val="00E1215D"/>
    <w:rsid w:val="00E12489"/>
    <w:rsid w:val="00E125CC"/>
    <w:rsid w:val="00E13C8E"/>
    <w:rsid w:val="00E13DF7"/>
    <w:rsid w:val="00E1429B"/>
    <w:rsid w:val="00E146B0"/>
    <w:rsid w:val="00E15F9E"/>
    <w:rsid w:val="00E16420"/>
    <w:rsid w:val="00E16548"/>
    <w:rsid w:val="00E16DBB"/>
    <w:rsid w:val="00E1787F"/>
    <w:rsid w:val="00E21B3E"/>
    <w:rsid w:val="00E23216"/>
    <w:rsid w:val="00E24B28"/>
    <w:rsid w:val="00E25D96"/>
    <w:rsid w:val="00E2630B"/>
    <w:rsid w:val="00E30343"/>
    <w:rsid w:val="00E30DDD"/>
    <w:rsid w:val="00E3221A"/>
    <w:rsid w:val="00E32665"/>
    <w:rsid w:val="00E33161"/>
    <w:rsid w:val="00E337CF"/>
    <w:rsid w:val="00E3388F"/>
    <w:rsid w:val="00E338E8"/>
    <w:rsid w:val="00E33A2D"/>
    <w:rsid w:val="00E40FD1"/>
    <w:rsid w:val="00E415C9"/>
    <w:rsid w:val="00E42F13"/>
    <w:rsid w:val="00E43473"/>
    <w:rsid w:val="00E43B50"/>
    <w:rsid w:val="00E442B4"/>
    <w:rsid w:val="00E4453D"/>
    <w:rsid w:val="00E44918"/>
    <w:rsid w:val="00E46C9F"/>
    <w:rsid w:val="00E47B16"/>
    <w:rsid w:val="00E50A9B"/>
    <w:rsid w:val="00E51281"/>
    <w:rsid w:val="00E5650A"/>
    <w:rsid w:val="00E57782"/>
    <w:rsid w:val="00E61172"/>
    <w:rsid w:val="00E65397"/>
    <w:rsid w:val="00E65DEF"/>
    <w:rsid w:val="00E66AFE"/>
    <w:rsid w:val="00E66EB7"/>
    <w:rsid w:val="00E67876"/>
    <w:rsid w:val="00E71227"/>
    <w:rsid w:val="00E728F6"/>
    <w:rsid w:val="00E72FD5"/>
    <w:rsid w:val="00E72FF1"/>
    <w:rsid w:val="00E7410D"/>
    <w:rsid w:val="00E74792"/>
    <w:rsid w:val="00E77AE5"/>
    <w:rsid w:val="00E8031F"/>
    <w:rsid w:val="00E81356"/>
    <w:rsid w:val="00E81880"/>
    <w:rsid w:val="00E81B62"/>
    <w:rsid w:val="00E82530"/>
    <w:rsid w:val="00E82781"/>
    <w:rsid w:val="00E827CA"/>
    <w:rsid w:val="00E83618"/>
    <w:rsid w:val="00E8415D"/>
    <w:rsid w:val="00E84598"/>
    <w:rsid w:val="00E84EA7"/>
    <w:rsid w:val="00E855CF"/>
    <w:rsid w:val="00E86CAD"/>
    <w:rsid w:val="00E87B76"/>
    <w:rsid w:val="00E94578"/>
    <w:rsid w:val="00E95134"/>
    <w:rsid w:val="00E95F14"/>
    <w:rsid w:val="00EA165F"/>
    <w:rsid w:val="00EA1BE9"/>
    <w:rsid w:val="00EA3B68"/>
    <w:rsid w:val="00EA3BF3"/>
    <w:rsid w:val="00EA54F6"/>
    <w:rsid w:val="00EA62CB"/>
    <w:rsid w:val="00EA6ECF"/>
    <w:rsid w:val="00EA6F0B"/>
    <w:rsid w:val="00EA708D"/>
    <w:rsid w:val="00EB3CAE"/>
    <w:rsid w:val="00EB45E5"/>
    <w:rsid w:val="00EB474A"/>
    <w:rsid w:val="00EB611E"/>
    <w:rsid w:val="00EB66F7"/>
    <w:rsid w:val="00EB675E"/>
    <w:rsid w:val="00EB6D4D"/>
    <w:rsid w:val="00EC011A"/>
    <w:rsid w:val="00EC18AE"/>
    <w:rsid w:val="00EC1A44"/>
    <w:rsid w:val="00EC29E6"/>
    <w:rsid w:val="00EC3C80"/>
    <w:rsid w:val="00EC3E68"/>
    <w:rsid w:val="00EC44C7"/>
    <w:rsid w:val="00EC47D6"/>
    <w:rsid w:val="00EC533A"/>
    <w:rsid w:val="00EC59CD"/>
    <w:rsid w:val="00EC6061"/>
    <w:rsid w:val="00EC63AF"/>
    <w:rsid w:val="00EC7277"/>
    <w:rsid w:val="00EC745A"/>
    <w:rsid w:val="00EC74AF"/>
    <w:rsid w:val="00EC791A"/>
    <w:rsid w:val="00ED0EF2"/>
    <w:rsid w:val="00ED1D6A"/>
    <w:rsid w:val="00ED2500"/>
    <w:rsid w:val="00ED3C49"/>
    <w:rsid w:val="00ED4729"/>
    <w:rsid w:val="00ED56A2"/>
    <w:rsid w:val="00ED5925"/>
    <w:rsid w:val="00ED6A4C"/>
    <w:rsid w:val="00ED6B77"/>
    <w:rsid w:val="00ED7160"/>
    <w:rsid w:val="00ED7993"/>
    <w:rsid w:val="00EE1606"/>
    <w:rsid w:val="00EE2C02"/>
    <w:rsid w:val="00EE3766"/>
    <w:rsid w:val="00EE5063"/>
    <w:rsid w:val="00EE524D"/>
    <w:rsid w:val="00EE5DEE"/>
    <w:rsid w:val="00EF2E2B"/>
    <w:rsid w:val="00EF3C99"/>
    <w:rsid w:val="00EF3E57"/>
    <w:rsid w:val="00EF4829"/>
    <w:rsid w:val="00EF4C76"/>
    <w:rsid w:val="00EF5C19"/>
    <w:rsid w:val="00EF7B71"/>
    <w:rsid w:val="00EF7FD8"/>
    <w:rsid w:val="00F00F73"/>
    <w:rsid w:val="00F012A8"/>
    <w:rsid w:val="00F01CA8"/>
    <w:rsid w:val="00F030DD"/>
    <w:rsid w:val="00F0315C"/>
    <w:rsid w:val="00F035AE"/>
    <w:rsid w:val="00F04EC8"/>
    <w:rsid w:val="00F051CC"/>
    <w:rsid w:val="00F05C77"/>
    <w:rsid w:val="00F06CB0"/>
    <w:rsid w:val="00F07089"/>
    <w:rsid w:val="00F072C2"/>
    <w:rsid w:val="00F07980"/>
    <w:rsid w:val="00F07C38"/>
    <w:rsid w:val="00F07CFA"/>
    <w:rsid w:val="00F106DB"/>
    <w:rsid w:val="00F129E1"/>
    <w:rsid w:val="00F16C9D"/>
    <w:rsid w:val="00F17F4F"/>
    <w:rsid w:val="00F202BC"/>
    <w:rsid w:val="00F207F1"/>
    <w:rsid w:val="00F21781"/>
    <w:rsid w:val="00F22051"/>
    <w:rsid w:val="00F22181"/>
    <w:rsid w:val="00F22776"/>
    <w:rsid w:val="00F23391"/>
    <w:rsid w:val="00F23818"/>
    <w:rsid w:val="00F23FCC"/>
    <w:rsid w:val="00F24142"/>
    <w:rsid w:val="00F249D2"/>
    <w:rsid w:val="00F25929"/>
    <w:rsid w:val="00F26206"/>
    <w:rsid w:val="00F26E54"/>
    <w:rsid w:val="00F30A89"/>
    <w:rsid w:val="00F3138B"/>
    <w:rsid w:val="00F32FD0"/>
    <w:rsid w:val="00F336DA"/>
    <w:rsid w:val="00F3399B"/>
    <w:rsid w:val="00F34DE8"/>
    <w:rsid w:val="00F34FE7"/>
    <w:rsid w:val="00F366CC"/>
    <w:rsid w:val="00F36FC7"/>
    <w:rsid w:val="00F40DD9"/>
    <w:rsid w:val="00F4137D"/>
    <w:rsid w:val="00F41BA7"/>
    <w:rsid w:val="00F42C1C"/>
    <w:rsid w:val="00F42DA5"/>
    <w:rsid w:val="00F4462B"/>
    <w:rsid w:val="00F44ECC"/>
    <w:rsid w:val="00F452FA"/>
    <w:rsid w:val="00F4560C"/>
    <w:rsid w:val="00F45EFD"/>
    <w:rsid w:val="00F46212"/>
    <w:rsid w:val="00F4680E"/>
    <w:rsid w:val="00F477DD"/>
    <w:rsid w:val="00F5081C"/>
    <w:rsid w:val="00F50E03"/>
    <w:rsid w:val="00F51250"/>
    <w:rsid w:val="00F518CD"/>
    <w:rsid w:val="00F519B7"/>
    <w:rsid w:val="00F532CA"/>
    <w:rsid w:val="00F5378D"/>
    <w:rsid w:val="00F53985"/>
    <w:rsid w:val="00F53A63"/>
    <w:rsid w:val="00F53EB9"/>
    <w:rsid w:val="00F553B8"/>
    <w:rsid w:val="00F57EBC"/>
    <w:rsid w:val="00F60856"/>
    <w:rsid w:val="00F60E72"/>
    <w:rsid w:val="00F624D3"/>
    <w:rsid w:val="00F63306"/>
    <w:rsid w:val="00F65153"/>
    <w:rsid w:val="00F6532E"/>
    <w:rsid w:val="00F659DE"/>
    <w:rsid w:val="00F66DA2"/>
    <w:rsid w:val="00F71137"/>
    <w:rsid w:val="00F72DF4"/>
    <w:rsid w:val="00F7342E"/>
    <w:rsid w:val="00F73B08"/>
    <w:rsid w:val="00F749DC"/>
    <w:rsid w:val="00F75EB5"/>
    <w:rsid w:val="00F76392"/>
    <w:rsid w:val="00F7714F"/>
    <w:rsid w:val="00F77915"/>
    <w:rsid w:val="00F77933"/>
    <w:rsid w:val="00F77A96"/>
    <w:rsid w:val="00F80068"/>
    <w:rsid w:val="00F8205F"/>
    <w:rsid w:val="00F82D4E"/>
    <w:rsid w:val="00F8497C"/>
    <w:rsid w:val="00F84B3B"/>
    <w:rsid w:val="00F85B61"/>
    <w:rsid w:val="00F85FC2"/>
    <w:rsid w:val="00F86CBB"/>
    <w:rsid w:val="00F8763A"/>
    <w:rsid w:val="00F906F9"/>
    <w:rsid w:val="00F91836"/>
    <w:rsid w:val="00F92DF8"/>
    <w:rsid w:val="00F93049"/>
    <w:rsid w:val="00F93441"/>
    <w:rsid w:val="00F93DA7"/>
    <w:rsid w:val="00F94138"/>
    <w:rsid w:val="00F95233"/>
    <w:rsid w:val="00F958F3"/>
    <w:rsid w:val="00F95915"/>
    <w:rsid w:val="00F96077"/>
    <w:rsid w:val="00F96BF1"/>
    <w:rsid w:val="00FA0287"/>
    <w:rsid w:val="00FA0439"/>
    <w:rsid w:val="00FA08C5"/>
    <w:rsid w:val="00FA1320"/>
    <w:rsid w:val="00FA2E1A"/>
    <w:rsid w:val="00FA5059"/>
    <w:rsid w:val="00FA50FA"/>
    <w:rsid w:val="00FA6494"/>
    <w:rsid w:val="00FA6A9E"/>
    <w:rsid w:val="00FA6AF5"/>
    <w:rsid w:val="00FA7C7D"/>
    <w:rsid w:val="00FB046B"/>
    <w:rsid w:val="00FB05C2"/>
    <w:rsid w:val="00FB0739"/>
    <w:rsid w:val="00FB269B"/>
    <w:rsid w:val="00FB2920"/>
    <w:rsid w:val="00FB35E0"/>
    <w:rsid w:val="00FB4660"/>
    <w:rsid w:val="00FB5888"/>
    <w:rsid w:val="00FB5F44"/>
    <w:rsid w:val="00FB6E4B"/>
    <w:rsid w:val="00FB7A0C"/>
    <w:rsid w:val="00FC465C"/>
    <w:rsid w:val="00FC4C63"/>
    <w:rsid w:val="00FC5C33"/>
    <w:rsid w:val="00FD036B"/>
    <w:rsid w:val="00FD1175"/>
    <w:rsid w:val="00FD16EC"/>
    <w:rsid w:val="00FD1BD5"/>
    <w:rsid w:val="00FD2627"/>
    <w:rsid w:val="00FD6105"/>
    <w:rsid w:val="00FD6214"/>
    <w:rsid w:val="00FD6F86"/>
    <w:rsid w:val="00FD7C79"/>
    <w:rsid w:val="00FD7E4A"/>
    <w:rsid w:val="00FE2323"/>
    <w:rsid w:val="00FE34FE"/>
    <w:rsid w:val="00FE3ABF"/>
    <w:rsid w:val="00FE4669"/>
    <w:rsid w:val="00FE486B"/>
    <w:rsid w:val="00FE4B37"/>
    <w:rsid w:val="00FE651F"/>
    <w:rsid w:val="00FE69BA"/>
    <w:rsid w:val="00FE7197"/>
    <w:rsid w:val="00FE7E0F"/>
    <w:rsid w:val="00FF0D70"/>
    <w:rsid w:val="00FF0E74"/>
    <w:rsid w:val="00FF1706"/>
    <w:rsid w:val="00FF21EA"/>
    <w:rsid w:val="00FF221C"/>
    <w:rsid w:val="00FF2A9D"/>
    <w:rsid w:val="00FF3712"/>
    <w:rsid w:val="00FF48BB"/>
    <w:rsid w:val="00FF4D18"/>
    <w:rsid w:val="00FF6619"/>
    <w:rsid w:val="00FF67EA"/>
    <w:rsid w:val="00FF6954"/>
    <w:rsid w:val="00FF6AFD"/>
    <w:rsid w:val="00FF70F5"/>
    <w:rsid w:val="01D46D6B"/>
    <w:rsid w:val="02B038B0"/>
    <w:rsid w:val="031CBBD7"/>
    <w:rsid w:val="036A0DD5"/>
    <w:rsid w:val="03717B71"/>
    <w:rsid w:val="03F151B5"/>
    <w:rsid w:val="04391914"/>
    <w:rsid w:val="0457C9C1"/>
    <w:rsid w:val="0547E8A6"/>
    <w:rsid w:val="059D8E87"/>
    <w:rsid w:val="05C7EF44"/>
    <w:rsid w:val="067F0618"/>
    <w:rsid w:val="06A62CD9"/>
    <w:rsid w:val="06AE2061"/>
    <w:rsid w:val="07966474"/>
    <w:rsid w:val="0822F416"/>
    <w:rsid w:val="0876FACD"/>
    <w:rsid w:val="092D96B6"/>
    <w:rsid w:val="09370AC4"/>
    <w:rsid w:val="097CBCFF"/>
    <w:rsid w:val="0A12CB2E"/>
    <w:rsid w:val="0A92826E"/>
    <w:rsid w:val="0ACFB9D0"/>
    <w:rsid w:val="0B1B9DDA"/>
    <w:rsid w:val="0B64C29D"/>
    <w:rsid w:val="0BF3A7AE"/>
    <w:rsid w:val="0BF70429"/>
    <w:rsid w:val="0C8C8597"/>
    <w:rsid w:val="0C8EB9E1"/>
    <w:rsid w:val="0CB09B28"/>
    <w:rsid w:val="0CCABDE5"/>
    <w:rsid w:val="0CE0640A"/>
    <w:rsid w:val="0D16D36D"/>
    <w:rsid w:val="0D242C09"/>
    <w:rsid w:val="0D41BFB4"/>
    <w:rsid w:val="0D6DE0AF"/>
    <w:rsid w:val="0D7F0B9E"/>
    <w:rsid w:val="0D9833FB"/>
    <w:rsid w:val="0DA8DB77"/>
    <w:rsid w:val="0E1BDE65"/>
    <w:rsid w:val="0E27190C"/>
    <w:rsid w:val="0E2A8A42"/>
    <w:rsid w:val="0F4C9029"/>
    <w:rsid w:val="0F888006"/>
    <w:rsid w:val="0F8D8B09"/>
    <w:rsid w:val="1023054E"/>
    <w:rsid w:val="10820CB2"/>
    <w:rsid w:val="11295B6A"/>
    <w:rsid w:val="11760B36"/>
    <w:rsid w:val="11CE8F04"/>
    <w:rsid w:val="122EE8AA"/>
    <w:rsid w:val="12AA2995"/>
    <w:rsid w:val="1324F486"/>
    <w:rsid w:val="138F3FA8"/>
    <w:rsid w:val="142CE4B1"/>
    <w:rsid w:val="1473F492"/>
    <w:rsid w:val="149774D1"/>
    <w:rsid w:val="151BF69C"/>
    <w:rsid w:val="154367A2"/>
    <w:rsid w:val="15640C50"/>
    <w:rsid w:val="1568E3BB"/>
    <w:rsid w:val="1640DB2A"/>
    <w:rsid w:val="164D98A5"/>
    <w:rsid w:val="16A2EC55"/>
    <w:rsid w:val="16D2CA00"/>
    <w:rsid w:val="177D9AB8"/>
    <w:rsid w:val="17989CEE"/>
    <w:rsid w:val="181D6F55"/>
    <w:rsid w:val="1827DD09"/>
    <w:rsid w:val="18BAE567"/>
    <w:rsid w:val="194765B5"/>
    <w:rsid w:val="1BC226CA"/>
    <w:rsid w:val="1C4F206B"/>
    <w:rsid w:val="1CB8824C"/>
    <w:rsid w:val="1CBBE0D0"/>
    <w:rsid w:val="1D0260B1"/>
    <w:rsid w:val="1D189215"/>
    <w:rsid w:val="1D36FEEC"/>
    <w:rsid w:val="1DE72399"/>
    <w:rsid w:val="1E9A45BB"/>
    <w:rsid w:val="1EBCD8BA"/>
    <w:rsid w:val="1EE530C5"/>
    <w:rsid w:val="1F1E9A1F"/>
    <w:rsid w:val="1F4959C0"/>
    <w:rsid w:val="1F63F25B"/>
    <w:rsid w:val="1F98B6C5"/>
    <w:rsid w:val="1FA39E5A"/>
    <w:rsid w:val="1FE4C818"/>
    <w:rsid w:val="1FF3C53C"/>
    <w:rsid w:val="1FF452F4"/>
    <w:rsid w:val="2042F983"/>
    <w:rsid w:val="2098323B"/>
    <w:rsid w:val="2118EBC0"/>
    <w:rsid w:val="217EBCC8"/>
    <w:rsid w:val="21A76AC0"/>
    <w:rsid w:val="21CEBF4F"/>
    <w:rsid w:val="22B85570"/>
    <w:rsid w:val="230635D5"/>
    <w:rsid w:val="2309BD8D"/>
    <w:rsid w:val="23BCF56E"/>
    <w:rsid w:val="24056D0B"/>
    <w:rsid w:val="242ABDC9"/>
    <w:rsid w:val="24640B46"/>
    <w:rsid w:val="24771FF6"/>
    <w:rsid w:val="24A20636"/>
    <w:rsid w:val="24E1804D"/>
    <w:rsid w:val="24ED1319"/>
    <w:rsid w:val="2522907F"/>
    <w:rsid w:val="2533FDB5"/>
    <w:rsid w:val="25F20567"/>
    <w:rsid w:val="26BE60E0"/>
    <w:rsid w:val="274C11A6"/>
    <w:rsid w:val="2774DD82"/>
    <w:rsid w:val="277872D6"/>
    <w:rsid w:val="27D9A6F8"/>
    <w:rsid w:val="27E6F153"/>
    <w:rsid w:val="2818E6EA"/>
    <w:rsid w:val="2881A73F"/>
    <w:rsid w:val="2890A346"/>
    <w:rsid w:val="289D0D26"/>
    <w:rsid w:val="28E07212"/>
    <w:rsid w:val="294C24B0"/>
    <w:rsid w:val="29692746"/>
    <w:rsid w:val="29757759"/>
    <w:rsid w:val="299FA76B"/>
    <w:rsid w:val="2A0DB845"/>
    <w:rsid w:val="2A1F9BBC"/>
    <w:rsid w:val="2A47615E"/>
    <w:rsid w:val="2AD34CCA"/>
    <w:rsid w:val="2AE7F511"/>
    <w:rsid w:val="2AFD08D6"/>
    <w:rsid w:val="2BB53D6E"/>
    <w:rsid w:val="2C050528"/>
    <w:rsid w:val="2C109779"/>
    <w:rsid w:val="2C340A09"/>
    <w:rsid w:val="2C70F704"/>
    <w:rsid w:val="2C7A6B3C"/>
    <w:rsid w:val="2C7FABF5"/>
    <w:rsid w:val="2C83EF6A"/>
    <w:rsid w:val="2CAD181B"/>
    <w:rsid w:val="2DBED1A1"/>
    <w:rsid w:val="2DC3AD29"/>
    <w:rsid w:val="2DE3EEEF"/>
    <w:rsid w:val="2E1F95D3"/>
    <w:rsid w:val="2ECF90C7"/>
    <w:rsid w:val="2EFEB07F"/>
    <w:rsid w:val="2F2CE396"/>
    <w:rsid w:val="2FA2D3EC"/>
    <w:rsid w:val="2FBB902C"/>
    <w:rsid w:val="310EE42B"/>
    <w:rsid w:val="3134B80E"/>
    <w:rsid w:val="313E0E38"/>
    <w:rsid w:val="3140586D"/>
    <w:rsid w:val="31DA8173"/>
    <w:rsid w:val="31E2A97C"/>
    <w:rsid w:val="320793FC"/>
    <w:rsid w:val="32BF7DAF"/>
    <w:rsid w:val="32FFDD3E"/>
    <w:rsid w:val="338A7A21"/>
    <w:rsid w:val="33D47D42"/>
    <w:rsid w:val="33EDE44D"/>
    <w:rsid w:val="35355D71"/>
    <w:rsid w:val="35426737"/>
    <w:rsid w:val="358106B3"/>
    <w:rsid w:val="35FA459F"/>
    <w:rsid w:val="3617D94A"/>
    <w:rsid w:val="362AD1B0"/>
    <w:rsid w:val="362BCB15"/>
    <w:rsid w:val="36CC872A"/>
    <w:rsid w:val="36DAA2AC"/>
    <w:rsid w:val="36ECEFDD"/>
    <w:rsid w:val="370FC8A6"/>
    <w:rsid w:val="371F878D"/>
    <w:rsid w:val="3744C7FC"/>
    <w:rsid w:val="37AD4FBC"/>
    <w:rsid w:val="380475C3"/>
    <w:rsid w:val="38103D81"/>
    <w:rsid w:val="3926A196"/>
    <w:rsid w:val="392EB2AA"/>
    <w:rsid w:val="392EBF33"/>
    <w:rsid w:val="3A48FC8D"/>
    <w:rsid w:val="3A6B1F32"/>
    <w:rsid w:val="3AB16737"/>
    <w:rsid w:val="3B1FE1CA"/>
    <w:rsid w:val="3B51CEB8"/>
    <w:rsid w:val="3BC40B2A"/>
    <w:rsid w:val="3C871ACE"/>
    <w:rsid w:val="3C9A1334"/>
    <w:rsid w:val="3CC318A3"/>
    <w:rsid w:val="3D189B28"/>
    <w:rsid w:val="3D38064E"/>
    <w:rsid w:val="3DD665B6"/>
    <w:rsid w:val="3EEBC677"/>
    <w:rsid w:val="3EF26F95"/>
    <w:rsid w:val="3F0EC09C"/>
    <w:rsid w:val="3F66351F"/>
    <w:rsid w:val="3FBEBB90"/>
    <w:rsid w:val="3FE8CB3F"/>
    <w:rsid w:val="3FEC1096"/>
    <w:rsid w:val="3FF68BC1"/>
    <w:rsid w:val="408D3D75"/>
    <w:rsid w:val="40B27E83"/>
    <w:rsid w:val="411A0BE3"/>
    <w:rsid w:val="4139A101"/>
    <w:rsid w:val="41B58EA7"/>
    <w:rsid w:val="42334CAE"/>
    <w:rsid w:val="4246615E"/>
    <w:rsid w:val="42A805DD"/>
    <w:rsid w:val="43C146CF"/>
    <w:rsid w:val="4453F3DD"/>
    <w:rsid w:val="44E6A666"/>
    <w:rsid w:val="451ED185"/>
    <w:rsid w:val="455B8F6B"/>
    <w:rsid w:val="46106837"/>
    <w:rsid w:val="464ECAEE"/>
    <w:rsid w:val="474D1E5F"/>
    <w:rsid w:val="48243655"/>
    <w:rsid w:val="483C036C"/>
    <w:rsid w:val="484AA881"/>
    <w:rsid w:val="4886D460"/>
    <w:rsid w:val="48FEA9AD"/>
    <w:rsid w:val="4A517343"/>
    <w:rsid w:val="4B6959C3"/>
    <w:rsid w:val="4B8EAC40"/>
    <w:rsid w:val="4BEF0133"/>
    <w:rsid w:val="4C0A4766"/>
    <w:rsid w:val="4CEA4D49"/>
    <w:rsid w:val="4CFB681B"/>
    <w:rsid w:val="4DC44D69"/>
    <w:rsid w:val="4DC8A546"/>
    <w:rsid w:val="4E071949"/>
    <w:rsid w:val="4E2281E5"/>
    <w:rsid w:val="4E4FB655"/>
    <w:rsid w:val="4EB9FFE4"/>
    <w:rsid w:val="4F70E771"/>
    <w:rsid w:val="4FBF0512"/>
    <w:rsid w:val="502EE3FF"/>
    <w:rsid w:val="5056EF62"/>
    <w:rsid w:val="508EBF17"/>
    <w:rsid w:val="50D729C9"/>
    <w:rsid w:val="50DD1982"/>
    <w:rsid w:val="5141E139"/>
    <w:rsid w:val="522DB6A6"/>
    <w:rsid w:val="52678F12"/>
    <w:rsid w:val="526A5E22"/>
    <w:rsid w:val="526B4BF9"/>
    <w:rsid w:val="527E1D4B"/>
    <w:rsid w:val="5297BE8C"/>
    <w:rsid w:val="53142599"/>
    <w:rsid w:val="532EFC02"/>
    <w:rsid w:val="538FFEA0"/>
    <w:rsid w:val="53A55B66"/>
    <w:rsid w:val="53BE423C"/>
    <w:rsid w:val="53E85857"/>
    <w:rsid w:val="546ACAAD"/>
    <w:rsid w:val="54789B0C"/>
    <w:rsid w:val="55358E86"/>
    <w:rsid w:val="557E60A8"/>
    <w:rsid w:val="55AFC75C"/>
    <w:rsid w:val="56295179"/>
    <w:rsid w:val="56471268"/>
    <w:rsid w:val="56608599"/>
    <w:rsid w:val="56A5CDBE"/>
    <w:rsid w:val="56C49992"/>
    <w:rsid w:val="570A7E13"/>
    <w:rsid w:val="574C107A"/>
    <w:rsid w:val="577886E7"/>
    <w:rsid w:val="57B8109E"/>
    <w:rsid w:val="57D6C08C"/>
    <w:rsid w:val="57F77C31"/>
    <w:rsid w:val="5899D0FC"/>
    <w:rsid w:val="58BCD99E"/>
    <w:rsid w:val="58FE9A72"/>
    <w:rsid w:val="597C1AFB"/>
    <w:rsid w:val="5988E164"/>
    <w:rsid w:val="59D48C5A"/>
    <w:rsid w:val="59E4159D"/>
    <w:rsid w:val="5A10ED2F"/>
    <w:rsid w:val="5A83B13C"/>
    <w:rsid w:val="5AE7DC90"/>
    <w:rsid w:val="5BC95421"/>
    <w:rsid w:val="5BD171BE"/>
    <w:rsid w:val="5C5A1823"/>
    <w:rsid w:val="5C758DD3"/>
    <w:rsid w:val="5C83ACF1"/>
    <w:rsid w:val="5CCCC72D"/>
    <w:rsid w:val="5D092F81"/>
    <w:rsid w:val="5D0EF0FD"/>
    <w:rsid w:val="5D652482"/>
    <w:rsid w:val="5D6D1208"/>
    <w:rsid w:val="5DA72555"/>
    <w:rsid w:val="5DF5E884"/>
    <w:rsid w:val="5E34635E"/>
    <w:rsid w:val="5E7EFB0F"/>
    <w:rsid w:val="5E94B851"/>
    <w:rsid w:val="5EA4FFE2"/>
    <w:rsid w:val="5EBF0BD5"/>
    <w:rsid w:val="5EE45E52"/>
    <w:rsid w:val="5F3096ED"/>
    <w:rsid w:val="6053863A"/>
    <w:rsid w:val="607F8C68"/>
    <w:rsid w:val="6091F8E1"/>
    <w:rsid w:val="6095A964"/>
    <w:rsid w:val="60A4B2CA"/>
    <w:rsid w:val="60C90B05"/>
    <w:rsid w:val="60DEC617"/>
    <w:rsid w:val="61571E14"/>
    <w:rsid w:val="616498E2"/>
    <w:rsid w:val="621BFF14"/>
    <w:rsid w:val="6240832B"/>
    <w:rsid w:val="62DDB613"/>
    <w:rsid w:val="634145F9"/>
    <w:rsid w:val="63964A53"/>
    <w:rsid w:val="63B7CF75"/>
    <w:rsid w:val="63CB48CC"/>
    <w:rsid w:val="63FD3E7C"/>
    <w:rsid w:val="647CE437"/>
    <w:rsid w:val="64BEF619"/>
    <w:rsid w:val="64F1016F"/>
    <w:rsid w:val="651B5149"/>
    <w:rsid w:val="66064CCC"/>
    <w:rsid w:val="660F3374"/>
    <w:rsid w:val="664831BD"/>
    <w:rsid w:val="666BE6E0"/>
    <w:rsid w:val="66B7B810"/>
    <w:rsid w:val="678E2BA9"/>
    <w:rsid w:val="67A0EC76"/>
    <w:rsid w:val="67FFC9BB"/>
    <w:rsid w:val="680E7B52"/>
    <w:rsid w:val="68AD8991"/>
    <w:rsid w:val="68F4E1E6"/>
    <w:rsid w:val="6B471A96"/>
    <w:rsid w:val="6BA3DF19"/>
    <w:rsid w:val="6BC2E15A"/>
    <w:rsid w:val="6BD981DF"/>
    <w:rsid w:val="6BE76571"/>
    <w:rsid w:val="6BF9E2A9"/>
    <w:rsid w:val="6C370654"/>
    <w:rsid w:val="6C56A702"/>
    <w:rsid w:val="6CF5E35D"/>
    <w:rsid w:val="6D1AF454"/>
    <w:rsid w:val="6D34D0D9"/>
    <w:rsid w:val="6D722B12"/>
    <w:rsid w:val="6D89515D"/>
    <w:rsid w:val="6D95B30A"/>
    <w:rsid w:val="6E29F38D"/>
    <w:rsid w:val="6E439E4E"/>
    <w:rsid w:val="6E8FEDD3"/>
    <w:rsid w:val="6E99F469"/>
    <w:rsid w:val="6F0DFB73"/>
    <w:rsid w:val="6F481C29"/>
    <w:rsid w:val="6F8579D8"/>
    <w:rsid w:val="70FECD71"/>
    <w:rsid w:val="71379E3D"/>
    <w:rsid w:val="714DECD3"/>
    <w:rsid w:val="71807E28"/>
    <w:rsid w:val="71D15387"/>
    <w:rsid w:val="7230C8A4"/>
    <w:rsid w:val="7310FFC5"/>
    <w:rsid w:val="74D856B7"/>
    <w:rsid w:val="7510AE77"/>
    <w:rsid w:val="76AD47CE"/>
    <w:rsid w:val="7705189E"/>
    <w:rsid w:val="78124AB9"/>
    <w:rsid w:val="7858E97C"/>
    <w:rsid w:val="78CD44DC"/>
    <w:rsid w:val="7AE3DDBB"/>
    <w:rsid w:val="7B8E2D59"/>
    <w:rsid w:val="7BBC0C9A"/>
    <w:rsid w:val="7BF68EBF"/>
    <w:rsid w:val="7C5072F7"/>
    <w:rsid w:val="7C86345A"/>
    <w:rsid w:val="7CC8E104"/>
    <w:rsid w:val="7D2C5A9F"/>
    <w:rsid w:val="7E488F54"/>
    <w:rsid w:val="7E62E972"/>
    <w:rsid w:val="7E69B991"/>
    <w:rsid w:val="7E73F432"/>
    <w:rsid w:val="7EC82B00"/>
    <w:rsid w:val="7ED4BCF9"/>
    <w:rsid w:val="7FB5D268"/>
    <w:rsid w:val="7FC851EF"/>
    <w:rsid w:val="7FEB4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96DF72"/>
  <w15:chartTrackingRefBased/>
  <w15:docId w15:val="{409283FB-0AAC-4F9C-9FF7-B9382BD1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9370AC4"/>
  </w:style>
  <w:style w:type="paragraph" w:styleId="Heading1">
    <w:name w:val="heading 1"/>
    <w:basedOn w:val="Normal"/>
    <w:next w:val="Normal"/>
    <w:link w:val="Heading1Char"/>
    <w:uiPriority w:val="9"/>
    <w:qFormat/>
    <w:rsid w:val="09370AC4"/>
    <w:pPr>
      <w:keepNext/>
      <w:numPr>
        <w:numId w:val="3"/>
      </w:numPr>
      <w:spacing w:before="360" w:after="1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9370AC4"/>
    <w:pPr>
      <w:keepNext/>
      <w:spacing w:before="360" w:after="0"/>
      <w:ind w:left="718" w:hanging="576"/>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9370AC4"/>
    <w:pPr>
      <w:keepNext/>
      <w:spacing w:before="200" w:after="0"/>
      <w:ind w:left="720" w:hanging="72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9370AC4"/>
    <w:pPr>
      <w:keepNext/>
      <w:spacing w:before="200" w:after="0"/>
      <w:ind w:left="864" w:hanging="864"/>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9370AC4"/>
    <w:pPr>
      <w:keepNext/>
      <w:spacing w:before="200" w:after="0"/>
      <w:ind w:left="1008" w:hanging="1008"/>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9370AC4"/>
    <w:pPr>
      <w:keepNext/>
      <w:spacing w:before="200" w:after="0"/>
      <w:ind w:left="1152" w:hanging="1152"/>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9370AC4"/>
    <w:pPr>
      <w:keepNext/>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9370AC4"/>
    <w:pPr>
      <w:keepNext/>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9370AC4"/>
    <w:pPr>
      <w:keepNext/>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9370AC4"/>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9370AC4"/>
    <w:rPr>
      <w:rFonts w:ascii="Tahoma" w:eastAsiaTheme="minorEastAsia" w:hAnsi="Tahoma" w:cs="Tahoma"/>
      <w:noProof w:val="0"/>
      <w:sz w:val="16"/>
      <w:szCs w:val="16"/>
      <w:lang w:val="da-DK"/>
    </w:rPr>
  </w:style>
  <w:style w:type="paragraph" w:styleId="Header">
    <w:name w:val="header"/>
    <w:basedOn w:val="Normal"/>
    <w:link w:val="HeaderChar"/>
    <w:uiPriority w:val="99"/>
    <w:unhideWhenUsed/>
    <w:rsid w:val="09370AC4"/>
    <w:pPr>
      <w:tabs>
        <w:tab w:val="center" w:pos="4513"/>
        <w:tab w:val="right" w:pos="9026"/>
      </w:tabs>
      <w:spacing w:after="0"/>
    </w:pPr>
  </w:style>
  <w:style w:type="character" w:customStyle="1" w:styleId="HeaderChar">
    <w:name w:val="Header Char"/>
    <w:basedOn w:val="DefaultParagraphFont"/>
    <w:link w:val="Header"/>
    <w:uiPriority w:val="99"/>
    <w:rsid w:val="09370AC4"/>
    <w:rPr>
      <w:noProof w:val="0"/>
      <w:lang w:val="da-DK"/>
    </w:rPr>
  </w:style>
  <w:style w:type="paragraph" w:styleId="Footer">
    <w:name w:val="footer"/>
    <w:basedOn w:val="Normal"/>
    <w:link w:val="FooterChar"/>
    <w:uiPriority w:val="99"/>
    <w:unhideWhenUsed/>
    <w:rsid w:val="09370AC4"/>
    <w:pPr>
      <w:tabs>
        <w:tab w:val="center" w:pos="4513"/>
        <w:tab w:val="right" w:pos="9026"/>
      </w:tabs>
      <w:spacing w:after="0"/>
    </w:pPr>
  </w:style>
  <w:style w:type="character" w:customStyle="1" w:styleId="FooterChar">
    <w:name w:val="Footer Char"/>
    <w:basedOn w:val="DefaultParagraphFont"/>
    <w:link w:val="Footer"/>
    <w:uiPriority w:val="99"/>
    <w:rsid w:val="09370AC4"/>
    <w:rPr>
      <w:noProof w:val="0"/>
      <w:lang w:val="da-DK"/>
    </w:rPr>
  </w:style>
  <w:style w:type="character" w:customStyle="1" w:styleId="Heading1Char">
    <w:name w:val="Heading 1 Char"/>
    <w:basedOn w:val="DefaultParagraphFont"/>
    <w:link w:val="Heading1"/>
    <w:uiPriority w:val="9"/>
    <w:rsid w:val="09370AC4"/>
    <w:rPr>
      <w:rFonts w:asciiTheme="majorHAnsi" w:eastAsiaTheme="majorEastAsia" w:hAnsiTheme="majorHAnsi" w:cstheme="majorBidi"/>
      <w:b/>
      <w:bCs/>
      <w:smallCaps/>
      <w:noProof w:val="0"/>
      <w:color w:val="000000" w:themeColor="text1"/>
      <w:sz w:val="36"/>
      <w:szCs w:val="36"/>
      <w:lang w:val="da-DK"/>
    </w:rPr>
  </w:style>
  <w:style w:type="character" w:customStyle="1" w:styleId="Heading2Char">
    <w:name w:val="Heading 2 Char"/>
    <w:basedOn w:val="DefaultParagraphFont"/>
    <w:link w:val="Heading2"/>
    <w:uiPriority w:val="9"/>
    <w:rsid w:val="09370AC4"/>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9370AC4"/>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9370AC4"/>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9370AC4"/>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9370AC4"/>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9370AC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9370AC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9370AC4"/>
    <w:rPr>
      <w:rFonts w:asciiTheme="majorHAnsi" w:eastAsiaTheme="majorEastAsia" w:hAnsiTheme="majorHAnsi" w:cstheme="majorBidi"/>
      <w:i/>
      <w:iCs/>
      <w:color w:val="404040" w:themeColor="text1" w:themeTint="BF"/>
      <w:sz w:val="20"/>
      <w:szCs w:val="20"/>
    </w:rPr>
  </w:style>
  <w:style w:type="paragraph" w:styleId="ListParagraph">
    <w:name w:val="List Paragraph"/>
    <w:aliases w:val="Lapis Bulleted List,List Paragraph (numbered (a)),List Paragraph12,CV text,Bullets,3,titulo 3,Párrafo de lista1,normal,Normal1,References,WB List Paragraph,Normal11,Bullet List,Dot pt,No Spacing1,List Paragraph Char Char Char,Bullet point"/>
    <w:basedOn w:val="Normal"/>
    <w:link w:val="ListParagraphChar"/>
    <w:uiPriority w:val="34"/>
    <w:qFormat/>
    <w:rsid w:val="09370AC4"/>
    <w:pPr>
      <w:spacing w:after="160"/>
      <w:ind w:left="720"/>
      <w:contextualSpacing/>
    </w:pPr>
    <w:rPr>
      <w:rFonts w:eastAsiaTheme="minorEastAsia"/>
    </w:rPr>
  </w:style>
  <w:style w:type="paragraph" w:styleId="CommentText">
    <w:name w:val="annotation text"/>
    <w:basedOn w:val="Normal"/>
    <w:link w:val="CommentTextChar"/>
    <w:uiPriority w:val="99"/>
    <w:unhideWhenUsed/>
    <w:rsid w:val="09370AC4"/>
    <w:pPr>
      <w:spacing w:after="0"/>
    </w:pPr>
    <w:rPr>
      <w:rFonts w:ascii="Calibri" w:eastAsiaTheme="minorEastAsia" w:hAnsi="Calibri" w:cs="Calibri"/>
      <w:sz w:val="20"/>
      <w:szCs w:val="20"/>
    </w:rPr>
  </w:style>
  <w:style w:type="character" w:customStyle="1" w:styleId="CommentTextChar">
    <w:name w:val="Comment Text Char"/>
    <w:basedOn w:val="DefaultParagraphFont"/>
    <w:link w:val="CommentText"/>
    <w:uiPriority w:val="99"/>
    <w:rsid w:val="09370AC4"/>
    <w:rPr>
      <w:rFonts w:ascii="Calibri" w:eastAsiaTheme="minorEastAsia" w:hAnsi="Calibri" w:cs="Calibri"/>
      <w:noProof w:val="0"/>
      <w:sz w:val="20"/>
      <w:szCs w:val="20"/>
      <w:lang w:val="da-DK"/>
    </w:rPr>
  </w:style>
  <w:style w:type="character" w:styleId="Hyperlink">
    <w:name w:val="Hyperlink"/>
    <w:basedOn w:val="DefaultParagraphFont"/>
    <w:uiPriority w:val="99"/>
    <w:unhideWhenUsed/>
    <w:rsid w:val="00F82D4E"/>
    <w:rPr>
      <w:color w:val="0000FF" w:themeColor="hyperlink"/>
      <w:u w:val="single"/>
    </w:rPr>
  </w:style>
  <w:style w:type="paragraph" w:styleId="Caption">
    <w:name w:val="caption"/>
    <w:basedOn w:val="Normal"/>
    <w:next w:val="Normal"/>
    <w:uiPriority w:val="35"/>
    <w:unhideWhenUsed/>
    <w:qFormat/>
    <w:rsid w:val="09370AC4"/>
    <w:pPr>
      <w:jc w:val="both"/>
    </w:pPr>
    <w:rPr>
      <w:rFonts w:ascii="Times New Roman" w:eastAsiaTheme="minorEastAsia" w:hAnsi="Times New Roman"/>
      <w:b/>
      <w:bCs/>
      <w:color w:val="1F497D" w:themeColor="text2"/>
      <w:sz w:val="20"/>
      <w:szCs w:val="20"/>
    </w:rPr>
  </w:style>
  <w:style w:type="character" w:styleId="SubtleEmphasis">
    <w:name w:val="Subtle Emphasis"/>
    <w:basedOn w:val="DefaultParagraphFont"/>
    <w:uiPriority w:val="19"/>
    <w:qFormat/>
    <w:rsid w:val="00F82D4E"/>
    <w:rPr>
      <w:i/>
      <w:iCs/>
      <w:color w:val="404040" w:themeColor="text1" w:themeTint="BF"/>
    </w:rPr>
  </w:style>
  <w:style w:type="character" w:styleId="FootnoteReference">
    <w:name w:val="footnote reference"/>
    <w:aliases w:val="number,SUPERS,Footnote Reference Superscript,stylish,Footnote symbol,BVI fnr,-E Fußnotenzeichen,Source Reference,Footnote reference number,note TESI,Times 10 Point,Exposant 3 Point,Ref,de nota al pie,EN Footnote Reference,R,ftref,16 P"/>
    <w:basedOn w:val="DefaultParagraphFont"/>
    <w:link w:val="FootnoteReferenceCharCarCharCharCarCharCarCharCarCharCarCharCharCarCarCharCharCharCharCharCarCharCarCharCharCarCharCar"/>
    <w:uiPriority w:val="99"/>
    <w:unhideWhenUsed/>
    <w:qFormat/>
    <w:rsid w:val="09370AC4"/>
    <w:rPr>
      <w:noProof w:val="0"/>
      <w:vertAlign w:val="superscript"/>
      <w:lang w:val="da-DK"/>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uiPriority w:val="99"/>
    <w:qFormat/>
    <w:rsid w:val="09370AC4"/>
    <w:rPr>
      <w:noProof w:val="0"/>
      <w:sz w:val="20"/>
      <w:szCs w:val="20"/>
      <w:lang w:val="da-DK"/>
    </w:rPr>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_EP-LC"/>
    <w:basedOn w:val="Normal"/>
    <w:link w:val="FootnoteTextChar"/>
    <w:uiPriority w:val="99"/>
    <w:unhideWhenUsed/>
    <w:qFormat/>
    <w:rsid w:val="09370AC4"/>
    <w:pPr>
      <w:spacing w:after="0"/>
    </w:pPr>
    <w:rPr>
      <w:sz w:val="20"/>
      <w:szCs w:val="20"/>
    </w:rPr>
  </w:style>
  <w:style w:type="character" w:customStyle="1" w:styleId="FootnoteTextChar1">
    <w:name w:val="Footnote Text Char1"/>
    <w:basedOn w:val="DefaultParagraphFont"/>
    <w:uiPriority w:val="99"/>
    <w:semiHidden/>
    <w:rsid w:val="00F82D4E"/>
    <w:rPr>
      <w:sz w:val="20"/>
      <w:szCs w:val="20"/>
    </w:rPr>
  </w:style>
  <w:style w:type="character" w:customStyle="1" w:styleId="ListParagraphChar">
    <w:name w:val="List Paragraph Char"/>
    <w:aliases w:val="Lapis Bulleted List Char,List Paragraph (numbered (a)) Char,List Paragraph12 Char,CV text Char,Bullets Char,3 Char,titulo 3 Char,Párrafo de lista1 Char,normal Char,Normal1 Char,References Char,WB List Paragraph Char,Normal11 Char"/>
    <w:basedOn w:val="DefaultParagraphFont"/>
    <w:link w:val="ListParagraph"/>
    <w:uiPriority w:val="34"/>
    <w:qFormat/>
    <w:rsid w:val="09370AC4"/>
    <w:rPr>
      <w:rFonts w:asciiTheme="minorHAnsi" w:eastAsiaTheme="minorEastAsia" w:hAnsiTheme="minorHAnsi" w:cstheme="minorBidi"/>
      <w:noProof w:val="0"/>
      <w:lang w:val="da-DK"/>
    </w:rPr>
  </w:style>
  <w:style w:type="table" w:styleId="TableGrid">
    <w:name w:val="Table Grid"/>
    <w:basedOn w:val="TableNormal"/>
    <w:uiPriority w:val="59"/>
    <w:rsid w:val="00F82D4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FootnoteText"/>
    <w:link w:val="footnotetextChar0"/>
    <w:uiPriority w:val="1"/>
    <w:qFormat/>
    <w:rsid w:val="09370AC4"/>
    <w:pPr>
      <w:jc w:val="both"/>
    </w:pPr>
    <w:rPr>
      <w:rFonts w:ascii="Times New Roman" w:eastAsiaTheme="minorEastAsia" w:hAnsi="Times New Roman"/>
      <w:sz w:val="18"/>
      <w:szCs w:val="18"/>
    </w:rPr>
  </w:style>
  <w:style w:type="character" w:customStyle="1" w:styleId="UnresolvedMention1">
    <w:name w:val="Unresolved Mention1"/>
    <w:basedOn w:val="DefaultParagraphFont"/>
    <w:uiPriority w:val="99"/>
    <w:semiHidden/>
    <w:unhideWhenUsed/>
    <w:rsid w:val="00EA3BF3"/>
    <w:rPr>
      <w:color w:val="605E5C"/>
      <w:shd w:val="clear" w:color="auto" w:fill="E1DFDD"/>
    </w:rPr>
  </w:style>
  <w:style w:type="character" w:customStyle="1" w:styleId="footnotetextChar0">
    <w:name w:val="footnote text Char"/>
    <w:basedOn w:val="FootnoteTextChar"/>
    <w:link w:val="FootnoteText1"/>
    <w:uiPriority w:val="1"/>
    <w:rsid w:val="09370AC4"/>
    <w:rPr>
      <w:rFonts w:ascii="Times New Roman" w:eastAsiaTheme="minorEastAsia" w:hAnsi="Times New Roman" w:cstheme="minorBidi"/>
      <w:noProof w:val="0"/>
      <w:sz w:val="18"/>
      <w:szCs w:val="18"/>
      <w:lang w:val="da-DK"/>
    </w:rPr>
  </w:style>
  <w:style w:type="paragraph" w:customStyle="1" w:styleId="Style1">
    <w:name w:val="Style1"/>
    <w:basedOn w:val="TableofFigures"/>
    <w:uiPriority w:val="1"/>
    <w:qFormat/>
    <w:rsid w:val="09370AC4"/>
    <w:pPr>
      <w:jc w:val="both"/>
    </w:pPr>
    <w:rPr>
      <w:rFonts w:ascii="Times New Roman" w:eastAsiaTheme="minorEastAsia" w:hAnsi="Times New Roman" w:cs="Times New Roman"/>
      <w:b/>
      <w:bCs/>
      <w:color w:val="000000" w:themeColor="text1"/>
      <w:sz w:val="20"/>
      <w:szCs w:val="20"/>
      <w:lang w:eastAsia="en-GB"/>
    </w:rPr>
  </w:style>
  <w:style w:type="paragraph" w:customStyle="1" w:styleId="FiguresandTables">
    <w:name w:val="Figures and Tables"/>
    <w:basedOn w:val="Style1"/>
    <w:uiPriority w:val="1"/>
    <w:qFormat/>
    <w:rsid w:val="09370AC4"/>
    <w:rPr>
      <w:sz w:val="18"/>
      <w:szCs w:val="18"/>
    </w:rPr>
  </w:style>
  <w:style w:type="paragraph" w:styleId="TableofFigures">
    <w:name w:val="table of figures"/>
    <w:basedOn w:val="Normal"/>
    <w:next w:val="Normal"/>
    <w:uiPriority w:val="99"/>
    <w:semiHidden/>
    <w:unhideWhenUsed/>
    <w:rsid w:val="09370AC4"/>
    <w:pPr>
      <w:spacing w:after="0"/>
    </w:pPr>
  </w:style>
  <w:style w:type="paragraph" w:customStyle="1" w:styleId="Figures">
    <w:name w:val="Figures"/>
    <w:basedOn w:val="FiguresandTables"/>
    <w:uiPriority w:val="1"/>
    <w:qFormat/>
    <w:rsid w:val="09370AC4"/>
    <w:rPr>
      <w:sz w:val="20"/>
      <w:szCs w:val="20"/>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rsid w:val="09370AC4"/>
    <w:pPr>
      <w:spacing w:before="120" w:after="160" w:line="240" w:lineRule="exact"/>
    </w:pPr>
    <w:rPr>
      <w:vertAlign w:val="superscript"/>
    </w:rPr>
  </w:style>
  <w:style w:type="paragraph" w:customStyle="1" w:styleId="Body">
    <w:name w:val="Body"/>
    <w:rsid w:val="00EC3C80"/>
    <w:pPr>
      <w:pBdr>
        <w:top w:val="nil"/>
        <w:left w:val="nil"/>
        <w:bottom w:val="nil"/>
        <w:right w:val="nil"/>
        <w:between w:val="nil"/>
        <w:bar w:val="nil"/>
      </w:pBdr>
      <w:spacing w:before="120" w:after="120" w:line="240" w:lineRule="auto"/>
      <w:jc w:val="both"/>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character" w:customStyle="1" w:styleId="A4">
    <w:name w:val="A4"/>
    <w:uiPriority w:val="99"/>
    <w:rsid w:val="00EC3C80"/>
    <w:rPr>
      <w:rFonts w:cs="Avenir Book"/>
      <w:color w:val="000000"/>
      <w:sz w:val="14"/>
      <w:szCs w:val="14"/>
    </w:rPr>
  </w:style>
  <w:style w:type="paragraph" w:customStyle="1" w:styleId="Pa0">
    <w:name w:val="Pa0"/>
    <w:basedOn w:val="Normal"/>
    <w:next w:val="Normal"/>
    <w:uiPriority w:val="99"/>
    <w:rsid w:val="09370AC4"/>
    <w:pPr>
      <w:spacing w:after="0" w:line="241" w:lineRule="atLeast"/>
    </w:pPr>
    <w:rPr>
      <w:rFonts w:ascii="Avenir Book" w:eastAsiaTheme="minorEastAsia" w:hAnsi="Avenir Book"/>
      <w:sz w:val="24"/>
      <w:szCs w:val="24"/>
    </w:rPr>
  </w:style>
  <w:style w:type="character" w:customStyle="1" w:styleId="normaltextrun">
    <w:name w:val="normaltextrun"/>
    <w:basedOn w:val="DefaultParagraphFont"/>
    <w:rsid w:val="00020BFC"/>
  </w:style>
  <w:style w:type="character" w:styleId="CommentReference">
    <w:name w:val="annotation reference"/>
    <w:basedOn w:val="DefaultParagraphFont"/>
    <w:uiPriority w:val="99"/>
    <w:semiHidden/>
    <w:unhideWhenUsed/>
    <w:rsid w:val="0045765F"/>
    <w:rPr>
      <w:sz w:val="16"/>
      <w:szCs w:val="16"/>
    </w:rPr>
  </w:style>
  <w:style w:type="paragraph" w:styleId="CommentSubject">
    <w:name w:val="annotation subject"/>
    <w:basedOn w:val="CommentText"/>
    <w:next w:val="CommentText"/>
    <w:link w:val="CommentSubjectChar"/>
    <w:uiPriority w:val="99"/>
    <w:semiHidden/>
    <w:unhideWhenUsed/>
    <w:rsid w:val="09370AC4"/>
    <w:pPr>
      <w:spacing w:after="200"/>
    </w:pPr>
    <w:rPr>
      <w:b/>
      <w:bCs/>
    </w:rPr>
  </w:style>
  <w:style w:type="character" w:customStyle="1" w:styleId="CommentSubjectChar">
    <w:name w:val="Comment Subject Char"/>
    <w:basedOn w:val="CommentTextChar"/>
    <w:link w:val="CommentSubject"/>
    <w:uiPriority w:val="99"/>
    <w:semiHidden/>
    <w:rsid w:val="09370AC4"/>
    <w:rPr>
      <w:rFonts w:ascii="Calibri" w:eastAsiaTheme="minorEastAsia" w:hAnsi="Calibri" w:cs="Calibri"/>
      <w:b/>
      <w:bCs/>
      <w:noProof w:val="0"/>
      <w:sz w:val="20"/>
      <w:szCs w:val="20"/>
      <w:lang w:val="da-DK"/>
    </w:rPr>
  </w:style>
  <w:style w:type="paragraph" w:styleId="Title">
    <w:name w:val="Title"/>
    <w:basedOn w:val="Normal"/>
    <w:next w:val="Normal"/>
    <w:link w:val="TitleChar"/>
    <w:uiPriority w:val="10"/>
    <w:qFormat/>
    <w:rsid w:val="09370AC4"/>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09370AC4"/>
    <w:rPr>
      <w:rFonts w:eastAsiaTheme="minorEastAsia"/>
      <w:color w:val="5A5A5A"/>
    </w:rPr>
  </w:style>
  <w:style w:type="paragraph" w:styleId="Quote">
    <w:name w:val="Quote"/>
    <w:basedOn w:val="Normal"/>
    <w:next w:val="Normal"/>
    <w:link w:val="QuoteChar"/>
    <w:uiPriority w:val="29"/>
    <w:qFormat/>
    <w:rsid w:val="09370AC4"/>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9370AC4"/>
    <w:pPr>
      <w:spacing w:before="360" w:after="360"/>
      <w:ind w:left="864" w:right="864"/>
      <w:jc w:val="center"/>
    </w:pPr>
    <w:rPr>
      <w:i/>
      <w:iCs/>
      <w:color w:val="4F81BD" w:themeColor="accent1"/>
    </w:rPr>
  </w:style>
  <w:style w:type="character" w:customStyle="1" w:styleId="TitleChar">
    <w:name w:val="Title Char"/>
    <w:basedOn w:val="DefaultParagraphFont"/>
    <w:link w:val="Title"/>
    <w:uiPriority w:val="10"/>
    <w:rsid w:val="09370AC4"/>
    <w:rPr>
      <w:rFonts w:asciiTheme="majorHAnsi" w:eastAsiaTheme="majorEastAsia" w:hAnsiTheme="majorHAnsi" w:cstheme="majorBidi"/>
      <w:noProof w:val="0"/>
      <w:sz w:val="56"/>
      <w:szCs w:val="56"/>
      <w:lang w:val="da-DK"/>
    </w:rPr>
  </w:style>
  <w:style w:type="character" w:customStyle="1" w:styleId="SubtitleChar">
    <w:name w:val="Subtitle Char"/>
    <w:basedOn w:val="DefaultParagraphFont"/>
    <w:link w:val="Subtitle"/>
    <w:uiPriority w:val="11"/>
    <w:rsid w:val="09370AC4"/>
    <w:rPr>
      <w:rFonts w:asciiTheme="minorHAnsi" w:eastAsiaTheme="minorEastAsia" w:hAnsiTheme="minorHAnsi" w:cstheme="minorBidi"/>
      <w:noProof w:val="0"/>
      <w:color w:val="5A5A5A"/>
      <w:lang w:val="da-DK"/>
    </w:rPr>
  </w:style>
  <w:style w:type="character" w:customStyle="1" w:styleId="QuoteChar">
    <w:name w:val="Quote Char"/>
    <w:basedOn w:val="DefaultParagraphFont"/>
    <w:link w:val="Quote"/>
    <w:uiPriority w:val="29"/>
    <w:rsid w:val="09370AC4"/>
    <w:rPr>
      <w:i/>
      <w:iCs/>
      <w:noProof w:val="0"/>
      <w:color w:val="404040" w:themeColor="text1" w:themeTint="BF"/>
      <w:lang w:val="da-DK"/>
    </w:rPr>
  </w:style>
  <w:style w:type="character" w:customStyle="1" w:styleId="IntenseQuoteChar">
    <w:name w:val="Intense Quote Char"/>
    <w:basedOn w:val="DefaultParagraphFont"/>
    <w:link w:val="IntenseQuote"/>
    <w:uiPriority w:val="30"/>
    <w:rsid w:val="09370AC4"/>
    <w:rPr>
      <w:i/>
      <w:iCs/>
      <w:noProof w:val="0"/>
      <w:color w:val="4F81BD" w:themeColor="accent1"/>
      <w:lang w:val="da-DK"/>
    </w:rPr>
  </w:style>
  <w:style w:type="paragraph" w:styleId="TOC1">
    <w:name w:val="toc 1"/>
    <w:basedOn w:val="Normal"/>
    <w:next w:val="Normal"/>
    <w:uiPriority w:val="39"/>
    <w:unhideWhenUsed/>
    <w:rsid w:val="09370AC4"/>
    <w:pPr>
      <w:spacing w:after="100"/>
    </w:pPr>
  </w:style>
  <w:style w:type="paragraph" w:styleId="TOC2">
    <w:name w:val="toc 2"/>
    <w:basedOn w:val="Normal"/>
    <w:next w:val="Normal"/>
    <w:uiPriority w:val="39"/>
    <w:unhideWhenUsed/>
    <w:rsid w:val="09370AC4"/>
    <w:pPr>
      <w:spacing w:after="100"/>
      <w:ind w:left="220"/>
    </w:pPr>
  </w:style>
  <w:style w:type="paragraph" w:styleId="TOC3">
    <w:name w:val="toc 3"/>
    <w:basedOn w:val="Normal"/>
    <w:next w:val="Normal"/>
    <w:uiPriority w:val="39"/>
    <w:unhideWhenUsed/>
    <w:rsid w:val="09370AC4"/>
    <w:pPr>
      <w:spacing w:after="100"/>
      <w:ind w:left="440"/>
    </w:pPr>
  </w:style>
  <w:style w:type="paragraph" w:styleId="TOC4">
    <w:name w:val="toc 4"/>
    <w:basedOn w:val="Normal"/>
    <w:next w:val="Normal"/>
    <w:uiPriority w:val="39"/>
    <w:unhideWhenUsed/>
    <w:rsid w:val="09370AC4"/>
    <w:pPr>
      <w:spacing w:after="100"/>
      <w:ind w:left="660"/>
    </w:pPr>
  </w:style>
  <w:style w:type="paragraph" w:styleId="TOC5">
    <w:name w:val="toc 5"/>
    <w:basedOn w:val="Normal"/>
    <w:next w:val="Normal"/>
    <w:uiPriority w:val="39"/>
    <w:unhideWhenUsed/>
    <w:rsid w:val="09370AC4"/>
    <w:pPr>
      <w:spacing w:after="100"/>
      <w:ind w:left="880"/>
    </w:pPr>
  </w:style>
  <w:style w:type="paragraph" w:styleId="TOC6">
    <w:name w:val="toc 6"/>
    <w:basedOn w:val="Normal"/>
    <w:next w:val="Normal"/>
    <w:uiPriority w:val="39"/>
    <w:unhideWhenUsed/>
    <w:rsid w:val="09370AC4"/>
    <w:pPr>
      <w:spacing w:after="100"/>
      <w:ind w:left="1100"/>
    </w:pPr>
  </w:style>
  <w:style w:type="paragraph" w:styleId="TOC7">
    <w:name w:val="toc 7"/>
    <w:basedOn w:val="Normal"/>
    <w:next w:val="Normal"/>
    <w:uiPriority w:val="39"/>
    <w:unhideWhenUsed/>
    <w:rsid w:val="09370AC4"/>
    <w:pPr>
      <w:spacing w:after="100"/>
      <w:ind w:left="1320"/>
    </w:pPr>
  </w:style>
  <w:style w:type="paragraph" w:styleId="TOC8">
    <w:name w:val="toc 8"/>
    <w:basedOn w:val="Normal"/>
    <w:next w:val="Normal"/>
    <w:uiPriority w:val="39"/>
    <w:unhideWhenUsed/>
    <w:rsid w:val="09370AC4"/>
    <w:pPr>
      <w:spacing w:after="100"/>
      <w:ind w:left="1540"/>
    </w:pPr>
  </w:style>
  <w:style w:type="paragraph" w:styleId="TOC9">
    <w:name w:val="toc 9"/>
    <w:basedOn w:val="Normal"/>
    <w:next w:val="Normal"/>
    <w:uiPriority w:val="39"/>
    <w:unhideWhenUsed/>
    <w:rsid w:val="09370AC4"/>
    <w:pPr>
      <w:spacing w:after="100"/>
      <w:ind w:left="1760"/>
    </w:pPr>
  </w:style>
  <w:style w:type="paragraph" w:styleId="EndnoteText">
    <w:name w:val="endnote text"/>
    <w:basedOn w:val="Normal"/>
    <w:link w:val="EndnoteTextChar"/>
    <w:uiPriority w:val="99"/>
    <w:semiHidden/>
    <w:unhideWhenUsed/>
    <w:rsid w:val="09370AC4"/>
    <w:pPr>
      <w:spacing w:after="0"/>
    </w:pPr>
    <w:rPr>
      <w:sz w:val="20"/>
      <w:szCs w:val="20"/>
    </w:rPr>
  </w:style>
  <w:style w:type="character" w:customStyle="1" w:styleId="EndnoteTextChar">
    <w:name w:val="Endnote Text Char"/>
    <w:basedOn w:val="DefaultParagraphFont"/>
    <w:link w:val="EndnoteText"/>
    <w:uiPriority w:val="99"/>
    <w:semiHidden/>
    <w:rsid w:val="09370AC4"/>
    <w:rPr>
      <w:noProof w:val="0"/>
      <w:sz w:val="20"/>
      <w:szCs w:val="20"/>
      <w:lang w:val="da-DK"/>
    </w:rPr>
  </w:style>
  <w:style w:type="character" w:styleId="FollowedHyperlink">
    <w:name w:val="FollowedHyperlink"/>
    <w:basedOn w:val="DefaultParagraphFont"/>
    <w:uiPriority w:val="99"/>
    <w:semiHidden/>
    <w:unhideWhenUsed/>
    <w:rsid w:val="00046B81"/>
    <w:rPr>
      <w:color w:val="800080" w:themeColor="followedHyperlink"/>
      <w:u w:val="single"/>
    </w:rPr>
  </w:style>
  <w:style w:type="paragraph" w:styleId="Revision">
    <w:name w:val="Revision"/>
    <w:hidden/>
    <w:uiPriority w:val="99"/>
    <w:semiHidden/>
    <w:rsid w:val="00135ECD"/>
    <w:pPr>
      <w:spacing w:after="0" w:line="240" w:lineRule="auto"/>
    </w:pPr>
  </w:style>
  <w:style w:type="character" w:customStyle="1" w:styleId="Marker">
    <w:name w:val="Marker"/>
    <w:basedOn w:val="DefaultParagraphFont"/>
    <w:rsid w:val="00B454A5"/>
    <w:rPr>
      <w:color w:val="0000FF"/>
      <w:shd w:val="clear" w:color="auto" w:fill="auto"/>
    </w:rPr>
  </w:style>
  <w:style w:type="paragraph" w:customStyle="1" w:styleId="Pagedecouverture">
    <w:name w:val="Page de couverture"/>
    <w:basedOn w:val="Normal"/>
    <w:next w:val="Normal"/>
    <w:rsid w:val="00B454A5"/>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B454A5"/>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B454A5"/>
    <w:rPr>
      <w:rFonts w:ascii="Times New Roman" w:hAnsi="Times New Roman" w:cs="Times New Roman"/>
      <w:sz w:val="24"/>
    </w:rPr>
  </w:style>
  <w:style w:type="paragraph" w:customStyle="1" w:styleId="FooterSensitivity">
    <w:name w:val="Footer Sensitivity"/>
    <w:basedOn w:val="Normal"/>
    <w:link w:val="FooterSensitivityChar"/>
    <w:rsid w:val="00B454A5"/>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B454A5"/>
    <w:rPr>
      <w:rFonts w:ascii="Times New Roman" w:hAnsi="Times New Roman" w:cs="Times New Roman"/>
      <w:b/>
      <w:sz w:val="32"/>
    </w:rPr>
  </w:style>
  <w:style w:type="paragraph" w:customStyle="1" w:styleId="HeaderCoverPage">
    <w:name w:val="Header Cover Page"/>
    <w:basedOn w:val="Normal"/>
    <w:link w:val="HeaderCoverPageChar"/>
    <w:rsid w:val="00B454A5"/>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B454A5"/>
    <w:rPr>
      <w:rFonts w:ascii="Times New Roman" w:hAnsi="Times New Roman" w:cs="Times New Roman"/>
      <w:sz w:val="24"/>
    </w:rPr>
  </w:style>
  <w:style w:type="paragraph" w:customStyle="1" w:styleId="HeaderSensitivity">
    <w:name w:val="Header Sensitivity"/>
    <w:basedOn w:val="Normal"/>
    <w:link w:val="HeaderSensitivityChar"/>
    <w:rsid w:val="00B454A5"/>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B454A5"/>
    <w:rPr>
      <w:rFonts w:ascii="Times New Roman" w:hAnsi="Times New Roman" w:cs="Times New Roman"/>
      <w:b/>
      <w:sz w:val="32"/>
    </w:rPr>
  </w:style>
  <w:style w:type="paragraph" w:customStyle="1" w:styleId="HeaderSensitivityRight">
    <w:name w:val="Header Sensitivity Right"/>
    <w:basedOn w:val="Normal"/>
    <w:link w:val="HeaderSensitivityRightChar"/>
    <w:rsid w:val="00B454A5"/>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B454A5"/>
    <w:rPr>
      <w:rFonts w:ascii="Times New Roman" w:hAnsi="Times New Roman" w:cs="Times New Roman"/>
      <w:sz w:val="28"/>
    </w:rPr>
  </w:style>
  <w:style w:type="character" w:customStyle="1" w:styleId="UnresolvedMention2">
    <w:name w:val="Unresolved Mention2"/>
    <w:basedOn w:val="DefaultParagraphFont"/>
    <w:uiPriority w:val="99"/>
    <w:semiHidden/>
    <w:unhideWhenUsed/>
    <w:rsid w:val="005D2AA5"/>
    <w:rPr>
      <w:color w:val="605E5C"/>
      <w:shd w:val="clear" w:color="auto" w:fill="E1DFDD"/>
    </w:rPr>
  </w:style>
  <w:style w:type="paragraph" w:customStyle="1" w:styleId="footnote1">
    <w:name w:val="footnote1"/>
    <w:basedOn w:val="Normal"/>
    <w:qFormat/>
    <w:rsid w:val="00237485"/>
    <w:pPr>
      <w:spacing w:after="0" w:line="240" w:lineRule="auto"/>
      <w:ind w:left="720" w:hanging="720"/>
      <w:jc w:val="both"/>
    </w:pPr>
    <w:rPr>
      <w:rFonts w:ascii="Times New Roman" w:eastAsiaTheme="minorEastAsia" w:hAnsi="Times New Roman"/>
      <w:sz w:val="20"/>
      <w:lang w:eastAsia="en-GB"/>
    </w:rPr>
  </w:style>
  <w:style w:type="paragraph" w:customStyle="1" w:styleId="paragraph">
    <w:name w:val="paragraph"/>
    <w:basedOn w:val="Normal"/>
    <w:rsid w:val="003B2E6B"/>
    <w:pPr>
      <w:spacing w:before="100" w:beforeAutospacing="1" w:after="100" w:afterAutospacing="1" w:line="240" w:lineRule="auto"/>
    </w:pPr>
    <w:rPr>
      <w:rFonts w:ascii="Times New Roman" w:hAnsi="Times New Roman" w:cs="Times New Roman"/>
      <w:sz w:val="24"/>
      <w:szCs w:val="24"/>
      <w:lang w:eastAsia="en-IE"/>
    </w:rPr>
  </w:style>
  <w:style w:type="character" w:customStyle="1" w:styleId="eop">
    <w:name w:val="eop"/>
    <w:basedOn w:val="DefaultParagraphFont"/>
    <w:rsid w:val="003B2E6B"/>
  </w:style>
  <w:style w:type="character" w:customStyle="1" w:styleId="superscript">
    <w:name w:val="superscript"/>
    <w:basedOn w:val="DefaultParagraphFont"/>
    <w:rsid w:val="003B2E6B"/>
  </w:style>
  <w:style w:type="character" w:customStyle="1" w:styleId="UnresolvedMention">
    <w:name w:val="Unresolved Mention"/>
    <w:basedOn w:val="DefaultParagraphFont"/>
    <w:uiPriority w:val="99"/>
    <w:semiHidden/>
    <w:unhideWhenUsed/>
    <w:rsid w:val="00BE7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1179">
      <w:bodyDiv w:val="1"/>
      <w:marLeft w:val="0"/>
      <w:marRight w:val="0"/>
      <w:marTop w:val="0"/>
      <w:marBottom w:val="0"/>
      <w:divBdr>
        <w:top w:val="none" w:sz="0" w:space="0" w:color="auto"/>
        <w:left w:val="none" w:sz="0" w:space="0" w:color="auto"/>
        <w:bottom w:val="none" w:sz="0" w:space="0" w:color="auto"/>
        <w:right w:val="none" w:sz="0" w:space="0" w:color="auto"/>
      </w:divBdr>
    </w:div>
    <w:div w:id="54814202">
      <w:bodyDiv w:val="1"/>
      <w:marLeft w:val="0"/>
      <w:marRight w:val="0"/>
      <w:marTop w:val="0"/>
      <w:marBottom w:val="0"/>
      <w:divBdr>
        <w:top w:val="none" w:sz="0" w:space="0" w:color="auto"/>
        <w:left w:val="none" w:sz="0" w:space="0" w:color="auto"/>
        <w:bottom w:val="none" w:sz="0" w:space="0" w:color="auto"/>
        <w:right w:val="none" w:sz="0" w:space="0" w:color="auto"/>
      </w:divBdr>
    </w:div>
    <w:div w:id="188371385">
      <w:bodyDiv w:val="1"/>
      <w:marLeft w:val="0"/>
      <w:marRight w:val="0"/>
      <w:marTop w:val="0"/>
      <w:marBottom w:val="0"/>
      <w:divBdr>
        <w:top w:val="none" w:sz="0" w:space="0" w:color="auto"/>
        <w:left w:val="none" w:sz="0" w:space="0" w:color="auto"/>
        <w:bottom w:val="none" w:sz="0" w:space="0" w:color="auto"/>
        <w:right w:val="none" w:sz="0" w:space="0" w:color="auto"/>
      </w:divBdr>
    </w:div>
    <w:div w:id="465120685">
      <w:bodyDiv w:val="1"/>
      <w:marLeft w:val="0"/>
      <w:marRight w:val="0"/>
      <w:marTop w:val="0"/>
      <w:marBottom w:val="0"/>
      <w:divBdr>
        <w:top w:val="none" w:sz="0" w:space="0" w:color="auto"/>
        <w:left w:val="none" w:sz="0" w:space="0" w:color="auto"/>
        <w:bottom w:val="none" w:sz="0" w:space="0" w:color="auto"/>
        <w:right w:val="none" w:sz="0" w:space="0" w:color="auto"/>
      </w:divBdr>
    </w:div>
    <w:div w:id="504057627">
      <w:bodyDiv w:val="1"/>
      <w:marLeft w:val="0"/>
      <w:marRight w:val="0"/>
      <w:marTop w:val="0"/>
      <w:marBottom w:val="0"/>
      <w:divBdr>
        <w:top w:val="none" w:sz="0" w:space="0" w:color="auto"/>
        <w:left w:val="none" w:sz="0" w:space="0" w:color="auto"/>
        <w:bottom w:val="none" w:sz="0" w:space="0" w:color="auto"/>
        <w:right w:val="none" w:sz="0" w:space="0" w:color="auto"/>
      </w:divBdr>
    </w:div>
    <w:div w:id="564920353">
      <w:bodyDiv w:val="1"/>
      <w:marLeft w:val="0"/>
      <w:marRight w:val="0"/>
      <w:marTop w:val="0"/>
      <w:marBottom w:val="0"/>
      <w:divBdr>
        <w:top w:val="none" w:sz="0" w:space="0" w:color="auto"/>
        <w:left w:val="none" w:sz="0" w:space="0" w:color="auto"/>
        <w:bottom w:val="none" w:sz="0" w:space="0" w:color="auto"/>
        <w:right w:val="none" w:sz="0" w:space="0" w:color="auto"/>
      </w:divBdr>
    </w:div>
    <w:div w:id="575945744">
      <w:bodyDiv w:val="1"/>
      <w:marLeft w:val="0"/>
      <w:marRight w:val="0"/>
      <w:marTop w:val="0"/>
      <w:marBottom w:val="0"/>
      <w:divBdr>
        <w:top w:val="none" w:sz="0" w:space="0" w:color="auto"/>
        <w:left w:val="none" w:sz="0" w:space="0" w:color="auto"/>
        <w:bottom w:val="none" w:sz="0" w:space="0" w:color="auto"/>
        <w:right w:val="none" w:sz="0" w:space="0" w:color="auto"/>
      </w:divBdr>
    </w:div>
    <w:div w:id="648482471">
      <w:bodyDiv w:val="1"/>
      <w:marLeft w:val="0"/>
      <w:marRight w:val="0"/>
      <w:marTop w:val="0"/>
      <w:marBottom w:val="0"/>
      <w:divBdr>
        <w:top w:val="none" w:sz="0" w:space="0" w:color="auto"/>
        <w:left w:val="none" w:sz="0" w:space="0" w:color="auto"/>
        <w:bottom w:val="none" w:sz="0" w:space="0" w:color="auto"/>
        <w:right w:val="none" w:sz="0" w:space="0" w:color="auto"/>
      </w:divBdr>
      <w:divsChild>
        <w:div w:id="1031418027">
          <w:marLeft w:val="0"/>
          <w:marRight w:val="75"/>
          <w:marTop w:val="0"/>
          <w:marBottom w:val="0"/>
          <w:divBdr>
            <w:top w:val="none" w:sz="0" w:space="0" w:color="auto"/>
            <w:left w:val="none" w:sz="0" w:space="0" w:color="auto"/>
            <w:bottom w:val="none" w:sz="0" w:space="0" w:color="auto"/>
            <w:right w:val="none" w:sz="0" w:space="0" w:color="auto"/>
          </w:divBdr>
        </w:div>
        <w:div w:id="690573385">
          <w:marLeft w:val="0"/>
          <w:marRight w:val="75"/>
          <w:marTop w:val="0"/>
          <w:marBottom w:val="0"/>
          <w:divBdr>
            <w:top w:val="none" w:sz="0" w:space="0" w:color="auto"/>
            <w:left w:val="none" w:sz="0" w:space="0" w:color="auto"/>
            <w:bottom w:val="none" w:sz="0" w:space="0" w:color="auto"/>
            <w:right w:val="none" w:sz="0" w:space="0" w:color="auto"/>
          </w:divBdr>
        </w:div>
        <w:div w:id="495074146">
          <w:marLeft w:val="0"/>
          <w:marRight w:val="75"/>
          <w:marTop w:val="0"/>
          <w:marBottom w:val="0"/>
          <w:divBdr>
            <w:top w:val="none" w:sz="0" w:space="0" w:color="auto"/>
            <w:left w:val="none" w:sz="0" w:space="0" w:color="auto"/>
            <w:bottom w:val="none" w:sz="0" w:space="0" w:color="auto"/>
            <w:right w:val="none" w:sz="0" w:space="0" w:color="auto"/>
          </w:divBdr>
        </w:div>
      </w:divsChild>
    </w:div>
    <w:div w:id="764691720">
      <w:bodyDiv w:val="1"/>
      <w:marLeft w:val="0"/>
      <w:marRight w:val="0"/>
      <w:marTop w:val="0"/>
      <w:marBottom w:val="0"/>
      <w:divBdr>
        <w:top w:val="none" w:sz="0" w:space="0" w:color="auto"/>
        <w:left w:val="none" w:sz="0" w:space="0" w:color="auto"/>
        <w:bottom w:val="none" w:sz="0" w:space="0" w:color="auto"/>
        <w:right w:val="none" w:sz="0" w:space="0" w:color="auto"/>
      </w:divBdr>
    </w:div>
    <w:div w:id="888878714">
      <w:bodyDiv w:val="1"/>
      <w:marLeft w:val="0"/>
      <w:marRight w:val="0"/>
      <w:marTop w:val="0"/>
      <w:marBottom w:val="0"/>
      <w:divBdr>
        <w:top w:val="none" w:sz="0" w:space="0" w:color="auto"/>
        <w:left w:val="none" w:sz="0" w:space="0" w:color="auto"/>
        <w:bottom w:val="none" w:sz="0" w:space="0" w:color="auto"/>
        <w:right w:val="none" w:sz="0" w:space="0" w:color="auto"/>
      </w:divBdr>
    </w:div>
    <w:div w:id="946498316">
      <w:bodyDiv w:val="1"/>
      <w:marLeft w:val="0"/>
      <w:marRight w:val="0"/>
      <w:marTop w:val="0"/>
      <w:marBottom w:val="0"/>
      <w:divBdr>
        <w:top w:val="none" w:sz="0" w:space="0" w:color="auto"/>
        <w:left w:val="none" w:sz="0" w:space="0" w:color="auto"/>
        <w:bottom w:val="none" w:sz="0" w:space="0" w:color="auto"/>
        <w:right w:val="none" w:sz="0" w:space="0" w:color="auto"/>
      </w:divBdr>
    </w:div>
    <w:div w:id="964509702">
      <w:bodyDiv w:val="1"/>
      <w:marLeft w:val="0"/>
      <w:marRight w:val="0"/>
      <w:marTop w:val="0"/>
      <w:marBottom w:val="0"/>
      <w:divBdr>
        <w:top w:val="none" w:sz="0" w:space="0" w:color="auto"/>
        <w:left w:val="none" w:sz="0" w:space="0" w:color="auto"/>
        <w:bottom w:val="none" w:sz="0" w:space="0" w:color="auto"/>
        <w:right w:val="none" w:sz="0" w:space="0" w:color="auto"/>
      </w:divBdr>
    </w:div>
    <w:div w:id="974602000">
      <w:bodyDiv w:val="1"/>
      <w:marLeft w:val="0"/>
      <w:marRight w:val="0"/>
      <w:marTop w:val="0"/>
      <w:marBottom w:val="0"/>
      <w:divBdr>
        <w:top w:val="none" w:sz="0" w:space="0" w:color="auto"/>
        <w:left w:val="none" w:sz="0" w:space="0" w:color="auto"/>
        <w:bottom w:val="none" w:sz="0" w:space="0" w:color="auto"/>
        <w:right w:val="none" w:sz="0" w:space="0" w:color="auto"/>
      </w:divBdr>
    </w:div>
    <w:div w:id="1082145184">
      <w:bodyDiv w:val="1"/>
      <w:marLeft w:val="0"/>
      <w:marRight w:val="0"/>
      <w:marTop w:val="0"/>
      <w:marBottom w:val="0"/>
      <w:divBdr>
        <w:top w:val="none" w:sz="0" w:space="0" w:color="auto"/>
        <w:left w:val="none" w:sz="0" w:space="0" w:color="auto"/>
        <w:bottom w:val="none" w:sz="0" w:space="0" w:color="auto"/>
        <w:right w:val="none" w:sz="0" w:space="0" w:color="auto"/>
      </w:divBdr>
    </w:div>
    <w:div w:id="1168520549">
      <w:bodyDiv w:val="1"/>
      <w:marLeft w:val="0"/>
      <w:marRight w:val="0"/>
      <w:marTop w:val="0"/>
      <w:marBottom w:val="0"/>
      <w:divBdr>
        <w:top w:val="none" w:sz="0" w:space="0" w:color="auto"/>
        <w:left w:val="none" w:sz="0" w:space="0" w:color="auto"/>
        <w:bottom w:val="none" w:sz="0" w:space="0" w:color="auto"/>
        <w:right w:val="none" w:sz="0" w:space="0" w:color="auto"/>
      </w:divBdr>
    </w:div>
    <w:div w:id="1463157937">
      <w:bodyDiv w:val="1"/>
      <w:marLeft w:val="0"/>
      <w:marRight w:val="0"/>
      <w:marTop w:val="0"/>
      <w:marBottom w:val="0"/>
      <w:divBdr>
        <w:top w:val="none" w:sz="0" w:space="0" w:color="auto"/>
        <w:left w:val="none" w:sz="0" w:space="0" w:color="auto"/>
        <w:bottom w:val="none" w:sz="0" w:space="0" w:color="auto"/>
        <w:right w:val="none" w:sz="0" w:space="0" w:color="auto"/>
      </w:divBdr>
    </w:div>
    <w:div w:id="150524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8.pn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c.europa.eu/clima/news-your-voice/news/emissions-trading-greenhouse-gas-emissions-73-2021-compared-2020-2022-04-25_en" TargetMode="External"/><Relationship Id="rId34"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7.emf"/><Relationship Id="rId33" Type="http://schemas.openxmlformats.org/officeDocument/2006/relationships/header" Target="header4.xm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image" Target="media/image10.png"/><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6.png"/><Relationship Id="rId32" Type="http://schemas.openxmlformats.org/officeDocument/2006/relationships/image" Target="media/image13.png"/><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image" Target="media/image9.png"/><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ea.europa.eu/data-and-maps/data/data-viewers/greenhouse-gases-viewer" TargetMode="External"/><Relationship Id="rId27" Type="http://schemas.openxmlformats.org/officeDocument/2006/relationships/chart" Target="charts/chart1.xml"/><Relationship Id="rId30" Type="http://schemas.openxmlformats.org/officeDocument/2006/relationships/image" Target="media/image11.png"/><Relationship Id="rId35"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DA/TXT/?uri=CELEX%3A52022PC0071" TargetMode="External"/><Relationship Id="rId13" Type="http://schemas.openxmlformats.org/officeDocument/2006/relationships/hyperlink" Target="https://europa.eu/climate-pact/index_da" TargetMode="External"/><Relationship Id="rId18" Type="http://schemas.openxmlformats.org/officeDocument/2006/relationships/hyperlink" Target="https://op.europa.eu/en/publication-detail/-/publication/23a24b21-16d0-11ec-b4fe-01aa75ed71a1/language-en" TargetMode="External"/><Relationship Id="rId3" Type="http://schemas.openxmlformats.org/officeDocument/2006/relationships/hyperlink" Target="https://www.eea.europa.eu/ims/global-and-european-temperatures" TargetMode="External"/><Relationship Id="rId21" Type="http://schemas.openxmlformats.org/officeDocument/2006/relationships/hyperlink" Target="https://investeu.europa.eu/what-investeu-programme_en" TargetMode="External"/><Relationship Id="rId7" Type="http://schemas.openxmlformats.org/officeDocument/2006/relationships/hyperlink" Target="https://ec.europa.eu/info/publications/210421-sustainable-finance-communication_en" TargetMode="External"/><Relationship Id="rId12" Type="http://schemas.openxmlformats.org/officeDocument/2006/relationships/hyperlink" Target="https://ec.europa.eu/info/law/better-regulation/have-your-say/initiatives/13188-EU-banking-sector-review-of-macroprudential-rules-to-limit-systemic-risk_da" TargetMode="External"/><Relationship Id="rId17" Type="http://schemas.openxmlformats.org/officeDocument/2006/relationships/hyperlink" Target="https://ec.europa.eu/info/law/better-regulation/have-your-say/initiatives/13172-EU-regler-om-certificering-af-kulstoffjernelse_da" TargetMode="External"/><Relationship Id="rId2" Type="http://schemas.openxmlformats.org/officeDocument/2006/relationships/hyperlink" Target="https://www.ipcc.ch/report/sixth-assessment-report-working-group-3/" TargetMode="External"/><Relationship Id="rId16" Type="http://schemas.openxmlformats.org/officeDocument/2006/relationships/hyperlink" Target="https://research-and-innovation.ec.europa.eu/research-area/environment/nature-based-solutions_en" TargetMode="External"/><Relationship Id="rId20" Type="http://schemas.openxmlformats.org/officeDocument/2006/relationships/hyperlink" Target="https://ec.europa.eu/economy_finance/recovery-and-resilience-scoreboard/green.html" TargetMode="External"/><Relationship Id="rId1" Type="http://schemas.openxmlformats.org/officeDocument/2006/relationships/hyperlink" Target="https://www.ipcc.ch/report/ar6/wg2/" TargetMode="External"/><Relationship Id="rId6" Type="http://schemas.openxmlformats.org/officeDocument/2006/relationships/hyperlink" Target="https://unfccc.int/sites/default/files/resource/European%20Union-BR4_C_2019_8832_and_SWD_2019_432_2.pdf" TargetMode="External"/><Relationship Id="rId11" Type="http://schemas.openxmlformats.org/officeDocument/2006/relationships/hyperlink" Target="https://ec.europa.eu/info/consultations/finance-2022-esg-ratings_en." TargetMode="External"/><Relationship Id="rId5" Type="http://schemas.openxmlformats.org/officeDocument/2006/relationships/hyperlink" Target="https://www.iea.org/news/global-co2-emissions-rebounded-to-their-highest-level-in-history-in-2021" TargetMode="External"/><Relationship Id="rId15" Type="http://schemas.openxmlformats.org/officeDocument/2006/relationships/hyperlink" Target="https://publications.jrc.ec.europa.eu/repository/handle/JRC124374" TargetMode="External"/><Relationship Id="rId10" Type="http://schemas.openxmlformats.org/officeDocument/2006/relationships/hyperlink" Target="https://ec.europa.eu/info/publications/210922-solvency-2-communication_en" TargetMode="External"/><Relationship Id="rId19" Type="http://schemas.openxmlformats.org/officeDocument/2006/relationships/hyperlink" Target="https://climate-adapt.eea.europa.eu/observatory" TargetMode="External"/><Relationship Id="rId4" Type="http://schemas.openxmlformats.org/officeDocument/2006/relationships/hyperlink" Target="https://edgar.jrc.ec.europa.eu/dataset_ghg70" TargetMode="External"/><Relationship Id="rId9" Type="http://schemas.openxmlformats.org/officeDocument/2006/relationships/hyperlink" Target="https://ec.europa.eu/info/publications/211027-banking-package_en" TargetMode="External"/><Relationship Id="rId14" Type="http://schemas.openxmlformats.org/officeDocument/2006/relationships/hyperlink" Target="https://europa.eu/climate-pact/pledges/individual-pledging_da" TargetMode="External"/><Relationship Id="rId22" Type="http://schemas.openxmlformats.org/officeDocument/2006/relationships/hyperlink" Target="https://ec.europa.eu/regional_policy/en/2021_202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armema\Downloads\CLIMA-2022-80084-04-00-DA-SRC-0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strRef>
              <c:f>'Figur 8'!$D$73:$D$74</c:f>
              <c:strCache>
                <c:ptCount val="2"/>
                <c:pt idx="0">
                  <c:v>2030</c:v>
                </c:pt>
                <c:pt idx="1">
                  <c:v>med eksisterende foranstaltninger</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 8'!$B$75:$B$107</c:f>
              <c:strCache>
                <c:ptCount val="33"/>
                <c:pt idx="1">
                  <c:v>Portugal</c:v>
                </c:pt>
                <c:pt idx="2">
                  <c:v>Grækenland</c:v>
                </c:pt>
                <c:pt idx="3">
                  <c:v>Tjekkiet</c:v>
                </c:pt>
                <c:pt idx="4">
                  <c:v>Kroatien</c:v>
                </c:pt>
                <c:pt idx="5">
                  <c:v>Letland</c:v>
                </c:pt>
                <c:pt idx="6">
                  <c:v>Litauen</c:v>
                </c:pt>
                <c:pt idx="7">
                  <c:v>Ungarn</c:v>
                </c:pt>
                <c:pt idx="8">
                  <c:v>Sverige</c:v>
                </c:pt>
                <c:pt idx="9">
                  <c:v>Estland</c:v>
                </c:pt>
                <c:pt idx="10">
                  <c:v>Danmark</c:v>
                </c:pt>
                <c:pt idx="11">
                  <c:v>Italien</c:v>
                </c:pt>
                <c:pt idx="12">
                  <c:v>Nederlandene</c:v>
                </c:pt>
                <c:pt idx="13">
                  <c:v>Slovenien</c:v>
                </c:pt>
                <c:pt idx="14">
                  <c:v>Frankrig</c:v>
                </c:pt>
                <c:pt idx="15">
                  <c:v>Rumænien</c:v>
                </c:pt>
                <c:pt idx="16">
                  <c:v>Spanien</c:v>
                </c:pt>
                <c:pt idx="17">
                  <c:v>Finland</c:v>
                </c:pt>
                <c:pt idx="18">
                  <c:v>Tyskland</c:v>
                </c:pt>
                <c:pt idx="19">
                  <c:v>Bulgarien</c:v>
                </c:pt>
                <c:pt idx="20">
                  <c:v>Polen</c:v>
                </c:pt>
                <c:pt idx="21">
                  <c:v>Cypern</c:v>
                </c:pt>
                <c:pt idx="22">
                  <c:v>Østrig</c:v>
                </c:pt>
                <c:pt idx="23">
                  <c:v>Irland</c:v>
                </c:pt>
                <c:pt idx="24">
                  <c:v>Belgien</c:v>
                </c:pt>
                <c:pt idx="25">
                  <c:v>Slovakiet</c:v>
                </c:pt>
                <c:pt idx="26">
                  <c:v>Luxembourg</c:v>
                </c:pt>
                <c:pt idx="27">
                  <c:v>Malta</c:v>
                </c:pt>
                <c:pt idx="29">
                  <c:v>EU-27</c:v>
                </c:pt>
                <c:pt idx="31">
                  <c:v>Island</c:v>
                </c:pt>
                <c:pt idx="32">
                  <c:v>Norge</c:v>
                </c:pt>
              </c:strCache>
            </c:strRef>
          </c:cat>
          <c:val>
            <c:numRef>
              <c:f>'Figur 8'!$D$75:$D$107</c:f>
              <c:numCache>
                <c:formatCode>0%</c:formatCode>
                <c:ptCount val="33"/>
                <c:pt idx="1">
                  <c:v>0.22</c:v>
                </c:pt>
                <c:pt idx="2">
                  <c:v>0.11</c:v>
                </c:pt>
                <c:pt idx="3">
                  <c:v>0.08</c:v>
                </c:pt>
                <c:pt idx="4">
                  <c:v>7.0000000000000007E-2</c:v>
                </c:pt>
                <c:pt idx="5">
                  <c:v>4.0499411007756059E-2</c:v>
                </c:pt>
                <c:pt idx="6">
                  <c:v>4.0499411007756059E-2</c:v>
                </c:pt>
                <c:pt idx="7">
                  <c:v>0.01</c:v>
                </c:pt>
                <c:pt idx="8">
                  <c:v>-0.01</c:v>
                </c:pt>
                <c:pt idx="9">
                  <c:v>-0.01</c:v>
                </c:pt>
                <c:pt idx="10">
                  <c:v>-0.02</c:v>
                </c:pt>
                <c:pt idx="11">
                  <c:v>-0.03</c:v>
                </c:pt>
                <c:pt idx="12">
                  <c:v>-0.05</c:v>
                </c:pt>
                <c:pt idx="13">
                  <c:v>-0.05</c:v>
                </c:pt>
                <c:pt idx="14">
                  <c:v>-6.0453742697988755E-2</c:v>
                </c:pt>
                <c:pt idx="15">
                  <c:v>-6.2322582091460604E-2</c:v>
                </c:pt>
                <c:pt idx="16">
                  <c:v>-7.6077229397941176E-2</c:v>
                </c:pt>
                <c:pt idx="17">
                  <c:v>-7.8366726934080311E-2</c:v>
                </c:pt>
                <c:pt idx="18">
                  <c:v>-0.08</c:v>
                </c:pt>
                <c:pt idx="19">
                  <c:v>-0.10496213627393272</c:v>
                </c:pt>
                <c:pt idx="20">
                  <c:v>-0.12700727966873931</c:v>
                </c:pt>
                <c:pt idx="21">
                  <c:v>-0.17</c:v>
                </c:pt>
                <c:pt idx="22">
                  <c:v>-0.19</c:v>
                </c:pt>
                <c:pt idx="23">
                  <c:v>-0.19496676862369169</c:v>
                </c:pt>
                <c:pt idx="24">
                  <c:v>-0.2</c:v>
                </c:pt>
                <c:pt idx="25">
                  <c:v>-0.21</c:v>
                </c:pt>
                <c:pt idx="26">
                  <c:v>-0.25598775324733536</c:v>
                </c:pt>
                <c:pt idx="27">
                  <c:v>-0.69088476328717363</c:v>
                </c:pt>
                <c:pt idx="29">
                  <c:v>-6.2632881005728835E-2</c:v>
                </c:pt>
                <c:pt idx="31">
                  <c:v>-0.03</c:v>
                </c:pt>
                <c:pt idx="32">
                  <c:v>-0.08</c:v>
                </c:pt>
              </c:numCache>
            </c:numRef>
          </c:val>
          <c:extLst>
            <c:ext xmlns:c16="http://schemas.microsoft.com/office/drawing/2014/chart" uri="{C3380CC4-5D6E-409C-BE32-E72D297353CC}">
              <c16:uniqueId val="{00000000-F216-4760-9F6D-130D70704165}"/>
            </c:ext>
          </c:extLst>
        </c:ser>
        <c:ser>
          <c:idx val="0"/>
          <c:order val="1"/>
          <c:tx>
            <c:strRef>
              <c:f>'Figur 8'!$C$73:$C$74</c:f>
              <c:strCache>
                <c:ptCount val="2"/>
                <c:pt idx="0">
                  <c:v>2030</c:v>
                </c:pt>
                <c:pt idx="1">
                  <c:v>med yderligere foranstaltninger</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 8'!$B$75:$B$107</c:f>
              <c:strCache>
                <c:ptCount val="33"/>
                <c:pt idx="1">
                  <c:v>Portugal</c:v>
                </c:pt>
                <c:pt idx="2">
                  <c:v>Grækenland</c:v>
                </c:pt>
                <c:pt idx="3">
                  <c:v>Tjekkiet</c:v>
                </c:pt>
                <c:pt idx="4">
                  <c:v>Kroatien</c:v>
                </c:pt>
                <c:pt idx="5">
                  <c:v>Letland</c:v>
                </c:pt>
                <c:pt idx="6">
                  <c:v>Litauen</c:v>
                </c:pt>
                <c:pt idx="7">
                  <c:v>Ungarn</c:v>
                </c:pt>
                <c:pt idx="8">
                  <c:v>Sverige</c:v>
                </c:pt>
                <c:pt idx="9">
                  <c:v>Estland</c:v>
                </c:pt>
                <c:pt idx="10">
                  <c:v>Danmark</c:v>
                </c:pt>
                <c:pt idx="11">
                  <c:v>Italien</c:v>
                </c:pt>
                <c:pt idx="12">
                  <c:v>Nederlandene</c:v>
                </c:pt>
                <c:pt idx="13">
                  <c:v>Slovenien</c:v>
                </c:pt>
                <c:pt idx="14">
                  <c:v>Frankrig</c:v>
                </c:pt>
                <c:pt idx="15">
                  <c:v>Rumænien</c:v>
                </c:pt>
                <c:pt idx="16">
                  <c:v>Spanien</c:v>
                </c:pt>
                <c:pt idx="17">
                  <c:v>Finland</c:v>
                </c:pt>
                <c:pt idx="18">
                  <c:v>Tyskland</c:v>
                </c:pt>
                <c:pt idx="19">
                  <c:v>Bulgarien</c:v>
                </c:pt>
                <c:pt idx="20">
                  <c:v>Polen</c:v>
                </c:pt>
                <c:pt idx="21">
                  <c:v>Cypern</c:v>
                </c:pt>
                <c:pt idx="22">
                  <c:v>Østrig</c:v>
                </c:pt>
                <c:pt idx="23">
                  <c:v>Irland</c:v>
                </c:pt>
                <c:pt idx="24">
                  <c:v>Belgien</c:v>
                </c:pt>
                <c:pt idx="25">
                  <c:v>Slovakiet</c:v>
                </c:pt>
                <c:pt idx="26">
                  <c:v>Luxembourg</c:v>
                </c:pt>
                <c:pt idx="27">
                  <c:v>Malta</c:v>
                </c:pt>
                <c:pt idx="29">
                  <c:v>EU-27</c:v>
                </c:pt>
                <c:pt idx="31">
                  <c:v>Island</c:v>
                </c:pt>
                <c:pt idx="32">
                  <c:v>Norge</c:v>
                </c:pt>
              </c:strCache>
            </c:strRef>
          </c:cat>
          <c:val>
            <c:numRef>
              <c:f>'Figur 8'!$C$75:$C$107</c:f>
              <c:numCache>
                <c:formatCode>0%</c:formatCode>
                <c:ptCount val="33"/>
                <c:pt idx="1">
                  <c:v>0.25</c:v>
                </c:pt>
                <c:pt idx="2">
                  <c:v>0.2</c:v>
                </c:pt>
                <c:pt idx="3">
                  <c:v>0.23</c:v>
                </c:pt>
                <c:pt idx="4">
                  <c:v>0.13</c:v>
                </c:pt>
                <c:pt idx="5">
                  <c:v>9.197675924289922E-2</c:v>
                </c:pt>
                <c:pt idx="6">
                  <c:v>0.16</c:v>
                </c:pt>
                <c:pt idx="7">
                  <c:v>0.15</c:v>
                </c:pt>
                <c:pt idx="8">
                  <c:v>-0.01</c:v>
                </c:pt>
                <c:pt idx="9">
                  <c:v>0.01</c:v>
                </c:pt>
                <c:pt idx="10">
                  <c:v>-0.02</c:v>
                </c:pt>
                <c:pt idx="11">
                  <c:v>7.0000000000000007E-2</c:v>
                </c:pt>
                <c:pt idx="12">
                  <c:v>-0.04</c:v>
                </c:pt>
                <c:pt idx="13">
                  <c:v>0.11</c:v>
                </c:pt>
                <c:pt idx="14">
                  <c:v>-6.0453742697988755E-2</c:v>
                </c:pt>
                <c:pt idx="15">
                  <c:v>-3.9603999250874024E-2</c:v>
                </c:pt>
                <c:pt idx="16">
                  <c:v>0.1233392399055207</c:v>
                </c:pt>
                <c:pt idx="17">
                  <c:v>-4.9062680607445508E-2</c:v>
                </c:pt>
                <c:pt idx="18">
                  <c:v>-0.08</c:v>
                </c:pt>
                <c:pt idx="19">
                  <c:v>-5.5985214470759916E-2</c:v>
                </c:pt>
                <c:pt idx="20">
                  <c:v>4.8366013905790692E-2</c:v>
                </c:pt>
                <c:pt idx="21">
                  <c:v>-7.0000000000000007E-2</c:v>
                </c:pt>
                <c:pt idx="22">
                  <c:v>-0.09</c:v>
                </c:pt>
                <c:pt idx="23">
                  <c:v>-1.8049183758706566E-3</c:v>
                </c:pt>
                <c:pt idx="24">
                  <c:v>0.03</c:v>
                </c:pt>
                <c:pt idx="25">
                  <c:v>-0.12</c:v>
                </c:pt>
                <c:pt idx="26">
                  <c:v>0.12705719046155317</c:v>
                </c:pt>
                <c:pt idx="27">
                  <c:v>-0.69088476328717363</c:v>
                </c:pt>
                <c:pt idx="29">
                  <c:v>1.3423629729652164E-2</c:v>
                </c:pt>
                <c:pt idx="31">
                  <c:v>-0.03</c:v>
                </c:pt>
                <c:pt idx="32">
                  <c:v>-0.08</c:v>
                </c:pt>
              </c:numCache>
            </c:numRef>
          </c:val>
          <c:extLst>
            <c:ext xmlns:c16="http://schemas.microsoft.com/office/drawing/2014/chart" uri="{C3380CC4-5D6E-409C-BE32-E72D297353CC}">
              <c16:uniqueId val="{00000001-F216-4760-9F6D-130D70704165}"/>
            </c:ext>
          </c:extLst>
        </c:ser>
        <c:dLbls>
          <c:dLblPos val="outEnd"/>
          <c:showLegendKey val="0"/>
          <c:showVal val="1"/>
          <c:showCatName val="0"/>
          <c:showSerName val="0"/>
          <c:showPercent val="0"/>
          <c:showBubbleSize val="0"/>
        </c:dLbls>
        <c:gapWidth val="100"/>
        <c:axId val="1784499408"/>
        <c:axId val="1784503568"/>
      </c:barChart>
      <c:catAx>
        <c:axId val="1784499408"/>
        <c:scaling>
          <c:orientation val="maxMin"/>
        </c:scaling>
        <c:delete val="0"/>
        <c:axPos val="l"/>
        <c:numFmt formatCode="0.00%"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4503568"/>
        <c:crosses val="autoZero"/>
        <c:auto val="1"/>
        <c:lblAlgn val="ctr"/>
        <c:lblOffset val="100"/>
        <c:noMultiLvlLbl val="0"/>
      </c:catAx>
      <c:valAx>
        <c:axId val="1784503568"/>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4499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A6791DDFFC024DAA4136D92359EB10" ma:contentTypeVersion="6" ma:contentTypeDescription="Create a new document." ma:contentTypeScope="" ma:versionID="78f8a9d4692e6fc513965af7a337bb48">
  <xsd:schema xmlns:xsd="http://www.w3.org/2001/XMLSchema" xmlns:xs="http://www.w3.org/2001/XMLSchema" xmlns:p="http://schemas.microsoft.com/office/2006/metadata/properties" xmlns:ns2="cce4269c-1bca-4c47-bcbd-0ca0cb14aa6e" xmlns:ns3="96a7f24e-e0df-4592-b6e0-4a62e251a0e5" targetNamespace="http://schemas.microsoft.com/office/2006/metadata/properties" ma:root="true" ma:fieldsID="45575f6e65212f9124b1358a01be9fed" ns2:_="" ns3:_="">
    <xsd:import namespace="cce4269c-1bca-4c47-bcbd-0ca0cb14aa6e"/>
    <xsd:import namespace="96a7f24e-e0df-4592-b6e0-4a62e251a0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4269c-1bca-4c47-bcbd-0ca0cb14a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a7f24e-e0df-4592-b6e0-4a62e251a0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F8C0F-3A09-4893-A7F1-AC7CAF4FC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4269c-1bca-4c47-bcbd-0ca0cb14aa6e"/>
    <ds:schemaRef ds:uri="96a7f24e-e0df-4592-b6e0-4a62e251a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D94C8F-35D0-46E6-B6D3-6DF1966FB4BB}">
  <ds:schemaRefs>
    <ds:schemaRef ds:uri="http://schemas.microsoft.com/sharepoint/v3/contenttype/forms"/>
  </ds:schemaRefs>
</ds:datastoreItem>
</file>

<file path=customXml/itemProps3.xml><?xml version="1.0" encoding="utf-8"?>
<ds:datastoreItem xmlns:ds="http://schemas.openxmlformats.org/officeDocument/2006/customXml" ds:itemID="{EB5DC1EA-D2B7-4437-92F9-6613341701B2}">
  <ds:schemaRefs>
    <ds:schemaRef ds:uri="http://purl.org/dc/elements/1.1/"/>
    <ds:schemaRef ds:uri="http://schemas.microsoft.com/office/infopath/2007/PartnerControls"/>
    <ds:schemaRef ds:uri="96a7f24e-e0df-4592-b6e0-4a62e251a0e5"/>
    <ds:schemaRef ds:uri="http://purl.org/dc/terms/"/>
    <ds:schemaRef ds:uri="http://schemas.microsoft.com/office/2006/documentManagement/types"/>
    <ds:schemaRef ds:uri="http://schemas.openxmlformats.org/package/2006/metadata/core-properties"/>
    <ds:schemaRef ds:uri="cce4269c-1bca-4c47-bcbd-0ca0cb14aa6e"/>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0EF0023-5C3E-46ED-BBA1-768925CA5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25</Pages>
  <Words>6838</Words>
  <Characters>40827</Characters>
  <Application>Microsoft Office Word</Application>
  <DocSecurity>0</DocSecurity>
  <Lines>591</Lines>
  <Paragraphs>152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47513</CharactersWithSpaces>
  <SharedDoc>false</SharedDoc>
  <HLinks>
    <vt:vector size="144" baseType="variant">
      <vt:variant>
        <vt:i4>2031678</vt:i4>
      </vt:variant>
      <vt:variant>
        <vt:i4>18</vt:i4>
      </vt:variant>
      <vt:variant>
        <vt:i4>0</vt:i4>
      </vt:variant>
      <vt:variant>
        <vt:i4>5</vt:i4>
      </vt:variant>
      <vt:variant>
        <vt:lpwstr>https://ec.europa.eu/clima/news-your-voice/news/emissions-trading-greenhouse-gas-emissions-73-2021-compared-2020-2022-04-25_en</vt:lpwstr>
      </vt:variant>
      <vt:variant>
        <vt:lpwstr/>
      </vt:variant>
      <vt:variant>
        <vt:i4>6553666</vt:i4>
      </vt:variant>
      <vt:variant>
        <vt:i4>77</vt:i4>
      </vt:variant>
      <vt:variant>
        <vt:i4>0</vt:i4>
      </vt:variant>
      <vt:variant>
        <vt:i4>5</vt:i4>
      </vt:variant>
      <vt:variant>
        <vt:lpwstr>https://joint-research-centre.ec.europa.eu/geco-2021_en</vt:lpwstr>
      </vt:variant>
      <vt:variant>
        <vt:lpwstr/>
      </vt:variant>
      <vt:variant>
        <vt:i4>1114194</vt:i4>
      </vt:variant>
      <vt:variant>
        <vt:i4>74</vt:i4>
      </vt:variant>
      <vt:variant>
        <vt:i4>0</vt:i4>
      </vt:variant>
      <vt:variant>
        <vt:i4>5</vt:i4>
      </vt:variant>
      <vt:variant>
        <vt:lpwstr>https://ec.europa.eu/regional_policy/en/2021_2027/</vt:lpwstr>
      </vt:variant>
      <vt:variant>
        <vt:lpwstr/>
      </vt:variant>
      <vt:variant>
        <vt:i4>7667813</vt:i4>
      </vt:variant>
      <vt:variant>
        <vt:i4>71</vt:i4>
      </vt:variant>
      <vt:variant>
        <vt:i4>0</vt:i4>
      </vt:variant>
      <vt:variant>
        <vt:i4>5</vt:i4>
      </vt:variant>
      <vt:variant>
        <vt:lpwstr>https://climate-adapt.eea.europa.eu/knowledge/tools/case-study-explorer</vt:lpwstr>
      </vt:variant>
      <vt:variant>
        <vt:lpwstr/>
      </vt:variant>
      <vt:variant>
        <vt:i4>5046351</vt:i4>
      </vt:variant>
      <vt:variant>
        <vt:i4>68</vt:i4>
      </vt:variant>
      <vt:variant>
        <vt:i4>0</vt:i4>
      </vt:variant>
      <vt:variant>
        <vt:i4>5</vt:i4>
      </vt:variant>
      <vt:variant>
        <vt:lpwstr>https://climate-adapt.eea.europa.eu/observatory/evidence/health-effects/flooding</vt:lpwstr>
      </vt:variant>
      <vt:variant>
        <vt:lpwstr/>
      </vt:variant>
      <vt:variant>
        <vt:i4>4259907</vt:i4>
      </vt:variant>
      <vt:variant>
        <vt:i4>65</vt:i4>
      </vt:variant>
      <vt:variant>
        <vt:i4>0</vt:i4>
      </vt:variant>
      <vt:variant>
        <vt:i4>5</vt:i4>
      </vt:variant>
      <vt:variant>
        <vt:lpwstr>https://climate-adapt.eea.europa.eu/observatory/evidence/health-effects/wildfires</vt:lpwstr>
      </vt:variant>
      <vt:variant>
        <vt:lpwstr/>
      </vt:variant>
      <vt:variant>
        <vt:i4>1835103</vt:i4>
      </vt:variant>
      <vt:variant>
        <vt:i4>62</vt:i4>
      </vt:variant>
      <vt:variant>
        <vt:i4>0</vt:i4>
      </vt:variant>
      <vt:variant>
        <vt:i4>5</vt:i4>
      </vt:variant>
      <vt:variant>
        <vt:lpwstr>https://climate-adapt.eea.europa.eu/observatory/evidence/health-effects/air-pollution</vt:lpwstr>
      </vt:variant>
      <vt:variant>
        <vt:lpwstr/>
      </vt:variant>
      <vt:variant>
        <vt:i4>1703938</vt:i4>
      </vt:variant>
      <vt:variant>
        <vt:i4>59</vt:i4>
      </vt:variant>
      <vt:variant>
        <vt:i4>0</vt:i4>
      </vt:variant>
      <vt:variant>
        <vt:i4>5</vt:i4>
      </vt:variant>
      <vt:variant>
        <vt:lpwstr>https://climate-adapt.eea.europa.eu/observatory/evidence/health-effects/mental-health-effects</vt:lpwstr>
      </vt:variant>
      <vt:variant>
        <vt:lpwstr/>
      </vt:variant>
      <vt:variant>
        <vt:i4>4915295</vt:i4>
      </vt:variant>
      <vt:variant>
        <vt:i4>56</vt:i4>
      </vt:variant>
      <vt:variant>
        <vt:i4>0</vt:i4>
      </vt:variant>
      <vt:variant>
        <vt:i4>5</vt:i4>
      </vt:variant>
      <vt:variant>
        <vt:lpwstr>https://climate-adapt.eea.europa.eu/observatory/policy-context/national-policy-analysis-2022</vt:lpwstr>
      </vt:variant>
      <vt:variant>
        <vt:lpwstr/>
      </vt:variant>
      <vt:variant>
        <vt:i4>2293770</vt:i4>
      </vt:variant>
      <vt:variant>
        <vt:i4>53</vt:i4>
      </vt:variant>
      <vt:variant>
        <vt:i4>0</vt:i4>
      </vt:variant>
      <vt:variant>
        <vt:i4>5</vt:i4>
      </vt:variant>
      <vt:variant>
        <vt:lpwstr>https://ec.europa.eu/info/law/better-regulation/have-your-say/initiatives/13396-EU-forests-new-EU-Framework-for-Forest-Monitoring-and-Strategic-Plans_en</vt:lpwstr>
      </vt:variant>
      <vt:variant>
        <vt:lpwstr/>
      </vt:variant>
      <vt:variant>
        <vt:i4>7471115</vt:i4>
      </vt:variant>
      <vt:variant>
        <vt:i4>50</vt:i4>
      </vt:variant>
      <vt:variant>
        <vt:i4>0</vt:i4>
      </vt:variant>
      <vt:variant>
        <vt:i4>5</vt:i4>
      </vt:variant>
      <vt:variant>
        <vt:lpwstr>https://ec.europa.eu/info/law/better-regulation/have-your-say/initiatives/13172-Certification-of-carbon-removals-EU-rules_en</vt:lpwstr>
      </vt:variant>
      <vt:variant>
        <vt:lpwstr/>
      </vt:variant>
      <vt:variant>
        <vt:i4>5701692</vt:i4>
      </vt:variant>
      <vt:variant>
        <vt:i4>47</vt:i4>
      </vt:variant>
      <vt:variant>
        <vt:i4>0</vt:i4>
      </vt:variant>
      <vt:variant>
        <vt:i4>5</vt:i4>
      </vt:variant>
      <vt:variant>
        <vt:lpwstr>https://ec.europa.eu/info/research-and-innovation/research-area/environment/nature-based-solutions_en</vt:lpwstr>
      </vt:variant>
      <vt:variant>
        <vt:lpwstr/>
      </vt:variant>
      <vt:variant>
        <vt:i4>655442</vt:i4>
      </vt:variant>
      <vt:variant>
        <vt:i4>44</vt:i4>
      </vt:variant>
      <vt:variant>
        <vt:i4>0</vt:i4>
      </vt:variant>
      <vt:variant>
        <vt:i4>5</vt:i4>
      </vt:variant>
      <vt:variant>
        <vt:lpwstr>https://eur-lex.europa.eu/legal-content/EN/TXT/?uri=COM:2021:800:FIN</vt:lpwstr>
      </vt:variant>
      <vt:variant>
        <vt:lpwstr/>
      </vt:variant>
      <vt:variant>
        <vt:i4>64</vt:i4>
      </vt:variant>
      <vt:variant>
        <vt:i4>41</vt:i4>
      </vt:variant>
      <vt:variant>
        <vt:i4>0</vt:i4>
      </vt:variant>
      <vt:variant>
        <vt:i4>5</vt:i4>
      </vt:variant>
      <vt:variant>
        <vt:lpwstr>https://publications.jrc.ec.europa.eu/repository/handle/JRC124374</vt:lpwstr>
      </vt:variant>
      <vt:variant>
        <vt:lpwstr/>
      </vt:variant>
      <vt:variant>
        <vt:i4>5373979</vt:i4>
      </vt:variant>
      <vt:variant>
        <vt:i4>29</vt:i4>
      </vt:variant>
      <vt:variant>
        <vt:i4>0</vt:i4>
      </vt:variant>
      <vt:variant>
        <vt:i4>5</vt:i4>
      </vt:variant>
      <vt:variant>
        <vt:lpwstr>https://eur-lex.europa.eu/legal-content/EN/TXT/?uri=COM%3A2021%3A660%3AFIN&amp;qid=1634215984101</vt:lpwstr>
      </vt:variant>
      <vt:variant>
        <vt:lpwstr/>
      </vt:variant>
      <vt:variant>
        <vt:i4>2949148</vt:i4>
      </vt:variant>
      <vt:variant>
        <vt:i4>26</vt:i4>
      </vt:variant>
      <vt:variant>
        <vt:i4>0</vt:i4>
      </vt:variant>
      <vt:variant>
        <vt:i4>5</vt:i4>
      </vt:variant>
      <vt:variant>
        <vt:lpwstr>https://ec.europa.eu/info/law/better-regulation/have-your-say/initiatives/13188-EU-banking-sector-review-of-macroprudential-rules-to-limit-systemic-risk_en</vt:lpwstr>
      </vt:variant>
      <vt:variant>
        <vt:lpwstr/>
      </vt:variant>
      <vt:variant>
        <vt:i4>7274527</vt:i4>
      </vt:variant>
      <vt:variant>
        <vt:i4>23</vt:i4>
      </vt:variant>
      <vt:variant>
        <vt:i4>0</vt:i4>
      </vt:variant>
      <vt:variant>
        <vt:i4>5</vt:i4>
      </vt:variant>
      <vt:variant>
        <vt:lpwstr>https://ec.europa.eu/info/consultations/finance-2022-esg-ratings_en</vt:lpwstr>
      </vt:variant>
      <vt:variant>
        <vt:lpwstr/>
      </vt:variant>
      <vt:variant>
        <vt:i4>4980833</vt:i4>
      </vt:variant>
      <vt:variant>
        <vt:i4>20</vt:i4>
      </vt:variant>
      <vt:variant>
        <vt:i4>0</vt:i4>
      </vt:variant>
      <vt:variant>
        <vt:i4>5</vt:i4>
      </vt:variant>
      <vt:variant>
        <vt:lpwstr>https://ec.europa.eu/info/publications/210922-solvency-2-communication_en</vt:lpwstr>
      </vt:variant>
      <vt:variant>
        <vt:lpwstr/>
      </vt:variant>
      <vt:variant>
        <vt:i4>7143461</vt:i4>
      </vt:variant>
      <vt:variant>
        <vt:i4>17</vt:i4>
      </vt:variant>
      <vt:variant>
        <vt:i4>0</vt:i4>
      </vt:variant>
      <vt:variant>
        <vt:i4>5</vt:i4>
      </vt:variant>
      <vt:variant>
        <vt:lpwstr>https://eur-lex.europa.eu/legal-content/EN/TXT/?uri=CELEX%3A52022PC0071</vt:lpwstr>
      </vt:variant>
      <vt:variant>
        <vt:lpwstr/>
      </vt:variant>
      <vt:variant>
        <vt:i4>6094902</vt:i4>
      </vt:variant>
      <vt:variant>
        <vt:i4>14</vt:i4>
      </vt:variant>
      <vt:variant>
        <vt:i4>0</vt:i4>
      </vt:variant>
      <vt:variant>
        <vt:i4>5</vt:i4>
      </vt:variant>
      <vt:variant>
        <vt:lpwstr>https://ec.europa.eu/info/publications/210421-sustainable-finance-communication_en</vt:lpwstr>
      </vt:variant>
      <vt:variant>
        <vt:lpwstr>csrd</vt:lpwstr>
      </vt:variant>
      <vt:variant>
        <vt:i4>5898323</vt:i4>
      </vt:variant>
      <vt:variant>
        <vt:i4>11</vt:i4>
      </vt:variant>
      <vt:variant>
        <vt:i4>0</vt:i4>
      </vt:variant>
      <vt:variant>
        <vt:i4>5</vt:i4>
      </vt:variant>
      <vt:variant>
        <vt:lpwstr>https://www.iea.org/news/global-co2-emissions-rebounded-to-their-highest-level-in-history-in-2021</vt:lpwstr>
      </vt:variant>
      <vt:variant>
        <vt:lpwstr/>
      </vt:variant>
      <vt:variant>
        <vt:i4>8060967</vt:i4>
      </vt:variant>
      <vt:variant>
        <vt:i4>6</vt:i4>
      </vt:variant>
      <vt:variant>
        <vt:i4>0</vt:i4>
      </vt:variant>
      <vt:variant>
        <vt:i4>5</vt:i4>
      </vt:variant>
      <vt:variant>
        <vt:lpwstr>https://www.ipcc.ch/report/sixth-assessment-report-working-group-3/</vt:lpwstr>
      </vt:variant>
      <vt:variant>
        <vt:lpwstr/>
      </vt:variant>
      <vt:variant>
        <vt:i4>8061033</vt:i4>
      </vt:variant>
      <vt:variant>
        <vt:i4>3</vt:i4>
      </vt:variant>
      <vt:variant>
        <vt:i4>0</vt:i4>
      </vt:variant>
      <vt:variant>
        <vt:i4>5</vt:i4>
      </vt:variant>
      <vt:variant>
        <vt:lpwstr>https://www.ipcc.ch/report/ar6/wg2/</vt:lpwstr>
      </vt:variant>
      <vt:variant>
        <vt:lpwstr/>
      </vt:variant>
      <vt:variant>
        <vt:i4>524314</vt:i4>
      </vt:variant>
      <vt:variant>
        <vt:i4>0</vt:i4>
      </vt:variant>
      <vt:variant>
        <vt:i4>0</vt:i4>
      </vt:variant>
      <vt:variant>
        <vt:i4>5</vt:i4>
      </vt:variant>
      <vt:variant>
        <vt:lpwstr>https://www.ipcc.ch/report/ar6/wg1/</vt:lpwstr>
      </vt:variant>
      <vt:variant>
        <vt:lpwstr>SPM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37</cp:revision>
  <cp:lastPrinted>2022-09-13T12:09:00Z</cp:lastPrinted>
  <dcterms:created xsi:type="dcterms:W3CDTF">2022-10-20T11:17:00Z</dcterms:created>
  <dcterms:modified xsi:type="dcterms:W3CDTF">2022-10-24T07:11:00Z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2022-05-16T12:07:19Z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ab7f02b6-aeb1-4402-ae8c-cab11010349a</vt:lpwstr>
  </property>
  <property fmtid="{D5CDD505-2E9C-101B-9397-08002B2CF9AE}" pid="8" name="MSIP_Label_6bd9ddd1-4d20-43f6-abfa-fc3c07406f94_ContentBits">
    <vt:lpwstr>0</vt:lpwstr>
  </property>
  <property fmtid="{D5CDD505-2E9C-101B-9397-08002B2CF9AE}" pid="9" name="ContentTypeId">
    <vt:lpwstr>0x0101008BA6791DDFFC024DAA4136D92359EB10</vt:lpwstr>
  </property>
  <property fmtid="{D5CDD505-2E9C-101B-9397-08002B2CF9AE}" pid="10" name="TitusGUID">
    <vt:lpwstr>11ed6ead-23a4-4d1d-a783-b35e201cd16c</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DocStatus">
    <vt:lpwstr>Green</vt:lpwstr>
  </property>
  <property fmtid="{D5CDD505-2E9C-101B-9397-08002B2CF9AE}" pid="15" name="CPTemplateID">
    <vt:lpwstr>CP-008</vt:lpwstr>
  </property>
  <property fmtid="{D5CDD505-2E9C-101B-9397-08002B2CF9AE}" pid="16" name="Last edited using">
    <vt:lpwstr>LW 8.1, Build 20220902</vt:lpwstr>
  </property>
  <property fmtid="{D5CDD505-2E9C-101B-9397-08002B2CF9AE}" pid="17" name="Created using">
    <vt:lpwstr>LW 8.0.1, Build 20220429</vt:lpwstr>
  </property>
  <property name="OP_sanitized" fmtid="{D5CDD505-2E9C-101B-9397-08002B2CF9AE}" pid="18">
    <vt:lpwstr>True</vt:lpwstr>
  </property>
</Properties>
</file>